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default" w:ascii="黑体" w:hAnsi="黑体" w:eastAsia="黑体" w:cs="黑体"/>
          <w:color w:val="auto"/>
          <w:sz w:val="32"/>
          <w:szCs w:val="32"/>
          <w:highlight w:val="none"/>
          <w:lang w:val="en-US" w:eastAsia="zh-CN"/>
        </w:rPr>
      </w:pPr>
      <w:bookmarkStart w:id="0" w:name="_Toc125127182"/>
      <w:bookmarkStart w:id="1" w:name="_Toc13216"/>
      <w:bookmarkStart w:id="2" w:name="_Toc5810"/>
      <w:bookmarkStart w:id="3" w:name="_Toc32562"/>
      <w:bookmarkStart w:id="40" w:name="_GoBack"/>
      <w:bookmarkEnd w:id="40"/>
      <w:r>
        <w:rPr>
          <w:rFonts w:hint="eastAsia" w:ascii="黑体" w:hAnsi="黑体" w:eastAsia="黑体" w:cs="黑体"/>
          <w:color w:val="auto"/>
          <w:sz w:val="32"/>
          <w:szCs w:val="32"/>
          <w:highlight w:val="none"/>
          <w:lang w:val="en-US" w:eastAsia="zh-CN"/>
        </w:rPr>
        <w:t>附 件11</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auto"/>
          <w:sz w:val="32"/>
          <w:szCs w:val="32"/>
          <w:highlight w:val="none"/>
          <w:lang w:val="en-US" w:eastAsia="zh-CN"/>
        </w:rPr>
      </w:pPr>
    </w:p>
    <w:bookmarkEnd w:id="0"/>
    <w:bookmarkEnd w:id="1"/>
    <w:bookmarkEnd w:id="2"/>
    <w:bookmarkEnd w:id="3"/>
    <w:p>
      <w:pPr>
        <w:keepNext w:val="0"/>
        <w:keepLines w:val="0"/>
        <w:pageBreakBefore w:val="0"/>
        <w:widowControl/>
        <w:numPr>
          <w:ilvl w:val="-1"/>
          <w:numId w:val="0"/>
        </w:numPr>
        <w:kinsoku/>
        <w:wordWrap/>
        <w:overflowPunct/>
        <w:topLinePunct w:val="0"/>
        <w:autoSpaceDE/>
        <w:autoSpaceDN/>
        <w:bidi w:val="0"/>
        <w:adjustRightInd/>
        <w:snapToGrid/>
        <w:spacing w:before="0" w:beforeLines="-2147483648" w:beforeAutospacing="0" w:after="0" w:afterLines="-2147483648" w:afterAutospacing="0" w:line="560" w:lineRule="exact"/>
        <w:ind w:leftChars="0" w:firstLine="0" w:firstLineChars="0"/>
        <w:jc w:val="center"/>
        <w:textAlignment w:val="auto"/>
        <w:outlineLvl w:val="9"/>
        <w:rPr>
          <w:rFonts w:hint="eastAsia" w:ascii="楷体_GB2312" w:hAnsi="楷体_GB2312" w:eastAsia="楷体_GB2312" w:cs="楷体_GB2312"/>
          <w:color w:val="auto"/>
          <w:kern w:val="2"/>
          <w:sz w:val="36"/>
          <w:szCs w:val="36"/>
          <w:highlight w:val="none"/>
          <w:lang w:val="en-US" w:eastAsia="zh-CN" w:bidi="ar-SA"/>
        </w:rPr>
      </w:pPr>
      <w:r>
        <w:rPr>
          <w:rFonts w:hint="eastAsia" w:ascii="方正小标宋简体" w:hAnsi="Times New Roman" w:eastAsia="方正小标宋简体" w:cs="Times New Roman"/>
          <w:color w:val="auto"/>
          <w:kern w:val="2"/>
          <w:sz w:val="44"/>
          <w:szCs w:val="44"/>
          <w:highlight w:val="none"/>
          <w:lang w:val="en-US" w:eastAsia="zh-CN" w:bidi="ar-SA"/>
        </w:rPr>
        <w:t>2026年中央资金深圳市消费新业态新模式新场景试点（支持优质消费资源与知名IP跨界联名—“人工智能+消费”标杆场景资助项目）申报指南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auto"/>
          <w:kern w:val="2"/>
          <w:sz w:val="36"/>
          <w:szCs w:val="36"/>
          <w:highlight w:val="none"/>
          <w:lang w:val="en-US" w:eastAsia="zh-CN" w:bidi="ar-SA"/>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GB" w:eastAsia="zh-CN" w:bidi="ar-SA"/>
        </w:rPr>
      </w:pPr>
      <w:bookmarkStart w:id="4" w:name="_Toc24194"/>
      <w:bookmarkStart w:id="5" w:name="_Toc20798"/>
      <w:r>
        <w:rPr>
          <w:rFonts w:hint="eastAsia" w:ascii="仿宋_GB2312" w:hAnsi="仿宋_GB2312" w:eastAsia="黑体" w:cs="Times New Roman"/>
          <w:b w:val="0"/>
          <w:bCs/>
          <w:color w:val="auto"/>
          <w:kern w:val="36"/>
          <w:sz w:val="32"/>
          <w:szCs w:val="48"/>
          <w:highlight w:val="none"/>
          <w:lang w:val="en-GB" w:eastAsia="zh-CN" w:bidi="ar-SA"/>
        </w:rPr>
        <w:t>支持领域</w:t>
      </w:r>
      <w:bookmarkEnd w:id="4"/>
      <w:bookmarkEnd w:id="5"/>
    </w:p>
    <w:p>
      <w:pPr>
        <w:bidi w:val="0"/>
        <w:spacing w:before="0" w:after="0" w:line="560" w:lineRule="exact"/>
        <w:ind w:firstLine="64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促进人工智能等技术赋能消费场景，通过智能算法、大数据分析与先进硬件技术的融合应用，打造直接面向消费者的“人工智能+消费”标杆场景。</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6" w:name="_Toc15437"/>
      <w:bookmarkStart w:id="7" w:name="_Toc8852"/>
      <w:r>
        <w:rPr>
          <w:rFonts w:hint="eastAsia" w:ascii="仿宋_GB2312" w:hAnsi="仿宋_GB2312" w:eastAsia="黑体" w:cs="Times New Roman"/>
          <w:b w:val="0"/>
          <w:bCs/>
          <w:color w:val="auto"/>
          <w:kern w:val="36"/>
          <w:sz w:val="32"/>
          <w:szCs w:val="48"/>
          <w:highlight w:val="none"/>
          <w:lang w:val="en-US" w:eastAsia="zh-CN" w:bidi="ar-SA"/>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auto"/>
          <w:sz w:val="32"/>
          <w:szCs w:val="32"/>
          <w:highlight w:val="none"/>
          <w:lang w:val="en-US" w:eastAsia="zh-CN"/>
        </w:rPr>
      </w:pPr>
      <w:r>
        <w:rPr>
          <w:rFonts w:hint="eastAsia" w:cs="Times New Roman"/>
          <w:color w:val="auto"/>
          <w:sz w:val="32"/>
          <w:szCs w:val="32"/>
          <w:highlight w:val="none"/>
          <w:lang w:eastAsia="zh-CN"/>
        </w:rPr>
        <w:t>《财政部 商务部关于开展消费新业态新模式新场景试点工作的通知</w:t>
      </w:r>
      <w:r>
        <w:rPr>
          <w:rFonts w:hint="eastAsia" w:cs="Times New Roman"/>
          <w:color w:val="auto"/>
          <w:sz w:val="32"/>
          <w:szCs w:val="32"/>
          <w:highlight w:val="none"/>
          <w:lang w:val="en-US" w:eastAsia="zh-CN"/>
        </w:rPr>
        <w:t>财建〔2025〕341号</w:t>
      </w:r>
      <w:r>
        <w:rPr>
          <w:rFonts w:hint="eastAsia" w:cs="Times New Roman"/>
          <w:color w:val="auto"/>
          <w:sz w:val="32"/>
          <w:szCs w:val="32"/>
          <w:highlight w:val="none"/>
          <w:lang w:eastAsia="zh-CN"/>
        </w:rPr>
        <w:t>》</w:t>
      </w:r>
      <w:r>
        <w:rPr>
          <w:rFonts w:hint="eastAsia"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（二）资金管理依据</w:t>
      </w:r>
    </w:p>
    <w:p>
      <w:pPr>
        <w:bidi w:val="0"/>
        <w:rPr>
          <w:rFonts w:hint="eastAsia" w:ascii="仿宋_GB2312" w:eastAsia="仿宋_GB2312"/>
          <w:color w:val="auto"/>
          <w:highlight w:val="none"/>
          <w:lang w:val="en-US" w:eastAsia="zh-CN"/>
        </w:rPr>
      </w:pPr>
      <w:r>
        <w:rPr>
          <w:rFonts w:hint="eastAsia" w:ascii="仿宋_GB2312" w:hAnsi="仿宋_GB2312" w:eastAsia="仿宋_GB2312" w:cs="Times New Roman"/>
          <w:color w:val="auto"/>
          <w:sz w:val="32"/>
          <w:szCs w:val="32"/>
          <w:highlight w:val="none"/>
          <w:lang w:val="en-US" w:eastAsia="zh-CN"/>
        </w:rPr>
        <w:t>1.</w:t>
      </w:r>
      <w:r>
        <w:rPr>
          <w:rFonts w:hint="eastAsia" w:ascii="仿宋_GB2312" w:eastAsia="仿宋_GB2312"/>
          <w:color w:val="auto"/>
          <w:highlight w:val="none"/>
          <w:lang w:val="en-US" w:eastAsia="zh-CN"/>
        </w:rPr>
        <w:t>《深圳市消费新业态新模式新场景试点城市建设资金管理办法》</w:t>
      </w:r>
    </w:p>
    <w:p>
      <w:pPr>
        <w:bidi w:val="0"/>
        <w:rPr>
          <w:rFonts w:hint="eastAsia"/>
          <w:color w:val="auto"/>
          <w:highlight w:val="none"/>
          <w:u w:val="single"/>
          <w:lang w:val="en-US" w:eastAsia="zh-CN"/>
        </w:rPr>
      </w:pPr>
      <w:r>
        <w:rPr>
          <w:rFonts w:hint="eastAsia" w:ascii="仿宋_GB2312" w:eastAsia="仿宋_GB2312"/>
          <w:color w:val="auto"/>
          <w:highlight w:val="none"/>
          <w:lang w:val="en-US" w:eastAsia="zh-CN"/>
        </w:rPr>
        <w:t>2.</w:t>
      </w:r>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8" w:name="_Toc21755"/>
      <w:bookmarkStart w:id="9" w:name="_Toc18411"/>
      <w:r>
        <w:rPr>
          <w:rFonts w:hint="eastAsia" w:ascii="仿宋_GB2312" w:hAnsi="仿宋_GB2312" w:eastAsia="黑体" w:cs="Times New Roman"/>
          <w:b w:val="0"/>
          <w:bCs/>
          <w:color w:val="auto"/>
          <w:kern w:val="36"/>
          <w:sz w:val="32"/>
          <w:szCs w:val="48"/>
          <w:highlight w:val="none"/>
          <w:lang w:val="en-US" w:eastAsia="zh-CN" w:bidi="ar-SA"/>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（一）支持数量</w:t>
      </w:r>
    </w:p>
    <w:p>
      <w:pPr>
        <w:bidi w:val="0"/>
        <w:rPr>
          <w:rFonts w:hint="eastAsia"/>
          <w:color w:val="auto"/>
          <w:highlight w:val="none"/>
          <w:lang w:val="en-US" w:eastAsia="zh-CN"/>
        </w:rPr>
      </w:pPr>
      <w:r>
        <w:rPr>
          <w:rFonts w:hint="eastAsia" w:ascii="仿宋_GB2312" w:eastAsia="仿宋_GB2312"/>
          <w:color w:val="auto"/>
          <w:highlight w:val="none"/>
          <w:lang w:val="en-US" w:eastAsia="zh-CN"/>
        </w:rPr>
        <w:t>有数量限制，受财政下达年度资金预算控制，视申报情况，我局据以对</w:t>
      </w:r>
      <w:r>
        <w:rPr>
          <w:rFonts w:hint="eastAsia"/>
          <w:color w:val="auto"/>
          <w:highlight w:val="none"/>
          <w:lang w:val="en-US" w:eastAsia="zh-CN"/>
        </w:rPr>
        <w:t>资助</w:t>
      </w:r>
      <w:r>
        <w:rPr>
          <w:rFonts w:hint="eastAsia" w:ascii="仿宋_GB2312" w:eastAsia="仿宋_GB2312"/>
          <w:color w:val="auto"/>
          <w:highlight w:val="none"/>
          <w:lang w:val="en-US" w:eastAsia="zh-CN"/>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（二）支持方式</w:t>
      </w:r>
    </w:p>
    <w:p>
      <w:pPr>
        <w:bidi w:val="0"/>
        <w:rPr>
          <w:rFonts w:hint="eastAsia"/>
          <w:color w:val="auto"/>
          <w:highlight w:val="none"/>
          <w:lang w:val="en-US" w:eastAsia="zh-CN"/>
        </w:rPr>
      </w:pPr>
      <w:r>
        <w:rPr>
          <w:rFonts w:hint="eastAsia" w:ascii="仿宋_GB2312" w:eastAsia="仿宋_GB2312"/>
          <w:color w:val="auto"/>
          <w:highlight w:val="none"/>
          <w:lang w:val="en-US" w:eastAsia="zh-CN"/>
        </w:rPr>
        <w:t>事后资助，自愿申报。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0" w:name="_Toc15307"/>
      <w:bookmarkStart w:id="11" w:name="_Toc431"/>
      <w:r>
        <w:rPr>
          <w:rFonts w:hint="eastAsia" w:ascii="仿宋_GB2312" w:hAnsi="仿宋_GB2312" w:eastAsia="黑体" w:cs="Times New Roman"/>
          <w:b w:val="0"/>
          <w:bCs/>
          <w:color w:val="auto"/>
          <w:kern w:val="36"/>
          <w:sz w:val="32"/>
          <w:szCs w:val="48"/>
          <w:highlight w:val="none"/>
          <w:lang w:val="en-US" w:eastAsia="zh-CN" w:bidi="ar-SA"/>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1.申报单位为在深圳市实际从事经营活动的企业、事业单位。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2.申报单位应为消费新业态新模式新场景试点项目（即申报项目）的实际建设或运营主体，项目所在地应在深圳市（含深汕特别合作区，下同）。</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3.申报单位未被国家、省、市有关部门列入严重失信主体名单实施失信惩戒，未被明确限制申请财政性资金项目且在限制期内；未拖欠应缴还的财政性资金。</w:t>
      </w:r>
    </w:p>
    <w:p>
      <w:pPr>
        <w:bidi w:val="0"/>
        <w:rPr>
          <w:rFonts w:hint="eastAsia"/>
          <w:color w:val="auto"/>
          <w:highlight w:val="none"/>
          <w:lang w:val="en-US" w:eastAsia="zh-CN"/>
        </w:rPr>
      </w:pPr>
      <w:r>
        <w:rPr>
          <w:rFonts w:hint="default"/>
          <w:color w:val="auto"/>
          <w:highlight w:val="none"/>
          <w:lang w:val="en-US" w:eastAsia="zh-CN"/>
        </w:rPr>
        <w:t>4</w:t>
      </w:r>
      <w:r>
        <w:rPr>
          <w:rFonts w:hint="eastAsia"/>
          <w:color w:val="auto"/>
          <w:highlight w:val="none"/>
          <w:lang w:val="en-US" w:eastAsia="zh-CN"/>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auto"/>
          <w:highlight w:val="none"/>
          <w:lang w:val="en-US" w:eastAsia="zh-CN"/>
        </w:rPr>
      </w:pPr>
      <w:r>
        <w:rPr>
          <w:rFonts w:hint="eastAsia"/>
          <w:color w:val="auto"/>
          <w:highlight w:val="none"/>
          <w:lang w:val="en-US" w:eastAsia="zh-CN"/>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auto"/>
          <w:highlight w:val="none"/>
          <w:lang w:val="en-US" w:eastAsia="zh-CN"/>
        </w:rPr>
      </w:pPr>
      <w:r>
        <w:rPr>
          <w:rFonts w:hint="eastAsia"/>
          <w:color w:val="auto"/>
          <w:highlight w:val="none"/>
          <w:lang w:val="en-US" w:eastAsia="zh-CN"/>
        </w:rPr>
        <w:t>6.申报单位不存在将本属于同一性质内涵与建设内容的资助项目刻意分拆成两个项目的情形。同一项目不得重复申请多个支持方向。</w:t>
      </w:r>
    </w:p>
    <w:p>
      <w:pPr>
        <w:bidi w:val="0"/>
        <w:rPr>
          <w:rFonts w:hint="eastAsia"/>
          <w:color w:val="auto"/>
          <w:highlight w:val="none"/>
          <w:lang w:val="en-US" w:eastAsia="zh-CN"/>
        </w:rPr>
      </w:pPr>
      <w:r>
        <w:rPr>
          <w:rFonts w:hint="eastAsia"/>
          <w:color w:val="auto"/>
          <w:highlight w:val="none"/>
          <w:lang w:val="en-US" w:eastAsia="zh-CN"/>
        </w:rPr>
        <w:t>7.申报单位须配合开展消费新业态新模式新场景试点工作，报送工作进展及相关数据。</w:t>
      </w:r>
    </w:p>
    <w:p>
      <w:pPr>
        <w:bidi w:val="0"/>
        <w:rPr>
          <w:rFonts w:hint="eastAsia"/>
          <w:color w:val="auto"/>
          <w:highlight w:val="none"/>
          <w:lang w:val="en-US" w:eastAsia="zh-CN"/>
        </w:rPr>
      </w:pPr>
      <w:r>
        <w:rPr>
          <w:rFonts w:hint="eastAsia"/>
          <w:color w:val="auto"/>
          <w:highlight w:val="none"/>
          <w:lang w:val="en-US" w:eastAsia="zh-CN"/>
        </w:rPr>
        <w:t>8.项目资助金额不得超过项目实际有效总投入的50%，同一项目中央、省、市、区资助合计不超过项目实际投入。</w:t>
      </w:r>
    </w:p>
    <w:p>
      <w:pPr>
        <w:bidi w:val="0"/>
        <w:rPr>
          <w:rFonts w:hint="eastAsia"/>
          <w:color w:val="auto"/>
          <w:highlight w:val="none"/>
          <w:lang w:val="en-US" w:eastAsia="zh-CN"/>
        </w:rPr>
      </w:pPr>
      <w:r>
        <w:rPr>
          <w:rFonts w:hint="eastAsia"/>
          <w:color w:val="auto"/>
          <w:highlight w:val="none"/>
          <w:lang w:val="en-US" w:eastAsia="zh-CN"/>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（二）专项条件</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申报项目须符合以下任一类型对应的全部专项条件：</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业务覆盖5个及以上区（</w:t>
      </w:r>
      <w:r>
        <w:rPr>
          <w:rFonts w:hint="eastAsia"/>
          <w:color w:val="auto"/>
          <w:highlight w:val="none"/>
          <w:lang w:val="en-US" w:eastAsia="zh-CN"/>
        </w:rPr>
        <w:t>区是</w:t>
      </w:r>
      <w:r>
        <w:rPr>
          <w:rFonts w:hint="default"/>
          <w:color w:val="auto"/>
          <w:highlight w:val="none"/>
          <w:lang w:val="en-US" w:eastAsia="zh-CN"/>
        </w:rPr>
        <w:t>指各区及前海合作区、深汕特别合作区等12个区</w:t>
      </w:r>
      <w:r>
        <w:rPr>
          <w:rFonts w:hint="eastAsia"/>
          <w:color w:val="auto"/>
          <w:highlight w:val="none"/>
          <w:lang w:val="en-US" w:eastAsia="zh-CN"/>
        </w:rPr>
        <w:t>，下同</w:t>
      </w:r>
      <w:r>
        <w:rPr>
          <w:rFonts w:hint="default"/>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default"/>
          <w:color w:val="auto"/>
          <w:highlight w:val="none"/>
          <w:lang w:val="en-US" w:eastAsia="zh-CN"/>
        </w:rPr>
      </w:pPr>
      <w:r>
        <w:rPr>
          <w:rFonts w:hint="eastAsia"/>
          <w:color w:val="auto"/>
          <w:highlight w:val="none"/>
          <w:lang w:val="en-US" w:eastAsia="zh-CN"/>
        </w:rPr>
        <w:t>（1）申报项目为运用人工智能技术赋能服务业态的创新消费场景；</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default"/>
          <w:color w:val="auto"/>
          <w:highlight w:val="none"/>
          <w:lang w:val="en-US" w:eastAsia="zh-CN"/>
        </w:rPr>
      </w:pPr>
      <w:r>
        <w:rPr>
          <w:rFonts w:hint="eastAsia"/>
          <w:color w:val="auto"/>
          <w:highlight w:val="none"/>
          <w:lang w:val="en-US" w:eastAsia="zh-CN"/>
        </w:rPr>
        <w:t>（2）项目</w:t>
      </w:r>
      <w:r>
        <w:rPr>
          <w:rFonts w:hint="default"/>
          <w:color w:val="auto"/>
          <w:highlight w:val="none"/>
          <w:lang w:val="en-US" w:eastAsia="zh-CN"/>
        </w:rPr>
        <w:t>业务</w:t>
      </w:r>
      <w:r>
        <w:rPr>
          <w:rFonts w:hint="eastAsia"/>
          <w:color w:val="auto"/>
          <w:highlight w:val="none"/>
          <w:lang w:val="en-US" w:eastAsia="zh-CN"/>
        </w:rPr>
        <w:t>须</w:t>
      </w:r>
      <w:r>
        <w:rPr>
          <w:rFonts w:hint="default"/>
          <w:color w:val="auto"/>
          <w:highlight w:val="none"/>
          <w:lang w:val="en-US" w:eastAsia="zh-CN"/>
        </w:rPr>
        <w:t>覆盖</w:t>
      </w:r>
      <w:r>
        <w:rPr>
          <w:rFonts w:hint="eastAsia"/>
          <w:color w:val="auto"/>
          <w:highlight w:val="none"/>
          <w:lang w:val="en-US" w:eastAsia="zh-CN"/>
        </w:rPr>
        <w:t>深圳市</w:t>
      </w:r>
      <w:r>
        <w:rPr>
          <w:rFonts w:hint="default"/>
          <w:color w:val="auto"/>
          <w:highlight w:val="none"/>
          <w:lang w:val="en-US" w:eastAsia="zh-CN"/>
        </w:rPr>
        <w:t>5个及以上</w:t>
      </w:r>
      <w:r>
        <w:rPr>
          <w:rFonts w:hint="eastAsia"/>
          <w:color w:val="auto"/>
          <w:highlight w:val="none"/>
          <w:lang w:val="en-US" w:eastAsia="zh-CN"/>
        </w:rPr>
        <w:t>区；</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提供服务次数不低于5万次</w:t>
      </w:r>
      <w:r>
        <w:rPr>
          <w:rFonts w:hint="eastAsia"/>
          <w:color w:val="auto"/>
          <w:highlight w:val="none"/>
          <w:lang w:val="en-US" w:eastAsia="zh-CN"/>
        </w:rPr>
        <w:t>。</w:t>
      </w:r>
      <w:r>
        <w:rPr>
          <w:rFonts w:hint="default"/>
          <w:color w:val="auto"/>
          <w:highlight w:val="none"/>
          <w:lang w:val="en-US" w:eastAsia="zh-CN"/>
        </w:rPr>
        <w:t>（统计周期为2025年</w:t>
      </w:r>
      <w:r>
        <w:rPr>
          <w:rFonts w:hint="eastAsia"/>
          <w:color w:val="auto"/>
          <w:highlight w:val="none"/>
          <w:lang w:val="en-US" w:eastAsia="zh-CN"/>
        </w:rPr>
        <w:t>9</w:t>
      </w:r>
      <w:r>
        <w:rPr>
          <w:rFonts w:hint="default"/>
          <w:color w:val="auto"/>
          <w:highlight w:val="none"/>
          <w:lang w:val="en-US" w:eastAsia="zh-CN"/>
        </w:rPr>
        <w:t>月</w:t>
      </w:r>
      <w:r>
        <w:rPr>
          <w:rFonts w:hint="eastAsia"/>
          <w:color w:val="auto"/>
          <w:highlight w:val="none"/>
          <w:lang w:val="en-US" w:eastAsia="zh-CN"/>
        </w:rPr>
        <w:t>30</w:t>
      </w:r>
      <w:r>
        <w:rPr>
          <w:rFonts w:hint="default"/>
          <w:color w:val="auto"/>
          <w:highlight w:val="none"/>
          <w:lang w:val="en-US" w:eastAsia="zh-CN"/>
        </w:rPr>
        <w:t>日至申报</w:t>
      </w:r>
      <w:r>
        <w:rPr>
          <w:rFonts w:hint="eastAsia"/>
          <w:color w:val="auto"/>
          <w:highlight w:val="none"/>
          <w:lang w:val="en-US" w:eastAsia="zh-CN"/>
        </w:rPr>
        <w:t>日前）；</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ascii="仿宋_GB2312" w:eastAsia="仿宋_GB2312"/>
          <w:color w:val="auto"/>
          <w:highlight w:val="none"/>
          <w:lang w:val="en-US" w:eastAsia="zh-CN"/>
        </w:rPr>
      </w:pPr>
      <w:r>
        <w:rPr>
          <w:rFonts w:hint="eastAsia"/>
          <w:color w:val="auto"/>
          <w:highlight w:val="none"/>
          <w:lang w:val="en-US" w:eastAsia="zh-CN"/>
        </w:rPr>
        <w:t>（4）</w:t>
      </w:r>
      <w:r>
        <w:rPr>
          <w:rFonts w:hint="eastAsia" w:ascii="仿宋_GB2312" w:eastAsia="仿宋_GB2312"/>
          <w:color w:val="auto"/>
          <w:highlight w:val="none"/>
          <w:lang w:val="en-US" w:eastAsia="zh-CN"/>
        </w:rPr>
        <w:t>每个区支持项目不超过1个，</w:t>
      </w:r>
      <w:r>
        <w:rPr>
          <w:rFonts w:hint="eastAsia"/>
          <w:color w:val="auto"/>
          <w:highlight w:val="none"/>
          <w:lang w:val="en-US" w:eastAsia="zh-CN"/>
        </w:rPr>
        <w:t>评分表评分排名第1</w:t>
      </w:r>
      <w:r>
        <w:rPr>
          <w:rFonts w:hint="eastAsia" w:ascii="仿宋_GB2312" w:eastAsia="仿宋_GB2312"/>
          <w:color w:val="auto"/>
          <w:highlight w:val="none"/>
          <w:lang w:val="en-US" w:eastAsia="zh-CN"/>
        </w:rPr>
        <w:t>。（评分表详见附录）</w:t>
      </w:r>
      <w:r>
        <w:rPr>
          <w:rFonts w:hint="eastAsia"/>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（5）“人工智能+”板块须为面向消费者直接提供的付费内容。</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业务聚焦特定区域落地</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（1）申报项目为运用人工智能技术赋能服务业态的创新消费场景；</w:t>
      </w:r>
    </w:p>
    <w:p>
      <w:pPr>
        <w:keepNext w:val="0"/>
        <w:keepLines w:val="0"/>
        <w:pageBreakBefore w:val="0"/>
        <w:widowControl w:val="0"/>
        <w:kinsoku/>
        <w:wordWrap/>
        <w:overflowPunct/>
        <w:topLinePunct w:val="0"/>
        <w:autoSpaceDE/>
        <w:autoSpaceDN/>
        <w:bidi w:val="0"/>
        <w:adjustRightInd/>
        <w:snapToGrid/>
        <w:spacing w:before="0" w:after="0"/>
        <w:ind w:left="198" w:leftChars="62" w:firstLine="320" w:firstLineChars="100"/>
        <w:textAlignment w:val="auto"/>
        <w:rPr>
          <w:rFonts w:hint="eastAsia"/>
          <w:color w:val="auto"/>
          <w:highlight w:val="none"/>
          <w:lang w:val="en-US" w:eastAsia="zh-CN"/>
        </w:rPr>
      </w:pPr>
      <w:r>
        <w:rPr>
          <w:rFonts w:hint="eastAsia"/>
          <w:color w:val="auto"/>
          <w:highlight w:val="none"/>
          <w:lang w:val="en-US" w:eastAsia="zh-CN"/>
        </w:rPr>
        <w:t>（2）项目业务须聚焦在特定区域落地、并实现常态化运营；</w:t>
      </w:r>
    </w:p>
    <w:p>
      <w:pPr>
        <w:keepNext w:val="0"/>
        <w:keepLines w:val="0"/>
        <w:pageBreakBefore w:val="0"/>
        <w:widowControl w:val="0"/>
        <w:kinsoku/>
        <w:wordWrap/>
        <w:overflowPunct/>
        <w:topLinePunct w:val="0"/>
        <w:autoSpaceDE/>
        <w:autoSpaceDN/>
        <w:bidi w:val="0"/>
        <w:adjustRightInd/>
        <w:snapToGrid/>
        <w:spacing w:before="0" w:after="0"/>
        <w:ind w:left="198" w:leftChars="62" w:firstLine="320" w:firstLineChars="100"/>
        <w:textAlignment w:val="auto"/>
        <w:rPr>
          <w:rFonts w:hint="eastAsia" w:ascii="仿宋_GB2312" w:eastAsia="仿宋_GB2312"/>
          <w:color w:val="auto"/>
          <w:highlight w:val="none"/>
          <w:lang w:val="en-US" w:eastAsia="zh-CN"/>
        </w:rPr>
      </w:pPr>
      <w:r>
        <w:rPr>
          <w:rFonts w:hint="eastAsia"/>
          <w:color w:val="auto"/>
          <w:highlight w:val="none"/>
          <w:lang w:val="en-US" w:eastAsia="zh-CN"/>
        </w:rPr>
        <w:t>（3）</w:t>
      </w:r>
      <w:r>
        <w:rPr>
          <w:rFonts w:hint="eastAsia" w:ascii="仿宋_GB2312" w:eastAsia="仿宋_GB2312"/>
          <w:color w:val="auto"/>
          <w:highlight w:val="none"/>
          <w:lang w:val="en-US" w:eastAsia="zh-CN"/>
        </w:rPr>
        <w:t>每个区资助项目不超过3个</w:t>
      </w:r>
      <w:r>
        <w:rPr>
          <w:rFonts w:hint="eastAsia"/>
          <w:color w:val="auto"/>
          <w:highlight w:val="none"/>
          <w:lang w:val="en-US" w:eastAsia="zh-CN"/>
        </w:rPr>
        <w:t>，按评分表评分排序、累计计算</w:t>
      </w:r>
      <w:r>
        <w:rPr>
          <w:rFonts w:hint="eastAsia" w:ascii="仿宋_GB2312" w:eastAsia="仿宋_GB2312"/>
          <w:color w:val="auto"/>
          <w:highlight w:val="none"/>
          <w:lang w:val="en-US" w:eastAsia="zh-CN"/>
        </w:rPr>
        <w:t>。（评分表详见附录）</w:t>
      </w:r>
      <w:r>
        <w:rPr>
          <w:rFonts w:hint="eastAsia"/>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default" w:ascii="仿宋_GB2312" w:eastAsia="仿宋_GB2312"/>
          <w:color w:val="auto"/>
          <w:highlight w:val="none"/>
          <w:lang w:val="en-US" w:eastAsia="zh-CN"/>
        </w:rPr>
      </w:pPr>
      <w:r>
        <w:rPr>
          <w:rFonts w:hint="eastAsia"/>
          <w:color w:val="auto"/>
          <w:highlight w:val="none"/>
          <w:lang w:val="en-US" w:eastAsia="zh-CN"/>
        </w:rPr>
        <w:t>（4）“人工智能+”板块须为面向消费者直接提供的付费内容。</w:t>
      </w:r>
    </w:p>
    <w:p>
      <w:pPr>
        <w:keepNext w:val="0"/>
        <w:keepLines w:val="0"/>
        <w:pageBreakBefore w:val="0"/>
        <w:widowControl w:val="0"/>
        <w:kinsoku/>
        <w:wordWrap/>
        <w:overflowPunct/>
        <w:topLinePunct w:val="0"/>
        <w:autoSpaceDE/>
        <w:autoSpaceDN/>
        <w:bidi w:val="0"/>
        <w:adjustRightInd/>
        <w:snapToGrid/>
        <w:spacing w:before="0" w:after="0"/>
        <w:ind w:firstLine="0"/>
        <w:textAlignment w:val="auto"/>
        <w:rPr>
          <w:rFonts w:hint="eastAsia"/>
          <w:color w:val="auto"/>
          <w:highlight w:val="none"/>
          <w:lang w:val="en-US" w:eastAsia="zh-CN"/>
        </w:rPr>
      </w:pPr>
      <w:r>
        <w:rPr>
          <w:rStyle w:val="19"/>
          <w:rFonts w:hint="eastAsia"/>
          <w:color w:val="auto"/>
          <w:sz w:val="32"/>
          <w:szCs w:val="32"/>
          <w:highlight w:val="none"/>
          <w:lang w:eastAsia="zh-CN"/>
        </w:rPr>
        <w:t>以上</w:t>
      </w:r>
      <w:r>
        <w:rPr>
          <w:rStyle w:val="19"/>
          <w:rFonts w:hint="eastAsia" w:ascii="仿宋_GB2312" w:hAnsi="仿宋_GB2312"/>
          <w:color w:val="auto"/>
          <w:sz w:val="32"/>
          <w:szCs w:val="32"/>
          <w:highlight w:val="none"/>
          <w:lang w:eastAsia="zh-CN"/>
        </w:rPr>
        <w:t>项目支持时间范围为</w:t>
      </w:r>
      <w:r>
        <w:rPr>
          <w:rStyle w:val="19"/>
          <w:rFonts w:hint="eastAsia" w:ascii="仿宋_GB2312" w:hAnsi="仿宋_GB2312"/>
          <w:color w:val="auto"/>
          <w:sz w:val="32"/>
          <w:szCs w:val="32"/>
          <w:highlight w:val="none"/>
          <w:lang w:val="en-US" w:eastAsia="zh-CN"/>
        </w:rPr>
        <w:t>2025年9月30日至2027年6月30日，所支持投入部分应在上述时间内。</w:t>
      </w:r>
      <w:r>
        <w:rPr>
          <w:rStyle w:val="19"/>
          <w:rFonts w:hint="eastAsia" w:ascii="仿宋_GB2312" w:hAnsi="仿宋" w:cs="宋体"/>
          <w:bCs/>
          <w:color w:val="auto"/>
          <w:kern w:val="36"/>
          <w:sz w:val="32"/>
          <w:szCs w:val="32"/>
          <w:highlight w:val="none"/>
          <w:lang w:eastAsia="zh-CN"/>
        </w:rPr>
        <w:t>原则上限于支持</w:t>
      </w:r>
      <w:r>
        <w:rPr>
          <w:rStyle w:val="19"/>
          <w:rFonts w:hint="eastAsia" w:ascii="仿宋_GB2312" w:hAnsi="仿宋" w:eastAsia="仿宋_GB2312" w:cs="宋体"/>
          <w:bCs/>
          <w:color w:val="auto"/>
          <w:kern w:val="36"/>
          <w:sz w:val="32"/>
          <w:szCs w:val="32"/>
          <w:highlight w:val="none"/>
          <w:lang w:eastAsia="zh-CN"/>
        </w:rPr>
        <w:t>市场化商业</w:t>
      </w:r>
      <w:r>
        <w:rPr>
          <w:rStyle w:val="19"/>
          <w:rFonts w:hint="eastAsia" w:ascii="仿宋_GB2312" w:hAnsi="仿宋" w:cs="宋体"/>
          <w:bCs/>
          <w:color w:val="auto"/>
          <w:kern w:val="36"/>
          <w:sz w:val="32"/>
          <w:szCs w:val="32"/>
          <w:highlight w:val="none"/>
          <w:lang w:eastAsia="zh-CN"/>
        </w:rPr>
        <w:t>化</w:t>
      </w:r>
      <w:r>
        <w:rPr>
          <w:rStyle w:val="19"/>
          <w:rFonts w:hint="eastAsia" w:ascii="仿宋_GB2312" w:hAnsi="仿宋" w:eastAsia="仿宋_GB2312" w:cs="宋体"/>
          <w:bCs/>
          <w:color w:val="auto"/>
          <w:kern w:val="36"/>
          <w:sz w:val="32"/>
          <w:szCs w:val="32"/>
          <w:highlight w:val="none"/>
          <w:lang w:eastAsia="zh-CN"/>
        </w:rPr>
        <w:t>项目，</w:t>
      </w:r>
      <w:r>
        <w:rPr>
          <w:rStyle w:val="19"/>
          <w:rFonts w:hint="eastAsia" w:ascii="仿宋_GB2312" w:hAnsi="仿宋" w:cs="宋体"/>
          <w:bCs/>
          <w:color w:val="auto"/>
          <w:kern w:val="36"/>
          <w:sz w:val="32"/>
          <w:szCs w:val="32"/>
          <w:highlight w:val="none"/>
          <w:lang w:eastAsia="zh-CN"/>
        </w:rPr>
        <w:t>不支持</w:t>
      </w:r>
      <w:r>
        <w:rPr>
          <w:rStyle w:val="19"/>
          <w:rFonts w:hint="eastAsia" w:ascii="仿宋_GB2312" w:hAnsi="仿宋" w:eastAsia="仿宋_GB2312" w:cs="宋体"/>
          <w:bCs/>
          <w:color w:val="auto"/>
          <w:kern w:val="36"/>
          <w:sz w:val="32"/>
          <w:szCs w:val="32"/>
          <w:highlight w:val="none"/>
          <w:lang w:eastAsia="zh-CN"/>
        </w:rPr>
        <w:t>免费的纯公益项目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r>
        <w:rPr>
          <w:rStyle w:val="19"/>
          <w:rFonts w:hint="eastAsia" w:ascii="仿宋_GB2312" w:hAnsi="仿宋" w:cs="宋体"/>
          <w:bCs/>
          <w:color w:val="auto"/>
          <w:kern w:val="36"/>
          <w:sz w:val="32"/>
          <w:szCs w:val="32"/>
          <w:highlight w:val="none"/>
          <w:lang w:eastAsia="zh-CN"/>
        </w:rPr>
        <w:t>支持内容不包括新建、扩建</w:t>
      </w:r>
      <w:r>
        <w:rPr>
          <w:rStyle w:val="19"/>
          <w:rFonts w:hint="eastAsia" w:ascii="仿宋_GB2312" w:hAnsi="仿宋_GB2312" w:eastAsia="仿宋_GB2312" w:cs="仿宋_GB2312"/>
          <w:color w:val="auto"/>
          <w:sz w:val="32"/>
          <w:szCs w:val="32"/>
          <w:highlight w:val="none"/>
          <w:lang w:val="en-US" w:eastAsia="zh-CN"/>
        </w:rPr>
        <w:t>商业综合体</w:t>
      </w:r>
      <w:r>
        <w:rPr>
          <w:rStyle w:val="19"/>
          <w:rFonts w:hint="eastAsia" w:ascii="仿宋_GB2312" w:hAnsi="仿宋_GB2312" w:cs="仿宋_GB2312"/>
          <w:color w:val="auto"/>
          <w:sz w:val="32"/>
          <w:szCs w:val="32"/>
          <w:highlight w:val="none"/>
          <w:lang w:val="en-US" w:eastAsia="zh-CN"/>
        </w:rPr>
        <w:t>，以及</w:t>
      </w:r>
      <w:r>
        <w:rPr>
          <w:rStyle w:val="19"/>
          <w:rFonts w:hint="eastAsia" w:ascii="仿宋_GB2312" w:hAnsi="仿宋" w:cs="宋体"/>
          <w:bCs/>
          <w:color w:val="auto"/>
          <w:kern w:val="36"/>
          <w:sz w:val="32"/>
          <w:szCs w:val="32"/>
          <w:highlight w:val="none"/>
          <w:lang w:eastAsia="zh-CN"/>
        </w:rPr>
        <w:t>各类古镇、纪念馆、博物馆等设施，不包括</w:t>
      </w:r>
      <w:r>
        <w:rPr>
          <w:rStyle w:val="19"/>
          <w:rFonts w:hint="eastAsia" w:ascii="仿宋_GB2312" w:hAnsi="仿宋_GB2312" w:eastAsia="仿宋_GB2312" w:cs="仿宋_GB2312"/>
          <w:color w:val="auto"/>
          <w:sz w:val="32"/>
          <w:szCs w:val="32"/>
          <w:highlight w:val="none"/>
          <w:lang w:val="en-US" w:eastAsia="zh-CN"/>
        </w:rPr>
        <w:t>办公</w:t>
      </w:r>
      <w:r>
        <w:rPr>
          <w:rStyle w:val="19"/>
          <w:rFonts w:hint="eastAsia" w:ascii="仿宋_GB2312" w:hAnsi="仿宋_GB2312" w:cs="仿宋_GB2312"/>
          <w:color w:val="auto"/>
          <w:sz w:val="32"/>
          <w:szCs w:val="32"/>
          <w:highlight w:val="none"/>
          <w:lang w:val="en-US" w:eastAsia="zh-CN"/>
        </w:rPr>
        <w:t>场所</w:t>
      </w:r>
      <w:r>
        <w:rPr>
          <w:rStyle w:val="19"/>
          <w:rFonts w:hint="eastAsia" w:ascii="仿宋_GB2312" w:hAnsi="仿宋_GB2312" w:eastAsia="仿宋_GB2312" w:cs="仿宋_GB2312"/>
          <w:color w:val="auto"/>
          <w:sz w:val="32"/>
          <w:szCs w:val="32"/>
          <w:highlight w:val="none"/>
          <w:lang w:val="en-US" w:eastAsia="zh-CN"/>
        </w:rPr>
        <w:t>及</w:t>
      </w:r>
      <w:r>
        <w:rPr>
          <w:rStyle w:val="19"/>
          <w:rFonts w:hint="eastAsia" w:ascii="仿宋_GB2312" w:hAnsi="仿宋_GB2312" w:cs="仿宋_GB2312"/>
          <w:color w:val="auto"/>
          <w:sz w:val="32"/>
          <w:szCs w:val="32"/>
          <w:highlight w:val="none"/>
          <w:lang w:val="en-US" w:eastAsia="zh-CN"/>
        </w:rPr>
        <w:t>必须的</w:t>
      </w:r>
      <w:r>
        <w:rPr>
          <w:rStyle w:val="19"/>
          <w:rFonts w:hint="eastAsia" w:ascii="仿宋_GB2312" w:hAnsi="仿宋_GB2312" w:eastAsia="仿宋_GB2312" w:cs="仿宋_GB2312"/>
          <w:color w:val="auto"/>
          <w:sz w:val="32"/>
          <w:szCs w:val="32"/>
          <w:highlight w:val="none"/>
          <w:lang w:val="en-US" w:eastAsia="zh-CN"/>
        </w:rPr>
        <w:t>公共服务基础设施</w:t>
      </w:r>
      <w:r>
        <w:rPr>
          <w:rStyle w:val="19"/>
          <w:rFonts w:hint="eastAsia" w:ascii="仿宋_GB2312" w:hAnsi="仿宋_GB2312" w:cs="仿宋_GB2312"/>
          <w:color w:val="auto"/>
          <w:sz w:val="32"/>
          <w:szCs w:val="32"/>
          <w:highlight w:val="none"/>
          <w:lang w:val="en-US" w:eastAsia="zh-CN"/>
        </w:rPr>
        <w:t>建设</w:t>
      </w:r>
      <w:r>
        <w:rPr>
          <w:rStyle w:val="19"/>
          <w:rFonts w:hint="eastAsia" w:ascii="仿宋_GB2312" w:hAnsi="仿宋" w:cs="宋体"/>
          <w:bCs/>
          <w:color w:val="auto"/>
          <w:kern w:val="36"/>
          <w:sz w:val="32"/>
          <w:szCs w:val="32"/>
          <w:highlight w:val="none"/>
          <w:lang w:eastAsia="zh-CN"/>
        </w:rPr>
        <w:t>，不包括</w:t>
      </w:r>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w:t>
      </w:r>
      <w:r>
        <w:rPr>
          <w:rStyle w:val="19"/>
          <w:rFonts w:hint="eastAsia" w:ascii="仿宋_GB2312" w:hAnsi="仿宋_GB2312" w:cs="仿宋_GB2312"/>
          <w:color w:val="auto"/>
          <w:sz w:val="32"/>
          <w:szCs w:val="32"/>
          <w:highlight w:val="none"/>
          <w:lang w:val="en-US" w:eastAsia="zh-CN"/>
        </w:rPr>
        <w:t>、防水处理、</w:t>
      </w:r>
      <w:r>
        <w:rPr>
          <w:rStyle w:val="19"/>
          <w:rFonts w:hint="eastAsia" w:ascii="仿宋_GB2312" w:hAnsi="仿宋_GB2312" w:eastAsia="仿宋_GB2312" w:cs="仿宋_GB2312"/>
          <w:color w:val="auto"/>
          <w:sz w:val="32"/>
          <w:szCs w:val="32"/>
          <w:highlight w:val="none"/>
          <w:lang w:val="en-US" w:eastAsia="zh-CN"/>
        </w:rPr>
        <w:t>消防</w:t>
      </w:r>
      <w:r>
        <w:rPr>
          <w:rStyle w:val="19"/>
          <w:rFonts w:hint="eastAsia" w:ascii="仿宋_GB2312" w:hAnsi="仿宋_GB2312" w:cs="仿宋_GB2312"/>
          <w:color w:val="auto"/>
          <w:sz w:val="32"/>
          <w:szCs w:val="32"/>
          <w:highlight w:val="none"/>
          <w:lang w:val="en-US" w:eastAsia="zh-CN"/>
        </w:rPr>
        <w:t>改造及</w:t>
      </w:r>
      <w:r>
        <w:rPr>
          <w:rStyle w:val="19"/>
          <w:rFonts w:hint="eastAsia" w:ascii="仿宋_GB2312" w:hAnsi="仿宋_GB2312" w:eastAsia="仿宋_GB2312" w:cs="仿宋_GB2312"/>
          <w:color w:val="auto"/>
          <w:sz w:val="32"/>
          <w:szCs w:val="32"/>
          <w:highlight w:val="none"/>
          <w:lang w:val="en-US" w:eastAsia="zh-CN"/>
        </w:rPr>
        <w:t>设施购置等一般性装修项目</w:t>
      </w:r>
      <w:r>
        <w:rPr>
          <w:rStyle w:val="19"/>
          <w:rFonts w:hint="eastAsia" w:cs="仿宋_GB2312"/>
          <w:color w:val="auto"/>
          <w:sz w:val="32"/>
          <w:szCs w:val="32"/>
          <w:highlight w:val="none"/>
          <w:lang w:val="en-US" w:eastAsia="zh-CN"/>
        </w:rPr>
        <w:t>，</w:t>
      </w:r>
      <w:r>
        <w:rPr>
          <w:rFonts w:hint="eastAsia"/>
          <w:color w:val="auto"/>
          <w:highlight w:val="none"/>
          <w:lang w:val="en-US" w:eastAsia="zh-CN"/>
        </w:rPr>
        <w:t>不包括前期软件、系统研发，不包括辐射应用于深圳市以外的项目投入部分，不包括人员、营销推广等投入</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 w:eastAsia="仿宋_GB2312" w:cs="宋体"/>
          <w:bCs/>
          <w:color w:val="auto"/>
          <w:kern w:val="36"/>
          <w:sz w:val="32"/>
          <w:szCs w:val="32"/>
          <w:highlight w:val="none"/>
          <w:lang w:eastAsia="zh-CN"/>
        </w:rPr>
        <w:t>不支持党政机关主办、承办或承担部分活动费用的展会、节庆、论坛活动。</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2" w:name="_Toc7095"/>
      <w:bookmarkStart w:id="13" w:name="_Toc31102"/>
      <w:r>
        <w:rPr>
          <w:rFonts w:hint="eastAsia" w:ascii="仿宋_GB2312" w:hAnsi="仿宋_GB2312" w:eastAsia="黑体" w:cs="Times New Roman"/>
          <w:b w:val="0"/>
          <w:bCs/>
          <w:color w:val="auto"/>
          <w:kern w:val="36"/>
          <w:sz w:val="32"/>
          <w:szCs w:val="48"/>
          <w:highlight w:val="none"/>
          <w:lang w:val="en-US" w:eastAsia="zh-CN" w:bidi="ar-SA"/>
        </w:rPr>
        <w:t>支持标准</w:t>
      </w:r>
      <w:bookmarkEnd w:id="12"/>
      <w:bookmarkEnd w:id="13"/>
    </w:p>
    <w:p>
      <w:pPr>
        <w:bidi w:val="0"/>
        <w:rPr>
          <w:rFonts w:hint="eastAsia" w:ascii="仿宋_GB2312" w:eastAsia="仿宋_GB2312"/>
          <w:color w:val="auto"/>
          <w:highlight w:val="none"/>
          <w:lang w:val="en-US" w:eastAsia="zh-CN"/>
        </w:rPr>
      </w:pPr>
      <w:r>
        <w:rPr>
          <w:rFonts w:hint="eastAsia"/>
          <w:color w:val="auto"/>
          <w:highlight w:val="none"/>
          <w:lang w:val="en-US" w:eastAsia="zh-CN"/>
        </w:rPr>
        <w:t>（一）</w:t>
      </w:r>
      <w:r>
        <w:rPr>
          <w:rFonts w:hint="eastAsia" w:ascii="仿宋_GB2312" w:eastAsia="仿宋_GB2312"/>
          <w:color w:val="auto"/>
          <w:highlight w:val="none"/>
          <w:lang w:val="en-US" w:eastAsia="zh-CN"/>
        </w:rPr>
        <w:t>对符合条件、业务覆盖5个及以上辖区的项目按相关的实际投入部分20%给予资助，试点期间最高不超过800万元，每个区支持项目不超过1个，按评分排序择优支持。</w:t>
      </w:r>
    </w:p>
    <w:p>
      <w:pPr>
        <w:bidi w:val="0"/>
        <w:rPr>
          <w:rFonts w:hint="eastAsia" w:ascii="仿宋_GB2312" w:eastAsia="仿宋_GB2312"/>
          <w:color w:val="auto"/>
          <w:highlight w:val="none"/>
          <w:lang w:val="en-US" w:eastAsia="zh-CN"/>
        </w:rPr>
      </w:pPr>
      <w:r>
        <w:rPr>
          <w:rFonts w:hint="eastAsia"/>
          <w:color w:val="auto"/>
          <w:highlight w:val="none"/>
          <w:lang w:val="en-US" w:eastAsia="zh-CN"/>
        </w:rPr>
        <w:t>（二）</w:t>
      </w:r>
      <w:r>
        <w:rPr>
          <w:rFonts w:hint="eastAsia" w:ascii="仿宋_GB2312" w:eastAsia="仿宋_GB2312"/>
          <w:color w:val="auto"/>
          <w:highlight w:val="none"/>
          <w:lang w:val="en-US" w:eastAsia="zh-CN"/>
        </w:rPr>
        <w:t>对符合条件、业务聚焦在特定区域落地的</w:t>
      </w:r>
      <w:r>
        <w:rPr>
          <w:rFonts w:hint="eastAsia"/>
          <w:color w:val="auto"/>
          <w:highlight w:val="none"/>
          <w:lang w:val="en-US" w:eastAsia="zh-CN"/>
        </w:rPr>
        <w:t>项目</w:t>
      </w:r>
      <w:r>
        <w:rPr>
          <w:rFonts w:hint="eastAsia" w:ascii="仿宋_GB2312" w:eastAsia="仿宋_GB2312"/>
          <w:color w:val="auto"/>
          <w:highlight w:val="none"/>
          <w:lang w:val="en-US" w:eastAsia="zh-CN"/>
        </w:rPr>
        <w:t>按相关的实际</w:t>
      </w:r>
      <w:r>
        <w:rPr>
          <w:rFonts w:hint="eastAsia"/>
          <w:color w:val="auto"/>
          <w:highlight w:val="none"/>
          <w:lang w:val="en-US" w:eastAsia="zh-CN"/>
        </w:rPr>
        <w:t>有效</w:t>
      </w:r>
      <w:r>
        <w:rPr>
          <w:rFonts w:hint="eastAsia" w:ascii="仿宋_GB2312" w:eastAsia="仿宋_GB2312"/>
          <w:color w:val="auto"/>
          <w:highlight w:val="none"/>
          <w:lang w:val="en-US" w:eastAsia="zh-CN"/>
        </w:rPr>
        <w:t>投入</w:t>
      </w:r>
      <w:r>
        <w:rPr>
          <w:rFonts w:hint="eastAsia"/>
          <w:color w:val="auto"/>
          <w:highlight w:val="none"/>
          <w:lang w:val="en-US" w:eastAsia="zh-CN"/>
        </w:rPr>
        <w:t>的</w:t>
      </w:r>
      <w:r>
        <w:rPr>
          <w:rFonts w:hint="eastAsia" w:ascii="仿宋_GB2312" w:eastAsia="仿宋_GB2312"/>
          <w:color w:val="auto"/>
          <w:highlight w:val="none"/>
          <w:lang w:val="en-US" w:eastAsia="zh-CN"/>
        </w:rPr>
        <w:t>20%给予资助，试点期间最高不超过100万元，每个区资助项目不超过3个，按评分排序择优支持。</w:t>
      </w:r>
    </w:p>
    <w:p>
      <w:pPr>
        <w:tabs>
          <w:tab w:val="center" w:pos="4153"/>
          <w:tab w:val="right" w:pos="8306"/>
        </w:tabs>
        <w:bidi w:val="0"/>
        <w:rPr>
          <w:rFonts w:hint="eastAsia" w:ascii="仿宋_GB2312" w:eastAsia="仿宋_GB2312"/>
          <w:color w:val="auto"/>
          <w:highlight w:val="none"/>
          <w:lang w:val="en-US" w:eastAsia="zh-CN"/>
        </w:rPr>
      </w:pPr>
      <w:r>
        <w:rPr>
          <w:rFonts w:hint="eastAsia"/>
          <w:color w:val="000000" w:themeColor="text1"/>
          <w:highlight w:val="none"/>
          <w:lang w:val="en-US" w:eastAsia="zh-CN"/>
          <w14:textFill>
            <w14:solidFill>
              <w14:schemeClr w14:val="tx1"/>
            </w14:solidFill>
          </w14:textFill>
        </w:rPr>
        <w:t>实际有效投入是指</w:t>
      </w:r>
      <w:r>
        <w:rPr>
          <w:rStyle w:val="19"/>
          <w:rFonts w:hint="eastAsia"/>
          <w:color w:val="auto"/>
          <w:sz w:val="32"/>
          <w:szCs w:val="32"/>
          <w:highlight w:val="none"/>
          <w:lang w:eastAsia="zh-CN"/>
        </w:rPr>
        <w:t>2025年9月30日以来至申报日，申报主体打造</w:t>
      </w:r>
      <w:r>
        <w:rPr>
          <w:rStyle w:val="19"/>
          <w:rFonts w:hint="eastAsia"/>
          <w:color w:val="auto"/>
          <w:sz w:val="32"/>
          <w:szCs w:val="32"/>
          <w:highlight w:val="none"/>
          <w:lang w:val="en-US" w:eastAsia="zh-CN"/>
        </w:rPr>
        <w:t>“人工智能+消费”场景</w:t>
      </w:r>
      <w:r>
        <w:rPr>
          <w:rStyle w:val="19"/>
          <w:rFonts w:hint="eastAsia"/>
          <w:color w:val="auto"/>
          <w:sz w:val="32"/>
          <w:szCs w:val="32"/>
          <w:highlight w:val="none"/>
          <w:lang w:eastAsia="zh-CN"/>
        </w:rPr>
        <w:t>时</w:t>
      </w:r>
      <w:r>
        <w:rPr>
          <w:rFonts w:hint="eastAsia"/>
          <w:color w:val="000000" w:themeColor="text1"/>
          <w:highlight w:val="none"/>
          <w:lang w:val="en-US" w:eastAsia="zh-CN"/>
          <w14:textFill>
            <w14:solidFill>
              <w14:schemeClr w14:val="tx1"/>
            </w14:solidFill>
          </w14:textFill>
        </w:rPr>
        <w:t>，在深项目已完成或阶段性完成部分相关投入，不包含各级财政投资部分，辐射应用于深圳市以外的项目投入部分，以及第四点第（二）条专项条件中明确不予支持部分。</w:t>
      </w:r>
      <w:r>
        <w:rPr>
          <w:rStyle w:val="19"/>
          <w:rFonts w:hint="eastAsia"/>
          <w:color w:val="auto"/>
          <w:sz w:val="32"/>
          <w:szCs w:val="32"/>
          <w:highlight w:val="none"/>
          <w:lang w:eastAsia="zh-CN"/>
        </w:rPr>
        <w:t>符合条件的项目，可将已落地或有阶段性成果相关投入部分申请资助，后续另有符合条件投入可再次以该项目申报，同一项目不受项目数限制。</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4" w:name="_Toc7147"/>
      <w:bookmarkStart w:id="15" w:name="_Toc27028"/>
      <w:r>
        <w:rPr>
          <w:rFonts w:hint="eastAsia" w:ascii="黑体" w:hAnsi="黑体" w:eastAsia="黑体" w:cs="仿宋"/>
          <w:color w:val="auto"/>
          <w:kern w:val="2"/>
          <w:sz w:val="32"/>
          <w:szCs w:val="22"/>
          <w:highlight w:val="none"/>
          <w:lang w:val="en-US" w:eastAsia="zh-CN" w:bidi="ar-SA"/>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auto"/>
          <w:kern w:val="2"/>
          <w:sz w:val="32"/>
          <w:szCs w:val="32"/>
          <w:highlight w:val="none"/>
          <w:lang w:val="en-US" w:eastAsia="zh-CN" w:bidi="ar-SA"/>
        </w:rPr>
      </w:pPr>
      <w:r>
        <w:rPr>
          <w:rFonts w:hint="default" w:ascii="楷体" w:hAnsi="楷体" w:eastAsia="楷体_GB2312" w:cstheme="majorBidi"/>
          <w:bCs/>
          <w:color w:val="auto"/>
          <w:kern w:val="2"/>
          <w:sz w:val="32"/>
          <w:szCs w:val="32"/>
          <w:highlight w:val="none"/>
          <w:lang w:val="en-US" w:eastAsia="zh-CN" w:bidi="ar-SA"/>
        </w:rPr>
        <w:t>（一）</w:t>
      </w:r>
      <w:r>
        <w:rPr>
          <w:rFonts w:hint="eastAsia" w:ascii="楷体" w:hAnsi="楷体" w:eastAsia="楷体_GB2312" w:cstheme="majorBidi"/>
          <w:bCs/>
          <w:color w:val="auto"/>
          <w:kern w:val="2"/>
          <w:sz w:val="32"/>
          <w:szCs w:val="32"/>
          <w:highlight w:val="none"/>
          <w:lang w:val="en-US" w:eastAsia="zh-CN" w:bidi="ar-SA"/>
        </w:rPr>
        <w:t>基本材料清单</w:t>
      </w:r>
    </w:p>
    <w:p>
      <w:pPr>
        <w:bidi w:val="0"/>
        <w:rPr>
          <w:rFonts w:hint="default" w:ascii="楷体" w:hAnsi="楷体" w:eastAsia="楷体_GB2312" w:cstheme="majorBidi"/>
          <w:bCs/>
          <w:color w:val="auto"/>
          <w:kern w:val="2"/>
          <w:szCs w:val="32"/>
          <w:highlight w:val="none"/>
          <w:lang w:val="en-US" w:eastAsia="zh-CN" w:bidi="ar-SA"/>
        </w:rPr>
      </w:pPr>
      <w:r>
        <w:rPr>
          <w:rFonts w:hint="eastAsia"/>
          <w:color w:val="auto"/>
          <w:highlight w:val="none"/>
          <w:lang w:val="en-US" w:eastAsia="zh-CN"/>
        </w:rPr>
        <w:t>请各项目申报单位填写并提交《项目申报书》，具体材料如下：</w:t>
      </w:r>
    </w:p>
    <w:p>
      <w:pPr>
        <w:bidi w:val="0"/>
        <w:rPr>
          <w:rFonts w:hint="default"/>
          <w:color w:val="auto"/>
          <w:highlight w:val="none"/>
          <w:lang w:val="en-US" w:eastAsia="zh-CN"/>
        </w:rPr>
      </w:pPr>
      <w:r>
        <w:rPr>
          <w:rFonts w:hint="default"/>
          <w:color w:val="auto"/>
          <w:highlight w:val="none"/>
          <w:lang w:val="en-US" w:eastAsia="zh-CN"/>
        </w:rPr>
        <w:t>1.资金项目申请书</w:t>
      </w:r>
      <w:r>
        <w:rPr>
          <w:rFonts w:hint="eastAsia"/>
          <w:color w:val="auto"/>
          <w:highlight w:val="none"/>
          <w:lang w:val="en-US" w:eastAsia="zh-CN"/>
        </w:rPr>
        <w:t>：</w:t>
      </w:r>
      <w:r>
        <w:rPr>
          <w:rFonts w:hint="default"/>
          <w:color w:val="auto"/>
          <w:highlight w:val="none"/>
          <w:lang w:val="en-US" w:eastAsia="zh-CN"/>
        </w:rPr>
        <w:t>申报单位按照申报材料要求编写项目申请书并提供相关证明材料，登录前海企业服务一体化平台在线下载填报申请书（网址：</w:t>
      </w:r>
      <w:r>
        <w:rPr>
          <w:rFonts w:hint="eastAsia"/>
          <w:color w:val="auto"/>
          <w:highlight w:val="none"/>
          <w:lang w:val="en-US" w:eastAsia="zh-CN"/>
        </w:rPr>
        <w:t>https://qf.qh.sz.gov.cn</w:t>
      </w:r>
      <w:r>
        <w:rPr>
          <w:rFonts w:hint="default"/>
          <w:color w:val="auto"/>
          <w:highlight w:val="none"/>
          <w:lang w:val="en-US" w:eastAsia="zh-CN"/>
        </w:rPr>
        <w:t>/—选择“领补贴”—商贸物流—“消费新业态新模式新场景试点（支持优质消费资源与知名IP跨界联名—“人工智能+消费”标杆场景资助项目）事项”—点击“一键申报”—登录后按要求填报并上传申请材料—点击提交），初审通过后提供申请书纸质文件原件并将本指南第六条要求的项目申报材料一并线下或通过邮寄方式递交至前海e站通政务服务中心（深圳市前海合作区前湾一路19号）。</w:t>
      </w:r>
    </w:p>
    <w:p>
      <w:pPr>
        <w:bidi w:val="0"/>
        <w:rPr>
          <w:rFonts w:hint="default"/>
          <w:color w:val="auto"/>
          <w:highlight w:val="none"/>
          <w:lang w:val="en-US" w:eastAsia="zh-CN"/>
        </w:rPr>
      </w:pPr>
      <w:r>
        <w:rPr>
          <w:rFonts w:hint="default"/>
          <w:color w:val="auto"/>
          <w:highlight w:val="none"/>
          <w:lang w:val="en-US" w:eastAsia="zh-CN"/>
        </w:rPr>
        <w:t>2.申报单位营业执照或统一社会信用代码证书复印件</w:t>
      </w:r>
      <w:r>
        <w:rPr>
          <w:rFonts w:hint="eastAsia"/>
          <w:color w:val="auto"/>
          <w:highlight w:val="none"/>
          <w:lang w:val="en-US" w:eastAsia="zh-CN"/>
        </w:rPr>
        <w:t>。</w:t>
      </w:r>
    </w:p>
    <w:p>
      <w:pPr>
        <w:bidi w:val="0"/>
        <w:rPr>
          <w:rFonts w:hint="default"/>
          <w:color w:val="auto"/>
          <w:highlight w:val="none"/>
          <w:lang w:val="en-US" w:eastAsia="zh-CN"/>
        </w:rPr>
      </w:pPr>
      <w:r>
        <w:rPr>
          <w:rFonts w:hint="default"/>
          <w:color w:val="auto"/>
          <w:highlight w:val="none"/>
          <w:lang w:val="en-US" w:eastAsia="zh-CN"/>
        </w:rPr>
        <w:t>3.单位信用报告</w:t>
      </w:r>
      <w:r>
        <w:rPr>
          <w:rFonts w:hint="eastAsia"/>
          <w:color w:val="auto"/>
          <w:highlight w:val="none"/>
          <w:lang w:val="en-US" w:eastAsia="zh-CN"/>
        </w:rPr>
        <w:t>：</w:t>
      </w:r>
      <w:r>
        <w:rPr>
          <w:rFonts w:hint="default"/>
          <w:color w:val="auto"/>
          <w:highlight w:val="none"/>
          <w:lang w:val="en-US" w:eastAsia="zh-CN"/>
        </w:rPr>
        <w:t>“信用中国”查询截图、国家企业信用信息公示系统下载的企业信用报告</w:t>
      </w:r>
      <w:r>
        <w:rPr>
          <w:rFonts w:hint="eastAsia"/>
          <w:color w:val="auto"/>
          <w:highlight w:val="none"/>
          <w:lang w:val="en-US" w:eastAsia="zh-CN"/>
        </w:rPr>
        <w:t>。</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auto"/>
          <w:kern w:val="2"/>
          <w:sz w:val="32"/>
          <w:szCs w:val="32"/>
          <w:highlight w:val="none"/>
          <w:lang w:val="en-US" w:eastAsia="zh-CN" w:bidi="ar-SA"/>
        </w:rPr>
      </w:pPr>
      <w:r>
        <w:rPr>
          <w:rFonts w:hint="eastAsia" w:ascii="楷体" w:hAnsi="楷体" w:eastAsia="楷体_GB2312" w:cstheme="majorBidi"/>
          <w:bCs/>
          <w:color w:val="auto"/>
          <w:kern w:val="2"/>
          <w:sz w:val="32"/>
          <w:szCs w:val="32"/>
          <w:highlight w:val="none"/>
          <w:lang w:val="en-US" w:eastAsia="zh-CN" w:bidi="ar-SA"/>
        </w:rPr>
        <w:t>（二）专项材料清单</w:t>
      </w:r>
    </w:p>
    <w:p>
      <w:pPr>
        <w:bidi w:val="0"/>
        <w:rPr>
          <w:rFonts w:hint="default"/>
          <w:color w:val="auto"/>
          <w:highlight w:val="none"/>
          <w:lang w:val="en-US" w:eastAsia="zh-CN"/>
        </w:rPr>
      </w:pPr>
      <w:r>
        <w:rPr>
          <w:rFonts w:hint="default"/>
          <w:color w:val="auto"/>
          <w:highlight w:val="none"/>
          <w:lang w:val="en-US" w:eastAsia="zh-CN"/>
        </w:rPr>
        <w:t>1.通用专项材料（两类方向均需提交）</w:t>
      </w:r>
      <w:r>
        <w:rPr>
          <w:rFonts w:hint="eastAsia"/>
          <w:color w:val="auto"/>
          <w:highlight w:val="none"/>
          <w:lang w:val="en-US" w:eastAsia="zh-CN"/>
        </w:rPr>
        <w:t>：</w:t>
      </w:r>
    </w:p>
    <w:p>
      <w:pPr>
        <w:bidi w:val="0"/>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评分表佐证材料</w:t>
      </w:r>
      <w:r>
        <w:rPr>
          <w:rFonts w:hint="eastAsia"/>
          <w:color w:val="auto"/>
          <w:highlight w:val="none"/>
          <w:lang w:val="en-US" w:eastAsia="zh-CN"/>
        </w:rPr>
        <w:t>：</w:t>
      </w:r>
      <w:r>
        <w:rPr>
          <w:rFonts w:hint="default"/>
          <w:color w:val="auto"/>
          <w:highlight w:val="none"/>
          <w:lang w:val="en-US" w:eastAsia="zh-CN"/>
        </w:rPr>
        <w:t>各申报单位应按照本指南附件《评分表》中所列指标及要求，完整提交对应佐证材料。</w:t>
      </w:r>
    </w:p>
    <w:p>
      <w:pPr>
        <w:bidi w:val="0"/>
        <w:rPr>
          <w:rFonts w:hint="eastAsia"/>
          <w:color w:val="auto"/>
          <w:highlight w:val="none"/>
          <w:lang w:val="en-US" w:eastAsia="zh-CN"/>
        </w:rPr>
      </w:pPr>
      <w:r>
        <w:rPr>
          <w:rFonts w:hint="eastAsia"/>
          <w:color w:val="auto"/>
          <w:highlight w:val="none"/>
          <w:lang w:val="en-US" w:eastAsia="zh-CN"/>
        </w:rPr>
        <w:t>（2）项目成效总结（模板详见项目申报书）。</w:t>
      </w:r>
    </w:p>
    <w:p>
      <w:pPr>
        <w:bidi w:val="0"/>
        <w:rPr>
          <w:rFonts w:hint="eastAsia"/>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专项资金项目投入明细表</w:t>
      </w:r>
      <w:r>
        <w:rPr>
          <w:rFonts w:hint="eastAsia"/>
          <w:color w:val="auto"/>
          <w:highlight w:val="none"/>
          <w:lang w:val="en-US" w:eastAsia="zh-CN"/>
        </w:rPr>
        <w:t>及佐证材料（详见项目申报书）。</w:t>
      </w:r>
    </w:p>
    <w:p>
      <w:pPr>
        <w:bidi w:val="0"/>
        <w:rPr>
          <w:rFonts w:hint="eastAsia"/>
          <w:color w:val="auto"/>
          <w:highlight w:val="none"/>
          <w:lang w:val="en-US" w:eastAsia="zh-CN"/>
        </w:rPr>
      </w:pPr>
      <w:r>
        <w:rPr>
          <w:rFonts w:hint="eastAsia"/>
          <w:color w:val="auto"/>
          <w:highlight w:val="none"/>
          <w:lang w:val="en-US" w:eastAsia="zh-CN"/>
        </w:rPr>
        <w:t>2.分类型专项材料（择一方向选择提交）：</w:t>
      </w:r>
    </w:p>
    <w:p>
      <w:pPr>
        <w:bidi w:val="0"/>
        <w:rPr>
          <w:rFonts w:hint="eastAsia"/>
          <w:color w:val="auto"/>
          <w:highlight w:val="none"/>
          <w:lang w:val="en-US" w:eastAsia="zh-CN"/>
        </w:rPr>
      </w:pPr>
      <w:r>
        <w:rPr>
          <w:rFonts w:hint="eastAsia"/>
          <w:color w:val="auto"/>
          <w:highlight w:val="none"/>
          <w:lang w:val="en-US" w:eastAsia="zh-CN"/>
        </w:rPr>
        <w:t>一是</w:t>
      </w:r>
      <w:r>
        <w:rPr>
          <w:rStyle w:val="19"/>
          <w:rFonts w:hint="default" w:ascii="仿宋_GB2312" w:hAnsi="仿宋_GB2312" w:eastAsia="仿宋_GB2312" w:cs="仿宋_GB2312"/>
          <w:color w:val="auto"/>
          <w:sz w:val="32"/>
          <w:szCs w:val="32"/>
          <w:highlight w:val="none"/>
          <w:lang w:val="en-US" w:eastAsia="zh-CN"/>
        </w:rPr>
        <w:t>业务覆盖</w:t>
      </w:r>
      <w:r>
        <w:rPr>
          <w:rStyle w:val="19"/>
          <w:rFonts w:hint="eastAsia" w:ascii="仿宋_GB2312" w:hAnsi="仿宋_GB2312" w:eastAsia="仿宋_GB2312" w:cs="仿宋_GB2312"/>
          <w:color w:val="auto"/>
          <w:sz w:val="32"/>
          <w:szCs w:val="32"/>
          <w:highlight w:val="none"/>
          <w:lang w:val="en-US" w:eastAsia="zh-CN"/>
        </w:rPr>
        <w:t>5个</w:t>
      </w:r>
      <w:r>
        <w:rPr>
          <w:rStyle w:val="19"/>
          <w:rFonts w:hint="default" w:ascii="仿宋_GB2312" w:hAnsi="仿宋_GB2312" w:eastAsia="仿宋_GB2312" w:cs="仿宋_GB2312"/>
          <w:color w:val="auto"/>
          <w:sz w:val="32"/>
          <w:szCs w:val="32"/>
          <w:highlight w:val="none"/>
          <w:lang w:val="en-US" w:eastAsia="zh-CN"/>
        </w:rPr>
        <w:t>及</w:t>
      </w:r>
      <w:r>
        <w:rPr>
          <w:rStyle w:val="19"/>
          <w:rFonts w:hint="eastAsia" w:ascii="仿宋_GB2312" w:hAnsi="仿宋_GB2312" w:eastAsia="仿宋_GB2312" w:cs="仿宋_GB2312"/>
          <w:color w:val="auto"/>
          <w:sz w:val="32"/>
          <w:szCs w:val="32"/>
          <w:highlight w:val="none"/>
          <w:lang w:val="en-US" w:eastAsia="zh-CN"/>
        </w:rPr>
        <w:t>以上区</w:t>
      </w:r>
      <w:r>
        <w:rPr>
          <w:rFonts w:hint="eastAsia"/>
          <w:color w:val="auto"/>
          <w:highlight w:val="none"/>
          <w:lang w:val="en-US" w:eastAsia="zh-CN"/>
        </w:rPr>
        <w:t>“人工智能+消费”场景</w:t>
      </w:r>
    </w:p>
    <w:p>
      <w:pPr>
        <w:bidi w:val="0"/>
        <w:rPr>
          <w:rFonts w:hint="eastAsia"/>
          <w:color w:val="auto"/>
          <w:highlight w:val="none"/>
          <w:lang w:val="en-US" w:eastAsia="zh-CN"/>
        </w:rPr>
      </w:pPr>
      <w:r>
        <w:rPr>
          <w:rFonts w:hint="eastAsia"/>
          <w:color w:val="auto"/>
          <w:highlight w:val="none"/>
          <w:lang w:val="en-US" w:eastAsia="zh-CN"/>
        </w:rPr>
        <w:t>（1）业务覆盖范围佐证材料：明确项目业务覆盖的辖区清单，提供各辖区场景落地的佐证材料（如场地使用记录、服务记录等，须体现覆盖5个及以上区）。</w:t>
      </w:r>
    </w:p>
    <w:p>
      <w:pPr>
        <w:bidi w:val="0"/>
        <w:rPr>
          <w:rFonts w:hint="eastAsia"/>
          <w:color w:val="auto"/>
          <w:highlight w:val="none"/>
          <w:lang w:val="en-US" w:eastAsia="zh-CN"/>
        </w:rPr>
      </w:pPr>
      <w:r>
        <w:rPr>
          <w:rFonts w:hint="eastAsia"/>
          <w:color w:val="auto"/>
          <w:highlight w:val="none"/>
          <w:lang w:val="en-US" w:eastAsia="zh-CN"/>
        </w:rPr>
        <w:t>（2）服务次数佐证材料：后台服务记录、与消费者订单直接挂钩数据等（须体现不低于5万次）。</w:t>
      </w:r>
    </w:p>
    <w:p>
      <w:pPr>
        <w:bidi w:val="0"/>
        <w:rPr>
          <w:rFonts w:hint="eastAsia"/>
          <w:color w:val="auto"/>
          <w:highlight w:val="none"/>
          <w:lang w:val="en-US" w:eastAsia="zh-CN"/>
        </w:rPr>
      </w:pPr>
      <w:r>
        <w:rPr>
          <w:rFonts w:hint="eastAsia"/>
          <w:color w:val="auto"/>
          <w:highlight w:val="none"/>
          <w:lang w:val="en-US" w:eastAsia="zh-CN"/>
        </w:rPr>
        <w:t>二是</w:t>
      </w:r>
      <w:r>
        <w:rPr>
          <w:rStyle w:val="19"/>
          <w:rFonts w:hint="default" w:ascii="仿宋_GB2312" w:hAnsi="仿宋_GB2312" w:eastAsia="仿宋_GB2312" w:cs="仿宋_GB2312"/>
          <w:color w:val="auto"/>
          <w:sz w:val="32"/>
          <w:szCs w:val="32"/>
          <w:highlight w:val="none"/>
          <w:lang w:val="en-US" w:eastAsia="zh-CN"/>
        </w:rPr>
        <w:t>业务聚焦</w:t>
      </w:r>
      <w:r>
        <w:rPr>
          <w:rStyle w:val="19"/>
          <w:rFonts w:hint="eastAsia" w:ascii="仿宋_GB2312" w:hAnsi="仿宋_GB2312" w:eastAsia="仿宋_GB2312" w:cs="仿宋_GB2312"/>
          <w:color w:val="auto"/>
          <w:sz w:val="32"/>
          <w:szCs w:val="32"/>
          <w:highlight w:val="none"/>
          <w:lang w:val="en-US" w:eastAsia="zh-CN"/>
        </w:rPr>
        <w:t>在特定区域</w:t>
      </w:r>
      <w:r>
        <w:rPr>
          <w:rFonts w:hint="eastAsia"/>
          <w:color w:val="auto"/>
          <w:highlight w:val="none"/>
          <w:lang w:val="en-US" w:eastAsia="zh-CN"/>
        </w:rPr>
        <w:t>“人工智能+消费”场景</w:t>
      </w:r>
    </w:p>
    <w:p>
      <w:pPr>
        <w:bidi w:val="0"/>
        <w:rPr>
          <w:rFonts w:hint="eastAsia"/>
          <w:color w:val="auto"/>
          <w:highlight w:val="none"/>
          <w:lang w:val="en-US" w:eastAsia="zh-CN"/>
        </w:rPr>
      </w:pPr>
      <w:r>
        <w:rPr>
          <w:rFonts w:hint="eastAsia"/>
          <w:color w:val="auto"/>
          <w:highlight w:val="none"/>
          <w:lang w:val="en-US" w:eastAsia="zh-CN"/>
        </w:rPr>
        <w:t>（1）特定区域落地佐证材料：明确项目聚焦的具体区域，提供项目在该区域持续运营的佐证材料（如产权证书、租赁合同等）、场景落地实景资料。</w:t>
      </w:r>
    </w:p>
    <w:p>
      <w:pPr>
        <w:bidi w:val="0"/>
        <w:rPr>
          <w:rFonts w:hint="eastAsia"/>
          <w:color w:val="auto"/>
          <w:highlight w:val="none"/>
          <w:lang w:val="en-US" w:eastAsia="zh-CN"/>
        </w:rPr>
      </w:pPr>
      <w:r>
        <w:rPr>
          <w:rFonts w:hint="eastAsia"/>
          <w:color w:val="auto"/>
          <w:highlight w:val="none"/>
          <w:lang w:val="en-US" w:eastAsia="zh-CN"/>
        </w:rPr>
        <w:t>（2）常态化运营佐证材料：项目在特定区域的运营计划、服务频次、运营时长等，提供连续3个月及以上的运营台账、服务记录、现场运营照片/视频。</w:t>
      </w:r>
    </w:p>
    <w:p>
      <w:pPr>
        <w:bidi w:val="0"/>
        <w:rPr>
          <w:rFonts w:hint="eastAsia"/>
          <w:color w:val="auto"/>
          <w:highlight w:val="none"/>
          <w:lang w:val="en-US" w:eastAsia="zh-CN"/>
        </w:rPr>
      </w:pPr>
      <w:r>
        <w:rPr>
          <w:rFonts w:hint="default"/>
          <w:color w:val="auto"/>
          <w:highlight w:val="none"/>
          <w:lang w:val="en-US" w:eastAsia="zh-CN"/>
        </w:rPr>
        <w:t>以上申报材料按顺序一式</w:t>
      </w:r>
      <w:r>
        <w:rPr>
          <w:rFonts w:hint="eastAsia"/>
          <w:color w:val="auto"/>
          <w:highlight w:val="none"/>
          <w:lang w:val="en-US" w:eastAsia="zh-CN"/>
        </w:rPr>
        <w:t>四</w:t>
      </w:r>
      <w:r>
        <w:rPr>
          <w:rFonts w:hint="default"/>
          <w:color w:val="auto"/>
          <w:highlight w:val="none"/>
          <w:lang w:val="en-US" w:eastAsia="zh-CN"/>
        </w:rPr>
        <w:t>份（附可编辑电子版和PDF扫描件）装订成册，在封面加盖单位公章并加盖骑缝章（其中，申报</w:t>
      </w:r>
      <w:r>
        <w:rPr>
          <w:rFonts w:hint="eastAsia" w:ascii="仿宋_GB2312" w:eastAsia="仿宋_GB2312"/>
          <w:color w:val="auto"/>
          <w:highlight w:val="none"/>
          <w:lang w:val="en-US" w:eastAsia="zh-CN"/>
        </w:rPr>
        <w:t>指引</w:t>
      </w:r>
      <w:r>
        <w:rPr>
          <w:rFonts w:hint="default"/>
          <w:color w:val="auto"/>
          <w:highlight w:val="none"/>
          <w:lang w:val="en-US" w:eastAsia="zh-CN"/>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6" w:name="_Toc19526"/>
      <w:bookmarkStart w:id="17" w:name="_Toc5711"/>
      <w:r>
        <w:rPr>
          <w:rFonts w:hint="eastAsia" w:ascii="黑体" w:hAnsi="黑体" w:eastAsia="黑体" w:cs="仿宋"/>
          <w:color w:val="auto"/>
          <w:kern w:val="2"/>
          <w:sz w:val="32"/>
          <w:szCs w:val="22"/>
          <w:highlight w:val="none"/>
          <w:lang w:val="en-US" w:eastAsia="zh-CN" w:bidi="ar-SA"/>
        </w:rPr>
        <w:t>七、申请表格</w:t>
      </w:r>
      <w:bookmarkEnd w:id="16"/>
      <w:bookmarkEnd w:id="17"/>
    </w:p>
    <w:p>
      <w:pPr>
        <w:bidi w:val="0"/>
        <w:rPr>
          <w:rFonts w:hint="eastAsia"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本指南第六条（一）规定登录前海企业服务一体化平台在线填报申请书，网址：</w:t>
      </w:r>
      <w:r>
        <w:rPr>
          <w:rFonts w:hint="eastAsia" w:hAnsi="Calibri" w:cs="Times New Roman"/>
          <w:color w:val="auto"/>
          <w:sz w:val="32"/>
          <w:szCs w:val="32"/>
          <w:highlight w:val="none"/>
          <w:lang w:val="en-US" w:eastAsia="zh-CN"/>
        </w:rPr>
        <w:t>https://qf.qh.sz.gov.cn</w:t>
      </w:r>
      <w:r>
        <w:rPr>
          <w:rFonts w:hint="eastAsia" w:ascii="仿宋_GB2312" w:hAnsi="Calibri" w:eastAsia="仿宋_GB2312" w:cs="Times New Roman"/>
          <w:color w:val="auto"/>
          <w:sz w:val="32"/>
          <w:szCs w:val="32"/>
          <w:highlight w:val="none"/>
          <w:lang w:val="en-US" w:eastAsia="zh-CN"/>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18" w:name="_Toc20121"/>
      <w:bookmarkStart w:id="19" w:name="_Toc13760"/>
      <w:r>
        <w:rPr>
          <w:rFonts w:hint="eastAsia" w:ascii="黑体" w:hAnsi="黑体" w:eastAsia="黑体" w:cs="仿宋"/>
          <w:color w:val="auto"/>
          <w:kern w:val="2"/>
          <w:sz w:val="32"/>
          <w:szCs w:val="22"/>
          <w:highlight w:val="none"/>
          <w:lang w:val="en-US" w:eastAsia="zh-CN" w:bidi="ar-SA"/>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（一）受理机关</w:t>
      </w:r>
    </w:p>
    <w:p>
      <w:pPr>
        <w:bidi w:val="0"/>
        <w:rPr>
          <w:rFonts w:hint="eastAsia" w:ascii="仿宋_GB2312" w:hAnsi="宋体" w:eastAsia="仿宋_GB2312" w:cs="宋体"/>
          <w:color w:val="auto"/>
          <w:kern w:val="0"/>
          <w:sz w:val="32"/>
          <w:szCs w:val="32"/>
          <w:highlight w:val="none"/>
          <w:lang w:val="en-US" w:eastAsia="zh-CN"/>
        </w:rPr>
      </w:pPr>
      <w:r>
        <w:rPr>
          <w:rFonts w:hint="eastAsia" w:cs="仿宋_GB2312"/>
          <w:color w:val="000000" w:themeColor="text1"/>
          <w:sz w:val="32"/>
          <w:szCs w:val="32"/>
          <w:highlight w:val="none"/>
          <w:u w:val="none"/>
          <w:lang w:val="en-US" w:eastAsia="zh-CN"/>
          <w14:textFill>
            <w14:solidFill>
              <w14:schemeClr w14:val="tx1"/>
            </w14:solidFill>
          </w14:textFill>
        </w:rPr>
        <w:t>深圳市前海管理局</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（二）受理时间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1.网络填报时间：自发布之日起至2026年11月17日。</w:t>
      </w:r>
    </w:p>
    <w:p>
      <w:pPr>
        <w:bidi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2.材料提交时间：2026年11月18日-2026年11月19日。</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（三）受理地点</w:t>
      </w:r>
    </w:p>
    <w:p>
      <w:pPr>
        <w:bidi w:val="0"/>
        <w:spacing w:before="0" w:after="0" w:line="560" w:lineRule="exact"/>
        <w:ind w:firstLine="640" w:firstLineChars="200"/>
        <w:rPr>
          <w:rFonts w:ascii="仿宋_GB2312" w:hAnsi="仿宋_GB2312" w:eastAsia="仿宋_GB2312" w:cs="仿宋_GB2312"/>
          <w:i w:val="0"/>
          <w:iCs w:val="0"/>
          <w:color w:val="auto"/>
          <w:sz w:val="32"/>
          <w:szCs w:val="32"/>
          <w:highlight w:val="none"/>
          <w:u w:val="none"/>
        </w:rPr>
      </w:pPr>
      <w:r>
        <w:rPr>
          <w:rFonts w:hint="eastAsia" w:cs="仿宋_GB2312"/>
          <w:i w:val="0"/>
          <w:iCs w:val="0"/>
          <w:color w:val="auto"/>
          <w:sz w:val="32"/>
          <w:szCs w:val="32"/>
          <w:highlight w:val="none"/>
          <w:u w:val="none"/>
          <w:lang w:eastAsia="zh-CN"/>
        </w:rPr>
        <w:t>深圳市前海合作区前湾一路19号前海e站通服务中心</w:t>
      </w:r>
    </w:p>
    <w:p>
      <w:pPr>
        <w:bidi w:val="0"/>
        <w:spacing w:before="0" w:after="0" w:line="560" w:lineRule="exact"/>
        <w:ind w:left="645" w:firstLine="0" w:firstLineChars="0"/>
        <w:rPr>
          <w:rFonts w:ascii="楷体_GB2312" w:hAnsi="楷体_GB2312" w:eastAsia="楷体_GB2312" w:cs="楷体_GB2312"/>
          <w:i w:val="0"/>
          <w:iCs w:val="0"/>
          <w:color w:val="auto"/>
          <w:sz w:val="32"/>
          <w:szCs w:val="32"/>
          <w:highlight w:val="none"/>
          <w:u w:val="none"/>
        </w:rPr>
      </w:pPr>
      <w:r>
        <w:rPr>
          <w:rFonts w:hint="eastAsia" w:ascii="楷体_GB2312" w:hAnsi="楷体_GB2312" w:eastAsia="楷体_GB2312" w:cs="楷体_GB2312"/>
          <w:i w:val="0"/>
          <w:iCs w:val="0"/>
          <w:color w:val="auto"/>
          <w:sz w:val="32"/>
          <w:szCs w:val="32"/>
          <w:highlight w:val="none"/>
          <w:u w:val="none"/>
        </w:rPr>
        <w:t>（四）咨询电话</w:t>
      </w:r>
    </w:p>
    <w:p>
      <w:pPr>
        <w:bidi w:val="0"/>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sz w:val="32"/>
          <w:szCs w:val="32"/>
          <w:highlight w:val="none"/>
          <w:u w:val="none"/>
          <w:lang w:eastAsia="zh-CN"/>
        </w:rPr>
        <w:t>0755-88105481</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0" w:name="_Toc1376"/>
      <w:bookmarkStart w:id="21" w:name="_Toc9722"/>
      <w:r>
        <w:rPr>
          <w:rFonts w:hint="eastAsia" w:ascii="黑体" w:hAnsi="黑体" w:eastAsia="黑体" w:cs="仿宋"/>
          <w:color w:val="auto"/>
          <w:kern w:val="2"/>
          <w:sz w:val="32"/>
          <w:szCs w:val="22"/>
          <w:highlight w:val="none"/>
          <w:lang w:val="en-US" w:eastAsia="zh-CN" w:bidi="ar-SA"/>
        </w:rPr>
        <w:t>九、申请决定机关</w:t>
      </w:r>
      <w:bookmarkEnd w:id="20"/>
      <w:bookmarkEnd w:id="21"/>
    </w:p>
    <w:p>
      <w:pPr>
        <w:bidi w:val="0"/>
        <w:rPr>
          <w:rFonts w:hint="eastAsia" w:ascii="仿宋_GB2312" w:hAnsi="宋体" w:eastAsia="仿宋_GB2312" w:cs="宋体"/>
          <w:color w:val="auto"/>
          <w:kern w:val="0"/>
          <w:sz w:val="32"/>
          <w:szCs w:val="32"/>
          <w:highlight w:val="none"/>
          <w:lang w:val="en-US" w:eastAsia="zh-CN"/>
        </w:rPr>
      </w:pPr>
      <w:bookmarkStart w:id="22" w:name="_Toc2137"/>
      <w:bookmarkStart w:id="23" w:name="_Toc161850809"/>
      <w:bookmarkStart w:id="24" w:name="_Toc10305"/>
      <w:bookmarkStart w:id="25" w:name="_Toc125127183"/>
      <w:r>
        <w:rPr>
          <w:rFonts w:hint="eastAsia" w:hAnsi="宋体" w:cs="宋体"/>
          <w:color w:val="auto"/>
          <w:kern w:val="0"/>
          <w:sz w:val="32"/>
          <w:szCs w:val="32"/>
          <w:highlight w:val="none"/>
          <w:u w:val="none"/>
          <w:lang w:val="en-US" w:eastAsia="zh-CN"/>
        </w:rPr>
        <w:t>深圳市前海管理局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6" w:name="_Toc11274"/>
      <w:bookmarkStart w:id="27" w:name="_Toc16198"/>
      <w:r>
        <w:rPr>
          <w:rFonts w:hint="eastAsia" w:ascii="黑体" w:hAnsi="黑体" w:eastAsia="黑体" w:cs="仿宋"/>
          <w:color w:val="auto"/>
          <w:kern w:val="2"/>
          <w:sz w:val="32"/>
          <w:szCs w:val="22"/>
          <w:highlight w:val="none"/>
          <w:lang w:val="en-US" w:eastAsia="zh-CN" w:bidi="ar-SA"/>
        </w:rPr>
        <w:t>十、办理流程</w:t>
      </w:r>
      <w:bookmarkEnd w:id="26"/>
      <w:bookmarkEnd w:id="27"/>
    </w:p>
    <w:p>
      <w:pPr>
        <w:bidi w:val="0"/>
        <w:rPr>
          <w:rFonts w:hint="eastAsia" w:ascii="仿宋_GB2312" w:hAnsi="仿宋_GB2312" w:eastAsia="仿宋_GB2312" w:cs="Times New Roman"/>
          <w:color w:val="auto"/>
          <w:sz w:val="32"/>
          <w:szCs w:val="32"/>
          <w:highlight w:val="none"/>
          <w:lang w:bidi="ar"/>
        </w:rPr>
      </w:pPr>
      <w:r>
        <w:rPr>
          <w:rFonts w:hint="eastAsia" w:cs="Times New Roman"/>
          <w:color w:val="000000" w:themeColor="text1"/>
          <w:sz w:val="32"/>
          <w:szCs w:val="32"/>
          <w:highlight w:val="none"/>
          <w:lang w:val="en-US" w:eastAsia="zh-CN" w:bidi="ar"/>
          <w14:textFill>
            <w14:solidFill>
              <w14:schemeClr w14:val="tx1"/>
            </w14:solidFill>
          </w14:textFill>
        </w:rPr>
        <w:t>前海管理局</w:t>
      </w:r>
      <w:r>
        <w:rPr>
          <w:rFonts w:hint="eastAsia" w:ascii="仿宋_GB2312" w:hAnsi="仿宋_GB2312" w:eastAsia="仿宋_GB2312" w:cs="Times New Roman"/>
          <w:color w:val="auto"/>
          <w:sz w:val="32"/>
          <w:szCs w:val="32"/>
          <w:highlight w:val="none"/>
          <w:lang w:val="en-US" w:eastAsia="zh-CN" w:bidi="ar"/>
        </w:rPr>
        <w:t>发布申报指南——申报单位网上申报——</w:t>
      </w:r>
      <w:r>
        <w:rPr>
          <w:rFonts w:hint="eastAsia" w:cs="Times New Roman"/>
          <w:color w:val="000000" w:themeColor="text1"/>
          <w:sz w:val="32"/>
          <w:szCs w:val="32"/>
          <w:highlight w:val="none"/>
          <w:lang w:val="en-US" w:eastAsia="zh-CN" w:bidi="ar"/>
          <w14:textFill>
            <w14:solidFill>
              <w14:schemeClr w14:val="tx1"/>
            </w14:solidFill>
          </w14:textFill>
        </w:rPr>
        <w:t>前海管理局</w:t>
      </w:r>
      <w:r>
        <w:rPr>
          <w:rFonts w:hint="eastAsia" w:ascii="仿宋_GB2312" w:hAnsi="仿宋_GB2312" w:eastAsia="仿宋_GB2312" w:cs="Times New Roman"/>
          <w:color w:val="auto"/>
          <w:sz w:val="32"/>
          <w:szCs w:val="32"/>
          <w:highlight w:val="none"/>
          <w:lang w:val="en-US" w:eastAsia="zh-CN" w:bidi="ar"/>
        </w:rPr>
        <w:t>网上初审——申报单位向政务服务中心收文窗口提交申请材料——</w:t>
      </w:r>
      <w:r>
        <w:rPr>
          <w:rFonts w:hint="eastAsia" w:cs="Times New Roman"/>
          <w:color w:val="000000" w:themeColor="text1"/>
          <w:sz w:val="32"/>
          <w:szCs w:val="32"/>
          <w:highlight w:val="none"/>
          <w:lang w:val="en-US" w:eastAsia="zh-CN" w:bidi="ar"/>
          <w14:textFill>
            <w14:solidFill>
              <w14:schemeClr w14:val="tx1"/>
            </w14:solidFill>
          </w14:textFill>
        </w:rPr>
        <w:t>前海管理局</w:t>
      </w:r>
      <w:r>
        <w:rPr>
          <w:rFonts w:hint="eastAsia" w:ascii="仿宋_GB2312" w:hAnsi="仿宋_GB2312" w:eastAsia="仿宋_GB2312" w:cs="Times New Roman"/>
          <w:color w:val="auto"/>
          <w:sz w:val="32"/>
          <w:szCs w:val="32"/>
          <w:highlight w:val="none"/>
          <w:lang w:val="en-US" w:eastAsia="zh-CN" w:bidi="ar"/>
        </w:rPr>
        <w:t>开展形式审查——</w:t>
      </w:r>
      <w:r>
        <w:rPr>
          <w:rFonts w:hint="eastAsia" w:cs="Times New Roman"/>
          <w:color w:val="000000" w:themeColor="text1"/>
          <w:sz w:val="32"/>
          <w:szCs w:val="32"/>
          <w:highlight w:val="none"/>
          <w:lang w:val="en-US" w:eastAsia="zh-CN" w:bidi="ar"/>
          <w14:textFill>
            <w14:solidFill>
              <w14:schemeClr w14:val="tx1"/>
            </w14:solidFill>
          </w14:textFill>
        </w:rPr>
        <w:t>前海管理局</w:t>
      </w:r>
      <w:r>
        <w:rPr>
          <w:rFonts w:hint="eastAsia" w:ascii="仿宋_GB2312" w:hAnsi="仿宋_GB2312" w:eastAsia="仿宋_GB2312" w:cs="Times New Roman"/>
          <w:color w:val="auto"/>
          <w:sz w:val="32"/>
          <w:szCs w:val="32"/>
          <w:highlight w:val="none"/>
          <w:lang w:val="en-US" w:eastAsia="zh-CN" w:bidi="ar"/>
        </w:rPr>
        <w:t>开展资质审查——</w:t>
      </w:r>
      <w:r>
        <w:rPr>
          <w:rFonts w:hint="eastAsia" w:cs="Times New Roman"/>
          <w:color w:val="000000" w:themeColor="text1"/>
          <w:sz w:val="32"/>
          <w:szCs w:val="32"/>
          <w:highlight w:val="none"/>
          <w:lang w:val="en-US" w:eastAsia="zh-CN" w:bidi="ar"/>
          <w14:textFill>
            <w14:solidFill>
              <w14:schemeClr w14:val="tx1"/>
            </w14:solidFill>
          </w14:textFill>
        </w:rPr>
        <w:t>前海管理局</w:t>
      </w:r>
      <w:r>
        <w:rPr>
          <w:rFonts w:hint="eastAsia" w:ascii="仿宋_GB2312" w:hAnsi="仿宋_GB2312" w:eastAsia="仿宋_GB2312" w:cs="Times New Roman"/>
          <w:color w:val="auto"/>
          <w:sz w:val="32"/>
          <w:szCs w:val="32"/>
          <w:highlight w:val="none"/>
          <w:lang w:val="en-US" w:eastAsia="zh-CN" w:bidi="ar"/>
        </w:rPr>
        <w:t>组织专项审计——征求意见与综合核查——拟定资助计划——社会公示——下达资助计划——通知申报单位提交拨付资料——拨付资金</w:t>
      </w:r>
      <w:r>
        <w:rPr>
          <w:rFonts w:hint="eastAsia" w:ascii="仿宋_GB2312" w:hAnsi="仿宋_GB2312" w:eastAsia="仿宋_GB2312" w:cs="Times New Roman"/>
          <w:color w:val="auto"/>
          <w:sz w:val="32"/>
          <w:szCs w:val="32"/>
          <w:highlight w:val="none"/>
          <w:lang w:bidi="ar"/>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8" w:name="_Toc3693"/>
      <w:bookmarkStart w:id="29" w:name="_Toc28790"/>
      <w:r>
        <w:rPr>
          <w:rFonts w:hint="eastAsia" w:ascii="黑体" w:hAnsi="黑体" w:eastAsia="黑体" w:cs="仿宋"/>
          <w:color w:val="auto"/>
          <w:kern w:val="2"/>
          <w:sz w:val="32"/>
          <w:szCs w:val="22"/>
          <w:highlight w:val="none"/>
          <w:lang w:val="en-US" w:eastAsia="zh-CN" w:bidi="ar-SA"/>
        </w:rPr>
        <w:t>十一、办理时限</w:t>
      </w:r>
      <w:bookmarkEnd w:id="28"/>
      <w:bookmarkEnd w:id="29"/>
    </w:p>
    <w:p>
      <w:pPr>
        <w:bidi w:val="0"/>
        <w:rPr>
          <w:rFonts w:hint="eastAsia"/>
          <w:color w:val="auto"/>
          <w:highlight w:val="none"/>
        </w:rPr>
      </w:pPr>
      <w:r>
        <w:rPr>
          <w:rFonts w:hint="eastAsia"/>
          <w:color w:val="auto"/>
          <w:highlight w:val="none"/>
          <w:lang w:val="en-US" w:eastAsia="zh-CN"/>
        </w:rPr>
        <w:t>180个工作日，不含特别程序。</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30" w:name="_Toc32254"/>
      <w:bookmarkStart w:id="31" w:name="_Toc29872"/>
      <w:r>
        <w:rPr>
          <w:rFonts w:hint="eastAsia" w:ascii="黑体" w:hAnsi="黑体" w:eastAsia="黑体" w:cs="仿宋"/>
          <w:color w:val="auto"/>
          <w:kern w:val="2"/>
          <w:sz w:val="32"/>
          <w:szCs w:val="22"/>
          <w:highlight w:val="none"/>
          <w:lang w:val="en-US" w:eastAsia="zh-CN" w:bidi="ar-SA"/>
        </w:rPr>
        <w:t>十二、证件及有效期</w:t>
      </w:r>
      <w:bookmarkEnd w:id="30"/>
      <w:bookmarkEnd w:id="31"/>
    </w:p>
    <w:p>
      <w:pPr>
        <w:bidi w:val="0"/>
        <w:rPr>
          <w:rFonts w:hint="eastAsia"/>
          <w:color w:val="auto"/>
          <w:highlight w:val="none"/>
        </w:rPr>
      </w:pPr>
      <w:r>
        <w:rPr>
          <w:rFonts w:hint="eastAsia"/>
          <w:color w:val="auto"/>
          <w:highlight w:val="none"/>
        </w:rPr>
        <w:t>证件：无</w:t>
      </w:r>
    </w:p>
    <w:p>
      <w:pPr>
        <w:bidi w:val="0"/>
        <w:rPr>
          <w:rFonts w:hint="eastAsia"/>
          <w:color w:val="auto"/>
          <w:highlight w:val="none"/>
        </w:rPr>
      </w:pPr>
      <w:r>
        <w:rPr>
          <w:rFonts w:hint="eastAsia"/>
          <w:color w:val="auto"/>
          <w:highlight w:val="none"/>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2" w:name="_Toc19920"/>
      <w:bookmarkStart w:id="33" w:name="_Toc17239"/>
      <w:r>
        <w:rPr>
          <w:rFonts w:hint="eastAsia" w:ascii="黑体" w:hAnsi="黑体" w:eastAsia="黑体" w:cs="Times New Roman"/>
          <w:color w:val="auto"/>
          <w:kern w:val="2"/>
          <w:sz w:val="32"/>
          <w:szCs w:val="32"/>
          <w:highlight w:val="none"/>
          <w:lang w:val="en-US" w:eastAsia="zh-CN" w:bidi="ar-SA"/>
        </w:rPr>
        <w:t>十三、证件的法律效力</w:t>
      </w:r>
      <w:bookmarkEnd w:id="32"/>
      <w:bookmarkEnd w:id="33"/>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4" w:name="_Toc6842"/>
      <w:bookmarkStart w:id="35" w:name="_Toc7505"/>
      <w:r>
        <w:rPr>
          <w:rFonts w:hint="eastAsia" w:ascii="黑体" w:hAnsi="黑体" w:eastAsia="黑体" w:cs="Times New Roman"/>
          <w:color w:val="auto"/>
          <w:kern w:val="2"/>
          <w:sz w:val="32"/>
          <w:szCs w:val="32"/>
          <w:highlight w:val="none"/>
          <w:lang w:val="en-US" w:eastAsia="zh-CN" w:bidi="ar-SA"/>
        </w:rPr>
        <w:t>十四、收费</w:t>
      </w:r>
      <w:bookmarkEnd w:id="34"/>
      <w:bookmarkEnd w:id="35"/>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6" w:name="_Toc30475"/>
      <w:bookmarkStart w:id="37" w:name="_Toc30145"/>
      <w:r>
        <w:rPr>
          <w:rFonts w:hint="eastAsia" w:ascii="黑体" w:hAnsi="黑体" w:eastAsia="黑体" w:cs="Times New Roman"/>
          <w:color w:val="auto"/>
          <w:kern w:val="2"/>
          <w:sz w:val="32"/>
          <w:szCs w:val="32"/>
          <w:highlight w:val="none"/>
          <w:lang w:val="en-US" w:eastAsia="zh-CN" w:bidi="ar-SA"/>
        </w:rPr>
        <w:t>十五、年审或年检</w:t>
      </w:r>
      <w:bookmarkEnd w:id="36"/>
      <w:bookmarkEnd w:id="37"/>
    </w:p>
    <w:p>
      <w:pPr>
        <w:bidi w:val="0"/>
        <w:rPr>
          <w:rFonts w:hint="eastAsia"/>
          <w:color w:val="auto"/>
          <w:highlight w:val="none"/>
        </w:rPr>
      </w:pPr>
      <w:r>
        <w:rPr>
          <w:rFonts w:hint="eastAsia"/>
          <w:color w:val="auto"/>
          <w:highlight w:val="none"/>
        </w:rPr>
        <w:t>无</w:t>
      </w:r>
      <w:bookmarkStart w:id="38" w:name="_Toc20677"/>
      <w:bookmarkStart w:id="39" w:name="_Toc28762"/>
    </w:p>
    <w:p>
      <w:pPr>
        <w:bidi w:val="0"/>
        <w:rPr>
          <w:rFonts w:hint="eastAsia" w:ascii="黑体" w:hAnsi="黑体" w:eastAsia="黑体" w:cs="Times New Roman"/>
          <w:color w:val="auto"/>
          <w:kern w:val="2"/>
          <w:sz w:val="32"/>
          <w:szCs w:val="32"/>
          <w:highlight w:val="none"/>
          <w:lang w:val="en-US" w:eastAsia="zh-CN" w:bidi="ar-SA"/>
        </w:rPr>
      </w:pPr>
      <w:r>
        <w:rPr>
          <w:rFonts w:hint="eastAsia" w:ascii="黑体" w:hAnsi="黑体" w:eastAsia="黑体" w:cs="Times New Roman"/>
          <w:color w:val="auto"/>
          <w:kern w:val="2"/>
          <w:sz w:val="32"/>
          <w:szCs w:val="32"/>
          <w:highlight w:val="none"/>
          <w:lang w:val="en-US" w:eastAsia="zh-CN" w:bidi="ar-SA"/>
        </w:rPr>
        <w:t>十六、监督检查和补充说明</w:t>
      </w:r>
      <w:bookmarkEnd w:id="38"/>
      <w:bookmarkEnd w:id="39"/>
    </w:p>
    <w:p>
      <w:pPr>
        <w:bidi w:val="0"/>
        <w:rPr>
          <w:rFonts w:hint="eastAsia"/>
          <w:color w:val="auto"/>
          <w:highlight w:val="none"/>
          <w:lang w:val="en-US" w:eastAsia="zh-CN"/>
        </w:rPr>
      </w:pPr>
      <w:r>
        <w:rPr>
          <w:rFonts w:hint="eastAsia"/>
          <w:color w:val="auto"/>
          <w:highlight w:val="none"/>
          <w:lang w:val="en-US" w:eastAsia="zh-CN"/>
        </w:rPr>
        <w:t>（一）申报单位应当按要求配合市、区两级商务部门和其他相关部门的监督检查，按要求做好项目资金管理、绩效评估等工作。</w:t>
      </w:r>
    </w:p>
    <w:p>
      <w:pPr>
        <w:bidi w:val="0"/>
        <w:rPr>
          <w:rFonts w:hint="eastAsia"/>
          <w:color w:val="auto"/>
          <w:highlight w:val="none"/>
          <w:lang w:val="en-US" w:eastAsia="zh-CN"/>
        </w:rPr>
      </w:pPr>
      <w:r>
        <w:rPr>
          <w:rFonts w:hint="eastAsia"/>
          <w:color w:val="auto"/>
          <w:highlight w:val="none"/>
          <w:lang w:val="en-US" w:eastAsia="zh-CN"/>
        </w:rPr>
        <w:t>（二）申报单位存在以下情形之一的，应当按要求将已获得的部分或全部财政专项资金退回国库,并按照有关规定处理；涉嫌犯罪的，依法移送有关机关处理：</w:t>
      </w:r>
    </w:p>
    <w:p>
      <w:pPr>
        <w:bidi w:val="0"/>
        <w:rPr>
          <w:rFonts w:hint="eastAsia"/>
          <w:color w:val="auto"/>
          <w:highlight w:val="none"/>
          <w:lang w:val="en-US" w:eastAsia="zh-CN"/>
        </w:rPr>
      </w:pPr>
      <w:r>
        <w:rPr>
          <w:rFonts w:hint="eastAsia"/>
          <w:color w:val="auto"/>
          <w:highlight w:val="none"/>
          <w:lang w:val="en-US" w:eastAsia="zh-CN"/>
        </w:rPr>
        <w:t>1.申报单位未履行或未完全履行申报承诺并经查证属实的。</w:t>
      </w:r>
    </w:p>
    <w:p>
      <w:pPr>
        <w:bidi w:val="0"/>
        <w:rPr>
          <w:rFonts w:hint="eastAsia"/>
          <w:color w:val="auto"/>
          <w:highlight w:val="none"/>
          <w:lang w:val="en-US" w:eastAsia="zh-CN"/>
        </w:rPr>
      </w:pPr>
      <w:r>
        <w:rPr>
          <w:rFonts w:hint="eastAsia"/>
          <w:color w:val="auto"/>
          <w:highlight w:val="none"/>
          <w:lang w:val="en-US" w:eastAsia="zh-CN"/>
        </w:rPr>
        <w:t>2.申报单位不符合项目申报条件获得资助的。</w:t>
      </w:r>
    </w:p>
    <w:p>
      <w:pPr>
        <w:bidi w:val="0"/>
        <w:rPr>
          <w:rFonts w:hint="eastAsia"/>
          <w:color w:val="auto"/>
          <w:highlight w:val="none"/>
          <w:lang w:val="en-US" w:eastAsia="zh-CN"/>
        </w:rPr>
      </w:pPr>
      <w:r>
        <w:rPr>
          <w:rFonts w:hint="eastAsia"/>
          <w:color w:val="auto"/>
          <w:highlight w:val="none"/>
          <w:lang w:val="en-US" w:eastAsia="zh-CN"/>
        </w:rPr>
        <w:t>3.申报单位存在利用不正当手段套取、骗取、盗取专项资金的。</w:t>
      </w:r>
    </w:p>
    <w:p>
      <w:pPr>
        <w:bidi w:val="0"/>
        <w:rPr>
          <w:rFonts w:hint="eastAsia"/>
          <w:color w:val="auto"/>
          <w:highlight w:val="none"/>
          <w:lang w:val="en-US" w:eastAsia="zh-CN"/>
        </w:rPr>
      </w:pPr>
      <w:r>
        <w:rPr>
          <w:rFonts w:hint="eastAsia"/>
          <w:color w:val="auto"/>
          <w:highlight w:val="none"/>
          <w:lang w:val="en-US" w:eastAsia="zh-CN"/>
        </w:rPr>
        <w:t>4.审计、巡视、巡察等核查需要申报单位退回专项资金的。</w:t>
      </w:r>
    </w:p>
    <w:p>
      <w:pPr>
        <w:bidi w:val="0"/>
        <w:rPr>
          <w:rFonts w:hint="eastAsia"/>
          <w:color w:val="auto"/>
          <w:highlight w:val="none"/>
          <w:lang w:val="en-US" w:eastAsia="zh-CN"/>
        </w:rPr>
      </w:pPr>
      <w:r>
        <w:rPr>
          <w:rFonts w:hint="eastAsia"/>
          <w:color w:val="auto"/>
          <w:highlight w:val="none"/>
          <w:lang w:val="en-US" w:eastAsia="zh-CN"/>
        </w:rPr>
        <w:t>5.其他按照有关规定需要退回资金的。</w:t>
      </w:r>
    </w:p>
    <w:p>
      <w:pPr>
        <w:bidi w:val="0"/>
        <w:rPr>
          <w:rFonts w:hint="eastAsia"/>
          <w:color w:val="auto"/>
          <w:highlight w:val="none"/>
          <w:lang w:val="en-US" w:eastAsia="zh-CN"/>
        </w:rPr>
      </w:pPr>
      <w:r>
        <w:rPr>
          <w:rFonts w:hint="eastAsia"/>
          <w:color w:val="auto"/>
          <w:highlight w:val="none"/>
          <w:lang w:val="en-US" w:eastAsia="zh-CN"/>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auto"/>
          <w:highlight w:val="none"/>
          <w:lang w:val="en-US" w:eastAsia="zh-CN"/>
        </w:rPr>
      </w:pPr>
      <w:r>
        <w:rPr>
          <w:rFonts w:hint="eastAsia"/>
          <w:color w:val="auto"/>
          <w:highlight w:val="none"/>
          <w:lang w:val="en-US" w:eastAsia="zh-CN"/>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auto"/>
          <w:highlight w:val="none"/>
          <w:lang w:val="en-US" w:eastAsia="zh-CN"/>
        </w:rPr>
      </w:pPr>
      <w:r>
        <w:rPr>
          <w:rFonts w:hint="eastAsia"/>
          <w:color w:val="auto"/>
          <w:highlight w:val="none"/>
        </w:rPr>
        <w:t>（</w:t>
      </w:r>
      <w:r>
        <w:rPr>
          <w:rFonts w:hint="eastAsia"/>
          <w:color w:val="auto"/>
          <w:highlight w:val="none"/>
          <w:lang w:val="en-US" w:eastAsia="zh-CN"/>
        </w:rPr>
        <w:t>五</w:t>
      </w:r>
      <w:r>
        <w:rPr>
          <w:rFonts w:hint="eastAsia"/>
          <w:color w:val="auto"/>
          <w:highlight w:val="none"/>
        </w:rPr>
        <w:t>）</w:t>
      </w:r>
      <w:r>
        <w:rPr>
          <w:rFonts w:hint="eastAsia"/>
          <w:color w:val="auto"/>
          <w:highlight w:val="none"/>
          <w:lang w:val="en-US" w:eastAsia="zh-CN"/>
        </w:rPr>
        <w:t>受理单位</w:t>
      </w:r>
      <w:r>
        <w:rPr>
          <w:rFonts w:hint="eastAsia"/>
          <w:color w:val="auto"/>
          <w:highlight w:val="none"/>
        </w:rPr>
        <w:t>从未委托任何单位和个人为申报单位代理专项资金扶持计划项目申报事宜</w:t>
      </w:r>
      <w:r>
        <w:rPr>
          <w:color w:val="auto"/>
          <w:highlight w:val="none"/>
        </w:rPr>
        <w:t>，申报单位应</w:t>
      </w:r>
      <w:r>
        <w:rPr>
          <w:rFonts w:hint="eastAsia"/>
          <w:color w:val="auto"/>
          <w:highlight w:val="none"/>
        </w:rPr>
        <w:t>自主申报。我</w:t>
      </w:r>
      <w:r>
        <w:rPr>
          <w:rFonts w:hint="eastAsia"/>
          <w:color w:val="auto"/>
          <w:highlight w:val="none"/>
          <w:lang w:eastAsia="zh-CN"/>
        </w:rPr>
        <w:t>单位</w:t>
      </w:r>
      <w:r>
        <w:rPr>
          <w:rFonts w:hint="eastAsia"/>
          <w:color w:val="auto"/>
          <w:highlight w:val="none"/>
        </w:rPr>
        <w:t>严格按照有关</w:t>
      </w:r>
      <w:r>
        <w:rPr>
          <w:color w:val="auto"/>
          <w:highlight w:val="none"/>
        </w:rPr>
        <w:t>规定</w:t>
      </w:r>
      <w:r>
        <w:rPr>
          <w:rFonts w:hint="eastAsia"/>
          <w:color w:val="auto"/>
          <w:highlight w:val="none"/>
        </w:rPr>
        <w:t>和程序受理申请，不收取任何费用。如有任何中介机构和个人假借我</w:t>
      </w:r>
      <w:r>
        <w:rPr>
          <w:rFonts w:hint="eastAsia"/>
          <w:color w:val="auto"/>
          <w:highlight w:val="none"/>
          <w:lang w:eastAsia="zh-CN"/>
        </w:rPr>
        <w:t>单位</w:t>
      </w:r>
      <w:r>
        <w:rPr>
          <w:color w:val="auto"/>
          <w:highlight w:val="none"/>
        </w:rPr>
        <w:t>或</w:t>
      </w:r>
      <w:r>
        <w:rPr>
          <w:rFonts w:hint="eastAsia"/>
          <w:color w:val="auto"/>
          <w:highlight w:val="none"/>
        </w:rPr>
        <w:t>工作人员名义向申报单位收取费用的，请向我</w:t>
      </w:r>
      <w:r>
        <w:rPr>
          <w:rFonts w:hint="eastAsia"/>
          <w:color w:val="auto"/>
          <w:highlight w:val="none"/>
          <w:lang w:eastAsia="zh-CN"/>
        </w:rPr>
        <w:t>单位</w:t>
      </w:r>
      <w:r>
        <w:rPr>
          <w:rFonts w:hint="eastAsia"/>
          <w:color w:val="auto"/>
          <w:highlight w:val="none"/>
        </w:rPr>
        <w:t>举报</w:t>
      </w:r>
      <w:r>
        <w:rPr>
          <w:rFonts w:hint="eastAsia"/>
          <w:color w:val="auto"/>
          <w:highlight w:val="none"/>
          <w:lang w:val="en-US" w:eastAsia="zh-CN"/>
        </w:rPr>
        <w:t>。</w:t>
      </w:r>
    </w:p>
    <w:p>
      <w:pPr>
        <w:bidi w:val="0"/>
        <w:rPr>
          <w:color w:val="auto"/>
          <w:highlight w:val="none"/>
        </w:rPr>
      </w:pPr>
      <w:r>
        <w:rPr>
          <w:rFonts w:hint="eastAsia"/>
          <w:color w:val="auto"/>
          <w:highlight w:val="none"/>
        </w:rPr>
        <w:t>（</w:t>
      </w:r>
      <w:r>
        <w:rPr>
          <w:rFonts w:hint="eastAsia"/>
          <w:color w:val="auto"/>
          <w:highlight w:val="none"/>
          <w:lang w:val="en-US" w:eastAsia="zh-CN"/>
        </w:rPr>
        <w:t>六</w:t>
      </w:r>
      <w:r>
        <w:rPr>
          <w:rFonts w:hint="eastAsia"/>
          <w:color w:val="auto"/>
          <w:highlight w:val="none"/>
        </w:rPr>
        <w:t>）</w:t>
      </w:r>
      <w:r>
        <w:rPr>
          <w:color w:val="auto"/>
          <w:highlight w:val="none"/>
        </w:rPr>
        <w:t>申报单位在项目申报期间发生企业名称、联系信息变更的，应及时联系并提供变更材料，如因未及时变更产生的后果由企业自行承担。</w:t>
      </w:r>
    </w:p>
    <w:p>
      <w:pPr>
        <w:bidi w:val="0"/>
        <w:rPr>
          <w:rFonts w:hint="eastAsia"/>
          <w:color w:val="auto"/>
          <w:highlight w:val="none"/>
        </w:rPr>
      </w:pPr>
      <w:r>
        <w:rPr>
          <w:rFonts w:hint="eastAsia"/>
          <w:color w:val="auto"/>
          <w:highlight w:val="none"/>
        </w:rPr>
        <w:t>（</w:t>
      </w:r>
      <w:r>
        <w:rPr>
          <w:rFonts w:hint="eastAsia"/>
          <w:color w:val="auto"/>
          <w:highlight w:val="none"/>
          <w:lang w:val="en-US" w:eastAsia="zh-CN"/>
        </w:rPr>
        <w:t>七</w:t>
      </w:r>
      <w:r>
        <w:rPr>
          <w:rFonts w:hint="eastAsia"/>
          <w:color w:val="auto"/>
          <w:highlight w:val="none"/>
        </w:rPr>
        <w:t>）资助拨款按照申请书银行账户信息办理。因</w:t>
      </w:r>
      <w:r>
        <w:rPr>
          <w:color w:val="auto"/>
          <w:highlight w:val="none"/>
        </w:rPr>
        <w:t>账户信息变更或企业填写错误等原因导致</w:t>
      </w:r>
      <w:r>
        <w:rPr>
          <w:rFonts w:hint="eastAsia"/>
          <w:color w:val="auto"/>
          <w:highlight w:val="none"/>
          <w:lang w:val="en-US" w:eastAsia="zh-CN"/>
        </w:rPr>
        <w:t>拨付</w:t>
      </w:r>
      <w:r>
        <w:rPr>
          <w:color w:val="auto"/>
          <w:highlight w:val="none"/>
        </w:rPr>
        <w:t>不成功的，</w:t>
      </w:r>
      <w:r>
        <w:rPr>
          <w:rFonts w:hint="eastAsia"/>
          <w:color w:val="auto"/>
          <w:highlight w:val="none"/>
        </w:rPr>
        <w:t>原则上予以办理一次拨款信息更改并再次拨付。</w:t>
      </w:r>
      <w:r>
        <w:rPr>
          <w:color w:val="auto"/>
          <w:highlight w:val="none"/>
        </w:rPr>
        <w:t>申报单位</w:t>
      </w:r>
      <w:r>
        <w:rPr>
          <w:rFonts w:hint="eastAsia"/>
          <w:color w:val="auto"/>
          <w:highlight w:val="none"/>
        </w:rPr>
        <w:t>应当按照要求办理资金拨款手续。</w:t>
      </w:r>
    </w:p>
    <w:p>
      <w:pPr>
        <w:bidi w:val="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八</w:t>
      </w:r>
      <w:r>
        <w:rPr>
          <w:rFonts w:hint="eastAsia"/>
          <w:color w:val="auto"/>
          <w:highlight w:val="none"/>
          <w:lang w:eastAsia="zh-CN"/>
        </w:rPr>
        <w:t>）</w:t>
      </w:r>
      <w:r>
        <w:rPr>
          <w:rFonts w:hint="eastAsia"/>
          <w:color w:val="auto"/>
          <w:highlight w:val="none"/>
          <w:lang w:val="en-US" w:eastAsia="zh-CN"/>
        </w:rPr>
        <w:t>申报单位需确保所用人工智能技术合规，符合国家数据安全、隐私保护相关法规，保障用户消费信息安全。</w:t>
      </w:r>
    </w:p>
    <w:p>
      <w:pPr>
        <w:bidi w:val="0"/>
        <w:ind w:firstLine="0" w:firstLineChars="0"/>
        <w:rPr>
          <w:rFonts w:hint="eastAsia"/>
          <w:color w:val="auto"/>
          <w:highlight w:val="none"/>
          <w:lang w:val="en-US" w:eastAsia="zh-CN"/>
        </w:rPr>
      </w:pPr>
    </w:p>
    <w:bookmarkEnd w:id="22"/>
    <w:bookmarkEnd w:id="23"/>
    <w:bookmarkEnd w:id="24"/>
    <w:bookmarkEnd w:id="25"/>
    <w:p>
      <w:pPr>
        <w:pStyle w:val="17"/>
        <w:rPr>
          <w:rFonts w:hint="eastAsia" w:ascii="仿宋_GB2312" w:hAnsi="仿宋_GB2312"/>
          <w:color w:val="auto"/>
          <w:highlight w:val="none"/>
          <w:lang w:val="en-US" w:eastAsia="zh-CN"/>
        </w:rPr>
      </w:pPr>
      <w:r>
        <w:rPr>
          <w:rFonts w:hint="eastAsia" w:ascii="仿宋_GB2312" w:hAnsi="仿宋_GB2312"/>
          <w:color w:val="auto"/>
          <w:highlight w:val="none"/>
          <w:lang w:eastAsia="zh-CN"/>
        </w:rPr>
        <w:t>附录：</w:t>
      </w:r>
      <w:r>
        <w:rPr>
          <w:rFonts w:hint="eastAsia" w:ascii="仿宋_GB2312" w:hAnsi="仿宋_GB2312"/>
          <w:color w:val="auto"/>
          <w:highlight w:val="none"/>
          <w:lang w:val="en-US" w:eastAsia="zh-CN"/>
        </w:rPr>
        <w:t>1.名词解释</w:t>
      </w:r>
    </w:p>
    <w:p>
      <w:pPr>
        <w:pStyle w:val="17"/>
        <w:ind w:left="1600" w:leftChars="500" w:firstLine="0" w:firstLineChars="0"/>
        <w:rPr>
          <w:rFonts w:hint="eastAsia" w:ascii="仿宋_GB2312" w:hAnsi="仿宋_GB2312"/>
          <w:color w:val="auto"/>
          <w:highlight w:val="none"/>
          <w:lang w:eastAsia="zh-CN"/>
        </w:rPr>
      </w:pPr>
      <w:r>
        <w:rPr>
          <w:rFonts w:hint="eastAsia" w:ascii="仿宋_GB2312" w:hAnsi="仿宋_GB2312"/>
          <w:color w:val="auto"/>
          <w:highlight w:val="none"/>
          <w:lang w:val="en-US" w:eastAsia="zh-CN"/>
        </w:rPr>
        <w:t>2.深圳市消费新业态新模式新场景试点优质消费资    源与知名IP跨界联合—“人工智能+消费”场景及集聚区项目评分表</w:t>
      </w:r>
    </w:p>
    <w:p>
      <w:pPr>
        <w:pStyle w:val="17"/>
        <w:spacing w:line="560" w:lineRule="exact"/>
        <w:rPr>
          <w:rFonts w:ascii="仿宋_GB2312" w:hAnsi="仿宋_GB2312"/>
          <w:color w:val="auto"/>
          <w:highlight w:val="none"/>
        </w:rPr>
        <w:sectPr>
          <w:footerReference r:id="rId5" w:type="default"/>
          <w:pgSz w:w="11906" w:h="16838"/>
          <w:pgMar w:top="1814" w:right="1474" w:bottom="1814" w:left="1474"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eastAsia" w:ascii="黑体" w:hAnsi="黑体" w:eastAsia="黑体" w:cs="黑体"/>
          <w:i w:val="0"/>
          <w:iCs w:val="0"/>
          <w:color w:val="auto"/>
          <w:kern w:val="0"/>
          <w:sz w:val="32"/>
          <w:szCs w:val="32"/>
          <w:highlight w:val="none"/>
          <w:u w:val="none"/>
          <w:lang w:val="en-US" w:eastAsia="zh-CN" w:bidi="ar"/>
        </w:rPr>
      </w:pPr>
      <w:r>
        <w:rPr>
          <w:rFonts w:hint="eastAsia" w:ascii="黑体" w:hAnsi="黑体" w:eastAsia="黑体" w:cs="黑体"/>
          <w:i w:val="0"/>
          <w:iCs w:val="0"/>
          <w:color w:val="auto"/>
          <w:kern w:val="0"/>
          <w:sz w:val="32"/>
          <w:szCs w:val="32"/>
          <w:highlight w:val="none"/>
          <w:u w:val="none"/>
          <w:lang w:val="en-US" w:eastAsia="zh-CN" w:bidi="ar"/>
        </w:rPr>
        <w:t>附  录1</w:t>
      </w: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eastAsia" w:ascii="黑体" w:hAnsi="黑体" w:eastAsia="黑体" w:cs="黑体"/>
          <w:i w:val="0"/>
          <w:iCs w:val="0"/>
          <w:color w:val="auto"/>
          <w:kern w:val="0"/>
          <w:sz w:val="32"/>
          <w:szCs w:val="32"/>
          <w:highlight w:val="none"/>
          <w:u w:val="none"/>
          <w:lang w:val="en-US" w:eastAsia="zh-CN" w:bidi="ar"/>
        </w:rPr>
      </w:pPr>
    </w:p>
    <w:p>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名词解释</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w:t>
      </w:r>
      <w:r>
        <w:rPr>
          <w:rFonts w:hint="default" w:ascii="仿宋_GB2312" w:hAnsi="仿宋_GB2312" w:eastAsia="仿宋_GB2312" w:cs="仿宋_GB2312"/>
          <w:b/>
          <w:bCs/>
          <w:color w:val="auto"/>
          <w:sz w:val="32"/>
          <w:szCs w:val="32"/>
          <w:highlight w:val="none"/>
          <w:lang w:val="en-US" w:eastAsia="zh-CN"/>
        </w:rPr>
        <w:t>提供服务次数：</w:t>
      </w:r>
      <w:r>
        <w:rPr>
          <w:rFonts w:hint="default" w:ascii="仿宋_GB2312" w:hAnsi="仿宋_GB2312" w:eastAsia="仿宋_GB2312" w:cs="仿宋_GB2312"/>
          <w:color w:val="auto"/>
          <w:sz w:val="32"/>
          <w:szCs w:val="32"/>
          <w:highlight w:val="none"/>
          <w:lang w:val="en-US" w:eastAsia="zh-CN"/>
        </w:rPr>
        <w:t>指定统计周期内已完成履约闭环的有效服务总次数，核算认定统一以可溯源、可核查的正式消费凭证及业务后台留存原始消费数据记录作为佐证依据。</w:t>
      </w: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Style w:val="19"/>
          <w:rFonts w:hint="default" w:ascii="仿宋_GB2312" w:hAnsi="仿宋_GB2312" w:eastAsia="仿宋_GB2312" w:cs="仿宋_GB2312"/>
          <w:color w:val="auto"/>
          <w:sz w:val="32"/>
          <w:szCs w:val="32"/>
          <w:highlight w:val="none"/>
          <w:lang w:val="en-US" w:eastAsia="zh-CN"/>
        </w:rPr>
      </w:pPr>
      <w:r>
        <w:rPr>
          <w:rStyle w:val="19"/>
          <w:rFonts w:hint="eastAsia" w:cs="仿宋_GB2312"/>
          <w:b/>
          <w:bCs/>
          <w:color w:val="auto"/>
          <w:sz w:val="32"/>
          <w:szCs w:val="32"/>
          <w:highlight w:val="none"/>
          <w:lang w:val="en-US" w:eastAsia="zh-CN"/>
        </w:rPr>
        <w:t>二</w:t>
      </w:r>
      <w:r>
        <w:rPr>
          <w:rStyle w:val="19"/>
          <w:rFonts w:hint="eastAsia" w:ascii="仿宋_GB2312" w:hAnsi="仿宋_GB2312" w:eastAsia="仿宋_GB2312" w:cs="仿宋_GB2312"/>
          <w:color w:val="auto"/>
          <w:sz w:val="32"/>
          <w:szCs w:val="32"/>
          <w:highlight w:val="none"/>
          <w:lang w:val="en-US" w:eastAsia="zh-CN"/>
        </w:rPr>
        <w:t>、本</w:t>
      </w:r>
      <w:r>
        <w:rPr>
          <w:rStyle w:val="19"/>
          <w:rFonts w:hint="eastAsia" w:cs="仿宋_GB2312"/>
          <w:color w:val="auto"/>
          <w:sz w:val="32"/>
          <w:szCs w:val="32"/>
          <w:highlight w:val="none"/>
          <w:lang w:val="en-US" w:eastAsia="zh-CN"/>
        </w:rPr>
        <w:t>指南</w:t>
      </w:r>
      <w:r>
        <w:rPr>
          <w:rStyle w:val="19"/>
          <w:rFonts w:hint="eastAsia" w:ascii="仿宋_GB2312" w:hAnsi="仿宋_GB2312" w:eastAsia="仿宋_GB2312" w:cs="仿宋_GB2312"/>
          <w:color w:val="auto"/>
          <w:sz w:val="32"/>
          <w:szCs w:val="32"/>
          <w:highlight w:val="none"/>
          <w:lang w:val="en-US" w:eastAsia="zh-CN"/>
        </w:rPr>
        <w:t>涉及的“不低于”“不超过”“以上”等数量表述，均包含本数在内。</w:t>
      </w: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eastAsia" w:ascii="黑体" w:hAnsi="黑体" w:eastAsia="黑体" w:cs="黑体"/>
          <w:i w:val="0"/>
          <w:iCs w:val="0"/>
          <w:color w:val="auto"/>
          <w:kern w:val="0"/>
          <w:sz w:val="32"/>
          <w:szCs w:val="32"/>
          <w:highlight w:val="none"/>
          <w:u w:val="none"/>
          <w:lang w:val="en-US" w:eastAsia="zh-CN" w:bidi="ar"/>
        </w:rPr>
        <w:sectPr>
          <w:pgSz w:w="11906" w:h="16838"/>
          <w:pgMar w:top="1814" w:right="1474" w:bottom="1814" w:left="1474"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default" w:ascii="黑体" w:hAnsi="黑体" w:eastAsia="黑体" w:cs="黑体"/>
          <w:i w:val="0"/>
          <w:iCs w:val="0"/>
          <w:color w:val="auto"/>
          <w:kern w:val="0"/>
          <w:sz w:val="32"/>
          <w:szCs w:val="32"/>
          <w:highlight w:val="none"/>
          <w:u w:val="none"/>
          <w:lang w:val="en-US" w:eastAsia="zh-CN" w:bidi="ar"/>
        </w:rPr>
      </w:pPr>
      <w:r>
        <w:rPr>
          <w:rFonts w:hint="eastAsia" w:ascii="黑体" w:hAnsi="黑体" w:eastAsia="黑体" w:cs="黑体"/>
          <w:i w:val="0"/>
          <w:iCs w:val="0"/>
          <w:color w:val="auto"/>
          <w:kern w:val="0"/>
          <w:sz w:val="32"/>
          <w:szCs w:val="32"/>
          <w:highlight w:val="none"/>
          <w:u w:val="none"/>
          <w:lang w:val="en-US" w:eastAsia="zh-CN" w:bidi="ar"/>
        </w:rPr>
        <w:t>附  录2</w:t>
      </w: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eastAsia" w:ascii="仿宋_GB2312" w:hAnsi="仿宋_GB2312" w:eastAsia="仿宋_GB2312" w:cs="仿宋_GB2312"/>
          <w:i w:val="0"/>
          <w:iCs w:val="0"/>
          <w:color w:val="auto"/>
          <w:kern w:val="0"/>
          <w:sz w:val="24"/>
          <w:szCs w:val="24"/>
          <w:highlight w:val="none"/>
          <w:u w:val="none"/>
          <w:lang w:val="en-US" w:eastAsia="zh-CN" w:bidi="ar"/>
        </w:rPr>
      </w:pP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center"/>
        <w:textAlignment w:val="auto"/>
        <w:rPr>
          <w:rFonts w:hint="eastAsia" w:ascii="方正小标宋简体" w:hAnsi="方正小标宋简体" w:eastAsia="方正小标宋简体" w:cs="方正小标宋简体"/>
          <w:i w:val="0"/>
          <w:iCs w:val="0"/>
          <w:color w:val="auto"/>
          <w:kern w:val="0"/>
          <w:sz w:val="44"/>
          <w:szCs w:val="44"/>
          <w:highlight w:val="none"/>
          <w:u w:val="none"/>
          <w:lang w:val="en-US" w:eastAsia="zh-CN" w:bidi="ar"/>
        </w:rPr>
      </w:pPr>
      <w:r>
        <w:rPr>
          <w:rStyle w:val="19"/>
          <w:rFonts w:hint="eastAsia" w:ascii="方正小标宋简体" w:hAnsi="方正小标宋简体" w:eastAsia="方正小标宋简体" w:cs="方正小标宋简体"/>
          <w:color w:val="auto"/>
          <w:sz w:val="44"/>
          <w:szCs w:val="44"/>
          <w:highlight w:val="none"/>
          <w:u w:val="none"/>
          <w:lang w:val="en-US" w:eastAsia="zh-CN"/>
        </w:rPr>
        <w:t>“人工智能+消费”标杆场景评分表</w:t>
      </w: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default" w:ascii="仿宋_GB2312" w:hAnsi="仿宋_GB2312" w:eastAsia="仿宋_GB2312" w:cs="仿宋_GB2312"/>
          <w:i w:val="0"/>
          <w:iCs w:val="0"/>
          <w:color w:val="auto"/>
          <w:kern w:val="0"/>
          <w:sz w:val="24"/>
          <w:szCs w:val="24"/>
          <w:highlight w:val="none"/>
          <w:u w:val="none"/>
          <w:lang w:val="en-US" w:eastAsia="zh-CN" w:bidi="ar"/>
        </w:rPr>
      </w:pP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eastAsia" w:ascii="黑体" w:hAnsi="黑体" w:eastAsia="黑体" w:cs="黑体"/>
          <w:i w:val="0"/>
          <w:iCs w:val="0"/>
          <w:color w:val="auto"/>
          <w:kern w:val="0"/>
          <w:sz w:val="24"/>
          <w:szCs w:val="24"/>
          <w:highlight w:val="none"/>
          <w:u w:val="none"/>
          <w:lang w:val="en-US" w:eastAsia="zh-CN" w:bidi="ar"/>
        </w:rPr>
      </w:pPr>
      <w:r>
        <w:rPr>
          <w:rFonts w:hint="eastAsia" w:ascii="黑体" w:hAnsi="黑体" w:eastAsia="黑体" w:cs="黑体"/>
          <w:i w:val="0"/>
          <w:iCs w:val="0"/>
          <w:color w:val="auto"/>
          <w:kern w:val="0"/>
          <w:sz w:val="24"/>
          <w:szCs w:val="24"/>
          <w:highlight w:val="none"/>
          <w:u w:val="none"/>
          <w:lang w:val="en-US" w:eastAsia="zh-CN" w:bidi="ar"/>
        </w:rPr>
        <w:t>一、对于业务覆盖5个及以上区、提供服务次数不低于5万次的创新消费场景</w:t>
      </w:r>
    </w:p>
    <w:tbl>
      <w:tblPr>
        <w:tblStyle w:val="18"/>
        <w:tblpPr w:leftFromText="180" w:rightFromText="180" w:vertAnchor="text" w:tblpXSpec="center" w:tblpY="1"/>
        <w:tblOverlap w:val="never"/>
        <w:tblW w:w="141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3"/>
        <w:gridCol w:w="989"/>
        <w:gridCol w:w="6353"/>
        <w:gridCol w:w="1426"/>
        <w:gridCol w:w="38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tblHeader/>
        </w:trPr>
        <w:tc>
          <w:tcPr>
            <w:tcW w:w="1553" w:type="dxa"/>
            <w:tcBorders>
              <w:top w:val="single" w:color="000000" w:sz="4" w:space="0"/>
              <w:left w:val="single" w:color="000000" w:sz="4" w:space="0"/>
              <w:bottom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类型</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维度</w:t>
            </w: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评分标准</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分值</w:t>
            </w:r>
          </w:p>
        </w:tc>
        <w:tc>
          <w:tcPr>
            <w:tcW w:w="38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b/>
                <w:bCs/>
                <w:i w:val="0"/>
                <w:iCs w:val="0"/>
                <w:color w:val="auto"/>
                <w:sz w:val="22"/>
                <w:szCs w:val="22"/>
                <w:highlight w:val="none"/>
                <w:u w:val="none"/>
                <w:lang w:val="en-US"/>
              </w:rPr>
            </w:pPr>
            <w:r>
              <w:rPr>
                <w:rFonts w:hint="eastAsia" w:ascii="仿宋_GB2312" w:hAnsi="宋体" w:eastAsia="仿宋_GB2312" w:cs="仿宋_GB2312"/>
                <w:b/>
                <w:bCs/>
                <w:i w:val="0"/>
                <w:iCs w:val="0"/>
                <w:color w:val="auto"/>
                <w:kern w:val="0"/>
                <w:sz w:val="22"/>
                <w:szCs w:val="22"/>
                <w:highlight w:val="none"/>
                <w:u w:val="none"/>
                <w:lang w:val="en-US" w:eastAsia="zh-CN" w:bidi="ar"/>
              </w:rPr>
              <w:t>佐证材料参考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53" w:type="dxa"/>
            <w:vMerge w:val="restart"/>
            <w:tcBorders>
              <w:left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b/>
                <w:bCs/>
                <w:i w:val="0"/>
                <w:iCs w:val="0"/>
                <w:color w:val="auto"/>
                <w:sz w:val="22"/>
                <w:szCs w:val="22"/>
                <w:highlight w:val="none"/>
                <w:u w:val="none"/>
                <w:lang w:val="en-US" w:eastAsia="zh-CN"/>
              </w:rPr>
            </w:pPr>
            <w:r>
              <w:rPr>
                <w:rFonts w:hint="eastAsia" w:ascii="仿宋_GB2312" w:hAnsi="宋体" w:eastAsia="仿宋_GB2312" w:cs="仿宋_GB2312"/>
                <w:b/>
                <w:bCs/>
                <w:i w:val="0"/>
                <w:iCs w:val="0"/>
                <w:color w:val="auto"/>
                <w:sz w:val="22"/>
                <w:szCs w:val="22"/>
                <w:highlight w:val="none"/>
                <w:u w:val="none"/>
                <w:lang w:val="en-US" w:eastAsia="zh-CN"/>
              </w:rPr>
              <w:t>技术适配性</w:t>
            </w:r>
          </w:p>
        </w:tc>
        <w:tc>
          <w:tcPr>
            <w:tcW w:w="989" w:type="dxa"/>
            <w:vMerge w:val="restart"/>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sz w:val="22"/>
                <w:szCs w:val="22"/>
                <w:highlight w:val="none"/>
                <w:u w:val="none"/>
                <w:lang w:val="en-US" w:eastAsia="zh-CN"/>
              </w:rPr>
            </w:pPr>
            <w:r>
              <w:rPr>
                <w:rFonts w:hint="eastAsia" w:ascii="仿宋_GB2312" w:hAnsi="宋体" w:eastAsia="仿宋_GB2312" w:cs="仿宋_GB2312"/>
                <w:b/>
                <w:bCs/>
                <w:i w:val="0"/>
                <w:iCs w:val="0"/>
                <w:color w:val="auto"/>
                <w:sz w:val="22"/>
                <w:szCs w:val="22"/>
                <w:highlight w:val="none"/>
                <w:u w:val="none"/>
                <w:lang w:val="en-US" w:eastAsia="zh-CN"/>
              </w:rPr>
              <w:t>技术成熟度</w:t>
            </w: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eastAsia" w:ascii="仿宋_GB2312" w:hAnsi="宋体" w:eastAsia="仿宋_GB2312" w:cs="仿宋_GB2312"/>
                <w:i w:val="0"/>
                <w:iCs w:val="0"/>
                <w:color w:val="auto"/>
                <w:kern w:val="0"/>
                <w:sz w:val="22"/>
                <w:szCs w:val="28"/>
                <w:highlight w:val="none"/>
                <w:u w:val="none"/>
                <w:lang w:val="en-US" w:eastAsia="zh-CN" w:bidi="ar"/>
              </w:rPr>
              <w:t>实际应用≥4项新一代人工智能技术</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10</w:t>
            </w:r>
          </w:p>
        </w:tc>
        <w:tc>
          <w:tcPr>
            <w:tcW w:w="3853" w:type="dxa"/>
            <w:vMerge w:val="restart"/>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eastAsia="zh-CN"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专利证书、软著证书；包括开源协议即符合使用条件说明、技术服务合同、授权使用文件等</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53" w:type="dxa"/>
            <w:vMerge w:val="continue"/>
            <w:tcBorders>
              <w:left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sz w:val="22"/>
                <w:szCs w:val="22"/>
                <w:highlight w:val="none"/>
                <w:u w:val="none"/>
                <w:lang w:val="en-US" w:eastAsia="zh-CN"/>
              </w:rPr>
            </w:pP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实际应用3项新一代人工智能技术</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6</w:t>
            </w:r>
          </w:p>
        </w:tc>
        <w:tc>
          <w:tcPr>
            <w:tcW w:w="3853"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rPr>
            </w:pPr>
          </w:p>
        </w:tc>
        <w:tc>
          <w:tcPr>
            <w:tcW w:w="989" w:type="dxa"/>
            <w:vMerge w:val="restart"/>
            <w:tcBorders>
              <w:top w:val="single" w:color="000000" w:sz="4" w:space="0"/>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r>
              <w:rPr>
                <w:rFonts w:hint="eastAsia" w:ascii="仿宋_GB2312" w:hAnsi="宋体" w:eastAsia="仿宋_GB2312" w:cs="仿宋_GB2312"/>
                <w:b/>
                <w:bCs/>
                <w:i w:val="0"/>
                <w:iCs w:val="0"/>
                <w:color w:val="auto"/>
                <w:kern w:val="0"/>
                <w:sz w:val="22"/>
                <w:szCs w:val="22"/>
                <w:highlight w:val="none"/>
                <w:u w:val="none"/>
                <w:lang w:val="en-US" w:eastAsia="zh-CN" w:bidi="ar"/>
              </w:rPr>
              <w:t>AI技术实现层级与应用形态</w:t>
            </w:r>
          </w:p>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r>
              <w:rPr>
                <w:rFonts w:hint="eastAsia" w:ascii="仿宋_GB2312" w:hAnsi="宋体" w:eastAsia="仿宋_GB2312" w:cs="仿宋_GB2312"/>
                <w:b/>
                <w:bCs/>
                <w:i w:val="0"/>
                <w:iCs w:val="0"/>
                <w:color w:val="auto"/>
                <w:kern w:val="0"/>
                <w:sz w:val="22"/>
                <w:szCs w:val="22"/>
                <w:highlight w:val="none"/>
                <w:u w:val="none"/>
                <w:lang w:val="en-US" w:eastAsia="zh-CN" w:bidi="ar"/>
              </w:rPr>
              <w:t>（可重复得分）</w:t>
            </w: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olor w:val="auto"/>
                <w:sz w:val="22"/>
                <w:szCs w:val="22"/>
                <w:highlight w:val="none"/>
                <w:u w:val="none"/>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bidi="ar"/>
              </w:rPr>
              <w:t>项目实现自主智能作业：应用具身智能、无人系统等核心技术，实现AI自主感知、自主决策、物理执行的全链路闭环。由AI直接操控硬件设备、机器人终端等物理载体，在实际服务场景中自主完成核心服务动作（如自动配送、自主作业、智能巡检等）。</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sz w:val="22"/>
                <w:szCs w:val="22"/>
                <w:highlight w:val="none"/>
                <w:u w:val="none"/>
                <w:lang w:val="en-US"/>
              </w:rPr>
            </w:pPr>
            <w:r>
              <w:rPr>
                <w:rFonts w:hint="eastAsia" w:ascii="仿宋_GB2312" w:hAnsi="宋体" w:eastAsia="仿宋_GB2312" w:cs="仿宋_GB2312"/>
                <w:i w:val="0"/>
                <w:iCs w:val="0"/>
                <w:color w:val="auto"/>
                <w:kern w:val="0"/>
                <w:sz w:val="22"/>
                <w:szCs w:val="22"/>
                <w:highlight w:val="none"/>
                <w:u w:val="none"/>
                <w:lang w:val="en-US" w:eastAsia="zh-CN" w:bidi="ar"/>
              </w:rPr>
              <w:t>5</w:t>
            </w:r>
          </w:p>
        </w:tc>
        <w:tc>
          <w:tcPr>
            <w:tcW w:w="3853" w:type="dxa"/>
            <w:vMerge w:val="restart"/>
            <w:tcBorders>
              <w:top w:val="single" w:color="000000" w:sz="4" w:space="0"/>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2"/>
                <w:highlight w:val="none"/>
                <w:u w:val="none"/>
                <w:shd w:val="clear" w:color="auto" w:fill="auto"/>
                <w:lang w:val="en-US" w:eastAsia="zh-CN"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技术方案说明</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eastAsia="zh-CN" w:bidi="ar"/>
              </w:rPr>
              <w:t>、功能说明书、</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演示视频等</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rPr>
            </w:pPr>
          </w:p>
        </w:tc>
        <w:tc>
          <w:tcPr>
            <w:tcW w:w="989"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000000" w:sz="4" w:space="0"/>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项目实现生成式智能交互：应用AIGC（生成式人工智能）、大语言模型、多模态模型等核心技术，实现实时内容生成、多模态智能交互。系统可根据用户个性化输入，动态生成文本、图像、视频或定制化解决方案，为用户提供深度语义交互、沉浸式虚拟体验或个性化服务匹配。</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5</w:t>
            </w:r>
          </w:p>
        </w:tc>
        <w:tc>
          <w:tcPr>
            <w:tcW w:w="3853"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rPr>
            </w:pPr>
          </w:p>
        </w:tc>
        <w:tc>
          <w:tcPr>
            <w:tcW w:w="989"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000000" w:sz="4" w:space="0"/>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项目实现决策智能优化：应用机器学习、运筹优化、大数据分析等算法技术，实现后台资源智能调度、供需动态匹配、业务流程自动化等决策层优化。</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5</w:t>
            </w:r>
          </w:p>
        </w:tc>
        <w:tc>
          <w:tcPr>
            <w:tcW w:w="3853" w:type="dxa"/>
            <w:vMerge w:val="continue"/>
            <w:tcBorders>
              <w:left w:val="single" w:color="000000" w:sz="4" w:space="0"/>
              <w:bottom w:val="single" w:color="auto"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restart"/>
            <w:tcBorders>
              <w:top w:val="single" w:color="auto" w:sz="4" w:space="0"/>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市场实效性</w:t>
            </w:r>
          </w:p>
        </w:tc>
        <w:tc>
          <w:tcPr>
            <w:tcW w:w="989" w:type="dxa"/>
            <w:vMerge w:val="restart"/>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规模覆盖能力</w:t>
            </w: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eastAsia="zh-CN"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深圳全市</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落地</w:t>
            </w:r>
            <w:r>
              <w:rPr>
                <w:rStyle w:val="19"/>
                <w:rFonts w:hint="eastAsia" w:ascii="仿宋_GB2312" w:hAnsi="宋体" w:eastAsia="仿宋_GB2312" w:cs="仿宋_GB2312"/>
                <w:b w:val="0"/>
                <w:bCs w:val="0"/>
                <w:i w:val="0"/>
                <w:iCs w:val="0"/>
                <w:caps w:val="0"/>
                <w:color w:val="auto"/>
                <w:spacing w:val="0"/>
                <w:kern w:val="0"/>
                <w:sz w:val="22"/>
                <w:szCs w:val="22"/>
                <w:highlight w:val="none"/>
                <w:u w:val="none"/>
                <w:shd w:val="clear" w:color="auto" w:fill="FFFFFF"/>
                <w:lang w:bidi="ar"/>
              </w:rPr>
              <w:t>≥</w:t>
            </w:r>
            <w:r>
              <w:rPr>
                <w:rFonts w:hint="eastAsia" w:ascii="仿宋_GB2312" w:hAnsi="宋体" w:eastAsia="仿宋_GB2312" w:cs="仿宋_GB2312"/>
                <w:b w:val="0"/>
                <w:bCs w:val="0"/>
                <w:i w:val="0"/>
                <w:iCs w:val="0"/>
                <w:caps w:val="0"/>
                <w:color w:val="auto"/>
                <w:spacing w:val="0"/>
                <w:kern w:val="0"/>
                <w:sz w:val="22"/>
                <w:szCs w:val="22"/>
                <w:highlight w:val="none"/>
                <w:u w:val="none"/>
                <w:shd w:val="clear" w:color="auto" w:fill="auto"/>
                <w:lang w:val="en-US" w:eastAsia="zh-CN" w:bidi="ar"/>
              </w:rPr>
              <w:t>6</w:t>
            </w:r>
            <w:r>
              <w:rPr>
                <w:rStyle w:val="19"/>
                <w:rFonts w:hint="eastAsia" w:ascii="仿宋_GB2312" w:hAnsi="宋体" w:eastAsia="仿宋_GB2312" w:cs="仿宋_GB2312"/>
                <w:b w:val="0"/>
                <w:bCs w:val="0"/>
                <w:i w:val="0"/>
                <w:iCs w:val="0"/>
                <w:caps w:val="0"/>
                <w:color w:val="auto"/>
                <w:spacing w:val="0"/>
                <w:kern w:val="0"/>
                <w:sz w:val="22"/>
                <w:szCs w:val="22"/>
                <w:highlight w:val="none"/>
                <w:u w:val="none"/>
                <w:shd w:val="clear" w:color="auto" w:fill="FFFFFF"/>
                <w:lang w:bidi="ar"/>
              </w:rPr>
              <w:t>个</w:t>
            </w:r>
            <w:r>
              <w:rPr>
                <w:rStyle w:val="19"/>
                <w:rFonts w:hint="eastAsia" w:ascii="仿宋_GB2312" w:hAnsi="宋体" w:eastAsia="仿宋_GB2312" w:cs="仿宋_GB2312"/>
                <w:b w:val="0"/>
                <w:bCs w:val="0"/>
                <w:i w:val="0"/>
                <w:iCs w:val="0"/>
                <w:caps w:val="0"/>
                <w:color w:val="auto"/>
                <w:spacing w:val="0"/>
                <w:kern w:val="0"/>
                <w:sz w:val="22"/>
                <w:szCs w:val="22"/>
                <w:highlight w:val="none"/>
                <w:u w:val="none"/>
                <w:shd w:val="clear" w:color="auto" w:fill="FFFFFF"/>
                <w:lang w:eastAsia="zh-CN" w:bidi="ar"/>
              </w:rPr>
              <w:t>区</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eastAsia="zh-CN" w:bidi="ar"/>
              </w:rPr>
              <w:t>（指各区及前海合作区、深汕特别合作区等</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12个区域</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eastAsia="zh-CN" w:bidi="ar"/>
              </w:rPr>
              <w:t>）</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12</w:t>
            </w:r>
          </w:p>
        </w:tc>
        <w:tc>
          <w:tcPr>
            <w:tcW w:w="3853" w:type="dxa"/>
            <w:vMerge w:val="restart"/>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olor w:val="auto"/>
                <w:sz w:val="22"/>
                <w:szCs w:val="22"/>
                <w:highlight w:val="none"/>
                <w:u w:val="none"/>
                <w:lang w:val="en-US" w:eastAsia="zh-CN"/>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落地网点清单（含地址）、覆盖区域分布地图、用户规模统计表</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等材料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b w:val="0"/>
                <w:bCs w:val="0"/>
                <w:i w:val="0"/>
                <w:iCs w:val="0"/>
                <w:caps w:val="0"/>
                <w:color w:val="auto"/>
                <w:spacing w:val="0"/>
                <w:kern w:val="0"/>
                <w:sz w:val="22"/>
                <w:szCs w:val="22"/>
                <w:highlight w:val="none"/>
                <w:u w:val="none"/>
                <w:shd w:val="clear" w:color="auto" w:fill="auto"/>
                <w:lang w:val="en-US" w:eastAsia="zh-CN" w:bidi="ar"/>
              </w:rPr>
            </w:pPr>
            <w:r>
              <w:rPr>
                <w:rFonts w:hint="eastAsia" w:ascii="仿宋_GB2312" w:hAnsi="宋体" w:eastAsia="仿宋_GB2312" w:cs="仿宋_GB2312"/>
                <w:b w:val="0"/>
                <w:bCs w:val="0"/>
                <w:i w:val="0"/>
                <w:iCs w:val="0"/>
                <w:caps w:val="0"/>
                <w:color w:val="auto"/>
                <w:spacing w:val="0"/>
                <w:kern w:val="0"/>
                <w:sz w:val="22"/>
                <w:szCs w:val="22"/>
                <w:highlight w:val="none"/>
                <w:u w:val="none"/>
                <w:shd w:val="clear" w:color="auto" w:fill="auto"/>
                <w:lang w:val="en-US" w:eastAsia="zh-CN" w:bidi="ar"/>
              </w:rPr>
              <w:t>深圳全市落地5</w:t>
            </w:r>
            <w:r>
              <w:rPr>
                <w:rFonts w:hint="eastAsia" w:ascii="仿宋_GB2312" w:hAnsi="宋体" w:eastAsia="仿宋_GB2312" w:cs="仿宋_GB2312"/>
                <w:b w:val="0"/>
                <w:bCs w:val="0"/>
                <w:i w:val="0"/>
                <w:iCs w:val="0"/>
                <w:caps w:val="0"/>
                <w:color w:val="auto"/>
                <w:spacing w:val="0"/>
                <w:kern w:val="0"/>
                <w:sz w:val="22"/>
                <w:szCs w:val="22"/>
                <w:highlight w:val="none"/>
                <w:u w:val="none"/>
                <w:shd w:val="clear" w:color="auto" w:fill="auto"/>
                <w:lang w:bidi="ar"/>
              </w:rPr>
              <w:t>个</w:t>
            </w:r>
            <w:r>
              <w:rPr>
                <w:rStyle w:val="19"/>
                <w:rFonts w:hint="eastAsia" w:ascii="仿宋_GB2312" w:hAnsi="宋体" w:eastAsia="仿宋_GB2312" w:cs="仿宋_GB2312"/>
                <w:b w:val="0"/>
                <w:bCs w:val="0"/>
                <w:i w:val="0"/>
                <w:iCs w:val="0"/>
                <w:caps w:val="0"/>
                <w:color w:val="auto"/>
                <w:spacing w:val="0"/>
                <w:kern w:val="0"/>
                <w:sz w:val="22"/>
                <w:szCs w:val="22"/>
                <w:highlight w:val="none"/>
                <w:u w:val="none"/>
                <w:shd w:val="clear" w:color="auto" w:fill="FFFFFF"/>
                <w:lang w:eastAsia="zh-CN" w:bidi="ar"/>
              </w:rPr>
              <w:t>区</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eastAsia="zh-CN" w:bidi="ar"/>
              </w:rPr>
              <w:t>（指各区及前海合作区、深汕特别合作区等</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12个区域</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eastAsia="zh-CN" w:bidi="ar"/>
              </w:rPr>
              <w:t>）</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6</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2"/>
                <w:sz w:val="22"/>
                <w:szCs w:val="28"/>
                <w:highlight w:val="none"/>
                <w:u w:val="none"/>
                <w:lang w:val="en-US" w:eastAsia="zh-CN" w:bidi="ar-SA"/>
              </w:rPr>
            </w:pPr>
            <w:r>
              <w:rPr>
                <w:rFonts w:hint="eastAsia" w:ascii="仿宋_GB2312" w:hAnsi="宋体" w:eastAsia="仿宋_GB2312" w:cs="仿宋_GB2312"/>
                <w:b/>
                <w:bCs/>
                <w:i w:val="0"/>
                <w:iCs w:val="0"/>
                <w:color w:val="auto"/>
                <w:kern w:val="0"/>
                <w:sz w:val="22"/>
                <w:szCs w:val="28"/>
                <w:highlight w:val="none"/>
                <w:u w:val="none"/>
                <w:lang w:val="en-US" w:eastAsia="zh-CN" w:bidi="ar"/>
              </w:rPr>
              <w:t>终端数/场景数</w:t>
            </w: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运营终端数或消费场景数（取高值）：≥50个</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15</w:t>
            </w:r>
          </w:p>
        </w:tc>
        <w:tc>
          <w:tcPr>
            <w:tcW w:w="385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终端设备清单、场景部署清单、现场照片等材料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≥20个</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10</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≥10个</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6</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≥5个</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3</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&lt;5个</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0</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2"/>
                <w:sz w:val="22"/>
                <w:szCs w:val="28"/>
                <w:highlight w:val="none"/>
                <w:u w:val="none"/>
                <w:lang w:val="en-US" w:eastAsia="zh-CN" w:bidi="ar-SA"/>
              </w:rPr>
            </w:pPr>
            <w:r>
              <w:rPr>
                <w:rFonts w:hint="eastAsia" w:ascii="仿宋_GB2312" w:hAnsi="宋体" w:eastAsia="仿宋_GB2312" w:cs="仿宋_GB2312"/>
                <w:b/>
                <w:bCs/>
                <w:i w:val="0"/>
                <w:iCs w:val="0"/>
                <w:color w:val="auto"/>
                <w:kern w:val="0"/>
                <w:sz w:val="22"/>
                <w:szCs w:val="28"/>
                <w:highlight w:val="none"/>
                <w:u w:val="none"/>
                <w:lang w:val="en-US" w:eastAsia="zh-CN" w:bidi="ar"/>
              </w:rPr>
              <w:t>累计服务次数</w:t>
            </w: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累计服务次数：≥7万次</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15</w:t>
            </w:r>
          </w:p>
        </w:tc>
        <w:tc>
          <w:tcPr>
            <w:tcW w:w="385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后台服务记录、消费订单数据（脱敏）、系统日志等材料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≥6万次</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10</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≥5万次（门槛）</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5</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&lt;5万次</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0</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tcBorders>
              <w:top w:val="single" w:color="auto" w:sz="4" w:space="0"/>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b/>
                <w:bCs/>
                <w:i w:val="0"/>
                <w:iCs w:val="0"/>
                <w:color w:val="auto"/>
                <w:kern w:val="0"/>
                <w:sz w:val="22"/>
                <w:szCs w:val="22"/>
                <w:highlight w:val="none"/>
                <w:u w:val="none"/>
                <w:lang w:val="en-US" w:eastAsia="zh-CN" w:bidi="ar"/>
              </w:rPr>
            </w:pPr>
            <w:r>
              <w:rPr>
                <w:rFonts w:hint="eastAsia" w:ascii="仿宋_GB2312" w:hAnsi="宋体" w:eastAsia="仿宋_GB2312" w:cs="仿宋_GB2312"/>
                <w:b/>
                <w:bCs/>
                <w:i w:val="0"/>
                <w:iCs w:val="0"/>
                <w:color w:val="auto"/>
                <w:kern w:val="0"/>
                <w:sz w:val="22"/>
                <w:szCs w:val="22"/>
                <w:highlight w:val="none"/>
                <w:u w:val="none"/>
                <w:lang w:val="en-US" w:eastAsia="zh-CN" w:bidi="ar"/>
              </w:rPr>
              <w:t>深圳科创消费特色</w:t>
            </w: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深圳为全国首个落地城市</w:t>
            </w:r>
          </w:p>
        </w:tc>
        <w:tc>
          <w:tcPr>
            <w:tcW w:w="1426" w:type="dxa"/>
            <w:tcBorders>
              <w:top w:val="single" w:color="auto" w:sz="4" w:space="0"/>
              <w:left w:val="single" w:color="000000" w:sz="4" w:space="0"/>
              <w:bottom w:val="single" w:color="auto"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20</w:t>
            </w:r>
          </w:p>
        </w:tc>
        <w:tc>
          <w:tcPr>
            <w:tcW w:w="3853" w:type="dxa"/>
            <w:tcBorders>
              <w:top w:val="single" w:color="auto" w:sz="4" w:space="0"/>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需附有官方媒体新闻稿截图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restart"/>
            <w:tcBorders>
              <w:top w:val="single" w:color="auto" w:sz="4" w:space="0"/>
              <w:left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推广可行性</w:t>
            </w:r>
          </w:p>
        </w:tc>
        <w:tc>
          <w:tcPr>
            <w:tcW w:w="989" w:type="dxa"/>
            <w:vMerge w:val="restart"/>
            <w:tcBorders>
              <w:top w:val="single" w:color="auto" w:sz="4" w:space="0"/>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模式可复制性</w:t>
            </w: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已形成</w:t>
            </w:r>
            <w:r>
              <w:rPr>
                <w:rFonts w:hint="default" w:ascii="仿宋_GB2312" w:hAnsi="宋体" w:eastAsia="仿宋_GB2312" w:cs="仿宋_GB2312"/>
                <w:i w:val="0"/>
                <w:iCs w:val="0"/>
                <w:caps w:val="0"/>
                <w:color w:val="auto"/>
                <w:spacing w:val="0"/>
                <w:kern w:val="0"/>
                <w:sz w:val="22"/>
                <w:szCs w:val="22"/>
                <w:highlight w:val="none"/>
                <w:u w:val="none"/>
                <w:shd w:val="clear" w:color="auto" w:fill="auto"/>
                <w:lang w:bidi="ar"/>
              </w:rPr>
              <w:t>标准化运营手册（含硬件部署、软件配置、人员培训、供应链）</w:t>
            </w:r>
          </w:p>
        </w:tc>
        <w:tc>
          <w:tcPr>
            <w:tcW w:w="1426" w:type="dxa"/>
            <w:tcBorders>
              <w:top w:val="single" w:color="auto" w:sz="4" w:space="0"/>
              <w:left w:val="single" w:color="000000" w:sz="4" w:space="0"/>
              <w:bottom w:val="single" w:color="auto"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5</w:t>
            </w:r>
          </w:p>
        </w:tc>
        <w:tc>
          <w:tcPr>
            <w:tcW w:w="3853" w:type="dxa"/>
            <w:vMerge w:val="restart"/>
            <w:tcBorders>
              <w:top w:val="single" w:color="auto" w:sz="4" w:space="0"/>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sz w:val="22"/>
                <w:szCs w:val="22"/>
                <w:highlight w:val="none"/>
                <w:u w:val="none"/>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标准化运营手册、</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推广方案、商业计划书</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等材料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有初步</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推广</w:t>
            </w: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方案或商业计划书</w:t>
            </w:r>
          </w:p>
        </w:tc>
        <w:tc>
          <w:tcPr>
            <w:tcW w:w="1426" w:type="dxa"/>
            <w:tcBorders>
              <w:top w:val="single" w:color="auto" w:sz="4" w:space="0"/>
              <w:left w:val="single" w:color="000000" w:sz="4" w:space="0"/>
              <w:bottom w:val="single" w:color="auto"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2</w:t>
            </w:r>
          </w:p>
        </w:tc>
        <w:tc>
          <w:tcPr>
            <w:tcW w:w="3853"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p>
        </w:tc>
        <w:tc>
          <w:tcPr>
            <w:tcW w:w="989" w:type="dxa"/>
            <w:vMerge w:val="continue"/>
            <w:tcBorders>
              <w:left w:val="single" w:color="000000" w:sz="4" w:space="0"/>
              <w:bottom w:val="single" w:color="auto"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sz w:val="22"/>
                <w:szCs w:val="22"/>
                <w:highlight w:val="none"/>
                <w:u w:val="none"/>
              </w:rPr>
            </w:pP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无标准化文档，商业模式不清晰</w:t>
            </w:r>
          </w:p>
        </w:tc>
        <w:tc>
          <w:tcPr>
            <w:tcW w:w="1426" w:type="dxa"/>
            <w:tcBorders>
              <w:top w:val="single" w:color="auto" w:sz="4" w:space="0"/>
              <w:left w:val="single" w:color="000000" w:sz="4" w:space="0"/>
              <w:bottom w:val="single" w:color="auto"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sz w:val="22"/>
                <w:szCs w:val="22"/>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0</w:t>
            </w:r>
          </w:p>
        </w:tc>
        <w:tc>
          <w:tcPr>
            <w:tcW w:w="3853" w:type="dxa"/>
            <w:vMerge w:val="continue"/>
            <w:tcBorders>
              <w:left w:val="single" w:color="000000" w:sz="4" w:space="0"/>
              <w:bottom w:val="single" w:color="auto"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restart"/>
            <w:tcBorders>
              <w:top w:val="single" w:color="000000" w:sz="4" w:space="0"/>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r>
              <w:rPr>
                <w:rFonts w:hint="eastAsia" w:ascii="仿宋_GB2312" w:hAnsi="宋体" w:eastAsia="仿宋_GB2312" w:cs="仿宋_GB2312"/>
                <w:b/>
                <w:bCs/>
                <w:i w:val="0"/>
                <w:iCs w:val="0"/>
                <w:color w:val="auto"/>
                <w:sz w:val="22"/>
                <w:szCs w:val="22"/>
                <w:highlight w:val="none"/>
                <w:u w:val="none"/>
                <w:lang w:val="en-US" w:eastAsia="zh-CN"/>
              </w:rPr>
              <w:t>可持续发展</w:t>
            </w:r>
          </w:p>
        </w:tc>
        <w:tc>
          <w:tcPr>
            <w:tcW w:w="989" w:type="dxa"/>
            <w:vMerge w:val="restart"/>
            <w:tcBorders>
              <w:top w:val="single" w:color="000000" w:sz="4" w:space="0"/>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r>
              <w:rPr>
                <w:rStyle w:val="19"/>
                <w:rFonts w:hint="eastAsia" w:ascii="仿宋_GB2312" w:hAnsi="宋体" w:eastAsia="仿宋_GB2312" w:cs="仿宋_GB2312"/>
                <w:b/>
                <w:bCs/>
                <w:i w:val="0"/>
                <w:iCs w:val="0"/>
                <w:caps w:val="0"/>
                <w:color w:val="auto"/>
                <w:spacing w:val="0"/>
                <w:kern w:val="0"/>
                <w:sz w:val="22"/>
                <w:szCs w:val="22"/>
                <w:highlight w:val="none"/>
                <w:u w:val="none"/>
                <w:shd w:val="clear" w:color="auto" w:fill="FFFFFF"/>
                <w:lang w:bidi="ar"/>
              </w:rPr>
              <w:t>可持续运营能力</w:t>
            </w: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配备专职运营团队≥</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50</w:t>
            </w: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人</w:t>
            </w:r>
          </w:p>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提供≥1年详细运营规划和资金预算</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安排情况</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5</w:t>
            </w:r>
          </w:p>
        </w:tc>
        <w:tc>
          <w:tcPr>
            <w:tcW w:w="3853" w:type="dxa"/>
            <w:vMerge w:val="restart"/>
            <w:tcBorders>
              <w:top w:val="single" w:color="000000" w:sz="4" w:space="0"/>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运营团队花名册（含职责分工）、社保缴纳记录、资金保障材料、未来1年运营规划方案、近3个月营收报表</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等材料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aps w:val="0"/>
                <w:color w:val="auto"/>
                <w:spacing w:val="0"/>
                <w:kern w:val="0"/>
                <w:sz w:val="22"/>
                <w:szCs w:val="22"/>
                <w:highlight w:val="none"/>
                <w:u w:val="none"/>
                <w:shd w:val="clear" w:color="auto" w:fill="auto"/>
                <w:lang w:bidi="ar"/>
              </w:rPr>
            </w:pP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配备专职运营团队</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≥20</w:t>
            </w: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人</w:t>
            </w:r>
          </w:p>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有≥6个月运营规划</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3</w:t>
            </w:r>
          </w:p>
        </w:tc>
        <w:tc>
          <w:tcPr>
            <w:tcW w:w="3853"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bottom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无专职运营团队</w:t>
            </w:r>
          </w:p>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或无长期运营规划</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0</w:t>
            </w:r>
          </w:p>
        </w:tc>
        <w:tc>
          <w:tcPr>
            <w:tcW w:w="3853" w:type="dxa"/>
            <w:vMerge w:val="continue"/>
            <w:tcBorders>
              <w:left w:val="single" w:color="000000" w:sz="4" w:space="0"/>
              <w:bottom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2"/>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restart"/>
            <w:tcBorders>
              <w:top w:val="single" w:color="000000" w:sz="4" w:space="0"/>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r>
              <w:rPr>
                <w:rFonts w:hint="eastAsia" w:ascii="仿宋_GB2312" w:hAnsi="宋体" w:eastAsia="仿宋_GB2312" w:cs="仿宋_GB2312"/>
                <w:b/>
                <w:bCs/>
                <w:i w:val="0"/>
                <w:iCs w:val="0"/>
                <w:color w:val="auto"/>
                <w:sz w:val="22"/>
                <w:szCs w:val="22"/>
                <w:highlight w:val="none"/>
                <w:u w:val="none"/>
                <w:lang w:val="en-US" w:eastAsia="zh-CN"/>
              </w:rPr>
              <w:t>风险防控</w:t>
            </w:r>
          </w:p>
        </w:tc>
        <w:tc>
          <w:tcPr>
            <w:tcW w:w="989" w:type="dxa"/>
            <w:vMerge w:val="restart"/>
            <w:tcBorders>
              <w:top w:val="single" w:color="000000" w:sz="4" w:space="0"/>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b/>
                <w:bCs/>
                <w:i w:val="0"/>
                <w:iCs w:val="0"/>
                <w:color w:val="auto"/>
                <w:kern w:val="0"/>
                <w:sz w:val="22"/>
                <w:szCs w:val="22"/>
                <w:highlight w:val="none"/>
                <w:u w:val="none"/>
                <w:lang w:val="en-US" w:eastAsia="zh-CN" w:bidi="ar"/>
              </w:rPr>
            </w:pPr>
            <w:r>
              <w:rPr>
                <w:rFonts w:hint="eastAsia" w:ascii="仿宋_GB2312" w:hAnsi="宋体" w:eastAsia="仿宋_GB2312" w:cs="仿宋_GB2312"/>
                <w:b/>
                <w:bCs/>
                <w:i w:val="0"/>
                <w:iCs w:val="0"/>
                <w:color w:val="auto"/>
                <w:kern w:val="0"/>
                <w:sz w:val="22"/>
                <w:szCs w:val="22"/>
                <w:highlight w:val="none"/>
                <w:u w:val="none"/>
                <w:lang w:val="en-US" w:eastAsia="zh-CN" w:bidi="ar"/>
              </w:rPr>
              <w:t>风险应对与应急处理</w:t>
            </w: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已制定完整的AI技术故障、消费纠纷、数据安全、舆情应对四类应急预案，明确处置流程、责任人及24小时响应机制，近6个月无重大风险事故（数据泄露、重大舆情、群体性投诉）</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3</w:t>
            </w:r>
          </w:p>
        </w:tc>
        <w:tc>
          <w:tcPr>
            <w:tcW w:w="3853" w:type="dxa"/>
            <w:vMerge w:val="restart"/>
            <w:tcBorders>
              <w:top w:val="single" w:color="000000" w:sz="4" w:space="0"/>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风险防控应急预案文件、风险处置责任分工及通讯录、近6个月系统运维及投诉处理记录</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等材料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有基础应急预案，覆盖核心风险场景（≥2类），但处置流程不完整或响应机制不明确</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2</w:t>
            </w:r>
          </w:p>
        </w:tc>
        <w:tc>
          <w:tcPr>
            <w:tcW w:w="3853"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bottom w:val="single" w:color="auto"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bottom w:val="single" w:color="auto"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000000" w:sz="4" w:space="0"/>
              <w:left w:val="single" w:color="000000" w:sz="4" w:space="0"/>
              <w:bottom w:val="single" w:color="auto"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无应急预案，或近6个月内发生过重大风险事故</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0</w:t>
            </w:r>
          </w:p>
        </w:tc>
        <w:tc>
          <w:tcPr>
            <w:tcW w:w="3853" w:type="dxa"/>
            <w:vMerge w:val="continue"/>
            <w:tcBorders>
              <w:left w:val="single" w:color="000000" w:sz="4" w:space="0"/>
              <w:bottom w:val="single" w:color="auto"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restart"/>
            <w:tcBorders>
              <w:top w:val="single" w:color="auto" w:sz="4" w:space="0"/>
              <w:left w:val="single" w:color="000000" w:sz="4" w:space="0"/>
              <w:right w:val="single" w:color="000000" w:sz="4" w:space="0"/>
            </w:tcBorders>
            <w:noWrap/>
            <w:vAlign w:val="center"/>
          </w:tcPr>
          <w:p>
            <w:pPr>
              <w:snapToGrid w:val="0"/>
              <w:spacing w:before="0" w:after="0" w:line="560" w:lineRule="exact"/>
              <w:ind w:left="0" w:leftChars="0" w:right="0" w:rightChars="0" w:firstLine="0" w:firstLineChars="0"/>
              <w:jc w:val="center"/>
              <w:rPr>
                <w:rFonts w:hint="default" w:ascii="仿宋_GB2312" w:hAnsi="宋体" w:eastAsia="仿宋_GB2312" w:cs="仿宋_GB2312"/>
                <w:b/>
                <w:bCs/>
                <w:i w:val="0"/>
                <w:iCs w:val="0"/>
                <w:color w:val="auto"/>
                <w:sz w:val="22"/>
                <w:szCs w:val="22"/>
                <w:highlight w:val="none"/>
                <w:u w:val="none"/>
                <w:lang w:val="en-US" w:eastAsia="zh-CN"/>
              </w:rPr>
            </w:pPr>
            <w:r>
              <w:rPr>
                <w:rFonts w:hint="eastAsia" w:ascii="仿宋_GB2312" w:hAnsi="宋体" w:eastAsia="仿宋_GB2312" w:cs="仿宋_GB2312"/>
                <w:b/>
                <w:bCs/>
                <w:i w:val="0"/>
                <w:iCs w:val="0"/>
                <w:color w:val="auto"/>
                <w:sz w:val="22"/>
                <w:szCs w:val="22"/>
                <w:highlight w:val="none"/>
                <w:u w:val="none"/>
                <w:lang w:val="en-US" w:eastAsia="zh-CN"/>
              </w:rPr>
              <w:t>企业资质及示范引领作用</w:t>
            </w:r>
          </w:p>
        </w:tc>
        <w:tc>
          <w:tcPr>
            <w:tcW w:w="989" w:type="dxa"/>
            <w:vMerge w:val="restart"/>
            <w:tcBorders>
              <w:top w:val="single" w:color="auto" w:sz="4" w:space="0"/>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r>
              <w:rPr>
                <w:rFonts w:hint="eastAsia" w:ascii="仿宋_GB2312" w:hAnsi="宋体" w:eastAsia="仿宋_GB2312" w:cs="仿宋_GB2312"/>
                <w:b/>
                <w:bCs/>
                <w:i w:val="0"/>
                <w:iCs w:val="0"/>
                <w:color w:val="auto"/>
                <w:kern w:val="0"/>
                <w:sz w:val="22"/>
                <w:szCs w:val="28"/>
                <w:highlight w:val="none"/>
                <w:u w:val="none"/>
                <w:lang w:val="en-US" w:eastAsia="zh-CN" w:bidi="ar"/>
              </w:rPr>
              <w:t>加分项（可重复得分）</w:t>
            </w: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获得国家级/省级科技企业资质或荣誉（包括但不限于：国家高新技术企业、专精特新“小巨人”企业、专精特新中小企业、创新型中小企业、国家技术创新示范企业、科技型中小企业、瞪羚企业、知识产权优势/示范企业等）</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2</w:t>
            </w:r>
          </w:p>
        </w:tc>
        <w:tc>
          <w:tcPr>
            <w:tcW w:w="3853" w:type="dxa"/>
            <w:vMerge w:val="restart"/>
            <w:tcBorders>
              <w:top w:val="single" w:color="auto" w:sz="4" w:space="0"/>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相关荣誉证书、</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主流媒体报道截图或链接</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eastAsia="zh-CN" w:bidi="ar"/>
              </w:rPr>
              <w:t>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8"/>
                <w:highlight w:val="none"/>
                <w:u w:val="none"/>
                <w:lang w:val="en-US" w:eastAsia="zh-CN" w:bidi="ar"/>
              </w:rPr>
            </w:pP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8"/>
                <w:highlight w:val="none"/>
                <w:u w:val="none"/>
                <w:lang w:val="en-US" w:eastAsia="zh-CN"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核心AI技术（大模型、视觉识别、推荐算法等）获</w:t>
            </w:r>
            <w:r>
              <w:rPr>
                <w:rFonts w:hint="default" w:ascii="仿宋_GB2312" w:hAnsi="宋体" w:eastAsia="仿宋_GB2312" w:cs="仿宋_GB2312"/>
                <w:i w:val="0"/>
                <w:iCs w:val="0"/>
                <w:caps w:val="0"/>
                <w:color w:val="auto"/>
                <w:spacing w:val="0"/>
                <w:kern w:val="0"/>
                <w:sz w:val="22"/>
                <w:szCs w:val="22"/>
                <w:highlight w:val="none"/>
                <w:u w:val="none"/>
                <w:shd w:val="clear" w:color="auto" w:fill="auto"/>
                <w:lang w:bidi="ar"/>
              </w:rPr>
              <w:t>国家级</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eastAsia="zh-CN" w:bidi="ar"/>
              </w:rPr>
              <w:t>荣誉</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0"/>
                <w:sz w:val="22"/>
                <w:szCs w:val="28"/>
                <w:highlight w:val="none"/>
                <w:u w:val="none"/>
                <w:lang w:val="en-US"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2</w:t>
            </w:r>
          </w:p>
        </w:tc>
        <w:tc>
          <w:tcPr>
            <w:tcW w:w="3853" w:type="dxa"/>
            <w:vMerge w:val="continue"/>
            <w:tcBorders>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8"/>
                <w:highlight w:val="none"/>
                <w:u w:val="none"/>
                <w:lang w:val="en-US" w:eastAsia="zh-CN" w:bidi="ar"/>
              </w:rPr>
            </w:pP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8"/>
                <w:highlight w:val="none"/>
                <w:u w:val="none"/>
                <w:lang w:val="en-US" w:eastAsia="zh-CN"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核心AI技术（大模型、视觉识别、推荐算法等）获</w:t>
            </w:r>
            <w:r>
              <w:rPr>
                <w:rFonts w:hint="default" w:ascii="仿宋_GB2312" w:hAnsi="宋体" w:eastAsia="仿宋_GB2312" w:cs="仿宋_GB2312"/>
                <w:i w:val="0"/>
                <w:iCs w:val="0"/>
                <w:caps w:val="0"/>
                <w:color w:val="auto"/>
                <w:spacing w:val="0"/>
                <w:kern w:val="0"/>
                <w:sz w:val="22"/>
                <w:szCs w:val="22"/>
                <w:highlight w:val="none"/>
                <w:u w:val="none"/>
                <w:shd w:val="clear" w:color="auto" w:fill="auto"/>
                <w:lang w:bidi="ar"/>
              </w:rPr>
              <w:t>省部级科技奖项</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8"/>
                <w:highlight w:val="none"/>
                <w:u w:val="none"/>
                <w:lang w:val="en-US"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2</w:t>
            </w:r>
          </w:p>
        </w:tc>
        <w:tc>
          <w:tcPr>
            <w:tcW w:w="3853" w:type="dxa"/>
            <w:vMerge w:val="continue"/>
            <w:tcBorders>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8"/>
                <w:highlight w:val="none"/>
                <w:u w:val="none"/>
                <w:lang w:val="en-US" w:eastAsia="zh-CN" w:bidi="ar"/>
              </w:rPr>
            </w:pP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被国家级政府部门列为典型案例推广或被国家级主流媒体（央视、人民日报）专题报道</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8"/>
                <w:highlight w:val="none"/>
                <w:u w:val="none"/>
                <w:lang w:val="en-US"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2</w:t>
            </w:r>
          </w:p>
        </w:tc>
        <w:tc>
          <w:tcPr>
            <w:tcW w:w="3853" w:type="dxa"/>
            <w:vMerge w:val="continue"/>
            <w:tcBorders>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bottom w:val="single" w:color="000000" w:sz="4" w:space="0"/>
              <w:right w:val="single" w:color="000000" w:sz="4" w:space="0"/>
            </w:tcBorders>
            <w:noWrap/>
            <w:vAlign w:val="center"/>
          </w:tcPr>
          <w:p>
            <w:pPr>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8"/>
                <w:highlight w:val="none"/>
                <w:u w:val="none"/>
                <w:lang w:val="en-US" w:eastAsia="zh-CN" w:bidi="ar"/>
              </w:rPr>
            </w:pPr>
          </w:p>
        </w:tc>
        <w:tc>
          <w:tcPr>
            <w:tcW w:w="6353" w:type="dxa"/>
            <w:tcBorders>
              <w:top w:val="single" w:color="auto" w:sz="4" w:space="0"/>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被省级政府部门列为典型案例推广或被省级主流媒体专题报道</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8"/>
                <w:highlight w:val="none"/>
                <w:u w:val="none"/>
                <w:lang w:val="en-US"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2</w:t>
            </w:r>
          </w:p>
        </w:tc>
        <w:tc>
          <w:tcPr>
            <w:tcW w:w="3853"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8"/>
                <w:highlight w:val="none"/>
                <w:u w:val="none"/>
                <w:lang w:val="en-US" w:eastAsia="zh-CN" w:bidi="ar"/>
              </w:rPr>
            </w:pPr>
          </w:p>
        </w:tc>
      </w:tr>
    </w:tbl>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注：新一代人工智能技术包括但不限于智算芯片、具身智能、高阶智驾、端侧轻量化模型、多模态模型等方向。</w:t>
      </w: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default" w:ascii="仿宋_GB2312" w:hAnsi="仿宋_GB2312" w:eastAsia="仿宋_GB2312" w:cs="仿宋_GB2312"/>
          <w:i w:val="0"/>
          <w:iCs w:val="0"/>
          <w:color w:val="auto"/>
          <w:kern w:val="0"/>
          <w:sz w:val="24"/>
          <w:szCs w:val="24"/>
          <w:highlight w:val="none"/>
          <w:u w:val="none"/>
          <w:lang w:val="en-US" w:eastAsia="zh-CN" w:bidi="ar"/>
        </w:rPr>
      </w:pP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default" w:ascii="仿宋_GB2312" w:hAnsi="仿宋_GB2312" w:eastAsia="仿宋_GB2312" w:cs="仿宋_GB2312"/>
          <w:i w:val="0"/>
          <w:iCs w:val="0"/>
          <w:color w:val="auto"/>
          <w:kern w:val="0"/>
          <w:sz w:val="24"/>
          <w:szCs w:val="24"/>
          <w:highlight w:val="none"/>
          <w:u w:val="none"/>
          <w:lang w:val="en-US" w:eastAsia="zh-CN" w:bidi="ar"/>
        </w:rPr>
      </w:pP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eastAsia" w:ascii="黑体" w:hAnsi="黑体" w:eastAsia="黑体" w:cs="黑体"/>
          <w:i w:val="0"/>
          <w:iCs w:val="0"/>
          <w:color w:val="auto"/>
          <w:kern w:val="0"/>
          <w:sz w:val="24"/>
          <w:szCs w:val="24"/>
          <w:highlight w:val="none"/>
          <w:u w:val="none"/>
          <w:lang w:val="en-US" w:eastAsia="zh-CN" w:bidi="ar"/>
        </w:rPr>
      </w:pPr>
      <w:r>
        <w:rPr>
          <w:rFonts w:hint="eastAsia" w:ascii="黑体" w:hAnsi="黑体" w:eastAsia="黑体" w:cs="黑体"/>
          <w:i w:val="0"/>
          <w:iCs w:val="0"/>
          <w:color w:val="auto"/>
          <w:kern w:val="0"/>
          <w:sz w:val="24"/>
          <w:szCs w:val="24"/>
          <w:highlight w:val="none"/>
          <w:u w:val="none"/>
          <w:lang w:val="en-US" w:eastAsia="zh-CN" w:bidi="ar"/>
        </w:rPr>
        <w:t>二、对于业务聚焦在特定区域落地、常态化运营的创新消费场景</w:t>
      </w:r>
    </w:p>
    <w:tbl>
      <w:tblPr>
        <w:tblStyle w:val="18"/>
        <w:tblpPr w:leftFromText="180" w:rightFromText="180" w:vertAnchor="text" w:tblpXSpec="center" w:tblpY="1"/>
        <w:tblOverlap w:val="never"/>
        <w:tblW w:w="141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3"/>
        <w:gridCol w:w="989"/>
        <w:gridCol w:w="6353"/>
        <w:gridCol w:w="1426"/>
        <w:gridCol w:w="38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1553" w:type="dxa"/>
            <w:tcBorders>
              <w:top w:val="single" w:color="000000" w:sz="4" w:space="0"/>
              <w:left w:val="single" w:color="000000" w:sz="4" w:space="0"/>
              <w:bottom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类型</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维度</w:t>
            </w: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评分标准</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分值</w:t>
            </w:r>
          </w:p>
        </w:tc>
        <w:tc>
          <w:tcPr>
            <w:tcW w:w="38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佐证材料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53" w:type="dxa"/>
            <w:vMerge w:val="restart"/>
            <w:tcBorders>
              <w:left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b/>
                <w:bCs/>
                <w:i w:val="0"/>
                <w:iCs w:val="0"/>
                <w:color w:val="auto"/>
                <w:sz w:val="22"/>
                <w:szCs w:val="22"/>
                <w:highlight w:val="none"/>
                <w:u w:val="none"/>
                <w:lang w:val="en-US" w:eastAsia="zh-CN"/>
              </w:rPr>
            </w:pPr>
            <w:r>
              <w:rPr>
                <w:rFonts w:hint="eastAsia" w:ascii="仿宋_GB2312" w:hAnsi="宋体" w:eastAsia="仿宋_GB2312" w:cs="仿宋_GB2312"/>
                <w:b/>
                <w:bCs/>
                <w:i w:val="0"/>
                <w:iCs w:val="0"/>
                <w:color w:val="auto"/>
                <w:sz w:val="22"/>
                <w:szCs w:val="22"/>
                <w:highlight w:val="none"/>
                <w:u w:val="none"/>
                <w:lang w:val="en-US" w:eastAsia="zh-CN"/>
              </w:rPr>
              <w:t>技术适配性</w:t>
            </w:r>
          </w:p>
        </w:tc>
        <w:tc>
          <w:tcPr>
            <w:tcW w:w="989" w:type="dxa"/>
            <w:vMerge w:val="restart"/>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sz w:val="22"/>
                <w:szCs w:val="22"/>
                <w:highlight w:val="none"/>
                <w:u w:val="none"/>
                <w:lang w:val="en-US" w:eastAsia="zh-CN"/>
              </w:rPr>
            </w:pPr>
            <w:r>
              <w:rPr>
                <w:rFonts w:hint="eastAsia" w:ascii="仿宋_GB2312" w:hAnsi="宋体" w:eastAsia="仿宋_GB2312" w:cs="仿宋_GB2312"/>
                <w:b/>
                <w:bCs/>
                <w:i w:val="0"/>
                <w:iCs w:val="0"/>
                <w:color w:val="auto"/>
                <w:sz w:val="22"/>
                <w:szCs w:val="22"/>
                <w:highlight w:val="none"/>
                <w:u w:val="none"/>
                <w:lang w:val="en-US" w:eastAsia="zh-CN"/>
              </w:rPr>
              <w:t>技术成熟度</w:t>
            </w: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eastAsia" w:ascii="仿宋_GB2312" w:hAnsi="宋体" w:eastAsia="仿宋_GB2312" w:cs="仿宋_GB2312"/>
                <w:i w:val="0"/>
                <w:iCs w:val="0"/>
                <w:color w:val="auto"/>
                <w:kern w:val="0"/>
                <w:sz w:val="22"/>
                <w:szCs w:val="28"/>
                <w:highlight w:val="none"/>
                <w:u w:val="none"/>
                <w:lang w:val="en-US" w:eastAsia="zh-CN" w:bidi="ar"/>
              </w:rPr>
              <w:t>实际应用≥3项新一代人工智能技术</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10</w:t>
            </w:r>
          </w:p>
        </w:tc>
        <w:tc>
          <w:tcPr>
            <w:tcW w:w="3853" w:type="dxa"/>
            <w:vMerge w:val="restart"/>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专利证书、软著证书；包括开源协议即符合使用条件说明、技术服务合同、授权使用文件等</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53" w:type="dxa"/>
            <w:vMerge w:val="continue"/>
            <w:tcBorders>
              <w:left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sz w:val="22"/>
                <w:szCs w:val="22"/>
                <w:highlight w:val="none"/>
                <w:u w:val="none"/>
                <w:lang w:val="en-US" w:eastAsia="zh-CN"/>
              </w:rPr>
            </w:pP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实际应用2项新一代人工智能技术</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6</w:t>
            </w:r>
          </w:p>
        </w:tc>
        <w:tc>
          <w:tcPr>
            <w:tcW w:w="3853"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rPr>
            </w:pPr>
          </w:p>
        </w:tc>
        <w:tc>
          <w:tcPr>
            <w:tcW w:w="989" w:type="dxa"/>
            <w:vMerge w:val="restart"/>
            <w:tcBorders>
              <w:top w:val="single" w:color="000000" w:sz="4" w:space="0"/>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r>
              <w:rPr>
                <w:rFonts w:hint="eastAsia" w:ascii="仿宋_GB2312" w:hAnsi="宋体" w:eastAsia="仿宋_GB2312" w:cs="仿宋_GB2312"/>
                <w:b/>
                <w:bCs/>
                <w:i w:val="0"/>
                <w:iCs w:val="0"/>
                <w:color w:val="auto"/>
                <w:kern w:val="0"/>
                <w:sz w:val="22"/>
                <w:szCs w:val="22"/>
                <w:highlight w:val="none"/>
                <w:u w:val="none"/>
                <w:lang w:val="en-US" w:eastAsia="zh-CN" w:bidi="ar"/>
              </w:rPr>
              <w:t>AI技术实现层级与应用形态</w:t>
            </w:r>
          </w:p>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r>
              <w:rPr>
                <w:rFonts w:hint="eastAsia" w:ascii="仿宋_GB2312" w:hAnsi="宋体" w:eastAsia="仿宋_GB2312" w:cs="仿宋_GB2312"/>
                <w:b/>
                <w:bCs/>
                <w:i w:val="0"/>
                <w:iCs w:val="0"/>
                <w:color w:val="auto"/>
                <w:kern w:val="0"/>
                <w:sz w:val="22"/>
                <w:szCs w:val="22"/>
                <w:highlight w:val="none"/>
                <w:u w:val="none"/>
                <w:lang w:val="en-US" w:eastAsia="zh-CN" w:bidi="ar"/>
              </w:rPr>
              <w:t>（可重复得分）</w:t>
            </w: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olor w:val="auto"/>
                <w:sz w:val="22"/>
                <w:szCs w:val="22"/>
                <w:highlight w:val="none"/>
                <w:u w:val="none"/>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bidi="ar"/>
              </w:rPr>
              <w:t>项目实现自主智能作业：应用具身智能、无人系统等核心技术，实现AI自主感知、自主决策、物理执行的全链路闭环。由AI直接操控硬件设备、机器人终端等物理载体，在实际服务场景中自主完成核心服务动作（如自动配送、自主作业、智能巡检等）。</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sz w:val="22"/>
                <w:szCs w:val="22"/>
                <w:highlight w:val="none"/>
                <w:u w:val="none"/>
                <w:lang w:val="en-US"/>
              </w:rPr>
            </w:pPr>
            <w:r>
              <w:rPr>
                <w:rFonts w:hint="eastAsia" w:ascii="仿宋_GB2312" w:hAnsi="宋体" w:eastAsia="仿宋_GB2312" w:cs="仿宋_GB2312"/>
                <w:i w:val="0"/>
                <w:iCs w:val="0"/>
                <w:color w:val="auto"/>
                <w:sz w:val="22"/>
                <w:szCs w:val="22"/>
                <w:highlight w:val="none"/>
                <w:u w:val="none"/>
                <w:lang w:val="en-US" w:eastAsia="zh-CN"/>
              </w:rPr>
              <w:t>5</w:t>
            </w:r>
          </w:p>
        </w:tc>
        <w:tc>
          <w:tcPr>
            <w:tcW w:w="3853" w:type="dxa"/>
            <w:vMerge w:val="restart"/>
            <w:tcBorders>
              <w:top w:val="single" w:color="000000" w:sz="4" w:space="0"/>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2"/>
                <w:highlight w:val="none"/>
                <w:u w:val="none"/>
                <w:shd w:val="clear" w:color="auto" w:fill="auto"/>
                <w:lang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技术方案说明</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eastAsia="zh-CN" w:bidi="ar"/>
              </w:rPr>
              <w:t>、功能说明书、</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演示视频等</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rPr>
            </w:pPr>
          </w:p>
        </w:tc>
        <w:tc>
          <w:tcPr>
            <w:tcW w:w="989"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000000" w:sz="4" w:space="0"/>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项目实现生成式智能交互：应用AIGC（生成式人工智能）、大语言模型、多模态模型等核心技术，实现实时内容生成、多模态智能交互。系统可根据用户个性化输入，动态生成文本、图像、视频或定制化解决方案，为用户提供深度语义交互、沉浸式虚拟体验或个性化服务匹配。</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5</w:t>
            </w:r>
          </w:p>
        </w:tc>
        <w:tc>
          <w:tcPr>
            <w:tcW w:w="3853"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rPr>
            </w:pPr>
          </w:p>
        </w:tc>
        <w:tc>
          <w:tcPr>
            <w:tcW w:w="989"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000000" w:sz="4" w:space="0"/>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项目实现决策智能优化：应用机器学习、运筹优化、大数据分析等算法技术，实现后台资源智能调度、供需动态匹配、业务流程自动化等决策层优化。</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5</w:t>
            </w:r>
          </w:p>
        </w:tc>
        <w:tc>
          <w:tcPr>
            <w:tcW w:w="3853" w:type="dxa"/>
            <w:vMerge w:val="continue"/>
            <w:tcBorders>
              <w:left w:val="single" w:color="000000" w:sz="4" w:space="0"/>
              <w:bottom w:val="single" w:color="auto"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restart"/>
            <w:tcBorders>
              <w:top w:val="single" w:color="auto" w:sz="4" w:space="0"/>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市场实效性</w:t>
            </w:r>
          </w:p>
        </w:tc>
        <w:tc>
          <w:tcPr>
            <w:tcW w:w="989" w:type="dxa"/>
            <w:vMerge w:val="restart"/>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规模覆盖能力</w:t>
            </w: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bidi="ar"/>
              </w:rPr>
              <w:t>在目标区域内落地网点≥5个，或累计服务区域常驻用户≥3万人</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12</w:t>
            </w:r>
          </w:p>
        </w:tc>
        <w:tc>
          <w:tcPr>
            <w:tcW w:w="3853" w:type="dxa"/>
            <w:vMerge w:val="restart"/>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sz w:val="22"/>
                <w:szCs w:val="22"/>
                <w:highlight w:val="none"/>
                <w:u w:val="none"/>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落地网点清单（含地址）、覆盖区域分布地图、用户规模统计表</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等材料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val="0"/>
                <w:bCs w:val="0"/>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bidi="ar"/>
              </w:rPr>
              <w:t>落地网点3-4个，或服务用户1万-3万人</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8</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b w:val="0"/>
                <w:bCs w:val="0"/>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bidi="ar"/>
              </w:rPr>
              <w:t>落地网点≤2个，或服务用户&lt;1万人</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5</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2"/>
                <w:sz w:val="22"/>
                <w:szCs w:val="28"/>
                <w:highlight w:val="none"/>
                <w:u w:val="none"/>
                <w:lang w:val="en-US" w:eastAsia="zh-CN" w:bidi="ar-SA"/>
              </w:rPr>
            </w:pPr>
            <w:r>
              <w:rPr>
                <w:rFonts w:hint="eastAsia" w:ascii="仿宋_GB2312" w:hAnsi="宋体" w:eastAsia="仿宋_GB2312" w:cs="仿宋_GB2312"/>
                <w:b/>
                <w:bCs/>
                <w:i w:val="0"/>
                <w:iCs w:val="0"/>
                <w:color w:val="auto"/>
                <w:kern w:val="0"/>
                <w:sz w:val="22"/>
                <w:szCs w:val="28"/>
                <w:highlight w:val="none"/>
                <w:u w:val="none"/>
                <w:lang w:val="en-US" w:eastAsia="zh-CN" w:bidi="ar"/>
              </w:rPr>
              <w:t>终端数/场景数</w:t>
            </w: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运营终端数或消费场景数（取高值）：≥30个</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15</w:t>
            </w:r>
          </w:p>
        </w:tc>
        <w:tc>
          <w:tcPr>
            <w:tcW w:w="385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终端设备清单、场景部署清单、现场照片等材料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≥20个</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10</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≥10个</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5</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≥5个</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3</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&lt;5个</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0</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8"/>
                <w:highlight w:val="none"/>
                <w:u w:val="none"/>
                <w:lang w:val="en-US" w:eastAsia="zh-CN" w:bidi="ar"/>
              </w:rPr>
            </w:pPr>
            <w:r>
              <w:rPr>
                <w:rFonts w:hint="eastAsia" w:ascii="仿宋_GB2312" w:hAnsi="宋体" w:eastAsia="仿宋_GB2312" w:cs="仿宋_GB2312"/>
                <w:b/>
                <w:bCs/>
                <w:i w:val="0"/>
                <w:iCs w:val="0"/>
                <w:color w:val="auto"/>
                <w:kern w:val="0"/>
                <w:sz w:val="22"/>
                <w:szCs w:val="28"/>
                <w:highlight w:val="none"/>
                <w:u w:val="none"/>
                <w:lang w:val="en-US" w:eastAsia="zh-CN" w:bidi="ar"/>
              </w:rPr>
              <w:t>累计服务次数</w:t>
            </w:r>
          </w:p>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8"/>
                <w:highlight w:val="none"/>
                <w:u w:val="none"/>
                <w:lang w:val="en-US"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（2025年9月30日以来）</w:t>
            </w: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≥2000次</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15</w:t>
            </w:r>
          </w:p>
        </w:tc>
        <w:tc>
          <w:tcPr>
            <w:tcW w:w="385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后台服务记录、消费订单数据（脱敏）、系统日志等材料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≥1500次</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10</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≥1000次</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5</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b/>
                <w:bCs/>
                <w:i w:val="0"/>
                <w:iCs w:val="0"/>
                <w:color w:val="auto"/>
                <w:sz w:val="22"/>
                <w:szCs w:val="28"/>
                <w:highlight w:val="none"/>
                <w:u w:val="none"/>
                <w:lang w:val="en-US" w:eastAsia="zh-CN"/>
              </w:rPr>
            </w:pPr>
          </w:p>
        </w:tc>
        <w:tc>
          <w:tcPr>
            <w:tcW w:w="6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&lt;1000次</w:t>
            </w:r>
          </w:p>
        </w:tc>
        <w:tc>
          <w:tcPr>
            <w:tcW w:w="142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2"/>
                <w:sz w:val="22"/>
                <w:szCs w:val="28"/>
                <w:highlight w:val="none"/>
                <w:u w:val="none"/>
                <w:lang w:val="en-US" w:eastAsia="zh-CN" w:bidi="ar-SA"/>
              </w:rPr>
            </w:pPr>
            <w:r>
              <w:rPr>
                <w:rFonts w:hint="eastAsia" w:ascii="仿宋_GB2312" w:hAnsi="宋体" w:eastAsia="仿宋_GB2312" w:cs="仿宋_GB2312"/>
                <w:i w:val="0"/>
                <w:iCs w:val="0"/>
                <w:color w:val="auto"/>
                <w:kern w:val="0"/>
                <w:sz w:val="22"/>
                <w:szCs w:val="28"/>
                <w:highlight w:val="none"/>
                <w:u w:val="none"/>
                <w:lang w:val="en-US" w:eastAsia="zh-CN" w:bidi="ar"/>
              </w:rPr>
              <w:t>2</w:t>
            </w:r>
          </w:p>
        </w:tc>
        <w:tc>
          <w:tcPr>
            <w:tcW w:w="385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0" w:after="0" w:line="560" w:lineRule="exact"/>
              <w:ind w:left="0" w:leftChars="0" w:right="0" w:rightChars="0" w:firstLine="0" w:firstLineChars="0"/>
              <w:jc w:val="left"/>
              <w:rPr>
                <w:rFonts w:hint="eastAsia" w:ascii="仿宋_GB2312" w:hAnsi="宋体" w:eastAsia="仿宋_GB2312" w:cs="仿宋_GB2312"/>
                <w:i w:val="0"/>
                <w:iCs w:val="0"/>
                <w:color w:val="auto"/>
                <w:sz w:val="22"/>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auto" w:sz="4" w:space="0"/>
              <w:right w:val="single" w:color="auto"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tcBorders>
              <w:top w:val="single" w:color="auto" w:sz="4" w:space="0"/>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b/>
                <w:bCs/>
                <w:i w:val="0"/>
                <w:iCs w:val="0"/>
                <w:color w:val="auto"/>
                <w:kern w:val="0"/>
                <w:sz w:val="22"/>
                <w:szCs w:val="22"/>
                <w:highlight w:val="none"/>
                <w:u w:val="none"/>
                <w:lang w:val="en-US" w:eastAsia="zh-CN" w:bidi="ar"/>
              </w:rPr>
            </w:pPr>
            <w:r>
              <w:rPr>
                <w:rFonts w:hint="eastAsia" w:ascii="仿宋_GB2312" w:hAnsi="宋体" w:eastAsia="仿宋_GB2312" w:cs="仿宋_GB2312"/>
                <w:b/>
                <w:bCs/>
                <w:i w:val="0"/>
                <w:iCs w:val="0"/>
                <w:color w:val="auto"/>
                <w:kern w:val="0"/>
                <w:sz w:val="22"/>
                <w:szCs w:val="22"/>
                <w:highlight w:val="none"/>
                <w:u w:val="none"/>
                <w:lang w:val="en-US" w:eastAsia="zh-CN" w:bidi="ar"/>
              </w:rPr>
              <w:t>深圳科创消费特色</w:t>
            </w: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深圳为全国首个落地城市</w:t>
            </w:r>
          </w:p>
        </w:tc>
        <w:tc>
          <w:tcPr>
            <w:tcW w:w="1426" w:type="dxa"/>
            <w:tcBorders>
              <w:top w:val="single" w:color="auto" w:sz="4" w:space="0"/>
              <w:left w:val="single" w:color="000000" w:sz="4" w:space="0"/>
              <w:bottom w:val="single" w:color="auto"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20</w:t>
            </w:r>
          </w:p>
        </w:tc>
        <w:tc>
          <w:tcPr>
            <w:tcW w:w="3853" w:type="dxa"/>
            <w:tcBorders>
              <w:top w:val="single" w:color="auto" w:sz="4" w:space="0"/>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需附有官方媒体新闻稿截图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restart"/>
            <w:tcBorders>
              <w:top w:val="single" w:color="auto" w:sz="4" w:space="0"/>
              <w:left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推广可行性</w:t>
            </w:r>
          </w:p>
        </w:tc>
        <w:tc>
          <w:tcPr>
            <w:tcW w:w="989" w:type="dxa"/>
            <w:vMerge w:val="restart"/>
            <w:tcBorders>
              <w:top w:val="single" w:color="auto" w:sz="4" w:space="0"/>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sz w:val="22"/>
                <w:szCs w:val="22"/>
                <w:highlight w:val="none"/>
                <w:u w:val="none"/>
              </w:rPr>
            </w:pPr>
            <w:r>
              <w:rPr>
                <w:rFonts w:hint="eastAsia" w:ascii="仿宋_GB2312" w:hAnsi="宋体" w:eastAsia="仿宋_GB2312" w:cs="仿宋_GB2312"/>
                <w:b/>
                <w:bCs/>
                <w:i w:val="0"/>
                <w:iCs w:val="0"/>
                <w:color w:val="auto"/>
                <w:kern w:val="0"/>
                <w:sz w:val="22"/>
                <w:szCs w:val="22"/>
                <w:highlight w:val="none"/>
                <w:u w:val="none"/>
                <w:lang w:val="en-US" w:eastAsia="zh-CN" w:bidi="ar"/>
              </w:rPr>
              <w:t>模式可复制性</w:t>
            </w: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形成的技术解决方案或运营模式已输出给≥1个其他区域作为参考借鉴（有正式交流纪要或合作协议）</w:t>
            </w:r>
          </w:p>
        </w:tc>
        <w:tc>
          <w:tcPr>
            <w:tcW w:w="1426" w:type="dxa"/>
            <w:tcBorders>
              <w:top w:val="single" w:color="auto" w:sz="4" w:space="0"/>
              <w:left w:val="single" w:color="000000" w:sz="4" w:space="0"/>
              <w:bottom w:val="single" w:color="auto"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5</w:t>
            </w:r>
          </w:p>
        </w:tc>
        <w:tc>
          <w:tcPr>
            <w:tcW w:w="3853" w:type="dxa"/>
            <w:vMerge w:val="restart"/>
            <w:tcBorders>
              <w:top w:val="single" w:color="auto" w:sz="4" w:space="0"/>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sz w:val="22"/>
                <w:szCs w:val="22"/>
                <w:highlight w:val="none"/>
                <w:u w:val="none"/>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标准化运营手册、</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推广方案、商业计划书</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等材料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p>
        </w:tc>
        <w:tc>
          <w:tcPr>
            <w:tcW w:w="989" w:type="dxa"/>
            <w:vMerge w:val="continue"/>
            <w:tcBorders>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sz w:val="22"/>
                <w:szCs w:val="22"/>
                <w:highlight w:val="none"/>
                <w:u w:val="none"/>
              </w:rPr>
            </w:pP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已形成可公开的行业白皮书/操作指南</w:t>
            </w:r>
          </w:p>
        </w:tc>
        <w:tc>
          <w:tcPr>
            <w:tcW w:w="1426" w:type="dxa"/>
            <w:tcBorders>
              <w:top w:val="single" w:color="auto" w:sz="4" w:space="0"/>
              <w:left w:val="single" w:color="000000" w:sz="4" w:space="0"/>
              <w:bottom w:val="single" w:color="auto"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3</w:t>
            </w:r>
          </w:p>
        </w:tc>
        <w:tc>
          <w:tcPr>
            <w:tcW w:w="3853"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989"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有详细的技术方案文档，具备参考价值但尚未输出</w:t>
            </w:r>
          </w:p>
        </w:tc>
        <w:tc>
          <w:tcPr>
            <w:tcW w:w="1426" w:type="dxa"/>
            <w:tcBorders>
              <w:top w:val="single" w:color="auto" w:sz="4" w:space="0"/>
              <w:left w:val="single" w:color="000000" w:sz="4" w:space="0"/>
              <w:bottom w:val="single" w:color="auto"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2</w:t>
            </w:r>
          </w:p>
        </w:tc>
        <w:tc>
          <w:tcPr>
            <w:tcW w:w="3853"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b/>
                <w:bCs/>
                <w:i w:val="0"/>
                <w:iCs w:val="0"/>
                <w:color w:val="auto"/>
                <w:sz w:val="22"/>
                <w:szCs w:val="22"/>
                <w:highlight w:val="none"/>
                <w:u w:val="none"/>
              </w:rPr>
            </w:pPr>
          </w:p>
        </w:tc>
        <w:tc>
          <w:tcPr>
            <w:tcW w:w="989" w:type="dxa"/>
            <w:vMerge w:val="continue"/>
            <w:tcBorders>
              <w:left w:val="single" w:color="000000" w:sz="4" w:space="0"/>
              <w:bottom w:val="single" w:color="auto"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sz w:val="22"/>
                <w:szCs w:val="22"/>
                <w:highlight w:val="none"/>
                <w:u w:val="none"/>
              </w:rPr>
            </w:pP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无标准化文档，商业模式不清晰</w:t>
            </w:r>
          </w:p>
        </w:tc>
        <w:tc>
          <w:tcPr>
            <w:tcW w:w="1426" w:type="dxa"/>
            <w:tcBorders>
              <w:top w:val="single" w:color="auto" w:sz="4" w:space="0"/>
              <w:left w:val="single" w:color="000000" w:sz="4" w:space="0"/>
              <w:bottom w:val="single" w:color="auto"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sz w:val="22"/>
                <w:szCs w:val="22"/>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0</w:t>
            </w:r>
          </w:p>
        </w:tc>
        <w:tc>
          <w:tcPr>
            <w:tcW w:w="3853" w:type="dxa"/>
            <w:vMerge w:val="continue"/>
            <w:tcBorders>
              <w:left w:val="single" w:color="000000" w:sz="4" w:space="0"/>
              <w:bottom w:val="single" w:color="auto"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restart"/>
            <w:tcBorders>
              <w:top w:val="single" w:color="000000" w:sz="4" w:space="0"/>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r>
              <w:rPr>
                <w:rFonts w:hint="eastAsia" w:ascii="仿宋_GB2312" w:hAnsi="宋体" w:eastAsia="仿宋_GB2312" w:cs="仿宋_GB2312"/>
                <w:b/>
                <w:bCs/>
                <w:i w:val="0"/>
                <w:iCs w:val="0"/>
                <w:color w:val="auto"/>
                <w:sz w:val="22"/>
                <w:szCs w:val="22"/>
                <w:highlight w:val="none"/>
                <w:u w:val="none"/>
                <w:lang w:val="en-US" w:eastAsia="zh-CN"/>
              </w:rPr>
              <w:t>可持续发展</w:t>
            </w:r>
          </w:p>
        </w:tc>
        <w:tc>
          <w:tcPr>
            <w:tcW w:w="989" w:type="dxa"/>
            <w:vMerge w:val="restart"/>
            <w:tcBorders>
              <w:top w:val="single" w:color="000000" w:sz="4" w:space="0"/>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r>
              <w:rPr>
                <w:rStyle w:val="19"/>
                <w:rFonts w:hint="eastAsia" w:ascii="仿宋_GB2312" w:hAnsi="宋体" w:eastAsia="仿宋_GB2312" w:cs="仿宋_GB2312"/>
                <w:b/>
                <w:bCs/>
                <w:i w:val="0"/>
                <w:iCs w:val="0"/>
                <w:caps w:val="0"/>
                <w:color w:val="auto"/>
                <w:spacing w:val="0"/>
                <w:kern w:val="0"/>
                <w:sz w:val="22"/>
                <w:szCs w:val="22"/>
                <w:highlight w:val="none"/>
                <w:u w:val="none"/>
                <w:shd w:val="clear" w:color="auto" w:fill="FFFFFF"/>
                <w:lang w:bidi="ar"/>
              </w:rPr>
              <w:t>可持续运营能力</w:t>
            </w: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配备专职运营团队≥10人</w:t>
            </w:r>
          </w:p>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提供≥1年详细运营规划和资金预算安排情况</w:t>
            </w:r>
          </w:p>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且项目已实现稳定盈利（连续3个月净利润为正）</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5</w:t>
            </w:r>
          </w:p>
        </w:tc>
        <w:tc>
          <w:tcPr>
            <w:tcW w:w="3853" w:type="dxa"/>
            <w:vMerge w:val="restart"/>
            <w:tcBorders>
              <w:top w:val="single" w:color="000000" w:sz="4" w:space="0"/>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运营团队花名册（含职责分工）、社保缴纳记录、资金保障材料、未来1年运营规划方案、近3个月营收报表</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等材料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aps w:val="0"/>
                <w:color w:val="auto"/>
                <w:spacing w:val="0"/>
                <w:kern w:val="0"/>
                <w:sz w:val="22"/>
                <w:szCs w:val="22"/>
                <w:highlight w:val="none"/>
                <w:u w:val="none"/>
                <w:shd w:val="clear" w:color="auto" w:fill="auto"/>
                <w:lang w:bidi="ar"/>
              </w:rPr>
            </w:pP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配备专职运营团队3-9人</w:t>
            </w:r>
          </w:p>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有≥6个月运营规划</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3</w:t>
            </w:r>
          </w:p>
        </w:tc>
        <w:tc>
          <w:tcPr>
            <w:tcW w:w="3853"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bottom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无专职运营团队</w:t>
            </w:r>
          </w:p>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或无长期运营规划</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0</w:t>
            </w:r>
          </w:p>
        </w:tc>
        <w:tc>
          <w:tcPr>
            <w:tcW w:w="3853" w:type="dxa"/>
            <w:vMerge w:val="continue"/>
            <w:tcBorders>
              <w:left w:val="single" w:color="000000" w:sz="4" w:space="0"/>
              <w:bottom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2"/>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restart"/>
            <w:tcBorders>
              <w:top w:val="single" w:color="000000" w:sz="4" w:space="0"/>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r>
              <w:rPr>
                <w:rFonts w:hint="eastAsia" w:ascii="仿宋_GB2312" w:hAnsi="宋体" w:eastAsia="仿宋_GB2312" w:cs="仿宋_GB2312"/>
                <w:b/>
                <w:bCs/>
                <w:i w:val="0"/>
                <w:iCs w:val="0"/>
                <w:color w:val="auto"/>
                <w:sz w:val="22"/>
                <w:szCs w:val="22"/>
                <w:highlight w:val="none"/>
                <w:u w:val="none"/>
                <w:lang w:val="en-US" w:eastAsia="zh-CN"/>
              </w:rPr>
              <w:t>风险防控</w:t>
            </w:r>
          </w:p>
        </w:tc>
        <w:tc>
          <w:tcPr>
            <w:tcW w:w="989" w:type="dxa"/>
            <w:vMerge w:val="restart"/>
            <w:tcBorders>
              <w:top w:val="single" w:color="000000" w:sz="4" w:space="0"/>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b/>
                <w:bCs/>
                <w:i w:val="0"/>
                <w:iCs w:val="0"/>
                <w:color w:val="auto"/>
                <w:kern w:val="0"/>
                <w:sz w:val="22"/>
                <w:szCs w:val="22"/>
                <w:highlight w:val="none"/>
                <w:u w:val="none"/>
                <w:lang w:val="en-US" w:eastAsia="zh-CN" w:bidi="ar"/>
              </w:rPr>
            </w:pPr>
            <w:r>
              <w:rPr>
                <w:rFonts w:hint="eastAsia" w:ascii="仿宋_GB2312" w:hAnsi="宋体" w:eastAsia="仿宋_GB2312" w:cs="仿宋_GB2312"/>
                <w:b/>
                <w:bCs/>
                <w:i w:val="0"/>
                <w:iCs w:val="0"/>
                <w:color w:val="auto"/>
                <w:kern w:val="0"/>
                <w:sz w:val="22"/>
                <w:szCs w:val="22"/>
                <w:highlight w:val="none"/>
                <w:u w:val="none"/>
                <w:lang w:val="en-US" w:eastAsia="zh-CN" w:bidi="ar"/>
              </w:rPr>
              <w:t>风险应对与应急处理</w:t>
            </w: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已制定完整的AI技术故障、消费纠纷、数据安全、舆情应对四类应急预案，明确处置流程、责任人及24小时响应机制，近6个月无重大风险事故（数据泄露、重大舆情、群体性投诉）</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3</w:t>
            </w:r>
          </w:p>
        </w:tc>
        <w:tc>
          <w:tcPr>
            <w:tcW w:w="3853" w:type="dxa"/>
            <w:vMerge w:val="restart"/>
            <w:tcBorders>
              <w:top w:val="single" w:color="000000" w:sz="4" w:space="0"/>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风险防控应急预案文件、风险处置责任分工及通讯录、近6个月系统运维及投诉处理记录</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等材料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有基础应急预案，覆盖核心风险场景（≥2类），但处置流程不完整或响应机制不明确</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2</w:t>
            </w:r>
          </w:p>
        </w:tc>
        <w:tc>
          <w:tcPr>
            <w:tcW w:w="3853" w:type="dxa"/>
            <w:vMerge w:val="continue"/>
            <w:tcBorders>
              <w:left w:val="single" w:color="000000"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bottom w:val="single" w:color="auto" w:sz="4" w:space="0"/>
              <w:right w:val="single" w:color="000000" w:sz="4" w:space="0"/>
            </w:tcBorders>
            <w:noWrap/>
            <w:vAlign w:val="center"/>
          </w:tcPr>
          <w:p>
            <w:pPr>
              <w:keepNext/>
              <w:keepLines w:val="0"/>
              <w:pageBreakBefore w:val="0"/>
              <w:kinsoku/>
              <w:wordWrap/>
              <w:overflowPunct/>
              <w:topLinePunct w:val="0"/>
              <w:autoSpaceDE/>
              <w:autoSpaceDN/>
              <w:bidi w:val="0"/>
              <w:adjustRightInd/>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bottom w:val="single" w:color="auto"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p>
        </w:tc>
        <w:tc>
          <w:tcPr>
            <w:tcW w:w="6353" w:type="dxa"/>
            <w:tcBorders>
              <w:top w:val="single" w:color="000000" w:sz="4" w:space="0"/>
              <w:left w:val="single" w:color="000000" w:sz="4" w:space="0"/>
              <w:bottom w:val="single" w:color="auto"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无应急预案，或近6个月内发生过重大风险事故</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keepLines w:val="0"/>
              <w:widowControl/>
              <w:suppressLineNumbers w:val="0"/>
              <w:bidi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0</w:t>
            </w:r>
          </w:p>
        </w:tc>
        <w:tc>
          <w:tcPr>
            <w:tcW w:w="3853" w:type="dxa"/>
            <w:vMerge w:val="continue"/>
            <w:tcBorders>
              <w:left w:val="single" w:color="000000" w:sz="4" w:space="0"/>
              <w:bottom w:val="single" w:color="auto" w:sz="4" w:space="0"/>
              <w:right w:val="single" w:color="000000" w:sz="4" w:space="0"/>
            </w:tcBorders>
            <w:noWrap w:val="0"/>
            <w:vAlign w:val="center"/>
          </w:tcPr>
          <w:p>
            <w:pPr>
              <w:keepNext/>
              <w:keepLines w:val="0"/>
              <w:pageBreakBefore w:val="0"/>
              <w:widowControl/>
              <w:suppressLineNumbers w:val="0"/>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restart"/>
            <w:tcBorders>
              <w:top w:val="single" w:color="auto" w:sz="4" w:space="0"/>
              <w:left w:val="single" w:color="000000" w:sz="4" w:space="0"/>
              <w:right w:val="single" w:color="000000" w:sz="4" w:space="0"/>
            </w:tcBorders>
            <w:noWrap/>
            <w:vAlign w:val="center"/>
          </w:tcPr>
          <w:p>
            <w:pPr>
              <w:snapToGrid w:val="0"/>
              <w:spacing w:before="0" w:after="0" w:line="560" w:lineRule="exact"/>
              <w:ind w:left="0" w:leftChars="0" w:right="0" w:rightChars="0" w:firstLine="0" w:firstLineChars="0"/>
              <w:jc w:val="center"/>
              <w:rPr>
                <w:rFonts w:hint="default" w:ascii="仿宋_GB2312" w:hAnsi="宋体" w:eastAsia="仿宋_GB2312" w:cs="仿宋_GB2312"/>
                <w:b/>
                <w:bCs/>
                <w:i w:val="0"/>
                <w:iCs w:val="0"/>
                <w:color w:val="auto"/>
                <w:sz w:val="22"/>
                <w:szCs w:val="22"/>
                <w:highlight w:val="none"/>
                <w:u w:val="none"/>
                <w:lang w:val="en-US" w:eastAsia="zh-CN"/>
              </w:rPr>
            </w:pPr>
            <w:r>
              <w:rPr>
                <w:rFonts w:hint="eastAsia" w:ascii="仿宋_GB2312" w:hAnsi="宋体" w:eastAsia="仿宋_GB2312" w:cs="仿宋_GB2312"/>
                <w:b/>
                <w:bCs/>
                <w:i w:val="0"/>
                <w:iCs w:val="0"/>
                <w:color w:val="auto"/>
                <w:sz w:val="22"/>
                <w:szCs w:val="22"/>
                <w:highlight w:val="none"/>
                <w:u w:val="none"/>
                <w:lang w:val="en-US" w:eastAsia="zh-CN"/>
              </w:rPr>
              <w:t>企业资质及示范引领作用</w:t>
            </w:r>
          </w:p>
        </w:tc>
        <w:tc>
          <w:tcPr>
            <w:tcW w:w="989" w:type="dxa"/>
            <w:vMerge w:val="restart"/>
            <w:tcBorders>
              <w:top w:val="single" w:color="auto" w:sz="4" w:space="0"/>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2"/>
                <w:highlight w:val="none"/>
                <w:u w:val="none"/>
                <w:lang w:val="en-US" w:eastAsia="zh-CN" w:bidi="ar"/>
              </w:rPr>
            </w:pPr>
            <w:r>
              <w:rPr>
                <w:rFonts w:hint="eastAsia" w:ascii="仿宋_GB2312" w:hAnsi="宋体" w:eastAsia="仿宋_GB2312" w:cs="仿宋_GB2312"/>
                <w:b/>
                <w:bCs/>
                <w:i w:val="0"/>
                <w:iCs w:val="0"/>
                <w:color w:val="auto"/>
                <w:kern w:val="0"/>
                <w:sz w:val="22"/>
                <w:szCs w:val="28"/>
                <w:highlight w:val="none"/>
                <w:u w:val="none"/>
                <w:lang w:val="en-US" w:eastAsia="zh-CN" w:bidi="ar"/>
              </w:rPr>
              <w:t>加分项（可重复得分）</w:t>
            </w: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eastAsia" w:ascii="仿宋_GB2312" w:hAnsi="宋体" w:eastAsia="仿宋_GB2312" w:cs="仿宋_GB2312"/>
                <w:i w:val="0"/>
                <w:iCs w:val="0"/>
                <w:color w:val="auto"/>
                <w:kern w:val="0"/>
                <w:sz w:val="22"/>
                <w:szCs w:val="22"/>
                <w:highlight w:val="none"/>
                <w:u w:val="none"/>
                <w:lang w:val="en-US" w:eastAsia="zh-CN" w:bidi="ar"/>
              </w:rPr>
              <w:t>获得国家级/省级科技企业资质或荣誉（包括但不限于：国家高新技术企业、专精特新“小巨人”企业、专精特新中小企业、创新型中小企业、国家技术创新示范企业、科技型中小企业、瞪羚企业、知识产权优势/示范企业等）</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0"/>
                <w:sz w:val="22"/>
                <w:szCs w:val="22"/>
                <w:highlight w:val="none"/>
                <w:u w:val="none"/>
                <w:lang w:val="en-US"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2</w:t>
            </w:r>
          </w:p>
        </w:tc>
        <w:tc>
          <w:tcPr>
            <w:tcW w:w="3853" w:type="dxa"/>
            <w:vMerge w:val="restart"/>
            <w:tcBorders>
              <w:top w:val="single" w:color="auto" w:sz="4" w:space="0"/>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相关荣誉证书、主流媒体报道截图或链接等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8"/>
                <w:highlight w:val="none"/>
                <w:u w:val="none"/>
                <w:lang w:val="en-US" w:eastAsia="zh-CN" w:bidi="ar"/>
              </w:rPr>
            </w:pP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8"/>
                <w:highlight w:val="none"/>
                <w:u w:val="none"/>
                <w:lang w:val="en-US" w:eastAsia="zh-CN"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核心AI技术（大模型、视觉识别、推荐算法等）获</w:t>
            </w:r>
            <w:r>
              <w:rPr>
                <w:rFonts w:hint="default" w:ascii="仿宋_GB2312" w:hAnsi="宋体" w:eastAsia="仿宋_GB2312" w:cs="仿宋_GB2312"/>
                <w:i w:val="0"/>
                <w:iCs w:val="0"/>
                <w:caps w:val="0"/>
                <w:color w:val="auto"/>
                <w:spacing w:val="0"/>
                <w:kern w:val="0"/>
                <w:sz w:val="22"/>
                <w:szCs w:val="22"/>
                <w:highlight w:val="none"/>
                <w:u w:val="none"/>
                <w:shd w:val="clear" w:color="auto" w:fill="auto"/>
                <w:lang w:bidi="ar"/>
              </w:rPr>
              <w:t>国家级</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eastAsia="zh-CN" w:bidi="ar"/>
              </w:rPr>
              <w:t>荣誉</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eastAsia" w:ascii="仿宋_GB2312" w:hAnsi="宋体" w:eastAsia="仿宋_GB2312" w:cs="仿宋_GB2312"/>
                <w:i w:val="0"/>
                <w:iCs w:val="0"/>
                <w:color w:val="auto"/>
                <w:kern w:val="0"/>
                <w:sz w:val="22"/>
                <w:szCs w:val="28"/>
                <w:highlight w:val="none"/>
                <w:u w:val="none"/>
                <w:lang w:val="en-US"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2</w:t>
            </w:r>
          </w:p>
        </w:tc>
        <w:tc>
          <w:tcPr>
            <w:tcW w:w="3853" w:type="dxa"/>
            <w:vMerge w:val="continue"/>
            <w:tcBorders>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8"/>
                <w:highlight w:val="none"/>
                <w:u w:val="none"/>
                <w:lang w:val="en-US" w:eastAsia="zh-CN" w:bidi="ar"/>
              </w:rPr>
            </w:pP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8"/>
                <w:highlight w:val="none"/>
                <w:u w:val="none"/>
                <w:lang w:val="en-US" w:eastAsia="zh-CN" w:bidi="ar"/>
              </w:rPr>
            </w:pPr>
            <w: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t>核心AI技术（大模型、视觉识别、推荐算法等）获</w:t>
            </w:r>
            <w:r>
              <w:rPr>
                <w:rFonts w:hint="default" w:ascii="仿宋_GB2312" w:hAnsi="宋体" w:eastAsia="仿宋_GB2312" w:cs="仿宋_GB2312"/>
                <w:i w:val="0"/>
                <w:iCs w:val="0"/>
                <w:caps w:val="0"/>
                <w:color w:val="auto"/>
                <w:spacing w:val="0"/>
                <w:kern w:val="0"/>
                <w:sz w:val="22"/>
                <w:szCs w:val="22"/>
                <w:highlight w:val="none"/>
                <w:u w:val="none"/>
                <w:shd w:val="clear" w:color="auto" w:fill="auto"/>
                <w:lang w:bidi="ar"/>
              </w:rPr>
              <w:t>省部级科技奖项</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8"/>
                <w:highlight w:val="none"/>
                <w:u w:val="none"/>
                <w:lang w:val="en-US"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2</w:t>
            </w:r>
          </w:p>
        </w:tc>
        <w:tc>
          <w:tcPr>
            <w:tcW w:w="3853" w:type="dxa"/>
            <w:vMerge w:val="continue"/>
            <w:tcBorders>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right w:val="single" w:color="000000" w:sz="4" w:space="0"/>
            </w:tcBorders>
            <w:noWrap/>
            <w:vAlign w:val="center"/>
          </w:tcPr>
          <w:p>
            <w:pPr>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8"/>
                <w:highlight w:val="none"/>
                <w:u w:val="none"/>
                <w:lang w:val="en-US" w:eastAsia="zh-CN" w:bidi="ar"/>
              </w:rPr>
            </w:pPr>
          </w:p>
        </w:tc>
        <w:tc>
          <w:tcPr>
            <w:tcW w:w="6353" w:type="dxa"/>
            <w:tcBorders>
              <w:top w:val="single" w:color="auto" w:sz="4" w:space="0"/>
              <w:left w:val="single" w:color="000000" w:sz="4" w:space="0"/>
              <w:bottom w:val="single" w:color="auto"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aps w:val="0"/>
                <w:color w:val="auto"/>
                <w:spacing w:val="0"/>
                <w:kern w:val="0"/>
                <w:sz w:val="22"/>
                <w:szCs w:val="22"/>
                <w:highlight w:val="none"/>
                <w:u w:val="none"/>
                <w:shd w:val="clear" w:color="auto" w:fill="auto"/>
                <w:lang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被国家级政府部门列为典型案例推广或被国家级主流媒体（央视、</w:t>
            </w:r>
            <w:r>
              <w:rPr>
                <w:rFonts w:hint="eastAsia"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《人民日报》</w:t>
            </w: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）专题报道</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8"/>
                <w:highlight w:val="none"/>
                <w:u w:val="none"/>
                <w:lang w:val="en-US"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2</w:t>
            </w:r>
          </w:p>
        </w:tc>
        <w:tc>
          <w:tcPr>
            <w:tcW w:w="3853" w:type="dxa"/>
            <w:vMerge w:val="continue"/>
            <w:tcBorders>
              <w:left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553" w:type="dxa"/>
            <w:vMerge w:val="continue"/>
            <w:tcBorders>
              <w:left w:val="single" w:color="000000" w:sz="4" w:space="0"/>
              <w:bottom w:val="single" w:color="000000" w:sz="4" w:space="0"/>
              <w:right w:val="single" w:color="000000" w:sz="4" w:space="0"/>
            </w:tcBorders>
            <w:noWrap/>
            <w:vAlign w:val="center"/>
          </w:tcPr>
          <w:p>
            <w:pPr>
              <w:snapToGrid w:val="0"/>
              <w:spacing w:before="0" w:after="0" w:line="560" w:lineRule="exact"/>
              <w:ind w:left="0" w:leftChars="0" w:right="0" w:rightChars="0" w:firstLine="0" w:firstLineChars="0"/>
              <w:jc w:val="center"/>
              <w:rPr>
                <w:rFonts w:hint="eastAsia" w:ascii="仿宋_GB2312" w:hAnsi="宋体" w:eastAsia="仿宋_GB2312" w:cs="仿宋_GB2312"/>
                <w:b/>
                <w:bCs/>
                <w:i w:val="0"/>
                <w:iCs w:val="0"/>
                <w:color w:val="auto"/>
                <w:sz w:val="22"/>
                <w:szCs w:val="22"/>
                <w:highlight w:val="none"/>
                <w:u w:val="none"/>
                <w:lang w:val="en-US" w:eastAsia="zh-CN"/>
              </w:rPr>
            </w:pPr>
          </w:p>
        </w:tc>
        <w:tc>
          <w:tcPr>
            <w:tcW w:w="989"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b/>
                <w:bCs/>
                <w:i w:val="0"/>
                <w:iCs w:val="0"/>
                <w:color w:val="auto"/>
                <w:kern w:val="0"/>
                <w:sz w:val="22"/>
                <w:szCs w:val="28"/>
                <w:highlight w:val="none"/>
                <w:u w:val="none"/>
                <w:lang w:val="en-US" w:eastAsia="zh-CN" w:bidi="ar"/>
              </w:rPr>
            </w:pPr>
          </w:p>
        </w:tc>
        <w:tc>
          <w:tcPr>
            <w:tcW w:w="6353" w:type="dxa"/>
            <w:tcBorders>
              <w:top w:val="single" w:color="auto" w:sz="4" w:space="0"/>
              <w:left w:val="single" w:color="000000" w:sz="4" w:space="0"/>
              <w:bottom w:val="single" w:color="000000" w:sz="4" w:space="0"/>
              <w:right w:val="single" w:color="000000" w:sz="4" w:space="0"/>
            </w:tcBorders>
            <w:noWrap w:val="0"/>
            <w:vAlign w:val="center"/>
          </w:tcPr>
          <w:p>
            <w:pPr>
              <w:keepNext/>
              <w:keepLines w:val="0"/>
              <w:widowControl/>
              <w:suppressLineNumbers w:val="0"/>
              <w:bidi w:val="0"/>
              <w:snapToGrid w:val="0"/>
              <w:spacing w:before="0" w:after="0" w:line="560" w:lineRule="exact"/>
              <w:ind w:left="0" w:leftChars="0" w:right="0" w:rightChars="0" w:firstLine="0" w:firstLineChars="0"/>
              <w:jc w:val="left"/>
              <w:textAlignment w:val="cente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pPr>
            <w:r>
              <w:rPr>
                <w:rFonts w:hint="default" w:ascii="仿宋_GB2312" w:hAnsi="宋体" w:eastAsia="仿宋_GB2312" w:cs="仿宋_GB2312"/>
                <w:i w:val="0"/>
                <w:iCs w:val="0"/>
                <w:caps w:val="0"/>
                <w:color w:val="auto"/>
                <w:spacing w:val="0"/>
                <w:kern w:val="0"/>
                <w:sz w:val="22"/>
                <w:szCs w:val="22"/>
                <w:highlight w:val="none"/>
                <w:u w:val="none"/>
                <w:shd w:val="clear" w:color="auto" w:fill="auto"/>
                <w:lang w:val="en-US" w:eastAsia="zh-CN" w:bidi="ar"/>
              </w:rPr>
              <w:t>被省级政府部门列为典型案例推广或被省级主流媒体专题报道</w:t>
            </w:r>
          </w:p>
        </w:tc>
        <w:tc>
          <w:tcPr>
            <w:tcW w:w="14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spacing w:before="0" w:after="0" w:line="560" w:lineRule="exact"/>
              <w:ind w:left="0" w:leftChars="0" w:right="0" w:rightChars="0" w:firstLine="0" w:firstLineChars="0"/>
              <w:jc w:val="center"/>
              <w:textAlignment w:val="center"/>
              <w:rPr>
                <w:rFonts w:hint="default" w:ascii="仿宋_GB2312" w:hAnsi="宋体" w:eastAsia="仿宋_GB2312" w:cs="仿宋_GB2312"/>
                <w:i w:val="0"/>
                <w:iCs w:val="0"/>
                <w:color w:val="auto"/>
                <w:kern w:val="0"/>
                <w:sz w:val="22"/>
                <w:szCs w:val="28"/>
                <w:highlight w:val="none"/>
                <w:u w:val="none"/>
                <w:lang w:val="en-US" w:eastAsia="zh-CN" w:bidi="ar"/>
              </w:rPr>
            </w:pPr>
            <w:r>
              <w:rPr>
                <w:rFonts w:hint="eastAsia" w:ascii="仿宋_GB2312" w:hAnsi="宋体" w:eastAsia="仿宋_GB2312" w:cs="仿宋_GB2312"/>
                <w:i w:val="0"/>
                <w:iCs w:val="0"/>
                <w:color w:val="auto"/>
                <w:kern w:val="0"/>
                <w:sz w:val="22"/>
                <w:szCs w:val="28"/>
                <w:highlight w:val="none"/>
                <w:u w:val="none"/>
                <w:lang w:val="en-US" w:eastAsia="zh-CN" w:bidi="ar"/>
              </w:rPr>
              <w:t>2</w:t>
            </w:r>
          </w:p>
        </w:tc>
        <w:tc>
          <w:tcPr>
            <w:tcW w:w="3853"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560" w:lineRule="exact"/>
              <w:ind w:left="0" w:leftChars="0" w:right="0" w:rightChars="0" w:firstLine="0" w:firstLineChars="0"/>
              <w:jc w:val="left"/>
              <w:textAlignment w:val="center"/>
              <w:rPr>
                <w:rFonts w:hint="eastAsia" w:ascii="仿宋_GB2312" w:hAnsi="宋体" w:eastAsia="仿宋_GB2312" w:cs="仿宋_GB2312"/>
                <w:i w:val="0"/>
                <w:iCs w:val="0"/>
                <w:color w:val="auto"/>
                <w:kern w:val="0"/>
                <w:sz w:val="22"/>
                <w:szCs w:val="28"/>
                <w:highlight w:val="none"/>
                <w:u w:val="none"/>
                <w:lang w:val="en-US" w:eastAsia="zh-CN" w:bidi="ar"/>
              </w:rPr>
            </w:pPr>
          </w:p>
        </w:tc>
      </w:tr>
    </w:tbl>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default"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注：新一代人工智能技术包括但不限于智算芯片、具身智能、高阶智驾、端侧轻量化模型、多模态模型等方向。</w:t>
      </w: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both"/>
        <w:textAlignment w:val="auto"/>
        <w:rPr>
          <w:rFonts w:hint="default" w:ascii="仿宋_GB2312" w:hAnsi="仿宋_GB2312" w:eastAsia="仿宋_GB2312" w:cs="仿宋_GB2312"/>
          <w:i w:val="0"/>
          <w:iCs w:val="0"/>
          <w:color w:val="auto"/>
          <w:kern w:val="0"/>
          <w:sz w:val="24"/>
          <w:szCs w:val="24"/>
          <w:highlight w:val="none"/>
          <w:u w:val="none"/>
          <w:lang w:val="en-US" w:eastAsia="zh-CN" w:bidi="ar"/>
        </w:rPr>
      </w:pPr>
    </w:p>
    <w:p>
      <w:pPr>
        <w:rPr>
          <w:color w:val="auto"/>
          <w:highlight w:val="none"/>
        </w:rPr>
      </w:pPr>
    </w:p>
    <w:sectPr>
      <w:pgSz w:w="16838" w:h="11906" w:orient="landscape"/>
      <w:pgMar w:top="1474" w:right="1814" w:bottom="1474" w:left="181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291914E-57BB-4E1D-933A-7C0DBC9D6E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50212D8-9241-4D20-9D58-F7862B679968}"/>
  </w:font>
  <w:font w:name="仿宋_GB2312">
    <w:panose1 w:val="02010609030101010101"/>
    <w:charset w:val="86"/>
    <w:family w:val="auto"/>
    <w:pitch w:val="default"/>
    <w:sig w:usb0="00000001" w:usb1="080E0000" w:usb2="00000000" w:usb3="00000000" w:csb0="00040000" w:csb1="00000000"/>
    <w:embedRegular r:id="rId3" w:fontKey="{605346F7-EFAE-472B-94CB-A0B2D597EC87}"/>
  </w:font>
  <w:font w:name="仿宋">
    <w:panose1 w:val="02010609060101010101"/>
    <w:charset w:val="86"/>
    <w:family w:val="modern"/>
    <w:pitch w:val="default"/>
    <w:sig w:usb0="800002BF" w:usb1="38CF7CFA" w:usb2="00000016" w:usb3="00000000" w:csb0="00040001" w:csb1="00000000"/>
    <w:embedRegular r:id="rId4" w:fontKey="{B98731F9-7E1D-41E1-9F0A-12B1732B4541}"/>
  </w:font>
  <w:font w:name="方正小标宋简体">
    <w:panose1 w:val="02000000000000000000"/>
    <w:charset w:val="86"/>
    <w:family w:val="auto"/>
    <w:pitch w:val="default"/>
    <w:sig w:usb0="00000001" w:usb1="08000000" w:usb2="00000000" w:usb3="00000000" w:csb0="00040000" w:csb1="00000000"/>
    <w:embedRegular r:id="rId5" w:fontKey="{C27F06E9-F45C-4037-A181-956501539069}"/>
  </w:font>
  <w:font w:name="楷体">
    <w:panose1 w:val="02010609060101010101"/>
    <w:charset w:val="86"/>
    <w:family w:val="modern"/>
    <w:pitch w:val="default"/>
    <w:sig w:usb0="800002BF" w:usb1="38CF7CFA" w:usb2="00000016" w:usb3="00000000" w:csb0="00040001" w:csb1="00000000"/>
    <w:embedRegular r:id="rId6" w:fontKey="{2708C8E2-2872-408C-8AAD-E0A20A333061}"/>
  </w:font>
  <w:font w:name="楷体_GB2312">
    <w:panose1 w:val="02010609030101010101"/>
    <w:charset w:val="86"/>
    <w:family w:val="auto"/>
    <w:pitch w:val="default"/>
    <w:sig w:usb0="00000001" w:usb1="080E0000" w:usb2="00000000" w:usb3="00000000" w:csb0="00040000" w:csb1="00000000"/>
    <w:embedRegular r:id="rId7" w:fontKey="{F498CA67-4309-48AC-AFBC-6C3B031B817F}"/>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05E716C"/>
    <w:rsid w:val="012A09FA"/>
    <w:rsid w:val="01395070"/>
    <w:rsid w:val="02803A46"/>
    <w:rsid w:val="02CB1CF7"/>
    <w:rsid w:val="02DA63DE"/>
    <w:rsid w:val="02E93786"/>
    <w:rsid w:val="032C6A46"/>
    <w:rsid w:val="03B55433"/>
    <w:rsid w:val="05036B9E"/>
    <w:rsid w:val="052D305E"/>
    <w:rsid w:val="052E6828"/>
    <w:rsid w:val="06426774"/>
    <w:rsid w:val="064C2F18"/>
    <w:rsid w:val="06825C75"/>
    <w:rsid w:val="068A4895"/>
    <w:rsid w:val="070F7027"/>
    <w:rsid w:val="08461CA3"/>
    <w:rsid w:val="0A0D52EB"/>
    <w:rsid w:val="0A2D6324"/>
    <w:rsid w:val="0A302337"/>
    <w:rsid w:val="0A58254D"/>
    <w:rsid w:val="0A6C5760"/>
    <w:rsid w:val="0A8D4688"/>
    <w:rsid w:val="0B35692F"/>
    <w:rsid w:val="0B4456D1"/>
    <w:rsid w:val="0BAD1FAB"/>
    <w:rsid w:val="0BE1742C"/>
    <w:rsid w:val="0CE26E99"/>
    <w:rsid w:val="0D0E36C4"/>
    <w:rsid w:val="0D1F0CED"/>
    <w:rsid w:val="0E4344D0"/>
    <w:rsid w:val="0E511A57"/>
    <w:rsid w:val="0E913392"/>
    <w:rsid w:val="0EB47F46"/>
    <w:rsid w:val="0F95719B"/>
    <w:rsid w:val="0FE131A1"/>
    <w:rsid w:val="0FED3255"/>
    <w:rsid w:val="10A87B1C"/>
    <w:rsid w:val="10BF0BFF"/>
    <w:rsid w:val="10F308A0"/>
    <w:rsid w:val="11A73770"/>
    <w:rsid w:val="124226AB"/>
    <w:rsid w:val="126D73E5"/>
    <w:rsid w:val="13A40095"/>
    <w:rsid w:val="14053C83"/>
    <w:rsid w:val="15261E8B"/>
    <w:rsid w:val="15C958A9"/>
    <w:rsid w:val="160A19AA"/>
    <w:rsid w:val="163D2AB4"/>
    <w:rsid w:val="16FA8BE0"/>
    <w:rsid w:val="172A2DF8"/>
    <w:rsid w:val="17B005EC"/>
    <w:rsid w:val="17B76CB6"/>
    <w:rsid w:val="185533C0"/>
    <w:rsid w:val="187E0EC3"/>
    <w:rsid w:val="18AB1F57"/>
    <w:rsid w:val="190653E0"/>
    <w:rsid w:val="197B53D3"/>
    <w:rsid w:val="1A595627"/>
    <w:rsid w:val="1C210334"/>
    <w:rsid w:val="1C964CCC"/>
    <w:rsid w:val="1CAB69CA"/>
    <w:rsid w:val="1CB753A9"/>
    <w:rsid w:val="1CFC17D2"/>
    <w:rsid w:val="1D0D00C6"/>
    <w:rsid w:val="1D641A53"/>
    <w:rsid w:val="1D7D3E55"/>
    <w:rsid w:val="1EBE0883"/>
    <w:rsid w:val="1F615BEE"/>
    <w:rsid w:val="205A510F"/>
    <w:rsid w:val="21127D99"/>
    <w:rsid w:val="21A5207B"/>
    <w:rsid w:val="22C22819"/>
    <w:rsid w:val="23AE7537"/>
    <w:rsid w:val="246A3FA3"/>
    <w:rsid w:val="26B13C0B"/>
    <w:rsid w:val="26E72CF4"/>
    <w:rsid w:val="272E1910"/>
    <w:rsid w:val="2976170C"/>
    <w:rsid w:val="29862CCB"/>
    <w:rsid w:val="2A104310"/>
    <w:rsid w:val="2A1A1904"/>
    <w:rsid w:val="2A4B3E74"/>
    <w:rsid w:val="2B4D50F0"/>
    <w:rsid w:val="2BA068F1"/>
    <w:rsid w:val="2C2A1457"/>
    <w:rsid w:val="2CAE0A32"/>
    <w:rsid w:val="2EF028BC"/>
    <w:rsid w:val="2F0A3862"/>
    <w:rsid w:val="2FFC0AFB"/>
    <w:rsid w:val="302C0287"/>
    <w:rsid w:val="31A95387"/>
    <w:rsid w:val="31B31F93"/>
    <w:rsid w:val="31B83DD4"/>
    <w:rsid w:val="321653A8"/>
    <w:rsid w:val="322E20A6"/>
    <w:rsid w:val="329C19A3"/>
    <w:rsid w:val="32F52701"/>
    <w:rsid w:val="341A4C22"/>
    <w:rsid w:val="347B2CCE"/>
    <w:rsid w:val="352B3694"/>
    <w:rsid w:val="35AA0056"/>
    <w:rsid w:val="363C0287"/>
    <w:rsid w:val="3654545B"/>
    <w:rsid w:val="36565190"/>
    <w:rsid w:val="366C2500"/>
    <w:rsid w:val="36D24400"/>
    <w:rsid w:val="382C7B34"/>
    <w:rsid w:val="385F275A"/>
    <w:rsid w:val="387303F9"/>
    <w:rsid w:val="392F53FC"/>
    <w:rsid w:val="392F6470"/>
    <w:rsid w:val="39FD4890"/>
    <w:rsid w:val="3AE03440"/>
    <w:rsid w:val="3B0E3D0E"/>
    <w:rsid w:val="3B5F3F70"/>
    <w:rsid w:val="3BFC17F2"/>
    <w:rsid w:val="3C0C0B0D"/>
    <w:rsid w:val="3CFD6976"/>
    <w:rsid w:val="3D4A73E3"/>
    <w:rsid w:val="3D5D42F6"/>
    <w:rsid w:val="3DB808BA"/>
    <w:rsid w:val="3E7C01F6"/>
    <w:rsid w:val="3FAC643B"/>
    <w:rsid w:val="3FDDF272"/>
    <w:rsid w:val="407A2ECB"/>
    <w:rsid w:val="418D6C3A"/>
    <w:rsid w:val="423806ED"/>
    <w:rsid w:val="423865DE"/>
    <w:rsid w:val="428230B1"/>
    <w:rsid w:val="42FB5880"/>
    <w:rsid w:val="437A5877"/>
    <w:rsid w:val="43BB3CEC"/>
    <w:rsid w:val="4412784D"/>
    <w:rsid w:val="4419481C"/>
    <w:rsid w:val="443C2562"/>
    <w:rsid w:val="44A91A1A"/>
    <w:rsid w:val="44D052C5"/>
    <w:rsid w:val="45B74C48"/>
    <w:rsid w:val="46A70EF9"/>
    <w:rsid w:val="46AE1F3D"/>
    <w:rsid w:val="473C23B2"/>
    <w:rsid w:val="4743523B"/>
    <w:rsid w:val="474450E0"/>
    <w:rsid w:val="47781E40"/>
    <w:rsid w:val="48541414"/>
    <w:rsid w:val="4900762E"/>
    <w:rsid w:val="49EC7FDD"/>
    <w:rsid w:val="4A6B0082"/>
    <w:rsid w:val="4AB56AE2"/>
    <w:rsid w:val="4B0038EE"/>
    <w:rsid w:val="4B6E7935"/>
    <w:rsid w:val="4BB87F0C"/>
    <w:rsid w:val="4D3521BB"/>
    <w:rsid w:val="4E7E74BD"/>
    <w:rsid w:val="4E805B64"/>
    <w:rsid w:val="4E853694"/>
    <w:rsid w:val="4EE07D75"/>
    <w:rsid w:val="4F0F02C3"/>
    <w:rsid w:val="4F214F20"/>
    <w:rsid w:val="4F9660BB"/>
    <w:rsid w:val="4FB87893"/>
    <w:rsid w:val="4FC2745B"/>
    <w:rsid w:val="509A0D5C"/>
    <w:rsid w:val="50CB0BE4"/>
    <w:rsid w:val="51A47BE3"/>
    <w:rsid w:val="51F223CA"/>
    <w:rsid w:val="52252BFC"/>
    <w:rsid w:val="540939FA"/>
    <w:rsid w:val="543117F2"/>
    <w:rsid w:val="54D06548"/>
    <w:rsid w:val="54E753F5"/>
    <w:rsid w:val="554FA15E"/>
    <w:rsid w:val="563F7F48"/>
    <w:rsid w:val="569C52ED"/>
    <w:rsid w:val="56F7427F"/>
    <w:rsid w:val="57630B12"/>
    <w:rsid w:val="5779221D"/>
    <w:rsid w:val="584A4BC5"/>
    <w:rsid w:val="584C4C5F"/>
    <w:rsid w:val="589B5008"/>
    <w:rsid w:val="58A326D8"/>
    <w:rsid w:val="591946E0"/>
    <w:rsid w:val="59466376"/>
    <w:rsid w:val="5A6327D8"/>
    <w:rsid w:val="5AA370C6"/>
    <w:rsid w:val="5AEF58D9"/>
    <w:rsid w:val="5B0222A8"/>
    <w:rsid w:val="5BF51433"/>
    <w:rsid w:val="5D3A2B61"/>
    <w:rsid w:val="5E31427A"/>
    <w:rsid w:val="5EAB332E"/>
    <w:rsid w:val="5EDA3C27"/>
    <w:rsid w:val="5F6568F7"/>
    <w:rsid w:val="5FFBFD4E"/>
    <w:rsid w:val="5FFF8D5C"/>
    <w:rsid w:val="60C802BC"/>
    <w:rsid w:val="61DE0EB4"/>
    <w:rsid w:val="623151CA"/>
    <w:rsid w:val="625F3421"/>
    <w:rsid w:val="63A419D8"/>
    <w:rsid w:val="64D37E08"/>
    <w:rsid w:val="64DB7056"/>
    <w:rsid w:val="6575B814"/>
    <w:rsid w:val="65BFEBEA"/>
    <w:rsid w:val="6610178A"/>
    <w:rsid w:val="66320B8F"/>
    <w:rsid w:val="66982F4F"/>
    <w:rsid w:val="66F0546D"/>
    <w:rsid w:val="67486004"/>
    <w:rsid w:val="683B3E0E"/>
    <w:rsid w:val="6888651F"/>
    <w:rsid w:val="6894168D"/>
    <w:rsid w:val="68E34454"/>
    <w:rsid w:val="68EB6152"/>
    <w:rsid w:val="69B52798"/>
    <w:rsid w:val="6A7451AD"/>
    <w:rsid w:val="6AC14C27"/>
    <w:rsid w:val="6AD17E5E"/>
    <w:rsid w:val="6B3EB88D"/>
    <w:rsid w:val="6B6B4CB3"/>
    <w:rsid w:val="6BC41409"/>
    <w:rsid w:val="6C030E4B"/>
    <w:rsid w:val="6C5C62E3"/>
    <w:rsid w:val="6CAB30BC"/>
    <w:rsid w:val="6CED51AD"/>
    <w:rsid w:val="6D042BC1"/>
    <w:rsid w:val="6DEEA043"/>
    <w:rsid w:val="6E365A3C"/>
    <w:rsid w:val="6FCC3E6E"/>
    <w:rsid w:val="6FEE0232"/>
    <w:rsid w:val="6FEFB7EB"/>
    <w:rsid w:val="6FFF1537"/>
    <w:rsid w:val="71D6011D"/>
    <w:rsid w:val="72694444"/>
    <w:rsid w:val="72AF14FA"/>
    <w:rsid w:val="738FA7E8"/>
    <w:rsid w:val="73A0155B"/>
    <w:rsid w:val="748F5D04"/>
    <w:rsid w:val="74AC6885"/>
    <w:rsid w:val="74BE521F"/>
    <w:rsid w:val="74F90479"/>
    <w:rsid w:val="750C1C31"/>
    <w:rsid w:val="760B2FB7"/>
    <w:rsid w:val="7625601A"/>
    <w:rsid w:val="76463F55"/>
    <w:rsid w:val="76976C92"/>
    <w:rsid w:val="76E7A51A"/>
    <w:rsid w:val="76EF2560"/>
    <w:rsid w:val="77BF249E"/>
    <w:rsid w:val="77BF93F3"/>
    <w:rsid w:val="78070238"/>
    <w:rsid w:val="78D33F7B"/>
    <w:rsid w:val="798E36E0"/>
    <w:rsid w:val="7AAE0691"/>
    <w:rsid w:val="7BC40083"/>
    <w:rsid w:val="7C160625"/>
    <w:rsid w:val="7C1A6A34"/>
    <w:rsid w:val="7CBE4AD3"/>
    <w:rsid w:val="7D1C7CE5"/>
    <w:rsid w:val="7EFF667A"/>
    <w:rsid w:val="7F363046"/>
    <w:rsid w:val="8EFFBC18"/>
    <w:rsid w:val="AC2DB864"/>
    <w:rsid w:val="AD5E79E0"/>
    <w:rsid w:val="AFF12026"/>
    <w:rsid w:val="BE5F0EAB"/>
    <w:rsid w:val="BFDF6CE9"/>
    <w:rsid w:val="DEF3A296"/>
    <w:rsid w:val="DF7E72E6"/>
    <w:rsid w:val="DFFF8C5C"/>
    <w:rsid w:val="E0FDEE4E"/>
    <w:rsid w:val="E56AB755"/>
    <w:rsid w:val="F3D1CF89"/>
    <w:rsid w:val="F72F75A0"/>
    <w:rsid w:val="F7772E64"/>
    <w:rsid w:val="FBED48AB"/>
    <w:rsid w:val="FBF9F7D1"/>
    <w:rsid w:val="FEFBCB58"/>
    <w:rsid w:val="FF773750"/>
    <w:rsid w:val="FF77E1E5"/>
    <w:rsid w:val="FFD9CCFF"/>
    <w:rsid w:val="FFEFB0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font71"/>
    <w:qFormat/>
    <w:uiPriority w:val="0"/>
    <w:rPr>
      <w:rFonts w:hint="eastAsia" w:ascii="仿宋_GB2312" w:eastAsia="仿宋_GB2312" w:cs="仿宋_GB2312"/>
      <w:color w:val="333333"/>
      <w:sz w:val="28"/>
      <w:szCs w:val="28"/>
      <w:u w:val="none"/>
    </w:rPr>
  </w:style>
  <w:style w:type="character" w:customStyle="1" w:styleId="31">
    <w:name w:val="font81"/>
    <w:qFormat/>
    <w:uiPriority w:val="0"/>
    <w:rPr>
      <w:rFonts w:hint="default" w:ascii="Times New Roman" w:hAnsi="Times New Roman" w:cs="Times New Roman"/>
      <w:color w:val="333333"/>
      <w:sz w:val="28"/>
      <w:szCs w:val="28"/>
      <w:u w:val="none"/>
    </w:rPr>
  </w:style>
  <w:style w:type="character" w:customStyle="1" w:styleId="32">
    <w:name w:val="font91"/>
    <w:qFormat/>
    <w:uiPriority w:val="0"/>
    <w:rPr>
      <w:rFonts w:hint="eastAsia" w:ascii="宋体" w:hAnsi="宋体" w:eastAsia="宋体" w:cs="宋体"/>
      <w:color w:val="333333"/>
      <w:sz w:val="28"/>
      <w:szCs w:val="28"/>
      <w:u w:val="none"/>
    </w:rPr>
  </w:style>
  <w:style w:type="character" w:customStyle="1" w:styleId="33">
    <w:name w:val="font11"/>
    <w:qFormat/>
    <w:uiPriority w:val="0"/>
    <w:rPr>
      <w:rFonts w:hint="eastAsia" w:ascii="仿宋_GB2312" w:eastAsia="仿宋_GB2312" w:cs="仿宋_GB2312"/>
      <w:color w:val="000000"/>
      <w:sz w:val="28"/>
      <w:szCs w:val="28"/>
      <w:u w:val="none"/>
    </w:rPr>
  </w:style>
  <w:style w:type="character" w:customStyle="1" w:styleId="34">
    <w:name w:val="font101"/>
    <w:qFormat/>
    <w:uiPriority w:val="0"/>
    <w:rPr>
      <w:rFonts w:hint="eastAsia" w:ascii="仿宋_GB2312" w:eastAsia="仿宋_GB2312" w:cs="仿宋_GB2312"/>
      <w:color w:val="000000"/>
      <w:sz w:val="28"/>
      <w:szCs w:val="28"/>
      <w:u w:val="none"/>
    </w:rPr>
  </w:style>
  <w:style w:type="character" w:customStyle="1" w:styleId="35">
    <w:name w:val="font01"/>
    <w:qFormat/>
    <w:uiPriority w:val="0"/>
    <w:rPr>
      <w:rFonts w:hint="eastAsia" w:ascii="宋体" w:hAnsi="宋体" w:eastAsia="宋体" w:cs="宋体"/>
      <w:color w:val="000000"/>
      <w:sz w:val="22"/>
      <w:szCs w:val="22"/>
      <w:u w:val="none"/>
    </w:rPr>
  </w:style>
  <w:style w:type="paragraph" w:customStyle="1" w:styleId="36">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334</Words>
  <Characters>349</Characters>
  <Lines>0</Lines>
  <Paragraphs>0</Paragraphs>
  <TotalTime>0</TotalTime>
  <ScaleCrop>false</ScaleCrop>
  <LinksUpToDate>false</LinksUpToDate>
  <CharactersWithSpaces>351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2025-07-06T02:47:00Z</dcterms:created>
  <dc:creator>黄佩琳</dc:creator>
  <cp:lastModifiedBy>黎俊</cp:lastModifiedBy>
  <cp:lastPrinted>2026-03-26T14:49:00Z</cp:lastPrinted>
  <dcterms:modified xsi:type="dcterms:W3CDTF">2026-11-03T03:18:00Z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C4EB12A5CF42496A9FA3FDB2E4071A8A_13</vt:lpwstr>
  </property>
  <property fmtid="{D5CDD505-2E9C-101B-9397-08002B2CF9AE}" pid="4" name="KSOTemplateDocerSaveRecord">
    <vt:lpwstr>eyJoZGlkIjoiNTIyMTVkNWMyNjg0MmY3ZTZkZGYyNGZiNGI3MzdhYTgiLCJ1c2VySWQiOiI1NzU3NDk0NDQifQ==</vt:lpwstr>
  </property>
</Properties>
</file>