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auto"/>
          <w:sz w:val="32"/>
          <w:szCs w:val="32"/>
          <w:highlight w:val="none"/>
          <w:lang w:val="en-US" w:eastAsia="zh-CN"/>
        </w:rPr>
      </w:pPr>
      <w:bookmarkStart w:id="0" w:name="_Toc32562"/>
      <w:bookmarkStart w:id="1" w:name="_Toc5810"/>
      <w:bookmarkStart w:id="2" w:name="_Toc125127182"/>
      <w:bookmarkStart w:id="3" w:name="_Toc13216"/>
      <w:bookmarkStart w:id="40" w:name="_GoBack"/>
      <w:bookmarkEnd w:id="40"/>
      <w:r>
        <w:rPr>
          <w:rFonts w:hint="eastAsia" w:ascii="黑体" w:hAnsi="黑体" w:eastAsia="黑体" w:cs="黑体"/>
          <w:color w:val="auto"/>
          <w:sz w:val="32"/>
          <w:szCs w:val="32"/>
          <w:highlight w:val="none"/>
          <w:lang w:val="en-US" w:eastAsia="zh-CN"/>
        </w:rPr>
        <w:t>附 件8</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2026年中央资金深圳市消费新业态新模式新场景试点（支持创新多元化服务消费场景—发展家政等居民服务创新业态资助项目）申报指南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0798"/>
      <w:bookmarkStart w:id="5" w:name="_Toc24194"/>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支持家政等居民服务领域发展新业态新模式</w:t>
      </w:r>
      <w:r>
        <w:rPr>
          <w:rFonts w:hint="eastAsia"/>
          <w:color w:val="auto"/>
          <w:highlight w:val="none"/>
          <w:lang w:val="en-US" w:eastAsia="zh-CN"/>
        </w:rPr>
        <w:t>新场景</w:t>
      </w:r>
      <w:r>
        <w:rPr>
          <w:rFonts w:hint="eastAsia" w:ascii="仿宋_GB2312" w:eastAsia="仿宋_GB2312"/>
          <w:color w:val="auto"/>
          <w:highlight w:val="none"/>
          <w:lang w:val="en-US" w:eastAsia="zh-CN"/>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8852"/>
      <w:bookmarkStart w:id="7" w:name="_Toc15437"/>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r>
        <w:rPr>
          <w:rFonts w:hint="eastAsia" w:ascii="仿宋_GB2312" w:eastAsia="仿宋_GB2312"/>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18411"/>
      <w:bookmarkStart w:id="9" w:name="_Toc21755"/>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default"/>
          <w:color w:val="auto"/>
          <w:highlight w:val="none"/>
          <w:lang w:val="en-US" w:eastAsia="zh-CN"/>
        </w:rPr>
        <w:t>资助</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15307"/>
      <w:bookmarkStart w:id="11" w:name="_Toc431"/>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6.申报单位不存在将本属于同一性质内涵与建设内容的资助项目刻意分拆成两个项目的情形。同一项目不得重复申请多个支持方向。</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申报项目应符合以下类型之一：</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1.家政数智化平台</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（1）申报项目须围绕建设家政数智化平台，运用人工智能、大数据等技术，实现AI用户画像、精准服务匹配、智能监管等深度智能化应用；</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（2）申报项目须</w:t>
      </w:r>
      <w:r>
        <w:rPr>
          <w:rFonts w:hint="default"/>
          <w:color w:val="auto"/>
          <w:highlight w:val="none"/>
          <w:lang w:val="en-US" w:eastAsia="zh-CN"/>
        </w:rPr>
        <w:t>实现家政服务人员身份核验、健康管理、技能评级、服务全程可追溯</w:t>
      </w:r>
      <w:r>
        <w:rPr>
          <w:rFonts w:hint="eastAsia"/>
          <w:color w:val="auto"/>
          <w:highlight w:val="none"/>
          <w:lang w:val="en-US" w:eastAsia="zh-CN"/>
        </w:rPr>
        <w:t>，并具备</w:t>
      </w:r>
      <w:r>
        <w:rPr>
          <w:rFonts w:hint="default"/>
          <w:color w:val="auto"/>
          <w:highlight w:val="none"/>
          <w:lang w:val="en-US" w:eastAsia="zh-CN"/>
        </w:rPr>
        <w:t>标准化服务流程与价格公示体系</w:t>
      </w:r>
      <w:r>
        <w:rPr>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（3）服务家庭数不低于2000户（含）（2025年9月30日后项目落地以来）。</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2.“家政+”融合服务区</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（1）申报项目须以家政服务为基础，融合健康管理、适老智能科技体验、智慧康养、家庭素养提升服务、高端母婴照料等2类以上业态，实现店铺升级；</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（2）申报项目</w:t>
      </w:r>
      <w:r>
        <w:rPr>
          <w:rFonts w:hint="default"/>
          <w:color w:val="auto"/>
          <w:highlight w:val="none"/>
          <w:lang w:val="en-US" w:eastAsia="zh-CN"/>
        </w:rPr>
        <w:t>固定</w:t>
      </w:r>
      <w:r>
        <w:rPr>
          <w:rFonts w:hint="eastAsia"/>
          <w:color w:val="auto"/>
          <w:highlight w:val="none"/>
          <w:lang w:val="en-US" w:eastAsia="zh-CN"/>
        </w:rPr>
        <w:t>经营场所</w:t>
      </w:r>
      <w:r>
        <w:rPr>
          <w:rFonts w:hint="default"/>
          <w:color w:val="auto"/>
          <w:highlight w:val="none"/>
          <w:lang w:val="en-US" w:eastAsia="zh-CN"/>
        </w:rPr>
        <w:t>面积不低于200㎡</w:t>
      </w:r>
      <w:r>
        <w:rPr>
          <w:rFonts w:hint="eastAsia"/>
          <w:color w:val="auto"/>
          <w:highlight w:val="none"/>
          <w:lang w:val="en-US" w:eastAsia="zh-CN"/>
        </w:rPr>
        <w:t>（含）。</w:t>
      </w:r>
    </w:p>
    <w:p>
      <w:pPr>
        <w:pStyle w:val="35"/>
        <w:bidi w:val="0"/>
        <w:ind w:firstLine="640" w:firstLineChars="200"/>
        <w:rPr>
          <w:rStyle w:val="19"/>
          <w:rFonts w:hint="eastAsia" w:ascii="仿宋_GB2312" w:hAnsi="仿宋" w:eastAsia="仿宋_GB2312" w:cs="宋体"/>
          <w:bCs/>
          <w:color w:val="auto"/>
          <w:kern w:val="36"/>
          <w:sz w:val="32"/>
          <w:szCs w:val="32"/>
          <w:highlight w:val="none"/>
          <w:lang w:eastAsia="zh-CN"/>
        </w:rPr>
      </w:pP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pStyle w:val="35"/>
        <w:keepNext w:val="0"/>
        <w:keepLines w:val="0"/>
        <w:pageBreakBefore w:val="0"/>
        <w:widowControl w:val="0"/>
        <w:kinsoku/>
        <w:wordWrap/>
        <w:overflowPunct/>
        <w:topLinePunct w:val="0"/>
        <w:autoSpaceDE/>
        <w:autoSpaceDN/>
        <w:bidi w:val="0"/>
        <w:adjustRightInd/>
        <w:snapToGrid/>
        <w:spacing w:before="0" w:after="0"/>
        <w:ind w:firstLine="640"/>
        <w:textAlignment w:val="auto"/>
        <w:rPr>
          <w:rFonts w:hint="eastAsia"/>
          <w:color w:val="auto"/>
          <w:highlight w:val="none"/>
          <w:lang w:val="en-US" w:eastAsia="zh-CN"/>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2" w:name="_Toc31102"/>
      <w:bookmarkStart w:id="13" w:name="_Toc7095"/>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r>
        <w:rPr>
          <w:rFonts w:hint="eastAsia"/>
          <w:color w:val="auto"/>
          <w:highlight w:val="none"/>
          <w:lang w:val="en-US" w:eastAsia="zh-CN"/>
        </w:rPr>
        <w:t>（一）</w:t>
      </w:r>
      <w:r>
        <w:rPr>
          <w:rFonts w:hint="eastAsia" w:ascii="仿宋_GB2312" w:eastAsia="仿宋_GB2312"/>
          <w:color w:val="auto"/>
          <w:highlight w:val="none"/>
          <w:lang w:val="en-US" w:eastAsia="zh-CN"/>
        </w:rPr>
        <w:t>支持家政企业建设家政数智化平台，按相关的实际</w:t>
      </w:r>
      <w:r>
        <w:rPr>
          <w:rFonts w:hint="eastAsia"/>
          <w:color w:val="auto"/>
          <w:highlight w:val="none"/>
          <w:lang w:val="en-US" w:eastAsia="zh-CN"/>
        </w:rPr>
        <w:t>有效</w:t>
      </w:r>
      <w:r>
        <w:rPr>
          <w:rFonts w:hint="eastAsia" w:ascii="仿宋_GB2312" w:eastAsia="仿宋_GB2312"/>
          <w:color w:val="auto"/>
          <w:highlight w:val="none"/>
          <w:lang w:val="en-US" w:eastAsia="zh-CN"/>
        </w:rPr>
        <w:t>投入</w:t>
      </w:r>
      <w:r>
        <w:rPr>
          <w:rFonts w:hint="eastAsia"/>
          <w:color w:val="auto"/>
          <w:highlight w:val="none"/>
          <w:lang w:val="en-US" w:eastAsia="zh-CN"/>
        </w:rPr>
        <w:t>的</w:t>
      </w:r>
      <w:r>
        <w:rPr>
          <w:rFonts w:hint="eastAsia" w:ascii="仿宋_GB2312" w:eastAsia="仿宋_GB2312"/>
          <w:color w:val="auto"/>
          <w:highlight w:val="none"/>
          <w:lang w:val="en-US" w:eastAsia="zh-CN"/>
        </w:rPr>
        <w:t>20%给予资助，试点期间最高不超过300万元。</w:t>
      </w:r>
    </w:p>
    <w:p>
      <w:pPr>
        <w:bidi w:val="0"/>
        <w:rPr>
          <w:rFonts w:hint="eastAsia" w:ascii="仿宋_GB2312" w:eastAsia="仿宋_GB2312"/>
          <w:color w:val="auto"/>
          <w:highlight w:val="none"/>
          <w:lang w:val="en-US" w:eastAsia="zh-CN"/>
        </w:rPr>
      </w:pPr>
      <w:r>
        <w:rPr>
          <w:rFonts w:hint="eastAsia"/>
          <w:color w:val="auto"/>
          <w:highlight w:val="none"/>
          <w:lang w:val="en-US" w:eastAsia="zh-CN"/>
        </w:rPr>
        <w:t>（二）</w:t>
      </w:r>
      <w:r>
        <w:rPr>
          <w:rFonts w:hint="eastAsia" w:ascii="仿宋_GB2312" w:eastAsia="仿宋_GB2312"/>
          <w:color w:val="auto"/>
          <w:highlight w:val="none"/>
          <w:lang w:val="en-US" w:eastAsia="zh-CN"/>
        </w:rPr>
        <w:t>支持经营主体进行店铺升级，</w:t>
      </w:r>
      <w:r>
        <w:rPr>
          <w:rFonts w:hint="eastAsia"/>
          <w:color w:val="auto"/>
          <w:highlight w:val="none"/>
          <w:lang w:val="en-US" w:eastAsia="zh-CN"/>
        </w:rPr>
        <w:t>打造“家政+”融合服务区，</w:t>
      </w:r>
      <w:r>
        <w:rPr>
          <w:rFonts w:hint="eastAsia" w:ascii="仿宋_GB2312" w:eastAsia="仿宋_GB2312"/>
          <w:color w:val="auto"/>
          <w:highlight w:val="none"/>
          <w:lang w:val="en-US" w:eastAsia="zh-CN"/>
        </w:rPr>
        <w:t>按相关的实际</w:t>
      </w:r>
      <w:r>
        <w:rPr>
          <w:rFonts w:hint="eastAsia"/>
          <w:color w:val="auto"/>
          <w:highlight w:val="none"/>
          <w:lang w:val="en-US" w:eastAsia="zh-CN"/>
        </w:rPr>
        <w:t>有效</w:t>
      </w:r>
      <w:r>
        <w:rPr>
          <w:rFonts w:hint="eastAsia" w:ascii="仿宋_GB2312" w:eastAsia="仿宋_GB2312"/>
          <w:color w:val="auto"/>
          <w:highlight w:val="none"/>
          <w:lang w:val="en-US" w:eastAsia="zh-CN"/>
        </w:rPr>
        <w:t>投入</w:t>
      </w:r>
      <w:r>
        <w:rPr>
          <w:rFonts w:hint="eastAsia"/>
          <w:color w:val="auto"/>
          <w:highlight w:val="none"/>
          <w:lang w:val="en-US" w:eastAsia="zh-CN"/>
        </w:rPr>
        <w:t>的</w:t>
      </w:r>
      <w:r>
        <w:rPr>
          <w:rFonts w:hint="eastAsia" w:ascii="仿宋_GB2312" w:eastAsia="仿宋_GB2312"/>
          <w:color w:val="auto"/>
          <w:highlight w:val="none"/>
          <w:lang w:val="en-US" w:eastAsia="zh-CN"/>
        </w:rPr>
        <w:t>30%给予资助，试点期间最高不超过100万元。</w:t>
      </w:r>
    </w:p>
    <w:p>
      <w:pPr>
        <w:bidi w:val="0"/>
        <w:rPr>
          <w:rFonts w:hint="eastAsia" w:ascii="仿宋_GB2312" w:eastAsia="仿宋_GB2312"/>
          <w:color w:val="auto"/>
          <w:highlight w:val="none"/>
          <w:lang w:val="en-US" w:eastAsia="zh-CN"/>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2025年9月30日以来至申报日，申报主体打造家政等居民服务创新业态项目时</w:t>
      </w:r>
      <w:r>
        <w:rPr>
          <w:rFonts w:hint="eastAsia"/>
          <w:color w:val="000000" w:themeColor="text1"/>
          <w:highlight w:val="none"/>
          <w:lang w:val="en-US" w:eastAsia="zh-CN"/>
          <w14:textFill>
            <w14:solidFill>
              <w14:schemeClr w14:val="tx1"/>
            </w14:solidFill>
          </w14:textFill>
        </w:rPr>
        <w:t>，已完成或阶段性完成部分相关投入，不包含各级财政投资部分，以及第四点第（二）条专项条件中明确不予支持部分。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7147"/>
      <w:bookmarkStart w:id="15" w:name="_Toc27028"/>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申报单位按照申报材料要求编写项目申请书并提供相关证明材料，登录前海企业服务一体化平台在线下载填报申请书（网址：</w:t>
      </w:r>
      <w:r>
        <w:rPr>
          <w:rFonts w:hint="eastAsia"/>
          <w:color w:val="auto"/>
          <w:highlight w:val="none"/>
          <w:lang w:val="en-US" w:eastAsia="zh-CN"/>
        </w:rPr>
        <w:t>https://qf.qh.sz.gov.cn</w:t>
      </w:r>
      <w:r>
        <w:rPr>
          <w:rFonts w:hint="default"/>
          <w:color w:val="auto"/>
          <w:highlight w:val="none"/>
          <w:lang w:val="en-US" w:eastAsia="zh-CN"/>
        </w:rPr>
        <w:t>/—选择“领补贴”—商贸物流—“消费新业态新模式新场景试点（支持创新多元化服务消费场景—发展家政等居民服务创新业态资助项目）事项”—点击“</w:t>
      </w:r>
      <w:r>
        <w:rPr>
          <w:rFonts w:hint="eastAsia"/>
          <w:highlight w:val="none"/>
          <w:lang w:val="en-US" w:eastAsia="zh-CN"/>
        </w:rPr>
        <w:t>一键申报</w:t>
      </w:r>
      <w:r>
        <w:rPr>
          <w:rFonts w:hint="default"/>
          <w:color w:val="auto"/>
          <w:highlight w:val="none"/>
          <w:lang w:val="en-US" w:eastAsia="zh-CN"/>
        </w:rPr>
        <w:t>”—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default"/>
          <w:color w:val="auto"/>
          <w:highlight w:val="none"/>
          <w:lang w:val="en-US" w:eastAsia="zh-CN"/>
        </w:rPr>
      </w:pPr>
      <w:r>
        <w:rPr>
          <w:rFonts w:hint="default"/>
          <w:color w:val="auto"/>
          <w:highlight w:val="none"/>
          <w:lang w:val="en-US" w:eastAsia="zh-CN"/>
        </w:rPr>
        <w:t>1.通用专项材料（两类方向均需提交）</w:t>
      </w:r>
    </w:p>
    <w:p>
      <w:pPr>
        <w:bidi w:val="0"/>
        <w:rPr>
          <w:rFonts w:hint="eastAsia"/>
          <w:color w:val="auto"/>
          <w:highlight w:val="none"/>
          <w:lang w:val="en-US" w:eastAsia="zh-CN"/>
        </w:rPr>
      </w:pPr>
      <w:r>
        <w:rPr>
          <w:rFonts w:hint="eastAsia"/>
          <w:color w:val="auto"/>
          <w:highlight w:val="none"/>
          <w:lang w:val="en-US" w:eastAsia="zh-CN"/>
        </w:rPr>
        <w:t>（1）项目成效总结（模板详见项目申报书）。</w:t>
      </w:r>
    </w:p>
    <w:p>
      <w:pPr>
        <w:bidi w:val="0"/>
        <w:rPr>
          <w:rFonts w:hint="eastAsia"/>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专项资金项目投入明细表</w:t>
      </w:r>
      <w:r>
        <w:rPr>
          <w:rFonts w:hint="eastAsia"/>
          <w:color w:val="auto"/>
          <w:highlight w:val="none"/>
          <w:lang w:val="en-US" w:eastAsia="zh-CN"/>
        </w:rPr>
        <w:t>及佐证材料（详见项目申报书）。</w:t>
      </w:r>
    </w:p>
    <w:p>
      <w:pPr>
        <w:bidi w:val="0"/>
        <w:rPr>
          <w:rFonts w:hint="eastAsia"/>
          <w:color w:val="auto"/>
          <w:highlight w:val="none"/>
          <w:lang w:val="en-US" w:eastAsia="zh-CN"/>
        </w:rPr>
      </w:pPr>
      <w:r>
        <w:rPr>
          <w:rFonts w:hint="eastAsia"/>
          <w:color w:val="auto"/>
          <w:highlight w:val="none"/>
          <w:lang w:val="en-US" w:eastAsia="zh-CN"/>
        </w:rPr>
        <w:t>2.分类型专项材料（选择一类提交）：</w:t>
      </w:r>
    </w:p>
    <w:p>
      <w:pPr>
        <w:bidi w:val="0"/>
        <w:rPr>
          <w:rFonts w:hint="eastAsia"/>
          <w:color w:val="auto"/>
          <w:highlight w:val="none"/>
          <w:lang w:val="en-US" w:eastAsia="zh-CN"/>
        </w:rPr>
      </w:pPr>
      <w:r>
        <w:rPr>
          <w:rFonts w:hint="eastAsia"/>
          <w:color w:val="auto"/>
          <w:highlight w:val="none"/>
          <w:lang w:val="en-US" w:eastAsia="zh-CN"/>
        </w:rPr>
        <w:t>一是家政数智化平台建设项目</w:t>
      </w:r>
    </w:p>
    <w:p>
      <w:pPr>
        <w:bidi w:val="0"/>
        <w:rPr>
          <w:rFonts w:hint="eastAsia"/>
          <w:color w:val="auto"/>
          <w:highlight w:val="none"/>
          <w:lang w:val="en-US" w:eastAsia="zh-CN"/>
        </w:rPr>
      </w:pPr>
      <w:r>
        <w:rPr>
          <w:rFonts w:hint="eastAsia"/>
          <w:color w:val="auto"/>
          <w:highlight w:val="none"/>
          <w:lang w:val="en-US" w:eastAsia="zh-CN"/>
        </w:rPr>
        <w:t>（1）平台建设说明：平台功能介绍及智能化应用说明（须体现AI用户画像、精准服务匹配、智能监管等功能）。</w:t>
      </w:r>
    </w:p>
    <w:p>
      <w:pPr>
        <w:bidi w:val="0"/>
        <w:rPr>
          <w:rFonts w:hint="eastAsia"/>
          <w:color w:val="auto"/>
          <w:highlight w:val="none"/>
          <w:lang w:val="en-US" w:eastAsia="zh-CN"/>
        </w:rPr>
      </w:pPr>
      <w:r>
        <w:rPr>
          <w:rFonts w:hint="eastAsia"/>
          <w:color w:val="auto"/>
          <w:highlight w:val="none"/>
          <w:lang w:val="en-US" w:eastAsia="zh-CN"/>
        </w:rPr>
        <w:t>（2）服务家庭数量佐证材料：平台后台服务数据、服务订单记录等。</w:t>
      </w:r>
    </w:p>
    <w:p>
      <w:pPr>
        <w:bidi w:val="0"/>
        <w:rPr>
          <w:rFonts w:hint="eastAsia"/>
          <w:color w:val="auto"/>
          <w:highlight w:val="none"/>
          <w:lang w:val="en-US" w:eastAsia="zh-CN"/>
        </w:rPr>
      </w:pPr>
      <w:r>
        <w:rPr>
          <w:rFonts w:hint="eastAsia"/>
          <w:color w:val="auto"/>
          <w:highlight w:val="none"/>
          <w:lang w:val="en-US" w:eastAsia="zh-CN"/>
        </w:rPr>
        <w:t>（3）服务人员管理佐证材料：提供人员管理与服务追溯体系说明（如人员信息库、健康档案、技能标签、服务订单追踪流程等）。</w:t>
      </w:r>
    </w:p>
    <w:p>
      <w:pPr>
        <w:bidi w:val="0"/>
        <w:rPr>
          <w:rFonts w:hint="eastAsia"/>
          <w:color w:val="auto"/>
          <w:highlight w:val="none"/>
          <w:lang w:val="en-US" w:eastAsia="zh-CN"/>
        </w:rPr>
      </w:pPr>
      <w:r>
        <w:rPr>
          <w:rFonts w:hint="eastAsia"/>
          <w:color w:val="auto"/>
          <w:highlight w:val="none"/>
          <w:lang w:val="en-US" w:eastAsia="zh-CN"/>
        </w:rPr>
        <w:t>（4）服务可追溯及标准化体系佐证材料：服务全程可追溯系统说明、追溯记录示例、标准化服务流程文件、价格公示照片/文件等。</w:t>
      </w:r>
    </w:p>
    <w:p>
      <w:pPr>
        <w:bidi w:val="0"/>
        <w:rPr>
          <w:rFonts w:hint="eastAsia"/>
          <w:color w:val="auto"/>
          <w:highlight w:val="none"/>
          <w:lang w:val="en-US" w:eastAsia="zh-CN"/>
        </w:rPr>
      </w:pPr>
      <w:r>
        <w:rPr>
          <w:rFonts w:hint="eastAsia"/>
          <w:color w:val="auto"/>
          <w:highlight w:val="none"/>
          <w:lang w:val="en-US" w:eastAsia="zh-CN"/>
        </w:rPr>
        <w:t>二是“家政+”融合服务区升级项目</w:t>
      </w:r>
    </w:p>
    <w:p>
      <w:pPr>
        <w:bidi w:val="0"/>
        <w:rPr>
          <w:rFonts w:hint="eastAsia"/>
          <w:color w:val="auto"/>
          <w:highlight w:val="none"/>
          <w:lang w:val="en-US" w:eastAsia="zh-CN"/>
        </w:rPr>
      </w:pPr>
      <w:r>
        <w:rPr>
          <w:rFonts w:hint="eastAsia"/>
          <w:color w:val="auto"/>
          <w:highlight w:val="none"/>
          <w:lang w:val="en-US" w:eastAsia="zh-CN"/>
        </w:rPr>
        <w:t>（1）业态融合佐证材料：项目运营方案、各融合业态的服务说明、现场实景资料等，须体现以家政服务为基础，融合健康管理、适老智能科技体验、智慧康养、家庭素养提升服务、高端母婴照料等2类及以上业态的具体内容。</w:t>
      </w:r>
    </w:p>
    <w:p>
      <w:pPr>
        <w:bidi w:val="0"/>
        <w:rPr>
          <w:rFonts w:hint="eastAsia"/>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w:t>
      </w:r>
      <w:r>
        <w:rPr>
          <w:rFonts w:hint="eastAsia"/>
          <w:color w:val="auto"/>
          <w:highlight w:val="none"/>
          <w:lang w:val="en-US" w:eastAsia="zh-CN"/>
        </w:rPr>
        <w:t>场地面积佐证材料：不动产权证书、租赁合同或场地使用文件（须载明面积）。</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19526"/>
      <w:bookmarkStart w:id="17" w:name="_Toc5711"/>
      <w:r>
        <w:rPr>
          <w:rFonts w:hint="eastAsia" w:ascii="黑体" w:hAnsi="黑体" w:eastAsia="黑体" w:cs="仿宋"/>
          <w:color w:val="auto"/>
          <w:kern w:val="2"/>
          <w:sz w:val="32"/>
          <w:szCs w:val="22"/>
          <w:highlight w:val="none"/>
          <w:lang w:val="en-US" w:eastAsia="zh-CN" w:bidi="ar-SA"/>
        </w:rPr>
        <w:t>七、申请表格</w:t>
      </w:r>
      <w:bookmarkEnd w:id="16"/>
      <w:bookmarkEnd w:id="17"/>
    </w:p>
    <w:p>
      <w:pPr>
        <w:bidi w:val="0"/>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本指南第六条（一）规定登录前海企业服务一体化平台在线填报申请书，网址：</w:t>
      </w:r>
      <w:r>
        <w:rPr>
          <w:rFonts w:hint="eastAsia" w:hAnsi="Calibri" w:cs="Times New Roman"/>
          <w:color w:val="auto"/>
          <w:sz w:val="32"/>
          <w:szCs w:val="32"/>
          <w:highlight w:val="none"/>
          <w:lang w:val="en-US" w:eastAsia="zh-CN"/>
        </w:rPr>
        <w:t>https://qf.qh.sz.gov.cn</w:t>
      </w:r>
      <w:r>
        <w:rPr>
          <w:rFonts w:hint="eastAsia" w:ascii="仿宋_GB2312" w:hAnsi="Calibri" w:eastAsia="仿宋_GB2312" w:cs="Times New Roman"/>
          <w:color w:val="auto"/>
          <w:sz w:val="32"/>
          <w:szCs w:val="32"/>
          <w:highlight w:val="none"/>
          <w:lang w:val="en-US"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13760"/>
      <w:bookmarkStart w:id="19" w:name="_Toc20121"/>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rPr>
          <w:rFonts w:hint="eastAsia" w:ascii="仿宋_GB2312" w:hAnsi="仿宋_GB2312" w:eastAsia="仿宋_GB2312" w:cs="仿宋_GB2312"/>
          <w:color w:val="auto"/>
          <w:sz w:val="32"/>
          <w:szCs w:val="32"/>
          <w:highlight w:val="none"/>
          <w:u w:val="single"/>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auto"/>
          <w:kern w:val="0"/>
          <w:sz w:val="32"/>
          <w:szCs w:val="32"/>
          <w:highlight w:val="none"/>
          <w:lang w:val="en-US" w:eastAsia="zh-CN"/>
        </w:rPr>
      </w:pPr>
      <w:r>
        <w:rPr>
          <w:rFonts w:hint="eastAsia" w:ascii="仿宋_GB2312" w:hAnsi="宋体" w:eastAsia="仿宋_GB2312" w:cs="宋体"/>
          <w:color w:val="auto"/>
          <w:kern w:val="0"/>
          <w:sz w:val="32"/>
          <w:szCs w:val="32"/>
          <w:highlight w:val="none"/>
          <w:lang w:val="en-US" w:eastAsia="zh-CN"/>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r>
        <w:rPr>
          <w:rFonts w:hint="eastAsia" w:ascii="仿宋_GB2312" w:hAnsi="仿宋_GB2312" w:eastAsia="仿宋_GB2312" w:cs="仿宋_GB2312"/>
          <w:color w:val="auto"/>
          <w:sz w:val="32"/>
          <w:szCs w:val="32"/>
          <w:highlight w:val="none"/>
        </w:rPr>
        <w:t>。</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bidi w:val="0"/>
        <w:rPr>
          <w:rFonts w:hint="eastAsia" w:ascii="仿宋_GB2312" w:hAnsi="仿宋_GB2312" w:eastAsia="仿宋_GB2312" w:cs="仿宋_GB2312"/>
          <w:color w:val="auto"/>
          <w:sz w:val="32"/>
          <w:szCs w:val="32"/>
          <w:highlight w:val="none"/>
          <w:u w:val="single"/>
        </w:rPr>
      </w:pPr>
      <w:r>
        <w:rPr>
          <w:rFonts w:hint="eastAsia" w:hAnsi="宋体" w:cs="宋体"/>
          <w:color w:val="000000" w:themeColor="text1"/>
          <w:kern w:val="0"/>
          <w:sz w:val="32"/>
          <w:szCs w:val="32"/>
          <w:highlight w:val="none"/>
          <w:u w:val="none"/>
          <w:lang w:val="en-US" w:eastAsia="zh-CN"/>
          <w14:textFill>
            <w14:solidFill>
              <w14:schemeClr w14:val="tx1"/>
            </w14:solidFill>
          </w14:textFill>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1376"/>
      <w:bookmarkStart w:id="21" w:name="_Toc9722"/>
      <w:r>
        <w:rPr>
          <w:rFonts w:hint="eastAsia" w:ascii="黑体" w:hAnsi="黑体" w:eastAsia="黑体" w:cs="仿宋"/>
          <w:color w:val="auto"/>
          <w:kern w:val="2"/>
          <w:sz w:val="32"/>
          <w:szCs w:val="22"/>
          <w:highlight w:val="none"/>
          <w:lang w:val="en-US" w:eastAsia="zh-CN" w:bidi="ar-SA"/>
        </w:rPr>
        <w:t>九、申请决定机关</w:t>
      </w:r>
      <w:bookmarkEnd w:id="20"/>
      <w:bookmarkEnd w:id="21"/>
    </w:p>
    <w:p>
      <w:pPr>
        <w:bidi w:val="0"/>
        <w:rPr>
          <w:rFonts w:hint="eastAsia" w:ascii="仿宋_GB2312" w:hAnsi="宋体" w:eastAsia="仿宋_GB2312" w:cs="宋体"/>
          <w:color w:val="auto"/>
          <w:kern w:val="0"/>
          <w:sz w:val="32"/>
          <w:szCs w:val="32"/>
          <w:highlight w:val="none"/>
          <w:lang w:val="en-US" w:eastAsia="zh-CN"/>
        </w:rPr>
      </w:pPr>
      <w:bookmarkStart w:id="22" w:name="_Toc10305"/>
      <w:bookmarkStart w:id="23" w:name="_Toc161850809"/>
      <w:bookmarkStart w:id="24" w:name="_Toc2137"/>
      <w:bookmarkStart w:id="25" w:name="_Toc125127183"/>
      <w:r>
        <w:rPr>
          <w:rFonts w:hint="eastAsia" w:hAnsi="宋体" w:cs="宋体"/>
          <w:color w:val="000000" w:themeColor="text1"/>
          <w:kern w:val="0"/>
          <w:sz w:val="32"/>
          <w:szCs w:val="32"/>
          <w:highlight w:val="none"/>
          <w:u w:val="none"/>
          <w:lang w:val="en-US" w:eastAsia="zh-CN"/>
          <w14:textFill>
            <w14:solidFill>
              <w14:schemeClr w14:val="tx1"/>
            </w14:solidFill>
          </w14:textFill>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1274"/>
      <w:bookmarkStart w:id="27" w:name="_Toc16198"/>
      <w:r>
        <w:rPr>
          <w:rFonts w:hint="eastAsia" w:ascii="黑体" w:hAnsi="黑体" w:eastAsia="黑体" w:cs="仿宋"/>
          <w:color w:val="auto"/>
          <w:kern w:val="2"/>
          <w:sz w:val="32"/>
          <w:szCs w:val="22"/>
          <w:highlight w:val="none"/>
          <w:lang w:val="en-US" w:eastAsia="zh-CN" w:bidi="ar-SA"/>
        </w:rPr>
        <w:t>十、办理流程</w:t>
      </w:r>
      <w:bookmarkEnd w:id="26"/>
      <w:bookmarkEnd w:id="27"/>
    </w:p>
    <w:p>
      <w:pPr>
        <w:bidi w:val="0"/>
        <w:rPr>
          <w:rFonts w:hint="eastAsia" w:ascii="仿宋_GB2312" w:hAnsi="仿宋_GB2312" w:eastAsia="仿宋_GB2312" w:cs="Times New Roman"/>
          <w:color w:val="auto"/>
          <w:sz w:val="32"/>
          <w:szCs w:val="32"/>
          <w:highlight w:val="none"/>
          <w:lang w:bidi="ar"/>
        </w:rPr>
      </w:pPr>
      <w:r>
        <w:rPr>
          <w:rFonts w:hint="eastAsia" w:ascii="仿宋_GB2312" w:hAnsi="仿宋_GB2312" w:eastAsia="仿宋_GB2312" w:cs="Times New Roman"/>
          <w:color w:val="auto"/>
          <w:sz w:val="32"/>
          <w:szCs w:val="32"/>
          <w:highlight w:val="none"/>
          <w:lang w:val="en-US" w:eastAsia="zh-CN" w:bidi="ar"/>
        </w:rPr>
        <w:t>前海管理局发布申报指南——申报单位网上申报——前海管理局网上初审——申报单位向政务服务中心收文窗口提交申请材料——前海管理局开展形式审查——前海管理局开展资质审查——前海管理局组织专项审计——征求意见与综合核查——拟定资助计划——社会公示——下达资助计划——通知申报单位提交拨付资料——拨付资金。</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28790"/>
      <w:bookmarkStart w:id="29" w:name="_Toc3693"/>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29872"/>
      <w:bookmarkStart w:id="31" w:name="_Toc32254"/>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7239"/>
      <w:bookmarkStart w:id="33" w:name="_Toc19920"/>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6842"/>
      <w:bookmarkStart w:id="35" w:name="_Toc7505"/>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475"/>
      <w:bookmarkStart w:id="37" w:name="_Toc3014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8762"/>
      <w:bookmarkStart w:id="39" w:name="_Toc20677"/>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bookmarkEnd w:id="22"/>
    <w:bookmarkEnd w:id="23"/>
    <w:bookmarkEnd w:id="24"/>
    <w:bookmarkEnd w:id="25"/>
    <w:p>
      <w:pPr>
        <w:pStyle w:val="17"/>
        <w:ind w:firstLine="0" w:firstLineChars="0"/>
        <w:rPr>
          <w:rFonts w:ascii="仿宋_GB2312" w:hAnsi="仿宋_GB2312"/>
          <w:color w:val="auto"/>
          <w:highlight w:val="none"/>
        </w:rPr>
      </w:pPr>
    </w:p>
    <w:sectPr>
      <w:footerReference r:id="rId5" w:type="default"/>
      <w:pgSz w:w="11906" w:h="16838"/>
      <w:pgMar w:top="1814" w:right="1474" w:bottom="181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C85A7E-BF82-403B-9682-73242BFEB4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B72AC6D-1F73-42AE-A1CC-60C4E2E99AC8}"/>
  </w:font>
  <w:font w:name="仿宋_GB2312">
    <w:panose1 w:val="02010609030101010101"/>
    <w:charset w:val="86"/>
    <w:family w:val="auto"/>
    <w:pitch w:val="default"/>
    <w:sig w:usb0="00000001" w:usb1="080E0000" w:usb2="00000000" w:usb3="00000000" w:csb0="00040000" w:csb1="00000000"/>
    <w:embedRegular r:id="rId3" w:fontKey="{CA9C0A9E-C42C-4CBD-933F-9015C618B039}"/>
  </w:font>
  <w:font w:name="仿宋">
    <w:panose1 w:val="02010609060101010101"/>
    <w:charset w:val="86"/>
    <w:family w:val="modern"/>
    <w:pitch w:val="default"/>
    <w:sig w:usb0="800002BF" w:usb1="38CF7CFA" w:usb2="00000016" w:usb3="00000000" w:csb0="00040001" w:csb1="00000000"/>
    <w:embedRegular r:id="rId4" w:fontKey="{1442E518-6DF4-4646-85D1-34A108898C05}"/>
  </w:font>
  <w:font w:name="方正小标宋简体">
    <w:panose1 w:val="02000000000000000000"/>
    <w:charset w:val="86"/>
    <w:family w:val="auto"/>
    <w:pitch w:val="default"/>
    <w:sig w:usb0="00000001" w:usb1="08000000" w:usb2="00000000" w:usb3="00000000" w:csb0="00040000" w:csb1="00000000"/>
    <w:embedRegular r:id="rId5" w:fontKey="{8890E20C-E5BD-42D0-BA3A-FCFE61563E1B}"/>
  </w:font>
  <w:font w:name="楷体">
    <w:panose1 w:val="02010609060101010101"/>
    <w:charset w:val="86"/>
    <w:family w:val="modern"/>
    <w:pitch w:val="default"/>
    <w:sig w:usb0="800002BF" w:usb1="38CF7CFA" w:usb2="00000016" w:usb3="00000000" w:csb0="00040001" w:csb1="00000000"/>
    <w:embedRegular r:id="rId6" w:fontKey="{5EF695E6-2C9B-402F-B5CD-A4CA6495154F}"/>
  </w:font>
  <w:font w:name="楷体_GB2312">
    <w:panose1 w:val="02010609030101010101"/>
    <w:charset w:val="86"/>
    <w:family w:val="auto"/>
    <w:pitch w:val="default"/>
    <w:sig w:usb0="00000001" w:usb1="080E0000" w:usb2="00000000" w:usb3="00000000" w:csb0="00040000" w:csb1="00000000"/>
    <w:embedRegular r:id="rId7" w:fontKey="{6FDD9F92-E475-4DEF-B305-96BF7FE04BB3}"/>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09359DE"/>
    <w:rsid w:val="012A09FA"/>
    <w:rsid w:val="02803A46"/>
    <w:rsid w:val="02CB1CF7"/>
    <w:rsid w:val="02DA63DE"/>
    <w:rsid w:val="02E93786"/>
    <w:rsid w:val="032C6A46"/>
    <w:rsid w:val="032D5FC2"/>
    <w:rsid w:val="03B55433"/>
    <w:rsid w:val="05036B9E"/>
    <w:rsid w:val="052E6828"/>
    <w:rsid w:val="055A2FDB"/>
    <w:rsid w:val="06426774"/>
    <w:rsid w:val="06825C75"/>
    <w:rsid w:val="070F7027"/>
    <w:rsid w:val="07DA12B2"/>
    <w:rsid w:val="08461CA3"/>
    <w:rsid w:val="0A2D6324"/>
    <w:rsid w:val="0A302337"/>
    <w:rsid w:val="0A6C5760"/>
    <w:rsid w:val="0B35692F"/>
    <w:rsid w:val="0B4456D1"/>
    <w:rsid w:val="0BAD1FAB"/>
    <w:rsid w:val="0BE1742C"/>
    <w:rsid w:val="0D0E36C4"/>
    <w:rsid w:val="0D1F0CED"/>
    <w:rsid w:val="0E511A57"/>
    <w:rsid w:val="0F95719B"/>
    <w:rsid w:val="0FB66B24"/>
    <w:rsid w:val="0FE131A1"/>
    <w:rsid w:val="0FED3255"/>
    <w:rsid w:val="10BF0BFF"/>
    <w:rsid w:val="11A73770"/>
    <w:rsid w:val="124226AB"/>
    <w:rsid w:val="126D73E5"/>
    <w:rsid w:val="137F7D0B"/>
    <w:rsid w:val="13A40095"/>
    <w:rsid w:val="14053C83"/>
    <w:rsid w:val="15C958A9"/>
    <w:rsid w:val="160A19AA"/>
    <w:rsid w:val="163D2AB4"/>
    <w:rsid w:val="172A2DF8"/>
    <w:rsid w:val="17584EA5"/>
    <w:rsid w:val="17772A4F"/>
    <w:rsid w:val="17B005EC"/>
    <w:rsid w:val="185533C0"/>
    <w:rsid w:val="187E0EC3"/>
    <w:rsid w:val="18AB1F57"/>
    <w:rsid w:val="190653E0"/>
    <w:rsid w:val="19760AFD"/>
    <w:rsid w:val="197B53D3"/>
    <w:rsid w:val="1C210334"/>
    <w:rsid w:val="1C964CCC"/>
    <w:rsid w:val="1CFC17D2"/>
    <w:rsid w:val="1EBE0883"/>
    <w:rsid w:val="205A510F"/>
    <w:rsid w:val="21127D99"/>
    <w:rsid w:val="21A5207B"/>
    <w:rsid w:val="22C22819"/>
    <w:rsid w:val="23303670"/>
    <w:rsid w:val="246A3FA3"/>
    <w:rsid w:val="26E72CF4"/>
    <w:rsid w:val="272E1910"/>
    <w:rsid w:val="2976170C"/>
    <w:rsid w:val="2A104310"/>
    <w:rsid w:val="2A1A1904"/>
    <w:rsid w:val="2A4B3E74"/>
    <w:rsid w:val="2A77438F"/>
    <w:rsid w:val="2AF92CF7"/>
    <w:rsid w:val="2BA068F1"/>
    <w:rsid w:val="2C2A1457"/>
    <w:rsid w:val="2CAE0A32"/>
    <w:rsid w:val="2E2465DC"/>
    <w:rsid w:val="2F0A3862"/>
    <w:rsid w:val="2FA35597"/>
    <w:rsid w:val="2FFC0AFB"/>
    <w:rsid w:val="302C0287"/>
    <w:rsid w:val="303B475C"/>
    <w:rsid w:val="31565469"/>
    <w:rsid w:val="31A95387"/>
    <w:rsid w:val="31B31F93"/>
    <w:rsid w:val="321653A8"/>
    <w:rsid w:val="322E20A6"/>
    <w:rsid w:val="329C19A3"/>
    <w:rsid w:val="32F52701"/>
    <w:rsid w:val="33082BFE"/>
    <w:rsid w:val="341A4C22"/>
    <w:rsid w:val="347B2CCE"/>
    <w:rsid w:val="352B3694"/>
    <w:rsid w:val="363C0287"/>
    <w:rsid w:val="3654545B"/>
    <w:rsid w:val="36565190"/>
    <w:rsid w:val="366C2500"/>
    <w:rsid w:val="366C6D72"/>
    <w:rsid w:val="38177015"/>
    <w:rsid w:val="382C7B34"/>
    <w:rsid w:val="387303F9"/>
    <w:rsid w:val="394365BD"/>
    <w:rsid w:val="3AE03440"/>
    <w:rsid w:val="3B0E3D0E"/>
    <w:rsid w:val="3B7D60D5"/>
    <w:rsid w:val="3BFC17F2"/>
    <w:rsid w:val="3C0C0B0D"/>
    <w:rsid w:val="3CFD6976"/>
    <w:rsid w:val="3D5D42F6"/>
    <w:rsid w:val="3DB808BA"/>
    <w:rsid w:val="3EFD6756"/>
    <w:rsid w:val="3F5B39FD"/>
    <w:rsid w:val="3FAC643B"/>
    <w:rsid w:val="407A2ECB"/>
    <w:rsid w:val="40821EBE"/>
    <w:rsid w:val="418D6C3A"/>
    <w:rsid w:val="423806ED"/>
    <w:rsid w:val="428230B1"/>
    <w:rsid w:val="435769AA"/>
    <w:rsid w:val="437A5877"/>
    <w:rsid w:val="43BB3CEC"/>
    <w:rsid w:val="44A91A1A"/>
    <w:rsid w:val="44D052C5"/>
    <w:rsid w:val="44DE48DC"/>
    <w:rsid w:val="46A70EF9"/>
    <w:rsid w:val="46AE1F3D"/>
    <w:rsid w:val="473C23B2"/>
    <w:rsid w:val="4743523B"/>
    <w:rsid w:val="474450E0"/>
    <w:rsid w:val="47781E40"/>
    <w:rsid w:val="48541414"/>
    <w:rsid w:val="4900762E"/>
    <w:rsid w:val="4A6B0082"/>
    <w:rsid w:val="4AB56AE2"/>
    <w:rsid w:val="4B0038EE"/>
    <w:rsid w:val="4B1927F8"/>
    <w:rsid w:val="4B6E7935"/>
    <w:rsid w:val="4BFDAF1A"/>
    <w:rsid w:val="4C7F0BBC"/>
    <w:rsid w:val="4C9B369B"/>
    <w:rsid w:val="4CFC69BB"/>
    <w:rsid w:val="4E7E74BD"/>
    <w:rsid w:val="4E805B64"/>
    <w:rsid w:val="4F9660BB"/>
    <w:rsid w:val="4FC2745B"/>
    <w:rsid w:val="509A0D5C"/>
    <w:rsid w:val="50CB0BE4"/>
    <w:rsid w:val="51A47BE3"/>
    <w:rsid w:val="52252BFC"/>
    <w:rsid w:val="52DE22B6"/>
    <w:rsid w:val="54D06548"/>
    <w:rsid w:val="54E753F5"/>
    <w:rsid w:val="55FE642B"/>
    <w:rsid w:val="563F7F48"/>
    <w:rsid w:val="56E509B4"/>
    <w:rsid w:val="56F7427F"/>
    <w:rsid w:val="5779221D"/>
    <w:rsid w:val="584C4C5F"/>
    <w:rsid w:val="589B5008"/>
    <w:rsid w:val="58A326D8"/>
    <w:rsid w:val="592F3991"/>
    <w:rsid w:val="59466376"/>
    <w:rsid w:val="599552E2"/>
    <w:rsid w:val="5BF51433"/>
    <w:rsid w:val="5F6568F7"/>
    <w:rsid w:val="5FFF8D5C"/>
    <w:rsid w:val="60C802BC"/>
    <w:rsid w:val="613C0293"/>
    <w:rsid w:val="619F73C4"/>
    <w:rsid w:val="61DE0EB4"/>
    <w:rsid w:val="623151CA"/>
    <w:rsid w:val="62C7401F"/>
    <w:rsid w:val="63A419D8"/>
    <w:rsid w:val="64530829"/>
    <w:rsid w:val="64D37E08"/>
    <w:rsid w:val="64DB7056"/>
    <w:rsid w:val="66982F4F"/>
    <w:rsid w:val="66F0546D"/>
    <w:rsid w:val="67FEA401"/>
    <w:rsid w:val="6888651F"/>
    <w:rsid w:val="6894168D"/>
    <w:rsid w:val="68EB6152"/>
    <w:rsid w:val="69B52798"/>
    <w:rsid w:val="6A6043B8"/>
    <w:rsid w:val="6A7451AD"/>
    <w:rsid w:val="6AC14C27"/>
    <w:rsid w:val="6BC41409"/>
    <w:rsid w:val="6C030E4B"/>
    <w:rsid w:val="6C501A03"/>
    <w:rsid w:val="6C5C62E3"/>
    <w:rsid w:val="6CAB30BC"/>
    <w:rsid w:val="6CED51AD"/>
    <w:rsid w:val="6D042BC1"/>
    <w:rsid w:val="6F532320"/>
    <w:rsid w:val="6FCC3E6E"/>
    <w:rsid w:val="6FE5658D"/>
    <w:rsid w:val="6FEFB7EB"/>
    <w:rsid w:val="71D6011D"/>
    <w:rsid w:val="72694444"/>
    <w:rsid w:val="72AF14FA"/>
    <w:rsid w:val="73A0155B"/>
    <w:rsid w:val="73BDF3DF"/>
    <w:rsid w:val="74F90479"/>
    <w:rsid w:val="750C1C31"/>
    <w:rsid w:val="7625601A"/>
    <w:rsid w:val="77BF249E"/>
    <w:rsid w:val="78D33F7B"/>
    <w:rsid w:val="798E36E0"/>
    <w:rsid w:val="7C1A6A34"/>
    <w:rsid w:val="7CBE4AD3"/>
    <w:rsid w:val="7D1C7CE5"/>
    <w:rsid w:val="7D6E4856"/>
    <w:rsid w:val="7EED2B65"/>
    <w:rsid w:val="7EFA2007"/>
    <w:rsid w:val="7EFC3509"/>
    <w:rsid w:val="7F363046"/>
    <w:rsid w:val="7F5EFB66"/>
    <w:rsid w:val="7FBD4F66"/>
    <w:rsid w:val="8EFFBC18"/>
    <w:rsid w:val="ABFFC0B9"/>
    <w:rsid w:val="AF3FF198"/>
    <w:rsid w:val="BCB7F063"/>
    <w:rsid w:val="BD74EDA3"/>
    <w:rsid w:val="BEF648AB"/>
    <w:rsid w:val="D7AA2625"/>
    <w:rsid w:val="E6568D88"/>
    <w:rsid w:val="E7E7429B"/>
    <w:rsid w:val="EEFE33E4"/>
    <w:rsid w:val="FFBFD1AC"/>
    <w:rsid w:val="FFFCC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310</Words>
  <Characters>323</Characters>
  <Lines>0</Lines>
  <Paragraphs>0</Paragraphs>
  <TotalTime>0</TotalTime>
  <ScaleCrop>false</ScaleCrop>
  <LinksUpToDate>false</LinksUpToDate>
  <CharactersWithSpaces>325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2025-07-05T02:47:00Z</dcterms:created>
  <dc:creator>黄佩琳</dc:creator>
  <cp:lastModifiedBy>黎俊</cp:lastModifiedBy>
  <cp:lastPrinted>2026-03-15T06:46:00Z</cp:lastPrinted>
  <dcterms:modified xsi:type="dcterms:W3CDTF">2026-11-03T03:16:41Z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A5C29FC5A00E48A4A0AF774071FB8C1E_13</vt:lpwstr>
  </property>
  <property fmtid="{D5CDD505-2E9C-101B-9397-08002B2CF9AE}" pid="4" name="KSOTemplateDocerSaveRecord">
    <vt:lpwstr>eyJoZGlkIjoiNTIyMTVkNWMyNjg0MmY3ZTZkZGYyNGZiNGI3MzdhYTgiLCJ1c2VySWQiOiI1NzU3NDk0NDQifQ==</vt:lpwstr>
  </property>
</Properties>
</file>