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bookmarkStart w:id="0" w:name="_Toc5810"/>
      <w:bookmarkStart w:id="1" w:name="_Toc32562"/>
      <w:bookmarkStart w:id="2" w:name="_Toc125127182"/>
      <w:bookmarkStart w:id="3" w:name="_Toc13216"/>
      <w:r>
        <w:rPr>
          <w:rFonts w:hint="eastAsia" w:ascii="黑体" w:hAnsi="黑体" w:eastAsia="黑体" w:cs="黑体"/>
          <w:color w:val="000000" w:themeColor="text1"/>
          <w:sz w:val="32"/>
          <w:szCs w:val="32"/>
          <w:highlight w:val="none"/>
          <w:lang w:val="en-US" w:eastAsia="zh-CN"/>
          <w14:textFill>
            <w14:solidFill>
              <w14:schemeClr w14:val="tx1"/>
            </w14:solidFill>
          </w14:textFill>
        </w:rPr>
        <w:t>附 件3</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000000" w:themeColor="text1"/>
          <w:kern w:val="0"/>
          <w:sz w:val="44"/>
          <w:szCs w:val="44"/>
          <w:highlight w:val="none"/>
          <w:lang w:val="en-US" w:eastAsia="zh-CN" w:bidi="ar-SA"/>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2026年中央资金深圳市消费新业态新模式新场景试点（支持创新多元化服务消费场景</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单体融合消费场景资助</w:t>
      </w:r>
      <w:r>
        <w:rPr>
          <w:rFonts w:hint="default"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项目</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000000" w:themeColor="text1"/>
          <w:kern w:val="2"/>
          <w:sz w:val="36"/>
          <w:szCs w:val="36"/>
          <w:highlight w:val="none"/>
          <w:lang w:val="en-US" w:eastAsia="zh-CN" w:bidi="ar-SA"/>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000000" w:themeColor="text1"/>
          <w:kern w:val="2"/>
          <w:sz w:val="36"/>
          <w:szCs w:val="36"/>
          <w:highlight w:val="none"/>
          <w:lang w:val="en-US" w:eastAsia="zh-CN" w:bidi="ar-SA"/>
          <w14:textFill>
            <w14:solidFill>
              <w14:schemeClr w14:val="tx1"/>
            </w14:solidFill>
          </w14:textFill>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pPr>
      <w:bookmarkStart w:id="4" w:name="_Toc20798"/>
      <w:bookmarkStart w:id="5" w:name="_Toc24194"/>
      <w:r>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t>支持领域</w:t>
      </w:r>
      <w:bookmarkEnd w:id="4"/>
      <w:bookmarkEnd w:id="5"/>
    </w:p>
    <w:p>
      <w:pPr>
        <w:bidi w:val="0"/>
        <w:spacing w:before="0" w:after="0" w:line="560" w:lineRule="exact"/>
        <w:ind w:firstLine="640"/>
        <w:rPr>
          <w:rFonts w:hint="eastAsia"/>
          <w:color w:val="auto"/>
          <w:highlight w:val="none"/>
          <w:lang w:val="en-US" w:eastAsia="zh-CN"/>
        </w:rPr>
      </w:pPr>
      <w:r>
        <w:rPr>
          <w:rStyle w:val="19"/>
          <w:rFonts w:hint="eastAsia" w:ascii="仿宋_GB2312" w:hAnsi="仿宋_GB2312" w:eastAsia="仿宋_GB2312" w:cs="仿宋_GB2312"/>
          <w:color w:val="auto"/>
          <w:sz w:val="32"/>
          <w:szCs w:val="32"/>
          <w:highlight w:val="none"/>
          <w:lang w:val="en-US" w:eastAsia="zh-CN"/>
        </w:rPr>
        <w:t>支持单体店铺开展多元消费场景升级，拓展文化时尚、健康体育、艺术展览、主题社交、休闲娱乐等服务消费</w:t>
      </w:r>
      <w:bookmarkStart w:id="40" w:name="_GoBack"/>
      <w:bookmarkEnd w:id="40"/>
      <w:r>
        <w:rPr>
          <w:rStyle w:val="19"/>
          <w:rFonts w:hint="eastAsia" w:ascii="仿宋_GB2312" w:hAnsi="仿宋_GB2312" w:eastAsia="仿宋_GB2312" w:cs="仿宋_GB2312"/>
          <w:color w:val="auto"/>
          <w:sz w:val="32"/>
          <w:szCs w:val="32"/>
          <w:highlight w:val="none"/>
          <w:lang w:val="en-US" w:eastAsia="zh-CN"/>
        </w:rPr>
        <w:t>功能</w:t>
      </w:r>
      <w:r>
        <w:rPr>
          <w:rFonts w:hint="eastAsia"/>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6" w:name="_Toc15437"/>
      <w:bookmarkStart w:id="7" w:name="_Toc885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eastAsia="zh-CN"/>
          <w14:textFill>
            <w14:solidFill>
              <w14:schemeClr w14:val="tx1"/>
            </w14:solidFill>
          </w14:textFill>
        </w:rPr>
        <w:t>《财政部 商务部关于开展消费新业态新模式新场景试点工作的通知</w:t>
      </w:r>
      <w:r>
        <w:rPr>
          <w:rFonts w:hint="eastAsia" w:cs="Times New Roman"/>
          <w:color w:val="000000" w:themeColor="text1"/>
          <w:sz w:val="32"/>
          <w:szCs w:val="32"/>
          <w:highlight w:val="none"/>
          <w:lang w:val="en-US" w:eastAsia="zh-CN"/>
          <w14:textFill>
            <w14:solidFill>
              <w14:schemeClr w14:val="tx1"/>
            </w14:solidFill>
          </w14:textFill>
        </w:rPr>
        <w:t>财建〔2025〕341号</w:t>
      </w:r>
      <w:r>
        <w:rPr>
          <w:rFonts w:hint="eastAsia" w:cs="Times New Roman"/>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（二）资金管理依据</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《深圳市消费新业态新模式新场景试点城市建设资金管理办法》</w:t>
      </w:r>
    </w:p>
    <w:p>
      <w:pPr>
        <w:bidi w:val="0"/>
        <w:rPr>
          <w:rFonts w:hint="eastAsia"/>
          <w:color w:val="000000" w:themeColor="text1"/>
          <w:highlight w:val="none"/>
          <w:u w:val="singl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8" w:name="_Toc18411"/>
      <w:bookmarkStart w:id="9" w:name="_Toc21755"/>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（一）支持数量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有数量限制，受财政下达年度资金预算控制，视申报情况，我局据以对</w:t>
      </w:r>
      <w:r>
        <w:rPr>
          <w:rFonts w:hint="eastAsia"/>
          <w:color w:val="000000" w:themeColor="text1"/>
          <w:highlight w:val="none"/>
          <w:lang w:val="en-US" w:eastAsia="zh-CN"/>
          <w14:textFill>
            <w14:solidFill>
              <w14:schemeClr w14:val="tx1"/>
            </w14:solidFill>
          </w14:textFill>
        </w:rPr>
        <w:t>资助</w:t>
      </w:r>
      <w:r>
        <w:rPr>
          <w:rFonts w:hint="eastAsia" w:ascii="仿宋_GB2312" w:eastAsia="仿宋_GB2312"/>
          <w:color w:val="000000" w:themeColor="text1"/>
          <w:highlight w:val="none"/>
          <w:lang w:val="en-US" w:eastAsia="zh-CN"/>
          <w14:textFill>
            <w14:solidFill>
              <w14:schemeClr w14:val="tx1"/>
            </w14:solidFill>
          </w14:textFill>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（二）支持方式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0" w:name="_Toc431"/>
      <w:bookmarkStart w:id="11" w:name="_Toc1530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3.申报单位未被国家、省、市有关部门列入严重失信主体名单实施失信惩戒，未被明确限制申请财政性资金项目且在限制期内；未拖欠应缴还的财政性资金。</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6.申报单位不存在将本属于同一性质内涵与建设内容的资助项目刻意分拆成两个项目的情形。同一项目不得重复申请多个支持方向。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7.申报单位须配合开展消费新业态新模式新场景试点工作，报送工作进展及相关数据。</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8.项目资助金额不得超过项目实际有效总投入的50%，同一项目中央、省、市、区资助合计不超过项目实际投入。</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（二）专项条件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1.申报项目应有固定经营场所且店铺经营面积达100㎡以上。</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2.申报项目须通过业态、功能或内容的实质性创新融合，在同一物理空间内实现常态化运营的文化时尚、健康体育、艺术展览、主题社交、休闲娱乐等2类以上服务消费功能融合。</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3.项目实际有效投入金额不低于100万元。（2025年9月30日后项目开展以来）</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4.月均提供服务次数不低于1000次。（统计周期为2025年9月30日至申报受理前一个月月末；月均值按该期间实际运营数据计算，不足一个月的部分，按日均值折算为月均值。）</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5.不属于仅通过相邻或楼上独立空间简单组合、店内增设简单装饰性陈列、或短期临时性活动实现功能拓展。</w:t>
      </w:r>
    </w:p>
    <w:p>
      <w:pPr>
        <w:pStyle w:val="29"/>
        <w:bidi w:val="0"/>
        <w:spacing w:line="560" w:lineRule="exact"/>
        <w:ind w:firstLine="640" w:firstLineChars="200"/>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pPr>
      <w:r>
        <w:rPr>
          <w:rStyle w:val="19"/>
          <w:rFonts w:hint="eastAsia" w:ascii="仿宋_GB2312" w:hAnsi="仿宋_GB2312" w:eastAsia="仿宋_GB2312" w:cs="仿宋"/>
          <w:color w:val="000000" w:themeColor="text1"/>
          <w:sz w:val="32"/>
          <w:szCs w:val="22"/>
          <w:highlight w:val="none"/>
          <w:lang w:eastAsia="zh-CN"/>
          <w14:textFill>
            <w14:solidFill>
              <w14:schemeClr w14:val="tx1"/>
            </w14:solidFill>
          </w14:textFill>
        </w:rPr>
        <w:t>项目支持时间范围为</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2025年9月30日至2027年6月30日，所支持投入部分应在上述时间内。</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原则上限于支持市场化商业化项目，不支持免费的纯公益项目，</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不支持事业单位信息系统建设维护、养老院和病房建设等与支持方向无关的领域。</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支持内容不包括新建、扩建</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商业综合体，以及</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各类古镇、纪念馆、博物馆等设施，不包括</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办公场所及必须的公共服务基础设施建设</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，不包括</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为了满足最基本经营条件、消防验收等需求，基础水电改造、防水处理、消防改造及设施购置等一般性装修项目</w:t>
      </w:r>
      <w:r>
        <w:rPr>
          <w:rStyle w:val="19"/>
          <w:rFonts w:hint="eastAsia" w:ascii="仿宋_GB2312" w:hAnsi="仿宋_GB2312" w:eastAsia="仿宋_GB2312" w:cs="仿宋"/>
          <w:bCs w:val="0"/>
          <w:color w:val="000000" w:themeColor="text1"/>
          <w:kern w:val="2"/>
          <w:sz w:val="32"/>
          <w:szCs w:val="22"/>
          <w:highlight w:val="none"/>
          <w:lang w:eastAsia="zh-CN"/>
          <w14:textFill>
            <w14:solidFill>
              <w14:schemeClr w14:val="tx1"/>
            </w14:solidFill>
          </w14:textFill>
        </w:rPr>
        <w:t>。不支持党政机关主办、承办或承担部分活动费用的展会、节庆、论坛活动。</w:t>
      </w:r>
      <w:r>
        <w:rPr>
          <w:rStyle w:val="19"/>
          <w:rFonts w:hint="eastAsia" w:ascii="仿宋_GB2312" w:hAnsi="仿宋_GB2312" w:eastAsia="仿宋_GB2312" w:cs="仿宋"/>
          <w:color w:val="000000" w:themeColor="text1"/>
          <w:sz w:val="32"/>
          <w:szCs w:val="22"/>
          <w:highlight w:val="none"/>
          <w:lang w:val="en-US" w:eastAsia="zh-CN"/>
          <w14:textFill>
            <w14:solidFill>
              <w14:schemeClr w14:val="tx1"/>
            </w14:solidFill>
          </w14:textFill>
        </w:rPr>
        <w:t>不支持仅通过相邻或楼上独立空间简单组合、在店内增设简单装饰性陈列、或通过短期临时性活动实现功能拓展的项目。</w:t>
      </w:r>
    </w:p>
    <w:p>
      <w:pPr>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000000" w:themeColor="text1"/>
          <w:highlight w:val="none"/>
          <w:lang w:val="en-US" w:eastAsia="zh-CN"/>
          <w14:textFill>
            <w14:solidFill>
              <w14:schemeClr w14:val="tx1"/>
            </w14:solidFill>
          </w14:textFill>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2" w:name="_Toc31102"/>
      <w:bookmarkStart w:id="13" w:name="_Toc7095"/>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支持标准</w:t>
      </w:r>
      <w:bookmarkEnd w:id="12"/>
      <w:bookmarkEnd w:id="13"/>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对符合条件的项目，按</w:t>
      </w:r>
      <w:r>
        <w:rPr>
          <w:rFonts w:hint="eastAsia"/>
          <w:color w:val="000000" w:themeColor="text1"/>
          <w:highlight w:val="none"/>
          <w:lang w:val="en-US" w:eastAsia="zh-CN"/>
          <w14:textFill>
            <w14:solidFill>
              <w14:schemeClr w14:val="tx1"/>
            </w14:solidFill>
          </w14:textFill>
        </w:rPr>
        <w:t>项目</w:t>
      </w:r>
      <w:r>
        <w:rPr>
          <w:rFonts w:hint="eastAsia" w:ascii="仿宋_GB2312" w:eastAsia="仿宋_GB2312"/>
          <w:color w:val="000000" w:themeColor="text1"/>
          <w:highlight w:val="none"/>
          <w:lang w:val="en-US" w:eastAsia="zh-CN"/>
          <w14:textFill>
            <w14:solidFill>
              <w14:schemeClr w14:val="tx1"/>
            </w14:solidFill>
          </w14:textFill>
        </w:rPr>
        <w:t>相关实际</w:t>
      </w:r>
      <w:r>
        <w:rPr>
          <w:rFonts w:hint="eastAsia"/>
          <w:color w:val="000000" w:themeColor="text1"/>
          <w:highlight w:val="none"/>
          <w:lang w:val="en-US" w:eastAsia="zh-CN"/>
          <w14:textFill>
            <w14:solidFill>
              <w14:schemeClr w14:val="tx1"/>
            </w14:solidFill>
          </w14:textFill>
        </w:rPr>
        <w:t>有效</w:t>
      </w:r>
      <w:r>
        <w:rPr>
          <w:rFonts w:hint="eastAsia" w:ascii="仿宋_GB2312" w:eastAsia="仿宋_GB2312"/>
          <w:color w:val="000000" w:themeColor="text1"/>
          <w:highlight w:val="none"/>
          <w:lang w:val="en-US" w:eastAsia="zh-CN"/>
          <w14:textFill>
            <w14:solidFill>
              <w14:schemeClr w14:val="tx1"/>
            </w14:solidFill>
          </w14:textFill>
        </w:rPr>
        <w:t>投入</w:t>
      </w:r>
      <w:r>
        <w:rPr>
          <w:rFonts w:hint="eastAsia"/>
          <w:color w:val="000000" w:themeColor="text1"/>
          <w:highlight w:val="none"/>
          <w:lang w:val="en-US" w:eastAsia="zh-CN"/>
          <w14:textFill>
            <w14:solidFill>
              <w14:schemeClr w14:val="tx1"/>
            </w14:solidFill>
          </w14:textFill>
        </w:rPr>
        <w:t>的</w:t>
      </w:r>
      <w:r>
        <w:rPr>
          <w:rFonts w:hint="eastAsia" w:ascii="仿宋_GB2312" w:eastAsia="仿宋_GB2312"/>
          <w:color w:val="000000" w:themeColor="text1"/>
          <w:highlight w:val="none"/>
          <w:lang w:val="en-US" w:eastAsia="zh-CN"/>
          <w14:textFill>
            <w14:solidFill>
              <w14:schemeClr w14:val="tx1"/>
            </w14:solidFill>
          </w14:textFill>
        </w:rPr>
        <w:t>20%给予资助，试点期间最高不超过100万元。</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w:t>
      </w:r>
      <w:r>
        <w:rPr>
          <w:rFonts w:hint="eastAsia"/>
          <w:color w:val="000000" w:themeColor="text1"/>
          <w:highlight w:val="none"/>
          <w:lang w:val="en-US" w:eastAsia="zh-CN"/>
          <w14:textFill>
            <w14:solidFill>
              <w14:schemeClr w14:val="tx1"/>
            </w14:solidFill>
          </w14:textFill>
        </w:rPr>
        <w:t>打造单体融合场景已完成或阶段性完成部分相关投入，不包含各级财政投资部分，以及第四点第（二）条专项条件中明确不予支持部分。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pStyle w:val="29"/>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4" w:name="_Toc27028"/>
      <w:bookmarkStart w:id="15" w:name="_Toc7147"/>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（一）</w:t>
      </w: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基本材料清单</w:t>
      </w:r>
    </w:p>
    <w:p>
      <w:pPr>
        <w:bidi w:val="0"/>
        <w:rPr>
          <w:rFonts w:hint="default" w:ascii="楷体" w:hAnsi="楷体" w:eastAsia="楷体_GB2312" w:cstheme="majorBidi"/>
          <w:bCs/>
          <w:color w:val="000000" w:themeColor="text1"/>
          <w:kern w:val="2"/>
          <w:szCs w:val="32"/>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请各项目申报单位填写并提交《项目申报书》，具体材料如下：</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1.资金项目申请书</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申报单位按照申报材料要求编写项目申请书并提供相关证明材料，登录前海企业服务一体化平台在线下载填报申请书（网址：</w:t>
      </w:r>
      <w:r>
        <w:rPr>
          <w:rFonts w:hint="eastAsia"/>
          <w:color w:val="000000" w:themeColor="text1"/>
          <w:highlight w:val="none"/>
          <w:lang w:val="en-US" w:eastAsia="zh-CN"/>
          <w14:textFill>
            <w14:solidFill>
              <w14:schemeClr w14:val="tx1"/>
            </w14:solidFill>
          </w14:textFill>
        </w:rPr>
        <w:t>https://qf.qh.sz.gov.cn</w:t>
      </w:r>
      <w:r>
        <w:rPr>
          <w:rFonts w:hint="default"/>
          <w:color w:val="000000" w:themeColor="text1"/>
          <w:highlight w:val="none"/>
          <w:lang w:val="en-US" w:eastAsia="zh-CN"/>
          <w14:textFill>
            <w14:solidFill>
              <w14:schemeClr w14:val="tx1"/>
            </w14:solidFill>
          </w14:textFill>
        </w:rPr>
        <w:t>/—选择“领补贴”—商贸物流—“消费新业态新模式新场景试点（</w:t>
      </w:r>
      <w:r>
        <w:rPr>
          <w:rFonts w:hint="default"/>
          <w:highlight w:val="none"/>
        </w:rPr>
        <w:t>支持创新多元化服务消费场景—单体融合消费场景资助项目</w:t>
      </w:r>
      <w:r>
        <w:rPr>
          <w:rFonts w:hint="default"/>
          <w:color w:val="000000" w:themeColor="text1"/>
          <w:highlight w:val="none"/>
          <w:lang w:val="en-US" w:eastAsia="zh-CN"/>
          <w14:textFill>
            <w14:solidFill>
              <w14:schemeClr w14:val="tx1"/>
            </w14:solidFill>
          </w14:textFill>
        </w:rPr>
        <w:t>）事项”—点击“一键申报”—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2.申报单位营业执照或统一社会信用代码证书复印件</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3.单位信用报告</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“信用中国”查询截图、国家企业信用信息公示系统下载的企业信用报告</w:t>
      </w:r>
      <w:r>
        <w:rPr>
          <w:rFonts w:hint="eastAsia"/>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（二）专项材料清单</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1.各申报单位应按照下表要求完整提交对应佐证材料：</w:t>
      </w:r>
    </w:p>
    <w:tbl>
      <w:tblPr>
        <w:tblStyle w:val="18"/>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0"/>
        <w:gridCol w:w="3490"/>
        <w:gridCol w:w="3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ascii="仿宋_GB2312" w:hAnsi="宋体" w:eastAsia="仿宋_GB2312" w:cs="仿宋_GB2312"/>
                <w:b/>
                <w:bCs/>
                <w:i w:val="0"/>
                <w:iCs w:val="0"/>
                <w:color w:val="0F1115"/>
                <w:sz w:val="28"/>
                <w:szCs w:val="28"/>
                <w:highlight w:val="none"/>
                <w:u w:val="none"/>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类型</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hint="eastAsia" w:ascii="仿宋_GB2312" w:hAnsi="宋体" w:eastAsia="仿宋_GB2312" w:cs="仿宋_GB2312"/>
                <w:b/>
                <w:bCs/>
                <w:i w:val="0"/>
                <w:iCs w:val="0"/>
                <w:color w:val="0F1115"/>
                <w:sz w:val="28"/>
                <w:szCs w:val="28"/>
                <w:highlight w:val="none"/>
                <w:u w:val="none"/>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具体要求</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center"/>
              <w:textAlignment w:val="center"/>
              <w:rPr>
                <w:rFonts w:hint="default" w:ascii="仿宋_GB2312" w:hAnsi="宋体" w:eastAsia="仿宋_GB2312" w:cs="仿宋_GB2312"/>
                <w:b/>
                <w:bCs/>
                <w:i w:val="0"/>
                <w:iCs w:val="0"/>
                <w:color w:val="0F1115"/>
                <w:sz w:val="28"/>
                <w:szCs w:val="28"/>
                <w:highlight w:val="none"/>
                <w:u w:val="none"/>
                <w:lang w:val="en-US"/>
              </w:rPr>
            </w:pPr>
            <w:r>
              <w:rPr>
                <w:rFonts w:hint="eastAsia" w:ascii="仿宋_GB2312" w:hAnsi="宋体" w:eastAsia="仿宋_GB2312" w:cs="仿宋_GB2312"/>
                <w:b/>
                <w:bCs/>
                <w:i w:val="0"/>
                <w:iCs w:val="0"/>
                <w:color w:val="000000" w:themeColor="text1"/>
                <w:kern w:val="0"/>
                <w:sz w:val="28"/>
                <w:szCs w:val="28"/>
                <w:highlight w:val="none"/>
                <w:u w:val="none"/>
                <w:lang w:val="en-US" w:eastAsia="zh-CN" w:bidi="ar"/>
                <w14:textFill>
                  <w14:solidFill>
                    <w14:schemeClr w14:val="tx1"/>
                  </w14:solidFill>
                </w14:textFill>
              </w:rPr>
              <w:t>佐证材料</w:t>
            </w:r>
            <w:r>
              <w:rPr>
                <w:rFonts w:hint="eastAsia" w:hAnsi="宋体" w:cs="仿宋_GB2312"/>
                <w:b/>
                <w:bCs/>
                <w:i w:val="0"/>
                <w:iCs w:val="0"/>
                <w:color w:val="000000" w:themeColor="text1"/>
                <w:kern w:val="0"/>
                <w:sz w:val="28"/>
                <w:szCs w:val="28"/>
                <w:highlight w:val="none"/>
                <w:u w:val="none"/>
                <w:lang w:val="en-US" w:eastAsia="zh-CN" w:bidi="ar"/>
                <w14:textFill>
                  <w14:solidFill>
                    <w14:schemeClr w14:val="tx1"/>
                  </w14:solidFill>
                </w14:textFill>
              </w:rPr>
              <w:t>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实体经营场所</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拥有固定经营场所</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F1115"/>
                <w:sz w:val="28"/>
                <w:szCs w:val="28"/>
                <w:highlight w:val="none"/>
                <w:u w:val="none"/>
                <w:lang w:val="en-US"/>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不动产权证书</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场地租赁合同</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经营面积</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经营面积100㎡以上</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营业执照</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载明面积的租赁合同</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不动产权证书</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业态融合</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成果</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通过业态、功能或内容的实质性创新融合，在同一物理空间内实现常态化运营的文化时尚、健康体育、艺术展览、主题社交、休闲娱乐等2类以上服务消费功能融合</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业态融合</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成果</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、各功能区域现场照片/效果图、</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可消费内容等佐证材料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服务次数</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月均提供服务次数不低于1000次</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服务订单记录、核销记录、预约系统数据、会员服务记录等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投入与成效</w:t>
            </w:r>
          </w:p>
        </w:tc>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default" w:ascii="仿宋_GB2312" w:hAnsi="宋体" w:eastAsia="仿宋_GB2312" w:cs="仿宋_GB2312"/>
                <w:i w:val="0"/>
                <w:iCs w:val="0"/>
                <w:color w:val="0F1115"/>
                <w:sz w:val="28"/>
                <w:szCs w:val="28"/>
                <w:highlight w:val="none"/>
                <w:u w:val="none"/>
                <w:lang w:val="en-US"/>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投入金额不低于100万元</w:t>
            </w:r>
          </w:p>
        </w:tc>
        <w:tc>
          <w:tcPr>
            <w:tcW w:w="3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bidi w:val="0"/>
              <w:snapToGrid w:val="0"/>
              <w:spacing w:line="560" w:lineRule="exact"/>
              <w:ind w:left="0" w:leftChars="0" w:right="0" w:rightChars="0" w:firstLine="0" w:firstLineChars="0"/>
              <w:jc w:val="left"/>
              <w:textAlignment w:val="center"/>
              <w:rPr>
                <w:rFonts w:hint="eastAsia" w:ascii="仿宋_GB2312" w:hAnsi="宋体" w:eastAsia="仿宋_GB2312" w:cs="仿宋_GB2312"/>
                <w:i w:val="0"/>
                <w:iCs w:val="0"/>
                <w:color w:val="0F1115"/>
                <w:sz w:val="28"/>
                <w:szCs w:val="28"/>
                <w:highlight w:val="none"/>
                <w:u w:val="none"/>
              </w:rPr>
            </w:pP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相关</w:t>
            </w:r>
            <w:r>
              <w:rPr>
                <w:rFonts w:hint="eastAsia" w:ascii="仿宋_GB2312" w:hAnsi="宋体" w:eastAsia="仿宋_GB2312" w:cs="仿宋_GB2312"/>
                <w:i w:val="0"/>
                <w:iCs w:val="0"/>
                <w:color w:val="000000" w:themeColor="text1"/>
                <w:kern w:val="0"/>
                <w:sz w:val="28"/>
                <w:szCs w:val="28"/>
                <w:highlight w:val="none"/>
                <w:u w:val="none"/>
                <w:lang w:val="en-US" w:eastAsia="zh-CN" w:bidi="ar"/>
                <w14:textFill>
                  <w14:solidFill>
                    <w14:schemeClr w14:val="tx1"/>
                  </w14:solidFill>
                </w14:textFill>
              </w:rPr>
              <w:t>合同、发票、支付凭证、项目投入明细表</w:t>
            </w:r>
            <w:r>
              <w:rPr>
                <w:rFonts w:hint="eastAsia" w:hAnsi="宋体" w:cs="仿宋_GB2312"/>
                <w:i w:val="0"/>
                <w:iCs w:val="0"/>
                <w:color w:val="000000" w:themeColor="text1"/>
                <w:kern w:val="0"/>
                <w:sz w:val="28"/>
                <w:szCs w:val="28"/>
                <w:highlight w:val="none"/>
                <w:u w:val="none"/>
                <w:lang w:val="en-US" w:eastAsia="zh-CN" w:bidi="ar"/>
                <w14:textFill>
                  <w14:solidFill>
                    <w14:schemeClr w14:val="tx1"/>
                  </w14:solidFill>
                </w14:textFill>
              </w:rPr>
              <w:t>等</w:t>
            </w:r>
          </w:p>
        </w:tc>
      </w:tr>
    </w:tbl>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2.项目成效总结（模板详见项目申报书）。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专项资金项目投入明细表</w:t>
      </w:r>
      <w:r>
        <w:rPr>
          <w:rFonts w:hint="eastAsia"/>
          <w:color w:val="000000" w:themeColor="text1"/>
          <w:highlight w:val="none"/>
          <w:lang w:val="en-US" w:eastAsia="zh-CN"/>
          <w14:textFill>
            <w14:solidFill>
              <w14:schemeClr w14:val="tx1"/>
            </w14:solidFill>
          </w14:textFill>
        </w:rPr>
        <w:t>及佐证材料（详见项目申报书）。</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以上申报材料按顺序一式</w:t>
      </w:r>
      <w:r>
        <w:rPr>
          <w:rFonts w:hint="eastAsia"/>
          <w:color w:val="000000" w:themeColor="text1"/>
          <w:highlight w:val="none"/>
          <w:lang w:val="en-US" w:eastAsia="zh-CN"/>
          <w14:textFill>
            <w14:solidFill>
              <w14:schemeClr w14:val="tx1"/>
            </w14:solidFill>
          </w14:textFill>
        </w:rPr>
        <w:t>四</w:t>
      </w:r>
      <w:r>
        <w:rPr>
          <w:rFonts w:hint="default"/>
          <w:color w:val="000000" w:themeColor="text1"/>
          <w:highlight w:val="none"/>
          <w:lang w:val="en-US" w:eastAsia="zh-CN"/>
          <w14:textFill>
            <w14:solidFill>
              <w14:schemeClr w14:val="tx1"/>
            </w14:solidFill>
          </w14:textFill>
        </w:rPr>
        <w:t>份（附可编辑电子版和PDF扫描件）装订成册，在封面加盖单位公章并加盖骑缝章（其中，申报</w:t>
      </w:r>
      <w:r>
        <w:rPr>
          <w:rFonts w:hint="eastAsia" w:ascii="仿宋_GB2312" w:eastAsia="仿宋_GB2312"/>
          <w:color w:val="000000" w:themeColor="text1"/>
          <w:highlight w:val="none"/>
          <w:lang w:val="en-US" w:eastAsia="zh-CN"/>
          <w14:textFill>
            <w14:solidFill>
              <w14:schemeClr w14:val="tx1"/>
            </w14:solidFill>
          </w14:textFill>
        </w:rPr>
        <w:t>指引</w:t>
      </w:r>
      <w:r>
        <w:rPr>
          <w:rFonts w:hint="default"/>
          <w:color w:val="000000" w:themeColor="text1"/>
          <w:highlight w:val="none"/>
          <w:lang w:val="en-US" w:eastAsia="zh-CN"/>
          <w14:textFill>
            <w14:solidFill>
              <w14:schemeClr w14:val="tx1"/>
            </w14:solidFill>
          </w14:textFill>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6" w:name="_Toc5711"/>
      <w:bookmarkStart w:id="17" w:name="_Toc1952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七、申请表格</w:t>
      </w:r>
      <w:bookmarkEnd w:id="16"/>
      <w:bookmarkEnd w:id="17"/>
    </w:p>
    <w:p>
      <w:pPr>
        <w:bidi w:val="0"/>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t>本指南第六条（一）规定登录前海企业服务一体化平台在线填报申请书，网址：</w:t>
      </w:r>
      <w:r>
        <w:rPr>
          <w:rFonts w:hint="eastAsia" w:hAnsi="Calibri" w:cs="Times New Roman"/>
          <w:color w:val="000000" w:themeColor="text1"/>
          <w:sz w:val="32"/>
          <w:szCs w:val="32"/>
          <w:highlight w:val="none"/>
          <w:lang w:val="en-US" w:eastAsia="zh-CN"/>
          <w14:textFill>
            <w14:solidFill>
              <w14:schemeClr w14:val="tx1"/>
            </w14:solidFill>
          </w14:textFill>
        </w:rPr>
        <w:t>https://qf.qh.sz.gov.cn</w:t>
      </w:r>
      <w:r>
        <w:rPr>
          <w:rFonts w:hint="eastAsia" w:ascii="仿宋_GB2312" w:hAnsi="Calibri" w:eastAsia="仿宋_GB2312" w:cs="Times New Roman"/>
          <w:color w:val="000000" w:themeColor="text1"/>
          <w:sz w:val="32"/>
          <w:szCs w:val="32"/>
          <w:highlight w:val="none"/>
          <w:lang w:val="en-US" w:eastAsia="zh-CN"/>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8" w:name="_Toc13760"/>
      <w:bookmarkStart w:id="19" w:name="_Toc20121"/>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（一）受理机关</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cs="仿宋_GB2312"/>
          <w:szCs w:val="32"/>
          <w:highlight w:val="none"/>
          <w:u w:val="none"/>
        </w:rPr>
        <w:t>深圳市前海管理局</w:t>
      </w:r>
    </w:p>
    <w:p>
      <w:pPr>
        <w:keepNext w:val="0"/>
        <w:keepLines w:val="0"/>
        <w:widowControl/>
        <w:bidi w:val="0"/>
        <w:spacing w:before="0" w:after="0" w:line="240" w:lineRule="auto"/>
        <w:ind w:firstLine="640" w:firstLineChars="200"/>
        <w:jc w:val="left"/>
        <w:outlineLvl w:val="9"/>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（三）受理地点</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（四）咨询电话</w:t>
      </w:r>
    </w:p>
    <w:p>
      <w:pPr>
        <w:bidi w:val="0"/>
        <w:rPr>
          <w:rFonts w:hint="eastAsia" w:ascii="仿宋_GB2312" w:hAnsi="仿宋_GB2312" w:eastAsia="仿宋_GB2312" w:cs="仿宋_GB2312"/>
          <w:color w:val="000000" w:themeColor="text1"/>
          <w:sz w:val="32"/>
          <w:szCs w:val="32"/>
          <w:highlight w:val="none"/>
          <w:u w:val="single"/>
          <w14:textFill>
            <w14:solidFill>
              <w14:schemeClr w14:val="tx1"/>
            </w14:solidFill>
          </w14:textFill>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0" w:name="_Toc9722"/>
      <w:bookmarkStart w:id="21" w:name="_Toc137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九、申请决定机关</w:t>
      </w:r>
      <w:bookmarkEnd w:id="20"/>
      <w:bookmarkEnd w:id="21"/>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bookmarkStart w:id="22" w:name="_Toc161850809"/>
      <w:bookmarkStart w:id="23" w:name="_Toc2137"/>
      <w:bookmarkStart w:id="24" w:name="_Toc10305"/>
      <w:bookmarkStart w:id="25" w:name="_Toc125127183"/>
      <w:r>
        <w:rPr>
          <w:rFonts w:hint="eastAsia" w:hAnsi="宋体" w:cs="宋体"/>
          <w:color w:val="000000" w:themeColor="text1"/>
          <w:kern w:val="0"/>
          <w:sz w:val="32"/>
          <w:szCs w:val="32"/>
          <w:highlight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6" w:name="_Toc11274"/>
      <w:bookmarkStart w:id="27" w:name="_Toc16198"/>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十、办理流程</w:t>
      </w:r>
      <w:bookmarkEnd w:id="26"/>
      <w:bookmarkEnd w:id="27"/>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8" w:name="_Toc28790"/>
      <w:bookmarkStart w:id="29" w:name="_Toc3693"/>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十一、办理时限</w:t>
      </w:r>
      <w:bookmarkEnd w:id="28"/>
      <w:bookmarkEnd w:id="29"/>
    </w:p>
    <w:p>
      <w:pPr>
        <w:bidi w:val="0"/>
        <w:rPr>
          <w:rFonts w:hint="default" w:eastAsia="仿宋_GB2312"/>
          <w:color w:val="auto"/>
          <w:highlight w:val="none"/>
          <w:lang w:val="en-US" w:eastAsia="zh-CN"/>
        </w:rPr>
      </w:pPr>
      <w:r>
        <w:rPr>
          <w:rFonts w:hint="eastAsia"/>
          <w:color w:val="auto"/>
          <w:highlight w:val="none"/>
          <w:lang w:val="en-US" w:eastAsia="zh-CN"/>
        </w:rPr>
        <w:t>180个工作日，不含特别程序。</w:t>
      </w:r>
    </w:p>
    <w:p>
      <w:pPr>
        <w:keepNext w:val="0"/>
        <w:keepLines w:val="0"/>
        <w:widowControl/>
        <w:bidi w:val="0"/>
        <w:spacing w:before="0" w:beforeLines="-2147483648" w:beforeAutospacing="0" w:after="0" w:afterLines="-2147483648" w:afterAutospacing="0" w:line="240" w:lineRule="auto"/>
        <w:ind w:firstLine="640" w:firstLineChars="200"/>
        <w:jc w:val="left"/>
        <w:outlineLvl w:val="9"/>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30" w:name="_Toc32254"/>
      <w:bookmarkStart w:id="31" w:name="_Toc29872"/>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十二、证件及有效期</w:t>
      </w:r>
      <w:bookmarkEnd w:id="30"/>
      <w:bookmarkEnd w:id="31"/>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证件：无</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2" w:name="_Toc19920"/>
      <w:bookmarkStart w:id="33" w:name="_Toc17239"/>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十三、证件的法律效力</w:t>
      </w:r>
      <w:bookmarkEnd w:id="32"/>
      <w:bookmarkEnd w:id="33"/>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4" w:name="_Toc7505"/>
      <w:bookmarkStart w:id="35" w:name="_Toc6842"/>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十四、收费</w:t>
      </w:r>
      <w:bookmarkEnd w:id="34"/>
      <w:bookmarkEnd w:id="35"/>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6" w:name="_Toc30145"/>
      <w:bookmarkStart w:id="37" w:name="_Toc30475"/>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十五、年审或年检</w:t>
      </w:r>
      <w:bookmarkEnd w:id="36"/>
      <w:bookmarkEnd w:id="37"/>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bookmarkStart w:id="38" w:name="_Toc28762"/>
      <w:bookmarkStart w:id="39" w:name="_Toc20677"/>
    </w:p>
    <w:p>
      <w:pPr>
        <w:bidi w:val="0"/>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十六、监督检查和补充说明</w:t>
      </w:r>
      <w:bookmarkEnd w:id="38"/>
      <w:bookmarkEnd w:id="39"/>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（一）申报单位应当按要求配合市、区两级商务部门和其他相关部门的监督检查，按要求做好项目资金管理、绩效评估等工作。</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（二）申报单位存在以下情形之一的，应当按要求将已获得的部分或全部财政专项资金退回国库,并按照有关规定处理；涉嫌犯罪的，依法移送有关机关处理：</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1.申报单位未履行或未完全履行申报承诺并经查证属实的。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2.申报单位不符合项目申报条件获得资助的。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3.申报单位存在利用不正当手段套取、骗取、盗取专项资金的。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4.审计、巡视、巡察等核查需要申报单位退回专项资金的。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5.其他按照有关规定需要退回资金的。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受理单位</w:t>
      </w:r>
      <w:r>
        <w:rPr>
          <w:rFonts w:hint="eastAsia"/>
          <w:color w:val="000000" w:themeColor="text1"/>
          <w:highlight w:val="none"/>
          <w14:textFill>
            <w14:solidFill>
              <w14:schemeClr w14:val="tx1"/>
            </w14:solidFill>
          </w14:textFill>
        </w:rPr>
        <w:t>从未委托任何单位和个人为申报单位代理专项资金扶持计划项目申报事宜</w:t>
      </w:r>
      <w:r>
        <w:rPr>
          <w:color w:val="000000" w:themeColor="text1"/>
          <w:highlight w:val="none"/>
          <w14:textFill>
            <w14:solidFill>
              <w14:schemeClr w14:val="tx1"/>
            </w14:solidFill>
          </w14:textFill>
        </w:rPr>
        <w:t>，申报单位应</w:t>
      </w:r>
      <w:r>
        <w:rPr>
          <w:rFonts w:hint="eastAsia"/>
          <w:color w:val="000000" w:themeColor="text1"/>
          <w:highlight w:val="none"/>
          <w14:textFill>
            <w14:solidFill>
              <w14:schemeClr w14:val="tx1"/>
            </w14:solidFill>
          </w14:textFill>
        </w:rPr>
        <w:t>自主申报。我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严格按照有关</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和程序受理申请，不收取任何费用。如有任何中介机构和个人假借我</w:t>
      </w:r>
      <w:r>
        <w:rPr>
          <w:rFonts w:hint="eastAsia"/>
          <w:color w:val="000000" w:themeColor="text1"/>
          <w:highlight w:val="none"/>
          <w:lang w:eastAsia="zh-CN"/>
          <w14:textFill>
            <w14:solidFill>
              <w14:schemeClr w14:val="tx1"/>
            </w14:solidFill>
          </w14:textFill>
        </w:rPr>
        <w:t>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工作人员名义向申报单位收取费用的，请向我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举报</w:t>
      </w:r>
      <w:r>
        <w:rPr>
          <w:rFonts w:hint="eastAsia"/>
          <w:color w:val="000000" w:themeColor="text1"/>
          <w:highlight w:val="none"/>
          <w:lang w:val="en-US" w:eastAsia="zh-CN"/>
          <w14:textFill>
            <w14:solidFill>
              <w14:schemeClr w14:val="tx1"/>
            </w14:solidFill>
          </w14:textFill>
        </w:rPr>
        <w:t>。</w:t>
      </w:r>
    </w:p>
    <w:p>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申报单位在项目申报期间发生企业名称、联系信息变更的，应及时联系并提供变更材料，如因未及时变更产生的后果由企业自行承担。</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）资助拨款按照申请书银行账户信息办理。因</w:t>
      </w:r>
      <w:r>
        <w:rPr>
          <w:color w:val="000000" w:themeColor="text1"/>
          <w:highlight w:val="none"/>
          <w14:textFill>
            <w14:solidFill>
              <w14:schemeClr w14:val="tx1"/>
            </w14:solidFill>
          </w14:textFill>
        </w:rPr>
        <w:t>账户信息变更或企业填写错误等原因导致</w:t>
      </w:r>
      <w:r>
        <w:rPr>
          <w:rFonts w:hint="eastAsia"/>
          <w:color w:val="000000" w:themeColor="text1"/>
          <w:highlight w:val="none"/>
          <w:lang w:eastAsia="zh-CN"/>
          <w14:textFill>
            <w14:solidFill>
              <w14:schemeClr w14:val="tx1"/>
            </w14:solidFill>
          </w14:textFill>
        </w:rPr>
        <w:t>拨付</w:t>
      </w:r>
      <w:r>
        <w:rPr>
          <w:color w:val="000000" w:themeColor="text1"/>
          <w:highlight w:val="none"/>
          <w14:textFill>
            <w14:solidFill>
              <w14:schemeClr w14:val="tx1"/>
            </w14:solidFill>
          </w14:textFill>
        </w:rPr>
        <w:t>不成功的，</w:t>
      </w:r>
      <w:r>
        <w:rPr>
          <w:rFonts w:hint="eastAsia"/>
          <w:color w:val="000000" w:themeColor="text1"/>
          <w:highlight w:val="none"/>
          <w14:textFill>
            <w14:solidFill>
              <w14:schemeClr w14:val="tx1"/>
            </w14:solidFill>
          </w14:textFill>
        </w:rPr>
        <w:t>原则上予以办理一次拨款信息更改并再次拨付。</w:t>
      </w:r>
      <w:r>
        <w:rPr>
          <w:color w:val="000000" w:themeColor="text1"/>
          <w:highlight w:val="none"/>
          <w14:textFill>
            <w14:solidFill>
              <w14:schemeClr w14:val="tx1"/>
            </w14:solidFill>
          </w14:textFill>
        </w:rPr>
        <w:t>申报单位</w:t>
      </w:r>
      <w:r>
        <w:rPr>
          <w:rFonts w:hint="eastAsia"/>
          <w:color w:val="000000" w:themeColor="text1"/>
          <w:highlight w:val="none"/>
          <w14:textFill>
            <w14:solidFill>
              <w14:schemeClr w14:val="tx1"/>
            </w14:solidFill>
          </w14:textFill>
        </w:rPr>
        <w:t>应当按照要求办理资金拨款手续。</w:t>
      </w:r>
    </w:p>
    <w:p>
      <w:pPr>
        <w:bidi w:val="0"/>
        <w:rPr>
          <w:rFonts w:hint="eastAsia"/>
          <w:color w:val="000000" w:themeColor="text1"/>
          <w:highlight w:val="none"/>
          <w14:textFill>
            <w14:solidFill>
              <w14:schemeClr w14:val="tx1"/>
            </w14:solidFill>
          </w14:textFill>
        </w:rPr>
      </w:pPr>
    </w:p>
    <w:p>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附录：名词解释</w:t>
      </w:r>
    </w:p>
    <w:p>
      <w:pPr>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br w:type="page"/>
      </w:r>
    </w:p>
    <w:p>
      <w:pPr>
        <w:bidi w:val="0"/>
        <w:ind w:firstLine="0" w:firstLineChars="0"/>
        <w:rPr>
          <w:rFonts w:hint="eastAsia" w:ascii="黑体" w:hAnsi="黑体" w:eastAsia="黑体" w:cs="黑体"/>
          <w:color w:val="000000" w:themeColor="text1"/>
          <w:highlight w:val="none"/>
          <w:lang w:eastAsia="zh-CN"/>
          <w14:textFill>
            <w14:solidFill>
              <w14:schemeClr w14:val="tx1"/>
            </w14:solidFill>
          </w14:textFill>
        </w:rPr>
      </w:pPr>
      <w:r>
        <w:rPr>
          <w:rFonts w:hint="eastAsia" w:ascii="黑体" w:hAnsi="黑体" w:eastAsia="黑体" w:cs="黑体"/>
          <w:color w:val="000000" w:themeColor="text1"/>
          <w:highlight w:val="none"/>
          <w:lang w:eastAsia="zh-CN"/>
          <w14:textFill>
            <w14:solidFill>
              <w14:schemeClr w14:val="tx1"/>
            </w14:solidFill>
          </w14:textFill>
        </w:rPr>
        <w:t>附</w:t>
      </w:r>
      <w:r>
        <w:rPr>
          <w:rFonts w:hint="eastAsia" w:ascii="黑体" w:hAnsi="黑体" w:eastAsia="黑体" w:cs="黑体"/>
          <w:color w:val="000000" w:themeColor="text1"/>
          <w:highlight w:val="none"/>
          <w:lang w:val="en-US" w:eastAsia="zh-CN"/>
          <w14:textFill>
            <w14:solidFill>
              <w14:schemeClr w14:val="tx1"/>
            </w14:solidFill>
          </w14:textFill>
        </w:rPr>
        <w:t xml:space="preserve">  </w:t>
      </w:r>
      <w:r>
        <w:rPr>
          <w:rFonts w:hint="eastAsia" w:ascii="黑体" w:hAnsi="黑体" w:eastAsia="黑体" w:cs="黑体"/>
          <w:color w:val="000000" w:themeColor="text1"/>
          <w:highlight w:val="none"/>
          <w:lang w:eastAsia="zh-CN"/>
          <w14:textFill>
            <w14:solidFill>
              <w14:schemeClr w14:val="tx1"/>
            </w14:solidFill>
          </w14:textFill>
        </w:rPr>
        <w:t>录</w:t>
      </w:r>
    </w:p>
    <w:p>
      <w:pPr>
        <w:bidi w:val="0"/>
        <w:rPr>
          <w:rFonts w:hint="eastAsia"/>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w:t>
      </w:r>
      <w:r>
        <w:rPr>
          <w:rFonts w:hint="default" w:ascii="仿宋_GB2312" w:hAnsi="仿宋_GB2312" w:eastAsia="仿宋_GB2312" w:cs="仿宋_GB2312"/>
          <w:b/>
          <w:bCs/>
          <w:color w:val="auto"/>
          <w:sz w:val="32"/>
          <w:szCs w:val="32"/>
          <w:highlight w:val="none"/>
          <w:lang w:val="en-US" w:eastAsia="zh-CN"/>
        </w:rPr>
        <w:t>提供服务次数：</w:t>
      </w:r>
      <w:r>
        <w:rPr>
          <w:rFonts w:hint="default" w:ascii="仿宋_GB2312" w:hAnsi="仿宋_GB2312" w:eastAsia="仿宋_GB2312" w:cs="仿宋_GB2312"/>
          <w:color w:val="auto"/>
          <w:sz w:val="32"/>
          <w:szCs w:val="32"/>
          <w:highlight w:val="none"/>
          <w:lang w:val="en-US" w:eastAsia="zh-CN"/>
        </w:rPr>
        <w:t>指定统计周期内已完成履约闭环的有效服务总次数，核算认定统一以可溯源、可核查的正式消费凭证及业务后台留存原始消费数据记录作为佐证依据。</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二</w:t>
      </w:r>
      <w:r>
        <w:rPr>
          <w:rStyle w:val="19"/>
          <w:rFonts w:hint="eastAsia" w:ascii="仿宋_GB2312" w:hAnsi="仿宋_GB2312" w:eastAsia="仿宋_GB2312" w:cs="仿宋_GB2312"/>
          <w:b/>
          <w:bCs/>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val="en-US" w:eastAsia="zh-CN"/>
        </w:rPr>
        <w:t>单体店铺：</w:t>
      </w:r>
      <w:r>
        <w:rPr>
          <w:rFonts w:hint="eastAsia" w:ascii="仿宋_GB2312" w:hAnsi="仿宋_GB2312" w:eastAsia="仿宋_GB2312" w:cs="仿宋_GB2312"/>
          <w:color w:val="auto"/>
          <w:sz w:val="32"/>
          <w:szCs w:val="32"/>
          <w:highlight w:val="none"/>
          <w:lang w:val="en-US" w:eastAsia="zh-CN"/>
        </w:rPr>
        <w:t>指具有独立经营空间、明确物理边界、可单独核算与运营的单个店铺，不包含商业综合体、商铺集群及多店合并形成的经营区域。</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Style w:val="19"/>
          <w:rFonts w:hint="eastAsia" w:cs="仿宋_GB2312"/>
          <w:b/>
          <w:bCs/>
          <w:color w:val="auto"/>
          <w:sz w:val="32"/>
          <w:szCs w:val="32"/>
          <w:highlight w:val="none"/>
          <w:lang w:val="en-US" w:eastAsia="zh-CN"/>
        </w:rPr>
        <w:t>三</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bidi w:val="0"/>
        <w:rPr>
          <w:rFonts w:hint="eastAsia"/>
          <w:color w:val="000000" w:themeColor="text1"/>
          <w:highlight w:val="none"/>
          <w14:textFill>
            <w14:solidFill>
              <w14:schemeClr w14:val="tx1"/>
            </w14:solidFill>
          </w14:textFill>
        </w:rPr>
      </w:pPr>
    </w:p>
    <w:bookmarkEnd w:id="22"/>
    <w:bookmarkEnd w:id="23"/>
    <w:bookmarkEnd w:id="24"/>
    <w:bookmarkEnd w:id="25"/>
    <w:p>
      <w:pPr>
        <w:pStyle w:val="17"/>
        <w:rPr>
          <w:rFonts w:ascii="仿宋_GB2312" w:hAnsi="仿宋_GB2312"/>
          <w:color w:val="000000" w:themeColor="text1"/>
          <w:highlight w:val="none"/>
          <w14:textFill>
            <w14:solidFill>
              <w14:schemeClr w14:val="tx1"/>
            </w14:solidFill>
          </w14:textFill>
        </w:rPr>
      </w:pPr>
    </w:p>
    <w:sectPr>
      <w:footerReference r:id="rId5" w:type="default"/>
      <w:pgSz w:w="11906" w:h="16838"/>
      <w:pgMar w:top="1814" w:right="1474" w:bottom="181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78AAB8-91B8-4CDF-BC43-D72D699996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7329874-76C9-4D01-9078-2DDC2D9F4C5D}"/>
  </w:font>
  <w:font w:name="仿宋_GB2312">
    <w:panose1 w:val="02010609030101010101"/>
    <w:charset w:val="86"/>
    <w:family w:val="auto"/>
    <w:pitch w:val="default"/>
    <w:sig w:usb0="00000001" w:usb1="080E0000" w:usb2="00000000" w:usb3="00000000" w:csb0="00040000" w:csb1="00000000"/>
    <w:embedRegular r:id="rId3" w:fontKey="{31169550-8CE4-47E6-88DD-725744C23239}"/>
  </w:font>
  <w:font w:name="仿宋">
    <w:panose1 w:val="02010609060101010101"/>
    <w:charset w:val="86"/>
    <w:family w:val="modern"/>
    <w:pitch w:val="default"/>
    <w:sig w:usb0="800002BF" w:usb1="38CF7CFA" w:usb2="00000016" w:usb3="00000000" w:csb0="00040001" w:csb1="00000000"/>
    <w:embedRegular r:id="rId4" w:fontKey="{9FC559F5-5D1C-432B-BFD1-AD1C2D9EF79C}"/>
  </w:font>
  <w:font w:name="方正小标宋简体">
    <w:panose1 w:val="02000000000000000000"/>
    <w:charset w:val="86"/>
    <w:family w:val="auto"/>
    <w:pitch w:val="default"/>
    <w:sig w:usb0="00000001" w:usb1="08000000" w:usb2="00000000" w:usb3="00000000" w:csb0="00040000" w:csb1="00000000"/>
    <w:embedRegular r:id="rId5" w:fontKey="{F764DC01-9150-4852-9BC6-ADA646B9FD34}"/>
  </w:font>
  <w:font w:name="楷体">
    <w:panose1 w:val="02010609060101010101"/>
    <w:charset w:val="86"/>
    <w:family w:val="modern"/>
    <w:pitch w:val="default"/>
    <w:sig w:usb0="800002BF" w:usb1="38CF7CFA" w:usb2="00000016" w:usb3="00000000" w:csb0="00040001" w:csb1="00000000"/>
    <w:embedRegular r:id="rId6" w:fontKey="{0D8EB3E8-8023-40F3-8504-446CF306D092}"/>
  </w:font>
  <w:font w:name="楷体_GB2312">
    <w:panose1 w:val="02010609030101010101"/>
    <w:charset w:val="86"/>
    <w:family w:val="auto"/>
    <w:pitch w:val="default"/>
    <w:sig w:usb0="00000001" w:usb1="080E0000" w:usb2="00000000" w:usb3="00000000" w:csb0="00040000" w:csb1="00000000"/>
    <w:embedRegular r:id="rId7" w:fontKey="{97D58C75-4213-456D-9C94-0A3A57B1DBB5}"/>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596F0D"/>
    <w:rsid w:val="02803A46"/>
    <w:rsid w:val="02CB1CF7"/>
    <w:rsid w:val="02DA63DE"/>
    <w:rsid w:val="02E93786"/>
    <w:rsid w:val="032558AB"/>
    <w:rsid w:val="032C6A46"/>
    <w:rsid w:val="04FC43AD"/>
    <w:rsid w:val="06173D21"/>
    <w:rsid w:val="070F7027"/>
    <w:rsid w:val="08461CA3"/>
    <w:rsid w:val="096C3E20"/>
    <w:rsid w:val="09F4308E"/>
    <w:rsid w:val="0A2D6324"/>
    <w:rsid w:val="0A6C5760"/>
    <w:rsid w:val="0B35692F"/>
    <w:rsid w:val="0B3D033F"/>
    <w:rsid w:val="0B4456D1"/>
    <w:rsid w:val="0BAD1FAB"/>
    <w:rsid w:val="0BE1742C"/>
    <w:rsid w:val="0C6D7BF8"/>
    <w:rsid w:val="0D1F0CED"/>
    <w:rsid w:val="0D77008A"/>
    <w:rsid w:val="0DD759F4"/>
    <w:rsid w:val="0F95719B"/>
    <w:rsid w:val="0FE131A1"/>
    <w:rsid w:val="10BF0BFF"/>
    <w:rsid w:val="11A73770"/>
    <w:rsid w:val="11BF2EFC"/>
    <w:rsid w:val="11F1104F"/>
    <w:rsid w:val="124226AB"/>
    <w:rsid w:val="126D73E5"/>
    <w:rsid w:val="12C61A4E"/>
    <w:rsid w:val="13A40095"/>
    <w:rsid w:val="14053C83"/>
    <w:rsid w:val="15C958A9"/>
    <w:rsid w:val="163D2AB4"/>
    <w:rsid w:val="172A2DF8"/>
    <w:rsid w:val="17B005EC"/>
    <w:rsid w:val="185533C0"/>
    <w:rsid w:val="187E0EC3"/>
    <w:rsid w:val="18AB1F57"/>
    <w:rsid w:val="190653E0"/>
    <w:rsid w:val="197B53D3"/>
    <w:rsid w:val="1C210334"/>
    <w:rsid w:val="1C964CCC"/>
    <w:rsid w:val="1CFC17D2"/>
    <w:rsid w:val="1F1F51E6"/>
    <w:rsid w:val="1FF83836"/>
    <w:rsid w:val="205A510F"/>
    <w:rsid w:val="21127D99"/>
    <w:rsid w:val="22C22819"/>
    <w:rsid w:val="241E0552"/>
    <w:rsid w:val="246A3FA3"/>
    <w:rsid w:val="26E72CF4"/>
    <w:rsid w:val="294B23CF"/>
    <w:rsid w:val="2976170C"/>
    <w:rsid w:val="2A104310"/>
    <w:rsid w:val="2A117A07"/>
    <w:rsid w:val="2A4B3E74"/>
    <w:rsid w:val="2BA068F1"/>
    <w:rsid w:val="2C2A1457"/>
    <w:rsid w:val="2CAE0A32"/>
    <w:rsid w:val="2D88240F"/>
    <w:rsid w:val="2FEF4348"/>
    <w:rsid w:val="2FFC0AFB"/>
    <w:rsid w:val="302C0287"/>
    <w:rsid w:val="312F16E5"/>
    <w:rsid w:val="31A95387"/>
    <w:rsid w:val="31B31F93"/>
    <w:rsid w:val="321653A8"/>
    <w:rsid w:val="321759BB"/>
    <w:rsid w:val="329C19A3"/>
    <w:rsid w:val="32F52701"/>
    <w:rsid w:val="341A4C22"/>
    <w:rsid w:val="347B2CCE"/>
    <w:rsid w:val="352B3694"/>
    <w:rsid w:val="363C0287"/>
    <w:rsid w:val="3654545B"/>
    <w:rsid w:val="36565190"/>
    <w:rsid w:val="366C2500"/>
    <w:rsid w:val="369A281B"/>
    <w:rsid w:val="382C7B34"/>
    <w:rsid w:val="387303F9"/>
    <w:rsid w:val="39BDE09B"/>
    <w:rsid w:val="3B0E3D0E"/>
    <w:rsid w:val="3B8C72EB"/>
    <w:rsid w:val="3BFC17F2"/>
    <w:rsid w:val="3CA43A73"/>
    <w:rsid w:val="3CFD6976"/>
    <w:rsid w:val="3D565DE5"/>
    <w:rsid w:val="3D5D42F6"/>
    <w:rsid w:val="3DB808BA"/>
    <w:rsid w:val="3E465CA3"/>
    <w:rsid w:val="407A2ECB"/>
    <w:rsid w:val="418D6C3A"/>
    <w:rsid w:val="41E50163"/>
    <w:rsid w:val="423806ED"/>
    <w:rsid w:val="428230B1"/>
    <w:rsid w:val="42B10DBA"/>
    <w:rsid w:val="4311773F"/>
    <w:rsid w:val="431659DC"/>
    <w:rsid w:val="431A16C9"/>
    <w:rsid w:val="437A5877"/>
    <w:rsid w:val="43BB3CEC"/>
    <w:rsid w:val="44A91A1A"/>
    <w:rsid w:val="44D052C5"/>
    <w:rsid w:val="46AE1F3D"/>
    <w:rsid w:val="473C23B2"/>
    <w:rsid w:val="47781E40"/>
    <w:rsid w:val="48541414"/>
    <w:rsid w:val="4900762E"/>
    <w:rsid w:val="49692B40"/>
    <w:rsid w:val="4A6B0082"/>
    <w:rsid w:val="4AB56AE2"/>
    <w:rsid w:val="4B6E7935"/>
    <w:rsid w:val="4BCF62A6"/>
    <w:rsid w:val="4BE675F5"/>
    <w:rsid w:val="4CB91CF2"/>
    <w:rsid w:val="4E423A35"/>
    <w:rsid w:val="4E7E74BD"/>
    <w:rsid w:val="4F98BDA8"/>
    <w:rsid w:val="4FC2745B"/>
    <w:rsid w:val="509A0D5C"/>
    <w:rsid w:val="52252BFC"/>
    <w:rsid w:val="53645795"/>
    <w:rsid w:val="53ED1DDF"/>
    <w:rsid w:val="54E753F5"/>
    <w:rsid w:val="563F7F48"/>
    <w:rsid w:val="5779221D"/>
    <w:rsid w:val="580506BF"/>
    <w:rsid w:val="589B5008"/>
    <w:rsid w:val="58A326D8"/>
    <w:rsid w:val="58EA193D"/>
    <w:rsid w:val="59466376"/>
    <w:rsid w:val="59945B14"/>
    <w:rsid w:val="5A9E6E08"/>
    <w:rsid w:val="5BF51433"/>
    <w:rsid w:val="5C46774B"/>
    <w:rsid w:val="5E2F7920"/>
    <w:rsid w:val="5FFF8D5C"/>
    <w:rsid w:val="623151CA"/>
    <w:rsid w:val="64A22FFB"/>
    <w:rsid w:val="64DB7056"/>
    <w:rsid w:val="64FEF02B"/>
    <w:rsid w:val="66982F4F"/>
    <w:rsid w:val="6888651F"/>
    <w:rsid w:val="6894168D"/>
    <w:rsid w:val="69B52798"/>
    <w:rsid w:val="6A7451AD"/>
    <w:rsid w:val="6AC14C27"/>
    <w:rsid w:val="6BC41409"/>
    <w:rsid w:val="6C030E4B"/>
    <w:rsid w:val="6C5C62E3"/>
    <w:rsid w:val="6CAB30BC"/>
    <w:rsid w:val="6CED0F48"/>
    <w:rsid w:val="6CED51AD"/>
    <w:rsid w:val="6F0002D1"/>
    <w:rsid w:val="6FBE5F4A"/>
    <w:rsid w:val="6FCC3E6E"/>
    <w:rsid w:val="6FEFB7EB"/>
    <w:rsid w:val="70305F34"/>
    <w:rsid w:val="71D6011D"/>
    <w:rsid w:val="72694444"/>
    <w:rsid w:val="73470D86"/>
    <w:rsid w:val="73A0155B"/>
    <w:rsid w:val="73AF7735"/>
    <w:rsid w:val="73BBB3EE"/>
    <w:rsid w:val="74F90479"/>
    <w:rsid w:val="75405A96"/>
    <w:rsid w:val="756D75BF"/>
    <w:rsid w:val="7625601A"/>
    <w:rsid w:val="77864EC2"/>
    <w:rsid w:val="77BF249E"/>
    <w:rsid w:val="78CB5794"/>
    <w:rsid w:val="78D33F7B"/>
    <w:rsid w:val="7973208E"/>
    <w:rsid w:val="7A613437"/>
    <w:rsid w:val="7C1A6A34"/>
    <w:rsid w:val="7CBE4AD3"/>
    <w:rsid w:val="7D1C7CE5"/>
    <w:rsid w:val="7DEA80E7"/>
    <w:rsid w:val="7EAF82F1"/>
    <w:rsid w:val="7F363046"/>
    <w:rsid w:val="7F7D640C"/>
    <w:rsid w:val="8EFFBC18"/>
    <w:rsid w:val="9FBE2D98"/>
    <w:rsid w:val="BBEEE557"/>
    <w:rsid w:val="BBF67452"/>
    <w:rsid w:val="BFB1E59F"/>
    <w:rsid w:val="BFFB0999"/>
    <w:rsid w:val="CAFD38F4"/>
    <w:rsid w:val="DB2E415F"/>
    <w:rsid w:val="DB2F7D73"/>
    <w:rsid w:val="DFBFA96B"/>
    <w:rsid w:val="DFDF681D"/>
    <w:rsid w:val="EDBF5009"/>
    <w:rsid w:val="EEF3C802"/>
    <w:rsid w:val="EFFFF1FE"/>
    <w:rsid w:val="F98F69B3"/>
    <w:rsid w:val="FBFE63F7"/>
    <w:rsid w:val="FEBFC558"/>
    <w:rsid w:val="FF7FB831"/>
    <w:rsid w:val="FFCF9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font71"/>
    <w:qFormat/>
    <w:uiPriority w:val="0"/>
    <w:rPr>
      <w:rFonts w:hint="eastAsia" w:ascii="仿宋_GB2312" w:eastAsia="仿宋_GB2312" w:cs="仿宋_GB2312"/>
      <w:color w:val="333333"/>
      <w:sz w:val="28"/>
      <w:szCs w:val="28"/>
      <w:u w:val="none"/>
    </w:rPr>
  </w:style>
  <w:style w:type="character" w:customStyle="1" w:styleId="31">
    <w:name w:val="font81"/>
    <w:qFormat/>
    <w:uiPriority w:val="0"/>
    <w:rPr>
      <w:rFonts w:hint="default" w:ascii="Times New Roman" w:hAnsi="Times New Roman" w:cs="Times New Roman"/>
      <w:color w:val="333333"/>
      <w:sz w:val="28"/>
      <w:szCs w:val="28"/>
      <w:u w:val="none"/>
    </w:rPr>
  </w:style>
  <w:style w:type="character" w:customStyle="1" w:styleId="32">
    <w:name w:val="font91"/>
    <w:qFormat/>
    <w:uiPriority w:val="0"/>
    <w:rPr>
      <w:rFonts w:hint="eastAsia" w:ascii="宋体" w:hAnsi="宋体" w:eastAsia="宋体" w:cs="宋体"/>
      <w:color w:val="333333"/>
      <w:sz w:val="28"/>
      <w:szCs w:val="28"/>
      <w:u w:val="none"/>
    </w:rPr>
  </w:style>
  <w:style w:type="character" w:customStyle="1" w:styleId="33">
    <w:name w:val="font11"/>
    <w:qFormat/>
    <w:uiPriority w:val="0"/>
    <w:rPr>
      <w:rFonts w:hint="eastAsia" w:ascii="仿宋_GB2312" w:eastAsia="仿宋_GB2312" w:cs="仿宋_GB2312"/>
      <w:color w:val="000000"/>
      <w:sz w:val="28"/>
      <w:szCs w:val="28"/>
      <w:u w:val="none"/>
    </w:rPr>
  </w:style>
  <w:style w:type="character" w:customStyle="1" w:styleId="34">
    <w:name w:val="font101"/>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319</Words>
  <Characters>332</Characters>
  <Lines>0</Lines>
  <Paragraphs>0</Paragraphs>
  <TotalTime>0</TotalTime>
  <ScaleCrop>false</ScaleCrop>
  <LinksUpToDate>false</LinksUpToDate>
  <CharactersWithSpaces>334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2025-07-05T10:47:00Z</dcterms:created>
  <dc:creator>黄佩琳</dc:creator>
  <cp:lastModifiedBy>黎俊</cp:lastModifiedBy>
  <cp:lastPrinted>2026-03-15T14:46:00Z</cp:lastPrinted>
  <dcterms:modified xsi:type="dcterms:W3CDTF">2026-11-03T03:14:16Z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1EB21C241E674BDB8B6E20A5ECAD8256_13</vt:lpwstr>
  </property>
  <property fmtid="{D5CDD505-2E9C-101B-9397-08002B2CF9AE}" pid="4" name="KSOTemplateDocerSaveRecord">
    <vt:lpwstr>eyJoZGlkIjoiNTIyMTVkNWMyNjg0MmY3ZTZkZGYyNGZiNGI3MzdhYTgiLCJ1c2VySWQiOiI1NzU3NDk0NDQifQ==</vt:lpwstr>
  </property>
</Properties>
</file>