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附件1：</w:t>
      </w:r>
    </w:p>
    <w:p>
      <w:pPr>
        <w:jc w:val="center"/>
        <w:rPr>
          <w:rFonts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2026年第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三十三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eastAsia="zh-CN" w:bidi="ar"/>
        </w:rPr>
        <w:t>批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面向香港人才常态化配租</w:t>
      </w:r>
    </w:p>
    <w:p>
      <w:pPr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bidi="ar"/>
        </w:rPr>
        <w:t>审核通过企业名单</w:t>
      </w:r>
    </w:p>
    <w:p>
      <w:pPr>
        <w:pStyle w:val="2"/>
        <w:widowControl/>
        <w:spacing w:beforeAutospacing="0" w:afterAutospacing="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</w:p>
    <w:tbl>
      <w:tblPr>
        <w:tblStyle w:val="3"/>
        <w:tblpPr w:leftFromText="180" w:rightFromText="180" w:vertAnchor="text" w:horzAnchor="page" w:tblpX="909" w:tblpY="207"/>
        <w:tblOverlap w:val="never"/>
        <w:tblW w:w="104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8"/>
        <w:gridCol w:w="1697"/>
        <w:gridCol w:w="945"/>
        <w:gridCol w:w="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6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企业信息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最终配额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本次申请套数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馨舟（深圳）教育科技有限公司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深圳市前海炜桐科技有限公司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2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深港启航科技（深圳）有限公司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pStyle w:val="2"/>
        <w:widowControl/>
        <w:spacing w:beforeAutospacing="0" w:afterAutospacing="0"/>
        <w:ind w:firstLine="640"/>
        <w:jc w:val="right"/>
        <w:rPr>
          <w:rFonts w:ascii="仿宋_GB2312" w:hAnsi="仿宋_GB2312" w:eastAsia="仿宋_GB2312" w:cs="仿宋_GB2312"/>
          <w:kern w:val="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66E4C"/>
    <w:rsid w:val="38F6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2026-10-27T03:18:00Z</dcterms:created>
  <dc:creator>黎俊</dc:creator>
  <cp:lastModifiedBy>黎俊</cp:lastModifiedBy>
  <dcterms:modified xsi:type="dcterms:W3CDTF">2026-10-27T03:18:47Z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6575FA2A91D7411AAB15935714F7C42F</vt:lpwstr>
  </property>
</Properties>
</file>