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cs="宋体"/>
          <w:b/>
          <w:color w:val="auto"/>
          <w:sz w:val="72"/>
          <w:szCs w:val="72"/>
          <w:highlight w:val="none"/>
        </w:rPr>
      </w:pPr>
      <w:r>
        <w:rPr>
          <w:rFonts w:hint="eastAsia" w:ascii="黑体" w:hAnsi="黑体" w:eastAsia="黑体" w:cs="黑体"/>
          <w:bCs/>
          <w:color w:val="auto"/>
          <w:sz w:val="32"/>
          <w:szCs w:val="32"/>
          <w:highlight w:val="none"/>
        </w:rPr>
        <w:t xml:space="preserve">  </w:t>
      </w:r>
    </w:p>
    <w:p>
      <w:pPr>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简易招标文件</w:t>
      </w:r>
    </w:p>
    <w:p>
      <w:pPr>
        <w:jc w:val="center"/>
        <w:rPr>
          <w:rFonts w:hint="eastAsia" w:ascii="宋体" w:hAnsi="宋体" w:cs="宋体"/>
          <w:color w:val="auto"/>
          <w:highlight w:val="none"/>
        </w:rPr>
      </w:pPr>
    </w:p>
    <w:p>
      <w:pPr>
        <w:rPr>
          <w:rFonts w:hint="eastAsia" w:ascii="宋体" w:hAnsi="宋体" w:cs="宋体"/>
          <w:color w:val="auto"/>
          <w:highlight w:val="none"/>
        </w:rPr>
      </w:pPr>
    </w:p>
    <w:p>
      <w:pPr>
        <w:pStyle w:val="28"/>
        <w:ind w:firstLine="420"/>
        <w:rPr>
          <w:rFonts w:hint="eastAsia" w:ascii="宋体" w:hAnsi="宋体" w:cs="宋体"/>
          <w:color w:val="auto"/>
          <w:highlight w:val="none"/>
        </w:rPr>
      </w:pPr>
    </w:p>
    <w:p>
      <w:pPr>
        <w:pStyle w:val="28"/>
        <w:ind w:firstLine="420"/>
        <w:rPr>
          <w:rFonts w:hint="eastAsia" w:ascii="宋体" w:hAnsi="宋体" w:cs="宋体"/>
          <w:color w:val="auto"/>
          <w:highlight w:val="none"/>
        </w:rPr>
      </w:pPr>
    </w:p>
    <w:p>
      <w:pPr>
        <w:rPr>
          <w:rFonts w:hint="eastAsia" w:ascii="宋体" w:hAnsi="宋体" w:cs="宋体"/>
          <w:b/>
          <w:color w:val="auto"/>
          <w:sz w:val="44"/>
          <w:highlight w:val="none"/>
        </w:rPr>
      </w:pPr>
    </w:p>
    <w:p>
      <w:pPr>
        <w:ind w:right="-319" w:rightChars="-152"/>
        <w:rPr>
          <w:rFonts w:hint="eastAsia" w:ascii="宋体" w:hAnsi="宋体" w:cs="宋体"/>
          <w:b/>
          <w:color w:val="auto"/>
          <w:sz w:val="36"/>
          <w:szCs w:val="36"/>
          <w:highlight w:val="none"/>
        </w:rPr>
      </w:pPr>
      <w:r>
        <w:rPr>
          <w:rFonts w:hint="eastAsia" w:ascii="宋体" w:hAnsi="宋体" w:cs="宋体"/>
          <w:b/>
          <w:color w:val="auto"/>
          <w:sz w:val="36"/>
          <w:szCs w:val="36"/>
          <w:highlight w:val="none"/>
        </w:rPr>
        <w:t>招标编号：QH2026085</w:t>
      </w:r>
    </w:p>
    <w:p>
      <w:pPr>
        <w:ind w:firstLine="723" w:firstLineChars="200"/>
        <w:rPr>
          <w:rFonts w:hint="eastAsia" w:ascii="宋体" w:hAnsi="宋体" w:cs="宋体"/>
          <w:b/>
          <w:color w:val="auto"/>
          <w:sz w:val="36"/>
          <w:szCs w:val="36"/>
          <w:highlight w:val="none"/>
        </w:rPr>
      </w:pPr>
    </w:p>
    <w:p>
      <w:pPr>
        <w:ind w:firstLine="723" w:firstLineChars="200"/>
        <w:rPr>
          <w:rFonts w:hint="eastAsia" w:ascii="宋体" w:hAnsi="宋体" w:cs="宋体"/>
          <w:b/>
          <w:color w:val="auto"/>
          <w:sz w:val="36"/>
          <w:szCs w:val="36"/>
          <w:highlight w:val="none"/>
        </w:rPr>
      </w:pPr>
    </w:p>
    <w:p>
      <w:pPr>
        <w:pStyle w:val="28"/>
        <w:ind w:firstLine="420"/>
        <w:rPr>
          <w:rFonts w:hint="eastAsia" w:ascii="宋体" w:hAnsi="宋体" w:cs="宋体"/>
          <w:color w:val="auto"/>
          <w:highlight w:val="none"/>
        </w:rPr>
      </w:pPr>
    </w:p>
    <w:p>
      <w:pPr>
        <w:pStyle w:val="28"/>
        <w:ind w:firstLine="420"/>
        <w:rPr>
          <w:rFonts w:hint="eastAsia" w:ascii="宋体" w:hAnsi="宋体" w:cs="宋体"/>
          <w:color w:val="auto"/>
          <w:highlight w:val="none"/>
        </w:rPr>
      </w:pPr>
    </w:p>
    <w:p>
      <w:pPr>
        <w:ind w:right="-319" w:rightChars="-152"/>
        <w:rPr>
          <w:rFonts w:hint="eastAsia" w:ascii="宋体" w:hAnsi="宋体" w:cs="宋体"/>
          <w:b/>
          <w:color w:val="auto"/>
          <w:sz w:val="36"/>
          <w:szCs w:val="36"/>
          <w:highlight w:val="none"/>
        </w:rPr>
      </w:pPr>
      <w:r>
        <w:rPr>
          <w:rFonts w:hint="eastAsia" w:ascii="宋体" w:hAnsi="宋体" w:cs="宋体"/>
          <w:b/>
          <w:color w:val="auto"/>
          <w:sz w:val="36"/>
          <w:szCs w:val="36"/>
          <w:highlight w:val="none"/>
        </w:rPr>
        <w:t>招标项目：广东（深圳）游戏出海服务中心委托运营项目</w:t>
      </w:r>
    </w:p>
    <w:p>
      <w:pPr>
        <w:ind w:firstLine="3264" w:firstLineChars="739"/>
        <w:rPr>
          <w:rFonts w:hint="eastAsia" w:ascii="宋体" w:hAnsi="宋体" w:cs="宋体"/>
          <w:b/>
          <w:color w:val="auto"/>
          <w:sz w:val="44"/>
          <w:highlight w:val="none"/>
        </w:rPr>
      </w:pPr>
    </w:p>
    <w:p>
      <w:pPr>
        <w:pStyle w:val="28"/>
        <w:ind w:firstLine="0" w:firstLineChars="0"/>
        <w:rPr>
          <w:rFonts w:hint="eastAsia" w:ascii="宋体" w:hAnsi="宋体" w:cs="宋体"/>
          <w:color w:val="auto"/>
          <w:highlight w:val="none"/>
        </w:rPr>
      </w:pPr>
    </w:p>
    <w:p>
      <w:pPr>
        <w:rPr>
          <w:rFonts w:hint="eastAsia" w:ascii="宋体" w:hAnsi="宋体" w:cs="宋体"/>
          <w:b/>
          <w:color w:val="auto"/>
          <w:sz w:val="44"/>
          <w:highlight w:val="none"/>
        </w:rPr>
      </w:pPr>
    </w:p>
    <w:p>
      <w:pPr>
        <w:jc w:val="center"/>
        <w:rPr>
          <w:rFonts w:hint="eastAsia" w:ascii="宋体" w:hAnsi="宋体" w:cs="宋体"/>
          <w:b/>
          <w:bCs/>
          <w:color w:val="auto"/>
          <w:sz w:val="36"/>
          <w:szCs w:val="36"/>
          <w:highlight w:val="none"/>
          <w:lang w:val="zh-CN"/>
        </w:rPr>
      </w:pPr>
      <w:r>
        <w:rPr>
          <w:rFonts w:hint="eastAsia" w:ascii="宋体" w:hAnsi="宋体" w:cs="宋体"/>
          <w:b/>
          <w:bCs/>
          <w:color w:val="auto"/>
          <w:sz w:val="36"/>
          <w:szCs w:val="36"/>
          <w:highlight w:val="none"/>
          <w:lang w:val="zh-CN"/>
        </w:rPr>
        <w:t>深圳市前海深港现代服务业合作区管理局</w:t>
      </w:r>
    </w:p>
    <w:p>
      <w:pPr>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2026年</w:t>
      </w:r>
      <w:r>
        <w:rPr>
          <w:rFonts w:hint="eastAsia" w:ascii="宋体" w:hAnsi="宋体" w:cs="宋体"/>
          <w:b/>
          <w:bCs/>
          <w:color w:val="auto"/>
          <w:sz w:val="36"/>
          <w:szCs w:val="36"/>
          <w:highlight w:val="none"/>
          <w:lang w:val="en-US" w:eastAsia="zh-CN"/>
        </w:rPr>
        <w:t>7</w:t>
      </w:r>
      <w:r>
        <w:rPr>
          <w:rFonts w:hint="eastAsia" w:ascii="宋体" w:hAnsi="宋体" w:cs="宋体"/>
          <w:b/>
          <w:bCs/>
          <w:color w:val="auto"/>
          <w:sz w:val="36"/>
          <w:szCs w:val="36"/>
          <w:highlight w:val="none"/>
        </w:rPr>
        <w:t>月</w:t>
      </w:r>
    </w:p>
    <w:p>
      <w:pPr>
        <w:autoSpaceDE w:val="0"/>
        <w:autoSpaceDN w:val="0"/>
        <w:adjustRightInd w:val="0"/>
        <w:jc w:val="center"/>
        <w:rPr>
          <w:rFonts w:hint="eastAsia" w:ascii="宋体" w:hAnsi="宋体" w:cs="宋体"/>
          <w:b/>
          <w:bCs/>
          <w:color w:val="auto"/>
          <w:kern w:val="0"/>
          <w:sz w:val="36"/>
          <w:szCs w:val="36"/>
          <w:highlight w:val="none"/>
        </w:rPr>
      </w:pPr>
      <w:bookmarkStart w:id="0" w:name="_Toc12932"/>
      <w:r>
        <w:rPr>
          <w:rFonts w:ascii="宋体" w:hAnsi="宋体"/>
          <w:b/>
          <w:bCs/>
          <w:color w:val="auto"/>
          <w:sz w:val="32"/>
          <w:szCs w:val="40"/>
          <w:highlight w:val="none"/>
          <w:u w:val="single"/>
        </w:rPr>
        <w:br w:type="page"/>
      </w:r>
      <w:r>
        <w:rPr>
          <w:rFonts w:hint="eastAsia" w:ascii="宋体" w:hAnsi="宋体" w:cs="宋体"/>
          <w:b/>
          <w:bCs/>
          <w:color w:val="auto"/>
          <w:kern w:val="0"/>
          <w:sz w:val="36"/>
          <w:szCs w:val="36"/>
          <w:highlight w:val="none"/>
        </w:rPr>
        <w:t>特别警示条款</w:t>
      </w:r>
    </w:p>
    <w:p>
      <w:pPr>
        <w:autoSpaceDE w:val="0"/>
        <w:autoSpaceDN w:val="0"/>
        <w:adjustRightInd w:val="0"/>
        <w:ind w:left="239" w:leftChars="114"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2"/>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8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4519" w:type="pct"/>
            <w:vAlign w:val="center"/>
          </w:tcPr>
          <w:p>
            <w:pPr>
              <w:jc w:val="center"/>
              <w:rPr>
                <w:rFonts w:hint="eastAsia" w:ascii="宋体" w:hAnsi="宋体" w:cs="宋体"/>
                <w:b/>
                <w:bCs/>
                <w:color w:val="auto"/>
                <w:sz w:val="24"/>
                <w:highlight w:val="none"/>
              </w:rPr>
            </w:pPr>
            <w:r>
              <w:rPr>
                <w:rFonts w:hint="eastAsia" w:ascii="宋体" w:hAnsi="宋体" w:cs="宋体"/>
                <w:b/>
                <w:bCs/>
                <w:color w:val="auto"/>
                <w:sz w:val="24"/>
                <w:highlight w:val="none"/>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4519" w:type="pct"/>
            <w:vAlign w:val="center"/>
          </w:tcPr>
          <w:p>
            <w:pPr>
              <w:jc w:val="left"/>
              <w:rPr>
                <w:rFonts w:hint="eastAsia" w:ascii="宋体" w:hAnsi="宋体" w:cs="宋体"/>
                <w:color w:val="auto"/>
                <w:sz w:val="24"/>
                <w:highlight w:val="none"/>
              </w:rPr>
            </w:pPr>
            <w:r>
              <w:rPr>
                <w:rFonts w:hint="eastAsia" w:ascii="宋体" w:hAnsi="宋体" w:cs="宋体"/>
                <w:color w:val="auto"/>
                <w:sz w:val="24"/>
                <w:highlight w:val="none"/>
              </w:rPr>
              <w:t>与其他投标供应商的法定代表人、主要经营负责人、投标授权代表人、项目负责人、主要技术人员为</w:t>
            </w:r>
            <w:r>
              <w:rPr>
                <w:rFonts w:hint="eastAsia" w:ascii="宋体" w:hAnsi="宋体" w:cs="宋体"/>
                <w:b/>
                <w:bCs/>
                <w:color w:val="auto"/>
                <w:sz w:val="24"/>
                <w:highlight w:val="none"/>
              </w:rPr>
              <w:t>同一人、属同一单位或者在同一单位缴纳社会保险</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4519" w:type="pct"/>
            <w:vAlign w:val="center"/>
          </w:tcPr>
          <w:p>
            <w:pPr>
              <w:jc w:val="left"/>
              <w:rPr>
                <w:rFonts w:hint="eastAsia" w:ascii="宋体" w:hAnsi="宋体" w:cs="宋体"/>
                <w:color w:val="auto"/>
                <w:sz w:val="24"/>
                <w:highlight w:val="none"/>
              </w:rPr>
            </w:pPr>
            <w:r>
              <w:rPr>
                <w:rFonts w:hint="eastAsia" w:ascii="宋体" w:hAnsi="宋体" w:cs="宋体"/>
                <w:color w:val="auto"/>
                <w:sz w:val="24"/>
                <w:highlight w:val="none"/>
              </w:rPr>
              <w:t>参与本项目政府采购活动时，与其他投标供应商存在单位负责人为</w:t>
            </w:r>
            <w:r>
              <w:rPr>
                <w:rFonts w:hint="eastAsia" w:ascii="宋体" w:hAnsi="宋体" w:cs="宋体"/>
                <w:b/>
                <w:bCs/>
                <w:color w:val="auto"/>
                <w:sz w:val="24"/>
                <w:highlight w:val="none"/>
              </w:rPr>
              <w:t>同一人或直接控股、管理关系</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4519" w:type="pct"/>
            <w:vAlign w:val="center"/>
          </w:tcPr>
          <w:p>
            <w:pPr>
              <w:jc w:val="left"/>
              <w:rPr>
                <w:rFonts w:hint="eastAsia" w:ascii="宋体" w:hAnsi="宋体" w:cs="宋体"/>
                <w:color w:val="auto"/>
                <w:sz w:val="24"/>
                <w:highlight w:val="none"/>
              </w:rPr>
            </w:pPr>
            <w:r>
              <w:rPr>
                <w:rFonts w:hint="eastAsia" w:ascii="宋体" w:hAnsi="宋体" w:cs="宋体"/>
                <w:color w:val="auto"/>
                <w:sz w:val="24"/>
                <w:highlight w:val="none"/>
              </w:rPr>
              <w:t>与其他投标供应商的投标文件或部分投标文件</w:t>
            </w:r>
            <w:r>
              <w:rPr>
                <w:rFonts w:hint="eastAsia" w:ascii="宋体" w:hAnsi="宋体" w:cs="宋体"/>
                <w:b/>
                <w:bCs/>
                <w:color w:val="auto"/>
                <w:sz w:val="24"/>
                <w:highlight w:val="none"/>
              </w:rPr>
              <w:t>相互混装或存在非正常一致</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4519" w:type="pct"/>
            <w:vAlign w:val="center"/>
          </w:tcPr>
          <w:p>
            <w:pPr>
              <w:jc w:val="left"/>
              <w:rPr>
                <w:rFonts w:hint="eastAsia" w:ascii="宋体" w:hAnsi="宋体" w:cs="宋体"/>
                <w:color w:val="auto"/>
                <w:sz w:val="24"/>
                <w:highlight w:val="none"/>
              </w:rPr>
            </w:pPr>
            <w:r>
              <w:rPr>
                <w:rFonts w:hint="eastAsia" w:ascii="宋体" w:hAnsi="宋体" w:cs="宋体"/>
                <w:color w:val="auto"/>
                <w:sz w:val="24"/>
                <w:highlight w:val="none"/>
              </w:rPr>
              <w:t>与其他投标供应商的投标文件由</w:t>
            </w:r>
            <w:r>
              <w:rPr>
                <w:rFonts w:hint="eastAsia" w:ascii="宋体" w:hAnsi="宋体" w:cs="宋体"/>
                <w:b/>
                <w:bCs/>
                <w:color w:val="auto"/>
                <w:sz w:val="24"/>
                <w:highlight w:val="none"/>
              </w:rPr>
              <w:t>同一单位或者同一人编制</w:t>
            </w:r>
            <w:r>
              <w:rPr>
                <w:rFonts w:hint="eastAsia" w:ascii="宋体" w:hAnsi="宋体" w:cs="宋体"/>
                <w:color w:val="auto"/>
                <w:sz w:val="24"/>
                <w:highlight w:val="none"/>
              </w:rPr>
              <w:t>，或者使用</w:t>
            </w:r>
            <w:r>
              <w:rPr>
                <w:rFonts w:hint="eastAsia" w:ascii="宋体" w:hAnsi="宋体" w:cs="宋体"/>
                <w:b/>
                <w:bCs/>
                <w:color w:val="auto"/>
                <w:sz w:val="24"/>
                <w:highlight w:val="none"/>
              </w:rPr>
              <w:t>同一设备编制</w:t>
            </w:r>
            <w:r>
              <w:rPr>
                <w:rFonts w:hint="eastAsia" w:ascii="宋体" w:hAnsi="宋体" w:cs="宋体"/>
                <w:color w:val="auto"/>
                <w:sz w:val="24"/>
                <w:highlight w:val="none"/>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4519" w:type="pct"/>
            <w:vAlign w:val="center"/>
          </w:tcPr>
          <w:p>
            <w:pPr>
              <w:jc w:val="left"/>
              <w:rPr>
                <w:rFonts w:hint="eastAsia" w:ascii="宋体" w:hAnsi="宋体" w:cs="宋体"/>
                <w:color w:val="auto"/>
                <w:sz w:val="24"/>
                <w:highlight w:val="none"/>
              </w:rPr>
            </w:pPr>
            <w:r>
              <w:rPr>
                <w:rFonts w:hint="eastAsia" w:ascii="宋体" w:hAnsi="宋体" w:cs="宋体"/>
                <w:color w:val="auto"/>
                <w:sz w:val="24"/>
                <w:highlight w:val="none"/>
              </w:rPr>
              <w:t>提供</w:t>
            </w:r>
            <w:r>
              <w:rPr>
                <w:rFonts w:hint="eastAsia" w:ascii="宋体" w:hAnsi="宋体" w:cs="宋体"/>
                <w:b/>
                <w:bCs/>
                <w:color w:val="auto"/>
                <w:sz w:val="24"/>
                <w:highlight w:val="none"/>
              </w:rPr>
              <w:t>未经出具机构核实</w:t>
            </w:r>
            <w:r>
              <w:rPr>
                <w:rFonts w:hint="eastAsia" w:ascii="宋体" w:hAnsi="宋体" w:cs="宋体"/>
                <w:color w:val="auto"/>
                <w:sz w:val="24"/>
                <w:highlight w:val="none"/>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color w:val="auto"/>
          <w:kern w:val="0"/>
          <w:sz w:val="24"/>
          <w:highlight w:val="none"/>
        </w:rPr>
      </w:pPr>
    </w:p>
    <w:p>
      <w:pPr>
        <w:autoSpaceDE w:val="0"/>
        <w:autoSpaceDN w:val="0"/>
        <w:adjustRightInd w:val="0"/>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《深圳经济特区政府采购条例》</w:t>
      </w:r>
    </w:p>
    <w:p>
      <w:pPr>
        <w:autoSpaceDE w:val="0"/>
        <w:autoSpaceDN w:val="0"/>
        <w:adjustRightInd w:val="0"/>
        <w:ind w:left="239" w:leftChars="114" w:firstLine="241" w:firstLineChars="100"/>
        <w:jc w:val="left"/>
        <w:rPr>
          <w:rFonts w:hint="eastAsia" w:ascii="宋体" w:hAnsi="宋体" w:cs="宋体"/>
          <w:color w:val="auto"/>
          <w:szCs w:val="21"/>
          <w:highlight w:val="none"/>
        </w:rPr>
      </w:pPr>
      <w:r>
        <w:rPr>
          <w:rStyle w:val="24"/>
          <w:rFonts w:hint="eastAsia" w:ascii="宋体" w:hAnsi="宋体" w:cs="宋体"/>
          <w:color w:val="auto"/>
          <w:sz w:val="24"/>
          <w:highlight w:val="none"/>
        </w:rPr>
        <w:t>第五十七条</w:t>
      </w:r>
      <w:r>
        <w:rPr>
          <w:rFonts w:hint="eastAsia" w:ascii="宋体" w:hAnsi="宋体" w:cs="宋体"/>
          <w:color w:val="auto"/>
          <w:sz w:val="24"/>
          <w:highlight w:val="none"/>
        </w:rPr>
        <w:t> 供应商在政府采购中，有下列行为之一的，一至三年内禁止其k参与本市政府采购</w:t>
      </w:r>
      <w:r>
        <w:rPr>
          <w:rFonts w:hint="eastAsia" w:ascii="宋体" w:hAnsi="宋体" w:cs="宋体"/>
          <w:color w:val="auto"/>
          <w:szCs w:val="21"/>
          <w:highlight w:val="none"/>
        </w:rPr>
        <w:t>，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8"/>
        <w:spacing w:before="0" w:beforeAutospacing="0" w:after="0" w:afterAutospacing="0"/>
        <w:ind w:firstLine="420" w:firstLineChars="200"/>
        <w:rPr>
          <w:rFonts w:hint="eastAsia"/>
          <w:color w:val="auto"/>
          <w:sz w:val="21"/>
          <w:szCs w:val="21"/>
          <w:highlight w:val="none"/>
        </w:rPr>
      </w:pPr>
      <w:bookmarkStart w:id="1" w:name="_Toc2750"/>
      <w:r>
        <w:rPr>
          <w:rFonts w:hint="eastAsia"/>
          <w:color w:val="auto"/>
          <w:sz w:val="21"/>
          <w:szCs w:val="21"/>
          <w:highlight w:val="none"/>
        </w:rPr>
        <w:t>（一）在采购活动中应当回避而未回避的；</w:t>
      </w:r>
      <w:bookmarkEnd w:id="1"/>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（二）未按照本条例规定签订、履行采购合同，造成严重后果的；</w:t>
      </w:r>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（三）隐瞒真实情况，提供虚假资料的；</w:t>
      </w:r>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（四）以非法手段排斥其他供应商参与竞争的；</w:t>
      </w:r>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（五）与其他采购参加人串通投标的；</w:t>
      </w:r>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（六）恶意投诉的；</w:t>
      </w:r>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（七）向采购项目相关人行贿或者提供其他不当利益的；</w:t>
      </w:r>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（八）阻碍、抗拒主管部门监督检查的；</w:t>
      </w:r>
    </w:p>
    <w:p>
      <w:pPr>
        <w:pStyle w:val="18"/>
        <w:spacing w:before="0" w:beforeAutospacing="0" w:after="0" w:afterAutospacing="0"/>
        <w:ind w:firstLine="420" w:firstLineChars="200"/>
        <w:rPr>
          <w:rFonts w:hint="eastAsia"/>
          <w:color w:val="auto"/>
          <w:sz w:val="21"/>
          <w:szCs w:val="21"/>
          <w:highlight w:val="none"/>
        </w:rPr>
      </w:pPr>
      <w:r>
        <w:rPr>
          <w:rFonts w:hint="eastAsia"/>
          <w:color w:val="auto"/>
          <w:sz w:val="21"/>
          <w:szCs w:val="21"/>
          <w:highlight w:val="none"/>
        </w:rPr>
        <w:t>（九）其他违反本条例规定的行为。</w:t>
      </w:r>
    </w:p>
    <w:p>
      <w:pPr>
        <w:autoSpaceDE w:val="0"/>
        <w:autoSpaceDN w:val="0"/>
        <w:adjustRightInd w:val="0"/>
        <w:ind w:firstLine="315" w:firstLineChars="150"/>
        <w:jc w:val="left"/>
        <w:rPr>
          <w:rFonts w:hint="eastAsia" w:ascii="宋体" w:hAnsi="宋体" w:cs="宋体"/>
          <w:color w:val="auto"/>
          <w:kern w:val="0"/>
          <w:szCs w:val="21"/>
          <w:highlight w:val="none"/>
        </w:rPr>
      </w:pPr>
    </w:p>
    <w:p>
      <w:pPr>
        <w:autoSpaceDE w:val="0"/>
        <w:autoSpaceDN w:val="0"/>
        <w:adjustRightInd w:val="0"/>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《深圳经济特区政府采购条例实施细则》</w:t>
      </w:r>
    </w:p>
    <w:p>
      <w:pPr>
        <w:keepLines/>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第七十五条</w:t>
      </w:r>
      <w:r>
        <w:rPr>
          <w:rFonts w:hint="eastAsia" w:ascii="宋体" w:hAnsi="宋体" w:cs="宋体"/>
          <w:color w:val="auto"/>
          <w:sz w:val="24"/>
          <w:highlight w:val="none"/>
        </w:rPr>
        <w:t> 供应商有下列情形的，属于采购条例所称的串通投标行为，按照采购条例第五十七条有关规定处理：</w:t>
      </w:r>
    </w:p>
    <w:p>
      <w:pPr>
        <w:keepLines/>
        <w:ind w:firstLine="480" w:firstLineChars="200"/>
        <w:rPr>
          <w:rFonts w:hint="eastAsia" w:ascii="宋体" w:hAnsi="宋体" w:cs="宋体"/>
          <w:color w:val="auto"/>
          <w:sz w:val="24"/>
          <w:highlight w:val="none"/>
        </w:rPr>
      </w:pPr>
      <w:bookmarkStart w:id="2" w:name="_Toc6281"/>
      <w:r>
        <w:rPr>
          <w:rFonts w:hint="eastAsia" w:ascii="宋体" w:hAnsi="宋体" w:cs="宋体"/>
          <w:color w:val="auto"/>
          <w:sz w:val="24"/>
          <w:highlight w:val="none"/>
        </w:rPr>
        <w:t>（一）投标供应商之间相互约定给予未中标的供应商利益补偿；</w:t>
      </w:r>
      <w:bookmarkEnd w:id="2"/>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（三）不同投标供应商的投标文件由同一单位或者同一人编制，或者由同一人分阶段参与编制的；</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（四）不同投标供应商的投标文件或部分投标文件相互混装；</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（五）不同投标供应商的投标文件内容存在非正常一致；</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（六）由同一单位工作人员为两家以上（含两家）供应商进行同一项投标活动的；</w:t>
      </w:r>
    </w:p>
    <w:p>
      <w:pPr>
        <w:keepLines/>
        <w:ind w:firstLine="480" w:firstLineChars="200"/>
        <w:rPr>
          <w:rFonts w:hint="eastAsia" w:ascii="宋体" w:hAnsi="宋体" w:cs="宋体"/>
          <w:color w:val="auto"/>
          <w:sz w:val="24"/>
          <w:highlight w:val="none"/>
        </w:rPr>
      </w:pPr>
      <w:bookmarkStart w:id="3" w:name="_Toc31089"/>
      <w:r>
        <w:rPr>
          <w:rFonts w:hint="eastAsia" w:ascii="宋体" w:hAnsi="宋体" w:cs="宋体"/>
          <w:color w:val="auto"/>
          <w:sz w:val="24"/>
          <w:highlight w:val="none"/>
        </w:rPr>
        <w:t>（七）主管部门依照法律、法规认定的其他情形。</w:t>
      </w:r>
      <w:bookmarkEnd w:id="3"/>
    </w:p>
    <w:p>
      <w:pPr>
        <w:keepLines/>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第七十七条</w:t>
      </w:r>
      <w:r>
        <w:rPr>
          <w:rFonts w:hint="eastAsia" w:ascii="宋体" w:hAnsi="宋体" w:cs="宋体"/>
          <w:color w:val="auto"/>
          <w:sz w:val="24"/>
          <w:highlight w:val="none"/>
        </w:rPr>
        <w:t> 供应商有下列情形之一的，属于隐瞒真实情况，提供虚假资料，按照采购条例第五十七条的有关规定处理：</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（一）通过转让或者租借等方式从其他单位获取资格或者资质证书投标的；</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（二）由其他单位或者其他单位负责人在投标供应商编制的投标文件上加盖印章或者签字的；</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（三）项目负责人或者主要技术人员不是本单位人员的；</w:t>
      </w:r>
    </w:p>
    <w:p>
      <w:pPr>
        <w:keepLine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（四）投标保证金不是从投标供应商基本账户转出的；</w:t>
      </w:r>
    </w:p>
    <w:p>
      <w:pPr>
        <w:keepLines/>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（五）其他隐瞒真实情况、提供虚假资料的行为。</w:t>
      </w:r>
    </w:p>
    <w:p>
      <w:pPr>
        <w:keepLines/>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color w:val="auto"/>
          <w:kern w:val="0"/>
          <w:sz w:val="24"/>
          <w:highlight w:val="none"/>
        </w:rPr>
      </w:pPr>
    </w:p>
    <w:p>
      <w:pPr>
        <w:autoSpaceDE w:val="0"/>
        <w:autoSpaceDN w:val="0"/>
        <w:adjustRightInd w:val="0"/>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《中华人民共和国政府采购法实施条例》 </w:t>
      </w:r>
    </w:p>
    <w:p>
      <w:pPr>
        <w:ind w:firstLine="482" w:firstLineChars="200"/>
        <w:jc w:val="left"/>
        <w:rPr>
          <w:rFonts w:hint="eastAsia" w:ascii="宋体" w:hAnsi="宋体" w:cs="宋体"/>
          <w:color w:val="auto"/>
          <w:sz w:val="24"/>
          <w:highlight w:val="none"/>
        </w:rPr>
      </w:pPr>
      <w:bookmarkStart w:id="4" w:name="_Toc10451"/>
      <w:r>
        <w:rPr>
          <w:rFonts w:hint="eastAsia" w:ascii="宋体" w:hAnsi="宋体" w:cs="宋体"/>
          <w:b/>
          <w:bCs/>
          <w:color w:val="auto"/>
          <w:sz w:val="24"/>
          <w:highlight w:val="none"/>
        </w:rPr>
        <w:t>第十八条</w:t>
      </w:r>
      <w:r>
        <w:rPr>
          <w:rFonts w:hint="eastAsia" w:ascii="宋体" w:hAnsi="宋体" w:cs="宋体"/>
          <w:color w:val="auto"/>
          <w:sz w:val="24"/>
          <w:highlight w:val="none"/>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color w:val="auto"/>
          <w:sz w:val="24"/>
          <w:highlight w:val="none"/>
        </w:rPr>
      </w:pPr>
      <w:bookmarkStart w:id="5" w:name="_Toc4495"/>
      <w:r>
        <w:rPr>
          <w:rFonts w:hint="eastAsia" w:ascii="宋体" w:hAnsi="宋体" w:cs="宋体"/>
          <w:color w:val="auto"/>
          <w:sz w:val="24"/>
          <w:highlight w:val="none"/>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color w:val="auto"/>
          <w:kern w:val="0"/>
          <w:sz w:val="24"/>
          <w:highlight w:val="none"/>
        </w:rPr>
      </w:pPr>
    </w:p>
    <w:p>
      <w:pPr>
        <w:autoSpaceDE w:val="0"/>
        <w:autoSpaceDN w:val="0"/>
        <w:adjustRightInd w:val="0"/>
        <w:jc w:val="center"/>
        <w:rPr>
          <w:rFonts w:hint="eastAsia" w:ascii="宋体" w:hAnsi="宋体" w:cs="宋体"/>
          <w:color w:val="auto"/>
          <w:sz w:val="24"/>
          <w:highlight w:val="none"/>
        </w:rPr>
      </w:pPr>
      <w:r>
        <w:rPr>
          <w:rFonts w:hint="eastAsia" w:ascii="宋体" w:hAnsi="宋体" w:cs="宋体"/>
          <w:b/>
          <w:color w:val="auto"/>
          <w:kern w:val="0"/>
          <w:sz w:val="24"/>
          <w:highlight w:val="none"/>
        </w:rPr>
        <w:t xml:space="preserve">《深圳市财政局关于采购文件增加风险告知有关事项的通知》 </w:t>
      </w:r>
    </w:p>
    <w:p>
      <w:pPr>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color w:val="auto"/>
          <w:sz w:val="24"/>
          <w:highlight w:val="none"/>
        </w:rPr>
      </w:pPr>
    </w:p>
    <w:p>
      <w:pPr>
        <w:autoSpaceDE w:val="0"/>
        <w:autoSpaceDN w:val="0"/>
        <w:adjustRightInd w:val="0"/>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强化政府采购异常低价审查：</w:t>
      </w:r>
    </w:p>
    <w:p>
      <w:pPr>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试点地区采购人应当在采购文件中明确异常低价投标（响应）审查的有关内容，主要包括：</w:t>
      </w:r>
    </w:p>
    <w:p>
      <w:pPr>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ind w:firstLine="480" w:firstLineChars="200"/>
        <w:jc w:val="center"/>
        <w:rPr>
          <w:b/>
          <w:bCs/>
          <w:color w:val="auto"/>
          <w:sz w:val="32"/>
          <w:szCs w:val="40"/>
          <w:highlight w:val="none"/>
        </w:rPr>
      </w:pPr>
      <w:r>
        <w:rPr>
          <w:rFonts w:hint="eastAsia" w:ascii="宋体" w:hAnsi="宋体" w:cs="宋体"/>
          <w:color w:val="auto"/>
          <w:sz w:val="24"/>
          <w:highlight w:val="none"/>
        </w:rPr>
        <w:br w:type="page"/>
      </w:r>
      <w:bookmarkStart w:id="6" w:name="_Toc30761"/>
      <w:r>
        <w:rPr>
          <w:rFonts w:ascii="宋体" w:hAnsi="宋体"/>
          <w:b/>
          <w:bCs/>
          <w:color w:val="auto"/>
          <w:sz w:val="32"/>
          <w:szCs w:val="40"/>
          <w:highlight w:val="none"/>
        </w:rPr>
        <w:t>目录</w:t>
      </w:r>
      <w:bookmarkEnd w:id="0"/>
      <w:bookmarkEnd w:id="6"/>
    </w:p>
    <w:p>
      <w:pPr>
        <w:pStyle w:val="16"/>
        <w:tabs>
          <w:tab w:val="right" w:leader="dot" w:pos="8306"/>
        </w:tabs>
        <w:spacing w:line="480" w:lineRule="auto"/>
        <w:rPr>
          <w:b/>
          <w:bCs/>
          <w:color w:val="auto"/>
          <w:sz w:val="24"/>
          <w:szCs w:val="32"/>
          <w:highlight w:val="none"/>
        </w:rPr>
      </w:pPr>
    </w:p>
    <w:p>
      <w:pPr>
        <w:pStyle w:val="16"/>
        <w:tabs>
          <w:tab w:val="right" w:leader="dot" w:pos="8306"/>
        </w:tabs>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TOC \o "1-1" \h \u </w:instrText>
      </w:r>
      <w:r>
        <w:rPr>
          <w:rFonts w:hint="eastAsia" w:ascii="宋体" w:hAnsi="宋体" w:cs="宋体"/>
          <w:b/>
          <w:bCs/>
          <w:color w:val="auto"/>
          <w:sz w:val="24"/>
          <w:highlight w:val="none"/>
        </w:rPr>
        <w:fldChar w:fldCharType="separate"/>
      </w:r>
      <w:r>
        <w:rPr>
          <w:color w:val="auto"/>
          <w:highlight w:val="none"/>
        </w:rPr>
        <w:fldChar w:fldCharType="begin"/>
      </w:r>
      <w:r>
        <w:rPr>
          <w:color w:val="auto"/>
          <w:highlight w:val="none"/>
        </w:rPr>
        <w:instrText xml:space="preserve"> HYPERLINK \l "_Toc28255" </w:instrText>
      </w:r>
      <w:r>
        <w:rPr>
          <w:color w:val="auto"/>
          <w:highlight w:val="none"/>
        </w:rPr>
        <w:fldChar w:fldCharType="separate"/>
      </w:r>
      <w:r>
        <w:rPr>
          <w:rFonts w:hint="eastAsia" w:ascii="宋体" w:hAnsi="宋体" w:cs="宋体"/>
          <w:b/>
          <w:bCs/>
          <w:color w:val="auto"/>
          <w:sz w:val="24"/>
          <w:highlight w:val="none"/>
        </w:rPr>
        <w:t>第一章 招标邀请书（招标公告）</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t>5</w:t>
      </w:r>
    </w:p>
    <w:p>
      <w:pPr>
        <w:pStyle w:val="16"/>
        <w:tabs>
          <w:tab w:val="right" w:leader="dot" w:pos="8306"/>
        </w:tabs>
        <w:spacing w:line="360" w:lineRule="auto"/>
        <w:rPr>
          <w:rFonts w:hint="eastAsia" w:ascii="宋体" w:hAnsi="宋体" w:cs="宋体"/>
          <w:b/>
          <w:bCs/>
          <w:color w:val="auto"/>
          <w:sz w:val="24"/>
          <w:highlight w:val="none"/>
        </w:rPr>
      </w:pPr>
      <w:r>
        <w:rPr>
          <w:color w:val="auto"/>
          <w:highlight w:val="none"/>
        </w:rPr>
        <w:fldChar w:fldCharType="begin"/>
      </w:r>
      <w:r>
        <w:rPr>
          <w:color w:val="auto"/>
          <w:highlight w:val="none"/>
        </w:rPr>
        <w:instrText xml:space="preserve"> HYPERLINK \l "_Toc16734" </w:instrText>
      </w:r>
      <w:r>
        <w:rPr>
          <w:color w:val="auto"/>
          <w:highlight w:val="none"/>
        </w:rPr>
        <w:fldChar w:fldCharType="separate"/>
      </w:r>
      <w:r>
        <w:rPr>
          <w:rFonts w:hint="eastAsia" w:ascii="宋体" w:hAnsi="宋体" w:cs="宋体"/>
          <w:b/>
          <w:bCs/>
          <w:color w:val="auto"/>
          <w:sz w:val="24"/>
          <w:highlight w:val="none"/>
        </w:rPr>
        <w:t>第二章 投标须知</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_Toc16734 \h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10</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pPr>
        <w:pStyle w:val="16"/>
        <w:tabs>
          <w:tab w:val="right" w:leader="dot" w:pos="8306"/>
        </w:tabs>
        <w:spacing w:line="360" w:lineRule="auto"/>
        <w:rPr>
          <w:rFonts w:hint="eastAsia" w:ascii="宋体" w:hAnsi="宋体" w:cs="宋体"/>
          <w:b/>
          <w:bCs/>
          <w:color w:val="auto"/>
          <w:sz w:val="24"/>
          <w:highlight w:val="none"/>
        </w:rPr>
      </w:pPr>
      <w:r>
        <w:rPr>
          <w:color w:val="auto"/>
          <w:highlight w:val="none"/>
        </w:rPr>
        <w:fldChar w:fldCharType="begin"/>
      </w:r>
      <w:r>
        <w:rPr>
          <w:color w:val="auto"/>
          <w:highlight w:val="none"/>
        </w:rPr>
        <w:instrText xml:space="preserve"> HYPERLINK \l "_Toc18857" </w:instrText>
      </w:r>
      <w:r>
        <w:rPr>
          <w:color w:val="auto"/>
          <w:highlight w:val="none"/>
        </w:rPr>
        <w:fldChar w:fldCharType="separate"/>
      </w:r>
      <w:r>
        <w:rPr>
          <w:rFonts w:hint="eastAsia" w:ascii="宋体" w:hAnsi="宋体" w:cs="宋体"/>
          <w:b/>
          <w:bCs/>
          <w:color w:val="auto"/>
          <w:sz w:val="24"/>
          <w:highlight w:val="none"/>
        </w:rPr>
        <w:t>第三章 评标程序</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_Toc18857 \h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13</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pPr>
        <w:pStyle w:val="16"/>
        <w:tabs>
          <w:tab w:val="right" w:leader="dot" w:pos="8306"/>
        </w:tabs>
        <w:spacing w:line="360" w:lineRule="auto"/>
        <w:rPr>
          <w:rFonts w:hint="default" w:ascii="宋体" w:hAnsi="宋体" w:eastAsia="宋体" w:cs="宋体"/>
          <w:b/>
          <w:bCs/>
          <w:color w:val="auto"/>
          <w:sz w:val="24"/>
          <w:highlight w:val="none"/>
          <w:lang w:val="en-US" w:eastAsia="zh-CN"/>
        </w:rPr>
      </w:pPr>
      <w:r>
        <w:rPr>
          <w:color w:val="auto"/>
          <w:highlight w:val="none"/>
        </w:rPr>
        <w:fldChar w:fldCharType="begin"/>
      </w:r>
      <w:r>
        <w:rPr>
          <w:color w:val="auto"/>
          <w:highlight w:val="none"/>
        </w:rPr>
        <w:instrText xml:space="preserve"> HYPERLINK \l "_Toc1635" </w:instrText>
      </w:r>
      <w:r>
        <w:rPr>
          <w:color w:val="auto"/>
          <w:highlight w:val="none"/>
        </w:rPr>
        <w:fldChar w:fldCharType="separate"/>
      </w:r>
      <w:r>
        <w:rPr>
          <w:rFonts w:hint="eastAsia" w:ascii="宋体" w:hAnsi="宋体" w:cs="宋体"/>
          <w:b/>
          <w:bCs/>
          <w:color w:val="auto"/>
          <w:sz w:val="24"/>
          <w:highlight w:val="none"/>
        </w:rPr>
        <w:t>第四章 合同格式及合同条款</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lang w:val="en-US" w:eastAsia="zh-CN"/>
        </w:rPr>
        <w:t>15</w:t>
      </w:r>
    </w:p>
    <w:p>
      <w:pPr>
        <w:pStyle w:val="16"/>
        <w:tabs>
          <w:tab w:val="right" w:leader="dot" w:pos="8306"/>
        </w:tabs>
        <w:spacing w:line="360" w:lineRule="auto"/>
        <w:rPr>
          <w:rFonts w:hint="eastAsia" w:ascii="宋体" w:hAnsi="宋体" w:cs="宋体"/>
          <w:b/>
          <w:bCs/>
          <w:color w:val="auto"/>
          <w:sz w:val="24"/>
          <w:highlight w:val="none"/>
        </w:rPr>
      </w:pPr>
      <w:r>
        <w:rPr>
          <w:color w:val="auto"/>
          <w:highlight w:val="none"/>
        </w:rPr>
        <w:fldChar w:fldCharType="begin"/>
      </w:r>
      <w:r>
        <w:rPr>
          <w:color w:val="auto"/>
          <w:highlight w:val="none"/>
        </w:rPr>
        <w:instrText xml:space="preserve"> HYPERLINK \l "_Toc793" </w:instrText>
      </w:r>
      <w:r>
        <w:rPr>
          <w:color w:val="auto"/>
          <w:highlight w:val="none"/>
        </w:rPr>
        <w:fldChar w:fldCharType="separate"/>
      </w:r>
      <w:r>
        <w:rPr>
          <w:rFonts w:hint="eastAsia" w:ascii="宋体" w:hAnsi="宋体" w:cs="宋体"/>
          <w:b/>
          <w:bCs/>
          <w:color w:val="auto"/>
          <w:sz w:val="24"/>
          <w:highlight w:val="none"/>
        </w:rPr>
        <w:t>第五章 用户需求书</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_Toc793 \h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28</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pPr>
        <w:pStyle w:val="16"/>
        <w:tabs>
          <w:tab w:val="right" w:leader="dot" w:pos="8306"/>
        </w:tabs>
        <w:spacing w:line="360" w:lineRule="auto"/>
        <w:rPr>
          <w:rFonts w:hint="eastAsia" w:ascii="宋体" w:hAnsi="宋体" w:cs="宋体"/>
          <w:b/>
          <w:bCs/>
          <w:color w:val="auto"/>
          <w:sz w:val="24"/>
          <w:highlight w:val="none"/>
        </w:rPr>
      </w:pPr>
      <w:r>
        <w:rPr>
          <w:color w:val="auto"/>
          <w:highlight w:val="none"/>
        </w:rPr>
        <w:fldChar w:fldCharType="begin"/>
      </w:r>
      <w:r>
        <w:rPr>
          <w:color w:val="auto"/>
          <w:highlight w:val="none"/>
        </w:rPr>
        <w:instrText xml:space="preserve"> HYPERLINK \l "_Toc6457" </w:instrText>
      </w:r>
      <w:r>
        <w:rPr>
          <w:color w:val="auto"/>
          <w:highlight w:val="none"/>
        </w:rPr>
        <w:fldChar w:fldCharType="separate"/>
      </w:r>
      <w:r>
        <w:rPr>
          <w:rFonts w:hint="eastAsia" w:ascii="宋体" w:hAnsi="宋体" w:cs="宋体"/>
          <w:b/>
          <w:bCs/>
          <w:color w:val="auto"/>
          <w:sz w:val="24"/>
          <w:highlight w:val="none"/>
        </w:rPr>
        <w:t>第六章 投标文件初审及招标项目评分表</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_Toc6457 \h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34</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pPr>
        <w:pStyle w:val="16"/>
        <w:tabs>
          <w:tab w:val="right" w:leader="dot" w:pos="8306"/>
        </w:tabs>
        <w:spacing w:line="360" w:lineRule="auto"/>
        <w:rPr>
          <w:rFonts w:hint="eastAsia" w:ascii="宋体" w:hAnsi="宋体" w:cs="宋体"/>
          <w:b/>
          <w:bCs/>
          <w:color w:val="auto"/>
          <w:sz w:val="24"/>
          <w:highlight w:val="none"/>
        </w:rPr>
      </w:pPr>
      <w:r>
        <w:rPr>
          <w:color w:val="auto"/>
          <w:highlight w:val="none"/>
        </w:rPr>
        <w:fldChar w:fldCharType="begin"/>
      </w:r>
      <w:r>
        <w:rPr>
          <w:color w:val="auto"/>
          <w:highlight w:val="none"/>
        </w:rPr>
        <w:instrText xml:space="preserve"> HYPERLINK \l "_Toc834" </w:instrText>
      </w:r>
      <w:r>
        <w:rPr>
          <w:color w:val="auto"/>
          <w:highlight w:val="none"/>
        </w:rPr>
        <w:fldChar w:fldCharType="separate"/>
      </w:r>
      <w:r>
        <w:rPr>
          <w:rFonts w:hint="eastAsia" w:ascii="宋体" w:hAnsi="宋体" w:cs="宋体"/>
          <w:b/>
          <w:bCs/>
          <w:color w:val="auto"/>
          <w:sz w:val="24"/>
          <w:highlight w:val="none"/>
        </w:rPr>
        <w:t>第七章 附件（投标文件格式）</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PAGEREF _Toc834 \h </w:instrText>
      </w:r>
      <w:r>
        <w:rPr>
          <w:rFonts w:hint="eastAsia" w:ascii="宋体" w:hAnsi="宋体" w:cs="宋体"/>
          <w:b/>
          <w:bCs/>
          <w:color w:val="auto"/>
          <w:sz w:val="24"/>
          <w:highlight w:val="none"/>
        </w:rPr>
        <w:fldChar w:fldCharType="separate"/>
      </w:r>
      <w:r>
        <w:rPr>
          <w:rFonts w:hint="eastAsia" w:ascii="宋体" w:hAnsi="宋体" w:cs="宋体"/>
          <w:b/>
          <w:bCs/>
          <w:color w:val="auto"/>
          <w:sz w:val="24"/>
          <w:highlight w:val="none"/>
        </w:rPr>
        <w:t>36</w:t>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fldChar w:fldCharType="end"/>
      </w:r>
    </w:p>
    <w:p>
      <w:pPr>
        <w:pStyle w:val="16"/>
        <w:tabs>
          <w:tab w:val="right" w:leader="dot" w:pos="8306"/>
        </w:tabs>
        <w:spacing w:line="360" w:lineRule="auto"/>
        <w:rPr>
          <w:rFonts w:hint="eastAsia" w:ascii="宋体" w:hAnsi="宋体" w:cs="宋体"/>
          <w:b/>
          <w:bCs/>
          <w:color w:val="auto"/>
          <w:sz w:val="24"/>
          <w:highlight w:val="none"/>
        </w:rPr>
      </w:pPr>
      <w:r>
        <w:rPr>
          <w:color w:val="auto"/>
          <w:highlight w:val="none"/>
        </w:rPr>
        <w:fldChar w:fldCharType="begin"/>
      </w:r>
      <w:r>
        <w:rPr>
          <w:color w:val="auto"/>
          <w:highlight w:val="none"/>
        </w:rPr>
        <w:instrText xml:space="preserve"> HYPERLINK \l "_Toc3166" </w:instrText>
      </w:r>
      <w:r>
        <w:rPr>
          <w:color w:val="auto"/>
          <w:highlight w:val="none"/>
        </w:rPr>
        <w:fldChar w:fldCharType="separate"/>
      </w:r>
      <w:r>
        <w:rPr>
          <w:rFonts w:hint="eastAsia" w:ascii="宋体" w:hAnsi="宋体" w:cs="宋体"/>
          <w:b/>
          <w:bCs/>
          <w:color w:val="auto"/>
          <w:sz w:val="24"/>
          <w:highlight w:val="none"/>
        </w:rPr>
        <w:t>附件：相关政策</w:t>
      </w:r>
      <w:r>
        <w:rPr>
          <w:rFonts w:hint="eastAsia" w:ascii="宋体" w:hAnsi="宋体" w:cs="宋体"/>
          <w:b/>
          <w:bCs/>
          <w:color w:val="auto"/>
          <w:sz w:val="24"/>
          <w:highlight w:val="none"/>
        </w:rPr>
        <w:tab/>
      </w:r>
      <w:r>
        <w:rPr>
          <w:rFonts w:hint="eastAsia" w:ascii="宋体" w:hAnsi="宋体" w:cs="宋体"/>
          <w:b/>
          <w:bCs/>
          <w:color w:val="auto"/>
          <w:sz w:val="24"/>
          <w:highlight w:val="none"/>
        </w:rPr>
        <w:fldChar w:fldCharType="end"/>
      </w:r>
      <w:r>
        <w:rPr>
          <w:rFonts w:hint="eastAsia" w:ascii="宋体" w:hAnsi="宋体" w:cs="宋体"/>
          <w:b/>
          <w:bCs/>
          <w:color w:val="auto"/>
          <w:sz w:val="24"/>
          <w:highlight w:val="none"/>
        </w:rPr>
        <w:t>57</w:t>
      </w:r>
    </w:p>
    <w:p>
      <w:pPr>
        <w:spacing w:line="360" w:lineRule="auto"/>
        <w:rPr>
          <w:color w:val="auto"/>
          <w:highlight w:val="none"/>
        </w:rPr>
      </w:pPr>
      <w:r>
        <w:rPr>
          <w:rFonts w:hint="eastAsia" w:ascii="宋体" w:hAnsi="宋体" w:cs="宋体"/>
          <w:b/>
          <w:bCs/>
          <w:color w:val="auto"/>
          <w:sz w:val="24"/>
          <w:highlight w:val="none"/>
        </w:rPr>
        <w:fldChar w:fldCharType="end"/>
      </w:r>
    </w:p>
    <w:p>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outlineLvl w:val="0"/>
        <w:rPr>
          <w:rFonts w:hint="eastAsia" w:ascii="宋体" w:hAnsi="宋体" w:cs="宋体"/>
          <w:b/>
          <w:bCs/>
          <w:color w:val="auto"/>
          <w:sz w:val="24"/>
          <w:highlight w:val="none"/>
        </w:rPr>
      </w:pPr>
      <w:r>
        <w:rPr>
          <w:rFonts w:hint="eastAsia" w:ascii="宋体" w:hAnsi="宋体" w:cs="宋体"/>
          <w:b/>
          <w:bCs/>
          <w:color w:val="auto"/>
          <w:sz w:val="24"/>
          <w:highlight w:val="none"/>
        </w:rPr>
        <w:t>第一章</w:t>
      </w:r>
      <w:bookmarkStart w:id="7" w:name="_Toc28255"/>
      <w:r>
        <w:rPr>
          <w:rFonts w:hint="eastAsia" w:ascii="宋体" w:hAnsi="宋体" w:cs="宋体"/>
          <w:b/>
          <w:bCs/>
          <w:color w:val="auto"/>
          <w:sz w:val="24"/>
          <w:highlight w:val="none"/>
        </w:rPr>
        <w:t xml:space="preserve"> 招标公告</w:t>
      </w:r>
      <w:bookmarkEnd w:id="7"/>
    </w:p>
    <w:p>
      <w:pPr>
        <w:spacing w:line="360" w:lineRule="auto"/>
        <w:ind w:firstLine="480" w:firstLineChars="200"/>
        <w:jc w:val="left"/>
        <w:rPr>
          <w:rFonts w:hint="eastAsia" w:ascii="宋体" w:hAnsi="宋体" w:cs="宋体"/>
          <w:color w:val="auto"/>
          <w:sz w:val="24"/>
          <w:highlight w:val="none"/>
        </w:rPr>
      </w:pPr>
      <w:r>
        <w:rPr>
          <w:rFonts w:ascii="宋体" w:hAnsi="宋体" w:cs="宋体"/>
          <w:color w:val="auto"/>
          <w:sz w:val="24"/>
          <w:highlight w:val="none"/>
          <w:u w:val="single"/>
        </w:rPr>
        <w:t>深圳国际招标咨询有限公司（以下简称采购代理机构）受深圳市前海深港现代服务业合作区管理局委托就</w:t>
      </w:r>
      <w:r>
        <w:rPr>
          <w:rFonts w:hint="eastAsia" w:ascii="宋体" w:hAnsi="宋体" w:cs="宋体"/>
          <w:color w:val="auto"/>
          <w:sz w:val="24"/>
          <w:highlight w:val="none"/>
          <w:u w:val="single"/>
        </w:rPr>
        <w:t>广东（深圳）游戏出海服务中心委托运营项目</w:t>
      </w:r>
      <w:r>
        <w:rPr>
          <w:rFonts w:hint="eastAsia" w:ascii="宋体" w:hAnsi="宋体" w:cs="宋体"/>
          <w:color w:val="auto"/>
          <w:sz w:val="24"/>
          <w:highlight w:val="none"/>
        </w:rPr>
        <w:t>（招标编号：QH2026085）采用公开征集供应商简易招标方式采购，欢迎符合投标</w:t>
      </w:r>
      <w:r>
        <w:rPr>
          <w:rFonts w:ascii="宋体" w:hAnsi="宋体" w:cs="宋体"/>
          <w:color w:val="auto"/>
          <w:kern w:val="0"/>
          <w:sz w:val="24"/>
          <w:szCs w:val="20"/>
          <w:highlight w:val="none"/>
        </w:rPr>
        <w:t>单位</w:t>
      </w:r>
      <w:r>
        <w:rPr>
          <w:rFonts w:hint="eastAsia" w:ascii="宋体" w:hAnsi="宋体" w:cs="宋体"/>
          <w:color w:val="auto"/>
          <w:sz w:val="24"/>
          <w:highlight w:val="none"/>
        </w:rPr>
        <w:t>资格要求的专业供应商积极参加投标。</w:t>
      </w:r>
    </w:p>
    <w:tbl>
      <w:tblPr>
        <w:tblStyle w:val="21"/>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rPr>
                <w:color w:val="auto"/>
                <w:highlight w:val="none"/>
              </w:rPr>
            </w:pPr>
            <w:r>
              <w:rPr>
                <w:rFonts w:hint="eastAsia" w:ascii="宋体" w:hAnsi="宋体" w:cs="宋体"/>
                <w:color w:val="auto"/>
                <w:sz w:val="24"/>
                <w:highlight w:val="none"/>
              </w:rPr>
              <w:t>招标文件编号</w:t>
            </w:r>
          </w:p>
        </w:tc>
        <w:tc>
          <w:tcPr>
            <w:tcW w:w="7015"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QH2026085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招标项目名称</w:t>
            </w:r>
          </w:p>
        </w:tc>
        <w:tc>
          <w:tcPr>
            <w:tcW w:w="7015"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广东（深圳）游戏出海服务中心委托运营项目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标的内容</w:t>
            </w:r>
          </w:p>
        </w:tc>
        <w:tc>
          <w:tcPr>
            <w:tcW w:w="7015"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为深入贯彻落实《关于推动广东网络游戏产业高质量发展的若干政策措施》《深圳市前海深港现代服务业合作区管理局关于促进文化产业高质量发展的若干措施》等文件精神，充分发挥广东（深圳）游戏出海服务中心的公共服务效能，完善前海游戏出海产业服务生态，为游戏企业纾解出海难题，吸引优质文化企业上下游产业集聚，拟委托第三方机构开展实体化运营，着力为游戏出海企业提供境外市场研究、政策法律咨询、运营发行等综合服务，提升国产游戏国际竞争力。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项目预算</w:t>
            </w:r>
          </w:p>
        </w:tc>
        <w:tc>
          <w:tcPr>
            <w:tcW w:w="7015" w:type="dxa"/>
            <w:vAlign w:val="center"/>
          </w:tcPr>
          <w:p>
            <w:pPr>
              <w:widowControl/>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450,000.00（人民币肆拾伍万元整）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标书获得办法</w:t>
            </w:r>
          </w:p>
        </w:tc>
        <w:tc>
          <w:tcPr>
            <w:tcW w:w="7015" w:type="dxa"/>
            <w:vAlign w:val="center"/>
          </w:tcPr>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color w:val="auto"/>
                <w:kern w:val="0"/>
                <w:sz w:val="24"/>
                <w:highlight w:val="none"/>
                <w:lang w:bidi="ar"/>
              </w:rPr>
            </w:pPr>
            <w:r>
              <w:rPr>
                <w:rFonts w:hint="eastAsia" w:ascii="宋体" w:hAnsi="宋体" w:cs="宋体"/>
                <w:color w:val="auto"/>
                <w:sz w:val="24"/>
                <w:highlight w:val="none"/>
                <w:lang w:bidi="ar"/>
              </w:rPr>
              <w:t>报名方式</w:t>
            </w:r>
          </w:p>
        </w:tc>
        <w:tc>
          <w:tcPr>
            <w:tcW w:w="7015" w:type="dxa"/>
            <w:vAlign w:val="center"/>
          </w:tcPr>
          <w:p>
            <w:pPr>
              <w:spacing w:line="360" w:lineRule="auto"/>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将投标文件（一式五份，正本1份，副本4份，附电子版，电子版是以光盘、U盘或硬盘等移动存储介质提交的加盖公章的PDF电子投标文件）密封并在2026年</w:t>
            </w:r>
            <w:r>
              <w:rPr>
                <w:rFonts w:hint="eastAsia" w:ascii="宋体" w:hAnsi="宋体" w:cs="宋体"/>
                <w:color w:val="auto"/>
                <w:kern w:val="0"/>
                <w:sz w:val="24"/>
                <w:highlight w:val="none"/>
                <w:lang w:val="en-US" w:eastAsia="zh-CN" w:bidi="ar"/>
              </w:rPr>
              <w:t>7</w:t>
            </w:r>
            <w:r>
              <w:rPr>
                <w:rFonts w:hint="eastAsia" w:ascii="宋体" w:hAnsi="宋体" w:cs="宋体"/>
                <w:color w:val="auto"/>
                <w:kern w:val="0"/>
                <w:sz w:val="24"/>
                <w:highlight w:val="none"/>
                <w:lang w:bidi="ar"/>
              </w:rPr>
              <w:t>月</w:t>
            </w:r>
            <w:r>
              <w:rPr>
                <w:rFonts w:hint="eastAsia" w:ascii="宋体" w:hAnsi="宋体" w:cs="宋体"/>
                <w:color w:val="auto"/>
                <w:kern w:val="0"/>
                <w:sz w:val="24"/>
                <w:highlight w:val="none"/>
                <w:lang w:val="en-US" w:eastAsia="zh-CN" w:bidi="ar"/>
              </w:rPr>
              <w:t>28</w:t>
            </w:r>
            <w:r>
              <w:rPr>
                <w:rFonts w:hint="eastAsia" w:ascii="宋体" w:hAnsi="宋体" w:cs="宋体"/>
                <w:color w:val="auto"/>
                <w:kern w:val="0"/>
                <w:sz w:val="24"/>
                <w:highlight w:val="none"/>
                <w:lang w:bidi="ar"/>
              </w:rPr>
              <w:t>日上午10:00时（北京时间）前送达（邮寄或现场递交）至深圳市前海深港现代服务业合作区桂湾五路123号前海大厦T1栋</w:t>
            </w:r>
            <w:r>
              <w:rPr>
                <w:rFonts w:hint="eastAsia" w:ascii="宋体" w:hAnsi="宋体" w:cs="宋体"/>
                <w:color w:val="auto"/>
                <w:sz w:val="24"/>
                <w:highlight w:val="none"/>
              </w:rPr>
              <w:t>2505</w:t>
            </w:r>
            <w:r>
              <w:rPr>
                <w:rFonts w:hint="eastAsia" w:ascii="宋体" w:hAnsi="宋体" w:cs="宋体"/>
                <w:color w:val="auto"/>
                <w:kern w:val="0"/>
                <w:sz w:val="24"/>
                <w:highlight w:val="none"/>
                <w:lang w:bidi="ar"/>
              </w:rPr>
              <w:t>室。</w:t>
            </w:r>
          </w:p>
          <w:p>
            <w:pPr>
              <w:spacing w:line="360" w:lineRule="auto"/>
              <w:jc w:val="left"/>
              <w:rPr>
                <w:rFonts w:hint="eastAsia" w:ascii="宋体" w:hAnsi="宋体" w:cs="宋体"/>
                <w:color w:val="auto"/>
                <w:kern w:val="0"/>
                <w:sz w:val="24"/>
                <w:highlight w:val="none"/>
                <w:lang w:bidi="ar"/>
              </w:rPr>
            </w:pPr>
            <w:r>
              <w:rPr>
                <w:rFonts w:hint="eastAsia" w:ascii="宋体" w:hAnsi="宋体" w:cs="宋体"/>
                <w:color w:val="auto"/>
                <w:kern w:val="0"/>
                <w:sz w:val="24"/>
                <w:highlight w:val="none"/>
                <w:lang w:bidi="ar"/>
              </w:rPr>
              <w:t>联系人：周芳竹   联系电话：18826543073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投标人资格要求</w:t>
            </w:r>
          </w:p>
        </w:tc>
        <w:tc>
          <w:tcPr>
            <w:tcW w:w="7015" w:type="dxa"/>
            <w:vAlign w:val="center"/>
          </w:tcPr>
          <w:p>
            <w:pPr>
              <w:spacing w:line="360" w:lineRule="auto"/>
              <w:rPr>
                <w:rFonts w:hint="eastAsia" w:ascii="宋体" w:hAnsi="宋体" w:cs="宋体"/>
                <w:color w:val="auto"/>
                <w:kern w:val="0"/>
                <w:sz w:val="24"/>
                <w:highlight w:val="none"/>
              </w:rPr>
            </w:pPr>
            <w:r>
              <w:rPr>
                <w:rFonts w:ascii="宋体" w:hAnsi="宋体" w:cs="宋体"/>
                <w:color w:val="auto"/>
                <w:kern w:val="0"/>
                <w:sz w:val="24"/>
                <w:highlight w:val="none"/>
              </w:rPr>
              <w:t>1.</w:t>
            </w:r>
            <w:bookmarkStart w:id="8" w:name="_Hlk72162904"/>
            <w:r>
              <w:rPr>
                <w:rFonts w:hint="eastAsia" w:ascii="宋体" w:hAnsi="宋体" w:cs="宋体"/>
                <w:color w:val="auto"/>
                <w:kern w:val="0"/>
                <w:sz w:val="24"/>
                <w:highlight w:val="none"/>
              </w:rPr>
              <w:t>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auto"/>
                <w:kern w:val="0"/>
                <w:sz w:val="24"/>
                <w:highlight w:val="none"/>
              </w:rPr>
              <w:t>以上证明材料均需提供加盖投标人单位公章的复印件或扫描件，原件备查。</w:t>
            </w:r>
            <w:bookmarkEnd w:id="8"/>
          </w:p>
          <w:p>
            <w:pPr>
              <w:spacing w:line="360" w:lineRule="auto"/>
              <w:rPr>
                <w:rFonts w:hint="eastAsia" w:ascii="宋体" w:hAnsi="宋体" w:cs="宋体"/>
                <w:color w:val="auto"/>
                <w:kern w:val="0"/>
                <w:sz w:val="24"/>
                <w:highlight w:val="none"/>
              </w:rPr>
            </w:pPr>
            <w:r>
              <w:rPr>
                <w:rFonts w:ascii="宋体" w:hAnsi="宋体" w:cs="宋体"/>
                <w:color w:val="auto"/>
                <w:kern w:val="0"/>
                <w:sz w:val="24"/>
                <w:highlight w:val="none"/>
              </w:rPr>
              <w:t>2.本项目不接受联合体投标，不接受投标人选用进口产品参与投标；</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3</w:t>
            </w:r>
            <w:r>
              <w:rPr>
                <w:rFonts w:ascii="宋体" w:hAnsi="宋体" w:cs="宋体"/>
                <w:color w:val="auto"/>
                <w:kern w:val="0"/>
                <w:sz w:val="24"/>
                <w:highlight w:val="none"/>
              </w:rPr>
              <w:t>.参与本项目政府采购活动时不存在被有关部门禁止参与政府采购活动且在有效期内的情况</w:t>
            </w:r>
            <w:r>
              <w:rPr>
                <w:rFonts w:ascii="宋体" w:hAnsi="宋体" w:cs="宋体"/>
                <w:b/>
                <w:bCs/>
                <w:color w:val="auto"/>
                <w:kern w:val="0"/>
                <w:sz w:val="24"/>
                <w:highlight w:val="none"/>
              </w:rPr>
              <w:t>（由供应商在《政府采购投标及履约承诺函》中作出声明</w:t>
            </w:r>
            <w:r>
              <w:rPr>
                <w:rFonts w:hint="eastAsia" w:ascii="宋体" w:hAnsi="宋体" w:cs="宋体"/>
                <w:b/>
                <w:bCs/>
                <w:color w:val="auto"/>
                <w:kern w:val="0"/>
                <w:sz w:val="24"/>
                <w:highlight w:val="none"/>
              </w:rPr>
              <w:t>并加盖投标人公章</w:t>
            </w:r>
            <w:r>
              <w:rPr>
                <w:rFonts w:ascii="宋体" w:hAnsi="宋体" w:cs="宋体"/>
                <w:b/>
                <w:bCs/>
                <w:color w:val="auto"/>
                <w:kern w:val="0"/>
                <w:sz w:val="24"/>
                <w:highlight w:val="none"/>
              </w:rPr>
              <w:t>）</w:t>
            </w:r>
            <w:r>
              <w:rPr>
                <w:rFonts w:ascii="宋体" w:hAnsi="宋体" w:cs="宋体"/>
                <w:color w:val="auto"/>
                <w:kern w:val="0"/>
                <w:sz w:val="24"/>
                <w:highlight w:val="none"/>
              </w:rPr>
              <w:t>；</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4</w:t>
            </w:r>
            <w:r>
              <w:rPr>
                <w:rFonts w:ascii="宋体" w:hAnsi="宋体" w:cs="宋体"/>
                <w:color w:val="auto"/>
                <w:kern w:val="0"/>
                <w:sz w:val="24"/>
                <w:highlight w:val="none"/>
              </w:rPr>
              <w:t>.具备《中华人民共和国政府采购法》第二十二条第一款的条件</w:t>
            </w:r>
            <w:r>
              <w:rPr>
                <w:rFonts w:ascii="宋体" w:hAnsi="宋体" w:cs="宋体"/>
                <w:b/>
                <w:bCs/>
                <w:color w:val="auto"/>
                <w:kern w:val="0"/>
                <w:sz w:val="24"/>
                <w:highlight w:val="none"/>
              </w:rPr>
              <w:t>（由供应商在《政府采购投标及履约承诺函》中作出声明</w:t>
            </w:r>
            <w:r>
              <w:rPr>
                <w:rFonts w:hint="eastAsia" w:ascii="宋体" w:hAnsi="宋体" w:cs="宋体"/>
                <w:b/>
                <w:bCs/>
                <w:color w:val="auto"/>
                <w:kern w:val="0"/>
                <w:sz w:val="24"/>
                <w:highlight w:val="none"/>
              </w:rPr>
              <w:t>并加盖投标人公章</w:t>
            </w:r>
            <w:r>
              <w:rPr>
                <w:rFonts w:ascii="宋体" w:hAnsi="宋体" w:cs="宋体"/>
                <w:b/>
                <w:bCs/>
                <w:color w:val="auto"/>
                <w:kern w:val="0"/>
                <w:sz w:val="24"/>
                <w:highlight w:val="none"/>
              </w:rPr>
              <w:t>）</w:t>
            </w:r>
            <w:r>
              <w:rPr>
                <w:rFonts w:ascii="宋体" w:hAnsi="宋体" w:cs="宋体"/>
                <w:color w:val="auto"/>
                <w:kern w:val="0"/>
                <w:sz w:val="24"/>
                <w:highlight w:val="none"/>
              </w:rPr>
              <w:t>；</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.未被列入失信被执行人、重大税收违法案件当事人名单（重大税收违法失信主体）、政府采购严重违法失信行为记录名单</w:t>
            </w:r>
            <w:r>
              <w:rPr>
                <w:rFonts w:ascii="宋体" w:hAnsi="宋体" w:cs="宋体"/>
                <w:b/>
                <w:bCs/>
                <w:color w:val="auto"/>
                <w:kern w:val="0"/>
                <w:sz w:val="24"/>
                <w:highlight w:val="none"/>
              </w:rPr>
              <w:t>（由供应商在《政府采购投标及履约承诺函》中作出声明</w:t>
            </w:r>
            <w:r>
              <w:rPr>
                <w:rFonts w:hint="eastAsia" w:ascii="宋体" w:hAnsi="宋体" w:cs="宋体"/>
                <w:b/>
                <w:bCs/>
                <w:color w:val="auto"/>
                <w:kern w:val="0"/>
                <w:sz w:val="24"/>
                <w:highlight w:val="none"/>
              </w:rPr>
              <w:t>并加盖投标人公章</w:t>
            </w:r>
            <w:r>
              <w:rPr>
                <w:rFonts w:ascii="宋体" w:hAnsi="宋体" w:cs="宋体"/>
                <w:b/>
                <w:bCs/>
                <w:color w:val="auto"/>
                <w:kern w:val="0"/>
                <w:sz w:val="24"/>
                <w:highlight w:val="none"/>
              </w:rPr>
              <w:t>）；</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6</w:t>
            </w:r>
            <w:r>
              <w:rPr>
                <w:rFonts w:ascii="宋体" w:hAnsi="宋体" w:cs="宋体"/>
                <w:color w:val="auto"/>
                <w:kern w:val="0"/>
                <w:sz w:val="24"/>
                <w:highlight w:val="none"/>
              </w:rPr>
              <w:t>.不存在《深圳市财政局政府采购供应商信用信息管理办法》（深财规〔2023〕3号）列明的严重违法失信行为</w:t>
            </w:r>
            <w:r>
              <w:rPr>
                <w:rFonts w:ascii="宋体" w:hAnsi="宋体" w:cs="宋体"/>
                <w:b/>
                <w:bCs/>
                <w:color w:val="auto"/>
                <w:kern w:val="0"/>
                <w:sz w:val="24"/>
                <w:highlight w:val="none"/>
              </w:rPr>
              <w:t>（由供应商在《政府采购投标及履约承诺函》中作出声明</w:t>
            </w:r>
            <w:r>
              <w:rPr>
                <w:rFonts w:hint="eastAsia" w:ascii="宋体" w:hAnsi="宋体" w:cs="宋体"/>
                <w:b/>
                <w:bCs/>
                <w:color w:val="auto"/>
                <w:kern w:val="0"/>
                <w:sz w:val="24"/>
                <w:highlight w:val="none"/>
              </w:rPr>
              <w:t>并加盖投标人公章</w:t>
            </w:r>
            <w:r>
              <w:rPr>
                <w:rFonts w:ascii="宋体" w:hAnsi="宋体" w:cs="宋体"/>
                <w:b/>
                <w:bCs/>
                <w:color w:val="auto"/>
                <w:kern w:val="0"/>
                <w:sz w:val="24"/>
                <w:highlight w:val="none"/>
              </w:rPr>
              <w:t>）</w:t>
            </w:r>
            <w:r>
              <w:rPr>
                <w:rFonts w:ascii="宋体" w:hAnsi="宋体" w:cs="宋体"/>
                <w:color w:val="auto"/>
                <w:kern w:val="0"/>
                <w:sz w:val="24"/>
                <w:highlight w:val="none"/>
              </w:rPr>
              <w:t>；</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7</w:t>
            </w:r>
            <w:r>
              <w:rPr>
                <w:rFonts w:ascii="宋体" w:hAnsi="宋体" w:cs="宋体"/>
                <w:color w:val="auto"/>
                <w:kern w:val="0"/>
                <w:sz w:val="24"/>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color w:val="auto"/>
                <w:kern w:val="0"/>
                <w:sz w:val="24"/>
                <w:highlight w:val="none"/>
              </w:rPr>
              <w:t>。与不同供应商的法定代表人、投标授权代表人、项目负责人（如有）不存在为同一人或在同一单位缴纳社会保险的情形。</w:t>
            </w:r>
            <w:r>
              <w:rPr>
                <w:rFonts w:ascii="宋体" w:hAnsi="宋体" w:cs="宋体"/>
                <w:b/>
                <w:bCs/>
                <w:color w:val="auto"/>
                <w:kern w:val="0"/>
                <w:sz w:val="24"/>
                <w:highlight w:val="none"/>
              </w:rPr>
              <w:t>（由供应商在《政府采购投标及履约承诺函》中作出声明</w:t>
            </w:r>
            <w:r>
              <w:rPr>
                <w:rFonts w:hint="eastAsia" w:ascii="宋体" w:hAnsi="宋体" w:cs="宋体"/>
                <w:b/>
                <w:bCs/>
                <w:color w:val="auto"/>
                <w:kern w:val="0"/>
                <w:sz w:val="24"/>
                <w:highlight w:val="none"/>
              </w:rPr>
              <w:t>并提供《供应商基本信息表》加盖投标人公章</w:t>
            </w:r>
            <w:r>
              <w:rPr>
                <w:rFonts w:ascii="宋体" w:hAnsi="宋体" w:cs="宋体"/>
                <w:b/>
                <w:bCs/>
                <w:color w:val="auto"/>
                <w:kern w:val="0"/>
                <w:sz w:val="24"/>
                <w:highlight w:val="none"/>
              </w:rPr>
              <w:t>）</w:t>
            </w:r>
            <w:r>
              <w:rPr>
                <w:rFonts w:ascii="宋体" w:hAnsi="宋体" w:cs="宋体"/>
                <w:color w:val="auto"/>
                <w:kern w:val="0"/>
                <w:sz w:val="24"/>
                <w:highlight w:val="none"/>
              </w:rPr>
              <w:t>；</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8</w:t>
            </w:r>
            <w:r>
              <w:rPr>
                <w:rFonts w:ascii="宋体" w:hAnsi="宋体" w:cs="宋体"/>
                <w:color w:val="auto"/>
                <w:kern w:val="0"/>
                <w:sz w:val="24"/>
                <w:highlight w:val="none"/>
              </w:rPr>
              <w:t>.落实政府采购政策需满足的资格要求：本项目不属于专门面向</w:t>
            </w:r>
            <w:r>
              <w:rPr>
                <w:rFonts w:hint="eastAsia" w:ascii="宋体" w:hAnsi="宋体" w:cs="宋体"/>
                <w:color w:val="auto"/>
                <w:kern w:val="0"/>
                <w:sz w:val="24"/>
                <w:highlight w:val="none"/>
              </w:rPr>
              <w:t>中小企业</w:t>
            </w:r>
            <w:r>
              <w:rPr>
                <w:rFonts w:ascii="宋体" w:hAnsi="宋体" w:cs="宋体"/>
                <w:color w:val="auto"/>
                <w:kern w:val="0"/>
                <w:sz w:val="24"/>
                <w:highlight w:val="none"/>
              </w:rPr>
              <w:t>采购</w:t>
            </w:r>
            <w:r>
              <w:rPr>
                <w:rFonts w:hint="eastAsia" w:ascii="宋体" w:hAnsi="宋体" w:cs="宋体"/>
                <w:color w:val="auto"/>
                <w:kern w:val="0"/>
                <w:sz w:val="24"/>
                <w:highlight w:val="none"/>
              </w:rPr>
              <w:t>的</w:t>
            </w:r>
            <w:r>
              <w:rPr>
                <w:rFonts w:ascii="宋体" w:hAnsi="宋体" w:cs="宋体"/>
                <w:color w:val="auto"/>
                <w:kern w:val="0"/>
                <w:sz w:val="24"/>
                <w:highlight w:val="none"/>
              </w:rPr>
              <w:t>项目，本项目采购标的对应的中小企业划分标准所属行业为：</w:t>
            </w:r>
            <w:r>
              <w:rPr>
                <w:rFonts w:hint="eastAsia" w:ascii="宋体" w:hAnsi="宋体" w:cs="宋体"/>
                <w:color w:val="auto"/>
                <w:kern w:val="0"/>
                <w:sz w:val="24"/>
                <w:highlight w:val="none"/>
              </w:rPr>
              <w:t>其他未列明行业</w:t>
            </w:r>
            <w:r>
              <w:rPr>
                <w:rFonts w:ascii="宋体" w:hAnsi="宋体" w:cs="宋体"/>
                <w:color w:val="auto"/>
                <w:kern w:val="0"/>
                <w:sz w:val="24"/>
                <w:highlight w:val="none"/>
              </w:rPr>
              <w:t>。</w:t>
            </w:r>
          </w:p>
          <w:p>
            <w:pPr>
              <w:spacing w:line="360" w:lineRule="auto"/>
              <w:rPr>
                <w:rFonts w:hint="eastAsia" w:ascii="宋体" w:hAnsi="宋体" w:cs="宋体"/>
                <w:color w:val="auto"/>
                <w:kern w:val="0"/>
                <w:sz w:val="24"/>
                <w:highlight w:val="none"/>
              </w:rPr>
            </w:pPr>
            <w:r>
              <w:rPr>
                <w:rFonts w:ascii="宋体" w:hAnsi="宋体" w:cs="宋体"/>
                <w:color w:val="auto"/>
                <w:kern w:val="0"/>
                <w:sz w:val="24"/>
                <w:highlight w:val="none"/>
              </w:rPr>
              <w:t>注：（1）“信用中国”（www.creditchina.gov.cn，查询“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报价要求</w:t>
            </w:r>
          </w:p>
        </w:tc>
        <w:tc>
          <w:tcPr>
            <w:tcW w:w="7015" w:type="dxa"/>
            <w:vAlign w:val="center"/>
          </w:tcPr>
          <w:p>
            <w:pPr>
              <w:spacing w:line="360" w:lineRule="auto"/>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1.本次投标为总价包干，投标报价总价作为中标人与采购人</w:t>
            </w:r>
            <w:r>
              <w:rPr>
                <w:rFonts w:hint="eastAsia" w:ascii="宋体" w:hAnsi="宋体" w:cs="宋体"/>
                <w:color w:val="auto"/>
                <w:kern w:val="0"/>
                <w:sz w:val="24"/>
                <w:szCs w:val="20"/>
                <w:highlight w:val="none"/>
                <w:lang w:eastAsia="zh-CN"/>
              </w:rPr>
              <w:t>签订</w:t>
            </w:r>
            <w:r>
              <w:rPr>
                <w:rFonts w:hint="eastAsia" w:ascii="宋体" w:hAnsi="宋体" w:cs="宋体"/>
                <w:color w:val="auto"/>
                <w:kern w:val="0"/>
                <w:sz w:val="24"/>
                <w:szCs w:val="20"/>
                <w:highlight w:val="none"/>
              </w:rPr>
              <w:t>的合同金额。项目预算控制45万元以内，投标人的报价不可高于预算（限价），否则投标人的投标文件视同无效。项目服务费包括项目实施过程中产生的一切费用。</w:t>
            </w:r>
          </w:p>
          <w:p>
            <w:pPr>
              <w:spacing w:line="360" w:lineRule="auto"/>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2.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spacing w:line="360" w:lineRule="auto"/>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3.投标人的投标报价，应是本项目招标范围和招标文件及合同条款上所列的各项内容中所述的全部，不得以任何理由予以重复，并以投标人在投标文件中提出的综合单价或总价为依据。</w:t>
            </w:r>
          </w:p>
          <w:p>
            <w:pPr>
              <w:spacing w:line="360" w:lineRule="auto"/>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4.投标人应充分了解项目的情况及任何其他足以影响投标报价的情况，任何因忽视或误解项目情况而导致的索赔或服务期限延长申请将不获批准。</w:t>
            </w:r>
          </w:p>
          <w:p>
            <w:pPr>
              <w:spacing w:line="360" w:lineRule="auto"/>
              <w:rPr>
                <w:rFonts w:hint="eastAsia" w:ascii="宋体" w:hAnsi="宋体" w:cs="宋体"/>
                <w:color w:val="auto"/>
                <w:kern w:val="0"/>
                <w:sz w:val="24"/>
                <w:szCs w:val="20"/>
                <w:highlight w:val="none"/>
              </w:rPr>
            </w:pPr>
            <w:r>
              <w:rPr>
                <w:rFonts w:hint="eastAsia" w:ascii="宋体" w:hAnsi="宋体" w:cs="宋体"/>
                <w:color w:val="auto"/>
                <w:kern w:val="0"/>
                <w:sz w:val="24"/>
                <w:szCs w:val="20"/>
                <w:highlight w:val="none"/>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联系方式</w:t>
            </w:r>
          </w:p>
        </w:tc>
        <w:tc>
          <w:tcPr>
            <w:tcW w:w="7015" w:type="dxa"/>
            <w:vAlign w:val="center"/>
          </w:tcPr>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采购人信息：</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名      称：深圳市前海深港现代服务业合作区管理局</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联  系  人：周芳竹</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电      话：18826543073</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采购代理机构信息：</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名      称：深圳国际招标咨询有限公司</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地      址：深圳市南山区沙河西路3157号南山智谷产业园 A 座21楼</w:t>
            </w:r>
          </w:p>
          <w:p>
            <w:pPr>
              <w:spacing w:line="360" w:lineRule="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联  系  人：曹茜、</w:t>
            </w:r>
            <w:r>
              <w:rPr>
                <w:rFonts w:hint="eastAsia" w:ascii="宋体" w:hAnsi="宋体" w:cs="宋体"/>
                <w:color w:val="auto"/>
                <w:kern w:val="0"/>
                <w:sz w:val="24"/>
                <w:highlight w:val="none"/>
                <w:lang w:val="en-US" w:eastAsia="zh-CN"/>
              </w:rPr>
              <w:t>黎子帅</w:t>
            </w:r>
          </w:p>
          <w:p>
            <w:pPr>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rPr>
              <w:t>电      话：18599127733、</w:t>
            </w:r>
            <w:r>
              <w:rPr>
                <w:rFonts w:hint="eastAsia" w:ascii="宋体" w:hAnsi="宋体" w:cs="宋体"/>
                <w:color w:val="auto"/>
                <w:kern w:val="0"/>
                <w:sz w:val="24"/>
                <w:highlight w:val="none"/>
                <w:lang w:val="en-US" w:eastAsia="zh-CN"/>
              </w:rPr>
              <w:t>13018597667</w:t>
            </w:r>
          </w:p>
        </w:tc>
      </w:tr>
    </w:tbl>
    <w:p>
      <w:pPr>
        <w:adjustRightInd w:val="0"/>
        <w:snapToGrid w:val="0"/>
        <w:spacing w:line="360" w:lineRule="auto"/>
        <w:ind w:firstLine="480" w:firstLineChars="200"/>
        <w:jc w:val="right"/>
        <w:rPr>
          <w:rFonts w:hint="eastAsia" w:ascii="宋体" w:hAnsi="宋体" w:cs="宋体"/>
          <w:color w:val="auto"/>
          <w:sz w:val="24"/>
          <w:highlight w:val="none"/>
        </w:rPr>
      </w:pPr>
    </w:p>
    <w:p>
      <w:pPr>
        <w:adjustRightInd w:val="0"/>
        <w:snapToGrid w:val="0"/>
        <w:spacing w:line="360" w:lineRule="auto"/>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深圳国际招标咨询有限公司</w:t>
      </w:r>
    </w:p>
    <w:p>
      <w:pPr>
        <w:adjustRightInd w:val="0"/>
        <w:snapToGrid w:val="0"/>
        <w:spacing w:line="360" w:lineRule="auto"/>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20</w:t>
      </w:r>
      <w:r>
        <w:rPr>
          <w:rFonts w:hint="eastAsia" w:ascii="宋体" w:hAnsi="宋体" w:cs="宋体"/>
          <w:color w:val="auto"/>
          <w:sz w:val="24"/>
          <w:highlight w:val="none"/>
        </w:rPr>
        <w:t>日</w:t>
      </w:r>
    </w:p>
    <w:p>
      <w:pPr>
        <w:numPr>
          <w:ilvl w:val="255"/>
          <w:numId w:val="0"/>
        </w:numPr>
        <w:jc w:val="left"/>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outlineLvl w:val="0"/>
        <w:rPr>
          <w:rFonts w:hint="eastAsia" w:ascii="宋体" w:hAnsi="宋体" w:cs="宋体"/>
          <w:b/>
          <w:bCs/>
          <w:color w:val="auto"/>
          <w:sz w:val="24"/>
          <w:highlight w:val="none"/>
        </w:rPr>
      </w:pPr>
      <w:r>
        <w:rPr>
          <w:rFonts w:hint="eastAsia" w:ascii="宋体" w:hAnsi="宋体" w:cs="宋体"/>
          <w:b/>
          <w:bCs/>
          <w:color w:val="auto"/>
          <w:sz w:val="24"/>
          <w:highlight w:val="none"/>
        </w:rPr>
        <w:t xml:space="preserve">第二章 </w:t>
      </w:r>
      <w:bookmarkStart w:id="9" w:name="_Toc16734"/>
      <w:r>
        <w:rPr>
          <w:rFonts w:hint="eastAsia" w:ascii="宋体" w:hAnsi="宋体" w:cs="宋体"/>
          <w:b/>
          <w:bCs/>
          <w:color w:val="auto"/>
          <w:sz w:val="24"/>
          <w:highlight w:val="none"/>
        </w:rPr>
        <w:t>投标须知</w:t>
      </w:r>
      <w:bookmarkEnd w:id="9"/>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1、本项目是深圳市前海深港现代服务业合作区管理局的</w:t>
      </w:r>
      <w:r>
        <w:rPr>
          <w:rFonts w:hint="eastAsia" w:ascii="宋体" w:hAnsi="宋体" w:cs="宋体"/>
          <w:color w:val="auto"/>
          <w:sz w:val="24"/>
          <w:highlight w:val="none"/>
          <w:u w:val="single"/>
        </w:rPr>
        <w:t>广东（深圳）游戏出海服务中心委托运营项目</w:t>
      </w:r>
      <w:r>
        <w:rPr>
          <w:rFonts w:hint="eastAsia" w:ascii="宋体" w:hAnsi="宋体" w:cs="宋体"/>
          <w:color w:val="auto"/>
          <w:sz w:val="24"/>
          <w:highlight w:val="none"/>
        </w:rPr>
        <w:t>。</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项目不属于《深圳市2025—2026年政府集中采购目录及限额标准》规定应集中采购项目，根据《中华人民共和国政府采购法》、《深圳经济特区政府采购条例》及采购单位的有关规定，深圳国际招标咨询有限公司受深圳市前海深港现代服务业合作区管理局委托以简易招标方式组织采购。</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2.2、对于重新组织简易招标(公开征集)，仍出现有效投标供应商不足3家的情形，按以下流程执行：</w:t>
      </w:r>
    </w:p>
    <w:p>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a.有效投标人为2家的，可在2家有效投标人中取得分最高者为中标供应商；</w:t>
      </w:r>
    </w:p>
    <w:p>
      <w:pPr>
        <w:numPr>
          <w:ilvl w:val="255"/>
          <w:numId w:val="0"/>
        </w:numPr>
        <w:spacing w:line="360" w:lineRule="auto"/>
        <w:ind w:firstLine="482" w:firstLineChars="200"/>
        <w:rPr>
          <w:rFonts w:hint="eastAsia" w:ascii="宋体" w:hAnsi="宋体" w:cs="宋体"/>
          <w:color w:val="auto"/>
          <w:sz w:val="24"/>
          <w:highlight w:val="none"/>
        </w:rPr>
      </w:pPr>
      <w:r>
        <w:rPr>
          <w:rFonts w:hint="eastAsia" w:ascii="宋体" w:hAnsi="宋体" w:cs="宋体"/>
          <w:b/>
          <w:bCs/>
          <w:color w:val="auto"/>
          <w:sz w:val="24"/>
          <w:highlight w:val="none"/>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3、本项目根据项目的实际情况，公开征集符合投标</w:t>
      </w:r>
      <w:r>
        <w:rPr>
          <w:rFonts w:ascii="宋体" w:hAnsi="宋体" w:cs="宋体"/>
          <w:color w:val="auto"/>
          <w:sz w:val="24"/>
          <w:highlight w:val="none"/>
        </w:rPr>
        <w:t>单位</w:t>
      </w:r>
      <w:r>
        <w:rPr>
          <w:rFonts w:hint="eastAsia" w:ascii="宋体" w:hAnsi="宋体" w:cs="宋体"/>
          <w:color w:val="auto"/>
          <w:sz w:val="24"/>
          <w:highlight w:val="none"/>
        </w:rPr>
        <w:t>资格的供应商。请各供应商根据本文件的要求，准备</w:t>
      </w:r>
      <w:r>
        <w:rPr>
          <w:rFonts w:hint="eastAsia" w:ascii="宋体" w:hAnsi="宋体" w:cs="宋体"/>
          <w:b/>
          <w:bCs/>
          <w:color w:val="auto"/>
          <w:sz w:val="24"/>
          <w:highlight w:val="none"/>
        </w:rPr>
        <w:t>5套（1套正本，4套副本，附电子版，电子版是以光盘、U盘或硬盘等移动存储介质提交的加盖公章的PDF电子投标文件）</w:t>
      </w:r>
      <w:r>
        <w:rPr>
          <w:rFonts w:hint="eastAsia" w:ascii="宋体" w:hAnsi="宋体" w:cs="宋体"/>
          <w:color w:val="auto"/>
          <w:sz w:val="24"/>
          <w:highlight w:val="none"/>
        </w:rPr>
        <w:t>完备的资料进行投标，副本可以是正本的复印件。</w:t>
      </w:r>
    </w:p>
    <w:p>
      <w:pPr>
        <w:spacing w:line="360" w:lineRule="auto"/>
        <w:ind w:firstLine="482" w:firstLineChars="200"/>
        <w:rPr>
          <w:color w:val="auto"/>
          <w:highlight w:val="none"/>
        </w:rPr>
      </w:pPr>
      <w:r>
        <w:rPr>
          <w:rFonts w:hint="eastAsia" w:ascii="宋体" w:hAnsi="宋体" w:cs="宋体"/>
          <w:b/>
          <w:bCs/>
          <w:color w:val="auto"/>
          <w:sz w:val="24"/>
          <w:highlight w:val="none"/>
        </w:rPr>
        <w:t>注：投标文件需根据目录内容编写页码，正本不得活页装订。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5、响应文件要包括如下内容：</w:t>
      </w:r>
    </w:p>
    <w:p>
      <w:pPr>
        <w:numPr>
          <w:ilvl w:val="0"/>
          <w:numId w:val="2"/>
        </w:numPr>
        <w:snapToGrid w:val="0"/>
        <w:spacing w:after="78" w:afterLines="25"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价格部分；</w:t>
      </w:r>
    </w:p>
    <w:p>
      <w:pPr>
        <w:numPr>
          <w:ilvl w:val="0"/>
          <w:numId w:val="2"/>
        </w:numPr>
        <w:snapToGrid w:val="0"/>
        <w:spacing w:after="78" w:afterLines="25"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商务部分；</w:t>
      </w:r>
    </w:p>
    <w:p>
      <w:pPr>
        <w:numPr>
          <w:ilvl w:val="0"/>
          <w:numId w:val="2"/>
        </w:numPr>
        <w:snapToGrid w:val="0"/>
        <w:spacing w:after="78" w:afterLines="25"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技术部分。</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6、项目的报价要求。</w:t>
      </w:r>
      <w:r>
        <w:rPr>
          <w:rFonts w:hint="eastAsia" w:ascii="宋体" w:hAnsi="宋体" w:cs="宋体"/>
          <w:color w:val="auto"/>
          <w:kern w:val="0"/>
          <w:sz w:val="24"/>
          <w:szCs w:val="20"/>
          <w:highlight w:val="none"/>
        </w:rPr>
        <w:t>本次投标为总价包干，投标报价包括了投标人完成本招标项目而发生的全部费用（含税）。</w:t>
      </w:r>
      <w:r>
        <w:rPr>
          <w:rFonts w:hint="eastAsia" w:ascii="宋体" w:hAnsi="宋体" w:cs="宋体"/>
          <w:color w:val="auto"/>
          <w:sz w:val="24"/>
          <w:highlight w:val="none"/>
        </w:rPr>
        <w:t>一经中标，投标报价总价作为中标单位与采购人</w:t>
      </w:r>
      <w:r>
        <w:rPr>
          <w:rFonts w:hint="eastAsia" w:ascii="宋体" w:hAnsi="宋体" w:cs="宋体"/>
          <w:color w:val="auto"/>
          <w:sz w:val="24"/>
          <w:highlight w:val="none"/>
          <w:lang w:eastAsia="zh-CN"/>
        </w:rPr>
        <w:t>签订</w:t>
      </w:r>
      <w:r>
        <w:rPr>
          <w:rFonts w:hint="eastAsia" w:ascii="宋体" w:hAnsi="宋体" w:cs="宋体"/>
          <w:color w:val="auto"/>
          <w:sz w:val="24"/>
          <w:highlight w:val="none"/>
        </w:rPr>
        <w:t>的合同金额，合同期限内不做调整。</w:t>
      </w:r>
    </w:p>
    <w:p>
      <w:pPr>
        <w:snapToGrid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7、</w:t>
      </w:r>
      <w:r>
        <w:rPr>
          <w:rFonts w:hint="eastAsia" w:ascii="宋体" w:hAnsi="宋体" w:cs="宋体"/>
          <w:bCs/>
          <w:color w:val="auto"/>
          <w:sz w:val="24"/>
          <w:highlight w:val="none"/>
        </w:rPr>
        <w:t>采购</w:t>
      </w:r>
      <w:r>
        <w:rPr>
          <w:rFonts w:ascii="宋体" w:hAnsi="宋体" w:cs="宋体"/>
          <w:color w:val="auto"/>
          <w:sz w:val="24"/>
          <w:highlight w:val="none"/>
        </w:rPr>
        <w:t>单位</w:t>
      </w:r>
      <w:r>
        <w:rPr>
          <w:rFonts w:hint="eastAsia" w:ascii="宋体" w:hAnsi="宋体" w:cs="宋体"/>
          <w:bCs/>
          <w:color w:val="auto"/>
          <w:sz w:val="24"/>
          <w:highlight w:val="none"/>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8、如采购</w:t>
      </w:r>
      <w:r>
        <w:rPr>
          <w:rFonts w:ascii="宋体" w:hAnsi="宋体" w:cs="宋体"/>
          <w:color w:val="auto"/>
          <w:sz w:val="24"/>
          <w:highlight w:val="none"/>
        </w:rPr>
        <w:t>单位</w:t>
      </w:r>
      <w:r>
        <w:rPr>
          <w:rFonts w:hint="eastAsia" w:ascii="宋体" w:hAnsi="宋体" w:cs="宋体"/>
          <w:color w:val="auto"/>
          <w:sz w:val="24"/>
          <w:highlight w:val="none"/>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9、采购</w:t>
      </w:r>
      <w:r>
        <w:rPr>
          <w:rFonts w:ascii="宋体" w:hAnsi="宋体" w:cs="宋体"/>
          <w:color w:val="auto"/>
          <w:sz w:val="24"/>
          <w:highlight w:val="none"/>
        </w:rPr>
        <w:t>单位</w:t>
      </w:r>
      <w:r>
        <w:rPr>
          <w:rFonts w:hint="eastAsia" w:ascii="宋体" w:hAnsi="宋体" w:cs="宋体"/>
          <w:color w:val="auto"/>
          <w:sz w:val="24"/>
          <w:highlight w:val="none"/>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10、本次采购凡涉及知识产权问题，由项目供应商负责。</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11、采购</w:t>
      </w:r>
      <w:r>
        <w:rPr>
          <w:rFonts w:ascii="宋体" w:hAnsi="宋体" w:cs="宋体"/>
          <w:color w:val="auto"/>
          <w:sz w:val="24"/>
          <w:highlight w:val="none"/>
        </w:rPr>
        <w:t>单位</w:t>
      </w:r>
      <w:r>
        <w:rPr>
          <w:rFonts w:hint="eastAsia" w:ascii="宋体" w:hAnsi="宋体" w:cs="宋体"/>
          <w:color w:val="auto"/>
          <w:sz w:val="24"/>
          <w:highlight w:val="none"/>
        </w:rPr>
        <w:t>将组成评审委员会，评审工作由评审委员会独立负责。</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12、供应商应在规定的时间内现场递交或邮寄投标文件。</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13、采用综合评分法的情况：评审委员会将分别对供应商递交的投标文件进行评审。</w:t>
      </w:r>
    </w:p>
    <w:p>
      <w:pPr>
        <w:pStyle w:val="28"/>
        <w:numPr>
          <w:ilvl w:val="1"/>
          <w:numId w:val="3"/>
        </w:numPr>
        <w:snapToGrid w:val="0"/>
        <w:spacing w:line="360" w:lineRule="auto"/>
        <w:ind w:firstLineChars="0"/>
        <w:rPr>
          <w:rFonts w:hint="eastAsia" w:ascii="宋体" w:hAnsi="宋体" w:cs="宋体"/>
          <w:color w:val="auto"/>
          <w:sz w:val="24"/>
          <w:highlight w:val="none"/>
        </w:rPr>
      </w:pPr>
      <w:r>
        <w:rPr>
          <w:rFonts w:hint="eastAsia" w:ascii="宋体" w:hAnsi="宋体" w:cs="宋体"/>
          <w:color w:val="auto"/>
          <w:kern w:val="2"/>
          <w:sz w:val="24"/>
          <w:szCs w:val="24"/>
          <w:highlight w:val="none"/>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color w:val="auto"/>
          <w:sz w:val="24"/>
          <w:szCs w:val="24"/>
          <w:highlight w:val="none"/>
        </w:rPr>
        <w:t>第一</w:t>
      </w:r>
      <w:r>
        <w:rPr>
          <w:rFonts w:hint="eastAsia" w:ascii="宋体" w:hAnsi="宋体" w:cs="宋体"/>
          <w:color w:val="auto"/>
          <w:kern w:val="2"/>
          <w:sz w:val="24"/>
          <w:szCs w:val="24"/>
          <w:highlight w:val="none"/>
        </w:rPr>
        <w:t>中标候选人；</w:t>
      </w:r>
    </w:p>
    <w:p>
      <w:pPr>
        <w:pStyle w:val="28"/>
        <w:numPr>
          <w:ilvl w:val="1"/>
          <w:numId w:val="3"/>
        </w:numPr>
        <w:snapToGrid w:val="0"/>
        <w:spacing w:line="360" w:lineRule="auto"/>
        <w:ind w:firstLineChars="0"/>
        <w:rPr>
          <w:rFonts w:hint="eastAsia" w:ascii="宋体" w:hAnsi="宋体" w:cs="宋体"/>
          <w:color w:val="auto"/>
          <w:sz w:val="24"/>
          <w:highlight w:val="none"/>
        </w:rPr>
      </w:pPr>
      <w:r>
        <w:rPr>
          <w:rFonts w:hint="eastAsia" w:ascii="宋体" w:hAnsi="宋体" w:cs="宋体"/>
          <w:color w:val="auto"/>
          <w:sz w:val="24"/>
          <w:highlight w:val="none"/>
        </w:rPr>
        <w:t>如果二个及以上供应商的综合评分相同时，取投标价格低者为第一中标候选人；</w:t>
      </w:r>
    </w:p>
    <w:p>
      <w:pPr>
        <w:numPr>
          <w:ilvl w:val="1"/>
          <w:numId w:val="3"/>
        </w:num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14、采用谈判的情况：如参与投标且符合招标文件要求的供应商仅有1家</w:t>
      </w:r>
      <w:r>
        <w:rPr>
          <w:rFonts w:hint="eastAsia" w:ascii="宋体" w:hAnsi="宋体" w:cs="宋体"/>
          <w:color w:val="auto"/>
          <w:sz w:val="24"/>
          <w:highlight w:val="none"/>
          <w:lang w:eastAsia="zh-CN"/>
        </w:rPr>
        <w:t>，</w:t>
      </w:r>
      <w:r>
        <w:rPr>
          <w:rFonts w:hint="eastAsia" w:ascii="宋体" w:hAnsi="宋体" w:cs="宋体"/>
          <w:color w:val="auto"/>
          <w:sz w:val="24"/>
          <w:highlight w:val="none"/>
        </w:rPr>
        <w:t>评审委员会将与投标供应商进行谈判。</w:t>
      </w:r>
    </w:p>
    <w:p>
      <w:pPr>
        <w:numPr>
          <w:ilvl w:val="0"/>
          <w:numId w:val="4"/>
        </w:num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供应商在谈判时由项目负责人与评审委员会进行谈判；</w:t>
      </w:r>
    </w:p>
    <w:p>
      <w:pPr>
        <w:numPr>
          <w:ilvl w:val="0"/>
          <w:numId w:val="4"/>
        </w:num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原则上成交价不超过最初报价的95%。</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15、供应商不得将本项目转包给其他人。</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16、所有的评审/谈判内容都必须保密。</w:t>
      </w:r>
    </w:p>
    <w:p>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17、招标代理服务收费：</w:t>
      </w:r>
    </w:p>
    <w:p>
      <w:pPr>
        <w:snapToGrid w:val="0"/>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color w:val="auto"/>
          <w:sz w:val="24"/>
          <w:highlight w:val="none"/>
        </w:rPr>
      </w:pPr>
    </w:p>
    <w:p>
      <w:pPr>
        <w:adjustRightInd w:val="0"/>
        <w:snapToGrid w:val="0"/>
        <w:spacing w:line="360" w:lineRule="auto"/>
        <w:ind w:right="26"/>
        <w:jc w:val="left"/>
        <w:rPr>
          <w:rFonts w:hint="eastAsia" w:ascii="宋体" w:hAnsi="宋体" w:cs="宋体"/>
          <w:color w:val="auto"/>
          <w:sz w:val="24"/>
          <w:highlight w:val="none"/>
        </w:rPr>
      </w:pPr>
      <w:r>
        <w:rPr>
          <w:rFonts w:hint="eastAsia" w:ascii="宋体" w:hAnsi="宋体" w:cs="宋体"/>
          <w:color w:val="auto"/>
          <w:sz w:val="24"/>
          <w:highlight w:val="none"/>
        </w:rPr>
        <w:t>具体计取费率标准如下表所示：</w:t>
      </w:r>
    </w:p>
    <w:tbl>
      <w:tblPr>
        <w:tblStyle w:val="21"/>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color w:val="auto"/>
                <w:sz w:val="24"/>
                <w:highlight w:val="none"/>
              </w:rPr>
            </w:pPr>
            <w:r>
              <w:rPr>
                <w:rFonts w:hint="eastAsia" w:ascii="宋体" w:hAnsi="宋体" w:cs="宋体"/>
                <w:b/>
                <w:bCs/>
                <w:color w:val="auto"/>
                <w:sz w:val="24"/>
                <w:highlight w:val="none"/>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color w:val="auto"/>
                <w:sz w:val="24"/>
                <w:highlight w:val="none"/>
              </w:rPr>
            </w:pPr>
            <w:r>
              <w:rPr>
                <w:rFonts w:hint="eastAsia" w:ascii="宋体" w:hAnsi="宋体" w:cs="宋体"/>
                <w:b/>
                <w:bCs/>
                <w:color w:val="auto"/>
                <w:sz w:val="24"/>
                <w:highlight w:val="none"/>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color w:val="auto"/>
                <w:sz w:val="24"/>
                <w:highlight w:val="none"/>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color w:val="auto"/>
                <w:sz w:val="24"/>
                <w:highlight w:val="none"/>
              </w:rPr>
            </w:pPr>
            <w:r>
              <w:rPr>
                <w:rFonts w:hint="eastAsia" w:ascii="宋体" w:hAnsi="宋体" w:cs="宋体"/>
                <w:b/>
                <w:bCs/>
                <w:color w:val="auto"/>
                <w:sz w:val="24"/>
                <w:highlight w:val="none"/>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color w:val="auto"/>
                <w:sz w:val="24"/>
                <w:highlight w:val="none"/>
              </w:rPr>
            </w:pPr>
            <w:r>
              <w:rPr>
                <w:rFonts w:hint="eastAsia" w:ascii="宋体" w:hAnsi="宋体" w:cs="宋体"/>
                <w:b/>
                <w:bCs/>
                <w:color w:val="auto"/>
                <w:sz w:val="24"/>
                <w:highlight w:val="none"/>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color w:val="auto"/>
                <w:sz w:val="24"/>
                <w:highlight w:val="none"/>
              </w:rPr>
            </w:pPr>
            <w:r>
              <w:rPr>
                <w:rFonts w:hint="eastAsia" w:ascii="宋体" w:hAnsi="宋体" w:cs="宋体"/>
                <w:b/>
                <w:bCs/>
                <w:color w:val="auto"/>
                <w:sz w:val="24"/>
                <w:highlight w:val="none"/>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100万元以下</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1.5%</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1.5%</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1.1%</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0.8%</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0.8%</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0.45%</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0.5%</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0.25%</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0.25%</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0.1%</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1亿元（含）-5亿元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0.05%</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0.05%</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0.035%</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0.035%</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0.008%</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0.008%</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0.006%</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0.006%</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color w:val="auto"/>
                <w:sz w:val="24"/>
                <w:highlight w:val="none"/>
              </w:rPr>
            </w:pPr>
            <w:r>
              <w:rPr>
                <w:rFonts w:hint="eastAsia" w:ascii="宋体" w:hAnsi="宋体" w:cs="宋体"/>
                <w:color w:val="auto"/>
                <w:sz w:val="24"/>
                <w:highlight w:val="none"/>
              </w:rPr>
              <w:t>0.004%</w:t>
            </w:r>
          </w:p>
        </w:tc>
        <w:tc>
          <w:tcPr>
            <w:tcW w:w="1755"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0.004%</w:t>
            </w:r>
          </w:p>
        </w:tc>
        <w:tc>
          <w:tcPr>
            <w:tcW w:w="1897" w:type="dxa"/>
            <w:vAlign w:val="center"/>
          </w:tcPr>
          <w:p>
            <w:pPr>
              <w:adjustRightInd w:val="0"/>
              <w:snapToGrid w:val="0"/>
              <w:spacing w:line="360" w:lineRule="auto"/>
              <w:ind w:right="28"/>
              <w:jc w:val="center"/>
              <w:rPr>
                <w:rFonts w:hint="eastAsia" w:ascii="宋体" w:hAnsi="宋体" w:cs="宋体"/>
                <w:color w:val="auto"/>
                <w:sz w:val="24"/>
                <w:highlight w:val="none"/>
              </w:rPr>
            </w:pPr>
            <w:r>
              <w:rPr>
                <w:rFonts w:hint="eastAsia" w:ascii="宋体" w:hAnsi="宋体" w:cs="宋体"/>
                <w:color w:val="auto"/>
                <w:sz w:val="24"/>
                <w:highlight w:val="none"/>
              </w:rPr>
              <w:t>0.004%</w:t>
            </w:r>
          </w:p>
        </w:tc>
      </w:tr>
    </w:tbl>
    <w:p>
      <w:pPr>
        <w:numPr>
          <w:ilvl w:val="255"/>
          <w:numId w:val="0"/>
        </w:numPr>
        <w:jc w:val="left"/>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outlineLvl w:val="0"/>
        <w:rPr>
          <w:rFonts w:hint="eastAsia" w:ascii="宋体" w:hAnsi="宋体" w:cs="宋体"/>
          <w:b/>
          <w:bCs/>
          <w:color w:val="auto"/>
          <w:sz w:val="24"/>
          <w:highlight w:val="none"/>
        </w:rPr>
      </w:pPr>
      <w:r>
        <w:rPr>
          <w:rFonts w:hint="eastAsia" w:ascii="宋体" w:hAnsi="宋体" w:cs="宋体"/>
          <w:b/>
          <w:bCs/>
          <w:color w:val="auto"/>
          <w:sz w:val="24"/>
          <w:highlight w:val="none"/>
        </w:rPr>
        <w:t xml:space="preserve">第三章 </w:t>
      </w:r>
      <w:bookmarkStart w:id="10" w:name="_Toc18857"/>
      <w:r>
        <w:rPr>
          <w:rFonts w:hint="eastAsia" w:ascii="宋体" w:hAnsi="宋体" w:cs="宋体"/>
          <w:b/>
          <w:bCs/>
          <w:color w:val="auto"/>
          <w:sz w:val="24"/>
          <w:highlight w:val="none"/>
        </w:rPr>
        <w:t>评标程序</w:t>
      </w:r>
      <w:bookmarkEnd w:id="10"/>
    </w:p>
    <w:p>
      <w:pPr>
        <w:numPr>
          <w:ilvl w:val="0"/>
          <w:numId w:val="5"/>
        </w:num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二、参加会议人员：项目负责代表、评审委员会成员、监督部门代表（如有）、采购代理机构代表。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三、会议主持人：开标评标会议由招标代理机构主持。</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四、投标截止时间：2026年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rPr>
        <w:t>日上午10:00时（北京时间）。</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28</w:t>
      </w:r>
      <w:r>
        <w:rPr>
          <w:rFonts w:hint="eastAsia" w:ascii="宋体" w:hAnsi="宋体" w:cs="宋体"/>
          <w:color w:val="auto"/>
          <w:sz w:val="24"/>
          <w:highlight w:val="none"/>
        </w:rPr>
        <w:t>日上午10:00时（北京时间）前送达（现场递交或邮寄至前海大厦T1栋2505室）。截标后不再接收任何投标文件。</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六、开标：招标代理机构组织开标会。投标</w:t>
      </w:r>
      <w:r>
        <w:rPr>
          <w:rFonts w:ascii="宋体" w:hAnsi="宋体" w:cs="宋体"/>
          <w:color w:val="auto"/>
          <w:sz w:val="24"/>
          <w:highlight w:val="none"/>
        </w:rPr>
        <w:t>单位</w:t>
      </w:r>
      <w:r>
        <w:rPr>
          <w:rFonts w:hint="eastAsia" w:ascii="宋体" w:hAnsi="宋体" w:cs="宋体"/>
          <w:color w:val="auto"/>
          <w:sz w:val="24"/>
          <w:highlight w:val="none"/>
        </w:rPr>
        <w:t>如需委派代表参加，参加开标的代表应签名报到以证明出席。开标时，招标代理机构将当众宣读投标</w:t>
      </w:r>
      <w:r>
        <w:rPr>
          <w:rFonts w:ascii="宋体" w:hAnsi="宋体" w:cs="宋体"/>
          <w:color w:val="auto"/>
          <w:sz w:val="24"/>
          <w:highlight w:val="none"/>
        </w:rPr>
        <w:t>单位</w:t>
      </w:r>
      <w:r>
        <w:rPr>
          <w:rFonts w:hint="eastAsia" w:ascii="宋体" w:hAnsi="宋体" w:cs="宋体"/>
          <w:color w:val="auto"/>
          <w:sz w:val="24"/>
          <w:highlight w:val="none"/>
        </w:rPr>
        <w:t>名称、开标一览表（以招标文件规定的开标一览表内容为准）并做开标记录。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七、投标文件的资格审查。开标后，采购代理机构就投标文件中的资格证明等内容对投标供应商进行资格审查，核查不合格的，视为投标无效；核查内容均合格的，其投标文件将由评标委员会进行评审。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八、评审委员会审查供应商的投标文件，工作人员记录审查的情况。</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九、评审委员会按以下工作程序进行：</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1、评标委员会对各供应商的投标文件进行符合性审查，对未能通过符合性审查的投标文件作投标无效处理。</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2、对通过初审的供应商的投标文件进行详细的比较和评价。如需要，进行必要的澄清/说明工作。</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3、根据参与投标且符合招标文件要求的供应商数量情况，确定本项目的评审方法。</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4、采用综合评分法的情况：评审委员会将分别对供应商递交的投标文件进行评审。</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4.2如果二个及以上供应商的综合评分相同时，取投标价格低者为第一中标候选人。</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5.1供应商在谈判时由项目负责人与评审委员会进行谈判；</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5.2原则上成交价应为最初报价的95%。</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6、评审委员会按照本项目招标文件中规定的评标方法确定中标供应商。</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十、根据本次采购的结果，10个工作日内与中标供应商签订合同。</w:t>
      </w:r>
    </w:p>
    <w:p>
      <w:pPr>
        <w:spacing w:line="360" w:lineRule="auto"/>
        <w:rPr>
          <w:rFonts w:hint="eastAsia" w:ascii="宋体" w:hAnsi="宋体" w:cs="宋体"/>
          <w:color w:val="auto"/>
          <w:sz w:val="24"/>
          <w:highlight w:val="none"/>
        </w:rPr>
      </w:pPr>
    </w:p>
    <w:p>
      <w:pPr>
        <w:numPr>
          <w:ilvl w:val="255"/>
          <w:numId w:val="0"/>
        </w:numPr>
        <w:jc w:val="left"/>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440" w:lineRule="exact"/>
        <w:jc w:val="center"/>
        <w:outlineLvl w:val="0"/>
        <w:rPr>
          <w:rFonts w:hint="eastAsia" w:ascii="宋体" w:hAnsi="宋体" w:cs="宋体"/>
          <w:b/>
          <w:bCs/>
          <w:color w:val="auto"/>
          <w:sz w:val="24"/>
          <w:highlight w:val="none"/>
        </w:rPr>
      </w:pPr>
      <w:r>
        <w:rPr>
          <w:rFonts w:hint="eastAsia" w:ascii="宋体" w:hAnsi="宋体" w:cs="宋体"/>
          <w:b/>
          <w:bCs/>
          <w:color w:val="auto"/>
          <w:sz w:val="24"/>
          <w:highlight w:val="none"/>
        </w:rPr>
        <w:t xml:space="preserve">第四章 </w:t>
      </w:r>
      <w:bookmarkStart w:id="11" w:name="_Toc27704"/>
      <w:r>
        <w:rPr>
          <w:rFonts w:hint="eastAsia" w:ascii="宋体" w:hAnsi="宋体" w:cs="宋体"/>
          <w:b/>
          <w:bCs/>
          <w:color w:val="auto"/>
          <w:sz w:val="24"/>
          <w:highlight w:val="none"/>
        </w:rPr>
        <w:t>合同格式及合同条款</w:t>
      </w:r>
      <w:bookmarkEnd w:id="11"/>
    </w:p>
    <w:p>
      <w:pPr>
        <w:spacing w:line="440" w:lineRule="exact"/>
        <w:ind w:firstLine="470" w:firstLineChars="196"/>
        <w:jc w:val="center"/>
        <w:rPr>
          <w:rFonts w:hint="eastAsia" w:ascii="宋体" w:hAnsi="宋体" w:cs="宋体"/>
          <w:color w:val="auto"/>
          <w:sz w:val="24"/>
          <w:highlight w:val="none"/>
        </w:rPr>
      </w:pPr>
      <w:bookmarkStart w:id="12" w:name="_Toc73521592"/>
      <w:bookmarkStart w:id="13" w:name="_Toc84303603"/>
      <w:bookmarkStart w:id="14" w:name="_Toc73518163"/>
      <w:bookmarkStart w:id="15" w:name="_Toc101074886"/>
      <w:bookmarkStart w:id="16" w:name="_Toc73517685"/>
      <w:bookmarkStart w:id="17" w:name="_Toc100052414"/>
      <w:bookmarkStart w:id="18" w:name="_Toc73521680"/>
    </w:p>
    <w:bookmarkEnd w:id="12"/>
    <w:bookmarkEnd w:id="13"/>
    <w:bookmarkEnd w:id="14"/>
    <w:bookmarkEnd w:id="15"/>
    <w:bookmarkEnd w:id="16"/>
    <w:bookmarkEnd w:id="17"/>
    <w:bookmarkEnd w:id="18"/>
    <w:p>
      <w:pPr>
        <w:adjustRightInd w:val="0"/>
        <w:spacing w:line="360" w:lineRule="auto"/>
        <w:ind w:left="1475" w:right="1470" w:hanging="1475" w:hangingChars="612"/>
        <w:textAlignment w:val="baseline"/>
        <w:rPr>
          <w:rFonts w:hint="eastAsia" w:ascii="宋体" w:hAnsi="宋体" w:cs="宋体"/>
          <w:b/>
          <w:color w:val="auto"/>
          <w:kern w:val="0"/>
          <w:sz w:val="24"/>
          <w:highlight w:val="none"/>
        </w:rPr>
      </w:pPr>
      <w:r>
        <w:rPr>
          <w:rFonts w:ascii="宋体" w:hAnsi="宋体" w:cs="宋体"/>
          <w:b/>
          <w:color w:val="auto"/>
          <w:kern w:val="0"/>
          <w:sz w:val="24"/>
          <w:highlight w:val="none"/>
        </w:rPr>
        <w:t xml:space="preserve">   合同编号（甲方）：            </w:t>
      </w:r>
    </w:p>
    <w:p>
      <w:pPr>
        <w:adjustRightInd w:val="0"/>
        <w:spacing w:line="360" w:lineRule="auto"/>
        <w:ind w:left="1675" w:right="1470" w:hanging="1675" w:hangingChars="695"/>
        <w:textAlignment w:val="baseline"/>
        <w:rPr>
          <w:rFonts w:hint="eastAsia" w:ascii="宋体" w:hAnsi="宋体" w:cs="宋体"/>
          <w:b/>
          <w:color w:val="auto"/>
          <w:kern w:val="0"/>
          <w:sz w:val="24"/>
          <w:highlight w:val="none"/>
        </w:rPr>
      </w:pPr>
      <w:r>
        <w:rPr>
          <w:rFonts w:ascii="宋体" w:hAnsi="宋体" w:cs="宋体"/>
          <w:b/>
          <w:color w:val="auto"/>
          <w:kern w:val="0"/>
          <w:sz w:val="24"/>
          <w:highlight w:val="none"/>
        </w:rPr>
        <w:t xml:space="preserve">   合同编号（乙方）：            </w:t>
      </w:r>
    </w:p>
    <w:p>
      <w:pPr>
        <w:adjustRightInd w:val="0"/>
        <w:spacing w:line="360" w:lineRule="auto"/>
        <w:ind w:left="1470" w:right="1470" w:firstLine="482" w:firstLineChars="200"/>
        <w:textAlignment w:val="baseline"/>
        <w:rPr>
          <w:rFonts w:hint="eastAsia" w:ascii="宋体" w:hAnsi="宋体" w:cs="宋体"/>
          <w:b/>
          <w:color w:val="auto"/>
          <w:kern w:val="0"/>
          <w:sz w:val="24"/>
          <w:highlight w:val="none"/>
        </w:rPr>
      </w:pPr>
    </w:p>
    <w:p>
      <w:pPr>
        <w:adjustRightInd w:val="0"/>
        <w:spacing w:line="360" w:lineRule="auto"/>
        <w:ind w:left="1470" w:right="1470" w:firstLine="482" w:firstLineChars="200"/>
        <w:textAlignment w:val="baseline"/>
        <w:rPr>
          <w:rFonts w:hint="eastAsia" w:ascii="宋体" w:hAnsi="宋体" w:cs="宋体"/>
          <w:b/>
          <w:color w:val="auto"/>
          <w:kern w:val="0"/>
          <w:sz w:val="24"/>
          <w:highlight w:val="none"/>
        </w:rPr>
      </w:pPr>
    </w:p>
    <w:p>
      <w:pPr>
        <w:adjustRightInd w:val="0"/>
        <w:spacing w:line="360" w:lineRule="auto"/>
        <w:ind w:left="1470" w:right="1470" w:firstLine="482" w:firstLineChars="200"/>
        <w:textAlignment w:val="baseline"/>
        <w:rPr>
          <w:rFonts w:hint="eastAsia" w:ascii="宋体" w:hAnsi="宋体" w:cs="宋体"/>
          <w:b/>
          <w:color w:val="auto"/>
          <w:kern w:val="0"/>
          <w:sz w:val="24"/>
          <w:highlight w:val="none"/>
        </w:rPr>
      </w:pPr>
    </w:p>
    <w:p>
      <w:pPr>
        <w:spacing w:line="560" w:lineRule="exact"/>
        <w:ind w:right="-315" w:rightChars="-150"/>
        <w:jc w:val="center"/>
        <w:rPr>
          <w:rFonts w:hint="eastAsia" w:ascii="宋体" w:hAnsi="宋体" w:cs="华文中宋"/>
          <w:b/>
          <w:bCs/>
          <w:color w:val="auto"/>
          <w:sz w:val="44"/>
          <w:szCs w:val="44"/>
          <w:highlight w:val="none"/>
        </w:rPr>
      </w:pPr>
      <w:r>
        <w:rPr>
          <w:rFonts w:hint="eastAsia" w:ascii="宋体" w:hAnsi="宋体" w:cs="华文中宋"/>
          <w:b/>
          <w:bCs/>
          <w:color w:val="auto"/>
          <w:sz w:val="44"/>
          <w:szCs w:val="44"/>
          <w:highlight w:val="none"/>
        </w:rPr>
        <w:t>广东（深圳）游戏出海服务中心委托运营项目服务合同</w:t>
      </w:r>
    </w:p>
    <w:p>
      <w:pPr>
        <w:spacing w:line="360" w:lineRule="auto"/>
        <w:jc w:val="center"/>
        <w:rPr>
          <w:rFonts w:hint="eastAsia" w:ascii="宋体" w:hAnsi="宋体" w:cs="宋体"/>
          <w:b/>
          <w:color w:val="auto"/>
          <w:sz w:val="24"/>
          <w:highlight w:val="none"/>
        </w:rPr>
      </w:pPr>
    </w:p>
    <w:p>
      <w:pPr>
        <w:spacing w:line="360" w:lineRule="auto"/>
        <w:jc w:val="center"/>
        <w:rPr>
          <w:rFonts w:hint="eastAsia" w:ascii="宋体" w:hAnsi="宋体" w:cs="宋体"/>
          <w:b/>
          <w:color w:val="auto"/>
          <w:sz w:val="24"/>
          <w:highlight w:val="none"/>
        </w:rPr>
      </w:pPr>
    </w:p>
    <w:p>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ascii="宋体" w:hAnsi="宋体" w:cs="宋体"/>
          <w:color w:val="auto"/>
          <w:sz w:val="24"/>
          <w:highlight w:val="none"/>
        </w:rPr>
        <w:t xml:space="preserve">                                             </w:t>
      </w:r>
    </w:p>
    <w:p>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委托方（甲方）：</w:t>
      </w:r>
      <w:r>
        <w:rPr>
          <w:rFonts w:ascii="宋体" w:hAnsi="宋体" w:cs="宋体"/>
          <w:color w:val="auto"/>
          <w:sz w:val="24"/>
          <w:highlight w:val="none"/>
        </w:rPr>
        <w:t xml:space="preserve">                                   </w:t>
      </w:r>
    </w:p>
    <w:p>
      <w:pPr>
        <w:spacing w:line="360"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承接方（乙方）：</w:t>
      </w: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二〇二六年</w:t>
      </w:r>
      <w:r>
        <w:rPr>
          <w:rFonts w:ascii="宋体" w:hAnsi="宋体" w:cs="宋体"/>
          <w:color w:val="auto"/>
          <w:sz w:val="24"/>
          <w:highlight w:val="none"/>
        </w:rPr>
        <w:t xml:space="preserve">  </w:t>
      </w:r>
      <w:r>
        <w:rPr>
          <w:rFonts w:hint="eastAsia" w:ascii="宋体" w:hAnsi="宋体" w:cs="宋体"/>
          <w:color w:val="auto"/>
          <w:sz w:val="24"/>
          <w:highlight w:val="none"/>
        </w:rPr>
        <w:t>月</w:t>
      </w:r>
    </w:p>
    <w:p>
      <w:pPr>
        <w:spacing w:line="520" w:lineRule="exact"/>
        <w:rPr>
          <w:rFonts w:hint="eastAsia" w:ascii="宋体" w:hAnsi="宋体" w:cs="宋体"/>
          <w:color w:val="auto"/>
          <w:sz w:val="24"/>
          <w:highlight w:val="none"/>
        </w:rPr>
      </w:pPr>
      <w:r>
        <w:rPr>
          <w:rFonts w:ascii="宋体" w:hAnsi="宋体" w:cs="宋体"/>
          <w:b/>
          <w:bCs/>
          <w:color w:val="auto"/>
          <w:sz w:val="24"/>
          <w:highlight w:val="none"/>
        </w:rPr>
        <w:br w:type="page"/>
      </w:r>
      <w:r>
        <w:rPr>
          <w:rFonts w:hint="eastAsia" w:ascii="宋体" w:hAnsi="宋体" w:cs="宋体"/>
          <w:color w:val="auto"/>
          <w:sz w:val="24"/>
          <w:highlight w:val="none"/>
        </w:rPr>
        <w:t>甲方：深圳市前海深港现代服务业合作区管理局</w:t>
      </w:r>
    </w:p>
    <w:p>
      <w:pPr>
        <w:spacing w:line="520" w:lineRule="exact"/>
        <w:rPr>
          <w:rFonts w:hint="eastAsia" w:ascii="宋体" w:hAnsi="宋体" w:cs="宋体"/>
          <w:color w:val="auto"/>
          <w:sz w:val="24"/>
          <w:highlight w:val="none"/>
        </w:rPr>
      </w:pPr>
      <w:r>
        <w:rPr>
          <w:rFonts w:hint="eastAsia" w:ascii="宋体" w:hAnsi="宋体" w:cs="宋体"/>
          <w:color w:val="auto"/>
          <w:sz w:val="24"/>
          <w:highlight w:val="none"/>
        </w:rPr>
        <w:t>地址：深圳市南山区前海深港合作区桂湾五路前海大厦T1栋23-25楼</w:t>
      </w:r>
    </w:p>
    <w:p>
      <w:pPr>
        <w:pStyle w:val="6"/>
        <w:spacing w:line="520" w:lineRule="exact"/>
        <w:rPr>
          <w:rFonts w:hint="eastAsia" w:ascii="宋体" w:hAnsi="宋体" w:cs="宋体"/>
          <w:color w:val="auto"/>
          <w:highlight w:val="none"/>
        </w:rPr>
      </w:pPr>
    </w:p>
    <w:p>
      <w:pPr>
        <w:spacing w:line="520" w:lineRule="exact"/>
        <w:rPr>
          <w:rFonts w:hint="eastAsia" w:ascii="宋体" w:hAnsi="宋体" w:cs="宋体"/>
          <w:color w:val="auto"/>
          <w:sz w:val="24"/>
          <w:highlight w:val="none"/>
        </w:rPr>
      </w:pPr>
      <w:r>
        <w:rPr>
          <w:rFonts w:hint="eastAsia" w:ascii="宋体" w:hAnsi="宋体" w:cs="宋体"/>
          <w:color w:val="auto"/>
          <w:sz w:val="24"/>
          <w:highlight w:val="none"/>
        </w:rPr>
        <w:t>乙方：</w:t>
      </w:r>
    </w:p>
    <w:p>
      <w:pPr>
        <w:spacing w:line="520" w:lineRule="exact"/>
        <w:rPr>
          <w:rFonts w:hint="eastAsia" w:ascii="宋体" w:hAnsi="宋体" w:cs="宋体"/>
          <w:color w:val="auto"/>
          <w:sz w:val="24"/>
          <w:highlight w:val="none"/>
        </w:rPr>
      </w:pPr>
      <w:r>
        <w:rPr>
          <w:rFonts w:hint="eastAsia" w:ascii="宋体" w:hAnsi="宋体" w:cs="宋体"/>
          <w:color w:val="auto"/>
          <w:sz w:val="24"/>
          <w:highlight w:val="none"/>
        </w:rPr>
        <w:t>地址：</w:t>
      </w:r>
    </w:p>
    <w:p>
      <w:pPr>
        <w:spacing w:line="520" w:lineRule="exact"/>
        <w:rPr>
          <w:rFonts w:hint="eastAsia" w:ascii="宋体" w:hAnsi="宋体" w:cs="宋体"/>
          <w:color w:val="auto"/>
          <w:sz w:val="24"/>
          <w:highlight w:val="none"/>
        </w:rPr>
      </w:pPr>
    </w:p>
    <w:p>
      <w:pPr>
        <w:widowControl/>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根据《中华人民共和国民法典》等法律、法规的相关规定，经友好协商，各方就甲方委托乙方承担广东（深圳）游戏出海服务中心委托运营项目（以下简称“本项目”）工作事宜达成一致，约定如下：</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一、项目概况</w:t>
      </w:r>
    </w:p>
    <w:p>
      <w:pPr>
        <w:spacing w:line="520" w:lineRule="exact"/>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项目名称：</w:t>
      </w:r>
      <w:r>
        <w:rPr>
          <w:rFonts w:hint="eastAsia" w:ascii="宋体" w:hAnsi="宋体" w:cs="宋体"/>
          <w:bCs/>
          <w:color w:val="auto"/>
          <w:sz w:val="24"/>
          <w:highlight w:val="none"/>
        </w:rPr>
        <w:t>广东（深圳）游戏出海服务中心委托运营项目</w:t>
      </w:r>
    </w:p>
    <w:p>
      <w:pPr>
        <w:spacing w:line="520" w:lineRule="exact"/>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项目背景：</w:t>
      </w:r>
      <w:r>
        <w:rPr>
          <w:rFonts w:hint="eastAsia" w:ascii="宋体" w:hAnsi="宋体" w:cs="宋体"/>
          <w:bCs/>
          <w:color w:val="auto"/>
          <w:sz w:val="24"/>
          <w:highlight w:val="none"/>
        </w:rPr>
        <w:t>为深入贯彻落实《关于推动广东网络游戏产业高质量发展的若干政策措施》《深圳市前海深港现代服务业合作区管理局关于促进文化产业高质量发展的若干措施》等文件精神，充分发挥广东（深圳）游戏出海服务中心的公共服务效能，完善前海游戏出海产业服务生态，为游戏企业纾解出海难题，吸引优质文化企业上下游产业集聚，拟委托第三方机构开展实体化运营，着力为游戏出海企业提供境外市场研究、政策法律咨询、运营发行等综合服务，提升国产游戏国际竞争力。</w:t>
      </w:r>
    </w:p>
    <w:p>
      <w:pPr>
        <w:spacing w:line="520" w:lineRule="exact"/>
        <w:ind w:firstLine="482" w:firstLineChars="200"/>
        <w:rPr>
          <w:rFonts w:hint="eastAsia" w:ascii="宋体" w:hAnsi="宋体" w:cs="宋体"/>
          <w:bCs/>
          <w:color w:val="auto"/>
          <w:sz w:val="24"/>
          <w:highlight w:val="none"/>
        </w:rPr>
      </w:pPr>
      <w:r>
        <w:rPr>
          <w:rFonts w:hint="eastAsia" w:ascii="宋体" w:hAnsi="宋体" w:cs="宋体"/>
          <w:b/>
          <w:color w:val="auto"/>
          <w:sz w:val="24"/>
          <w:highlight w:val="none"/>
        </w:rPr>
        <w:t>服务期限：</w:t>
      </w:r>
      <w:r>
        <w:rPr>
          <w:rFonts w:hint="eastAsia" w:ascii="宋体" w:hAnsi="宋体" w:cs="宋体"/>
          <w:bCs/>
          <w:color w:val="auto"/>
          <w:sz w:val="24"/>
          <w:highlight w:val="none"/>
        </w:rPr>
        <w:t>合同签订之日起一年内完成全部项目工作内容，本项目不属于长期服务项目。</w:t>
      </w:r>
    </w:p>
    <w:p>
      <w:pPr>
        <w:spacing w:line="520" w:lineRule="exact"/>
        <w:ind w:firstLine="482" w:firstLineChars="200"/>
        <w:rPr>
          <w:rFonts w:hint="eastAsia" w:ascii="宋体" w:hAnsi="宋体" w:cs="宋体"/>
          <w:bCs/>
          <w:color w:val="auto"/>
          <w:sz w:val="24"/>
          <w:highlight w:val="none"/>
        </w:rPr>
      </w:pPr>
      <w:r>
        <w:rPr>
          <w:rFonts w:hint="eastAsia" w:ascii="宋体" w:hAnsi="宋体" w:cs="宋体"/>
          <w:b/>
          <w:color w:val="auto"/>
          <w:sz w:val="24"/>
          <w:highlight w:val="none"/>
        </w:rPr>
        <w:t>履行方式：</w:t>
      </w:r>
      <w:r>
        <w:rPr>
          <w:rFonts w:hint="eastAsia" w:ascii="宋体" w:hAnsi="宋体" w:cs="宋体"/>
          <w:bCs/>
          <w:color w:val="auto"/>
          <w:sz w:val="24"/>
          <w:highlight w:val="none"/>
        </w:rPr>
        <w:t>按甲方的工作内容及商务需求完成相应工作，并提交全部工作成果。</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二、服务内容及成果</w:t>
      </w:r>
    </w:p>
    <w:p>
      <w:pPr>
        <w:spacing w:line="520" w:lineRule="exact"/>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bidi="ar"/>
        </w:rPr>
        <w:t>围绕服务项目，组建不少于5人（含项目负责人）的专门团队，至少安排其中1人至甲方指定办公场所办公，开展广东（深圳）游戏出海服务中心运营，为游戏出海企业提供境外市场研究、政策法律咨询、运营发行等综合服务，具体如下：</w:t>
      </w:r>
    </w:p>
    <w:p>
      <w:pPr>
        <w:spacing w:line="520" w:lineRule="exact"/>
        <w:ind w:firstLine="482" w:firstLineChars="200"/>
        <w:rPr>
          <w:rFonts w:hint="eastAsia" w:ascii="宋体" w:hAnsi="宋体" w:cs="宋体"/>
          <w:b/>
          <w:bCs/>
          <w:color w:val="auto"/>
          <w:sz w:val="24"/>
          <w:highlight w:val="none"/>
          <w:lang w:bidi="ar"/>
        </w:rPr>
      </w:pPr>
      <w:r>
        <w:rPr>
          <w:rFonts w:hint="eastAsia" w:ascii="宋体" w:hAnsi="宋体" w:cs="宋体"/>
          <w:b/>
          <w:bCs/>
          <w:color w:val="auto"/>
          <w:sz w:val="24"/>
          <w:highlight w:val="none"/>
          <w:lang w:bidi="ar"/>
        </w:rPr>
        <w:t>（一）平台综合运营</w:t>
      </w:r>
    </w:p>
    <w:p>
      <w:pPr>
        <w:spacing w:line="520" w:lineRule="exact"/>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bidi="ar"/>
        </w:rPr>
        <w:t>派至少1名专员常态化驻点前海办公，实现广东（深圳）游戏出海服务中心实体化、专业化运作，负责企业接待、供需对接、资源协调等日常事务。</w:t>
      </w:r>
    </w:p>
    <w:p>
      <w:pPr>
        <w:spacing w:line="520" w:lineRule="exact"/>
        <w:ind w:firstLine="482" w:firstLineChars="200"/>
        <w:rPr>
          <w:rFonts w:hint="eastAsia" w:ascii="宋体" w:hAnsi="宋体" w:cs="宋体"/>
          <w:b/>
          <w:bCs/>
          <w:color w:val="auto"/>
          <w:sz w:val="24"/>
          <w:highlight w:val="none"/>
          <w:lang w:bidi="ar"/>
        </w:rPr>
      </w:pPr>
      <w:r>
        <w:rPr>
          <w:rFonts w:hint="eastAsia" w:ascii="宋体" w:hAnsi="宋体" w:cs="宋体"/>
          <w:b/>
          <w:bCs/>
          <w:color w:val="auto"/>
          <w:sz w:val="24"/>
          <w:highlight w:val="none"/>
          <w:lang w:bidi="ar"/>
        </w:rPr>
        <w:t>（二）游戏出海综合服务</w:t>
      </w:r>
    </w:p>
    <w:p>
      <w:pPr>
        <w:spacing w:line="520" w:lineRule="exact"/>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bidi="ar"/>
        </w:rPr>
        <w:t>整合出版、发行、翻译、涉外法律等全链条出海服务资源，形成游戏出海全链条服务清单并开展企业调研和出海综合服务，全年累计组织游戏企业调研不少于10次，服务企业不少于100次。</w:t>
      </w:r>
    </w:p>
    <w:p>
      <w:pPr>
        <w:spacing w:line="520" w:lineRule="exact"/>
        <w:ind w:firstLine="482" w:firstLineChars="200"/>
        <w:rPr>
          <w:rFonts w:hint="eastAsia" w:ascii="宋体" w:hAnsi="宋体" w:cs="宋体"/>
          <w:b/>
          <w:bCs/>
          <w:color w:val="auto"/>
          <w:sz w:val="24"/>
          <w:highlight w:val="none"/>
          <w:lang w:bidi="ar"/>
        </w:rPr>
      </w:pPr>
      <w:r>
        <w:rPr>
          <w:rFonts w:hint="eastAsia" w:ascii="宋体" w:hAnsi="宋体" w:cs="宋体"/>
          <w:b/>
          <w:bCs/>
          <w:color w:val="auto"/>
          <w:sz w:val="24"/>
          <w:highlight w:val="none"/>
          <w:lang w:bidi="ar"/>
        </w:rPr>
        <w:t>（三）海外市场合规指引服务</w:t>
      </w:r>
    </w:p>
    <w:p>
      <w:pPr>
        <w:spacing w:line="520" w:lineRule="exact"/>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bidi="ar"/>
        </w:rPr>
        <w:t>聚焦海外热点市场，围绕游戏发行资质、内容合规、知识产权保护、数据隐私保护等核心维度，通过企业调研、专家咨询形成1份合规指引，帮助企业降低出海合规风险。</w:t>
      </w:r>
    </w:p>
    <w:p>
      <w:pPr>
        <w:spacing w:line="520" w:lineRule="exact"/>
        <w:ind w:firstLine="482" w:firstLineChars="200"/>
        <w:rPr>
          <w:rFonts w:hint="eastAsia" w:ascii="宋体" w:hAnsi="宋体" w:cs="宋体"/>
          <w:b/>
          <w:bCs/>
          <w:color w:val="auto"/>
          <w:sz w:val="24"/>
          <w:highlight w:val="none"/>
          <w:lang w:bidi="ar"/>
        </w:rPr>
      </w:pPr>
      <w:r>
        <w:rPr>
          <w:rFonts w:hint="eastAsia" w:ascii="宋体" w:hAnsi="宋体" w:cs="宋体"/>
          <w:b/>
          <w:bCs/>
          <w:color w:val="auto"/>
          <w:sz w:val="24"/>
          <w:highlight w:val="none"/>
          <w:lang w:bidi="ar"/>
        </w:rPr>
        <w:t>（四）产业活动策划举办</w:t>
      </w:r>
    </w:p>
    <w:p>
      <w:pPr>
        <w:spacing w:line="520" w:lineRule="exact"/>
        <w:ind w:firstLine="480" w:firstLineChars="200"/>
        <w:rPr>
          <w:rFonts w:hint="eastAsia" w:ascii="宋体" w:hAnsi="宋体" w:cs="宋体"/>
          <w:color w:val="auto"/>
          <w:sz w:val="24"/>
          <w:highlight w:val="none"/>
          <w:lang w:bidi="ar"/>
        </w:rPr>
      </w:pPr>
      <w:r>
        <w:rPr>
          <w:rFonts w:hint="eastAsia" w:ascii="宋体" w:hAnsi="宋体" w:cs="宋体"/>
          <w:color w:val="auto"/>
          <w:sz w:val="24"/>
          <w:highlight w:val="none"/>
          <w:lang w:bidi="ar"/>
        </w:rPr>
        <w:t>围绕出海合规、本地化运营、IP跨界对接等主题，全年举办不少于6场产业活动，搭建政策解读、经验分享、资源对接平台。</w:t>
      </w:r>
    </w:p>
    <w:p>
      <w:pPr>
        <w:spacing w:line="520" w:lineRule="exact"/>
        <w:ind w:firstLine="482" w:firstLineChars="200"/>
        <w:rPr>
          <w:rFonts w:hint="eastAsia" w:ascii="宋体" w:hAnsi="宋体" w:cs="宋体"/>
          <w:b/>
          <w:bCs/>
          <w:color w:val="auto"/>
          <w:sz w:val="24"/>
          <w:highlight w:val="none"/>
          <w:lang w:bidi="ar"/>
        </w:rPr>
      </w:pPr>
      <w:r>
        <w:rPr>
          <w:rFonts w:hint="eastAsia" w:ascii="宋体" w:hAnsi="宋体" w:cs="宋体"/>
          <w:b/>
          <w:bCs/>
          <w:color w:val="auto"/>
          <w:sz w:val="24"/>
          <w:highlight w:val="none"/>
          <w:lang w:bidi="ar"/>
        </w:rPr>
        <w:t>（五）优质项目对接服务。</w:t>
      </w:r>
    </w:p>
    <w:p>
      <w:pPr>
        <w:pStyle w:val="28"/>
        <w:spacing w:line="520" w:lineRule="exact"/>
        <w:ind w:firstLine="480"/>
        <w:outlineLvl w:val="0"/>
        <w:rPr>
          <w:rFonts w:hint="eastAsia" w:ascii="宋体" w:hAnsi="宋体" w:cs="宋体"/>
          <w:color w:val="auto"/>
          <w:sz w:val="24"/>
          <w:highlight w:val="none"/>
          <w:lang w:bidi="ar"/>
        </w:rPr>
      </w:pPr>
      <w:r>
        <w:rPr>
          <w:rFonts w:hint="eastAsia" w:ascii="宋体" w:hAnsi="宋体" w:cs="宋体"/>
          <w:color w:val="auto"/>
          <w:sz w:val="24"/>
          <w:highlight w:val="none"/>
          <w:lang w:bidi="ar"/>
        </w:rPr>
        <w:t>跟踪全国优质游戏出海企业发展动态，对接游戏出海上下游企业不少于20家、重点项目不少于3个，梳理形成《游戏产业招商目标清单》，协助对接不少于5家重点游戏出海企业，推动与企业开展实质交流和服务。</w:t>
      </w:r>
    </w:p>
    <w:p>
      <w:pPr>
        <w:spacing w:line="520" w:lineRule="exact"/>
        <w:ind w:firstLine="482" w:firstLineChars="200"/>
        <w:rPr>
          <w:rFonts w:hint="eastAsia" w:ascii="宋体" w:hAnsi="宋体" w:cs="宋体"/>
          <w:b/>
          <w:bCs/>
          <w:color w:val="auto"/>
          <w:sz w:val="24"/>
          <w:highlight w:val="none"/>
          <w:lang w:bidi="ar"/>
        </w:rPr>
      </w:pPr>
      <w:r>
        <w:rPr>
          <w:rFonts w:hint="eastAsia" w:ascii="宋体" w:hAnsi="宋体" w:cs="宋体"/>
          <w:b/>
          <w:bCs/>
          <w:color w:val="auto"/>
          <w:sz w:val="24"/>
          <w:highlight w:val="none"/>
          <w:lang w:bidi="ar"/>
        </w:rPr>
        <w:t>（六）行业动态跟踪研究</w:t>
      </w:r>
    </w:p>
    <w:p>
      <w:pPr>
        <w:pStyle w:val="28"/>
        <w:spacing w:line="520" w:lineRule="exact"/>
        <w:ind w:firstLine="480"/>
        <w:outlineLvl w:val="0"/>
        <w:rPr>
          <w:rFonts w:hint="eastAsia" w:ascii="宋体" w:hAnsi="宋体" w:cs="宋体"/>
          <w:color w:val="auto"/>
          <w:sz w:val="24"/>
          <w:highlight w:val="none"/>
          <w:lang w:bidi="ar"/>
        </w:rPr>
      </w:pPr>
      <w:r>
        <w:rPr>
          <w:rFonts w:hint="eastAsia" w:ascii="宋体" w:hAnsi="宋体" w:cs="宋体"/>
          <w:color w:val="auto"/>
          <w:sz w:val="24"/>
          <w:highlight w:val="none"/>
          <w:lang w:bidi="ar"/>
        </w:rPr>
        <w:t>动态监测国内外游戏产业政策、游戏版号获取情况、游戏企业动向与市场变化，全年形成6期简报，针对游戏出海服务形成1份总结，为产业决策提供参考。</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三、工作进度及阶段成果要求</w:t>
      </w:r>
    </w:p>
    <w:tbl>
      <w:tblPr>
        <w:tblStyle w:val="21"/>
        <w:tblW w:w="8133" w:type="dxa"/>
        <w:jc w:val="center"/>
        <w:tblLayout w:type="fixed"/>
        <w:tblCellMar>
          <w:top w:w="0" w:type="dxa"/>
          <w:left w:w="0" w:type="dxa"/>
          <w:bottom w:w="0" w:type="dxa"/>
          <w:right w:w="0" w:type="dxa"/>
        </w:tblCellMar>
      </w:tblPr>
      <w:tblGrid>
        <w:gridCol w:w="705"/>
        <w:gridCol w:w="1382"/>
        <w:gridCol w:w="6046"/>
      </w:tblGrid>
      <w:tr>
        <w:tblPrEx>
          <w:tblCellMar>
            <w:top w:w="0" w:type="dxa"/>
            <w:left w:w="0" w:type="dxa"/>
            <w:bottom w:w="0" w:type="dxa"/>
            <w:right w:w="0" w:type="dxa"/>
          </w:tblCellMar>
        </w:tblPrEx>
        <w:trPr>
          <w:cantSplit/>
          <w:trHeight w:val="608"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时间</w:t>
            </w:r>
          </w:p>
        </w:tc>
        <w:tc>
          <w:tcPr>
            <w:tcW w:w="60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主要成果（以下均为累计数）</w:t>
            </w:r>
          </w:p>
        </w:tc>
      </w:tr>
      <w:tr>
        <w:tblPrEx>
          <w:tblCellMar>
            <w:top w:w="0" w:type="dxa"/>
            <w:left w:w="0" w:type="dxa"/>
            <w:bottom w:w="0" w:type="dxa"/>
            <w:right w:w="0" w:type="dxa"/>
          </w:tblCellMar>
        </w:tblPrEx>
        <w:trPr>
          <w:cantSplit/>
          <w:trHeight w:val="84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自合同签订后1个月内</w:t>
            </w:r>
          </w:p>
        </w:tc>
        <w:tc>
          <w:tcPr>
            <w:tcW w:w="60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形成广东（深圳）游戏出海服务中心运营年度工作方案。</w:t>
            </w:r>
          </w:p>
        </w:tc>
      </w:tr>
      <w:tr>
        <w:tblPrEx>
          <w:tblCellMar>
            <w:top w:w="0" w:type="dxa"/>
            <w:left w:w="0" w:type="dxa"/>
            <w:bottom w:w="0" w:type="dxa"/>
            <w:right w:w="0" w:type="dxa"/>
          </w:tblCellMar>
        </w:tblPrEx>
        <w:trPr>
          <w:cantSplit/>
          <w:trHeight w:val="843"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自合同签订后</w:t>
            </w:r>
            <w:r>
              <w:rPr>
                <w:rFonts w:ascii="宋体" w:hAnsi="宋体" w:cs="宋体"/>
                <w:color w:val="auto"/>
                <w:sz w:val="24"/>
                <w:highlight w:val="none"/>
              </w:rPr>
              <w:t>6</w:t>
            </w:r>
            <w:r>
              <w:rPr>
                <w:rFonts w:hint="eastAsia" w:ascii="宋体" w:hAnsi="宋体" w:cs="宋体"/>
                <w:color w:val="auto"/>
                <w:sz w:val="24"/>
                <w:highlight w:val="none"/>
              </w:rPr>
              <w:t>个月内</w:t>
            </w:r>
          </w:p>
        </w:tc>
        <w:tc>
          <w:tcPr>
            <w:tcW w:w="60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1.组织游戏企业调研不少于5次，服务游戏企业不少于50次，出海服务占比不低于50%。</w:t>
            </w:r>
          </w:p>
          <w:p>
            <w:pPr>
              <w:rPr>
                <w:rFonts w:hint="eastAsia" w:ascii="宋体" w:hAnsi="宋体" w:cs="宋体"/>
                <w:color w:val="auto"/>
                <w:sz w:val="24"/>
                <w:highlight w:val="none"/>
              </w:rPr>
            </w:pPr>
            <w:r>
              <w:rPr>
                <w:rFonts w:hint="eastAsia" w:ascii="宋体" w:hAnsi="宋体" w:cs="宋体"/>
                <w:color w:val="auto"/>
                <w:sz w:val="24"/>
                <w:highlight w:val="none"/>
              </w:rPr>
              <w:t>2.举办专项对接会、主题沙龙、场景路演、政策宣讲会等行业活动不少于3场，游戏出海主题的活动占比不低于1场。</w:t>
            </w:r>
          </w:p>
          <w:p>
            <w:pPr>
              <w:rPr>
                <w:rFonts w:hint="eastAsia" w:ascii="宋体" w:hAnsi="宋体" w:cs="宋体"/>
                <w:color w:val="auto"/>
                <w:sz w:val="24"/>
                <w:highlight w:val="none"/>
              </w:rPr>
            </w:pPr>
            <w:r>
              <w:rPr>
                <w:rFonts w:hint="eastAsia" w:ascii="宋体" w:hAnsi="宋体" w:cs="宋体"/>
                <w:color w:val="auto"/>
                <w:sz w:val="24"/>
                <w:highlight w:val="none"/>
              </w:rPr>
              <w:t>3.对接游戏出海上下游企业不少于10家、重点项目不少于1个，梳理形成《游戏产业招商目标清单》，协助对接不少于2家重点游戏出海企业。</w:t>
            </w:r>
          </w:p>
          <w:p>
            <w:pPr>
              <w:rPr>
                <w:rFonts w:hint="eastAsia" w:ascii="宋体" w:hAnsi="宋体" w:cs="宋体"/>
                <w:color w:val="auto"/>
                <w:sz w:val="24"/>
                <w:highlight w:val="none"/>
              </w:rPr>
            </w:pPr>
            <w:r>
              <w:rPr>
                <w:rFonts w:hint="eastAsia" w:ascii="宋体" w:hAnsi="宋体" w:cs="宋体"/>
                <w:color w:val="auto"/>
                <w:sz w:val="24"/>
                <w:highlight w:val="none"/>
              </w:rPr>
              <w:t>4.针对国内外游戏产业政策、游戏版号获取情况、游戏企业动向与市场变化形成3期简报。</w:t>
            </w:r>
          </w:p>
        </w:tc>
      </w:tr>
      <w:tr>
        <w:tblPrEx>
          <w:tblCellMar>
            <w:top w:w="0" w:type="dxa"/>
            <w:left w:w="0" w:type="dxa"/>
            <w:bottom w:w="0" w:type="dxa"/>
            <w:right w:w="0" w:type="dxa"/>
          </w:tblCellMar>
        </w:tblPrEx>
        <w:trPr>
          <w:cantSplit/>
          <w:trHeight w:val="4939"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138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自合同签订后1年内</w:t>
            </w:r>
          </w:p>
        </w:tc>
        <w:tc>
          <w:tcPr>
            <w:tcW w:w="60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1.形成游戏出海全链条服务清单。</w:t>
            </w:r>
          </w:p>
          <w:p>
            <w:pPr>
              <w:rPr>
                <w:rFonts w:hint="eastAsia" w:ascii="宋体" w:hAnsi="宋体" w:cs="宋体"/>
                <w:color w:val="auto"/>
                <w:sz w:val="24"/>
                <w:highlight w:val="none"/>
              </w:rPr>
            </w:pPr>
            <w:r>
              <w:rPr>
                <w:rFonts w:hint="eastAsia" w:ascii="宋体" w:hAnsi="宋体" w:cs="宋体"/>
                <w:color w:val="auto"/>
                <w:sz w:val="24"/>
                <w:highlight w:val="none"/>
              </w:rPr>
              <w:t>2.组织游戏企业调研不少于10次，服务游戏企业不少于100次，出海服务占比不低于50%。</w:t>
            </w:r>
          </w:p>
          <w:p>
            <w:pPr>
              <w:rPr>
                <w:rFonts w:hint="eastAsia" w:ascii="宋体" w:hAnsi="宋体" w:cs="宋体"/>
                <w:color w:val="auto"/>
                <w:sz w:val="24"/>
                <w:highlight w:val="none"/>
              </w:rPr>
            </w:pPr>
            <w:r>
              <w:rPr>
                <w:rFonts w:hint="eastAsia" w:ascii="宋体" w:hAnsi="宋体" w:cs="宋体"/>
                <w:color w:val="auto"/>
                <w:sz w:val="24"/>
                <w:highlight w:val="none"/>
              </w:rPr>
              <w:t>3.围绕游戏发行资质、内容合规、知识产权保护、数据隐私保护等核心维度形成游戏出海合规指引。</w:t>
            </w:r>
          </w:p>
          <w:p>
            <w:pPr>
              <w:rPr>
                <w:rFonts w:hint="eastAsia" w:ascii="宋体" w:hAnsi="宋体" w:cs="宋体"/>
                <w:color w:val="auto"/>
                <w:sz w:val="24"/>
                <w:highlight w:val="none"/>
              </w:rPr>
            </w:pPr>
            <w:r>
              <w:rPr>
                <w:rFonts w:hint="eastAsia" w:ascii="宋体" w:hAnsi="宋体" w:cs="宋体"/>
                <w:color w:val="auto"/>
                <w:sz w:val="24"/>
                <w:highlight w:val="none"/>
              </w:rPr>
              <w:t>4.举办专项产业对接会、主题沙龙、场景路演、政策宣讲会等行业活动不少于6场，游戏出海主题的活动占比不低于3场。</w:t>
            </w:r>
          </w:p>
          <w:p>
            <w:pPr>
              <w:rPr>
                <w:rFonts w:hint="eastAsia" w:ascii="宋体" w:hAnsi="宋体" w:cs="宋体"/>
                <w:color w:val="auto"/>
                <w:sz w:val="24"/>
                <w:highlight w:val="none"/>
              </w:rPr>
            </w:pPr>
            <w:r>
              <w:rPr>
                <w:rFonts w:hint="eastAsia" w:ascii="宋体" w:hAnsi="宋体" w:cs="宋体"/>
                <w:color w:val="auto"/>
                <w:sz w:val="24"/>
                <w:highlight w:val="none"/>
              </w:rPr>
              <w:t>5.对接游戏出海上下游企业不少于20家、重点项目不少于3个，梳理形成《游戏产业招商目标清单》，协助对接不少于5家重点游戏出海企业。</w:t>
            </w:r>
          </w:p>
          <w:p>
            <w:pPr>
              <w:rPr>
                <w:rFonts w:hint="eastAsia" w:ascii="宋体" w:hAnsi="宋体" w:cs="宋体"/>
                <w:color w:val="auto"/>
                <w:sz w:val="24"/>
                <w:highlight w:val="none"/>
              </w:rPr>
            </w:pPr>
            <w:r>
              <w:rPr>
                <w:rFonts w:hint="eastAsia" w:ascii="宋体" w:hAnsi="宋体" w:cs="宋体"/>
                <w:color w:val="auto"/>
                <w:sz w:val="24"/>
                <w:highlight w:val="none"/>
              </w:rPr>
              <w:t>6.针对国内外游戏产业政策、游戏版号获取情况、游戏企业动向与市场变化形成6期简报。</w:t>
            </w:r>
          </w:p>
          <w:p>
            <w:pPr>
              <w:rPr>
                <w:rFonts w:hint="eastAsia" w:ascii="宋体" w:hAnsi="宋体" w:cs="宋体"/>
                <w:color w:val="auto"/>
                <w:sz w:val="24"/>
                <w:highlight w:val="none"/>
              </w:rPr>
            </w:pPr>
            <w:r>
              <w:rPr>
                <w:rFonts w:hint="eastAsia" w:ascii="宋体" w:hAnsi="宋体" w:cs="宋体"/>
                <w:color w:val="auto"/>
                <w:sz w:val="24"/>
                <w:highlight w:val="none"/>
              </w:rPr>
              <w:t>7.针对广东（深圳）游戏出海服务中心运营服务形成1份总结。</w:t>
            </w:r>
          </w:p>
        </w:tc>
      </w:tr>
    </w:tbl>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四、项目验收</w:t>
      </w:r>
    </w:p>
    <w:p>
      <w:pPr>
        <w:widowControl/>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最终成果验收合格的标志为完成合同约定的所有内容并通过甲方验收，要求如下：</w:t>
      </w:r>
    </w:p>
    <w:tbl>
      <w:tblPr>
        <w:tblStyle w:val="21"/>
        <w:tblW w:w="8133" w:type="dxa"/>
        <w:jc w:val="center"/>
        <w:tblLayout w:type="fixed"/>
        <w:tblCellMar>
          <w:top w:w="0" w:type="dxa"/>
          <w:left w:w="0" w:type="dxa"/>
          <w:bottom w:w="0" w:type="dxa"/>
          <w:right w:w="0" w:type="dxa"/>
        </w:tblCellMar>
      </w:tblPr>
      <w:tblGrid>
        <w:gridCol w:w="1250"/>
        <w:gridCol w:w="5535"/>
        <w:gridCol w:w="1348"/>
      </w:tblGrid>
      <w:tr>
        <w:tblPrEx>
          <w:tblCellMar>
            <w:top w:w="0" w:type="dxa"/>
            <w:left w:w="0" w:type="dxa"/>
            <w:bottom w:w="0" w:type="dxa"/>
            <w:right w:w="0" w:type="dxa"/>
          </w:tblCellMar>
        </w:tblPrEx>
        <w:trPr>
          <w:cantSplit/>
          <w:trHeight w:val="608" w:hRule="atLeast"/>
          <w:jc w:val="center"/>
        </w:trPr>
        <w:tc>
          <w:tcPr>
            <w:tcW w:w="125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b/>
                <w:bCs/>
                <w:color w:val="auto"/>
                <w:sz w:val="24"/>
                <w:highlight w:val="none"/>
              </w:rPr>
              <w:t>服务内容</w:t>
            </w: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b/>
                <w:bCs/>
                <w:color w:val="auto"/>
                <w:sz w:val="24"/>
                <w:highlight w:val="none"/>
              </w:rPr>
              <w:t>明细</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b/>
                <w:bCs/>
                <w:color w:val="auto"/>
                <w:sz w:val="24"/>
                <w:highlight w:val="none"/>
              </w:rPr>
              <w:t>数量</w:t>
            </w:r>
          </w:p>
        </w:tc>
      </w:tr>
      <w:tr>
        <w:tblPrEx>
          <w:tblCellMar>
            <w:top w:w="0" w:type="dxa"/>
            <w:left w:w="0" w:type="dxa"/>
            <w:bottom w:w="0" w:type="dxa"/>
            <w:right w:w="0" w:type="dxa"/>
          </w:tblCellMar>
        </w:tblPrEx>
        <w:trPr>
          <w:cantSplit/>
          <w:trHeight w:val="90" w:hRule="atLeast"/>
          <w:jc w:val="center"/>
        </w:trPr>
        <w:tc>
          <w:tcPr>
            <w:tcW w:w="1250"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形成材料</w:t>
            </w: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形成广东（深圳）游戏出海服务中心运营年度工作方案</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1份</w:t>
            </w:r>
          </w:p>
        </w:tc>
      </w:tr>
      <w:tr>
        <w:tblPrEx>
          <w:tblCellMar>
            <w:top w:w="0" w:type="dxa"/>
            <w:left w:w="0" w:type="dxa"/>
            <w:bottom w:w="0" w:type="dxa"/>
            <w:right w:w="0" w:type="dxa"/>
          </w:tblCellMar>
        </w:tblPrEx>
        <w:trPr>
          <w:cantSplit/>
          <w:trHeight w:val="90"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形成游戏出海全链条服务清单</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1份</w:t>
            </w:r>
          </w:p>
        </w:tc>
      </w:tr>
      <w:tr>
        <w:tblPrEx>
          <w:tblCellMar>
            <w:top w:w="0" w:type="dxa"/>
            <w:left w:w="0" w:type="dxa"/>
            <w:bottom w:w="0" w:type="dxa"/>
            <w:right w:w="0" w:type="dxa"/>
          </w:tblCellMar>
        </w:tblPrEx>
        <w:trPr>
          <w:cantSplit/>
          <w:trHeight w:val="574"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针对国内外游戏产业政策、游戏版号获取情况、游戏企业动向与市场变化形成简报</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6期</w:t>
            </w:r>
          </w:p>
        </w:tc>
      </w:tr>
      <w:tr>
        <w:tblPrEx>
          <w:tblCellMar>
            <w:top w:w="0" w:type="dxa"/>
            <w:left w:w="0" w:type="dxa"/>
            <w:bottom w:w="0" w:type="dxa"/>
            <w:right w:w="0" w:type="dxa"/>
          </w:tblCellMar>
        </w:tblPrEx>
        <w:trPr>
          <w:cantSplit/>
          <w:trHeight w:val="574"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针对广东（深圳）游戏出海服务中心运营服务形成总结</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1份</w:t>
            </w:r>
          </w:p>
        </w:tc>
      </w:tr>
      <w:tr>
        <w:tblPrEx>
          <w:tblCellMar>
            <w:top w:w="0" w:type="dxa"/>
            <w:left w:w="0" w:type="dxa"/>
            <w:bottom w:w="0" w:type="dxa"/>
            <w:right w:w="0" w:type="dxa"/>
          </w:tblCellMar>
        </w:tblPrEx>
        <w:trPr>
          <w:cantSplit/>
          <w:trHeight w:val="494" w:hRule="atLeast"/>
          <w:jc w:val="center"/>
        </w:trPr>
        <w:tc>
          <w:tcPr>
            <w:tcW w:w="1250"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调研、服务企业</w:t>
            </w: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组织游戏企业调研</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≥10次</w:t>
            </w:r>
          </w:p>
        </w:tc>
      </w:tr>
      <w:tr>
        <w:tblPrEx>
          <w:tblCellMar>
            <w:top w:w="0" w:type="dxa"/>
            <w:left w:w="0" w:type="dxa"/>
            <w:bottom w:w="0" w:type="dxa"/>
            <w:right w:w="0" w:type="dxa"/>
          </w:tblCellMar>
        </w:tblPrEx>
        <w:trPr>
          <w:cantSplit/>
          <w:trHeight w:val="414" w:hRule="atLeast"/>
          <w:jc w:val="center"/>
        </w:trPr>
        <w:tc>
          <w:tcPr>
            <w:tcW w:w="125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服务游戏企业</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≥100次</w:t>
            </w:r>
          </w:p>
        </w:tc>
      </w:tr>
      <w:tr>
        <w:tblPrEx>
          <w:tblCellMar>
            <w:top w:w="0" w:type="dxa"/>
            <w:left w:w="0" w:type="dxa"/>
            <w:bottom w:w="0" w:type="dxa"/>
            <w:right w:w="0" w:type="dxa"/>
          </w:tblCellMar>
        </w:tblPrEx>
        <w:trPr>
          <w:cantSplit/>
          <w:trHeight w:val="574" w:hRule="atLeast"/>
          <w:jc w:val="center"/>
        </w:trPr>
        <w:tc>
          <w:tcPr>
            <w:tcW w:w="125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举办活动</w:t>
            </w:r>
          </w:p>
        </w:tc>
        <w:tc>
          <w:tcPr>
            <w:tcW w:w="5535"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举办专项产业对接会、主题沙龙、场景路演、政策宣讲会等行业活动</w:t>
            </w:r>
          </w:p>
        </w:tc>
        <w:tc>
          <w:tcPr>
            <w:tcW w:w="134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≥6场</w:t>
            </w:r>
          </w:p>
        </w:tc>
      </w:tr>
    </w:tbl>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四、合同金额</w:t>
      </w:r>
    </w:p>
    <w:p>
      <w:pPr>
        <w:widowControl/>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本合同总金额（含税）为人民币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p>
      <w:pPr>
        <w:widowControl/>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本合同约定的价格为含增值税价格，不含税价不随增值税率变化而变化，如履行期间国家政策公布新适用增值税率，则增值税率、增值税额也作相应调整，即依据纳税义务期间适用税率变动相应调整增值税额。</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五、项目服务费用及付款方式</w:t>
      </w:r>
    </w:p>
    <w:p>
      <w:pPr>
        <w:spacing w:line="560" w:lineRule="exact"/>
        <w:ind w:firstLine="640"/>
        <w:rPr>
          <w:rFonts w:hint="eastAsia" w:ascii="宋体" w:hAnsi="宋体" w:cs="宋体"/>
          <w:color w:val="auto"/>
          <w:sz w:val="24"/>
          <w:highlight w:val="none"/>
        </w:rPr>
      </w:pPr>
      <w:r>
        <w:rPr>
          <w:rFonts w:hint="eastAsia" w:ascii="宋体" w:hAnsi="宋体" w:cs="宋体"/>
          <w:color w:val="auto"/>
          <w:sz w:val="24"/>
          <w:highlight w:val="none"/>
        </w:rPr>
        <w:t>（一）本合同项下服务费总金额共计人民币（大写）：   元整(￥00000.00)。本合同约定的价格为含增值税价格，不含税价不随增值税率变化而变化，如履行期间国家政策公布新适用增值税率，则增值税率、增值税额也作相应调整，即依据纳税义务期间适用税率变动相应调整增值税额。</w:t>
      </w:r>
    </w:p>
    <w:p>
      <w:pPr>
        <w:spacing w:line="560" w:lineRule="exact"/>
        <w:ind w:firstLine="640"/>
        <w:rPr>
          <w:rFonts w:hint="eastAsia" w:ascii="宋体" w:hAnsi="宋体" w:cs="宋体"/>
          <w:color w:val="auto"/>
          <w:sz w:val="24"/>
          <w:highlight w:val="none"/>
        </w:rPr>
      </w:pPr>
      <w:r>
        <w:rPr>
          <w:rFonts w:hint="eastAsia" w:ascii="宋体" w:hAnsi="宋体" w:cs="宋体"/>
          <w:color w:val="auto"/>
          <w:sz w:val="24"/>
          <w:highlight w:val="none"/>
        </w:rPr>
        <w:t>（二）项目费用分两期支付。</w:t>
      </w:r>
    </w:p>
    <w:p>
      <w:pPr>
        <w:spacing w:line="560" w:lineRule="exact"/>
        <w:ind w:firstLine="640"/>
        <w:rPr>
          <w:rFonts w:hint="eastAsia" w:ascii="宋体" w:hAnsi="宋体" w:cs="宋体"/>
          <w:color w:val="auto"/>
          <w:sz w:val="24"/>
          <w:highlight w:val="none"/>
        </w:rPr>
      </w:pPr>
      <w:r>
        <w:rPr>
          <w:rFonts w:hint="eastAsia" w:ascii="宋体" w:hAnsi="宋体" w:cs="宋体"/>
          <w:color w:val="auto"/>
          <w:sz w:val="24"/>
          <w:highlight w:val="none"/>
        </w:rPr>
        <w:t>1.首期款：自合同签订后，根据乙方提出的付款申请，支付合同总价款的50%，为人民币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p>
      <w:pPr>
        <w:spacing w:line="560" w:lineRule="exact"/>
        <w:ind w:firstLine="640"/>
        <w:rPr>
          <w:rFonts w:hint="eastAsia" w:ascii="宋体" w:hAnsi="宋体" w:cs="宋体"/>
          <w:color w:val="auto"/>
          <w:sz w:val="24"/>
          <w:highlight w:val="none"/>
        </w:rPr>
      </w:pPr>
      <w:r>
        <w:rPr>
          <w:rFonts w:hint="eastAsia" w:ascii="宋体" w:hAnsi="宋体" w:cs="宋体"/>
          <w:color w:val="auto"/>
          <w:sz w:val="24"/>
          <w:highlight w:val="none"/>
        </w:rPr>
        <w:t>2.尾款：乙方在完成项目全部服务内容且按要求验收通过后，乙方向甲方提出付款申请，甲方向乙方支付总价款的50%，为人民币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（三）本合同项下各期款项均在甲方收到乙方开具的载明相应金额的合格发票后10个工作日内支付，如甲方未及时收到乙方开具的合格发票，甲方付款时间相应顺延。</w:t>
      </w:r>
    </w:p>
    <w:p>
      <w:pPr>
        <w:pStyle w:val="39"/>
        <w:spacing w:line="520" w:lineRule="exact"/>
        <w:ind w:firstLine="480"/>
        <w:rPr>
          <w:rFonts w:hint="eastAsia" w:ascii="宋体" w:hAnsi="宋体" w:cs="宋体"/>
          <w:color w:val="auto"/>
          <w:sz w:val="24"/>
          <w:highlight w:val="none"/>
        </w:rPr>
      </w:pPr>
      <w:r>
        <w:rPr>
          <w:rFonts w:hint="eastAsia" w:ascii="宋体" w:hAnsi="宋体" w:cs="宋体"/>
          <w:color w:val="auto"/>
          <w:sz w:val="24"/>
          <w:highlight w:val="none"/>
        </w:rPr>
        <w:t>（三）因甲方内部审批进度拖延导致付款迟延的，乙方对此予以谅解并自愿放弃相应的索赔权利。</w:t>
      </w:r>
    </w:p>
    <w:p>
      <w:pPr>
        <w:pStyle w:val="39"/>
        <w:spacing w:line="520" w:lineRule="exact"/>
        <w:ind w:firstLine="480"/>
        <w:rPr>
          <w:rFonts w:hint="eastAsia" w:ascii="宋体" w:hAnsi="宋体" w:cs="宋体"/>
          <w:color w:val="auto"/>
          <w:sz w:val="24"/>
          <w:highlight w:val="none"/>
        </w:rPr>
      </w:pPr>
      <w:r>
        <w:rPr>
          <w:rFonts w:hint="eastAsia" w:ascii="宋体" w:hAnsi="宋体" w:cs="宋体"/>
          <w:color w:val="auto"/>
          <w:sz w:val="24"/>
          <w:highlight w:val="none"/>
        </w:rPr>
        <w:t>（四）支付合同费用时，甲方通过银行转账、支票、电汇和银行汇票等银行结算方式支付，款项直接汇入乙方账户：</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开户银行：</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户名：</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账号：</w:t>
      </w:r>
    </w:p>
    <w:p>
      <w:pPr>
        <w:pStyle w:val="39"/>
        <w:spacing w:line="520" w:lineRule="exact"/>
        <w:ind w:firstLine="480"/>
        <w:rPr>
          <w:rFonts w:hint="eastAsia" w:ascii="宋体" w:hAnsi="宋体" w:cs="宋体"/>
          <w:color w:val="auto"/>
          <w:sz w:val="24"/>
          <w:highlight w:val="none"/>
        </w:rPr>
      </w:pPr>
      <w:r>
        <w:rPr>
          <w:rFonts w:hint="eastAsia" w:ascii="宋体" w:hAnsi="宋体" w:cs="宋体"/>
          <w:color w:val="auto"/>
          <w:sz w:val="24"/>
          <w:highlight w:val="none"/>
        </w:rPr>
        <w:t>乙方应确保所提供的银行账号信息准确无误。如账号发生错误、变更等情况，应当提前10日以书面形式通知甲方，否则，由此而引起的一切责任均由乙方自行承担。</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六、双方权利与义务</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（一）甲方权利与义务</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1.根据实际需求分配工作，分阶段听取乙方工作进展情况，确保项目顺利进行。</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2.甲方有权对乙方提交的项目执行方案等相关文件进行审核并提出修改意见。</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3.如项目时间出现变更时，甲方应及时通知乙方，并给予乙方合理的准备时间。</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4.甲方应按合同约定及时、足额付款。</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5.甲方对乙方在委托权限范围内完成委托事项负有指导、监督责任。甲方有权对乙方提供的项目工作成果进行验收。</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6.如甲方确认乙方工作人员未按照本协议要求履行职责，甲方有权要求乙方限期更换人员，如乙方不及时更换的，甲方有权终止协议并要求乙方承担相应赔偿责任。</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7.甲方指定项目联系人：</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姓名：</w:t>
      </w:r>
    </w:p>
    <w:p>
      <w:pPr>
        <w:pStyle w:val="28"/>
        <w:spacing w:line="520" w:lineRule="exact"/>
        <w:ind w:firstLine="480"/>
        <w:rPr>
          <w:rFonts w:hint="eastAsia" w:ascii="宋体" w:hAnsi="宋体" w:cs="宋体"/>
          <w:color w:val="auto"/>
          <w:sz w:val="24"/>
          <w:szCs w:val="24"/>
          <w:highlight w:val="none"/>
        </w:rPr>
      </w:pPr>
      <w:r>
        <w:rPr>
          <w:rFonts w:hint="eastAsia" w:ascii="宋体" w:hAnsi="宋体" w:cs="宋体"/>
          <w:color w:val="auto"/>
          <w:kern w:val="2"/>
          <w:sz w:val="24"/>
          <w:szCs w:val="24"/>
          <w:highlight w:val="none"/>
        </w:rPr>
        <w:t>联系方式：</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（二）乙方权利与义务</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乙方应接受甲方对工作进展的询问、监督和指导，严格按本合同约定的内容、标准和期限完成项目服务工作，并向甲方提交项目最终成果。项目工作完成后，乙方应按照甲方要求将完成本项目的工作总结和相关台账资料等成果移交给甲方。</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2.乙方有维护甲方声誉的义务，乙方不能以甲方名义从事与本项目无关的任何事务，否则甲方有权追究其相关责任。</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3.针对甲方就乙方提交的执行方案等相关文件提出的修改意见，乙方应当在甲方指定的修改时间内完成修改。</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4.乙方在协议约定范围内开展工作，根据本协议规定的相关内容组织人力、物力、积极配合甲方，确保项目的顺利开展。</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为保证项目成果的质量，乙方在合同履行期间，应按照服务内容要求安排专门的项目服务团队，并保障项目正常交付及验收。项目负责人负责对项目实施全过程进行组织和指导，并承担项目的实质性工作。负责人及相关工作人员名单在甲方确认后如需更换，乙方应事先征得甲方的书面同意，且接替的工作人员的职位、资历、资质应与原定工作人员相当。</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6.乙方应配合甲方开展验收工作，对于验收过程中发现的问题，乙方应在发现问题之日起3天内进行改正，以符合甲方的需要。</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7.乙方对其工作人员在协议履行期间的行为负责，期间发生的一切安全事故责任及因此发生的人身损害赔偿和其他费用由乙方自行承担。</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8.乙方指定项目联系人： </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姓名：</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联系方式：</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七、项目变更</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（一）本合同履行过程中的服务范围变更、需求变更、进度调整，以甲乙双方达成一致的书面文件为准，如增加新的服务项目，以双方书面确认的报价为准。</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（二）乙方遇到不能按期完成工作的情况，应及时以书面形式将不能按期完成工作的理由、延误时间通知甲方。甲方在收到乙方通知后，根据情况决定是否延长完成时间。如同意延长，则乙方责任期也相应延长。</w:t>
      </w:r>
    </w:p>
    <w:p>
      <w:pPr>
        <w:pStyle w:val="53"/>
        <w:spacing w:line="520" w:lineRule="exact"/>
        <w:ind w:firstLine="480"/>
        <w:rPr>
          <w:rFonts w:eastAsia="宋体"/>
          <w:color w:val="auto"/>
          <w:sz w:val="24"/>
          <w:szCs w:val="24"/>
          <w:highlight w:val="none"/>
        </w:rPr>
      </w:pPr>
      <w:r>
        <w:rPr>
          <w:rFonts w:eastAsia="宋体"/>
          <w:color w:val="auto"/>
          <w:sz w:val="24"/>
          <w:szCs w:val="24"/>
          <w:highlight w:val="none"/>
        </w:rPr>
        <w:t>（三）因非乙方责任造成项目进度推迟或延误，无法按照本合同约定的日期完成相应工作，双方经过协商可以进一步约定完成的日期，乙方的责任期也随之顺延。但乙方在本项目前期准备时</w:t>
      </w:r>
      <w:r>
        <w:rPr>
          <w:rFonts w:eastAsia="宋体"/>
          <w:color w:val="auto"/>
          <w:kern w:val="2"/>
          <w:sz w:val="24"/>
          <w:szCs w:val="24"/>
          <w:highlight w:val="none"/>
        </w:rPr>
        <w:t>已发生的费用，因项目延期导致损失或需重复发生（包括但不限于人员成本等），且此部分费用可能导致乙方在本项目上出现亏损时，乙</w:t>
      </w:r>
      <w:r>
        <w:rPr>
          <w:rFonts w:eastAsia="宋体"/>
          <w:color w:val="auto"/>
          <w:sz w:val="24"/>
          <w:szCs w:val="24"/>
          <w:highlight w:val="none"/>
        </w:rPr>
        <w:t>方可提供已发生费用明细及已发生费用依据、凭证，以书面形式向甲方提出补偿请求，双方另行签订补充协议予以确认。</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八、成果权属与知识产权</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（一）本项目全部阶段性成果和最终成果的所有权、知识产权以及与之相关的所有权利归甲方所有；本合同签署前双方已经拥有的知识产权权利，仍归各自所有。</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（二）双方确定，甲方有权对乙方按照本合同约定提供的成果进行后续改进。由此产生的具有实质性或创造性技术进步特征的新的技术成果及其权利全部由甲方享有。</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乙方所提交的全部阶段性成果和最终成果文件及任何数据、资料、软件等不得侵犯任何第三方的知识产权或其他权利，由于该等文件、数据、资料、软件侵权所导致的任何索赔或责任均由乙方承担。同时，甲方有权要求乙方修改成果至不侵权或解除合同，并保留要求乙方赔偿全部损失的权利，包括但不限于上述索赔或责任所产生的诉讼费用、合理的律师费用、鉴定评估费用、调查费用、和解金额或生效法律文书中规定的赔偿金额。</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未经甲方书面在先同意，乙方不得将本项目的阶段性成果和/或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（五）乙方完成本项目的研究人员享有在有关技术成果文件上署名的权利和与甲方共同获得有关荣誉证书、奖励的权利。</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九、保密条款</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乙方应以保密方式处理在编制本项目成果文件过程中自甲方、甲方工作人员或甲方关联机构获得的相关信息、资料、图纸、数据等，或由甲方在履行本合同过程中明确指明为秘密的任何信息，以及乙方因本项目工作内容所直接或间接取得、处理或接触的任何其他资料。未经甲方书面在先同意，乙方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（三）乙方实施项目的程序应符合国家安全、保密的有关规定和标准。</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（四）上述保密义务不适用以下情况：</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1.获取的信息已被合法公开；</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2.获得信息拥有方书面许可并在该许可范围内披露；</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3.国家法律、法规规定的情形。</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如乙方违反上述保密条款，甲方有权解除本合同，乙方应在合同解除通知发出之日起10日内向甲方支付本合同服务费总金额20%的违约金，如果违约金无法弥补甲方损失，甲方保留要求乙方赔偿全部损失的权利。</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（六）无论本合同或本合同其他条款是否有效，本保密条款始终约束双方。国家秘密的保密期限由国家有关部门确定，工作秘密的保密期限长期有效。</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十、合同提前终止</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（一）双方协商同意提前终止本合同的，按双方协商约定的方式进行清算执行。</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（二）如果一方发生以下任一情形，另一方有权解除协议。当事方有义务在事由发生后15个工作日内以书面方式通知对方：</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1.破产、解散、被依法关闭、撤销或已进入清算阶段；</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2.出现了协议约定的或法定解除事由。</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3.有下列情形之一的，本协议自甲方向乙方发出书面通知之日起终止：</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（1）甲方的职能发生转变，不再具有委托职能。</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（2）本协议签订时适用的法律法规或政策发生变化，且对本协议的继续履行造成重大影响。</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发生以上情形，甲方已向乙方支付的款项不退还，同时乙方应向甲方提交在协议终止日前完成的所有项目文件和相关资料。</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4.如发生不可抗力，如行政命令、政策法规、罢工、禁运、战争、自然灾害（如洪水或地震）或其他超出协议双方控制的事件，致使一方无法履行协议，协议解除。</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协议所称不可抗力是指自然灾害、战争、地震突发事件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（2）发生不可抗力，甲乙双方承担各自的损失。由于其中一方延迟履行协议义务后发生不可抗力的，不能免除责任。</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（3）不可抗力事件导致一方无法履行协议义务或继续履行已无意义，由双方协商进行本协议的清算。</w:t>
      </w:r>
    </w:p>
    <w:p>
      <w:pPr>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除因乙方责任造成的项目取消外，如果本合同提前终止，乙方因本项目已发生的费用（包括但不限于人员成本等）乙方以书面形式需向甲方提供已发生费用明细及已发生费用依据、凭证，经甲方书面确认后，可从项目整体费用中扣除，不予返还。</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十一、违约责任</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（一）如乙方未按照本合同约定的时间完成本项目各阶段工作，且未经甲方书面同意延长服务成果完成期限的，每迟延一日，甲方有权要求乙方支付本合同服务费总金额的1‰的逾期违约金。</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（二）本合同履行期间，发生下述情形时，甲方有权解除本合同，乙方除应退还甲方已支付的全部款项外</w:t>
      </w:r>
      <w:r>
        <w:rPr>
          <w:rFonts w:hint="eastAsia" w:ascii="宋体" w:hAnsi="宋体" w:cs="宋体"/>
          <w:color w:val="auto"/>
          <w:kern w:val="2"/>
          <w:sz w:val="24"/>
          <w:szCs w:val="24"/>
          <w:highlight w:val="none"/>
          <w:lang w:eastAsia="zh-CN"/>
        </w:rPr>
        <w:t>，</w:t>
      </w:r>
      <w:r>
        <w:rPr>
          <w:rFonts w:hint="eastAsia" w:ascii="宋体" w:hAnsi="宋体" w:cs="宋体"/>
          <w:color w:val="auto"/>
          <w:kern w:val="2"/>
          <w:sz w:val="24"/>
          <w:szCs w:val="24"/>
          <w:highlight w:val="none"/>
        </w:rPr>
        <w:t>还应在合同解除通知发出之日起10日内向甲方支付合同总价款20%的违约金。乙方应同时将已完成的项目成果移交给甲方，并将全部有关资料退还甲方：</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1.乙方未能按合同约定的日期(含协商延缓的日期)提交成果，延误时间超过15个工作日；</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2.因乙方工作的错误或遗漏造成成果质量不符合本合同要求，且乙方未按甲方要求采取及时有效的补救措施的；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3.乙方虽如期提交会议整体设计方案和最终成果，但最终成果连续二次未能通过甲方验收的；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4.乙方不得将本项目转包给其他人。</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5.项目负责人未承担本合同项目实质性工作，或未经甲方书面在先同意，乙方擅自更换项目负责人的；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6.发现乙方或乙方工作人员出现全部或部分丧失履行委托服务能力的情况，甲方有权通知乙方限期整改或更换工作人员，期限届满乙方并未进行改善的；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7.乙方明确表示或者以自己的行为表明不履行本合同的。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三）除因甲方付款审批影响支付进度的情况外，如甲方未按照本合同约定的时间支付服务费，乙方书面催告甲方并给予不少于30个工作日的履行期限后甲方仍未支付的，乙方有权自该期限届满之日起要求甲方支付该阶段应付而未付合同价款每日1‰的逾期违约金。甲方无正当理由拒绝接受服务，到期明确表示拒付服务款项的，甲方向乙方偿付本合同总价5%的违约金。</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（四）上述违约责任各自独立且可累加。如本合同所约定的违约金无法弥补因违约行为所造成的损失，违约方应补偿上述不足部分的损失。</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十二、争议解决</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执行本合同发生的争议，由甲乙双方协商解决。协商不成，双方可依法向深圳市前海合作区人民法院起诉。</w:t>
      </w:r>
    </w:p>
    <w:p>
      <w:pPr>
        <w:pStyle w:val="28"/>
        <w:spacing w:line="520" w:lineRule="exact"/>
        <w:ind w:firstLine="480"/>
        <w:outlineLvl w:val="0"/>
        <w:rPr>
          <w:rFonts w:hint="eastAsia" w:ascii="黑体" w:hAnsi="黑体" w:eastAsia="黑体" w:cs="宋体"/>
          <w:color w:val="auto"/>
          <w:kern w:val="2"/>
          <w:sz w:val="24"/>
          <w:szCs w:val="24"/>
          <w:highlight w:val="none"/>
        </w:rPr>
      </w:pPr>
      <w:r>
        <w:rPr>
          <w:rFonts w:hint="eastAsia" w:ascii="黑体" w:hAnsi="黑体" w:eastAsia="黑体" w:cs="宋体"/>
          <w:color w:val="auto"/>
          <w:kern w:val="2"/>
          <w:sz w:val="24"/>
          <w:szCs w:val="24"/>
          <w:highlight w:val="none"/>
        </w:rPr>
        <w:t>十三、其他约定</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（一）本协议未经各方提前同意，任何一方不得将其在本协议项下的权利和义务转让给第三方，否则，另外一方有权提前解除本合同，并要求对方承担违约责任。</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（二）任何一方未通过书面形式声明放弃其在本协议项下的任何权利，则不应被视为其放弃。任何一方未行使其在本协议项下的任何权利，均不应被视为对任何上述权利的放弃或对今后任何上述权利的放弃。</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（三）本协议未尽事宜，甲、乙双方将另行协商，并可签订补充协议，补充协议应以书面形式作成，经双方法定代表人或其授权代表签字、盖章后与本协议具有同等法律效力。</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（四）本协议附件为协议不可分割的组成部分，与本协议一并加盖骑缝章后具有同等法律效力。若附件与协议正文有任何冲突，以协议正文为准。</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本协议经甲、乙双方法定代表人或授权代表签字、盖章之日起生效。本协议正本一式肆份，双方各执贰份，具有同等效力。</w:t>
      </w:r>
    </w:p>
    <w:p>
      <w:pPr>
        <w:pStyle w:val="28"/>
        <w:spacing w:line="520" w:lineRule="exact"/>
        <w:ind w:firstLine="480"/>
        <w:rPr>
          <w:rFonts w:hint="eastAsia" w:ascii="宋体" w:hAnsi="宋体" w:cs="宋体"/>
          <w:color w:val="auto"/>
          <w:kern w:val="2"/>
          <w:sz w:val="24"/>
          <w:szCs w:val="24"/>
          <w:highlight w:val="none"/>
        </w:rPr>
      </w:pPr>
    </w:p>
    <w:p>
      <w:pPr>
        <w:widowControl/>
        <w:jc w:val="left"/>
        <w:rPr>
          <w:rFonts w:hint="eastAsia" w:ascii="宋体" w:hAnsi="宋体" w:cs="宋体"/>
          <w:color w:val="auto"/>
          <w:sz w:val="24"/>
          <w:highlight w:val="none"/>
        </w:rPr>
      </w:pPr>
      <w:r>
        <w:rPr>
          <w:rFonts w:hint="eastAsia" w:ascii="宋体" w:hAnsi="宋体" w:cs="宋体"/>
          <w:color w:val="auto"/>
          <w:sz w:val="24"/>
          <w:highlight w:val="none"/>
        </w:rPr>
        <w:br w:type="page"/>
      </w:r>
    </w:p>
    <w:p>
      <w:pPr>
        <w:pStyle w:val="28"/>
        <w:spacing w:line="560" w:lineRule="exact"/>
        <w:ind w:firstLine="0" w:firstLineChars="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（本页无正文，为签章栏）</w:t>
      </w:r>
    </w:p>
    <w:p>
      <w:pPr>
        <w:pStyle w:val="28"/>
        <w:spacing w:line="560" w:lineRule="exact"/>
        <w:ind w:firstLine="480"/>
        <w:rPr>
          <w:rFonts w:hint="eastAsia" w:ascii="宋体" w:hAnsi="宋体" w:cs="宋体"/>
          <w:color w:val="auto"/>
          <w:kern w:val="2"/>
          <w:sz w:val="24"/>
          <w:szCs w:val="24"/>
          <w:highlight w:val="none"/>
        </w:rPr>
      </w:pPr>
    </w:p>
    <w:p>
      <w:pPr>
        <w:pStyle w:val="28"/>
        <w:spacing w:line="560" w:lineRule="exact"/>
        <w:ind w:firstLine="0" w:firstLineChars="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甲方（盖章）：深圳市前海深港现代服务业合作区管理局</w:t>
      </w:r>
    </w:p>
    <w:p>
      <w:pPr>
        <w:pStyle w:val="28"/>
        <w:spacing w:line="560" w:lineRule="exact"/>
        <w:ind w:firstLine="0" w:firstLineChars="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法定代表人或授权代表（签字）：</w:t>
      </w:r>
    </w:p>
    <w:p>
      <w:pPr>
        <w:pStyle w:val="28"/>
        <w:spacing w:line="560" w:lineRule="exact"/>
        <w:ind w:firstLine="0" w:firstLineChars="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 xml:space="preserve">日期：  年   月   日            </w:t>
      </w:r>
    </w:p>
    <w:p>
      <w:pPr>
        <w:pStyle w:val="28"/>
        <w:spacing w:line="560" w:lineRule="exact"/>
        <w:ind w:firstLine="0" w:firstLineChars="0"/>
        <w:rPr>
          <w:rFonts w:hint="eastAsia" w:ascii="宋体" w:hAnsi="宋体" w:cs="宋体"/>
          <w:color w:val="auto"/>
          <w:kern w:val="2"/>
          <w:sz w:val="24"/>
          <w:szCs w:val="24"/>
          <w:highlight w:val="none"/>
        </w:rPr>
      </w:pPr>
    </w:p>
    <w:p>
      <w:pPr>
        <w:pStyle w:val="28"/>
        <w:spacing w:line="560" w:lineRule="exact"/>
        <w:ind w:firstLine="0" w:firstLineChars="0"/>
        <w:rPr>
          <w:rFonts w:hint="eastAsia" w:ascii="宋体" w:hAnsi="宋体" w:cs="宋体"/>
          <w:color w:val="auto"/>
          <w:kern w:val="2"/>
          <w:sz w:val="24"/>
          <w:szCs w:val="24"/>
          <w:highlight w:val="none"/>
        </w:rPr>
      </w:pPr>
    </w:p>
    <w:p>
      <w:pPr>
        <w:pStyle w:val="28"/>
        <w:spacing w:line="560" w:lineRule="exact"/>
        <w:ind w:left="1440" w:hanging="1440" w:hangingChars="60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乙方（盖章）：</w:t>
      </w:r>
    </w:p>
    <w:p>
      <w:pPr>
        <w:pStyle w:val="28"/>
        <w:spacing w:line="560" w:lineRule="exact"/>
        <w:ind w:firstLine="0" w:firstLineChars="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法定代表人或授权代表（签字）：</w:t>
      </w:r>
    </w:p>
    <w:p>
      <w:pPr>
        <w:pStyle w:val="28"/>
        <w:spacing w:line="560" w:lineRule="exact"/>
        <w:ind w:firstLine="0" w:firstLineChars="0"/>
        <w:rPr>
          <w:rFonts w:hint="eastAsia" w:ascii="宋体" w:hAnsi="宋体" w:cs="宋体"/>
          <w:color w:val="auto"/>
          <w:sz w:val="24"/>
          <w:szCs w:val="24"/>
          <w:highlight w:val="none"/>
        </w:rPr>
      </w:pPr>
      <w:r>
        <w:rPr>
          <w:rFonts w:hint="eastAsia" w:ascii="宋体" w:hAnsi="宋体" w:cs="宋体"/>
          <w:color w:val="auto"/>
          <w:kern w:val="2"/>
          <w:sz w:val="24"/>
          <w:szCs w:val="24"/>
          <w:highlight w:val="none"/>
        </w:rPr>
        <w:t xml:space="preserve">日期：  年   月   日        </w:t>
      </w:r>
    </w:p>
    <w:p>
      <w:pPr>
        <w:widowControl/>
        <w:jc w:val="left"/>
        <w:rPr>
          <w:rFonts w:hint="eastAsia" w:ascii="宋体" w:hAnsi="宋体" w:cs="宋体"/>
          <w:b/>
          <w:color w:val="auto"/>
          <w:sz w:val="24"/>
          <w:highlight w:val="none"/>
        </w:rPr>
      </w:pPr>
    </w:p>
    <w:p>
      <w:pPr>
        <w:adjustRightInd w:val="0"/>
        <w:snapToGrid w:val="0"/>
        <w:spacing w:line="440" w:lineRule="exact"/>
        <w:rPr>
          <w:rFonts w:hint="eastAsia" w:ascii="宋体" w:hAnsi="宋体" w:cs="宋体"/>
          <w:color w:val="auto"/>
          <w:sz w:val="24"/>
          <w:highlight w:val="none"/>
        </w:rPr>
      </w:pPr>
      <w:r>
        <w:rPr>
          <w:rFonts w:hint="eastAsia" w:ascii="宋体" w:hAnsi="宋体" w:cs="宋体"/>
          <w:color w:val="auto"/>
          <w:sz w:val="24"/>
          <w:highlight w:val="none"/>
        </w:rPr>
        <w:t>注：本合同样本仅供参考，非实质性条款内容可由采购单位和中标单位协商确定。</w:t>
      </w:r>
    </w:p>
    <w:p>
      <w:pPr>
        <w:adjustRightInd w:val="0"/>
        <w:snapToGrid w:val="0"/>
        <w:spacing w:line="360" w:lineRule="auto"/>
        <w:rPr>
          <w:rFonts w:hint="eastAsia" w:ascii="宋体" w:hAnsi="宋体" w:cs="宋体"/>
          <w:b/>
          <w:bCs/>
          <w:color w:val="auto"/>
          <w:sz w:val="24"/>
          <w:highlight w:val="none"/>
        </w:rPr>
        <w:sectPr>
          <w:footerReference r:id="rId3" w:type="default"/>
          <w:pgSz w:w="11906" w:h="16838"/>
          <w:pgMar w:top="1440" w:right="1633" w:bottom="1440" w:left="1633" w:header="851" w:footer="992" w:gutter="0"/>
          <w:cols w:space="720" w:num="1"/>
          <w:docGrid w:type="lines" w:linePitch="312" w:charSpace="0"/>
        </w:sectPr>
      </w:pPr>
    </w:p>
    <w:p>
      <w:pPr>
        <w:spacing w:line="360" w:lineRule="auto"/>
        <w:jc w:val="center"/>
        <w:outlineLvl w:val="0"/>
        <w:rPr>
          <w:rFonts w:hint="eastAsia" w:ascii="宋体" w:hAnsi="宋体" w:cs="宋体"/>
          <w:b/>
          <w:bCs/>
          <w:color w:val="auto"/>
          <w:sz w:val="24"/>
          <w:highlight w:val="none"/>
        </w:rPr>
      </w:pPr>
      <w:r>
        <w:rPr>
          <w:rFonts w:hint="eastAsia" w:ascii="宋体" w:hAnsi="宋体" w:cs="宋体"/>
          <w:b/>
          <w:bCs/>
          <w:color w:val="auto"/>
          <w:sz w:val="24"/>
          <w:highlight w:val="none"/>
        </w:rPr>
        <w:t>第五章</w:t>
      </w:r>
      <w:r>
        <w:rPr>
          <w:rFonts w:hint="eastAsia" w:ascii="宋体" w:hAnsi="宋体" w:cs="宋体"/>
          <w:color w:val="auto"/>
          <w:sz w:val="24"/>
          <w:highlight w:val="none"/>
        </w:rPr>
        <w:t xml:space="preserve"> </w:t>
      </w:r>
      <w:r>
        <w:rPr>
          <w:rFonts w:hint="eastAsia" w:ascii="宋体" w:hAnsi="宋体" w:cs="宋体"/>
          <w:b/>
          <w:bCs/>
          <w:color w:val="auto"/>
          <w:sz w:val="24"/>
          <w:highlight w:val="none"/>
        </w:rPr>
        <w:t xml:space="preserve"> </w:t>
      </w:r>
      <w:bookmarkStart w:id="19" w:name="_Toc793"/>
      <w:r>
        <w:rPr>
          <w:rFonts w:hint="eastAsia" w:ascii="宋体" w:hAnsi="宋体" w:cs="宋体"/>
          <w:b/>
          <w:bCs/>
          <w:color w:val="auto"/>
          <w:sz w:val="24"/>
          <w:highlight w:val="none"/>
        </w:rPr>
        <w:t>用户需求书</w:t>
      </w:r>
      <w:bookmarkEnd w:id="19"/>
    </w:p>
    <w:p>
      <w:pPr>
        <w:overflowPunct w:val="0"/>
        <w:autoSpaceDE w:val="0"/>
        <w:autoSpaceDN w:val="0"/>
        <w:adjustRightInd w:val="0"/>
        <w:snapToGrid w:val="0"/>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一、项目概况</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为深入贯彻落实《关于推动广东网络游戏产业高质量发展的若干政策措施》《深圳市前海深港现代服务业合作区管理局关于促进文化产业高质量发展的若干措施》等文件精神，充分发挥广东（深圳）游戏出海服务中心的公共服务效能，完善前海游戏出海产业服务生态，为游戏企业纾解出海难题，吸引优质文化企业上下游产业集聚，拟委托第三方机构开展实体化运营，着力为游戏出海企业提供境外市场研究、政策法律咨询、运营发行等综合服务，提升国产游戏国际竞争力。</w:t>
      </w:r>
    </w:p>
    <w:p>
      <w:pPr>
        <w:overflowPunct w:val="0"/>
        <w:autoSpaceDE w:val="0"/>
        <w:autoSpaceDN w:val="0"/>
        <w:adjustRightInd w:val="0"/>
        <w:snapToGrid w:val="0"/>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二、项目内容</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围绕服务项目，组建不少于5人（含项目负责人）的专门团队，至少安排其中1人至采购人指定办公场所办公，开展广东（深圳）游戏出海服务中心运营，为游戏出海企业提供境外市场研究、政策法律咨询、运营发行等综合服务，具体如下：</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（一）平台综合运营</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派至少1名专员常态化驻点前海办公，实现广东（深圳）游戏出海服务中心实体化、专业化运作，负责企业接待、供需对接、资源协调等日常事务。</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（二）游戏出海综合服务</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整合出版、发行、翻译、涉外法律等全链条出海服务资源，形成游戏出海全链条服务清单并开展企业调研和出海综合服务，全年累计组织游戏企业调研不少于10次，服务企业不少于100次。</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（三）海外市场合规指引服务</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聚焦海外热点市场，围绕游戏发行资质、内容合规、知识产权保护、数据隐私保护等核心维度，通过企业调研、专家咨询形成1份合规指引，帮助企业降低出海合规风险。</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（四）产业活动策划举办</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围绕出海合规、本地化运营、IP跨界对接等主题，全年举办不少于6场产业活动，搭建政策解读、经验分享、资源对接平台。</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（五）优质项目对接服务</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跟踪全国优质游戏出海企业发展动态，对接游戏出海上下游企业不少于20家、重点项目不少于3个，梳理形成《游戏产业招商目标清单》，协助对接不少于5家重点游戏出海企业，推动与企业开展实质交流和服务。</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（六）行业动态跟踪研究</w:t>
      </w:r>
    </w:p>
    <w:p>
      <w:pPr>
        <w:overflowPunct w:val="0"/>
        <w:autoSpaceDE w:val="0"/>
        <w:autoSpaceDN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动态监测国内外游戏产业政策、游戏版号获取情况、游戏企业动向与市场变化，全年形成6期简报，针对游戏出海服务形成1份总结，为产业决策提供参考。</w:t>
      </w:r>
    </w:p>
    <w:p>
      <w:pPr>
        <w:overflowPunct w:val="0"/>
        <w:autoSpaceDE w:val="0"/>
        <w:autoSpaceDN w:val="0"/>
        <w:adjustRightInd w:val="0"/>
        <w:snapToGrid w:val="0"/>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三、工作进度及阶段成果要求</w:t>
      </w:r>
    </w:p>
    <w:tbl>
      <w:tblPr>
        <w:tblStyle w:val="21"/>
        <w:tblW w:w="8619" w:type="dxa"/>
        <w:jc w:val="center"/>
        <w:tblLayout w:type="fixed"/>
        <w:tblCellMar>
          <w:top w:w="0" w:type="dxa"/>
          <w:left w:w="0" w:type="dxa"/>
          <w:bottom w:w="0" w:type="dxa"/>
          <w:right w:w="0" w:type="dxa"/>
        </w:tblCellMar>
      </w:tblPr>
      <w:tblGrid>
        <w:gridCol w:w="747"/>
        <w:gridCol w:w="1248"/>
        <w:gridCol w:w="6624"/>
      </w:tblGrid>
      <w:tr>
        <w:tblPrEx>
          <w:tblCellMar>
            <w:top w:w="0" w:type="dxa"/>
            <w:left w:w="0" w:type="dxa"/>
            <w:bottom w:w="0" w:type="dxa"/>
            <w:right w:w="0" w:type="dxa"/>
          </w:tblCellMar>
        </w:tblPrEx>
        <w:trPr>
          <w:cantSplit/>
          <w:trHeight w:val="366"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248"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时间</w:t>
            </w:r>
          </w:p>
        </w:tc>
        <w:tc>
          <w:tcPr>
            <w:tcW w:w="6624"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主要成果（以下均为累计数）</w:t>
            </w:r>
          </w:p>
        </w:tc>
      </w:tr>
      <w:tr>
        <w:tblPrEx>
          <w:tblCellMar>
            <w:top w:w="0" w:type="dxa"/>
            <w:left w:w="0" w:type="dxa"/>
            <w:bottom w:w="0" w:type="dxa"/>
            <w:right w:w="0" w:type="dxa"/>
          </w:tblCellMar>
        </w:tblPrEx>
        <w:trPr>
          <w:cantSplit/>
          <w:trHeight w:val="1061"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1248"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自合同签订后1个月内</w:t>
            </w:r>
          </w:p>
        </w:tc>
        <w:tc>
          <w:tcPr>
            <w:tcW w:w="6624" w:type="dxa"/>
            <w:tcBorders>
              <w:top w:val="single" w:color="auto" w:sz="4" w:space="0"/>
              <w:left w:val="single" w:color="auto" w:sz="4" w:space="0"/>
              <w:bottom w:val="single" w:color="auto" w:sz="4" w:space="0"/>
              <w:right w:val="single" w:color="auto" w:sz="4" w:space="0"/>
            </w:tcBorders>
            <w:vAlign w:val="center"/>
          </w:tcPr>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形成广东（深圳）游戏出海服务中心运营年度工作方案。</w:t>
            </w:r>
          </w:p>
        </w:tc>
      </w:tr>
      <w:tr>
        <w:tblPrEx>
          <w:tblCellMar>
            <w:top w:w="0" w:type="dxa"/>
            <w:left w:w="0" w:type="dxa"/>
            <w:bottom w:w="0" w:type="dxa"/>
            <w:right w:w="0" w:type="dxa"/>
          </w:tblCellMar>
        </w:tblPrEx>
        <w:trPr>
          <w:cantSplit/>
          <w:trHeight w:val="3425"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1248"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自合同签订后6个月内</w:t>
            </w:r>
          </w:p>
        </w:tc>
        <w:tc>
          <w:tcPr>
            <w:tcW w:w="6624" w:type="dxa"/>
            <w:tcBorders>
              <w:top w:val="single" w:color="auto" w:sz="4" w:space="0"/>
              <w:left w:val="single" w:color="auto" w:sz="4" w:space="0"/>
              <w:bottom w:val="single" w:color="auto" w:sz="4" w:space="0"/>
              <w:right w:val="single" w:color="auto" w:sz="4" w:space="0"/>
            </w:tcBorders>
            <w:vAlign w:val="center"/>
          </w:tcPr>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1.组织游戏企业调研不少于5次，服务游戏企业不少于50次，出海服务占比不低于50%。</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2.举办专项对接会、主题沙龙、场景路演、政策宣讲会等行业活动不少于3场，游戏出海主题的活动占比不低于1场。</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3.对接游戏出海上下游企业不少于10家、重点项目不少于1个，梳理形成《游戏产业招商目标清单》，协助对接不少于2家重点游戏出海企业。</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4.针对国内外游戏产业政策、游戏版号获取情况、游戏企业动向与市场变化形成3期简报。</w:t>
            </w:r>
          </w:p>
        </w:tc>
      </w:tr>
      <w:tr>
        <w:tblPrEx>
          <w:tblCellMar>
            <w:top w:w="0" w:type="dxa"/>
            <w:left w:w="0" w:type="dxa"/>
            <w:bottom w:w="0" w:type="dxa"/>
            <w:right w:w="0" w:type="dxa"/>
          </w:tblCellMar>
        </w:tblPrEx>
        <w:trPr>
          <w:cantSplit/>
          <w:trHeight w:val="5247" w:hRule="atLeast"/>
          <w:jc w:val="center"/>
        </w:trPr>
        <w:tc>
          <w:tcPr>
            <w:tcW w:w="747"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1248" w:type="dxa"/>
            <w:tcBorders>
              <w:top w:val="single" w:color="auto" w:sz="4" w:space="0"/>
              <w:left w:val="single" w:color="auto" w:sz="4" w:space="0"/>
              <w:bottom w:val="single" w:color="auto" w:sz="4" w:space="0"/>
              <w:right w:val="single" w:color="auto" w:sz="4" w:space="0"/>
            </w:tcBorders>
            <w:vAlign w:val="center"/>
          </w:tcPr>
          <w:p>
            <w:pPr>
              <w:spacing w:line="288" w:lineRule="auto"/>
              <w:jc w:val="center"/>
              <w:rPr>
                <w:rFonts w:hint="eastAsia" w:ascii="宋体" w:hAnsi="宋体" w:cs="宋体"/>
                <w:color w:val="auto"/>
                <w:sz w:val="24"/>
                <w:highlight w:val="none"/>
              </w:rPr>
            </w:pPr>
            <w:r>
              <w:rPr>
                <w:rFonts w:hint="eastAsia" w:ascii="宋体" w:hAnsi="宋体" w:cs="宋体"/>
                <w:color w:val="auto"/>
                <w:sz w:val="24"/>
                <w:highlight w:val="none"/>
              </w:rPr>
              <w:t>自合同签订后1年内</w:t>
            </w:r>
          </w:p>
        </w:tc>
        <w:tc>
          <w:tcPr>
            <w:tcW w:w="6624" w:type="dxa"/>
            <w:tcBorders>
              <w:top w:val="single" w:color="auto" w:sz="4" w:space="0"/>
              <w:left w:val="single" w:color="auto" w:sz="4" w:space="0"/>
              <w:bottom w:val="single" w:color="auto" w:sz="4" w:space="0"/>
              <w:right w:val="single" w:color="auto" w:sz="4" w:space="0"/>
            </w:tcBorders>
            <w:vAlign w:val="center"/>
          </w:tcPr>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1.形成游戏出海全链条服务清单。</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2.组织游戏企业调研不少于10次，服务游戏企业不少于100次，出海服务占比不低于50%。</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3.围绕游戏发行资质、内容合规、知识产权保护、数据隐私保护等核心维度形成游戏出海合规指引。</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4.举办专项产业对接会、主题沙龙、场景路演、政策宣讲会等行业活动不少于6场，游戏出海主题的活动占比不低于3场。</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5.对接游戏出海上下游企业不少于20家、重点项目不少于3个，梳理形成《游戏产业招商目标清单》，协助对接不少于5家重点游戏出海企业。</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6.针对国内外游戏产业政策、游戏版号获取情况、游戏企业动向与市场变化形成6期简报。</w:t>
            </w:r>
          </w:p>
          <w:p>
            <w:pPr>
              <w:spacing w:line="288" w:lineRule="auto"/>
              <w:rPr>
                <w:rFonts w:hint="eastAsia" w:ascii="宋体" w:hAnsi="宋体" w:cs="宋体"/>
                <w:color w:val="auto"/>
                <w:sz w:val="24"/>
                <w:highlight w:val="none"/>
              </w:rPr>
            </w:pPr>
            <w:r>
              <w:rPr>
                <w:rFonts w:hint="eastAsia" w:ascii="宋体" w:hAnsi="宋体" w:cs="宋体"/>
                <w:color w:val="auto"/>
                <w:sz w:val="24"/>
                <w:highlight w:val="none"/>
              </w:rPr>
              <w:t>7.针对广东（深圳）游戏出海服务中心运营服务形成1份总结。</w:t>
            </w:r>
          </w:p>
        </w:tc>
      </w:tr>
    </w:tbl>
    <w:p>
      <w:pPr>
        <w:pStyle w:val="6"/>
        <w:spacing w:after="0" w:line="288"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四、验收方式</w:t>
      </w:r>
    </w:p>
    <w:p>
      <w:pPr>
        <w:autoSpaceDE w:val="0"/>
        <w:autoSpaceDN w:val="0"/>
        <w:adjustRightInd w:val="0"/>
        <w:spacing w:line="4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最终成果验收合格的标志为完成合同约定的所有内容并通过采购人验收，要求如下：</w:t>
      </w:r>
    </w:p>
    <w:tbl>
      <w:tblPr>
        <w:tblStyle w:val="21"/>
        <w:tblW w:w="8579" w:type="dxa"/>
        <w:jc w:val="center"/>
        <w:tblLayout w:type="fixed"/>
        <w:tblCellMar>
          <w:top w:w="0" w:type="dxa"/>
          <w:left w:w="0" w:type="dxa"/>
          <w:bottom w:w="0" w:type="dxa"/>
          <w:right w:w="0" w:type="dxa"/>
        </w:tblCellMar>
      </w:tblPr>
      <w:tblGrid>
        <w:gridCol w:w="1318"/>
        <w:gridCol w:w="5839"/>
        <w:gridCol w:w="1422"/>
      </w:tblGrid>
      <w:tr>
        <w:tblPrEx>
          <w:tblCellMar>
            <w:top w:w="0" w:type="dxa"/>
            <w:left w:w="0" w:type="dxa"/>
            <w:bottom w:w="0" w:type="dxa"/>
            <w:right w:w="0" w:type="dxa"/>
          </w:tblCellMar>
        </w:tblPrEx>
        <w:trPr>
          <w:cantSplit/>
          <w:trHeight w:val="62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b/>
                <w:bCs/>
                <w:color w:val="auto"/>
                <w:sz w:val="24"/>
                <w:highlight w:val="none"/>
              </w:rPr>
              <w:t>服务内容</w:t>
            </w: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b/>
                <w:bCs/>
                <w:color w:val="auto"/>
                <w:sz w:val="24"/>
                <w:highlight w:val="none"/>
              </w:rPr>
              <w:t>明细</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b/>
                <w:bCs/>
                <w:color w:val="auto"/>
                <w:sz w:val="24"/>
                <w:highlight w:val="none"/>
              </w:rPr>
              <w:t>数量</w:t>
            </w:r>
          </w:p>
        </w:tc>
      </w:tr>
      <w:tr>
        <w:tblPrEx>
          <w:tblCellMar>
            <w:top w:w="0" w:type="dxa"/>
            <w:left w:w="0" w:type="dxa"/>
            <w:bottom w:w="0" w:type="dxa"/>
            <w:right w:w="0" w:type="dxa"/>
          </w:tblCellMar>
        </w:tblPrEx>
        <w:trPr>
          <w:cantSplit/>
          <w:trHeight w:val="650" w:hRule="atLeast"/>
          <w:jc w:val="center"/>
        </w:trPr>
        <w:tc>
          <w:tcPr>
            <w:tcW w:w="1318"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形成材料</w:t>
            </w: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形成广东（深圳）游戏出海服务中心运营年度工作方案</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1份</w:t>
            </w:r>
          </w:p>
        </w:tc>
      </w:tr>
      <w:tr>
        <w:tblPrEx>
          <w:tblCellMar>
            <w:top w:w="0" w:type="dxa"/>
            <w:left w:w="0" w:type="dxa"/>
            <w:bottom w:w="0" w:type="dxa"/>
            <w:right w:w="0" w:type="dxa"/>
          </w:tblCellMar>
        </w:tblPrEx>
        <w:trPr>
          <w:cantSplit/>
          <w:trHeight w:val="330" w:hRule="atLeast"/>
          <w:jc w:val="center"/>
        </w:trPr>
        <w:tc>
          <w:tcPr>
            <w:tcW w:w="131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形成游戏出海全链条服务清单</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1份</w:t>
            </w:r>
          </w:p>
        </w:tc>
      </w:tr>
      <w:tr>
        <w:tblPrEx>
          <w:tblCellMar>
            <w:top w:w="0" w:type="dxa"/>
            <w:left w:w="0" w:type="dxa"/>
            <w:bottom w:w="0" w:type="dxa"/>
            <w:right w:w="0" w:type="dxa"/>
          </w:tblCellMar>
        </w:tblPrEx>
        <w:trPr>
          <w:cantSplit/>
          <w:trHeight w:val="650" w:hRule="atLeast"/>
          <w:jc w:val="center"/>
        </w:trPr>
        <w:tc>
          <w:tcPr>
            <w:tcW w:w="131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针对国内外游戏产业政策、游戏版号获取情况、游戏企业动向与市场变化形成简报</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6期</w:t>
            </w:r>
          </w:p>
        </w:tc>
      </w:tr>
      <w:tr>
        <w:tblPrEx>
          <w:tblCellMar>
            <w:top w:w="0" w:type="dxa"/>
            <w:left w:w="0" w:type="dxa"/>
            <w:bottom w:w="0" w:type="dxa"/>
            <w:right w:w="0" w:type="dxa"/>
          </w:tblCellMar>
        </w:tblPrEx>
        <w:trPr>
          <w:cantSplit/>
          <w:trHeight w:val="650" w:hRule="atLeast"/>
          <w:jc w:val="center"/>
        </w:trPr>
        <w:tc>
          <w:tcPr>
            <w:tcW w:w="131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针对广东（深圳）游戏出海服务中心运营服务形成总结</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1份</w:t>
            </w:r>
          </w:p>
        </w:tc>
      </w:tr>
      <w:tr>
        <w:tblPrEx>
          <w:tblCellMar>
            <w:top w:w="0" w:type="dxa"/>
            <w:left w:w="0" w:type="dxa"/>
            <w:bottom w:w="0" w:type="dxa"/>
            <w:right w:w="0" w:type="dxa"/>
          </w:tblCellMar>
        </w:tblPrEx>
        <w:trPr>
          <w:cantSplit/>
          <w:trHeight w:val="506" w:hRule="atLeast"/>
          <w:jc w:val="center"/>
        </w:trPr>
        <w:tc>
          <w:tcPr>
            <w:tcW w:w="1318"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调研、服务企业</w:t>
            </w: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组织游戏企业调研</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≥10次</w:t>
            </w:r>
          </w:p>
        </w:tc>
      </w:tr>
      <w:tr>
        <w:tblPrEx>
          <w:tblCellMar>
            <w:top w:w="0" w:type="dxa"/>
            <w:left w:w="0" w:type="dxa"/>
            <w:bottom w:w="0" w:type="dxa"/>
            <w:right w:w="0" w:type="dxa"/>
          </w:tblCellMar>
        </w:tblPrEx>
        <w:trPr>
          <w:cantSplit/>
          <w:trHeight w:val="425" w:hRule="atLeast"/>
          <w:jc w:val="center"/>
        </w:trPr>
        <w:tc>
          <w:tcPr>
            <w:tcW w:w="131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服务游戏企业</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≥100次</w:t>
            </w:r>
          </w:p>
        </w:tc>
      </w:tr>
      <w:tr>
        <w:tblPrEx>
          <w:tblCellMar>
            <w:top w:w="0" w:type="dxa"/>
            <w:left w:w="0" w:type="dxa"/>
            <w:bottom w:w="0" w:type="dxa"/>
            <w:right w:w="0" w:type="dxa"/>
          </w:tblCellMar>
        </w:tblPrEx>
        <w:trPr>
          <w:cantSplit/>
          <w:trHeight w:val="660" w:hRule="atLeast"/>
          <w:jc w:val="center"/>
        </w:trPr>
        <w:tc>
          <w:tcPr>
            <w:tcW w:w="1318"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举办活动</w:t>
            </w:r>
          </w:p>
        </w:tc>
        <w:tc>
          <w:tcPr>
            <w:tcW w:w="583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举办专项产业对接会、主题沙龙、场景路演、政策宣讲会等行业活动</w:t>
            </w:r>
          </w:p>
        </w:tc>
        <w:tc>
          <w:tcPr>
            <w:tcW w:w="142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sz w:val="24"/>
                <w:highlight w:val="none"/>
              </w:rPr>
            </w:pPr>
            <w:r>
              <w:rPr>
                <w:rFonts w:hint="eastAsia" w:ascii="宋体" w:hAnsi="宋体" w:cs="宋体"/>
                <w:color w:val="auto"/>
                <w:sz w:val="24"/>
                <w:highlight w:val="none"/>
              </w:rPr>
              <w:t>≥6场</w:t>
            </w:r>
          </w:p>
        </w:tc>
      </w:tr>
    </w:tbl>
    <w:p>
      <w:pPr>
        <w:pStyle w:val="6"/>
        <w:tabs>
          <w:tab w:val="left" w:pos="5160"/>
        </w:tabs>
        <w:spacing w:after="0"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五、商务要求</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（一）服务期限</w:t>
      </w:r>
    </w:p>
    <w:p>
      <w:pPr>
        <w:widowControl/>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1.履行时间：合同签订之日起一年内完成全部项目工作内容，本项目不属于长期服务项目。</w:t>
      </w:r>
    </w:p>
    <w:p>
      <w:pPr>
        <w:widowControl/>
        <w:spacing w:line="5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2.履行方式：按采购人的工作内容及商务需求完成相应工作，并提交全部工作成果。</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（二）报价要求</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1.本次投标为总价包干，投标报价总价作为中标人与采购人</w:t>
      </w:r>
      <w:r>
        <w:rPr>
          <w:rFonts w:hint="eastAsia" w:ascii="宋体" w:hAnsi="宋体" w:cs="宋体"/>
          <w:color w:val="auto"/>
          <w:sz w:val="24"/>
          <w:highlight w:val="none"/>
          <w:lang w:eastAsia="zh-CN"/>
        </w:rPr>
        <w:t>签订</w:t>
      </w:r>
      <w:r>
        <w:rPr>
          <w:rFonts w:hint="eastAsia" w:ascii="宋体" w:hAnsi="宋体" w:cs="宋体"/>
          <w:color w:val="auto"/>
          <w:sz w:val="24"/>
          <w:highlight w:val="none"/>
        </w:rPr>
        <w:t>的合同金额。项目预算控制45万元以内，投标人的报价不可高于预算（限价），否则投标人的投标文件视同无效。项目服务费包括项目实施过程中产生的一切费用。</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3.投标人的投标报价，应是本项目招标范围和招标文件及合同条款上所列的各项内容中所述的全部，不得以任何理由予以重复，并以投标人在投标文件中提出的综合单价或总价为依据。</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4.投标人应充分了解项目的情况及任何其他足以影响投标报价的情况，任何因忽视或误解项目情况而导致的索赔或服务期限延长申请将不获批准。</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（三）付款方式</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项目资金分2期支付至中标人指定银行账户：</w:t>
      </w:r>
    </w:p>
    <w:p>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第1期：本合同签订后，中标人向采购人提出付款申请，采购人向中标人支付总价款的50%；</w:t>
      </w:r>
    </w:p>
    <w:p>
      <w:pPr>
        <w:tabs>
          <w:tab w:val="left" w:pos="720"/>
        </w:tabs>
        <w:autoSpaceDE w:val="0"/>
        <w:autoSpaceDN w:val="0"/>
        <w:adjustRightInd w:val="0"/>
        <w:spacing w:line="360" w:lineRule="auto"/>
        <w:ind w:firstLine="420"/>
        <w:outlineLvl w:val="2"/>
        <w:rPr>
          <w:rFonts w:hint="eastAsia" w:ascii="宋体" w:hAnsi="宋体" w:cs="宋体"/>
          <w:color w:val="auto"/>
          <w:sz w:val="24"/>
          <w:highlight w:val="none"/>
        </w:rPr>
      </w:pPr>
      <w:r>
        <w:rPr>
          <w:rFonts w:hint="eastAsia" w:ascii="宋体" w:hAnsi="宋体" w:cs="宋体"/>
          <w:color w:val="auto"/>
          <w:sz w:val="24"/>
          <w:highlight w:val="none"/>
        </w:rPr>
        <w:t>第2期：中标人完成项目全部服务内容且按要求验收通过后，中标人向采购人提出付款申请，采购人向中标人支付总价款的50%。</w:t>
      </w:r>
    </w:p>
    <w:p>
      <w:pPr>
        <w:spacing w:line="360" w:lineRule="auto"/>
        <w:ind w:firstLine="480" w:firstLineChars="200"/>
        <w:rPr>
          <w:color w:val="auto"/>
          <w:sz w:val="24"/>
          <w:highlight w:val="none"/>
        </w:rPr>
      </w:pPr>
      <w:r>
        <w:rPr>
          <w:rFonts w:hint="eastAsia"/>
          <w:color w:val="auto"/>
          <w:sz w:val="24"/>
          <w:highlight w:val="none"/>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pStyle w:val="6"/>
        <w:tabs>
          <w:tab w:val="left" w:pos="5160"/>
        </w:tabs>
        <w:spacing w:after="0"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六、成果权属与知识产权</w:t>
      </w:r>
    </w:p>
    <w:p>
      <w:pPr>
        <w:pStyle w:val="6"/>
        <w:tabs>
          <w:tab w:val="left" w:pos="5160"/>
        </w:tabs>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（一）本项目全部阶段性成果和最终成果的所有权、知识产权以及与之相关的所有权利归采购人所有；本合同签署前双方已经拥有的知识产权权利，仍归各自所有。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（二）双方确定，采购人有权对中标人按照本合同约定提供的成果进行后续改进。由此产生的具有实质性或创造性技术进步特征的新的技术成果及其权利全部由采购人享有。</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中标人所提交的全部阶段性成果和最终成果文件及任何数据、资料、软件等不得侵犯任何第三方的知识产权或其他权利，由于该等文件、数据、资料、软件侵权所导致的任何索赔或责任均由中标人承担。同时，采购人有权要求中标人修改成果至不侵权或解除合同，并保留要求中标人赔偿全部损失的权利，包括但不限于上述索赔或责任所产生的诉讼费用、合理的律师费用、鉴定评估费用、调查费用、和解金额或生效法律文书中规定的赔偿金额。</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未经采购人书面在先同意，中标人不得将本项目的阶段性成果和/或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widowControl/>
        <w:spacing w:line="360" w:lineRule="auto"/>
        <w:ind w:firstLine="420"/>
        <w:rPr>
          <w:rFonts w:hint="eastAsia" w:ascii="宋体" w:hAnsi="宋体" w:cs="宋体"/>
          <w:color w:val="auto"/>
          <w:sz w:val="24"/>
          <w:highlight w:val="none"/>
        </w:rPr>
      </w:pPr>
      <w:r>
        <w:rPr>
          <w:rFonts w:hint="eastAsia" w:ascii="宋体" w:hAnsi="宋体" w:cs="宋体"/>
          <w:color w:val="auto"/>
          <w:sz w:val="24"/>
          <w:highlight w:val="none"/>
        </w:rPr>
        <w:t>（五）中标人完成本项目的研究人员享有在有关技术成果文件上署名的权利和与采购人共同获得有关荣誉证书、奖励的权利。</w:t>
      </w:r>
    </w:p>
    <w:p>
      <w:pPr>
        <w:pStyle w:val="6"/>
        <w:tabs>
          <w:tab w:val="left" w:pos="5160"/>
        </w:tabs>
        <w:spacing w:after="0"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七、保密条款</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中标人应以保密方式处理在编制本项目成果文件过程中自采购人、采购人工作人员或采购人关联机构获得的相关信息、资料、图纸、数据等，或由采购人在履行本合同过程中明确指明为秘密的任何信息，以及中标人因本项目工作内容所直接或间接取得、处理或接触的任何其他资料。未经采购人书面在先同意，中标人不得向任何第三方透露与本项目有关的内容，或公开本项目的阶段性成果或最终成果内容。即使向与履行本合同有关的人员提供前述保密信息，也应限于履行合同的必需范围，且这些人员应接受至少与本条款同等严格的保密条款的约束。</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（三）中标人实施项目的程序应符合国家安全、保密的有关规定和标准。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（四）上述保密义务不适用以下情况：</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1.获取的信息已被合法公开；</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2.获得信息拥有方书面许可并在该许可范围内披露；</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3.国家法律、法规规定的情形。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（六）无论本合同或本合同其他条款是否有效，本保密条款始终约束双方。国家秘密的保密期限由国家有关部门确定，工作秘密的保密期限长期有效。</w:t>
      </w:r>
    </w:p>
    <w:p>
      <w:pPr>
        <w:widowControl/>
        <w:spacing w:line="360" w:lineRule="auto"/>
        <w:ind w:firstLine="420"/>
        <w:outlineLvl w:val="2"/>
        <w:rPr>
          <w:rFonts w:hint="eastAsia" w:ascii="宋体" w:hAnsi="宋体" w:cs="宋体"/>
          <w:b/>
          <w:bCs/>
          <w:color w:val="auto"/>
          <w:sz w:val="24"/>
          <w:highlight w:val="none"/>
        </w:rPr>
      </w:pPr>
      <w:r>
        <w:rPr>
          <w:rFonts w:hint="eastAsia" w:ascii="宋体" w:hAnsi="宋体" w:cs="宋体"/>
          <w:b/>
          <w:bCs/>
          <w:color w:val="auto"/>
          <w:kern w:val="0"/>
          <w:sz w:val="24"/>
          <w:highlight w:val="none"/>
        </w:rPr>
        <w:t>八、</w:t>
      </w:r>
      <w:r>
        <w:rPr>
          <w:rFonts w:hint="eastAsia" w:ascii="宋体" w:hAnsi="宋体" w:cs="宋体"/>
          <w:b/>
          <w:bCs/>
          <w:color w:val="auto"/>
          <w:sz w:val="24"/>
          <w:highlight w:val="none"/>
        </w:rPr>
        <w:t>违约责任</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（一）如中标人未按照本合同约定的时间完成本项目各阶段工作，且未经采购人书面同意延长服务成果完成期限的，每迟延一日，采购人有权要求中标人支付本合同服务费总金额的1‰的逾期违约金。</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（二）本合同履行期间，发生下述情形时，采购人有权解除本合同，中标人除应退还采购人已支付的全部款项外</w:t>
      </w:r>
      <w:r>
        <w:rPr>
          <w:rFonts w:hint="eastAsia" w:ascii="宋体" w:hAnsi="宋体" w:cs="宋体"/>
          <w:color w:val="auto"/>
          <w:kern w:val="2"/>
          <w:sz w:val="24"/>
          <w:szCs w:val="24"/>
          <w:highlight w:val="none"/>
          <w:lang w:eastAsia="zh-CN"/>
        </w:rPr>
        <w:t>，</w:t>
      </w:r>
      <w:r>
        <w:rPr>
          <w:rFonts w:hint="eastAsia" w:ascii="宋体" w:hAnsi="宋体" w:cs="宋体"/>
          <w:color w:val="auto"/>
          <w:kern w:val="2"/>
          <w:sz w:val="24"/>
          <w:szCs w:val="24"/>
          <w:highlight w:val="none"/>
        </w:rPr>
        <w:t>还应在合同解除通知发出之日起10日内向采购人支付合同总价款20%的违约金。中标人应同时将已完成的项目成果移交给采购人，并将全部有关资料退还采购人：</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1.中标人未能按合同约定的日期(含协商延缓的日期)提交成果，延误时间超过15个工作日；</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2.因中标人工作的错误或遗漏造成成果质量不符合本合同要求，且中标人未按采购人要求采取及时有效的补救措施的；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3.中标人虽如期提交会议整体设计方案和最终成果，但最终成果连续二次未能通过采购人验收的；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4.中标人不得将本项目转包给其他人。</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5.项目负责人未承担本合同项目实质性工作，或未经采购人书面在先同意，中标人擅自更换项目负责人的；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6.发现中标人或中标人工作人员出现全部或部分丧失履行委托服务能力的情况，采购人有权通知中标人限期整改或更换工作人员，期限届满中标人并未进行改善的；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7.中标人明确表示或者以自己的行为表明不履行本合同的。</w:t>
      </w:r>
    </w:p>
    <w:p>
      <w:pPr>
        <w:pStyle w:val="28"/>
        <w:spacing w:line="520" w:lineRule="exact"/>
        <w:ind w:firstLine="480"/>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三）除因采购人付款审批影响支付进度的情况外，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采购人无正当理由拒绝接受服务，到期明确表示拒付服务款项的，采购人向中标人偿付本合同总价5%的违约金。</w:t>
      </w:r>
    </w:p>
    <w:p>
      <w:pPr>
        <w:widowControl/>
        <w:spacing w:line="360" w:lineRule="auto"/>
        <w:ind w:firstLine="420"/>
        <w:rPr>
          <w:rFonts w:hint="eastAsia" w:ascii="宋体" w:hAnsi="宋体" w:cs="宋体"/>
          <w:color w:val="auto"/>
          <w:kern w:val="0"/>
          <w:sz w:val="24"/>
          <w:highlight w:val="none"/>
        </w:rPr>
      </w:pPr>
      <w:r>
        <w:rPr>
          <w:rFonts w:hint="eastAsia" w:ascii="宋体" w:hAnsi="宋体" w:cs="宋体"/>
          <w:color w:val="auto"/>
          <w:sz w:val="24"/>
          <w:highlight w:val="none"/>
        </w:rPr>
        <w:t>（四）上述违约责任各自独立且可累加。如本合同所约定的违约金无法弥补因违约行为所造成的损失，违约方应补偿上述不足部分的损失。</w:t>
      </w:r>
    </w:p>
    <w:p>
      <w:pPr>
        <w:spacing w:line="360" w:lineRule="auto"/>
        <w:jc w:val="center"/>
        <w:outlineLvl w:val="0"/>
        <w:rPr>
          <w:rFonts w:ascii="宋体" w:cs="宋体"/>
          <w:b/>
          <w:bCs/>
          <w:color w:val="auto"/>
          <w:sz w:val="24"/>
          <w:highlight w:val="none"/>
        </w:rPr>
      </w:pPr>
      <w:r>
        <w:rPr>
          <w:rFonts w:hint="eastAsia" w:ascii="宋体" w:hAnsi="宋体" w:cs="宋体"/>
          <w:color w:val="auto"/>
          <w:sz w:val="24"/>
          <w:highlight w:val="none"/>
        </w:rPr>
        <w:br w:type="page"/>
      </w:r>
      <w:bookmarkStart w:id="20" w:name="_Toc6457"/>
      <w:r>
        <w:rPr>
          <w:rFonts w:hint="eastAsia" w:ascii="宋体" w:cs="宋体"/>
          <w:b/>
          <w:bCs/>
          <w:color w:val="auto"/>
          <w:sz w:val="24"/>
          <w:highlight w:val="none"/>
        </w:rPr>
        <w:t>第六章 投标文件初审及招标项目评分表</w:t>
      </w:r>
      <w:bookmarkEnd w:id="20"/>
    </w:p>
    <w:p>
      <w:pPr>
        <w:spacing w:line="360" w:lineRule="auto"/>
        <w:jc w:val="center"/>
        <w:rPr>
          <w:rFonts w:hint="eastAsia" w:ascii="宋体" w:hAnsi="宋体" w:cs="宋体"/>
          <w:b/>
          <w:color w:val="auto"/>
          <w:sz w:val="24"/>
          <w:highlight w:val="none"/>
        </w:rPr>
      </w:pPr>
    </w:p>
    <w:p>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投标文件初审表（不可偏离条款）</w:t>
      </w:r>
    </w:p>
    <w:p>
      <w:pPr>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（凡有下列情形之一的，投标文件无效，投标作废标处理）</w:t>
      </w:r>
    </w:p>
    <w:tbl>
      <w:tblPr>
        <w:tblStyle w:val="21"/>
        <w:tblW w:w="868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7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7950" w:type="dxa"/>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投标</w:t>
            </w:r>
            <w:r>
              <w:rPr>
                <w:rFonts w:ascii="宋体" w:hAnsi="宋体" w:cs="宋体"/>
                <w:color w:val="auto"/>
                <w:kern w:val="0"/>
                <w:sz w:val="24"/>
                <w:szCs w:val="20"/>
                <w:highlight w:val="none"/>
              </w:rPr>
              <w:t>单位</w:t>
            </w:r>
            <w:r>
              <w:rPr>
                <w:rFonts w:hint="eastAsia" w:ascii="宋体" w:hAnsi="宋体" w:cs="宋体"/>
                <w:color w:val="auto"/>
                <w:sz w:val="24"/>
                <w:highlight w:val="none"/>
              </w:rPr>
              <w:t>不具备招标文件所列的资格要求，或未提交相应的资格证明资料（详见招标公告 投标</w:t>
            </w:r>
            <w:r>
              <w:rPr>
                <w:rFonts w:ascii="宋体" w:hAnsi="宋体" w:cs="宋体"/>
                <w:color w:val="auto"/>
                <w:kern w:val="0"/>
                <w:sz w:val="24"/>
                <w:szCs w:val="20"/>
                <w:highlight w:val="none"/>
              </w:rPr>
              <w:t>单位</w:t>
            </w:r>
            <w:r>
              <w:rPr>
                <w:rFonts w:hint="eastAsia" w:ascii="宋体" w:hAnsi="宋体" w:cs="宋体"/>
                <w:color w:val="auto"/>
                <w:sz w:val="24"/>
                <w:highlight w:val="none"/>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81" w:type="dxa"/>
            <w:gridSpan w:val="2"/>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将一个包中的内容拆开投标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投标文件及开标一览表未按规定密封、签字、盖章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未提供法定代表人/负责人证明书、法定代表人/负责人授权委托书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招标文件未规定允许有替代方案时，对同一项目投标时，同时提供两套或两套以上的投标方案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分项报价或投标总价高于财政预算限额或投标报价有严重缺漏项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同一项目出现两个及以上报价，按规定又无法确定哪个是有效报价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7</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报价合理性审查</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（三）投标（响应）报价低于采购项目最高限价45%的，即投标（响应）报价&lt;采购项目最高限价×45%；</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（四）其他评审委员会认为供应商报价过低，有可能影响产品质量或者不能诚信履约的情形。</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8</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投标文件载明的招标项目完成或服务期限不满足招标文件规定的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9</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所投货物或工程或服务在质量、技术、方案等方面没有实质性满足招标文件要求（是否实质性满足招标文件要求，由评标委员会来做出评判）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10</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《用户需求响应表》未按要求填写，经评审委员会认定存在不明或不实的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1" w:type="dxa"/>
            <w:vAlign w:val="center"/>
          </w:tcPr>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11</w:t>
            </w:r>
          </w:p>
        </w:tc>
        <w:tc>
          <w:tcPr>
            <w:tcW w:w="7950" w:type="dxa"/>
            <w:vAlign w:val="center"/>
          </w:tcPr>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法律、法规规定的其他情形</w:t>
            </w:r>
          </w:p>
        </w:tc>
      </w:tr>
    </w:tbl>
    <w:p>
      <w:pPr>
        <w:spacing w:line="360" w:lineRule="auto"/>
        <w:rPr>
          <w:rFonts w:hint="eastAsia" w:ascii="宋体" w:hAnsi="宋体" w:cs="宋体"/>
          <w:color w:val="auto"/>
          <w:sz w:val="24"/>
          <w:highlight w:val="none"/>
        </w:rPr>
      </w:pPr>
    </w:p>
    <w:p>
      <w:pPr>
        <w:spacing w:line="440" w:lineRule="exact"/>
        <w:jc w:val="center"/>
        <w:outlineLvl w:val="1"/>
        <w:rPr>
          <w:rFonts w:hint="eastAsia" w:ascii="仿宋" w:hAnsi="仿宋" w:eastAsia="仿宋" w:cs="仿宋"/>
          <w:color w:val="auto"/>
          <w:sz w:val="32"/>
          <w:szCs w:val="32"/>
          <w:highlight w:val="none"/>
        </w:rPr>
      </w:pPr>
      <w:r>
        <w:rPr>
          <w:rFonts w:hint="eastAsia" w:ascii="宋体" w:hAnsi="宋体" w:cs="宋体"/>
          <w:b/>
          <w:bCs/>
          <w:color w:val="auto"/>
          <w:sz w:val="24"/>
          <w:highlight w:val="none"/>
        </w:rPr>
        <w:br w:type="page"/>
      </w:r>
      <w:bookmarkStart w:id="21" w:name="_Toc834"/>
      <w:bookmarkStart w:id="22" w:name="_Hlk28269117"/>
      <w:r>
        <w:rPr>
          <w:rFonts w:hint="eastAsia" w:ascii="仿宋" w:hAnsi="仿宋" w:eastAsia="仿宋" w:cs="仿宋"/>
          <w:b/>
          <w:bCs/>
          <w:color w:val="auto"/>
          <w:sz w:val="32"/>
          <w:szCs w:val="32"/>
          <w:highlight w:val="none"/>
        </w:rPr>
        <w:t>招标项目评分表</w:t>
      </w:r>
    </w:p>
    <w:tbl>
      <w:tblPr>
        <w:tblStyle w:val="21"/>
        <w:tblW w:w="86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168"/>
        <w:gridCol w:w="5135"/>
        <w:gridCol w:w="750"/>
        <w:gridCol w:w="83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8611" w:type="dxa"/>
            <w:gridSpan w:val="5"/>
            <w:shd w:val="clear" w:color="auto" w:fill="D9D9D9"/>
            <w:vAlign w:val="center"/>
          </w:tcPr>
          <w:p>
            <w:pPr>
              <w:autoSpaceDE w:val="0"/>
              <w:autoSpaceDN w:val="0"/>
              <w:adjustRightInd w:val="0"/>
              <w:jc w:val="center"/>
              <w:rPr>
                <w:rFonts w:hint="eastAsia" w:ascii="宋体" w:hAnsi="宋体" w:cs="宋体"/>
                <w:b/>
                <w:color w:val="auto"/>
                <w:szCs w:val="21"/>
                <w:highlight w:val="none"/>
                <w:lang w:val="zh-CN"/>
              </w:rPr>
            </w:pPr>
            <w:r>
              <w:rPr>
                <w:rFonts w:hint="eastAsia" w:ascii="宋体" w:hAnsi="宋体" w:cs="宋体"/>
                <w:b/>
                <w:color w:val="auto"/>
                <w:szCs w:val="21"/>
                <w:highlight w:val="none"/>
                <w:lang w:val="zh-CN"/>
              </w:rPr>
              <w:t>一、价格部分（</w:t>
            </w:r>
            <w:r>
              <w:rPr>
                <w:rFonts w:hint="eastAsia" w:ascii="宋体" w:hAnsi="宋体" w:cs="宋体"/>
                <w:b/>
                <w:color w:val="auto"/>
                <w:szCs w:val="21"/>
                <w:highlight w:val="none"/>
              </w:rPr>
              <w:t>10</w:t>
            </w:r>
            <w:r>
              <w:rPr>
                <w:rFonts w:hint="eastAsia" w:ascii="宋体" w:hAnsi="宋体" w:cs="宋体"/>
                <w:b/>
                <w:color w:val="auto"/>
                <w:szCs w:val="21"/>
                <w:highlight w:val="none"/>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序号</w:t>
            </w:r>
          </w:p>
        </w:tc>
        <w:tc>
          <w:tcPr>
            <w:tcW w:w="1168"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内容</w:t>
            </w:r>
          </w:p>
        </w:tc>
        <w:tc>
          <w:tcPr>
            <w:tcW w:w="5135"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评分规则</w:t>
            </w:r>
          </w:p>
        </w:tc>
        <w:tc>
          <w:tcPr>
            <w:tcW w:w="750"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分值</w:t>
            </w:r>
          </w:p>
        </w:tc>
        <w:tc>
          <w:tcPr>
            <w:tcW w:w="836"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1</w:t>
            </w:r>
          </w:p>
        </w:tc>
        <w:tc>
          <w:tcPr>
            <w:tcW w:w="1168"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b/>
                <w:color w:val="auto"/>
                <w:szCs w:val="21"/>
                <w:highlight w:val="none"/>
              </w:rPr>
              <w:t>投标报价</w:t>
            </w:r>
          </w:p>
        </w:tc>
        <w:tc>
          <w:tcPr>
            <w:tcW w:w="5135" w:type="dxa"/>
            <w:vAlign w:val="center"/>
          </w:tcPr>
          <w:p>
            <w:pPr>
              <w:jc w:val="left"/>
              <w:rPr>
                <w:rFonts w:hint="eastAsia" w:ascii="宋体" w:hAnsi="宋体" w:cs="宋体"/>
                <w:color w:val="auto"/>
                <w:szCs w:val="21"/>
                <w:highlight w:val="none"/>
              </w:rPr>
            </w:pPr>
            <w:r>
              <w:rPr>
                <w:rFonts w:hint="eastAsia" w:ascii="宋体" w:hAnsi="宋体" w:cs="宋体"/>
                <w:color w:val="auto"/>
                <w:szCs w:val="21"/>
                <w:highlight w:val="none"/>
              </w:rPr>
              <w:t>价格分计算方法：</w:t>
            </w:r>
          </w:p>
          <w:p>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采用低价优先法计算，即满足招标文件要求且投标价格最低的投标报价为评标基准价，其价格分为满分。其他投标人的价格分统一按照下列公式计算： </w:t>
            </w:r>
          </w:p>
          <w:p>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投标报价得分=(评标基准价／投标报价)×10 </w:t>
            </w:r>
          </w:p>
          <w:p>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评标总得分＝F1×A1＋F2×A2＋……＋Fn×An </w:t>
            </w:r>
          </w:p>
          <w:p>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F1、F2……Fn分别为各项评审因素的得分； </w:t>
            </w:r>
          </w:p>
          <w:p>
            <w:pPr>
              <w:jc w:val="left"/>
              <w:rPr>
                <w:rFonts w:hint="eastAsia" w:ascii="宋体" w:hAnsi="宋体" w:cs="宋体"/>
                <w:color w:val="auto"/>
                <w:szCs w:val="21"/>
                <w:highlight w:val="none"/>
              </w:rPr>
            </w:pPr>
            <w:r>
              <w:rPr>
                <w:rFonts w:hint="eastAsia" w:ascii="宋体" w:hAnsi="宋体" w:cs="宋体"/>
                <w:color w:val="auto"/>
                <w:szCs w:val="21"/>
                <w:highlight w:val="none"/>
              </w:rPr>
              <w:t xml:space="preserve">A1、A2、……An 分别为各项评审因素所占的权重(A1＋A2＋……＋An＝1)。 </w:t>
            </w:r>
          </w:p>
          <w:p>
            <w:pPr>
              <w:jc w:val="left"/>
              <w:rPr>
                <w:rFonts w:hint="eastAsia" w:ascii="宋体" w:hAnsi="宋体" w:cs="宋体"/>
                <w:color w:val="auto"/>
                <w:szCs w:val="21"/>
                <w:highlight w:val="none"/>
              </w:rPr>
            </w:pPr>
            <w:r>
              <w:rPr>
                <w:rFonts w:hint="eastAsia" w:ascii="宋体" w:hAnsi="宋体" w:cs="宋体"/>
                <w:color w:val="auto"/>
                <w:szCs w:val="21"/>
                <w:highlight w:val="none"/>
              </w:rPr>
              <w:t>评标过程中，不得去掉报价中的最高报价和最低报价。</w:t>
            </w:r>
          </w:p>
          <w:p>
            <w:pPr>
              <w:jc w:val="left"/>
              <w:rPr>
                <w:rFonts w:hint="eastAsia" w:ascii="宋体" w:hAnsi="宋体" w:cs="宋体"/>
                <w:color w:val="auto"/>
                <w:szCs w:val="21"/>
                <w:highlight w:val="none"/>
              </w:rPr>
            </w:pPr>
            <w:r>
              <w:rPr>
                <w:rFonts w:hint="eastAsia" w:ascii="宋体" w:hAnsi="宋体" w:cs="宋体"/>
                <w:color w:val="auto"/>
                <w:szCs w:val="21"/>
                <w:highlight w:val="none"/>
              </w:rPr>
              <w:t>因落实政府采购政策进行价格调整的，以调整后的价格计算评标基准价和投标报价。</w:t>
            </w:r>
          </w:p>
          <w:p>
            <w:pPr>
              <w:jc w:val="left"/>
              <w:rPr>
                <w:rFonts w:hint="eastAsia" w:ascii="宋体" w:hAnsi="宋体" w:cs="宋体"/>
                <w:color w:val="auto"/>
                <w:szCs w:val="21"/>
                <w:highlight w:val="none"/>
              </w:rPr>
            </w:pPr>
            <w:r>
              <w:rPr>
                <w:rFonts w:hint="eastAsia" w:ascii="宋体" w:hAnsi="宋体" w:cs="宋体"/>
                <w:color w:val="auto"/>
                <w:szCs w:val="21"/>
                <w:highlight w:val="none"/>
              </w:rPr>
              <w:t>1.价格评分仅限于有效投标人，当价格分&lt;0时，取0。</w:t>
            </w:r>
          </w:p>
          <w:p>
            <w:pPr>
              <w:jc w:val="left"/>
              <w:rPr>
                <w:rFonts w:hint="eastAsia" w:ascii="宋体" w:hAnsi="宋体" w:cs="宋体"/>
                <w:color w:val="auto"/>
                <w:szCs w:val="21"/>
                <w:highlight w:val="none"/>
              </w:rPr>
            </w:pPr>
            <w:r>
              <w:rPr>
                <w:rFonts w:hint="eastAsia" w:ascii="宋体" w:hAnsi="宋体" w:cs="宋体"/>
                <w:color w:val="auto"/>
                <w:szCs w:val="21"/>
                <w:highlight w:val="none"/>
              </w:rPr>
              <w:t>2.根据财库〔2020〕46号、财库〔2014〕68号及财库〔2017〕141号及（深财购〔2022〕31号）文件规定：本项目非专门面向中小企业的项目，对小型和微型企业、监狱企业或残疾人福利性企业产品的价格给予10%的扣除，用扣除后的价格即为“经评审合格的投标报价”参与价格评审。</w:t>
            </w:r>
          </w:p>
          <w:p>
            <w:pPr>
              <w:jc w:val="left"/>
              <w:rPr>
                <w:rFonts w:hint="eastAsia" w:ascii="宋体" w:hAnsi="宋体" w:cs="宋体"/>
                <w:color w:val="auto"/>
                <w:szCs w:val="21"/>
                <w:highlight w:val="none"/>
              </w:rPr>
            </w:pPr>
            <w:r>
              <w:rPr>
                <w:rFonts w:hint="eastAsia" w:ascii="宋体" w:hAnsi="宋体" w:cs="宋体"/>
                <w:color w:val="auto"/>
                <w:szCs w:val="21"/>
                <w:highlight w:val="none"/>
              </w:rPr>
              <w:t>监狱企业应当提供由省级以上监狱管理局、戒毒管理局（含新疆生产建设兵团）出具的属于监狱企业的证明文件，中小企业提供中小企业声明函，残疾人福利性企业提供残疾人福利性企业声明函。</w:t>
            </w:r>
          </w:p>
          <w:p>
            <w:pPr>
              <w:jc w:val="left"/>
              <w:rPr>
                <w:rFonts w:hint="eastAsia" w:ascii="宋体" w:hAnsi="宋体" w:cs="宋体"/>
                <w:color w:val="auto"/>
                <w:szCs w:val="21"/>
                <w:highlight w:val="none"/>
              </w:rPr>
            </w:pPr>
            <w:r>
              <w:rPr>
                <w:rFonts w:hint="eastAsia" w:ascii="宋体" w:hAnsi="宋体" w:cs="宋体"/>
                <w:color w:val="auto"/>
                <w:szCs w:val="21"/>
                <w:highlight w:val="none"/>
              </w:rPr>
              <w:t>2、关于享受对本国产品的政府采购支持政策的主体、价格扣除比例等事项的说明</w:t>
            </w:r>
          </w:p>
          <w:p>
            <w:pPr>
              <w:jc w:val="left"/>
              <w:rPr>
                <w:rFonts w:hint="eastAsia" w:ascii="宋体" w:hAnsi="宋体" w:cs="宋体"/>
                <w:color w:val="auto"/>
                <w:szCs w:val="21"/>
                <w:highlight w:val="none"/>
              </w:rPr>
            </w:pPr>
            <w:r>
              <w:rPr>
                <w:rFonts w:hint="eastAsia" w:ascii="宋体" w:hAnsi="宋体" w:cs="宋体"/>
                <w:color w:val="auto"/>
                <w:szCs w:val="21"/>
                <w:highlight w:val="none"/>
              </w:rPr>
              <w:t>（1）适用主体：国有企业、民营企业、外资企业等各类经营主体平等享受对本国产品的政府采购支持政策。</w:t>
            </w:r>
          </w:p>
          <w:p>
            <w:pPr>
              <w:jc w:val="left"/>
              <w:rPr>
                <w:rFonts w:hint="eastAsia" w:ascii="宋体" w:hAnsi="宋体" w:cs="宋体"/>
                <w:color w:val="auto"/>
                <w:szCs w:val="21"/>
                <w:highlight w:val="none"/>
              </w:rPr>
            </w:pPr>
            <w:r>
              <w:rPr>
                <w:rFonts w:hint="eastAsia" w:ascii="宋体" w:hAnsi="宋体" w:cs="宋体"/>
                <w:color w:val="auto"/>
                <w:szCs w:val="21"/>
                <w:highlight w:val="none"/>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jc w:val="left"/>
              <w:rPr>
                <w:rFonts w:hint="eastAsia" w:ascii="宋体" w:hAnsi="宋体" w:cs="宋体"/>
                <w:color w:val="auto"/>
                <w:szCs w:val="21"/>
                <w:highlight w:val="none"/>
              </w:rPr>
            </w:pPr>
            <w:r>
              <w:rPr>
                <w:rFonts w:hint="eastAsia" w:ascii="宋体" w:hAnsi="宋体" w:cs="宋体"/>
                <w:color w:val="auto"/>
                <w:szCs w:val="21"/>
                <w:highlight w:val="none"/>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jc w:val="left"/>
              <w:rPr>
                <w:rFonts w:hint="eastAsia" w:ascii="宋体" w:hAnsi="宋体" w:cs="宋体"/>
                <w:color w:val="auto"/>
                <w:szCs w:val="21"/>
                <w:highlight w:val="none"/>
              </w:rPr>
            </w:pPr>
            <w:r>
              <w:rPr>
                <w:rFonts w:hint="eastAsia" w:ascii="宋体" w:hAnsi="宋体" w:cs="宋体"/>
                <w:color w:val="auto"/>
                <w:szCs w:val="21"/>
                <w:highlight w:val="none"/>
              </w:rPr>
              <w:t>（4）供应商出具符合要求的《关于符合本国产品标准的声明函》或财政部会同有关部门规定的有关证明文件，该产品视为本国产品。</w:t>
            </w:r>
          </w:p>
          <w:p>
            <w:pPr>
              <w:jc w:val="left"/>
              <w:rPr>
                <w:rFonts w:hint="eastAsia" w:ascii="宋体" w:hAnsi="宋体" w:cs="宋体"/>
                <w:color w:val="auto"/>
                <w:szCs w:val="21"/>
                <w:highlight w:val="none"/>
              </w:rPr>
            </w:pPr>
            <w:r>
              <w:rPr>
                <w:rFonts w:hint="eastAsia" w:ascii="宋体" w:hAnsi="宋体" w:cs="宋体"/>
                <w:color w:val="auto"/>
                <w:szCs w:val="21"/>
                <w:highlight w:val="none"/>
              </w:rPr>
              <w:t>3、关于同时满足中小企业扶持政策和对本国产品的支持政策的事项说明</w:t>
            </w:r>
          </w:p>
          <w:p>
            <w:pPr>
              <w:jc w:val="left"/>
              <w:rPr>
                <w:rFonts w:hint="eastAsia" w:ascii="宋体" w:hAnsi="宋体" w:cs="宋体"/>
                <w:color w:val="auto"/>
                <w:szCs w:val="21"/>
                <w:highlight w:val="none"/>
              </w:rPr>
            </w:pPr>
            <w:r>
              <w:rPr>
                <w:rFonts w:hint="eastAsia" w:ascii="宋体" w:hAnsi="宋体" w:cs="宋体"/>
                <w:color w:val="auto"/>
                <w:szCs w:val="21"/>
                <w:highlight w:val="none"/>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jc w:val="left"/>
              <w:rPr>
                <w:rFonts w:hint="eastAsia" w:ascii="宋体" w:hAnsi="宋体" w:cs="宋体"/>
                <w:color w:val="auto"/>
                <w:szCs w:val="21"/>
                <w:highlight w:val="none"/>
              </w:rPr>
            </w:pPr>
            <w:r>
              <w:rPr>
                <w:rFonts w:hint="eastAsia" w:ascii="宋体" w:hAnsi="宋体" w:cs="宋体"/>
                <w:color w:val="auto"/>
                <w:szCs w:val="21"/>
                <w:highlight w:val="none"/>
              </w:rPr>
              <w:t>（1）预留份额专门面向中小企业采购的项目，不再享受小微企业价格扣除优惠。若供应商所投货物同时满足对本国产品的支持政策的规定，应享受该政策20%价格扣除优惠；</w:t>
            </w:r>
          </w:p>
          <w:p>
            <w:pPr>
              <w:jc w:val="left"/>
              <w:rPr>
                <w:rFonts w:hint="eastAsia" w:ascii="宋体" w:hAnsi="宋体" w:cs="宋体"/>
                <w:color w:val="auto"/>
                <w:szCs w:val="21"/>
                <w:highlight w:val="none"/>
              </w:rPr>
            </w:pPr>
            <w:r>
              <w:rPr>
                <w:rFonts w:hint="eastAsia" w:ascii="宋体" w:hAnsi="宋体" w:cs="宋体"/>
                <w:color w:val="auto"/>
                <w:szCs w:val="21"/>
                <w:highlight w:val="none"/>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750"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8611" w:type="dxa"/>
            <w:gridSpan w:val="5"/>
            <w:shd w:val="clear" w:color="auto" w:fill="D9D9D9"/>
            <w:vAlign w:val="center"/>
          </w:tcPr>
          <w:p>
            <w:pPr>
              <w:autoSpaceDE w:val="0"/>
              <w:autoSpaceDN w:val="0"/>
              <w:adjustRightInd w:val="0"/>
              <w:jc w:val="center"/>
              <w:rPr>
                <w:rFonts w:hint="eastAsia" w:ascii="宋体" w:hAnsi="宋体" w:cs="宋体"/>
                <w:b/>
                <w:color w:val="auto"/>
                <w:szCs w:val="21"/>
                <w:highlight w:val="none"/>
                <w:lang w:val="zh-CN"/>
              </w:rPr>
            </w:pPr>
            <w:r>
              <w:rPr>
                <w:rFonts w:hint="eastAsia" w:ascii="宋体" w:hAnsi="宋体" w:cs="宋体"/>
                <w:b/>
                <w:color w:val="auto"/>
                <w:szCs w:val="21"/>
                <w:highlight w:val="none"/>
                <w:lang w:val="zh-CN"/>
              </w:rPr>
              <w:t>二、商务部分（</w:t>
            </w:r>
            <w:r>
              <w:rPr>
                <w:rFonts w:hint="eastAsia" w:ascii="宋体" w:hAnsi="宋体" w:cs="宋体"/>
                <w:b/>
                <w:color w:val="auto"/>
                <w:szCs w:val="21"/>
                <w:highlight w:val="none"/>
              </w:rPr>
              <w:t>50</w:t>
            </w:r>
            <w:r>
              <w:rPr>
                <w:rFonts w:hint="eastAsia" w:ascii="宋体" w:hAnsi="宋体" w:cs="宋体"/>
                <w:b/>
                <w:color w:val="auto"/>
                <w:szCs w:val="21"/>
                <w:highlight w:val="none"/>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序号</w:t>
            </w:r>
          </w:p>
        </w:tc>
        <w:tc>
          <w:tcPr>
            <w:tcW w:w="1168"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内容</w:t>
            </w:r>
          </w:p>
        </w:tc>
        <w:tc>
          <w:tcPr>
            <w:tcW w:w="5135"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评分规则</w:t>
            </w:r>
          </w:p>
        </w:tc>
        <w:tc>
          <w:tcPr>
            <w:tcW w:w="750"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分值</w:t>
            </w:r>
          </w:p>
        </w:tc>
        <w:tc>
          <w:tcPr>
            <w:tcW w:w="836"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bookmarkStart w:id="23" w:name="OLE_LINK28" w:colFirst="1" w:colLast="1"/>
            <w:r>
              <w:rPr>
                <w:rFonts w:hint="eastAsia" w:ascii="宋体" w:hAnsi="宋体" w:cs="宋体"/>
                <w:color w:val="auto"/>
                <w:szCs w:val="21"/>
                <w:highlight w:val="none"/>
              </w:rPr>
              <w:t>1</w:t>
            </w:r>
          </w:p>
        </w:tc>
        <w:tc>
          <w:tcPr>
            <w:tcW w:w="1168"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同类项目业绩情况</w:t>
            </w:r>
          </w:p>
        </w:tc>
        <w:tc>
          <w:tcPr>
            <w:tcW w:w="5135" w:type="dxa"/>
          </w:tcPr>
          <w:p>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（一）评分内容：</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自2023年1月1日起至投标截止之日止（以合同签订日期为准），投标人具有：</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1.具有运营公共平台或提供行业服务相关经验的得6分；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2.具有游戏行业相关研究经验，并形成课题或书籍或文字材料或新闻报道等成果的得6分；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3.具有举办产业对接会或行业论坛或政策宣讲会等活动相关经验，每提供1次活动支持证明得4分，最高得8分；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以上累计计分，满分20分。</w:t>
            </w:r>
          </w:p>
          <w:p>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（二）评分依据：</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1.涉及运营公共平台、提供行业服务相关经验的，需业绩合同关键页（包括但不限于合同封面、合作内容、签订时间、双方盖章页等）扫描件（或复印件）。</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2.涉及行业相关研究经验的，需提供可体现投标人信息的相关课题或书籍或文字材料或新闻报道等成果证明材料关键页扫描件（或复印件）。</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3.涉及举办产业对接会或行业论坛或政策宣讲会等活动相关经验的，需提供活动现场照片（需体现投标人）或业绩合同关键页（包括但不限于合同封面、合作内容、签订时间、双方盖章页等）扫描件（或复印件）或新闻报道。</w:t>
            </w:r>
          </w:p>
          <w:p>
            <w:pPr>
              <w:rPr>
                <w:rFonts w:hint="eastAsia" w:ascii="宋体" w:hAnsi="宋体" w:cs="宋体"/>
                <w:color w:val="auto"/>
                <w:szCs w:val="21"/>
                <w:highlight w:val="none"/>
              </w:rPr>
            </w:pPr>
            <w:r>
              <w:rPr>
                <w:rFonts w:hint="eastAsia" w:ascii="宋体" w:hAnsi="宋体" w:cs="宋体"/>
                <w:color w:val="auto"/>
                <w:kern w:val="0"/>
                <w:szCs w:val="21"/>
                <w:highlight w:val="none"/>
              </w:rPr>
              <w:t>4.以上资料均要求提供扫描件（或复印件），原件备查。投标人提供虚假材料的，将做无效投标处理，涉嫌存在违法违规行为的，依法报主管部门处理处罚。评分中出现无证明资料或专家无法凭所提供资料判断是否得分的情况，一律作不得分处理。</w:t>
            </w:r>
          </w:p>
        </w:tc>
        <w:tc>
          <w:tcPr>
            <w:tcW w:w="750"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68"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项目负责人（仅一人）情况</w:t>
            </w:r>
          </w:p>
        </w:tc>
        <w:tc>
          <w:tcPr>
            <w:tcW w:w="5135" w:type="dxa"/>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（一）评分内容：</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拟安排的项目负责人需为本单位人员，否则本项不得分，在此基础上：</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1.具有公共平台项目运营经验，每提供1项运营业绩得3分，最高得6分。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2.具有游戏行业相关工作经验（含行业研究或企业服务或材料撰写等）5年(含)或以上的，得4分。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以上累计计分，满分10分。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（二）评分依据：</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需提供通过投标人缴纳的近三个月任意一个月的社保证明作为本单位员工的证明依据。如供应商为新成立单位且成立时间不足一个月的，可提供加盖公章的情况说明亦视为符合。如为退休返聘人员提供退休证明和聘用合同。</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2.相关工作经验需提供业绩合同关键页（包括但不限于合同封面、合作内容、签订时间、双方盖章页、人员信息页等）扫描件或复印件。以提供业绩合同最早的签订时间为起始时间计算工作经验年限。</w:t>
            </w:r>
            <w:r>
              <w:rPr>
                <w:color w:val="auto"/>
                <w:highlight w:val="none"/>
              </w:rPr>
              <w:t>如合同关键页无法体现评分要求的，可同时补充提供合同甲方出具并盖章的证明材料扫描件</w:t>
            </w:r>
            <w:r>
              <w:rPr>
                <w:rFonts w:hint="eastAsia"/>
                <w:color w:val="auto"/>
                <w:highlight w:val="none"/>
              </w:rPr>
              <w:t>或复印件</w:t>
            </w:r>
            <w:r>
              <w:rPr>
                <w:color w:val="auto"/>
                <w:highlight w:val="none"/>
              </w:rPr>
              <w:t>；</w:t>
            </w:r>
            <w:r>
              <w:rPr>
                <w:rFonts w:hint="eastAsia"/>
                <w:color w:val="auto"/>
                <w:highlight w:val="none"/>
              </w:rPr>
              <w:t>未提供或提供不符合要求的不得分。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3.以上资料均要求提供扫描件（或复印件），原件备查。投标人提供虚假材料的，将做无效投标处理，涉嫌存在违法违规行为的，依法报主管部门处理处罚。评分中出现无证明资料或专家无法凭所提供资料判断是否得分的情况，一律作不得分处理。</w:t>
            </w:r>
          </w:p>
        </w:tc>
        <w:tc>
          <w:tcPr>
            <w:tcW w:w="750"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168" w:type="dxa"/>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服务团队成员（项目负责人除外）</w:t>
            </w:r>
          </w:p>
        </w:tc>
        <w:tc>
          <w:tcPr>
            <w:tcW w:w="5135" w:type="dxa"/>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（一）评分内容：</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拟安排的团队成员不低于4人（项目负责人除外），需为本单位人员，否则本项不得分，在此基础上：</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1.团队成员具有游戏行业相关专业本科学历的，提供1人得1分，最高得4分；具有游戏行业相关专业硕士研究生或以上学历的，提供一人得1.5分，最高得6分；本项最高得6分</w:t>
            </w:r>
            <w:r>
              <w:rPr>
                <w:rFonts w:hint="eastAsia" w:ascii="宋体" w:hAnsi="宋体" w:cs="宋体"/>
                <w:color w:val="auto"/>
                <w:kern w:val="0"/>
                <w:szCs w:val="21"/>
                <w:highlight w:val="none"/>
                <w:lang w:eastAsia="zh-CN"/>
              </w:rPr>
              <w:t>（相关专业包含游戏设计、游戏研发、数字媒体艺术、动画、虚拟现实技术、数字媒体技术、艺术与科技等专业）</w:t>
            </w:r>
            <w:r>
              <w:rPr>
                <w:rFonts w:hint="eastAsia" w:ascii="宋体" w:hAnsi="宋体" w:cs="宋体"/>
                <w:color w:val="auto"/>
                <w:kern w:val="0"/>
                <w:szCs w:val="21"/>
                <w:highlight w:val="none"/>
              </w:rPr>
              <w:t>；</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自2023年1月1日起至本项目投标截止之日止（以合同签订日期为准），团队成员具有游戏行业相关工作经验（含行业研究或企业服务或材料撰写等）3年(含)或以上的，提供一人得2分，满分4分；同一项目多人参与可重复计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同一人员同时具备1、2项要求，可重复计分，学历只可按最高学历计取分数，满分10分。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（二）评分依据：</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1.需提供通过投标人缴纳的近三个月任意一个月的社保证明作为本单位员工的证明依据。如供应商为新成立单位且成立时间不足一个月的，可提供加盖公章的情况说明亦视为符合。如为退休返聘人员提供退休证明和聘用合同。</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2.学历证明：学历证明需提供毕业证书复印件及学信网查询截图，原件备查。对于较早颁发的毕业证书，学信网无法查询的，除要求提供证书扫描件（或复印件），需要提供其他佐证材料（如毕业院校、人社部门等颁发机构或监管机构等单位出具的证明）作为可以得分的依据。（若为境外留学学历，无需提供学信网查询记录，需提供教育部留学服务中心出具的学历学位认证书）。</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3.相关工作经验需提供业绩合同关键页（包括但不限于合同封面、合作内容、签订时间、双方盖章页、人员信息页等）扫描件或复印件。以提供业绩合同最早的签订时间为起始时间计算工作经验年限。</w:t>
            </w:r>
            <w:r>
              <w:rPr>
                <w:color w:val="auto"/>
                <w:highlight w:val="none"/>
              </w:rPr>
              <w:t>如合同关键页无法体现评分要求的，可同时补充提供合同甲方出具并盖章的证明材料扫描件</w:t>
            </w:r>
            <w:r>
              <w:rPr>
                <w:rFonts w:hint="eastAsia"/>
                <w:color w:val="auto"/>
                <w:highlight w:val="none"/>
              </w:rPr>
              <w:t>或复印件</w:t>
            </w:r>
            <w:r>
              <w:rPr>
                <w:color w:val="auto"/>
                <w:highlight w:val="none"/>
              </w:rPr>
              <w:t>；</w:t>
            </w:r>
            <w:r>
              <w:rPr>
                <w:rFonts w:hint="eastAsia"/>
                <w:color w:val="auto"/>
                <w:highlight w:val="none"/>
              </w:rPr>
              <w:t>未提供或提供不符合要求的不得分。</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4.以上资料均要求提供扫描件（或复印件），原件备查。投标人提供虚假材料的，将做无效投标处理，涉嫌存在违法违规行为的，依法报主管部门处理处罚。评分中出现无证明资料或专家无法凭所提供资料判断是否得分的情况，一律作不得分处理。  </w:t>
            </w:r>
          </w:p>
        </w:tc>
        <w:tc>
          <w:tcPr>
            <w:tcW w:w="750" w:type="dxa"/>
            <w:vAlign w:val="center"/>
          </w:tcPr>
          <w:p>
            <w:pPr>
              <w:rPr>
                <w:rFonts w:hint="eastAsia" w:ascii="宋体" w:hAnsi="宋体" w:cs="宋体"/>
                <w:color w:val="auto"/>
                <w:kern w:val="0"/>
                <w:szCs w:val="21"/>
                <w:highlight w:val="none"/>
              </w:rPr>
            </w:pPr>
            <w:r>
              <w:rPr>
                <w:rFonts w:hint="eastAsia" w:ascii="宋体" w:hAnsi="宋体" w:cs="宋体"/>
                <w:color w:val="auto"/>
                <w:kern w:val="0"/>
                <w:szCs w:val="21"/>
                <w:highlight w:val="none"/>
              </w:rPr>
              <w:t>10</w:t>
            </w:r>
          </w:p>
        </w:tc>
        <w:tc>
          <w:tcPr>
            <w:tcW w:w="836" w:type="dxa"/>
            <w:vAlign w:val="center"/>
          </w:tcPr>
          <w:p>
            <w:pPr>
              <w:rPr>
                <w:rFonts w:hint="eastAsia" w:ascii="宋体" w:hAnsi="宋体" w:cs="宋体"/>
                <w:color w:val="auto"/>
                <w:kern w:val="0"/>
                <w:szCs w:val="21"/>
                <w:highlight w:val="none"/>
                <w:lang w:val="zh-CN"/>
              </w:rPr>
            </w:pPr>
            <w:r>
              <w:rPr>
                <w:rFonts w:hint="eastAsia" w:ascii="宋体" w:hAnsi="宋体" w:cs="宋体"/>
                <w:color w:val="auto"/>
                <w:kern w:val="0"/>
                <w:szCs w:val="21"/>
                <w:highlight w:val="none"/>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168"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服务</w:t>
            </w:r>
            <w:r>
              <w:rPr>
                <w:rFonts w:hint="eastAsia" w:ascii="宋体" w:hAnsi="宋体" w:cs="宋体"/>
                <w:color w:val="auto"/>
                <w:szCs w:val="21"/>
                <w:highlight w:val="none"/>
              </w:rPr>
              <w:t>响应时间</w:t>
            </w:r>
          </w:p>
        </w:tc>
        <w:tc>
          <w:tcPr>
            <w:tcW w:w="5135" w:type="dxa"/>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投标人承诺对</w:t>
            </w:r>
            <w:r>
              <w:rPr>
                <w:rFonts w:hint="eastAsia" w:ascii="宋体" w:hAnsi="宋体" w:cs="宋体"/>
                <w:color w:val="auto"/>
                <w:szCs w:val="21"/>
                <w:highlight w:val="none"/>
              </w:rPr>
              <w:t>采购人</w:t>
            </w:r>
            <w:r>
              <w:rPr>
                <w:rFonts w:hint="eastAsia" w:ascii="宋体" w:hAnsi="宋体" w:cs="宋体"/>
                <w:color w:val="auto"/>
                <w:szCs w:val="21"/>
                <w:highlight w:val="none"/>
                <w:lang w:val="zh-CN"/>
              </w:rPr>
              <w:t>服务的响应时间为</w:t>
            </w:r>
            <w:r>
              <w:rPr>
                <w:rFonts w:hint="eastAsia" w:ascii="宋体" w:hAnsi="宋体" w:cs="宋体"/>
                <w:color w:val="auto"/>
                <w:szCs w:val="21"/>
                <w:highlight w:val="none"/>
              </w:rPr>
              <w:t>24</w:t>
            </w:r>
            <w:r>
              <w:rPr>
                <w:rFonts w:hint="eastAsia" w:ascii="宋体" w:hAnsi="宋体" w:cs="宋体"/>
                <w:color w:val="auto"/>
                <w:szCs w:val="21"/>
                <w:highlight w:val="none"/>
                <w:lang w:val="zh-CN"/>
              </w:rPr>
              <w:t>小时</w:t>
            </w:r>
            <w:r>
              <w:rPr>
                <w:rFonts w:hint="eastAsia" w:ascii="宋体" w:hAnsi="宋体" w:cs="宋体"/>
                <w:color w:val="auto"/>
                <w:szCs w:val="21"/>
                <w:highlight w:val="none"/>
              </w:rPr>
              <w:t>(含)</w:t>
            </w:r>
            <w:r>
              <w:rPr>
                <w:rFonts w:hint="eastAsia" w:ascii="宋体" w:hAnsi="宋体" w:cs="宋体"/>
                <w:color w:val="auto"/>
                <w:szCs w:val="21"/>
                <w:highlight w:val="none"/>
                <w:lang w:val="zh-CN"/>
              </w:rPr>
              <w:t>内，得</w:t>
            </w:r>
            <w:r>
              <w:rPr>
                <w:rFonts w:hint="eastAsia" w:ascii="宋体" w:hAnsi="宋体" w:cs="宋体"/>
                <w:color w:val="auto"/>
                <w:szCs w:val="21"/>
                <w:highlight w:val="none"/>
              </w:rPr>
              <w:t>5</w:t>
            </w:r>
            <w:r>
              <w:rPr>
                <w:rFonts w:hint="eastAsia" w:ascii="宋体" w:hAnsi="宋体" w:cs="宋体"/>
                <w:color w:val="auto"/>
                <w:szCs w:val="21"/>
                <w:highlight w:val="none"/>
                <w:lang w:val="zh-CN"/>
              </w:rPr>
              <w:t>分，对</w:t>
            </w:r>
            <w:r>
              <w:rPr>
                <w:rFonts w:hint="eastAsia" w:ascii="宋体" w:hAnsi="宋体" w:cs="宋体"/>
                <w:color w:val="auto"/>
                <w:szCs w:val="21"/>
                <w:highlight w:val="none"/>
              </w:rPr>
              <w:t>采购人</w:t>
            </w:r>
            <w:r>
              <w:rPr>
                <w:rFonts w:hint="eastAsia" w:ascii="宋体" w:hAnsi="宋体" w:cs="宋体"/>
                <w:color w:val="auto"/>
                <w:szCs w:val="21"/>
                <w:highlight w:val="none"/>
                <w:lang w:val="zh-CN"/>
              </w:rPr>
              <w:t>服务的响应时间为</w:t>
            </w:r>
            <w:r>
              <w:rPr>
                <w:rFonts w:hint="eastAsia" w:ascii="宋体" w:hAnsi="宋体" w:cs="宋体"/>
                <w:color w:val="auto"/>
                <w:szCs w:val="21"/>
                <w:highlight w:val="none"/>
              </w:rPr>
              <w:t>24小时（不含）以上48</w:t>
            </w:r>
            <w:r>
              <w:rPr>
                <w:rFonts w:hint="eastAsia" w:ascii="宋体" w:hAnsi="宋体" w:cs="宋体"/>
                <w:color w:val="auto"/>
                <w:szCs w:val="21"/>
                <w:highlight w:val="none"/>
                <w:lang w:val="zh-CN"/>
              </w:rPr>
              <w:t>小时</w:t>
            </w:r>
            <w:r>
              <w:rPr>
                <w:rFonts w:hint="eastAsia" w:ascii="宋体" w:hAnsi="宋体" w:cs="宋体"/>
                <w:color w:val="auto"/>
                <w:szCs w:val="21"/>
                <w:highlight w:val="none"/>
              </w:rPr>
              <w:t>(含)</w:t>
            </w:r>
            <w:r>
              <w:rPr>
                <w:rFonts w:hint="eastAsia" w:ascii="宋体" w:hAnsi="宋体" w:cs="宋体"/>
                <w:color w:val="auto"/>
                <w:szCs w:val="21"/>
                <w:highlight w:val="none"/>
                <w:lang w:val="zh-CN"/>
              </w:rPr>
              <w:t>内，得</w:t>
            </w:r>
            <w:r>
              <w:rPr>
                <w:rFonts w:hint="eastAsia" w:ascii="宋体" w:hAnsi="宋体" w:cs="宋体"/>
                <w:color w:val="auto"/>
                <w:szCs w:val="21"/>
                <w:highlight w:val="none"/>
              </w:rPr>
              <w:t>3</w:t>
            </w:r>
            <w:r>
              <w:rPr>
                <w:rFonts w:hint="eastAsia" w:ascii="宋体" w:hAnsi="宋体" w:cs="宋体"/>
                <w:color w:val="auto"/>
                <w:szCs w:val="21"/>
                <w:highlight w:val="none"/>
                <w:lang w:val="zh-CN"/>
              </w:rPr>
              <w:t>分，对</w:t>
            </w:r>
            <w:r>
              <w:rPr>
                <w:rFonts w:hint="eastAsia" w:ascii="宋体" w:hAnsi="宋体" w:cs="宋体"/>
                <w:color w:val="auto"/>
                <w:szCs w:val="21"/>
                <w:highlight w:val="none"/>
              </w:rPr>
              <w:t>采购人</w:t>
            </w:r>
            <w:r>
              <w:rPr>
                <w:rFonts w:hint="eastAsia" w:ascii="宋体" w:hAnsi="宋体" w:cs="宋体"/>
                <w:color w:val="auto"/>
                <w:szCs w:val="21"/>
                <w:highlight w:val="none"/>
                <w:lang w:val="zh-CN"/>
              </w:rPr>
              <w:t>服务的响应时间为</w:t>
            </w:r>
            <w:r>
              <w:rPr>
                <w:rFonts w:hint="eastAsia" w:ascii="宋体" w:hAnsi="宋体" w:cs="宋体"/>
                <w:color w:val="auto"/>
                <w:szCs w:val="21"/>
                <w:highlight w:val="none"/>
              </w:rPr>
              <w:t>48</w:t>
            </w:r>
            <w:r>
              <w:rPr>
                <w:rFonts w:hint="eastAsia" w:ascii="宋体" w:hAnsi="宋体" w:cs="宋体"/>
                <w:color w:val="auto"/>
                <w:szCs w:val="21"/>
                <w:highlight w:val="none"/>
                <w:lang w:val="zh-CN"/>
              </w:rPr>
              <w:t>小时</w:t>
            </w:r>
            <w:r>
              <w:rPr>
                <w:rFonts w:hint="eastAsia" w:ascii="宋体" w:hAnsi="宋体" w:cs="宋体"/>
                <w:color w:val="auto"/>
                <w:szCs w:val="21"/>
                <w:highlight w:val="none"/>
              </w:rPr>
              <w:t>(不含)</w:t>
            </w:r>
            <w:r>
              <w:rPr>
                <w:rFonts w:hint="eastAsia" w:ascii="宋体" w:hAnsi="宋体" w:cs="宋体"/>
                <w:color w:val="auto"/>
                <w:szCs w:val="21"/>
                <w:highlight w:val="none"/>
                <w:lang w:val="zh-CN"/>
              </w:rPr>
              <w:t>以上，不得分。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（二）证明文件</w:t>
            </w:r>
          </w:p>
          <w:p>
            <w:pPr>
              <w:autoSpaceDE w:val="0"/>
              <w:autoSpaceDN w:val="0"/>
              <w:adjustRightInd w:val="0"/>
              <w:jc w:val="left"/>
              <w:rPr>
                <w:rFonts w:hint="eastAsia" w:ascii="宋体" w:hAnsi="宋体" w:cs="宋体"/>
                <w:color w:val="auto"/>
                <w:szCs w:val="21"/>
                <w:highlight w:val="none"/>
              </w:rPr>
            </w:pPr>
            <w:r>
              <w:rPr>
                <w:rFonts w:hint="eastAsia" w:ascii="宋体" w:hAnsi="宋体" w:cs="宋体"/>
                <w:color w:val="auto"/>
                <w:szCs w:val="21"/>
                <w:highlight w:val="none"/>
                <w:lang w:val="zh-CN"/>
              </w:rPr>
              <w:t>提供后续服务响应时间承诺函</w:t>
            </w:r>
            <w:r>
              <w:rPr>
                <w:rFonts w:hint="eastAsia" w:ascii="宋体" w:hAnsi="宋体" w:cs="宋体"/>
                <w:color w:val="auto"/>
                <w:szCs w:val="21"/>
                <w:highlight w:val="none"/>
              </w:rPr>
              <w:t>并加盖公章</w:t>
            </w:r>
            <w:r>
              <w:rPr>
                <w:rFonts w:hint="eastAsia" w:ascii="宋体" w:hAnsi="宋体" w:cs="宋体"/>
                <w:color w:val="auto"/>
                <w:szCs w:val="21"/>
                <w:highlight w:val="none"/>
                <w:lang w:val="zh-CN"/>
              </w:rPr>
              <w:t>（格式自拟）。</w:t>
            </w:r>
          </w:p>
        </w:tc>
        <w:tc>
          <w:tcPr>
            <w:tcW w:w="750"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bookmarkEnd w:id="23"/>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168"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诚信声明</w:t>
            </w:r>
          </w:p>
        </w:tc>
        <w:tc>
          <w:tcPr>
            <w:tcW w:w="5135" w:type="dxa"/>
            <w:vAlign w:val="center"/>
          </w:tcPr>
          <w:p>
            <w:pPr>
              <w:rPr>
                <w:rFonts w:hint="eastAsia" w:ascii="宋体" w:hAnsi="宋体" w:cs="宋体"/>
                <w:color w:val="auto"/>
                <w:szCs w:val="21"/>
                <w:highlight w:val="none"/>
              </w:rPr>
            </w:pPr>
            <w:r>
              <w:rPr>
                <w:rFonts w:hint="eastAsia" w:ascii="宋体" w:hAnsi="宋体" w:cs="宋体"/>
                <w:color w:val="auto"/>
                <w:szCs w:val="21"/>
                <w:highlight w:val="none"/>
              </w:rPr>
              <w:t>（一）评分内容：</w:t>
            </w:r>
          </w:p>
          <w:p>
            <w:pPr>
              <w:rPr>
                <w:rFonts w:hint="eastAsia" w:ascii="宋体" w:hAnsi="宋体" w:cs="宋体"/>
                <w:color w:val="auto"/>
                <w:szCs w:val="21"/>
                <w:highlight w:val="none"/>
              </w:rPr>
            </w:pPr>
            <w:r>
              <w:rPr>
                <w:rFonts w:hint="eastAsia" w:ascii="宋体" w:hAnsi="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rPr>
                <w:rFonts w:hint="eastAsia" w:ascii="宋体" w:hAnsi="宋体" w:cs="宋体"/>
                <w:color w:val="auto"/>
                <w:szCs w:val="21"/>
                <w:highlight w:val="none"/>
              </w:rPr>
            </w:pPr>
            <w:r>
              <w:rPr>
                <w:rFonts w:hint="eastAsia" w:ascii="宋体" w:hAnsi="宋体" w:cs="宋体"/>
                <w:color w:val="auto"/>
                <w:szCs w:val="21"/>
                <w:highlight w:val="none"/>
              </w:rPr>
              <w:t>（二）评分依据：</w:t>
            </w:r>
          </w:p>
          <w:p>
            <w:pPr>
              <w:rPr>
                <w:rFonts w:hint="eastAsia" w:ascii="宋体" w:hAnsi="宋体" w:cs="宋体"/>
                <w:color w:val="auto"/>
                <w:kern w:val="0"/>
                <w:szCs w:val="21"/>
                <w:highlight w:val="none"/>
                <w:lang w:val="en-US"/>
              </w:rPr>
            </w:pPr>
            <w:r>
              <w:rPr>
                <w:rFonts w:hint="eastAsia" w:ascii="宋体" w:hAnsi="宋体" w:cs="宋体"/>
                <w:color w:val="auto"/>
                <w:kern w:val="0"/>
                <w:szCs w:val="21"/>
                <w:highlight w:val="none"/>
                <w:lang w:val="zh-CN"/>
              </w:rPr>
              <w:t>采购代理机构通过信用信息查询渠道</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包括</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信用中国</w:t>
            </w:r>
            <w:r>
              <w:rPr>
                <w:rFonts w:hint="eastAsia" w:ascii="宋体" w:hAnsi="宋体" w:cs="宋体"/>
                <w:color w:val="auto"/>
                <w:kern w:val="0"/>
                <w:szCs w:val="21"/>
                <w:highlight w:val="none"/>
                <w:lang w:val="en-US"/>
              </w:rPr>
              <w:t>”（www.creditchina.gov.cn）</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中国政府采购网</w:t>
            </w:r>
            <w:r>
              <w:rPr>
                <w:rFonts w:hint="eastAsia" w:ascii="宋体" w:hAnsi="宋体" w:cs="宋体"/>
                <w:color w:val="auto"/>
                <w:kern w:val="0"/>
                <w:szCs w:val="21"/>
                <w:highlight w:val="none"/>
                <w:lang w:val="en-US"/>
              </w:rPr>
              <w:t>”（www.ccgp.gov.cn）</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lang w:val="en-US"/>
              </w:rPr>
              <w:t>“</w:t>
            </w:r>
            <w:r>
              <w:rPr>
                <w:rFonts w:hint="eastAsia" w:ascii="宋体" w:hAnsi="宋体" w:cs="宋体"/>
                <w:color w:val="auto"/>
                <w:kern w:val="0"/>
                <w:szCs w:val="21"/>
                <w:highlight w:val="none"/>
                <w:lang w:val="zh-CN"/>
              </w:rPr>
              <w:t>深圳市政府采购监管网</w:t>
            </w:r>
            <w:r>
              <w:rPr>
                <w:rFonts w:hint="eastAsia" w:ascii="宋体" w:hAnsi="宋体" w:cs="宋体"/>
                <w:color w:val="auto"/>
                <w:kern w:val="0"/>
                <w:szCs w:val="21"/>
                <w:highlight w:val="none"/>
                <w:lang w:val="en-US"/>
              </w:rPr>
              <w:t>”（http://zfcg.sz.gov.cn）</w:t>
            </w:r>
            <w:r>
              <w:rPr>
                <w:rFonts w:hint="eastAsia" w:ascii="宋体" w:hAnsi="宋体" w:cs="宋体"/>
                <w:color w:val="auto"/>
                <w:kern w:val="0"/>
                <w:szCs w:val="21"/>
                <w:highlight w:val="none"/>
                <w:lang w:val="zh-CN"/>
              </w:rPr>
              <w:t>以及市、区财政部门认定的其他渠道查询供应商信用信息</w:t>
            </w:r>
            <w:r>
              <w:rPr>
                <w:rFonts w:hint="eastAsia" w:ascii="宋体" w:hAnsi="宋体" w:cs="宋体"/>
                <w:color w:val="auto"/>
                <w:szCs w:val="21"/>
                <w:highlight w:val="none"/>
              </w:rPr>
              <w:t>。</w:t>
            </w:r>
          </w:p>
        </w:tc>
        <w:tc>
          <w:tcPr>
            <w:tcW w:w="750"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836" w:type="dxa"/>
            <w:vAlign w:val="center"/>
          </w:tcPr>
          <w:p>
            <w:pPr>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8611" w:type="dxa"/>
            <w:gridSpan w:val="5"/>
            <w:shd w:val="clear" w:color="auto" w:fill="D9D9D9"/>
            <w:vAlign w:val="center"/>
          </w:tcPr>
          <w:p>
            <w:pPr>
              <w:autoSpaceDE w:val="0"/>
              <w:autoSpaceDN w:val="0"/>
              <w:adjustRightInd w:val="0"/>
              <w:jc w:val="center"/>
              <w:rPr>
                <w:rFonts w:hint="eastAsia" w:ascii="宋体" w:hAnsi="宋体" w:cs="宋体"/>
                <w:b/>
                <w:color w:val="auto"/>
                <w:szCs w:val="21"/>
                <w:highlight w:val="none"/>
                <w:lang w:val="zh-CN"/>
              </w:rPr>
            </w:pPr>
            <w:r>
              <w:rPr>
                <w:rFonts w:hint="eastAsia" w:ascii="宋体" w:hAnsi="宋体" w:cs="宋体"/>
                <w:b/>
                <w:color w:val="auto"/>
                <w:szCs w:val="21"/>
                <w:highlight w:val="none"/>
                <w:lang w:val="zh-CN"/>
              </w:rPr>
              <w:t>三、技术部分（</w:t>
            </w:r>
            <w:r>
              <w:rPr>
                <w:rFonts w:hint="eastAsia" w:ascii="宋体" w:hAnsi="宋体" w:cs="宋体"/>
                <w:b/>
                <w:color w:val="auto"/>
                <w:szCs w:val="21"/>
                <w:highlight w:val="none"/>
              </w:rPr>
              <w:t>40</w:t>
            </w:r>
            <w:r>
              <w:rPr>
                <w:rFonts w:hint="eastAsia" w:ascii="宋体" w:hAnsi="宋体" w:cs="宋体"/>
                <w:b/>
                <w:color w:val="auto"/>
                <w:szCs w:val="21"/>
                <w:highlight w:val="none"/>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序号</w:t>
            </w:r>
          </w:p>
        </w:tc>
        <w:tc>
          <w:tcPr>
            <w:tcW w:w="1168"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lang w:val="zh-CN"/>
              </w:rPr>
              <w:t>内容</w:t>
            </w:r>
          </w:p>
        </w:tc>
        <w:tc>
          <w:tcPr>
            <w:tcW w:w="5135"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评分规则</w:t>
            </w:r>
          </w:p>
        </w:tc>
        <w:tc>
          <w:tcPr>
            <w:tcW w:w="750"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分值</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68"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对工作任务及工作目标的理解</w:t>
            </w:r>
          </w:p>
        </w:tc>
        <w:tc>
          <w:tcPr>
            <w:tcW w:w="5135" w:type="dxa"/>
            <w:vAlign w:val="center"/>
          </w:tcPr>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（一）评审内容：</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根据招标文件的需求和投标文件响应情况。对工作任务及工作目标的理解包含但不限于以下内容：</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rPr>
              <w:t>1、工作任务</w:t>
            </w:r>
            <w:r>
              <w:rPr>
                <w:rFonts w:hint="eastAsia" w:ascii="宋体" w:hAnsi="宋体" w:cs="宋体"/>
                <w:color w:val="auto"/>
                <w:szCs w:val="21"/>
                <w:highlight w:val="none"/>
                <w:lang w:val="zh-CN"/>
              </w:rPr>
              <w:t>的理解；</w:t>
            </w:r>
          </w:p>
          <w:p>
            <w:pPr>
              <w:pStyle w:val="35"/>
              <w:widowControl/>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2、工作目标</w:t>
            </w:r>
            <w:r>
              <w:rPr>
                <w:rFonts w:hint="eastAsia" w:ascii="宋体" w:hAnsi="宋体" w:cs="宋体"/>
                <w:color w:val="auto"/>
                <w:szCs w:val="21"/>
                <w:highlight w:val="none"/>
                <w:lang w:val="zh-CN"/>
              </w:rPr>
              <w:t>的理解</w:t>
            </w:r>
            <w:r>
              <w:rPr>
                <w:rFonts w:hint="eastAsia" w:ascii="宋体" w:hAnsi="宋体" w:cs="宋体"/>
                <w:color w:val="auto"/>
                <w:szCs w:val="21"/>
                <w:highlight w:val="none"/>
              </w:rPr>
              <w:t>。</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 xml:space="preserve">（二）评分标准： </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满足</w:t>
            </w:r>
            <w:r>
              <w:rPr>
                <w:rFonts w:hint="eastAsia" w:ascii="宋体" w:hAnsi="宋体" w:cs="宋体"/>
                <w:color w:val="auto"/>
                <w:szCs w:val="21"/>
                <w:highlight w:val="none"/>
              </w:rPr>
              <w:t>两</w:t>
            </w:r>
            <w:r>
              <w:rPr>
                <w:rFonts w:hint="eastAsia" w:ascii="宋体" w:hAnsi="宋体" w:cs="宋体"/>
                <w:color w:val="auto"/>
                <w:szCs w:val="21"/>
                <w:highlight w:val="none"/>
                <w:lang w:val="zh-CN"/>
              </w:rPr>
              <w:t>点得</w:t>
            </w:r>
            <w:r>
              <w:rPr>
                <w:rFonts w:ascii="宋体" w:hAnsi="宋体" w:cs="宋体"/>
                <w:color w:val="auto"/>
                <w:szCs w:val="21"/>
                <w:highlight w:val="none"/>
              </w:rPr>
              <w:t>5</w:t>
            </w:r>
            <w:r>
              <w:rPr>
                <w:rFonts w:hint="eastAsia" w:ascii="宋体" w:hAnsi="宋体" w:cs="宋体"/>
                <w:color w:val="auto"/>
                <w:szCs w:val="21"/>
                <w:highlight w:val="none"/>
                <w:lang w:val="zh-CN"/>
              </w:rPr>
              <w:t>分，满足任意一点得</w:t>
            </w:r>
            <w:r>
              <w:rPr>
                <w:rFonts w:ascii="宋体" w:hAnsi="宋体" w:cs="宋体"/>
                <w:color w:val="auto"/>
                <w:szCs w:val="21"/>
                <w:highlight w:val="none"/>
              </w:rPr>
              <w:t>2</w:t>
            </w:r>
            <w:r>
              <w:rPr>
                <w:rFonts w:hint="eastAsia" w:ascii="宋体" w:hAnsi="宋体" w:cs="宋体"/>
                <w:color w:val="auto"/>
                <w:szCs w:val="21"/>
                <w:highlight w:val="none"/>
              </w:rPr>
              <w:t>.5</w:t>
            </w:r>
            <w:r>
              <w:rPr>
                <w:rFonts w:hint="eastAsia" w:ascii="宋体" w:hAnsi="宋体" w:cs="宋体"/>
                <w:color w:val="auto"/>
                <w:szCs w:val="21"/>
                <w:highlight w:val="none"/>
                <w:lang w:val="zh-CN"/>
              </w:rPr>
              <w:t>分，</w:t>
            </w:r>
            <w:r>
              <w:rPr>
                <w:rFonts w:hint="eastAsia" w:ascii="宋体" w:hAnsi="宋体" w:cs="宋体"/>
                <w:color w:val="auto"/>
                <w:szCs w:val="21"/>
                <w:highlight w:val="none"/>
              </w:rPr>
              <w:t>均</w:t>
            </w:r>
            <w:r>
              <w:rPr>
                <w:rFonts w:hint="eastAsia" w:ascii="宋体" w:hAnsi="宋体" w:cs="宋体"/>
                <w:color w:val="auto"/>
                <w:szCs w:val="21"/>
                <w:highlight w:val="none"/>
                <w:lang w:val="zh-CN"/>
              </w:rPr>
              <w:t>未满足不得分。</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在此基础上，评委根据各投标供应商的具体响应内容按照量化的评审因素指标进一步评审：</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优：对工作任务及工作目标的理解准确全面、深刻；</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良：对工作任务及工作目标的理解</w:t>
            </w:r>
            <w:r>
              <w:rPr>
                <w:rFonts w:hint="eastAsia" w:ascii="宋体" w:hAnsi="宋体" w:cs="宋体"/>
                <w:color w:val="auto"/>
                <w:szCs w:val="21"/>
                <w:highlight w:val="none"/>
              </w:rPr>
              <w:t>较</w:t>
            </w:r>
            <w:r>
              <w:rPr>
                <w:rFonts w:hint="eastAsia" w:ascii="宋体" w:hAnsi="宋体" w:cs="宋体"/>
                <w:color w:val="auto"/>
                <w:szCs w:val="21"/>
                <w:highlight w:val="none"/>
                <w:lang w:val="zh-CN"/>
              </w:rPr>
              <w:t>准确全面、深刻；</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中：对工作任务及工作目标的理解</w:t>
            </w:r>
            <w:r>
              <w:rPr>
                <w:rFonts w:hint="eastAsia" w:ascii="宋体" w:hAnsi="宋体" w:cs="宋体"/>
                <w:color w:val="auto"/>
                <w:szCs w:val="21"/>
                <w:highlight w:val="none"/>
              </w:rPr>
              <w:t>基本</w:t>
            </w:r>
            <w:r>
              <w:rPr>
                <w:rFonts w:hint="eastAsia" w:ascii="宋体" w:hAnsi="宋体" w:cs="宋体"/>
                <w:color w:val="auto"/>
                <w:szCs w:val="21"/>
                <w:highlight w:val="none"/>
                <w:lang w:val="zh-CN"/>
              </w:rPr>
              <w:t>准确；</w:t>
            </w:r>
          </w:p>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差：对工作任务及工作目标的理解</w:t>
            </w:r>
            <w:r>
              <w:rPr>
                <w:rFonts w:hint="eastAsia" w:ascii="宋体" w:hAnsi="宋体" w:cs="宋体"/>
                <w:color w:val="auto"/>
                <w:szCs w:val="21"/>
                <w:highlight w:val="none"/>
              </w:rPr>
              <w:t>不准确</w:t>
            </w:r>
            <w:r>
              <w:rPr>
                <w:rFonts w:hint="eastAsia" w:ascii="宋体" w:hAnsi="宋体" w:cs="宋体"/>
                <w:color w:val="auto"/>
                <w:szCs w:val="21"/>
                <w:highlight w:val="none"/>
                <w:lang w:val="zh-CN"/>
              </w:rPr>
              <w:t>。</w:t>
            </w:r>
          </w:p>
          <w:p>
            <w:pPr>
              <w:pStyle w:val="35"/>
              <w:widowControl/>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lang w:val="zh-CN"/>
              </w:rPr>
              <w:t>评审为优的加</w:t>
            </w:r>
            <w:r>
              <w:rPr>
                <w:rFonts w:ascii="宋体" w:hAnsi="宋体" w:cs="宋体"/>
                <w:color w:val="auto"/>
                <w:szCs w:val="21"/>
                <w:highlight w:val="none"/>
              </w:rPr>
              <w:t>5</w:t>
            </w:r>
            <w:r>
              <w:rPr>
                <w:rFonts w:hint="eastAsia" w:ascii="宋体" w:hAnsi="宋体" w:cs="宋体"/>
                <w:color w:val="auto"/>
                <w:szCs w:val="21"/>
                <w:highlight w:val="none"/>
                <w:lang w:val="zh-CN"/>
              </w:rPr>
              <w:t>分；评审为良的加</w:t>
            </w:r>
            <w:r>
              <w:rPr>
                <w:rFonts w:ascii="宋体" w:hAnsi="宋体" w:cs="宋体"/>
                <w:color w:val="auto"/>
                <w:szCs w:val="21"/>
                <w:highlight w:val="none"/>
              </w:rPr>
              <w:t>3</w:t>
            </w:r>
            <w:r>
              <w:rPr>
                <w:rFonts w:hint="eastAsia" w:ascii="宋体" w:hAnsi="宋体" w:cs="宋体"/>
                <w:color w:val="auto"/>
                <w:szCs w:val="21"/>
                <w:highlight w:val="none"/>
                <w:lang w:val="zh-CN"/>
              </w:rPr>
              <w:t>分；评审为中的加</w:t>
            </w:r>
            <w:r>
              <w:rPr>
                <w:rFonts w:ascii="宋体" w:hAnsi="宋体" w:cs="宋体"/>
                <w:color w:val="auto"/>
                <w:szCs w:val="21"/>
                <w:highlight w:val="none"/>
              </w:rPr>
              <w:t>2</w:t>
            </w:r>
            <w:r>
              <w:rPr>
                <w:rFonts w:hint="eastAsia" w:ascii="宋体" w:hAnsi="宋体" w:cs="宋体"/>
                <w:color w:val="auto"/>
                <w:szCs w:val="21"/>
                <w:highlight w:val="none"/>
                <w:lang w:val="zh-CN"/>
              </w:rPr>
              <w:t>分；评审为差的不加分</w:t>
            </w:r>
            <w:r>
              <w:rPr>
                <w:rFonts w:hint="eastAsia" w:ascii="宋体" w:hAnsi="宋体" w:cs="宋体"/>
                <w:color w:val="auto"/>
                <w:szCs w:val="21"/>
                <w:highlight w:val="none"/>
              </w:rPr>
              <w:t>。如果评审为差，要求专家书面说明理由，并记录在档。</w:t>
            </w:r>
          </w:p>
        </w:tc>
        <w:tc>
          <w:tcPr>
            <w:tcW w:w="750" w:type="dxa"/>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rPr>
              <w:t>2</w:t>
            </w:r>
          </w:p>
        </w:tc>
        <w:tc>
          <w:tcPr>
            <w:tcW w:w="1168" w:type="dxa"/>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项目运营服务方案</w:t>
            </w:r>
          </w:p>
        </w:tc>
        <w:tc>
          <w:tcPr>
            <w:tcW w:w="5135" w:type="dxa"/>
            <w:vAlign w:val="center"/>
          </w:tcPr>
          <w:p>
            <w:pPr>
              <w:pStyle w:val="35"/>
              <w:widowControl/>
              <w:ind w:firstLine="0" w:firstLineChars="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（一）评审内容：</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根据招标文件的需求和投标文件响应情况，逐项提出具体的运营服务方案。</w:t>
            </w:r>
          </w:p>
          <w:p>
            <w:pPr>
              <w:autoSpaceDE w:val="0"/>
              <w:autoSpaceDN w:val="0"/>
              <w:adjustRightInd w:val="0"/>
              <w:jc w:val="left"/>
              <w:rPr>
                <w:rFonts w:hint="eastAsia" w:ascii="宋体" w:hAnsi="宋体" w:cs="宋体"/>
                <w:color w:val="auto"/>
                <w:szCs w:val="21"/>
                <w:highlight w:val="none"/>
              </w:rPr>
            </w:pPr>
            <w:r>
              <w:rPr>
                <w:rFonts w:hint="eastAsia" w:ascii="宋体" w:hAnsi="宋体" w:cs="宋体"/>
                <w:color w:val="auto"/>
                <w:szCs w:val="21"/>
                <w:highlight w:val="none"/>
                <w:lang w:val="zh-CN"/>
              </w:rPr>
              <w:t>1.协同多方资源</w:t>
            </w:r>
            <w:r>
              <w:rPr>
                <w:rFonts w:hint="eastAsia" w:ascii="宋体" w:hAnsi="宋体" w:cs="宋体"/>
                <w:color w:val="auto"/>
                <w:szCs w:val="21"/>
                <w:highlight w:val="none"/>
              </w:rPr>
              <w:t>方案；</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rPr>
              <w:t>2.提供全链条出海服务方案</w:t>
            </w:r>
            <w:r>
              <w:rPr>
                <w:rFonts w:hint="eastAsia" w:ascii="宋体" w:hAnsi="宋体" w:cs="宋体"/>
                <w:color w:val="auto"/>
                <w:szCs w:val="21"/>
                <w:highlight w:val="none"/>
                <w:lang w:val="zh-CN"/>
              </w:rPr>
              <w:t>；</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rPr>
              <w:t>3</w:t>
            </w:r>
            <w:r>
              <w:rPr>
                <w:rFonts w:hint="eastAsia" w:ascii="宋体" w:hAnsi="宋体" w:cs="宋体"/>
                <w:color w:val="auto"/>
                <w:szCs w:val="21"/>
                <w:highlight w:val="none"/>
                <w:lang w:val="zh-CN"/>
              </w:rPr>
              <w:t>.举办特色专题活动</w:t>
            </w:r>
            <w:r>
              <w:rPr>
                <w:rFonts w:hint="eastAsia" w:ascii="宋体" w:hAnsi="宋体" w:cs="宋体"/>
                <w:color w:val="auto"/>
                <w:szCs w:val="21"/>
                <w:highlight w:val="none"/>
              </w:rPr>
              <w:t>方案</w:t>
            </w:r>
            <w:r>
              <w:rPr>
                <w:rFonts w:hint="eastAsia" w:ascii="宋体" w:hAnsi="宋体" w:cs="宋体"/>
                <w:color w:val="auto"/>
                <w:szCs w:val="21"/>
                <w:highlight w:val="none"/>
                <w:lang w:val="zh-CN"/>
              </w:rPr>
              <w:t>。</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（二）评审标准：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1.以上内容满足三点得</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val="zh-CN"/>
              </w:rPr>
              <w:t>分，满足任意二点得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分，满足任意一点得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val="zh-CN"/>
              </w:rPr>
              <w:t>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2.在此基础上，评委根据各投标供应商的具体响应内容进一步评审：</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优：项目运营服务方案内容合理性强，能够保障项目任务实施和目标实现，工作措施及方法可行，科学合理，工作流程详细，管理组织严密，有丰富的技术、安全、风险控制保障措施；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良：项目运营服务方案内容合理性较强，较能够保障项目任务实施和目标实现，工作措施及方法可行，合理，工作流程较详细，管理组织良好，有一定的技术、安全、风险控制的保障措施；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中：项目运营服务方案内容合理性一般，基本能够保障项目任务实施和目标实现，工作措施及方法基本清晰、可行，工作流程一般，管理组织一般，有简单的技术、安全、风险控制的保障措施；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差：项目运营服务方案内容合理性较差，不能够保障项目任务实施和目标实现，工作措施及方法不合理，工作流程简单，没有技术、安全、风险控制的保障措施；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根据投标文件比较，评价优加</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val="zh-CN"/>
              </w:rPr>
              <w:t>分；评价良加</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val="zh-CN"/>
              </w:rPr>
              <w:t>分；评价中加</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val="zh-CN"/>
              </w:rPr>
              <w:t>分；评价差不加分。如果评审为差，要求专家书面说明理由，并记录在档。</w:t>
            </w:r>
          </w:p>
        </w:tc>
        <w:tc>
          <w:tcPr>
            <w:tcW w:w="750" w:type="dxa"/>
            <w:vAlign w:val="center"/>
          </w:tcPr>
          <w:p>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168" w:type="dxa"/>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质量和时间保障措施</w:t>
            </w:r>
          </w:p>
        </w:tc>
        <w:tc>
          <w:tcPr>
            <w:tcW w:w="5135" w:type="dxa"/>
            <w:vAlign w:val="center"/>
          </w:tcPr>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（一）评审内容：</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根据招标文件的需求和投标文件响应情况，编制质量和时间保障措施。包含但不限于以下内容：</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1.工作质量标准；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2.工作完成时间、服务响应时间的保障措施；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3.安全保密措施等。</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（二）评分标准：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1.每满足任意一点得2分，</w:t>
            </w:r>
            <w:r>
              <w:rPr>
                <w:rFonts w:hint="eastAsia" w:ascii="宋体" w:hAnsi="宋体" w:cs="宋体"/>
                <w:color w:val="auto"/>
                <w:szCs w:val="21"/>
                <w:highlight w:val="none"/>
              </w:rPr>
              <w:t>满足任意两点得4分，全部</w:t>
            </w:r>
            <w:r>
              <w:rPr>
                <w:rFonts w:hint="eastAsia" w:ascii="宋体" w:hAnsi="宋体" w:cs="宋体"/>
                <w:color w:val="auto"/>
                <w:szCs w:val="21"/>
                <w:highlight w:val="none"/>
                <w:lang w:val="zh-CN"/>
              </w:rPr>
              <w:t>满</w:t>
            </w:r>
            <w:r>
              <w:rPr>
                <w:rFonts w:hint="eastAsia" w:ascii="宋体" w:hAnsi="宋体" w:cs="宋体"/>
                <w:color w:val="auto"/>
                <w:szCs w:val="21"/>
                <w:highlight w:val="none"/>
              </w:rPr>
              <w:t>足得</w:t>
            </w:r>
            <w:r>
              <w:rPr>
                <w:rFonts w:hint="eastAsia" w:ascii="宋体" w:hAnsi="宋体" w:cs="宋体"/>
                <w:color w:val="auto"/>
                <w:szCs w:val="21"/>
                <w:highlight w:val="none"/>
                <w:lang w:val="zh-CN"/>
              </w:rPr>
              <w:t>6分。</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2.在此基础上，专家根据各供应商的具体响应内容进一步评审：</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1）优：内容完整详细且符合项目实际，可行性强；</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2）良：内容完整，可行性较好；</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3）中：内容能符合项目部分要求，较贴近项目实际；</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4）差：内容不符合项目要求，不符合项目实际。</w:t>
            </w:r>
          </w:p>
          <w:p>
            <w:pPr>
              <w:autoSpaceDE w:val="0"/>
              <w:autoSpaceDN w:val="0"/>
              <w:adjustRightInd w:val="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评审为优的加4分；评审为良的加2分；评审为中的加1分；评审为差的不加分。如果评审为差，要求专家书面说明理由，并记录在档。</w:t>
            </w:r>
          </w:p>
        </w:tc>
        <w:tc>
          <w:tcPr>
            <w:tcW w:w="750" w:type="dxa"/>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836" w:type="dxa"/>
            <w:vAlign w:val="center"/>
          </w:tcPr>
          <w:p>
            <w:pPr>
              <w:autoSpaceDE w:val="0"/>
              <w:autoSpaceDN w:val="0"/>
              <w:adjustRightInd w:val="0"/>
              <w:jc w:val="center"/>
              <w:rPr>
                <w:rFonts w:hint="eastAsia" w:ascii="宋体" w:hAnsi="宋体" w:cs="宋体"/>
                <w:color w:val="auto"/>
                <w:szCs w:val="21"/>
                <w:highlight w:val="none"/>
                <w:lang w:val="zh-CN"/>
              </w:rPr>
            </w:pPr>
            <w:r>
              <w:rPr>
                <w:rFonts w:hint="eastAsia" w:ascii="宋体" w:hAnsi="宋体" w:cs="宋体"/>
                <w:color w:val="auto"/>
                <w:szCs w:val="21"/>
                <w:highlight w:val="none"/>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1168" w:type="dxa"/>
            <w:vAlign w:val="center"/>
          </w:tcPr>
          <w:p>
            <w:pPr>
              <w:autoSpaceDE w:val="0"/>
              <w:autoSpaceDN w:val="0"/>
              <w:adjustRightInd w:val="0"/>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项目服务承诺</w:t>
            </w:r>
          </w:p>
        </w:tc>
        <w:tc>
          <w:tcPr>
            <w:tcW w:w="5135" w:type="dxa"/>
            <w:vAlign w:val="center"/>
          </w:tcPr>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（一）评分内容：</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1、在项目服务期间，未经采购人同意，不得随意更换团队人员，确保服务连续性、稳定性；</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2、服务质量达到招标文件要求；</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3、服务期满后，严格遵守保密承诺的原则，不泄露与项目有关的任何信息。</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投标人承诺以上全部三项得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分，否则不得分。</w:t>
            </w:r>
          </w:p>
          <w:p>
            <w:pPr>
              <w:autoSpaceDE w:val="0"/>
              <w:autoSpaceDN w:val="0"/>
              <w:adjustRightInd w:val="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（二）评审标准：</w:t>
            </w:r>
          </w:p>
          <w:p>
            <w:pPr>
              <w:autoSpaceDE w:val="0"/>
              <w:autoSpaceDN w:val="0"/>
              <w:adjustRightInd w:val="0"/>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要求提供承诺函（格式自定）作为得分依据，未提供承诺或承诺内容不满足要求不得分。</w:t>
            </w:r>
          </w:p>
        </w:tc>
        <w:tc>
          <w:tcPr>
            <w:tcW w:w="750" w:type="dxa"/>
            <w:vAlign w:val="center"/>
          </w:tcPr>
          <w:p>
            <w:pPr>
              <w:autoSpaceDE w:val="0"/>
              <w:autoSpaceDN w:val="0"/>
              <w:adjustRightInd w:val="0"/>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5</w:t>
            </w:r>
          </w:p>
        </w:tc>
        <w:tc>
          <w:tcPr>
            <w:tcW w:w="836" w:type="dxa"/>
            <w:vAlign w:val="center"/>
          </w:tcPr>
          <w:p>
            <w:pPr>
              <w:autoSpaceDE w:val="0"/>
              <w:autoSpaceDN w:val="0"/>
              <w:adjustRightInd w:val="0"/>
              <w:jc w:val="left"/>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val="zh-CN"/>
              </w:rPr>
              <w:t>评审委员打分</w:t>
            </w:r>
          </w:p>
        </w:tc>
      </w:tr>
    </w:tbl>
    <w:p>
      <w:pPr>
        <w:rPr>
          <w:rFonts w:hint="eastAsia" w:ascii="宋体" w:hAnsi="宋体" w:cs="宋体"/>
          <w:b/>
          <w:bCs/>
          <w:color w:val="auto"/>
          <w:sz w:val="24"/>
          <w:highlight w:val="none"/>
        </w:rPr>
      </w:pPr>
    </w:p>
    <w:p>
      <w:pPr>
        <w:jc w:val="left"/>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outlineLvl w:val="0"/>
        <w:rPr>
          <w:rFonts w:hint="eastAsia" w:ascii="宋体" w:hAnsi="宋体" w:cs="宋体"/>
          <w:b/>
          <w:bCs/>
          <w:color w:val="auto"/>
          <w:sz w:val="24"/>
          <w:highlight w:val="none"/>
        </w:rPr>
      </w:pPr>
      <w:r>
        <w:rPr>
          <w:rFonts w:hint="eastAsia" w:ascii="宋体" w:hAnsi="宋体" w:cs="宋体"/>
          <w:b/>
          <w:bCs/>
          <w:color w:val="auto"/>
          <w:sz w:val="24"/>
          <w:highlight w:val="none"/>
        </w:rPr>
        <w:t>第七章 附件（投标文件格式）</w:t>
      </w:r>
      <w:bookmarkEnd w:id="21"/>
    </w:p>
    <w:p>
      <w:pPr>
        <w:keepNext/>
        <w:keepLines/>
        <w:spacing w:before="260" w:after="260" w:line="360" w:lineRule="auto"/>
        <w:jc w:val="center"/>
        <w:outlineLvl w:val="1"/>
        <w:rPr>
          <w:rFonts w:hint="eastAsia" w:ascii="宋体" w:hAnsi="宋体" w:cs="宋体"/>
          <w:b/>
          <w:bCs/>
          <w:color w:val="auto"/>
          <w:sz w:val="24"/>
          <w:highlight w:val="none"/>
        </w:rPr>
      </w:pPr>
      <w:bookmarkStart w:id="24" w:name="_Toc19494"/>
      <w:bookmarkStart w:id="25" w:name="_Toc6548"/>
      <w:bookmarkStart w:id="26" w:name="_Toc31827"/>
      <w:bookmarkStart w:id="27" w:name="_Toc5116"/>
      <w:r>
        <w:rPr>
          <w:rFonts w:hint="eastAsia" w:ascii="宋体" w:hAnsi="宋体" w:cs="宋体"/>
          <w:b/>
          <w:color w:val="auto"/>
          <w:sz w:val="24"/>
          <w:highlight w:val="none"/>
        </w:rPr>
        <w:t>一、</w:t>
      </w:r>
      <w:r>
        <w:rPr>
          <w:rFonts w:hint="eastAsia" w:ascii="宋体" w:hAnsi="宋体" w:cs="宋体"/>
          <w:b/>
          <w:bCs/>
          <w:color w:val="auto"/>
          <w:sz w:val="24"/>
          <w:highlight w:val="none"/>
        </w:rPr>
        <w:t>投标文件包装封面参考</w:t>
      </w:r>
      <w:bookmarkEnd w:id="24"/>
      <w:bookmarkEnd w:id="25"/>
      <w:bookmarkEnd w:id="26"/>
      <w:bookmarkEnd w:id="27"/>
    </w:p>
    <w:tbl>
      <w:tblPr>
        <w:tblStyle w:val="2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6"/>
              <w:tabs>
                <w:tab w:val="left" w:pos="562"/>
                <w:tab w:val="left" w:pos="3372"/>
                <w:tab w:val="left" w:pos="3653"/>
              </w:tabs>
              <w:spacing w:line="360" w:lineRule="auto"/>
              <w:rPr>
                <w:rFonts w:ascii="黑体" w:eastAsia="黑体"/>
                <w:b/>
                <w:color w:val="auto"/>
                <w:sz w:val="72"/>
                <w:szCs w:val="72"/>
                <w:highlight w:val="none"/>
              </w:rPr>
            </w:pPr>
          </w:p>
          <w:p>
            <w:pPr>
              <w:pStyle w:val="6"/>
              <w:tabs>
                <w:tab w:val="left" w:pos="562"/>
                <w:tab w:val="left" w:pos="3372"/>
                <w:tab w:val="left" w:pos="3653"/>
              </w:tabs>
              <w:spacing w:line="360" w:lineRule="auto"/>
              <w:jc w:val="center"/>
              <w:rPr>
                <w:rFonts w:ascii="黑体" w:eastAsia="黑体"/>
                <w:b/>
                <w:color w:val="auto"/>
                <w:sz w:val="72"/>
                <w:szCs w:val="72"/>
                <w:highlight w:val="none"/>
              </w:rPr>
            </w:pPr>
            <w:r>
              <w:rPr>
                <w:rFonts w:hint="eastAsia" w:ascii="黑体" w:eastAsia="黑体"/>
                <w:b/>
                <w:color w:val="auto"/>
                <w:sz w:val="72"/>
                <w:szCs w:val="72"/>
                <w:highlight w:val="none"/>
              </w:rPr>
              <w:t>投 标 文 件</w:t>
            </w:r>
          </w:p>
          <w:p>
            <w:pPr>
              <w:pStyle w:val="6"/>
              <w:tabs>
                <w:tab w:val="left" w:pos="562"/>
                <w:tab w:val="left" w:pos="3372"/>
                <w:tab w:val="left" w:pos="3653"/>
              </w:tabs>
              <w:spacing w:line="360" w:lineRule="auto"/>
              <w:jc w:val="center"/>
              <w:rPr>
                <w:rFonts w:ascii="黑体" w:eastAsia="黑体"/>
                <w:b/>
                <w:strike/>
                <w:color w:val="auto"/>
                <w:sz w:val="32"/>
                <w:highlight w:val="none"/>
              </w:rPr>
            </w:pPr>
          </w:p>
          <w:p>
            <w:pPr>
              <w:spacing w:after="120" w:line="360" w:lineRule="auto"/>
              <w:ind w:firstLine="3385" w:firstLineChars="651"/>
              <w:textAlignment w:val="baseline"/>
              <w:rPr>
                <w:rFonts w:ascii="黑体" w:eastAsia="黑体"/>
                <w:color w:val="auto"/>
                <w:sz w:val="32"/>
                <w:highlight w:val="none"/>
              </w:rPr>
            </w:pPr>
            <w:r>
              <w:rPr>
                <w:rFonts w:hint="eastAsia" w:ascii="黑体" w:eastAsia="黑体"/>
                <w:color w:val="auto"/>
                <w:sz w:val="52"/>
                <w:szCs w:val="52"/>
                <w:highlight w:val="none"/>
              </w:rPr>
              <w:t xml:space="preserve">口 </w:t>
            </w:r>
            <w:r>
              <w:rPr>
                <w:rFonts w:hint="eastAsia" w:ascii="黑体" w:eastAsia="黑体"/>
                <w:color w:val="auto"/>
                <w:sz w:val="32"/>
                <w:highlight w:val="none"/>
              </w:rPr>
              <w:t>正本</w:t>
            </w:r>
          </w:p>
          <w:p>
            <w:pPr>
              <w:spacing w:after="120" w:line="360" w:lineRule="auto"/>
              <w:ind w:firstLine="3385" w:firstLineChars="651"/>
              <w:textAlignment w:val="baseline"/>
              <w:rPr>
                <w:rFonts w:ascii="黑体" w:eastAsia="黑体"/>
                <w:color w:val="auto"/>
                <w:sz w:val="32"/>
                <w:highlight w:val="none"/>
              </w:rPr>
            </w:pPr>
            <w:r>
              <w:rPr>
                <w:rFonts w:hint="eastAsia" w:ascii="黑体" w:eastAsia="黑体"/>
                <w:color w:val="auto"/>
                <w:sz w:val="52"/>
                <w:szCs w:val="52"/>
                <w:highlight w:val="none"/>
              </w:rPr>
              <w:t xml:space="preserve">口 </w:t>
            </w:r>
            <w:r>
              <w:rPr>
                <w:rFonts w:hint="eastAsia" w:ascii="黑体" w:eastAsia="黑体"/>
                <w:color w:val="auto"/>
                <w:sz w:val="32"/>
                <w:highlight w:val="none"/>
              </w:rPr>
              <w:t>副本</w:t>
            </w:r>
          </w:p>
          <w:p>
            <w:pPr>
              <w:pStyle w:val="6"/>
              <w:tabs>
                <w:tab w:val="left" w:pos="562"/>
                <w:tab w:val="left" w:pos="3372"/>
                <w:tab w:val="left" w:pos="3653"/>
              </w:tabs>
              <w:spacing w:line="360" w:lineRule="auto"/>
              <w:rPr>
                <w:rFonts w:ascii="仿宋_GB2312" w:eastAsia="仿宋_GB2312"/>
                <w:b/>
                <w:color w:val="auto"/>
                <w:sz w:val="32"/>
                <w:highlight w:val="none"/>
              </w:rPr>
            </w:pPr>
          </w:p>
          <w:p>
            <w:pPr>
              <w:pStyle w:val="6"/>
              <w:tabs>
                <w:tab w:val="left" w:pos="562"/>
                <w:tab w:val="left" w:pos="3372"/>
                <w:tab w:val="left" w:pos="3653"/>
              </w:tabs>
              <w:spacing w:line="360" w:lineRule="auto"/>
              <w:rPr>
                <w:rFonts w:ascii="仿宋_GB2312" w:eastAsia="仿宋_GB2312"/>
                <w:b/>
                <w:color w:val="auto"/>
                <w:sz w:val="32"/>
                <w:highlight w:val="none"/>
              </w:rPr>
            </w:pPr>
          </w:p>
          <w:p>
            <w:pPr>
              <w:pStyle w:val="6"/>
              <w:tabs>
                <w:tab w:val="left" w:pos="562"/>
                <w:tab w:val="left" w:pos="3372"/>
                <w:tab w:val="left" w:pos="3653"/>
              </w:tabs>
              <w:spacing w:line="360" w:lineRule="auto"/>
              <w:ind w:firstLine="900" w:firstLineChars="320"/>
              <w:rPr>
                <w:rFonts w:ascii="仿宋_GB2312" w:eastAsia="仿宋_GB2312"/>
                <w:b/>
                <w:color w:val="auto"/>
                <w:sz w:val="28"/>
                <w:szCs w:val="28"/>
                <w:highlight w:val="none"/>
              </w:rPr>
            </w:pPr>
          </w:p>
          <w:p>
            <w:pPr>
              <w:rPr>
                <w:color w:val="auto"/>
                <w:highlight w:val="none"/>
              </w:rPr>
            </w:pPr>
          </w:p>
          <w:p>
            <w:pPr>
              <w:pStyle w:val="6"/>
              <w:tabs>
                <w:tab w:val="left" w:pos="562"/>
                <w:tab w:val="left" w:pos="3372"/>
                <w:tab w:val="left" w:pos="3653"/>
              </w:tabs>
              <w:spacing w:line="360" w:lineRule="auto"/>
              <w:rPr>
                <w:rFonts w:ascii="仿宋_GB2312" w:eastAsia="仿宋_GB2312"/>
                <w:b/>
                <w:color w:val="auto"/>
                <w:sz w:val="28"/>
                <w:szCs w:val="28"/>
                <w:highlight w:val="none"/>
              </w:rPr>
            </w:pPr>
          </w:p>
          <w:p>
            <w:pPr>
              <w:pStyle w:val="6"/>
              <w:tabs>
                <w:tab w:val="left" w:pos="562"/>
                <w:tab w:val="left" w:pos="3372"/>
                <w:tab w:val="left" w:pos="3653"/>
              </w:tabs>
              <w:spacing w:line="360" w:lineRule="auto"/>
              <w:ind w:firstLine="900" w:firstLineChars="320"/>
              <w:rPr>
                <w:rFonts w:ascii="仿宋_GB2312" w:eastAsia="仿宋_GB2312"/>
                <w:b/>
                <w:color w:val="auto"/>
                <w:sz w:val="28"/>
                <w:szCs w:val="28"/>
                <w:highlight w:val="none"/>
              </w:rPr>
            </w:pPr>
            <w:r>
              <w:rPr>
                <w:rFonts w:hint="eastAsia" w:ascii="仿宋_GB2312" w:eastAsia="仿宋_GB2312"/>
                <w:b/>
                <w:color w:val="auto"/>
                <w:sz w:val="28"/>
                <w:szCs w:val="28"/>
                <w:highlight w:val="none"/>
              </w:rPr>
              <w:t>项目编号：</w:t>
            </w:r>
          </w:p>
          <w:p>
            <w:pPr>
              <w:pStyle w:val="6"/>
              <w:tabs>
                <w:tab w:val="left" w:pos="562"/>
                <w:tab w:val="left" w:pos="3372"/>
                <w:tab w:val="left" w:pos="3653"/>
              </w:tabs>
              <w:spacing w:line="360" w:lineRule="auto"/>
              <w:ind w:firstLine="900" w:firstLineChars="320"/>
              <w:rPr>
                <w:rFonts w:ascii="仿宋_GB2312" w:eastAsia="仿宋_GB2312"/>
                <w:b/>
                <w:color w:val="auto"/>
                <w:sz w:val="28"/>
                <w:szCs w:val="28"/>
                <w:highlight w:val="none"/>
              </w:rPr>
            </w:pPr>
            <w:r>
              <w:rPr>
                <w:rFonts w:hint="eastAsia" w:ascii="仿宋_GB2312" w:eastAsia="仿宋_GB2312"/>
                <w:b/>
                <w:color w:val="auto"/>
                <w:sz w:val="28"/>
                <w:szCs w:val="28"/>
                <w:highlight w:val="none"/>
              </w:rPr>
              <w:t>项目名称：</w:t>
            </w:r>
          </w:p>
          <w:p>
            <w:pPr>
              <w:pStyle w:val="6"/>
              <w:tabs>
                <w:tab w:val="left" w:pos="562"/>
                <w:tab w:val="left" w:pos="3372"/>
                <w:tab w:val="left" w:pos="3653"/>
              </w:tabs>
              <w:spacing w:line="360" w:lineRule="auto"/>
              <w:ind w:firstLine="900" w:firstLineChars="320"/>
              <w:rPr>
                <w:rFonts w:ascii="仿宋_GB2312" w:eastAsia="仿宋_GB2312"/>
                <w:b/>
                <w:color w:val="auto"/>
                <w:sz w:val="28"/>
                <w:szCs w:val="28"/>
                <w:highlight w:val="none"/>
              </w:rPr>
            </w:pPr>
            <w:r>
              <w:rPr>
                <w:rFonts w:hint="eastAsia" w:ascii="仿宋_GB2312" w:eastAsia="仿宋_GB2312"/>
                <w:b/>
                <w:color w:val="auto"/>
                <w:sz w:val="28"/>
                <w:szCs w:val="28"/>
                <w:highlight w:val="none"/>
              </w:rPr>
              <w:t>投标人名称：</w:t>
            </w:r>
          </w:p>
          <w:p>
            <w:pPr>
              <w:pStyle w:val="6"/>
              <w:tabs>
                <w:tab w:val="left" w:pos="562"/>
                <w:tab w:val="left" w:pos="3372"/>
                <w:tab w:val="left" w:pos="3653"/>
              </w:tabs>
              <w:spacing w:line="360" w:lineRule="auto"/>
              <w:ind w:firstLine="900" w:firstLineChars="320"/>
              <w:rPr>
                <w:rFonts w:ascii="仿宋_GB2312" w:eastAsia="仿宋_GB2312"/>
                <w:b/>
                <w:color w:val="auto"/>
                <w:sz w:val="32"/>
                <w:highlight w:val="none"/>
              </w:rPr>
            </w:pPr>
            <w:r>
              <w:rPr>
                <w:rFonts w:hint="eastAsia" w:ascii="仿宋_GB2312" w:eastAsia="仿宋_GB2312"/>
                <w:b/>
                <w:color w:val="auto"/>
                <w:sz w:val="28"/>
                <w:szCs w:val="28"/>
                <w:highlight w:val="none"/>
              </w:rPr>
              <w:t xml:space="preserve">投标人地址：           </w:t>
            </w:r>
          </w:p>
        </w:tc>
      </w:tr>
    </w:tbl>
    <w:p>
      <w:pPr>
        <w:pStyle w:val="2"/>
        <w:rPr>
          <w:rFonts w:hint="eastAsia" w:ascii="宋体" w:eastAsia="宋体" w:cs="宋体"/>
          <w:b/>
          <w:color w:val="auto"/>
          <w:sz w:val="24"/>
          <w:highlight w:val="none"/>
        </w:rPr>
      </w:pPr>
    </w:p>
    <w:p>
      <w:pPr>
        <w:pStyle w:val="2"/>
        <w:rPr>
          <w:rFonts w:hint="eastAsia" w:ascii="宋体" w:cs="宋体"/>
          <w:b/>
          <w:color w:val="auto"/>
          <w:sz w:val="24"/>
          <w:highlight w:val="none"/>
        </w:rPr>
      </w:pPr>
      <w:r>
        <w:rPr>
          <w:rFonts w:hint="eastAsia" w:ascii="宋体" w:eastAsia="宋体" w:cs="宋体"/>
          <w:b/>
          <w:color w:val="auto"/>
          <w:sz w:val="24"/>
          <w:highlight w:val="none"/>
        </w:rPr>
        <w:t>二、投标文件—目录</w:t>
      </w:r>
    </w:p>
    <w:p>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（一）</w:t>
      </w:r>
      <w:r>
        <w:rPr>
          <w:rFonts w:hint="eastAsia" w:ascii="宋体" w:hAnsi="宋体" w:cs="宋体"/>
          <w:b/>
          <w:bCs/>
          <w:color w:val="auto"/>
          <w:sz w:val="24"/>
          <w:highlight w:val="none"/>
          <w:lang w:val="zh-CN"/>
        </w:rPr>
        <w:t>价格部分</w:t>
      </w:r>
    </w:p>
    <w:p>
      <w:pPr>
        <w:tabs>
          <w:tab w:val="left" w:pos="64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1、投标一览表；</w:t>
      </w:r>
    </w:p>
    <w:p>
      <w:pPr>
        <w:tabs>
          <w:tab w:val="left" w:pos="64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2、分项报价明细表；</w:t>
      </w:r>
    </w:p>
    <w:p>
      <w:pPr>
        <w:tabs>
          <w:tab w:val="left" w:pos="640"/>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3、《中小企业声明函》或《残疾人福利性单位声明函》或《监狱企业声明函》（参与价格扣减的投标人应提供）；</w:t>
      </w:r>
    </w:p>
    <w:p>
      <w:pPr>
        <w:spacing w:line="360" w:lineRule="auto"/>
        <w:rPr>
          <w:rFonts w:hint="eastAsia" w:ascii="宋体" w:hAnsi="宋体" w:cs="宋体"/>
          <w:b/>
          <w:bCs/>
          <w:color w:val="auto"/>
          <w:sz w:val="24"/>
          <w:highlight w:val="none"/>
          <w:u w:val="wave"/>
        </w:rPr>
      </w:pPr>
      <w:r>
        <w:rPr>
          <w:rFonts w:hint="eastAsia" w:ascii="宋体" w:hAnsi="宋体" w:cs="宋体"/>
          <w:b/>
          <w:bCs/>
          <w:color w:val="auto"/>
          <w:sz w:val="24"/>
          <w:highlight w:val="none"/>
        </w:rPr>
        <w:t>（二）商务部分</w:t>
      </w:r>
    </w:p>
    <w:p>
      <w:pPr>
        <w:tabs>
          <w:tab w:val="left" w:pos="640"/>
          <w:tab w:val="left" w:pos="1260"/>
          <w:tab w:val="left" w:pos="1418"/>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1、投标响应书；</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2</w:t>
      </w:r>
      <w:r>
        <w:rPr>
          <w:rFonts w:hint="eastAsia" w:ascii="宋体" w:hAnsi="宋体" w:cs="宋体"/>
          <w:color w:val="auto"/>
          <w:sz w:val="24"/>
          <w:highlight w:val="none"/>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3</w:t>
      </w:r>
      <w:r>
        <w:rPr>
          <w:rFonts w:hint="eastAsia" w:ascii="宋体" w:hAnsi="宋体" w:cs="宋体"/>
          <w:color w:val="auto"/>
          <w:sz w:val="24"/>
          <w:highlight w:val="none"/>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4</w:t>
      </w:r>
      <w:r>
        <w:rPr>
          <w:rFonts w:hint="eastAsia" w:ascii="宋体" w:hAnsi="宋体" w:cs="宋体"/>
          <w:color w:val="auto"/>
          <w:sz w:val="24"/>
          <w:highlight w:val="none"/>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5</w:t>
      </w:r>
      <w:r>
        <w:rPr>
          <w:rFonts w:hint="eastAsia" w:ascii="宋体" w:hAnsi="宋体" w:cs="宋体"/>
          <w:color w:val="auto"/>
          <w:sz w:val="24"/>
          <w:highlight w:val="none"/>
          <w:lang w:val="fr-CH"/>
        </w:rPr>
        <w:t>、关于资格的声明函；</w:t>
      </w:r>
    </w:p>
    <w:p>
      <w:pPr>
        <w:pStyle w:val="28"/>
        <w:spacing w:line="360" w:lineRule="auto"/>
        <w:ind w:firstLine="480"/>
        <w:rPr>
          <w:color w:val="auto"/>
          <w:highlight w:val="none"/>
          <w:lang w:val="fr-CH"/>
        </w:rPr>
      </w:pPr>
      <w:r>
        <w:rPr>
          <w:rFonts w:hint="eastAsia" w:ascii="宋体" w:hAnsi="宋体" w:cs="宋体"/>
          <w:color w:val="auto"/>
          <w:kern w:val="2"/>
          <w:sz w:val="24"/>
          <w:szCs w:val="24"/>
          <w:highlight w:val="none"/>
        </w:rPr>
        <w:t>6</w:t>
      </w:r>
      <w:r>
        <w:rPr>
          <w:rFonts w:hint="eastAsia" w:ascii="宋体" w:hAnsi="宋体" w:cs="宋体"/>
          <w:color w:val="auto"/>
          <w:kern w:val="2"/>
          <w:sz w:val="24"/>
          <w:szCs w:val="24"/>
          <w:highlight w:val="none"/>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7、</w:t>
      </w:r>
      <w:r>
        <w:rPr>
          <w:rFonts w:hint="eastAsia" w:ascii="宋体" w:hAnsi="宋体" w:cs="宋体"/>
          <w:color w:val="auto"/>
          <w:sz w:val="24"/>
          <w:highlight w:val="none"/>
          <w:lang w:val="fr-CH"/>
        </w:rPr>
        <w:t>法人代表证明书及身份证明；</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8</w:t>
      </w:r>
      <w:r>
        <w:rPr>
          <w:rFonts w:hint="eastAsia" w:ascii="宋体" w:hAnsi="宋体" w:cs="宋体"/>
          <w:color w:val="auto"/>
          <w:sz w:val="24"/>
          <w:highlight w:val="none"/>
          <w:lang w:val="fr-CH"/>
        </w:rPr>
        <w:t>、法定代表人/单位负责人授权书；</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9</w:t>
      </w:r>
      <w:r>
        <w:rPr>
          <w:rFonts w:hint="eastAsia" w:ascii="宋体" w:hAnsi="宋体" w:cs="宋体"/>
          <w:color w:val="auto"/>
          <w:sz w:val="24"/>
          <w:highlight w:val="none"/>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lang w:val="fr-CH"/>
        </w:rPr>
        <w:t>1</w:t>
      </w:r>
      <w:r>
        <w:rPr>
          <w:rFonts w:hint="eastAsia" w:ascii="宋体" w:hAnsi="宋体" w:cs="宋体"/>
          <w:color w:val="auto"/>
          <w:sz w:val="24"/>
          <w:highlight w:val="none"/>
        </w:rPr>
        <w:t>0</w:t>
      </w:r>
      <w:r>
        <w:rPr>
          <w:rFonts w:hint="eastAsia" w:ascii="宋体" w:hAnsi="宋体" w:cs="宋体"/>
          <w:color w:val="auto"/>
          <w:sz w:val="24"/>
          <w:highlight w:val="none"/>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lang w:val="fr-CH"/>
        </w:rPr>
        <w:t>1</w:t>
      </w:r>
      <w:r>
        <w:rPr>
          <w:rFonts w:hint="eastAsia" w:ascii="宋体" w:hAnsi="宋体" w:cs="宋体"/>
          <w:color w:val="auto"/>
          <w:sz w:val="24"/>
          <w:highlight w:val="none"/>
        </w:rPr>
        <w:t>1</w:t>
      </w:r>
      <w:r>
        <w:rPr>
          <w:rFonts w:hint="eastAsia" w:ascii="宋体" w:hAnsi="宋体" w:cs="宋体"/>
          <w:color w:val="auto"/>
          <w:sz w:val="24"/>
          <w:highlight w:val="none"/>
          <w:lang w:val="fr-CH"/>
        </w:rPr>
        <w:t>、同类项目业绩情况</w:t>
      </w:r>
    </w:p>
    <w:p>
      <w:pPr>
        <w:tabs>
          <w:tab w:val="left" w:pos="640"/>
          <w:tab w:val="left" w:pos="1260"/>
          <w:tab w:val="left" w:pos="1418"/>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fr-CH"/>
        </w:rPr>
        <w:t>1</w:t>
      </w:r>
      <w:r>
        <w:rPr>
          <w:rFonts w:hint="eastAsia" w:ascii="宋体" w:hAnsi="宋体" w:cs="宋体"/>
          <w:color w:val="auto"/>
          <w:sz w:val="24"/>
          <w:highlight w:val="none"/>
        </w:rPr>
        <w:t>2</w:t>
      </w:r>
      <w:r>
        <w:rPr>
          <w:rFonts w:hint="eastAsia" w:ascii="宋体" w:hAnsi="宋体" w:cs="宋体"/>
          <w:color w:val="auto"/>
          <w:sz w:val="24"/>
          <w:highlight w:val="none"/>
          <w:lang w:val="fr-CH"/>
        </w:rPr>
        <w:t>、</w:t>
      </w:r>
      <w:r>
        <w:rPr>
          <w:rFonts w:hint="eastAsia" w:ascii="宋体" w:hAnsi="宋体" w:cs="宋体"/>
          <w:color w:val="auto"/>
          <w:sz w:val="24"/>
          <w:highlight w:val="none"/>
        </w:rPr>
        <w:t>项目负责人（仅一人）情况</w:t>
      </w:r>
    </w:p>
    <w:p>
      <w:pPr>
        <w:tabs>
          <w:tab w:val="left" w:pos="640"/>
          <w:tab w:val="left" w:pos="1260"/>
          <w:tab w:val="left" w:pos="1418"/>
        </w:tabs>
        <w:spacing w:line="360" w:lineRule="auto"/>
        <w:ind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13、</w:t>
      </w:r>
      <w:r>
        <w:rPr>
          <w:rFonts w:hint="eastAsia" w:ascii="宋体" w:hAnsi="宋体" w:cs="宋体"/>
          <w:color w:val="auto"/>
          <w:sz w:val="24"/>
          <w:highlight w:val="none"/>
          <w:lang w:val="fr-CH"/>
        </w:rPr>
        <w:t>服务团队成员（项目负责人除外）</w:t>
      </w:r>
    </w:p>
    <w:p>
      <w:pPr>
        <w:tabs>
          <w:tab w:val="left" w:pos="640"/>
          <w:tab w:val="left" w:pos="1260"/>
          <w:tab w:val="left" w:pos="1418"/>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w:t>
      </w:r>
      <w:r>
        <w:rPr>
          <w:rFonts w:ascii="宋体" w:hAnsi="宋体" w:cs="宋体"/>
          <w:color w:val="auto"/>
          <w:sz w:val="24"/>
          <w:highlight w:val="none"/>
        </w:rPr>
        <w:t>服务响应时间</w:t>
      </w:r>
    </w:p>
    <w:p>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（三）技术部分</w:t>
      </w:r>
    </w:p>
    <w:p>
      <w:pPr>
        <w:tabs>
          <w:tab w:val="left" w:pos="640"/>
          <w:tab w:val="left" w:pos="1260"/>
          <w:tab w:val="left" w:pos="1418"/>
        </w:tabs>
        <w:spacing w:line="360" w:lineRule="auto"/>
        <w:ind w:right="-420" w:rightChars="-200"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1、</w:t>
      </w:r>
      <w:r>
        <w:rPr>
          <w:rFonts w:hint="eastAsia" w:ascii="宋体" w:hAnsi="宋体" w:cs="宋体"/>
          <w:color w:val="auto"/>
          <w:sz w:val="24"/>
          <w:highlight w:val="none"/>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rPr>
        <w:t>2、</w:t>
      </w:r>
      <w:r>
        <w:rPr>
          <w:rFonts w:hint="eastAsia" w:ascii="宋体" w:hAnsi="宋体" w:cs="宋体"/>
          <w:color w:val="auto"/>
          <w:sz w:val="24"/>
          <w:highlight w:val="none"/>
          <w:lang w:val="zh-CN"/>
        </w:rPr>
        <w:t>对工作任务及工作目标的理解</w:t>
      </w:r>
    </w:p>
    <w:p>
      <w:pPr>
        <w:tabs>
          <w:tab w:val="left" w:pos="640"/>
          <w:tab w:val="left" w:pos="1260"/>
          <w:tab w:val="left" w:pos="1418"/>
        </w:tabs>
        <w:spacing w:line="360" w:lineRule="auto"/>
        <w:ind w:right="-420" w:rightChars="-200"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lang w:val="fr-CH"/>
        </w:rPr>
        <w:t>3、项目运营服务方案</w:t>
      </w:r>
    </w:p>
    <w:p>
      <w:pPr>
        <w:tabs>
          <w:tab w:val="left" w:pos="640"/>
          <w:tab w:val="left" w:pos="1260"/>
          <w:tab w:val="left" w:pos="1418"/>
        </w:tabs>
        <w:spacing w:line="360" w:lineRule="auto"/>
        <w:ind w:right="-420" w:rightChars="-200" w:firstLine="480" w:firstLineChars="200"/>
        <w:rPr>
          <w:rFonts w:hint="eastAsia" w:ascii="宋体" w:hAnsi="宋体" w:cs="宋体"/>
          <w:color w:val="auto"/>
          <w:sz w:val="24"/>
          <w:highlight w:val="none"/>
          <w:lang w:val="fr-CH"/>
        </w:rPr>
      </w:pPr>
      <w:r>
        <w:rPr>
          <w:rFonts w:hint="eastAsia" w:ascii="宋体" w:hAnsi="宋体" w:cs="宋体"/>
          <w:color w:val="auto"/>
          <w:sz w:val="24"/>
          <w:highlight w:val="none"/>
          <w:lang w:val="fr-CH"/>
        </w:rPr>
        <w:t>4、质量和时间保障措施</w:t>
      </w:r>
    </w:p>
    <w:p>
      <w:pPr>
        <w:tabs>
          <w:tab w:val="left" w:pos="640"/>
          <w:tab w:val="left" w:pos="1260"/>
          <w:tab w:val="left" w:pos="1418"/>
        </w:tabs>
        <w:spacing w:line="360" w:lineRule="auto"/>
        <w:ind w:right="-420" w:rightChars="-200"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rPr>
        <w:t>5、</w:t>
      </w:r>
      <w:r>
        <w:rPr>
          <w:rFonts w:hint="eastAsia" w:ascii="宋体" w:hAnsi="宋体" w:cs="宋体"/>
          <w:color w:val="auto"/>
          <w:sz w:val="24"/>
          <w:highlight w:val="none"/>
          <w:lang w:val="zh-CN"/>
        </w:rPr>
        <w:t>项目服务承诺</w:t>
      </w:r>
    </w:p>
    <w:p>
      <w:pPr>
        <w:tabs>
          <w:tab w:val="left" w:pos="640"/>
          <w:tab w:val="left" w:pos="1260"/>
          <w:tab w:val="left" w:pos="1418"/>
        </w:tabs>
        <w:spacing w:line="360" w:lineRule="auto"/>
        <w:ind w:right="-420" w:rightChars="-200"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lang w:val="fr-CH"/>
        </w:rPr>
        <w:t>投标单位认为有必要提供的其他材料</w:t>
      </w:r>
      <w:r>
        <w:rPr>
          <w:rFonts w:hint="eastAsia" w:ascii="宋体" w:hAnsi="宋体" w:cs="宋体"/>
          <w:color w:val="auto"/>
          <w:sz w:val="24"/>
          <w:highlight w:val="none"/>
          <w:lang w:val="fr-CH" w:bidi="ar"/>
        </w:rPr>
        <w:t>（格式自拟）</w:t>
      </w:r>
      <w:r>
        <w:rPr>
          <w:rFonts w:hint="eastAsia" w:ascii="宋体" w:hAnsi="宋体" w:cs="宋体"/>
          <w:color w:val="auto"/>
          <w:sz w:val="24"/>
          <w:highlight w:val="none"/>
          <w:lang w:val="fr-CH" w:bidi="ar"/>
        </w:rPr>
        <w:br w:type="page"/>
      </w:r>
      <w:r>
        <w:rPr>
          <w:rFonts w:hint="eastAsia" w:ascii="宋体" w:hAnsi="宋体" w:cs="宋体"/>
          <w:b/>
          <w:bCs/>
          <w:color w:val="auto"/>
          <w:sz w:val="24"/>
          <w:highlight w:val="none"/>
        </w:rPr>
        <w:t>（一）</w:t>
      </w:r>
      <w:r>
        <w:rPr>
          <w:rFonts w:hint="eastAsia" w:ascii="宋体" w:hAnsi="宋体" w:cs="宋体"/>
          <w:b/>
          <w:bCs/>
          <w:color w:val="auto"/>
          <w:sz w:val="24"/>
          <w:highlight w:val="none"/>
          <w:lang w:val="zh-CN"/>
        </w:rPr>
        <w:t>价格部分</w:t>
      </w:r>
    </w:p>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1、投标一览表</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投标供应商名称：（公章）</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招标编号：</w:t>
      </w:r>
      <w:r>
        <w:rPr>
          <w:rFonts w:hint="eastAsia" w:ascii="宋体" w:hAnsi="宋体" w:cs="宋体"/>
          <w:color w:val="auto"/>
          <w:sz w:val="24"/>
          <w:highlight w:val="none"/>
          <w:u w:val="single"/>
        </w:rPr>
        <w:t xml:space="preserve">                                      </w:t>
      </w:r>
    </w:p>
    <w:tbl>
      <w:tblPr>
        <w:tblStyle w:val="21"/>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3225" w:type="dxa"/>
            <w:vAlign w:val="center"/>
          </w:tcPr>
          <w:p>
            <w:pPr>
              <w:spacing w:after="60" w:line="360" w:lineRule="auto"/>
              <w:jc w:val="center"/>
              <w:rPr>
                <w:rFonts w:hint="eastAsia" w:ascii="宋体" w:hAnsi="宋体" w:cs="宋体"/>
                <w:color w:val="auto"/>
                <w:sz w:val="24"/>
                <w:highlight w:val="none"/>
              </w:rPr>
            </w:pPr>
            <w:r>
              <w:rPr>
                <w:rFonts w:hint="eastAsia" w:ascii="宋体" w:hAnsi="宋体" w:cs="宋体"/>
                <w:color w:val="auto"/>
                <w:sz w:val="24"/>
                <w:highlight w:val="none"/>
              </w:rPr>
              <w:t>投标总价</w:t>
            </w:r>
          </w:p>
          <w:p>
            <w:pPr>
              <w:spacing w:after="60"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（人民币）</w:t>
            </w:r>
          </w:p>
        </w:tc>
        <w:tc>
          <w:tcPr>
            <w:tcW w:w="2758" w:type="dxa"/>
            <w:vAlign w:val="center"/>
          </w:tcPr>
          <w:p>
            <w:pPr>
              <w:spacing w:after="60"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color w:val="auto"/>
                <w:sz w:val="24"/>
                <w:highlight w:val="none"/>
                <w:u w:val="single"/>
              </w:rPr>
            </w:pPr>
          </w:p>
        </w:tc>
        <w:tc>
          <w:tcPr>
            <w:tcW w:w="3225" w:type="dxa"/>
            <w:vAlign w:val="center"/>
          </w:tcPr>
          <w:p>
            <w:pPr>
              <w:spacing w:line="360" w:lineRule="auto"/>
              <w:jc w:val="center"/>
              <w:rPr>
                <w:rFonts w:hint="eastAsia" w:ascii="宋体" w:hAnsi="宋体" w:cs="宋体"/>
                <w:color w:val="auto"/>
                <w:sz w:val="24"/>
                <w:highlight w:val="none"/>
                <w:u w:val="single"/>
              </w:rPr>
            </w:pPr>
          </w:p>
        </w:tc>
        <w:tc>
          <w:tcPr>
            <w:tcW w:w="2758" w:type="dxa"/>
            <w:vAlign w:val="center"/>
          </w:tcPr>
          <w:p>
            <w:pPr>
              <w:spacing w:line="360" w:lineRule="auto"/>
              <w:jc w:val="center"/>
              <w:rPr>
                <w:rFonts w:hint="eastAsia" w:ascii="宋体" w:hAnsi="宋体" w:cs="宋体"/>
                <w:color w:val="auto"/>
                <w:sz w:val="24"/>
                <w:highlight w:val="none"/>
                <w:u w:val="single"/>
              </w:rPr>
            </w:pPr>
          </w:p>
        </w:tc>
      </w:tr>
    </w:tbl>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投标供应商授权代表：</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pStyle w:val="28"/>
        <w:ind w:firstLine="0" w:firstLineChars="0"/>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pPr>
        <w:spacing w:line="360" w:lineRule="auto"/>
        <w:jc w:val="center"/>
        <w:rPr>
          <w:rFonts w:hint="eastAsia" w:ascii="宋体" w:hAnsi="宋体" w:cs="宋体"/>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2、分项报价明细表</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投标供应商名称：（公章）</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招标编号：</w:t>
      </w:r>
      <w:r>
        <w:rPr>
          <w:rFonts w:hint="eastAsia" w:ascii="宋体" w:hAnsi="宋体" w:cs="宋体"/>
          <w:color w:val="auto"/>
          <w:sz w:val="24"/>
          <w:highlight w:val="none"/>
          <w:u w:val="single"/>
        </w:rPr>
        <w:t xml:space="preserve">                                      </w:t>
      </w:r>
    </w:p>
    <w:tbl>
      <w:tblPr>
        <w:tblStyle w:val="21"/>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auto"/>
                <w:kern w:val="0"/>
                <w:sz w:val="24"/>
                <w:highlight w:val="none"/>
                <w:lang w:bidi="ar"/>
              </w:rPr>
            </w:pPr>
            <w:r>
              <w:rPr>
                <w:rFonts w:hint="eastAsia" w:ascii="黑体" w:hAnsi="黑体" w:eastAsia="黑体" w:cs="黑体"/>
                <w:b/>
                <w:bCs/>
                <w:color w:val="auto"/>
                <w:kern w:val="0"/>
                <w:sz w:val="28"/>
                <w:szCs w:val="28"/>
                <w:highlight w:val="none"/>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auto"/>
                <w:kern w:val="0"/>
                <w:sz w:val="24"/>
                <w:highlight w:val="none"/>
                <w:lang w:bidi="zh-CN"/>
              </w:rPr>
            </w:pPr>
            <w:r>
              <w:rPr>
                <w:rFonts w:hint="eastAsia" w:ascii="仿宋_GB2312" w:hAnsi="仿宋_GB2312" w:eastAsia="仿宋_GB2312" w:cs="仿宋_GB2312"/>
                <w:b/>
                <w:bCs/>
                <w:color w:val="auto"/>
                <w:kern w:val="0"/>
                <w:sz w:val="24"/>
                <w:highlight w:val="none"/>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r>
              <w:rPr>
                <w:rFonts w:hint="eastAsia" w:ascii="仿宋_GB2312" w:hAnsi="仿宋_GB2312" w:eastAsia="仿宋_GB2312" w:cs="仿宋_GB2312"/>
                <w:b/>
                <w:bCs/>
                <w:color w:val="auto"/>
                <w:kern w:val="0"/>
                <w:sz w:val="24"/>
                <w:highlight w:val="none"/>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auto"/>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auto"/>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auto"/>
                <w:kern w:val="0"/>
                <w:sz w:val="24"/>
                <w:highlight w:val="none"/>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auto"/>
                <w:kern w:val="0"/>
                <w:sz w:val="24"/>
                <w:highlight w:val="none"/>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r>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auto"/>
                <w:kern w:val="0"/>
                <w:sz w:val="24"/>
                <w:highlight w:val="none"/>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auto"/>
                <w:kern w:val="0"/>
                <w:sz w:val="24"/>
                <w:highlight w:val="none"/>
                <w:lang w:bidi="ar"/>
              </w:rPr>
            </w:pPr>
          </w:p>
        </w:tc>
      </w:tr>
    </w:tbl>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注：可根据需要自行调整报价格式。含税总计应等于投标总价。</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投标供应商授权代表： ________________________</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outlineLvl w:val="2"/>
        <w:rPr>
          <w:rFonts w:hint="eastAsia" w:ascii="宋体" w:hAnsi="宋体" w:cs="宋体"/>
          <w:b/>
          <w:bCs/>
          <w:color w:val="auto"/>
          <w:sz w:val="24"/>
          <w:highlight w:val="none"/>
        </w:rPr>
      </w:pPr>
      <w:r>
        <w:rPr>
          <w:rFonts w:hint="eastAsia" w:ascii="宋体" w:hAnsi="宋体" w:cs="宋体"/>
          <w:b/>
          <w:bCs/>
          <w:color w:val="auto"/>
          <w:sz w:val="24"/>
          <w:highlight w:val="none"/>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color w:val="auto"/>
          <w:sz w:val="24"/>
          <w:highlight w:val="none"/>
        </w:rPr>
      </w:pPr>
      <w:r>
        <w:rPr>
          <w:rFonts w:hint="eastAsia" w:ascii="宋体" w:hAnsi="宋体" w:cs="宋体"/>
          <w:b/>
          <w:bCs/>
          <w:color w:val="auto"/>
          <w:sz w:val="24"/>
          <w:highlight w:val="none"/>
        </w:rPr>
        <w:t>（具体详见“附件：相关政策”）</w:t>
      </w:r>
      <w:r>
        <w:rPr>
          <w:rFonts w:hint="eastAsia" w:ascii="宋体" w:hAnsi="宋体" w:cs="宋体"/>
          <w:b/>
          <w:bCs/>
          <w:color w:val="auto"/>
          <w:sz w:val="24"/>
          <w:highlight w:val="none"/>
        </w:rPr>
        <w:br w:type="page"/>
      </w:r>
      <w:r>
        <w:rPr>
          <w:rFonts w:hint="eastAsia" w:ascii="宋体" w:hAnsi="宋体" w:cs="宋体"/>
          <w:b/>
          <w:bCs/>
          <w:color w:val="auto"/>
          <w:sz w:val="24"/>
          <w:highlight w:val="none"/>
        </w:rPr>
        <w:t>商务部分</w:t>
      </w:r>
    </w:p>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1、投标响应书</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p>
    <w:p>
      <w:pPr>
        <w:spacing w:line="360" w:lineRule="auto"/>
        <w:ind w:firstLine="494" w:firstLineChars="206"/>
        <w:rPr>
          <w:rFonts w:hint="eastAsia" w:ascii="宋体" w:hAnsi="宋体" w:cs="宋体"/>
          <w:color w:val="auto"/>
          <w:sz w:val="24"/>
          <w:highlight w:val="none"/>
        </w:rPr>
      </w:pPr>
      <w:r>
        <w:rPr>
          <w:rFonts w:hint="eastAsia" w:ascii="宋体" w:hAnsi="宋体" w:cs="宋体"/>
          <w:color w:val="auto"/>
          <w:sz w:val="24"/>
          <w:highlight w:val="none"/>
        </w:rPr>
        <w:t>根据贵方为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项目采购的邀请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（招标文件编号   ），签字代表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（全名、职务）经正式授权并代表供应商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（供应商方名称、地址）提交</w:t>
      </w:r>
      <w:r>
        <w:rPr>
          <w:rFonts w:hint="eastAsia" w:ascii="宋体" w:hAnsi="宋体" w:cs="宋体"/>
          <w:b/>
          <w:color w:val="auto"/>
          <w:sz w:val="24"/>
          <w:highlight w:val="none"/>
        </w:rPr>
        <w:t>一份正本四份副本</w:t>
      </w:r>
      <w:r>
        <w:rPr>
          <w:rFonts w:hint="eastAsia" w:ascii="宋体" w:hAnsi="宋体" w:cs="宋体"/>
          <w:color w:val="auto"/>
          <w:sz w:val="24"/>
          <w:highlight w:val="none"/>
        </w:rPr>
        <w:t>投标文件。</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据此函，签字代表宣布同意如下：</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1、供应商方将按招标文件的规定履行合同责任和义务。</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3、与本投标项目有关的一切正式往来通讯请寄：</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邮编：</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传真：</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投标供应商授权代表、职务（印刷体）：</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投标供应商名称：</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u w:val="single"/>
        </w:rPr>
      </w:pPr>
      <w:r>
        <w:rPr>
          <w:rFonts w:hint="eastAsia" w:ascii="宋体" w:hAnsi="宋体" w:cs="宋体"/>
          <w:color w:val="auto"/>
          <w:sz w:val="24"/>
          <w:highlight w:val="none"/>
        </w:rPr>
        <w:t>（公  章）：</w:t>
      </w:r>
      <w:r>
        <w:rPr>
          <w:rFonts w:hint="eastAsia" w:ascii="宋体" w:hAnsi="宋体" w:cs="宋体"/>
          <w:color w:val="auto"/>
          <w:sz w:val="24"/>
          <w:highlight w:val="none"/>
          <w:u w:val="single"/>
        </w:rPr>
        <w:t xml:space="preserve">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spacing w:line="360" w:lineRule="auto"/>
        <w:rPr>
          <w:rFonts w:hint="eastAsia" w:ascii="宋体" w:hAnsi="宋体" w:cs="宋体"/>
          <w:b/>
          <w:bCs/>
          <w:color w:val="auto"/>
          <w:sz w:val="24"/>
          <w:highlight w:val="none"/>
        </w:rPr>
      </w:pPr>
      <w:r>
        <w:rPr>
          <w:rFonts w:hint="eastAsia" w:ascii="宋体" w:hAnsi="宋体" w:cs="宋体"/>
          <w:color w:val="auto"/>
          <w:sz w:val="24"/>
          <w:highlight w:val="none"/>
        </w:rPr>
        <w:t>投标供应商授权代表：</w:t>
      </w:r>
      <w:r>
        <w:rPr>
          <w:rFonts w:hint="eastAsia" w:ascii="宋体" w:hAnsi="宋体" w:cs="宋体"/>
          <w:color w:val="auto"/>
          <w:sz w:val="24"/>
          <w:highlight w:val="none"/>
          <w:u w:val="single"/>
        </w:rPr>
        <w:t xml:space="preserve">                           </w:t>
      </w:r>
    </w:p>
    <w:p>
      <w:pPr>
        <w:pStyle w:val="6"/>
        <w:spacing w:line="360" w:lineRule="auto"/>
        <w:rPr>
          <w:color w:val="auto"/>
          <w:highlight w:val="none"/>
        </w:rPr>
      </w:pPr>
    </w:p>
    <w:p>
      <w:pPr>
        <w:spacing w:line="360" w:lineRule="auto"/>
        <w:rPr>
          <w:rFonts w:hint="eastAsia" w:ascii="宋体" w:hAnsi="宋体" w:cs="宋体"/>
          <w:color w:val="auto"/>
          <w:sz w:val="24"/>
          <w:highlight w:val="none"/>
          <w:lang w:val="fr-CH"/>
        </w:rPr>
      </w:pPr>
      <w:r>
        <w:rPr>
          <w:rFonts w:hint="eastAsia" w:ascii="宋体" w:hAnsi="宋体" w:cs="宋体"/>
          <w:color w:val="auto"/>
          <w:sz w:val="24"/>
          <w:highlight w:val="none"/>
          <w:lang w:val="fr-CH"/>
        </w:rPr>
        <w:br w:type="page"/>
      </w:r>
    </w:p>
    <w:p>
      <w:pPr>
        <w:tabs>
          <w:tab w:val="left" w:pos="640"/>
          <w:tab w:val="left" w:pos="1260"/>
          <w:tab w:val="left" w:pos="1418"/>
        </w:tabs>
        <w:spacing w:line="360" w:lineRule="auto"/>
        <w:jc w:val="center"/>
        <w:rPr>
          <w:rFonts w:hint="eastAsia" w:ascii="宋体" w:hAnsi="宋体" w:cs="宋体"/>
          <w:color w:val="auto"/>
          <w:sz w:val="24"/>
          <w:highlight w:val="none"/>
          <w:lang w:val="fr-CH"/>
        </w:rPr>
      </w:pPr>
      <w:r>
        <w:rPr>
          <w:rFonts w:hint="eastAsia" w:ascii="宋体" w:hAnsi="宋体" w:cs="宋体"/>
          <w:b/>
          <w:bCs/>
          <w:color w:val="auto"/>
          <w:sz w:val="24"/>
          <w:highlight w:val="none"/>
        </w:rPr>
        <w:t>2</w:t>
      </w:r>
      <w:r>
        <w:rPr>
          <w:rFonts w:hint="eastAsia" w:ascii="宋体" w:hAnsi="宋体" w:cs="宋体"/>
          <w:b/>
          <w:bCs/>
          <w:color w:val="auto"/>
          <w:sz w:val="24"/>
          <w:highlight w:val="none"/>
          <w:lang w:val="fr-CH"/>
        </w:rPr>
        <w:t>、营业执照</w:t>
      </w:r>
    </w:p>
    <w:p>
      <w:pPr>
        <w:tabs>
          <w:tab w:val="left" w:pos="640"/>
          <w:tab w:val="left" w:pos="1260"/>
          <w:tab w:val="left" w:pos="1418"/>
        </w:tabs>
        <w:spacing w:line="360" w:lineRule="auto"/>
        <w:rPr>
          <w:rFonts w:hint="eastAsia" w:ascii="宋体" w:hAnsi="宋体" w:cs="宋体"/>
          <w:color w:val="auto"/>
          <w:sz w:val="24"/>
          <w:highlight w:val="none"/>
          <w:lang w:val="fr-CH"/>
        </w:rPr>
      </w:pPr>
      <w:r>
        <w:rPr>
          <w:rFonts w:hint="eastAsia" w:ascii="宋体" w:hAnsi="宋体" w:cs="宋体"/>
          <w:color w:val="auto"/>
          <w:sz w:val="24"/>
          <w:highlight w:val="none"/>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color w:val="auto"/>
          <w:sz w:val="24"/>
          <w:highlight w:val="none"/>
          <w:lang w:val="fr-CH"/>
        </w:rPr>
      </w:pPr>
      <w:r>
        <w:rPr>
          <w:rFonts w:hint="eastAsia" w:ascii="宋体" w:hAnsi="宋体" w:cs="宋体"/>
          <w:color w:val="auto"/>
          <w:sz w:val="24"/>
          <w:highlight w:val="none"/>
          <w:lang w:val="fr-CH"/>
        </w:rPr>
        <w:br w:type="page"/>
      </w:r>
      <w:r>
        <w:rPr>
          <w:rFonts w:hint="eastAsia" w:ascii="宋体" w:hAnsi="宋体" w:cs="宋体"/>
          <w:b/>
          <w:bCs/>
          <w:color w:val="auto"/>
          <w:sz w:val="24"/>
          <w:highlight w:val="none"/>
        </w:rPr>
        <w:t>3、</w:t>
      </w:r>
      <w:r>
        <w:rPr>
          <w:rFonts w:hint="eastAsia" w:ascii="宋体" w:hAnsi="宋体" w:cs="宋体"/>
          <w:b/>
          <w:bCs/>
          <w:color w:val="auto"/>
          <w:sz w:val="24"/>
          <w:highlight w:val="none"/>
          <w:lang w:val="fr-CH"/>
        </w:rPr>
        <w:t>政府采购投标及履约承诺函</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（采购单位名称/代理机构名称）：</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1.我单位本招标项目所提供的货物或服务未侵犯知识产权。</w:t>
      </w:r>
    </w:p>
    <w:p>
      <w:pPr>
        <w:widowControl/>
        <w:spacing w:line="360" w:lineRule="auto"/>
        <w:ind w:right="-4"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color w:val="auto"/>
          <w:sz w:val="24"/>
          <w:highlight w:val="none"/>
        </w:rPr>
        <w:t>.我单位</w:t>
      </w:r>
      <w:r>
        <w:rPr>
          <w:rFonts w:hint="eastAsia" w:ascii="宋体" w:hAnsi="宋体" w:cs="宋体"/>
          <w:color w:val="auto"/>
          <w:kern w:val="0"/>
          <w:sz w:val="24"/>
          <w:highlight w:val="none"/>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sz w:val="24"/>
          <w:highlight w:val="none"/>
        </w:rPr>
        <w:t>.我单位</w:t>
      </w:r>
      <w:r>
        <w:rPr>
          <w:rFonts w:hint="eastAsia" w:ascii="宋体" w:hAnsi="宋体" w:cs="宋体"/>
          <w:color w:val="auto"/>
          <w:kern w:val="0"/>
          <w:sz w:val="24"/>
          <w:highlight w:val="none"/>
        </w:rPr>
        <w:t>及其法定代表人近三年内（投标人成立不足三年的可从成立之日起算）无行贿犯罪记录；</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4.我单位具备《中华人民共和国政府采购法》第二十二条</w:t>
      </w:r>
      <w:r>
        <w:rPr>
          <w:rFonts w:ascii="宋体" w:hAnsi="宋体" w:cs="宋体"/>
          <w:color w:val="auto"/>
          <w:kern w:val="0"/>
          <w:sz w:val="24"/>
          <w:highlight w:val="none"/>
        </w:rPr>
        <w:t>第一款</w:t>
      </w:r>
      <w:r>
        <w:rPr>
          <w:rFonts w:hint="eastAsia" w:ascii="宋体" w:hAnsi="宋体" w:cs="宋体"/>
          <w:color w:val="auto"/>
          <w:sz w:val="24"/>
          <w:highlight w:val="none"/>
        </w:rPr>
        <w:t>的条件。</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5.</w:t>
      </w:r>
      <w:r>
        <w:rPr>
          <w:rFonts w:hint="eastAsia" w:ascii="宋体" w:hAnsi="宋体" w:cs="宋体"/>
          <w:color w:val="auto"/>
          <w:kern w:val="0"/>
          <w:sz w:val="24"/>
          <w:highlight w:val="none"/>
        </w:rPr>
        <w:t xml:space="preserve"> 符合国家法规政策关于诚信管理的要求，至投标截止时间，投标人未有在“信用中国”网（www.creditchina.gov.cn）、中国政府采购网（www.ccgp.gov.cn）、深圳市政府采购监管网（zfcg.sz.gov.cn）</w:t>
      </w:r>
      <w:bookmarkStart w:id="32" w:name="_GoBack"/>
      <w:bookmarkEnd w:id="32"/>
      <w:r>
        <w:rPr>
          <w:rFonts w:hint="eastAsia" w:ascii="宋体" w:hAnsi="宋体" w:cs="宋体"/>
          <w:color w:val="auto"/>
          <w:kern w:val="0"/>
          <w:sz w:val="24"/>
          <w:highlight w:val="none"/>
        </w:rPr>
        <w:t>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以上承诺，如有违反，愿依照国家相关法律处理，并承担由此给采购人带来的损失。</w:t>
      </w:r>
    </w:p>
    <w:p>
      <w:pPr>
        <w:spacing w:line="360" w:lineRule="auto"/>
        <w:ind w:firstLine="480" w:firstLineChars="200"/>
        <w:rPr>
          <w:rFonts w:hint="eastAsia" w:ascii="宋体" w:hAnsi="宋体" w:cs="宋体"/>
          <w:color w:val="auto"/>
          <w:sz w:val="24"/>
          <w:highlight w:val="none"/>
        </w:rPr>
      </w:pPr>
    </w:p>
    <w:p>
      <w:pPr>
        <w:tabs>
          <w:tab w:val="left" w:pos="4860"/>
        </w:tabs>
        <w:adjustRightInd w:val="0"/>
        <w:snapToGrid w:val="0"/>
        <w:spacing w:line="360" w:lineRule="auto"/>
        <w:ind w:right="105" w:rightChars="50" w:firstLine="241" w:firstLineChars="100"/>
        <w:rPr>
          <w:rFonts w:hint="eastAsia" w:ascii="宋体" w:hAnsi="宋体" w:cs="宋体"/>
          <w:b/>
          <w:bCs/>
          <w:color w:val="auto"/>
          <w:sz w:val="24"/>
          <w:highlight w:val="none"/>
        </w:rPr>
      </w:pPr>
      <w:r>
        <w:rPr>
          <w:rFonts w:hint="eastAsia" w:ascii="宋体" w:hAnsi="宋体" w:cs="宋体"/>
          <w:b/>
          <w:bCs/>
          <w:color w:val="auto"/>
          <w:sz w:val="24"/>
          <w:highlight w:val="none"/>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color w:val="auto"/>
          <w:sz w:val="24"/>
          <w:highlight w:val="none"/>
        </w:rPr>
      </w:pPr>
      <w:r>
        <w:rPr>
          <w:rFonts w:hint="eastAsia" w:ascii="宋体" w:hAnsi="宋体" w:cs="宋体"/>
          <w:b/>
          <w:bCs/>
          <w:color w:val="auto"/>
          <w:sz w:val="24"/>
          <w:highlight w:val="none"/>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color w:val="auto"/>
          <w:sz w:val="24"/>
          <w:highlight w:val="none"/>
        </w:rPr>
      </w:pPr>
      <w:r>
        <w:rPr>
          <w:rFonts w:hint="eastAsia" w:ascii="宋体" w:hAnsi="宋体" w:cs="宋体"/>
          <w:b/>
          <w:bCs/>
          <w:color w:val="auto"/>
          <w:sz w:val="24"/>
          <w:highlight w:val="none"/>
        </w:rPr>
        <w:t>日期：   年  月   日</w:t>
      </w:r>
    </w:p>
    <w:p>
      <w:pPr>
        <w:pStyle w:val="6"/>
        <w:spacing w:line="560" w:lineRule="exact"/>
        <w:jc w:val="center"/>
        <w:rPr>
          <w:b/>
          <w:color w:val="auto"/>
          <w:sz w:val="24"/>
          <w:highlight w:val="none"/>
          <w:lang w:val="fr-CH"/>
        </w:rPr>
      </w:pPr>
      <w:r>
        <w:rPr>
          <w:rFonts w:hint="eastAsia" w:hAnsi="宋体" w:cs="宋体"/>
          <w:color w:val="auto"/>
          <w:highlight w:val="none"/>
        </w:rPr>
        <w:br w:type="page"/>
      </w:r>
      <w:r>
        <w:rPr>
          <w:rFonts w:hint="eastAsia"/>
          <w:b/>
          <w:color w:val="auto"/>
          <w:sz w:val="24"/>
          <w:highlight w:val="none"/>
        </w:rPr>
        <w:t>4</w:t>
      </w:r>
      <w:r>
        <w:rPr>
          <w:rFonts w:hint="eastAsia"/>
          <w:b/>
          <w:color w:val="auto"/>
          <w:sz w:val="24"/>
          <w:highlight w:val="none"/>
          <w:lang w:val="fr-CH"/>
        </w:rPr>
        <w:t>、政府采购违法行为风险知悉确认书</w:t>
      </w:r>
    </w:p>
    <w:p>
      <w:pPr>
        <w:spacing w:after="120" w:line="560" w:lineRule="exact"/>
        <w:ind w:firstLine="480" w:firstLineChars="200"/>
        <w:rPr>
          <w:color w:val="auto"/>
          <w:sz w:val="24"/>
          <w:highlight w:val="none"/>
          <w:lang w:val="fr-CH"/>
        </w:rPr>
      </w:pPr>
      <w:r>
        <w:rPr>
          <w:rFonts w:hint="eastAsia"/>
          <w:color w:val="auto"/>
          <w:sz w:val="24"/>
          <w:highlight w:val="none"/>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color w:val="auto"/>
          <w:sz w:val="24"/>
          <w:highlight w:val="none"/>
          <w:lang w:val="fr-CH"/>
        </w:rPr>
      </w:pPr>
      <w:r>
        <w:rPr>
          <w:rFonts w:hint="eastAsia"/>
          <w:color w:val="auto"/>
          <w:sz w:val="24"/>
          <w:highlight w:val="none"/>
          <w:lang w:val="fr-CH"/>
        </w:rPr>
        <w:t>一、本公司已充分知悉“隐瞒真实情况，提供虚假资料”的法定情形，相关情形包括但不限于：</w:t>
      </w:r>
    </w:p>
    <w:p>
      <w:pPr>
        <w:spacing w:after="120" w:line="560" w:lineRule="exact"/>
        <w:ind w:firstLine="480" w:firstLineChars="200"/>
        <w:rPr>
          <w:color w:val="auto"/>
          <w:sz w:val="24"/>
          <w:highlight w:val="none"/>
          <w:lang w:val="fr-CH"/>
        </w:rPr>
      </w:pPr>
      <w:r>
        <w:rPr>
          <w:rFonts w:hint="eastAsia"/>
          <w:color w:val="auto"/>
          <w:sz w:val="24"/>
          <w:highlight w:val="none"/>
          <w:lang w:val="fr-CH"/>
        </w:rPr>
        <w:t>（一）通过转让或者租借等方式从其他单位获取资格或者资质证书投标的。</w:t>
      </w:r>
    </w:p>
    <w:p>
      <w:pPr>
        <w:spacing w:after="120" w:line="560" w:lineRule="exact"/>
        <w:ind w:firstLine="480" w:firstLineChars="200"/>
        <w:rPr>
          <w:color w:val="auto"/>
          <w:sz w:val="24"/>
          <w:highlight w:val="none"/>
          <w:lang w:val="fr-CH"/>
        </w:rPr>
      </w:pPr>
      <w:r>
        <w:rPr>
          <w:rFonts w:hint="eastAsia"/>
          <w:color w:val="auto"/>
          <w:sz w:val="24"/>
          <w:highlight w:val="none"/>
          <w:lang w:val="fr-CH"/>
        </w:rPr>
        <w:t>（二）由其他单位或者其他单位负责人在投标供应商编制的投标文件上加盖印章或者签字的。</w:t>
      </w:r>
    </w:p>
    <w:p>
      <w:pPr>
        <w:spacing w:after="120" w:line="560" w:lineRule="exact"/>
        <w:ind w:firstLine="480" w:firstLineChars="200"/>
        <w:rPr>
          <w:color w:val="auto"/>
          <w:sz w:val="24"/>
          <w:highlight w:val="none"/>
          <w:lang w:val="fr-CH"/>
        </w:rPr>
      </w:pPr>
      <w:r>
        <w:rPr>
          <w:rFonts w:hint="eastAsia"/>
          <w:color w:val="auto"/>
          <w:sz w:val="24"/>
          <w:highlight w:val="none"/>
          <w:lang w:val="fr-CH"/>
        </w:rPr>
        <w:t>（三）项目负责人或者主要技术人员不是本单位人员的。</w:t>
      </w:r>
    </w:p>
    <w:p>
      <w:pPr>
        <w:spacing w:after="120" w:line="560" w:lineRule="exact"/>
        <w:ind w:firstLine="480" w:firstLineChars="200"/>
        <w:rPr>
          <w:color w:val="auto"/>
          <w:sz w:val="24"/>
          <w:highlight w:val="none"/>
          <w:lang w:val="fr-CH"/>
        </w:rPr>
      </w:pPr>
      <w:r>
        <w:rPr>
          <w:rFonts w:hint="eastAsia"/>
          <w:color w:val="auto"/>
          <w:sz w:val="24"/>
          <w:highlight w:val="none"/>
          <w:lang w:val="fr-CH"/>
        </w:rPr>
        <w:t>（四）投标保证金不是从投标供应商基本账户转出的。</w:t>
      </w:r>
    </w:p>
    <w:p>
      <w:pPr>
        <w:spacing w:after="120" w:line="560" w:lineRule="exact"/>
        <w:ind w:firstLine="480" w:firstLineChars="200"/>
        <w:rPr>
          <w:color w:val="auto"/>
          <w:sz w:val="24"/>
          <w:highlight w:val="none"/>
          <w:lang w:val="fr-CH"/>
        </w:rPr>
      </w:pPr>
      <w:r>
        <w:rPr>
          <w:rFonts w:hint="eastAsia"/>
          <w:color w:val="auto"/>
          <w:sz w:val="24"/>
          <w:highlight w:val="none"/>
          <w:lang w:val="fr-CH"/>
        </w:rPr>
        <w:t>（五）其他隐瞒真实情况、提供虚假资料的行为。</w:t>
      </w:r>
    </w:p>
    <w:p>
      <w:pPr>
        <w:spacing w:after="120" w:line="560" w:lineRule="exact"/>
        <w:ind w:firstLine="480" w:firstLineChars="200"/>
        <w:rPr>
          <w:color w:val="auto"/>
          <w:sz w:val="24"/>
          <w:highlight w:val="none"/>
          <w:lang w:val="fr-CH"/>
        </w:rPr>
      </w:pPr>
      <w:r>
        <w:rPr>
          <w:rFonts w:hint="eastAsia"/>
          <w:color w:val="auto"/>
          <w:sz w:val="24"/>
          <w:highlight w:val="none"/>
          <w:lang w:val="fr-CH"/>
        </w:rPr>
        <w:t>二、本公司已充分知悉“与其他采购参加人串通投标”的法定情形，相关情形包括但不限于：</w:t>
      </w:r>
    </w:p>
    <w:p>
      <w:pPr>
        <w:spacing w:after="120" w:line="560" w:lineRule="exact"/>
        <w:ind w:firstLine="480" w:firstLineChars="200"/>
        <w:rPr>
          <w:color w:val="auto"/>
          <w:sz w:val="24"/>
          <w:highlight w:val="none"/>
          <w:lang w:val="fr-CH"/>
        </w:rPr>
      </w:pPr>
      <w:r>
        <w:rPr>
          <w:rFonts w:hint="eastAsia"/>
          <w:color w:val="auto"/>
          <w:sz w:val="24"/>
          <w:highlight w:val="none"/>
          <w:lang w:val="fr-CH"/>
        </w:rPr>
        <w:t>（一）投标供应商之间相互约定给予未中标的供应商利益补偿。</w:t>
      </w:r>
    </w:p>
    <w:p>
      <w:pPr>
        <w:spacing w:after="120" w:line="560" w:lineRule="exact"/>
        <w:ind w:firstLine="480" w:firstLineChars="200"/>
        <w:rPr>
          <w:color w:val="auto"/>
          <w:sz w:val="24"/>
          <w:highlight w:val="none"/>
          <w:lang w:val="fr-CH"/>
        </w:rPr>
      </w:pPr>
      <w:r>
        <w:rPr>
          <w:rFonts w:hint="eastAsia"/>
          <w:color w:val="auto"/>
          <w:sz w:val="24"/>
          <w:highlight w:val="none"/>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color w:val="auto"/>
          <w:sz w:val="24"/>
          <w:highlight w:val="none"/>
          <w:lang w:val="fr-CH"/>
        </w:rPr>
      </w:pPr>
      <w:r>
        <w:rPr>
          <w:rFonts w:hint="eastAsia"/>
          <w:color w:val="auto"/>
          <w:sz w:val="24"/>
          <w:highlight w:val="none"/>
          <w:lang w:val="fr-CH"/>
        </w:rPr>
        <w:t>（三）不同投标供应商的投标文件由同一单位或者同一人编制，或者由同一人分阶段参与编制的。</w:t>
      </w:r>
    </w:p>
    <w:p>
      <w:pPr>
        <w:spacing w:after="120" w:line="560" w:lineRule="exact"/>
        <w:ind w:firstLine="480" w:firstLineChars="200"/>
        <w:rPr>
          <w:color w:val="auto"/>
          <w:sz w:val="24"/>
          <w:highlight w:val="none"/>
          <w:lang w:val="fr-CH"/>
        </w:rPr>
      </w:pPr>
      <w:r>
        <w:rPr>
          <w:rFonts w:hint="eastAsia"/>
          <w:color w:val="auto"/>
          <w:sz w:val="24"/>
          <w:highlight w:val="none"/>
          <w:lang w:val="fr-CH"/>
        </w:rPr>
        <w:t>（四）不同投标供应商的投标文件或部分投标文件相互混装。</w:t>
      </w:r>
    </w:p>
    <w:p>
      <w:pPr>
        <w:spacing w:after="120" w:line="560" w:lineRule="exact"/>
        <w:ind w:firstLine="480" w:firstLineChars="200"/>
        <w:rPr>
          <w:color w:val="auto"/>
          <w:sz w:val="24"/>
          <w:highlight w:val="none"/>
          <w:lang w:val="fr-CH"/>
        </w:rPr>
      </w:pPr>
      <w:r>
        <w:rPr>
          <w:rFonts w:hint="eastAsia"/>
          <w:color w:val="auto"/>
          <w:sz w:val="24"/>
          <w:highlight w:val="none"/>
          <w:lang w:val="fr-CH"/>
        </w:rPr>
        <w:t>（五）不同投标供应商的投标文件内容存在非正常一致。</w:t>
      </w:r>
    </w:p>
    <w:p>
      <w:pPr>
        <w:spacing w:after="120" w:line="560" w:lineRule="exact"/>
        <w:ind w:firstLine="480" w:firstLineChars="200"/>
        <w:rPr>
          <w:color w:val="auto"/>
          <w:sz w:val="24"/>
          <w:highlight w:val="none"/>
          <w:lang w:val="fr-CH"/>
        </w:rPr>
      </w:pPr>
      <w:r>
        <w:rPr>
          <w:rFonts w:hint="eastAsia"/>
          <w:color w:val="auto"/>
          <w:sz w:val="24"/>
          <w:highlight w:val="none"/>
          <w:lang w:val="fr-CH"/>
        </w:rPr>
        <w:t>（六）由同一单位工作人员为两家以上（含两家）供应商进行同一项投标活动的。</w:t>
      </w:r>
    </w:p>
    <w:p>
      <w:pPr>
        <w:spacing w:after="120" w:line="560" w:lineRule="exact"/>
        <w:ind w:firstLine="480" w:firstLineChars="200"/>
        <w:rPr>
          <w:color w:val="auto"/>
          <w:sz w:val="24"/>
          <w:highlight w:val="none"/>
          <w:lang w:val="fr-CH"/>
        </w:rPr>
      </w:pPr>
      <w:r>
        <w:rPr>
          <w:rFonts w:hint="eastAsia"/>
          <w:color w:val="auto"/>
          <w:sz w:val="24"/>
          <w:highlight w:val="none"/>
          <w:lang w:val="fr-CH"/>
        </w:rPr>
        <w:t>（七）不同投标人的投标报价呈规律性差异。</w:t>
      </w:r>
    </w:p>
    <w:p>
      <w:pPr>
        <w:spacing w:after="120" w:line="560" w:lineRule="exact"/>
        <w:ind w:firstLine="480" w:firstLineChars="200"/>
        <w:rPr>
          <w:color w:val="auto"/>
          <w:sz w:val="24"/>
          <w:highlight w:val="none"/>
          <w:lang w:val="fr-CH"/>
        </w:rPr>
      </w:pPr>
      <w:r>
        <w:rPr>
          <w:rFonts w:hint="eastAsia"/>
          <w:color w:val="auto"/>
          <w:sz w:val="24"/>
          <w:highlight w:val="none"/>
          <w:lang w:val="fr-CH"/>
        </w:rPr>
        <w:t>（八）不同投标人的投标保证金从同一单位或者个人的账户转出。</w:t>
      </w:r>
    </w:p>
    <w:p>
      <w:pPr>
        <w:spacing w:after="120" w:line="560" w:lineRule="exact"/>
        <w:ind w:firstLine="480" w:firstLineChars="200"/>
        <w:rPr>
          <w:color w:val="auto"/>
          <w:sz w:val="24"/>
          <w:highlight w:val="none"/>
          <w:lang w:val="fr-CH"/>
        </w:rPr>
      </w:pPr>
      <w:r>
        <w:rPr>
          <w:rFonts w:hint="eastAsia"/>
          <w:color w:val="auto"/>
          <w:sz w:val="24"/>
          <w:highlight w:val="none"/>
          <w:lang w:val="fr-CH"/>
        </w:rPr>
        <w:t>（九）主管部门依照法律、法规认定的其他情形。</w:t>
      </w:r>
    </w:p>
    <w:p>
      <w:pPr>
        <w:spacing w:after="120" w:line="560" w:lineRule="exact"/>
        <w:ind w:firstLine="480" w:firstLineChars="200"/>
        <w:rPr>
          <w:color w:val="auto"/>
          <w:sz w:val="24"/>
          <w:highlight w:val="none"/>
          <w:lang w:val="fr-CH"/>
        </w:rPr>
      </w:pPr>
      <w:r>
        <w:rPr>
          <w:rFonts w:hint="eastAsia"/>
          <w:color w:val="auto"/>
          <w:sz w:val="24"/>
          <w:highlight w:val="none"/>
          <w:lang w:val="fr-CH"/>
        </w:rPr>
        <w:t>三、本公司已充分知悉下列情形所对应的法律风险，并在投标前已对相关风险事项进行排查。</w:t>
      </w:r>
    </w:p>
    <w:p>
      <w:pPr>
        <w:spacing w:after="120" w:line="560" w:lineRule="exact"/>
        <w:ind w:firstLine="480" w:firstLineChars="200"/>
        <w:rPr>
          <w:color w:val="auto"/>
          <w:sz w:val="24"/>
          <w:highlight w:val="none"/>
          <w:lang w:val="fr-CH"/>
        </w:rPr>
      </w:pPr>
      <w:r>
        <w:rPr>
          <w:rFonts w:hint="eastAsia"/>
          <w:color w:val="auto"/>
          <w:sz w:val="24"/>
          <w:highlight w:val="none"/>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color w:val="auto"/>
          <w:sz w:val="24"/>
          <w:highlight w:val="none"/>
          <w:lang w:val="fr-CH"/>
        </w:rPr>
      </w:pPr>
      <w:r>
        <w:rPr>
          <w:rFonts w:hint="eastAsia"/>
          <w:color w:val="auto"/>
          <w:sz w:val="24"/>
          <w:highlight w:val="none"/>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color w:val="auto"/>
          <w:sz w:val="24"/>
          <w:highlight w:val="none"/>
          <w:lang w:val="fr-CH"/>
        </w:rPr>
      </w:pPr>
      <w:r>
        <w:rPr>
          <w:rFonts w:hint="eastAsia"/>
          <w:color w:val="auto"/>
          <w:sz w:val="24"/>
          <w:highlight w:val="none"/>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color w:val="auto"/>
          <w:sz w:val="24"/>
          <w:highlight w:val="none"/>
          <w:lang w:val="fr-CH"/>
        </w:rPr>
      </w:pPr>
      <w:r>
        <w:rPr>
          <w:rFonts w:hint="eastAsia"/>
          <w:color w:val="auto"/>
          <w:sz w:val="24"/>
          <w:highlight w:val="none"/>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color w:val="auto"/>
          <w:sz w:val="24"/>
          <w:highlight w:val="none"/>
          <w:lang w:val="fr-CH"/>
        </w:rPr>
      </w:pPr>
      <w:r>
        <w:rPr>
          <w:rFonts w:hint="eastAsia"/>
          <w:color w:val="auto"/>
          <w:sz w:val="24"/>
          <w:highlight w:val="none"/>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color w:val="auto"/>
          <w:sz w:val="24"/>
          <w:highlight w:val="none"/>
          <w:lang w:val="fr-CH"/>
        </w:rPr>
      </w:pPr>
      <w:r>
        <w:rPr>
          <w:rFonts w:hint="eastAsia"/>
          <w:color w:val="auto"/>
          <w:sz w:val="24"/>
          <w:highlight w:val="none"/>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color w:val="auto"/>
          <w:sz w:val="24"/>
          <w:highlight w:val="none"/>
          <w:lang w:val="fr-CH"/>
        </w:rPr>
      </w:pPr>
      <w:r>
        <w:rPr>
          <w:rFonts w:hint="eastAsia"/>
          <w:color w:val="auto"/>
          <w:sz w:val="24"/>
          <w:highlight w:val="none"/>
          <w:lang w:val="fr-CH"/>
        </w:rPr>
        <w:t>四、本公司已充分知悉政府采购违法、违规行为的法律后果。</w:t>
      </w:r>
    </w:p>
    <w:p>
      <w:pPr>
        <w:spacing w:after="120" w:line="560" w:lineRule="exact"/>
        <w:ind w:firstLine="480" w:firstLineChars="200"/>
        <w:rPr>
          <w:color w:val="auto"/>
          <w:sz w:val="24"/>
          <w:highlight w:val="none"/>
          <w:lang w:val="fr-CH"/>
        </w:rPr>
      </w:pPr>
      <w:r>
        <w:rPr>
          <w:rFonts w:hint="eastAsia"/>
          <w:color w:val="auto"/>
          <w:sz w:val="24"/>
          <w:highlight w:val="none"/>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以下文字请投标供应商抄写并确认：“本公司已仔细阅读《政府采购违法行为风险知悉确认书》，充分知悉违法行为的法律后果，并承诺将严谨、诚信、依法依规参与政府采购活动”。</w:t>
      </w:r>
    </w:p>
    <w:p>
      <w:pPr>
        <w:spacing w:line="560" w:lineRule="exact"/>
        <w:rPr>
          <w:color w:val="auto"/>
          <w:highlight w:val="none"/>
          <w:lang w:val="fr-CH"/>
        </w:rPr>
      </w:pPr>
    </w:p>
    <w:p>
      <w:pPr>
        <w:spacing w:after="120" w:line="560" w:lineRule="exact"/>
        <w:rPr>
          <w:color w:val="auto"/>
          <w:sz w:val="24"/>
          <w:highlight w:val="none"/>
          <w:lang w:val="fr-CH"/>
        </w:rPr>
      </w:pPr>
      <w:r>
        <w:rPr>
          <w:color w:val="auto"/>
          <w:sz w:val="24"/>
          <w:highlight w:val="none"/>
          <w:lang w:val="fr-CH"/>
        </w:rPr>
        <w:t xml:space="preserve">                                                                                              </w:t>
      </w:r>
    </w:p>
    <w:p>
      <w:pPr>
        <w:spacing w:after="120" w:line="560" w:lineRule="exact"/>
        <w:rPr>
          <w:color w:val="auto"/>
          <w:sz w:val="24"/>
          <w:highlight w:val="none"/>
          <w:lang w:val="fr-CH"/>
        </w:rPr>
      </w:pPr>
      <w:r>
        <w:rPr>
          <w:color w:val="auto"/>
          <w:sz w:val="24"/>
          <w:highlight w:val="none"/>
          <w:lang w:val="fr-CH"/>
        </w:rPr>
        <w:t xml:space="preserve">                                                                             </w:t>
      </w:r>
    </w:p>
    <w:p>
      <w:pPr>
        <w:spacing w:after="120" w:line="560" w:lineRule="exact"/>
        <w:rPr>
          <w:color w:val="auto"/>
          <w:sz w:val="24"/>
          <w:highlight w:val="none"/>
          <w:lang w:val="fr-CH"/>
        </w:rPr>
      </w:pPr>
      <w:r>
        <w:rPr>
          <w:rFonts w:hint="eastAsia"/>
          <w:color w:val="auto"/>
          <w:sz w:val="24"/>
          <w:highlight w:val="none"/>
          <w:lang w:val="fr-CH"/>
        </w:rPr>
        <w:t>负责人/投标授权代表签名：</w:t>
      </w:r>
    </w:p>
    <w:p>
      <w:pPr>
        <w:spacing w:after="120" w:line="560" w:lineRule="exact"/>
        <w:rPr>
          <w:color w:val="auto"/>
          <w:sz w:val="24"/>
          <w:highlight w:val="none"/>
          <w:lang w:val="fr-CH"/>
        </w:rPr>
      </w:pPr>
      <w:r>
        <w:rPr>
          <w:rFonts w:hint="eastAsia"/>
          <w:color w:val="auto"/>
          <w:sz w:val="24"/>
          <w:highlight w:val="none"/>
          <w:lang w:val="fr-CH"/>
        </w:rPr>
        <w:t>知悉人（公章）：</w:t>
      </w:r>
    </w:p>
    <w:p>
      <w:pPr>
        <w:spacing w:after="120" w:line="560" w:lineRule="exact"/>
        <w:rPr>
          <w:color w:val="auto"/>
          <w:sz w:val="24"/>
          <w:highlight w:val="none"/>
          <w:lang w:val="fr-CH"/>
        </w:rPr>
      </w:pPr>
      <w:r>
        <w:rPr>
          <w:rFonts w:hint="eastAsia"/>
          <w:color w:val="auto"/>
          <w:sz w:val="24"/>
          <w:highlight w:val="none"/>
          <w:lang w:val="fr-CH"/>
        </w:rPr>
        <w:t>日期：</w:t>
      </w:r>
    </w:p>
    <w:p>
      <w:pPr>
        <w:pStyle w:val="6"/>
        <w:rPr>
          <w:color w:val="auto"/>
          <w:highlight w:val="none"/>
          <w:lang w:val="fr-CH"/>
        </w:rPr>
      </w:pPr>
    </w:p>
    <w:p>
      <w:pPr>
        <w:tabs>
          <w:tab w:val="left" w:pos="640"/>
          <w:tab w:val="left" w:pos="1260"/>
          <w:tab w:val="left" w:pos="1418"/>
        </w:tabs>
        <w:spacing w:line="360" w:lineRule="auto"/>
        <w:jc w:val="center"/>
        <w:rPr>
          <w:rFonts w:hint="eastAsia" w:ascii="宋体" w:hAnsi="宋体" w:cs="宋体"/>
          <w:b/>
          <w:bCs/>
          <w:color w:val="auto"/>
          <w:sz w:val="24"/>
          <w:highlight w:val="none"/>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5、关于资格的声明函</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（采购单位名称/代理机构名称）：</w:t>
      </w:r>
    </w:p>
    <w:p>
      <w:pPr>
        <w:spacing w:line="360" w:lineRule="auto"/>
        <w:ind w:firstLine="566" w:firstLineChars="236"/>
        <w:rPr>
          <w:rFonts w:hint="eastAsia" w:ascii="宋体" w:hAnsi="宋体" w:cs="宋体"/>
          <w:color w:val="auto"/>
          <w:sz w:val="24"/>
          <w:highlight w:val="none"/>
        </w:rPr>
      </w:pPr>
      <w:r>
        <w:rPr>
          <w:rFonts w:hint="eastAsia" w:ascii="宋体" w:hAnsi="宋体" w:cs="宋体"/>
          <w:color w:val="auto"/>
          <w:sz w:val="24"/>
          <w:highlight w:val="none"/>
          <w:u w:val="single"/>
        </w:rPr>
        <w:t xml:space="preserve"> （ 投标人名称）    </w:t>
      </w:r>
      <w:r>
        <w:rPr>
          <w:rFonts w:hint="eastAsia" w:ascii="宋体" w:hAnsi="宋体" w:cs="宋体"/>
          <w:color w:val="auto"/>
          <w:sz w:val="24"/>
          <w:highlight w:val="none"/>
        </w:rPr>
        <w:t xml:space="preserve"> 参与了</w:t>
      </w:r>
      <w:r>
        <w:rPr>
          <w:rFonts w:hint="eastAsia" w:ascii="宋体" w:hAnsi="宋体" w:cs="宋体"/>
          <w:color w:val="auto"/>
          <w:sz w:val="24"/>
          <w:highlight w:val="none"/>
          <w:u w:val="single"/>
        </w:rPr>
        <w:t xml:space="preserve"> （项目名称 、招标编号） </w:t>
      </w:r>
      <w:r>
        <w:rPr>
          <w:rFonts w:hint="eastAsia" w:ascii="宋体" w:hAnsi="宋体" w:cs="宋体"/>
          <w:color w:val="auto"/>
          <w:sz w:val="24"/>
          <w:highlight w:val="none"/>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color w:val="auto"/>
          <w:sz w:val="24"/>
          <w:highlight w:val="none"/>
        </w:rPr>
      </w:pPr>
      <w:r>
        <w:rPr>
          <w:rFonts w:hint="eastAsia" w:ascii="宋体" w:hAnsi="宋体" w:cs="宋体"/>
          <w:color w:val="auto"/>
          <w:sz w:val="24"/>
          <w:highlight w:val="none"/>
        </w:rPr>
        <w:t>特此承诺！</w:t>
      </w:r>
    </w:p>
    <w:p>
      <w:pPr>
        <w:spacing w:line="360" w:lineRule="auto"/>
        <w:ind w:left="420"/>
        <w:rPr>
          <w:rFonts w:hint="eastAsia" w:ascii="宋体" w:hAnsi="宋体" w:cs="宋体"/>
          <w:color w:val="auto"/>
          <w:sz w:val="24"/>
          <w:highlight w:val="none"/>
        </w:rPr>
      </w:pPr>
    </w:p>
    <w:p>
      <w:pPr>
        <w:pStyle w:val="11"/>
        <w:spacing w:line="360" w:lineRule="auto"/>
        <w:jc w:val="center"/>
        <w:rPr>
          <w:rFonts w:hint="eastAsia" w:hAnsi="宋体" w:cs="宋体"/>
          <w:color w:val="auto"/>
          <w:sz w:val="24"/>
          <w:highlight w:val="none"/>
        </w:rPr>
      </w:pPr>
      <w:r>
        <w:rPr>
          <w:rFonts w:hint="eastAsia" w:hAnsi="宋体" w:cs="宋体"/>
          <w:color w:val="auto"/>
          <w:sz w:val="24"/>
          <w:highlight w:val="none"/>
        </w:rPr>
        <w:t xml:space="preserve">                投标人名称（投标人法人公章）：</w:t>
      </w:r>
    </w:p>
    <w:p>
      <w:pPr>
        <w:spacing w:line="360" w:lineRule="auto"/>
        <w:jc w:val="center"/>
        <w:rPr>
          <w:rFonts w:hint="eastAsia" w:ascii="宋体" w:hAnsi="宋体" w:cs="宋体"/>
          <w:color w:val="auto"/>
          <w:kern w:val="0"/>
          <w:sz w:val="24"/>
          <w:highlight w:val="none"/>
        </w:rPr>
      </w:pPr>
      <w:r>
        <w:rPr>
          <w:rFonts w:hint="eastAsia" w:ascii="宋体" w:hAnsi="宋体" w:cs="宋体"/>
          <w:color w:val="auto"/>
          <w:sz w:val="24"/>
          <w:highlight w:val="none"/>
        </w:rPr>
        <w:t xml:space="preserve">             承诺日期：   年     月     日</w:t>
      </w:r>
    </w:p>
    <w:p>
      <w:pPr>
        <w:tabs>
          <w:tab w:val="left" w:pos="640"/>
          <w:tab w:val="left" w:pos="1260"/>
          <w:tab w:val="left" w:pos="1418"/>
        </w:tabs>
        <w:spacing w:line="360" w:lineRule="auto"/>
        <w:rPr>
          <w:rFonts w:hint="eastAsia" w:ascii="宋体" w:hAnsi="宋体" w:cs="宋体"/>
          <w:color w:val="auto"/>
          <w:sz w:val="24"/>
          <w:highlight w:val="none"/>
          <w:lang w:val="fr-CH"/>
        </w:rPr>
      </w:pPr>
    </w:p>
    <w:p>
      <w:pPr>
        <w:spacing w:before="120" w:after="120" w:line="360" w:lineRule="auto"/>
        <w:jc w:val="center"/>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pStyle w:val="28"/>
        <w:ind w:firstLine="482"/>
        <w:rPr>
          <w:rFonts w:hint="eastAsia" w:ascii="宋体" w:hAnsi="宋体" w:cs="宋体"/>
          <w:b/>
          <w:color w:val="auto"/>
          <w:sz w:val="24"/>
          <w:highlight w:val="none"/>
        </w:rPr>
      </w:pPr>
    </w:p>
    <w:p>
      <w:pPr>
        <w:jc w:val="left"/>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6、企业诚信声明与承诺</w:t>
      </w:r>
    </w:p>
    <w:p>
      <w:pPr>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深圳国际招标咨询有限公司：</w:t>
      </w:r>
    </w:p>
    <w:p>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 xml:space="preserve">  我公司（单位）参与贵代理机构组织的项目（项目编号：）投标，现就诚信作如下声明与承诺：</w:t>
      </w:r>
    </w:p>
    <w:p>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我司对上述内容的真实性负责。如有虚假，将依法承担相应责任。</w:t>
      </w:r>
    </w:p>
    <w:p>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特此声明与承诺！</w:t>
      </w:r>
    </w:p>
    <w:p>
      <w:pPr>
        <w:spacing w:line="360" w:lineRule="auto"/>
        <w:jc w:val="left"/>
        <w:rPr>
          <w:rFonts w:hint="eastAsia" w:ascii="宋体" w:hAnsi="宋体" w:cs="宋体"/>
          <w:color w:val="auto"/>
          <w:sz w:val="24"/>
          <w:highlight w:val="none"/>
        </w:rPr>
      </w:pPr>
    </w:p>
    <w:p>
      <w:pPr>
        <w:spacing w:line="360" w:lineRule="auto"/>
        <w:jc w:val="left"/>
        <w:rPr>
          <w:rFonts w:hint="eastAsia" w:ascii="宋体" w:hAnsi="宋体" w:cs="宋体"/>
          <w:color w:val="auto"/>
          <w:sz w:val="24"/>
          <w:highlight w:val="none"/>
        </w:rPr>
      </w:pPr>
    </w:p>
    <w:p>
      <w:pPr>
        <w:widowControl/>
        <w:autoSpaceDE w:val="0"/>
        <w:autoSpaceDN w:val="0"/>
        <w:spacing w:line="360" w:lineRule="auto"/>
        <w:ind w:right="893"/>
        <w:jc w:val="center"/>
        <w:textAlignment w:val="bottom"/>
        <w:rPr>
          <w:rFonts w:hint="eastAsia" w:ascii="宋体" w:hAnsi="宋体" w:cs="宋体"/>
          <w:color w:val="auto"/>
          <w:sz w:val="24"/>
          <w:highlight w:val="none"/>
        </w:rPr>
      </w:pPr>
      <w:r>
        <w:rPr>
          <w:rFonts w:hint="eastAsia" w:ascii="宋体" w:hAnsi="宋体" w:cs="宋体"/>
          <w:color w:val="auto"/>
          <w:sz w:val="24"/>
          <w:highlight w:val="none"/>
        </w:rPr>
        <w:t xml:space="preserve">                                       供应商名称：（法人公章）</w:t>
      </w:r>
    </w:p>
    <w:p>
      <w:pPr>
        <w:pStyle w:val="11"/>
        <w:spacing w:line="360" w:lineRule="auto"/>
        <w:jc w:val="center"/>
        <w:rPr>
          <w:rFonts w:hint="eastAsia" w:hAnsi="宋体" w:cs="宋体"/>
          <w:color w:val="auto"/>
          <w:sz w:val="24"/>
          <w:highlight w:val="none"/>
        </w:rPr>
      </w:pPr>
      <w:r>
        <w:rPr>
          <w:rFonts w:hint="eastAsia" w:hAnsi="宋体" w:cs="宋体"/>
          <w:color w:val="auto"/>
          <w:sz w:val="24"/>
          <w:highlight w:val="none"/>
        </w:rPr>
        <w:t xml:space="preserve">                                  承诺日期：    年  月  日</w:t>
      </w:r>
    </w:p>
    <w:p>
      <w:pPr>
        <w:pStyle w:val="11"/>
        <w:spacing w:line="360" w:lineRule="auto"/>
        <w:jc w:val="left"/>
        <w:rPr>
          <w:rFonts w:hint="eastAsia" w:hAnsi="宋体" w:cs="宋体"/>
          <w:color w:val="auto"/>
          <w:sz w:val="24"/>
          <w:highlight w:val="none"/>
        </w:rPr>
      </w:pPr>
    </w:p>
    <w:p>
      <w:pPr>
        <w:pStyle w:val="11"/>
        <w:spacing w:line="360" w:lineRule="auto"/>
        <w:jc w:val="left"/>
        <w:rPr>
          <w:rFonts w:hint="eastAsia" w:hAnsi="宋体" w:cs="宋体"/>
          <w:color w:val="auto"/>
          <w:sz w:val="24"/>
          <w:highlight w:val="none"/>
        </w:rPr>
      </w:pPr>
    </w:p>
    <w:p>
      <w:pPr>
        <w:spacing w:before="100" w:beforeAutospacing="1" w:after="100" w:afterAutospacing="1"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注：近三年内，如投标人有任何违法违规、受惩罚和禁止、不良信用等记录，必须列明记载，并附网络截图（加盖公章）。</w:t>
      </w:r>
    </w:p>
    <w:p>
      <w:pPr>
        <w:pStyle w:val="6"/>
        <w:spacing w:line="360" w:lineRule="auto"/>
        <w:rPr>
          <w:color w:val="auto"/>
          <w:highlight w:val="none"/>
          <w:lang w:val="fr-CH"/>
        </w:rPr>
      </w:pPr>
    </w:p>
    <w:p>
      <w:pPr>
        <w:rPr>
          <w:color w:val="auto"/>
          <w:highlight w:val="none"/>
          <w:lang w:val="fr-CH"/>
        </w:rPr>
      </w:pPr>
    </w:p>
    <w:p>
      <w:pPr>
        <w:pStyle w:val="28"/>
        <w:ind w:firstLine="420"/>
        <w:rPr>
          <w:color w:val="auto"/>
          <w:highlight w:val="none"/>
          <w:lang w:val="fr-CH"/>
        </w:rPr>
      </w:pPr>
    </w:p>
    <w:p>
      <w:pPr>
        <w:pStyle w:val="28"/>
        <w:ind w:firstLine="420"/>
        <w:rPr>
          <w:color w:val="auto"/>
          <w:highlight w:val="none"/>
          <w:lang w:val="fr-CH"/>
        </w:rPr>
      </w:pPr>
    </w:p>
    <w:p>
      <w:pPr>
        <w:pStyle w:val="28"/>
        <w:ind w:firstLine="420"/>
        <w:rPr>
          <w:color w:val="auto"/>
          <w:highlight w:val="none"/>
          <w:lang w:val="fr-CH"/>
        </w:rPr>
      </w:pPr>
    </w:p>
    <w:p>
      <w:pPr>
        <w:tabs>
          <w:tab w:val="left" w:pos="640"/>
          <w:tab w:val="left" w:pos="840"/>
          <w:tab w:val="left" w:pos="1260"/>
          <w:tab w:val="left" w:pos="1418"/>
        </w:tabs>
        <w:spacing w:line="360" w:lineRule="auto"/>
        <w:rPr>
          <w:rFonts w:hint="eastAsia" w:ascii="宋体" w:hAnsi="宋体" w:cs="宋体"/>
          <w:color w:val="auto"/>
          <w:sz w:val="24"/>
          <w:highlight w:val="none"/>
        </w:rPr>
      </w:pPr>
    </w:p>
    <w:p>
      <w:pPr>
        <w:jc w:val="left"/>
        <w:rPr>
          <w:rFonts w:hint="eastAsia" w:ascii="宋体" w:hAnsi="宋体" w:cs="宋体"/>
          <w:b/>
          <w:color w:val="auto"/>
          <w:sz w:val="24"/>
          <w:highlight w:val="none"/>
        </w:rPr>
      </w:pPr>
      <w:r>
        <w:rPr>
          <w:rFonts w:hint="eastAsia" w:ascii="宋体" w:hAnsi="宋体" w:cs="宋体"/>
          <w:b/>
          <w:color w:val="auto"/>
          <w:sz w:val="24"/>
          <w:highlight w:val="none"/>
        </w:rPr>
        <w:br w:type="page"/>
      </w:r>
    </w:p>
    <w:p>
      <w:pPr>
        <w:spacing w:before="120" w:after="120"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7、法定代表人证明书</w:t>
      </w:r>
      <w:r>
        <w:rPr>
          <w:rFonts w:hint="eastAsia" w:ascii="宋体" w:hAnsi="宋体" w:cs="宋体"/>
          <w:b/>
          <w:color w:val="auto"/>
          <w:sz w:val="24"/>
          <w:highlight w:val="none"/>
          <w:lang w:val="fr-CH"/>
        </w:rPr>
        <w:t>及身份证明</w:t>
      </w:r>
    </w:p>
    <w:p>
      <w:pPr>
        <w:spacing w:line="360" w:lineRule="auto"/>
        <w:rPr>
          <w:rFonts w:hint="eastAsia" w:ascii="宋体" w:hAnsi="宋体" w:cs="宋体"/>
          <w:color w:val="auto"/>
          <w:sz w:val="24"/>
          <w:highlight w:val="none"/>
          <w:u w:val="single"/>
        </w:rPr>
      </w:pP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同志，现任我单位职务，为法定代表人/单位负责人，特此证明。</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签发日期：             有效日期：         单位：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附：代表人性别：   年龄：      身份证号码：</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营业执照号码：                 经济性质：</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主营（产）：</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兼营（产）：</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进口物品经营许可证号码：</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主营：</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兼营：</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说明：1、法定代表人/单位负责人为企业事业单位、国家机关、社会团体的主要行政负责人。</w:t>
      </w:r>
    </w:p>
    <w:p>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2、内容必须填写真实、清楚，涂改无效，不得转让、买卖</w:t>
      </w:r>
      <w:r>
        <w:rPr>
          <w:rFonts w:hint="eastAsia" w:ascii="宋体" w:hAnsi="宋体" w:cs="宋体"/>
          <w:color w:val="auto"/>
          <w:sz w:val="24"/>
          <w:highlight w:val="none"/>
          <w:lang w:eastAsia="zh-CN"/>
        </w:rPr>
        <w:t>。</w:t>
      </w:r>
    </w:p>
    <w:p>
      <w:pPr>
        <w:spacing w:line="360" w:lineRule="auto"/>
        <w:rPr>
          <w:rFonts w:hint="eastAsia" w:ascii="宋体" w:hAnsi="宋体" w:cs="宋体"/>
          <w:color w:val="auto"/>
          <w:sz w:val="24"/>
          <w:highlight w:val="none"/>
        </w:rPr>
      </w:pPr>
    </w:p>
    <w:p>
      <w:pPr>
        <w:tabs>
          <w:tab w:val="left" w:pos="3780"/>
        </w:tabs>
        <w:spacing w:line="360" w:lineRule="auto"/>
        <w:rPr>
          <w:rFonts w:hint="eastAsia" w:ascii="宋体" w:hAnsi="宋体" w:cs="宋体"/>
          <w:color w:val="auto"/>
          <w:sz w:val="24"/>
          <w:highlight w:val="none"/>
        </w:rPr>
      </w:pPr>
    </w:p>
    <w:p>
      <w:pPr>
        <w:tabs>
          <w:tab w:val="left" w:pos="3780"/>
        </w:tabs>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投标供应商（公章）：</w:t>
      </w:r>
    </w:p>
    <w:p>
      <w:pPr>
        <w:tabs>
          <w:tab w:val="left" w:pos="3780"/>
        </w:tabs>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法定代表人/单位负责人（签字或盖章）：</w:t>
      </w:r>
    </w:p>
    <w:p>
      <w:pPr>
        <w:spacing w:before="120" w:after="120" w:line="360" w:lineRule="auto"/>
        <w:jc w:val="left"/>
        <w:rPr>
          <w:rFonts w:hint="eastAsia" w:ascii="宋体" w:hAnsi="宋体" w:cs="宋体"/>
          <w:color w:val="auto"/>
          <w:szCs w:val="21"/>
          <w:highlight w:val="none"/>
        </w:rPr>
      </w:pPr>
    </w:p>
    <w:p>
      <w:pPr>
        <w:rPr>
          <w:color w:val="auto"/>
          <w:highlight w:val="none"/>
        </w:rPr>
      </w:pPr>
    </w:p>
    <w:p>
      <w:pPr>
        <w:spacing w:before="120" w:after="12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1"/>
              <w:spacing w:line="360" w:lineRule="auto"/>
              <w:rPr>
                <w:rFonts w:ascii="Arial Narrow" w:hAnsi="Arial Narrow"/>
                <w:b/>
                <w:bCs/>
                <w:color w:val="auto"/>
                <w:szCs w:val="21"/>
                <w:highlight w:val="none"/>
              </w:rPr>
            </w:pPr>
          </w:p>
        </w:tc>
        <w:tc>
          <w:tcPr>
            <w:tcW w:w="4677" w:type="dxa"/>
          </w:tcPr>
          <w:p>
            <w:pPr>
              <w:pStyle w:val="11"/>
              <w:spacing w:line="360" w:lineRule="auto"/>
              <w:rPr>
                <w:rFonts w:ascii="Arial Narrow" w:hAnsi="Arial Narrow"/>
                <w:b/>
                <w:bCs/>
                <w:color w:val="auto"/>
                <w:szCs w:val="21"/>
                <w:highlight w:val="none"/>
              </w:rPr>
            </w:pPr>
          </w:p>
        </w:tc>
      </w:tr>
    </w:tbl>
    <w:p>
      <w:pPr>
        <w:rPr>
          <w:rFonts w:hint="eastAsia" w:hAnsi="宋体" w:cs="宋体"/>
          <w:b/>
          <w:color w:val="auto"/>
          <w:sz w:val="24"/>
          <w:highlight w:val="none"/>
        </w:rPr>
      </w:pPr>
      <w:r>
        <w:rPr>
          <w:rFonts w:hint="eastAsia" w:hAnsi="宋体" w:cs="宋体"/>
          <w:b/>
          <w:color w:val="auto"/>
          <w:sz w:val="24"/>
          <w:highlight w:val="none"/>
        </w:rPr>
        <w:br w:type="page"/>
      </w:r>
    </w:p>
    <w:p>
      <w:pPr>
        <w:pStyle w:val="11"/>
        <w:spacing w:line="360" w:lineRule="auto"/>
        <w:jc w:val="center"/>
        <w:rPr>
          <w:rFonts w:hint="eastAsia" w:hAnsi="宋体" w:cs="宋体"/>
          <w:b/>
          <w:color w:val="auto"/>
          <w:sz w:val="24"/>
          <w:highlight w:val="none"/>
        </w:rPr>
      </w:pPr>
      <w:r>
        <w:rPr>
          <w:rFonts w:hint="eastAsia" w:hAnsi="宋体" w:cs="宋体"/>
          <w:b/>
          <w:color w:val="auto"/>
          <w:sz w:val="24"/>
          <w:highlight w:val="none"/>
        </w:rPr>
        <w:t>8、法定代表人/单位负责人授权书</w:t>
      </w:r>
    </w:p>
    <w:p>
      <w:pPr>
        <w:pStyle w:val="11"/>
        <w:spacing w:line="360" w:lineRule="auto"/>
        <w:rPr>
          <w:rFonts w:hint="eastAsia" w:hAnsi="宋体" w:cs="宋体"/>
          <w:color w:val="auto"/>
          <w:sz w:val="24"/>
          <w:highlight w:val="none"/>
        </w:rPr>
      </w:pPr>
    </w:p>
    <w:p>
      <w:pPr>
        <w:pStyle w:val="11"/>
        <w:spacing w:line="360" w:lineRule="auto"/>
        <w:rPr>
          <w:rFonts w:hint="eastAsia" w:hAnsi="宋体" w:cs="宋体"/>
          <w:color w:val="auto"/>
          <w:sz w:val="24"/>
          <w:highlight w:val="none"/>
        </w:rPr>
      </w:pPr>
      <w:r>
        <w:rPr>
          <w:rFonts w:hint="eastAsia" w:hAnsi="宋体" w:cs="宋体"/>
          <w:b/>
          <w:color w:val="auto"/>
          <w:sz w:val="24"/>
          <w:highlight w:val="none"/>
        </w:rPr>
        <w:t>深圳市前海深港现代服务业合作区管理局：</w:t>
      </w:r>
    </w:p>
    <w:p>
      <w:pPr>
        <w:pStyle w:val="11"/>
        <w:spacing w:line="360" w:lineRule="auto"/>
        <w:ind w:firstLine="420"/>
        <w:rPr>
          <w:rFonts w:hint="eastAsia" w:hAnsi="宋体" w:cs="宋体"/>
          <w:color w:val="auto"/>
          <w:sz w:val="24"/>
          <w:highlight w:val="none"/>
        </w:rPr>
      </w:pPr>
      <w:r>
        <w:rPr>
          <w:rFonts w:hint="eastAsia" w:hAnsi="宋体" w:cs="宋体"/>
          <w:color w:val="auto"/>
          <w:sz w:val="24"/>
          <w:highlight w:val="none"/>
        </w:rPr>
        <w:t>本授权书声明：注册于</w:t>
      </w:r>
      <w:r>
        <w:rPr>
          <w:rFonts w:hint="eastAsia" w:hAnsi="宋体" w:cs="宋体"/>
          <w:color w:val="auto"/>
          <w:sz w:val="24"/>
          <w:highlight w:val="none"/>
          <w:u w:val="single"/>
        </w:rPr>
        <w:t xml:space="preserve">     </w:t>
      </w:r>
      <w:r>
        <w:rPr>
          <w:rFonts w:hint="eastAsia" w:hAnsi="宋体" w:cs="宋体"/>
          <w:color w:val="auto"/>
          <w:sz w:val="24"/>
          <w:highlight w:val="none"/>
        </w:rPr>
        <w:t>（国家或地区）的</w:t>
      </w:r>
      <w:r>
        <w:rPr>
          <w:rFonts w:hint="eastAsia" w:hAnsi="宋体" w:cs="宋体"/>
          <w:color w:val="auto"/>
          <w:sz w:val="24"/>
          <w:highlight w:val="none"/>
          <w:u w:val="single"/>
        </w:rPr>
        <w:t xml:space="preserve">       </w:t>
      </w:r>
      <w:r>
        <w:rPr>
          <w:rFonts w:hint="eastAsia" w:hAnsi="宋体" w:cs="宋体"/>
          <w:color w:val="auto"/>
          <w:sz w:val="24"/>
          <w:highlight w:val="none"/>
        </w:rPr>
        <w:t>（投标人名称）的在下面签字的</w:t>
      </w:r>
      <w:r>
        <w:rPr>
          <w:rFonts w:hint="eastAsia" w:hAnsi="宋体" w:cs="宋体"/>
          <w:color w:val="auto"/>
          <w:sz w:val="24"/>
          <w:highlight w:val="none"/>
          <w:u w:val="single"/>
        </w:rPr>
        <w:t xml:space="preserve">     </w:t>
      </w:r>
      <w:r>
        <w:rPr>
          <w:rFonts w:hint="eastAsia" w:hAnsi="宋体" w:cs="宋体"/>
          <w:color w:val="auto"/>
          <w:sz w:val="24"/>
          <w:highlight w:val="none"/>
        </w:rPr>
        <w:t xml:space="preserve"> （法定代表人/单位负责人姓名、职务）代表本公司授权在下面签字的</w:t>
      </w:r>
      <w:r>
        <w:rPr>
          <w:rFonts w:hint="eastAsia" w:hAnsi="宋体" w:cs="宋体"/>
          <w:color w:val="auto"/>
          <w:sz w:val="24"/>
          <w:highlight w:val="none"/>
          <w:u w:val="single"/>
        </w:rPr>
        <w:t xml:space="preserve">     </w:t>
      </w:r>
      <w:r>
        <w:rPr>
          <w:rFonts w:hint="eastAsia" w:hAnsi="宋体" w:cs="宋体"/>
          <w:color w:val="auto"/>
          <w:sz w:val="24"/>
          <w:highlight w:val="none"/>
        </w:rPr>
        <w:t>（被授权人的姓名、职务）为本公司的合法代表人，就</w:t>
      </w:r>
      <w:r>
        <w:rPr>
          <w:rFonts w:hint="eastAsia" w:hAnsi="宋体" w:cs="宋体"/>
          <w:color w:val="auto"/>
          <w:sz w:val="24"/>
          <w:highlight w:val="none"/>
          <w:u w:val="single"/>
        </w:rPr>
        <w:t xml:space="preserve">       </w:t>
      </w:r>
      <w:r>
        <w:rPr>
          <w:rFonts w:hint="eastAsia" w:hAnsi="宋体" w:cs="宋体"/>
          <w:color w:val="auto"/>
          <w:sz w:val="24"/>
          <w:highlight w:val="none"/>
        </w:rPr>
        <w:t>[招标编号为：</w:t>
      </w:r>
      <w:r>
        <w:rPr>
          <w:rFonts w:hint="eastAsia" w:hAnsi="宋体" w:cs="宋体"/>
          <w:color w:val="auto"/>
          <w:sz w:val="24"/>
          <w:highlight w:val="none"/>
          <w:u w:val="single"/>
        </w:rPr>
        <w:t xml:space="preserve">     </w:t>
      </w:r>
      <w:r>
        <w:rPr>
          <w:rFonts w:hint="eastAsia" w:hAnsi="宋体" w:cs="宋体"/>
          <w:color w:val="auto"/>
          <w:sz w:val="24"/>
          <w:highlight w:val="none"/>
        </w:rPr>
        <w:t>]的投标和合同执行，以我方的名义处理一切与之有关的事宜。</w:t>
      </w:r>
    </w:p>
    <w:p>
      <w:pPr>
        <w:pStyle w:val="11"/>
        <w:spacing w:line="360" w:lineRule="auto"/>
        <w:rPr>
          <w:rFonts w:hint="eastAsia" w:hAnsi="宋体" w:cs="宋体"/>
          <w:color w:val="auto"/>
          <w:sz w:val="24"/>
          <w:highlight w:val="none"/>
        </w:rPr>
      </w:pPr>
    </w:p>
    <w:p>
      <w:pPr>
        <w:spacing w:line="360" w:lineRule="auto"/>
        <w:ind w:firstLine="570"/>
        <w:rPr>
          <w:rFonts w:hint="eastAsia" w:ascii="宋体" w:hAnsi="宋体" w:cs="宋体"/>
          <w:color w:val="auto"/>
          <w:sz w:val="24"/>
          <w:highlight w:val="none"/>
        </w:rPr>
      </w:pPr>
      <w:r>
        <w:rPr>
          <w:rFonts w:hint="eastAsia" w:ascii="宋体" w:hAnsi="宋体" w:cs="宋体"/>
          <w:color w:val="auto"/>
          <w:sz w:val="24"/>
          <w:highlight w:val="none"/>
        </w:rPr>
        <w:t>本授权书于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日签字生效，特此声明。</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被授权人联系方式（手机）：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被授权人邮箱号：</w:t>
      </w: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tabs>
          <w:tab w:val="left" w:pos="3780"/>
        </w:tabs>
        <w:spacing w:line="360" w:lineRule="auto"/>
        <w:rPr>
          <w:rFonts w:hint="eastAsia" w:ascii="宋体" w:hAnsi="宋体" w:cs="宋体"/>
          <w:b/>
          <w:bCs/>
          <w:color w:val="auto"/>
          <w:sz w:val="24"/>
          <w:highlight w:val="none"/>
        </w:rPr>
      </w:pPr>
      <w:r>
        <w:rPr>
          <w:rFonts w:hint="eastAsia" w:ascii="宋体" w:hAnsi="宋体" w:cs="宋体"/>
          <w:b/>
          <w:bCs/>
          <w:color w:val="auto"/>
          <w:sz w:val="24"/>
          <w:highlight w:val="none"/>
        </w:rPr>
        <w:t>投标供应商（公章）：</w:t>
      </w:r>
    </w:p>
    <w:p>
      <w:pPr>
        <w:tabs>
          <w:tab w:val="left" w:pos="3780"/>
        </w:tabs>
        <w:spacing w:line="36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法定代表人/单位负责人（签字或盖章）：</w:t>
      </w:r>
    </w:p>
    <w:p>
      <w:pPr>
        <w:spacing w:line="360" w:lineRule="auto"/>
        <w:jc w:val="left"/>
        <w:rPr>
          <w:rFonts w:hint="eastAsia" w:ascii="宋体" w:hAnsi="宋体" w:cs="宋体"/>
          <w:b/>
          <w:bCs/>
          <w:color w:val="auto"/>
          <w:sz w:val="24"/>
          <w:highlight w:val="none"/>
        </w:rPr>
      </w:pPr>
      <w:r>
        <w:rPr>
          <w:rFonts w:hint="eastAsia" w:ascii="宋体" w:hAnsi="宋体" w:cs="宋体"/>
          <w:b/>
          <w:bCs/>
          <w:color w:val="auto"/>
          <w:spacing w:val="20"/>
          <w:sz w:val="24"/>
          <w:highlight w:val="none"/>
        </w:rPr>
        <w:t>被授权人（签字或盖章）</w:t>
      </w:r>
      <w:r>
        <w:rPr>
          <w:rFonts w:hint="eastAsia" w:ascii="宋体" w:hAnsi="宋体" w:cs="宋体"/>
          <w:b/>
          <w:bCs/>
          <w:color w:val="auto"/>
          <w:sz w:val="24"/>
          <w:highlight w:val="none"/>
        </w:rPr>
        <w:t>：</w:t>
      </w:r>
    </w:p>
    <w:p>
      <w:pPr>
        <w:tabs>
          <w:tab w:val="left" w:pos="640"/>
          <w:tab w:val="left" w:pos="1260"/>
          <w:tab w:val="left" w:pos="1418"/>
        </w:tabs>
        <w:spacing w:line="360" w:lineRule="auto"/>
        <w:rPr>
          <w:rFonts w:hint="eastAsia" w:ascii="宋体" w:hAnsi="宋体" w:cs="宋体"/>
          <w:b/>
          <w:color w:val="auto"/>
          <w:sz w:val="24"/>
          <w:highlight w:val="none"/>
        </w:rPr>
      </w:pPr>
    </w:p>
    <w:p>
      <w:pPr>
        <w:pStyle w:val="6"/>
        <w:rPr>
          <w:rFonts w:hint="eastAsia" w:ascii="宋体" w:hAnsi="宋体" w:cs="宋体"/>
          <w:b/>
          <w:color w:val="auto"/>
          <w:sz w:val="24"/>
          <w:highlight w:val="none"/>
        </w:rPr>
      </w:pPr>
    </w:p>
    <w:p>
      <w:pPr>
        <w:tabs>
          <w:tab w:val="left" w:pos="640"/>
          <w:tab w:val="left" w:pos="1260"/>
          <w:tab w:val="left" w:pos="1418"/>
        </w:tabs>
        <w:spacing w:line="360" w:lineRule="auto"/>
        <w:rPr>
          <w:rFonts w:hint="eastAsia" w:ascii="宋体" w:hAnsi="宋体" w:cs="宋体"/>
          <w:b/>
          <w:color w:val="auto"/>
          <w:sz w:val="24"/>
          <w:highlight w:val="none"/>
        </w:rPr>
      </w:pPr>
      <w:r>
        <w:rPr>
          <w:rFonts w:hint="eastAsia" w:ascii="宋体" w:hAnsi="宋体" w:cs="宋体"/>
          <w:b/>
          <w:color w:val="auto"/>
          <w:sz w:val="24"/>
          <w:highlight w:val="none"/>
        </w:rPr>
        <w:t>附身份证正反面</w:t>
      </w:r>
    </w:p>
    <w:tbl>
      <w:tblPr>
        <w:tblStyle w:val="21"/>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1"/>
              <w:spacing w:line="360" w:lineRule="auto"/>
              <w:rPr>
                <w:rFonts w:ascii="Arial Narrow" w:hAnsi="Arial Narrow"/>
                <w:b/>
                <w:bCs/>
                <w:color w:val="auto"/>
                <w:szCs w:val="21"/>
                <w:highlight w:val="none"/>
              </w:rPr>
            </w:pPr>
          </w:p>
        </w:tc>
        <w:tc>
          <w:tcPr>
            <w:tcW w:w="4677" w:type="dxa"/>
          </w:tcPr>
          <w:p>
            <w:pPr>
              <w:pStyle w:val="11"/>
              <w:spacing w:line="360" w:lineRule="auto"/>
              <w:rPr>
                <w:rFonts w:ascii="Arial Narrow" w:hAnsi="Arial Narrow"/>
                <w:b/>
                <w:bCs/>
                <w:color w:val="auto"/>
                <w:szCs w:val="21"/>
                <w:highlight w:val="none"/>
              </w:rPr>
            </w:pPr>
          </w:p>
        </w:tc>
      </w:tr>
    </w:tbl>
    <w:p>
      <w:pPr>
        <w:widowControl/>
        <w:autoSpaceDE w:val="0"/>
        <w:autoSpaceDN w:val="0"/>
        <w:spacing w:line="360" w:lineRule="auto"/>
        <w:ind w:left="359" w:right="26" w:hanging="357"/>
        <w:jc w:val="center"/>
        <w:textAlignment w:val="bottom"/>
        <w:rPr>
          <w:rFonts w:hint="eastAsia" w:ascii="宋体" w:hAnsi="宋体" w:cs="宋体"/>
          <w:b/>
          <w:bCs/>
          <w:color w:val="auto"/>
          <w:sz w:val="24"/>
          <w:highlight w:val="none"/>
          <w:lang w:val="fr-CH"/>
        </w:rPr>
      </w:pPr>
    </w:p>
    <w:p>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widowControl/>
        <w:autoSpaceDE w:val="0"/>
        <w:autoSpaceDN w:val="0"/>
        <w:spacing w:line="360" w:lineRule="auto"/>
        <w:ind w:right="26"/>
        <w:jc w:val="center"/>
        <w:textAlignment w:val="bottom"/>
        <w:rPr>
          <w:rFonts w:hint="eastAsia" w:ascii="宋体" w:hAnsi="宋体" w:cs="宋体"/>
          <w:b/>
          <w:bCs/>
          <w:color w:val="auto"/>
          <w:sz w:val="24"/>
          <w:highlight w:val="none"/>
          <w:lang w:val="fr-CH"/>
        </w:rPr>
      </w:pPr>
      <w:r>
        <w:rPr>
          <w:rFonts w:hint="eastAsia" w:ascii="宋体" w:hAnsi="宋体" w:cs="宋体"/>
          <w:b/>
          <w:bCs/>
          <w:color w:val="auto"/>
          <w:sz w:val="24"/>
          <w:highlight w:val="none"/>
        </w:rPr>
        <w:t>9、</w:t>
      </w:r>
      <w:r>
        <w:rPr>
          <w:rFonts w:hint="eastAsia" w:ascii="宋体" w:hAnsi="宋体" w:cs="宋体"/>
          <w:b/>
          <w:bCs/>
          <w:color w:val="auto"/>
          <w:sz w:val="24"/>
          <w:highlight w:val="none"/>
          <w:lang w:val="fr-CH"/>
        </w:rPr>
        <w:t>招标代理服务费承诺书</w:t>
      </w:r>
    </w:p>
    <w:p>
      <w:pPr>
        <w:widowControl/>
        <w:autoSpaceDE w:val="0"/>
        <w:autoSpaceDN w:val="0"/>
        <w:spacing w:line="360" w:lineRule="auto"/>
        <w:ind w:left="359" w:right="26" w:hanging="357"/>
        <w:textAlignment w:val="bottom"/>
        <w:rPr>
          <w:rFonts w:hint="eastAsia" w:ascii="宋体" w:hAnsi="宋体" w:cs="宋体"/>
          <w:color w:val="auto"/>
          <w:sz w:val="24"/>
          <w:highlight w:val="none"/>
        </w:rPr>
      </w:pPr>
      <w:r>
        <w:rPr>
          <w:rFonts w:hint="eastAsia" w:ascii="宋体" w:hAnsi="宋体" w:cs="宋体"/>
          <w:color w:val="auto"/>
          <w:sz w:val="24"/>
          <w:highlight w:val="none"/>
        </w:rPr>
        <w:t>致：深圳国际招标咨询有限公司</w:t>
      </w:r>
    </w:p>
    <w:p>
      <w:pPr>
        <w:widowControl/>
        <w:autoSpaceDE w:val="0"/>
        <w:autoSpaceDN w:val="0"/>
        <w:spacing w:line="360" w:lineRule="auto"/>
        <w:ind w:right="26" w:firstLine="540"/>
        <w:textAlignment w:val="bottom"/>
        <w:rPr>
          <w:rFonts w:hint="eastAsia" w:ascii="宋体" w:hAnsi="宋体" w:cs="宋体"/>
          <w:color w:val="auto"/>
          <w:sz w:val="24"/>
          <w:highlight w:val="none"/>
        </w:rPr>
      </w:pPr>
      <w:r>
        <w:rPr>
          <w:rFonts w:hint="eastAsia" w:ascii="宋体" w:hAnsi="宋体" w:cs="宋体"/>
          <w:color w:val="auto"/>
          <w:sz w:val="24"/>
          <w:highlight w:val="none"/>
        </w:rPr>
        <w:t>我们在贵司代理的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项目（货物/服务/工程）招标中若获中标（招标文件编号：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），我们保证在收到中标通知书后5日内按招标文件的规定，以现金或电汇向贵公司即深圳国际招标咨询有限公司指定的银行</w:t>
      </w:r>
      <w:r>
        <w:rPr>
          <w:rFonts w:hint="eastAsia" w:ascii="宋体" w:hAnsi="宋体" w:cs="宋体"/>
          <w:color w:val="auto"/>
          <w:sz w:val="24"/>
          <w:highlight w:val="none"/>
          <w:lang w:eastAsia="zh-CN"/>
        </w:rPr>
        <w:t>账</w:t>
      </w:r>
      <w:r>
        <w:rPr>
          <w:rFonts w:hint="eastAsia" w:ascii="宋体" w:hAnsi="宋体" w:cs="宋体"/>
          <w:color w:val="auto"/>
          <w:sz w:val="24"/>
          <w:highlight w:val="none"/>
        </w:rPr>
        <w:t>号支付全额招标代理服务费。招标代理服务费按照</w:t>
      </w:r>
      <w:r>
        <w:rPr>
          <w:rFonts w:hint="eastAsia" w:ascii="宋体" w:hAnsi="宋体" w:cs="宋体"/>
          <w:color w:val="auto"/>
          <w:sz w:val="24"/>
          <w:highlight w:val="none"/>
          <w:u w:val="single"/>
        </w:rPr>
        <w:t>招标文件中的规定以差额定率累进法</w:t>
      </w:r>
      <w:r>
        <w:rPr>
          <w:rFonts w:hint="eastAsia" w:ascii="宋体" w:hAnsi="宋体" w:cs="宋体"/>
          <w:color w:val="auto"/>
          <w:sz w:val="24"/>
          <w:highlight w:val="none"/>
        </w:rPr>
        <w:t>计算。</w:t>
      </w:r>
    </w:p>
    <w:p>
      <w:pPr>
        <w:widowControl/>
        <w:autoSpaceDE w:val="0"/>
        <w:autoSpaceDN w:val="0"/>
        <w:spacing w:line="360" w:lineRule="auto"/>
        <w:ind w:right="26" w:firstLine="540"/>
        <w:textAlignment w:val="bottom"/>
        <w:rPr>
          <w:rFonts w:hint="eastAsia" w:ascii="宋体" w:hAnsi="宋体" w:cs="宋体"/>
          <w:color w:val="auto"/>
          <w:sz w:val="24"/>
          <w:highlight w:val="none"/>
        </w:rPr>
      </w:pPr>
      <w:r>
        <w:rPr>
          <w:rFonts w:hint="eastAsia" w:ascii="宋体" w:hAnsi="宋体" w:cs="宋体"/>
          <w:color w:val="auto"/>
          <w:sz w:val="24"/>
          <w:highlight w:val="none"/>
        </w:rPr>
        <w:t>特此承诺。</w:t>
      </w:r>
    </w:p>
    <w:p>
      <w:pPr>
        <w:widowControl/>
        <w:autoSpaceDE w:val="0"/>
        <w:autoSpaceDN w:val="0"/>
        <w:spacing w:line="360" w:lineRule="auto"/>
        <w:ind w:left="359" w:right="26" w:hanging="357"/>
        <w:textAlignment w:val="bottom"/>
        <w:rPr>
          <w:rFonts w:hint="eastAsia" w:ascii="宋体" w:hAnsi="宋体" w:cs="宋体"/>
          <w:color w:val="auto"/>
          <w:sz w:val="24"/>
          <w:highlight w:val="none"/>
          <w:u w:val="single"/>
        </w:rPr>
      </w:pPr>
      <w:r>
        <w:rPr>
          <w:rFonts w:hint="eastAsia" w:ascii="宋体" w:hAnsi="宋体" w:cs="宋体"/>
          <w:color w:val="auto"/>
          <w:sz w:val="24"/>
          <w:highlight w:val="none"/>
        </w:rPr>
        <w:t>承诺方法定名称（承诺方盖章）：</w:t>
      </w:r>
    </w:p>
    <w:p>
      <w:pPr>
        <w:widowControl/>
        <w:autoSpaceDE w:val="0"/>
        <w:autoSpaceDN w:val="0"/>
        <w:spacing w:line="360" w:lineRule="auto"/>
        <w:ind w:left="359" w:right="26" w:hanging="357"/>
        <w:textAlignment w:val="bottom"/>
        <w:rPr>
          <w:rFonts w:hint="eastAsia" w:ascii="宋体" w:hAnsi="宋体" w:cs="宋体"/>
          <w:color w:val="auto"/>
          <w:sz w:val="24"/>
          <w:highlight w:val="none"/>
        </w:rPr>
      </w:pPr>
      <w:r>
        <w:rPr>
          <w:rFonts w:hint="eastAsia" w:ascii="宋体" w:hAnsi="宋体" w:cs="宋体"/>
          <w:color w:val="auto"/>
          <w:sz w:val="24"/>
          <w:highlight w:val="none"/>
        </w:rPr>
        <w:t>地址：</w:t>
      </w:r>
    </w:p>
    <w:p>
      <w:pPr>
        <w:widowControl/>
        <w:autoSpaceDE w:val="0"/>
        <w:autoSpaceDN w:val="0"/>
        <w:spacing w:line="360" w:lineRule="auto"/>
        <w:ind w:left="359" w:right="26" w:hanging="357"/>
        <w:textAlignment w:val="bottom"/>
        <w:rPr>
          <w:rFonts w:hint="eastAsia" w:ascii="宋体" w:hAnsi="宋体" w:cs="宋体"/>
          <w:color w:val="auto"/>
          <w:sz w:val="24"/>
          <w:highlight w:val="none"/>
        </w:rPr>
      </w:pPr>
      <w:r>
        <w:rPr>
          <w:rFonts w:hint="eastAsia" w:ascii="宋体" w:hAnsi="宋体" w:cs="宋体"/>
          <w:color w:val="auto"/>
          <w:sz w:val="24"/>
          <w:highlight w:val="none"/>
        </w:rPr>
        <w:t xml:space="preserve">电话：         </w:t>
      </w:r>
    </w:p>
    <w:p>
      <w:pPr>
        <w:widowControl/>
        <w:autoSpaceDE w:val="0"/>
        <w:autoSpaceDN w:val="0"/>
        <w:spacing w:line="360" w:lineRule="auto"/>
        <w:ind w:left="359" w:right="26" w:hanging="357"/>
        <w:textAlignment w:val="bottom"/>
        <w:rPr>
          <w:rFonts w:hint="eastAsia" w:ascii="宋体" w:hAnsi="宋体" w:cs="宋体"/>
          <w:color w:val="auto"/>
          <w:sz w:val="24"/>
          <w:highlight w:val="none"/>
        </w:rPr>
      </w:pPr>
      <w:r>
        <w:rPr>
          <w:rFonts w:hint="eastAsia" w:ascii="宋体" w:hAnsi="宋体" w:cs="宋体"/>
          <w:color w:val="auto"/>
          <w:sz w:val="24"/>
          <w:highlight w:val="none"/>
        </w:rPr>
        <w:t>传真：</w:t>
      </w:r>
    </w:p>
    <w:p>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rPr>
        <w:t>承诺日期：</w:t>
      </w:r>
    </w:p>
    <w:p>
      <w:pPr>
        <w:pStyle w:val="6"/>
        <w:spacing w:line="360" w:lineRule="auto"/>
        <w:rPr>
          <w:color w:val="auto"/>
          <w:highlight w:val="none"/>
          <w:lang w:val="fr-CH"/>
        </w:rPr>
      </w:pPr>
    </w:p>
    <w:p>
      <w:pPr>
        <w:tabs>
          <w:tab w:val="left" w:pos="640"/>
          <w:tab w:val="left" w:pos="1260"/>
          <w:tab w:val="left" w:pos="1418"/>
        </w:tabs>
        <w:spacing w:line="360" w:lineRule="auto"/>
        <w:rPr>
          <w:rFonts w:hint="eastAsia" w:ascii="宋体" w:hAnsi="宋体" w:cs="宋体"/>
          <w:color w:val="auto"/>
          <w:sz w:val="24"/>
          <w:highlight w:val="none"/>
          <w:lang w:val="fr-CH"/>
        </w:rPr>
      </w:pPr>
    </w:p>
    <w:p>
      <w:pPr>
        <w:tabs>
          <w:tab w:val="left" w:pos="640"/>
          <w:tab w:val="left" w:pos="1260"/>
          <w:tab w:val="left" w:pos="1418"/>
        </w:tabs>
        <w:spacing w:line="360" w:lineRule="auto"/>
        <w:rPr>
          <w:rFonts w:hint="eastAsia" w:ascii="宋体" w:hAnsi="宋体" w:cs="宋体"/>
          <w:color w:val="auto"/>
          <w:sz w:val="24"/>
          <w:highlight w:val="none"/>
        </w:rPr>
      </w:pPr>
      <w:r>
        <w:rPr>
          <w:rFonts w:hint="eastAsia" w:ascii="宋体" w:hAnsi="宋体" w:cs="宋体"/>
          <w:color w:val="auto"/>
          <w:sz w:val="24"/>
          <w:highlight w:val="none"/>
          <w:lang w:val="fr-CH"/>
        </w:rPr>
        <w:br w:type="page"/>
      </w:r>
    </w:p>
    <w:p>
      <w:pPr>
        <w:widowControl/>
        <w:autoSpaceDE w:val="0"/>
        <w:autoSpaceDN w:val="0"/>
        <w:spacing w:line="360" w:lineRule="auto"/>
        <w:ind w:right="26"/>
        <w:jc w:val="center"/>
        <w:textAlignment w:val="bottom"/>
        <w:rPr>
          <w:rFonts w:hint="eastAsia" w:ascii="宋体" w:hAnsi="宋体" w:cs="宋体"/>
          <w:b/>
          <w:bCs/>
          <w:color w:val="auto"/>
          <w:sz w:val="24"/>
          <w:highlight w:val="none"/>
          <w:lang w:val="fr-CH"/>
        </w:rPr>
      </w:pPr>
      <w:r>
        <w:rPr>
          <w:rFonts w:hint="eastAsia" w:ascii="宋体" w:hAnsi="宋体" w:cs="宋体"/>
          <w:b/>
          <w:bCs/>
          <w:color w:val="auto"/>
          <w:sz w:val="24"/>
          <w:highlight w:val="none"/>
        </w:rPr>
        <w:t>10、</w:t>
      </w:r>
      <w:r>
        <w:rPr>
          <w:rFonts w:hint="eastAsia" w:ascii="宋体" w:hAnsi="宋体" w:cs="宋体"/>
          <w:b/>
          <w:bCs/>
          <w:color w:val="auto"/>
          <w:sz w:val="24"/>
          <w:highlight w:val="none"/>
          <w:lang w:val="fr-CH"/>
        </w:rPr>
        <w:t>投标人简介</w:t>
      </w:r>
    </w:p>
    <w:p>
      <w:pPr>
        <w:pStyle w:val="5"/>
        <w:spacing w:line="460" w:lineRule="exact"/>
        <w:ind w:firstLine="0" w:firstLineChars="0"/>
        <w:jc w:val="center"/>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供应商基本情况表</w:t>
      </w:r>
    </w:p>
    <w:p>
      <w:pPr>
        <w:pStyle w:val="5"/>
        <w:spacing w:line="460" w:lineRule="exact"/>
        <w:ind w:firstLine="0" w:firstLineChars="0"/>
        <w:rPr>
          <w:b/>
          <w:bCs/>
          <w:color w:val="auto"/>
          <w:sz w:val="28"/>
          <w:szCs w:val="36"/>
          <w:highlight w:val="none"/>
        </w:rPr>
      </w:pPr>
      <w:r>
        <w:rPr>
          <w:rFonts w:hint="eastAsia"/>
          <w:b/>
          <w:bCs/>
          <w:color w:val="auto"/>
          <w:sz w:val="28"/>
          <w:szCs w:val="36"/>
          <w:highlight w:val="none"/>
        </w:rPr>
        <w:t>填表单位：（加盖单位公章）</w:t>
      </w:r>
      <w:r>
        <w:rPr>
          <w:rFonts w:hint="eastAsia"/>
          <w:b/>
          <w:bCs/>
          <w:color w:val="auto"/>
          <w:sz w:val="28"/>
          <w:szCs w:val="36"/>
          <w:highlight w:val="none"/>
        </w:rPr>
        <w:tab/>
      </w:r>
      <w:r>
        <w:rPr>
          <w:rFonts w:hint="eastAsia"/>
          <w:b/>
          <w:bCs/>
          <w:color w:val="auto"/>
          <w:sz w:val="28"/>
          <w:szCs w:val="36"/>
          <w:highlight w:val="none"/>
        </w:rPr>
        <w:tab/>
      </w:r>
      <w:r>
        <w:rPr>
          <w:rFonts w:hint="eastAsia"/>
          <w:b/>
          <w:bCs/>
          <w:color w:val="auto"/>
          <w:sz w:val="28"/>
          <w:szCs w:val="36"/>
          <w:highlight w:val="none"/>
        </w:rPr>
        <w:t xml:space="preserve">   填表日期：    年   月   日</w:t>
      </w:r>
    </w:p>
    <w:tbl>
      <w:tblPr>
        <w:tblStyle w:val="22"/>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采购人</w:t>
            </w:r>
          </w:p>
        </w:tc>
        <w:tc>
          <w:tcPr>
            <w:tcW w:w="2553" w:type="dxa"/>
            <w:gridSpan w:val="2"/>
            <w:vAlign w:val="center"/>
          </w:tcPr>
          <w:p>
            <w:pPr>
              <w:jc w:val="center"/>
              <w:rPr>
                <w:rFonts w:hint="eastAsia" w:ascii="宋体" w:hAnsi="宋体" w:cs="宋体"/>
                <w:color w:val="auto"/>
                <w:szCs w:val="21"/>
                <w:highlight w:val="none"/>
              </w:rPr>
            </w:pPr>
          </w:p>
        </w:tc>
        <w:tc>
          <w:tcPr>
            <w:tcW w:w="1991" w:type="dxa"/>
            <w:gridSpan w:val="2"/>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2985" w:type="dxa"/>
            <w:gridSpan w:val="2"/>
            <w:vAlign w:val="center"/>
          </w:tcPr>
          <w:p>
            <w:pPr>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hint="eastAsia" w:ascii="宋体" w:hAnsi="宋体" w:cs="宋体"/>
                <w:color w:val="auto"/>
                <w:szCs w:val="21"/>
                <w:highlight w:val="none"/>
              </w:rPr>
            </w:pPr>
            <w:r>
              <w:rPr>
                <w:rFonts w:hint="eastAsia" w:ascii="宋体" w:hAnsi="宋体" w:cs="宋体"/>
                <w:color w:val="auto"/>
                <w:szCs w:val="21"/>
                <w:highlight w:val="none"/>
              </w:rPr>
              <w:t>投标（响应）供应商</w:t>
            </w:r>
          </w:p>
        </w:tc>
        <w:tc>
          <w:tcPr>
            <w:tcW w:w="2553" w:type="dxa"/>
            <w:gridSpan w:val="2"/>
            <w:vAlign w:val="center"/>
          </w:tcPr>
          <w:p>
            <w:pPr>
              <w:jc w:val="center"/>
              <w:rPr>
                <w:rFonts w:hint="eastAsia" w:ascii="宋体" w:hAnsi="宋体" w:cs="宋体"/>
                <w:color w:val="auto"/>
                <w:szCs w:val="21"/>
                <w:highlight w:val="none"/>
              </w:rPr>
            </w:pPr>
          </w:p>
        </w:tc>
        <w:tc>
          <w:tcPr>
            <w:tcW w:w="1991" w:type="dxa"/>
            <w:gridSpan w:val="2"/>
            <w:vAlign w:val="center"/>
          </w:tcPr>
          <w:p>
            <w:pPr>
              <w:snapToGrid w:val="0"/>
              <w:jc w:val="center"/>
              <w:rPr>
                <w:rFonts w:hint="eastAsia" w:ascii="宋体" w:hAnsi="宋体" w:cs="宋体"/>
                <w:color w:val="auto"/>
                <w:szCs w:val="21"/>
                <w:highlight w:val="none"/>
              </w:rPr>
            </w:pPr>
            <w:r>
              <w:rPr>
                <w:rFonts w:hint="eastAsia" w:ascii="宋体" w:hAnsi="宋体" w:cs="宋体"/>
                <w:color w:val="auto"/>
                <w:szCs w:val="21"/>
                <w:highlight w:val="none"/>
              </w:rPr>
              <w:t>供应商统一社会信用代码</w:t>
            </w:r>
          </w:p>
        </w:tc>
        <w:tc>
          <w:tcPr>
            <w:tcW w:w="2985" w:type="dxa"/>
            <w:gridSpan w:val="2"/>
            <w:vAlign w:val="center"/>
          </w:tcPr>
          <w:p>
            <w:pPr>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hint="eastAsia" w:ascii="宋体" w:hAnsi="宋体" w:cs="宋体"/>
                <w:color w:val="auto"/>
                <w:szCs w:val="21"/>
                <w:highlight w:val="none"/>
              </w:rPr>
            </w:pPr>
            <w:r>
              <w:rPr>
                <w:rFonts w:hint="eastAsia" w:ascii="宋体" w:hAnsi="宋体" w:cs="宋体"/>
                <w:b/>
                <w:bCs/>
                <w:color w:val="auto"/>
                <w:szCs w:val="21"/>
                <w:highlight w:val="none"/>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282" w:type="dxa"/>
            <w:gridSpan w:val="2"/>
            <w:tcBorders>
              <w:bottom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947" w:type="dxa"/>
            <w:tcBorders>
              <w:bottom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991" w:type="dxa"/>
            <w:gridSpan w:val="2"/>
            <w:tcBorders>
              <w:bottom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身份证号码</w:t>
            </w:r>
          </w:p>
        </w:tc>
        <w:tc>
          <w:tcPr>
            <w:tcW w:w="1500" w:type="dxa"/>
            <w:tcBorders>
              <w:bottom w:val="single" w:color="auto" w:sz="4" w:space="0"/>
            </w:tcBorders>
            <w:vAlign w:val="center"/>
          </w:tcPr>
          <w:p>
            <w:pPr>
              <w:snapToGrid w:val="0"/>
              <w:jc w:val="center"/>
              <w:rPr>
                <w:rFonts w:hint="eastAsia" w:ascii="宋体" w:hAnsi="宋体" w:cs="宋体"/>
                <w:color w:val="auto"/>
                <w:szCs w:val="21"/>
                <w:highlight w:val="none"/>
              </w:rPr>
            </w:pPr>
            <w:r>
              <w:rPr>
                <w:rFonts w:hint="eastAsia" w:ascii="宋体" w:hAnsi="宋体" w:cs="宋体"/>
                <w:color w:val="auto"/>
                <w:szCs w:val="21"/>
                <w:highlight w:val="none"/>
              </w:rPr>
              <w:t>劳动合同</w:t>
            </w:r>
          </w:p>
          <w:p>
            <w:pPr>
              <w:snapToGrid w:val="0"/>
              <w:jc w:val="center"/>
              <w:rPr>
                <w:rFonts w:hint="eastAsia" w:ascii="宋体" w:hAnsi="宋体" w:cs="宋体"/>
                <w:color w:val="auto"/>
                <w:szCs w:val="21"/>
                <w:highlight w:val="none"/>
              </w:rPr>
            </w:pPr>
            <w:r>
              <w:rPr>
                <w:rFonts w:hint="eastAsia" w:ascii="宋体" w:hAnsi="宋体" w:cs="宋体"/>
                <w:color w:val="auto"/>
                <w:szCs w:val="21"/>
                <w:highlight w:val="none"/>
              </w:rPr>
              <w:t>关系单位</w:t>
            </w:r>
          </w:p>
        </w:tc>
        <w:tc>
          <w:tcPr>
            <w:tcW w:w="1485" w:type="dxa"/>
            <w:tcBorders>
              <w:bottom w:val="single" w:color="auto" w:sz="4" w:space="0"/>
            </w:tcBorders>
            <w:vAlign w:val="center"/>
          </w:tcPr>
          <w:p>
            <w:pPr>
              <w:snapToGrid w:val="0"/>
              <w:jc w:val="center"/>
              <w:rPr>
                <w:rFonts w:hint="eastAsia" w:ascii="宋体" w:hAnsi="宋体" w:cs="宋体"/>
                <w:color w:val="auto"/>
                <w:szCs w:val="21"/>
                <w:highlight w:val="none"/>
              </w:rPr>
            </w:pPr>
            <w:r>
              <w:rPr>
                <w:rFonts w:hint="eastAsia" w:ascii="宋体" w:hAnsi="宋体" w:cs="宋体"/>
                <w:color w:val="auto"/>
                <w:szCs w:val="21"/>
                <w:highlight w:val="none"/>
              </w:rPr>
              <w:t>缴纳社会</w:t>
            </w:r>
          </w:p>
          <w:p>
            <w:pPr>
              <w:snapToGrid w:val="0"/>
              <w:jc w:val="center"/>
              <w:rPr>
                <w:rFonts w:hint="eastAsia" w:ascii="宋体" w:hAnsi="宋体" w:cs="宋体"/>
                <w:color w:val="auto"/>
                <w:szCs w:val="21"/>
                <w:highlight w:val="none"/>
              </w:rPr>
            </w:pPr>
            <w:r>
              <w:rPr>
                <w:rFonts w:hint="eastAsia" w:ascii="宋体" w:hAnsi="宋体" w:cs="宋体"/>
                <w:color w:val="auto"/>
                <w:szCs w:val="21"/>
                <w:highlight w:val="none"/>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color w:val="auto"/>
                <w:szCs w:val="21"/>
                <w:highlight w:val="none"/>
              </w:rPr>
            </w:pPr>
            <w:r>
              <w:rPr>
                <w:rFonts w:hint="eastAsia" w:ascii="宋体" w:hAnsi="宋体" w:cs="宋体"/>
                <w:color w:val="auto"/>
                <w:szCs w:val="21"/>
                <w:highlight w:val="none"/>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lang w:bidi="ar"/>
              </w:rPr>
              <w:t>3</w:t>
            </w:r>
          </w:p>
        </w:tc>
        <w:tc>
          <w:tcPr>
            <w:tcW w:w="2282" w:type="dxa"/>
            <w:gridSpan w:val="2"/>
            <w:tcBorders>
              <w:top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项目负责人</w:t>
            </w:r>
          </w:p>
        </w:tc>
        <w:tc>
          <w:tcPr>
            <w:tcW w:w="947" w:type="dxa"/>
            <w:tcBorders>
              <w:top w:val="single" w:color="auto" w:sz="4" w:space="0"/>
            </w:tcBorders>
            <w:vAlign w:val="center"/>
          </w:tcPr>
          <w:p>
            <w:pPr>
              <w:jc w:val="center"/>
              <w:rPr>
                <w:rFonts w:hint="eastAsia" w:ascii="宋体" w:hAnsi="宋体" w:cs="宋体"/>
                <w:color w:val="auto"/>
                <w:szCs w:val="21"/>
                <w:highlight w:val="none"/>
              </w:rPr>
            </w:pPr>
          </w:p>
        </w:tc>
        <w:tc>
          <w:tcPr>
            <w:tcW w:w="1991" w:type="dxa"/>
            <w:gridSpan w:val="2"/>
            <w:tcBorders>
              <w:top w:val="single" w:color="auto" w:sz="4" w:space="0"/>
            </w:tcBorders>
            <w:vAlign w:val="center"/>
          </w:tcPr>
          <w:p>
            <w:pPr>
              <w:jc w:val="center"/>
              <w:rPr>
                <w:rFonts w:hint="eastAsia" w:ascii="宋体" w:hAnsi="宋体" w:cs="宋体"/>
                <w:color w:val="auto"/>
                <w:szCs w:val="21"/>
                <w:highlight w:val="none"/>
              </w:rPr>
            </w:pPr>
          </w:p>
        </w:tc>
        <w:tc>
          <w:tcPr>
            <w:tcW w:w="1500" w:type="dxa"/>
            <w:tcBorders>
              <w:top w:val="single" w:color="auto" w:sz="4" w:space="0"/>
            </w:tcBorders>
            <w:vAlign w:val="center"/>
          </w:tcPr>
          <w:p>
            <w:pPr>
              <w:jc w:val="center"/>
              <w:rPr>
                <w:rFonts w:hint="eastAsia" w:ascii="宋体" w:hAnsi="宋体" w:cs="宋体"/>
                <w:color w:val="auto"/>
                <w:szCs w:val="21"/>
                <w:highlight w:val="none"/>
              </w:rPr>
            </w:pPr>
          </w:p>
        </w:tc>
        <w:tc>
          <w:tcPr>
            <w:tcW w:w="1485" w:type="dxa"/>
            <w:tcBorders>
              <w:top w:val="single" w:color="auto" w:sz="4" w:space="0"/>
            </w:tcBorders>
            <w:vAlign w:val="center"/>
          </w:tcPr>
          <w:p>
            <w:pPr>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lang w:bidi="ar"/>
              </w:rPr>
              <w:t>4</w:t>
            </w:r>
          </w:p>
        </w:tc>
        <w:tc>
          <w:tcPr>
            <w:tcW w:w="2282" w:type="dxa"/>
            <w:gridSpan w:val="2"/>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主要技术人员</w:t>
            </w:r>
          </w:p>
        </w:tc>
        <w:tc>
          <w:tcPr>
            <w:tcW w:w="947" w:type="dxa"/>
            <w:vAlign w:val="center"/>
          </w:tcPr>
          <w:p>
            <w:pPr>
              <w:jc w:val="center"/>
              <w:rPr>
                <w:rFonts w:hint="eastAsia" w:ascii="宋体" w:hAnsi="宋体" w:cs="宋体"/>
                <w:color w:val="auto"/>
                <w:szCs w:val="21"/>
                <w:highlight w:val="none"/>
              </w:rPr>
            </w:pPr>
          </w:p>
        </w:tc>
        <w:tc>
          <w:tcPr>
            <w:tcW w:w="1991" w:type="dxa"/>
            <w:gridSpan w:val="2"/>
            <w:vAlign w:val="center"/>
          </w:tcPr>
          <w:p>
            <w:pPr>
              <w:jc w:val="center"/>
              <w:rPr>
                <w:rFonts w:hint="eastAsia" w:ascii="宋体" w:hAnsi="宋体" w:cs="宋体"/>
                <w:color w:val="auto"/>
                <w:szCs w:val="21"/>
                <w:highlight w:val="none"/>
              </w:rPr>
            </w:pPr>
          </w:p>
        </w:tc>
        <w:tc>
          <w:tcPr>
            <w:tcW w:w="1500" w:type="dxa"/>
            <w:vAlign w:val="center"/>
          </w:tcPr>
          <w:p>
            <w:pPr>
              <w:jc w:val="center"/>
              <w:rPr>
                <w:rFonts w:hint="eastAsia" w:ascii="宋体" w:hAnsi="宋体" w:cs="宋体"/>
                <w:color w:val="auto"/>
                <w:szCs w:val="21"/>
                <w:highlight w:val="none"/>
              </w:rPr>
            </w:pPr>
          </w:p>
        </w:tc>
        <w:tc>
          <w:tcPr>
            <w:tcW w:w="1485" w:type="dxa"/>
            <w:vAlign w:val="center"/>
          </w:tcPr>
          <w:p>
            <w:pPr>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lang w:bidi="ar"/>
              </w:rPr>
              <w:t>5</w:t>
            </w:r>
          </w:p>
        </w:tc>
        <w:tc>
          <w:tcPr>
            <w:tcW w:w="2282" w:type="dxa"/>
            <w:gridSpan w:val="2"/>
            <w:vAlign w:val="center"/>
          </w:tcPr>
          <w:p>
            <w:pPr>
              <w:pStyle w:val="5"/>
              <w:snapToGrid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投标文件编制人员</w:t>
            </w:r>
          </w:p>
        </w:tc>
        <w:tc>
          <w:tcPr>
            <w:tcW w:w="947" w:type="dxa"/>
            <w:vAlign w:val="center"/>
          </w:tcPr>
          <w:p>
            <w:pPr>
              <w:jc w:val="center"/>
              <w:rPr>
                <w:rFonts w:hint="eastAsia" w:ascii="宋体" w:hAnsi="宋体" w:cs="宋体"/>
                <w:color w:val="auto"/>
                <w:szCs w:val="21"/>
                <w:highlight w:val="none"/>
              </w:rPr>
            </w:pPr>
          </w:p>
        </w:tc>
        <w:tc>
          <w:tcPr>
            <w:tcW w:w="1991" w:type="dxa"/>
            <w:gridSpan w:val="2"/>
            <w:vAlign w:val="center"/>
          </w:tcPr>
          <w:p>
            <w:pPr>
              <w:jc w:val="center"/>
              <w:rPr>
                <w:rFonts w:hint="eastAsia" w:ascii="宋体" w:hAnsi="宋体" w:cs="宋体"/>
                <w:color w:val="auto"/>
                <w:szCs w:val="21"/>
                <w:highlight w:val="none"/>
              </w:rPr>
            </w:pPr>
          </w:p>
        </w:tc>
        <w:tc>
          <w:tcPr>
            <w:tcW w:w="1500" w:type="dxa"/>
            <w:vAlign w:val="center"/>
          </w:tcPr>
          <w:p>
            <w:pPr>
              <w:jc w:val="center"/>
              <w:rPr>
                <w:rFonts w:hint="eastAsia" w:ascii="宋体" w:hAnsi="宋体" w:cs="宋体"/>
                <w:color w:val="auto"/>
                <w:szCs w:val="21"/>
                <w:highlight w:val="none"/>
              </w:rPr>
            </w:pPr>
          </w:p>
        </w:tc>
        <w:tc>
          <w:tcPr>
            <w:tcW w:w="1485" w:type="dxa"/>
            <w:vAlign w:val="center"/>
          </w:tcPr>
          <w:p>
            <w:pPr>
              <w:jc w:val="center"/>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hint="eastAsia" w:ascii="宋体" w:hAnsi="宋体" w:cs="宋体"/>
                <w:color w:val="auto"/>
                <w:szCs w:val="21"/>
                <w:highlight w:val="none"/>
              </w:rPr>
            </w:pPr>
            <w:r>
              <w:rPr>
                <w:rFonts w:hint="eastAsia" w:ascii="宋体" w:hAnsi="宋体" w:cs="宋体"/>
                <w:b/>
                <w:bCs/>
                <w:color w:val="auto"/>
                <w:szCs w:val="21"/>
                <w:highlight w:val="none"/>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hint="eastAsia" w:ascii="宋体" w:hAnsi="宋体" w:cs="宋体"/>
                <w:color w:val="auto"/>
                <w:szCs w:val="21"/>
                <w:highlight w:val="none"/>
                <w:lang w:bidi="ar"/>
              </w:rPr>
            </w:pPr>
            <w:r>
              <w:rPr>
                <w:rFonts w:hint="eastAsia" w:ascii="宋体" w:hAnsi="宋体" w:cs="宋体"/>
                <w:color w:val="auto"/>
                <w:szCs w:val="21"/>
                <w:highlight w:val="none"/>
                <w:lang w:bidi="ar"/>
              </w:rPr>
              <w:t>序号</w:t>
            </w:r>
          </w:p>
        </w:tc>
        <w:tc>
          <w:tcPr>
            <w:tcW w:w="2282" w:type="dxa"/>
            <w:gridSpan w:val="2"/>
            <w:tcBorders>
              <w:bottom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关联关系类型</w:t>
            </w:r>
          </w:p>
        </w:tc>
        <w:tc>
          <w:tcPr>
            <w:tcW w:w="1738" w:type="dxa"/>
            <w:gridSpan w:val="2"/>
            <w:tcBorders>
              <w:bottom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关联主体名称</w:t>
            </w:r>
          </w:p>
        </w:tc>
        <w:tc>
          <w:tcPr>
            <w:tcW w:w="4185" w:type="dxa"/>
            <w:gridSpan w:val="3"/>
            <w:tcBorders>
              <w:bottom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lang w:bidi="ar"/>
              </w:rPr>
            </w:pPr>
            <w:r>
              <w:rPr>
                <w:rFonts w:hint="eastAsia" w:ascii="宋体" w:hAnsi="宋体" w:cs="宋体"/>
                <w:color w:val="auto"/>
                <w:szCs w:val="21"/>
                <w:highlight w:val="none"/>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lang w:bidi="ar"/>
              </w:rPr>
            </w:pPr>
            <w:r>
              <w:rPr>
                <w:rFonts w:hint="eastAsia" w:ascii="宋体" w:hAnsi="宋体" w:cs="宋体"/>
                <w:color w:val="auto"/>
                <w:szCs w:val="21"/>
                <w:highlight w:val="none"/>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Cs w:val="21"/>
                <w:highlight w:val="none"/>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color w:val="auto"/>
                <w:szCs w:val="21"/>
                <w:highlight w:val="none"/>
              </w:rPr>
            </w:pPr>
            <w:r>
              <w:rPr>
                <w:rFonts w:hint="eastAsia" w:ascii="宋体" w:hAnsi="宋体" w:cs="宋体"/>
                <w:color w:val="auto"/>
                <w:szCs w:val="21"/>
                <w:highlight w:val="none"/>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color w:val="auto"/>
                <w:szCs w:val="21"/>
                <w:highlight w:val="none"/>
              </w:rPr>
            </w:pPr>
            <w:r>
              <w:rPr>
                <w:rFonts w:hint="eastAsia" w:ascii="宋体" w:hAnsi="宋体" w:cs="宋体"/>
                <w:b/>
                <w:bCs/>
                <w:color w:val="auto"/>
                <w:szCs w:val="21"/>
                <w:highlight w:val="none"/>
              </w:rPr>
              <w:t>说明：同一关联关系类型有多个主体的，应分行填写。</w:t>
            </w:r>
          </w:p>
        </w:tc>
      </w:tr>
    </w:tbl>
    <w:p>
      <w:pPr>
        <w:autoSpaceDE w:val="0"/>
        <w:autoSpaceDN w:val="0"/>
        <w:adjustRightInd w:val="0"/>
        <w:snapToGrid w:val="0"/>
        <w:jc w:val="left"/>
        <w:rPr>
          <w:rFonts w:hint="eastAsia" w:ascii="宋体" w:hAnsi="宋体"/>
          <w:b/>
          <w:bCs/>
          <w:color w:val="auto"/>
          <w:szCs w:val="21"/>
          <w:highlight w:val="none"/>
        </w:rPr>
      </w:pPr>
      <w:r>
        <w:rPr>
          <w:rFonts w:hint="eastAsia" w:ascii="宋体" w:hAnsi="宋体"/>
          <w:b/>
          <w:bCs/>
          <w:color w:val="auto"/>
          <w:szCs w:val="21"/>
          <w:highlight w:val="none"/>
        </w:rPr>
        <w:t>注：</w:t>
      </w:r>
    </w:p>
    <w:p>
      <w:pPr>
        <w:autoSpaceDE w:val="0"/>
        <w:autoSpaceDN w:val="0"/>
        <w:adjustRightInd w:val="0"/>
        <w:snapToGrid w:val="0"/>
        <w:jc w:val="left"/>
        <w:rPr>
          <w:rFonts w:hint="eastAsia"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color w:val="auto"/>
          <w:szCs w:val="21"/>
          <w:highlight w:val="none"/>
        </w:rPr>
      </w:pPr>
      <w:r>
        <w:rPr>
          <w:rFonts w:hint="eastAsia" w:ascii="宋体" w:hAnsi="宋体"/>
          <w:bCs/>
          <w:color w:val="auto"/>
          <w:szCs w:val="21"/>
          <w:highlight w:val="none"/>
        </w:rPr>
        <w:t>2、投标人需如实填写上述信息，如查实上述信息与实际不符，视为提供虚假证明材料骗取中标，投标人应承担相应法律后果。</w:t>
      </w:r>
    </w:p>
    <w:p>
      <w:pPr>
        <w:spacing w:line="440" w:lineRule="exact"/>
        <w:rPr>
          <w:rFonts w:hint="eastAsia" w:ascii="宋体" w:hAnsi="宋体"/>
          <w:color w:val="auto"/>
          <w:highlight w:val="none"/>
        </w:rPr>
      </w:pP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b/>
          <w:color w:val="auto"/>
          <w:highlight w:val="none"/>
        </w:rPr>
        <w:t>备注：</w:t>
      </w:r>
      <w:r>
        <w:rPr>
          <w:rFonts w:hint="eastAsia" w:ascii="宋体" w:hAnsi="宋体"/>
          <w:color w:val="auto"/>
          <w:highlight w:val="none"/>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lang w:val="fr-CH"/>
        </w:rPr>
        <w:t>1</w:t>
      </w:r>
      <w:r>
        <w:rPr>
          <w:rFonts w:hint="eastAsia" w:ascii="宋体" w:hAnsi="宋体" w:cs="宋体"/>
          <w:b/>
          <w:bCs/>
          <w:color w:val="auto"/>
          <w:sz w:val="24"/>
          <w:highlight w:val="none"/>
        </w:rPr>
        <w:t>1</w:t>
      </w:r>
      <w:r>
        <w:rPr>
          <w:rFonts w:hint="eastAsia" w:ascii="宋体" w:hAnsi="宋体" w:cs="宋体"/>
          <w:b/>
          <w:bCs/>
          <w:color w:val="auto"/>
          <w:sz w:val="24"/>
          <w:highlight w:val="none"/>
          <w:lang w:val="fr-CH"/>
        </w:rPr>
        <w:t>、同类项目业绩情况（格式自拟）</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lang w:val="fr-CH"/>
        </w:rPr>
        <w:t>1</w:t>
      </w:r>
      <w:r>
        <w:rPr>
          <w:rFonts w:hint="eastAsia" w:ascii="宋体" w:hAnsi="宋体" w:cs="宋体"/>
          <w:b/>
          <w:bCs/>
          <w:color w:val="auto"/>
          <w:sz w:val="24"/>
          <w:highlight w:val="none"/>
        </w:rPr>
        <w:t>2</w:t>
      </w:r>
      <w:r>
        <w:rPr>
          <w:rFonts w:hint="eastAsia" w:ascii="宋体" w:hAnsi="宋体" w:cs="宋体"/>
          <w:b/>
          <w:bCs/>
          <w:color w:val="auto"/>
          <w:sz w:val="24"/>
          <w:highlight w:val="none"/>
          <w:lang w:val="fr-CH"/>
        </w:rPr>
        <w:t>、项目负责人（仅一人）情况（格式自拟）</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lang w:val="fr-CH"/>
        </w:rPr>
        <w:t>1</w:t>
      </w:r>
      <w:r>
        <w:rPr>
          <w:rFonts w:hint="eastAsia" w:ascii="宋体" w:hAnsi="宋体" w:cs="宋体"/>
          <w:b/>
          <w:bCs/>
          <w:color w:val="auto"/>
          <w:sz w:val="24"/>
          <w:highlight w:val="none"/>
        </w:rPr>
        <w:t>3</w:t>
      </w:r>
      <w:r>
        <w:rPr>
          <w:rFonts w:hint="eastAsia" w:ascii="宋体" w:hAnsi="宋体" w:cs="宋体"/>
          <w:b/>
          <w:bCs/>
          <w:color w:val="auto"/>
          <w:sz w:val="24"/>
          <w:highlight w:val="none"/>
          <w:lang w:val="fr-CH"/>
        </w:rPr>
        <w:t>、服务团队成员（项目负责人除外）（格式自拟）</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lang w:val="fr-CH"/>
        </w:rPr>
        <w:t>1</w:t>
      </w:r>
      <w:r>
        <w:rPr>
          <w:rFonts w:hint="eastAsia" w:ascii="宋体" w:hAnsi="宋体" w:cs="宋体"/>
          <w:b/>
          <w:bCs/>
          <w:color w:val="auto"/>
          <w:sz w:val="24"/>
          <w:highlight w:val="none"/>
        </w:rPr>
        <w:t>4</w:t>
      </w:r>
      <w:r>
        <w:rPr>
          <w:rFonts w:hint="eastAsia" w:ascii="宋体" w:hAnsi="宋体" w:cs="宋体"/>
          <w:b/>
          <w:bCs/>
          <w:color w:val="auto"/>
          <w:sz w:val="24"/>
          <w:highlight w:val="none"/>
          <w:lang w:val="fr-CH"/>
        </w:rPr>
        <w:t>、服务响应时间（格式自拟）</w:t>
      </w:r>
    </w:p>
    <w:p>
      <w:pPr>
        <w:tabs>
          <w:tab w:val="left" w:pos="640"/>
          <w:tab w:val="left" w:pos="1260"/>
          <w:tab w:val="left" w:pos="1418"/>
        </w:tabs>
        <w:spacing w:line="360" w:lineRule="auto"/>
        <w:rPr>
          <w:rFonts w:hint="eastAsia" w:ascii="宋体" w:hAnsi="宋体" w:cs="宋体"/>
          <w:b/>
          <w:bCs/>
          <w:color w:val="auto"/>
          <w:sz w:val="24"/>
          <w:highlight w:val="none"/>
          <w:lang w:val="fr-CH"/>
        </w:rPr>
      </w:pPr>
    </w:p>
    <w:p>
      <w:pPr>
        <w:tabs>
          <w:tab w:val="left" w:pos="640"/>
          <w:tab w:val="left" w:pos="1260"/>
          <w:tab w:val="left" w:pos="1418"/>
        </w:tabs>
        <w:spacing w:line="360" w:lineRule="auto"/>
        <w:rPr>
          <w:rFonts w:hint="eastAsia" w:ascii="宋体" w:hAnsi="宋体" w:cs="宋体"/>
          <w:b/>
          <w:bCs/>
          <w:color w:val="auto"/>
          <w:sz w:val="24"/>
          <w:highlight w:val="none"/>
          <w:lang w:val="fr-CH"/>
        </w:rPr>
      </w:pPr>
    </w:p>
    <w:p>
      <w:pPr>
        <w:tabs>
          <w:tab w:val="left" w:pos="640"/>
          <w:tab w:val="left" w:pos="840"/>
          <w:tab w:val="left" w:pos="1260"/>
          <w:tab w:val="left" w:pos="1418"/>
        </w:tabs>
        <w:spacing w:line="360" w:lineRule="auto"/>
        <w:rPr>
          <w:rFonts w:hint="eastAsia" w:ascii="宋体" w:hAnsi="宋体" w:cs="宋体"/>
          <w:color w:val="auto"/>
          <w:sz w:val="24"/>
          <w:highlight w:val="none"/>
        </w:rPr>
      </w:pPr>
    </w:p>
    <w:p>
      <w:pPr>
        <w:spacing w:line="360" w:lineRule="auto"/>
        <w:outlineLvl w:val="2"/>
        <w:rPr>
          <w:rFonts w:hint="eastAsia" w:ascii="宋体" w:hAnsi="宋体" w:cs="宋体"/>
          <w:b/>
          <w:bCs/>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（三）技术部分</w:t>
      </w:r>
    </w:p>
    <w:p>
      <w:pPr>
        <w:spacing w:after="78" w:line="360" w:lineRule="auto"/>
        <w:jc w:val="center"/>
        <w:rPr>
          <w:rFonts w:hint="eastAsia" w:ascii="宋体" w:hAnsi="宋体" w:cs="宋体"/>
          <w:b/>
          <w:bCs/>
          <w:color w:val="auto"/>
          <w:sz w:val="24"/>
          <w:highlight w:val="none"/>
          <w:lang w:val="fr-CH"/>
        </w:rPr>
      </w:pPr>
    </w:p>
    <w:p>
      <w:pPr>
        <w:spacing w:after="78" w:line="360" w:lineRule="auto"/>
        <w:jc w:val="center"/>
        <w:rPr>
          <w:rFonts w:hint="eastAsia" w:ascii="宋体" w:hAnsi="宋体" w:cs="宋体"/>
          <w:b/>
          <w:bCs/>
          <w:color w:val="auto"/>
          <w:sz w:val="24"/>
          <w:highlight w:val="none"/>
          <w:lang w:val="fr-CH"/>
        </w:rPr>
      </w:pPr>
      <w:r>
        <w:rPr>
          <w:rFonts w:hint="eastAsia" w:ascii="宋体" w:hAnsi="宋体" w:cs="宋体"/>
          <w:b/>
          <w:bCs/>
          <w:color w:val="auto"/>
          <w:sz w:val="24"/>
          <w:highlight w:val="none"/>
        </w:rPr>
        <w:t>1、</w:t>
      </w:r>
      <w:r>
        <w:rPr>
          <w:rFonts w:hint="eastAsia" w:ascii="宋体" w:hAnsi="宋体" w:cs="宋体"/>
          <w:b/>
          <w:bCs/>
          <w:color w:val="auto"/>
          <w:sz w:val="24"/>
          <w:highlight w:val="none"/>
          <w:lang w:val="fr-CH"/>
        </w:rPr>
        <w:t>用户需求响应表</w:t>
      </w:r>
    </w:p>
    <w:p>
      <w:pPr>
        <w:spacing w:after="78" w:line="360" w:lineRule="auto"/>
        <w:rPr>
          <w:rFonts w:hint="eastAsia" w:ascii="宋体" w:hAnsi="宋体" w:cs="宋体"/>
          <w:color w:val="auto"/>
          <w:sz w:val="24"/>
          <w:highlight w:val="none"/>
        </w:rPr>
      </w:pPr>
      <w:r>
        <w:rPr>
          <w:rFonts w:hint="eastAsia" w:ascii="宋体" w:hAnsi="宋体" w:cs="宋体"/>
          <w:color w:val="auto"/>
          <w:sz w:val="24"/>
          <w:highlight w:val="none"/>
        </w:rPr>
        <w:t>投标人名称____________________          招标编号____________________</w:t>
      </w:r>
    </w:p>
    <w:p>
      <w:pPr>
        <w:spacing w:after="78" w:line="360" w:lineRule="auto"/>
        <w:rPr>
          <w:rFonts w:hint="eastAsia" w:ascii="宋体" w:hAnsi="宋体" w:cs="宋体"/>
          <w:bCs/>
          <w:color w:val="auto"/>
          <w:sz w:val="24"/>
          <w:highlight w:val="none"/>
        </w:rPr>
      </w:pPr>
      <w:r>
        <w:rPr>
          <w:rFonts w:hint="eastAsia" w:ascii="宋体" w:hAnsi="宋体" w:cs="宋体"/>
          <w:bCs/>
          <w:color w:val="auto"/>
          <w:sz w:val="24"/>
          <w:highlight w:val="none"/>
        </w:rPr>
        <w:t>据招标文件要求，我公司承诺响应如下：</w:t>
      </w:r>
    </w:p>
    <w:tbl>
      <w:tblPr>
        <w:tblStyle w:val="21"/>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序号</w:t>
            </w:r>
          </w:p>
        </w:tc>
        <w:tc>
          <w:tcPr>
            <w:tcW w:w="3507" w:type="dxa"/>
            <w:vAlign w:val="center"/>
          </w:tcPr>
          <w:p>
            <w:pPr>
              <w:spacing w:line="36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招标文件要求</w:t>
            </w:r>
          </w:p>
        </w:tc>
        <w:tc>
          <w:tcPr>
            <w:tcW w:w="3241" w:type="dxa"/>
            <w:vAlign w:val="center"/>
          </w:tcPr>
          <w:p>
            <w:pPr>
              <w:spacing w:line="36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投标文件响应</w:t>
            </w:r>
          </w:p>
        </w:tc>
        <w:tc>
          <w:tcPr>
            <w:tcW w:w="1917" w:type="dxa"/>
            <w:vAlign w:val="center"/>
          </w:tcPr>
          <w:p>
            <w:pPr>
              <w:spacing w:line="36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1</w:t>
            </w:r>
          </w:p>
        </w:tc>
        <w:tc>
          <w:tcPr>
            <w:tcW w:w="3507" w:type="dxa"/>
            <w:vAlign w:val="center"/>
          </w:tcPr>
          <w:p>
            <w:pPr>
              <w:spacing w:after="78" w:line="360" w:lineRule="auto"/>
              <w:rPr>
                <w:rFonts w:hint="eastAsia" w:ascii="宋体" w:hAnsi="宋体" w:cs="宋体"/>
                <w:bCs/>
                <w:color w:val="auto"/>
                <w:sz w:val="24"/>
                <w:highlight w:val="none"/>
              </w:rPr>
            </w:pPr>
            <w:r>
              <w:rPr>
                <w:rFonts w:hint="eastAsia" w:ascii="宋体" w:hAnsi="宋体" w:cs="宋体"/>
                <w:bCs/>
                <w:color w:val="auto"/>
                <w:sz w:val="24"/>
                <w:highlight w:val="none"/>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color w:val="auto"/>
                <w:sz w:val="24"/>
                <w:highlight w:val="none"/>
              </w:rPr>
            </w:pPr>
            <w:r>
              <w:rPr>
                <w:rFonts w:hint="eastAsia" w:ascii="宋体" w:hAnsi="宋体" w:cs="宋体"/>
                <w:bCs/>
                <w:color w:val="auto"/>
                <w:sz w:val="24"/>
                <w:highlight w:val="none"/>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color w:val="auto"/>
                <w:sz w:val="24"/>
                <w:highlight w:val="none"/>
              </w:rPr>
            </w:pPr>
            <w:r>
              <w:rPr>
                <w:rFonts w:hint="eastAsia" w:ascii="宋体" w:hAnsi="宋体" w:cs="宋体"/>
                <w:bCs/>
                <w:color w:val="auto"/>
                <w:sz w:val="24"/>
                <w:highlight w:val="none"/>
              </w:rPr>
              <w:t>无需另行编制填写内容。</w:t>
            </w:r>
          </w:p>
        </w:tc>
        <w:tc>
          <w:tcPr>
            <w:tcW w:w="1917" w:type="dxa"/>
            <w:vAlign w:val="center"/>
          </w:tcPr>
          <w:p>
            <w:pPr>
              <w:spacing w:line="360" w:lineRule="auto"/>
              <w:jc w:val="center"/>
              <w:rPr>
                <w:rFonts w:hint="eastAsia" w:ascii="宋体" w:hAnsi="宋体" w:cs="宋体"/>
                <w:bCs/>
                <w:color w:val="auto"/>
                <w:sz w:val="24"/>
                <w:highlight w:val="none"/>
              </w:rPr>
            </w:pPr>
          </w:p>
        </w:tc>
      </w:tr>
    </w:tbl>
    <w:p>
      <w:pPr>
        <w:spacing w:after="78" w:line="360" w:lineRule="auto"/>
        <w:rPr>
          <w:rFonts w:hint="eastAsia" w:ascii="宋体" w:hAnsi="宋体" w:cs="宋体"/>
          <w:bCs/>
          <w:color w:val="auto"/>
          <w:sz w:val="24"/>
          <w:highlight w:val="none"/>
        </w:rPr>
      </w:pPr>
    </w:p>
    <w:p>
      <w:pPr>
        <w:spacing w:after="78" w:line="360" w:lineRule="auto"/>
        <w:rPr>
          <w:rFonts w:hint="eastAsia" w:ascii="宋体" w:hAnsi="宋体" w:cs="宋体"/>
          <w:bCs/>
          <w:color w:val="auto"/>
          <w:sz w:val="24"/>
          <w:highlight w:val="none"/>
        </w:rPr>
      </w:pPr>
      <w:r>
        <w:rPr>
          <w:rFonts w:hint="eastAsia" w:ascii="宋体" w:hAnsi="宋体" w:cs="宋体"/>
          <w:bCs/>
          <w:color w:val="auto"/>
          <w:sz w:val="24"/>
          <w:highlight w:val="none"/>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color w:val="auto"/>
          <w:sz w:val="24"/>
          <w:highlight w:val="none"/>
        </w:rPr>
      </w:pPr>
    </w:p>
    <w:p>
      <w:pPr>
        <w:pStyle w:val="11"/>
        <w:spacing w:line="360" w:lineRule="auto"/>
        <w:rPr>
          <w:rFonts w:hint="eastAsia" w:hAnsi="宋体" w:cs="宋体"/>
          <w:bCs/>
          <w:color w:val="auto"/>
          <w:sz w:val="24"/>
          <w:highlight w:val="none"/>
        </w:rPr>
      </w:pPr>
    </w:p>
    <w:p>
      <w:pPr>
        <w:pStyle w:val="11"/>
        <w:spacing w:line="360" w:lineRule="auto"/>
        <w:ind w:firstLine="5760" w:firstLineChars="2400"/>
        <w:rPr>
          <w:rFonts w:hint="eastAsia" w:hAnsi="宋体" w:cs="宋体"/>
          <w:bCs/>
          <w:color w:val="auto"/>
          <w:sz w:val="24"/>
          <w:highlight w:val="none"/>
        </w:rPr>
      </w:pPr>
      <w:r>
        <w:rPr>
          <w:rFonts w:hint="eastAsia" w:hAnsi="宋体" w:cs="宋体"/>
          <w:bCs/>
          <w:color w:val="auto"/>
          <w:sz w:val="24"/>
          <w:highlight w:val="none"/>
        </w:rPr>
        <w:t>供应商：（公章）</w:t>
      </w:r>
    </w:p>
    <w:p>
      <w:pPr>
        <w:spacing w:line="360" w:lineRule="auto"/>
        <w:ind w:firstLine="5589" w:firstLineChars="2329"/>
        <w:rPr>
          <w:rFonts w:hint="eastAsia" w:ascii="宋体" w:hAnsi="宋体" w:cs="宋体"/>
          <w:bCs/>
          <w:color w:val="auto"/>
          <w:sz w:val="24"/>
          <w:highlight w:val="none"/>
        </w:rPr>
      </w:pPr>
      <w:r>
        <w:rPr>
          <w:rFonts w:hint="eastAsia" w:ascii="宋体" w:hAnsi="宋体" w:cs="宋体"/>
          <w:bCs/>
          <w:color w:val="auto"/>
          <w:sz w:val="24"/>
          <w:highlight w:val="none"/>
        </w:rPr>
        <w:t>日期：  年   月  日</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color w:val="auto"/>
          <w:sz w:val="24"/>
          <w:highlight w:val="none"/>
          <w:lang w:val="sq-AL"/>
        </w:rPr>
        <w:br w:type="page"/>
      </w:r>
      <w:r>
        <w:rPr>
          <w:rFonts w:hint="eastAsia" w:ascii="宋体" w:hAnsi="宋体" w:cs="宋体"/>
          <w:b/>
          <w:bCs/>
          <w:color w:val="auto"/>
          <w:sz w:val="24"/>
          <w:highlight w:val="none"/>
          <w:lang w:val="fr-CH"/>
        </w:rPr>
        <w:t>2、对工作任务及工作目标的理解（格式自拟）</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lang w:val="fr-CH"/>
        </w:rPr>
        <w:t>3、项目运营服务方案（格式自拟）</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rPr>
        <w:t>4、</w:t>
      </w:r>
      <w:r>
        <w:rPr>
          <w:rFonts w:hint="eastAsia" w:ascii="宋体" w:hAnsi="宋体" w:cs="宋体"/>
          <w:b/>
          <w:bCs/>
          <w:color w:val="auto"/>
          <w:sz w:val="24"/>
          <w:highlight w:val="none"/>
          <w:lang w:val="fr-CH"/>
        </w:rPr>
        <w:t>质量和时间保障措施（格式自拟）</w:t>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lang w:val="fr-CH"/>
        </w:rPr>
        <w:t>5、项目服务承诺（格式自拟）</w:t>
      </w:r>
      <w:r>
        <w:rPr>
          <w:rFonts w:hint="eastAsia" w:ascii="宋体" w:hAnsi="宋体" w:cs="宋体"/>
          <w:b/>
          <w:bCs/>
          <w:color w:val="auto"/>
          <w:sz w:val="24"/>
          <w:highlight w:val="none"/>
          <w:lang w:val="fr-CH"/>
        </w:rPr>
        <w:br w:type="page"/>
      </w:r>
    </w:p>
    <w:p>
      <w:pPr>
        <w:tabs>
          <w:tab w:val="left" w:pos="640"/>
          <w:tab w:val="left" w:pos="1260"/>
          <w:tab w:val="left" w:pos="1418"/>
        </w:tabs>
        <w:spacing w:line="360" w:lineRule="auto"/>
        <w:rPr>
          <w:rFonts w:hint="eastAsia" w:ascii="宋体" w:hAnsi="宋体" w:cs="宋体"/>
          <w:b/>
          <w:bCs/>
          <w:color w:val="auto"/>
          <w:sz w:val="24"/>
          <w:highlight w:val="none"/>
          <w:lang w:val="fr-CH"/>
        </w:rPr>
      </w:pP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lang w:val="fr-CH"/>
        </w:rPr>
        <w:t>、投标单位认为有必要提供的其他材料（</w:t>
      </w:r>
      <w:r>
        <w:rPr>
          <w:rFonts w:hint="eastAsia" w:ascii="宋体" w:hAnsi="宋体" w:cs="宋体"/>
          <w:b/>
          <w:bCs/>
          <w:color w:val="auto"/>
          <w:sz w:val="24"/>
          <w:highlight w:val="none"/>
        </w:rPr>
        <w:t>包括但不限于以下内容</w:t>
      </w:r>
      <w:r>
        <w:rPr>
          <w:rFonts w:hint="eastAsia" w:ascii="宋体" w:hAnsi="宋体" w:cs="宋体"/>
          <w:b/>
          <w:bCs/>
          <w:color w:val="auto"/>
          <w:sz w:val="24"/>
          <w:highlight w:val="none"/>
          <w:lang w:val="fr-CH"/>
        </w:rPr>
        <w:t>）</w:t>
      </w:r>
    </w:p>
    <w:p>
      <w:pPr>
        <w:spacing w:line="440" w:lineRule="exact"/>
        <w:jc w:val="left"/>
        <w:rPr>
          <w:rFonts w:hint="eastAsia" w:ascii="宋体" w:hAnsi="宋体"/>
          <w:color w:val="auto"/>
          <w:szCs w:val="21"/>
          <w:highlight w:val="none"/>
        </w:rPr>
      </w:pPr>
      <w:r>
        <w:rPr>
          <w:rFonts w:hint="eastAsia" w:ascii="宋体" w:hAnsi="宋体"/>
          <w:color w:val="auto"/>
          <w:szCs w:val="21"/>
          <w:highlight w:val="none"/>
        </w:rPr>
        <w:t>1、最近三年本公司牵涉的主要诉讼案件</w:t>
      </w:r>
    </w:p>
    <w:p>
      <w:pPr>
        <w:spacing w:line="440" w:lineRule="exact"/>
        <w:jc w:val="left"/>
        <w:rPr>
          <w:rFonts w:hint="eastAsia" w:ascii="宋体" w:hAnsi="宋体"/>
          <w:color w:val="auto"/>
          <w:szCs w:val="21"/>
          <w:highlight w:val="none"/>
        </w:rPr>
      </w:pPr>
    </w:p>
    <w:p>
      <w:pPr>
        <w:spacing w:line="440" w:lineRule="exact"/>
        <w:jc w:val="left"/>
        <w:rPr>
          <w:rFonts w:hint="eastAsia" w:ascii="宋体" w:hAnsi="宋体"/>
          <w:color w:val="auto"/>
          <w:highlight w:val="none"/>
        </w:rPr>
      </w:pPr>
      <w:r>
        <w:rPr>
          <w:rFonts w:hint="eastAsia" w:ascii="宋体" w:hAnsi="宋体"/>
          <w:color w:val="auto"/>
          <w:szCs w:val="21"/>
          <w:highlight w:val="none"/>
        </w:rPr>
        <w:t>2、</w:t>
      </w:r>
      <w:r>
        <w:rPr>
          <w:rFonts w:hint="eastAsia" w:ascii="宋体" w:hAnsi="宋体"/>
          <w:b/>
          <w:bCs/>
          <w:color w:val="auto"/>
          <w:highlight w:val="none"/>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color w:val="auto"/>
          <w:highlight w:val="none"/>
        </w:rPr>
      </w:pPr>
      <w:r>
        <w:rPr>
          <w:rFonts w:hint="eastAsia" w:ascii="宋体" w:hAnsi="宋体"/>
          <w:color w:val="auto"/>
          <w:highlight w:val="none"/>
        </w:rPr>
        <w:t>注：</w:t>
      </w:r>
    </w:p>
    <w:p>
      <w:pPr>
        <w:spacing w:line="440" w:lineRule="exact"/>
        <w:jc w:val="left"/>
        <w:rPr>
          <w:rFonts w:hint="eastAsia" w:ascii="宋体" w:hAnsi="宋体"/>
          <w:color w:val="auto"/>
          <w:highlight w:val="none"/>
        </w:rPr>
      </w:pPr>
      <w:r>
        <w:rPr>
          <w:rFonts w:hint="eastAsia" w:ascii="宋体" w:hAnsi="宋体"/>
          <w:color w:val="auto"/>
          <w:highlight w:val="none"/>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color w:val="auto"/>
          <w:highlight w:val="none"/>
        </w:rPr>
      </w:pPr>
      <w:r>
        <w:rPr>
          <w:rFonts w:hint="eastAsia" w:ascii="宋体" w:hAnsi="宋体"/>
          <w:color w:val="auto"/>
          <w:highlight w:val="none"/>
        </w:rPr>
        <w:t>2.投标人为新成立企业且成立时间不足一个月可提供加盖投标人公章的情况说明或者证明材料亦视为符合。</w:t>
      </w:r>
    </w:p>
    <w:p>
      <w:pPr>
        <w:spacing w:line="440" w:lineRule="exact"/>
        <w:jc w:val="left"/>
        <w:rPr>
          <w:rFonts w:hint="eastAsia" w:ascii="宋体" w:hAnsi="宋体"/>
          <w:color w:val="auto"/>
          <w:highlight w:val="none"/>
        </w:rPr>
      </w:pPr>
      <w:r>
        <w:rPr>
          <w:rFonts w:hint="eastAsia" w:ascii="宋体" w:hAnsi="宋体"/>
          <w:color w:val="auto"/>
          <w:highlight w:val="none"/>
        </w:rPr>
        <w:t>3.若为退休人员，提供退休证明。</w:t>
      </w:r>
    </w:p>
    <w:p>
      <w:pPr>
        <w:spacing w:line="440" w:lineRule="exact"/>
        <w:jc w:val="left"/>
        <w:rPr>
          <w:rFonts w:hint="eastAsia" w:ascii="宋体" w:hAnsi="宋体"/>
          <w:color w:val="auto"/>
          <w:highlight w:val="none"/>
        </w:rPr>
      </w:pPr>
      <w:r>
        <w:rPr>
          <w:rFonts w:hint="eastAsia" w:ascii="宋体" w:hAnsi="宋体"/>
          <w:color w:val="auto"/>
          <w:highlight w:val="none"/>
        </w:rPr>
        <w:t>4.如依法不需要缴纳社会保险的，应提供相应文件证明。</w:t>
      </w:r>
    </w:p>
    <w:p>
      <w:pPr>
        <w:spacing w:line="440" w:lineRule="exact"/>
        <w:jc w:val="left"/>
        <w:rPr>
          <w:rFonts w:hint="eastAsia" w:ascii="宋体" w:hAnsi="宋体"/>
          <w:color w:val="auto"/>
          <w:highlight w:val="none"/>
        </w:rPr>
      </w:pPr>
      <w:r>
        <w:rPr>
          <w:rFonts w:hint="eastAsia" w:ascii="宋体" w:hAnsi="宋体"/>
          <w:color w:val="auto"/>
          <w:highlight w:val="none"/>
        </w:rPr>
        <w:t>5.若因为社保部门或税务部门原因无法提供的，需提供劳动合同及社保部门或税务部门官方通知证明（或官网公告截图）。</w:t>
      </w:r>
    </w:p>
    <w:p>
      <w:pPr>
        <w:spacing w:line="440" w:lineRule="exact"/>
        <w:jc w:val="left"/>
        <w:rPr>
          <w:rFonts w:hint="eastAsia" w:ascii="宋体" w:hAnsi="宋体"/>
          <w:color w:val="auto"/>
          <w:highlight w:val="none"/>
        </w:rPr>
      </w:pPr>
      <w:r>
        <w:rPr>
          <w:rFonts w:hint="eastAsia" w:ascii="宋体" w:hAnsi="宋体"/>
          <w:color w:val="auto"/>
          <w:highlight w:val="none"/>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color w:val="auto"/>
          <w:highlight w:val="none"/>
        </w:rPr>
      </w:pPr>
      <w:r>
        <w:rPr>
          <w:rFonts w:hint="eastAsia" w:ascii="宋体" w:hAnsi="宋体"/>
          <w:color w:val="auto"/>
          <w:highlight w:val="none"/>
        </w:rPr>
        <w:t>7.如是联合体投标的，需提供各方的。</w:t>
      </w:r>
    </w:p>
    <w:p>
      <w:pPr>
        <w:spacing w:line="440" w:lineRule="exact"/>
        <w:jc w:val="left"/>
        <w:rPr>
          <w:rFonts w:hint="eastAsia" w:ascii="宋体" w:hAnsi="宋体"/>
          <w:color w:val="auto"/>
          <w:highlight w:val="none"/>
        </w:rPr>
      </w:pPr>
    </w:p>
    <w:p>
      <w:pPr>
        <w:tabs>
          <w:tab w:val="left" w:pos="640"/>
          <w:tab w:val="left" w:pos="1260"/>
          <w:tab w:val="left" w:pos="1418"/>
        </w:tabs>
        <w:spacing w:line="360" w:lineRule="auto"/>
        <w:rPr>
          <w:rFonts w:hint="eastAsia" w:ascii="宋体" w:hAnsi="宋体" w:cs="宋体"/>
          <w:b/>
          <w:bCs/>
          <w:color w:val="auto"/>
          <w:sz w:val="24"/>
          <w:highlight w:val="none"/>
        </w:rPr>
      </w:pPr>
      <w:r>
        <w:rPr>
          <w:rFonts w:hint="eastAsia" w:ascii="宋体" w:hAnsi="宋体"/>
          <w:color w:val="auto"/>
          <w:szCs w:val="21"/>
          <w:highlight w:val="none"/>
        </w:rPr>
        <w:t>3、其他招标文件要求和投标人认为有必要的内容</w:t>
      </w:r>
    </w:p>
    <w:p>
      <w:pPr>
        <w:tabs>
          <w:tab w:val="left" w:pos="640"/>
          <w:tab w:val="left" w:pos="1260"/>
          <w:tab w:val="left" w:pos="1418"/>
        </w:tabs>
        <w:spacing w:line="360" w:lineRule="auto"/>
        <w:jc w:val="center"/>
        <w:rPr>
          <w:rFonts w:hint="eastAsia" w:ascii="宋体" w:hAnsi="宋体" w:cs="宋体"/>
          <w:b/>
          <w:bCs/>
          <w:color w:val="auto"/>
          <w:sz w:val="24"/>
          <w:highlight w:val="none"/>
        </w:rPr>
      </w:pPr>
    </w:p>
    <w:p>
      <w:pPr>
        <w:tabs>
          <w:tab w:val="left" w:pos="640"/>
          <w:tab w:val="left" w:pos="1260"/>
          <w:tab w:val="left" w:pos="1418"/>
        </w:tabs>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color w:val="auto"/>
          <w:sz w:val="24"/>
          <w:highlight w:val="none"/>
        </w:rPr>
      </w:pPr>
      <w:r>
        <w:rPr>
          <w:rFonts w:hint="eastAsia" w:ascii="宋体" w:hAnsi="宋体" w:cs="宋体"/>
          <w:color w:val="auto"/>
          <w:sz w:val="24"/>
          <w:highlight w:val="none"/>
          <w:lang w:val="fr-CH"/>
        </w:rPr>
        <w:br w:type="page"/>
      </w:r>
      <w:bookmarkEnd w:id="22"/>
      <w:bookmarkStart w:id="28" w:name="_Toc3166"/>
      <w:bookmarkStart w:id="29" w:name="_Toc6251"/>
      <w:r>
        <w:rPr>
          <w:rFonts w:hint="eastAsia" w:ascii="宋体" w:hAnsi="宋体" w:cs="宋体"/>
          <w:b/>
          <w:bCs/>
          <w:color w:val="auto"/>
          <w:sz w:val="24"/>
          <w:highlight w:val="none"/>
        </w:rPr>
        <w:t>附件：相关政策</w:t>
      </w:r>
      <w:bookmarkEnd w:id="28"/>
      <w:bookmarkEnd w:id="29"/>
    </w:p>
    <w:p>
      <w:pPr>
        <w:tabs>
          <w:tab w:val="left" w:pos="360"/>
        </w:tabs>
        <w:spacing w:line="360" w:lineRule="auto"/>
        <w:outlineLvl w:val="1"/>
        <w:rPr>
          <w:rFonts w:hint="eastAsia" w:ascii="宋体" w:hAnsi="宋体" w:cs="宋体"/>
          <w:b/>
          <w:bCs/>
          <w:color w:val="auto"/>
          <w:sz w:val="24"/>
          <w:highlight w:val="none"/>
        </w:rPr>
      </w:pPr>
      <w:r>
        <w:rPr>
          <w:rFonts w:hint="eastAsia" w:ascii="宋体" w:hAnsi="宋体" w:cs="宋体"/>
          <w:b/>
          <w:bCs/>
          <w:color w:val="auto"/>
          <w:sz w:val="24"/>
          <w:highlight w:val="none"/>
        </w:rPr>
        <w:t>1、财政部、工业和信息化部《关于印发〈政府采购促进中小企业发展管理办法〉的通知》（财库〔2020〕46 号）</w:t>
      </w:r>
    </w:p>
    <w:p>
      <w:pPr>
        <w:pStyle w:val="6"/>
        <w:tabs>
          <w:tab w:val="left" w:pos="562"/>
          <w:tab w:val="left" w:pos="3372"/>
          <w:tab w:val="left" w:pos="3653"/>
        </w:tabs>
        <w:spacing w:line="360" w:lineRule="auto"/>
        <w:rPr>
          <w:rFonts w:hint="eastAsia" w:ascii="宋体" w:hAnsi="宋体" w:cs="宋体"/>
          <w:color w:val="auto"/>
          <w:sz w:val="24"/>
          <w:highlight w:val="none"/>
        </w:rPr>
      </w:pPr>
    </w:p>
    <w:p>
      <w:pPr>
        <w:widowControl/>
        <w:shd w:val="clear" w:color="auto" w:fill="FFFFFF"/>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关于印发《政府采购促进中小企业发展管理办法》的通知</w:t>
      </w:r>
    </w:p>
    <w:p>
      <w:pPr>
        <w:widowControl/>
        <w:shd w:val="clear" w:color="auto" w:fill="FFFFFF"/>
        <w:spacing w:after="240"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财库〔2020〕46号</w:t>
      </w:r>
    </w:p>
    <w:p>
      <w:pPr>
        <w:widowControl/>
        <w:shd w:val="clear" w:color="auto" w:fill="FFFFFF"/>
        <w:spacing w:after="240"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附件：政府采购促进中小企业发展管理办法</w:t>
      </w:r>
    </w:p>
    <w:p>
      <w:pPr>
        <w:widowControl/>
        <w:shd w:val="clear" w:color="auto" w:fill="FFFFFF"/>
        <w:spacing w:line="360" w:lineRule="auto"/>
        <w:jc w:val="right"/>
        <w:rPr>
          <w:rFonts w:hint="eastAsia" w:ascii="宋体" w:hAnsi="宋体" w:cs="宋体"/>
          <w:color w:val="auto"/>
          <w:kern w:val="0"/>
          <w:sz w:val="24"/>
          <w:highlight w:val="none"/>
        </w:rPr>
      </w:pPr>
      <w:r>
        <w:rPr>
          <w:rFonts w:hint="eastAsia" w:ascii="宋体" w:hAnsi="宋体" w:cs="宋体"/>
          <w:color w:val="auto"/>
          <w:kern w:val="0"/>
          <w:sz w:val="24"/>
          <w:highlight w:val="none"/>
        </w:rPr>
        <w:t>财  政  部</w:t>
      </w:r>
    </w:p>
    <w:p>
      <w:pPr>
        <w:widowControl/>
        <w:shd w:val="clear" w:color="auto" w:fill="FFFFFF"/>
        <w:spacing w:line="360" w:lineRule="auto"/>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工业和信息化部</w:t>
      </w:r>
    </w:p>
    <w:p>
      <w:pPr>
        <w:widowControl/>
        <w:shd w:val="clear" w:color="auto" w:fill="FFFFFF"/>
        <w:spacing w:line="360" w:lineRule="auto"/>
        <w:jc w:val="right"/>
        <w:rPr>
          <w:rFonts w:hint="eastAsia" w:ascii="宋体" w:hAnsi="宋体" w:cs="宋体"/>
          <w:color w:val="auto"/>
          <w:kern w:val="0"/>
          <w:sz w:val="24"/>
          <w:highlight w:val="none"/>
        </w:rPr>
      </w:pPr>
      <w:r>
        <w:rPr>
          <w:rFonts w:hint="eastAsia" w:ascii="宋体" w:hAnsi="宋体" w:cs="宋体"/>
          <w:color w:val="auto"/>
          <w:kern w:val="0"/>
          <w:sz w:val="24"/>
          <w:highlight w:val="none"/>
        </w:rPr>
        <w:t>2020年12月18日</w:t>
      </w:r>
    </w:p>
    <w:p>
      <w:pPr>
        <w:autoSpaceDE w:val="0"/>
        <w:autoSpaceDN w:val="0"/>
        <w:adjustRightInd w:val="0"/>
        <w:spacing w:line="360" w:lineRule="auto"/>
        <w:jc w:val="left"/>
        <w:rPr>
          <w:rFonts w:hint="eastAsia" w:ascii="宋体" w:hAnsi="宋体" w:cs="宋体"/>
          <w:color w:val="auto"/>
          <w:kern w:val="0"/>
          <w:sz w:val="24"/>
          <w:highlight w:val="none"/>
        </w:rPr>
      </w:pPr>
    </w:p>
    <w:p>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政府采购促进中小企业发展管理办法</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第一条 为了发挥政府采购的政策功能，促进中小企业健康发展，根据《中华人民共和国政府采购法》、《中华人民共和国中小企业促进法》等有关法律法规，制定本办法。</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第三条 采购人在政府采购活动中应当通过加强采购需求管理，落实预留采购份额、价格评审优惠、优先采购等 措施，提高中小企业在政府采购中的份额，支持中小企业发展。</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第四条 在政府采购活动中，供应商提供的货物、工程或者服务符合下列情形的，享受本办法规定的中小企业扶持政策：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（一）在货物采购项目中，货物由中小企业制造，即货 物由中小企业生产且使用该中小企业商号或者注册商标；</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（二）在工程采购项目中，工程由中小企业承建，即工 程施工单位为中小企业；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（三）在服务采购项目中，服务由中小企业承接，即提供服务的人员为中小企业依照《中华人民共和国劳动合同法》订立劳动合同的从业人员。</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在货物采购项目中，供应商提供的货物既有中小企业制造货物，也有大型企业制造货物的，不享受本办法规定的中小企业扶持政策。</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6"/>
        <w:tabs>
          <w:tab w:val="left" w:pos="562"/>
          <w:tab w:val="left" w:pos="3372"/>
          <w:tab w:val="left" w:pos="3653"/>
        </w:tabs>
        <w:spacing w:line="360"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符合下列情形之一的，可不专门面向中小企业预留采购</w:t>
      </w:r>
      <w:r>
        <w:rPr>
          <w:rFonts w:hint="eastAsia" w:ascii="宋体" w:hAnsi="宋体" w:cs="宋体"/>
          <w:color w:val="auto"/>
          <w:sz w:val="24"/>
          <w:highlight w:val="none"/>
        </w:rPr>
        <w:t>份额：</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（一）法律法规和国家有关政策明确规定优先或者应当面向事业单位、社会组织等非企业主体采购的；</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（二）因确需使用不可替代的专利、专有技术，基础设施限制，或者提供特定公共服务等原因，只能从中小企业之外的供应商处采购的；</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（三）按照本办法规定预留采购份额无法确保充分供应、充分竞争，或者存在可能影响政府采购目标实现的情形；</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（四）框架协议采购项目；</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（五）省级以上人民政府财政部门规定的其他情形。 除上述情形外，其他均为适宜由中小企业提供的情形。</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第七条 采购限额标准以上，200万元以下的货物和服务采购项目、400 万元以下的工程采购项目，适宜由中小企业提供的，采购人应当专门面向中小企业采购。</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（一）将采购项目整体或者设置采购包专门面向中小企业采购；</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（二）要求供应商以联合体形式参加采购活动，且联合体中中小企业承担的部分达到一定比例；</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（三）要求获得采购合同的供应商将采购项目中的一定比例分包给一家或者多家中小企业。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组成联合体或者接受分包合同的中小企业与联合体内 其他企业、分包企业之间不得存在直接控股、管理关系。</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第十二条 采购项目涉及中小企业采购的，采购文件应当明确以下内容：</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（一）预留份额的采购项目或者采购包，明确该项目或相关采购包专门面向中小企业采购，以及相关标的及预算金额；</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（二）要求以联合体形式参加或者合同分包的，明确联合协议或者分包意向协议中中小企业合同金额应当达到的 比例，并作为供应商资格条件；</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（三）非预留份额的采购项目或者采购包，明确有关价格扣除比例或者价格分加分比例；</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（四）规定依据本办法规定享受扶持政策获得政府采购合同的，小微企业不得将合同分包给大中型企业，中型企业不得将合同分包给大型企业；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（五）采购人认为具备相关条件的，明确对中小企业在资金支付期限、预付款比例等方面的优惠措施；</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（六）明确采购标的对应的中小企业划分标准所属行业；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（七）法律法规和省级以上人民政府财政部门规定的其他事项。</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第十三条 中标、成交供应商享受本办法规定的中小企业扶持政策的，采购人、采购代理机构应当随中标、成交结果公开中标、成交供应商的《中小企业声明函》。</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适用招标投标法的政府采购工程建设项目，应当在公示中标候选人时公开中标候选人的《中小企业声明函》。</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第十五条 鼓励各地区、各部门在采购活动中允许中小企业引入信用担保手段，为中小企业在投标（响应）保证、履约保证等方面提供专业化服务。鼓励中小企业依法合规通过政府采购合同融资。</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第十六条 政府采购监督检查、投诉处理及政府采购行政处罚中对中小企业的认定，由货物制造商或者工程、服务供应商注册登记所在地的县级以上人民政府中小企业主管部门负责。</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中小企业主管部门应当在收到财政部门或者有关招标 投标行政监督部门关于协助开展中小企业认定函后 10 个工作日内做出书面答复。</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第二十条 供应商按照本办法规定提供声明函内容不实的，属于提供虚假材料谋取中标、成交，依照《中华人民共和国政府采购法》等国家有关规定追究相应责任。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适用招标投标法的政府采购工程建设项目，投标人按照 本办法规定提供声明函内容不实的，属于弄虚作假骗取中标，依照《中华人民共和国招标投标法》等国家有关规定追究相应责任。</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第二十二条 对外援助项目、国家相关资格或者资质管理制度另有规定的项目，不适用本办法。</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第二十三条 关于视同中小企业的其他主体的政府采购扶持政策，由财政部会同有关部门另行规定。</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第二十四条 省级财政部门可以会同中小企业主管部门根据本办法的规定制定具体实施办法。</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第二十五条 本办法自 2021 年 1 月 1 日起施行。《财政部 工业和信息化部关于印发〈政府采购促进中小企业发展暂行办法〉的通知》（财库﹝2011﹞181 号）同时废止。</w:t>
      </w:r>
    </w:p>
    <w:p>
      <w:pPr>
        <w:pStyle w:val="6"/>
        <w:tabs>
          <w:tab w:val="left" w:pos="562"/>
          <w:tab w:val="left" w:pos="3372"/>
          <w:tab w:val="left" w:pos="3653"/>
        </w:tabs>
        <w:spacing w:before="5" w:line="360" w:lineRule="auto"/>
        <w:rPr>
          <w:rFonts w:hint="eastAsia" w:ascii="宋体" w:hAnsi="宋体" w:cs="宋体"/>
          <w:color w:val="auto"/>
          <w:sz w:val="24"/>
          <w:highlight w:val="none"/>
        </w:rPr>
      </w:pP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附：1.中小企业声明函</w:t>
      </w:r>
    </w:p>
    <w:p>
      <w:pPr>
        <w:pStyle w:val="6"/>
        <w:tabs>
          <w:tab w:val="left" w:pos="562"/>
          <w:tab w:val="left" w:pos="3372"/>
          <w:tab w:val="left" w:pos="3653"/>
        </w:tabs>
        <w:spacing w:line="360" w:lineRule="auto"/>
        <w:ind w:firstLine="960" w:firstLineChars="400"/>
        <w:rPr>
          <w:rFonts w:hint="eastAsia" w:ascii="宋体" w:hAnsi="宋体" w:cs="宋体"/>
          <w:color w:val="auto"/>
          <w:kern w:val="0"/>
          <w:sz w:val="24"/>
          <w:highlight w:val="none"/>
        </w:rPr>
      </w:pPr>
      <w:r>
        <w:rPr>
          <w:rFonts w:hint="eastAsia" w:ascii="宋体" w:hAnsi="宋体" w:cs="宋体"/>
          <w:color w:val="auto"/>
          <w:kern w:val="0"/>
          <w:sz w:val="24"/>
          <w:highlight w:val="none"/>
        </w:rPr>
        <w:t>2.面向中小企业预留项目执行情况公告</w:t>
      </w:r>
    </w:p>
    <w:p>
      <w:pPr>
        <w:pStyle w:val="6"/>
        <w:tabs>
          <w:tab w:val="left" w:pos="562"/>
          <w:tab w:val="left" w:pos="3372"/>
          <w:tab w:val="left" w:pos="3653"/>
        </w:tabs>
        <w:spacing w:before="30" w:line="360" w:lineRule="auto"/>
        <w:rPr>
          <w:rFonts w:hint="eastAsia" w:ascii="宋体" w:hAnsi="宋体" w:cs="宋体"/>
          <w:b/>
          <w:bCs/>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附 1</w:t>
      </w:r>
    </w:p>
    <w:p>
      <w:pPr>
        <w:spacing w:after="319" w:afterLines="100" w:line="360" w:lineRule="auto"/>
        <w:jc w:val="center"/>
        <w:rPr>
          <w:rFonts w:hint="eastAsia" w:ascii="宋体" w:hAnsi="宋体" w:cs="宋体"/>
          <w:color w:val="auto"/>
          <w:sz w:val="24"/>
          <w:highlight w:val="none"/>
        </w:rPr>
      </w:pPr>
      <w:r>
        <w:rPr>
          <w:rFonts w:hint="eastAsia" w:ascii="宋体" w:hAnsi="宋体" w:cs="宋体"/>
          <w:color w:val="auto"/>
          <w:sz w:val="24"/>
          <w:highlight w:val="none"/>
        </w:rPr>
        <w:t>中小企业声明函（货物）</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本公司（联合体）郑重声明，根据《政府采购促进中小企业发展管理办法》（财库﹝2020﹞46 号）的规定，本公司（联合体）参加（</w:t>
      </w:r>
      <w:r>
        <w:rPr>
          <w:rFonts w:hint="eastAsia" w:ascii="宋体" w:hAnsi="宋体" w:cs="宋体"/>
          <w:color w:val="auto"/>
          <w:spacing w:val="-2"/>
          <w:sz w:val="24"/>
          <w:highlight w:val="none"/>
          <w:u w:val="single"/>
        </w:rPr>
        <w:t>单位名称</w:t>
      </w:r>
      <w:r>
        <w:rPr>
          <w:rFonts w:hint="eastAsia" w:ascii="宋体" w:hAnsi="宋体" w:cs="宋体"/>
          <w:color w:val="auto"/>
          <w:spacing w:val="-2"/>
          <w:sz w:val="24"/>
          <w:highlight w:val="none"/>
        </w:rPr>
        <w:t>）的（</w:t>
      </w:r>
      <w:r>
        <w:rPr>
          <w:rFonts w:hint="eastAsia" w:ascii="宋体" w:hAnsi="宋体" w:cs="宋体"/>
          <w:color w:val="auto"/>
          <w:spacing w:val="-2"/>
          <w:sz w:val="24"/>
          <w:highlight w:val="none"/>
          <w:u w:val="single"/>
        </w:rPr>
        <w:t>项目名称</w:t>
      </w:r>
      <w:r>
        <w:rPr>
          <w:rFonts w:hint="eastAsia" w:ascii="宋体" w:hAnsi="宋体" w:cs="宋体"/>
          <w:color w:val="auto"/>
          <w:spacing w:val="-2"/>
          <w:sz w:val="24"/>
          <w:highlight w:val="none"/>
        </w:rPr>
        <w:t>）采购活动，提供的货物全部由符合政策要求的中小企业制造。相关企业（含联合体中的中小企业、签订分包意向协议的中小企业） 的具体情况如下：</w:t>
      </w:r>
    </w:p>
    <w:p>
      <w:pPr>
        <w:pStyle w:val="6"/>
        <w:tabs>
          <w:tab w:val="left" w:pos="562"/>
          <w:tab w:val="left" w:pos="3372"/>
          <w:tab w:val="left" w:pos="3653"/>
        </w:tabs>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lang w:eastAsia="zh-Hans"/>
        </w:rPr>
        <w:t>采购文件中明确的所属行业</w:t>
      </w:r>
      <w:r>
        <w:rPr>
          <w:rFonts w:hint="eastAsia" w:ascii="宋体" w:hAnsi="宋体" w:cs="宋体"/>
          <w:color w:val="auto"/>
          <w:kern w:val="0"/>
          <w:sz w:val="24"/>
          <w:highlight w:val="none"/>
        </w:rPr>
        <w:t>）；制造商为（</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rPr>
        <w:t xml:space="preserve">人，营业收入为 </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ab/>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万元，属于（</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2、（</w:t>
      </w:r>
      <w:r>
        <w:rPr>
          <w:rFonts w:hint="eastAsia" w:ascii="宋体" w:hAnsi="宋体" w:cs="宋体"/>
          <w:color w:val="auto"/>
          <w:spacing w:val="-2"/>
          <w:sz w:val="24"/>
          <w:highlight w:val="none"/>
          <w:u w:val="single"/>
        </w:rPr>
        <w:t>标的名称</w:t>
      </w:r>
      <w:r>
        <w:rPr>
          <w:rFonts w:hint="eastAsia" w:ascii="宋体" w:hAnsi="宋体" w:cs="宋体"/>
          <w:color w:val="auto"/>
          <w:spacing w:val="-2"/>
          <w:sz w:val="24"/>
          <w:highlight w:val="none"/>
        </w:rPr>
        <w:t>），属于（</w:t>
      </w:r>
      <w:r>
        <w:rPr>
          <w:rFonts w:hint="eastAsia" w:ascii="宋体" w:hAnsi="宋体" w:cs="宋体"/>
          <w:color w:val="auto"/>
          <w:kern w:val="0"/>
          <w:sz w:val="24"/>
          <w:highlight w:val="none"/>
          <w:u w:val="single"/>
          <w:lang w:eastAsia="zh-Hans"/>
        </w:rPr>
        <w:t>采购文件中明确的所属行业</w:t>
      </w:r>
      <w:r>
        <w:rPr>
          <w:rFonts w:hint="eastAsia" w:ascii="宋体" w:hAnsi="宋体" w:cs="宋体"/>
          <w:color w:val="auto"/>
          <w:spacing w:val="-2"/>
          <w:sz w:val="24"/>
          <w:highlight w:val="none"/>
        </w:rPr>
        <w:t>）；制造商为（</w:t>
      </w:r>
      <w:r>
        <w:rPr>
          <w:rFonts w:hint="eastAsia" w:ascii="宋体" w:hAnsi="宋体" w:cs="宋体"/>
          <w:color w:val="auto"/>
          <w:spacing w:val="-2"/>
          <w:sz w:val="24"/>
          <w:highlight w:val="none"/>
          <w:u w:val="single"/>
        </w:rPr>
        <w:t>企业名称</w:t>
      </w:r>
      <w:r>
        <w:rPr>
          <w:rFonts w:hint="eastAsia" w:ascii="宋体" w:hAnsi="宋体" w:cs="宋体"/>
          <w:color w:val="auto"/>
          <w:spacing w:val="-2"/>
          <w:sz w:val="24"/>
          <w:highlight w:val="none"/>
        </w:rPr>
        <w:t>），从业人员</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人，营业收入为</w:t>
      </w:r>
      <w:r>
        <w:rPr>
          <w:rFonts w:hint="eastAsia" w:ascii="宋体" w:hAnsi="宋体" w:cs="宋体"/>
          <w:color w:val="auto"/>
          <w:spacing w:val="-2"/>
          <w:sz w:val="24"/>
          <w:highlight w:val="none"/>
          <w:u w:val="single"/>
        </w:rPr>
        <w:tab/>
      </w:r>
      <w:r>
        <w:rPr>
          <w:rFonts w:hint="eastAsia" w:ascii="宋体" w:hAnsi="宋体" w:cs="宋体"/>
          <w:color w:val="auto"/>
          <w:spacing w:val="-2"/>
          <w:sz w:val="24"/>
          <w:highlight w:val="none"/>
        </w:rPr>
        <w:t>万元，资产总额为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万元，属于（</w:t>
      </w:r>
      <w:r>
        <w:rPr>
          <w:rFonts w:hint="eastAsia" w:ascii="宋体" w:hAnsi="宋体" w:cs="宋体"/>
          <w:color w:val="auto"/>
          <w:spacing w:val="-2"/>
          <w:sz w:val="24"/>
          <w:highlight w:val="none"/>
          <w:u w:val="single"/>
        </w:rPr>
        <w:t>中型企业、小型企业、微型企业</w:t>
      </w:r>
      <w:r>
        <w:rPr>
          <w:rFonts w:hint="eastAsia" w:ascii="宋体" w:hAnsi="宋体" w:cs="宋体"/>
          <w:color w:val="auto"/>
          <w:spacing w:val="-2"/>
          <w:sz w:val="24"/>
          <w:highlight w:val="none"/>
        </w:rPr>
        <w:t>）；</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color w:val="auto"/>
          <w:sz w:val="24"/>
          <w:highlight w:val="none"/>
        </w:rPr>
      </w:pPr>
      <w:r>
        <w:rPr>
          <w:rFonts w:hint="eastAsia" w:ascii="宋体" w:hAnsi="宋体" w:cs="宋体"/>
          <w:color w:val="auto"/>
          <w:spacing w:val="-2"/>
          <w:sz w:val="24"/>
          <w:highlight w:val="none"/>
        </w:rPr>
        <w:t>企业名称（盖章）日期：</w:t>
      </w:r>
    </w:p>
    <w:p>
      <w:pPr>
        <w:pStyle w:val="6"/>
        <w:tabs>
          <w:tab w:val="left" w:pos="562"/>
          <w:tab w:val="left" w:pos="3372"/>
          <w:tab w:val="left" w:pos="3653"/>
        </w:tabs>
        <w:spacing w:line="360" w:lineRule="auto"/>
        <w:jc w:val="left"/>
        <w:rPr>
          <w:rFonts w:hint="eastAsia" w:ascii="宋体" w:hAnsi="宋体" w:cs="宋体"/>
          <w:color w:val="auto"/>
          <w:spacing w:val="-2"/>
          <w:sz w:val="24"/>
          <w:highlight w:val="none"/>
        </w:rPr>
      </w:pPr>
      <w:r>
        <w:rPr>
          <w:rFonts w:hint="eastAsia" w:ascii="宋体" w:hAnsi="宋体" w:cs="宋体"/>
          <w:color w:val="auto"/>
          <w:spacing w:val="-2"/>
          <w:sz w:val="24"/>
          <w:highlight w:val="none"/>
        </w:rPr>
        <w:t>从业人员、营业收入、资产总额填报上一年度数据，无上一年度数据的新成立企业可不填报。</w:t>
      </w:r>
    </w:p>
    <w:p>
      <w:pPr>
        <w:spacing w:after="319" w:afterLines="100" w:line="360" w:lineRule="auto"/>
        <w:jc w:val="center"/>
        <w:rPr>
          <w:rFonts w:hint="eastAsia"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中小企业声明函（工程、服务）</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本公司（联合体）郑重声明，根据《政府采购促进中小企业发展管理办法》（财库﹝2020﹞46 号）的规定，本公司（联合体）参加（</w:t>
      </w:r>
      <w:r>
        <w:rPr>
          <w:rFonts w:hint="eastAsia" w:ascii="宋体" w:hAnsi="宋体" w:cs="宋体"/>
          <w:color w:val="auto"/>
          <w:spacing w:val="-2"/>
          <w:sz w:val="24"/>
          <w:highlight w:val="none"/>
          <w:u w:val="single"/>
        </w:rPr>
        <w:t>单位名称</w:t>
      </w:r>
      <w:r>
        <w:rPr>
          <w:rFonts w:hint="eastAsia" w:ascii="宋体" w:hAnsi="宋体" w:cs="宋体"/>
          <w:color w:val="auto"/>
          <w:spacing w:val="-2"/>
          <w:sz w:val="24"/>
          <w:highlight w:val="none"/>
        </w:rPr>
        <w:t>）的（</w:t>
      </w:r>
      <w:r>
        <w:rPr>
          <w:rFonts w:hint="eastAsia" w:ascii="宋体" w:hAnsi="宋体" w:cs="宋体"/>
          <w:color w:val="auto"/>
          <w:spacing w:val="-2"/>
          <w:sz w:val="24"/>
          <w:highlight w:val="none"/>
          <w:u w:val="single"/>
        </w:rPr>
        <w:t>项目名称</w:t>
      </w:r>
      <w:r>
        <w:rPr>
          <w:rFonts w:hint="eastAsia" w:ascii="宋体" w:hAnsi="宋体" w:cs="宋体"/>
          <w:color w:val="auto"/>
          <w:spacing w:val="-2"/>
          <w:sz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1、（</w:t>
      </w:r>
      <w:r>
        <w:rPr>
          <w:rFonts w:hint="eastAsia" w:ascii="宋体" w:hAnsi="宋体" w:cs="宋体"/>
          <w:color w:val="auto"/>
          <w:spacing w:val="-2"/>
          <w:sz w:val="24"/>
          <w:highlight w:val="none"/>
          <w:u w:val="single"/>
        </w:rPr>
        <w:t>标的名称</w:t>
      </w:r>
      <w:r>
        <w:rPr>
          <w:rFonts w:hint="eastAsia" w:ascii="宋体" w:hAnsi="宋体" w:cs="宋体"/>
          <w:color w:val="auto"/>
          <w:spacing w:val="-2"/>
          <w:sz w:val="24"/>
          <w:highlight w:val="none"/>
        </w:rPr>
        <w:t>），属于（</w:t>
      </w:r>
      <w:r>
        <w:rPr>
          <w:rFonts w:hint="eastAsia" w:ascii="宋体" w:hAnsi="宋体" w:cs="宋体"/>
          <w:color w:val="auto"/>
          <w:spacing w:val="-2"/>
          <w:sz w:val="24"/>
          <w:highlight w:val="none"/>
          <w:u w:val="single"/>
        </w:rPr>
        <w:t>采购文件中明确的所属行业：</w:t>
      </w:r>
      <w:r>
        <w:rPr>
          <w:rFonts w:hint="eastAsia" w:ascii="宋体" w:hAnsi="宋体" w:cs="宋体"/>
          <w:b/>
          <w:bCs/>
          <w:color w:val="auto"/>
          <w:spacing w:val="-2"/>
          <w:sz w:val="24"/>
          <w:highlight w:val="none"/>
          <w:u w:val="single"/>
        </w:rPr>
        <w:t xml:space="preserve">         </w:t>
      </w:r>
      <w:r>
        <w:rPr>
          <w:rFonts w:hint="eastAsia" w:ascii="宋体" w:hAnsi="宋体" w:cs="宋体"/>
          <w:color w:val="auto"/>
          <w:spacing w:val="-2"/>
          <w:sz w:val="24"/>
          <w:highlight w:val="none"/>
        </w:rPr>
        <w:t>）；承建（承接）企业为（</w:t>
      </w:r>
      <w:r>
        <w:rPr>
          <w:rFonts w:hint="eastAsia" w:ascii="宋体" w:hAnsi="宋体" w:cs="宋体"/>
          <w:color w:val="auto"/>
          <w:spacing w:val="-2"/>
          <w:sz w:val="24"/>
          <w:highlight w:val="none"/>
          <w:u w:val="single"/>
        </w:rPr>
        <w:t>企业名称</w:t>
      </w:r>
      <w:r>
        <w:rPr>
          <w:rFonts w:hint="eastAsia" w:ascii="宋体" w:hAnsi="宋体" w:cs="宋体"/>
          <w:color w:val="auto"/>
          <w:spacing w:val="-2"/>
          <w:sz w:val="24"/>
          <w:highlight w:val="none"/>
        </w:rPr>
        <w:t>），从业人员</w:t>
      </w:r>
      <w:r>
        <w:rPr>
          <w:rFonts w:hint="eastAsia" w:ascii="宋体" w:hAnsi="宋体" w:cs="宋体"/>
          <w:color w:val="auto"/>
          <w:spacing w:val="-2"/>
          <w:sz w:val="24"/>
          <w:highlight w:val="none"/>
          <w:u w:val="single"/>
        </w:rPr>
        <w:tab/>
      </w:r>
      <w:r>
        <w:rPr>
          <w:rFonts w:hint="eastAsia" w:ascii="宋体" w:hAnsi="宋体" w:cs="宋体"/>
          <w:color w:val="auto"/>
          <w:spacing w:val="-2"/>
          <w:sz w:val="24"/>
          <w:highlight w:val="none"/>
        </w:rPr>
        <w:t>人，营业收入为</w:t>
      </w:r>
      <w:r>
        <w:rPr>
          <w:rFonts w:hint="eastAsia" w:ascii="宋体" w:hAnsi="宋体" w:cs="宋体"/>
          <w:color w:val="auto"/>
          <w:spacing w:val="-2"/>
          <w:sz w:val="24"/>
          <w:highlight w:val="none"/>
          <w:u w:val="single"/>
        </w:rPr>
        <w:tab/>
      </w:r>
      <w:r>
        <w:rPr>
          <w:rFonts w:hint="eastAsia" w:ascii="宋体" w:hAnsi="宋体" w:cs="宋体"/>
          <w:color w:val="auto"/>
          <w:spacing w:val="-2"/>
          <w:sz w:val="24"/>
          <w:highlight w:val="none"/>
        </w:rPr>
        <w:t>万元，资产总额为</w:t>
      </w:r>
      <w:r>
        <w:rPr>
          <w:rFonts w:hint="eastAsia" w:ascii="宋体" w:hAnsi="宋体" w:cs="宋体"/>
          <w:color w:val="auto"/>
          <w:spacing w:val="-2"/>
          <w:sz w:val="24"/>
          <w:highlight w:val="none"/>
          <w:u w:val="single"/>
        </w:rPr>
        <w:tab/>
      </w:r>
      <w:r>
        <w:rPr>
          <w:rFonts w:hint="eastAsia" w:ascii="宋体" w:hAnsi="宋体" w:cs="宋体"/>
          <w:color w:val="auto"/>
          <w:spacing w:val="-2"/>
          <w:sz w:val="24"/>
          <w:highlight w:val="none"/>
        </w:rPr>
        <w:t>万元，属于（</w:t>
      </w:r>
      <w:r>
        <w:rPr>
          <w:rFonts w:hint="eastAsia" w:ascii="宋体" w:hAnsi="宋体" w:cs="宋体"/>
          <w:color w:val="auto"/>
          <w:spacing w:val="-2"/>
          <w:sz w:val="24"/>
          <w:highlight w:val="none"/>
          <w:u w:val="single"/>
        </w:rPr>
        <w:t>中型企业、小型企业、微型企业</w:t>
      </w:r>
      <w:r>
        <w:rPr>
          <w:rFonts w:hint="eastAsia" w:ascii="宋体" w:hAnsi="宋体" w:cs="宋体"/>
          <w:color w:val="auto"/>
          <w:spacing w:val="-2"/>
          <w:sz w:val="24"/>
          <w:highlight w:val="none"/>
        </w:rPr>
        <w:t>）。</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2、（</w:t>
      </w:r>
      <w:r>
        <w:rPr>
          <w:rFonts w:hint="eastAsia" w:ascii="宋体" w:hAnsi="宋体" w:cs="宋体"/>
          <w:color w:val="auto"/>
          <w:spacing w:val="-2"/>
          <w:sz w:val="24"/>
          <w:highlight w:val="none"/>
          <w:u w:val="single"/>
        </w:rPr>
        <w:t>标的名称</w:t>
      </w:r>
      <w:r>
        <w:rPr>
          <w:rFonts w:hint="eastAsia" w:ascii="宋体" w:hAnsi="宋体" w:cs="宋体"/>
          <w:color w:val="auto"/>
          <w:spacing w:val="-2"/>
          <w:sz w:val="24"/>
          <w:highlight w:val="none"/>
        </w:rPr>
        <w:t>），属于（</w:t>
      </w:r>
      <w:r>
        <w:rPr>
          <w:rFonts w:hint="eastAsia" w:ascii="宋体" w:hAnsi="宋体" w:cs="宋体"/>
          <w:color w:val="auto"/>
          <w:spacing w:val="-2"/>
          <w:sz w:val="24"/>
          <w:highlight w:val="none"/>
          <w:u w:val="single"/>
        </w:rPr>
        <w:t>采购文件中明确的所属行业：</w:t>
      </w:r>
      <w:r>
        <w:rPr>
          <w:rFonts w:hint="eastAsia" w:ascii="宋体" w:hAnsi="宋体" w:cs="宋体"/>
          <w:b/>
          <w:bCs/>
          <w:color w:val="auto"/>
          <w:spacing w:val="-2"/>
          <w:sz w:val="24"/>
          <w:highlight w:val="none"/>
          <w:u w:val="single"/>
        </w:rPr>
        <w:t xml:space="preserve">           </w:t>
      </w:r>
      <w:r>
        <w:rPr>
          <w:rFonts w:hint="eastAsia" w:ascii="宋体" w:hAnsi="宋体" w:cs="宋体"/>
          <w:color w:val="auto"/>
          <w:spacing w:val="-2"/>
          <w:sz w:val="24"/>
          <w:highlight w:val="none"/>
        </w:rPr>
        <w:t>） ；承建（承接）企业为（</w:t>
      </w:r>
      <w:r>
        <w:rPr>
          <w:rFonts w:hint="eastAsia" w:ascii="宋体" w:hAnsi="宋体" w:cs="宋体"/>
          <w:color w:val="auto"/>
          <w:spacing w:val="-2"/>
          <w:sz w:val="24"/>
          <w:highlight w:val="none"/>
          <w:u w:val="single"/>
        </w:rPr>
        <w:t>企业名称</w:t>
      </w:r>
      <w:r>
        <w:rPr>
          <w:rFonts w:hint="eastAsia" w:ascii="宋体" w:hAnsi="宋体" w:cs="宋体"/>
          <w:color w:val="auto"/>
          <w:spacing w:val="-2"/>
          <w:sz w:val="24"/>
          <w:highlight w:val="none"/>
        </w:rPr>
        <w:t>），从业人员</w:t>
      </w:r>
      <w:r>
        <w:rPr>
          <w:rFonts w:hint="eastAsia" w:ascii="宋体" w:hAnsi="宋体" w:cs="宋体"/>
          <w:color w:val="auto"/>
          <w:spacing w:val="-2"/>
          <w:sz w:val="24"/>
          <w:highlight w:val="none"/>
          <w:u w:val="single"/>
        </w:rPr>
        <w:tab/>
      </w:r>
      <w:r>
        <w:rPr>
          <w:rFonts w:hint="eastAsia" w:ascii="宋体" w:hAnsi="宋体" w:cs="宋体"/>
          <w:color w:val="auto"/>
          <w:spacing w:val="-2"/>
          <w:sz w:val="24"/>
          <w:highlight w:val="none"/>
        </w:rPr>
        <w:t>人，营业收入为</w:t>
      </w:r>
      <w:r>
        <w:rPr>
          <w:rFonts w:hint="eastAsia" w:ascii="宋体" w:hAnsi="宋体" w:cs="宋体"/>
          <w:color w:val="auto"/>
          <w:spacing w:val="-2"/>
          <w:sz w:val="24"/>
          <w:highlight w:val="none"/>
          <w:u w:val="single"/>
        </w:rPr>
        <w:tab/>
      </w:r>
      <w:r>
        <w:rPr>
          <w:rFonts w:hint="eastAsia" w:ascii="宋体" w:hAnsi="宋体" w:cs="宋体"/>
          <w:color w:val="auto"/>
          <w:spacing w:val="-2"/>
          <w:sz w:val="24"/>
          <w:highlight w:val="none"/>
        </w:rPr>
        <w:t>万元，资产总额为</w:t>
      </w:r>
      <w:r>
        <w:rPr>
          <w:rFonts w:hint="eastAsia" w:ascii="宋体" w:hAnsi="宋体" w:cs="宋体"/>
          <w:color w:val="auto"/>
          <w:spacing w:val="-2"/>
          <w:sz w:val="24"/>
          <w:highlight w:val="none"/>
          <w:u w:val="single"/>
        </w:rPr>
        <w:tab/>
      </w:r>
      <w:r>
        <w:rPr>
          <w:rFonts w:hint="eastAsia" w:ascii="宋体" w:hAnsi="宋体" w:cs="宋体"/>
          <w:color w:val="auto"/>
          <w:spacing w:val="-2"/>
          <w:sz w:val="24"/>
          <w:highlight w:val="none"/>
        </w:rPr>
        <w:t>万元，属于（</w:t>
      </w:r>
      <w:r>
        <w:rPr>
          <w:rFonts w:hint="eastAsia" w:ascii="宋体" w:hAnsi="宋体" w:cs="宋体"/>
          <w:color w:val="auto"/>
          <w:spacing w:val="-2"/>
          <w:sz w:val="24"/>
          <w:highlight w:val="none"/>
          <w:u w:val="single"/>
        </w:rPr>
        <w:t>中型企业、小型企业、微型企业</w:t>
      </w:r>
      <w:r>
        <w:rPr>
          <w:rFonts w:hint="eastAsia" w:ascii="宋体" w:hAnsi="宋体" w:cs="宋体"/>
          <w:color w:val="auto"/>
          <w:spacing w:val="-2"/>
          <w:sz w:val="24"/>
          <w:highlight w:val="none"/>
        </w:rPr>
        <w:t>）；</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hint="eastAsia" w:ascii="宋体" w:hAnsi="宋体" w:cs="宋体"/>
          <w:color w:val="auto"/>
          <w:spacing w:val="-2"/>
          <w:sz w:val="24"/>
          <w:highlight w:val="none"/>
        </w:rPr>
      </w:pPr>
      <w:r>
        <w:rPr>
          <w:rFonts w:hint="eastAsia" w:ascii="宋体" w:hAnsi="宋体" w:cs="宋体"/>
          <w:color w:val="auto"/>
          <w:spacing w:val="-2"/>
          <w:sz w:val="24"/>
          <w:highlight w:val="none"/>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hint="eastAsia" w:ascii="宋体" w:hAnsi="宋体" w:cs="宋体"/>
          <w:color w:val="auto"/>
          <w:spacing w:val="-2"/>
          <w:sz w:val="24"/>
          <w:highlight w:val="none"/>
        </w:rPr>
      </w:pPr>
    </w:p>
    <w:p>
      <w:pPr>
        <w:pStyle w:val="6"/>
        <w:tabs>
          <w:tab w:val="left" w:pos="562"/>
          <w:tab w:val="left" w:pos="3372"/>
          <w:tab w:val="left" w:pos="3653"/>
        </w:tabs>
        <w:spacing w:line="360" w:lineRule="auto"/>
        <w:ind w:left="4200" w:leftChars="2000"/>
        <w:rPr>
          <w:rFonts w:hint="eastAsia" w:ascii="宋体" w:hAnsi="宋体" w:cs="宋体"/>
          <w:color w:val="auto"/>
          <w:spacing w:val="-2"/>
          <w:sz w:val="24"/>
          <w:highlight w:val="none"/>
        </w:rPr>
      </w:pPr>
      <w:r>
        <w:rPr>
          <w:rFonts w:hint="eastAsia" w:ascii="宋体" w:hAnsi="宋体" w:cs="宋体"/>
          <w:color w:val="auto"/>
          <w:spacing w:val="-2"/>
          <w:sz w:val="24"/>
          <w:highlight w:val="none"/>
        </w:rPr>
        <w:t>企业名称（盖章）日期：</w:t>
      </w:r>
    </w:p>
    <w:p>
      <w:pPr>
        <w:pStyle w:val="6"/>
        <w:tabs>
          <w:tab w:val="left" w:pos="562"/>
          <w:tab w:val="left" w:pos="3372"/>
          <w:tab w:val="left" w:pos="3653"/>
        </w:tabs>
        <w:spacing w:before="30" w:line="360" w:lineRule="auto"/>
        <w:rPr>
          <w:rFonts w:hint="eastAsia" w:ascii="宋体" w:hAnsi="宋体" w:cs="宋体"/>
          <w:color w:val="auto"/>
          <w:sz w:val="24"/>
          <w:highlight w:val="none"/>
        </w:rPr>
      </w:pPr>
      <w:r>
        <w:rPr>
          <w:rFonts w:hint="eastAsia" w:ascii="宋体" w:hAnsi="宋体" w:cs="宋体"/>
          <w:color w:val="auto"/>
          <w:spacing w:val="-2"/>
          <w:sz w:val="24"/>
          <w:highlight w:val="none"/>
        </w:rPr>
        <w:t>从业人员、营业收入、资产总额填报上一年度数据，无上一年度数据的新成立企业可不填报。</w:t>
      </w:r>
      <w:r>
        <w:rPr>
          <w:rFonts w:hint="eastAsia" w:ascii="宋体" w:hAnsi="宋体" w:cs="宋体"/>
          <w:color w:val="auto"/>
          <w:sz w:val="24"/>
          <w:highlight w:val="none"/>
        </w:rPr>
        <w:br w:type="page"/>
      </w:r>
      <w:r>
        <w:rPr>
          <w:rFonts w:hint="eastAsia" w:ascii="宋体" w:hAnsi="宋体" w:cs="宋体"/>
          <w:b/>
          <w:bCs/>
          <w:color w:val="auto"/>
          <w:sz w:val="24"/>
          <w:highlight w:val="none"/>
        </w:rPr>
        <w:t>附 2</w:t>
      </w:r>
    </w:p>
    <w:p>
      <w:pPr>
        <w:jc w:val="center"/>
        <w:rPr>
          <w:rFonts w:hint="eastAsia" w:ascii="宋体" w:hAnsi="宋体" w:cs="宋体"/>
          <w:b/>
          <w:color w:val="auto"/>
          <w:sz w:val="24"/>
          <w:highlight w:val="none"/>
        </w:rPr>
      </w:pPr>
      <w:r>
        <w:rPr>
          <w:rFonts w:hint="eastAsia" w:ascii="宋体" w:hAnsi="宋体" w:cs="宋体"/>
          <w:color w:val="auto"/>
          <w:spacing w:val="-3"/>
          <w:sz w:val="24"/>
          <w:highlight w:val="none"/>
          <w:u w:val="single" w:color="000000"/>
        </w:rPr>
        <w:t>（单位名称）</w:t>
      </w:r>
      <w:r>
        <w:rPr>
          <w:rFonts w:hint="eastAsia" w:ascii="宋体" w:hAnsi="宋体" w:cs="宋体"/>
          <w:color w:val="auto"/>
          <w:spacing w:val="-29"/>
          <w:sz w:val="24"/>
          <w:highlight w:val="none"/>
        </w:rPr>
        <w:t>××</w:t>
      </w:r>
      <w:r>
        <w:rPr>
          <w:rFonts w:hint="eastAsia" w:ascii="宋体" w:hAnsi="宋体" w:cs="宋体"/>
          <w:b/>
          <w:color w:val="auto"/>
          <w:sz w:val="24"/>
          <w:highlight w:val="none"/>
        </w:rPr>
        <w:t>年面向中小企业预留项目执行情况公告</w:t>
      </w:r>
    </w:p>
    <w:p>
      <w:pPr>
        <w:pStyle w:val="6"/>
        <w:tabs>
          <w:tab w:val="left" w:pos="562"/>
          <w:tab w:val="left" w:pos="3372"/>
          <w:tab w:val="left" w:pos="3653"/>
        </w:tab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根据《政府采购促进中小企业发展管理办法》（财库﹝2020﹞46</w:t>
      </w:r>
      <w:r>
        <w:rPr>
          <w:rFonts w:hint="eastAsia" w:ascii="宋体" w:hAnsi="宋体" w:cs="宋体"/>
          <w:color w:val="auto"/>
          <w:spacing w:val="-47"/>
          <w:sz w:val="24"/>
          <w:highlight w:val="none"/>
        </w:rPr>
        <w:t xml:space="preserve"> 号</w:t>
      </w:r>
      <w:r>
        <w:rPr>
          <w:rFonts w:hint="eastAsia" w:ascii="宋体" w:hAnsi="宋体" w:cs="宋体"/>
          <w:color w:val="auto"/>
          <w:spacing w:val="-22"/>
          <w:sz w:val="24"/>
          <w:highlight w:val="none"/>
        </w:rPr>
        <w:t>）</w:t>
      </w:r>
      <w:r>
        <w:rPr>
          <w:rFonts w:hint="eastAsia" w:ascii="宋体" w:hAnsi="宋体" w:cs="宋体"/>
          <w:color w:val="auto"/>
          <w:spacing w:val="-7"/>
          <w:sz w:val="24"/>
          <w:highlight w:val="none"/>
        </w:rPr>
        <w:t>要求，现对本部门</w:t>
      </w:r>
      <w:r>
        <w:rPr>
          <w:rFonts w:hint="eastAsia" w:ascii="宋体" w:hAnsi="宋体" w:cs="宋体"/>
          <w:color w:val="auto"/>
          <w:spacing w:val="-3"/>
          <w:sz w:val="24"/>
          <w:highlight w:val="none"/>
        </w:rPr>
        <w:t>（</w:t>
      </w:r>
      <w:r>
        <w:rPr>
          <w:rFonts w:hint="eastAsia" w:ascii="宋体" w:hAnsi="宋体" w:cs="宋体"/>
          <w:color w:val="auto"/>
          <w:sz w:val="24"/>
          <w:highlight w:val="none"/>
        </w:rPr>
        <w:t>单位</w:t>
      </w:r>
      <w:r>
        <w:rPr>
          <w:rFonts w:hint="eastAsia" w:ascii="宋体" w:hAnsi="宋体" w:cs="宋体"/>
          <w:color w:val="auto"/>
          <w:spacing w:val="-7"/>
          <w:sz w:val="24"/>
          <w:highlight w:val="none"/>
        </w:rPr>
        <w:t>）</w:t>
      </w:r>
      <w:r>
        <w:rPr>
          <w:rFonts w:hint="eastAsia" w:ascii="宋体" w:hAnsi="宋体" w:cs="宋体"/>
          <w:color w:val="auto"/>
          <w:spacing w:val="-4"/>
          <w:sz w:val="24"/>
          <w:highlight w:val="none"/>
        </w:rPr>
        <w:t>××年面向中小企业预留项目执行情况公告如下：</w:t>
      </w:r>
    </w:p>
    <w:p>
      <w:pPr>
        <w:pStyle w:val="6"/>
        <w:tabs>
          <w:tab w:val="left" w:pos="562"/>
          <w:tab w:val="left" w:pos="3372"/>
          <w:tab w:val="left" w:pos="3653"/>
        </w:tabs>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本部门（单位）××年预留项目面向中小企业采购共计××万元，其中，面向小微企业采购××万元，占××%。</w:t>
      </w:r>
    </w:p>
    <w:p>
      <w:pPr>
        <w:pStyle w:val="6"/>
        <w:tabs>
          <w:tab w:val="left" w:pos="562"/>
          <w:tab w:val="left" w:pos="3372"/>
          <w:tab w:val="left" w:pos="3653"/>
        </w:tabs>
        <w:jc w:val="center"/>
        <w:rPr>
          <w:rFonts w:hint="eastAsia" w:ascii="宋体" w:hAnsi="宋体" w:cs="宋体"/>
          <w:b/>
          <w:bCs/>
          <w:color w:val="auto"/>
          <w:sz w:val="24"/>
          <w:highlight w:val="none"/>
        </w:rPr>
      </w:pPr>
      <w:r>
        <w:rPr>
          <w:rFonts w:hint="eastAsia" w:ascii="宋体" w:hAnsi="宋体" w:cs="宋体"/>
          <w:b/>
          <w:bCs/>
          <w:color w:val="auto"/>
          <w:sz w:val="24"/>
          <w:highlight w:val="none"/>
        </w:rPr>
        <w:t>面向中小企业预留项目明细</w:t>
      </w:r>
    </w:p>
    <w:tbl>
      <w:tblPr>
        <w:tblStyle w:val="21"/>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b/>
                <w:color w:val="auto"/>
                <w:sz w:val="24"/>
                <w:szCs w:val="24"/>
                <w:highlight w:val="none"/>
              </w:rPr>
            </w:pPr>
            <w:r>
              <w:rPr>
                <w:rFonts w:hint="eastAsia"/>
                <w:b/>
                <w:color w:val="auto"/>
                <w:sz w:val="24"/>
                <w:szCs w:val="24"/>
                <w:highlight w:val="none"/>
              </w:rPr>
              <w:t>序号</w:t>
            </w:r>
          </w:p>
        </w:tc>
        <w:tc>
          <w:tcPr>
            <w:tcW w:w="1866" w:type="dxa"/>
            <w:vAlign w:val="center"/>
          </w:tcPr>
          <w:p>
            <w:pPr>
              <w:pStyle w:val="30"/>
              <w:jc w:val="center"/>
              <w:rPr>
                <w:rFonts w:hint="eastAsia"/>
                <w:b/>
                <w:color w:val="auto"/>
                <w:sz w:val="24"/>
                <w:szCs w:val="24"/>
                <w:highlight w:val="none"/>
              </w:rPr>
            </w:pPr>
            <w:r>
              <w:rPr>
                <w:rFonts w:hint="eastAsia"/>
                <w:b/>
                <w:color w:val="auto"/>
                <w:sz w:val="24"/>
                <w:szCs w:val="24"/>
                <w:highlight w:val="none"/>
              </w:rPr>
              <w:t>项目名称</w:t>
            </w:r>
          </w:p>
        </w:tc>
        <w:tc>
          <w:tcPr>
            <w:tcW w:w="2010" w:type="dxa"/>
            <w:vAlign w:val="center"/>
          </w:tcPr>
          <w:p>
            <w:pPr>
              <w:pStyle w:val="30"/>
              <w:jc w:val="center"/>
              <w:rPr>
                <w:rFonts w:hint="eastAsia"/>
                <w:b/>
                <w:color w:val="auto"/>
                <w:sz w:val="24"/>
                <w:szCs w:val="24"/>
                <w:highlight w:val="none"/>
              </w:rPr>
            </w:pPr>
            <w:r>
              <w:rPr>
                <w:rFonts w:hint="eastAsia"/>
                <w:b/>
                <w:color w:val="auto"/>
                <w:sz w:val="24"/>
                <w:szCs w:val="24"/>
                <w:highlight w:val="none"/>
              </w:rPr>
              <w:t>预留选项</w:t>
            </w:r>
          </w:p>
        </w:tc>
        <w:tc>
          <w:tcPr>
            <w:tcW w:w="2296" w:type="dxa"/>
            <w:vAlign w:val="center"/>
          </w:tcPr>
          <w:p>
            <w:pPr>
              <w:pStyle w:val="30"/>
              <w:jc w:val="center"/>
              <w:rPr>
                <w:rFonts w:hint="eastAsia"/>
                <w:b/>
                <w:color w:val="auto"/>
                <w:sz w:val="24"/>
                <w:szCs w:val="24"/>
                <w:highlight w:val="none"/>
              </w:rPr>
            </w:pPr>
            <w:r>
              <w:rPr>
                <w:rFonts w:hint="eastAsia"/>
                <w:b/>
                <w:color w:val="auto"/>
                <w:sz w:val="24"/>
                <w:szCs w:val="24"/>
                <w:highlight w:val="none"/>
              </w:rPr>
              <w:t>面向中小企业采购金额</w:t>
            </w:r>
          </w:p>
        </w:tc>
        <w:tc>
          <w:tcPr>
            <w:tcW w:w="1784" w:type="dxa"/>
            <w:vAlign w:val="center"/>
          </w:tcPr>
          <w:p>
            <w:pPr>
              <w:pStyle w:val="30"/>
              <w:jc w:val="center"/>
              <w:rPr>
                <w:rFonts w:hint="eastAsia"/>
                <w:b/>
                <w:color w:val="auto"/>
                <w:sz w:val="24"/>
                <w:szCs w:val="24"/>
                <w:highlight w:val="none"/>
              </w:rPr>
            </w:pPr>
            <w:r>
              <w:rPr>
                <w:rFonts w:hint="eastAsia"/>
                <w:b/>
                <w:color w:val="auto"/>
                <w:sz w:val="24"/>
                <w:szCs w:val="24"/>
                <w:highlight w:val="none"/>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0"/>
              <w:jc w:val="center"/>
              <w:rPr>
                <w:rFonts w:hint="eastAsia"/>
                <w:color w:val="auto"/>
                <w:sz w:val="24"/>
                <w:szCs w:val="24"/>
                <w:highlight w:val="none"/>
              </w:rPr>
            </w:pPr>
          </w:p>
        </w:tc>
        <w:tc>
          <w:tcPr>
            <w:tcW w:w="1866" w:type="dxa"/>
            <w:tcBorders>
              <w:bottom w:val="nil"/>
            </w:tcBorders>
            <w:vAlign w:val="center"/>
          </w:tcPr>
          <w:p>
            <w:pPr>
              <w:pStyle w:val="30"/>
              <w:jc w:val="center"/>
              <w:rPr>
                <w:rFonts w:hint="eastAsia"/>
                <w:color w:val="auto"/>
                <w:sz w:val="24"/>
                <w:szCs w:val="24"/>
                <w:highlight w:val="none"/>
              </w:rPr>
            </w:pPr>
          </w:p>
        </w:tc>
        <w:tc>
          <w:tcPr>
            <w:tcW w:w="2010" w:type="dxa"/>
            <w:tcBorders>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（填写“采购项</w:t>
            </w:r>
          </w:p>
        </w:tc>
        <w:tc>
          <w:tcPr>
            <w:tcW w:w="2296" w:type="dxa"/>
            <w:tcBorders>
              <w:bottom w:val="nil"/>
            </w:tcBorders>
            <w:vAlign w:val="center"/>
          </w:tcPr>
          <w:p>
            <w:pPr>
              <w:pStyle w:val="30"/>
              <w:jc w:val="center"/>
              <w:rPr>
                <w:rFonts w:hint="eastAsia"/>
                <w:color w:val="auto"/>
                <w:sz w:val="24"/>
                <w:szCs w:val="24"/>
                <w:highlight w:val="none"/>
              </w:rPr>
            </w:pPr>
          </w:p>
        </w:tc>
        <w:tc>
          <w:tcPr>
            <w:tcW w:w="1784" w:type="dxa"/>
            <w:vMerge w:val="restart"/>
            <w:vAlign w:val="center"/>
          </w:tcPr>
          <w:p>
            <w:pPr>
              <w:pStyle w:val="30"/>
              <w:jc w:val="center"/>
              <w:rPr>
                <w:rFonts w:hint="eastAsia"/>
                <w:color w:val="auto"/>
                <w:sz w:val="24"/>
                <w:szCs w:val="24"/>
                <w:highlight w:val="none"/>
              </w:rPr>
            </w:pPr>
          </w:p>
          <w:p>
            <w:pPr>
              <w:pStyle w:val="30"/>
              <w:jc w:val="center"/>
              <w:rPr>
                <w:rFonts w:hint="eastAsia"/>
                <w:color w:val="auto"/>
                <w:sz w:val="24"/>
                <w:szCs w:val="24"/>
                <w:highlight w:val="none"/>
              </w:rPr>
            </w:pPr>
          </w:p>
          <w:p>
            <w:pPr>
              <w:pStyle w:val="30"/>
              <w:jc w:val="center"/>
              <w:rPr>
                <w:rFonts w:hint="eastAsia"/>
                <w:color w:val="auto"/>
                <w:sz w:val="24"/>
                <w:szCs w:val="24"/>
                <w:highlight w:val="none"/>
              </w:rPr>
            </w:pPr>
            <w:r>
              <w:rPr>
                <w:rFonts w:hint="eastAsia"/>
                <w:color w:val="auto"/>
                <w:sz w:val="24"/>
                <w:szCs w:val="24"/>
                <w:highlight w:val="none"/>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目整体预留”、</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“设置专门采购</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（填写集中采</w:t>
            </w: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包”、“要求以</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购目录以内或</w:t>
            </w: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联合体形式参</w:t>
            </w:r>
          </w:p>
        </w:tc>
        <w:tc>
          <w:tcPr>
            <w:tcW w:w="2296"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（精确到万元）</w:t>
            </w: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者采购限额标</w:t>
            </w: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加”或者“要求</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准以上的采购项目</w:t>
            </w: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合同分包”，除</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“采购项目全部</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预留”外，还应</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bottom w:val="nil"/>
            </w:tcBorders>
            <w:vAlign w:val="center"/>
          </w:tcPr>
          <w:p>
            <w:pPr>
              <w:pStyle w:val="30"/>
              <w:jc w:val="center"/>
              <w:rPr>
                <w:rFonts w:hint="eastAsia"/>
                <w:color w:val="auto"/>
                <w:sz w:val="24"/>
                <w:szCs w:val="24"/>
                <w:highlight w:val="none"/>
              </w:rPr>
            </w:pPr>
          </w:p>
        </w:tc>
        <w:tc>
          <w:tcPr>
            <w:tcW w:w="2010" w:type="dxa"/>
            <w:tcBorders>
              <w:top w:val="nil"/>
              <w:bottom w:val="nil"/>
            </w:tcBorders>
            <w:vAlign w:val="center"/>
          </w:tcPr>
          <w:p>
            <w:pPr>
              <w:pStyle w:val="30"/>
              <w:jc w:val="center"/>
              <w:rPr>
                <w:rFonts w:hint="eastAsia"/>
                <w:color w:val="auto"/>
                <w:sz w:val="24"/>
                <w:szCs w:val="24"/>
                <w:highlight w:val="none"/>
              </w:rPr>
            </w:pPr>
            <w:r>
              <w:rPr>
                <w:rFonts w:hint="eastAsia"/>
                <w:color w:val="auto"/>
                <w:sz w:val="24"/>
                <w:szCs w:val="24"/>
                <w:highlight w:val="none"/>
              </w:rPr>
              <w:t>当填写预留给中</w:t>
            </w:r>
          </w:p>
        </w:tc>
        <w:tc>
          <w:tcPr>
            <w:tcW w:w="2296" w:type="dxa"/>
            <w:tcBorders>
              <w:top w:val="nil"/>
              <w:bottom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auto"/>
                <w:sz w:val="24"/>
                <w:highlight w:val="none"/>
              </w:rPr>
            </w:pPr>
          </w:p>
        </w:tc>
        <w:tc>
          <w:tcPr>
            <w:tcW w:w="1866" w:type="dxa"/>
            <w:tcBorders>
              <w:top w:val="nil"/>
            </w:tcBorders>
            <w:vAlign w:val="center"/>
          </w:tcPr>
          <w:p>
            <w:pPr>
              <w:pStyle w:val="30"/>
              <w:jc w:val="center"/>
              <w:rPr>
                <w:rFonts w:hint="eastAsia"/>
                <w:color w:val="auto"/>
                <w:sz w:val="24"/>
                <w:szCs w:val="24"/>
                <w:highlight w:val="none"/>
              </w:rPr>
            </w:pPr>
          </w:p>
        </w:tc>
        <w:tc>
          <w:tcPr>
            <w:tcW w:w="2010" w:type="dxa"/>
            <w:tcBorders>
              <w:top w:val="nil"/>
            </w:tcBorders>
            <w:vAlign w:val="center"/>
          </w:tcPr>
          <w:p>
            <w:pPr>
              <w:pStyle w:val="30"/>
              <w:jc w:val="center"/>
              <w:rPr>
                <w:rFonts w:hint="eastAsia"/>
                <w:color w:val="auto"/>
                <w:sz w:val="24"/>
                <w:szCs w:val="24"/>
                <w:highlight w:val="none"/>
              </w:rPr>
            </w:pPr>
            <w:r>
              <w:rPr>
                <w:rFonts w:hint="eastAsia"/>
                <w:color w:val="auto"/>
                <w:sz w:val="24"/>
                <w:szCs w:val="24"/>
                <w:highlight w:val="none"/>
              </w:rPr>
              <w:t>小企业的比例）</w:t>
            </w:r>
          </w:p>
        </w:tc>
        <w:tc>
          <w:tcPr>
            <w:tcW w:w="2296" w:type="dxa"/>
            <w:tcBorders>
              <w:top w:val="nil"/>
            </w:tcBorders>
            <w:vAlign w:val="center"/>
          </w:tcPr>
          <w:p>
            <w:pPr>
              <w:pStyle w:val="30"/>
              <w:jc w:val="center"/>
              <w:rPr>
                <w:rFonts w:hint="eastAsia"/>
                <w:color w:val="auto"/>
                <w:sz w:val="24"/>
                <w:szCs w:val="24"/>
                <w:highlight w:val="none"/>
              </w:rPr>
            </w:pPr>
          </w:p>
        </w:tc>
        <w:tc>
          <w:tcPr>
            <w:tcW w:w="1784" w:type="dxa"/>
            <w:vMerge w:val="continue"/>
            <w:tcBorders>
              <w:top w:val="nil"/>
            </w:tcBorders>
            <w:vAlign w:val="center"/>
          </w:tcPr>
          <w:p>
            <w:pPr>
              <w:jc w:val="center"/>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jc w:val="center"/>
              <w:rPr>
                <w:rFonts w:hint="eastAsia"/>
                <w:color w:val="auto"/>
                <w:sz w:val="24"/>
                <w:szCs w:val="24"/>
                <w:highlight w:val="none"/>
              </w:rPr>
            </w:pPr>
            <w:r>
              <w:rPr>
                <w:rFonts w:hint="eastAsia"/>
                <w:color w:val="auto"/>
                <w:sz w:val="24"/>
                <w:szCs w:val="24"/>
                <w:highlight w:val="none"/>
              </w:rPr>
              <w:t>……</w:t>
            </w:r>
          </w:p>
        </w:tc>
        <w:tc>
          <w:tcPr>
            <w:tcW w:w="1866" w:type="dxa"/>
            <w:vAlign w:val="center"/>
          </w:tcPr>
          <w:p>
            <w:pPr>
              <w:pStyle w:val="30"/>
              <w:jc w:val="center"/>
              <w:rPr>
                <w:rFonts w:hint="eastAsia"/>
                <w:color w:val="auto"/>
                <w:sz w:val="24"/>
                <w:szCs w:val="24"/>
                <w:highlight w:val="none"/>
              </w:rPr>
            </w:pPr>
            <w:r>
              <w:rPr>
                <w:rFonts w:hint="eastAsia"/>
                <w:color w:val="auto"/>
                <w:sz w:val="24"/>
                <w:szCs w:val="24"/>
                <w:highlight w:val="none"/>
              </w:rPr>
              <w:t>……</w:t>
            </w:r>
          </w:p>
        </w:tc>
        <w:tc>
          <w:tcPr>
            <w:tcW w:w="2010" w:type="dxa"/>
            <w:vAlign w:val="center"/>
          </w:tcPr>
          <w:p>
            <w:pPr>
              <w:pStyle w:val="30"/>
              <w:jc w:val="center"/>
              <w:rPr>
                <w:rFonts w:hint="eastAsia"/>
                <w:color w:val="auto"/>
                <w:sz w:val="24"/>
                <w:szCs w:val="24"/>
                <w:highlight w:val="none"/>
              </w:rPr>
            </w:pPr>
            <w:r>
              <w:rPr>
                <w:rFonts w:hint="eastAsia"/>
                <w:color w:val="auto"/>
                <w:sz w:val="24"/>
                <w:szCs w:val="24"/>
                <w:highlight w:val="none"/>
              </w:rPr>
              <w:t>……</w:t>
            </w:r>
          </w:p>
        </w:tc>
        <w:tc>
          <w:tcPr>
            <w:tcW w:w="2296" w:type="dxa"/>
            <w:vAlign w:val="center"/>
          </w:tcPr>
          <w:p>
            <w:pPr>
              <w:pStyle w:val="30"/>
              <w:jc w:val="center"/>
              <w:rPr>
                <w:rFonts w:hint="eastAsia"/>
                <w:color w:val="auto"/>
                <w:sz w:val="24"/>
                <w:szCs w:val="24"/>
                <w:highlight w:val="none"/>
              </w:rPr>
            </w:pPr>
            <w:r>
              <w:rPr>
                <w:rFonts w:hint="eastAsia"/>
                <w:color w:val="auto"/>
                <w:sz w:val="24"/>
                <w:szCs w:val="24"/>
                <w:highlight w:val="none"/>
              </w:rPr>
              <w:t>……</w:t>
            </w:r>
          </w:p>
        </w:tc>
        <w:tc>
          <w:tcPr>
            <w:tcW w:w="1784" w:type="dxa"/>
            <w:vAlign w:val="center"/>
          </w:tcPr>
          <w:p>
            <w:pPr>
              <w:pStyle w:val="30"/>
              <w:jc w:val="center"/>
              <w:rPr>
                <w:rFonts w:hint="eastAsia"/>
                <w:color w:val="auto"/>
                <w:sz w:val="24"/>
                <w:szCs w:val="24"/>
                <w:highlight w:val="none"/>
              </w:rPr>
            </w:pPr>
            <w:r>
              <w:rPr>
                <w:rFonts w:hint="eastAsia"/>
                <w:color w:val="auto"/>
                <w:sz w:val="24"/>
                <w:szCs w:val="24"/>
                <w:highlight w:val="none"/>
              </w:rPr>
              <w:t>……</w:t>
            </w:r>
          </w:p>
        </w:tc>
      </w:tr>
    </w:tbl>
    <w:p>
      <w:pPr>
        <w:pStyle w:val="6"/>
        <w:tabs>
          <w:tab w:val="left" w:pos="562"/>
          <w:tab w:val="left" w:pos="3372"/>
          <w:tab w:val="left" w:pos="3653"/>
        </w:tabs>
        <w:spacing w:before="128"/>
        <w:ind w:left="4220" w:right="1843"/>
        <w:rPr>
          <w:rFonts w:hint="eastAsia" w:ascii="宋体" w:hAnsi="宋体" w:cs="宋体"/>
          <w:color w:val="auto"/>
          <w:sz w:val="24"/>
          <w:highlight w:val="none"/>
        </w:rPr>
      </w:pPr>
    </w:p>
    <w:p>
      <w:pPr>
        <w:pStyle w:val="6"/>
        <w:tabs>
          <w:tab w:val="left" w:pos="562"/>
          <w:tab w:val="left" w:pos="3372"/>
          <w:tab w:val="left" w:pos="3653"/>
        </w:tabs>
        <w:spacing w:before="128"/>
        <w:ind w:left="4220" w:right="1843"/>
        <w:rPr>
          <w:rFonts w:hint="eastAsia" w:ascii="宋体" w:hAnsi="宋体" w:cs="宋体"/>
          <w:color w:val="auto"/>
          <w:sz w:val="24"/>
          <w:highlight w:val="none"/>
        </w:rPr>
      </w:pPr>
      <w:r>
        <w:rPr>
          <w:rFonts w:hint="eastAsia" w:ascii="宋体" w:hAnsi="宋体" w:cs="宋体"/>
          <w:color w:val="auto"/>
          <w:sz w:val="24"/>
          <w:highlight w:val="none"/>
        </w:rPr>
        <w:t xml:space="preserve">部门（单位）名称： </w:t>
      </w:r>
    </w:p>
    <w:p>
      <w:pPr>
        <w:pStyle w:val="6"/>
        <w:tabs>
          <w:tab w:val="left" w:pos="562"/>
          <w:tab w:val="left" w:pos="3372"/>
          <w:tab w:val="left" w:pos="3653"/>
        </w:tabs>
        <w:spacing w:before="128"/>
        <w:ind w:left="4220" w:right="1843"/>
        <w:rPr>
          <w:rFonts w:hint="eastAsia" w:ascii="宋体" w:hAnsi="宋体" w:cs="宋体"/>
          <w:color w:val="auto"/>
          <w:sz w:val="24"/>
          <w:highlight w:val="none"/>
        </w:rPr>
      </w:pPr>
      <w:r>
        <w:rPr>
          <w:rFonts w:hint="eastAsia" w:ascii="宋体" w:hAnsi="宋体" w:cs="宋体"/>
          <w:color w:val="auto"/>
          <w:sz w:val="24"/>
          <w:highlight w:val="none"/>
        </w:rPr>
        <w:t>日期：</w:t>
      </w:r>
    </w:p>
    <w:p>
      <w:pPr>
        <w:pStyle w:val="6"/>
        <w:tabs>
          <w:tab w:val="left" w:pos="562"/>
          <w:tab w:val="left" w:pos="3372"/>
          <w:tab w:val="left" w:pos="3653"/>
        </w:tabs>
        <w:rPr>
          <w:rFonts w:hint="eastAsia" w:ascii="宋体" w:hAnsi="宋体" w:cs="宋体"/>
          <w:color w:val="auto"/>
          <w:sz w:val="24"/>
          <w:highlight w:val="none"/>
        </w:rPr>
      </w:pPr>
    </w:p>
    <w:p>
      <w:pPr>
        <w:pStyle w:val="7"/>
        <w:jc w:val="both"/>
        <w:outlineLvl w:val="9"/>
        <w:rPr>
          <w:rFonts w:hint="eastAsia" w:ascii="宋体" w:hAnsi="宋体" w:eastAsia="宋体" w:cs="宋体"/>
          <w:color w:val="auto"/>
          <w:sz w:val="24"/>
          <w:szCs w:val="24"/>
          <w:highlight w:val="none"/>
        </w:rPr>
      </w:pPr>
    </w:p>
    <w:p>
      <w:pPr>
        <w:tabs>
          <w:tab w:val="left" w:pos="360"/>
        </w:tabs>
        <w:spacing w:line="360" w:lineRule="auto"/>
        <w:outlineLvl w:val="1"/>
        <w:rPr>
          <w:rFonts w:hint="eastAsia"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24"/>
          <w:highlight w:val="none"/>
        </w:rPr>
        <w:t>2、工业</w:t>
      </w:r>
      <w:r>
        <w:rPr>
          <w:rFonts w:hint="eastAsia" w:ascii="宋体" w:hAnsi="宋体" w:cs="宋体"/>
          <w:b/>
          <w:bCs/>
          <w:color w:val="auto"/>
          <w:sz w:val="24"/>
          <w:highlight w:val="none"/>
          <w:lang w:val="en-US" w:eastAsia="zh-CN"/>
        </w:rPr>
        <w:t>和</w:t>
      </w:r>
      <w:r>
        <w:rPr>
          <w:rFonts w:hint="eastAsia" w:ascii="宋体" w:hAnsi="宋体" w:cs="宋体"/>
          <w:b/>
          <w:bCs/>
          <w:color w:val="auto"/>
          <w:sz w:val="24"/>
          <w:highlight w:val="none"/>
        </w:rPr>
        <w:t>信息化部、国家统计局、国家发展和改革委员会、财政部《关于印发〈中小企业划型标准规定〉的通知》（工信部联企〔2011〕300 号）</w:t>
      </w:r>
    </w:p>
    <w:p>
      <w:pPr>
        <w:pStyle w:val="6"/>
        <w:tabs>
          <w:tab w:val="left" w:pos="562"/>
          <w:tab w:val="left" w:pos="3372"/>
          <w:tab w:val="left" w:pos="3653"/>
        </w:tabs>
        <w:spacing w:line="360" w:lineRule="auto"/>
        <w:rPr>
          <w:rFonts w:hint="eastAsia" w:ascii="宋体" w:hAnsi="宋体" w:cs="宋体"/>
          <w:color w:val="auto"/>
          <w:sz w:val="24"/>
          <w:highlight w:val="none"/>
        </w:rPr>
      </w:pPr>
    </w:p>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关于印发中小企业划型标准规定的通知</w:t>
      </w:r>
    </w:p>
    <w:p>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工信部联企业〔2011〕300号</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各省、自治区、直辖市人民政府，国务院各部委、各直属机构及有关单位：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工业和信息化部 国家统计局</w:t>
      </w:r>
    </w:p>
    <w:p>
      <w:pPr>
        <w:spacing w:line="360" w:lineRule="auto"/>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国家发展和改革委员会 财政部</w:t>
      </w:r>
    </w:p>
    <w:p>
      <w:pPr>
        <w:spacing w:line="360" w:lineRule="auto"/>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二○一一年六月十八日</w:t>
      </w:r>
    </w:p>
    <w:p>
      <w:pPr>
        <w:spacing w:line="360" w:lineRule="auto"/>
        <w:ind w:firstLine="480" w:firstLineChars="200"/>
        <w:rPr>
          <w:rFonts w:hint="eastAsia" w:ascii="宋体" w:hAnsi="宋体" w:cs="宋体"/>
          <w:color w:val="auto"/>
          <w:sz w:val="24"/>
          <w:highlight w:val="none"/>
        </w:rPr>
      </w:pPr>
    </w:p>
    <w:p>
      <w:pPr>
        <w:pStyle w:val="6"/>
        <w:rPr>
          <w:rFonts w:hint="eastAsia" w:ascii="宋体" w:hAnsi="宋体" w:cs="宋体"/>
          <w:color w:val="auto"/>
          <w:sz w:val="24"/>
          <w:highlight w:val="none"/>
        </w:rPr>
      </w:pPr>
    </w:p>
    <w:p>
      <w:pPr>
        <w:rPr>
          <w:rFonts w:hint="eastAsia" w:ascii="宋体" w:hAnsi="宋体" w:cs="宋体"/>
          <w:color w:val="auto"/>
          <w:sz w:val="24"/>
          <w:highlight w:val="none"/>
        </w:rPr>
      </w:pPr>
    </w:p>
    <w:p>
      <w:pPr>
        <w:pStyle w:val="6"/>
        <w:rPr>
          <w:rFonts w:hint="eastAsia" w:ascii="宋体" w:hAnsi="宋体" w:cs="宋体"/>
          <w:color w:val="auto"/>
          <w:sz w:val="24"/>
          <w:highlight w:val="none"/>
        </w:rPr>
      </w:pPr>
    </w:p>
    <w:p>
      <w:pPr>
        <w:rPr>
          <w:rFonts w:hint="eastAsia" w:ascii="宋体" w:hAnsi="宋体" w:cs="宋体"/>
          <w:color w:val="auto"/>
          <w:sz w:val="24"/>
          <w:highlight w:val="none"/>
        </w:rPr>
      </w:pPr>
    </w:p>
    <w:p>
      <w:pPr>
        <w:rPr>
          <w:color w:val="auto"/>
          <w:highlight w:val="none"/>
        </w:rPr>
      </w:pPr>
    </w:p>
    <w:p>
      <w:pPr>
        <w:pStyle w:val="6"/>
        <w:rPr>
          <w:color w:val="auto"/>
          <w:highlight w:val="none"/>
        </w:rPr>
      </w:pPr>
    </w:p>
    <w:p>
      <w:pPr>
        <w:spacing w:line="360" w:lineRule="auto"/>
        <w:ind w:firstLine="480" w:firstLineChars="200"/>
        <w:rPr>
          <w:rFonts w:hint="eastAsia" w:ascii="宋体" w:hAnsi="宋体" w:cs="宋体"/>
          <w:color w:val="auto"/>
          <w:sz w:val="24"/>
          <w:highlight w:val="none"/>
        </w:rPr>
      </w:pPr>
    </w:p>
    <w:p>
      <w:pPr>
        <w:spacing w:line="360" w:lineRule="auto"/>
        <w:ind w:firstLine="480" w:firstLineChars="200"/>
        <w:rPr>
          <w:rFonts w:hint="eastAsia" w:ascii="宋体" w:hAnsi="宋体" w:cs="宋体"/>
          <w:color w:val="auto"/>
          <w:sz w:val="24"/>
          <w:highlight w:val="none"/>
        </w:rPr>
      </w:pPr>
    </w:p>
    <w:p>
      <w:p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spacing w:line="36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 xml:space="preserve">中小企业划型标准规定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四、各行业划型标准为：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五、企业类型的划分以统计部门的统计数据为依据。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九、本规定由工业和信息化部、国家统计局会同有关部门负责解释。 </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color w:val="auto"/>
          <w:sz w:val="24"/>
          <w:highlight w:val="none"/>
        </w:rPr>
      </w:pPr>
    </w:p>
    <w:p>
      <w:pPr>
        <w:pStyle w:val="7"/>
        <w:jc w:val="both"/>
        <w:outlineLvl w:val="9"/>
        <w:rPr>
          <w:rFonts w:hint="eastAsia" w:ascii="宋体" w:hAnsi="宋体" w:eastAsia="宋体" w:cs="宋体"/>
          <w:color w:val="auto"/>
          <w:sz w:val="24"/>
          <w:szCs w:val="24"/>
          <w:highlight w:val="none"/>
        </w:rPr>
      </w:pPr>
    </w:p>
    <w:p>
      <w:pPr>
        <w:tabs>
          <w:tab w:val="left" w:pos="360"/>
        </w:tabs>
        <w:spacing w:line="360" w:lineRule="auto"/>
        <w:outlineLvl w:val="1"/>
        <w:rPr>
          <w:rFonts w:hint="eastAsia" w:ascii="宋体" w:hAnsi="宋体" w:cs="宋体"/>
          <w:color w:val="auto"/>
          <w:sz w:val="24"/>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3、国家统计局《关于印发〈统计上大中小微型企业划分办法（2017）〉的通知》</w:t>
      </w: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color w:val="auto"/>
          <w:kern w:val="0"/>
          <w:sz w:val="24"/>
          <w:highlight w:val="none"/>
        </w:rPr>
      </w:pPr>
      <w:r>
        <w:rPr>
          <w:rFonts w:hint="eastAsia" w:ascii="宋体" w:hAnsi="宋体" w:cs="宋体"/>
          <w:b/>
          <w:bCs/>
          <w:color w:val="auto"/>
          <w:kern w:val="0"/>
          <w:sz w:val="24"/>
          <w:highlight w:val="none"/>
        </w:rPr>
        <w:t>国家统计局关于印发《统计上大中小微型企业划分办法（2017）》的通知</w:t>
      </w:r>
    </w:p>
    <w:p>
      <w:pPr>
        <w:widowControl/>
        <w:shd w:val="clear" w:color="auto" w:fill="FFFFFF"/>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pPr>
        <w:widowControl/>
        <w:shd w:val="clear" w:color="auto" w:fill="FFFFFF"/>
        <w:spacing w:line="360" w:lineRule="auto"/>
        <w:ind w:firstLine="480" w:firstLineChars="20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国家统计局</w:t>
      </w:r>
    </w:p>
    <w:p>
      <w:pPr>
        <w:widowControl/>
        <w:shd w:val="clear" w:color="auto" w:fill="FFFFFF"/>
        <w:spacing w:line="360" w:lineRule="auto"/>
        <w:ind w:firstLine="480" w:firstLineChars="20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2017年12月28日</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pPr>
        <w:pStyle w:val="6"/>
        <w:rPr>
          <w:rFonts w:hint="eastAsia" w:ascii="宋体" w:hAnsi="宋体" w:cs="宋体"/>
          <w:color w:val="auto"/>
          <w:kern w:val="0"/>
          <w:sz w:val="24"/>
          <w:highlight w:val="none"/>
        </w:rPr>
      </w:pPr>
    </w:p>
    <w:p>
      <w:pPr>
        <w:rPr>
          <w:rFonts w:hint="eastAsia" w:ascii="宋体" w:hAnsi="宋体" w:cs="宋体"/>
          <w:color w:val="auto"/>
          <w:kern w:val="0"/>
          <w:sz w:val="24"/>
          <w:highlight w:val="none"/>
        </w:rPr>
      </w:pPr>
    </w:p>
    <w:p>
      <w:pPr>
        <w:pStyle w:val="6"/>
        <w:rPr>
          <w:rFonts w:hint="eastAsia" w:ascii="宋体" w:hAnsi="宋体" w:cs="宋体"/>
          <w:color w:val="auto"/>
          <w:kern w:val="0"/>
          <w:sz w:val="24"/>
          <w:highlight w:val="none"/>
        </w:rPr>
      </w:pPr>
    </w:p>
    <w:p>
      <w:pPr>
        <w:rPr>
          <w:color w:val="auto"/>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p>
    <w:p>
      <w:pPr>
        <w:widowControl/>
        <w:shd w:val="clear" w:color="auto" w:fill="FFFFFF"/>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统计上大中小微型企业划分办法（2017）</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附表：统计上大中小微型企业划分标准</w:t>
      </w:r>
    </w:p>
    <w:p>
      <w:pPr>
        <w:widowControl/>
        <w:spacing w:line="360" w:lineRule="auto"/>
        <w:jc w:val="left"/>
        <w:rPr>
          <w:rFonts w:hint="eastAsia" w:ascii="宋体" w:hAnsi="宋体" w:cs="宋体"/>
          <w:color w:val="auto"/>
          <w:kern w:val="0"/>
          <w:sz w:val="24"/>
          <w:highlight w:val="none"/>
        </w:rPr>
      </w:pPr>
    </w:p>
    <w:p>
      <w:pPr>
        <w:pStyle w:val="6"/>
        <w:rPr>
          <w:color w:val="auto"/>
          <w:highlight w:val="none"/>
        </w:rPr>
      </w:pPr>
    </w:p>
    <w:p>
      <w:pPr>
        <w:widowControl/>
        <w:spacing w:line="360" w:lineRule="auto"/>
        <w:jc w:val="left"/>
        <w:rPr>
          <w:rFonts w:hint="eastAsia" w:ascii="宋体" w:hAnsi="宋体" w:cs="宋体"/>
          <w:color w:val="auto"/>
          <w:kern w:val="0"/>
          <w:sz w:val="24"/>
          <w:highlight w:val="none"/>
        </w:rPr>
      </w:pPr>
    </w:p>
    <w:p>
      <w:pPr>
        <w:widowControl/>
        <w:spacing w:line="360" w:lineRule="auto"/>
        <w:jc w:val="left"/>
        <w:rPr>
          <w:rFonts w:hint="eastAsia" w:ascii="宋体" w:hAnsi="宋体" w:cs="宋体"/>
          <w:color w:val="auto"/>
          <w:kern w:val="0"/>
          <w:sz w:val="24"/>
          <w:highlight w:val="none"/>
        </w:rPr>
      </w:pPr>
    </w:p>
    <w:p>
      <w:pPr>
        <w:widowControl/>
        <w:spacing w:line="360" w:lineRule="auto"/>
        <w:jc w:val="left"/>
        <w:rPr>
          <w:rFonts w:hint="eastAsia" w:ascii="宋体" w:hAnsi="宋体" w:cs="宋体"/>
          <w:color w:val="auto"/>
          <w:kern w:val="0"/>
          <w:sz w:val="24"/>
          <w:highlight w:val="none"/>
        </w:rPr>
      </w:pPr>
    </w:p>
    <w:p>
      <w:pPr>
        <w:widowControl/>
        <w:spacing w:line="360" w:lineRule="auto"/>
        <w:jc w:val="left"/>
        <w:rPr>
          <w:rFonts w:hint="eastAsia" w:ascii="宋体" w:hAnsi="宋体" w:cs="宋体"/>
          <w:color w:val="auto"/>
          <w:kern w:val="0"/>
          <w:sz w:val="24"/>
          <w:highlight w:val="none"/>
        </w:rPr>
      </w:pPr>
    </w:p>
    <w:p>
      <w:pPr>
        <w:widowControl/>
        <w:spacing w:line="360" w:lineRule="auto"/>
        <w:jc w:val="left"/>
        <w:rPr>
          <w:rFonts w:hint="eastAsia" w:ascii="宋体" w:hAnsi="宋体" w:cs="宋体"/>
          <w:color w:val="auto"/>
          <w:kern w:val="0"/>
          <w:sz w:val="24"/>
          <w:highlight w:val="none"/>
        </w:rPr>
      </w:pPr>
    </w:p>
    <w:p>
      <w:pPr>
        <w:widowControl/>
        <w:spacing w:line="360" w:lineRule="auto"/>
        <w:jc w:val="left"/>
        <w:rPr>
          <w:rFonts w:hint="eastAsia" w:ascii="宋体" w:hAnsi="宋体" w:cs="宋体"/>
          <w:color w:val="auto"/>
          <w:kern w:val="0"/>
          <w:sz w:val="24"/>
          <w:highlight w:val="none"/>
        </w:rPr>
      </w:pPr>
    </w:p>
    <w:p>
      <w:pPr>
        <w:widowControl/>
        <w:spacing w:line="360" w:lineRule="auto"/>
        <w:jc w:val="left"/>
        <w:rPr>
          <w:rFonts w:hint="eastAsia" w:ascii="宋体" w:hAnsi="宋体" w:cs="宋体"/>
          <w:color w:val="auto"/>
          <w:kern w:val="0"/>
          <w:sz w:val="24"/>
          <w:highlight w:val="none"/>
        </w:rPr>
      </w:pPr>
    </w:p>
    <w:p>
      <w:pPr>
        <w:widowControl/>
        <w:spacing w:line="360"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附表：</w:t>
      </w:r>
    </w:p>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统计上大中小微型企业划分标准</w:t>
      </w:r>
    </w:p>
    <w:tbl>
      <w:tblPr>
        <w:tblStyle w:val="21"/>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b/>
                <w:bCs/>
                <w:color w:val="auto"/>
                <w:kern w:val="0"/>
                <w:sz w:val="24"/>
                <w:highlight w:val="none"/>
              </w:rPr>
              <w:t>行业名称</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b/>
                <w:bCs/>
                <w:color w:val="auto"/>
                <w:kern w:val="0"/>
                <w:sz w:val="24"/>
                <w:highlight w:val="none"/>
              </w:rPr>
              <w:t>指标名称</w:t>
            </w:r>
          </w:p>
        </w:tc>
        <w:tc>
          <w:tcPr>
            <w:tcW w:w="727" w:type="dxa"/>
            <w:vAlign w:val="center"/>
          </w:tcPr>
          <w:p>
            <w:pPr>
              <w:widowControl/>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计量</w:t>
            </w:r>
          </w:p>
          <w:p>
            <w:pPr>
              <w:widowControl/>
              <w:spacing w:line="360" w:lineRule="auto"/>
              <w:jc w:val="center"/>
              <w:rPr>
                <w:rFonts w:hint="eastAsia" w:ascii="宋体" w:hAnsi="宋体" w:cs="宋体"/>
                <w:color w:val="auto"/>
                <w:kern w:val="0"/>
                <w:sz w:val="24"/>
                <w:highlight w:val="none"/>
              </w:rPr>
            </w:pPr>
            <w:r>
              <w:rPr>
                <w:rFonts w:hint="eastAsia" w:ascii="宋体" w:hAnsi="宋体" w:cs="宋体"/>
                <w:b/>
                <w:bCs/>
                <w:color w:val="auto"/>
                <w:kern w:val="0"/>
                <w:sz w:val="24"/>
                <w:highlight w:val="none"/>
              </w:rPr>
              <w:t>单位</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b/>
                <w:bCs/>
                <w:color w:val="auto"/>
                <w:kern w:val="0"/>
                <w:sz w:val="24"/>
                <w:highlight w:val="none"/>
              </w:rPr>
              <w:t>大型</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b/>
                <w:bCs/>
                <w:color w:val="auto"/>
                <w:kern w:val="0"/>
                <w:sz w:val="24"/>
                <w:highlight w:val="none"/>
              </w:rPr>
              <w:t>中型</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b/>
                <w:bCs/>
                <w:color w:val="auto"/>
                <w:kern w:val="0"/>
                <w:sz w:val="24"/>
                <w:highlight w:val="none"/>
              </w:rPr>
              <w:t>小型</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b/>
                <w:bCs/>
                <w:color w:val="auto"/>
                <w:kern w:val="0"/>
                <w:sz w:val="24"/>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农、林、牧、渔业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Y≥20000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500≤Y＜20000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50≤Y＜500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工业 *</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300≤X＜1000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20≤X＜300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Y≥40000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2000≤Y＜40000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300≤Y＜2000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建筑业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Y≥80000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6000≤Y＜80000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300≤Y＜6000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资产总额(Z)</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Z≥80000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5000≤Z＜80000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300≤Z＜5000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批发业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X≥200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20≤X＜200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5≤X＜20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Y≥40000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5000≤Y＜40000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1000≤Y＜5000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零售业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X≥300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50≤X＜300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10≤X＜50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Y≥20000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500≤Y＜20000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100≤Y＜500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交通运输业 *</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300≤X＜1000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20≤X＜300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Y≥30000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3000≤Y＜30000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200≤Y＜3000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仓储业*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X≥200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100≤X＜200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20≤X＜100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Y≥30000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1000≤Y＜30000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100≤Y＜1000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邮政业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300≤X＜1000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20≤X＜300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Y≥30000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2000≤Y＜30000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100≤Y＜2000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住宿业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X≥300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100≤X＜300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10≤X＜100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2000≤Y＜10000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100≤Y＜2000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餐饮业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X≥300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100≤X＜300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10≤X＜100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2000≤Y＜10000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100≤Y＜2000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信息传输业 *</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X≥2000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100≤X＜2000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10≤X＜100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1000≤Y＜100000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100≤Y＜1000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软件和信息技术服务业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X≥300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100≤X＜300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10≤X＜100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1000≤Y＜10000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50≤Y＜1000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房地产开发经营</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Y≥200000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1000≤Y＜200000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100≤Y＜1000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资产总额(Z)</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Z≥10000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5000≤Z＜10000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2000≤Z＜5000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物业管理</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300≤X＜1000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100≤X＜300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营业收入(Y)</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Y≥5000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1000≤Y＜5000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500≤Y＜1000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租赁和商务服务业</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X≥300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100≤X＜300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10≤X＜100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color w:val="auto"/>
                <w:kern w:val="0"/>
                <w:sz w:val="24"/>
                <w:highlight w:val="none"/>
              </w:rPr>
            </w:pP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资产总额(Z)</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万元</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Z≥120000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8000≤Z＜120000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100≤Z＜8000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其他未列明行业 *</w:t>
            </w:r>
          </w:p>
        </w:tc>
        <w:tc>
          <w:tcPr>
            <w:tcW w:w="1462"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从业人员(X)</w:t>
            </w:r>
          </w:p>
        </w:tc>
        <w:tc>
          <w:tcPr>
            <w:tcW w:w="727"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人</w:t>
            </w:r>
          </w:p>
        </w:tc>
        <w:tc>
          <w:tcPr>
            <w:tcW w:w="1011"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X≥300</w:t>
            </w:r>
          </w:p>
        </w:tc>
        <w:tc>
          <w:tcPr>
            <w:tcW w:w="1664"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100≤X＜300</w:t>
            </w:r>
          </w:p>
        </w:tc>
        <w:tc>
          <w:tcPr>
            <w:tcW w:w="1446"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10≤X＜100</w:t>
            </w:r>
          </w:p>
        </w:tc>
        <w:tc>
          <w:tcPr>
            <w:tcW w:w="793" w:type="dxa"/>
            <w:vAlign w:val="center"/>
          </w:tcPr>
          <w:p>
            <w:pPr>
              <w:widowControl/>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X＜10</w:t>
            </w:r>
          </w:p>
        </w:tc>
      </w:tr>
    </w:tbl>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说明：</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6"/>
        <w:tabs>
          <w:tab w:val="left" w:pos="562"/>
          <w:tab w:val="left" w:pos="3372"/>
          <w:tab w:val="left" w:pos="3653"/>
        </w:tabs>
        <w:spacing w:line="360" w:lineRule="auto"/>
        <w:rPr>
          <w:rFonts w:hint="eastAsia" w:ascii="宋体" w:hAnsi="宋体" w:cs="宋体"/>
          <w:color w:val="auto"/>
          <w:sz w:val="24"/>
          <w:highlight w:val="none"/>
        </w:rPr>
      </w:pPr>
    </w:p>
    <w:p>
      <w:pPr>
        <w:tabs>
          <w:tab w:val="left" w:pos="360"/>
        </w:tabs>
        <w:spacing w:line="360" w:lineRule="auto"/>
        <w:outlineLvl w:val="1"/>
        <w:rPr>
          <w:rFonts w:hint="eastAsia"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24"/>
          <w:highlight w:val="none"/>
        </w:rPr>
        <w:t>4、财政部、民政部、中国残联《关于促进残疾人就业政府采购政策的通知》（财库〔2017〕141 号）</w:t>
      </w:r>
    </w:p>
    <w:p>
      <w:pPr>
        <w:shd w:val="clear" w:color="auto" w:fill="FFFFFF"/>
        <w:spacing w:line="360" w:lineRule="auto"/>
        <w:rPr>
          <w:rFonts w:hint="eastAsia" w:ascii="宋体" w:hAnsi="宋体" w:cs="宋体"/>
          <w:bCs/>
          <w:color w:val="auto"/>
          <w:sz w:val="24"/>
          <w:highlight w:val="none"/>
        </w:rPr>
      </w:pPr>
    </w:p>
    <w:p>
      <w:pPr>
        <w:shd w:val="clear" w:color="auto" w:fill="FFFFFF"/>
        <w:spacing w:line="360" w:lineRule="auto"/>
        <w:rPr>
          <w:rFonts w:hint="eastAsia" w:ascii="宋体" w:hAnsi="宋体" w:cs="宋体"/>
          <w:bCs/>
          <w:color w:val="auto"/>
          <w:sz w:val="24"/>
          <w:highlight w:val="none"/>
        </w:rPr>
      </w:pPr>
      <w:r>
        <w:rPr>
          <w:rFonts w:hint="eastAsia" w:ascii="宋体" w:hAnsi="宋体" w:cs="宋体"/>
          <w:bCs/>
          <w:color w:val="auto"/>
          <w:sz w:val="24"/>
          <w:highlight w:val="none"/>
        </w:rPr>
        <w:t>关于促进残疾人就业政府采购政策的通知</w:t>
      </w:r>
    </w:p>
    <w:p>
      <w:pPr>
        <w:pStyle w:val="18"/>
        <w:shd w:val="clear" w:color="auto" w:fill="FFFFFF"/>
        <w:spacing w:before="0" w:beforeAutospacing="0" w:after="0" w:afterAutospacing="0" w:line="360" w:lineRule="auto"/>
        <w:jc w:val="center"/>
        <w:rPr>
          <w:rFonts w:hint="eastAsia"/>
          <w:color w:val="auto"/>
          <w:highlight w:val="none"/>
        </w:rPr>
      </w:pPr>
      <w:r>
        <w:rPr>
          <w:rFonts w:hint="eastAsia"/>
          <w:color w:val="auto"/>
          <w:highlight w:val="none"/>
        </w:rPr>
        <w:t>　　</w:t>
      </w:r>
      <w:bookmarkStart w:id="30" w:name="sendNo"/>
      <w:r>
        <w:rPr>
          <w:rFonts w:hint="eastAsia"/>
          <w:color w:val="auto"/>
          <w:highlight w:val="none"/>
        </w:rPr>
        <w:t>财库〔</w:t>
      </w:r>
      <w:bookmarkEnd w:id="30"/>
      <w:r>
        <w:rPr>
          <w:rFonts w:hint="eastAsia"/>
          <w:color w:val="auto"/>
          <w:highlight w:val="none"/>
        </w:rPr>
        <w:t>2017〕141号</w:t>
      </w:r>
    </w:p>
    <w:p>
      <w:pPr>
        <w:pStyle w:val="18"/>
        <w:shd w:val="clear" w:color="auto" w:fill="FFFFFF"/>
        <w:spacing w:before="0" w:beforeAutospacing="0" w:after="0" w:afterAutospacing="0" w:line="360" w:lineRule="auto"/>
        <w:ind w:firstLine="480" w:firstLineChars="200"/>
        <w:rPr>
          <w:rFonts w:hint="eastAsia"/>
          <w:color w:val="auto"/>
          <w:highlight w:val="none"/>
        </w:rPr>
      </w:pPr>
      <w:bookmarkStart w:id="31" w:name="toDeptId"/>
      <w:r>
        <w:rPr>
          <w:rFonts w:hint="eastAsia"/>
          <w:color w:val="auto"/>
          <w:highlight w:val="none"/>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1"/>
      <w:r>
        <w:rPr>
          <w:rFonts w:hint="eastAsia"/>
          <w:color w:val="auto"/>
          <w:highlight w:val="none"/>
        </w:rPr>
        <w:t>：</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为了发挥政府采购促进残疾人就业的作用，进一步保障残疾人权益，依照《政府采购法》、《残疾人保障法》等法律法规及相关规定，现就促进残疾人就业政府采购政策通知如下：</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一、享受政府采购支持政策的残疾人福利性单位应当同时满足以下条件：</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（一）安置的残疾人占本单位在职职工人数的比例不低于25%（含25%），并且安置的残疾人人数不少于10人（含10人）；</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（二）依法与安置的每位残疾人签订了一年以上（含一年）的劳动合同或服务协议；</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（三）为安置的每位残疾人按月足额缴纳了基本养老保险、基本医疗保险、失业保险、工伤保险和生育保险等社会保险费；</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（四）通过银行等金融机构向安置的每位残疾人，按月支付了不低于单位所在区县适用的经省级人民政府批准的月最低工资标准的工资；</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（五）提供本单位制造的货物、承担的工程或者服务（以下简称产品），或者提供其他残疾人福利性单位制造的货物（不包括使用非残疾人福利性单位注册商标的货物）。</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中标、成交供应商为残疾人福利性单位的，采购人或者其委托的采购代理机构应当随中标、成交结果同时公告其《残疾人福利性单位声明函》，接受社会监督。</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供应商提供的《残疾人福利性单位声明函》与事实不符的，依照《政府采购法》第七十七条第一款的规定追究法律责任。</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四、采购人采购公开招标数额标准以上的货物或者服务，因落实促进残疾人就业政策的需要，依法履行有关报批程序后，可采用公开招标以外的采购方式。</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8"/>
        <w:shd w:val="clear" w:color="auto" w:fill="FFFFFF"/>
        <w:spacing w:before="0" w:beforeAutospacing="0" w:after="0" w:afterAutospacing="0" w:line="360" w:lineRule="auto"/>
        <w:ind w:firstLine="480" w:firstLineChars="200"/>
        <w:rPr>
          <w:rFonts w:hint="eastAsia"/>
          <w:color w:val="auto"/>
          <w:highlight w:val="none"/>
        </w:rPr>
      </w:pPr>
      <w:r>
        <w:rPr>
          <w:rFonts w:hint="eastAsia"/>
          <w:color w:val="auto"/>
          <w:highlight w:val="none"/>
        </w:rPr>
        <w:t>七、本通知自2017年10月1日起执行。</w:t>
      </w:r>
    </w:p>
    <w:p>
      <w:pPr>
        <w:pStyle w:val="18"/>
        <w:shd w:val="clear" w:color="auto" w:fill="FFFFFF"/>
        <w:spacing w:before="0" w:beforeAutospacing="0" w:after="0" w:afterAutospacing="0" w:line="360" w:lineRule="auto"/>
        <w:ind w:firstLine="480" w:firstLineChars="200"/>
        <w:jc w:val="right"/>
        <w:rPr>
          <w:rFonts w:hint="eastAsia"/>
          <w:color w:val="auto"/>
          <w:highlight w:val="none"/>
        </w:rPr>
      </w:pPr>
      <w:r>
        <w:rPr>
          <w:rFonts w:hint="eastAsia"/>
          <w:color w:val="auto"/>
          <w:highlight w:val="none"/>
        </w:rPr>
        <w:t>财政部 民政部 中国残疾人联合会</w:t>
      </w:r>
    </w:p>
    <w:p>
      <w:pPr>
        <w:pStyle w:val="18"/>
        <w:shd w:val="clear" w:color="auto" w:fill="FFFFFF"/>
        <w:spacing w:before="0" w:beforeAutospacing="0" w:after="0" w:afterAutospacing="0" w:line="360" w:lineRule="auto"/>
        <w:ind w:firstLine="480" w:firstLineChars="200"/>
        <w:jc w:val="right"/>
        <w:rPr>
          <w:rFonts w:hint="eastAsia"/>
          <w:color w:val="auto"/>
          <w:highlight w:val="none"/>
        </w:rPr>
      </w:pPr>
      <w:r>
        <w:rPr>
          <w:rFonts w:hint="eastAsia"/>
          <w:color w:val="auto"/>
          <w:highlight w:val="none"/>
        </w:rPr>
        <w:t>2017年8月22日</w:t>
      </w:r>
    </w:p>
    <w:p>
      <w:pPr>
        <w:pStyle w:val="31"/>
        <w:shd w:val="clear" w:color="auto" w:fill="FFFFFF"/>
        <w:spacing w:before="0" w:beforeAutospacing="0" w:after="0" w:afterAutospacing="0" w:line="360" w:lineRule="auto"/>
        <w:jc w:val="both"/>
        <w:rPr>
          <w:rFonts w:hint="eastAsia"/>
          <w:color w:val="auto"/>
          <w:highlight w:val="none"/>
        </w:rPr>
      </w:pPr>
    </w:p>
    <w:p>
      <w:pPr>
        <w:pStyle w:val="31"/>
        <w:shd w:val="clear" w:color="auto" w:fill="FFFFFF"/>
        <w:spacing w:before="0" w:beforeAutospacing="0" w:after="0" w:afterAutospacing="0" w:line="360" w:lineRule="auto"/>
        <w:jc w:val="both"/>
        <w:rPr>
          <w:rFonts w:hint="eastAsia"/>
          <w:color w:val="auto"/>
          <w:highlight w:val="none"/>
        </w:rPr>
      </w:pPr>
    </w:p>
    <w:p>
      <w:pPr>
        <w:pStyle w:val="31"/>
        <w:shd w:val="clear" w:color="auto" w:fill="FFFFFF"/>
        <w:spacing w:before="0" w:beforeAutospacing="0" w:after="0" w:afterAutospacing="0" w:line="360" w:lineRule="auto"/>
        <w:jc w:val="both"/>
        <w:rPr>
          <w:rFonts w:hint="eastAsia"/>
          <w:color w:val="auto"/>
          <w:highlight w:val="none"/>
        </w:rPr>
      </w:pPr>
    </w:p>
    <w:p>
      <w:pPr>
        <w:pStyle w:val="31"/>
        <w:shd w:val="clear" w:color="auto" w:fill="FFFFFF"/>
        <w:spacing w:before="0" w:beforeAutospacing="0" w:after="0" w:afterAutospacing="0" w:line="360" w:lineRule="auto"/>
        <w:jc w:val="both"/>
        <w:rPr>
          <w:rFonts w:hint="eastAsia"/>
          <w:color w:val="auto"/>
          <w:highlight w:val="none"/>
        </w:rPr>
      </w:pPr>
    </w:p>
    <w:p>
      <w:pPr>
        <w:pStyle w:val="31"/>
        <w:shd w:val="clear" w:color="auto" w:fill="FFFFFF"/>
        <w:spacing w:before="0" w:beforeAutospacing="0" w:after="0" w:afterAutospacing="0" w:line="360" w:lineRule="auto"/>
        <w:jc w:val="both"/>
        <w:rPr>
          <w:rFonts w:hint="eastAsia"/>
          <w:color w:val="auto"/>
          <w:highlight w:val="none"/>
        </w:rPr>
      </w:pPr>
    </w:p>
    <w:p>
      <w:pPr>
        <w:pStyle w:val="31"/>
        <w:shd w:val="clear" w:color="auto" w:fill="FFFFFF"/>
        <w:spacing w:before="0" w:beforeAutospacing="0" w:after="0" w:afterAutospacing="0" w:line="360" w:lineRule="auto"/>
        <w:jc w:val="both"/>
        <w:rPr>
          <w:rFonts w:hint="eastAsia"/>
          <w:color w:val="auto"/>
          <w:highlight w:val="none"/>
        </w:rPr>
      </w:pPr>
    </w:p>
    <w:p>
      <w:pPr>
        <w:rPr>
          <w:color w:val="auto"/>
          <w:highlight w:val="none"/>
        </w:rPr>
      </w:pPr>
      <w:r>
        <w:rPr>
          <w:rFonts w:hint="eastAsia"/>
          <w:color w:val="auto"/>
          <w:highlight w:val="none"/>
        </w:rPr>
        <w:br w:type="page"/>
      </w:r>
    </w:p>
    <w:p>
      <w:pPr>
        <w:pStyle w:val="31"/>
        <w:shd w:val="clear" w:color="auto" w:fill="FFFFFF"/>
        <w:spacing w:before="0" w:beforeAutospacing="0" w:after="0" w:afterAutospacing="0" w:line="360" w:lineRule="auto"/>
        <w:jc w:val="both"/>
        <w:rPr>
          <w:rFonts w:hint="eastAsia"/>
          <w:color w:val="auto"/>
          <w:highlight w:val="none"/>
        </w:rPr>
      </w:pPr>
      <w:r>
        <w:rPr>
          <w:rFonts w:hint="eastAsia"/>
          <w:color w:val="auto"/>
          <w:highlight w:val="none"/>
        </w:rPr>
        <w:t>附件：</w:t>
      </w:r>
    </w:p>
    <w:p>
      <w:pPr>
        <w:pStyle w:val="31"/>
        <w:shd w:val="clear" w:color="auto" w:fill="FFFFFF"/>
        <w:spacing w:before="0" w:beforeAutospacing="0" w:after="0" w:afterAutospacing="0" w:line="360" w:lineRule="auto"/>
        <w:ind w:firstLine="482" w:firstLineChars="200"/>
        <w:jc w:val="center"/>
        <w:rPr>
          <w:rFonts w:hint="eastAsia"/>
          <w:color w:val="auto"/>
          <w:highlight w:val="none"/>
        </w:rPr>
      </w:pPr>
      <w:r>
        <w:rPr>
          <w:rStyle w:val="32"/>
          <w:rFonts w:hint="eastAsia"/>
          <w:b/>
          <w:bCs/>
          <w:color w:val="auto"/>
          <w:highlight w:val="none"/>
        </w:rPr>
        <w:t>残疾人福利性单位声明函</w:t>
      </w:r>
    </w:p>
    <w:p>
      <w:pPr>
        <w:pStyle w:val="31"/>
        <w:shd w:val="clear" w:color="auto" w:fill="FFFFFF"/>
        <w:spacing w:before="0" w:beforeAutospacing="0" w:after="0" w:afterAutospacing="0" w:line="360" w:lineRule="auto"/>
        <w:ind w:firstLine="480" w:firstLineChars="200"/>
        <w:jc w:val="both"/>
        <w:rPr>
          <w:rFonts w:hint="eastAsia"/>
          <w:color w:val="auto"/>
          <w:highlight w:val="none"/>
        </w:rPr>
      </w:pPr>
    </w:p>
    <w:p>
      <w:pPr>
        <w:pStyle w:val="31"/>
        <w:shd w:val="clear" w:color="auto" w:fill="FFFFFF"/>
        <w:spacing w:before="0" w:beforeAutospacing="0" w:after="0" w:afterAutospacing="0" w:line="360" w:lineRule="auto"/>
        <w:ind w:firstLine="480" w:firstLineChars="200"/>
        <w:jc w:val="both"/>
        <w:rPr>
          <w:rFonts w:hint="eastAsia"/>
          <w:color w:val="auto"/>
          <w:highlight w:val="none"/>
        </w:rPr>
      </w:pPr>
      <w:r>
        <w:rPr>
          <w:rStyle w:val="32"/>
          <w:rFonts w:hint="eastAsia"/>
          <w:color w:val="auto"/>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1"/>
        <w:shd w:val="clear" w:color="auto" w:fill="FFFFFF"/>
        <w:spacing w:before="0" w:beforeAutospacing="0" w:after="0" w:afterAutospacing="0" w:line="360" w:lineRule="auto"/>
        <w:ind w:firstLine="480" w:firstLineChars="200"/>
        <w:jc w:val="both"/>
        <w:rPr>
          <w:rFonts w:hint="eastAsia"/>
          <w:color w:val="auto"/>
          <w:highlight w:val="none"/>
        </w:rPr>
      </w:pPr>
      <w:r>
        <w:rPr>
          <w:rStyle w:val="32"/>
          <w:rFonts w:hint="eastAsia"/>
          <w:color w:val="auto"/>
          <w:highlight w:val="none"/>
        </w:rPr>
        <w:t>本单位对上述声明的真实性负责。如有虚假，将依法承担相应责任。</w:t>
      </w:r>
    </w:p>
    <w:p>
      <w:pPr>
        <w:pStyle w:val="31"/>
        <w:shd w:val="clear" w:color="auto" w:fill="FFFFFF"/>
        <w:spacing w:before="0" w:beforeAutospacing="0" w:after="0" w:afterAutospacing="0" w:line="360" w:lineRule="auto"/>
        <w:ind w:firstLine="480" w:firstLineChars="200"/>
        <w:jc w:val="both"/>
        <w:rPr>
          <w:rFonts w:hint="eastAsia"/>
          <w:color w:val="auto"/>
          <w:highlight w:val="none"/>
        </w:rPr>
      </w:pPr>
      <w:r>
        <w:rPr>
          <w:rFonts w:hint="eastAsia"/>
          <w:color w:val="auto"/>
          <w:highlight w:val="none"/>
        </w:rPr>
        <w:t>投标人已知悉《关于促进残疾人就业政府采购政策的通知》（财库〔2017〕141 号）的规定，承诺提供的声明函内容是真实的，如提供声明函内容不实，则依法追究相关法律责任。</w:t>
      </w:r>
    </w:p>
    <w:p>
      <w:pPr>
        <w:pStyle w:val="31"/>
        <w:shd w:val="clear" w:color="auto" w:fill="FFFFFF"/>
        <w:spacing w:before="0" w:beforeAutospacing="0" w:after="0" w:afterAutospacing="0" w:line="360" w:lineRule="auto"/>
        <w:ind w:firstLine="480" w:firstLineChars="200"/>
        <w:jc w:val="both"/>
        <w:rPr>
          <w:rFonts w:hint="eastAsia"/>
          <w:color w:val="auto"/>
          <w:highlight w:val="none"/>
        </w:rPr>
      </w:pPr>
    </w:p>
    <w:p>
      <w:pPr>
        <w:pStyle w:val="31"/>
        <w:shd w:val="clear" w:color="auto" w:fill="FFFFFF"/>
        <w:spacing w:before="0" w:beforeAutospacing="0" w:after="0" w:afterAutospacing="0" w:line="360" w:lineRule="auto"/>
        <w:ind w:right="2100" w:rightChars="1000"/>
        <w:jc w:val="right"/>
        <w:rPr>
          <w:rFonts w:hint="eastAsia"/>
          <w:color w:val="auto"/>
          <w:highlight w:val="none"/>
        </w:rPr>
      </w:pPr>
      <w:r>
        <w:rPr>
          <w:rStyle w:val="32"/>
          <w:rFonts w:hint="eastAsia"/>
          <w:color w:val="auto"/>
          <w:highlight w:val="none"/>
        </w:rPr>
        <w:t>单位名称（盖章）：</w:t>
      </w:r>
    </w:p>
    <w:p>
      <w:pPr>
        <w:pStyle w:val="31"/>
        <w:shd w:val="clear" w:color="auto" w:fill="FFFFFF"/>
        <w:spacing w:before="0" w:beforeAutospacing="0" w:after="0" w:afterAutospacing="0" w:line="360" w:lineRule="auto"/>
        <w:ind w:right="2100" w:rightChars="1000"/>
        <w:jc w:val="right"/>
        <w:rPr>
          <w:rFonts w:hint="eastAsia"/>
          <w:color w:val="auto"/>
          <w:highlight w:val="none"/>
          <w:lang w:val="fr-CH"/>
        </w:rPr>
      </w:pPr>
      <w:r>
        <w:rPr>
          <w:rStyle w:val="32"/>
          <w:rFonts w:hint="eastAsia"/>
          <w:color w:val="auto"/>
          <w:highlight w:val="none"/>
        </w:rPr>
        <w:t>日 期：</w:t>
      </w:r>
    </w:p>
    <w:p>
      <w:pPr>
        <w:tabs>
          <w:tab w:val="left" w:pos="640"/>
          <w:tab w:val="left" w:pos="1260"/>
          <w:tab w:val="left" w:pos="1418"/>
        </w:tabs>
        <w:spacing w:line="360" w:lineRule="auto"/>
        <w:ind w:right="-420" w:rightChars="-200"/>
        <w:rPr>
          <w:rFonts w:hint="eastAsia" w:ascii="宋体" w:hAnsi="宋体" w:cs="宋体"/>
          <w:color w:val="auto"/>
          <w:sz w:val="24"/>
          <w:highlight w:val="none"/>
          <w:lang w:val="fr-CH"/>
        </w:rPr>
      </w:pPr>
    </w:p>
    <w:p>
      <w:pPr>
        <w:tabs>
          <w:tab w:val="left" w:pos="360"/>
        </w:tabs>
        <w:spacing w:line="360" w:lineRule="auto"/>
        <w:outlineLvl w:val="1"/>
        <w:rPr>
          <w:rFonts w:hint="eastAsia" w:ascii="宋体" w:hAnsi="宋体" w:cs="宋体"/>
          <w:b/>
          <w:bCs/>
          <w:color w:val="auto"/>
          <w:sz w:val="24"/>
          <w:highlight w:val="none"/>
        </w:rPr>
      </w:pPr>
      <w:r>
        <w:rPr>
          <w:rFonts w:hint="eastAsia" w:ascii="宋体" w:hAnsi="宋体" w:cs="宋体"/>
          <w:b/>
          <w:bCs/>
          <w:color w:val="auto"/>
          <w:sz w:val="24"/>
          <w:highlight w:val="none"/>
        </w:rPr>
        <w:t>5、《关于大力推进政府采购订单融资支持企业发展有关事宜的通知》(深财购(2026) 19号)</w:t>
      </w:r>
    </w:p>
    <w:p>
      <w:pPr>
        <w:tabs>
          <w:tab w:val="left" w:pos="360"/>
        </w:tabs>
        <w:spacing w:line="360" w:lineRule="auto"/>
        <w:outlineLvl w:val="1"/>
        <w:rPr>
          <w:rFonts w:hint="eastAsia" w:ascii="宋体" w:hAnsi="宋体" w:cs="宋体"/>
          <w:b/>
          <w:bCs/>
          <w:color w:val="auto"/>
          <w:sz w:val="24"/>
          <w:highlight w:val="none"/>
        </w:rPr>
      </w:pPr>
      <w:r>
        <w:rPr>
          <w:rFonts w:hint="eastAsia" w:ascii="宋体" w:hAnsi="宋体" w:cs="宋体"/>
          <w:b/>
          <w:bCs/>
          <w:color w:val="auto"/>
          <w:sz w:val="24"/>
          <w:highlight w:val="none"/>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 。</w:t>
      </w:r>
    </w:p>
    <w:p>
      <w:pPr>
        <w:widowControl/>
        <w:numPr>
          <w:ilvl w:val="255"/>
          <w:numId w:val="0"/>
        </w:numPr>
        <w:rPr>
          <w:rFonts w:hint="eastAsia" w:ascii="宋体" w:hAnsi="宋体" w:cs="宋体"/>
          <w:b/>
          <w:bCs/>
          <w:color w:val="auto"/>
          <w:sz w:val="24"/>
          <w:highlight w:val="none"/>
        </w:rPr>
      </w:pPr>
      <w:r>
        <w:rPr>
          <w:rFonts w:hint="eastAsia" w:ascii="宋体" w:hAnsi="宋体" w:cs="宋体"/>
          <w:b/>
          <w:bCs/>
          <w:color w:val="auto"/>
          <w:sz w:val="24"/>
          <w:highlight w:val="none"/>
        </w:rPr>
        <w:br w:type="page"/>
      </w:r>
    </w:p>
    <w:p>
      <w:pPr>
        <w:widowControl/>
        <w:numPr>
          <w:ilvl w:val="255"/>
          <w:numId w:val="0"/>
        </w:numPr>
        <w:tabs>
          <w:tab w:val="left" w:pos="360"/>
        </w:tabs>
        <w:spacing w:line="360" w:lineRule="auto"/>
        <w:outlineLvl w:val="1"/>
        <w:rPr>
          <w:rFonts w:hint="eastAsia" w:ascii="宋体" w:hAnsi="宋体" w:cs="宋体"/>
          <w:b/>
          <w:bCs/>
          <w:color w:val="auto"/>
          <w:sz w:val="24"/>
          <w:highlight w:val="none"/>
        </w:rPr>
      </w:pPr>
      <w:r>
        <w:rPr>
          <w:rFonts w:hint="eastAsia" w:ascii="宋体" w:hAnsi="宋体" w:cs="宋体"/>
          <w:b/>
          <w:bCs/>
          <w:color w:val="auto"/>
          <w:sz w:val="24"/>
          <w:highlight w:val="none"/>
        </w:rPr>
        <w:t>6、实施本国产品标准及相关政策的特殊规定</w:t>
      </w:r>
    </w:p>
    <w:p>
      <w:pPr>
        <w:tabs>
          <w:tab w:val="left" w:pos="360"/>
        </w:tabs>
        <w:outlineLvl w:val="1"/>
        <w:rPr>
          <w:rFonts w:hint="eastAsia" w:ascii="宋体" w:hAnsi="宋体" w:cs="宋体"/>
          <w:b/>
          <w:bCs/>
          <w:color w:val="auto"/>
          <w:sz w:val="24"/>
          <w:highlight w:val="none"/>
        </w:rPr>
      </w:pPr>
      <w:r>
        <w:rPr>
          <w:rFonts w:hint="eastAsia" w:ascii="宋体" w:hAnsi="宋体" w:cs="宋体"/>
          <w:b/>
          <w:bCs/>
          <w:color w:val="auto"/>
          <w:sz w:val="24"/>
          <w:highlight w:val="none"/>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cs="宋体"/>
          <w:b/>
          <w:bCs/>
          <w:color w:val="auto"/>
          <w:sz w:val="24"/>
          <w:highlight w:val="none"/>
        </w:rPr>
      </w:pPr>
      <w:r>
        <w:rPr>
          <w:rFonts w:hint="eastAsia" w:ascii="宋体" w:hAnsi="宋体" w:cs="宋体"/>
          <w:b/>
          <w:bCs/>
          <w:color w:val="auto"/>
          <w:sz w:val="24"/>
          <w:highlight w:val="none"/>
        </w:rPr>
        <w:t>国务院办公厅印发《关于在政府采购中实施本国产品标准及相关政策的通知》</w:t>
      </w:r>
    </w:p>
    <w:p>
      <w:pPr>
        <w:tabs>
          <w:tab w:val="left" w:pos="360"/>
        </w:tabs>
        <w:outlineLvl w:val="1"/>
        <w:rPr>
          <w:rFonts w:hint="eastAsia" w:ascii="宋体" w:hAnsi="宋体" w:cs="宋体"/>
          <w:b/>
          <w:bCs/>
          <w:color w:val="auto"/>
          <w:sz w:val="24"/>
          <w:highlight w:val="none"/>
        </w:rPr>
      </w:pPr>
      <w:r>
        <w:rPr>
          <w:color w:val="auto"/>
          <w:highlight w:val="none"/>
        </w:rPr>
        <w:fldChar w:fldCharType="begin"/>
      </w:r>
      <w:r>
        <w:rPr>
          <w:color w:val="auto"/>
          <w:highlight w:val="none"/>
        </w:rPr>
        <w:instrText xml:space="preserve"> HYPERLINK "http://www.mof.gov.cn/zhengwuxinxi/caizhengxinwen/202509/t20250930_3973725.htm" </w:instrText>
      </w:r>
      <w:r>
        <w:rPr>
          <w:color w:val="auto"/>
          <w:highlight w:val="none"/>
        </w:rPr>
        <w:fldChar w:fldCharType="separate"/>
      </w:r>
      <w:r>
        <w:rPr>
          <w:rFonts w:hint="eastAsia" w:ascii="宋体" w:hAnsi="宋体" w:cs="宋体"/>
          <w:b/>
          <w:bCs/>
          <w:color w:val="auto"/>
          <w:sz w:val="24"/>
          <w:highlight w:val="none"/>
        </w:rPr>
        <w:t>http://www.mof.gov.cn/zhengwuxinxi/caizhengxinwen/202509/t20250930_3973725.htm</w:t>
      </w:r>
      <w:r>
        <w:rPr>
          <w:rFonts w:hint="eastAsia" w:ascii="宋体" w:hAnsi="宋体" w:cs="宋体"/>
          <w:b/>
          <w:bCs/>
          <w:color w:val="auto"/>
          <w:sz w:val="24"/>
          <w:highlight w:val="none"/>
        </w:rPr>
        <w:fldChar w:fldCharType="end"/>
      </w:r>
    </w:p>
    <w:p>
      <w:pPr>
        <w:tabs>
          <w:tab w:val="left" w:pos="360"/>
        </w:tabs>
        <w:outlineLvl w:val="1"/>
        <w:rPr>
          <w:rFonts w:hint="eastAsia" w:ascii="宋体" w:hAnsi="宋体" w:cs="宋体"/>
          <w:b/>
          <w:bCs/>
          <w:color w:val="auto"/>
          <w:sz w:val="24"/>
          <w:highlight w:val="none"/>
        </w:rPr>
      </w:pPr>
      <w:r>
        <w:rPr>
          <w:rFonts w:hint="eastAsia" w:ascii="宋体" w:hAnsi="宋体" w:cs="宋体"/>
          <w:b/>
          <w:bCs/>
          <w:color w:val="auto"/>
          <w:sz w:val="24"/>
          <w:highlight w:val="none"/>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cs="宋体"/>
          <w:b/>
          <w:bCs/>
          <w:color w:val="auto"/>
          <w:sz w:val="24"/>
          <w:highlight w:val="none"/>
        </w:rPr>
      </w:pPr>
      <w:r>
        <w:rPr>
          <w:rFonts w:hint="eastAsia" w:ascii="宋体" w:hAnsi="宋体" w:cs="宋体"/>
          <w:b/>
          <w:bCs/>
          <w:color w:val="auto"/>
          <w:sz w:val="24"/>
          <w:highlight w:val="none"/>
        </w:rPr>
        <w:t>深圳市财政局关于贯彻落实政府采购本国产品标准及相关政策的通知</w:t>
      </w:r>
    </w:p>
    <w:p>
      <w:pPr>
        <w:tabs>
          <w:tab w:val="left" w:pos="360"/>
        </w:tabs>
        <w:outlineLvl w:val="1"/>
        <w:rPr>
          <w:rFonts w:hint="eastAsia" w:ascii="宋体" w:hAnsi="宋体" w:cs="宋体"/>
          <w:b/>
          <w:bCs/>
          <w:color w:val="auto"/>
          <w:sz w:val="24"/>
          <w:highlight w:val="none"/>
        </w:rPr>
      </w:pPr>
      <w:r>
        <w:rPr>
          <w:rFonts w:hint="eastAsia" w:ascii="宋体" w:hAnsi="宋体" w:cs="宋体"/>
          <w:b/>
          <w:bCs/>
          <w:color w:val="auto"/>
          <w:sz w:val="24"/>
          <w:highlight w:val="none"/>
        </w:rPr>
        <w:t>https://www.sz.gov.cn/cn/xxgk/zfxxgj/tzgg/content/post_12577672.html</w:t>
      </w:r>
    </w:p>
    <w:p>
      <w:pPr>
        <w:tabs>
          <w:tab w:val="left" w:pos="360"/>
        </w:tabs>
        <w:outlineLvl w:val="1"/>
        <w:rPr>
          <w:rFonts w:hint="eastAsia" w:ascii="宋体" w:hAnsi="宋体" w:cs="宋体"/>
          <w:b/>
          <w:bCs/>
          <w:color w:val="auto"/>
          <w:sz w:val="24"/>
          <w:highlight w:val="none"/>
        </w:rPr>
      </w:pPr>
      <w:r>
        <w:rPr>
          <w:rFonts w:hint="eastAsia" w:ascii="宋体" w:hAnsi="宋体" w:cs="宋体"/>
          <w:b/>
          <w:bCs/>
          <w:color w:val="auto"/>
          <w:sz w:val="24"/>
          <w:highlight w:val="none"/>
        </w:rPr>
        <w:t>财政部有关负责人就《关于在政府采购中实施本国产品标准及相关政策的通知》答记者问</w:t>
      </w:r>
    </w:p>
    <w:p>
      <w:pPr>
        <w:tabs>
          <w:tab w:val="left" w:pos="360"/>
        </w:tabs>
        <w:spacing w:line="360" w:lineRule="auto"/>
        <w:outlineLvl w:val="1"/>
        <w:rPr>
          <w:rFonts w:hint="eastAsia" w:ascii="宋体" w:hAnsi="宋体" w:cs="宋体"/>
          <w:b/>
          <w:bCs/>
          <w:color w:val="auto"/>
          <w:sz w:val="24"/>
          <w:highlight w:val="none"/>
        </w:rPr>
      </w:pPr>
      <w:r>
        <w:rPr>
          <w:rFonts w:hint="eastAsia" w:ascii="宋体" w:hAnsi="宋体" w:cs="宋体"/>
          <w:b/>
          <w:bCs/>
          <w:color w:val="auto"/>
          <w:sz w:val="24"/>
          <w:highlight w:val="none"/>
        </w:rPr>
        <w:t>http://www.ccgp.gov.cn/zcfg/zcjd/202509/t20250930_25456987.htm</w:t>
      </w:r>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4"/>
                      <w:jc w:val="right"/>
                    </w:pPr>
                    <w:r>
                      <w:rPr>
                        <w:rFonts w:ascii="宋体" w:hAnsi="宋体"/>
                        <w:sz w:val="28"/>
                        <w:szCs w:val="28"/>
                      </w:rPr>
                      <w:t xml:space="preserve">- </w:t>
                    </w:r>
                    <w:r>
                      <w:rPr>
                        <w:rFonts w:ascii="宋体" w:hAnsi="宋体"/>
                        <w:sz w:val="28"/>
                        <w:szCs w:val="28"/>
                      </w:rPr>
                      <w:fldChar w:fldCharType="begin"/>
                    </w:r>
                    <w:r>
                      <w:rPr>
                        <w:rStyle w:val="25"/>
                        <w:rFonts w:ascii="宋体" w:hAnsi="宋体"/>
                        <w:sz w:val="28"/>
                        <w:szCs w:val="28"/>
                      </w:rPr>
                      <w:instrText xml:space="preserve">PAGE  </w:instrText>
                    </w:r>
                    <w:r>
                      <w:rPr>
                        <w:rFonts w:ascii="宋体" w:hAnsi="宋体"/>
                        <w:sz w:val="28"/>
                        <w:szCs w:val="28"/>
                      </w:rPr>
                      <w:fldChar w:fldCharType="separate"/>
                    </w:r>
                    <w:r>
                      <w:rPr>
                        <w:rStyle w:val="25"/>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E2BE74A2"/>
    <w:multiLevelType w:val="singleLevel"/>
    <w:tmpl w:val="E2BE74A2"/>
    <w:lvl w:ilvl="0" w:tentative="0">
      <w:start w:val="1"/>
      <w:numFmt w:val="chineseCounting"/>
      <w:suff w:val="nothing"/>
      <w:lvlText w:val="%1、"/>
      <w:lvlJc w:val="left"/>
      <w:rPr>
        <w:rFonts w:hint="eastAsia"/>
      </w:rPr>
    </w:lvl>
  </w:abstractNum>
  <w:abstractNum w:abstractNumId="2">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4">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hYjIwYTFkMDUyN2RmOGI2OTNiMWRjYmY5MjBlYTUifQ=="/>
  </w:docVars>
  <w:rsids>
    <w:rsidRoot w:val="00172A27"/>
    <w:rsid w:val="0009236C"/>
    <w:rsid w:val="00102FCF"/>
    <w:rsid w:val="00127819"/>
    <w:rsid w:val="00172A27"/>
    <w:rsid w:val="001D18BD"/>
    <w:rsid w:val="001D3334"/>
    <w:rsid w:val="001E733B"/>
    <w:rsid w:val="002D3A6D"/>
    <w:rsid w:val="003756CC"/>
    <w:rsid w:val="003E253F"/>
    <w:rsid w:val="00427844"/>
    <w:rsid w:val="00523433"/>
    <w:rsid w:val="00531F14"/>
    <w:rsid w:val="005B0D49"/>
    <w:rsid w:val="00621A13"/>
    <w:rsid w:val="006D5309"/>
    <w:rsid w:val="006F2692"/>
    <w:rsid w:val="00770252"/>
    <w:rsid w:val="007A52F5"/>
    <w:rsid w:val="00821404"/>
    <w:rsid w:val="00887555"/>
    <w:rsid w:val="00B7098E"/>
    <w:rsid w:val="00C26D89"/>
    <w:rsid w:val="00CF7C26"/>
    <w:rsid w:val="00D05268"/>
    <w:rsid w:val="00D47071"/>
    <w:rsid w:val="00E04AD1"/>
    <w:rsid w:val="00E75D82"/>
    <w:rsid w:val="00F06F37"/>
    <w:rsid w:val="010C37B8"/>
    <w:rsid w:val="016F05E9"/>
    <w:rsid w:val="01A11967"/>
    <w:rsid w:val="01BD17FD"/>
    <w:rsid w:val="023D35FF"/>
    <w:rsid w:val="0273635F"/>
    <w:rsid w:val="02B9090A"/>
    <w:rsid w:val="02BD3216"/>
    <w:rsid w:val="031107FC"/>
    <w:rsid w:val="03344889"/>
    <w:rsid w:val="03510688"/>
    <w:rsid w:val="03C80805"/>
    <w:rsid w:val="04220A01"/>
    <w:rsid w:val="05024E58"/>
    <w:rsid w:val="05690583"/>
    <w:rsid w:val="05D84CA5"/>
    <w:rsid w:val="05EB2641"/>
    <w:rsid w:val="063313B4"/>
    <w:rsid w:val="071333A8"/>
    <w:rsid w:val="07552703"/>
    <w:rsid w:val="077AF5D6"/>
    <w:rsid w:val="07D06FDE"/>
    <w:rsid w:val="07DB29DD"/>
    <w:rsid w:val="080C03AA"/>
    <w:rsid w:val="085A6660"/>
    <w:rsid w:val="088C4E09"/>
    <w:rsid w:val="08C71150"/>
    <w:rsid w:val="09A36B41"/>
    <w:rsid w:val="09F61D50"/>
    <w:rsid w:val="0A183285"/>
    <w:rsid w:val="0AC01C39"/>
    <w:rsid w:val="0B1A27AE"/>
    <w:rsid w:val="0B30205B"/>
    <w:rsid w:val="0B4763CB"/>
    <w:rsid w:val="0B9650E5"/>
    <w:rsid w:val="0BCC6A37"/>
    <w:rsid w:val="0BD45EF5"/>
    <w:rsid w:val="0BE87414"/>
    <w:rsid w:val="0BF67D6A"/>
    <w:rsid w:val="0C4D7368"/>
    <w:rsid w:val="0C6C4A39"/>
    <w:rsid w:val="0CA713D7"/>
    <w:rsid w:val="0CCB3933"/>
    <w:rsid w:val="0CF00E5F"/>
    <w:rsid w:val="0D376BE5"/>
    <w:rsid w:val="0DB46393"/>
    <w:rsid w:val="0DBFF8A4"/>
    <w:rsid w:val="0DC72A24"/>
    <w:rsid w:val="0E0636C2"/>
    <w:rsid w:val="0E541CB6"/>
    <w:rsid w:val="0F226313"/>
    <w:rsid w:val="0F260153"/>
    <w:rsid w:val="0F9B909F"/>
    <w:rsid w:val="0FA94F43"/>
    <w:rsid w:val="0FBC28CC"/>
    <w:rsid w:val="0FCD39F5"/>
    <w:rsid w:val="0FFE3C2D"/>
    <w:rsid w:val="10762E0F"/>
    <w:rsid w:val="117C6F5F"/>
    <w:rsid w:val="12117034"/>
    <w:rsid w:val="122F0D51"/>
    <w:rsid w:val="126D9995"/>
    <w:rsid w:val="12EA61D9"/>
    <w:rsid w:val="12ED74B0"/>
    <w:rsid w:val="12F47908"/>
    <w:rsid w:val="13BB0907"/>
    <w:rsid w:val="140D3389"/>
    <w:rsid w:val="15297246"/>
    <w:rsid w:val="156E66B6"/>
    <w:rsid w:val="15787C5B"/>
    <w:rsid w:val="162D45A8"/>
    <w:rsid w:val="168B5553"/>
    <w:rsid w:val="17067F0C"/>
    <w:rsid w:val="1717300A"/>
    <w:rsid w:val="175D30A4"/>
    <w:rsid w:val="178E628A"/>
    <w:rsid w:val="17974DC1"/>
    <w:rsid w:val="1797A8E8"/>
    <w:rsid w:val="17AFCD58"/>
    <w:rsid w:val="17BF9709"/>
    <w:rsid w:val="17DFB82A"/>
    <w:rsid w:val="17E41A7D"/>
    <w:rsid w:val="17F75E1A"/>
    <w:rsid w:val="17F917F2"/>
    <w:rsid w:val="18235CAA"/>
    <w:rsid w:val="18270E2D"/>
    <w:rsid w:val="18B65219"/>
    <w:rsid w:val="18BD7EDC"/>
    <w:rsid w:val="198C2042"/>
    <w:rsid w:val="199D0E65"/>
    <w:rsid w:val="19D86C84"/>
    <w:rsid w:val="19FA3545"/>
    <w:rsid w:val="1A035868"/>
    <w:rsid w:val="1A827038"/>
    <w:rsid w:val="1AD3361A"/>
    <w:rsid w:val="1AF56CB1"/>
    <w:rsid w:val="1B1D4692"/>
    <w:rsid w:val="1B3C173F"/>
    <w:rsid w:val="1B7F54A3"/>
    <w:rsid w:val="1B7FF535"/>
    <w:rsid w:val="1BBFE1C1"/>
    <w:rsid w:val="1BFDEAE4"/>
    <w:rsid w:val="1BFFE856"/>
    <w:rsid w:val="1C215235"/>
    <w:rsid w:val="1CAF6DFF"/>
    <w:rsid w:val="1CBF97F2"/>
    <w:rsid w:val="1D9A259A"/>
    <w:rsid w:val="1DEBDB17"/>
    <w:rsid w:val="1E7EB620"/>
    <w:rsid w:val="1E8D5784"/>
    <w:rsid w:val="1E8E7398"/>
    <w:rsid w:val="1EDD6EA9"/>
    <w:rsid w:val="1EF7CA78"/>
    <w:rsid w:val="1EFF6F72"/>
    <w:rsid w:val="1F0A1722"/>
    <w:rsid w:val="1F0A406F"/>
    <w:rsid w:val="1F1D05E3"/>
    <w:rsid w:val="1F2129EB"/>
    <w:rsid w:val="1F25C25A"/>
    <w:rsid w:val="1F3670F2"/>
    <w:rsid w:val="1F5BAC61"/>
    <w:rsid w:val="1F5D2FD1"/>
    <w:rsid w:val="1F6EF29D"/>
    <w:rsid w:val="1F7F4BF3"/>
    <w:rsid w:val="1FAFF4B3"/>
    <w:rsid w:val="1FB7081D"/>
    <w:rsid w:val="1FBAC58D"/>
    <w:rsid w:val="1FBBF8DB"/>
    <w:rsid w:val="1FD6A300"/>
    <w:rsid w:val="1FD96C40"/>
    <w:rsid w:val="1FFF9FA2"/>
    <w:rsid w:val="207865DF"/>
    <w:rsid w:val="20A4382C"/>
    <w:rsid w:val="210668C5"/>
    <w:rsid w:val="213740D6"/>
    <w:rsid w:val="216300BC"/>
    <w:rsid w:val="2185500C"/>
    <w:rsid w:val="21A92B96"/>
    <w:rsid w:val="2260669D"/>
    <w:rsid w:val="227D45A9"/>
    <w:rsid w:val="22C43BD8"/>
    <w:rsid w:val="22E21BC4"/>
    <w:rsid w:val="23452D9E"/>
    <w:rsid w:val="23560866"/>
    <w:rsid w:val="23BF0D43"/>
    <w:rsid w:val="23D13C15"/>
    <w:rsid w:val="23D64C00"/>
    <w:rsid w:val="24495099"/>
    <w:rsid w:val="248D3582"/>
    <w:rsid w:val="25747400"/>
    <w:rsid w:val="25801095"/>
    <w:rsid w:val="25D977F1"/>
    <w:rsid w:val="260D2D7B"/>
    <w:rsid w:val="263C7034"/>
    <w:rsid w:val="2675E140"/>
    <w:rsid w:val="26E2701C"/>
    <w:rsid w:val="270049A8"/>
    <w:rsid w:val="271C5A1C"/>
    <w:rsid w:val="271F938A"/>
    <w:rsid w:val="2734033D"/>
    <w:rsid w:val="27636103"/>
    <w:rsid w:val="27BE2A52"/>
    <w:rsid w:val="27E880B4"/>
    <w:rsid w:val="27F26299"/>
    <w:rsid w:val="27F55E0F"/>
    <w:rsid w:val="27FE33CE"/>
    <w:rsid w:val="28641D7B"/>
    <w:rsid w:val="286533D6"/>
    <w:rsid w:val="28977EA2"/>
    <w:rsid w:val="289A3AA3"/>
    <w:rsid w:val="29A1025D"/>
    <w:rsid w:val="29FE78EE"/>
    <w:rsid w:val="2A002FA0"/>
    <w:rsid w:val="2A3F4BF5"/>
    <w:rsid w:val="2AADC391"/>
    <w:rsid w:val="2AAF4215"/>
    <w:rsid w:val="2AB928BF"/>
    <w:rsid w:val="2AC31C1F"/>
    <w:rsid w:val="2ADF707C"/>
    <w:rsid w:val="2AF54989"/>
    <w:rsid w:val="2AFE060C"/>
    <w:rsid w:val="2B2B082F"/>
    <w:rsid w:val="2B7D0165"/>
    <w:rsid w:val="2BB9C8F2"/>
    <w:rsid w:val="2BFB6E8B"/>
    <w:rsid w:val="2BFFB032"/>
    <w:rsid w:val="2C2C71F8"/>
    <w:rsid w:val="2C4F242F"/>
    <w:rsid w:val="2C5FE643"/>
    <w:rsid w:val="2C667A3B"/>
    <w:rsid w:val="2C7C2E07"/>
    <w:rsid w:val="2D521EA7"/>
    <w:rsid w:val="2D620DD8"/>
    <w:rsid w:val="2D8C184B"/>
    <w:rsid w:val="2DAE0518"/>
    <w:rsid w:val="2DC86A18"/>
    <w:rsid w:val="2DDF7CF0"/>
    <w:rsid w:val="2DFF5839"/>
    <w:rsid w:val="2E3E806D"/>
    <w:rsid w:val="2E5F5866"/>
    <w:rsid w:val="2EBC3384"/>
    <w:rsid w:val="2EEF79C5"/>
    <w:rsid w:val="2EF45D6A"/>
    <w:rsid w:val="2EF7EE3A"/>
    <w:rsid w:val="2F1E7EEA"/>
    <w:rsid w:val="2F32348A"/>
    <w:rsid w:val="2F4C0476"/>
    <w:rsid w:val="2F6F2DA0"/>
    <w:rsid w:val="2F6F565C"/>
    <w:rsid w:val="2F7FF788"/>
    <w:rsid w:val="2F9B0E34"/>
    <w:rsid w:val="2FB77A4C"/>
    <w:rsid w:val="2FEAA120"/>
    <w:rsid w:val="2FFDCAA5"/>
    <w:rsid w:val="308A48AC"/>
    <w:rsid w:val="310061F3"/>
    <w:rsid w:val="317F7117"/>
    <w:rsid w:val="319B575E"/>
    <w:rsid w:val="31B72E5C"/>
    <w:rsid w:val="327E298B"/>
    <w:rsid w:val="32AE6949"/>
    <w:rsid w:val="32F40FD3"/>
    <w:rsid w:val="32F61227"/>
    <w:rsid w:val="32F977F1"/>
    <w:rsid w:val="32FF0317"/>
    <w:rsid w:val="33507C0B"/>
    <w:rsid w:val="337AE2D6"/>
    <w:rsid w:val="33DEF139"/>
    <w:rsid w:val="33E52AA0"/>
    <w:rsid w:val="33F915CE"/>
    <w:rsid w:val="33F9C19C"/>
    <w:rsid w:val="346DC6E6"/>
    <w:rsid w:val="34830033"/>
    <w:rsid w:val="34D5481E"/>
    <w:rsid w:val="3535527B"/>
    <w:rsid w:val="35874349"/>
    <w:rsid w:val="35D703D8"/>
    <w:rsid w:val="35E75334"/>
    <w:rsid w:val="35EB6C31"/>
    <w:rsid w:val="35F7ACF4"/>
    <w:rsid w:val="36A45948"/>
    <w:rsid w:val="36B772DB"/>
    <w:rsid w:val="36BDDA7C"/>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0347B6"/>
    <w:rsid w:val="38607A0E"/>
    <w:rsid w:val="38791C4D"/>
    <w:rsid w:val="38A96204"/>
    <w:rsid w:val="38DCE36B"/>
    <w:rsid w:val="3948288A"/>
    <w:rsid w:val="397B1CE6"/>
    <w:rsid w:val="397E758C"/>
    <w:rsid w:val="399333C8"/>
    <w:rsid w:val="3A456D67"/>
    <w:rsid w:val="3A626B85"/>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EF679B"/>
    <w:rsid w:val="3CFC7333"/>
    <w:rsid w:val="3D146668"/>
    <w:rsid w:val="3D5358A8"/>
    <w:rsid w:val="3D6F35BF"/>
    <w:rsid w:val="3D84435C"/>
    <w:rsid w:val="3DB03A24"/>
    <w:rsid w:val="3DBDE794"/>
    <w:rsid w:val="3DBFC698"/>
    <w:rsid w:val="3DDA1239"/>
    <w:rsid w:val="3DDF4999"/>
    <w:rsid w:val="3DEAAE5D"/>
    <w:rsid w:val="3DFEF73F"/>
    <w:rsid w:val="3E31A9C9"/>
    <w:rsid w:val="3E5F686C"/>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3FFFA99F"/>
    <w:rsid w:val="40226BDD"/>
    <w:rsid w:val="4050335B"/>
    <w:rsid w:val="40810FC8"/>
    <w:rsid w:val="41CF6829"/>
    <w:rsid w:val="42337B3F"/>
    <w:rsid w:val="427D40B5"/>
    <w:rsid w:val="43A86F10"/>
    <w:rsid w:val="440918F1"/>
    <w:rsid w:val="447D7569"/>
    <w:rsid w:val="44B52210"/>
    <w:rsid w:val="44CB1698"/>
    <w:rsid w:val="44F324D8"/>
    <w:rsid w:val="455B5B96"/>
    <w:rsid w:val="459C5D66"/>
    <w:rsid w:val="459E2651"/>
    <w:rsid w:val="459F5CA0"/>
    <w:rsid w:val="45C41A3D"/>
    <w:rsid w:val="45DEE966"/>
    <w:rsid w:val="462D6801"/>
    <w:rsid w:val="469D7925"/>
    <w:rsid w:val="46DC3CB7"/>
    <w:rsid w:val="46EA32A6"/>
    <w:rsid w:val="47053F7C"/>
    <w:rsid w:val="4706073F"/>
    <w:rsid w:val="47775721"/>
    <w:rsid w:val="478563C6"/>
    <w:rsid w:val="47C60945"/>
    <w:rsid w:val="47E9A1A0"/>
    <w:rsid w:val="48002B88"/>
    <w:rsid w:val="480E6DE3"/>
    <w:rsid w:val="48104CEF"/>
    <w:rsid w:val="484F4B48"/>
    <w:rsid w:val="48605FCE"/>
    <w:rsid w:val="48C06477"/>
    <w:rsid w:val="48C3322B"/>
    <w:rsid w:val="48F14BF7"/>
    <w:rsid w:val="4945059D"/>
    <w:rsid w:val="49BEA124"/>
    <w:rsid w:val="49CC6CB6"/>
    <w:rsid w:val="4A0E3639"/>
    <w:rsid w:val="4A6202EB"/>
    <w:rsid w:val="4A7C4FC1"/>
    <w:rsid w:val="4A9A6CAF"/>
    <w:rsid w:val="4A9C5875"/>
    <w:rsid w:val="4AFD4615"/>
    <w:rsid w:val="4B454A0A"/>
    <w:rsid w:val="4B5A3FD8"/>
    <w:rsid w:val="4B887951"/>
    <w:rsid w:val="4BC20883"/>
    <w:rsid w:val="4C251B2D"/>
    <w:rsid w:val="4CF92E7B"/>
    <w:rsid w:val="4CFA5D90"/>
    <w:rsid w:val="4CFB6B2C"/>
    <w:rsid w:val="4D1DB812"/>
    <w:rsid w:val="4D357CE0"/>
    <w:rsid w:val="4D752558"/>
    <w:rsid w:val="4DAFC284"/>
    <w:rsid w:val="4DBB3E33"/>
    <w:rsid w:val="4DE3154B"/>
    <w:rsid w:val="4DF5D2BF"/>
    <w:rsid w:val="4E5655E3"/>
    <w:rsid w:val="4ECD7EB5"/>
    <w:rsid w:val="4EDE35AC"/>
    <w:rsid w:val="4F640F18"/>
    <w:rsid w:val="4F7E3902"/>
    <w:rsid w:val="4F9A44F8"/>
    <w:rsid w:val="4F9F214B"/>
    <w:rsid w:val="4FF363B3"/>
    <w:rsid w:val="4FF395E6"/>
    <w:rsid w:val="4FFA569E"/>
    <w:rsid w:val="4FFF7B66"/>
    <w:rsid w:val="50DB1678"/>
    <w:rsid w:val="51487335"/>
    <w:rsid w:val="51947DA6"/>
    <w:rsid w:val="51BCFBE2"/>
    <w:rsid w:val="51E01C33"/>
    <w:rsid w:val="51E44568"/>
    <w:rsid w:val="51F15DFD"/>
    <w:rsid w:val="51FF628E"/>
    <w:rsid w:val="522BBFAA"/>
    <w:rsid w:val="522D533A"/>
    <w:rsid w:val="53252976"/>
    <w:rsid w:val="53401509"/>
    <w:rsid w:val="534D53DE"/>
    <w:rsid w:val="53543ED7"/>
    <w:rsid w:val="536433D3"/>
    <w:rsid w:val="536F6462"/>
    <w:rsid w:val="53AA5170"/>
    <w:rsid w:val="53BD2119"/>
    <w:rsid w:val="547C1168"/>
    <w:rsid w:val="549324D8"/>
    <w:rsid w:val="54C469E3"/>
    <w:rsid w:val="553C7A36"/>
    <w:rsid w:val="555C367B"/>
    <w:rsid w:val="5567BD2F"/>
    <w:rsid w:val="557D857A"/>
    <w:rsid w:val="557F84E0"/>
    <w:rsid w:val="55A211BE"/>
    <w:rsid w:val="55E7D38E"/>
    <w:rsid w:val="55F80356"/>
    <w:rsid w:val="55FF196E"/>
    <w:rsid w:val="567B2EA4"/>
    <w:rsid w:val="568A7075"/>
    <w:rsid w:val="56C7BF65"/>
    <w:rsid w:val="56DEF74B"/>
    <w:rsid w:val="56F52AF0"/>
    <w:rsid w:val="57380BEA"/>
    <w:rsid w:val="575DDB48"/>
    <w:rsid w:val="57A782E9"/>
    <w:rsid w:val="57A927F5"/>
    <w:rsid w:val="57BD2EED"/>
    <w:rsid w:val="57BFE2CB"/>
    <w:rsid w:val="57F758DB"/>
    <w:rsid w:val="57FF3DFF"/>
    <w:rsid w:val="57FF4AD2"/>
    <w:rsid w:val="57FF623F"/>
    <w:rsid w:val="57FFB7BC"/>
    <w:rsid w:val="585A0DAA"/>
    <w:rsid w:val="58E55E64"/>
    <w:rsid w:val="593739B8"/>
    <w:rsid w:val="593E081A"/>
    <w:rsid w:val="59C9319A"/>
    <w:rsid w:val="59D63A74"/>
    <w:rsid w:val="59D714F6"/>
    <w:rsid w:val="59DFFD93"/>
    <w:rsid w:val="5A4947D3"/>
    <w:rsid w:val="5AA31D95"/>
    <w:rsid w:val="5ABB1050"/>
    <w:rsid w:val="5AF93469"/>
    <w:rsid w:val="5B2D4472"/>
    <w:rsid w:val="5B3B3860"/>
    <w:rsid w:val="5B5D2F92"/>
    <w:rsid w:val="5B7DDC28"/>
    <w:rsid w:val="5B7F624A"/>
    <w:rsid w:val="5B9A2095"/>
    <w:rsid w:val="5BE72AE1"/>
    <w:rsid w:val="5BEB75A4"/>
    <w:rsid w:val="5BF42BBB"/>
    <w:rsid w:val="5BFD333D"/>
    <w:rsid w:val="5BFFD5F5"/>
    <w:rsid w:val="5C1D463B"/>
    <w:rsid w:val="5C57696D"/>
    <w:rsid w:val="5CEE1D98"/>
    <w:rsid w:val="5CF634E9"/>
    <w:rsid w:val="5D355CB4"/>
    <w:rsid w:val="5D5D99E9"/>
    <w:rsid w:val="5D7B4602"/>
    <w:rsid w:val="5D7FC7C9"/>
    <w:rsid w:val="5D9952E5"/>
    <w:rsid w:val="5D9A46F0"/>
    <w:rsid w:val="5DAD523C"/>
    <w:rsid w:val="5DAF0801"/>
    <w:rsid w:val="5DEE2A2A"/>
    <w:rsid w:val="5DEEFCE9"/>
    <w:rsid w:val="5DF7BECE"/>
    <w:rsid w:val="5DFB00CC"/>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166FCB"/>
    <w:rsid w:val="5F2D046E"/>
    <w:rsid w:val="5F3C7A35"/>
    <w:rsid w:val="5F3EE51C"/>
    <w:rsid w:val="5F487ACD"/>
    <w:rsid w:val="5F4E1719"/>
    <w:rsid w:val="5F4ED10A"/>
    <w:rsid w:val="5F622E52"/>
    <w:rsid w:val="5F7D5BE8"/>
    <w:rsid w:val="5F7F3DD2"/>
    <w:rsid w:val="5F7F49C8"/>
    <w:rsid w:val="5FA01D10"/>
    <w:rsid w:val="5FA77A2C"/>
    <w:rsid w:val="5FD70E51"/>
    <w:rsid w:val="5FDF10FF"/>
    <w:rsid w:val="5FDFE6D0"/>
    <w:rsid w:val="5FED422E"/>
    <w:rsid w:val="5FF48D17"/>
    <w:rsid w:val="5FF6893A"/>
    <w:rsid w:val="5FF8AACB"/>
    <w:rsid w:val="5FFB4E30"/>
    <w:rsid w:val="5FFB4F3D"/>
    <w:rsid w:val="5FFD8CB0"/>
    <w:rsid w:val="5FFF5037"/>
    <w:rsid w:val="5FFFE862"/>
    <w:rsid w:val="607D3748"/>
    <w:rsid w:val="610C3A9C"/>
    <w:rsid w:val="615C31E8"/>
    <w:rsid w:val="61B62DA1"/>
    <w:rsid w:val="61C80A51"/>
    <w:rsid w:val="61FF5178"/>
    <w:rsid w:val="6243437A"/>
    <w:rsid w:val="62616D7C"/>
    <w:rsid w:val="627276F4"/>
    <w:rsid w:val="628D14F2"/>
    <w:rsid w:val="62BD4574"/>
    <w:rsid w:val="6325773C"/>
    <w:rsid w:val="634C1706"/>
    <w:rsid w:val="63B27A00"/>
    <w:rsid w:val="63B63069"/>
    <w:rsid w:val="63E57C7D"/>
    <w:rsid w:val="64BE3C7F"/>
    <w:rsid w:val="64C200F2"/>
    <w:rsid w:val="64F57139"/>
    <w:rsid w:val="65655C60"/>
    <w:rsid w:val="6593F782"/>
    <w:rsid w:val="65BE74B1"/>
    <w:rsid w:val="65FD1E19"/>
    <w:rsid w:val="65FE0871"/>
    <w:rsid w:val="6609095A"/>
    <w:rsid w:val="66390EEC"/>
    <w:rsid w:val="66613576"/>
    <w:rsid w:val="66720F9F"/>
    <w:rsid w:val="66BB5DAD"/>
    <w:rsid w:val="66E7865B"/>
    <w:rsid w:val="66F7B9BD"/>
    <w:rsid w:val="66FF70F4"/>
    <w:rsid w:val="672F4BD5"/>
    <w:rsid w:val="67A30EFF"/>
    <w:rsid w:val="67CD7F64"/>
    <w:rsid w:val="67E75822"/>
    <w:rsid w:val="67FBCA81"/>
    <w:rsid w:val="67FEC540"/>
    <w:rsid w:val="67FF1566"/>
    <w:rsid w:val="67FF8842"/>
    <w:rsid w:val="68174789"/>
    <w:rsid w:val="688B16B1"/>
    <w:rsid w:val="692A7449"/>
    <w:rsid w:val="692F6BC7"/>
    <w:rsid w:val="696D3286"/>
    <w:rsid w:val="69D65C98"/>
    <w:rsid w:val="6A136F29"/>
    <w:rsid w:val="6A4176E3"/>
    <w:rsid w:val="6A835E5D"/>
    <w:rsid w:val="6AE517EE"/>
    <w:rsid w:val="6B0F7019"/>
    <w:rsid w:val="6B7DB2B6"/>
    <w:rsid w:val="6BA60BF0"/>
    <w:rsid w:val="6BAD01AB"/>
    <w:rsid w:val="6BB585A9"/>
    <w:rsid w:val="6BBB65E2"/>
    <w:rsid w:val="6BEC1818"/>
    <w:rsid w:val="6BEEC337"/>
    <w:rsid w:val="6BFB3942"/>
    <w:rsid w:val="6BFC154B"/>
    <w:rsid w:val="6BFDD94E"/>
    <w:rsid w:val="6BFE6227"/>
    <w:rsid w:val="6BFF005A"/>
    <w:rsid w:val="6BFF12B7"/>
    <w:rsid w:val="6C1FE371"/>
    <w:rsid w:val="6C32189C"/>
    <w:rsid w:val="6C7B0821"/>
    <w:rsid w:val="6C7F72AC"/>
    <w:rsid w:val="6C892D57"/>
    <w:rsid w:val="6CE16F10"/>
    <w:rsid w:val="6CF9A775"/>
    <w:rsid w:val="6D5050C7"/>
    <w:rsid w:val="6D934609"/>
    <w:rsid w:val="6DBDB722"/>
    <w:rsid w:val="6DBF8B77"/>
    <w:rsid w:val="6DDFE8A4"/>
    <w:rsid w:val="6DF5168E"/>
    <w:rsid w:val="6DFF204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B35245"/>
    <w:rsid w:val="6FB86FC2"/>
    <w:rsid w:val="6FBD3BBF"/>
    <w:rsid w:val="6FCF2F80"/>
    <w:rsid w:val="6FD5E567"/>
    <w:rsid w:val="6FDBF1A1"/>
    <w:rsid w:val="6FDCF403"/>
    <w:rsid w:val="6FDF4A62"/>
    <w:rsid w:val="6FE6ECA6"/>
    <w:rsid w:val="6FEC0EF8"/>
    <w:rsid w:val="6FEE3D9A"/>
    <w:rsid w:val="6FEF3E9F"/>
    <w:rsid w:val="6FFD0C97"/>
    <w:rsid w:val="6FFD15F0"/>
    <w:rsid w:val="6FFECEB9"/>
    <w:rsid w:val="6FFF08FD"/>
    <w:rsid w:val="6FFF2AF0"/>
    <w:rsid w:val="6FFF45DC"/>
    <w:rsid w:val="7080499D"/>
    <w:rsid w:val="7082711C"/>
    <w:rsid w:val="70F12FC6"/>
    <w:rsid w:val="713D8E73"/>
    <w:rsid w:val="713F17D9"/>
    <w:rsid w:val="71AC1F64"/>
    <w:rsid w:val="71BF5DB7"/>
    <w:rsid w:val="71E85758"/>
    <w:rsid w:val="72100F31"/>
    <w:rsid w:val="72445F08"/>
    <w:rsid w:val="72BD5FD5"/>
    <w:rsid w:val="72BF09DC"/>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69398E"/>
    <w:rsid w:val="74AE9EF4"/>
    <w:rsid w:val="74B15673"/>
    <w:rsid w:val="74BAFA3F"/>
    <w:rsid w:val="74FE88D1"/>
    <w:rsid w:val="750B3103"/>
    <w:rsid w:val="757B8C15"/>
    <w:rsid w:val="75B556EC"/>
    <w:rsid w:val="75B70450"/>
    <w:rsid w:val="75B7E9C3"/>
    <w:rsid w:val="75DE6D1A"/>
    <w:rsid w:val="75E13102"/>
    <w:rsid w:val="75FF3FD3"/>
    <w:rsid w:val="76423220"/>
    <w:rsid w:val="7688309F"/>
    <w:rsid w:val="769E28CC"/>
    <w:rsid w:val="76A43029"/>
    <w:rsid w:val="76CFB604"/>
    <w:rsid w:val="76D4452A"/>
    <w:rsid w:val="76EB13C1"/>
    <w:rsid w:val="76EF4444"/>
    <w:rsid w:val="76FB10EB"/>
    <w:rsid w:val="76FD926B"/>
    <w:rsid w:val="76FF9977"/>
    <w:rsid w:val="773FD046"/>
    <w:rsid w:val="77520F35"/>
    <w:rsid w:val="7759F936"/>
    <w:rsid w:val="77633287"/>
    <w:rsid w:val="776FD87D"/>
    <w:rsid w:val="77747C81"/>
    <w:rsid w:val="777BDA6A"/>
    <w:rsid w:val="777F79C7"/>
    <w:rsid w:val="777F843E"/>
    <w:rsid w:val="777FC199"/>
    <w:rsid w:val="778BDCF1"/>
    <w:rsid w:val="77ABAAEB"/>
    <w:rsid w:val="77ADA65E"/>
    <w:rsid w:val="77B27D81"/>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8A21633"/>
    <w:rsid w:val="7972DF47"/>
    <w:rsid w:val="797BCC08"/>
    <w:rsid w:val="799E691A"/>
    <w:rsid w:val="799F4D91"/>
    <w:rsid w:val="79BA2FEC"/>
    <w:rsid w:val="79DA45DF"/>
    <w:rsid w:val="79EF2068"/>
    <w:rsid w:val="79EFC2ED"/>
    <w:rsid w:val="79FF532C"/>
    <w:rsid w:val="7A0A7A48"/>
    <w:rsid w:val="7A3EA76F"/>
    <w:rsid w:val="7A6BC49B"/>
    <w:rsid w:val="7A7719EE"/>
    <w:rsid w:val="7AF1A2F4"/>
    <w:rsid w:val="7AF66DB7"/>
    <w:rsid w:val="7B0D6371"/>
    <w:rsid w:val="7B180978"/>
    <w:rsid w:val="7B1DA959"/>
    <w:rsid w:val="7B3D1ACD"/>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262AEC"/>
    <w:rsid w:val="7C3F1A46"/>
    <w:rsid w:val="7C6BE0FE"/>
    <w:rsid w:val="7C6E1534"/>
    <w:rsid w:val="7C7531B8"/>
    <w:rsid w:val="7C7B6AC3"/>
    <w:rsid w:val="7C7BA9C8"/>
    <w:rsid w:val="7C9BD21E"/>
    <w:rsid w:val="7CA02A6A"/>
    <w:rsid w:val="7CB5EBE6"/>
    <w:rsid w:val="7CD30860"/>
    <w:rsid w:val="7CF5B1E8"/>
    <w:rsid w:val="7CF71E25"/>
    <w:rsid w:val="7CF78C98"/>
    <w:rsid w:val="7CFF5EAB"/>
    <w:rsid w:val="7D3B0B84"/>
    <w:rsid w:val="7D433BFD"/>
    <w:rsid w:val="7D518BB4"/>
    <w:rsid w:val="7D57321B"/>
    <w:rsid w:val="7D5B5C79"/>
    <w:rsid w:val="7D770A6F"/>
    <w:rsid w:val="7D7F1A16"/>
    <w:rsid w:val="7D860508"/>
    <w:rsid w:val="7D9C1EA2"/>
    <w:rsid w:val="7DBAE706"/>
    <w:rsid w:val="7DBF3103"/>
    <w:rsid w:val="7DC8B4CE"/>
    <w:rsid w:val="7DCD2E4C"/>
    <w:rsid w:val="7DCFFCA0"/>
    <w:rsid w:val="7DD222C4"/>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F81E0"/>
    <w:rsid w:val="7EDFB9CE"/>
    <w:rsid w:val="7EF4280A"/>
    <w:rsid w:val="7EF73F35"/>
    <w:rsid w:val="7EFA749D"/>
    <w:rsid w:val="7EFD617A"/>
    <w:rsid w:val="7EFDD9F4"/>
    <w:rsid w:val="7F153A07"/>
    <w:rsid w:val="7F4F6B62"/>
    <w:rsid w:val="7F557C0B"/>
    <w:rsid w:val="7F5657E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9F9619"/>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337FA86"/>
    <w:rsid w:val="94FF7365"/>
    <w:rsid w:val="97D76740"/>
    <w:rsid w:val="97F55F0F"/>
    <w:rsid w:val="99EF7EA1"/>
    <w:rsid w:val="9B59490C"/>
    <w:rsid w:val="9B773F67"/>
    <w:rsid w:val="9B7F72A1"/>
    <w:rsid w:val="9BF07231"/>
    <w:rsid w:val="9D2BF5B8"/>
    <w:rsid w:val="9DFAC422"/>
    <w:rsid w:val="9EEFA1BA"/>
    <w:rsid w:val="9F5D23DC"/>
    <w:rsid w:val="9F95275D"/>
    <w:rsid w:val="9FDB46F6"/>
    <w:rsid w:val="9FFA5A1E"/>
    <w:rsid w:val="9FFB7019"/>
    <w:rsid w:val="9FFB9088"/>
    <w:rsid w:val="9FFDB30E"/>
    <w:rsid w:val="9FFEF493"/>
    <w:rsid w:val="9FFF4F0A"/>
    <w:rsid w:val="A6EFCA9D"/>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DB1E20"/>
    <w:rsid w:val="BBF7EAC5"/>
    <w:rsid w:val="BCFF8224"/>
    <w:rsid w:val="BD5F71F8"/>
    <w:rsid w:val="BDBB51BC"/>
    <w:rsid w:val="BDCD8A47"/>
    <w:rsid w:val="BDD73F79"/>
    <w:rsid w:val="BDDD276F"/>
    <w:rsid w:val="BDF4583F"/>
    <w:rsid w:val="BDFF82DD"/>
    <w:rsid w:val="BDFF9C0A"/>
    <w:rsid w:val="BDFFB145"/>
    <w:rsid w:val="BE7F2934"/>
    <w:rsid w:val="BE7F7AFB"/>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2EB71C5"/>
    <w:rsid w:val="D467BB2F"/>
    <w:rsid w:val="D5F28C17"/>
    <w:rsid w:val="D5FD7C65"/>
    <w:rsid w:val="D6FB7D4A"/>
    <w:rsid w:val="D6FBD824"/>
    <w:rsid w:val="D7F768FF"/>
    <w:rsid w:val="D7FFB121"/>
    <w:rsid w:val="D9DFEB6F"/>
    <w:rsid w:val="DA3F11D2"/>
    <w:rsid w:val="DA77BF65"/>
    <w:rsid w:val="DA7EFCED"/>
    <w:rsid w:val="DA864DF8"/>
    <w:rsid w:val="DB3FB4A8"/>
    <w:rsid w:val="DB6F05CE"/>
    <w:rsid w:val="DB761A47"/>
    <w:rsid w:val="DB9CAD45"/>
    <w:rsid w:val="DBAD92EC"/>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9B2AC3"/>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710C8"/>
    <w:rsid w:val="EBDF5910"/>
    <w:rsid w:val="EBEFA3D3"/>
    <w:rsid w:val="EBFF07D8"/>
    <w:rsid w:val="ED6391F0"/>
    <w:rsid w:val="ED73AAC5"/>
    <w:rsid w:val="ED7BF5CC"/>
    <w:rsid w:val="EDEFB2A2"/>
    <w:rsid w:val="EDF7FA5F"/>
    <w:rsid w:val="EE9C973A"/>
    <w:rsid w:val="EEAF2439"/>
    <w:rsid w:val="EEBDBBD9"/>
    <w:rsid w:val="EEDCE468"/>
    <w:rsid w:val="EEF71889"/>
    <w:rsid w:val="EEF9CA46"/>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0F3CF55"/>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F5D"/>
    <w:rsid w:val="F7AD7728"/>
    <w:rsid w:val="F7B66E6B"/>
    <w:rsid w:val="F7BB4CE9"/>
    <w:rsid w:val="F7BBF82E"/>
    <w:rsid w:val="F7BE1D1A"/>
    <w:rsid w:val="F7BF626F"/>
    <w:rsid w:val="F7CF94B1"/>
    <w:rsid w:val="F7D7C933"/>
    <w:rsid w:val="F7D7E901"/>
    <w:rsid w:val="F7DD7EBA"/>
    <w:rsid w:val="F7E61377"/>
    <w:rsid w:val="F7F1D18D"/>
    <w:rsid w:val="F7FDABC8"/>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9B6EE5"/>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5FCF65"/>
    <w:rsid w:val="FF647DCA"/>
    <w:rsid w:val="FF694674"/>
    <w:rsid w:val="FF6F5256"/>
    <w:rsid w:val="FF73429B"/>
    <w:rsid w:val="FF77158C"/>
    <w:rsid w:val="FF78E636"/>
    <w:rsid w:val="FF7BC82F"/>
    <w:rsid w:val="FF7D02E5"/>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EE3A77"/>
    <w:rsid w:val="FFF2614D"/>
    <w:rsid w:val="FFF71634"/>
    <w:rsid w:val="FFF788E5"/>
    <w:rsid w:val="FFF7C9A4"/>
    <w:rsid w:val="FFF7DDB7"/>
    <w:rsid w:val="FFF91262"/>
    <w:rsid w:val="FFFD3583"/>
    <w:rsid w:val="FFFD5BAF"/>
    <w:rsid w:val="FFFDAABC"/>
    <w:rsid w:val="FFFDE7A9"/>
    <w:rsid w:val="FFFE0131"/>
    <w:rsid w:val="FFFF1242"/>
    <w:rsid w:val="FFFF287C"/>
    <w:rsid w:val="FFFFC76B"/>
    <w:rsid w:val="FFFFE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7"/>
    <w:link w:val="34"/>
    <w:unhideWhenUsed/>
    <w:qFormat/>
    <w:uiPriority w:val="99"/>
    <w:pPr>
      <w:spacing w:after="120"/>
    </w:pPr>
  </w:style>
  <w:style w:type="paragraph" w:styleId="7">
    <w:name w:val="Title"/>
    <w:basedOn w:val="1"/>
    <w:next w:val="1"/>
    <w:qFormat/>
    <w:uiPriority w:val="0"/>
    <w:pPr>
      <w:spacing w:before="240" w:after="60"/>
      <w:jc w:val="center"/>
      <w:outlineLvl w:val="0"/>
    </w:pPr>
    <w:rPr>
      <w:rFonts w:ascii="Arial" w:hAnsi="Arial" w:eastAsia="隶书"/>
      <w:b/>
      <w:bCs/>
      <w:sz w:val="32"/>
      <w:szCs w:val="32"/>
    </w:rPr>
  </w:style>
  <w:style w:type="paragraph" w:styleId="8">
    <w:name w:val="annotation text"/>
    <w:basedOn w:val="1"/>
    <w:link w:val="51"/>
    <w:unhideWhenUsed/>
    <w:qFormat/>
    <w:uiPriority w:val="0"/>
    <w:pPr>
      <w:jc w:val="left"/>
    </w:pPr>
    <w:rPr>
      <w:szCs w:val="21"/>
    </w:rPr>
  </w:style>
  <w:style w:type="paragraph" w:styleId="9">
    <w:name w:val="Body Text Indent"/>
    <w:basedOn w:val="1"/>
    <w:link w:val="37"/>
    <w:unhideWhenUsed/>
    <w:qFormat/>
    <w:uiPriority w:val="99"/>
    <w:pPr>
      <w:spacing w:after="120"/>
      <w:ind w:left="420" w:leftChars="200"/>
    </w:pPr>
    <w:rPr>
      <w:kern w:val="0"/>
      <w:sz w:val="20"/>
      <w:szCs w:val="20"/>
    </w:rPr>
  </w:style>
  <w:style w:type="paragraph" w:styleId="10">
    <w:name w:val="Block Text"/>
    <w:basedOn w:val="1"/>
    <w:unhideWhenUsed/>
    <w:qFormat/>
    <w:uiPriority w:val="99"/>
    <w:pPr>
      <w:spacing w:after="120"/>
      <w:ind w:left="1440" w:leftChars="700" w:right="1440" w:rightChars="700"/>
    </w:pPr>
  </w:style>
  <w:style w:type="paragraph" w:styleId="11">
    <w:name w:val="Plain Text"/>
    <w:basedOn w:val="1"/>
    <w:next w:val="12"/>
    <w:qFormat/>
    <w:uiPriority w:val="0"/>
    <w:rPr>
      <w:rFonts w:ascii="宋体" w:hAnsi="Courier New"/>
    </w:rPr>
  </w:style>
  <w:style w:type="paragraph" w:customStyle="1" w:styleId="1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13">
    <w:name w:val="Balloon Text"/>
    <w:basedOn w:val="1"/>
    <w:link w:val="33"/>
    <w:qFormat/>
    <w:uiPriority w:val="0"/>
    <w:rPr>
      <w:sz w:val="18"/>
      <w:szCs w:val="18"/>
    </w:rPr>
  </w:style>
  <w:style w:type="paragraph" w:styleId="14">
    <w:name w:val="footer"/>
    <w:basedOn w:val="1"/>
    <w:unhideWhenUsed/>
    <w:qFormat/>
    <w:uiPriority w:val="99"/>
    <w:pPr>
      <w:tabs>
        <w:tab w:val="center" w:pos="4153"/>
        <w:tab w:val="right" w:pos="8306"/>
      </w:tabs>
      <w:snapToGrid w:val="0"/>
      <w:jc w:val="left"/>
    </w:pPr>
    <w:rPr>
      <w:kern w:val="0"/>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6">
    <w:name w:val="toc 1"/>
    <w:basedOn w:val="1"/>
    <w:next w:val="1"/>
    <w:unhideWhenUsed/>
    <w:qFormat/>
    <w:uiPriority w:val="39"/>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annotation subject"/>
    <w:basedOn w:val="8"/>
    <w:next w:val="8"/>
    <w:link w:val="52"/>
    <w:qFormat/>
    <w:uiPriority w:val="0"/>
    <w:rPr>
      <w:b/>
      <w:bCs/>
      <w:szCs w:val="24"/>
    </w:rPr>
  </w:style>
  <w:style w:type="paragraph" w:styleId="20">
    <w:name w:val="Body Text First Indent"/>
    <w:basedOn w:val="6"/>
    <w:qFormat/>
    <w:uiPriority w:val="0"/>
    <w:pPr>
      <w:ind w:firstLine="420" w:firstLineChars="100"/>
    </w:pPr>
  </w:style>
  <w:style w:type="table" w:styleId="22">
    <w:name w:val="Table Grid"/>
    <w:basedOn w:val="21"/>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unhideWhenUsed/>
    <w:qFormat/>
    <w:uiPriority w:val="0"/>
    <w:rPr>
      <w:sz w:val="21"/>
      <w:szCs w:val="21"/>
    </w:rPr>
  </w:style>
  <w:style w:type="paragraph" w:styleId="27">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字符"/>
    <w:basedOn w:val="23"/>
    <w:link w:val="13"/>
    <w:qFormat/>
    <w:uiPriority w:val="0"/>
    <w:rPr>
      <w:kern w:val="2"/>
      <w:sz w:val="18"/>
      <w:szCs w:val="18"/>
    </w:rPr>
  </w:style>
  <w:style w:type="character" w:customStyle="1" w:styleId="34">
    <w:name w:val="正文文本 字符"/>
    <w:basedOn w:val="23"/>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9"/>
    <w:qFormat/>
    <w:uiPriority w:val="99"/>
    <w:pPr>
      <w:spacing w:after="0" w:line="360" w:lineRule="auto"/>
      <w:ind w:left="0" w:leftChars="0" w:firstLine="600"/>
    </w:pPr>
    <w:rPr>
      <w:rFonts w:eastAsia="仿宋_GB2312"/>
      <w:sz w:val="30"/>
      <w:szCs w:val="30"/>
    </w:rPr>
  </w:style>
  <w:style w:type="character" w:customStyle="1" w:styleId="37">
    <w:name w:val="正文文本缩进 字符"/>
    <w:link w:val="9"/>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3"/>
    <w:qFormat/>
    <w:uiPriority w:val="0"/>
    <w:rPr>
      <w:rFonts w:hint="default" w:ascii="Times New Roman" w:hAnsi="Times New Roman" w:cs="Times New Roman"/>
    </w:rPr>
  </w:style>
  <w:style w:type="paragraph" w:customStyle="1" w:styleId="46">
    <w:name w:val="Table Text"/>
    <w:basedOn w:val="1"/>
    <w:semiHidden/>
    <w:qFormat/>
    <w:uiPriority w:val="0"/>
    <w:rPr>
      <w:rFonts w:ascii="宋体" w:hAnsi="宋体" w:cs="宋体"/>
      <w:sz w:val="20"/>
      <w:szCs w:val="20"/>
    </w:rPr>
  </w:style>
  <w:style w:type="table" w:customStyle="1" w:styleId="47">
    <w:name w:val="Table Normal"/>
    <w:unhideWhenUsed/>
    <w:qFormat/>
    <w:uiPriority w:val="0"/>
    <w:tblPr>
      <w:tblCellMar>
        <w:top w:w="0" w:type="dxa"/>
        <w:left w:w="0" w:type="dxa"/>
        <w:bottom w:w="0" w:type="dxa"/>
        <w:right w:w="0" w:type="dxa"/>
      </w:tblCellMar>
    </w:tblPr>
  </w:style>
  <w:style w:type="paragraph" w:customStyle="1" w:styleId="48">
    <w:name w:val="_Style 1"/>
    <w:basedOn w:val="1"/>
    <w:next w:val="1"/>
    <w:qFormat/>
    <w:uiPriority w:val="99"/>
    <w:pPr>
      <w:ind w:firstLine="420" w:firstLineChars="200"/>
    </w:pPr>
  </w:style>
  <w:style w:type="paragraph" w:customStyle="1" w:styleId="49">
    <w:name w:val="p0"/>
    <w:basedOn w:val="1"/>
    <w:qFormat/>
    <w:uiPriority w:val="0"/>
    <w:pPr>
      <w:widowControl/>
    </w:pPr>
    <w:rPr>
      <w:rFonts w:ascii="Calibri" w:hAnsi="Calibri" w:cs="宋体"/>
      <w:kern w:val="0"/>
      <w:szCs w:val="21"/>
    </w:rPr>
  </w:style>
  <w:style w:type="paragraph" w:customStyle="1" w:styleId="50">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51">
    <w:name w:val="批注文字 字符"/>
    <w:basedOn w:val="23"/>
    <w:link w:val="8"/>
    <w:qFormat/>
    <w:uiPriority w:val="0"/>
    <w:rPr>
      <w:kern w:val="2"/>
      <w:sz w:val="21"/>
      <w:szCs w:val="21"/>
    </w:rPr>
  </w:style>
  <w:style w:type="character" w:customStyle="1" w:styleId="52">
    <w:name w:val="批注主题 字符"/>
    <w:basedOn w:val="51"/>
    <w:link w:val="19"/>
    <w:qFormat/>
    <w:uiPriority w:val="0"/>
    <w:rPr>
      <w:b/>
      <w:bCs/>
      <w:kern w:val="2"/>
      <w:sz w:val="21"/>
      <w:szCs w:val="24"/>
    </w:rPr>
  </w:style>
  <w:style w:type="paragraph" w:customStyle="1" w:styleId="53">
    <w:name w:val="D:正文"/>
    <w:qFormat/>
    <w:uiPriority w:val="0"/>
    <w:pPr>
      <w:widowControl w:val="0"/>
      <w:spacing w:line="560" w:lineRule="exact"/>
      <w:ind w:firstLine="420" w:firstLineChars="200"/>
      <w:jc w:val="both"/>
    </w:pPr>
    <w:rPr>
      <w:rFonts w:hint="eastAsia" w:ascii="宋体" w:hAnsi="宋体" w:eastAsia="等线" w:cs="宋体"/>
      <w:sz w:val="21"/>
      <w:szCs w:val="28"/>
      <w:lang w:val="en-US" w:eastAsia="zh-CN" w:bidi="ar-SA"/>
    </w:rPr>
  </w:style>
  <w:style w:type="paragraph" w:customStyle="1" w:styleId="54">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88</Pages>
  <Words>16825</Words>
  <Characters>17404</Characters>
  <Lines>1539</Lines>
  <Paragraphs>1459</Paragraphs>
  <TotalTime>8</TotalTime>
  <ScaleCrop>false</ScaleCrop>
  <LinksUpToDate>false</LinksUpToDate>
  <CharactersWithSpaces>17682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2023-10-03T20:34:00Z</dcterms:created>
  <dc:creator>黄雅静</dc:creator>
  <cp:lastModifiedBy>黎俊</cp:lastModifiedBy>
  <cp:lastPrinted>2026-05-23T00:54:00Z</cp:lastPrinted>
  <dcterms:modified xsi:type="dcterms:W3CDTF">2026-07-20T09:39:57Z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D36DA763C8B14DEE92896BD0279623E9_13</vt:lpwstr>
  </property>
  <property fmtid="{D5CDD505-2E9C-101B-9397-08002B2CF9AE}" pid="4" name="KSOTemplateDocerSaveRecord">
    <vt:lpwstr>eyJoZGlkIjoiMWViNjU1YjYxMmE1ZjA1ZGI4YzZiMWU4ZDg3Zjk4MWMiLCJ1c2VySWQiOiIxNDg2ODI2MzgyIn0=</vt:lpwstr>
  </property>
</Properties>
</file>