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附件1：</w:t>
      </w: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 w:bidi="ar"/>
        </w:rPr>
        <w:t>2026年第十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六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 w:bidi="ar"/>
        </w:rPr>
        <w:t>批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面向香港人才常态化配租</w:t>
      </w:r>
    </w:p>
    <w:p>
      <w:p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审核通过企业名单</w:t>
      </w:r>
    </w:p>
    <w:p>
      <w:pPr>
        <w:pStyle w:val="2"/>
        <w:widowControl/>
        <w:spacing w:beforeAutospacing="0" w:afterAutospacing="0"/>
        <w:jc w:val="both"/>
        <w:rPr>
          <w:rFonts w:ascii="仿宋_GB2312" w:hAnsi="仿宋_GB2312" w:eastAsia="仿宋_GB2312" w:cs="仿宋_GB2312"/>
          <w:kern w:val="2"/>
          <w:sz w:val="32"/>
          <w:szCs w:val="32"/>
        </w:rPr>
      </w:pPr>
    </w:p>
    <w:tbl>
      <w:tblPr>
        <w:tblStyle w:val="3"/>
        <w:tblpPr w:leftFromText="180" w:rightFromText="180" w:vertAnchor="text" w:horzAnchor="page" w:tblpX="909" w:tblpY="207"/>
        <w:tblOverlap w:val="never"/>
        <w:tblW w:w="10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8"/>
        <w:gridCol w:w="1697"/>
        <w:gridCol w:w="945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3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企业信息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最终配额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本次申请套数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深圳市贸灵贸易有限公司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启悟（深圳）信息技术有限公司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浩浩演艺（深圳）有限公司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润序科技（深圳）有限公司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伏羲科技研发（深圳）有限公司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深圳二零叁叁文化有限公司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顺丰保险代理（深圳）有限公司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>
      <w:pPr>
        <w:pStyle w:val="2"/>
        <w:widowControl/>
        <w:spacing w:beforeAutospacing="0" w:afterAutospacing="0"/>
        <w:ind w:firstLine="640"/>
        <w:jc w:val="right"/>
        <w:rPr>
          <w:rFonts w:ascii="仿宋_GB2312" w:hAnsi="仿宋_GB2312" w:eastAsia="仿宋_GB2312" w:cs="仿宋_GB2312"/>
          <w:kern w:val="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F02717"/>
    <w:rsid w:val="15F0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2026-07-14T10:13:00Z</dcterms:created>
  <dc:creator>吃饭高手</dc:creator>
  <cp:lastModifiedBy>吃饭高手</cp:lastModifiedBy>
  <dcterms:modified xsi:type="dcterms:W3CDTF">2026-07-14T10:13:59Z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F960B6FA42264B09BD49001D7024C0C0</vt:lpwstr>
  </property>
</Properties>
</file>