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32562"/>
      <w:bookmarkStart w:id="1" w:name="_Toc5810"/>
      <w:bookmarkStart w:id="2" w:name="_Toc13216"/>
      <w:bookmarkStart w:id="3" w:name="_Toc125127182"/>
      <w:r>
        <w:rPr>
          <w:rFonts w:hint="eastAsia" w:ascii="仿宋_GB2312" w:hAnsi="仿宋_GB2312" w:eastAsia="仿宋_GB2312" w:cs="仿宋_GB2312"/>
          <w:color w:val="auto"/>
          <w:sz w:val="32"/>
          <w:szCs w:val="32"/>
          <w:highlight w:val="none"/>
          <w:lang w:val="en-US" w:eastAsia="zh-CN"/>
        </w:rPr>
        <w:t>附件11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0" w:afterLines="-2147483648" w:afterAutospacing="0" w:line="560" w:lineRule="exact"/>
        <w:ind w:leftChars="0" w:firstLine="0" w:firstLineChars="0"/>
        <w:jc w:val="center"/>
        <w:textAlignment w:val="auto"/>
        <w:outlineLvl w:val="9"/>
        <w:rPr>
          <w:rFonts w:hint="eastAsia" w:ascii="楷体_GB2312" w:hAnsi="楷体_GB2312" w:eastAsia="楷体_GB2312" w:cs="楷体_GB2312"/>
          <w:color w:val="auto"/>
          <w:kern w:val="2"/>
          <w:sz w:val="36"/>
          <w:szCs w:val="36"/>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2026年中央资金深圳市消费新业态新模式新场景试点（支持优质消费资源与知名IP跨界联名—“人工智能+消费”标杆场景资助项目）申报指南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促进人工智能等技术赋能消费场景，通过智能算法、大数据分析与先进硬件技术的融合应用，打造直接面向消费者的“人工智能+消费”标杆场景。</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申报项目须符合以下任一类型对应的全部专项条件：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业务覆盖5个及以上区（</w:t>
      </w:r>
      <w:r>
        <w:rPr>
          <w:rFonts w:hint="eastAsia"/>
          <w:color w:val="auto"/>
          <w:highlight w:val="none"/>
          <w:lang w:val="en-US" w:eastAsia="zh-CN"/>
        </w:rPr>
        <w:t>区是</w:t>
      </w:r>
      <w:r>
        <w:rPr>
          <w:rFonts w:hint="default"/>
          <w:color w:val="auto"/>
          <w:highlight w:val="none"/>
          <w:lang w:val="en-US" w:eastAsia="zh-CN"/>
        </w:rPr>
        <w:t>指各区及前海合作区、深汕特别合作区等12个区</w:t>
      </w:r>
      <w:r>
        <w:rPr>
          <w:rFonts w:hint="eastAsia"/>
          <w:color w:val="auto"/>
          <w:highlight w:val="none"/>
          <w:lang w:val="en-US" w:eastAsia="zh-CN"/>
        </w:rPr>
        <w:t>，下同</w:t>
      </w:r>
      <w:r>
        <w:rPr>
          <w:rFonts w:hint="default"/>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（1）申报项目为运用人工智能技术赋能服务业态的创新消费场景；</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（2）项目</w:t>
      </w:r>
      <w:r>
        <w:rPr>
          <w:rFonts w:hint="default"/>
          <w:color w:val="auto"/>
          <w:highlight w:val="none"/>
          <w:lang w:val="en-US" w:eastAsia="zh-CN"/>
        </w:rPr>
        <w:t>业务</w:t>
      </w:r>
      <w:r>
        <w:rPr>
          <w:rFonts w:hint="eastAsia"/>
          <w:color w:val="auto"/>
          <w:highlight w:val="none"/>
          <w:lang w:val="en-US" w:eastAsia="zh-CN"/>
        </w:rPr>
        <w:t>须</w:t>
      </w:r>
      <w:r>
        <w:rPr>
          <w:rFonts w:hint="default"/>
          <w:color w:val="auto"/>
          <w:highlight w:val="none"/>
          <w:lang w:val="en-US" w:eastAsia="zh-CN"/>
        </w:rPr>
        <w:t>覆盖</w:t>
      </w:r>
      <w:r>
        <w:rPr>
          <w:rFonts w:hint="eastAsia"/>
          <w:color w:val="auto"/>
          <w:highlight w:val="none"/>
          <w:lang w:val="en-US" w:eastAsia="zh-CN"/>
        </w:rPr>
        <w:t>深圳市</w:t>
      </w:r>
      <w:r>
        <w:rPr>
          <w:rFonts w:hint="default"/>
          <w:color w:val="auto"/>
          <w:highlight w:val="none"/>
          <w:lang w:val="en-US" w:eastAsia="zh-CN"/>
        </w:rPr>
        <w:t>5个及以上</w:t>
      </w:r>
      <w:r>
        <w:rPr>
          <w:rFonts w:hint="eastAsia"/>
          <w:color w:val="auto"/>
          <w:highlight w:val="none"/>
          <w:lang w:val="en-US" w:eastAsia="zh-CN"/>
        </w:rPr>
        <w:t>区；</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提供服务次数不低于5万次</w:t>
      </w:r>
      <w:r>
        <w:rPr>
          <w:rFonts w:hint="eastAsia"/>
          <w:color w:val="auto"/>
          <w:highlight w:val="none"/>
          <w:lang w:val="en-US" w:eastAsia="zh-CN"/>
        </w:rPr>
        <w:t>。</w:t>
      </w:r>
      <w:r>
        <w:rPr>
          <w:rFonts w:hint="default"/>
          <w:color w:val="auto"/>
          <w:highlight w:val="none"/>
          <w:lang w:val="en-US" w:eastAsia="zh-CN"/>
        </w:rPr>
        <w:t>（统计周期为2025年</w:t>
      </w:r>
      <w:r>
        <w:rPr>
          <w:rFonts w:hint="eastAsia"/>
          <w:color w:val="auto"/>
          <w:highlight w:val="none"/>
          <w:lang w:val="en-US" w:eastAsia="zh-CN"/>
        </w:rPr>
        <w:t>9</w:t>
      </w:r>
      <w:r>
        <w:rPr>
          <w:rFonts w:hint="default"/>
          <w:color w:val="auto"/>
          <w:highlight w:val="none"/>
          <w:lang w:val="en-US" w:eastAsia="zh-CN"/>
        </w:rPr>
        <w:t>月</w:t>
      </w:r>
      <w:r>
        <w:rPr>
          <w:rFonts w:hint="eastAsia"/>
          <w:color w:val="auto"/>
          <w:highlight w:val="none"/>
          <w:lang w:val="en-US" w:eastAsia="zh-CN"/>
        </w:rPr>
        <w:t>30</w:t>
      </w:r>
      <w:r>
        <w:rPr>
          <w:rFonts w:hint="default"/>
          <w:color w:val="auto"/>
          <w:highlight w:val="none"/>
          <w:lang w:val="en-US" w:eastAsia="zh-CN"/>
        </w:rPr>
        <w:t>日至申报</w:t>
      </w:r>
      <w:r>
        <w:rPr>
          <w:rFonts w:hint="eastAsia"/>
          <w:color w:val="auto"/>
          <w:highlight w:val="none"/>
          <w:lang w:val="en-US" w:eastAsia="zh-CN"/>
        </w:rPr>
        <w:t>日前）；</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ascii="仿宋_GB2312" w:eastAsia="仿宋_GB2312"/>
          <w:color w:val="auto"/>
          <w:highlight w:val="none"/>
          <w:lang w:val="en-US" w:eastAsia="zh-CN"/>
        </w:rPr>
      </w:pPr>
      <w:r>
        <w:rPr>
          <w:rFonts w:hint="eastAsia"/>
          <w:color w:val="auto"/>
          <w:highlight w:val="none"/>
          <w:lang w:val="en-US" w:eastAsia="zh-CN"/>
        </w:rPr>
        <w:t>（4）</w:t>
      </w:r>
      <w:r>
        <w:rPr>
          <w:rFonts w:hint="eastAsia" w:ascii="仿宋_GB2312" w:eastAsia="仿宋_GB2312"/>
          <w:color w:val="auto"/>
          <w:highlight w:val="none"/>
          <w:lang w:val="en-US" w:eastAsia="zh-CN"/>
        </w:rPr>
        <w:t>每个区支持项目不超过1个，</w:t>
      </w:r>
      <w:r>
        <w:rPr>
          <w:rFonts w:hint="eastAsia"/>
          <w:color w:val="auto"/>
          <w:highlight w:val="none"/>
          <w:lang w:val="en-US" w:eastAsia="zh-CN"/>
        </w:rPr>
        <w:t>评分表评分排名第1</w:t>
      </w:r>
      <w:r>
        <w:rPr>
          <w:rFonts w:hint="eastAsia" w:ascii="仿宋_GB2312" w:eastAsia="仿宋_GB2312"/>
          <w:color w:val="auto"/>
          <w:highlight w:val="none"/>
          <w:lang w:val="en-US" w:eastAsia="zh-CN"/>
        </w:rPr>
        <w:t>。（评分表详见附录）</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（5）“人工智能+”板块须为面向消费者直接提供的付费内容。</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业务聚焦特定区域落地</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（1）申报项目为运用人工智能技术赋能服务业态的创新消费场景；</w:t>
      </w:r>
    </w:p>
    <w:p>
      <w:pPr>
        <w:keepNext w:val="0"/>
        <w:keepLines w:val="0"/>
        <w:pageBreakBefore w:val="0"/>
        <w:widowControl w:val="0"/>
        <w:kinsoku/>
        <w:wordWrap/>
        <w:overflowPunct/>
        <w:topLinePunct w:val="0"/>
        <w:autoSpaceDE/>
        <w:autoSpaceDN/>
        <w:bidi w:val="0"/>
        <w:adjustRightInd/>
        <w:snapToGrid/>
        <w:spacing w:before="0" w:after="0"/>
        <w:ind w:left="198" w:leftChars="62" w:firstLine="320" w:firstLineChars="100"/>
        <w:textAlignment w:val="auto"/>
        <w:rPr>
          <w:rFonts w:hint="eastAsia"/>
          <w:color w:val="auto"/>
          <w:highlight w:val="none"/>
          <w:lang w:val="en-US" w:eastAsia="zh-CN"/>
        </w:rPr>
      </w:pPr>
      <w:r>
        <w:rPr>
          <w:rFonts w:hint="eastAsia"/>
          <w:color w:val="auto"/>
          <w:highlight w:val="none"/>
          <w:lang w:val="en-US" w:eastAsia="zh-CN"/>
        </w:rPr>
        <w:t>（2）项目业务须聚焦在特定区域落地、并实现常态化运营；</w:t>
      </w:r>
    </w:p>
    <w:p>
      <w:pPr>
        <w:keepNext w:val="0"/>
        <w:keepLines w:val="0"/>
        <w:pageBreakBefore w:val="0"/>
        <w:widowControl w:val="0"/>
        <w:kinsoku/>
        <w:wordWrap/>
        <w:overflowPunct/>
        <w:topLinePunct w:val="0"/>
        <w:autoSpaceDE/>
        <w:autoSpaceDN/>
        <w:bidi w:val="0"/>
        <w:adjustRightInd/>
        <w:snapToGrid/>
        <w:spacing w:before="0" w:after="0"/>
        <w:ind w:left="198" w:leftChars="62" w:firstLine="320" w:firstLineChars="100"/>
        <w:textAlignment w:val="auto"/>
        <w:rPr>
          <w:rFonts w:hint="eastAsia" w:ascii="仿宋_GB2312" w:eastAsia="仿宋_GB2312"/>
          <w:color w:val="auto"/>
          <w:highlight w:val="none"/>
          <w:lang w:val="en-US" w:eastAsia="zh-CN"/>
        </w:rPr>
      </w:pPr>
      <w:r>
        <w:rPr>
          <w:rFonts w:hint="eastAsia"/>
          <w:color w:val="auto"/>
          <w:highlight w:val="none"/>
          <w:lang w:val="en-US" w:eastAsia="zh-CN"/>
        </w:rPr>
        <w:t>（3）</w:t>
      </w:r>
      <w:r>
        <w:rPr>
          <w:rFonts w:hint="eastAsia" w:ascii="仿宋_GB2312" w:eastAsia="仿宋_GB2312"/>
          <w:color w:val="auto"/>
          <w:highlight w:val="none"/>
          <w:lang w:val="en-US" w:eastAsia="zh-CN"/>
        </w:rPr>
        <w:t>每个区资助项目不超过3个</w:t>
      </w:r>
      <w:r>
        <w:rPr>
          <w:rFonts w:hint="eastAsia"/>
          <w:color w:val="auto"/>
          <w:highlight w:val="none"/>
          <w:lang w:val="en-US" w:eastAsia="zh-CN"/>
        </w:rPr>
        <w:t>，按评分表评分排序、累计计算</w:t>
      </w:r>
      <w:r>
        <w:rPr>
          <w:rFonts w:hint="eastAsia" w:ascii="仿宋_GB2312" w:eastAsia="仿宋_GB2312"/>
          <w:color w:val="auto"/>
          <w:highlight w:val="none"/>
          <w:lang w:val="en-US" w:eastAsia="zh-CN"/>
        </w:rPr>
        <w:t>。（评分表详见附录）</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ascii="仿宋_GB2312" w:eastAsia="仿宋_GB2312"/>
          <w:color w:val="auto"/>
          <w:highlight w:val="none"/>
          <w:lang w:val="en-US" w:eastAsia="zh-CN"/>
        </w:rPr>
      </w:pPr>
      <w:r>
        <w:rPr>
          <w:rFonts w:hint="eastAsia"/>
          <w:color w:val="auto"/>
          <w:highlight w:val="none"/>
          <w:lang w:val="en-US" w:eastAsia="zh-CN"/>
        </w:rPr>
        <w:t>（4）“人工智能+”板块须为面向消费者直接提供的付费内容。</w:t>
      </w:r>
    </w:p>
    <w:p>
      <w:pPr>
        <w:keepNext w:val="0"/>
        <w:keepLines w:val="0"/>
        <w:pageBreakBefore w:val="0"/>
        <w:widowControl w:val="0"/>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cs="仿宋_GB2312"/>
          <w:color w:val="auto"/>
          <w:sz w:val="32"/>
          <w:szCs w:val="32"/>
          <w:highlight w:val="none"/>
          <w:lang w:val="en-US" w:eastAsia="zh-CN"/>
        </w:rPr>
        <w:t>，</w:t>
      </w:r>
      <w:r>
        <w:rPr>
          <w:rFonts w:hint="eastAsia"/>
          <w:color w:val="auto"/>
          <w:highlight w:val="none"/>
          <w:lang w:val="en-US" w:eastAsia="zh-CN"/>
        </w:rPr>
        <w:t>不包括前期软件、系统研发，不包括辐射应用于深圳市以外的项目投入部分，不包括人员、营销推广等投入</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31102"/>
      <w:bookmarkStart w:id="13" w:name="_Toc7095"/>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color w:val="auto"/>
          <w:highlight w:val="none"/>
          <w:lang w:val="en-US" w:eastAsia="zh-CN"/>
        </w:rPr>
        <w:t>（一）</w:t>
      </w:r>
      <w:r>
        <w:rPr>
          <w:rFonts w:hint="eastAsia" w:ascii="仿宋_GB2312" w:eastAsia="仿宋_GB2312"/>
          <w:color w:val="auto"/>
          <w:highlight w:val="none"/>
          <w:lang w:val="en-US" w:eastAsia="zh-CN"/>
        </w:rPr>
        <w:t>对符合条件、业务覆盖5个及以上辖区的项目按相关的实际投入部分20%给予资助，试点期间最高不超过800万元，每个区支持项目不超过1个，按评分排序择优支持。</w:t>
      </w:r>
    </w:p>
    <w:p>
      <w:pPr>
        <w:bidi w:val="0"/>
        <w:rPr>
          <w:rFonts w:hint="eastAsia" w:ascii="仿宋_GB2312" w:eastAsia="仿宋_GB2312"/>
          <w:color w:val="auto"/>
          <w:highlight w:val="none"/>
          <w:lang w:val="en-US" w:eastAsia="zh-CN"/>
        </w:rPr>
      </w:pPr>
      <w:r>
        <w:rPr>
          <w:rFonts w:hint="eastAsia"/>
          <w:color w:val="auto"/>
          <w:highlight w:val="none"/>
          <w:lang w:val="en-US" w:eastAsia="zh-CN"/>
        </w:rPr>
        <w:t>（二）</w:t>
      </w:r>
      <w:r>
        <w:rPr>
          <w:rFonts w:hint="eastAsia" w:ascii="仿宋_GB2312" w:eastAsia="仿宋_GB2312"/>
          <w:color w:val="auto"/>
          <w:highlight w:val="none"/>
          <w:lang w:val="en-US" w:eastAsia="zh-CN"/>
        </w:rPr>
        <w:t>对符合条件、业务聚焦在特定区域落地的</w:t>
      </w:r>
      <w:r>
        <w:rPr>
          <w:rFonts w:hint="eastAsia"/>
          <w:color w:val="auto"/>
          <w:highlight w:val="none"/>
          <w:lang w:val="en-US" w:eastAsia="zh-CN"/>
        </w:rPr>
        <w:t>项目</w:t>
      </w:r>
      <w:r>
        <w:rPr>
          <w:rFonts w:hint="eastAsia" w:ascii="仿宋_GB2312" w:eastAsia="仿宋_GB2312"/>
          <w:color w:val="auto"/>
          <w:highlight w:val="none"/>
          <w:lang w:val="en-US" w:eastAsia="zh-CN"/>
        </w:rPr>
        <w:t>按相关的实际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20%给予资助，试点期间最高不超过100万元，每个区资助项目不超过3个，按评分排序择优支持。</w:t>
      </w:r>
    </w:p>
    <w:p>
      <w:pPr>
        <w:tabs>
          <w:tab w:val="center" w:pos="4153"/>
          <w:tab w:val="right" w:pos="8306"/>
        </w:tabs>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w:t>
      </w:r>
      <w:r>
        <w:rPr>
          <w:rStyle w:val="19"/>
          <w:rFonts w:hint="eastAsia"/>
          <w:color w:val="auto"/>
          <w:sz w:val="32"/>
          <w:szCs w:val="32"/>
          <w:highlight w:val="none"/>
          <w:lang w:val="en-US" w:eastAsia="zh-CN"/>
        </w:rPr>
        <w:t>“人工智能+消费”场景</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，在深项目已完成或阶段性完成部分相关投入，不包含各级财政投资部分，辐射应用于深圳市以外的项目投入部分，以及第四点第（二）条专项条件中明确不予支持部分。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优质消费资源与知名IP跨界联名—“人工智能+消费”标杆场景资助项目）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1.通用专项材料（两类方向均需提交）</w:t>
      </w:r>
      <w:r>
        <w:rPr>
          <w:rFonts w:hint="eastAsia"/>
          <w:color w:val="auto"/>
          <w:highlight w:val="none"/>
          <w:lang w:val="en-US" w:eastAsia="zh-CN"/>
        </w:rPr>
        <w:t>：</w:t>
      </w:r>
    </w:p>
    <w:p>
      <w:pPr>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评分表佐证材料</w:t>
      </w:r>
      <w:r>
        <w:rPr>
          <w:rFonts w:hint="eastAsia"/>
          <w:color w:val="auto"/>
          <w:highlight w:val="none"/>
          <w:lang w:val="en-US" w:eastAsia="zh-CN"/>
        </w:rPr>
        <w:t>：</w:t>
      </w:r>
      <w:r>
        <w:rPr>
          <w:rFonts w:hint="default"/>
          <w:color w:val="auto"/>
          <w:highlight w:val="none"/>
          <w:lang w:val="en-US" w:eastAsia="zh-CN"/>
        </w:rPr>
        <w:t>各申报单位应按照本指南附件《评分表》中所列指标及要求，完整提交对应佐证材料。</w:t>
      </w:r>
    </w:p>
    <w:p>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eastAsia"/>
          <w:color w:val="auto"/>
          <w:highlight w:val="none"/>
          <w:lang w:val="en-US" w:eastAsia="zh-CN"/>
        </w:rPr>
        <w:t>2.分类型专项材料（择一方向选择提交）：</w:t>
      </w:r>
    </w:p>
    <w:p>
      <w:pPr>
        <w:bidi w:val="0"/>
        <w:rPr>
          <w:rFonts w:hint="eastAsia"/>
          <w:color w:val="auto"/>
          <w:highlight w:val="none"/>
          <w:lang w:val="en-US" w:eastAsia="zh-CN"/>
        </w:rPr>
      </w:pPr>
      <w:r>
        <w:rPr>
          <w:rFonts w:hint="eastAsia"/>
          <w:color w:val="auto"/>
          <w:highlight w:val="none"/>
          <w:lang w:val="en-US" w:eastAsia="zh-CN"/>
        </w:rPr>
        <w:t>一是</w:t>
      </w:r>
      <w:r>
        <w:rPr>
          <w:rStyle w:val="19"/>
          <w:rFonts w:hint="default" w:ascii="仿宋_GB2312" w:hAnsi="仿宋_GB2312" w:eastAsia="仿宋_GB2312" w:cs="仿宋_GB2312"/>
          <w:color w:val="auto"/>
          <w:sz w:val="32"/>
          <w:szCs w:val="32"/>
          <w:highlight w:val="none"/>
          <w:lang w:val="en-US" w:eastAsia="zh-CN"/>
        </w:rPr>
        <w:t>业务覆盖</w:t>
      </w:r>
      <w:r>
        <w:rPr>
          <w:rStyle w:val="19"/>
          <w:rFonts w:hint="eastAsia" w:ascii="仿宋_GB2312" w:hAnsi="仿宋_GB2312" w:eastAsia="仿宋_GB2312" w:cs="仿宋_GB2312"/>
          <w:color w:val="auto"/>
          <w:sz w:val="32"/>
          <w:szCs w:val="32"/>
          <w:highlight w:val="none"/>
          <w:lang w:val="en-US" w:eastAsia="zh-CN"/>
        </w:rPr>
        <w:t>5个</w:t>
      </w:r>
      <w:r>
        <w:rPr>
          <w:rStyle w:val="19"/>
          <w:rFonts w:hint="default" w:ascii="仿宋_GB2312" w:hAnsi="仿宋_GB2312" w:eastAsia="仿宋_GB2312" w:cs="仿宋_GB2312"/>
          <w:color w:val="auto"/>
          <w:sz w:val="32"/>
          <w:szCs w:val="32"/>
          <w:highlight w:val="none"/>
          <w:lang w:val="en-US" w:eastAsia="zh-CN"/>
        </w:rPr>
        <w:t>及</w:t>
      </w:r>
      <w:r>
        <w:rPr>
          <w:rStyle w:val="19"/>
          <w:rFonts w:hint="eastAsia" w:ascii="仿宋_GB2312" w:hAnsi="仿宋_GB2312" w:eastAsia="仿宋_GB2312" w:cs="仿宋_GB2312"/>
          <w:color w:val="auto"/>
          <w:sz w:val="32"/>
          <w:szCs w:val="32"/>
          <w:highlight w:val="none"/>
          <w:lang w:val="en-US" w:eastAsia="zh-CN"/>
        </w:rPr>
        <w:t>以上区</w:t>
      </w:r>
      <w:r>
        <w:rPr>
          <w:rFonts w:hint="eastAsia"/>
          <w:color w:val="auto"/>
          <w:highlight w:val="none"/>
          <w:lang w:val="en-US" w:eastAsia="zh-CN"/>
        </w:rPr>
        <w:t>“人工智能+消费”场景</w:t>
      </w:r>
    </w:p>
    <w:p>
      <w:pPr>
        <w:bidi w:val="0"/>
        <w:rPr>
          <w:rFonts w:hint="eastAsia"/>
          <w:color w:val="auto"/>
          <w:highlight w:val="none"/>
          <w:lang w:val="en-US" w:eastAsia="zh-CN"/>
        </w:rPr>
      </w:pPr>
      <w:r>
        <w:rPr>
          <w:rFonts w:hint="eastAsia"/>
          <w:color w:val="auto"/>
          <w:highlight w:val="none"/>
          <w:lang w:val="en-US" w:eastAsia="zh-CN"/>
        </w:rPr>
        <w:t>（1）业务覆盖范围佐证材料：明确项目业务覆盖的辖区清单，提供各辖区场景落地的佐证材料（如场地使用记录、服务记录等，须体现覆盖5个及以上区）。</w:t>
      </w:r>
    </w:p>
    <w:p>
      <w:pPr>
        <w:bidi w:val="0"/>
        <w:rPr>
          <w:rFonts w:hint="eastAsia"/>
          <w:color w:val="auto"/>
          <w:highlight w:val="none"/>
          <w:lang w:val="en-US" w:eastAsia="zh-CN"/>
        </w:rPr>
      </w:pPr>
      <w:r>
        <w:rPr>
          <w:rFonts w:hint="eastAsia"/>
          <w:color w:val="auto"/>
          <w:highlight w:val="none"/>
          <w:lang w:val="en-US" w:eastAsia="zh-CN"/>
        </w:rPr>
        <w:t>（2）服务次数佐证材料：后台服务记录、与消费者订单直接挂钩数据等（须体现不低于5万次）。</w:t>
      </w:r>
    </w:p>
    <w:p>
      <w:pPr>
        <w:bidi w:val="0"/>
        <w:rPr>
          <w:rFonts w:hint="eastAsia"/>
          <w:color w:val="auto"/>
          <w:highlight w:val="none"/>
          <w:lang w:val="en-US" w:eastAsia="zh-CN"/>
        </w:rPr>
      </w:pPr>
      <w:r>
        <w:rPr>
          <w:rFonts w:hint="eastAsia"/>
          <w:color w:val="auto"/>
          <w:highlight w:val="none"/>
          <w:lang w:val="en-US" w:eastAsia="zh-CN"/>
        </w:rPr>
        <w:t>二是</w:t>
      </w:r>
      <w:r>
        <w:rPr>
          <w:rStyle w:val="19"/>
          <w:rFonts w:hint="default" w:ascii="仿宋_GB2312" w:hAnsi="仿宋_GB2312" w:eastAsia="仿宋_GB2312" w:cs="仿宋_GB2312"/>
          <w:color w:val="auto"/>
          <w:sz w:val="32"/>
          <w:szCs w:val="32"/>
          <w:highlight w:val="none"/>
          <w:lang w:val="en-US" w:eastAsia="zh-CN"/>
        </w:rPr>
        <w:t>业务聚焦</w:t>
      </w:r>
      <w:r>
        <w:rPr>
          <w:rStyle w:val="19"/>
          <w:rFonts w:hint="eastAsia" w:ascii="仿宋_GB2312" w:hAnsi="仿宋_GB2312" w:eastAsia="仿宋_GB2312" w:cs="仿宋_GB2312"/>
          <w:color w:val="auto"/>
          <w:sz w:val="32"/>
          <w:szCs w:val="32"/>
          <w:highlight w:val="none"/>
          <w:lang w:val="en-US" w:eastAsia="zh-CN"/>
        </w:rPr>
        <w:t>在特定区域</w:t>
      </w:r>
      <w:r>
        <w:rPr>
          <w:rFonts w:hint="eastAsia"/>
          <w:color w:val="auto"/>
          <w:highlight w:val="none"/>
          <w:lang w:val="en-US" w:eastAsia="zh-CN"/>
        </w:rPr>
        <w:t>“人工智能+消费”场景</w:t>
      </w:r>
    </w:p>
    <w:p>
      <w:pPr>
        <w:bidi w:val="0"/>
        <w:rPr>
          <w:rFonts w:hint="eastAsia"/>
          <w:color w:val="auto"/>
          <w:highlight w:val="none"/>
          <w:lang w:val="en-US" w:eastAsia="zh-CN"/>
        </w:rPr>
      </w:pPr>
      <w:r>
        <w:rPr>
          <w:rFonts w:hint="eastAsia"/>
          <w:color w:val="auto"/>
          <w:highlight w:val="none"/>
          <w:lang w:val="en-US" w:eastAsia="zh-CN"/>
        </w:rPr>
        <w:t>（1）特定区域落地佐证材料：明确项目聚焦的具体区域，提供项目在该区域持续运营的佐证材料（如产权证书、租赁合同等）、场景落地实景资料。</w:t>
      </w:r>
    </w:p>
    <w:p>
      <w:pPr>
        <w:bidi w:val="0"/>
        <w:rPr>
          <w:rFonts w:hint="eastAsia"/>
          <w:color w:val="auto"/>
          <w:highlight w:val="none"/>
          <w:lang w:val="en-US" w:eastAsia="zh-CN"/>
        </w:rPr>
      </w:pPr>
      <w:r>
        <w:rPr>
          <w:rFonts w:hint="eastAsia"/>
          <w:color w:val="auto"/>
          <w:highlight w:val="none"/>
          <w:lang w:val="en-US" w:eastAsia="zh-CN"/>
        </w:rPr>
        <w:t>（2）常态化运营佐证材料：项目在特定区域的运营计划、服务频次、运营时长等，提供连续3个月及以上的运营台账、服务记录、现场运营照片/视频。</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20121"/>
      <w:bookmarkStart w:id="19" w:name="_Toc13760"/>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宋体" w:eastAsia="仿宋_GB2312" w:cs="宋体"/>
          <w:color w:val="auto"/>
          <w:kern w:val="0"/>
          <w:sz w:val="32"/>
          <w:szCs w:val="32"/>
          <w:highlight w:val="none"/>
          <w:lang w:val="en-US" w:eastAsia="zh-CN"/>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i w:val="0"/>
          <w:iCs w:val="0"/>
          <w:color w:val="auto"/>
          <w:sz w:val="32"/>
          <w:szCs w:val="32"/>
          <w:highlight w:val="none"/>
          <w:u w:val="none"/>
        </w:rPr>
      </w:pPr>
      <w:r>
        <w:rPr>
          <w:rFonts w:hint="eastAsia" w:cs="仿宋_GB2312"/>
          <w:i w:val="0"/>
          <w:iCs w:val="0"/>
          <w:color w:val="auto"/>
          <w:sz w:val="32"/>
          <w:szCs w:val="32"/>
          <w:highlight w:val="none"/>
          <w:u w:val="none"/>
          <w:lang w:eastAsia="zh-CN"/>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i w:val="0"/>
          <w:iCs w:val="0"/>
          <w:color w:val="auto"/>
          <w:sz w:val="32"/>
          <w:szCs w:val="32"/>
          <w:highlight w:val="none"/>
          <w:u w:val="none"/>
        </w:rPr>
      </w:pPr>
      <w:r>
        <w:rPr>
          <w:rFonts w:hint="eastAsia" w:ascii="楷体_GB2312" w:hAnsi="楷体_GB2312" w:eastAsia="楷体_GB2312" w:cs="楷体_GB2312"/>
          <w:i w:val="0"/>
          <w:iCs w:val="0"/>
          <w:color w:val="auto"/>
          <w:sz w:val="32"/>
          <w:szCs w:val="32"/>
          <w:highlight w:val="none"/>
          <w:u w:val="none"/>
        </w:rPr>
        <w:t>（四）咨询电话</w:t>
      </w:r>
    </w:p>
    <w:p>
      <w:pPr>
        <w:bidi w:val="0"/>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eastAsia="zh-CN"/>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2137"/>
      <w:bookmarkStart w:id="23" w:name="_Toc10305"/>
      <w:bookmarkStart w:id="24" w:name="_Toc125127183"/>
      <w:bookmarkStart w:id="25" w:name="_Toc161850809"/>
      <w:r>
        <w:rPr>
          <w:rFonts w:hint="eastAsia" w:hAnsi="宋体" w:cs="宋体"/>
          <w:color w:val="auto"/>
          <w:kern w:val="0"/>
          <w:sz w:val="32"/>
          <w:szCs w:val="32"/>
          <w:highlight w:val="none"/>
          <w:u w:val="none"/>
          <w:lang w:val="en-US" w:eastAsia="zh-CN"/>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6198"/>
      <w:bookmarkStart w:id="27" w:name="_Toc11274"/>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发布申报指南——申报单位网上申报——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网上初审——申报单位向政务服务中心收文窗口提交申请材料——</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开展形式审查——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开展资质审查——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0677"/>
      <w:bookmarkStart w:id="39" w:name="_Toc28762"/>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bookmarkStart w:id="40" w:name="_GoBack"/>
      <w:bookmarkEnd w:id="40"/>
      <w:r>
        <w:rPr>
          <w:rFonts w:hint="eastAsia"/>
          <w:color w:val="auto"/>
          <w:highlight w:val="none"/>
          <w:lang w:val="en-US" w:eastAsia="zh-CN"/>
        </w:rPr>
        <w:t>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val="en-US"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lang w:val="en-US" w:eastAsia="zh-CN"/>
        </w:rPr>
        <w:t>申报单位需确保所用人工智能技术合规，符合国家数据安全、隐私保护相关法规，保障用户消费信息安全。</w:t>
      </w:r>
    </w:p>
    <w:p>
      <w:pPr>
        <w:bidi w:val="0"/>
        <w:ind w:firstLine="0" w:firstLineChars="0"/>
        <w:rPr>
          <w:rFonts w:hint="eastAsia"/>
          <w:color w:val="auto"/>
          <w:highlight w:val="none"/>
          <w:lang w:val="en-US" w:eastAsia="zh-CN"/>
        </w:rPr>
      </w:pPr>
    </w:p>
    <w:bookmarkEnd w:id="22"/>
    <w:bookmarkEnd w:id="23"/>
    <w:bookmarkEnd w:id="24"/>
    <w:bookmarkEnd w:id="25"/>
    <w:p>
      <w:pPr>
        <w:pStyle w:val="17"/>
        <w:rPr>
          <w:rFonts w:hint="eastAsia" w:ascii="仿宋_GB2312" w:hAnsi="仿宋_GB2312"/>
          <w:color w:val="auto"/>
          <w:highlight w:val="none"/>
          <w:lang w:val="en-US" w:eastAsia="zh-CN"/>
        </w:rPr>
      </w:pPr>
      <w:r>
        <w:rPr>
          <w:rFonts w:hint="eastAsia" w:ascii="仿宋_GB2312" w:hAnsi="仿宋_GB2312"/>
          <w:color w:val="auto"/>
          <w:highlight w:val="none"/>
          <w:lang w:eastAsia="zh-CN"/>
        </w:rPr>
        <w:t>附录：</w:t>
      </w:r>
      <w:r>
        <w:rPr>
          <w:rFonts w:hint="eastAsia" w:ascii="仿宋_GB2312" w:hAnsi="仿宋_GB2312"/>
          <w:color w:val="auto"/>
          <w:highlight w:val="none"/>
          <w:lang w:val="en-US" w:eastAsia="zh-CN"/>
        </w:rPr>
        <w:t>1.名词解释</w:t>
      </w:r>
    </w:p>
    <w:p>
      <w:pPr>
        <w:pStyle w:val="17"/>
        <w:ind w:left="1600" w:leftChars="500" w:firstLine="0" w:firstLineChars="0"/>
        <w:rPr>
          <w:rFonts w:hint="eastAsia" w:ascii="仿宋_GB2312" w:hAnsi="仿宋_GB2312"/>
          <w:color w:val="auto"/>
          <w:highlight w:val="none"/>
          <w:lang w:eastAsia="zh-CN"/>
        </w:rPr>
      </w:pPr>
      <w:r>
        <w:rPr>
          <w:rFonts w:hint="eastAsia" w:ascii="仿宋_GB2312" w:hAnsi="仿宋_GB2312"/>
          <w:color w:val="auto"/>
          <w:highlight w:val="none"/>
          <w:lang w:val="en-US" w:eastAsia="zh-CN"/>
        </w:rPr>
        <w:t>2.深圳市消费新业态新模式新场景试点优质消费资    源与知名IP跨界联合—“人工智能+消费”场景及集聚区项目评分表</w:t>
      </w:r>
    </w:p>
    <w:p>
      <w:pPr>
        <w:pStyle w:val="17"/>
        <w:spacing w:line="560" w:lineRule="exact"/>
        <w:rPr>
          <w:rFonts w:ascii="仿宋_GB2312" w:hAnsi="仿宋_GB2312"/>
          <w:color w:val="auto"/>
          <w:highlight w:val="none"/>
        </w:rPr>
        <w:sectPr>
          <w:footerReference r:id="rId5" w:type="default"/>
          <w:pgSz w:w="11906" w:h="16838"/>
          <w:pgMar w:top="1814" w:right="1474" w:bottom="1814"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  录1</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32"/>
          <w:szCs w:val="32"/>
          <w:highlight w:val="none"/>
          <w:u w:val="none"/>
          <w:lang w:val="en-US" w:eastAsia="zh-CN" w:bidi="ar"/>
        </w:rPr>
        <w:sectPr>
          <w:pgSz w:w="11906" w:h="16838"/>
          <w:pgMar w:top="1814" w:right="1474" w:bottom="1814"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  录2</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Style w:val="19"/>
          <w:rFonts w:hint="eastAsia" w:ascii="方正小标宋简体" w:hAnsi="方正小标宋简体" w:eastAsia="方正小标宋简体" w:cs="方正小标宋简体"/>
          <w:color w:val="auto"/>
          <w:sz w:val="44"/>
          <w:szCs w:val="44"/>
          <w:highlight w:val="none"/>
          <w:u w:val="none"/>
          <w:lang w:val="en-US" w:eastAsia="zh-CN"/>
        </w:rPr>
        <w:t>“人工智能+消费”标杆场景评分表</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一、对于业务覆盖5个及以上区、提供服务次数不低于5万次的创新消费场景</w:t>
      </w:r>
    </w:p>
    <w:tbl>
      <w:tblPr>
        <w:tblStyle w:val="18"/>
        <w:tblpPr w:leftFromText="180" w:rightFromText="180" w:vertAnchor="text" w:tblpXSpec="center" w:tblpY="1"/>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3"/>
        <w:gridCol w:w="989"/>
        <w:gridCol w:w="6353"/>
        <w:gridCol w:w="1426"/>
        <w:gridCol w:w="3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类型</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维度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评分标准</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分值</w:t>
            </w:r>
          </w:p>
        </w:tc>
        <w:tc>
          <w:tcPr>
            <w:tcW w:w="38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rPr>
            </w:pPr>
            <w:r>
              <w:rPr>
                <w:rFonts w:hint="eastAsia" w:ascii="仿宋_GB2312" w:hAnsi="宋体" w:eastAsia="仿宋_GB2312" w:cs="仿宋_GB2312"/>
                <w:b/>
                <w:bCs/>
                <w:i w:val="0"/>
                <w:iCs w:val="0"/>
                <w:color w:val="auto"/>
                <w:kern w:val="0"/>
                <w:sz w:val="22"/>
                <w:szCs w:val="22"/>
                <w:highlight w:val="none"/>
                <w:u w:val="none"/>
                <w:lang w:val="en-US" w:eastAsia="zh-CN" w:bidi="ar"/>
              </w:rPr>
              <w:t>佐证材料参考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553" w:type="dxa"/>
            <w:vMerge w:val="restart"/>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技术适配性</w:t>
            </w:r>
          </w:p>
        </w:tc>
        <w:tc>
          <w:tcPr>
            <w:tcW w:w="989" w:type="dxa"/>
            <w:vMerge w:val="restart"/>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技术成熟度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olor w:val="auto"/>
                <w:kern w:val="0"/>
                <w:sz w:val="22"/>
                <w:szCs w:val="28"/>
                <w:highlight w:val="none"/>
                <w:u w:val="none"/>
                <w:lang w:val="en-US" w:eastAsia="zh-CN" w:bidi="ar"/>
              </w:rPr>
              <w:t>实际应用≥4项新一代人工智能技术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restart"/>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专利证书、软著证书；包括开源协议即符合使用条件说明、技术服务合同、授权使用文件等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实际应用3项新一代人工智能技术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AI技术实现层级与应用形态</w:t>
            </w:r>
          </w:p>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（可重复得分）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bidi="ar"/>
              </w:rPr>
              <w:t>项目实现自主智能作业：应用具身智能、无人系统等核心技术，实现AI自主感知、自主决策、物理执行的全链路闭环。由AI直接操控硬件设备、机器人终端等物理载体，在实际服务场景中自主完成核心服务动作（如自动配送、自主作业、智能巡检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技术方案说明</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、功能说明书、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演示视频等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生成式智能交互：应用AIGC（生成式人工智能）、大语言模型、多模态模型等核心技术，实现实时内容生成、多模态智能交互。系统可根据用户个性化输入，动态生成文本、图像、视频或定制化解决方案，为用户提供深度语义交互、沉浸式虚拟体验或个性化服务匹配。</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项目实现决策智能优化：应用机器学习、运筹优化、大数据分析等算法技术，实现后台资源智能调度、供需动态匹配、业务流程自动化等决策层优化。</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市场实效性</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规模覆盖能力</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深圳全市</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bidi="ar"/>
              </w:rPr>
              <w:t>≥</w:t>
            </w: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t>6</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bidi="ar"/>
              </w:rPr>
              <w:t>个</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eastAsia="zh-CN" w:bidi="ar"/>
              </w:rPr>
              <w:t>区</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（指各区及前海合作区、深汕特别合作区等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12个区域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落地网点清单（含地址）、覆盖区域分布地图、用户规模统计表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t>深圳全市落地5</w:t>
            </w:r>
            <w: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bidi="ar"/>
              </w:rPr>
              <w:t>个</w:t>
            </w:r>
            <w:r>
              <w:rPr>
                <w:rStyle w:val="19"/>
                <w:rFonts w:hint="eastAsia" w:ascii="仿宋_GB2312" w:hAnsi="宋体" w:eastAsia="仿宋_GB2312" w:cs="仿宋_GB2312"/>
                <w:b w:val="0"/>
                <w:bCs w:val="0"/>
                <w:i w:val="0"/>
                <w:iCs w:val="0"/>
                <w:caps w:val="0"/>
                <w:color w:val="auto"/>
                <w:spacing w:val="0"/>
                <w:kern w:val="0"/>
                <w:sz w:val="22"/>
                <w:szCs w:val="22"/>
                <w:highlight w:val="none"/>
                <w:u w:val="none"/>
                <w:shd w:val="clear" w:color="auto" w:fill="FFFFFF"/>
                <w:lang w:eastAsia="zh-CN" w:bidi="ar"/>
              </w:rPr>
              <w:t>区</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（指各区及前海合作区、深汕特别合作区等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12个区域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终端数/场景数</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运营终端数或消费场景数（取高值）：≥50个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终端设备清单、场景部署清单、现场照片等材料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3</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累计服务次数</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累计服务次数：≥7万次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后台服务记录、消费订单数据（脱敏）、系统日志等材料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≥6万次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≥5万次（门槛）</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&lt;5万次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tcBorders>
              <w:top w:val="single" w:color="auto"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深圳科创消费特色</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深圳为全国首个落地城市</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20</w:t>
            </w:r>
          </w:p>
        </w:tc>
        <w:tc>
          <w:tcPr>
            <w:tcW w:w="3853" w:type="dxa"/>
            <w:tcBorders>
              <w:top w:val="single" w:color="auto"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需附有官方媒体新闻稿截图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推广可行性</w:t>
            </w:r>
          </w:p>
        </w:tc>
        <w:tc>
          <w:tcPr>
            <w:tcW w:w="989" w:type="dxa"/>
            <w:vMerge w:val="restart"/>
            <w:tcBorders>
              <w:top w:val="single" w:color="auto"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模式可复制性</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已形成</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标准化运营手册（含硬件部署、软件配置、人员培训、供应链）</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auto"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推广方案、商业计划书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有初步</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方案或商业计划书</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无标准化文档，商业模式不清晰</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可持续发展</w:t>
            </w: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Style w:val="19"/>
                <w:rFonts w:hint="eastAsia" w:ascii="仿宋_GB2312" w:hAnsi="宋体" w:eastAsia="仿宋_GB2312" w:cs="仿宋_GB2312"/>
                <w:b/>
                <w:bCs/>
                <w:i w:val="0"/>
                <w:iCs w:val="0"/>
                <w:caps w:val="0"/>
                <w:color w:val="auto"/>
                <w:spacing w:val="0"/>
                <w:kern w:val="0"/>
                <w:sz w:val="22"/>
                <w:szCs w:val="22"/>
                <w:highlight w:val="none"/>
                <w:u w:val="none"/>
                <w:shd w:val="clear" w:color="auto" w:fill="FFFFFF"/>
                <w:lang w:bidi="ar"/>
              </w:rPr>
              <w:t>可持续运营能力</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50</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提供≥1年详细运营规划和资金预算</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安排情况</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运营团队花名册（含职责分工）、社保缴纳记录、资金保障材料、未来1年运营规划方案、近3个月营收报表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aps w:val="0"/>
                <w:color w:val="auto"/>
                <w:spacing w:val="0"/>
                <w:kern w:val="0"/>
                <w:sz w:val="22"/>
                <w:szCs w:val="22"/>
                <w:highlight w:val="none"/>
                <w:u w:val="none"/>
                <w:shd w:val="clear" w:color="auto" w:fill="auto"/>
                <w:lang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≥20</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有≥6个月运营规划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无专职运营团队</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或无长期运营规划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风险防控</w:t>
            </w: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风险应对与应急处理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已制定完整的AI技术故障、消费纠纷、数据安全、舆情应对四类应急预案，明确处置流程、责任人及24小时响应机制，近6个月无重大风险事故（数据泄露、重大舆情、群体性投诉）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风险防控应急预案文件、风险处置责任分工及通讯录、近6个月系统运维及投诉处理记录</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有基础应急预案，覆盖核心风险场景（≥2类），但处置流程不完整或响应机制不明确</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auto"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无应急预案，或近6个月内发生过重大风险事故</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企业资质及示范引领作用</w:t>
            </w:r>
          </w:p>
        </w:tc>
        <w:tc>
          <w:tcPr>
            <w:tcW w:w="989"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加分项（可重复得分）</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获得国家级/省级科技企业资质或荣誉（包括但不限于：国家高新技术企业、专精特新“小巨人”企业、专精特新中小企业、创新型中小企业、国家技术创新示范企业、科技型中小企业、瞪羚企业、知识产权优势/示范企业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相关荣誉证书、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主流媒体报道截图或链接</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国家级</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荣誉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省部级科技奖项</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被国家级政府部门列为典型案例推广或被国家级主流媒体（央视、人民日报）专题报道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被省级政府部门列为典型案例推广或被省级主流媒体专题报道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注：新一代人工智能技术包括但不限于智算芯片、具身智能、高阶智驾、端侧轻量化模型、多模态模型等方向。</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二、对于业务聚焦在特定区域落地、常态化运营的创新消费场景</w:t>
      </w:r>
    </w:p>
    <w:tbl>
      <w:tblPr>
        <w:tblStyle w:val="18"/>
        <w:tblpPr w:leftFromText="180" w:rightFromText="180" w:vertAnchor="text" w:tblpXSpec="center" w:tblpY="1"/>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3"/>
        <w:gridCol w:w="989"/>
        <w:gridCol w:w="6353"/>
        <w:gridCol w:w="1426"/>
        <w:gridCol w:w="3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类型</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维度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评分标准</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分值</w:t>
            </w:r>
          </w:p>
        </w:tc>
        <w:tc>
          <w:tcPr>
            <w:tcW w:w="38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restart"/>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技术适配性</w:t>
            </w:r>
          </w:p>
        </w:tc>
        <w:tc>
          <w:tcPr>
            <w:tcW w:w="989" w:type="dxa"/>
            <w:vMerge w:val="restart"/>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技术成熟度</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olor w:val="auto"/>
                <w:kern w:val="0"/>
                <w:sz w:val="22"/>
                <w:szCs w:val="28"/>
                <w:highlight w:val="none"/>
                <w:u w:val="none"/>
                <w:lang w:val="en-US" w:eastAsia="zh-CN" w:bidi="ar"/>
              </w:rPr>
              <w:t>实际应用≥3项新一代人工智能技术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restart"/>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专利证书、软著证书；包括开源协议即符合使用条件说明、技术服务合同、授权使用文件等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lang w:val="en-US" w:eastAsia="zh-CN"/>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实际应用2项新一代人工智能技术</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6</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AI技术实现层级与应用形态</w:t>
            </w:r>
          </w:p>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（可重复得分）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bidi="ar"/>
              </w:rPr>
              <w:t>项目实现自主智能作业：应用具身智能、无人系统等核心技术，实现AI自主感知、自主决策、物理执行的全链路闭环。由AI直接操控硬件设备、机器人终端等物理载体，在实际服务场景中自主完成核心服务动作（如自动配送、自主作业、智能巡检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sz w:val="22"/>
                <w:szCs w:val="22"/>
                <w:highlight w:val="none"/>
                <w:u w:val="none"/>
                <w:lang w:val="en-US" w:eastAsia="zh-CN"/>
              </w:rPr>
              <w:t>5</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技术方案说明</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、功能说明书、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演示视频等</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生成式智能交互：应用AIGC（生成式人工智能）、大语言模型、多模态模型等核心技术，实现实时内容生成、多模态智能交互。系统可根据用户个性化输入，动态生成文本、图像、视频或定制化解决方案，为用户提供深度语义交互、沉浸式虚拟体验或个性化服务匹配。</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项目实现决策智能优化：应用机器学习、运筹优化、大数据分析等算法技术，实现后台资源智能调度、供需动态匹配、业务流程自动化等决策层优化。</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市场实效性</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规模覆盖能力</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在目标区域内落地网点≥5个，或累计服务区域常驻用户≥3万人</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落地网点清单（含地址）、覆盖区域分布地图、用户规模统计表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落地网点3-4个，或服务用户1万-3万人</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val="0"/>
                <w:bCs w:val="0"/>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落地网点≤2个，或服务用户&lt;1万人</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2"/>
                <w:sz w:val="22"/>
                <w:szCs w:val="28"/>
                <w:highlight w:val="none"/>
                <w:u w:val="none"/>
                <w:lang w:val="en-US" w:eastAsia="zh-CN" w:bidi="ar-SA"/>
              </w:rPr>
            </w:pPr>
            <w:r>
              <w:rPr>
                <w:rFonts w:hint="eastAsia" w:ascii="仿宋_GB2312" w:hAnsi="宋体" w:eastAsia="仿宋_GB2312" w:cs="仿宋_GB2312"/>
                <w:b/>
                <w:bCs/>
                <w:i w:val="0"/>
                <w:iCs w:val="0"/>
                <w:color w:val="auto"/>
                <w:kern w:val="0"/>
                <w:sz w:val="22"/>
                <w:szCs w:val="28"/>
                <w:highlight w:val="none"/>
                <w:u w:val="none"/>
                <w:lang w:val="en-US" w:eastAsia="zh-CN" w:bidi="ar"/>
              </w:rPr>
              <w:t>终端数/场景数</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运营终端数或消费场景数（取高值）：≥30个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终端设备清单、场景部署清单、现场照片等材料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3</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&lt;5个</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累计服务次数</w:t>
            </w:r>
          </w:p>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（2025年9月30日以来）</w:t>
            </w: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≥2000次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w:t>
            </w:r>
          </w:p>
        </w:tc>
        <w:tc>
          <w:tcPr>
            <w:tcW w:w="38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后台服务记录、消费订单数据（脱敏）、系统日志等材料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≥1500次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≥1000次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5</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b/>
                <w:bCs/>
                <w:i w:val="0"/>
                <w:iCs w:val="0"/>
                <w:color w:val="auto"/>
                <w:sz w:val="22"/>
                <w:szCs w:val="28"/>
                <w:highlight w:val="none"/>
                <w:u w:val="none"/>
                <w:lang w:val="en-US" w:eastAsia="zh-CN"/>
              </w:rPr>
            </w:pPr>
          </w:p>
        </w:tc>
        <w:tc>
          <w:tcPr>
            <w:tcW w:w="6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&lt;1000次</w:t>
            </w:r>
          </w:p>
        </w:tc>
        <w:tc>
          <w:tcPr>
            <w:tcW w:w="1426"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2"/>
                <w:sz w:val="22"/>
                <w:szCs w:val="28"/>
                <w:highlight w:val="none"/>
                <w:u w:val="none"/>
                <w:lang w:val="en-US" w:eastAsia="zh-CN" w:bidi="ar-SA"/>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560" w:lineRule="exact"/>
              <w:ind w:left="0" w:leftChars="0" w:right="0" w:rightChars="0" w:firstLine="0" w:firstLineChars="0"/>
              <w:jc w:val="left"/>
              <w:rPr>
                <w:rFonts w:hint="eastAsia" w:ascii="仿宋_GB2312" w:hAnsi="宋体" w:eastAsia="仿宋_GB2312" w:cs="仿宋_GB2312"/>
                <w:i w:val="0"/>
                <w:iCs w:val="0"/>
                <w:color w:val="auto"/>
                <w:sz w:val="22"/>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auto" w:sz="4" w:space="0"/>
              <w:right w:val="single" w:color="auto"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tcBorders>
              <w:top w:val="single" w:color="auto"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深圳科创消费特色</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深圳为全国首个落地城市</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20</w:t>
            </w:r>
          </w:p>
        </w:tc>
        <w:tc>
          <w:tcPr>
            <w:tcW w:w="3853" w:type="dxa"/>
            <w:tcBorders>
              <w:top w:val="single" w:color="auto"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需附有官方媒体新闻稿截图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推广可行性</w:t>
            </w:r>
          </w:p>
        </w:tc>
        <w:tc>
          <w:tcPr>
            <w:tcW w:w="989" w:type="dxa"/>
            <w:vMerge w:val="restart"/>
            <w:tcBorders>
              <w:top w:val="single" w:color="auto"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模式可复制性</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形成的技术解决方案或运营模式已输出给≥1个其他区域作为参考借鉴（有正式交流纪要或合作协议）</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auto"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标准化运营手册、</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推广方案、商业计划书</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已形成可公开的行业白皮书/操作指南</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989"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有详细的技术方案文档，具备参考价值但尚未输出</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p>
        </w:tc>
        <w:tc>
          <w:tcPr>
            <w:tcW w:w="989" w:type="dxa"/>
            <w:vMerge w:val="continue"/>
            <w:tcBorders>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sz w:val="22"/>
                <w:szCs w:val="22"/>
                <w:highlight w:val="none"/>
                <w:u w:val="none"/>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无标准化文档，商业模式不清晰</w:t>
            </w:r>
          </w:p>
        </w:tc>
        <w:tc>
          <w:tcPr>
            <w:tcW w:w="1426" w:type="dxa"/>
            <w:tcBorders>
              <w:top w:val="single" w:color="auto" w:sz="4" w:space="0"/>
              <w:left w:val="single" w:color="000000" w:sz="4" w:space="0"/>
              <w:bottom w:val="single" w:color="auto"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可持续发展</w:t>
            </w: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Style w:val="19"/>
                <w:rFonts w:hint="eastAsia" w:ascii="仿宋_GB2312" w:hAnsi="宋体" w:eastAsia="仿宋_GB2312" w:cs="仿宋_GB2312"/>
                <w:b/>
                <w:bCs/>
                <w:i w:val="0"/>
                <w:iCs w:val="0"/>
                <w:caps w:val="0"/>
                <w:color w:val="auto"/>
                <w:spacing w:val="0"/>
                <w:kern w:val="0"/>
                <w:sz w:val="22"/>
                <w:szCs w:val="22"/>
                <w:highlight w:val="none"/>
                <w:u w:val="none"/>
                <w:shd w:val="clear" w:color="auto" w:fill="FFFFFF"/>
                <w:lang w:bidi="ar"/>
              </w:rPr>
              <w:t>可持续运营能力</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配备专职运营团队≥10人</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提供≥1年详细运营规划和资金预算安排情况</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且项目已实现稳定盈利（连续3个月净利润为正）</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运营团队花名册（含职责分工）、社保缴纳记录、资金保障材料、未来1年运营规划方案、近3个月营收报表</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aps w:val="0"/>
                <w:color w:val="auto"/>
                <w:spacing w:val="0"/>
                <w:kern w:val="0"/>
                <w:sz w:val="22"/>
                <w:szCs w:val="22"/>
                <w:highlight w:val="none"/>
                <w:u w:val="none"/>
                <w:shd w:val="clear" w:color="auto" w:fill="auto"/>
                <w:lang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配备专职运营团队3-9人</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有≥6个月运营规划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无专职运营团队</w:t>
            </w:r>
          </w:p>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或无长期运营规划</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000000" w:sz="4" w:space="0"/>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风险防控</w:t>
            </w:r>
          </w:p>
        </w:tc>
        <w:tc>
          <w:tcPr>
            <w:tcW w:w="989" w:type="dxa"/>
            <w:vMerge w:val="restart"/>
            <w:tcBorders>
              <w:top w:val="single" w:color="000000" w:sz="4" w:space="0"/>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2"/>
                <w:highlight w:val="none"/>
                <w:u w:val="none"/>
                <w:lang w:val="en-US" w:eastAsia="zh-CN" w:bidi="ar"/>
              </w:rPr>
              <w:t>风险应对与应急处理</w:t>
            </w: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已制定完整的AI技术故障、消费纠纷、数据安全、舆情应对四类应急预案，明确处置流程、责任人及24小时响应机制，近6个月无重大风险事故（数据泄露、重大舆情、群体性投诉）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3853" w:type="dxa"/>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风险防控应急预案文件、风险处置责任分工及通讯录、近6个月系统运维及投诉处理记录</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有基础应急预案，覆盖核心风险场景（≥2类），但处置流程不完整或响应机制不明确</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auto" w:sz="4" w:space="0"/>
              <w:right w:val="single" w:color="000000" w:sz="4" w:space="0"/>
            </w:tcBorders>
            <w:noWrap/>
            <w:vAlign w:val="center"/>
          </w:tcPr>
          <w:p>
            <w:pPr>
              <w:keepNext/>
              <w:keepLines w:val="0"/>
              <w:pageBreakBefore w:val="0"/>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p>
        </w:tc>
        <w:tc>
          <w:tcPr>
            <w:tcW w:w="6353"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无应急预案，或近6个月内发生过重大风险事故</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bidi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0</w:t>
            </w:r>
          </w:p>
        </w:tc>
        <w:tc>
          <w:tcPr>
            <w:tcW w:w="3853" w:type="dxa"/>
            <w:vMerge w:val="continue"/>
            <w:tcBorders>
              <w:left w:val="single" w:color="000000" w:sz="4" w:space="0"/>
              <w:bottom w:val="single" w:color="auto" w:sz="4" w:space="0"/>
              <w:right w:val="single" w:color="000000"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restart"/>
            <w:tcBorders>
              <w:top w:val="single" w:color="auto" w:sz="4" w:space="0"/>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default" w:ascii="仿宋_GB2312" w:hAnsi="宋体" w:eastAsia="仿宋_GB2312" w:cs="仿宋_GB2312"/>
                <w:b/>
                <w:bCs/>
                <w:i w:val="0"/>
                <w:iCs w:val="0"/>
                <w:color w:val="auto"/>
                <w:sz w:val="22"/>
                <w:szCs w:val="22"/>
                <w:highlight w:val="none"/>
                <w:u w:val="none"/>
                <w:lang w:val="en-US" w:eastAsia="zh-CN"/>
              </w:rPr>
            </w:pPr>
            <w:r>
              <w:rPr>
                <w:rFonts w:hint="eastAsia" w:ascii="仿宋_GB2312" w:hAnsi="宋体" w:eastAsia="仿宋_GB2312" w:cs="仿宋_GB2312"/>
                <w:b/>
                <w:bCs/>
                <w:i w:val="0"/>
                <w:iCs w:val="0"/>
                <w:color w:val="auto"/>
                <w:sz w:val="22"/>
                <w:szCs w:val="22"/>
                <w:highlight w:val="none"/>
                <w:u w:val="none"/>
                <w:lang w:val="en-US" w:eastAsia="zh-CN"/>
              </w:rPr>
              <w:t>企业资质及示范引领作用</w:t>
            </w:r>
          </w:p>
        </w:tc>
        <w:tc>
          <w:tcPr>
            <w:tcW w:w="989"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2"/>
                <w:highlight w:val="none"/>
                <w:u w:val="none"/>
                <w:lang w:val="en-US" w:eastAsia="zh-CN" w:bidi="ar"/>
              </w:rPr>
            </w:pPr>
            <w:r>
              <w:rPr>
                <w:rFonts w:hint="eastAsia" w:ascii="仿宋_GB2312" w:hAnsi="宋体" w:eastAsia="仿宋_GB2312" w:cs="仿宋_GB2312"/>
                <w:b/>
                <w:bCs/>
                <w:i w:val="0"/>
                <w:iCs w:val="0"/>
                <w:color w:val="auto"/>
                <w:kern w:val="0"/>
                <w:sz w:val="22"/>
                <w:szCs w:val="28"/>
                <w:highlight w:val="none"/>
                <w:u w:val="none"/>
                <w:lang w:val="en-US" w:eastAsia="zh-CN" w:bidi="ar"/>
              </w:rPr>
              <w:t>加分项（可重复得分）</w:t>
            </w: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获得国家级/省级科技企业资质或荣誉（包括但不限于：国家高新技术企业、专精特新“小巨人”企业、专精特新中小企业、创新型中小企业、国家技术创新示范企业、科技型中小企业、瞪羚企业、知识产权优势/示范企业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相关荣誉证书、主流媒体报道截图或链接等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国家级</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eastAsia="zh-CN" w:bidi="ar"/>
              </w:rPr>
              <w:t>荣誉</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t>核心AI技术（大模型、视觉识别、推荐算法等）获</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bidi="ar"/>
              </w:rPr>
              <w:t>省部级科技奖项</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auto"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aps w:val="0"/>
                <w:color w:val="auto"/>
                <w:spacing w:val="0"/>
                <w:kern w:val="0"/>
                <w:sz w:val="22"/>
                <w:szCs w:val="22"/>
                <w:highlight w:val="none"/>
                <w:u w:val="none"/>
                <w:shd w:val="clear" w:color="auto" w:fill="auto"/>
                <w:lang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被国家级政府部门列为典型案例推广或被国家级主流媒体（央视、</w:t>
            </w:r>
            <w:r>
              <w:rPr>
                <w:rFonts w:hint="eastAsia"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《人民日报》</w:t>
            </w: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553" w:type="dxa"/>
            <w:vMerge w:val="continue"/>
            <w:tcBorders>
              <w:left w:val="single" w:color="000000" w:sz="4" w:space="0"/>
              <w:bottom w:val="single" w:color="000000" w:sz="4" w:space="0"/>
              <w:right w:val="single" w:color="000000" w:sz="4" w:space="0"/>
            </w:tcBorders>
            <w:noWrap/>
            <w:vAlign w:val="center"/>
          </w:tcPr>
          <w:p>
            <w:pPr>
              <w:snapToGrid w:val="0"/>
              <w:spacing w:before="0" w:after="0" w:line="560" w:lineRule="exact"/>
              <w:ind w:left="0" w:leftChars="0" w:right="0" w:rightChars="0" w:firstLine="0" w:firstLineChars="0"/>
              <w:jc w:val="center"/>
              <w:rPr>
                <w:rFonts w:hint="eastAsia" w:ascii="仿宋_GB2312" w:hAnsi="宋体" w:eastAsia="仿宋_GB2312" w:cs="仿宋_GB2312"/>
                <w:b/>
                <w:bCs/>
                <w:i w:val="0"/>
                <w:iCs w:val="0"/>
                <w:color w:val="auto"/>
                <w:sz w:val="22"/>
                <w:szCs w:val="22"/>
                <w:highlight w:val="none"/>
                <w:u w:val="none"/>
                <w:lang w:val="en-US" w:eastAsia="zh-CN"/>
              </w:rPr>
            </w:pPr>
          </w:p>
        </w:tc>
        <w:tc>
          <w:tcPr>
            <w:tcW w:w="98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b/>
                <w:bCs/>
                <w:i w:val="0"/>
                <w:iCs w:val="0"/>
                <w:color w:val="auto"/>
                <w:kern w:val="0"/>
                <w:sz w:val="22"/>
                <w:szCs w:val="28"/>
                <w:highlight w:val="none"/>
                <w:u w:val="none"/>
                <w:lang w:val="en-US" w:eastAsia="zh-CN" w:bidi="ar"/>
              </w:rPr>
            </w:pPr>
          </w:p>
        </w:tc>
        <w:tc>
          <w:tcPr>
            <w:tcW w:w="6353" w:type="dxa"/>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bidi w:val="0"/>
              <w:snapToGrid w:val="0"/>
              <w:spacing w:before="0" w:after="0" w:line="560" w:lineRule="exact"/>
              <w:ind w:left="0" w:leftChars="0" w:right="0" w:rightChars="0" w:firstLine="0" w:firstLineChars="0"/>
              <w:jc w:val="left"/>
              <w:textAlignment w:val="cente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pPr>
            <w:r>
              <w:rPr>
                <w:rFonts w:hint="default" w:ascii="仿宋_GB2312" w:hAnsi="宋体" w:eastAsia="仿宋_GB2312" w:cs="仿宋_GB2312"/>
                <w:i w:val="0"/>
                <w:iCs w:val="0"/>
                <w:caps w:val="0"/>
                <w:color w:val="auto"/>
                <w:spacing w:val="0"/>
                <w:kern w:val="0"/>
                <w:sz w:val="22"/>
                <w:szCs w:val="22"/>
                <w:highlight w:val="none"/>
                <w:u w:val="none"/>
                <w:shd w:val="clear" w:color="auto" w:fill="auto"/>
                <w:lang w:val="en-US" w:eastAsia="zh-CN" w:bidi="ar"/>
              </w:rPr>
              <w:t>被省级政府部门列为典型案例推广或被省级主流媒体专题报道</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spacing w:before="0" w:after="0" w:line="560" w:lineRule="exact"/>
              <w:ind w:left="0" w:leftChars="0" w:right="0" w:rightChars="0" w:firstLine="0" w:firstLineChars="0"/>
              <w:jc w:val="center"/>
              <w:textAlignment w:val="center"/>
              <w:rPr>
                <w:rFonts w:hint="default" w:ascii="仿宋_GB2312" w:hAnsi="宋体" w:eastAsia="仿宋_GB2312" w:cs="仿宋_GB2312"/>
                <w:i w:val="0"/>
                <w:iCs w:val="0"/>
                <w:color w:val="auto"/>
                <w:kern w:val="0"/>
                <w:sz w:val="22"/>
                <w:szCs w:val="28"/>
                <w:highlight w:val="none"/>
                <w:u w:val="none"/>
                <w:lang w:val="en-US" w:eastAsia="zh-CN" w:bidi="ar"/>
              </w:rPr>
            </w:pPr>
            <w:r>
              <w:rPr>
                <w:rFonts w:hint="eastAsia" w:ascii="仿宋_GB2312" w:hAnsi="宋体" w:eastAsia="仿宋_GB2312" w:cs="仿宋_GB2312"/>
                <w:i w:val="0"/>
                <w:iCs w:val="0"/>
                <w:color w:val="auto"/>
                <w:kern w:val="0"/>
                <w:sz w:val="22"/>
                <w:szCs w:val="28"/>
                <w:highlight w:val="none"/>
                <w:u w:val="none"/>
                <w:lang w:val="en-US" w:eastAsia="zh-CN" w:bidi="ar"/>
              </w:rPr>
              <w:t>2</w:t>
            </w:r>
          </w:p>
        </w:tc>
        <w:tc>
          <w:tcPr>
            <w:tcW w:w="385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560" w:lineRule="exact"/>
              <w:ind w:left="0" w:leftChars="0" w:right="0" w:rightChars="0" w:firstLine="0" w:firstLineChars="0"/>
              <w:jc w:val="left"/>
              <w:textAlignment w:val="center"/>
              <w:rPr>
                <w:rFonts w:hint="eastAsia" w:ascii="仿宋_GB2312" w:hAnsi="宋体" w:eastAsia="仿宋_GB2312" w:cs="仿宋_GB2312"/>
                <w:i w:val="0"/>
                <w:iCs w:val="0"/>
                <w:color w:val="auto"/>
                <w:kern w:val="0"/>
                <w:sz w:val="22"/>
                <w:szCs w:val="28"/>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注：新一代人工智能技术包括但不限于智算芯片、具身智能、高阶智驾、端侧轻量化模型、多模态模型等方向。</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p>
    <w:p>
      <w:pPr>
        <w:rPr>
          <w:color w:val="auto"/>
          <w:highlight w:val="none"/>
        </w:rPr>
      </w:pPr>
    </w:p>
    <w:sectPr>
      <w:pgSz w:w="16838" w:h="11906" w:orient="landscape"/>
      <w:pgMar w:top="1474" w:right="1814" w:bottom="1474" w:left="181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244BE4-5C68-43A0-91B5-746DD1D8C0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9A8C16-85B4-4175-A37B-8A0A245DC4A3}"/>
  </w:font>
  <w:font w:name="仿宋_GB2312">
    <w:panose1 w:val="02010609030101010101"/>
    <w:charset w:val="86"/>
    <w:family w:val="auto"/>
    <w:pitch w:val="default"/>
    <w:sig w:usb0="00000001" w:usb1="080E0000" w:usb2="00000000" w:usb3="00000000" w:csb0="00040000" w:csb1="00000000"/>
    <w:embedRegular r:id="rId3" w:fontKey="{9A94D520-899D-44AB-ABA5-676F018B1126}"/>
  </w:font>
  <w:font w:name="仿宋">
    <w:panose1 w:val="02010609060101010101"/>
    <w:charset w:val="86"/>
    <w:family w:val="modern"/>
    <w:pitch w:val="default"/>
    <w:sig w:usb0="800002BF" w:usb1="38CF7CFA" w:usb2="00000016" w:usb3="00000000" w:csb0="00040001" w:csb1="00000000"/>
    <w:embedRegular r:id="rId4" w:fontKey="{266C9E7C-AB51-4351-8192-021313FE7F48}"/>
  </w:font>
  <w:font w:name="方正小标宋简体">
    <w:panose1 w:val="03000509000000000000"/>
    <w:charset w:val="86"/>
    <w:family w:val="auto"/>
    <w:pitch w:val="default"/>
    <w:sig w:usb0="00000001" w:usb1="080E0000" w:usb2="00000000" w:usb3="00000000" w:csb0="00040000" w:csb1="00000000"/>
    <w:embedRegular r:id="rId5" w:fontKey="{6822508B-B1EA-4E88-9A16-A9D05DF308E5}"/>
  </w:font>
  <w:font w:name="楷体">
    <w:panose1 w:val="02010609060101010101"/>
    <w:charset w:val="86"/>
    <w:family w:val="modern"/>
    <w:pitch w:val="default"/>
    <w:sig w:usb0="800002BF" w:usb1="38CF7CFA" w:usb2="00000016" w:usb3="00000000" w:csb0="00040001" w:csb1="00000000"/>
    <w:embedRegular r:id="rId6" w:fontKey="{F46D4062-6BA9-4D06-94BF-B935D7B2E468}"/>
  </w:font>
  <w:font w:name="楷体_GB2312">
    <w:panose1 w:val="02010609030101010101"/>
    <w:charset w:val="86"/>
    <w:family w:val="auto"/>
    <w:pitch w:val="default"/>
    <w:sig w:usb0="00000001" w:usb1="080E0000" w:usb2="00000000" w:usb3="00000000" w:csb0="00040000" w:csb1="00000000"/>
    <w:embedRegular r:id="rId7" w:fontKey="{8316EBEE-5A0B-4CC9-B952-D4E27DD4AD43}"/>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05E716C"/>
    <w:rsid w:val="012A09FA"/>
    <w:rsid w:val="01395070"/>
    <w:rsid w:val="02803A46"/>
    <w:rsid w:val="02CB1CF7"/>
    <w:rsid w:val="02DA63DE"/>
    <w:rsid w:val="02E93786"/>
    <w:rsid w:val="032C6A46"/>
    <w:rsid w:val="03B55433"/>
    <w:rsid w:val="05036B9E"/>
    <w:rsid w:val="052D305E"/>
    <w:rsid w:val="052E6828"/>
    <w:rsid w:val="06426774"/>
    <w:rsid w:val="064C2F18"/>
    <w:rsid w:val="06825C75"/>
    <w:rsid w:val="068A4895"/>
    <w:rsid w:val="070F7027"/>
    <w:rsid w:val="073028EC"/>
    <w:rsid w:val="08461CA3"/>
    <w:rsid w:val="0A0D52EB"/>
    <w:rsid w:val="0A2D6324"/>
    <w:rsid w:val="0A302337"/>
    <w:rsid w:val="0A58254D"/>
    <w:rsid w:val="0A6C5760"/>
    <w:rsid w:val="0A8D4688"/>
    <w:rsid w:val="0B35692F"/>
    <w:rsid w:val="0B4456D1"/>
    <w:rsid w:val="0BAD1FAB"/>
    <w:rsid w:val="0BE1742C"/>
    <w:rsid w:val="0CE26E99"/>
    <w:rsid w:val="0D0E36C4"/>
    <w:rsid w:val="0D1F0CED"/>
    <w:rsid w:val="0E511A57"/>
    <w:rsid w:val="0E913392"/>
    <w:rsid w:val="0EB47F46"/>
    <w:rsid w:val="0F95719B"/>
    <w:rsid w:val="0FE131A1"/>
    <w:rsid w:val="0FED3255"/>
    <w:rsid w:val="10A87B1C"/>
    <w:rsid w:val="10BF0BFF"/>
    <w:rsid w:val="10F308A0"/>
    <w:rsid w:val="11A73770"/>
    <w:rsid w:val="124226AB"/>
    <w:rsid w:val="126D73E5"/>
    <w:rsid w:val="13A40095"/>
    <w:rsid w:val="14053C83"/>
    <w:rsid w:val="15261E8B"/>
    <w:rsid w:val="15C958A9"/>
    <w:rsid w:val="160A19AA"/>
    <w:rsid w:val="163D2AB4"/>
    <w:rsid w:val="16FA8BE0"/>
    <w:rsid w:val="172A2DF8"/>
    <w:rsid w:val="17B005EC"/>
    <w:rsid w:val="185533C0"/>
    <w:rsid w:val="187E0EC3"/>
    <w:rsid w:val="18AB1F57"/>
    <w:rsid w:val="190653E0"/>
    <w:rsid w:val="197B53D3"/>
    <w:rsid w:val="1A595627"/>
    <w:rsid w:val="1C210334"/>
    <w:rsid w:val="1C964CCC"/>
    <w:rsid w:val="1CAB69CA"/>
    <w:rsid w:val="1CB753A9"/>
    <w:rsid w:val="1CFC17D2"/>
    <w:rsid w:val="1D0D00C6"/>
    <w:rsid w:val="1D641A53"/>
    <w:rsid w:val="1D7D3E55"/>
    <w:rsid w:val="1EBE0883"/>
    <w:rsid w:val="1F615BEE"/>
    <w:rsid w:val="205A510F"/>
    <w:rsid w:val="21127D99"/>
    <w:rsid w:val="21A5207B"/>
    <w:rsid w:val="22C22819"/>
    <w:rsid w:val="23AE7537"/>
    <w:rsid w:val="24353D54"/>
    <w:rsid w:val="246A3FA3"/>
    <w:rsid w:val="26B13C0B"/>
    <w:rsid w:val="26E72CF4"/>
    <w:rsid w:val="272E1910"/>
    <w:rsid w:val="2976170C"/>
    <w:rsid w:val="29862CCB"/>
    <w:rsid w:val="2A104310"/>
    <w:rsid w:val="2A1A1904"/>
    <w:rsid w:val="2A4B3E74"/>
    <w:rsid w:val="2B4D50F0"/>
    <w:rsid w:val="2BA068F1"/>
    <w:rsid w:val="2C2A1457"/>
    <w:rsid w:val="2CAE0A32"/>
    <w:rsid w:val="2EF028BC"/>
    <w:rsid w:val="2F0A3862"/>
    <w:rsid w:val="2FFC0AFB"/>
    <w:rsid w:val="302C0287"/>
    <w:rsid w:val="31A95387"/>
    <w:rsid w:val="31B31F93"/>
    <w:rsid w:val="31B83DD4"/>
    <w:rsid w:val="321653A8"/>
    <w:rsid w:val="322E20A6"/>
    <w:rsid w:val="329C19A3"/>
    <w:rsid w:val="32F52701"/>
    <w:rsid w:val="341A4C22"/>
    <w:rsid w:val="347B2CCE"/>
    <w:rsid w:val="352B3694"/>
    <w:rsid w:val="35AA0056"/>
    <w:rsid w:val="363C0287"/>
    <w:rsid w:val="3654545B"/>
    <w:rsid w:val="36565190"/>
    <w:rsid w:val="366C2500"/>
    <w:rsid w:val="36D24400"/>
    <w:rsid w:val="382C7B34"/>
    <w:rsid w:val="385F275A"/>
    <w:rsid w:val="387303F9"/>
    <w:rsid w:val="392F53FC"/>
    <w:rsid w:val="392F6470"/>
    <w:rsid w:val="39C47CF0"/>
    <w:rsid w:val="39FD4890"/>
    <w:rsid w:val="3AE03440"/>
    <w:rsid w:val="3B0E3D0E"/>
    <w:rsid w:val="3BFC17F2"/>
    <w:rsid w:val="3C0C0B0D"/>
    <w:rsid w:val="3CFD6976"/>
    <w:rsid w:val="3D4A73E3"/>
    <w:rsid w:val="3D5D42F6"/>
    <w:rsid w:val="3DB808BA"/>
    <w:rsid w:val="3E7C01F6"/>
    <w:rsid w:val="3FAC643B"/>
    <w:rsid w:val="3FDDF272"/>
    <w:rsid w:val="407A2ECB"/>
    <w:rsid w:val="418D6C3A"/>
    <w:rsid w:val="423806ED"/>
    <w:rsid w:val="423865DE"/>
    <w:rsid w:val="428230B1"/>
    <w:rsid w:val="42FB5880"/>
    <w:rsid w:val="437A5877"/>
    <w:rsid w:val="43BB3CEC"/>
    <w:rsid w:val="4412784D"/>
    <w:rsid w:val="4419481C"/>
    <w:rsid w:val="443C2562"/>
    <w:rsid w:val="44A91A1A"/>
    <w:rsid w:val="44D052C5"/>
    <w:rsid w:val="45B74C48"/>
    <w:rsid w:val="46A70EF9"/>
    <w:rsid w:val="46AE1F3D"/>
    <w:rsid w:val="473C23B2"/>
    <w:rsid w:val="4743523B"/>
    <w:rsid w:val="474450E0"/>
    <w:rsid w:val="47781E40"/>
    <w:rsid w:val="48541414"/>
    <w:rsid w:val="4900762E"/>
    <w:rsid w:val="49EC7FDD"/>
    <w:rsid w:val="4A6B0082"/>
    <w:rsid w:val="4AB56AE2"/>
    <w:rsid w:val="4B0038EE"/>
    <w:rsid w:val="4B6E7935"/>
    <w:rsid w:val="4BB87F0C"/>
    <w:rsid w:val="4D3521BB"/>
    <w:rsid w:val="4E7E74BD"/>
    <w:rsid w:val="4E805B64"/>
    <w:rsid w:val="4E853694"/>
    <w:rsid w:val="4EE07D75"/>
    <w:rsid w:val="4F0F02C3"/>
    <w:rsid w:val="4F214F20"/>
    <w:rsid w:val="4F9660BB"/>
    <w:rsid w:val="4FB87893"/>
    <w:rsid w:val="4FC2745B"/>
    <w:rsid w:val="509A0D5C"/>
    <w:rsid w:val="50CB0BE4"/>
    <w:rsid w:val="51A47BE3"/>
    <w:rsid w:val="51F223CA"/>
    <w:rsid w:val="52252BFC"/>
    <w:rsid w:val="540939FA"/>
    <w:rsid w:val="543117F2"/>
    <w:rsid w:val="54D06548"/>
    <w:rsid w:val="54E753F5"/>
    <w:rsid w:val="554FA15E"/>
    <w:rsid w:val="563F7F48"/>
    <w:rsid w:val="569C52ED"/>
    <w:rsid w:val="56F7427F"/>
    <w:rsid w:val="57630B12"/>
    <w:rsid w:val="5779221D"/>
    <w:rsid w:val="584A4BC5"/>
    <w:rsid w:val="584C4C5F"/>
    <w:rsid w:val="589B5008"/>
    <w:rsid w:val="58A326D8"/>
    <w:rsid w:val="591946E0"/>
    <w:rsid w:val="59466376"/>
    <w:rsid w:val="5A6327D8"/>
    <w:rsid w:val="5AA370C6"/>
    <w:rsid w:val="5AEF58D9"/>
    <w:rsid w:val="5B0222A8"/>
    <w:rsid w:val="5BF51433"/>
    <w:rsid w:val="5D3A2B61"/>
    <w:rsid w:val="5E31427A"/>
    <w:rsid w:val="5EAB332E"/>
    <w:rsid w:val="5EDA3C27"/>
    <w:rsid w:val="5F6568F7"/>
    <w:rsid w:val="5FFBFD4E"/>
    <w:rsid w:val="5FFF8D5C"/>
    <w:rsid w:val="60C802BC"/>
    <w:rsid w:val="61DE0EB4"/>
    <w:rsid w:val="623151CA"/>
    <w:rsid w:val="625F3421"/>
    <w:rsid w:val="63A419D8"/>
    <w:rsid w:val="64D37E08"/>
    <w:rsid w:val="64DB7056"/>
    <w:rsid w:val="6575B814"/>
    <w:rsid w:val="65BFEBEA"/>
    <w:rsid w:val="6610178A"/>
    <w:rsid w:val="66320B8F"/>
    <w:rsid w:val="66982F4F"/>
    <w:rsid w:val="66F0546D"/>
    <w:rsid w:val="67486004"/>
    <w:rsid w:val="683B3E0E"/>
    <w:rsid w:val="6888651F"/>
    <w:rsid w:val="6894168D"/>
    <w:rsid w:val="68E34454"/>
    <w:rsid w:val="68EB6152"/>
    <w:rsid w:val="69B52798"/>
    <w:rsid w:val="6A7451AD"/>
    <w:rsid w:val="6AC14C27"/>
    <w:rsid w:val="6AD17E5E"/>
    <w:rsid w:val="6B3EB88D"/>
    <w:rsid w:val="6B6B4CB3"/>
    <w:rsid w:val="6BC41409"/>
    <w:rsid w:val="6C030E4B"/>
    <w:rsid w:val="6C5C62E3"/>
    <w:rsid w:val="6CAB30BC"/>
    <w:rsid w:val="6CED51AD"/>
    <w:rsid w:val="6D042BC1"/>
    <w:rsid w:val="6DEEA043"/>
    <w:rsid w:val="6E365A3C"/>
    <w:rsid w:val="6FCC3E6E"/>
    <w:rsid w:val="6FEE0232"/>
    <w:rsid w:val="6FEFB7EB"/>
    <w:rsid w:val="6FFF1537"/>
    <w:rsid w:val="71284AD6"/>
    <w:rsid w:val="71D6011D"/>
    <w:rsid w:val="72694444"/>
    <w:rsid w:val="72AF14FA"/>
    <w:rsid w:val="738FA7E8"/>
    <w:rsid w:val="73A0155B"/>
    <w:rsid w:val="748F5D04"/>
    <w:rsid w:val="74BE521F"/>
    <w:rsid w:val="74F90479"/>
    <w:rsid w:val="750C1C31"/>
    <w:rsid w:val="760B2FB7"/>
    <w:rsid w:val="7625601A"/>
    <w:rsid w:val="76463F55"/>
    <w:rsid w:val="76976C92"/>
    <w:rsid w:val="76E7A51A"/>
    <w:rsid w:val="76EF2560"/>
    <w:rsid w:val="77BF249E"/>
    <w:rsid w:val="77BF93F3"/>
    <w:rsid w:val="78070238"/>
    <w:rsid w:val="78D33F7B"/>
    <w:rsid w:val="798E36E0"/>
    <w:rsid w:val="7AAE0691"/>
    <w:rsid w:val="7BC40083"/>
    <w:rsid w:val="7C160625"/>
    <w:rsid w:val="7C1A6A34"/>
    <w:rsid w:val="7CBE4AD3"/>
    <w:rsid w:val="7D1C7CE5"/>
    <w:rsid w:val="7EFF667A"/>
    <w:rsid w:val="7F363046"/>
    <w:rsid w:val="8EFFBC18"/>
    <w:rsid w:val="AC2DB864"/>
    <w:rsid w:val="AD5E79E0"/>
    <w:rsid w:val="AFF12026"/>
    <w:rsid w:val="BE5F0EAB"/>
    <w:rsid w:val="BFDF6CE9"/>
    <w:rsid w:val="DEF3A296"/>
    <w:rsid w:val="DF7E72E6"/>
    <w:rsid w:val="DFFF8C5C"/>
    <w:rsid w:val="E0FDEE4E"/>
    <w:rsid w:val="E56AB755"/>
    <w:rsid w:val="F3D1CF89"/>
    <w:rsid w:val="F72F75A0"/>
    <w:rsid w:val="F7772E64"/>
    <w:rsid w:val="FBED48AB"/>
    <w:rsid w:val="FBF9F7D1"/>
    <w:rsid w:val="FEFBCB58"/>
    <w:rsid w:val="FF773750"/>
    <w:rsid w:val="FF77E1E5"/>
    <w:rsid w:val="FFD9CCFF"/>
    <w:rsid w:val="FFEFB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character" w:customStyle="1" w:styleId="35">
    <w:name w:val="font01"/>
    <w:qFormat/>
    <w:uiPriority w:val="0"/>
    <w:rPr>
      <w:rFonts w:hint="eastAsia" w:ascii="宋体" w:hAnsi="宋体" w:eastAsia="宋体" w:cs="宋体"/>
      <w:color w:val="000000"/>
      <w:sz w:val="22"/>
      <w:szCs w:val="22"/>
      <w:u w:val="none"/>
    </w:rPr>
  </w:style>
  <w:style w:type="paragraph" w:customStyle="1" w:styleId="36">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6081</Words>
  <Characters>6261</Characters>
  <Lines>0</Lines>
  <Paragraphs>0</Paragraphs>
  <TotalTime>19</TotalTime>
  <ScaleCrop>false</ScaleCrop>
  <LinksUpToDate>false</LinksUpToDate>
  <CharactersWithSpaces>6270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2025-07-06T02:47:00Z</dcterms:created>
  <dc:creator>黄佩琳</dc:creator>
  <cp:lastModifiedBy>黎俊</cp:lastModifiedBy>
  <cp:lastPrinted>2026-03-26T14:49:00Z</cp:lastPrinted>
  <dcterms:modified xsi:type="dcterms:W3CDTF">2026-06-29T12:19:16Z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C4EB12A5CF42496A9FA3FDB2E4071A8A_13</vt:lpwstr>
  </property>
  <property fmtid="{D5CDD505-2E9C-101B-9397-08002B2CF9AE}" pid="4" name="KSOTemplateDocerSaveRecord">
    <vt:lpwstr>eyJoZGlkIjoiNTIyMTVkNWMyNjg0MmY3ZTZkZGYyNGZiNGI3MzdhYTgiLCJ1c2VySWQiOiI1NzU3NDk0NDQifQ==</vt:lpwstr>
  </property>
</Properties>
</file>