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bookmarkStart w:id="0" w:name="_Toc125127182"/>
      <w:bookmarkStart w:id="1" w:name="_Toc5810"/>
      <w:bookmarkStart w:id="2" w:name="_Toc32562"/>
      <w:bookmarkStart w:id="3" w:name="_Toc13216"/>
      <w:r>
        <w:rPr>
          <w:rFonts w:hint="eastAsia" w:ascii="仿宋_GB2312" w:hAnsi="仿宋_GB2312" w:eastAsia="仿宋_GB2312" w:cs="仿宋_GB2312"/>
          <w:color w:val="auto"/>
          <w:sz w:val="32"/>
          <w:szCs w:val="32"/>
          <w:highlight w:val="none"/>
          <w:lang w:val="en-US" w:eastAsia="zh-CN"/>
        </w:rPr>
        <w:t>附件8</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2026年中央资金深圳市消费新业态新模式新场景试点（支持创新多元化服务消费场景—发展家政等居民服务创新业态资助项目）申报指南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0798"/>
      <w:bookmarkStart w:id="5" w:name="_Toc24194"/>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支持家政等居民服务领域发展新业态新模式</w:t>
      </w:r>
      <w:r>
        <w:rPr>
          <w:rFonts w:hint="eastAsia"/>
          <w:color w:val="auto"/>
          <w:highlight w:val="none"/>
          <w:lang w:val="en-US" w:eastAsia="zh-CN"/>
        </w:rPr>
        <w:t>新场景</w:t>
      </w:r>
      <w:r>
        <w:rPr>
          <w:rFonts w:hint="eastAsia" w:ascii="仿宋_GB2312" w:eastAsia="仿宋_GB2312"/>
          <w:color w:val="auto"/>
          <w:highlight w:val="none"/>
          <w:lang w:val="en-US" w:eastAsia="zh-CN"/>
        </w:rPr>
        <w:t>。</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r>
        <w:rPr>
          <w:rFonts w:hint="eastAsia" w:ascii="仿宋_GB2312" w:eastAsia="仿宋_GB2312"/>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21755"/>
      <w:bookmarkStart w:id="9" w:name="_Toc18411"/>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default"/>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431"/>
      <w:bookmarkStart w:id="11" w:name="_Toc15307"/>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6.申报单位不存在将本属于同一性质内涵与建设内容的资助项目刻意分拆成两个项目的情形。同一项目不得重复申请多个支持方向。</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申报项目应符合以下类型之一：</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1.家政数智化平台</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（1）申报项目须围绕建设家政数智化平台，运用人工智能、大数据等技术，实现AI用户画像、精准服务匹配、智能监管等深度智能化应用；</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（2）申报项目须</w:t>
      </w:r>
      <w:r>
        <w:rPr>
          <w:rFonts w:hint="default"/>
          <w:color w:val="auto"/>
          <w:highlight w:val="none"/>
          <w:lang w:val="en-US" w:eastAsia="zh-CN"/>
        </w:rPr>
        <w:t>实现家政服务人员身份核验、健康管理、技能评级、服务全程可追溯</w:t>
      </w:r>
      <w:r>
        <w:rPr>
          <w:rFonts w:hint="eastAsia"/>
          <w:color w:val="auto"/>
          <w:highlight w:val="none"/>
          <w:lang w:val="en-US" w:eastAsia="zh-CN"/>
        </w:rPr>
        <w:t>，并具备</w:t>
      </w:r>
      <w:r>
        <w:rPr>
          <w:rFonts w:hint="default"/>
          <w:color w:val="auto"/>
          <w:highlight w:val="none"/>
          <w:lang w:val="en-US" w:eastAsia="zh-CN"/>
        </w:rPr>
        <w:t>标准化服务流程与价格公示体系</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（3）服务家庭数不低于2000户（含）（2025年9月30日后项目落地以来）。</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2.“家政+”融合服务区</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（1）申报项目须以家政服务为基础，融合健康管理、适老智能科技体验、智慧康养、家庭素养提升服务、高端母婴照料等2类以上业态，实现店铺升级；</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（2）申报项目</w:t>
      </w:r>
      <w:r>
        <w:rPr>
          <w:rFonts w:hint="default"/>
          <w:color w:val="auto"/>
          <w:highlight w:val="none"/>
          <w:lang w:val="en-US" w:eastAsia="zh-CN"/>
        </w:rPr>
        <w:t>固定</w:t>
      </w:r>
      <w:r>
        <w:rPr>
          <w:rFonts w:hint="eastAsia"/>
          <w:color w:val="auto"/>
          <w:highlight w:val="none"/>
          <w:lang w:val="en-US" w:eastAsia="zh-CN"/>
        </w:rPr>
        <w:t>经营场所</w:t>
      </w:r>
      <w:r>
        <w:rPr>
          <w:rFonts w:hint="default"/>
          <w:color w:val="auto"/>
          <w:highlight w:val="none"/>
          <w:lang w:val="en-US" w:eastAsia="zh-CN"/>
        </w:rPr>
        <w:t>面积不低于200㎡</w:t>
      </w:r>
      <w:r>
        <w:rPr>
          <w:rFonts w:hint="eastAsia"/>
          <w:color w:val="auto"/>
          <w:highlight w:val="none"/>
          <w:lang w:val="en-US" w:eastAsia="zh-CN"/>
        </w:rPr>
        <w:t>（含）。</w:t>
      </w:r>
    </w:p>
    <w:p>
      <w:pPr>
        <w:pStyle w:val="35"/>
        <w:bidi w:val="0"/>
        <w:ind w:firstLine="640" w:firstLineChars="200"/>
        <w:rPr>
          <w:rStyle w:val="19"/>
          <w:rFonts w:hint="eastAsia" w:ascii="仿宋_GB2312" w:hAnsi="仿宋" w:eastAsia="仿宋_GB2312" w:cs="宋体"/>
          <w:bCs/>
          <w:color w:val="auto"/>
          <w:kern w:val="36"/>
          <w:sz w:val="32"/>
          <w:szCs w:val="32"/>
          <w:highlight w:val="none"/>
          <w:lang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pStyle w:val="35"/>
        <w:keepNext w:val="0"/>
        <w:keepLines w:val="0"/>
        <w:pageBreakBefore w:val="0"/>
        <w:widowControl w:val="0"/>
        <w:kinsoku/>
        <w:wordWrap/>
        <w:overflowPunct/>
        <w:topLinePunct w:val="0"/>
        <w:autoSpaceDE/>
        <w:autoSpaceDN/>
        <w:bidi w:val="0"/>
        <w:adjustRightInd/>
        <w:snapToGrid/>
        <w:spacing w:before="0" w:after="0"/>
        <w:ind w:firstLine="640"/>
        <w:textAlignment w:val="auto"/>
        <w:rPr>
          <w:rFonts w:hint="eastAsia"/>
          <w:color w:val="auto"/>
          <w:highlight w:val="none"/>
          <w:lang w:val="en-US" w:eastAsia="zh-CN"/>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w:t>
      </w:r>
      <w:bookmarkStart w:id="40" w:name="_GoBack"/>
      <w:bookmarkEnd w:id="40"/>
      <w:r>
        <w:rPr>
          <w:rStyle w:val="19"/>
          <w:rFonts w:hint="default" w:ascii="仿宋_GB2312" w:hAnsi="仿宋_GB2312" w:eastAsia="仿宋_GB2312" w:cs="仿宋_GB2312"/>
          <w:color w:val="auto"/>
          <w:sz w:val="32"/>
          <w:szCs w:val="32"/>
          <w:highlight w:val="none"/>
          <w:lang w:val="en-US" w:eastAsia="zh-CN"/>
        </w:rPr>
        <w:t>以及无消费内容的项目。</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ascii="仿宋_GB2312" w:eastAsia="仿宋_GB2312"/>
          <w:color w:val="auto"/>
          <w:highlight w:val="none"/>
          <w:lang w:val="en-US" w:eastAsia="zh-CN"/>
        </w:rPr>
      </w:pPr>
      <w:r>
        <w:rPr>
          <w:rFonts w:hint="eastAsia"/>
          <w:color w:val="auto"/>
          <w:highlight w:val="none"/>
          <w:lang w:val="en-US" w:eastAsia="zh-CN"/>
        </w:rPr>
        <w:t>（一）</w:t>
      </w:r>
      <w:r>
        <w:rPr>
          <w:rFonts w:hint="eastAsia" w:ascii="仿宋_GB2312" w:eastAsia="仿宋_GB2312"/>
          <w:color w:val="auto"/>
          <w:highlight w:val="none"/>
          <w:lang w:val="en-US" w:eastAsia="zh-CN"/>
        </w:rPr>
        <w:t>支持家政企业建设家政数智化平台，按相关的实际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20%给予资助，试点期间最高不超过300万元。</w:t>
      </w:r>
    </w:p>
    <w:p>
      <w:pPr>
        <w:bidi w:val="0"/>
        <w:rPr>
          <w:rFonts w:hint="eastAsia" w:ascii="仿宋_GB2312" w:eastAsia="仿宋_GB2312"/>
          <w:color w:val="auto"/>
          <w:highlight w:val="none"/>
          <w:lang w:val="en-US" w:eastAsia="zh-CN"/>
        </w:rPr>
      </w:pPr>
      <w:r>
        <w:rPr>
          <w:rFonts w:hint="eastAsia"/>
          <w:color w:val="auto"/>
          <w:highlight w:val="none"/>
          <w:lang w:val="en-US" w:eastAsia="zh-CN"/>
        </w:rPr>
        <w:t>（二）</w:t>
      </w:r>
      <w:r>
        <w:rPr>
          <w:rFonts w:hint="eastAsia" w:ascii="仿宋_GB2312" w:eastAsia="仿宋_GB2312"/>
          <w:color w:val="auto"/>
          <w:highlight w:val="none"/>
          <w:lang w:val="en-US" w:eastAsia="zh-CN"/>
        </w:rPr>
        <w:t>支持经营主体进行店铺升级，</w:t>
      </w:r>
      <w:r>
        <w:rPr>
          <w:rFonts w:hint="eastAsia"/>
          <w:color w:val="auto"/>
          <w:highlight w:val="none"/>
          <w:lang w:val="en-US" w:eastAsia="zh-CN"/>
        </w:rPr>
        <w:t>打造“家政+”融合服务区，</w:t>
      </w:r>
      <w:r>
        <w:rPr>
          <w:rFonts w:hint="eastAsia" w:ascii="仿宋_GB2312" w:eastAsia="仿宋_GB2312"/>
          <w:color w:val="auto"/>
          <w:highlight w:val="none"/>
          <w:lang w:val="en-US" w:eastAsia="zh-CN"/>
        </w:rPr>
        <w:t>按相关的实际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30%给予资助，试点期间最高不超过100万元。</w:t>
      </w:r>
    </w:p>
    <w:p>
      <w:pPr>
        <w:bidi w:val="0"/>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2025年9月30日以来至申报日，申报主体打造家政等居民服务创新业态项目时</w:t>
      </w:r>
      <w:r>
        <w:rPr>
          <w:rFonts w:hint="eastAsia"/>
          <w:color w:val="000000" w:themeColor="text1"/>
          <w:highlight w:val="none"/>
          <w:lang w:val="en-US" w:eastAsia="zh-CN"/>
          <w14:textFill>
            <w14:solidFill>
              <w14:schemeClr w14:val="tx1"/>
            </w14:solidFill>
          </w14:textFill>
        </w:rPr>
        <w:t>，已完成或阶段性完成部分相关投入，不包含各级财政投资部分，以及第四点第（二）条专项条件中明确不予支持部分。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登录前海企业服务一体化平台在线下载填报申请书（网址：https://qhsk.sz.gov.cn/—选择“领补贴”—商贸物流—“消费新业态新模式新场景试点（支持创新多元化服务消费场景—发展家政等居民服务创新业态资助项目）事项”—点击“</w:t>
      </w:r>
      <w:r>
        <w:rPr>
          <w:rFonts w:hint="eastAsia"/>
          <w:highlight w:val="none"/>
          <w:lang w:val="en-US" w:eastAsia="zh-CN"/>
        </w:rPr>
        <w:t>一键申报</w:t>
      </w:r>
      <w:r>
        <w:rPr>
          <w:rFonts w:hint="default"/>
          <w:color w:val="auto"/>
          <w:highlight w:val="none"/>
          <w:lang w:val="en-US" w:eastAsia="zh-CN"/>
        </w:rPr>
        <w:t>”—登录后按要求填报并上传申请材料—点击提交），初审通过后提供申请书纸质文件原件并将本指南第六条要求的项目申报材料一并线下或通过邮寄方式递交至前海e站通政务服务中心（深圳市前海合作区前湾一路19号）。</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default"/>
          <w:color w:val="auto"/>
          <w:highlight w:val="none"/>
          <w:lang w:val="en-US" w:eastAsia="zh-CN"/>
        </w:rPr>
      </w:pPr>
      <w:r>
        <w:rPr>
          <w:rFonts w:hint="default"/>
          <w:color w:val="auto"/>
          <w:highlight w:val="none"/>
          <w:lang w:val="en-US" w:eastAsia="zh-CN"/>
        </w:rPr>
        <w:t>1.通用专项材料（两类方向均需提交）</w:t>
      </w:r>
    </w:p>
    <w:p>
      <w:pPr>
        <w:bidi w:val="0"/>
        <w:rPr>
          <w:rFonts w:hint="eastAsia"/>
          <w:color w:val="auto"/>
          <w:highlight w:val="none"/>
          <w:lang w:val="en-US" w:eastAsia="zh-CN"/>
        </w:rPr>
      </w:pPr>
      <w:r>
        <w:rPr>
          <w:rFonts w:hint="eastAsia"/>
          <w:color w:val="auto"/>
          <w:highlight w:val="none"/>
          <w:lang w:val="en-US" w:eastAsia="zh-CN"/>
        </w:rPr>
        <w:t>（1）项目成效总结（模板详见项目申报书）。</w:t>
      </w:r>
    </w:p>
    <w:p>
      <w:pPr>
        <w:bidi w:val="0"/>
        <w:rPr>
          <w:rFonts w:hint="eastAsia"/>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pPr>
        <w:bidi w:val="0"/>
        <w:rPr>
          <w:rFonts w:hint="eastAsia"/>
          <w:color w:val="auto"/>
          <w:highlight w:val="none"/>
          <w:lang w:val="en-US" w:eastAsia="zh-CN"/>
        </w:rPr>
      </w:pPr>
      <w:r>
        <w:rPr>
          <w:rFonts w:hint="eastAsia"/>
          <w:color w:val="auto"/>
          <w:highlight w:val="none"/>
          <w:lang w:val="en-US" w:eastAsia="zh-CN"/>
        </w:rPr>
        <w:t>2.分类型专项材料（选择一类提交）：</w:t>
      </w:r>
    </w:p>
    <w:p>
      <w:pPr>
        <w:bidi w:val="0"/>
        <w:rPr>
          <w:rFonts w:hint="eastAsia"/>
          <w:color w:val="auto"/>
          <w:highlight w:val="none"/>
          <w:lang w:val="en-US" w:eastAsia="zh-CN"/>
        </w:rPr>
      </w:pPr>
      <w:r>
        <w:rPr>
          <w:rFonts w:hint="eastAsia"/>
          <w:color w:val="auto"/>
          <w:highlight w:val="none"/>
          <w:lang w:val="en-US" w:eastAsia="zh-CN"/>
        </w:rPr>
        <w:t>一是家政数智化平台建设项目</w:t>
      </w:r>
    </w:p>
    <w:p>
      <w:pPr>
        <w:bidi w:val="0"/>
        <w:rPr>
          <w:rFonts w:hint="eastAsia"/>
          <w:color w:val="auto"/>
          <w:highlight w:val="none"/>
          <w:lang w:val="en-US" w:eastAsia="zh-CN"/>
        </w:rPr>
      </w:pPr>
      <w:r>
        <w:rPr>
          <w:rFonts w:hint="eastAsia"/>
          <w:color w:val="auto"/>
          <w:highlight w:val="none"/>
          <w:lang w:val="en-US" w:eastAsia="zh-CN"/>
        </w:rPr>
        <w:t>（1）平台建设说明：平台功能介绍及智能化应用说明（须体现AI用户画像、精准服务匹配、智能监管等功能）。</w:t>
      </w:r>
    </w:p>
    <w:p>
      <w:pPr>
        <w:bidi w:val="0"/>
        <w:rPr>
          <w:rFonts w:hint="eastAsia"/>
          <w:color w:val="auto"/>
          <w:highlight w:val="none"/>
          <w:lang w:val="en-US" w:eastAsia="zh-CN"/>
        </w:rPr>
      </w:pPr>
      <w:r>
        <w:rPr>
          <w:rFonts w:hint="eastAsia"/>
          <w:color w:val="auto"/>
          <w:highlight w:val="none"/>
          <w:lang w:val="en-US" w:eastAsia="zh-CN"/>
        </w:rPr>
        <w:t>（2）服务家庭数量佐证材料：平台后台服务数据、服务订单记录等。</w:t>
      </w:r>
    </w:p>
    <w:p>
      <w:pPr>
        <w:bidi w:val="0"/>
        <w:rPr>
          <w:rFonts w:hint="eastAsia"/>
          <w:color w:val="auto"/>
          <w:highlight w:val="none"/>
          <w:lang w:val="en-US" w:eastAsia="zh-CN"/>
        </w:rPr>
      </w:pPr>
      <w:r>
        <w:rPr>
          <w:rFonts w:hint="eastAsia"/>
          <w:color w:val="auto"/>
          <w:highlight w:val="none"/>
          <w:lang w:val="en-US" w:eastAsia="zh-CN"/>
        </w:rPr>
        <w:t>（3）服务人员管理佐证材料：提供人员管理与服务追溯体系说明（如人员信息库、健康档案、技能标签、服务订单追踪流程等）。</w:t>
      </w:r>
    </w:p>
    <w:p>
      <w:pPr>
        <w:bidi w:val="0"/>
        <w:rPr>
          <w:rFonts w:hint="eastAsia"/>
          <w:color w:val="auto"/>
          <w:highlight w:val="none"/>
          <w:lang w:val="en-US" w:eastAsia="zh-CN"/>
        </w:rPr>
      </w:pPr>
      <w:r>
        <w:rPr>
          <w:rFonts w:hint="eastAsia"/>
          <w:color w:val="auto"/>
          <w:highlight w:val="none"/>
          <w:lang w:val="en-US" w:eastAsia="zh-CN"/>
        </w:rPr>
        <w:t>（4）服务可追溯及标准化体系佐证材料：服务全程可追溯系统说明、追溯记录示例、标准化服务流程文件、价格公示照片/文件等。</w:t>
      </w:r>
    </w:p>
    <w:p>
      <w:pPr>
        <w:bidi w:val="0"/>
        <w:rPr>
          <w:rFonts w:hint="eastAsia"/>
          <w:color w:val="auto"/>
          <w:highlight w:val="none"/>
          <w:lang w:val="en-US" w:eastAsia="zh-CN"/>
        </w:rPr>
      </w:pPr>
      <w:r>
        <w:rPr>
          <w:rFonts w:hint="eastAsia"/>
          <w:color w:val="auto"/>
          <w:highlight w:val="none"/>
          <w:lang w:val="en-US" w:eastAsia="zh-CN"/>
        </w:rPr>
        <w:t>二是“家政+”融合服务区升级项目</w:t>
      </w:r>
    </w:p>
    <w:p>
      <w:pPr>
        <w:bidi w:val="0"/>
        <w:rPr>
          <w:rFonts w:hint="eastAsia"/>
          <w:color w:val="auto"/>
          <w:highlight w:val="none"/>
          <w:lang w:val="en-US" w:eastAsia="zh-CN"/>
        </w:rPr>
      </w:pPr>
      <w:r>
        <w:rPr>
          <w:rFonts w:hint="eastAsia"/>
          <w:color w:val="auto"/>
          <w:highlight w:val="none"/>
          <w:lang w:val="en-US" w:eastAsia="zh-CN"/>
        </w:rPr>
        <w:t>（1）业态融合佐证材料：项目运营方案、各融合业态的服务说明、现场实景资料等，须体现以家政服务为基础，融合健康管理、适老智能科技体验、智慧康养、家庭素养提升服务、高端母婴照料等2类及以上业态的具体内容。</w:t>
      </w:r>
    </w:p>
    <w:p>
      <w:pPr>
        <w:bidi w:val="0"/>
        <w:rPr>
          <w:rFonts w:hint="eastAsia"/>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2</w:t>
      </w:r>
      <w:r>
        <w:rPr>
          <w:rFonts w:hint="default"/>
          <w:color w:val="auto"/>
          <w:highlight w:val="none"/>
          <w:lang w:val="en-US" w:eastAsia="zh-CN"/>
        </w:rPr>
        <w:t>）</w:t>
      </w:r>
      <w:r>
        <w:rPr>
          <w:rFonts w:hint="eastAsia"/>
          <w:color w:val="auto"/>
          <w:highlight w:val="none"/>
          <w:lang w:val="en-US" w:eastAsia="zh-CN"/>
        </w:rPr>
        <w:t>场地面积佐证材料：不动产权证书、租赁合同或场地使用文件（须载明面积）。</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19526"/>
      <w:bookmarkStart w:id="17" w:name="_Toc5711"/>
      <w:r>
        <w:rPr>
          <w:rFonts w:hint="eastAsia" w:ascii="黑体" w:hAnsi="黑体" w:eastAsia="黑体" w:cs="仿宋"/>
          <w:color w:val="auto"/>
          <w:kern w:val="2"/>
          <w:sz w:val="32"/>
          <w:szCs w:val="22"/>
          <w:highlight w:val="none"/>
          <w:lang w:val="en-US" w:eastAsia="zh-CN" w:bidi="ar-SA"/>
        </w:rPr>
        <w:t>七、申请表格</w:t>
      </w:r>
      <w:bookmarkEnd w:id="16"/>
      <w:bookmarkEnd w:id="17"/>
    </w:p>
    <w:p>
      <w:pPr>
        <w:bidi w:val="0"/>
        <w:rPr>
          <w:rFonts w:hint="eastAsia" w:ascii="仿宋_GB2312" w:hAnsi="Calibri" w:eastAsia="仿宋_GB2312" w:cs="Times New Roman"/>
          <w:color w:val="auto"/>
          <w:sz w:val="32"/>
          <w:szCs w:val="32"/>
          <w:highlight w:val="none"/>
          <w:lang w:val="en-US" w:eastAsia="zh-CN"/>
        </w:rPr>
      </w:pPr>
      <w:r>
        <w:rPr>
          <w:rFonts w:hint="eastAsia" w:ascii="仿宋_GB2312" w:hAnsi="Calibri" w:eastAsia="仿宋_GB2312" w:cs="Times New Roman"/>
          <w:color w:val="auto"/>
          <w:sz w:val="32"/>
          <w:szCs w:val="32"/>
          <w:highlight w:val="none"/>
          <w:lang w:val="en-US" w:eastAsia="zh-CN"/>
        </w:rPr>
        <w:t>本指南第六条（一）规定登录前海企业服务一体化平台在线填报申请书，网址：https://qhsk.sz.gov.cn/。</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18" w:name="_Toc13760"/>
      <w:bookmarkStart w:id="19" w:name="_Toc20121"/>
      <w:r>
        <w:rPr>
          <w:rFonts w:hint="eastAsia" w:ascii="黑体" w:hAnsi="黑体" w:eastAsia="黑体" w:cs="仿宋"/>
          <w:color w:val="auto"/>
          <w:kern w:val="2"/>
          <w:sz w:val="32"/>
          <w:szCs w:val="22"/>
          <w:highlight w:val="none"/>
          <w:lang w:val="en-US" w:eastAsia="zh-CN" w:bidi="ar-SA"/>
        </w:rPr>
        <w:t>八、受理机关</w:t>
      </w:r>
      <w:bookmarkEnd w:id="18"/>
      <w:bookmarkEnd w:id="1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bidi w:val="0"/>
        <w:rPr>
          <w:rFonts w:hint="eastAsia" w:ascii="仿宋_GB2312" w:hAnsi="仿宋_GB2312" w:eastAsia="仿宋_GB2312" w:cs="仿宋_GB2312"/>
          <w:color w:val="auto"/>
          <w:sz w:val="32"/>
          <w:szCs w:val="32"/>
          <w:highlight w:val="none"/>
          <w:u w:val="single"/>
        </w:rPr>
      </w:pPr>
      <w:r>
        <w:rPr>
          <w:rFonts w:hint="eastAsia" w:cs="仿宋_GB2312"/>
          <w:color w:val="000000" w:themeColor="text1"/>
          <w:sz w:val="32"/>
          <w:szCs w:val="32"/>
          <w:highlight w:val="none"/>
          <w:u w:val="none"/>
          <w:lang w:val="en-US" w:eastAsia="zh-CN"/>
          <w14:textFill>
            <w14:solidFill>
              <w14:schemeClr w14:val="tx1"/>
            </w14:solidFill>
          </w14:textFill>
        </w:rPr>
        <w:t>深圳市前海管理局</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eastAsia" w:hAnsi="宋体" w:cs="宋体"/>
          <w:color w:val="auto"/>
          <w:kern w:val="0"/>
          <w:sz w:val="32"/>
          <w:szCs w:val="32"/>
          <w:highlight w:val="none"/>
          <w:lang w:val="en-US" w:eastAsia="zh-CN"/>
        </w:rPr>
        <w:t>7</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1</w:t>
      </w:r>
      <w:r>
        <w:rPr>
          <w:rFonts w:hint="eastAsia" w:ascii="仿宋_GB2312" w:hAnsi="宋体" w:eastAsia="仿宋_GB2312" w:cs="宋体"/>
          <w:color w:val="auto"/>
          <w:kern w:val="0"/>
          <w:sz w:val="32"/>
          <w:szCs w:val="32"/>
          <w:highlight w:val="none"/>
          <w:lang w:val="en-US" w:eastAsia="zh-CN"/>
        </w:rPr>
        <w:t>日-2026年</w:t>
      </w:r>
      <w:r>
        <w:rPr>
          <w:rFonts w:hint="eastAsia" w:hAnsi="宋体" w:cs="宋体"/>
          <w:color w:val="auto"/>
          <w:kern w:val="0"/>
          <w:sz w:val="32"/>
          <w:szCs w:val="32"/>
          <w:highlight w:val="none"/>
          <w:lang w:val="en-US" w:eastAsia="zh-CN"/>
        </w:rPr>
        <w:t>8</w:t>
      </w:r>
      <w:r>
        <w:rPr>
          <w:rFonts w:hint="eastAsia" w:ascii="仿宋_GB2312" w:hAnsi="宋体" w:eastAsia="仿宋_GB2312" w:cs="宋体"/>
          <w:color w:val="auto"/>
          <w:kern w:val="0"/>
          <w:sz w:val="32"/>
          <w:szCs w:val="32"/>
          <w:highlight w:val="none"/>
          <w:lang w:val="en-US" w:eastAsia="zh-CN"/>
        </w:rPr>
        <w:t>月</w:t>
      </w:r>
      <w:r>
        <w:rPr>
          <w:rFonts w:hint="eastAsia" w:hAnsi="宋体" w:cs="宋体"/>
          <w:color w:val="auto"/>
          <w:kern w:val="0"/>
          <w:sz w:val="32"/>
          <w:szCs w:val="32"/>
          <w:highlight w:val="none"/>
          <w:lang w:val="en-US" w:eastAsia="zh-CN"/>
        </w:rPr>
        <w:t>31</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eastAsia" w:cs="仿宋_GB2312"/>
          <w:color w:val="000000" w:themeColor="text1"/>
          <w:sz w:val="32"/>
          <w:szCs w:val="32"/>
          <w:highlight w:val="none"/>
          <w:u w:val="none"/>
          <w:lang w:eastAsia="zh-CN"/>
          <w14:textFill>
            <w14:solidFill>
              <w14:schemeClr w14:val="tx1"/>
            </w14:solidFill>
          </w14:textFill>
        </w:rPr>
        <w:t>深圳市前海合作区前湾一路19号前海e站通服务中心</w:t>
      </w:r>
      <w:r>
        <w:rPr>
          <w:rFonts w:hint="eastAsia" w:ascii="仿宋_GB2312" w:hAnsi="仿宋_GB2312" w:eastAsia="仿宋_GB2312" w:cs="仿宋_GB2312"/>
          <w:color w:val="auto"/>
          <w:sz w:val="32"/>
          <w:szCs w:val="32"/>
          <w:highlight w:val="none"/>
        </w:rPr>
        <w:t>。</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auto"/>
          <w:sz w:val="32"/>
          <w:szCs w:val="32"/>
          <w:highlight w:val="none"/>
          <w:u w:val="single"/>
        </w:rPr>
      </w:pPr>
      <w:r>
        <w:rPr>
          <w:rFonts w:hint="eastAsia" w:hAnsi="宋体" w:cs="宋体"/>
          <w:color w:val="000000" w:themeColor="text1"/>
          <w:kern w:val="0"/>
          <w:sz w:val="32"/>
          <w:szCs w:val="32"/>
          <w:highlight w:val="none"/>
          <w:u w:val="none"/>
          <w:lang w:val="en-US" w:eastAsia="zh-CN"/>
          <w14:textFill>
            <w14:solidFill>
              <w14:schemeClr w14:val="tx1"/>
            </w14:solidFill>
          </w14:textFill>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0" w:name="_Toc1376"/>
      <w:bookmarkStart w:id="21" w:name="_Toc9722"/>
      <w:r>
        <w:rPr>
          <w:rFonts w:hint="eastAsia" w:ascii="黑体" w:hAnsi="黑体" w:eastAsia="黑体" w:cs="仿宋"/>
          <w:color w:val="auto"/>
          <w:kern w:val="2"/>
          <w:sz w:val="32"/>
          <w:szCs w:val="22"/>
          <w:highlight w:val="none"/>
          <w:lang w:val="en-US" w:eastAsia="zh-CN" w:bidi="ar-SA"/>
        </w:rPr>
        <w:t>九、申请决定机关</w:t>
      </w:r>
      <w:bookmarkEnd w:id="20"/>
      <w:bookmarkEnd w:id="21"/>
    </w:p>
    <w:p>
      <w:pPr>
        <w:bidi w:val="0"/>
        <w:rPr>
          <w:rFonts w:hint="eastAsia" w:ascii="仿宋_GB2312" w:hAnsi="宋体" w:eastAsia="仿宋_GB2312" w:cs="宋体"/>
          <w:color w:val="auto"/>
          <w:kern w:val="0"/>
          <w:sz w:val="32"/>
          <w:szCs w:val="32"/>
          <w:highlight w:val="none"/>
          <w:lang w:val="en-US" w:eastAsia="zh-CN"/>
        </w:rPr>
      </w:pPr>
      <w:bookmarkStart w:id="22" w:name="_Toc10305"/>
      <w:bookmarkStart w:id="23" w:name="_Toc161850809"/>
      <w:bookmarkStart w:id="24" w:name="_Toc2137"/>
      <w:bookmarkStart w:id="25" w:name="_Toc125127183"/>
      <w:r>
        <w:rPr>
          <w:rFonts w:hint="eastAsia" w:hAnsi="宋体" w:cs="宋体"/>
          <w:color w:val="000000" w:themeColor="text1"/>
          <w:kern w:val="0"/>
          <w:sz w:val="32"/>
          <w:szCs w:val="32"/>
          <w:highlight w:val="none"/>
          <w:u w:val="none"/>
          <w:lang w:val="en-US" w:eastAsia="zh-CN"/>
          <w14:textFill>
            <w14:solidFill>
              <w14:schemeClr w14:val="tx1"/>
            </w14:solidFill>
          </w14:textFill>
        </w:rPr>
        <w:t>深圳市前海管理局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16198"/>
      <w:bookmarkStart w:id="27" w:name="_Toc11274"/>
      <w:r>
        <w:rPr>
          <w:rFonts w:hint="eastAsia" w:ascii="黑体" w:hAnsi="黑体" w:eastAsia="黑体" w:cs="仿宋"/>
          <w:color w:val="auto"/>
          <w:kern w:val="2"/>
          <w:sz w:val="32"/>
          <w:szCs w:val="22"/>
          <w:highlight w:val="none"/>
          <w:lang w:val="en-US" w:eastAsia="zh-CN" w:bidi="ar-SA"/>
        </w:rPr>
        <w:t>十、办理流程</w:t>
      </w:r>
      <w:bookmarkEnd w:id="26"/>
      <w:bookmarkEnd w:id="27"/>
    </w:p>
    <w:p>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前海管理局发布申报指南——申报单位网上申报——前海管理局网上初审——申报单位向政务服务中心收文窗口提交申请材料——前海管理局开展形式审查——前海管理局开展资质审查——前海管理局组织专项审计——征求意见与综合核查——拟定资助计划——社会公示——下达资助计划——通知申报单位提交拨付资料——拨付资金。</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28790"/>
      <w:bookmarkStart w:id="29" w:name="_Toc3693"/>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29872"/>
      <w:bookmarkStart w:id="31" w:name="_Toc32254"/>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9920"/>
      <w:bookmarkStart w:id="33" w:name="_Toc17239"/>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7505"/>
      <w:bookmarkStart w:id="35" w:name="_Toc6842"/>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8762"/>
      <w:bookmarkStart w:id="39" w:name="_Toc20677"/>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bookmarkEnd w:id="22"/>
    <w:bookmarkEnd w:id="23"/>
    <w:bookmarkEnd w:id="24"/>
    <w:bookmarkEnd w:id="25"/>
    <w:p>
      <w:pPr>
        <w:pStyle w:val="17"/>
        <w:ind w:firstLine="0" w:firstLineChars="0"/>
        <w:rPr>
          <w:rFonts w:ascii="仿宋_GB2312" w:hAnsi="仿宋_GB2312"/>
          <w:color w:val="auto"/>
          <w:highlight w:val="none"/>
        </w:rPr>
      </w:pPr>
    </w:p>
    <w:sectPr>
      <w:footerReference r:id="rId5"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0F69BE-DC11-4EC3-BC8A-AFF25D3713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2BAC93B-BE21-43DF-927E-839587D28241}"/>
  </w:font>
  <w:font w:name="仿宋_GB2312">
    <w:panose1 w:val="02010609030101010101"/>
    <w:charset w:val="86"/>
    <w:family w:val="auto"/>
    <w:pitch w:val="default"/>
    <w:sig w:usb0="00000001" w:usb1="080E0000" w:usb2="00000000" w:usb3="00000000" w:csb0="00040000" w:csb1="00000000"/>
    <w:embedRegular r:id="rId3" w:fontKey="{D597319A-9E83-48EF-8207-B1BEAE5BBFA0}"/>
  </w:font>
  <w:font w:name="仿宋">
    <w:panose1 w:val="02010609060101010101"/>
    <w:charset w:val="86"/>
    <w:family w:val="modern"/>
    <w:pitch w:val="default"/>
    <w:sig w:usb0="800002BF" w:usb1="38CF7CFA" w:usb2="00000016" w:usb3="00000000" w:csb0="00040001" w:csb1="00000000"/>
    <w:embedRegular r:id="rId4" w:fontKey="{53EE93AB-3A1F-4512-96FB-D14A76C552CE}"/>
  </w:font>
  <w:font w:name="方正小标宋简体">
    <w:panose1 w:val="03000509000000000000"/>
    <w:charset w:val="86"/>
    <w:family w:val="auto"/>
    <w:pitch w:val="default"/>
    <w:sig w:usb0="00000001" w:usb1="080E0000" w:usb2="00000000" w:usb3="00000000" w:csb0="00040000" w:csb1="00000000"/>
    <w:embedRegular r:id="rId5" w:fontKey="{6153B6A3-5D51-4F8A-8FE0-8A63429AF97B}"/>
  </w:font>
  <w:font w:name="楷体">
    <w:panose1 w:val="02010609060101010101"/>
    <w:charset w:val="86"/>
    <w:family w:val="modern"/>
    <w:pitch w:val="default"/>
    <w:sig w:usb0="800002BF" w:usb1="38CF7CFA" w:usb2="00000016" w:usb3="00000000" w:csb0="00040001" w:csb1="00000000"/>
    <w:embedRegular r:id="rId6" w:fontKey="{9B705555-F8F6-4295-BAB0-A711CEE7A62A}"/>
  </w:font>
  <w:font w:name="楷体_GB2312">
    <w:panose1 w:val="02010609030101010101"/>
    <w:charset w:val="86"/>
    <w:family w:val="auto"/>
    <w:pitch w:val="default"/>
    <w:sig w:usb0="00000001" w:usb1="080E0000" w:usb2="00000000" w:usb3="00000000" w:csb0="00040000" w:csb1="00000000"/>
    <w:embedRegular r:id="rId7" w:fontKey="{77236B30-B501-477D-95E8-E7B0FDB4F1CC}"/>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09359DE"/>
    <w:rsid w:val="012A09FA"/>
    <w:rsid w:val="02803A46"/>
    <w:rsid w:val="02CB1CF7"/>
    <w:rsid w:val="02DA63DE"/>
    <w:rsid w:val="02E93786"/>
    <w:rsid w:val="032C6A46"/>
    <w:rsid w:val="03B55433"/>
    <w:rsid w:val="05036B9E"/>
    <w:rsid w:val="052E6828"/>
    <w:rsid w:val="06426774"/>
    <w:rsid w:val="06825C75"/>
    <w:rsid w:val="070F7027"/>
    <w:rsid w:val="07DA12B2"/>
    <w:rsid w:val="08461CA3"/>
    <w:rsid w:val="0A2D6324"/>
    <w:rsid w:val="0A302337"/>
    <w:rsid w:val="0A6C5760"/>
    <w:rsid w:val="0B35692F"/>
    <w:rsid w:val="0B4456D1"/>
    <w:rsid w:val="0BAD1FAB"/>
    <w:rsid w:val="0BE1742C"/>
    <w:rsid w:val="0D0E36C4"/>
    <w:rsid w:val="0D1F0CED"/>
    <w:rsid w:val="0E511A57"/>
    <w:rsid w:val="0E8E27FD"/>
    <w:rsid w:val="0F95719B"/>
    <w:rsid w:val="0FE131A1"/>
    <w:rsid w:val="0FED3255"/>
    <w:rsid w:val="10BF0BFF"/>
    <w:rsid w:val="11A73770"/>
    <w:rsid w:val="124226AB"/>
    <w:rsid w:val="126D73E5"/>
    <w:rsid w:val="137F7D0B"/>
    <w:rsid w:val="13A40095"/>
    <w:rsid w:val="14053C83"/>
    <w:rsid w:val="15C958A9"/>
    <w:rsid w:val="160A19AA"/>
    <w:rsid w:val="163D2AB4"/>
    <w:rsid w:val="172A2DF8"/>
    <w:rsid w:val="17584EA5"/>
    <w:rsid w:val="17772A4F"/>
    <w:rsid w:val="17B005EC"/>
    <w:rsid w:val="185533C0"/>
    <w:rsid w:val="187E0EC3"/>
    <w:rsid w:val="18AB1F57"/>
    <w:rsid w:val="190653E0"/>
    <w:rsid w:val="19760AFD"/>
    <w:rsid w:val="197B53D3"/>
    <w:rsid w:val="1C210334"/>
    <w:rsid w:val="1C964CCC"/>
    <w:rsid w:val="1CFC17D2"/>
    <w:rsid w:val="1EBE0883"/>
    <w:rsid w:val="205A510F"/>
    <w:rsid w:val="21127D99"/>
    <w:rsid w:val="21A5207B"/>
    <w:rsid w:val="22C22819"/>
    <w:rsid w:val="23303670"/>
    <w:rsid w:val="246A3FA3"/>
    <w:rsid w:val="26E72CF4"/>
    <w:rsid w:val="272E1910"/>
    <w:rsid w:val="2976170C"/>
    <w:rsid w:val="2A104310"/>
    <w:rsid w:val="2A1A1904"/>
    <w:rsid w:val="2A4B3E74"/>
    <w:rsid w:val="2A77438F"/>
    <w:rsid w:val="2AF92CF7"/>
    <w:rsid w:val="2BA068F1"/>
    <w:rsid w:val="2C2A1457"/>
    <w:rsid w:val="2CAE0A32"/>
    <w:rsid w:val="2E2465DC"/>
    <w:rsid w:val="2F0A3862"/>
    <w:rsid w:val="2FA35597"/>
    <w:rsid w:val="2FFC0AFB"/>
    <w:rsid w:val="302C0287"/>
    <w:rsid w:val="303B475C"/>
    <w:rsid w:val="31565469"/>
    <w:rsid w:val="31A95387"/>
    <w:rsid w:val="31B31F93"/>
    <w:rsid w:val="321653A8"/>
    <w:rsid w:val="322E20A6"/>
    <w:rsid w:val="329C19A3"/>
    <w:rsid w:val="32F52701"/>
    <w:rsid w:val="33082BFE"/>
    <w:rsid w:val="341A4C22"/>
    <w:rsid w:val="347B2CCE"/>
    <w:rsid w:val="352B3694"/>
    <w:rsid w:val="363C0287"/>
    <w:rsid w:val="3654545B"/>
    <w:rsid w:val="36565190"/>
    <w:rsid w:val="366C2500"/>
    <w:rsid w:val="366C6D72"/>
    <w:rsid w:val="38177015"/>
    <w:rsid w:val="382C7B34"/>
    <w:rsid w:val="387303F9"/>
    <w:rsid w:val="394365BD"/>
    <w:rsid w:val="3AE03440"/>
    <w:rsid w:val="3B0E3D0E"/>
    <w:rsid w:val="3B7D60D5"/>
    <w:rsid w:val="3BFC17F2"/>
    <w:rsid w:val="3C0C0B0D"/>
    <w:rsid w:val="3CFD6976"/>
    <w:rsid w:val="3D5D42F6"/>
    <w:rsid w:val="3DB808BA"/>
    <w:rsid w:val="3EFD6756"/>
    <w:rsid w:val="3F5B39FD"/>
    <w:rsid w:val="3FAC643B"/>
    <w:rsid w:val="407A2ECB"/>
    <w:rsid w:val="40821EBE"/>
    <w:rsid w:val="418D6C3A"/>
    <w:rsid w:val="423806ED"/>
    <w:rsid w:val="428230B1"/>
    <w:rsid w:val="435769AA"/>
    <w:rsid w:val="437A5877"/>
    <w:rsid w:val="43BB3CEC"/>
    <w:rsid w:val="44A91A1A"/>
    <w:rsid w:val="44D052C5"/>
    <w:rsid w:val="45DB53BB"/>
    <w:rsid w:val="46A70EF9"/>
    <w:rsid w:val="46AE1F3D"/>
    <w:rsid w:val="473C23B2"/>
    <w:rsid w:val="4743523B"/>
    <w:rsid w:val="474450E0"/>
    <w:rsid w:val="47781E40"/>
    <w:rsid w:val="48541414"/>
    <w:rsid w:val="4900762E"/>
    <w:rsid w:val="4A6B0082"/>
    <w:rsid w:val="4AB56AE2"/>
    <w:rsid w:val="4B0038EE"/>
    <w:rsid w:val="4B1927F8"/>
    <w:rsid w:val="4B6E7935"/>
    <w:rsid w:val="4BFDAF1A"/>
    <w:rsid w:val="4C7F0BBC"/>
    <w:rsid w:val="4C9B369B"/>
    <w:rsid w:val="4CFC69BB"/>
    <w:rsid w:val="4E7E74BD"/>
    <w:rsid w:val="4E805B64"/>
    <w:rsid w:val="4F9660BB"/>
    <w:rsid w:val="4FC2745B"/>
    <w:rsid w:val="4FD25A40"/>
    <w:rsid w:val="509A0D5C"/>
    <w:rsid w:val="50CB0BE4"/>
    <w:rsid w:val="51A47BE3"/>
    <w:rsid w:val="52252BFC"/>
    <w:rsid w:val="52DE22B6"/>
    <w:rsid w:val="54D06548"/>
    <w:rsid w:val="54E753F5"/>
    <w:rsid w:val="55FE642B"/>
    <w:rsid w:val="563F7F48"/>
    <w:rsid w:val="56E509B4"/>
    <w:rsid w:val="56F7427F"/>
    <w:rsid w:val="5779221D"/>
    <w:rsid w:val="584C4C5F"/>
    <w:rsid w:val="589B5008"/>
    <w:rsid w:val="58A326D8"/>
    <w:rsid w:val="592F3991"/>
    <w:rsid w:val="59466376"/>
    <w:rsid w:val="599552E2"/>
    <w:rsid w:val="5BF51433"/>
    <w:rsid w:val="5F6568F7"/>
    <w:rsid w:val="5FFF8D5C"/>
    <w:rsid w:val="60072BB2"/>
    <w:rsid w:val="60C802BC"/>
    <w:rsid w:val="613C0293"/>
    <w:rsid w:val="619F73C4"/>
    <w:rsid w:val="61DE0EB4"/>
    <w:rsid w:val="623151CA"/>
    <w:rsid w:val="62C7401F"/>
    <w:rsid w:val="63A419D8"/>
    <w:rsid w:val="64530829"/>
    <w:rsid w:val="64D37E08"/>
    <w:rsid w:val="64DB7056"/>
    <w:rsid w:val="66982F4F"/>
    <w:rsid w:val="66F0546D"/>
    <w:rsid w:val="67FEA401"/>
    <w:rsid w:val="6888651F"/>
    <w:rsid w:val="6894168D"/>
    <w:rsid w:val="68EB6152"/>
    <w:rsid w:val="69B52798"/>
    <w:rsid w:val="69D35536"/>
    <w:rsid w:val="6A6043B8"/>
    <w:rsid w:val="6A7451AD"/>
    <w:rsid w:val="6AC14C27"/>
    <w:rsid w:val="6BC41409"/>
    <w:rsid w:val="6C030E4B"/>
    <w:rsid w:val="6C501A03"/>
    <w:rsid w:val="6C5C62E3"/>
    <w:rsid w:val="6CAB30BC"/>
    <w:rsid w:val="6CED51AD"/>
    <w:rsid w:val="6D042BC1"/>
    <w:rsid w:val="6E3F02ED"/>
    <w:rsid w:val="6F532320"/>
    <w:rsid w:val="6FCC3E6E"/>
    <w:rsid w:val="6FE5658D"/>
    <w:rsid w:val="6FEFB7EB"/>
    <w:rsid w:val="70E4517B"/>
    <w:rsid w:val="71D6011D"/>
    <w:rsid w:val="71FB7ACB"/>
    <w:rsid w:val="72694444"/>
    <w:rsid w:val="72AF14FA"/>
    <w:rsid w:val="73A0155B"/>
    <w:rsid w:val="73BDF3DF"/>
    <w:rsid w:val="74F90479"/>
    <w:rsid w:val="750C1C31"/>
    <w:rsid w:val="7625601A"/>
    <w:rsid w:val="77BF249E"/>
    <w:rsid w:val="78D33F7B"/>
    <w:rsid w:val="798E36E0"/>
    <w:rsid w:val="7C1A6A34"/>
    <w:rsid w:val="7CBE4AD3"/>
    <w:rsid w:val="7D1C7CE5"/>
    <w:rsid w:val="7D6E4856"/>
    <w:rsid w:val="7EED2B65"/>
    <w:rsid w:val="7EFA2007"/>
    <w:rsid w:val="7EFC3509"/>
    <w:rsid w:val="7F363046"/>
    <w:rsid w:val="7F5EFB66"/>
    <w:rsid w:val="7FBD4F66"/>
    <w:rsid w:val="8EFFBC18"/>
    <w:rsid w:val="ABFFC0B9"/>
    <w:rsid w:val="AF3FF198"/>
    <w:rsid w:val="BCB7F063"/>
    <w:rsid w:val="BD74EDA3"/>
    <w:rsid w:val="BEF648AB"/>
    <w:rsid w:val="D7AA2625"/>
    <w:rsid w:val="E6568D88"/>
    <w:rsid w:val="E7E7429B"/>
    <w:rsid w:val="EEFE33E4"/>
    <w:rsid w:val="FFBFD1AC"/>
    <w:rsid w:val="FFFCC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3805</Words>
  <Characters>3940</Characters>
  <Lines>0</Lines>
  <Paragraphs>0</Paragraphs>
  <TotalTime>6</TotalTime>
  <ScaleCrop>false</ScaleCrop>
  <LinksUpToDate>false</LinksUpToDate>
  <CharactersWithSpaces>3941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2025-07-05T02:47:00Z</dcterms:created>
  <dc:creator>黄佩琳</dc:creator>
  <cp:lastModifiedBy>黎俊</cp:lastModifiedBy>
  <cp:lastPrinted>2026-03-15T06:46:00Z</cp:lastPrinted>
  <dcterms:modified xsi:type="dcterms:W3CDTF">2026-06-29T12:18:24Z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A5C29FC5A00E48A4A0AF774071FB8C1E_13</vt:lpwstr>
  </property>
  <property fmtid="{D5CDD505-2E9C-101B-9397-08002B2CF9AE}" pid="4" name="KSOTemplateDocerSaveRecord">
    <vt:lpwstr>eyJoZGlkIjoiNTIyMTVkNWMyNjg0MmY3ZTZkZGYyNGZiNGI3MzdhYTgiLCJ1c2VySWQiOiI1NzU3NDk0NDQifQ==</vt:lpwstr>
  </property>
</Properties>
</file>