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bookmarkStart w:id="0" w:name="_Toc125127182"/>
      <w:bookmarkStart w:id="1" w:name="_Toc5810"/>
      <w:bookmarkStart w:id="2" w:name="_Toc13216"/>
      <w:bookmarkStart w:id="3" w:name="_Toc32562"/>
      <w:r>
        <w:rPr>
          <w:rFonts w:hint="eastAsia" w:ascii="仿宋_GB2312" w:hAnsi="仿宋_GB2312" w:eastAsia="仿宋_GB2312" w:cs="仿宋_GB2312"/>
          <w:color w:val="auto"/>
          <w:sz w:val="32"/>
          <w:szCs w:val="32"/>
          <w:highlight w:val="none"/>
          <w:lang w:val="en-US" w:eastAsia="zh-CN"/>
        </w:rPr>
        <w:t>附件6</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val="en-US" w:eastAsia="zh-CN"/>
        </w:rPr>
      </w:pPr>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2026年中央资金深圳市消费新业态新模式新场景试点（支持创新多元化服务消费场景—打造中医药入境消费新增长点资助项目）申报指南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0798"/>
      <w:bookmarkStart w:id="5" w:name="_Toc24194"/>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pPr>
        <w:bidi w:val="0"/>
        <w:spacing w:before="0" w:after="0" w:line="560" w:lineRule="exact"/>
        <w:ind w:firstLine="64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支持培育中医药入境消费等服务消费新增长点，</w:t>
      </w:r>
      <w:r>
        <w:rPr>
          <w:rStyle w:val="19"/>
          <w:rFonts w:hint="eastAsia" w:ascii="仿宋_GB2312" w:hAnsi="仿宋_GB2312" w:cs="仿宋_GB2312"/>
          <w:color w:val="auto"/>
          <w:sz w:val="32"/>
          <w:szCs w:val="32"/>
          <w:highlight w:val="none"/>
          <w:lang w:val="en-US" w:eastAsia="zh-CN"/>
        </w:rPr>
        <w:t>支持发展中医药旅游线路开发、中医药康养服务、中医药食养药膳服务等消费场景</w:t>
      </w:r>
      <w:r>
        <w:rPr>
          <w:rFonts w:hint="eastAsia"/>
          <w:color w:val="auto"/>
          <w:highlight w:val="none"/>
          <w:lang w:val="en-US" w:eastAsia="zh-CN"/>
        </w:rPr>
        <w:t>。</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8852"/>
      <w:bookmarkStart w:id="7" w:name="_Toc15437"/>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18411"/>
      <w:bookmarkStart w:id="9" w:name="_Toc21755"/>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补贴</w:t>
      </w:r>
      <w:r>
        <w:rPr>
          <w:rFonts w:hint="eastAsia" w:ascii="仿宋_GB2312" w:eastAsia="仿宋_GB2312"/>
          <w:color w:val="auto"/>
          <w:highlight w:val="none"/>
          <w:lang w:val="en-US" w:eastAsia="zh-CN"/>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15307"/>
      <w:bookmarkStart w:id="11" w:name="_Toc431"/>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2.申报单位应为消费新业态新模式新场景试点项目（即申报项目）的实际建设或运营主体，项目所在地应在深圳市（含深汕特别合作区，下同）。</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6.申报单位不存在将本属于同一性质内涵与建设内容的资助项目刻意分拆成两个项目的情形。同一项目不得重复申请多个支持方向。</w:t>
      </w:r>
    </w:p>
    <w:p>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申报项目须同时满足以下条件：</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1.申报单位具备相关合法经营资质，拥有固定经营场所（面积≥2000㎡），且具备国际化服务能力；</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2.申报项目为中医药旅游线路开发、中医药康养服务、中医药食养药膳服务等重点消费场景。</w:t>
      </w:r>
    </w:p>
    <w:p>
      <w:pPr>
        <w:bidi w:val="0"/>
        <w:rPr>
          <w:rStyle w:val="19"/>
          <w:rFonts w:hint="eastAsia" w:ascii="仿宋_GB2312" w:hAnsi="仿宋" w:eastAsia="仿宋_GB2312" w:cs="宋体"/>
          <w:bCs/>
          <w:color w:val="auto"/>
          <w:kern w:val="36"/>
          <w:sz w:val="32"/>
          <w:szCs w:val="32"/>
          <w:highlight w:val="none"/>
          <w:lang w:eastAsia="zh-CN"/>
        </w:rPr>
      </w:pP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cs="仿宋_GB2312"/>
          <w:color w:val="auto"/>
          <w:sz w:val="32"/>
          <w:szCs w:val="32"/>
          <w:highlight w:val="none"/>
          <w:lang w:val="en-US" w:eastAsia="zh-CN"/>
        </w:rPr>
        <w:t>，</w:t>
      </w:r>
      <w:r>
        <w:rPr>
          <w:rFonts w:hint="eastAsia"/>
          <w:color w:val="auto"/>
          <w:highlight w:val="none"/>
          <w:lang w:val="en-US" w:eastAsia="zh-CN"/>
        </w:rPr>
        <w:t>不包括医疗就诊部分固定支出，不包括人员工资、药品采购、基础建设、日常运营费用及不符合规定的其他支出。</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bidi w:val="0"/>
        <w:rPr>
          <w:rStyle w:val="19"/>
          <w:rFonts w:hint="eastAsia" w:ascii="仿宋_GB2312" w:hAnsi="仿宋" w:eastAsia="仿宋_GB2312" w:cs="宋体"/>
          <w:bCs/>
          <w:color w:val="auto"/>
          <w:kern w:val="36"/>
          <w:sz w:val="32"/>
          <w:szCs w:val="32"/>
          <w:highlight w:val="none"/>
          <w:lang w:val="en-US" w:eastAsia="zh-CN"/>
        </w:rPr>
      </w:pPr>
      <w:r>
        <w:rPr>
          <w:rStyle w:val="19"/>
          <w:rFonts w:hint="default" w:ascii="仿宋_GB2312" w:hAnsi="仿宋_GB2312" w:eastAsia="仿宋_GB2312" w:cs="仿宋_GB2312"/>
          <w:color w:val="auto"/>
          <w:sz w:val="32"/>
          <w:szCs w:val="32"/>
          <w:highlight w:val="none"/>
          <w:lang w:val="en-US" w:eastAsia="zh-CN"/>
        </w:rPr>
        <w:t>不支持发放消费券、优惠补贴、宣传推广等</w:t>
      </w:r>
      <w:r>
        <w:rPr>
          <w:rStyle w:val="19"/>
          <w:rFonts w:hint="eastAsia" w:ascii="仿宋_GB2312" w:hAnsi="仿宋_GB2312" w:eastAsia="仿宋_GB2312" w:cs="仿宋_GB2312"/>
          <w:color w:val="auto"/>
          <w:sz w:val="32"/>
          <w:szCs w:val="32"/>
          <w:highlight w:val="none"/>
          <w:lang w:val="en-US" w:eastAsia="zh-CN"/>
        </w:rPr>
        <w:t>投入</w:t>
      </w:r>
      <w:r>
        <w:rPr>
          <w:rStyle w:val="19"/>
          <w:rFonts w:hint="default" w:ascii="仿宋_GB2312" w:hAnsi="仿宋_GB2312" w:eastAsia="仿宋_GB2312" w:cs="仿宋_GB2312"/>
          <w:color w:val="auto"/>
          <w:sz w:val="32"/>
          <w:szCs w:val="32"/>
          <w:highlight w:val="none"/>
          <w:lang w:val="en-US" w:eastAsia="zh-CN"/>
        </w:rPr>
        <w:t>；不支持政府举办的促消费活动，不支持企业举办的促销推广活动；不支持短期开展的活动或临时搭建的消费场景，不支持存续时间少于一个月的消费场景；不支持单纯的商品消费、单一传统业态的消费场景</w:t>
      </w:r>
      <w:bookmarkStart w:id="40" w:name="_GoBack"/>
      <w:bookmarkEnd w:id="40"/>
      <w:r>
        <w:rPr>
          <w:rStyle w:val="19"/>
          <w:rFonts w:hint="default" w:ascii="仿宋_GB2312" w:hAnsi="仿宋_GB2312" w:eastAsia="仿宋_GB2312" w:cs="仿宋_GB2312"/>
          <w:color w:val="auto"/>
          <w:sz w:val="32"/>
          <w:szCs w:val="32"/>
          <w:highlight w:val="none"/>
          <w:lang w:val="en-US" w:eastAsia="zh-CN"/>
        </w:rPr>
        <w:t>以及无消费内容的项目。</w:t>
      </w:r>
    </w:p>
    <w:p>
      <w:pPr>
        <w:keepNext w:val="0"/>
        <w:keepLines w:val="0"/>
        <w:widowControl w:val="0"/>
        <w:numPr>
          <w:ilvl w:val="-1"/>
          <w:numId w:val="0"/>
        </w:numPr>
        <w:bidi w:val="0"/>
        <w:spacing w:before="0" w:beforeLines="-2147483648" w:beforeAutospacing="0" w:after="0" w:afterLines="-2147483648" w:afterAutospacing="0" w:line="560" w:lineRule="exact"/>
        <w:ind w:left="0" w:leftChars="0" w:firstLine="640" w:firstLineChars="200"/>
        <w:jc w:val="left"/>
        <w:outlineLvl w:val="9"/>
        <w:rPr>
          <w:rFonts w:hint="eastAsia" w:ascii="仿宋_GB2312" w:hAnsi="仿宋_GB2312" w:eastAsia="黑体" w:cs="Times New Roman"/>
          <w:b w:val="0"/>
          <w:bCs/>
          <w:color w:val="auto"/>
          <w:kern w:val="36"/>
          <w:sz w:val="32"/>
          <w:szCs w:val="48"/>
          <w:highlight w:val="none"/>
          <w:lang w:val="en-US" w:eastAsia="zh-CN" w:bidi="ar-SA"/>
        </w:rPr>
      </w:pPr>
      <w:bookmarkStart w:id="12" w:name="_Toc31102"/>
      <w:bookmarkStart w:id="13" w:name="_Toc7095"/>
      <w:r>
        <w:rPr>
          <w:rFonts w:hint="eastAsia" w:eastAsia="黑体" w:cs="Times New Roman"/>
          <w:b w:val="0"/>
          <w:bCs/>
          <w:color w:val="auto"/>
          <w:kern w:val="36"/>
          <w:sz w:val="32"/>
          <w:szCs w:val="48"/>
          <w:highlight w:val="none"/>
          <w:lang w:val="en-US" w:eastAsia="zh-CN" w:bidi="ar-SA"/>
        </w:rPr>
        <w:t>五、</w:t>
      </w:r>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pPr>
        <w:bidi w:val="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支持打造中医药入境消费等服务消费新增长点，按</w:t>
      </w:r>
      <w:r>
        <w:rPr>
          <w:rFonts w:hint="eastAsia"/>
          <w:color w:val="auto"/>
          <w:highlight w:val="none"/>
          <w:lang w:val="en-US" w:eastAsia="zh-CN"/>
        </w:rPr>
        <w:t>项目</w:t>
      </w:r>
      <w:r>
        <w:rPr>
          <w:rFonts w:hint="eastAsia" w:ascii="仿宋_GB2312" w:eastAsia="仿宋_GB2312"/>
          <w:color w:val="auto"/>
          <w:highlight w:val="none"/>
          <w:lang w:val="en-US" w:eastAsia="zh-CN"/>
        </w:rPr>
        <w:t>相关的实际</w:t>
      </w:r>
      <w:r>
        <w:rPr>
          <w:rFonts w:hint="eastAsia"/>
          <w:color w:val="auto"/>
          <w:highlight w:val="none"/>
          <w:lang w:val="en-US" w:eastAsia="zh-CN"/>
        </w:rPr>
        <w:t>有效</w:t>
      </w:r>
      <w:r>
        <w:rPr>
          <w:rFonts w:hint="eastAsia" w:ascii="仿宋_GB2312" w:eastAsia="仿宋_GB2312"/>
          <w:color w:val="auto"/>
          <w:highlight w:val="none"/>
          <w:lang w:val="en-US" w:eastAsia="zh-CN"/>
        </w:rPr>
        <w:t>投入</w:t>
      </w:r>
      <w:r>
        <w:rPr>
          <w:rFonts w:hint="eastAsia"/>
          <w:color w:val="auto"/>
          <w:highlight w:val="none"/>
          <w:lang w:val="en-US" w:eastAsia="zh-CN"/>
        </w:rPr>
        <w:t>的</w:t>
      </w:r>
      <w:r>
        <w:rPr>
          <w:rFonts w:hint="eastAsia" w:ascii="仿宋_GB2312" w:eastAsia="仿宋_GB2312"/>
          <w:color w:val="auto"/>
          <w:highlight w:val="none"/>
          <w:lang w:val="en-US" w:eastAsia="zh-CN"/>
        </w:rPr>
        <w:t>25%给予资助，试点期间最高不超过300万元。</w:t>
      </w:r>
    </w:p>
    <w:p>
      <w:pPr>
        <w:bidi w:val="0"/>
        <w:rPr>
          <w:rFonts w:hint="eastAsia" w:ascii="仿宋_GB2312" w:eastAsia="仿宋_GB2312"/>
          <w:color w:val="auto"/>
          <w:highlight w:val="none"/>
          <w:lang w:val="en-US" w:eastAsia="zh-CN"/>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w:t>
      </w:r>
      <w:r>
        <w:rPr>
          <w:rFonts w:hint="eastAsia"/>
          <w:color w:val="000000" w:themeColor="text1"/>
          <w:highlight w:val="none"/>
          <w:lang w:val="en-US" w:eastAsia="zh-CN"/>
          <w14:textFill>
            <w14:solidFill>
              <w14:schemeClr w14:val="tx1"/>
            </w14:solidFill>
          </w14:textFill>
        </w:rPr>
        <w:t>打造中医药入境消费新增长点项目，已完成或阶段性完成部分相关投入，不包含各级财政投资部分</w:t>
      </w:r>
      <w:r>
        <w:rPr>
          <w:rFonts w:hint="eastAsia"/>
          <w:color w:val="auto"/>
          <w:highlight w:val="none"/>
          <w:lang w:val="en-US" w:eastAsia="zh-CN"/>
        </w:rPr>
        <w:t>及日常诊疗服务相关投入</w:t>
      </w:r>
      <w:r>
        <w:rPr>
          <w:rFonts w:hint="eastAsia"/>
          <w:color w:val="000000" w:themeColor="text1"/>
          <w:highlight w:val="none"/>
          <w:lang w:val="en-US" w:eastAsia="zh-CN"/>
          <w14:textFill>
            <w14:solidFill>
              <w14:schemeClr w14:val="tx1"/>
            </w14:solidFill>
          </w14:textFill>
        </w:rPr>
        <w:t>，以及第四点第（二）条专项条件中明确不予支持部分。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7147"/>
      <w:bookmarkStart w:id="15" w:name="_Toc27028"/>
      <w:r>
        <w:rPr>
          <w:rFonts w:hint="eastAsia" w:ascii="黑体" w:hAnsi="黑体" w:eastAsia="黑体" w:cs="仿宋"/>
          <w:color w:val="auto"/>
          <w:kern w:val="2"/>
          <w:sz w:val="32"/>
          <w:szCs w:val="22"/>
          <w:highlight w:val="none"/>
          <w:lang w:val="en-US" w:eastAsia="zh-CN" w:bidi="ar-SA"/>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auto"/>
          <w:kern w:val="2"/>
          <w:sz w:val="32"/>
          <w:szCs w:val="32"/>
          <w:highlight w:val="none"/>
          <w:lang w:val="en-US" w:eastAsia="zh-CN" w:bidi="ar-SA"/>
        </w:rPr>
      </w:pPr>
      <w:r>
        <w:rPr>
          <w:rFonts w:hint="default" w:ascii="楷体" w:hAnsi="楷体" w:eastAsia="楷体_GB2312" w:cstheme="majorBidi"/>
          <w:bCs/>
          <w:color w:val="auto"/>
          <w:kern w:val="2"/>
          <w:sz w:val="32"/>
          <w:szCs w:val="32"/>
          <w:highlight w:val="none"/>
          <w:lang w:val="en-US" w:eastAsia="zh-CN" w:bidi="ar-SA"/>
        </w:rPr>
        <w:t>（一）</w:t>
      </w:r>
      <w:r>
        <w:rPr>
          <w:rFonts w:hint="eastAsia" w:ascii="楷体" w:hAnsi="楷体" w:eastAsia="楷体_GB2312" w:cstheme="majorBidi"/>
          <w:bCs/>
          <w:color w:val="auto"/>
          <w:kern w:val="2"/>
          <w:sz w:val="32"/>
          <w:szCs w:val="32"/>
          <w:highlight w:val="none"/>
          <w:lang w:val="en-US" w:eastAsia="zh-CN" w:bidi="ar-SA"/>
        </w:rPr>
        <w:t>基本材料清单</w:t>
      </w:r>
    </w:p>
    <w:p>
      <w:pPr>
        <w:bidi w:val="0"/>
        <w:rPr>
          <w:rFonts w:hint="default" w:ascii="楷体" w:hAnsi="楷体" w:eastAsia="楷体_GB2312" w:cstheme="majorBidi"/>
          <w:bCs/>
          <w:color w:val="auto"/>
          <w:kern w:val="2"/>
          <w:szCs w:val="32"/>
          <w:highlight w:val="none"/>
          <w:lang w:val="en-US" w:eastAsia="zh-CN" w:bidi="ar-SA"/>
        </w:rPr>
      </w:pPr>
      <w:r>
        <w:rPr>
          <w:rFonts w:hint="eastAsia"/>
          <w:color w:val="auto"/>
          <w:highlight w:val="none"/>
          <w:lang w:val="en-US" w:eastAsia="zh-CN"/>
        </w:rPr>
        <w:t>请各项目申报单位填写并提交《项目申报书》，具体材料如下：</w:t>
      </w:r>
    </w:p>
    <w:p>
      <w:pPr>
        <w:bidi w:val="0"/>
        <w:rPr>
          <w:rFonts w:hint="default"/>
          <w:color w:val="auto"/>
          <w:highlight w:val="none"/>
          <w:lang w:val="en-US" w:eastAsia="zh-CN"/>
        </w:rPr>
      </w:pPr>
      <w:r>
        <w:rPr>
          <w:rFonts w:hint="default"/>
          <w:color w:val="auto"/>
          <w:highlight w:val="none"/>
          <w:lang w:val="en-US" w:eastAsia="zh-CN"/>
        </w:rPr>
        <w:t>1.资金项目申请书</w:t>
      </w:r>
      <w:r>
        <w:rPr>
          <w:rFonts w:hint="eastAsia"/>
          <w:color w:val="auto"/>
          <w:highlight w:val="none"/>
          <w:lang w:val="en-US" w:eastAsia="zh-CN"/>
        </w:rPr>
        <w:t>：</w:t>
      </w:r>
      <w:r>
        <w:rPr>
          <w:rFonts w:hint="default"/>
          <w:color w:val="auto"/>
          <w:highlight w:val="none"/>
          <w:lang w:val="en-US" w:eastAsia="zh-CN"/>
        </w:rPr>
        <w:t>申报单位按照申报材料要求编写项目申请书并提供相关证明材料，登录前海企业服务一体化平台在线下载填报申请书（网址：https://qhsk.sz.gov.cn/—选择“领补贴”—商贸物流—“消费新业态新模式新场景试点（支持创新多元化服务消费场景—打造中医药入境消费新增长点资助项目）事项”—点击“</w:t>
      </w:r>
      <w:r>
        <w:rPr>
          <w:rFonts w:hint="eastAsia"/>
          <w:highlight w:val="none"/>
          <w:lang w:val="en-US" w:eastAsia="zh-CN"/>
        </w:rPr>
        <w:t>一键申报</w:t>
      </w:r>
      <w:r>
        <w:rPr>
          <w:rFonts w:hint="default"/>
          <w:color w:val="auto"/>
          <w:highlight w:val="none"/>
          <w:lang w:val="en-US" w:eastAsia="zh-CN"/>
        </w:rPr>
        <w:t>”—登录后按要求填报并上传申请材料—点击提交），初审通过后提供申请书纸质文件原件并将本指南第六条要求的项目申报材料一并线下或通过邮寄方式递交至前海e站通政务服务中心（深圳市前海合作区前湾一路19号）。</w:t>
      </w:r>
    </w:p>
    <w:p>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r>
        <w:rPr>
          <w:rFonts w:hint="eastAsia"/>
          <w:color w:val="auto"/>
          <w:highlight w:val="none"/>
          <w:lang w:val="en-US" w:eastAsia="zh-CN"/>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pPr>
        <w:bidi w:val="0"/>
        <w:rPr>
          <w:rFonts w:hint="default"/>
          <w:color w:val="auto"/>
          <w:highlight w:val="none"/>
          <w:lang w:val="en-US" w:eastAsia="zh-CN"/>
        </w:rPr>
      </w:pPr>
      <w:r>
        <w:rPr>
          <w:rFonts w:hint="default"/>
          <w:color w:val="auto"/>
          <w:highlight w:val="none"/>
          <w:lang w:val="en-US" w:eastAsia="zh-CN"/>
        </w:rPr>
        <w:t>1.</w:t>
      </w:r>
      <w:r>
        <w:rPr>
          <w:rFonts w:hint="eastAsia"/>
          <w:color w:val="auto"/>
          <w:highlight w:val="none"/>
          <w:lang w:val="en-US" w:eastAsia="zh-CN"/>
        </w:rPr>
        <w:t>专项条件</w:t>
      </w:r>
      <w:r>
        <w:rPr>
          <w:rFonts w:hint="default"/>
          <w:color w:val="auto"/>
          <w:highlight w:val="none"/>
          <w:lang w:val="en-US" w:eastAsia="zh-CN"/>
        </w:rPr>
        <w:t>佐证材料</w:t>
      </w:r>
      <w:r>
        <w:rPr>
          <w:rFonts w:hint="eastAsia"/>
          <w:color w:val="auto"/>
          <w:highlight w:val="none"/>
          <w:lang w:val="en-US" w:eastAsia="zh-CN"/>
        </w:rPr>
        <w:t>：</w:t>
      </w:r>
    </w:p>
    <w:tbl>
      <w:tblPr>
        <w:tblStyle w:val="18"/>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4398"/>
        <w:gridCol w:w="3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snapToGrid w:val="0"/>
              <w:spacing w:line="500" w:lineRule="exact"/>
              <w:ind w:left="0" w:leftChars="0" w:right="0" w:rightChars="0" w:firstLine="0" w:firstLineChars="0"/>
              <w:jc w:val="center"/>
              <w:rPr>
                <w:rFonts w:hint="default"/>
                <w:b/>
                <w:color w:val="auto"/>
                <w:sz w:val="28"/>
                <w:szCs w:val="28"/>
                <w:highlight w:val="none"/>
                <w:lang w:val="en-US" w:eastAsia="zh-CN"/>
              </w:rPr>
            </w:pPr>
            <w:r>
              <w:rPr>
                <w:rFonts w:hint="default"/>
                <w:b/>
                <w:color w:val="auto"/>
                <w:sz w:val="28"/>
                <w:szCs w:val="28"/>
                <w:highlight w:val="none"/>
                <w:lang w:val="en-US" w:eastAsia="zh-CN"/>
              </w:rPr>
              <w:t>维度</w:t>
            </w:r>
          </w:p>
        </w:tc>
        <w:tc>
          <w:tcPr>
            <w:tcW w:w="2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snapToGrid w:val="0"/>
              <w:spacing w:line="500" w:lineRule="exact"/>
              <w:ind w:left="0" w:leftChars="0" w:right="0" w:rightChars="0" w:firstLine="0" w:firstLineChars="0"/>
              <w:jc w:val="center"/>
              <w:rPr>
                <w:rFonts w:hint="default"/>
                <w:b/>
                <w:color w:val="auto"/>
                <w:sz w:val="28"/>
                <w:szCs w:val="28"/>
                <w:highlight w:val="none"/>
                <w:lang w:val="en-US" w:eastAsia="zh-CN"/>
              </w:rPr>
            </w:pPr>
            <w:r>
              <w:rPr>
                <w:rFonts w:hint="default"/>
                <w:b/>
                <w:color w:val="auto"/>
                <w:sz w:val="28"/>
                <w:szCs w:val="28"/>
                <w:highlight w:val="none"/>
                <w:lang w:val="en-US" w:eastAsia="zh-CN"/>
              </w:rPr>
              <w:t>内容</w:t>
            </w:r>
          </w:p>
        </w:tc>
        <w:tc>
          <w:tcPr>
            <w:tcW w:w="1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snapToGrid w:val="0"/>
              <w:spacing w:line="500" w:lineRule="exact"/>
              <w:ind w:left="0" w:leftChars="0" w:right="0" w:rightChars="0" w:firstLine="0" w:firstLineChars="0"/>
              <w:jc w:val="center"/>
              <w:rPr>
                <w:rFonts w:hint="default"/>
                <w:b/>
                <w:color w:val="auto"/>
                <w:sz w:val="28"/>
                <w:szCs w:val="28"/>
                <w:highlight w:val="none"/>
                <w:lang w:val="en-US" w:eastAsia="zh-CN"/>
              </w:rPr>
            </w:pPr>
            <w:r>
              <w:rPr>
                <w:rFonts w:hint="default"/>
                <w:b/>
                <w:color w:val="auto"/>
                <w:sz w:val="28"/>
                <w:szCs w:val="28"/>
                <w:highlight w:val="none"/>
                <w:lang w:val="en-US" w:eastAsia="zh-CN"/>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napToGrid w:val="0"/>
              <w:spacing w:line="500" w:lineRule="exact"/>
              <w:ind w:left="0" w:leftChars="0" w:right="0" w:rightChars="0" w:firstLine="0" w:firstLineChars="0"/>
              <w:jc w:val="center"/>
              <w:rPr>
                <w:rFonts w:hint="default"/>
                <w:color w:val="auto"/>
                <w:sz w:val="28"/>
                <w:szCs w:val="28"/>
                <w:highlight w:val="none"/>
                <w:lang w:val="en-US" w:eastAsia="zh-CN"/>
              </w:rPr>
            </w:pPr>
            <w:r>
              <w:rPr>
                <w:rFonts w:hint="default"/>
                <w:color w:val="auto"/>
                <w:sz w:val="28"/>
                <w:szCs w:val="28"/>
                <w:highlight w:val="none"/>
                <w:lang w:val="en-US" w:eastAsia="zh-CN"/>
              </w:rPr>
              <w:t>1.实体消费空间</w:t>
            </w:r>
          </w:p>
        </w:tc>
        <w:tc>
          <w:tcPr>
            <w:tcW w:w="2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napToGrid w:val="0"/>
              <w:spacing w:line="500" w:lineRule="exact"/>
              <w:ind w:left="0" w:leftChars="0" w:right="0" w:rightChars="0" w:firstLine="0" w:firstLineChars="0"/>
              <w:jc w:val="left"/>
              <w:rPr>
                <w:rFonts w:hint="default"/>
                <w:color w:val="auto"/>
                <w:sz w:val="28"/>
                <w:szCs w:val="28"/>
                <w:highlight w:val="none"/>
                <w:lang w:val="en-US" w:eastAsia="zh-CN"/>
              </w:rPr>
            </w:pPr>
            <w:r>
              <w:rPr>
                <w:rFonts w:hint="default"/>
                <w:color w:val="auto"/>
                <w:sz w:val="28"/>
                <w:szCs w:val="28"/>
                <w:highlight w:val="none"/>
                <w:lang w:val="en-US" w:eastAsia="zh-CN"/>
              </w:rPr>
              <w:t>具有合法的中医药服务或相关经营资质，有固定的线下经营场所</w:t>
            </w:r>
            <w:r>
              <w:rPr>
                <w:rFonts w:hint="eastAsia"/>
                <w:color w:val="auto"/>
                <w:sz w:val="28"/>
                <w:szCs w:val="28"/>
                <w:highlight w:val="none"/>
                <w:lang w:val="en-US" w:eastAsia="zh-CN"/>
              </w:rPr>
              <w:t>，</w:t>
            </w:r>
            <w:r>
              <w:rPr>
                <w:rFonts w:hint="default"/>
                <w:color w:val="auto"/>
                <w:sz w:val="28"/>
                <w:szCs w:val="28"/>
                <w:highlight w:val="none"/>
                <w:lang w:val="en-US" w:eastAsia="zh-CN"/>
              </w:rPr>
              <w:t>项目总面积</w:t>
            </w:r>
            <w:r>
              <w:rPr>
                <w:rFonts w:hint="eastAsia"/>
                <w:color w:val="auto"/>
                <w:sz w:val="28"/>
                <w:szCs w:val="28"/>
                <w:highlight w:val="none"/>
                <w:lang w:val="en-US" w:eastAsia="zh-CN"/>
              </w:rPr>
              <w:t>≥2000㎡</w:t>
            </w:r>
          </w:p>
        </w:tc>
        <w:tc>
          <w:tcPr>
            <w:tcW w:w="19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napToGrid w:val="0"/>
              <w:spacing w:line="500" w:lineRule="exact"/>
              <w:ind w:left="0" w:leftChars="0" w:right="0" w:rightChars="0" w:firstLine="0" w:firstLineChars="0"/>
              <w:jc w:val="both"/>
              <w:rPr>
                <w:rFonts w:hint="default"/>
                <w:color w:val="auto"/>
                <w:sz w:val="28"/>
                <w:szCs w:val="28"/>
                <w:highlight w:val="none"/>
                <w:lang w:val="en-US" w:eastAsia="zh-CN"/>
              </w:rPr>
            </w:pPr>
            <w:r>
              <w:rPr>
                <w:rFonts w:hint="default"/>
                <w:color w:val="auto"/>
                <w:sz w:val="28"/>
                <w:szCs w:val="28"/>
                <w:highlight w:val="none"/>
                <w:lang w:val="en-US" w:eastAsia="zh-CN"/>
              </w:rPr>
              <w:t>医疗机构执业许可证（如涉及诊疗）等资质文件，场地租赁合同/产权证明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napToGrid w:val="0"/>
              <w:spacing w:line="500" w:lineRule="exact"/>
              <w:ind w:left="0" w:leftChars="0" w:right="0" w:rightChars="0" w:firstLine="0" w:firstLineChars="0"/>
              <w:jc w:val="center"/>
              <w:rPr>
                <w:rFonts w:hint="eastAsia"/>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w:t>
            </w:r>
            <w:r>
              <w:rPr>
                <w:rFonts w:hint="eastAsia"/>
                <w:color w:val="auto"/>
                <w:sz w:val="28"/>
                <w:szCs w:val="28"/>
                <w:highlight w:val="none"/>
                <w:lang w:val="en-US" w:eastAsia="zh-CN"/>
              </w:rPr>
              <w:t>服务能力</w:t>
            </w:r>
          </w:p>
        </w:tc>
        <w:tc>
          <w:tcPr>
            <w:tcW w:w="2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napToGrid w:val="0"/>
              <w:spacing w:line="500" w:lineRule="exact"/>
              <w:ind w:left="0" w:leftChars="0" w:right="0" w:rightChars="0" w:firstLine="0" w:firstLineChars="0"/>
              <w:jc w:val="left"/>
              <w:rPr>
                <w:rFonts w:hint="default"/>
                <w:color w:val="auto"/>
                <w:sz w:val="28"/>
                <w:szCs w:val="28"/>
                <w:highlight w:val="none"/>
                <w:lang w:val="en-US" w:eastAsia="zh-CN"/>
              </w:rPr>
            </w:pPr>
            <w:r>
              <w:rPr>
                <w:rFonts w:hint="default"/>
                <w:color w:val="auto"/>
                <w:sz w:val="28"/>
                <w:szCs w:val="28"/>
                <w:highlight w:val="none"/>
                <w:lang w:val="en-US" w:eastAsia="zh-CN"/>
              </w:rPr>
              <w:t>具备国际化服务能力</w:t>
            </w:r>
            <w:r>
              <w:rPr>
                <w:rFonts w:hint="eastAsia"/>
                <w:color w:val="auto"/>
                <w:sz w:val="28"/>
                <w:szCs w:val="28"/>
                <w:highlight w:val="none"/>
                <w:lang w:val="en-US" w:eastAsia="zh-CN"/>
              </w:rPr>
              <w:t>（如拥有双语服务人员、双语服务手册、双语标识等）</w:t>
            </w:r>
          </w:p>
        </w:tc>
        <w:tc>
          <w:tcPr>
            <w:tcW w:w="19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napToGrid w:val="0"/>
              <w:spacing w:line="500" w:lineRule="exact"/>
              <w:ind w:left="0" w:leftChars="0" w:right="0" w:rightChars="0" w:firstLine="0" w:firstLineChars="0"/>
              <w:jc w:val="both"/>
              <w:rPr>
                <w:rFonts w:hint="default"/>
                <w:color w:val="auto"/>
                <w:sz w:val="28"/>
                <w:szCs w:val="28"/>
                <w:highlight w:val="none"/>
                <w:lang w:val="en-US" w:eastAsia="zh-CN"/>
              </w:rPr>
            </w:pPr>
            <w:r>
              <w:rPr>
                <w:rFonts w:hint="eastAsia"/>
                <w:color w:val="auto"/>
                <w:sz w:val="28"/>
                <w:szCs w:val="28"/>
                <w:highlight w:val="none"/>
                <w:lang w:val="en-US" w:eastAsia="zh-CN"/>
              </w:rPr>
              <w:t>劳务合同、手册文件、照片等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napToGrid w:val="0"/>
              <w:spacing w:line="500" w:lineRule="exact"/>
              <w:ind w:left="0" w:leftChars="0" w:right="0" w:rightChars="0" w:firstLine="0" w:firstLineChars="0"/>
              <w:jc w:val="center"/>
              <w:rPr>
                <w:rFonts w:hint="default"/>
                <w:color w:val="auto"/>
                <w:sz w:val="28"/>
                <w:szCs w:val="28"/>
                <w:highlight w:val="none"/>
                <w:lang w:val="en-US" w:eastAsia="zh-CN"/>
              </w:rPr>
            </w:pPr>
            <w:r>
              <w:rPr>
                <w:rFonts w:hint="eastAsia"/>
                <w:color w:val="auto"/>
                <w:sz w:val="28"/>
                <w:szCs w:val="28"/>
                <w:highlight w:val="none"/>
                <w:lang w:val="en-US" w:eastAsia="zh-CN"/>
              </w:rPr>
              <w:t>3</w:t>
            </w:r>
            <w:r>
              <w:rPr>
                <w:rFonts w:hint="default"/>
                <w:color w:val="auto"/>
                <w:sz w:val="28"/>
                <w:szCs w:val="28"/>
                <w:highlight w:val="none"/>
                <w:lang w:val="en-US" w:eastAsia="zh-CN"/>
              </w:rPr>
              <w:t>.业态融合内容</w:t>
            </w:r>
          </w:p>
        </w:tc>
        <w:tc>
          <w:tcPr>
            <w:tcW w:w="2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napToGrid w:val="0"/>
              <w:spacing w:line="500" w:lineRule="exact"/>
              <w:ind w:left="0" w:leftChars="0" w:right="0" w:rightChars="0" w:firstLine="0" w:firstLineChars="0"/>
              <w:jc w:val="left"/>
              <w:rPr>
                <w:rFonts w:hint="default"/>
                <w:color w:val="auto"/>
                <w:sz w:val="28"/>
                <w:szCs w:val="28"/>
                <w:highlight w:val="none"/>
                <w:lang w:val="en-US" w:eastAsia="zh-CN"/>
              </w:rPr>
            </w:pPr>
            <w:r>
              <w:rPr>
                <w:rFonts w:hint="default"/>
                <w:color w:val="auto"/>
                <w:sz w:val="28"/>
                <w:szCs w:val="28"/>
                <w:highlight w:val="none"/>
                <w:lang w:val="en-US" w:eastAsia="zh-CN"/>
              </w:rPr>
              <w:t>中医药旅游线路开发、中医药康养服务、中医药食养药膳服务等重点消费场景</w:t>
            </w:r>
          </w:p>
        </w:tc>
        <w:tc>
          <w:tcPr>
            <w:tcW w:w="19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napToGrid w:val="0"/>
              <w:spacing w:line="500" w:lineRule="exact"/>
              <w:ind w:left="0" w:leftChars="0" w:right="0" w:rightChars="0" w:firstLine="0" w:firstLineChars="0"/>
              <w:jc w:val="both"/>
              <w:rPr>
                <w:rFonts w:hint="default"/>
                <w:color w:val="auto"/>
                <w:sz w:val="28"/>
                <w:szCs w:val="28"/>
                <w:highlight w:val="none"/>
                <w:lang w:val="en-US" w:eastAsia="zh-CN"/>
              </w:rPr>
            </w:pPr>
            <w:r>
              <w:rPr>
                <w:rFonts w:hint="default"/>
                <w:color w:val="auto"/>
                <w:sz w:val="28"/>
                <w:szCs w:val="28"/>
                <w:highlight w:val="none"/>
                <w:lang w:val="en-US" w:eastAsia="zh-CN"/>
              </w:rPr>
              <w:t>产品手册/服务套餐清单、活动方案、合作协议</w:t>
            </w:r>
            <w:r>
              <w:rPr>
                <w:rFonts w:hint="eastAsia"/>
                <w:color w:val="auto"/>
                <w:sz w:val="28"/>
                <w:szCs w:val="28"/>
                <w:highlight w:val="none"/>
                <w:lang w:val="en-US" w:eastAsia="zh-CN"/>
              </w:rPr>
              <w:t>等</w:t>
            </w:r>
          </w:p>
        </w:tc>
      </w:tr>
    </w:tbl>
    <w:p>
      <w:pPr>
        <w:bidi w:val="0"/>
        <w:rPr>
          <w:rFonts w:hint="eastAsia"/>
          <w:color w:val="auto"/>
          <w:highlight w:val="none"/>
          <w:lang w:val="en-US" w:eastAsia="zh-CN"/>
        </w:rPr>
      </w:pPr>
      <w:r>
        <w:rPr>
          <w:rFonts w:hint="eastAsia"/>
          <w:color w:val="auto"/>
          <w:highlight w:val="none"/>
          <w:lang w:val="en-US" w:eastAsia="zh-CN"/>
        </w:rPr>
        <w:t>2.项目成效总结（模板详见项目申报书）。</w:t>
      </w:r>
    </w:p>
    <w:p>
      <w:pPr>
        <w:bidi w:val="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专项资金项目投入明细表</w:t>
      </w:r>
      <w:r>
        <w:rPr>
          <w:rFonts w:hint="eastAsia"/>
          <w:color w:val="auto"/>
          <w:highlight w:val="none"/>
          <w:lang w:val="en-US" w:eastAsia="zh-CN"/>
        </w:rPr>
        <w:t>及佐证材料（详见项目申报书）。</w:t>
      </w:r>
    </w:p>
    <w:p>
      <w:pPr>
        <w:bidi w:val="0"/>
        <w:rPr>
          <w:rFonts w:hint="eastAsia"/>
          <w:color w:val="auto"/>
          <w:highlight w:val="none"/>
          <w:lang w:val="en-US" w:eastAsia="zh-CN"/>
        </w:rPr>
      </w:pPr>
      <w:r>
        <w:rPr>
          <w:rFonts w:hint="default"/>
          <w:color w:val="auto"/>
          <w:highlight w:val="none"/>
          <w:lang w:val="en-US" w:eastAsia="zh-CN"/>
        </w:rPr>
        <w:t>以上申报材料按顺序一式</w:t>
      </w:r>
      <w:r>
        <w:rPr>
          <w:rFonts w:hint="eastAsia"/>
          <w:color w:val="auto"/>
          <w:highlight w:val="none"/>
          <w:lang w:val="en-US" w:eastAsia="zh-CN"/>
        </w:rPr>
        <w:t>四</w:t>
      </w:r>
      <w:r>
        <w:rPr>
          <w:rFonts w:hint="default"/>
          <w:color w:val="auto"/>
          <w:highlight w:val="none"/>
          <w:lang w:val="en-US" w:eastAsia="zh-CN"/>
        </w:rPr>
        <w:t>份（附可编辑电子版和PDF扫描件）装订成册，在封面加盖单位公章并加盖骑缝章（其中，申报</w:t>
      </w:r>
      <w:r>
        <w:rPr>
          <w:rFonts w:hint="eastAsia" w:ascii="仿宋_GB2312" w:eastAsia="仿宋_GB2312"/>
          <w:color w:val="auto"/>
          <w:highlight w:val="none"/>
          <w:lang w:val="en-US" w:eastAsia="zh-CN"/>
        </w:rPr>
        <w:t>指引</w:t>
      </w:r>
      <w:r>
        <w:rPr>
          <w:rFonts w:hint="default"/>
          <w:color w:val="auto"/>
          <w:highlight w:val="none"/>
          <w:lang w:val="en-US" w:eastAsia="zh-CN"/>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19526"/>
      <w:bookmarkStart w:id="17" w:name="_Toc5711"/>
      <w:r>
        <w:rPr>
          <w:rFonts w:hint="eastAsia" w:ascii="黑体" w:hAnsi="黑体" w:eastAsia="黑体" w:cs="仿宋"/>
          <w:color w:val="auto"/>
          <w:kern w:val="2"/>
          <w:sz w:val="32"/>
          <w:szCs w:val="22"/>
          <w:highlight w:val="none"/>
          <w:lang w:val="en-US" w:eastAsia="zh-CN" w:bidi="ar-SA"/>
        </w:rPr>
        <w:t>七、申请表格</w:t>
      </w:r>
      <w:bookmarkEnd w:id="16"/>
      <w:bookmarkEnd w:id="17"/>
    </w:p>
    <w:p>
      <w:pPr>
        <w:bidi w:val="0"/>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本指南第六条（一）规定登录</w:t>
      </w:r>
      <w:r>
        <w:rPr>
          <w:rFonts w:hint="eastAsia" w:hAnsi="Calibri" w:cs="Times New Roman"/>
          <w:color w:val="auto"/>
          <w:spacing w:val="0"/>
          <w:sz w:val="32"/>
          <w:szCs w:val="32"/>
          <w:highlight w:val="none"/>
          <w:lang w:val="en-US" w:eastAsia="zh-CN"/>
        </w:rPr>
        <w:t>前海企业服务一体化平台</w:t>
      </w:r>
      <w:r>
        <w:rPr>
          <w:rFonts w:hint="eastAsia" w:ascii="仿宋_GB2312" w:hAnsi="Calibri" w:eastAsia="仿宋_GB2312" w:cs="Times New Roman"/>
          <w:color w:val="auto"/>
          <w:spacing w:val="0"/>
          <w:sz w:val="32"/>
          <w:szCs w:val="32"/>
          <w:highlight w:val="none"/>
        </w:rPr>
        <w:t>在线填报申请书，网址：</w:t>
      </w:r>
      <w:r>
        <w:rPr>
          <w:rFonts w:hint="eastAsia" w:hAnsi="Calibri" w:cs="Times New Roman"/>
          <w:color w:val="auto"/>
          <w:szCs w:val="32"/>
          <w:highlight w:val="none"/>
        </w:rPr>
        <w:t>https://qhsk.sz.gov.cn/</w:t>
      </w:r>
      <w:r>
        <w:rPr>
          <w:rFonts w:hint="eastAsia" w:ascii="仿宋_GB2312" w:eastAsia="仿宋_GB2312" w:cs="Times New Roman"/>
          <w:color w:val="auto"/>
          <w:spacing w:val="0"/>
          <w:sz w:val="32"/>
          <w:szCs w:val="32"/>
          <w:highlight w:val="none"/>
          <w:lang w:eastAsia="zh-CN"/>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18" w:name="_Toc13760"/>
      <w:bookmarkStart w:id="19" w:name="_Toc20121"/>
      <w:r>
        <w:rPr>
          <w:rFonts w:hint="eastAsia" w:ascii="黑体" w:hAnsi="黑体" w:eastAsia="黑体" w:cs="仿宋"/>
          <w:color w:val="auto"/>
          <w:kern w:val="2"/>
          <w:sz w:val="32"/>
          <w:szCs w:val="22"/>
          <w:highlight w:val="none"/>
          <w:lang w:val="en-US" w:eastAsia="zh-CN" w:bidi="ar-SA"/>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pPr>
        <w:bidi w:val="0"/>
        <w:rPr>
          <w:rFonts w:hint="eastAsia" w:ascii="仿宋_GB2312" w:hAnsi="宋体" w:eastAsia="仿宋_GB2312" w:cs="宋体"/>
          <w:color w:val="auto"/>
          <w:kern w:val="0"/>
          <w:sz w:val="32"/>
          <w:szCs w:val="32"/>
          <w:highlight w:val="none"/>
          <w:lang w:val="en-US" w:eastAsia="zh-CN"/>
        </w:rPr>
      </w:pPr>
      <w:r>
        <w:rPr>
          <w:rFonts w:hint="eastAsia" w:cs="仿宋_GB2312"/>
          <w:color w:val="000000" w:themeColor="text1"/>
          <w:sz w:val="32"/>
          <w:szCs w:val="32"/>
          <w:highlight w:val="none"/>
          <w:u w:val="none"/>
          <w:lang w:val="en-US" w:eastAsia="zh-CN"/>
          <w14:textFill>
            <w14:solidFill>
              <w14:schemeClr w14:val="tx1"/>
            </w14:solidFill>
          </w14:textFill>
        </w:rPr>
        <w:t>深圳市前海管理局</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pPr>
        <w:bidi w:val="0"/>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1.网络填报时间：202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29</w:t>
      </w:r>
      <w:r>
        <w:rPr>
          <w:rFonts w:hint="eastAsia" w:ascii="仿宋_GB2312" w:hAnsi="宋体" w:eastAsia="仿宋_GB2312" w:cs="宋体"/>
          <w:color w:val="auto"/>
          <w:kern w:val="0"/>
          <w:sz w:val="32"/>
          <w:szCs w:val="32"/>
          <w:highlight w:val="none"/>
          <w:lang w:val="en-US" w:eastAsia="zh-CN"/>
        </w:rPr>
        <w:t>日-202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r>
        <w:rPr>
          <w:rFonts w:hint="eastAsia" w:hAnsi="宋体" w:cs="宋体"/>
          <w:color w:val="auto"/>
          <w:kern w:val="0"/>
          <w:sz w:val="32"/>
          <w:szCs w:val="32"/>
          <w:highlight w:val="none"/>
          <w:lang w:val="en-US" w:eastAsia="zh-CN"/>
        </w:rPr>
        <w:t>。</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2.材料提交时间：2026年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val="en-US" w:eastAsia="zh-CN"/>
        </w:rPr>
        <w:t>日-2026年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（三）受理地点</w:t>
      </w:r>
    </w:p>
    <w:p>
      <w:pPr>
        <w:bidi w:val="0"/>
        <w:spacing w:before="0" w:after="0" w:line="560" w:lineRule="exact"/>
        <w:ind w:firstLine="640" w:firstLineChars="200"/>
        <w:rPr>
          <w:rFonts w:ascii="仿宋_GB2312" w:hAnsi="仿宋_GB2312" w:eastAsia="仿宋_GB2312" w:cs="仿宋_GB2312"/>
          <w:color w:val="auto"/>
          <w:sz w:val="32"/>
          <w:szCs w:val="32"/>
          <w:highlight w:val="none"/>
        </w:rPr>
      </w:pPr>
      <w:r>
        <w:rPr>
          <w:rFonts w:hint="eastAsia" w:cs="仿宋_GB2312"/>
          <w:color w:val="000000" w:themeColor="text1"/>
          <w:sz w:val="32"/>
          <w:szCs w:val="32"/>
          <w:highlight w:val="none"/>
          <w:u w:val="none"/>
          <w:lang w:eastAsia="zh-CN"/>
          <w14:textFill>
            <w14:solidFill>
              <w14:schemeClr w14:val="tx1"/>
            </w14:solidFill>
          </w14:textFill>
        </w:rPr>
        <w:t>深圳市前海合作区前湾一路19号前海e站通服务中心</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pPr>
        <w:bidi w:val="0"/>
        <w:rPr>
          <w:rFonts w:hint="eastAsia" w:ascii="仿宋_GB2312" w:hAnsi="仿宋_GB2312" w:eastAsia="仿宋_GB2312" w:cs="仿宋_GB2312"/>
          <w:color w:val="auto"/>
          <w:sz w:val="32"/>
          <w:szCs w:val="32"/>
          <w:highlight w:val="none"/>
          <w:u w:val="single"/>
        </w:rPr>
      </w:pPr>
      <w:r>
        <w:rPr>
          <w:rFonts w:hint="eastAsia" w:cs="仿宋_GB2312"/>
          <w:color w:val="000000" w:themeColor="text1"/>
          <w:sz w:val="32"/>
          <w:szCs w:val="32"/>
          <w:highlight w:val="none"/>
          <w:u w:val="none"/>
          <w:lang w:val="en-US" w:eastAsia="zh-CN"/>
          <w14:textFill>
            <w14:solidFill>
              <w14:schemeClr w14:val="tx1"/>
            </w14:solidFill>
          </w14:textFill>
        </w:rPr>
        <w:t>0755-88105481</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0" w:name="_Toc9722"/>
      <w:bookmarkStart w:id="21" w:name="_Toc1376"/>
      <w:r>
        <w:rPr>
          <w:rFonts w:hint="eastAsia" w:ascii="黑体" w:hAnsi="黑体" w:eastAsia="黑体" w:cs="仿宋"/>
          <w:color w:val="auto"/>
          <w:kern w:val="2"/>
          <w:sz w:val="32"/>
          <w:szCs w:val="22"/>
          <w:highlight w:val="none"/>
          <w:lang w:val="en-US" w:eastAsia="zh-CN" w:bidi="ar-SA"/>
        </w:rPr>
        <w:t>九、申请决定机关</w:t>
      </w:r>
      <w:bookmarkEnd w:id="20"/>
      <w:bookmarkEnd w:id="21"/>
    </w:p>
    <w:p>
      <w:pPr>
        <w:bidi w:val="0"/>
        <w:rPr>
          <w:rFonts w:hint="eastAsia" w:ascii="仿宋_GB2312" w:hAnsi="宋体" w:eastAsia="仿宋_GB2312" w:cs="宋体"/>
          <w:color w:val="auto"/>
          <w:kern w:val="0"/>
          <w:sz w:val="32"/>
          <w:szCs w:val="32"/>
          <w:highlight w:val="none"/>
          <w:lang w:val="en-US" w:eastAsia="zh-CN"/>
        </w:rPr>
      </w:pPr>
      <w:bookmarkStart w:id="22" w:name="_Toc2137"/>
      <w:bookmarkStart w:id="23" w:name="_Toc161850809"/>
      <w:bookmarkStart w:id="24" w:name="_Toc125127183"/>
      <w:bookmarkStart w:id="25" w:name="_Toc10305"/>
      <w:r>
        <w:rPr>
          <w:rFonts w:hint="eastAsia" w:hAnsi="宋体" w:cs="宋体"/>
          <w:color w:val="auto"/>
          <w:kern w:val="0"/>
          <w:sz w:val="32"/>
          <w:szCs w:val="32"/>
          <w:highlight w:val="none"/>
          <w:u w:val="none"/>
          <w:lang w:val="en-US" w:eastAsia="zh-CN"/>
        </w:rPr>
        <w:t>深圳市前海管理局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6" w:name="_Toc11274"/>
      <w:bookmarkStart w:id="27" w:name="_Toc16198"/>
      <w:r>
        <w:rPr>
          <w:rFonts w:hint="eastAsia" w:ascii="黑体" w:hAnsi="黑体" w:eastAsia="黑体" w:cs="仿宋"/>
          <w:color w:val="auto"/>
          <w:kern w:val="2"/>
          <w:sz w:val="32"/>
          <w:szCs w:val="22"/>
          <w:highlight w:val="none"/>
          <w:lang w:val="en-US" w:eastAsia="zh-CN" w:bidi="ar-SA"/>
        </w:rPr>
        <w:t>十、办理流程</w:t>
      </w:r>
      <w:bookmarkEnd w:id="26"/>
      <w:bookmarkEnd w:id="27"/>
    </w:p>
    <w:p>
      <w:pPr>
        <w:bidi w:val="0"/>
        <w:rPr>
          <w:rFonts w:hint="eastAsia" w:ascii="仿宋_GB2312" w:hAnsi="仿宋_GB2312" w:eastAsia="仿宋_GB2312" w:cs="Times New Roman"/>
          <w:color w:val="auto"/>
          <w:sz w:val="32"/>
          <w:szCs w:val="32"/>
          <w:highlight w:val="none"/>
          <w:lang w:bidi="ar"/>
        </w:rPr>
      </w:pPr>
      <w:r>
        <w:rPr>
          <w:rFonts w:hint="eastAsia" w:ascii="仿宋_GB2312" w:hAnsi="仿宋_GB2312" w:eastAsia="仿宋_GB2312" w:cs="Times New Roman"/>
          <w:color w:val="auto"/>
          <w:sz w:val="32"/>
          <w:szCs w:val="32"/>
          <w:highlight w:val="none"/>
          <w:lang w:val="en-US" w:eastAsia="zh-CN" w:bidi="ar"/>
        </w:rPr>
        <w:t>前海管理局发布申报指南——申报单位网上申报——前海管理局网上初审——申报单位向政务服务中心收文窗口提交申请材料——前海管理局开展形式审查——前海管理局开展资质审查——前海管理局组织专项审计——征求意见与综合核查——拟定资助计划——社会公示——下达资助计划——通知申报单位提交拨付资料——拨付资金。</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28790"/>
      <w:bookmarkStart w:id="29" w:name="_Toc3693"/>
      <w:r>
        <w:rPr>
          <w:rFonts w:hint="eastAsia" w:ascii="黑体" w:hAnsi="黑体" w:eastAsia="黑体" w:cs="仿宋"/>
          <w:color w:val="auto"/>
          <w:kern w:val="2"/>
          <w:sz w:val="32"/>
          <w:szCs w:val="22"/>
          <w:highlight w:val="none"/>
          <w:lang w:val="en-US" w:eastAsia="zh-CN" w:bidi="ar-SA"/>
        </w:rPr>
        <w:t>十一、办理时限</w:t>
      </w:r>
      <w:bookmarkEnd w:id="28"/>
      <w:bookmarkEnd w:id="29"/>
    </w:p>
    <w:p>
      <w:pPr>
        <w:bidi w:val="0"/>
        <w:rPr>
          <w:rFonts w:hint="eastAsia"/>
          <w:color w:val="auto"/>
          <w:highlight w:val="none"/>
        </w:rPr>
      </w:pPr>
      <w:r>
        <w:rPr>
          <w:rFonts w:hint="eastAsia"/>
          <w:color w:val="auto"/>
          <w:highlight w:val="none"/>
          <w:lang w:val="en-US" w:eastAsia="zh-CN"/>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29872"/>
      <w:bookmarkStart w:id="31" w:name="_Toc32254"/>
      <w:r>
        <w:rPr>
          <w:rFonts w:hint="eastAsia" w:ascii="黑体" w:hAnsi="黑体" w:eastAsia="黑体" w:cs="仿宋"/>
          <w:color w:val="auto"/>
          <w:kern w:val="2"/>
          <w:sz w:val="32"/>
          <w:szCs w:val="22"/>
          <w:highlight w:val="none"/>
          <w:lang w:val="en-US" w:eastAsia="zh-CN" w:bidi="ar-SA"/>
        </w:rPr>
        <w:t>十二、证件及有效期</w:t>
      </w:r>
      <w:bookmarkEnd w:id="30"/>
      <w:bookmarkEnd w:id="31"/>
    </w:p>
    <w:p>
      <w:pPr>
        <w:bidi w:val="0"/>
        <w:rPr>
          <w:rFonts w:hint="eastAsia"/>
          <w:color w:val="auto"/>
          <w:highlight w:val="none"/>
        </w:rPr>
      </w:pPr>
      <w:r>
        <w:rPr>
          <w:rFonts w:hint="eastAsia"/>
          <w:color w:val="auto"/>
          <w:highlight w:val="none"/>
        </w:rPr>
        <w:t>证件：无</w:t>
      </w:r>
    </w:p>
    <w:p>
      <w:pPr>
        <w:bidi w:val="0"/>
        <w:rPr>
          <w:rFonts w:hint="eastAsia"/>
          <w:color w:val="auto"/>
          <w:highlight w:val="none"/>
        </w:rPr>
      </w:pPr>
      <w:r>
        <w:rPr>
          <w:rFonts w:hint="eastAsia"/>
          <w:color w:val="auto"/>
          <w:highlight w:val="none"/>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7239"/>
      <w:bookmarkStart w:id="33" w:name="_Toc19920"/>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7505"/>
      <w:bookmarkStart w:id="35" w:name="_Toc6842"/>
      <w:r>
        <w:rPr>
          <w:rFonts w:hint="eastAsia" w:ascii="黑体" w:hAnsi="黑体" w:eastAsia="黑体" w:cs="Times New Roman"/>
          <w:color w:val="auto"/>
          <w:kern w:val="2"/>
          <w:sz w:val="32"/>
          <w:szCs w:val="32"/>
          <w:highlight w:val="none"/>
          <w:lang w:val="en-US" w:eastAsia="zh-CN" w:bidi="ar-SA"/>
        </w:rPr>
        <w:t>十四、收费</w:t>
      </w:r>
      <w:bookmarkEnd w:id="34"/>
      <w:bookmarkEnd w:id="35"/>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475"/>
      <w:bookmarkStart w:id="37" w:name="_Toc3014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pPr>
        <w:bidi w:val="0"/>
        <w:rPr>
          <w:rFonts w:hint="eastAsia"/>
          <w:color w:val="auto"/>
          <w:highlight w:val="none"/>
        </w:rPr>
      </w:pPr>
      <w:r>
        <w:rPr>
          <w:rFonts w:hint="eastAsia"/>
          <w:color w:val="auto"/>
          <w:highlight w:val="none"/>
        </w:rPr>
        <w:t>无</w:t>
      </w:r>
      <w:bookmarkStart w:id="38" w:name="_Toc28762"/>
      <w:bookmarkStart w:id="39" w:name="_Toc20677"/>
    </w:p>
    <w:p>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（二）申报单位存在以下情形之一的，应当按要求将已获得的部分或全部财政专项资金退回国库，并按照有关规定处理；涉嫌犯罪的，依法移送有关机关处理：</w:t>
      </w:r>
    </w:p>
    <w:p>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p>
    <w:p>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rFonts w:hint="eastAsia"/>
          <w:color w:val="auto"/>
          <w:highlight w:val="none"/>
          <w:lang w:eastAsia="zh-CN"/>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rFonts w:hint="eastAsia"/>
          <w:color w:val="auto"/>
          <w:highlight w:val="none"/>
          <w:lang w:val="en-US" w:eastAsia="zh-CN"/>
        </w:rPr>
        <w:t>若项目服务资质被吊销或出现重大医疗纠纷，需立即退回资助资金并终止支持。</w:t>
      </w:r>
    </w:p>
    <w:p>
      <w:pPr>
        <w:bidi w:val="0"/>
        <w:rPr>
          <w:rFonts w:hint="eastAsia" w:eastAsia="仿宋_GB2312"/>
          <w:color w:val="auto"/>
          <w:highlight w:val="none"/>
          <w:lang w:eastAsia="zh-CN"/>
        </w:rPr>
      </w:pPr>
    </w:p>
    <w:p>
      <w:pPr>
        <w:bidi w:val="0"/>
        <w:rPr>
          <w:rFonts w:hint="eastAsia"/>
          <w:color w:val="auto"/>
          <w:highlight w:val="none"/>
        </w:rPr>
      </w:pPr>
    </w:p>
    <w:bookmarkEnd w:id="22"/>
    <w:bookmarkEnd w:id="23"/>
    <w:bookmarkEnd w:id="24"/>
    <w:bookmarkEnd w:id="25"/>
    <w:p>
      <w:pPr>
        <w:pStyle w:val="17"/>
        <w:rPr>
          <w:rFonts w:ascii="仿宋_GB2312" w:hAnsi="仿宋_GB2312"/>
          <w:color w:val="auto"/>
          <w:highlight w:val="none"/>
        </w:rPr>
      </w:pPr>
    </w:p>
    <w:sectPr>
      <w:footerReference r:id="rId5" w:type="default"/>
      <w:pgSz w:w="11906" w:h="16838"/>
      <w:pgMar w:top="1814" w:right="1474" w:bottom="181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B33C63-2BCD-41F5-9C79-97255CCBB8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8D26EA-FA92-4480-B783-E7490B5FB8F9}"/>
  </w:font>
  <w:font w:name="仿宋_GB2312">
    <w:panose1 w:val="02010609030101010101"/>
    <w:charset w:val="86"/>
    <w:family w:val="auto"/>
    <w:pitch w:val="default"/>
    <w:sig w:usb0="00000001" w:usb1="080E0000" w:usb2="00000000" w:usb3="00000000" w:csb0="00040000" w:csb1="00000000"/>
    <w:embedRegular r:id="rId3" w:fontKey="{E6AF2589-B747-484F-A06C-5931E563D87E}"/>
  </w:font>
  <w:font w:name="仿宋">
    <w:panose1 w:val="02010609060101010101"/>
    <w:charset w:val="86"/>
    <w:family w:val="modern"/>
    <w:pitch w:val="default"/>
    <w:sig w:usb0="800002BF" w:usb1="38CF7CFA" w:usb2="00000016" w:usb3="00000000" w:csb0="00040001" w:csb1="00000000"/>
    <w:embedRegular r:id="rId4" w:fontKey="{98D00D9D-913B-4172-9A47-4E8DE9A19D73}"/>
  </w:font>
  <w:font w:name="方正小标宋简体">
    <w:panose1 w:val="03000509000000000000"/>
    <w:charset w:val="86"/>
    <w:family w:val="auto"/>
    <w:pitch w:val="default"/>
    <w:sig w:usb0="00000001" w:usb1="080E0000" w:usb2="00000000" w:usb3="00000000" w:csb0="00040000" w:csb1="00000000"/>
    <w:embedRegular r:id="rId5" w:fontKey="{087D1B45-A680-4E71-9BF4-46545C8CBBE6}"/>
  </w:font>
  <w:font w:name="楷体">
    <w:panose1 w:val="02010609060101010101"/>
    <w:charset w:val="86"/>
    <w:family w:val="modern"/>
    <w:pitch w:val="default"/>
    <w:sig w:usb0="800002BF" w:usb1="38CF7CFA" w:usb2="00000016" w:usb3="00000000" w:csb0="00040001" w:csb1="00000000"/>
    <w:embedRegular r:id="rId6" w:fontKey="{F909CB06-A284-412D-9715-08CBF808EDB3}"/>
  </w:font>
  <w:font w:name="楷体_GB2312">
    <w:panose1 w:val="02010609030101010101"/>
    <w:charset w:val="86"/>
    <w:family w:val="auto"/>
    <w:pitch w:val="default"/>
    <w:sig w:usb0="00000001" w:usb1="080E0000" w:usb2="00000000" w:usb3="00000000" w:csb0="00040000" w:csb1="00000000"/>
    <w:embedRegular r:id="rId7" w:fontKey="{E787D823-8A02-4C20-ABFE-9B24F6DDBB82}"/>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1152EF7"/>
    <w:rsid w:val="01791910"/>
    <w:rsid w:val="02627A1C"/>
    <w:rsid w:val="02803A46"/>
    <w:rsid w:val="02CB1CF7"/>
    <w:rsid w:val="02DA63DE"/>
    <w:rsid w:val="02E93786"/>
    <w:rsid w:val="032C6A46"/>
    <w:rsid w:val="03B55433"/>
    <w:rsid w:val="03EE0393"/>
    <w:rsid w:val="06426774"/>
    <w:rsid w:val="070F7027"/>
    <w:rsid w:val="082C1BA1"/>
    <w:rsid w:val="08461CA3"/>
    <w:rsid w:val="097B1C13"/>
    <w:rsid w:val="099B1C43"/>
    <w:rsid w:val="0A2D6324"/>
    <w:rsid w:val="0A6C5760"/>
    <w:rsid w:val="0B35692F"/>
    <w:rsid w:val="0B4456D1"/>
    <w:rsid w:val="0BAD1FAB"/>
    <w:rsid w:val="0BE1742C"/>
    <w:rsid w:val="0D1F0CED"/>
    <w:rsid w:val="0D5E30A2"/>
    <w:rsid w:val="0E191F0D"/>
    <w:rsid w:val="0E782A66"/>
    <w:rsid w:val="0F605C7A"/>
    <w:rsid w:val="0F95719B"/>
    <w:rsid w:val="0FE131A1"/>
    <w:rsid w:val="10BF0BFF"/>
    <w:rsid w:val="11A73770"/>
    <w:rsid w:val="124226AB"/>
    <w:rsid w:val="126D73E5"/>
    <w:rsid w:val="12B144B1"/>
    <w:rsid w:val="13404115"/>
    <w:rsid w:val="13A40095"/>
    <w:rsid w:val="14053C83"/>
    <w:rsid w:val="15C958A9"/>
    <w:rsid w:val="163D2AB4"/>
    <w:rsid w:val="167F76E2"/>
    <w:rsid w:val="172A2DF8"/>
    <w:rsid w:val="17391889"/>
    <w:rsid w:val="17645F1C"/>
    <w:rsid w:val="176D401C"/>
    <w:rsid w:val="17B005EC"/>
    <w:rsid w:val="183C74C7"/>
    <w:rsid w:val="185533C0"/>
    <w:rsid w:val="187E0EC3"/>
    <w:rsid w:val="18AB1F57"/>
    <w:rsid w:val="190653E0"/>
    <w:rsid w:val="197B53D3"/>
    <w:rsid w:val="19B65CFF"/>
    <w:rsid w:val="1B137764"/>
    <w:rsid w:val="1C210334"/>
    <w:rsid w:val="1C3A1F70"/>
    <w:rsid w:val="1C964CCC"/>
    <w:rsid w:val="1CFC17D2"/>
    <w:rsid w:val="1EBE0883"/>
    <w:rsid w:val="205A510F"/>
    <w:rsid w:val="21127D99"/>
    <w:rsid w:val="21A5207B"/>
    <w:rsid w:val="22C22819"/>
    <w:rsid w:val="22E8050C"/>
    <w:rsid w:val="24004A92"/>
    <w:rsid w:val="246A3FA3"/>
    <w:rsid w:val="25BF43FD"/>
    <w:rsid w:val="264659B5"/>
    <w:rsid w:val="26E72CF4"/>
    <w:rsid w:val="2976170C"/>
    <w:rsid w:val="2A104310"/>
    <w:rsid w:val="2A1A1904"/>
    <w:rsid w:val="2A4B3E74"/>
    <w:rsid w:val="2AE65214"/>
    <w:rsid w:val="2B3E8AD3"/>
    <w:rsid w:val="2BA068F1"/>
    <w:rsid w:val="2C2A1457"/>
    <w:rsid w:val="2CAE0A32"/>
    <w:rsid w:val="2D65712B"/>
    <w:rsid w:val="2EEE88B7"/>
    <w:rsid w:val="2F0A3862"/>
    <w:rsid w:val="2FFC0AFB"/>
    <w:rsid w:val="302C0287"/>
    <w:rsid w:val="318A2BFA"/>
    <w:rsid w:val="31A95387"/>
    <w:rsid w:val="31B31F93"/>
    <w:rsid w:val="321653A8"/>
    <w:rsid w:val="322E20A6"/>
    <w:rsid w:val="329C19A3"/>
    <w:rsid w:val="32F52701"/>
    <w:rsid w:val="341A4C22"/>
    <w:rsid w:val="347B2CCE"/>
    <w:rsid w:val="352B3694"/>
    <w:rsid w:val="363C0287"/>
    <w:rsid w:val="3654545B"/>
    <w:rsid w:val="36565190"/>
    <w:rsid w:val="366C2500"/>
    <w:rsid w:val="382C7B34"/>
    <w:rsid w:val="387303F9"/>
    <w:rsid w:val="3B0E3D0E"/>
    <w:rsid w:val="3B2F70A2"/>
    <w:rsid w:val="3BFC17F2"/>
    <w:rsid w:val="3CFD6976"/>
    <w:rsid w:val="3D5D42F6"/>
    <w:rsid w:val="3D68552C"/>
    <w:rsid w:val="3DB808BA"/>
    <w:rsid w:val="3E427121"/>
    <w:rsid w:val="407A2ECB"/>
    <w:rsid w:val="418A09F4"/>
    <w:rsid w:val="418D6C3A"/>
    <w:rsid w:val="423806ED"/>
    <w:rsid w:val="423D18DC"/>
    <w:rsid w:val="428230B1"/>
    <w:rsid w:val="437A5877"/>
    <w:rsid w:val="43BB3CEC"/>
    <w:rsid w:val="44A91A1A"/>
    <w:rsid w:val="44D052C5"/>
    <w:rsid w:val="46AE1F3D"/>
    <w:rsid w:val="473C23B2"/>
    <w:rsid w:val="474450E0"/>
    <w:rsid w:val="475B3A97"/>
    <w:rsid w:val="47781E40"/>
    <w:rsid w:val="48541414"/>
    <w:rsid w:val="486936D2"/>
    <w:rsid w:val="48855A71"/>
    <w:rsid w:val="48E05859"/>
    <w:rsid w:val="4900762E"/>
    <w:rsid w:val="4A6B0082"/>
    <w:rsid w:val="4AB56AE2"/>
    <w:rsid w:val="4B0038EE"/>
    <w:rsid w:val="4B6E7935"/>
    <w:rsid w:val="4BE372DC"/>
    <w:rsid w:val="4C7B0D4E"/>
    <w:rsid w:val="4C7DD7DC"/>
    <w:rsid w:val="4DDB2728"/>
    <w:rsid w:val="4DF787A7"/>
    <w:rsid w:val="4E7E74BD"/>
    <w:rsid w:val="4E805B64"/>
    <w:rsid w:val="4FC2745B"/>
    <w:rsid w:val="501C7B4C"/>
    <w:rsid w:val="509A0D5C"/>
    <w:rsid w:val="52252BFC"/>
    <w:rsid w:val="54D06548"/>
    <w:rsid w:val="54E753F5"/>
    <w:rsid w:val="563F7F48"/>
    <w:rsid w:val="56F7427F"/>
    <w:rsid w:val="5779221D"/>
    <w:rsid w:val="589B5008"/>
    <w:rsid w:val="58A326D8"/>
    <w:rsid w:val="59413C36"/>
    <w:rsid w:val="59466376"/>
    <w:rsid w:val="59F033A8"/>
    <w:rsid w:val="5A867B53"/>
    <w:rsid w:val="5BF51433"/>
    <w:rsid w:val="5E992A9C"/>
    <w:rsid w:val="5EEFFC80"/>
    <w:rsid w:val="5F28482B"/>
    <w:rsid w:val="5FFF8D5C"/>
    <w:rsid w:val="60C802BC"/>
    <w:rsid w:val="623151CA"/>
    <w:rsid w:val="64312FEF"/>
    <w:rsid w:val="64DB7056"/>
    <w:rsid w:val="66982F4F"/>
    <w:rsid w:val="66F04EFF"/>
    <w:rsid w:val="6780529D"/>
    <w:rsid w:val="6888651F"/>
    <w:rsid w:val="6894168D"/>
    <w:rsid w:val="69B52798"/>
    <w:rsid w:val="6A7451AD"/>
    <w:rsid w:val="6AC14C27"/>
    <w:rsid w:val="6B180981"/>
    <w:rsid w:val="6BC41409"/>
    <w:rsid w:val="6C030E4B"/>
    <w:rsid w:val="6C5C62E3"/>
    <w:rsid w:val="6CAB30BC"/>
    <w:rsid w:val="6CED51AD"/>
    <w:rsid w:val="6DE96D78"/>
    <w:rsid w:val="6F89034A"/>
    <w:rsid w:val="6FCC3E6E"/>
    <w:rsid w:val="6FEF791D"/>
    <w:rsid w:val="6FEFB7EB"/>
    <w:rsid w:val="701C78E1"/>
    <w:rsid w:val="704C4B77"/>
    <w:rsid w:val="71D6011D"/>
    <w:rsid w:val="71E7B62A"/>
    <w:rsid w:val="723F4D5F"/>
    <w:rsid w:val="72694444"/>
    <w:rsid w:val="72AF14FA"/>
    <w:rsid w:val="73A0155B"/>
    <w:rsid w:val="74F90479"/>
    <w:rsid w:val="75FD716A"/>
    <w:rsid w:val="7625601A"/>
    <w:rsid w:val="77BF249E"/>
    <w:rsid w:val="77DE7E15"/>
    <w:rsid w:val="78D33F7B"/>
    <w:rsid w:val="798E36E0"/>
    <w:rsid w:val="7995233F"/>
    <w:rsid w:val="79B756FB"/>
    <w:rsid w:val="79F8EE65"/>
    <w:rsid w:val="7BA7127F"/>
    <w:rsid w:val="7BFFEAC2"/>
    <w:rsid w:val="7C1A6A34"/>
    <w:rsid w:val="7CBE4AD3"/>
    <w:rsid w:val="7D1C7CE5"/>
    <w:rsid w:val="7D9DAF96"/>
    <w:rsid w:val="7DFEDB60"/>
    <w:rsid w:val="7EFF7B60"/>
    <w:rsid w:val="7F2C666B"/>
    <w:rsid w:val="7F363046"/>
    <w:rsid w:val="7FAA4181"/>
    <w:rsid w:val="7FEF9ED4"/>
    <w:rsid w:val="8EFFBC18"/>
    <w:rsid w:val="A6F7FB93"/>
    <w:rsid w:val="B7FD6DEF"/>
    <w:rsid w:val="BD737366"/>
    <w:rsid w:val="BFEA2FCE"/>
    <w:rsid w:val="CFCFBB90"/>
    <w:rsid w:val="D5BAC5CF"/>
    <w:rsid w:val="D6EF5D56"/>
    <w:rsid w:val="D9D2F7FD"/>
    <w:rsid w:val="DFFF2255"/>
    <w:rsid w:val="EF7F522E"/>
    <w:rsid w:val="EFF77BA1"/>
    <w:rsid w:val="FDE87A96"/>
    <w:rsid w:val="FF1A0A57"/>
    <w:rsid w:val="FF6BA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footnote reference"/>
    <w:basedOn w:val="19"/>
    <w:unhideWhenUsed/>
    <w:qFormat/>
    <w:uiPriority w:val="99"/>
    <w:rPr>
      <w:vertAlign w:val="superscript"/>
    </w:rPr>
  </w:style>
  <w:style w:type="paragraph" w:customStyle="1" w:styleId="23">
    <w:name w:val="chart heading"/>
    <w:basedOn w:val="1"/>
    <w:qFormat/>
    <w:uiPriority w:val="0"/>
    <w:pPr>
      <w:spacing w:before="120" w:after="120"/>
      <w:jc w:val="center"/>
    </w:pPr>
    <w:rPr>
      <w:b/>
      <w:bCs/>
      <w:sz w:val="24"/>
      <w:szCs w:val="24"/>
    </w:rPr>
  </w:style>
  <w:style w:type="paragraph" w:customStyle="1" w:styleId="24">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5">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6">
    <w:name w:val="font41"/>
    <w:qFormat/>
    <w:uiPriority w:val="0"/>
    <w:rPr>
      <w:rFonts w:hint="eastAsia" w:ascii="仿宋_GB2312" w:eastAsia="仿宋_GB2312" w:cs="仿宋_GB2312"/>
      <w:color w:val="ED7D31"/>
      <w:sz w:val="28"/>
      <w:szCs w:val="28"/>
      <w:u w:val="none"/>
    </w:rPr>
  </w:style>
  <w:style w:type="character" w:customStyle="1" w:styleId="27">
    <w:name w:val="font21"/>
    <w:qFormat/>
    <w:uiPriority w:val="0"/>
    <w:rPr>
      <w:rFonts w:hint="eastAsia" w:ascii="仿宋_GB2312" w:eastAsia="仿宋_GB2312" w:cs="仿宋_GB2312"/>
      <w:color w:val="000000"/>
      <w:sz w:val="28"/>
      <w:szCs w:val="28"/>
      <w:u w:val="none"/>
    </w:rPr>
  </w:style>
  <w:style w:type="character" w:customStyle="1" w:styleId="28">
    <w:name w:val="font51"/>
    <w:qFormat/>
    <w:uiPriority w:val="0"/>
    <w:rPr>
      <w:rFonts w:ascii="方正书宋_GBK" w:hAnsi="方正书宋_GBK" w:eastAsia="方正书宋_GBK" w:cs="方正书宋_GBK"/>
      <w:color w:val="000000"/>
      <w:sz w:val="28"/>
      <w:szCs w:val="28"/>
      <w:u w:val="none"/>
    </w:rPr>
  </w:style>
  <w:style w:type="character" w:customStyle="1" w:styleId="29">
    <w:name w:val="font61"/>
    <w:qFormat/>
    <w:uiPriority w:val="0"/>
    <w:rPr>
      <w:rFonts w:hint="eastAsia" w:ascii="宋体" w:hAnsi="宋体" w:eastAsia="宋体" w:cs="宋体"/>
      <w:color w:val="000000"/>
      <w:sz w:val="28"/>
      <w:szCs w:val="28"/>
      <w:u w:val="none"/>
    </w:rPr>
  </w:style>
  <w:style w:type="paragraph" w:customStyle="1" w:styleId="3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font71"/>
    <w:qFormat/>
    <w:uiPriority w:val="0"/>
    <w:rPr>
      <w:rFonts w:hint="eastAsia" w:ascii="仿宋_GB2312" w:eastAsia="仿宋_GB2312" w:cs="仿宋_GB2312"/>
      <w:color w:val="333333"/>
      <w:sz w:val="28"/>
      <w:szCs w:val="28"/>
      <w:u w:val="none"/>
    </w:rPr>
  </w:style>
  <w:style w:type="character" w:customStyle="1" w:styleId="32">
    <w:name w:val="font81"/>
    <w:qFormat/>
    <w:uiPriority w:val="0"/>
    <w:rPr>
      <w:rFonts w:hint="default" w:ascii="Times New Roman" w:hAnsi="Times New Roman" w:cs="Times New Roman"/>
      <w:color w:val="333333"/>
      <w:sz w:val="28"/>
      <w:szCs w:val="28"/>
      <w:u w:val="none"/>
    </w:rPr>
  </w:style>
  <w:style w:type="character" w:customStyle="1" w:styleId="33">
    <w:name w:val="font91"/>
    <w:qFormat/>
    <w:uiPriority w:val="0"/>
    <w:rPr>
      <w:rFonts w:hint="eastAsia" w:ascii="宋体" w:hAnsi="宋体" w:eastAsia="宋体" w:cs="宋体"/>
      <w:color w:val="333333"/>
      <w:sz w:val="28"/>
      <w:szCs w:val="28"/>
      <w:u w:val="none"/>
    </w:rPr>
  </w:style>
  <w:style w:type="character" w:customStyle="1" w:styleId="34">
    <w:name w:val="font11"/>
    <w:qFormat/>
    <w:uiPriority w:val="0"/>
    <w:rPr>
      <w:rFonts w:hint="eastAsia" w:ascii="仿宋_GB2312" w:eastAsia="仿宋_GB2312" w:cs="仿宋_GB2312"/>
      <w:color w:val="000000"/>
      <w:sz w:val="28"/>
      <w:szCs w:val="28"/>
      <w:u w:val="none"/>
    </w:rPr>
  </w:style>
  <w:style w:type="character" w:customStyle="1" w:styleId="35">
    <w:name w:val="font101"/>
    <w:qFormat/>
    <w:uiPriority w:val="0"/>
    <w:rPr>
      <w:rFonts w:hint="eastAsia" w:ascii="仿宋_GB2312" w:eastAsia="仿宋_GB2312" w:cs="仿宋_GB2312"/>
      <w:color w:val="000000"/>
      <w:sz w:val="28"/>
      <w:szCs w:val="28"/>
      <w:u w:val="none"/>
    </w:rPr>
  </w:style>
  <w:style w:type="paragraph" w:customStyle="1" w:styleId="36">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3501</Words>
  <Characters>3643</Characters>
  <Lines>0</Lines>
  <Paragraphs>0</Paragraphs>
  <TotalTime>0</TotalTime>
  <ScaleCrop>false</ScaleCrop>
  <LinksUpToDate>false</LinksUpToDate>
  <CharactersWithSpaces>3644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2025-07-05T02:47:00Z</dcterms:created>
  <dc:creator>黄佩琳</dc:creator>
  <cp:lastModifiedBy>黎俊</cp:lastModifiedBy>
  <cp:lastPrinted>2026-03-15T06:46:00Z</cp:lastPrinted>
  <dcterms:modified xsi:type="dcterms:W3CDTF">2026-06-29T12:17:46Z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A47A8C98DDB548A18AB12B6094E1BDBA_13</vt:lpwstr>
  </property>
  <property fmtid="{D5CDD505-2E9C-101B-9397-08002B2CF9AE}" pid="4" name="KSOTemplateDocerSaveRecord">
    <vt:lpwstr>eyJoZGlkIjoiNTIyMTVkNWMyNjg0MmY3ZTZkZGYyNGZiNGI3MzdhYTgiLCJ1c2VySWQiOiI1NzU3NDk0NDQifQ==</vt:lpwstr>
  </property>
</Properties>
</file>