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bookmarkStart w:id="0" w:name="_Toc13216"/>
      <w:bookmarkStart w:id="1" w:name="_Toc125127182"/>
      <w:bookmarkStart w:id="2" w:name="_Toc32562"/>
      <w:bookmarkStart w:id="3" w:name="_Toc5810"/>
      <w:r>
        <w:rPr>
          <w:rFonts w:hint="eastAsia" w:ascii="仿宋_GB2312" w:hAnsi="仿宋_GB2312" w:eastAsia="仿宋_GB2312" w:cs="仿宋_GB2312"/>
          <w:color w:val="auto"/>
          <w:sz w:val="32"/>
          <w:szCs w:val="32"/>
          <w:highlight w:val="none"/>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2026年中央资金深圳市消费新业态新模式新场景试点（支持创新多元化服务消费场景—发展冰雪经济资助项目）申报指南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4194"/>
      <w:bookmarkStart w:id="5" w:name="_Toc20798"/>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color w:val="auto"/>
          <w:highlight w:val="none"/>
          <w:lang w:val="en-US" w:eastAsia="zh-CN"/>
        </w:rPr>
      </w:pPr>
      <w:r>
        <w:rPr>
          <w:rFonts w:hint="eastAsia" w:ascii="仿宋_GB2312" w:eastAsia="仿宋_GB2312"/>
          <w:color w:val="auto"/>
          <w:highlight w:val="none"/>
          <w:lang w:val="en-US" w:eastAsia="zh-CN"/>
        </w:rPr>
        <w:t>支持培育冰雪经济等服务消费新增长点。</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default" w:ascii="仿宋_GB2312" w:hAnsi="仿宋_GB2312" w:eastAsia="仿宋_GB2312" w:cs="Times New Roman"/>
          <w:color w:val="auto"/>
          <w:sz w:val="32"/>
          <w:szCs w:val="32"/>
          <w:highlight w:val="none"/>
          <w:lang w:eastAsia="zh-CN"/>
        </w:rPr>
        <w:t>根据</w:t>
      </w: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等</w:t>
      </w:r>
      <w:r>
        <w:rPr>
          <w:rFonts w:hint="default" w:ascii="仿宋_GB2312" w:hAnsi="仿宋_GB2312" w:eastAsia="仿宋_GB2312" w:cs="Times New Roman"/>
          <w:color w:val="auto"/>
          <w:sz w:val="32"/>
          <w:szCs w:val="32"/>
          <w:highlight w:val="none"/>
          <w:lang w:eastAsia="zh-CN"/>
        </w:rPr>
        <w:t>相关文件设定</w:t>
      </w:r>
      <w:r>
        <w:rPr>
          <w:rFonts w:hint="eastAsia" w:ascii="仿宋_GB2312" w:hAnsi="仿宋_GB2312" w:eastAsia="宋体"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补贴</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431"/>
      <w:bookmarkStart w:id="11" w:name="_Toc15307"/>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6.申报单位不存在将本属于同一性质内涵与建设内容的资助项目刻意分拆成两个项目的情形。同一项目不得重复申请多个支持方向。</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highlight w:val="none"/>
          <w:lang w:val="en-US" w:eastAsia="zh-CN"/>
        </w:rPr>
      </w:pPr>
      <w:r>
        <w:rPr>
          <w:rFonts w:hint="eastAsia"/>
          <w:color w:val="auto"/>
          <w:highlight w:val="none"/>
          <w:lang w:val="en-US" w:eastAsia="zh-CN"/>
        </w:rPr>
        <w:t>申报项目须同时满足以下条件：</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highlight w:val="none"/>
          <w:lang w:val="en-US" w:eastAsia="zh-CN"/>
        </w:rPr>
      </w:pPr>
      <w:r>
        <w:rPr>
          <w:rFonts w:hint="eastAsia"/>
          <w:color w:val="auto"/>
          <w:highlight w:val="none"/>
          <w:lang w:val="en-US" w:eastAsia="zh-CN"/>
        </w:rPr>
        <w:t>1.申报项目属于具备“冰雪+”多元融合业态规划及延伸产业链能力的</w:t>
      </w:r>
      <w:r>
        <w:rPr>
          <w:rStyle w:val="19"/>
          <w:rFonts w:hint="eastAsia" w:ascii="仿宋_GB2312" w:hAnsi="仿宋_GB2312" w:cs="仿宋_GB2312"/>
          <w:color w:val="auto"/>
          <w:sz w:val="32"/>
          <w:szCs w:val="32"/>
          <w:highlight w:val="none"/>
          <w:lang w:val="en-US" w:eastAsia="zh-CN"/>
        </w:rPr>
        <w:t>室内冰雪场馆或冰雪主题文旅综合体项目</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cs="Arial"/>
          <w:strike w:val="0"/>
          <w:dstrike w:val="0"/>
          <w:color w:val="auto"/>
          <w:szCs w:val="24"/>
          <w:highlight w:val="none"/>
          <w:lang w:val="en-US" w:eastAsia="zh-CN"/>
        </w:rPr>
      </w:pPr>
      <w:r>
        <w:rPr>
          <w:rFonts w:hint="eastAsia"/>
          <w:color w:val="auto"/>
          <w:highlight w:val="none"/>
          <w:lang w:val="en-US" w:eastAsia="zh-CN"/>
        </w:rPr>
        <w:t>2.申报项目冰雪功能区建筑面积≥1万㎡</w:t>
      </w:r>
      <w:r>
        <w:rPr>
          <w:rFonts w:hint="eastAsia" w:ascii="Times New Roman" w:hAnsi="Times New Roman" w:cs="Arial"/>
          <w:strike w:val="0"/>
          <w:dstrike w:val="0"/>
          <w:color w:val="auto"/>
          <w:szCs w:val="24"/>
          <w:highlight w:val="none"/>
          <w:lang w:val="en-US" w:eastAsia="zh-CN"/>
        </w:rPr>
        <w:t>。</w:t>
      </w:r>
    </w:p>
    <w:p>
      <w:pPr>
        <w:pStyle w:val="29"/>
        <w:spacing w:line="560" w:lineRule="exact"/>
        <w:ind w:firstLine="640"/>
        <w:rPr>
          <w:rStyle w:val="19"/>
          <w:rFonts w:hint="eastAsia" w:ascii="仿宋_GB2312" w:hAnsi="仿宋_GB2312" w:eastAsia="仿宋_GB2312" w:cs="仿宋_GB2312"/>
          <w:bCs/>
          <w:color w:val="auto"/>
          <w:kern w:val="36"/>
          <w:sz w:val="32"/>
          <w:szCs w:val="32"/>
          <w:highlight w:val="none"/>
          <w:lang w:eastAsia="zh-CN"/>
        </w:rPr>
      </w:pPr>
      <w:r>
        <w:rPr>
          <w:rStyle w:val="19"/>
          <w:rFonts w:hint="eastAsia" w:ascii="仿宋_GB2312" w:hAnsi="仿宋_GB2312" w:eastAsia="仿宋_GB2312" w:cs="仿宋_GB2312"/>
          <w:color w:val="auto"/>
          <w:sz w:val="32"/>
          <w:szCs w:val="32"/>
          <w:highlight w:val="none"/>
          <w:lang w:eastAsia="zh-CN"/>
        </w:rPr>
        <w:t>项目支持时间范围为</w:t>
      </w:r>
      <w:r>
        <w:rPr>
          <w:rStyle w:val="19"/>
          <w:rFonts w:hint="eastAsia" w:ascii="仿宋_GB2312" w:hAnsi="仿宋_GB2312" w:eastAsia="仿宋_GB2312" w:cs="仿宋_GB2312"/>
          <w:color w:val="auto"/>
          <w:sz w:val="32"/>
          <w:szCs w:val="32"/>
          <w:highlight w:val="none"/>
          <w:lang w:val="en-US" w:eastAsia="zh-CN"/>
        </w:rPr>
        <w:t>2025年9月30日至2027年6月30日，所支持投入部分应在上述时间内。</w:t>
      </w:r>
      <w:r>
        <w:rPr>
          <w:rStyle w:val="19"/>
          <w:rFonts w:hint="eastAsia" w:ascii="仿宋_GB2312" w:hAnsi="仿宋_GB2312" w:eastAsia="仿宋_GB2312" w:cs="仿宋_GB2312"/>
          <w:bCs/>
          <w:color w:val="auto"/>
          <w:kern w:val="36"/>
          <w:sz w:val="32"/>
          <w:szCs w:val="32"/>
          <w:highlight w:val="none"/>
          <w:lang w:eastAsia="zh-CN"/>
        </w:rPr>
        <w:t>原则上限于支持市场化商业化项目，不支持免费的纯公益项目，</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_GB2312" w:eastAsia="仿宋_GB2312" w:cs="仿宋_GB2312"/>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商业综合体，以及</w:t>
      </w:r>
      <w:r>
        <w:rPr>
          <w:rStyle w:val="19"/>
          <w:rFonts w:hint="eastAsia" w:ascii="仿宋_GB2312" w:hAnsi="仿宋_GB2312" w:eastAsia="仿宋_GB2312" w:cs="仿宋_GB2312"/>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办公场所及必须的公共服务基础设施建设</w:t>
      </w:r>
      <w:r>
        <w:rPr>
          <w:rStyle w:val="19"/>
          <w:rFonts w:hint="eastAsia" w:ascii="仿宋_GB2312" w:hAnsi="仿宋_GB2312" w:eastAsia="仿宋_GB2312" w:cs="仿宋_GB2312"/>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为了满足最基本经营条件、消防验收等需求，基础水电改造、防水处理、消防改造及设施购置等一般性装修项目</w:t>
      </w:r>
      <w:r>
        <w:rPr>
          <w:rStyle w:val="19"/>
          <w:rFonts w:hint="eastAsia" w:ascii="仿宋_GB2312" w:hAnsi="仿宋_GB2312" w:eastAsia="仿宋_GB2312" w:cs="仿宋_GB2312"/>
          <w:bCs/>
          <w:color w:val="auto"/>
          <w:kern w:val="36"/>
          <w:sz w:val="32"/>
          <w:szCs w:val="32"/>
          <w:highlight w:val="none"/>
          <w:lang w:eastAsia="zh-CN"/>
        </w:rPr>
        <w:t>。不支持党政机关主办、承办或承担部分活动费用的展会、节庆、论坛活动。</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cs="Arial"/>
          <w:strike w:val="0"/>
          <w:dstrike w:val="0"/>
          <w:color w:val="auto"/>
          <w:szCs w:val="24"/>
          <w:highlight w:val="none"/>
          <w:lang w:val="en-US" w:eastAsia="zh-CN"/>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w:t>
      </w:r>
      <w:bookmarkStart w:id="40" w:name="_GoBack"/>
      <w:bookmarkEnd w:id="40"/>
      <w:r>
        <w:rPr>
          <w:rStyle w:val="19"/>
          <w:rFonts w:hint="default" w:ascii="仿宋_GB2312" w:hAnsi="仿宋_GB2312" w:eastAsia="仿宋_GB2312" w:cs="仿宋_GB2312"/>
          <w:color w:val="auto"/>
          <w:sz w:val="32"/>
          <w:szCs w:val="32"/>
          <w:highlight w:val="none"/>
          <w:lang w:val="en-US" w:eastAsia="zh-CN"/>
        </w:rPr>
        <w:t>以及无消费内容的项目。</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7095"/>
      <w:bookmarkStart w:id="13" w:name="_Toc31102"/>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支持发展冰雪经济，按</w:t>
      </w:r>
      <w:r>
        <w:rPr>
          <w:rFonts w:hint="eastAsia"/>
          <w:color w:val="auto"/>
          <w:highlight w:val="none"/>
          <w:lang w:val="en-US" w:eastAsia="zh-CN"/>
        </w:rPr>
        <w:t>项目</w:t>
      </w:r>
      <w:r>
        <w:rPr>
          <w:rFonts w:hint="eastAsia" w:ascii="仿宋_GB2312" w:eastAsia="仿宋_GB2312"/>
          <w:color w:val="auto"/>
          <w:highlight w:val="none"/>
          <w:lang w:val="en-US" w:eastAsia="zh-CN"/>
        </w:rPr>
        <w:t>相关的实际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20%给予资助，试点期间最高不超过300万元。</w:t>
      </w:r>
    </w:p>
    <w:p>
      <w:pPr>
        <w:spacing w:line="560" w:lineRule="exact"/>
        <w:ind w:firstLine="640"/>
        <w:rPr>
          <w:rStyle w:val="19"/>
          <w:rFonts w:hint="default" w:ascii="仿宋_GB2312" w:hAnsi="仿宋_GB2312" w:eastAsia="仿宋_GB2312" w:cs="仿宋_GB2312"/>
          <w:color w:val="auto"/>
          <w:sz w:val="32"/>
          <w:szCs w:val="32"/>
          <w:highlight w:val="none"/>
          <w:lang w:val="en-US" w:eastAsia="zh-CN"/>
        </w:rPr>
      </w:pPr>
      <w:r>
        <w:rPr>
          <w:rStyle w:val="19"/>
          <w:rFonts w:hint="eastAsia"/>
          <w:color w:val="auto"/>
          <w:sz w:val="32"/>
          <w:szCs w:val="32"/>
          <w:highlight w:val="none"/>
          <w:lang w:eastAsia="zh-CN"/>
        </w:rPr>
        <w:t>实际有效投入是指2025年9月30日以来至申报日，申报主体在打造“冰雪</w:t>
      </w:r>
      <w:r>
        <w:rPr>
          <w:rStyle w:val="19"/>
          <w:rFonts w:hint="eastAsia"/>
          <w:color w:val="auto"/>
          <w:sz w:val="32"/>
          <w:szCs w:val="32"/>
          <w:highlight w:val="none"/>
          <w:lang w:val="en-US" w:eastAsia="zh-CN"/>
        </w:rPr>
        <w:t>+</w:t>
      </w:r>
      <w:r>
        <w:rPr>
          <w:rStyle w:val="19"/>
          <w:rFonts w:hint="eastAsia"/>
          <w:color w:val="auto"/>
          <w:sz w:val="32"/>
          <w:szCs w:val="32"/>
          <w:highlight w:val="none"/>
          <w:lang w:eastAsia="zh-CN"/>
        </w:rPr>
        <w:t>”融合项目时，已完成或阶段性完成部分有关投入，不包含</w:t>
      </w:r>
      <w:r>
        <w:rPr>
          <w:rFonts w:hint="eastAsia"/>
          <w:color w:val="000000" w:themeColor="text1"/>
          <w:highlight w:val="none"/>
          <w:lang w:val="en-US" w:eastAsia="zh-CN"/>
          <w14:textFill>
            <w14:solidFill>
              <w14:schemeClr w14:val="tx1"/>
            </w14:solidFill>
          </w14:textFill>
        </w:rPr>
        <w:t>各级财政投资部分，以及</w:t>
      </w:r>
      <w:r>
        <w:rPr>
          <w:rStyle w:val="19"/>
          <w:rFonts w:hint="eastAsia"/>
          <w:color w:val="auto"/>
          <w:sz w:val="32"/>
          <w:szCs w:val="32"/>
          <w:highlight w:val="none"/>
          <w:lang w:eastAsia="zh-CN"/>
        </w:rPr>
        <w:t>第四</w:t>
      </w:r>
      <w:r>
        <w:rPr>
          <w:rFonts w:hint="eastAsia"/>
          <w:color w:val="000000" w:themeColor="text1"/>
          <w:highlight w:val="none"/>
          <w:lang w:val="en-US" w:eastAsia="zh-CN"/>
          <w14:textFill>
            <w14:solidFill>
              <w14:schemeClr w14:val="tx1"/>
            </w14:solidFill>
          </w14:textFill>
        </w:rPr>
        <w:t>点第（二）条</w:t>
      </w:r>
      <w:r>
        <w:rPr>
          <w:rStyle w:val="19"/>
          <w:rFonts w:hint="eastAsia"/>
          <w:color w:val="auto"/>
          <w:sz w:val="32"/>
          <w:szCs w:val="32"/>
          <w:highlight w:val="none"/>
          <w:lang w:eastAsia="zh-CN"/>
        </w:rPr>
        <w:t>专项条件中不予支持部分。符合条件的项目，可将已落地或有阶段性成果相关投入部分申请资助，后续另有符合条件投入可再次以该项目申报，同一项目不受项目数限制。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27028"/>
      <w:bookmarkStart w:id="15" w:name="_Toc7147"/>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登录前海企业服务一体化平台在线下载填报申请书（网址：https://qhsk.sz.gov.cn/—选择“领补贴”—商贸物流—“消费新业态新模式新场景试点（支持创新多元化服务消费场景—发展冰雪经济资助项目）事项”—点击“一键申报”—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业态融合</w:t>
      </w:r>
      <w:r>
        <w:rPr>
          <w:rFonts w:hint="eastAsia"/>
          <w:color w:val="auto"/>
          <w:highlight w:val="none"/>
          <w:lang w:val="en-US" w:eastAsia="zh-CN"/>
        </w:rPr>
        <w:t>、产业链延伸</w:t>
      </w:r>
      <w:r>
        <w:rPr>
          <w:rFonts w:hint="default"/>
          <w:color w:val="auto"/>
          <w:highlight w:val="none"/>
          <w:lang w:val="en-US" w:eastAsia="zh-CN"/>
        </w:rPr>
        <w:t>能力材料：“冰雪+”多元融合业态</w:t>
      </w:r>
      <w:r>
        <w:rPr>
          <w:rFonts w:hint="eastAsia"/>
          <w:color w:val="auto"/>
          <w:highlight w:val="none"/>
          <w:lang w:val="en-US" w:eastAsia="zh-CN"/>
        </w:rPr>
        <w:t>运营</w:t>
      </w:r>
      <w:r>
        <w:rPr>
          <w:rFonts w:hint="default"/>
          <w:color w:val="auto"/>
          <w:highlight w:val="none"/>
          <w:lang w:val="en-US" w:eastAsia="zh-CN"/>
        </w:rPr>
        <w:t>方案（含业态布局、融合模式、产业链延伸等内容）。</w:t>
      </w:r>
    </w:p>
    <w:p>
      <w:pPr>
        <w:bidi w:val="0"/>
        <w:rPr>
          <w:rFonts w:hint="default"/>
          <w:color w:val="auto"/>
          <w:highlight w:val="none"/>
          <w:lang w:val="en-US" w:eastAsia="zh-CN"/>
        </w:rPr>
      </w:pPr>
      <w:r>
        <w:rPr>
          <w:rFonts w:hint="eastAsia"/>
          <w:color w:val="auto"/>
          <w:highlight w:val="none"/>
          <w:lang w:val="en-US" w:eastAsia="zh-CN"/>
        </w:rPr>
        <w:t>2.冰雪功能区建筑面积</w:t>
      </w:r>
      <w:r>
        <w:rPr>
          <w:rFonts w:hint="default"/>
          <w:color w:val="auto"/>
          <w:highlight w:val="none"/>
          <w:lang w:val="en-US" w:eastAsia="zh-CN"/>
        </w:rPr>
        <w:t>佐证材料：不动产权证书、</w:t>
      </w:r>
      <w:r>
        <w:rPr>
          <w:rFonts w:hint="eastAsia"/>
          <w:color w:val="auto"/>
          <w:highlight w:val="none"/>
          <w:lang w:val="en-US" w:eastAsia="zh-CN"/>
        </w:rPr>
        <w:t>或</w:t>
      </w:r>
      <w:r>
        <w:rPr>
          <w:rFonts w:hint="default"/>
          <w:color w:val="auto"/>
          <w:highlight w:val="none"/>
          <w:lang w:val="en-US" w:eastAsia="zh-CN"/>
        </w:rPr>
        <w:t>租赁合同</w:t>
      </w:r>
      <w:r>
        <w:rPr>
          <w:rFonts w:hint="eastAsia"/>
          <w:color w:val="auto"/>
          <w:highlight w:val="none"/>
          <w:lang w:val="en-US" w:eastAsia="zh-CN"/>
        </w:rPr>
        <w:t>、</w:t>
      </w:r>
      <w:r>
        <w:rPr>
          <w:rFonts w:hint="default"/>
          <w:color w:val="auto"/>
          <w:highlight w:val="none"/>
          <w:lang w:val="en-US" w:eastAsia="zh-CN"/>
        </w:rPr>
        <w:t>场地使用文件（须载明</w:t>
      </w:r>
      <w:r>
        <w:rPr>
          <w:rFonts w:hint="eastAsia"/>
          <w:color w:val="auto"/>
          <w:highlight w:val="none"/>
          <w:lang w:val="en-US" w:eastAsia="zh-CN"/>
        </w:rPr>
        <w:t>功能区建筑</w:t>
      </w:r>
      <w:r>
        <w:rPr>
          <w:rFonts w:hint="default"/>
          <w:color w:val="auto"/>
          <w:highlight w:val="none"/>
          <w:lang w:val="en-US" w:eastAsia="zh-CN"/>
        </w:rPr>
        <w:t>面积）。</w:t>
      </w:r>
    </w:p>
    <w:p>
      <w:pPr>
        <w:bidi w:val="0"/>
        <w:rPr>
          <w:rFonts w:hint="eastAsia"/>
          <w:color w:val="auto"/>
          <w:highlight w:val="none"/>
          <w:lang w:val="en-US" w:eastAsia="zh-CN"/>
        </w:rPr>
      </w:pPr>
      <w:r>
        <w:rPr>
          <w:rFonts w:hint="eastAsia"/>
          <w:color w:val="auto"/>
          <w:highlight w:val="none"/>
          <w:lang w:val="en-US" w:eastAsia="zh-CN"/>
        </w:rPr>
        <w:t>3.项目成效总结（模板详见项目申报书）。</w:t>
      </w:r>
    </w:p>
    <w:p>
      <w:pPr>
        <w:bidi w:val="0"/>
        <w:rPr>
          <w:rFonts w:hint="eastAsia"/>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专项资金项目投入明细表</w:t>
      </w:r>
      <w:r>
        <w:rPr>
          <w:rFonts w:hint="eastAsia"/>
          <w:color w:val="auto"/>
          <w:highlight w:val="none"/>
          <w:lang w:val="en-US" w:eastAsia="zh-CN"/>
        </w:rPr>
        <w:t>及佐证材料（详见项目申报书）。</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5711"/>
      <w:bookmarkStart w:id="17" w:name="_Toc19526"/>
      <w:r>
        <w:rPr>
          <w:rFonts w:hint="eastAsia" w:ascii="黑体" w:hAnsi="黑体" w:eastAsia="黑体" w:cs="仿宋"/>
          <w:color w:val="auto"/>
          <w:kern w:val="2"/>
          <w:sz w:val="32"/>
          <w:szCs w:val="22"/>
          <w:highlight w:val="none"/>
          <w:lang w:val="en-US" w:eastAsia="zh-CN" w:bidi="ar-SA"/>
        </w:rPr>
        <w:t>七、申请表格</w:t>
      </w:r>
      <w:bookmarkEnd w:id="16"/>
      <w:bookmarkEnd w:id="17"/>
    </w:p>
    <w:p>
      <w:pPr>
        <w:bidi w:val="0"/>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本指南第六条（一）规定登录前海企业服务一体化平台在线填报申请书，网址：https://qhsk.sz.gov.cn/。</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20121"/>
      <w:bookmarkStart w:id="19" w:name="_Toc13760"/>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bidi w:val="0"/>
        <w:spacing w:before="0" w:after="0" w:line="560" w:lineRule="exact"/>
        <w:ind w:firstLine="640" w:firstLineChars="200"/>
        <w:rPr>
          <w:rFonts w:ascii="仿宋_GB2312" w:hAnsi="仿宋_GB2312" w:eastAsia="仿宋_GB2312" w:cs="仿宋_GB2312"/>
          <w:color w:val="auto"/>
          <w:sz w:val="32"/>
          <w:szCs w:val="32"/>
          <w:highlight w:val="none"/>
        </w:rPr>
      </w:pPr>
      <w:r>
        <w:rPr>
          <w:rFonts w:hint="eastAsia" w:cs="仿宋_GB2312"/>
          <w:color w:val="000000" w:themeColor="text1"/>
          <w:sz w:val="32"/>
          <w:szCs w:val="32"/>
          <w:highlight w:val="none"/>
          <w:u w:val="none"/>
          <w:lang w:val="en-US" w:eastAsia="zh-CN"/>
          <w14:textFill>
            <w14:solidFill>
              <w14:schemeClr w14:val="tx1"/>
            </w14:solidFill>
          </w14:textFill>
        </w:rPr>
        <w:t>深圳市前海管理局</w:t>
      </w:r>
    </w:p>
    <w:p>
      <w:pPr>
        <w:keepNext w:val="0"/>
        <w:keepLines w:val="0"/>
        <w:widowControl/>
        <w:bidi w:val="0"/>
        <w:spacing w:before="0" w:after="0" w:line="240" w:lineRule="auto"/>
        <w:ind w:firstLine="640" w:firstLineChars="200"/>
        <w:jc w:val="left"/>
        <w:outlineLvl w:val="9"/>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val="en-US" w:eastAsia="zh-CN"/>
        </w:rPr>
        <w:t>日-2026年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（三）受理地点</w:t>
      </w:r>
    </w:p>
    <w:p>
      <w:pPr>
        <w:bidi w:val="0"/>
        <w:spacing w:before="0" w:after="0" w:line="560" w:lineRule="exact"/>
        <w:ind w:firstLine="640" w:firstLineChars="200"/>
        <w:rPr>
          <w:rFonts w:ascii="仿宋_GB2312" w:hAnsi="仿宋_GB2312" w:eastAsia="仿宋_GB2312" w:cs="仿宋_GB2312"/>
          <w:color w:val="auto"/>
          <w:sz w:val="32"/>
          <w:szCs w:val="32"/>
          <w:highlight w:val="none"/>
        </w:rPr>
      </w:pPr>
      <w:r>
        <w:rPr>
          <w:rFonts w:hint="eastAsia" w:cs="仿宋_GB2312"/>
          <w:color w:val="000000" w:themeColor="text1"/>
          <w:sz w:val="32"/>
          <w:szCs w:val="32"/>
          <w:highlight w:val="none"/>
          <w:u w:val="none"/>
          <w:lang w:eastAsia="zh-CN"/>
          <w14:textFill>
            <w14:solidFill>
              <w14:schemeClr w14:val="tx1"/>
            </w14:solidFill>
          </w14:textFill>
        </w:rPr>
        <w:t>深圳市前海合作区前湾一路19号前海e站通服务中心</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pPr>
        <w:bidi w:val="0"/>
        <w:rPr>
          <w:rFonts w:hint="eastAsia" w:ascii="仿宋_GB2312" w:hAnsi="仿宋_GB2312" w:eastAsia="仿宋_GB2312" w:cs="仿宋_GB2312"/>
          <w:color w:val="auto"/>
          <w:sz w:val="32"/>
          <w:szCs w:val="32"/>
          <w:highlight w:val="none"/>
          <w:u w:val="single"/>
        </w:rPr>
      </w:pPr>
      <w:r>
        <w:rPr>
          <w:rFonts w:hint="eastAsia" w:cs="仿宋_GB2312"/>
          <w:color w:val="000000" w:themeColor="text1"/>
          <w:sz w:val="32"/>
          <w:szCs w:val="32"/>
          <w:highlight w:val="none"/>
          <w:u w:val="none"/>
          <w:lang w:val="en-US" w:eastAsia="zh-CN"/>
          <w14:textFill>
            <w14:solidFill>
              <w14:schemeClr w14:val="tx1"/>
            </w14:solidFill>
          </w14:textFill>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1376"/>
      <w:bookmarkStart w:id="21" w:name="_Toc9722"/>
      <w:r>
        <w:rPr>
          <w:rFonts w:hint="eastAsia" w:ascii="黑体" w:hAnsi="黑体" w:eastAsia="黑体" w:cs="仿宋"/>
          <w:color w:val="auto"/>
          <w:kern w:val="2"/>
          <w:sz w:val="32"/>
          <w:szCs w:val="22"/>
          <w:highlight w:val="none"/>
          <w:lang w:val="en-US" w:eastAsia="zh-CN" w:bidi="ar-SA"/>
        </w:rPr>
        <w:t>九、申请决定机关</w:t>
      </w:r>
      <w:bookmarkEnd w:id="20"/>
      <w:bookmarkEnd w:id="21"/>
    </w:p>
    <w:p>
      <w:pPr>
        <w:bidi w:val="0"/>
        <w:rPr>
          <w:rFonts w:hint="eastAsia" w:ascii="仿宋_GB2312" w:hAnsi="宋体" w:eastAsia="仿宋_GB2312" w:cs="宋体"/>
          <w:color w:val="auto"/>
          <w:kern w:val="0"/>
          <w:sz w:val="32"/>
          <w:szCs w:val="32"/>
          <w:highlight w:val="none"/>
          <w:lang w:val="en-US" w:eastAsia="zh-CN"/>
        </w:rPr>
      </w:pPr>
      <w:bookmarkStart w:id="22" w:name="_Toc10305"/>
      <w:bookmarkStart w:id="23" w:name="_Toc125127183"/>
      <w:bookmarkStart w:id="24" w:name="_Toc2137"/>
      <w:bookmarkStart w:id="25" w:name="_Toc161850809"/>
      <w:r>
        <w:rPr>
          <w:rFonts w:hint="eastAsia" w:hAnsi="宋体" w:cs="宋体"/>
          <w:color w:val="000000" w:themeColor="text1"/>
          <w:kern w:val="0"/>
          <w:sz w:val="32"/>
          <w:szCs w:val="32"/>
          <w:highlight w:val="none"/>
          <w:u w:val="none"/>
          <w:lang w:val="en-US" w:eastAsia="zh-CN"/>
          <w14:textFill>
            <w14:solidFill>
              <w14:schemeClr w14:val="tx1"/>
            </w14:solidFill>
          </w14:textFill>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1274"/>
      <w:bookmarkStart w:id="27" w:name="_Toc16198"/>
      <w:r>
        <w:rPr>
          <w:rFonts w:hint="eastAsia" w:ascii="黑体" w:hAnsi="黑体" w:eastAsia="黑体" w:cs="仿宋"/>
          <w:color w:val="auto"/>
          <w:kern w:val="2"/>
          <w:sz w:val="32"/>
          <w:szCs w:val="22"/>
          <w:highlight w:val="none"/>
          <w:lang w:val="en-US" w:eastAsia="zh-CN" w:bidi="ar-SA"/>
        </w:rPr>
        <w:t>十、办理流程</w:t>
      </w:r>
      <w:bookmarkEnd w:id="26"/>
      <w:bookmarkEnd w:id="27"/>
    </w:p>
    <w:p>
      <w:pPr>
        <w:bidi w:val="0"/>
        <w:rPr>
          <w:rFonts w:hint="eastAsia" w:ascii="仿宋_GB2312" w:hAnsi="仿宋_GB2312" w:eastAsia="仿宋_GB2312" w:cs="Times New Roman"/>
          <w:color w:val="auto"/>
          <w:sz w:val="32"/>
          <w:szCs w:val="32"/>
          <w:highlight w:val="none"/>
          <w:lang w:bidi="ar"/>
        </w:rPr>
      </w:pPr>
      <w:r>
        <w:rPr>
          <w:rFonts w:hint="eastAsia" w:ascii="仿宋_GB2312" w:hAnsi="仿宋_GB2312" w:eastAsia="仿宋_GB2312" w:cs="Times New Roman"/>
          <w:color w:val="auto"/>
          <w:sz w:val="32"/>
          <w:szCs w:val="32"/>
          <w:highlight w:val="none"/>
          <w:lang w:val="en-US" w:eastAsia="zh-CN" w:bidi="ar"/>
        </w:rPr>
        <w:t>前海管理局发布申报指南——申报单位网上申报——前海管理局网上初审——申报单位向政务服务中心收文窗口提交申请材料——前海管理局开展形式审查——前海管理局开展资质审查——前海管理局组织专项审计——征求意见与综合核查——拟定资助计划——社会公示——下达资助计划——通知申报单位提交拨付资料——拨付资金。</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28790"/>
      <w:bookmarkStart w:id="29" w:name="_Toc3693"/>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eastAsia"/>
          <w:color w:val="auto"/>
          <w:highlight w:val="none"/>
        </w:rPr>
      </w:pPr>
      <w:r>
        <w:rPr>
          <w:rFonts w:hint="eastAsia" w:eastAsia="仿宋_GB2312" w:cs="仿宋_GB2312"/>
          <w:color w:val="000000" w:themeColor="text1"/>
          <w:highlight w:val="none"/>
          <w:lang w:val="en-US" w:eastAsia="zh-CN"/>
          <w14:textFill>
            <w14:solidFill>
              <w14:schemeClr w14:val="tx1"/>
            </w14:solidFill>
          </w14:textFill>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32254"/>
      <w:bookmarkStart w:id="31" w:name="_Toc29872"/>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7239"/>
      <w:bookmarkStart w:id="33" w:name="_Toc19920"/>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6842"/>
      <w:bookmarkStart w:id="35" w:name="_Toc7505"/>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0677"/>
      <w:bookmarkStart w:id="39" w:name="_Toc28762"/>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rPr>
          <w:rFonts w:ascii="仿宋_GB2312" w:hAnsi="仿宋_GB2312"/>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bookmarkEnd w:id="22"/>
      <w:bookmarkEnd w:id="23"/>
      <w:bookmarkEnd w:id="24"/>
      <w:bookmarkEnd w:id="25"/>
    </w:p>
    <w:sectPr>
      <w:footerReference r:id="rId5" w:type="default"/>
      <w:pgSz w:w="11906" w:h="16838"/>
      <w:pgMar w:top="1814" w:right="1474" w:bottom="1814" w:left="147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83DF5D-8293-4408-96A1-D7AAFC59F403}"/>
  </w:font>
  <w:font w:name="黑体">
    <w:panose1 w:val="02010609060101010101"/>
    <w:charset w:val="86"/>
    <w:family w:val="auto"/>
    <w:pitch w:val="default"/>
    <w:sig w:usb0="800002BF" w:usb1="38CF7CFA" w:usb2="00000016" w:usb3="00000000" w:csb0="00040001" w:csb1="00000000"/>
    <w:embedRegular r:id="rId2" w:fontKey="{781FF775-624C-4272-AEF7-850A57ACD1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128C4D6-4D41-4B63-BFEB-D50D4D40EA65}"/>
  </w:font>
  <w:font w:name="仿宋_GB2312">
    <w:panose1 w:val="02010609030101010101"/>
    <w:charset w:val="86"/>
    <w:family w:val="auto"/>
    <w:pitch w:val="default"/>
    <w:sig w:usb0="00000001" w:usb1="080E0000" w:usb2="00000000" w:usb3="00000000" w:csb0="00040000" w:csb1="00000000"/>
    <w:embedRegular r:id="rId4" w:fontKey="{323EFE00-DB9F-4A10-A4A7-1203C8E7CD69}"/>
  </w:font>
  <w:font w:name="仿宋">
    <w:panose1 w:val="02010609060101010101"/>
    <w:charset w:val="86"/>
    <w:family w:val="modern"/>
    <w:pitch w:val="default"/>
    <w:sig w:usb0="800002BF" w:usb1="38CF7CFA" w:usb2="00000016" w:usb3="00000000" w:csb0="00040001" w:csb1="00000000"/>
    <w:embedRegular r:id="rId5" w:fontKey="{C2BDC70F-0699-4F2B-8242-486D32942600}"/>
  </w:font>
  <w:font w:name="方正小标宋简体">
    <w:panose1 w:val="03000509000000000000"/>
    <w:charset w:val="86"/>
    <w:family w:val="auto"/>
    <w:pitch w:val="default"/>
    <w:sig w:usb0="00000001" w:usb1="080E0000" w:usb2="00000000" w:usb3="00000000" w:csb0="00040000" w:csb1="00000000"/>
    <w:embedRegular r:id="rId6" w:fontKey="{EC346C4B-60A3-4856-A0E1-2DA5EB640367}"/>
  </w:font>
  <w:font w:name="楷体">
    <w:panose1 w:val="02010609060101010101"/>
    <w:charset w:val="86"/>
    <w:family w:val="modern"/>
    <w:pitch w:val="default"/>
    <w:sig w:usb0="800002BF" w:usb1="38CF7CFA" w:usb2="00000016" w:usb3="00000000" w:csb0="00040001" w:csb1="00000000"/>
    <w:embedRegular r:id="rId7" w:fontKey="{685A8748-F8D7-49D3-9EEF-FC72AF11F2A9}"/>
  </w:font>
  <w:font w:name="楷体_GB2312">
    <w:panose1 w:val="02010609030101010101"/>
    <w:charset w:val="86"/>
    <w:family w:val="auto"/>
    <w:pitch w:val="default"/>
    <w:sig w:usb0="00000001" w:usb1="080E0000" w:usb2="00000000" w:usb3="00000000" w:csb0="00040000" w:csb1="00000000"/>
    <w:embedRegular r:id="rId8" w:fontKey="{F2775C2D-0989-408D-AE5C-BBD1561B9569}"/>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2803A46"/>
    <w:rsid w:val="02CB1CF7"/>
    <w:rsid w:val="02DA63DE"/>
    <w:rsid w:val="02E93786"/>
    <w:rsid w:val="032C6A46"/>
    <w:rsid w:val="03B55433"/>
    <w:rsid w:val="04706EA3"/>
    <w:rsid w:val="053A64A5"/>
    <w:rsid w:val="06E238A5"/>
    <w:rsid w:val="070E527F"/>
    <w:rsid w:val="070F7027"/>
    <w:rsid w:val="076704FD"/>
    <w:rsid w:val="08461CA3"/>
    <w:rsid w:val="0A2D6324"/>
    <w:rsid w:val="0A6C5760"/>
    <w:rsid w:val="0B35692F"/>
    <w:rsid w:val="0B4456D1"/>
    <w:rsid w:val="0B7A735E"/>
    <w:rsid w:val="0BAD1FAB"/>
    <w:rsid w:val="0BE1742C"/>
    <w:rsid w:val="0D1F0CED"/>
    <w:rsid w:val="0F336590"/>
    <w:rsid w:val="0F95719B"/>
    <w:rsid w:val="0FE131A1"/>
    <w:rsid w:val="10BF0BFF"/>
    <w:rsid w:val="11A73770"/>
    <w:rsid w:val="124226AB"/>
    <w:rsid w:val="126D73E5"/>
    <w:rsid w:val="129C1988"/>
    <w:rsid w:val="13785584"/>
    <w:rsid w:val="13A40095"/>
    <w:rsid w:val="14053C83"/>
    <w:rsid w:val="15C958A9"/>
    <w:rsid w:val="160E6113"/>
    <w:rsid w:val="163D2AB4"/>
    <w:rsid w:val="172A2DF8"/>
    <w:rsid w:val="17B005EC"/>
    <w:rsid w:val="185533C0"/>
    <w:rsid w:val="187E0EC3"/>
    <w:rsid w:val="18AB1F57"/>
    <w:rsid w:val="190653E0"/>
    <w:rsid w:val="197B53D3"/>
    <w:rsid w:val="1B726EB7"/>
    <w:rsid w:val="1C210334"/>
    <w:rsid w:val="1C964CCC"/>
    <w:rsid w:val="1CFC17D2"/>
    <w:rsid w:val="205A510F"/>
    <w:rsid w:val="21127D99"/>
    <w:rsid w:val="223D56C5"/>
    <w:rsid w:val="22C22819"/>
    <w:rsid w:val="238C1B63"/>
    <w:rsid w:val="246A3FA3"/>
    <w:rsid w:val="26E72CF4"/>
    <w:rsid w:val="27BA67BE"/>
    <w:rsid w:val="2976170C"/>
    <w:rsid w:val="2A104310"/>
    <w:rsid w:val="2A1A1904"/>
    <w:rsid w:val="2A4B3E74"/>
    <w:rsid w:val="2BA068F1"/>
    <w:rsid w:val="2BEF4B91"/>
    <w:rsid w:val="2C2A1457"/>
    <w:rsid w:val="2C892F3F"/>
    <w:rsid w:val="2CAE0A32"/>
    <w:rsid w:val="2D800A24"/>
    <w:rsid w:val="2FFC0AFB"/>
    <w:rsid w:val="302C0287"/>
    <w:rsid w:val="30845256"/>
    <w:rsid w:val="31A95387"/>
    <w:rsid w:val="31B31F93"/>
    <w:rsid w:val="31D9567C"/>
    <w:rsid w:val="321653A8"/>
    <w:rsid w:val="329C19A3"/>
    <w:rsid w:val="32F52701"/>
    <w:rsid w:val="340C1162"/>
    <w:rsid w:val="341A4C22"/>
    <w:rsid w:val="347B2CCE"/>
    <w:rsid w:val="352B3694"/>
    <w:rsid w:val="35D92A0D"/>
    <w:rsid w:val="363C0287"/>
    <w:rsid w:val="3654545B"/>
    <w:rsid w:val="36565190"/>
    <w:rsid w:val="366C2500"/>
    <w:rsid w:val="382C7B34"/>
    <w:rsid w:val="387303F9"/>
    <w:rsid w:val="3B0E3D0E"/>
    <w:rsid w:val="3BFC17F2"/>
    <w:rsid w:val="3CFD6976"/>
    <w:rsid w:val="3D5D42F6"/>
    <w:rsid w:val="3DB808BA"/>
    <w:rsid w:val="3F9E1169"/>
    <w:rsid w:val="4057312E"/>
    <w:rsid w:val="407A2ECB"/>
    <w:rsid w:val="418D6C3A"/>
    <w:rsid w:val="423806ED"/>
    <w:rsid w:val="428230B1"/>
    <w:rsid w:val="437A5877"/>
    <w:rsid w:val="43BB3CEC"/>
    <w:rsid w:val="44A91A1A"/>
    <w:rsid w:val="44D052C5"/>
    <w:rsid w:val="46AE1F3D"/>
    <w:rsid w:val="473C23B2"/>
    <w:rsid w:val="47781E40"/>
    <w:rsid w:val="48541414"/>
    <w:rsid w:val="4900762E"/>
    <w:rsid w:val="49703160"/>
    <w:rsid w:val="49E54A1A"/>
    <w:rsid w:val="4A6B0082"/>
    <w:rsid w:val="4AB56AE2"/>
    <w:rsid w:val="4AE7606F"/>
    <w:rsid w:val="4B6E7935"/>
    <w:rsid w:val="4E7E74BD"/>
    <w:rsid w:val="4E805B64"/>
    <w:rsid w:val="4F2D6443"/>
    <w:rsid w:val="4FC2745B"/>
    <w:rsid w:val="509A0D5C"/>
    <w:rsid w:val="52252BFC"/>
    <w:rsid w:val="527E5A0B"/>
    <w:rsid w:val="54D06548"/>
    <w:rsid w:val="54E753F5"/>
    <w:rsid w:val="55BFD96E"/>
    <w:rsid w:val="563F7F48"/>
    <w:rsid w:val="5779221D"/>
    <w:rsid w:val="57A7E030"/>
    <w:rsid w:val="57FC0E35"/>
    <w:rsid w:val="589B5008"/>
    <w:rsid w:val="58A326D8"/>
    <w:rsid w:val="59466376"/>
    <w:rsid w:val="5BB9B74C"/>
    <w:rsid w:val="5BF51433"/>
    <w:rsid w:val="5D90703C"/>
    <w:rsid w:val="5DC726C8"/>
    <w:rsid w:val="5DFFC1B9"/>
    <w:rsid w:val="5FE64BF0"/>
    <w:rsid w:val="5FFF8D5C"/>
    <w:rsid w:val="623151CA"/>
    <w:rsid w:val="64DB7056"/>
    <w:rsid w:val="66982F4F"/>
    <w:rsid w:val="6888651F"/>
    <w:rsid w:val="6894168D"/>
    <w:rsid w:val="69B52798"/>
    <w:rsid w:val="6A7451AD"/>
    <w:rsid w:val="6AC14C27"/>
    <w:rsid w:val="6BC41409"/>
    <w:rsid w:val="6C030E4B"/>
    <w:rsid w:val="6C5C62E3"/>
    <w:rsid w:val="6CAB30BC"/>
    <w:rsid w:val="6CED51AD"/>
    <w:rsid w:val="6FCC3E6E"/>
    <w:rsid w:val="6FEFB7EB"/>
    <w:rsid w:val="70471D6E"/>
    <w:rsid w:val="70722C32"/>
    <w:rsid w:val="71A60C9D"/>
    <w:rsid w:val="71D6011D"/>
    <w:rsid w:val="72694444"/>
    <w:rsid w:val="73A0155B"/>
    <w:rsid w:val="73B5540C"/>
    <w:rsid w:val="74F90479"/>
    <w:rsid w:val="756B6F94"/>
    <w:rsid w:val="76030A1B"/>
    <w:rsid w:val="7625601A"/>
    <w:rsid w:val="77BF249E"/>
    <w:rsid w:val="78D33F7B"/>
    <w:rsid w:val="78DF4D2C"/>
    <w:rsid w:val="798E36E0"/>
    <w:rsid w:val="7C1A6A34"/>
    <w:rsid w:val="7CBE4AD3"/>
    <w:rsid w:val="7CFD4A23"/>
    <w:rsid w:val="7D1C7CE5"/>
    <w:rsid w:val="7EF97BE0"/>
    <w:rsid w:val="7F363046"/>
    <w:rsid w:val="7F7D2039"/>
    <w:rsid w:val="8EFFBC18"/>
    <w:rsid w:val="AE7BEAE2"/>
    <w:rsid w:val="CBB6D5C4"/>
    <w:rsid w:val="D7EFA507"/>
    <w:rsid w:val="DFC7C62E"/>
    <w:rsid w:val="F2D6B3FD"/>
    <w:rsid w:val="F5FD10E8"/>
    <w:rsid w:val="F7F57DE0"/>
    <w:rsid w:val="FBEB1F76"/>
    <w:rsid w:val="FDBDFE0B"/>
    <w:rsid w:val="FE97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3219</Words>
  <Characters>3353</Characters>
  <Lines>0</Lines>
  <Paragraphs>0</Paragraphs>
  <TotalTime>0</TotalTime>
  <ScaleCrop>false</ScaleCrop>
  <LinksUpToDate>false</LinksUpToDate>
  <CharactersWithSpaces>3354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2025-07-05T02:47:00Z</dcterms:created>
  <dc:creator>黄佩琳</dc:creator>
  <cp:lastModifiedBy>黎俊</cp:lastModifiedBy>
  <cp:lastPrinted>2026-03-15T06:46:00Z</cp:lastPrinted>
  <dcterms:modified xsi:type="dcterms:W3CDTF">2026-06-29T12:17:27Z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6103E17EB70A45DABC00AC5A8C6DEA0B_13</vt:lpwstr>
  </property>
  <property fmtid="{D5CDD505-2E9C-101B-9397-08002B2CF9AE}" pid="4" name="KSOTemplateDocerSaveRecord">
    <vt:lpwstr>eyJoZGlkIjoiNTIyMTVkNWMyNjg0MmY3ZTZkZGYyNGZiNGI3MzdhYTgiLCJ1c2VySWQiOiI1NzU3NDk0NDQifQ==</vt:lpwstr>
  </property>
</Properties>
</file>