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0" w:name="_Toc13216"/>
      <w:bookmarkStart w:id="1" w:name="_Toc125127182"/>
      <w:bookmarkStart w:id="2" w:name="_Toc5810"/>
      <w:bookmarkStart w:id="3" w:name="_Toc32562"/>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附件4</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000000" w:themeColor="text1"/>
          <w:kern w:val="0"/>
          <w:sz w:val="44"/>
          <w:szCs w:val="44"/>
          <w:highlight w:val="none"/>
          <w:lang w:val="en-US" w:eastAsia="zh-CN" w:bidi="ar-SA"/>
          <w14:textFill>
            <w14:solidFill>
              <w14:schemeClr w14:val="tx1"/>
            </w14:solidFill>
          </w14:textFill>
        </w:rPr>
      </w:pP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2026年中央资金深圳市消费新业态新模式新场景试点（支持创新多元化服务消费场景</w:t>
      </w:r>
      <w:r>
        <w:rPr>
          <w:rFonts w:hint="default"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w:t>
      </w: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重点赛事活动“进商圈、进街区、进景区”资助</w:t>
      </w:r>
      <w:r>
        <w:rPr>
          <w:rFonts w:hint="default"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项目</w:t>
      </w: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000000" w:themeColor="text1"/>
          <w:kern w:val="2"/>
          <w:sz w:val="36"/>
          <w:szCs w:val="36"/>
          <w:highlight w:val="none"/>
          <w:lang w:val="en-US" w:eastAsia="zh-CN" w:bidi="ar-SA"/>
          <w14:textFill>
            <w14:solidFill>
              <w14:schemeClr w14:val="tx1"/>
            </w14:solidFill>
          </w14:textFill>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pPr>
      <w:bookmarkStart w:id="4" w:name="_Toc24194"/>
      <w:bookmarkStart w:id="5" w:name="_Toc20798"/>
      <w:r>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t>支持领域</w:t>
      </w:r>
      <w:bookmarkEnd w:id="4"/>
      <w:bookmarkEnd w:id="5"/>
    </w:p>
    <w:p>
      <w:pPr>
        <w:bidi w:val="0"/>
        <w:spacing w:before="0" w:after="0" w:line="560" w:lineRule="exact"/>
        <w:ind w:firstLine="640"/>
        <w:rPr>
          <w:rFonts w:hint="eastAsia"/>
          <w:color w:val="auto"/>
          <w:highlight w:val="none"/>
          <w:lang w:val="en-US" w:eastAsia="zh-CN"/>
        </w:rPr>
      </w:pPr>
      <w:r>
        <w:rPr>
          <w:rStyle w:val="19"/>
          <w:rFonts w:hint="eastAsia" w:ascii="仿宋_GB2312" w:hAnsi="仿宋_GB2312" w:eastAsia="仿宋_GB2312" w:cs="仿宋_GB2312"/>
          <w:color w:val="auto"/>
          <w:sz w:val="32"/>
          <w:szCs w:val="32"/>
          <w:highlight w:val="none"/>
          <w:lang w:val="en-US" w:eastAsia="zh-CN"/>
        </w:rPr>
        <w:t>支持重点赛事活动“进商圈、进街区、进景区”。</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6" w:name="_Toc15437"/>
      <w:bookmarkStart w:id="7" w:name="_Toc8852"/>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Times New Roman"/>
          <w:color w:val="000000" w:themeColor="text1"/>
          <w:sz w:val="32"/>
          <w:szCs w:val="32"/>
          <w:highlight w:val="none"/>
          <w:lang w:eastAsia="zh-CN"/>
          <w14:textFill>
            <w14:solidFill>
              <w14:schemeClr w14:val="tx1"/>
            </w14:solidFill>
          </w14:textFill>
        </w:rPr>
        <w:t>根据</w:t>
      </w:r>
      <w:r>
        <w:rPr>
          <w:rFonts w:hint="eastAsia" w:cs="Times New Roman"/>
          <w:color w:val="000000" w:themeColor="text1"/>
          <w:sz w:val="32"/>
          <w:szCs w:val="32"/>
          <w:highlight w:val="none"/>
          <w:lang w:eastAsia="zh-CN"/>
          <w14:textFill>
            <w14:solidFill>
              <w14:schemeClr w14:val="tx1"/>
            </w14:solidFill>
          </w14:textFill>
        </w:rPr>
        <w:t>《财政部 商务部关于开展消费新业态新模式新场景试点工作的通知</w:t>
      </w:r>
      <w:r>
        <w:rPr>
          <w:rFonts w:hint="eastAsia" w:cs="Times New Roman"/>
          <w:color w:val="000000" w:themeColor="text1"/>
          <w:sz w:val="32"/>
          <w:szCs w:val="32"/>
          <w:highlight w:val="none"/>
          <w:lang w:val="en-US" w:eastAsia="zh-CN"/>
          <w14:textFill>
            <w14:solidFill>
              <w14:schemeClr w14:val="tx1"/>
            </w14:solidFill>
          </w14:textFill>
        </w:rPr>
        <w:t>财建〔2025〕341号</w:t>
      </w:r>
      <w:r>
        <w:rPr>
          <w:rFonts w:hint="eastAsia" w:cs="Times New Roman"/>
          <w:color w:val="000000" w:themeColor="text1"/>
          <w:sz w:val="32"/>
          <w:szCs w:val="32"/>
          <w:highlight w:val="none"/>
          <w:lang w:eastAsia="zh-CN"/>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等</w:t>
      </w:r>
      <w:r>
        <w:rPr>
          <w:rFonts w:hint="default" w:ascii="仿宋_GB2312" w:hAnsi="仿宋_GB2312" w:eastAsia="仿宋_GB2312" w:cs="Times New Roman"/>
          <w:color w:val="000000" w:themeColor="text1"/>
          <w:sz w:val="32"/>
          <w:szCs w:val="32"/>
          <w:highlight w:val="none"/>
          <w:lang w:eastAsia="zh-CN"/>
          <w14:textFill>
            <w14:solidFill>
              <w14:schemeClr w14:val="tx1"/>
            </w14:solidFill>
          </w14:textFill>
        </w:rPr>
        <w:t>相关文件设定</w:t>
      </w:r>
      <w:r>
        <w:rPr>
          <w:rFonts w:hint="eastAsia" w:ascii="仿宋_GB2312" w:hAnsi="仿宋_GB2312" w:eastAsia="宋体"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（二）资金管理依据</w:t>
      </w:r>
    </w:p>
    <w:p>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highlight w:val="none"/>
          <w:lang w:val="en-US" w:eastAsia="zh-CN"/>
          <w14:textFill>
            <w14:solidFill>
              <w14:schemeClr w14:val="tx1"/>
            </w14:solidFill>
          </w14:textFill>
        </w:rPr>
        <w:t>《深圳市消费新业态新模式新场景试点城市建设资金管理办法》</w:t>
      </w:r>
    </w:p>
    <w:p>
      <w:pPr>
        <w:bidi w:val="0"/>
        <w:rPr>
          <w:rFonts w:hint="eastAsia"/>
          <w:color w:val="000000" w:themeColor="text1"/>
          <w:highlight w:val="none"/>
          <w:u w:val="singl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8" w:name="_Toc21755"/>
      <w:bookmarkStart w:id="9" w:name="_Toc18411"/>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（一）支持数量</w:t>
      </w:r>
    </w:p>
    <w:p>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有数量限制，受财政下达年度资金预算控制，视申报情况，我局据以对</w:t>
      </w:r>
      <w:r>
        <w:rPr>
          <w:rFonts w:hint="eastAsia"/>
          <w:color w:val="000000" w:themeColor="text1"/>
          <w:highlight w:val="none"/>
          <w:lang w:val="en-US" w:eastAsia="zh-CN"/>
          <w14:textFill>
            <w14:solidFill>
              <w14:schemeClr w14:val="tx1"/>
            </w14:solidFill>
          </w14:textFill>
        </w:rPr>
        <w:t>资助</w:t>
      </w:r>
      <w:r>
        <w:rPr>
          <w:rFonts w:hint="eastAsia" w:ascii="仿宋_GB2312" w:eastAsia="仿宋_GB2312"/>
          <w:color w:val="000000" w:themeColor="text1"/>
          <w:highlight w:val="none"/>
          <w:lang w:val="en-US" w:eastAsia="zh-CN"/>
          <w14:textFill>
            <w14:solidFill>
              <w14:schemeClr w14:val="tx1"/>
            </w14:solidFill>
          </w14:textFill>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（二）支持方式</w:t>
      </w:r>
    </w:p>
    <w:p>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0" w:name="_Toc15307"/>
      <w:bookmarkStart w:id="11" w:name="_Toc431"/>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1.申报单位为在深圳市实际从事经营活动的企业、事业单位。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2.申报单位应为消费新业态新模式新场景试点项目（即申报项目）的实际建设或运营主体，项目所在地应在深圳市（含深汕特别合作区，下同）。</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3.申报单位未被国家、省、市有关部门列入严重失信主体名单实施失信惩戒，未被明确限制申请财政性资金项目且在限制期内；未拖欠应缴还的财政性资金。</w:t>
      </w:r>
    </w:p>
    <w:p>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6.申报单位不存在将本属于同一性质内涵与建设内容的资助项目刻意分拆成两个项目的情形。同一项目不得重复申请多个支持方向。</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7.申报单位须配合开展消费新业态新模式新场景试点工作，报送工作进展及相关数据。</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8.项目资助金额不得超过项目实际有效总投入的50%，同一项目中央、省、市、区资助合计不超过项目实际投入。</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（二）专项条件</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申报项目须同时满足以下条件：</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1.赛事活动周期持续1个月以上；</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2.在深举办场次不少于6场；</w:t>
      </w:r>
    </w:p>
    <w:p>
      <w:pPr>
        <w:pStyle w:val="35"/>
        <w:bidi w:val="0"/>
        <w:ind w:firstLine="64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3.进场观众人数1万人次以上。</w:t>
      </w:r>
    </w:p>
    <w:p>
      <w:pPr>
        <w:pStyle w:val="35"/>
        <w:bidi w:val="0"/>
        <w:ind w:firstLine="640" w:firstLineChars="200"/>
        <w:rPr>
          <w:rStyle w:val="19"/>
          <w:rFonts w:hint="eastAsia" w:ascii="仿宋_GB2312" w:hAnsi="仿宋" w:eastAsia="仿宋_GB2312" w:cs="宋体"/>
          <w:bCs/>
          <w:color w:val="auto"/>
          <w:kern w:val="36"/>
          <w:sz w:val="32"/>
          <w:szCs w:val="32"/>
          <w:highlight w:val="none"/>
          <w:lang w:eastAsia="zh-CN"/>
        </w:rPr>
      </w:pP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Style w:val="19"/>
          <w:rFonts w:hint="default" w:ascii="仿宋_GB2312" w:hAnsi="仿宋_GB2312" w:eastAsia="仿宋_GB2312" w:cs="仿宋_GB2312"/>
          <w:color w:val="auto"/>
          <w:sz w:val="32"/>
          <w:szCs w:val="32"/>
          <w:highlight w:val="none"/>
          <w:lang w:val="en-US" w:eastAsia="zh-CN"/>
        </w:rPr>
        <w:t>不支持发放消费券、优惠补贴、宣传推广等</w:t>
      </w:r>
      <w:r>
        <w:rPr>
          <w:rStyle w:val="19"/>
          <w:rFonts w:hint="eastAsia" w:ascii="仿宋_GB2312" w:hAnsi="仿宋_GB2312" w:eastAsia="仿宋_GB2312" w:cs="仿宋_GB2312"/>
          <w:color w:val="auto"/>
          <w:sz w:val="32"/>
          <w:szCs w:val="32"/>
          <w:highlight w:val="none"/>
          <w:lang w:val="en-US" w:eastAsia="zh-CN"/>
        </w:rPr>
        <w:t>投入</w:t>
      </w:r>
      <w:r>
        <w:rPr>
          <w:rStyle w:val="19"/>
          <w:rFonts w:hint="default" w:ascii="仿宋_GB2312" w:hAnsi="仿宋_GB2312" w:eastAsia="仿宋_GB2312" w:cs="仿宋_GB2312"/>
          <w:color w:val="auto"/>
          <w:sz w:val="32"/>
          <w:szCs w:val="32"/>
          <w:highlight w:val="none"/>
          <w:lang w:val="en-US" w:eastAsia="zh-CN"/>
        </w:rPr>
        <w:t>；不支持政府举办的促消费活动，不支持企业举办的促销推广活动；不支持短期开展的活动或临时搭建的消费场景，不支持存续时间少于一个月的消费场景；不支持单纯的商品消费、单一传统业态的消费场景</w:t>
      </w:r>
      <w:bookmarkStart w:id="40" w:name="_GoBack"/>
      <w:bookmarkEnd w:id="40"/>
      <w:r>
        <w:rPr>
          <w:rStyle w:val="19"/>
          <w:rFonts w:hint="default" w:ascii="仿宋_GB2312" w:hAnsi="仿宋_GB2312" w:eastAsia="仿宋_GB2312" w:cs="仿宋_GB2312"/>
          <w:color w:val="auto"/>
          <w:sz w:val="32"/>
          <w:szCs w:val="32"/>
          <w:highlight w:val="none"/>
          <w:lang w:val="en-US" w:eastAsia="zh-CN"/>
        </w:rPr>
        <w:t>以及无消费内容的项目。</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2" w:name="_Toc7095"/>
      <w:bookmarkStart w:id="13" w:name="_Toc31102"/>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支持标准</w:t>
      </w:r>
      <w:bookmarkEnd w:id="12"/>
      <w:bookmarkEnd w:id="13"/>
    </w:p>
    <w:p>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支持重点赛事活动“进商圈、进街区、进景区”</w:t>
      </w:r>
      <w:r>
        <w:rPr>
          <w:rFonts w:hint="eastAsia"/>
          <w:color w:val="000000" w:themeColor="text1"/>
          <w:highlight w:val="none"/>
          <w:lang w:val="en-US" w:eastAsia="zh-CN"/>
          <w14:textFill>
            <w14:solidFill>
              <w14:schemeClr w14:val="tx1"/>
            </w14:solidFill>
          </w14:textFill>
        </w:rPr>
        <w:t>，按项目相关的实际有效投入的2</w:t>
      </w:r>
      <w:r>
        <w:rPr>
          <w:rFonts w:hint="eastAsia" w:ascii="仿宋_GB2312" w:eastAsia="仿宋_GB2312"/>
          <w:color w:val="000000" w:themeColor="text1"/>
          <w:highlight w:val="none"/>
          <w:lang w:val="en-US" w:eastAsia="zh-CN"/>
          <w14:textFill>
            <w14:solidFill>
              <w14:schemeClr w14:val="tx1"/>
            </w14:solidFill>
          </w14:textFill>
        </w:rPr>
        <w:t>0%给予主办单位资助，试点期间最高不超过200万元。</w:t>
      </w:r>
    </w:p>
    <w:p>
      <w:pPr>
        <w:pStyle w:val="35"/>
        <w:bidi w:val="0"/>
        <w:ind w:firstLine="640" w:firstLineChars="200"/>
        <w:jc w:val="both"/>
        <w:rPr>
          <w:rStyle w:val="19"/>
          <w:rFonts w:hint="eastAsia" w:ascii="仿宋_GB2312" w:hAnsi="仿宋" w:eastAsia="仿宋_GB2312" w:cs="宋体"/>
          <w:bCs/>
          <w:color w:val="auto"/>
          <w:kern w:val="36"/>
          <w:sz w:val="32"/>
          <w:szCs w:val="32"/>
          <w:highlight w:val="none"/>
          <w:lang w:val="en-US" w:eastAsia="zh-CN"/>
        </w:rPr>
      </w:pPr>
      <w:r>
        <w:rPr>
          <w:rStyle w:val="19"/>
          <w:rFonts w:hint="eastAsia"/>
          <w:color w:val="auto"/>
          <w:sz w:val="32"/>
          <w:szCs w:val="32"/>
          <w:highlight w:val="none"/>
          <w:lang w:eastAsia="zh-CN"/>
        </w:rPr>
        <w:t>实际有效投入是指2025年9月30日以来至申报日，赛事活动主办单位在深举办的赛事活动已完成或阶段性完成赛事有关投入，不包含</w:t>
      </w:r>
      <w:r>
        <w:rPr>
          <w:rFonts w:hint="eastAsia"/>
          <w:color w:val="000000" w:themeColor="text1"/>
          <w:highlight w:val="none"/>
          <w:lang w:val="en-US" w:eastAsia="zh-CN"/>
          <w14:textFill>
            <w14:solidFill>
              <w14:schemeClr w14:val="tx1"/>
            </w14:solidFill>
          </w14:textFill>
        </w:rPr>
        <w:t>各级财政投资部分，以及</w:t>
      </w:r>
      <w:r>
        <w:rPr>
          <w:rStyle w:val="19"/>
          <w:rFonts w:hint="eastAsia"/>
          <w:color w:val="auto"/>
          <w:sz w:val="32"/>
          <w:szCs w:val="32"/>
          <w:highlight w:val="none"/>
          <w:lang w:eastAsia="zh-CN"/>
        </w:rPr>
        <w:t>第四</w:t>
      </w:r>
      <w:r>
        <w:rPr>
          <w:rFonts w:hint="eastAsia"/>
          <w:color w:val="000000" w:themeColor="text1"/>
          <w:highlight w:val="none"/>
          <w:lang w:val="en-US" w:eastAsia="zh-CN"/>
          <w14:textFill>
            <w14:solidFill>
              <w14:schemeClr w14:val="tx1"/>
            </w14:solidFill>
          </w14:textFill>
        </w:rPr>
        <w:t>点第（二）条</w:t>
      </w:r>
      <w:r>
        <w:rPr>
          <w:rStyle w:val="19"/>
          <w:rFonts w:hint="eastAsia"/>
          <w:color w:val="auto"/>
          <w:sz w:val="32"/>
          <w:szCs w:val="32"/>
          <w:highlight w:val="none"/>
          <w:lang w:eastAsia="zh-CN"/>
        </w:rPr>
        <w:t>专项条件中不予支持部分。符合条件的项目，可将已落地或有阶段性成果相关投入部分申请资助，后续另有符合条件投入可再次以该项目申报，同一项目不受项目数限制。</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4" w:name="_Toc7147"/>
      <w:bookmarkStart w:id="15" w:name="_Toc27028"/>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（一）</w:t>
      </w: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基本材料清单</w:t>
      </w:r>
    </w:p>
    <w:p>
      <w:pPr>
        <w:bidi w:val="0"/>
        <w:rPr>
          <w:rFonts w:hint="default" w:ascii="楷体" w:hAnsi="楷体" w:eastAsia="楷体_GB2312" w:cstheme="majorBidi"/>
          <w:bCs/>
          <w:color w:val="000000" w:themeColor="text1"/>
          <w:kern w:val="2"/>
          <w:szCs w:val="32"/>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请各项目申报单位填写并提交《项目申报书》，具体材料如下：</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资金项目申请书。申报单位按照申报材料要求编写项目申请书并提供相关证明材料，登录前海企业服务一体化平台在线下载填报申请书（网址：https://qhsk.sz.gov.cn/—选择“领补贴”—商贸物流—“消费新业态新模式新场景试点（支持创新多元化服务消费场景—重点赛事活动“进商圈、进街区、进景区”资助项目）事项”—点击“</w:t>
      </w:r>
      <w:r>
        <w:rPr>
          <w:rFonts w:hint="eastAsia"/>
          <w:highlight w:val="none"/>
          <w:lang w:val="en-US" w:eastAsia="zh-CN"/>
        </w:rPr>
        <w:t>一键申报</w:t>
      </w:r>
      <w:r>
        <w:rPr>
          <w:rFonts w:hint="default"/>
          <w:color w:val="000000" w:themeColor="text1"/>
          <w:highlight w:val="none"/>
          <w:lang w:val="en-US" w:eastAsia="zh-CN"/>
          <w14:textFill>
            <w14:solidFill>
              <w14:schemeClr w14:val="tx1"/>
            </w14:solidFill>
          </w14:textFill>
        </w:rPr>
        <w:t>”—登录后按要求填报并上传申请材料—点击提交），初审通过后提供申请书纸质文件原件并将本指南第六条要求的项目申报材料一并线下或通过邮寄方式递交至前海e站通政务服务中心（深圳市前海合作区前湾一路19号）。</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2.申报单位营业执照或统一社会信用代码证书复印件</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3.单位信用报告。“信用中国”查询截图、国家企业信用信息公示系统下载的企业信用报告</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（二）专项材料清单</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1.各申报单位应按照下表要求完整提交对应佐证材料：</w:t>
      </w:r>
    </w:p>
    <w:tbl>
      <w:tblPr>
        <w:tblStyle w:val="18"/>
        <w:tblW w:w="91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3"/>
        <w:gridCol w:w="2472"/>
        <w:gridCol w:w="5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t>类别</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t>专项条件</w:t>
            </w:r>
          </w:p>
        </w:tc>
        <w:tc>
          <w:tcPr>
            <w:tcW w:w="5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t>佐证材料</w:t>
            </w:r>
            <w:r>
              <w:rPr>
                <w:rFonts w:hint="eastAsia" w:hAnsi="宋体" w:cs="仿宋_GB2312"/>
                <w:b/>
                <w:bCs/>
                <w:i w:val="0"/>
                <w:iCs w:val="0"/>
                <w:color w:val="000000" w:themeColor="text1"/>
                <w:kern w:val="0"/>
                <w:sz w:val="24"/>
                <w:szCs w:val="24"/>
                <w:highlight w:val="none"/>
                <w:u w:val="none"/>
                <w:lang w:val="en-US" w:eastAsia="zh-CN" w:bidi="ar"/>
                <w14:textFill>
                  <w14:solidFill>
                    <w14:schemeClr w14:val="tx1"/>
                  </w14:solidFill>
                </w14:textFill>
              </w:rPr>
              <w:t>参考</w:t>
            </w: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left"/>
              <w:textAlignment w:val="cente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宋体" w:cs="仿宋_GB2312"/>
                <w:i w:val="0"/>
                <w:iCs w:val="0"/>
                <w:color w:val="000000" w:themeColor="text1"/>
                <w:kern w:val="0"/>
                <w:sz w:val="24"/>
                <w:szCs w:val="24"/>
                <w:highlight w:val="none"/>
                <w:u w:val="none"/>
                <w:lang w:val="en-US" w:eastAsia="zh-CN" w:bidi="ar"/>
                <w14:textFill>
                  <w14:solidFill>
                    <w14:schemeClr w14:val="tx1"/>
                  </w14:solidFill>
                </w14:textFill>
              </w:rPr>
              <w:t>赛事周期</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left"/>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赛事活动周期持续1个月</w:t>
            </w:r>
          </w:p>
        </w:tc>
        <w:tc>
          <w:tcPr>
            <w:tcW w:w="51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赛程表（明确起止时间）、在深各场次安排、累计天数核算说明等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left"/>
              <w:textAlignment w:val="center"/>
              <w:rPr>
                <w:rFonts w:hint="default" w:ascii="仿宋_GB2312" w:hAnsi="宋体" w:eastAsia="仿宋_GB2312" w:cs="仿宋_GB2312"/>
                <w:i w:val="0"/>
                <w:iCs w:val="0"/>
                <w:color w:val="000000" w:themeColor="text1"/>
                <w:kern w:val="0"/>
                <w:sz w:val="24"/>
                <w:szCs w:val="24"/>
                <w:highlight w:val="none"/>
                <w:u w:val="none"/>
                <w:lang w:bidi="ar"/>
                <w14:textFill>
                  <w14:solidFill>
                    <w14:schemeClr w14:val="tx1"/>
                  </w14:solidFill>
                </w14:textFill>
              </w:rPr>
            </w:pPr>
            <w:r>
              <w:rPr>
                <w:rFonts w:hint="eastAsia" w:hAnsi="宋体" w:cs="仿宋_GB2312"/>
                <w:i w:val="0"/>
                <w:iCs w:val="0"/>
                <w:color w:val="000000" w:themeColor="text1"/>
                <w:kern w:val="0"/>
                <w:sz w:val="24"/>
                <w:szCs w:val="24"/>
                <w:highlight w:val="none"/>
                <w:u w:val="none"/>
                <w:lang w:val="en-US" w:eastAsia="zh-CN" w:bidi="ar"/>
                <w14:textFill>
                  <w14:solidFill>
                    <w14:schemeClr w14:val="tx1"/>
                  </w14:solidFill>
                </w14:textFill>
              </w:rPr>
              <w:t>举办场次</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left"/>
              <w:textAlignment w:val="center"/>
              <w:rPr>
                <w:rFonts w:hint="eastAsia" w:ascii="仿宋_GB2312" w:hAnsi="宋体" w:eastAsia="仿宋_GB2312" w:cs="仿宋_GB2312"/>
                <w:i w:val="0"/>
                <w:iCs w:val="0"/>
                <w:color w:val="000000" w:themeColor="text1"/>
                <w:kern w:val="0"/>
                <w:sz w:val="24"/>
                <w:szCs w:val="24"/>
                <w:highlight w:val="none"/>
                <w:u w:val="none"/>
                <w:lang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在深举办场次不少于6场</w:t>
            </w:r>
          </w:p>
        </w:tc>
        <w:tc>
          <w:tcPr>
            <w:tcW w:w="516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left"/>
              <w:textAlignment w:val="center"/>
              <w:rPr>
                <w:rFonts w:hint="eastAsia"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观众规模</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进场观众人数1万人次以上（可多场次累计）</w:t>
            </w:r>
          </w:p>
        </w:tc>
        <w:tc>
          <w:tcPr>
            <w:tcW w:w="5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线下观众累计核算表、票务记录等</w:t>
            </w:r>
          </w:p>
        </w:tc>
      </w:tr>
    </w:tbl>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2.项目成效总结（模板详见项目申报书）。</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专项资金项目投入明细表</w:t>
      </w:r>
      <w:r>
        <w:rPr>
          <w:rFonts w:hint="eastAsia"/>
          <w:color w:val="000000" w:themeColor="text1"/>
          <w:highlight w:val="none"/>
          <w:lang w:val="en-US" w:eastAsia="zh-CN"/>
          <w14:textFill>
            <w14:solidFill>
              <w14:schemeClr w14:val="tx1"/>
            </w14:solidFill>
          </w14:textFill>
        </w:rPr>
        <w:t>及佐证材料（详见项目申报书）。</w:t>
      </w:r>
    </w:p>
    <w:p>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以上申报材料按顺序一式</w:t>
      </w:r>
      <w:r>
        <w:rPr>
          <w:rFonts w:hint="eastAsia"/>
          <w:color w:val="000000" w:themeColor="text1"/>
          <w:highlight w:val="none"/>
          <w:lang w:val="en-US" w:eastAsia="zh-CN"/>
          <w14:textFill>
            <w14:solidFill>
              <w14:schemeClr w14:val="tx1"/>
            </w14:solidFill>
          </w14:textFill>
        </w:rPr>
        <w:t>四</w:t>
      </w:r>
      <w:r>
        <w:rPr>
          <w:rFonts w:hint="default"/>
          <w:color w:val="000000" w:themeColor="text1"/>
          <w:highlight w:val="none"/>
          <w:lang w:val="en-US" w:eastAsia="zh-CN"/>
          <w14:textFill>
            <w14:solidFill>
              <w14:schemeClr w14:val="tx1"/>
            </w14:solidFill>
          </w14:textFill>
        </w:rPr>
        <w:t>份（附可编辑电子版和PDF扫描件）装订成册，在封面加盖单位公章并加盖骑缝章（其中，申报</w:t>
      </w:r>
      <w:r>
        <w:rPr>
          <w:rFonts w:hint="eastAsia" w:ascii="仿宋_GB2312" w:eastAsia="仿宋_GB2312"/>
          <w:color w:val="000000" w:themeColor="text1"/>
          <w:highlight w:val="none"/>
          <w:lang w:val="en-US" w:eastAsia="zh-CN"/>
          <w14:textFill>
            <w14:solidFill>
              <w14:schemeClr w14:val="tx1"/>
            </w14:solidFill>
          </w14:textFill>
        </w:rPr>
        <w:t>指引</w:t>
      </w:r>
      <w:r>
        <w:rPr>
          <w:rFonts w:hint="default"/>
          <w:color w:val="000000" w:themeColor="text1"/>
          <w:highlight w:val="none"/>
          <w:lang w:val="en-US" w:eastAsia="zh-CN"/>
          <w14:textFill>
            <w14:solidFill>
              <w14:schemeClr w14:val="tx1"/>
            </w14:solidFill>
          </w14:textFill>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6" w:name="_Toc5711"/>
      <w:bookmarkStart w:id="17" w:name="_Toc19526"/>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七、申请表格</w:t>
      </w:r>
      <w:bookmarkEnd w:id="16"/>
      <w:bookmarkEnd w:id="17"/>
    </w:p>
    <w:p>
      <w:pPr>
        <w:bidi w:val="0"/>
        <w:rPr>
          <w:rFonts w:hint="eastAsia" w:ascii="仿宋_GB2312" w:hAnsi="Calibri"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Calibri" w:eastAsia="仿宋_GB2312" w:cs="Times New Roman"/>
          <w:color w:val="000000" w:themeColor="text1"/>
          <w:sz w:val="32"/>
          <w:szCs w:val="32"/>
          <w:highlight w:val="none"/>
          <w:lang w:val="en-US" w:eastAsia="zh-CN"/>
          <w14:textFill>
            <w14:solidFill>
              <w14:schemeClr w14:val="tx1"/>
            </w14:solidFill>
          </w14:textFill>
        </w:rPr>
        <w:t>本指南第六条（一）规定登录前海企业服务一体化平台在线填报申请书，网址：https://qhsk.sz.gov.cn/。</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8" w:name="_Toc13760"/>
      <w:bookmarkStart w:id="19" w:name="_Toc20121"/>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（一）受理机关</w:t>
      </w:r>
    </w:p>
    <w:p>
      <w:pPr>
        <w:bidi w:val="0"/>
        <w:spacing w:before="0" w:after="0"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u w:val="none"/>
          <w:lang w:val="en-US" w:eastAsia="zh-CN"/>
          <w14:textFill>
            <w14:solidFill>
              <w14:schemeClr w14:val="tx1"/>
            </w14:solidFill>
          </w14:textFill>
        </w:rPr>
        <w:t>深圳市前海管理局</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（二）受理时间</w:t>
      </w:r>
    </w:p>
    <w:p>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1.网络填报时间：202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29</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31</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r>
        <w:rPr>
          <w:rFonts w:hint="eastAsia" w:hAnsi="宋体" w:cs="宋体"/>
          <w:color w:val="000000" w:themeColor="text1"/>
          <w:kern w:val="0"/>
          <w:sz w:val="32"/>
          <w:szCs w:val="32"/>
          <w:highlight w:val="none"/>
          <w:lang w:val="en-US" w:eastAsia="zh-CN"/>
          <w14:textFill>
            <w14:solidFill>
              <w14:schemeClr w14:val="tx1"/>
            </w14:solidFill>
          </w14:textFill>
        </w:rPr>
        <w:t>。</w:t>
      </w:r>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2.材料提交时间：2026年</w:t>
      </w:r>
      <w:r>
        <w:rPr>
          <w:rFonts w:hint="eastAsia" w:hAnsi="宋体" w:cs="宋体"/>
          <w:color w:val="000000" w:themeColor="text1"/>
          <w:kern w:val="0"/>
          <w:sz w:val="32"/>
          <w:szCs w:val="32"/>
          <w:highlight w:val="none"/>
          <w:lang w:val="en-US" w:eastAsia="zh-CN"/>
          <w14:textFill>
            <w14:solidFill>
              <w14:schemeClr w14:val="tx1"/>
            </w14:solidFill>
          </w14:textFill>
        </w:rPr>
        <w:t>8</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1</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日-2026年</w:t>
      </w:r>
      <w:r>
        <w:rPr>
          <w:rFonts w:hint="eastAsia" w:hAnsi="宋体" w:cs="宋体"/>
          <w:color w:val="000000" w:themeColor="text1"/>
          <w:kern w:val="0"/>
          <w:sz w:val="32"/>
          <w:szCs w:val="32"/>
          <w:highlight w:val="none"/>
          <w:lang w:val="en-US" w:eastAsia="zh-CN"/>
          <w14:textFill>
            <w14:solidFill>
              <w14:schemeClr w14:val="tx1"/>
            </w14:solidFill>
          </w14:textFill>
        </w:rPr>
        <w:t>8</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31</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（三）受理地点</w:t>
      </w:r>
    </w:p>
    <w:p>
      <w:pPr>
        <w:bidi w:val="0"/>
        <w:spacing w:before="0" w:after="0"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u w:val="none"/>
          <w:lang w:eastAsia="zh-CN"/>
          <w14:textFill>
            <w14:solidFill>
              <w14:schemeClr w14:val="tx1"/>
            </w14:solidFill>
          </w14:textFill>
        </w:rPr>
        <w:t>深圳市前海合作区前湾一路19号前海e站通服务中心</w:t>
      </w:r>
    </w:p>
    <w:p>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（四）咨询电话</w:t>
      </w:r>
    </w:p>
    <w:p>
      <w:pPr>
        <w:bidi w:val="0"/>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cs="仿宋_GB2312"/>
          <w:color w:val="000000" w:themeColor="text1"/>
          <w:sz w:val="32"/>
          <w:szCs w:val="32"/>
          <w:highlight w:val="none"/>
          <w:u w:val="none"/>
          <w:lang w:val="en-US" w:eastAsia="zh-CN"/>
          <w14:textFill>
            <w14:solidFill>
              <w14:schemeClr w14:val="tx1"/>
            </w14:solidFill>
          </w14:textFill>
        </w:rPr>
        <w:t>0755-88105481</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0" w:name="_Toc9722"/>
      <w:bookmarkStart w:id="21" w:name="_Toc1376"/>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九、申请决定机关</w:t>
      </w:r>
      <w:bookmarkEnd w:id="20"/>
      <w:bookmarkEnd w:id="21"/>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bookmarkStart w:id="22" w:name="_Toc2137"/>
      <w:bookmarkStart w:id="23" w:name="_Toc125127183"/>
      <w:bookmarkStart w:id="24" w:name="_Toc10305"/>
      <w:bookmarkStart w:id="25" w:name="_Toc161850809"/>
      <w:r>
        <w:rPr>
          <w:rFonts w:hint="eastAsia" w:hAnsi="宋体" w:cs="宋体"/>
          <w:color w:val="000000" w:themeColor="text1"/>
          <w:kern w:val="0"/>
          <w:sz w:val="32"/>
          <w:szCs w:val="32"/>
          <w:highlight w:val="none"/>
          <w:u w:val="none"/>
          <w:lang w:val="en-US" w:eastAsia="zh-CN"/>
          <w14:textFill>
            <w14:solidFill>
              <w14:schemeClr w14:val="tx1"/>
            </w14:solidFill>
          </w14:textFill>
        </w:rPr>
        <w:t>深圳市前海管理局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6" w:name="_Toc16198"/>
      <w:bookmarkStart w:id="27" w:name="_Toc11274"/>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十、办理流程</w:t>
      </w:r>
      <w:bookmarkEnd w:id="26"/>
      <w:bookmarkEnd w:id="27"/>
    </w:p>
    <w:p>
      <w:pPr>
        <w:bidi w:val="0"/>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pPr>
      <w:r>
        <w:rPr>
          <w:rFonts w:hint="eastAsia" w:ascii="仿宋_GB2312" w:hAnsi="仿宋_GB2312" w:eastAsia="仿宋_GB2312" w:cs="Times New Roman"/>
          <w:color w:val="auto"/>
          <w:sz w:val="32"/>
          <w:szCs w:val="32"/>
          <w:highlight w:val="none"/>
          <w:lang w:val="en-US" w:eastAsia="zh-CN" w:bidi="ar"/>
        </w:rPr>
        <w:t>前海管理局发布申报指南——申报单位网上申报——前海管理局网上初审——申报单位向政务服务中心收文窗口提交申请材料——前海管理局开展形式审查——前海管理局开展资质审查——前海管理局组织专项审计——征求意见与综合核查——拟定资助计划——社会公示——下达资助计划——通知申报单位提交拨付资料——拨付资金。</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8" w:name="_Toc3693"/>
      <w:bookmarkStart w:id="29" w:name="_Toc28790"/>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十一、办理时限</w:t>
      </w:r>
      <w:bookmarkEnd w:id="28"/>
      <w:bookmarkEnd w:id="29"/>
    </w:p>
    <w:p>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30" w:name="_Toc29872"/>
      <w:bookmarkStart w:id="31" w:name="_Toc32254"/>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十二、证件及有效期</w:t>
      </w:r>
      <w:bookmarkEnd w:id="30"/>
      <w:bookmarkEnd w:id="31"/>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证件：无</w:t>
      </w:r>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2" w:name="_Toc17239"/>
      <w:bookmarkStart w:id="33" w:name="_Toc19920"/>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十三、证件的法律效力</w:t>
      </w:r>
      <w:bookmarkEnd w:id="32"/>
      <w:bookmarkEnd w:id="33"/>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4" w:name="_Toc7505"/>
      <w:bookmarkStart w:id="35" w:name="_Toc6842"/>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十四、收费</w:t>
      </w:r>
      <w:bookmarkEnd w:id="34"/>
      <w:bookmarkEnd w:id="35"/>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6" w:name="_Toc30475"/>
      <w:bookmarkStart w:id="37" w:name="_Toc30145"/>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十五、年审或年检</w:t>
      </w:r>
      <w:bookmarkEnd w:id="36"/>
      <w:bookmarkEnd w:id="37"/>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bookmarkStart w:id="38" w:name="_Toc20677"/>
      <w:bookmarkStart w:id="39" w:name="_Toc28762"/>
    </w:p>
    <w:p>
      <w:pPr>
        <w:bidi w:val="0"/>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十六、监督检查和补充说明</w:t>
      </w:r>
      <w:bookmarkEnd w:id="38"/>
      <w:bookmarkEnd w:id="39"/>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（一）申报单位应当按要求配合市、区两级商务部门和其他相关部门的监督检查，按要求做好项目资金管理、绩效评估等工作。</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（二）申报单位存在以下情形之一的，应当按要求将已获得的部分或全部财政专项资金退回国库，并按照有关规定处理；涉嫌犯罪的，依法移送有关机关处理：</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1.申报单位未履行或未完全履行申报承诺并经查证属实的。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2.申报单位不符合项目申报条件获得资助的。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3.申报单位存在利用不正当手段套取、骗取、盗取专项资金的。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4.审计、巡视、巡察等核查需要申报单位退回专项资金的。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5.其他按照有关规定需要退回资金的。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受理单位</w:t>
      </w:r>
      <w:r>
        <w:rPr>
          <w:rFonts w:hint="eastAsia"/>
          <w:color w:val="000000" w:themeColor="text1"/>
          <w:highlight w:val="none"/>
          <w14:textFill>
            <w14:solidFill>
              <w14:schemeClr w14:val="tx1"/>
            </w14:solidFill>
          </w14:textFill>
        </w:rPr>
        <w:t>从未委托任何单位和个人为申报单位代理专项资金扶持计划项目申报事宜</w:t>
      </w:r>
      <w:r>
        <w:rPr>
          <w:color w:val="000000" w:themeColor="text1"/>
          <w:highlight w:val="none"/>
          <w14:textFill>
            <w14:solidFill>
              <w14:schemeClr w14:val="tx1"/>
            </w14:solidFill>
          </w14:textFill>
        </w:rPr>
        <w:t>，申报单位应</w:t>
      </w:r>
      <w:r>
        <w:rPr>
          <w:rFonts w:hint="eastAsia"/>
          <w:color w:val="000000" w:themeColor="text1"/>
          <w:highlight w:val="none"/>
          <w14:textFill>
            <w14:solidFill>
              <w14:schemeClr w14:val="tx1"/>
            </w14:solidFill>
          </w14:textFill>
        </w:rPr>
        <w:t>自主申报。我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严格按照有关</w:t>
      </w:r>
      <w:r>
        <w:rPr>
          <w:color w:val="000000" w:themeColor="text1"/>
          <w:highlight w:val="none"/>
          <w14:textFill>
            <w14:solidFill>
              <w14:schemeClr w14:val="tx1"/>
            </w14:solidFill>
          </w14:textFill>
        </w:rPr>
        <w:t>规定</w:t>
      </w:r>
      <w:r>
        <w:rPr>
          <w:rFonts w:hint="eastAsia"/>
          <w:color w:val="000000" w:themeColor="text1"/>
          <w:highlight w:val="none"/>
          <w14:textFill>
            <w14:solidFill>
              <w14:schemeClr w14:val="tx1"/>
            </w14:solidFill>
          </w14:textFill>
        </w:rPr>
        <w:t>和程序受理申请，不收取任何费用。如有任何中介机构和个人假借我</w:t>
      </w:r>
      <w:r>
        <w:rPr>
          <w:rFonts w:hint="eastAsia"/>
          <w:color w:val="000000" w:themeColor="text1"/>
          <w:highlight w:val="none"/>
          <w:lang w:eastAsia="zh-CN"/>
          <w14:textFill>
            <w14:solidFill>
              <w14:schemeClr w14:val="tx1"/>
            </w14:solidFill>
          </w14:textFill>
        </w:rPr>
        <w:t>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工作人员名义向申报单位收取费用的，请向我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举报</w:t>
      </w:r>
      <w:r>
        <w:rPr>
          <w:rFonts w:hint="eastAsia"/>
          <w:color w:val="000000" w:themeColor="text1"/>
          <w:highlight w:val="none"/>
          <w:lang w:val="en-US" w:eastAsia="zh-CN"/>
          <w14:textFill>
            <w14:solidFill>
              <w14:schemeClr w14:val="tx1"/>
            </w14:solidFill>
          </w14:textFill>
        </w:rPr>
        <w:t>。</w:t>
      </w:r>
    </w:p>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申报单位在项目申报期间发生企业名称、联系信息变更的，应及时联系并提供变更材料，如因未及时变更产生的后果由企业自行承担。</w:t>
      </w:r>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）资助拨款按照申请书银行账户信息办理。因</w:t>
      </w:r>
      <w:r>
        <w:rPr>
          <w:color w:val="000000" w:themeColor="text1"/>
          <w:highlight w:val="none"/>
          <w14:textFill>
            <w14:solidFill>
              <w14:schemeClr w14:val="tx1"/>
            </w14:solidFill>
          </w14:textFill>
        </w:rPr>
        <w:t>账户信息变更或企业填写错误等原因导致</w:t>
      </w:r>
      <w:r>
        <w:rPr>
          <w:rFonts w:hint="eastAsia"/>
          <w:color w:val="000000" w:themeColor="text1"/>
          <w:highlight w:val="none"/>
          <w:lang w:eastAsia="zh-CN"/>
          <w14:textFill>
            <w14:solidFill>
              <w14:schemeClr w14:val="tx1"/>
            </w14:solidFill>
          </w14:textFill>
        </w:rPr>
        <w:t>拨付</w:t>
      </w:r>
      <w:r>
        <w:rPr>
          <w:color w:val="000000" w:themeColor="text1"/>
          <w:highlight w:val="none"/>
          <w14:textFill>
            <w14:solidFill>
              <w14:schemeClr w14:val="tx1"/>
            </w14:solidFill>
          </w14:textFill>
        </w:rPr>
        <w:t>不成功的，</w:t>
      </w:r>
      <w:r>
        <w:rPr>
          <w:rFonts w:hint="eastAsia"/>
          <w:color w:val="000000" w:themeColor="text1"/>
          <w:highlight w:val="none"/>
          <w14:textFill>
            <w14:solidFill>
              <w14:schemeClr w14:val="tx1"/>
            </w14:solidFill>
          </w14:textFill>
        </w:rPr>
        <w:t>原则上予以办理一次拨款信息更改并再次拨付。</w:t>
      </w:r>
      <w:r>
        <w:rPr>
          <w:color w:val="000000" w:themeColor="text1"/>
          <w:highlight w:val="none"/>
          <w14:textFill>
            <w14:solidFill>
              <w14:schemeClr w14:val="tx1"/>
            </w14:solidFill>
          </w14:textFill>
        </w:rPr>
        <w:t>申报单位</w:t>
      </w:r>
      <w:r>
        <w:rPr>
          <w:rFonts w:hint="eastAsia"/>
          <w:color w:val="000000" w:themeColor="text1"/>
          <w:highlight w:val="none"/>
          <w14:textFill>
            <w14:solidFill>
              <w14:schemeClr w14:val="tx1"/>
            </w14:solidFill>
          </w14:textFill>
        </w:rPr>
        <w:t>应当按照要求办理资金拨款手续。</w:t>
      </w:r>
    </w:p>
    <w:p>
      <w:pPr>
        <w:bidi w:val="0"/>
        <w:rPr>
          <w:rFonts w:hint="eastAsia" w:eastAsia="仿宋_GB2312"/>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（八）</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bookmarkEnd w:id="22"/>
    <w:bookmarkEnd w:id="23"/>
    <w:bookmarkEnd w:id="24"/>
    <w:bookmarkEnd w:id="25"/>
    <w:p>
      <w:pPr>
        <w:pStyle w:val="17"/>
        <w:rPr>
          <w:rFonts w:ascii="仿宋_GB2312" w:hAnsi="仿宋_GB2312"/>
          <w:color w:val="000000" w:themeColor="text1"/>
          <w:highlight w:val="none"/>
          <w14:textFill>
            <w14:solidFill>
              <w14:schemeClr w14:val="tx1"/>
            </w14:solidFill>
          </w14:textFill>
        </w:rPr>
      </w:pPr>
    </w:p>
    <w:sectPr>
      <w:footerReference r:id="rId5" w:type="default"/>
      <w:pgSz w:w="11906" w:h="16838"/>
      <w:pgMar w:top="1814" w:right="1474" w:bottom="1814" w:left="1474"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B92B6A-2604-4933-972C-E26B0C5EA6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70E4D14-43FB-4936-99EA-CD86F1C4179C}"/>
  </w:font>
  <w:font w:name="仿宋_GB2312">
    <w:panose1 w:val="02010609030101010101"/>
    <w:charset w:val="86"/>
    <w:family w:val="auto"/>
    <w:pitch w:val="default"/>
    <w:sig w:usb0="00000001" w:usb1="080E0000" w:usb2="00000000" w:usb3="00000000" w:csb0="00040000" w:csb1="00000000"/>
    <w:embedRegular r:id="rId3" w:fontKey="{66D0D99D-5505-438C-994F-588EE567F681}"/>
  </w:font>
  <w:font w:name="仿宋">
    <w:panose1 w:val="02010609060101010101"/>
    <w:charset w:val="86"/>
    <w:family w:val="modern"/>
    <w:pitch w:val="default"/>
    <w:sig w:usb0="800002BF" w:usb1="38CF7CFA" w:usb2="00000016" w:usb3="00000000" w:csb0="00040001" w:csb1="00000000"/>
    <w:embedRegular r:id="rId4" w:fontKey="{3E50A4E0-BD89-4D65-89AE-D34803A8CA19}"/>
  </w:font>
  <w:font w:name="方正小标宋简体">
    <w:panose1 w:val="03000509000000000000"/>
    <w:charset w:val="86"/>
    <w:family w:val="auto"/>
    <w:pitch w:val="default"/>
    <w:sig w:usb0="00000001" w:usb1="080E0000" w:usb2="00000000" w:usb3="00000000" w:csb0="00040000" w:csb1="00000000"/>
    <w:embedRegular r:id="rId5" w:fontKey="{7F2C94E7-8A2E-4B78-A235-4EDD9160D25D}"/>
  </w:font>
  <w:font w:name="楷体">
    <w:panose1 w:val="02010609060101010101"/>
    <w:charset w:val="86"/>
    <w:family w:val="modern"/>
    <w:pitch w:val="default"/>
    <w:sig w:usb0="800002BF" w:usb1="38CF7CFA" w:usb2="00000016" w:usb3="00000000" w:csb0="00040001" w:csb1="00000000"/>
    <w:embedRegular r:id="rId6" w:fontKey="{2C52CC85-F2E1-4D9F-9A66-FA25691E2486}"/>
  </w:font>
  <w:font w:name="楷体_GB2312">
    <w:panose1 w:val="02010609030101010101"/>
    <w:charset w:val="86"/>
    <w:family w:val="auto"/>
    <w:pitch w:val="default"/>
    <w:sig w:usb0="00000001" w:usb1="080E0000" w:usb2="00000000" w:usb3="00000000" w:csb0="00040000" w:csb1="00000000"/>
    <w:embedRegular r:id="rId7" w:fontKey="{935AC933-2B40-41CB-BC06-F6976B082021}"/>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13047F5"/>
    <w:rsid w:val="015E2532"/>
    <w:rsid w:val="02803A46"/>
    <w:rsid w:val="02CB1CF7"/>
    <w:rsid w:val="02DA63DE"/>
    <w:rsid w:val="02E93786"/>
    <w:rsid w:val="03060EC1"/>
    <w:rsid w:val="032C6A46"/>
    <w:rsid w:val="04EF6CF0"/>
    <w:rsid w:val="06FD7D23"/>
    <w:rsid w:val="070F7027"/>
    <w:rsid w:val="08437B8D"/>
    <w:rsid w:val="08461CA3"/>
    <w:rsid w:val="089B5431"/>
    <w:rsid w:val="0A2D6324"/>
    <w:rsid w:val="0A6C5760"/>
    <w:rsid w:val="0B35692F"/>
    <w:rsid w:val="0B4456D1"/>
    <w:rsid w:val="0BAD1FAB"/>
    <w:rsid w:val="0BE1742C"/>
    <w:rsid w:val="0D1F0CED"/>
    <w:rsid w:val="0F95719B"/>
    <w:rsid w:val="0FDD6438"/>
    <w:rsid w:val="0FE131A1"/>
    <w:rsid w:val="10BF0BFF"/>
    <w:rsid w:val="11A73770"/>
    <w:rsid w:val="124226AB"/>
    <w:rsid w:val="126D73E5"/>
    <w:rsid w:val="12E42AB5"/>
    <w:rsid w:val="13A40095"/>
    <w:rsid w:val="14053C83"/>
    <w:rsid w:val="149841BF"/>
    <w:rsid w:val="14B52694"/>
    <w:rsid w:val="158E5C71"/>
    <w:rsid w:val="15C958A9"/>
    <w:rsid w:val="163D2AB4"/>
    <w:rsid w:val="172A2DF8"/>
    <w:rsid w:val="17B005EC"/>
    <w:rsid w:val="185533C0"/>
    <w:rsid w:val="187E0EC3"/>
    <w:rsid w:val="18AB1F57"/>
    <w:rsid w:val="190653E0"/>
    <w:rsid w:val="196451B1"/>
    <w:rsid w:val="197B53D3"/>
    <w:rsid w:val="1C210334"/>
    <w:rsid w:val="1C964CCC"/>
    <w:rsid w:val="1CFC17D2"/>
    <w:rsid w:val="1DF762E7"/>
    <w:rsid w:val="205A510F"/>
    <w:rsid w:val="20C52E37"/>
    <w:rsid w:val="21127D99"/>
    <w:rsid w:val="22AD3D05"/>
    <w:rsid w:val="22C22819"/>
    <w:rsid w:val="246A3FA3"/>
    <w:rsid w:val="266D7B2D"/>
    <w:rsid w:val="26AD7618"/>
    <w:rsid w:val="26E72CF4"/>
    <w:rsid w:val="27946F63"/>
    <w:rsid w:val="289B3109"/>
    <w:rsid w:val="28DA2BB7"/>
    <w:rsid w:val="2976170C"/>
    <w:rsid w:val="2A104310"/>
    <w:rsid w:val="2A4B3E74"/>
    <w:rsid w:val="2BA068F1"/>
    <w:rsid w:val="2C2A1457"/>
    <w:rsid w:val="2CAE0A32"/>
    <w:rsid w:val="2FFC0AFB"/>
    <w:rsid w:val="302C0287"/>
    <w:rsid w:val="311E3F52"/>
    <w:rsid w:val="31A95387"/>
    <w:rsid w:val="31B31F93"/>
    <w:rsid w:val="321653A8"/>
    <w:rsid w:val="328626B9"/>
    <w:rsid w:val="329C19A3"/>
    <w:rsid w:val="32EA49B3"/>
    <w:rsid w:val="32F52701"/>
    <w:rsid w:val="33573FA3"/>
    <w:rsid w:val="341A4C22"/>
    <w:rsid w:val="347B2CCE"/>
    <w:rsid w:val="352B3694"/>
    <w:rsid w:val="363C0287"/>
    <w:rsid w:val="3654545B"/>
    <w:rsid w:val="36565190"/>
    <w:rsid w:val="366C2500"/>
    <w:rsid w:val="370375AB"/>
    <w:rsid w:val="372C685C"/>
    <w:rsid w:val="37A74BB3"/>
    <w:rsid w:val="382C7B34"/>
    <w:rsid w:val="387303F9"/>
    <w:rsid w:val="39BDE09B"/>
    <w:rsid w:val="3AAF1CC3"/>
    <w:rsid w:val="3B0E3D0E"/>
    <w:rsid w:val="3BD4328A"/>
    <w:rsid w:val="3BFC17F2"/>
    <w:rsid w:val="3CFBAB86"/>
    <w:rsid w:val="3CFD6976"/>
    <w:rsid w:val="3D5D42F6"/>
    <w:rsid w:val="3D64500B"/>
    <w:rsid w:val="3DB808BA"/>
    <w:rsid w:val="3E7F37AC"/>
    <w:rsid w:val="407A2ECB"/>
    <w:rsid w:val="409D0057"/>
    <w:rsid w:val="40FB4515"/>
    <w:rsid w:val="418D6C3A"/>
    <w:rsid w:val="41E50163"/>
    <w:rsid w:val="423806ED"/>
    <w:rsid w:val="428230B1"/>
    <w:rsid w:val="437A5877"/>
    <w:rsid w:val="43AD7209"/>
    <w:rsid w:val="43BB3CEC"/>
    <w:rsid w:val="444C5275"/>
    <w:rsid w:val="44A91A1A"/>
    <w:rsid w:val="44D052C5"/>
    <w:rsid w:val="46AE1F3D"/>
    <w:rsid w:val="473C23B2"/>
    <w:rsid w:val="47781E40"/>
    <w:rsid w:val="48541414"/>
    <w:rsid w:val="4900762E"/>
    <w:rsid w:val="49BC5C64"/>
    <w:rsid w:val="4A6B0082"/>
    <w:rsid w:val="4AB56AE2"/>
    <w:rsid w:val="4B6E7935"/>
    <w:rsid w:val="4C6F0E47"/>
    <w:rsid w:val="4E7E74BD"/>
    <w:rsid w:val="4FC2745B"/>
    <w:rsid w:val="509A0D5C"/>
    <w:rsid w:val="51C130AF"/>
    <w:rsid w:val="52252BFC"/>
    <w:rsid w:val="53A167B4"/>
    <w:rsid w:val="54E753F5"/>
    <w:rsid w:val="563F7F48"/>
    <w:rsid w:val="569E06F3"/>
    <w:rsid w:val="56CD51B3"/>
    <w:rsid w:val="5779221D"/>
    <w:rsid w:val="57F69B31"/>
    <w:rsid w:val="589B5008"/>
    <w:rsid w:val="58A326D8"/>
    <w:rsid w:val="59466376"/>
    <w:rsid w:val="59F359C5"/>
    <w:rsid w:val="5A9E6E08"/>
    <w:rsid w:val="5BF51433"/>
    <w:rsid w:val="5D09303A"/>
    <w:rsid w:val="5F58D092"/>
    <w:rsid w:val="5FEDF09B"/>
    <w:rsid w:val="5FFF8D5C"/>
    <w:rsid w:val="60CB59D9"/>
    <w:rsid w:val="6173427D"/>
    <w:rsid w:val="61F93300"/>
    <w:rsid w:val="623151CA"/>
    <w:rsid w:val="64A22FFB"/>
    <w:rsid w:val="64DB7056"/>
    <w:rsid w:val="64FEF02B"/>
    <w:rsid w:val="66340E1F"/>
    <w:rsid w:val="6692011E"/>
    <w:rsid w:val="66982F4F"/>
    <w:rsid w:val="6888651F"/>
    <w:rsid w:val="6894168D"/>
    <w:rsid w:val="69B52798"/>
    <w:rsid w:val="6A7451AD"/>
    <w:rsid w:val="6AC14C27"/>
    <w:rsid w:val="6BC41409"/>
    <w:rsid w:val="6BC52D32"/>
    <w:rsid w:val="6BF743E2"/>
    <w:rsid w:val="6C030E4B"/>
    <w:rsid w:val="6C5C62E3"/>
    <w:rsid w:val="6CAB30BC"/>
    <w:rsid w:val="6CED0F48"/>
    <w:rsid w:val="6CED51AD"/>
    <w:rsid w:val="6D4528E0"/>
    <w:rsid w:val="6F4B4A6F"/>
    <w:rsid w:val="6FCC3E6E"/>
    <w:rsid w:val="6FEFB7EB"/>
    <w:rsid w:val="70331AB3"/>
    <w:rsid w:val="70FD403E"/>
    <w:rsid w:val="71D6011D"/>
    <w:rsid w:val="72694444"/>
    <w:rsid w:val="73470D86"/>
    <w:rsid w:val="73933E76"/>
    <w:rsid w:val="73A0155B"/>
    <w:rsid w:val="74F90479"/>
    <w:rsid w:val="7524053F"/>
    <w:rsid w:val="75405A96"/>
    <w:rsid w:val="75B66B42"/>
    <w:rsid w:val="7625601A"/>
    <w:rsid w:val="77BF249E"/>
    <w:rsid w:val="77FBBA5B"/>
    <w:rsid w:val="78B4248C"/>
    <w:rsid w:val="78D33F7B"/>
    <w:rsid w:val="78F0357E"/>
    <w:rsid w:val="795804B5"/>
    <w:rsid w:val="7B9B002D"/>
    <w:rsid w:val="7C1A6A34"/>
    <w:rsid w:val="7C812685"/>
    <w:rsid w:val="7CBE4AD3"/>
    <w:rsid w:val="7D1C7CE5"/>
    <w:rsid w:val="7E364325"/>
    <w:rsid w:val="7E524DED"/>
    <w:rsid w:val="7EAF82F1"/>
    <w:rsid w:val="7F363046"/>
    <w:rsid w:val="7F92723E"/>
    <w:rsid w:val="8EFFBC18"/>
    <w:rsid w:val="92F6FF34"/>
    <w:rsid w:val="AFFD59EC"/>
    <w:rsid w:val="B77FA596"/>
    <w:rsid w:val="D7AD2FA7"/>
    <w:rsid w:val="DFA76B13"/>
    <w:rsid w:val="DFAFB14D"/>
    <w:rsid w:val="DFBFA96B"/>
    <w:rsid w:val="DFDF681D"/>
    <w:rsid w:val="DFFFE701"/>
    <w:rsid w:val="EF2F06D6"/>
    <w:rsid w:val="EFCE6739"/>
    <w:rsid w:val="EFFFA8DC"/>
    <w:rsid w:val="F6DFDC32"/>
    <w:rsid w:val="F7F3893A"/>
    <w:rsid w:val="FF2E8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paragraph" w:customStyle="1" w:styleId="35">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3309</Words>
  <Characters>3443</Characters>
  <Lines>0</Lines>
  <Paragraphs>0</Paragraphs>
  <TotalTime>0</TotalTime>
  <ScaleCrop>false</ScaleCrop>
  <LinksUpToDate>false</LinksUpToDate>
  <CharactersWithSpaces>3444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2025-07-05T18:47:00Z</dcterms:created>
  <dc:creator>黄佩琳</dc:creator>
  <cp:lastModifiedBy>黎俊</cp:lastModifiedBy>
  <cp:lastPrinted>2026-03-15T22:46:00Z</cp:lastPrinted>
  <dcterms:modified xsi:type="dcterms:W3CDTF">2026-06-29T12:17:06Z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0A62D130E4CA4798B2FDEEA47FCCC838_13</vt:lpwstr>
  </property>
  <property fmtid="{D5CDD505-2E9C-101B-9397-08002B2CF9AE}" pid="4" name="KSOTemplateDocerSaveRecord">
    <vt:lpwstr>eyJoZGlkIjoiNTIyMTVkNWMyNjg0MmY3ZTZkZGYyNGZiNGI3MzdhYTgiLCJ1c2VySWQiOiI1NzU3NDk0NDQifQ==</vt:lpwstr>
  </property>
</Properties>
</file>