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0" w:name="_Toc32562"/>
      <w:bookmarkStart w:id="1" w:name="_Toc125127182"/>
      <w:bookmarkStart w:id="2" w:name="_Toc5810"/>
      <w:bookmarkStart w:id="3" w:name="_Toc13216"/>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000000" w:themeColor="text1"/>
          <w:kern w:val="0"/>
          <w:sz w:val="44"/>
          <w:szCs w:val="44"/>
          <w:highlight w:val="none"/>
          <w:lang w:val="en-US" w:eastAsia="zh-CN" w:bidi="ar-SA"/>
          <w14:textFill>
            <w14:solidFill>
              <w14:schemeClr w14:val="tx1"/>
            </w14:solidFill>
          </w14:textFill>
        </w:rPr>
      </w:pP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2026年中央资金深圳市消费新业态新模式新场景试点（支持创新多元化服务消费场景</w:t>
      </w:r>
      <w:r>
        <w:rPr>
          <w:rFonts w:hint="default"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单体融合消费场景资助</w:t>
      </w:r>
      <w:r>
        <w:rPr>
          <w:rFonts w:hint="default"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项目</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000000" w:themeColor="text1"/>
          <w:kern w:val="2"/>
          <w:sz w:val="36"/>
          <w:szCs w:val="36"/>
          <w:highlight w:val="none"/>
          <w:lang w:val="en-US" w:eastAsia="zh-CN" w:bidi="ar-SA"/>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000000" w:themeColor="text1"/>
          <w:kern w:val="2"/>
          <w:sz w:val="36"/>
          <w:szCs w:val="36"/>
          <w:highlight w:val="none"/>
          <w:lang w:val="en-US" w:eastAsia="zh-CN" w:bidi="ar-SA"/>
          <w14:textFill>
            <w14:solidFill>
              <w14:schemeClr w14:val="tx1"/>
            </w14:solidFill>
          </w14:textFill>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pPr>
      <w:bookmarkStart w:id="4" w:name="_Toc24194"/>
      <w:bookmarkStart w:id="5" w:name="_Toc20798"/>
      <w:r>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t>支持领域</w:t>
      </w:r>
      <w:bookmarkEnd w:id="4"/>
      <w:bookmarkEnd w:id="5"/>
    </w:p>
    <w:p>
      <w:pPr>
        <w:bidi w:val="0"/>
        <w:spacing w:before="0" w:after="0" w:line="560" w:lineRule="exact"/>
        <w:ind w:firstLine="640"/>
        <w:rPr>
          <w:rFonts w:hint="eastAsia"/>
          <w:color w:val="auto"/>
          <w:highlight w:val="none"/>
          <w:lang w:val="en-US" w:eastAsia="zh-CN"/>
        </w:rPr>
      </w:pPr>
      <w:r>
        <w:rPr>
          <w:rStyle w:val="19"/>
          <w:rFonts w:hint="eastAsia" w:ascii="仿宋_GB2312" w:hAnsi="仿宋_GB2312" w:eastAsia="仿宋_GB2312" w:cs="仿宋_GB2312"/>
          <w:color w:val="auto"/>
          <w:sz w:val="32"/>
          <w:szCs w:val="32"/>
          <w:highlight w:val="none"/>
          <w:lang w:val="en-US" w:eastAsia="zh-CN"/>
        </w:rPr>
        <w:t>支持单体店铺开展多元消费场景升级，拓展文化时尚、健康体育、艺术展览、主题社交、休闲娱乐等服务消费功能</w:t>
      </w:r>
      <w:r>
        <w:rPr>
          <w:rFonts w:hint="eastAsia"/>
          <w:color w:val="auto"/>
          <w:highlight w:val="none"/>
          <w:lang w:val="en-US" w:eastAsia="zh-CN"/>
        </w:rPr>
        <w:t>。</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6" w:name="_Toc15437"/>
      <w:bookmarkStart w:id="7" w:name="_Toc8852"/>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eastAsia="zh-CN"/>
          <w14:textFill>
            <w14:solidFill>
              <w14:schemeClr w14:val="tx1"/>
            </w14:solidFill>
          </w14:textFill>
        </w:rPr>
        <w:t>《财政部 商务部关于开展消费新业态新模式新场景试点工作的通知</w:t>
      </w:r>
      <w:r>
        <w:rPr>
          <w:rFonts w:hint="eastAsia" w:cs="Times New Roman"/>
          <w:color w:val="000000" w:themeColor="text1"/>
          <w:sz w:val="32"/>
          <w:szCs w:val="32"/>
          <w:highlight w:val="none"/>
          <w:lang w:val="en-US" w:eastAsia="zh-CN"/>
          <w14:textFill>
            <w14:solidFill>
              <w14:schemeClr w14:val="tx1"/>
            </w14:solidFill>
          </w14:textFill>
        </w:rPr>
        <w:t>财建〔2025〕341号</w:t>
      </w:r>
      <w:r>
        <w:rPr>
          <w:rFonts w:hint="eastAsia"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（二）资金管理依据</w:t>
      </w:r>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《深圳市消费新业态新模式新场景试点城市建设资金管理办法》</w:t>
      </w:r>
    </w:p>
    <w:p>
      <w:pPr>
        <w:bidi w:val="0"/>
        <w:rPr>
          <w:rFonts w:hint="eastAsia"/>
          <w:color w:val="000000" w:themeColor="text1"/>
          <w:highlight w:val="none"/>
          <w:u w:val="singl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8" w:name="_Toc18411"/>
      <w:bookmarkStart w:id="9" w:name="_Toc21755"/>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（一）支持数量</w:t>
      </w:r>
    </w:p>
    <w:p>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有数量限制，受财政下达年度资金预算控制，视申报情况，我局据以对</w:t>
      </w:r>
      <w:r>
        <w:rPr>
          <w:rFonts w:hint="eastAsia"/>
          <w:color w:val="000000" w:themeColor="text1"/>
          <w:highlight w:val="none"/>
          <w:lang w:val="en-US" w:eastAsia="zh-CN"/>
          <w14:textFill>
            <w14:solidFill>
              <w14:schemeClr w14:val="tx1"/>
            </w14:solidFill>
          </w14:textFill>
        </w:rPr>
        <w:t>资助</w:t>
      </w:r>
      <w:r>
        <w:rPr>
          <w:rFonts w:hint="eastAsia" w:ascii="仿宋_GB2312" w:eastAsia="仿宋_GB2312"/>
          <w:color w:val="000000" w:themeColor="text1"/>
          <w:highlight w:val="none"/>
          <w:lang w:val="en-US" w:eastAsia="zh-CN"/>
          <w14:textFill>
            <w14:solidFill>
              <w14:schemeClr w14:val="tx1"/>
            </w14:solidFill>
          </w14:textFill>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（二）支持方式</w:t>
      </w:r>
    </w:p>
    <w:p>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0" w:name="_Toc431"/>
      <w:bookmarkStart w:id="11" w:name="_Toc15307"/>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1.申报单位为在深圳市实际从事经营活动的企业、事业单位。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2.申报单位应为消费新业态新模式新场景试点项目（即申报项目）的实际建设或运营主体，项目所在地应在深圳市（含深汕特别合作区，下同）。</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3.申报单位未被国家、省、市有关部门列入严重失信主体名单实施失信惩戒，未被明确限制申请财政性资金项目且在限制期内；未拖欠应缴还的财政性资金。</w:t>
      </w:r>
    </w:p>
    <w:p>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6.申报单位不存在将本属于同一性质内涵与建设内容的资助项目刻意分拆成两个项目的情形。同一项目不得重复申请多个支持方向。</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7.申报单位须配合开展消费新业态新模式新场景试点工作，报送工作进展及相关数据。</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8.项目资助金额不得超过项目实际有效总投入的50%，同一项目中央、省、市、区资助合计不超过项目实际投入。</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（二）专项条件</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申报项目须同时满足以下条件：</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1.申报项目应有固定经营场所且店铺经营面积达100㎡以上。</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2.申报项目须通过业态、功能或内容的实质性创新融合，在同一物理空间内实现常态化运营的文化时尚、健康体育、艺术展览、主题社交、休闲娱乐等2类以上服务消费功能融合。</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3.项目实际有效投入金额不低于100万元。（2025年9月30日后项目开展以来）</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4.月均提供服务次数不低于1000次。（统计周期为2025年9月30日至申报受理前一个月月末；月均值按该期间实际运营数据计算，不足一个月的部分，按日均值折算为月均值。）</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5.不属于仅通过相邻或楼上独立空间简单组合、店内增设简单装饰性陈列、或短期临时性活动实现功能拓展。</w:t>
      </w:r>
    </w:p>
    <w:p>
      <w:pPr>
        <w:pStyle w:val="29"/>
        <w:bidi w:val="0"/>
        <w:spacing w:line="560" w:lineRule="exact"/>
        <w:ind w:firstLine="640" w:firstLineChars="200"/>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pPr>
      <w:r>
        <w:rPr>
          <w:rStyle w:val="19"/>
          <w:rFonts w:hint="eastAsia" w:ascii="仿宋_GB2312" w:hAnsi="仿宋_GB2312" w:eastAsia="仿宋_GB2312" w:cs="仿宋"/>
          <w:color w:val="000000" w:themeColor="text1"/>
          <w:sz w:val="32"/>
          <w:szCs w:val="22"/>
          <w:highlight w:val="none"/>
          <w:lang w:eastAsia="zh-CN"/>
          <w14:textFill>
            <w14:solidFill>
              <w14:schemeClr w14:val="tx1"/>
            </w14:solidFill>
          </w14:textFill>
        </w:rPr>
        <w:t>项目支持时间范围为</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2025年9月30日至2027年6月30日，所支持投入部分应在上述时间内。</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原则上限于支持市场化商业化项目，不支持免费的纯公益项目，</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不支持事业单位信息系统建设维护、养老院和病房建设等与支持方向无关的领域。</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支持内容不包括新建、扩建</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商业综合体，以及</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各类古镇、纪念馆、博物馆等设施，不包括</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办公场所及必须的公共服务基础设施建设</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，不包括</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为了满足最基本经营条件、消防验收等需求，基础水电改造、防水处理、消防改造及设施购置等一般性装修项目</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。不支持党政机关主办、承办或承担部分活动费用的展会、节庆、论坛活动。</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不支持仅通过相邻或楼上独立空间简单组合、在店内增设简单装饰性陈列、或通过短期临时性活动实现功能拓展的项目。</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Style w:val="19"/>
          <w:rFonts w:hint="default" w:ascii="仿宋_GB2312" w:hAnsi="仿宋_GB2312" w:eastAsia="仿宋_GB2312" w:cs="仿宋_GB2312"/>
          <w:color w:val="auto"/>
          <w:sz w:val="32"/>
          <w:szCs w:val="32"/>
          <w:highlight w:val="none"/>
          <w:lang w:val="en-US" w:eastAsia="zh-CN"/>
        </w:rPr>
        <w:t>不支持发放消费券、优惠补贴、宣传推广等</w:t>
      </w:r>
      <w:r>
        <w:rPr>
          <w:rStyle w:val="19"/>
          <w:rFonts w:hint="eastAsia" w:ascii="仿宋_GB2312" w:hAnsi="仿宋_GB2312" w:eastAsia="仿宋_GB2312" w:cs="仿宋_GB2312"/>
          <w:color w:val="auto"/>
          <w:sz w:val="32"/>
          <w:szCs w:val="32"/>
          <w:highlight w:val="none"/>
          <w:lang w:val="en-US" w:eastAsia="zh-CN"/>
        </w:rPr>
        <w:t>投入</w:t>
      </w:r>
      <w:r>
        <w:rPr>
          <w:rStyle w:val="19"/>
          <w:rFonts w:hint="default" w:ascii="仿宋_GB2312" w:hAnsi="仿宋_GB2312" w:eastAsia="仿宋_GB2312" w:cs="仿宋_GB2312"/>
          <w:color w:val="auto"/>
          <w:sz w:val="32"/>
          <w:szCs w:val="32"/>
          <w:highlight w:val="none"/>
          <w:lang w:val="en-US" w:eastAsia="zh-CN"/>
        </w:rPr>
        <w:t>；不支持政府举办的促消费活动，不支持企业举办的促销推广活动；不支持短期开展的活动或临时搭建的消费场景，不支持存续时间少于一个月的消费场景；不支持单纯的商品消费、单一传统业态的消费场景</w:t>
      </w:r>
      <w:bookmarkStart w:id="40" w:name="_GoBack"/>
      <w:bookmarkEnd w:id="40"/>
      <w:r>
        <w:rPr>
          <w:rStyle w:val="19"/>
          <w:rFonts w:hint="default" w:ascii="仿宋_GB2312" w:hAnsi="仿宋_GB2312" w:eastAsia="仿宋_GB2312" w:cs="仿宋_GB2312"/>
          <w:color w:val="auto"/>
          <w:sz w:val="32"/>
          <w:szCs w:val="32"/>
          <w:highlight w:val="none"/>
          <w:lang w:val="en-US" w:eastAsia="zh-CN"/>
        </w:rPr>
        <w:t>以及无消费内容的项目。</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2" w:name="_Toc31102"/>
      <w:bookmarkStart w:id="13" w:name="_Toc7095"/>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支持标准</w:t>
      </w:r>
      <w:bookmarkEnd w:id="12"/>
      <w:bookmarkEnd w:id="13"/>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对符合条件的项目，按</w:t>
      </w:r>
      <w:r>
        <w:rPr>
          <w:rFonts w:hint="eastAsia"/>
          <w:color w:val="000000" w:themeColor="text1"/>
          <w:highlight w:val="none"/>
          <w:lang w:val="en-US" w:eastAsia="zh-CN"/>
          <w14:textFill>
            <w14:solidFill>
              <w14:schemeClr w14:val="tx1"/>
            </w14:solidFill>
          </w14:textFill>
        </w:rPr>
        <w:t>项目</w:t>
      </w:r>
      <w:r>
        <w:rPr>
          <w:rFonts w:hint="eastAsia" w:ascii="仿宋_GB2312" w:eastAsia="仿宋_GB2312"/>
          <w:color w:val="000000" w:themeColor="text1"/>
          <w:highlight w:val="none"/>
          <w:lang w:val="en-US" w:eastAsia="zh-CN"/>
          <w14:textFill>
            <w14:solidFill>
              <w14:schemeClr w14:val="tx1"/>
            </w14:solidFill>
          </w14:textFill>
        </w:rPr>
        <w:t>相关实际</w:t>
      </w:r>
      <w:r>
        <w:rPr>
          <w:rFonts w:hint="eastAsia"/>
          <w:color w:val="000000" w:themeColor="text1"/>
          <w:highlight w:val="none"/>
          <w:lang w:val="en-US" w:eastAsia="zh-CN"/>
          <w14:textFill>
            <w14:solidFill>
              <w14:schemeClr w14:val="tx1"/>
            </w14:solidFill>
          </w14:textFill>
        </w:rPr>
        <w:t>有效</w:t>
      </w:r>
      <w:r>
        <w:rPr>
          <w:rFonts w:hint="eastAsia" w:ascii="仿宋_GB2312" w:eastAsia="仿宋_GB2312"/>
          <w:color w:val="000000" w:themeColor="text1"/>
          <w:highlight w:val="none"/>
          <w:lang w:val="en-US" w:eastAsia="zh-CN"/>
          <w14:textFill>
            <w14:solidFill>
              <w14:schemeClr w14:val="tx1"/>
            </w14:solidFill>
          </w14:textFill>
        </w:rPr>
        <w:t>投入</w:t>
      </w:r>
      <w:r>
        <w:rPr>
          <w:rFonts w:hint="eastAsia"/>
          <w:color w:val="000000" w:themeColor="text1"/>
          <w:highlight w:val="none"/>
          <w:lang w:val="en-US" w:eastAsia="zh-CN"/>
          <w14:textFill>
            <w14:solidFill>
              <w14:schemeClr w14:val="tx1"/>
            </w14:solidFill>
          </w14:textFill>
        </w:rPr>
        <w:t>的</w:t>
      </w:r>
      <w:r>
        <w:rPr>
          <w:rFonts w:hint="eastAsia" w:ascii="仿宋_GB2312" w:eastAsia="仿宋_GB2312"/>
          <w:color w:val="000000" w:themeColor="text1"/>
          <w:highlight w:val="none"/>
          <w:lang w:val="en-US" w:eastAsia="zh-CN"/>
          <w14:textFill>
            <w14:solidFill>
              <w14:schemeClr w14:val="tx1"/>
            </w14:solidFill>
          </w14:textFill>
        </w:rPr>
        <w:t>20%给予资助，试点期间最高不超过100万元。</w:t>
      </w:r>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w:t>
      </w:r>
      <w:r>
        <w:rPr>
          <w:rFonts w:hint="eastAsia"/>
          <w:color w:val="000000" w:themeColor="text1"/>
          <w:highlight w:val="none"/>
          <w:lang w:val="en-US" w:eastAsia="zh-CN"/>
          <w14:textFill>
            <w14:solidFill>
              <w14:schemeClr w14:val="tx1"/>
            </w14:solidFill>
          </w14:textFill>
        </w:rPr>
        <w:t>打造单体融合场景已完成或阶段性完成部分相关投入，不包含各级财政投资部分，以及第四点第（二）条专项条件中明确不予支持部分。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pStyle w:val="29"/>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4" w:name="_Toc27028"/>
      <w:bookmarkStart w:id="15" w:name="_Toc7147"/>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（一）</w:t>
      </w: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基本材料清单</w:t>
      </w:r>
    </w:p>
    <w:p>
      <w:pPr>
        <w:bidi w:val="0"/>
        <w:rPr>
          <w:rFonts w:hint="default" w:ascii="楷体" w:hAnsi="楷体" w:eastAsia="楷体_GB2312" w:cstheme="majorBidi"/>
          <w:bCs/>
          <w:color w:val="000000" w:themeColor="text1"/>
          <w:kern w:val="2"/>
          <w:szCs w:val="32"/>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请各项目申报单位填写并提交《项目申报书》，具体材料如下：</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1.资金项目申请书</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申报单位按照申报材料要求编写项目申请书并提供相关证明材料，登录前海企业服务一体化平台在线下载填报申请书（网址：https://qhsk.sz.gov.cn/—选择“领补贴”—商贸物流—“消费新业态新模式新场景试点（</w:t>
      </w:r>
      <w:r>
        <w:rPr>
          <w:rFonts w:hint="default"/>
          <w:highlight w:val="none"/>
        </w:rPr>
        <w:t>支持创新多元化服务消费场景—单体融合消费场景资助项目</w:t>
      </w:r>
      <w:r>
        <w:rPr>
          <w:rFonts w:hint="default"/>
          <w:color w:val="000000" w:themeColor="text1"/>
          <w:highlight w:val="none"/>
          <w:lang w:val="en-US" w:eastAsia="zh-CN"/>
          <w14:textFill>
            <w14:solidFill>
              <w14:schemeClr w14:val="tx1"/>
            </w14:solidFill>
          </w14:textFill>
        </w:rPr>
        <w:t>）事项”—点击“一键申报”—登录后按要求填报并上传申请材料—点击提交），初审通过后提供申请书纸质文件原件并将本指南第六条要求的项目申报材料一并线下或通过邮寄方式递交至前海e站通政务服务中心（深圳市前海合作区前湾一路19号）。</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2.申报单位营业执照或统一社会信用代码证书复印件</w:t>
      </w:r>
      <w:r>
        <w:rPr>
          <w:rFonts w:hint="eastAsia"/>
          <w:color w:val="000000" w:themeColor="text1"/>
          <w:highlight w:val="none"/>
          <w:lang w:val="en-US" w:eastAsia="zh-CN"/>
          <w14:textFill>
            <w14:solidFill>
              <w14:schemeClr w14:val="tx1"/>
            </w14:solidFill>
          </w14:textFill>
        </w:rPr>
        <w:t>。</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3.单位信用报告</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“信用中国”查询截图、国家企业信用信息公示系统下载的企业信用报告</w:t>
      </w:r>
      <w:r>
        <w:rPr>
          <w:rFonts w:hint="eastAsia"/>
          <w:color w:val="000000" w:themeColor="text1"/>
          <w:highlight w:val="none"/>
          <w:lang w:val="en-US" w:eastAsia="zh-CN"/>
          <w14:textFill>
            <w14:solidFill>
              <w14:schemeClr w14:val="tx1"/>
            </w14:solidFill>
          </w14:textFill>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（二）专项材料清单</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1.各申报单位应按照下表要求完整提交对应佐证材料：</w:t>
      </w:r>
    </w:p>
    <w:tbl>
      <w:tblPr>
        <w:tblStyle w:val="18"/>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80"/>
        <w:gridCol w:w="3490"/>
        <w:gridCol w:w="3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center"/>
              <w:textAlignment w:val="center"/>
              <w:rPr>
                <w:rFonts w:ascii="仿宋_GB2312" w:hAnsi="宋体" w:eastAsia="仿宋_GB2312" w:cs="仿宋_GB2312"/>
                <w:b/>
                <w:bCs/>
                <w:i w:val="0"/>
                <w:iCs w:val="0"/>
                <w:color w:val="0F1115"/>
                <w:sz w:val="28"/>
                <w:szCs w:val="28"/>
                <w:highlight w:val="none"/>
                <w:u w:val="none"/>
              </w:rPr>
            </w:pPr>
            <w:r>
              <w:rPr>
                <w:rFonts w:hint="eastAsia" w:ascii="仿宋_GB2312" w:hAnsi="宋体" w:eastAsia="仿宋_GB2312" w:cs="仿宋_GB2312"/>
                <w:b/>
                <w:bCs/>
                <w:i w:val="0"/>
                <w:iCs w:val="0"/>
                <w:color w:val="000000" w:themeColor="text1"/>
                <w:kern w:val="0"/>
                <w:sz w:val="28"/>
                <w:szCs w:val="28"/>
                <w:highlight w:val="none"/>
                <w:u w:val="none"/>
                <w:lang w:val="en-US" w:eastAsia="zh-CN" w:bidi="ar"/>
                <w14:textFill>
                  <w14:solidFill>
                    <w14:schemeClr w14:val="tx1"/>
                  </w14:solidFill>
                </w14:textFill>
              </w:rPr>
              <w:t>类型</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center"/>
              <w:textAlignment w:val="center"/>
              <w:rPr>
                <w:rFonts w:hint="eastAsia" w:ascii="仿宋_GB2312" w:hAnsi="宋体" w:eastAsia="仿宋_GB2312" w:cs="仿宋_GB2312"/>
                <w:b/>
                <w:bCs/>
                <w:i w:val="0"/>
                <w:iCs w:val="0"/>
                <w:color w:val="0F1115"/>
                <w:sz w:val="28"/>
                <w:szCs w:val="28"/>
                <w:highlight w:val="none"/>
                <w:u w:val="none"/>
              </w:rPr>
            </w:pPr>
            <w:r>
              <w:rPr>
                <w:rFonts w:hint="eastAsia" w:ascii="仿宋_GB2312" w:hAnsi="宋体" w:eastAsia="仿宋_GB2312" w:cs="仿宋_GB2312"/>
                <w:b/>
                <w:bCs/>
                <w:i w:val="0"/>
                <w:iCs w:val="0"/>
                <w:color w:val="000000" w:themeColor="text1"/>
                <w:kern w:val="0"/>
                <w:sz w:val="28"/>
                <w:szCs w:val="28"/>
                <w:highlight w:val="none"/>
                <w:u w:val="none"/>
                <w:lang w:val="en-US" w:eastAsia="zh-CN" w:bidi="ar"/>
                <w14:textFill>
                  <w14:solidFill>
                    <w14:schemeClr w14:val="tx1"/>
                  </w14:solidFill>
                </w14:textFill>
              </w:rPr>
              <w:t>具体要求</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center"/>
              <w:textAlignment w:val="center"/>
              <w:rPr>
                <w:rFonts w:hint="default" w:ascii="仿宋_GB2312" w:hAnsi="宋体" w:eastAsia="仿宋_GB2312" w:cs="仿宋_GB2312"/>
                <w:b/>
                <w:bCs/>
                <w:i w:val="0"/>
                <w:iCs w:val="0"/>
                <w:color w:val="0F1115"/>
                <w:sz w:val="28"/>
                <w:szCs w:val="28"/>
                <w:highlight w:val="none"/>
                <w:u w:val="none"/>
                <w:lang w:val="en-US"/>
              </w:rPr>
            </w:pPr>
            <w:r>
              <w:rPr>
                <w:rFonts w:hint="eastAsia" w:ascii="仿宋_GB2312" w:hAnsi="宋体" w:eastAsia="仿宋_GB2312" w:cs="仿宋_GB2312"/>
                <w:b/>
                <w:bCs/>
                <w:i w:val="0"/>
                <w:iCs w:val="0"/>
                <w:color w:val="000000" w:themeColor="text1"/>
                <w:kern w:val="0"/>
                <w:sz w:val="28"/>
                <w:szCs w:val="28"/>
                <w:highlight w:val="none"/>
                <w:u w:val="none"/>
                <w:lang w:val="en-US" w:eastAsia="zh-CN" w:bidi="ar"/>
                <w14:textFill>
                  <w14:solidFill>
                    <w14:schemeClr w14:val="tx1"/>
                  </w14:solidFill>
                </w14:textFill>
              </w:rPr>
              <w:t>佐证材料</w:t>
            </w:r>
            <w:r>
              <w:rPr>
                <w:rFonts w:hint="eastAsia" w:hAnsi="宋体" w:cs="仿宋_GB2312"/>
                <w:b/>
                <w:bCs/>
                <w:i w:val="0"/>
                <w:iCs w:val="0"/>
                <w:color w:val="000000" w:themeColor="text1"/>
                <w:kern w:val="0"/>
                <w:sz w:val="28"/>
                <w:szCs w:val="28"/>
                <w:highlight w:val="none"/>
                <w:u w:val="none"/>
                <w:lang w:val="en-US" w:eastAsia="zh-CN" w:bidi="ar"/>
                <w14:textFill>
                  <w14:solidFill>
                    <w14:schemeClr w14:val="tx1"/>
                  </w14:solidFill>
                </w14:textFill>
              </w:rPr>
              <w:t>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实体经营场所</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拥有固定经营场所</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F1115"/>
                <w:sz w:val="28"/>
                <w:szCs w:val="28"/>
                <w:highlight w:val="none"/>
                <w:u w:val="none"/>
                <w:lang w:val="en-US"/>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不动产权证书</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场地租赁合同</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经营面积</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经营面积100㎡以上</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营业执照</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载明面积的租赁合同</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不动产权证书</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业态融合</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成果</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通过业态、功能或内容的实质性创新融合，在同一物理空间内实现常态化运营的文化时尚、健康体育、艺术展览、主题社交、休闲娱乐等2类以上服务消费功能融合</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业态融合</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成果</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、各功能区域现场照片/效果图、</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可消费内容等佐证材料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服务次数</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月均提供服务次数不低于1000次</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服务订单记录、核销记录、预约系统数据、会员服务记录等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投入与成效</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F1115"/>
                <w:sz w:val="28"/>
                <w:szCs w:val="28"/>
                <w:highlight w:val="none"/>
                <w:u w:val="none"/>
                <w:lang w:val="en-US"/>
              </w:rPr>
            </w:pP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投入金额不低于100万元</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相关</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合同、发票、支付凭证、项目投入明细表</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等</w:t>
            </w:r>
          </w:p>
        </w:tc>
      </w:tr>
    </w:tbl>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2.项目成效总结（模板详见项目申报书）。</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专项资金项目投入明细表</w:t>
      </w:r>
      <w:r>
        <w:rPr>
          <w:rFonts w:hint="eastAsia"/>
          <w:color w:val="000000" w:themeColor="text1"/>
          <w:highlight w:val="none"/>
          <w:lang w:val="en-US" w:eastAsia="zh-CN"/>
          <w14:textFill>
            <w14:solidFill>
              <w14:schemeClr w14:val="tx1"/>
            </w14:solidFill>
          </w14:textFill>
        </w:rPr>
        <w:t>及佐证材料（详见项目申报书）。</w:t>
      </w:r>
    </w:p>
    <w:p>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以上申报材料按顺序一式</w:t>
      </w:r>
      <w:r>
        <w:rPr>
          <w:rFonts w:hint="eastAsia"/>
          <w:color w:val="000000" w:themeColor="text1"/>
          <w:highlight w:val="none"/>
          <w:lang w:val="en-US" w:eastAsia="zh-CN"/>
          <w14:textFill>
            <w14:solidFill>
              <w14:schemeClr w14:val="tx1"/>
            </w14:solidFill>
          </w14:textFill>
        </w:rPr>
        <w:t>四</w:t>
      </w:r>
      <w:r>
        <w:rPr>
          <w:rFonts w:hint="default"/>
          <w:color w:val="000000" w:themeColor="text1"/>
          <w:highlight w:val="none"/>
          <w:lang w:val="en-US" w:eastAsia="zh-CN"/>
          <w14:textFill>
            <w14:solidFill>
              <w14:schemeClr w14:val="tx1"/>
            </w14:solidFill>
          </w14:textFill>
        </w:rPr>
        <w:t>份（附可编辑电子版和PDF扫描件）装订成册，在封面加盖单位公章并加盖骑缝章（其中，申报</w:t>
      </w:r>
      <w:r>
        <w:rPr>
          <w:rFonts w:hint="eastAsia" w:ascii="仿宋_GB2312" w:eastAsia="仿宋_GB2312"/>
          <w:color w:val="000000" w:themeColor="text1"/>
          <w:highlight w:val="none"/>
          <w:lang w:val="en-US" w:eastAsia="zh-CN"/>
          <w14:textFill>
            <w14:solidFill>
              <w14:schemeClr w14:val="tx1"/>
            </w14:solidFill>
          </w14:textFill>
        </w:rPr>
        <w:t>指引</w:t>
      </w:r>
      <w:r>
        <w:rPr>
          <w:rFonts w:hint="default"/>
          <w:color w:val="000000" w:themeColor="text1"/>
          <w:highlight w:val="none"/>
          <w:lang w:val="en-US" w:eastAsia="zh-CN"/>
          <w14:textFill>
            <w14:solidFill>
              <w14:schemeClr w14:val="tx1"/>
            </w14:solidFill>
          </w14:textFill>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6" w:name="_Toc19526"/>
      <w:bookmarkStart w:id="17" w:name="_Toc5711"/>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七、申请表格</w:t>
      </w:r>
      <w:bookmarkEnd w:id="16"/>
      <w:bookmarkEnd w:id="17"/>
    </w:p>
    <w:p>
      <w:pPr>
        <w:bidi w:val="0"/>
        <w:rPr>
          <w:rFonts w:hint="eastAsia" w:ascii="仿宋_GB2312" w:hAnsi="Calibri"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color w:val="000000" w:themeColor="text1"/>
          <w:sz w:val="32"/>
          <w:szCs w:val="32"/>
          <w:highlight w:val="none"/>
          <w:lang w:val="en-US" w:eastAsia="zh-CN"/>
          <w14:textFill>
            <w14:solidFill>
              <w14:schemeClr w14:val="tx1"/>
            </w14:solidFill>
          </w14:textFill>
        </w:rPr>
        <w:t>本指南第六条（一）规定登录前海企业服务一体化平台在线填报申请书，网址：https://qhsk.sz.gov.cn/。</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8" w:name="_Toc20121"/>
      <w:bookmarkStart w:id="19" w:name="_Toc13760"/>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（一）受理机关</w:t>
      </w:r>
    </w:p>
    <w:p>
      <w:pPr>
        <w:bidi w:val="0"/>
        <w:spacing w:before="0" w:after="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cs="仿宋_GB2312"/>
          <w:szCs w:val="32"/>
          <w:highlight w:val="none"/>
          <w:u w:val="none"/>
        </w:rPr>
        <w:t>深圳市前海管理局</w:t>
      </w:r>
    </w:p>
    <w:p>
      <w:pPr>
        <w:keepNext w:val="0"/>
        <w:keepLines w:val="0"/>
        <w:widowControl/>
        <w:bidi w:val="0"/>
        <w:spacing w:before="0" w:after="0" w:line="240" w:lineRule="auto"/>
        <w:ind w:firstLine="640" w:firstLineChars="200"/>
        <w:jc w:val="left"/>
        <w:outlineLvl w:val="9"/>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（二）受理时间</w:t>
      </w:r>
    </w:p>
    <w:p>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1.网络填报时间：202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29</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31</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r>
        <w:rPr>
          <w:rFonts w:hint="eastAsia" w:hAnsi="宋体" w:cs="宋体"/>
          <w:color w:val="000000" w:themeColor="text1"/>
          <w:kern w:val="0"/>
          <w:sz w:val="32"/>
          <w:szCs w:val="32"/>
          <w:highlight w:val="none"/>
          <w:lang w:val="en-US" w:eastAsia="zh-CN"/>
          <w14:textFill>
            <w14:solidFill>
              <w14:schemeClr w14:val="tx1"/>
            </w14:solidFill>
          </w14:textFill>
        </w:rPr>
        <w:t>。</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2.材料提交时间：2026年</w:t>
      </w:r>
      <w:r>
        <w:rPr>
          <w:rFonts w:hint="eastAsia" w:hAnsi="宋体" w:cs="宋体"/>
          <w:color w:val="000000" w:themeColor="text1"/>
          <w:kern w:val="0"/>
          <w:sz w:val="32"/>
          <w:szCs w:val="32"/>
          <w:highlight w:val="none"/>
          <w:lang w:val="en-US" w:eastAsia="zh-CN"/>
          <w14:textFill>
            <w14:solidFill>
              <w14:schemeClr w14:val="tx1"/>
            </w14:solidFill>
          </w14:textFill>
        </w:rPr>
        <w:t>8</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1</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日-2026年</w:t>
      </w:r>
      <w:r>
        <w:rPr>
          <w:rFonts w:hint="eastAsia" w:hAnsi="宋体" w:cs="宋体"/>
          <w:color w:val="000000" w:themeColor="text1"/>
          <w:kern w:val="0"/>
          <w:sz w:val="32"/>
          <w:szCs w:val="32"/>
          <w:highlight w:val="none"/>
          <w:lang w:val="en-US" w:eastAsia="zh-CN"/>
          <w14:textFill>
            <w14:solidFill>
              <w14:schemeClr w14:val="tx1"/>
            </w14:solidFill>
          </w14:textFill>
        </w:rPr>
        <w:t>8</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31</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（三）受理地点</w:t>
      </w:r>
    </w:p>
    <w:p>
      <w:pPr>
        <w:bidi w:val="0"/>
        <w:spacing w:before="0" w:after="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u w:val="none"/>
          <w:lang w:eastAsia="zh-CN"/>
          <w14:textFill>
            <w14:solidFill>
              <w14:schemeClr w14:val="tx1"/>
            </w14:solidFill>
          </w14:textFill>
        </w:rPr>
        <w:t>深圳市前海合作区前湾一路19号前海e站通服务中心</w:t>
      </w:r>
    </w:p>
    <w:p>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（四）咨询电话</w:t>
      </w:r>
    </w:p>
    <w:p>
      <w:pPr>
        <w:bidi w:val="0"/>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cs="仿宋_GB2312"/>
          <w:color w:val="000000" w:themeColor="text1"/>
          <w:sz w:val="32"/>
          <w:szCs w:val="32"/>
          <w:highlight w:val="none"/>
          <w:u w:val="none"/>
          <w:lang w:val="en-US" w:eastAsia="zh-CN"/>
          <w14:textFill>
            <w14:solidFill>
              <w14:schemeClr w14:val="tx1"/>
            </w14:solidFill>
          </w14:textFill>
        </w:rPr>
        <w:t>0755-88105481</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0" w:name="_Toc1376"/>
      <w:bookmarkStart w:id="21" w:name="_Toc9722"/>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九、申请决定机关</w:t>
      </w:r>
      <w:bookmarkEnd w:id="20"/>
      <w:bookmarkEnd w:id="21"/>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bookmarkStart w:id="22" w:name="_Toc10305"/>
      <w:bookmarkStart w:id="23" w:name="_Toc161850809"/>
      <w:bookmarkStart w:id="24" w:name="_Toc125127183"/>
      <w:bookmarkStart w:id="25" w:name="_Toc2137"/>
      <w:r>
        <w:rPr>
          <w:rFonts w:hint="eastAsia" w:hAnsi="宋体" w:cs="宋体"/>
          <w:color w:val="000000" w:themeColor="text1"/>
          <w:kern w:val="0"/>
          <w:sz w:val="32"/>
          <w:szCs w:val="32"/>
          <w:highlight w:val="none"/>
          <w:lang w:val="en-US" w:eastAsia="zh-CN"/>
          <w14:textFill>
            <w14:solidFill>
              <w14:schemeClr w14:val="tx1"/>
            </w14:solidFill>
          </w14:textFill>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6" w:name="_Toc16198"/>
      <w:bookmarkStart w:id="27" w:name="_Toc11274"/>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十、办理流程</w:t>
      </w:r>
      <w:bookmarkEnd w:id="26"/>
      <w:bookmarkEnd w:id="27"/>
    </w:p>
    <w:p>
      <w:pPr>
        <w:bidi w:val="0"/>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pPr>
      <w:r>
        <w:rPr>
          <w:rFonts w:hint="eastAsia" w:ascii="仿宋_GB2312" w:hAnsi="仿宋_GB2312" w:eastAsia="仿宋_GB2312" w:cs="Times New Roman"/>
          <w:color w:val="auto"/>
          <w:sz w:val="32"/>
          <w:szCs w:val="32"/>
          <w:highlight w:val="none"/>
          <w:lang w:val="en-US" w:eastAsia="zh-CN" w:bidi="ar"/>
        </w:rPr>
        <w:t>前海管理局发布申报指南——申报单位网上申报——前海管理局网上初审——申报单位向政务服务中心收文窗口提交申请材料——前海管理局开展形式审查——前海管理局开展资质审查——前海管理局组织专项审计——征求意见与综合核查——拟定资助计划——社会公示——下达资助计划——通知申报单位提交拨付资料——拨付资金。</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8" w:name="_Toc28790"/>
      <w:bookmarkStart w:id="29" w:name="_Toc3693"/>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十一、办理时限</w:t>
      </w:r>
      <w:bookmarkEnd w:id="28"/>
      <w:bookmarkEnd w:id="29"/>
    </w:p>
    <w:p>
      <w:pPr>
        <w:bidi w:val="0"/>
        <w:rPr>
          <w:rFonts w:hint="default" w:eastAsia="仿宋_GB2312"/>
          <w:color w:val="auto"/>
          <w:highlight w:val="none"/>
          <w:lang w:val="en-US" w:eastAsia="zh-CN"/>
        </w:rPr>
      </w:pPr>
      <w:r>
        <w:rPr>
          <w:rFonts w:hint="eastAsia"/>
          <w:color w:val="auto"/>
          <w:highlight w:val="none"/>
          <w:lang w:val="en-US" w:eastAsia="zh-CN"/>
        </w:rPr>
        <w:t>180个工作日，不含特别程序。</w:t>
      </w:r>
    </w:p>
    <w:p>
      <w:pPr>
        <w:keepNext w:val="0"/>
        <w:keepLines w:val="0"/>
        <w:widowControl/>
        <w:bidi w:val="0"/>
        <w:spacing w:before="0" w:beforeLines="-2147483648" w:beforeAutospacing="0" w:after="0" w:afterLines="-2147483648" w:afterAutospacing="0" w:line="240" w:lineRule="auto"/>
        <w:ind w:firstLine="640" w:firstLineChars="200"/>
        <w:jc w:val="left"/>
        <w:outlineLvl w:val="9"/>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30" w:name="_Toc32254"/>
      <w:bookmarkStart w:id="31" w:name="_Toc29872"/>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十二、证件及有效期</w:t>
      </w:r>
      <w:bookmarkEnd w:id="30"/>
      <w:bookmarkEnd w:id="31"/>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证件：无</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2" w:name="_Toc17239"/>
      <w:bookmarkStart w:id="33" w:name="_Toc19920"/>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十三、证件的法律效力</w:t>
      </w:r>
      <w:bookmarkEnd w:id="32"/>
      <w:bookmarkEnd w:id="33"/>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4" w:name="_Toc7505"/>
      <w:bookmarkStart w:id="35" w:name="_Toc6842"/>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十四、收费</w:t>
      </w:r>
      <w:bookmarkEnd w:id="34"/>
      <w:bookmarkEnd w:id="35"/>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6" w:name="_Toc30475"/>
      <w:bookmarkStart w:id="37" w:name="_Toc30145"/>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十五、年审或年检</w:t>
      </w:r>
      <w:bookmarkEnd w:id="36"/>
      <w:bookmarkEnd w:id="37"/>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bookmarkStart w:id="38" w:name="_Toc28762"/>
      <w:bookmarkStart w:id="39" w:name="_Toc20677"/>
    </w:p>
    <w:p>
      <w:pPr>
        <w:bidi w:val="0"/>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十六、监督检查和补充说明</w:t>
      </w:r>
      <w:bookmarkEnd w:id="38"/>
      <w:bookmarkEnd w:id="39"/>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（一）申报单位应当按要求配合市、区两级商务部门和其他相关部门的监督检查，按要求做好项目资金管理、绩效评估等工作。</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（二）申报单位存在以下情形之一的，应当按要求将已获得的部分或全部财政专项资金退回国库，并按照有关规定处理；涉嫌犯罪的，依法移送有关机关处理：</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1.申报单位未履行或未完全履行申报承诺并经查证属实的。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2.申报单位不符合项目申报条件获得资助的。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3.申报单位存在利用不正当手段套取、骗取、盗取专项资金的。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4.审计、巡视、巡察等核查需要申报单位退回专项资金的。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5.其他按照有关规定需要退回资金的。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受理单位</w:t>
      </w:r>
      <w:r>
        <w:rPr>
          <w:rFonts w:hint="eastAsia"/>
          <w:color w:val="000000" w:themeColor="text1"/>
          <w:highlight w:val="none"/>
          <w14:textFill>
            <w14:solidFill>
              <w14:schemeClr w14:val="tx1"/>
            </w14:solidFill>
          </w14:textFill>
        </w:rPr>
        <w:t>从未委托任何单位和个人为申报单位代理专项资金扶持计划项目申报事宜</w:t>
      </w:r>
      <w:r>
        <w:rPr>
          <w:color w:val="000000" w:themeColor="text1"/>
          <w:highlight w:val="none"/>
          <w14:textFill>
            <w14:solidFill>
              <w14:schemeClr w14:val="tx1"/>
            </w14:solidFill>
          </w14:textFill>
        </w:rPr>
        <w:t>，申报单位应</w:t>
      </w:r>
      <w:r>
        <w:rPr>
          <w:rFonts w:hint="eastAsia"/>
          <w:color w:val="000000" w:themeColor="text1"/>
          <w:highlight w:val="none"/>
          <w14:textFill>
            <w14:solidFill>
              <w14:schemeClr w14:val="tx1"/>
            </w14:solidFill>
          </w14:textFill>
        </w:rPr>
        <w:t>自主申报。我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严格按照有关</w:t>
      </w:r>
      <w:r>
        <w:rPr>
          <w:color w:val="000000" w:themeColor="text1"/>
          <w:highlight w:val="none"/>
          <w14:textFill>
            <w14:solidFill>
              <w14:schemeClr w14:val="tx1"/>
            </w14:solidFill>
          </w14:textFill>
        </w:rPr>
        <w:t>规定</w:t>
      </w:r>
      <w:r>
        <w:rPr>
          <w:rFonts w:hint="eastAsia"/>
          <w:color w:val="000000" w:themeColor="text1"/>
          <w:highlight w:val="none"/>
          <w14:textFill>
            <w14:solidFill>
              <w14:schemeClr w14:val="tx1"/>
            </w14:solidFill>
          </w14:textFill>
        </w:rPr>
        <w:t>和程序受理申请，不收取任何费用。如有任何中介机构和个人假借我</w:t>
      </w:r>
      <w:r>
        <w:rPr>
          <w:rFonts w:hint="eastAsia"/>
          <w:color w:val="000000" w:themeColor="text1"/>
          <w:highlight w:val="none"/>
          <w:lang w:eastAsia="zh-CN"/>
          <w14:textFill>
            <w14:solidFill>
              <w14:schemeClr w14:val="tx1"/>
            </w14:solidFill>
          </w14:textFill>
        </w:rPr>
        <w:t>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工作人员名义向申报单位收取费用的，请向我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举报</w:t>
      </w:r>
      <w:r>
        <w:rPr>
          <w:rFonts w:hint="eastAsia"/>
          <w:color w:val="000000" w:themeColor="text1"/>
          <w:highlight w:val="none"/>
          <w:lang w:val="en-US" w:eastAsia="zh-CN"/>
          <w14:textFill>
            <w14:solidFill>
              <w14:schemeClr w14:val="tx1"/>
            </w14:solidFill>
          </w14:textFill>
        </w:rPr>
        <w:t>。</w:t>
      </w:r>
    </w:p>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申报单位在项目申报期间发生企业名称、联系信息变更的，应及时联系并提供变更材料，如因未及时变更产生的后果由企业自行承担。</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）资助拨款按照申请书银行账户信息办理。因</w:t>
      </w:r>
      <w:r>
        <w:rPr>
          <w:color w:val="000000" w:themeColor="text1"/>
          <w:highlight w:val="none"/>
          <w14:textFill>
            <w14:solidFill>
              <w14:schemeClr w14:val="tx1"/>
            </w14:solidFill>
          </w14:textFill>
        </w:rPr>
        <w:t>账户信息变更或企业填写错误等原因导致</w:t>
      </w:r>
      <w:r>
        <w:rPr>
          <w:rFonts w:hint="eastAsia"/>
          <w:color w:val="000000" w:themeColor="text1"/>
          <w:highlight w:val="none"/>
          <w:lang w:eastAsia="zh-CN"/>
          <w14:textFill>
            <w14:solidFill>
              <w14:schemeClr w14:val="tx1"/>
            </w14:solidFill>
          </w14:textFill>
        </w:rPr>
        <w:t>拨付</w:t>
      </w:r>
      <w:r>
        <w:rPr>
          <w:color w:val="000000" w:themeColor="text1"/>
          <w:highlight w:val="none"/>
          <w14:textFill>
            <w14:solidFill>
              <w14:schemeClr w14:val="tx1"/>
            </w14:solidFill>
          </w14:textFill>
        </w:rPr>
        <w:t>不成功的，</w:t>
      </w:r>
      <w:r>
        <w:rPr>
          <w:rFonts w:hint="eastAsia"/>
          <w:color w:val="000000" w:themeColor="text1"/>
          <w:highlight w:val="none"/>
          <w14:textFill>
            <w14:solidFill>
              <w14:schemeClr w14:val="tx1"/>
            </w14:solidFill>
          </w14:textFill>
        </w:rPr>
        <w:t>原则上予以办理一次拨款信息更改并再次拨付。</w:t>
      </w:r>
      <w:r>
        <w:rPr>
          <w:color w:val="000000" w:themeColor="text1"/>
          <w:highlight w:val="none"/>
          <w14:textFill>
            <w14:solidFill>
              <w14:schemeClr w14:val="tx1"/>
            </w14:solidFill>
          </w14:textFill>
        </w:rPr>
        <w:t>申报单位</w:t>
      </w:r>
      <w:r>
        <w:rPr>
          <w:rFonts w:hint="eastAsia"/>
          <w:color w:val="000000" w:themeColor="text1"/>
          <w:highlight w:val="none"/>
          <w14:textFill>
            <w14:solidFill>
              <w14:schemeClr w14:val="tx1"/>
            </w14:solidFill>
          </w14:textFill>
        </w:rPr>
        <w:t>应当按照要求办理资金拨款手续。</w:t>
      </w: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附录：名词解释</w:t>
      </w:r>
    </w:p>
    <w:p>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bidi w:val="0"/>
        <w:ind w:firstLine="0" w:firstLineChars="0"/>
        <w:rPr>
          <w:rFonts w:hint="eastAsia" w:ascii="黑体" w:hAnsi="黑体" w:eastAsia="黑体" w:cs="黑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highlight w:val="none"/>
          <w:lang w:eastAsia="zh-CN"/>
          <w14:textFill>
            <w14:solidFill>
              <w14:schemeClr w14:val="tx1"/>
            </w14:solidFill>
          </w14:textFill>
        </w:rPr>
        <w:t>附</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lang w:eastAsia="zh-CN"/>
          <w14:textFill>
            <w14:solidFill>
              <w14:schemeClr w14:val="tx1"/>
            </w14:solidFill>
          </w14:textFill>
        </w:rPr>
        <w:t>录</w:t>
      </w:r>
    </w:p>
    <w:p>
      <w:pPr>
        <w:bidi w:val="0"/>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二</w:t>
      </w:r>
      <w:r>
        <w:rPr>
          <w:rStyle w:val="19"/>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单体店铺：</w:t>
      </w:r>
      <w:r>
        <w:rPr>
          <w:rFonts w:hint="eastAsia" w:ascii="仿宋_GB2312" w:hAnsi="仿宋_GB2312" w:eastAsia="仿宋_GB2312" w:cs="仿宋_GB2312"/>
          <w:color w:val="auto"/>
          <w:sz w:val="32"/>
          <w:szCs w:val="32"/>
          <w:highlight w:val="none"/>
          <w:lang w:val="en-US" w:eastAsia="zh-CN"/>
        </w:rPr>
        <w:t>指具有独立经营空间、明确物理边界、可单独核算与运营的单个店铺，不包含商业综合体、商铺集群及多店合并形成的经营区域。</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三</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bidi w:val="0"/>
        <w:rPr>
          <w:rFonts w:hint="eastAsia"/>
          <w:color w:val="000000" w:themeColor="text1"/>
          <w:highlight w:val="none"/>
          <w14:textFill>
            <w14:solidFill>
              <w14:schemeClr w14:val="tx1"/>
            </w14:solidFill>
          </w14:textFill>
        </w:rPr>
      </w:pPr>
    </w:p>
    <w:bookmarkEnd w:id="22"/>
    <w:bookmarkEnd w:id="23"/>
    <w:bookmarkEnd w:id="24"/>
    <w:bookmarkEnd w:id="25"/>
    <w:p>
      <w:pPr>
        <w:pStyle w:val="17"/>
        <w:rPr>
          <w:rFonts w:ascii="仿宋_GB2312" w:hAnsi="仿宋_GB2312"/>
          <w:color w:val="000000" w:themeColor="text1"/>
          <w:highlight w:val="none"/>
          <w14:textFill>
            <w14:solidFill>
              <w14:schemeClr w14:val="tx1"/>
            </w14:solidFill>
          </w14:textFill>
        </w:rPr>
      </w:pPr>
    </w:p>
    <w:sectPr>
      <w:footerReference r:id="rId5" w:type="default"/>
      <w:pgSz w:w="11906" w:h="16838"/>
      <w:pgMar w:top="1814" w:right="1474" w:bottom="1814" w:left="1474"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9BF23A-3DDD-4A91-B346-BAB25ABC23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C3E174B-DE6C-48E9-9356-4D4FCFC6B581}"/>
  </w:font>
  <w:font w:name="仿宋_GB2312">
    <w:panose1 w:val="02010609030101010101"/>
    <w:charset w:val="86"/>
    <w:family w:val="auto"/>
    <w:pitch w:val="default"/>
    <w:sig w:usb0="00000001" w:usb1="080E0000" w:usb2="00000000" w:usb3="00000000" w:csb0="00040000" w:csb1="00000000"/>
    <w:embedRegular r:id="rId3" w:fontKey="{DD530644-8023-4CC7-862E-8A79E389DF97}"/>
  </w:font>
  <w:font w:name="仿宋">
    <w:panose1 w:val="02010609060101010101"/>
    <w:charset w:val="86"/>
    <w:family w:val="modern"/>
    <w:pitch w:val="default"/>
    <w:sig w:usb0="800002BF" w:usb1="38CF7CFA" w:usb2="00000016" w:usb3="00000000" w:csb0="00040001" w:csb1="00000000"/>
    <w:embedRegular r:id="rId4" w:fontKey="{3447770F-89DA-4CDC-8CBD-0F6081C671BB}"/>
  </w:font>
  <w:font w:name="方正小标宋简体">
    <w:panose1 w:val="03000509000000000000"/>
    <w:charset w:val="86"/>
    <w:family w:val="auto"/>
    <w:pitch w:val="default"/>
    <w:sig w:usb0="00000001" w:usb1="080E0000" w:usb2="00000000" w:usb3="00000000" w:csb0="00040000" w:csb1="00000000"/>
    <w:embedRegular r:id="rId5" w:fontKey="{44B163AF-14CA-4BA6-AE40-AE21EFDD3323}"/>
  </w:font>
  <w:font w:name="楷体">
    <w:panose1 w:val="02010609060101010101"/>
    <w:charset w:val="86"/>
    <w:family w:val="modern"/>
    <w:pitch w:val="default"/>
    <w:sig w:usb0="800002BF" w:usb1="38CF7CFA" w:usb2="00000016" w:usb3="00000000" w:csb0="00040001" w:csb1="00000000"/>
    <w:embedRegular r:id="rId6" w:fontKey="{75FD335D-F9E6-4408-9483-79DF07FF9E2C}"/>
  </w:font>
  <w:font w:name="楷体_GB2312">
    <w:panose1 w:val="02010609030101010101"/>
    <w:charset w:val="86"/>
    <w:family w:val="auto"/>
    <w:pitch w:val="default"/>
    <w:sig w:usb0="00000001" w:usb1="080E0000" w:usb2="00000000" w:usb3="00000000" w:csb0="00040000" w:csb1="00000000"/>
    <w:embedRegular r:id="rId7" w:fontKey="{9CA3D746-F44C-42AA-B8ED-79F309D37BC9}"/>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1596F0D"/>
    <w:rsid w:val="02803A46"/>
    <w:rsid w:val="02CB1CF7"/>
    <w:rsid w:val="02DA63DE"/>
    <w:rsid w:val="02E93786"/>
    <w:rsid w:val="032558AB"/>
    <w:rsid w:val="032C6A46"/>
    <w:rsid w:val="04FC43AD"/>
    <w:rsid w:val="05FD666C"/>
    <w:rsid w:val="06173D21"/>
    <w:rsid w:val="070F7027"/>
    <w:rsid w:val="08461CA3"/>
    <w:rsid w:val="096C3E20"/>
    <w:rsid w:val="09F4308E"/>
    <w:rsid w:val="0A2D6324"/>
    <w:rsid w:val="0A402FCB"/>
    <w:rsid w:val="0A6C5760"/>
    <w:rsid w:val="0B35692F"/>
    <w:rsid w:val="0B3D033F"/>
    <w:rsid w:val="0B4456D1"/>
    <w:rsid w:val="0BAD1FAB"/>
    <w:rsid w:val="0BE1742C"/>
    <w:rsid w:val="0C6D7BF8"/>
    <w:rsid w:val="0D1F0CED"/>
    <w:rsid w:val="0DD759F4"/>
    <w:rsid w:val="0F95719B"/>
    <w:rsid w:val="0FE131A1"/>
    <w:rsid w:val="10BF0BFF"/>
    <w:rsid w:val="11A73770"/>
    <w:rsid w:val="11BF2EFC"/>
    <w:rsid w:val="11F1104F"/>
    <w:rsid w:val="124226AB"/>
    <w:rsid w:val="126D73E5"/>
    <w:rsid w:val="12C61A4E"/>
    <w:rsid w:val="13A40095"/>
    <w:rsid w:val="14053C83"/>
    <w:rsid w:val="15C958A9"/>
    <w:rsid w:val="163D2AB4"/>
    <w:rsid w:val="172A2DF8"/>
    <w:rsid w:val="17B005EC"/>
    <w:rsid w:val="180F3C32"/>
    <w:rsid w:val="185533C0"/>
    <w:rsid w:val="187E0EC3"/>
    <w:rsid w:val="18AB1F57"/>
    <w:rsid w:val="190653E0"/>
    <w:rsid w:val="197B53D3"/>
    <w:rsid w:val="1B342A8E"/>
    <w:rsid w:val="1C210334"/>
    <w:rsid w:val="1C964CCC"/>
    <w:rsid w:val="1CFC17D2"/>
    <w:rsid w:val="1F1F51E6"/>
    <w:rsid w:val="1FF83836"/>
    <w:rsid w:val="205A510F"/>
    <w:rsid w:val="21127D99"/>
    <w:rsid w:val="22C22819"/>
    <w:rsid w:val="241E0552"/>
    <w:rsid w:val="246A3FA3"/>
    <w:rsid w:val="26E72CF4"/>
    <w:rsid w:val="294B23CF"/>
    <w:rsid w:val="2976170C"/>
    <w:rsid w:val="2A104310"/>
    <w:rsid w:val="2A117A07"/>
    <w:rsid w:val="2A4B3E74"/>
    <w:rsid w:val="2BA068F1"/>
    <w:rsid w:val="2C2A1457"/>
    <w:rsid w:val="2CAE0A32"/>
    <w:rsid w:val="2D88240F"/>
    <w:rsid w:val="2FEF4348"/>
    <w:rsid w:val="2FFC0AFB"/>
    <w:rsid w:val="302C0287"/>
    <w:rsid w:val="30D61D53"/>
    <w:rsid w:val="312F16E5"/>
    <w:rsid w:val="31A95387"/>
    <w:rsid w:val="31B31F93"/>
    <w:rsid w:val="321653A8"/>
    <w:rsid w:val="321759BB"/>
    <w:rsid w:val="329C19A3"/>
    <w:rsid w:val="32F52701"/>
    <w:rsid w:val="341A4C22"/>
    <w:rsid w:val="347B2CCE"/>
    <w:rsid w:val="352B3694"/>
    <w:rsid w:val="363C0287"/>
    <w:rsid w:val="3654545B"/>
    <w:rsid w:val="36565190"/>
    <w:rsid w:val="366C2500"/>
    <w:rsid w:val="369A281B"/>
    <w:rsid w:val="382C7B34"/>
    <w:rsid w:val="387303F9"/>
    <w:rsid w:val="39BDE09B"/>
    <w:rsid w:val="3B0E3D0E"/>
    <w:rsid w:val="3B8C72EB"/>
    <w:rsid w:val="3BFC17F2"/>
    <w:rsid w:val="3CA43A73"/>
    <w:rsid w:val="3CFD6976"/>
    <w:rsid w:val="3D5D42F6"/>
    <w:rsid w:val="3DB808BA"/>
    <w:rsid w:val="3E465CA3"/>
    <w:rsid w:val="407A2ECB"/>
    <w:rsid w:val="418D6C3A"/>
    <w:rsid w:val="41E50163"/>
    <w:rsid w:val="423806ED"/>
    <w:rsid w:val="428230B1"/>
    <w:rsid w:val="42B10DBA"/>
    <w:rsid w:val="4311773F"/>
    <w:rsid w:val="431659DC"/>
    <w:rsid w:val="431A16C9"/>
    <w:rsid w:val="437A5877"/>
    <w:rsid w:val="43BB3CEC"/>
    <w:rsid w:val="44A91A1A"/>
    <w:rsid w:val="44D052C5"/>
    <w:rsid w:val="46AE1F3D"/>
    <w:rsid w:val="473C23B2"/>
    <w:rsid w:val="47781E40"/>
    <w:rsid w:val="48541414"/>
    <w:rsid w:val="4900762E"/>
    <w:rsid w:val="49692B40"/>
    <w:rsid w:val="4A6B0082"/>
    <w:rsid w:val="4AB56AE2"/>
    <w:rsid w:val="4B6E7935"/>
    <w:rsid w:val="4BCF62A6"/>
    <w:rsid w:val="4BE675F5"/>
    <w:rsid w:val="4CB91CF2"/>
    <w:rsid w:val="4E423A35"/>
    <w:rsid w:val="4E7E74BD"/>
    <w:rsid w:val="4F98BDA8"/>
    <w:rsid w:val="4FC2745B"/>
    <w:rsid w:val="509A0D5C"/>
    <w:rsid w:val="52252BFC"/>
    <w:rsid w:val="53645795"/>
    <w:rsid w:val="53ED1DDF"/>
    <w:rsid w:val="54E753F5"/>
    <w:rsid w:val="56205C30"/>
    <w:rsid w:val="563F7F48"/>
    <w:rsid w:val="5779221D"/>
    <w:rsid w:val="580506BF"/>
    <w:rsid w:val="589B5008"/>
    <w:rsid w:val="58A326D8"/>
    <w:rsid w:val="59466376"/>
    <w:rsid w:val="59945B14"/>
    <w:rsid w:val="5A9E6E08"/>
    <w:rsid w:val="5BF51433"/>
    <w:rsid w:val="5C46774B"/>
    <w:rsid w:val="5E2F7920"/>
    <w:rsid w:val="5FFF8D5C"/>
    <w:rsid w:val="623151CA"/>
    <w:rsid w:val="64A22FFB"/>
    <w:rsid w:val="64DB7056"/>
    <w:rsid w:val="64FEF02B"/>
    <w:rsid w:val="66982F4F"/>
    <w:rsid w:val="6888651F"/>
    <w:rsid w:val="6894168D"/>
    <w:rsid w:val="69B52798"/>
    <w:rsid w:val="6A7451AD"/>
    <w:rsid w:val="6AC14C27"/>
    <w:rsid w:val="6BC41409"/>
    <w:rsid w:val="6C030E4B"/>
    <w:rsid w:val="6C5C62E3"/>
    <w:rsid w:val="6CAB30BC"/>
    <w:rsid w:val="6CED0F48"/>
    <w:rsid w:val="6CED51AD"/>
    <w:rsid w:val="6F0002D1"/>
    <w:rsid w:val="6FBE5F4A"/>
    <w:rsid w:val="6FCC3E6E"/>
    <w:rsid w:val="6FEFB7EB"/>
    <w:rsid w:val="70305F34"/>
    <w:rsid w:val="71D6011D"/>
    <w:rsid w:val="72694444"/>
    <w:rsid w:val="73470D86"/>
    <w:rsid w:val="73A0155B"/>
    <w:rsid w:val="73AF7735"/>
    <w:rsid w:val="73BBB3EE"/>
    <w:rsid w:val="74F90479"/>
    <w:rsid w:val="75405A96"/>
    <w:rsid w:val="756D75BF"/>
    <w:rsid w:val="7625601A"/>
    <w:rsid w:val="779F6813"/>
    <w:rsid w:val="77BF249E"/>
    <w:rsid w:val="78CB5794"/>
    <w:rsid w:val="78D33F7B"/>
    <w:rsid w:val="7973208E"/>
    <w:rsid w:val="7A613437"/>
    <w:rsid w:val="7C1A6A34"/>
    <w:rsid w:val="7CBE4AD3"/>
    <w:rsid w:val="7D1C7CE5"/>
    <w:rsid w:val="7DEA80E7"/>
    <w:rsid w:val="7EAF82F1"/>
    <w:rsid w:val="7F363046"/>
    <w:rsid w:val="7F7D640C"/>
    <w:rsid w:val="8EFFBC18"/>
    <w:rsid w:val="9FBE2D98"/>
    <w:rsid w:val="BBEEE557"/>
    <w:rsid w:val="BBF67452"/>
    <w:rsid w:val="BFB1E59F"/>
    <w:rsid w:val="BFFB0999"/>
    <w:rsid w:val="CAFD38F4"/>
    <w:rsid w:val="DB2E415F"/>
    <w:rsid w:val="DB2F7D73"/>
    <w:rsid w:val="DFBFA96B"/>
    <w:rsid w:val="DFDF681D"/>
    <w:rsid w:val="EDBF5009"/>
    <w:rsid w:val="EEF3C802"/>
    <w:rsid w:val="EFFFF1FE"/>
    <w:rsid w:val="F98F69B3"/>
    <w:rsid w:val="FBFE63F7"/>
    <w:rsid w:val="FEBFC558"/>
    <w:rsid w:val="FF7FB831"/>
    <w:rsid w:val="FFCF9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3858</Words>
  <Characters>4016</Characters>
  <Lines>0</Lines>
  <Paragraphs>0</Paragraphs>
  <TotalTime>0</TotalTime>
  <ScaleCrop>false</ScaleCrop>
  <LinksUpToDate>false</LinksUpToDate>
  <CharactersWithSpaces>4019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2025-07-05T10:47:00Z</dcterms:created>
  <dc:creator>黄佩琳</dc:creator>
  <cp:lastModifiedBy>黎俊</cp:lastModifiedBy>
  <cp:lastPrinted>2026-03-15T14:46:00Z</cp:lastPrinted>
  <dcterms:modified xsi:type="dcterms:W3CDTF">2026-06-29T12:16:46Z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1EB21C241E674BDB8B6E20A5ECAD8256_13</vt:lpwstr>
  </property>
  <property fmtid="{D5CDD505-2E9C-101B-9397-08002B2CF9AE}" pid="4" name="KSOTemplateDocerSaveRecord">
    <vt:lpwstr>eyJoZGlkIjoiNTIyMTVkNWMyNjg0MmY3ZTZkZGYyNGZiNGI3MzdhYTgiLCJ1c2VySWQiOiI1NzU3NDk0NDQifQ==</vt:lpwstr>
  </property>
</Properties>
</file>