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bookmarkStart w:id="0" w:name="_Toc32562"/>
      <w:bookmarkStart w:id="1" w:name="_Toc13216"/>
      <w:bookmarkStart w:id="2" w:name="_Toc5810"/>
      <w:bookmarkStart w:id="3" w:name="_Toc125127182"/>
      <w:r>
        <w:rPr>
          <w:rFonts w:hint="eastAsia" w:ascii="仿宋_GB2312" w:hAnsi="仿宋_GB2312" w:eastAsia="仿宋_GB2312" w:cs="仿宋_GB2312"/>
          <w:color w:val="auto"/>
          <w:sz w:val="32"/>
          <w:szCs w:val="32"/>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2026年中央资金深圳市消费新业态新模式新场景试点（支持创新多元化服务消费场景</w:t>
      </w:r>
      <w:r>
        <w:rPr>
          <w:rFonts w:hint="default" w:ascii="方正小标宋简体" w:hAnsi="Times New Roman" w:eastAsia="方正小标宋简体" w:cs="Times New Roman"/>
          <w:color w:val="auto"/>
          <w:kern w:val="2"/>
          <w:sz w:val="44"/>
          <w:szCs w:val="44"/>
          <w:highlight w:val="none"/>
          <w:lang w:val="en-US" w:eastAsia="zh-CN" w:bidi="ar-SA"/>
        </w:rPr>
        <w:t>—</w:t>
      </w:r>
      <w:r>
        <w:rPr>
          <w:rFonts w:hint="eastAsia" w:ascii="方正小标宋简体" w:hAnsi="Times New Roman" w:eastAsia="方正小标宋简体" w:cs="Times New Roman"/>
          <w:color w:val="auto"/>
          <w:kern w:val="2"/>
          <w:sz w:val="44"/>
          <w:szCs w:val="44"/>
          <w:highlight w:val="none"/>
          <w:lang w:val="en-US" w:eastAsia="zh-CN" w:bidi="ar-SA"/>
        </w:rPr>
        <w:t>商旅文体健多元融合载体资助</w:t>
      </w:r>
      <w:r>
        <w:rPr>
          <w:rFonts w:hint="default" w:ascii="方正小标宋简体" w:hAnsi="Times New Roman" w:eastAsia="方正小标宋简体" w:cs="Times New Roman"/>
          <w:color w:val="auto"/>
          <w:kern w:val="2"/>
          <w:sz w:val="44"/>
          <w:szCs w:val="44"/>
          <w:highlight w:val="none"/>
          <w:lang w:val="en-US" w:eastAsia="zh-CN" w:bidi="ar-SA"/>
        </w:rPr>
        <w:t>项目</w:t>
      </w:r>
      <w:r>
        <w:rPr>
          <w:rFonts w:hint="eastAsia" w:ascii="方正小标宋简体" w:hAnsi="Times New Roman" w:eastAsia="方正小标宋简体" w:cs="Times New Roman"/>
          <w:color w:val="auto"/>
          <w:kern w:val="2"/>
          <w:sz w:val="44"/>
          <w:szCs w:val="44"/>
          <w:highlight w:val="none"/>
          <w:lang w:val="en-US" w:eastAsia="zh-CN" w:bidi="ar-SA"/>
        </w:rPr>
        <w:t>）申报指南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4194"/>
      <w:bookmarkStart w:id="5" w:name="_Toc20798"/>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color w:val="auto"/>
          <w:highlight w:val="none"/>
          <w:lang w:val="en-US" w:eastAsia="zh-CN"/>
        </w:rPr>
      </w:pPr>
      <w:r>
        <w:rPr>
          <w:rFonts w:hint="eastAsia" w:ascii="仿宋_GB2312" w:eastAsia="仿宋_GB2312"/>
          <w:color w:val="auto"/>
          <w:highlight w:val="none"/>
          <w:lang w:val="en-US" w:eastAsia="zh-CN"/>
        </w:rPr>
        <w:t>支持商圈、商业综合体等开展业态创新、模式升级，在文娱、旅游、健康、体育等领域，深化人工智能、元宇宙等数字技术应用，打造商旅文体健融合消费新场景。</w:t>
      </w:r>
      <w:r>
        <w:rPr>
          <w:rFonts w:hint="eastAsia"/>
          <w:color w:val="auto"/>
          <w:highlight w:val="none"/>
          <w:lang w:val="en-US" w:eastAsia="zh-CN"/>
        </w:rPr>
        <w:t>鼓励</w:t>
      </w:r>
      <w:r>
        <w:rPr>
          <w:rFonts w:hint="eastAsia" w:ascii="仿宋_GB2312" w:eastAsia="仿宋_GB2312"/>
          <w:color w:val="auto"/>
          <w:highlight w:val="none"/>
          <w:lang w:val="en-US" w:eastAsia="zh-CN"/>
        </w:rPr>
        <w:t>对市内商圈、商业综合体通过创新升级融合商、旅、文、体、健等业态，</w:t>
      </w:r>
      <w:r>
        <w:rPr>
          <w:rFonts w:hint="eastAsia"/>
          <w:color w:val="auto"/>
          <w:highlight w:val="none"/>
          <w:lang w:val="en-US" w:eastAsia="zh-CN"/>
        </w:rPr>
        <w:t>有效拉动消费</w:t>
      </w:r>
      <w:r>
        <w:rPr>
          <w:rFonts w:hint="eastAsia" w:ascii="仿宋_GB2312" w:eastAsia="仿宋_GB2312"/>
          <w:color w:val="auto"/>
          <w:highlight w:val="none"/>
          <w:lang w:val="en-US" w:eastAsia="zh-CN"/>
        </w:rPr>
        <w:t>。</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default" w:ascii="仿宋_GB2312" w:hAnsi="仿宋_GB2312" w:eastAsia="仿宋_GB2312" w:cs="Times New Roman"/>
          <w:color w:val="auto"/>
          <w:sz w:val="32"/>
          <w:szCs w:val="32"/>
          <w:highlight w:val="none"/>
          <w:lang w:eastAsia="zh-CN"/>
        </w:rPr>
        <w:t>根据</w:t>
      </w: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等</w:t>
      </w:r>
      <w:r>
        <w:rPr>
          <w:rFonts w:hint="default" w:ascii="仿宋_GB2312" w:hAnsi="仿宋_GB2312" w:eastAsia="仿宋_GB2312" w:cs="Times New Roman"/>
          <w:color w:val="auto"/>
          <w:sz w:val="32"/>
          <w:szCs w:val="32"/>
          <w:highlight w:val="none"/>
          <w:lang w:eastAsia="zh-CN"/>
        </w:rPr>
        <w:t>相关文件设定</w:t>
      </w:r>
      <w:r>
        <w:rPr>
          <w:rFonts w:hint="eastAsia" w:ascii="仿宋_GB2312" w:hAnsi="仿宋_GB2312" w:eastAsia="宋体"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补贴</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431"/>
      <w:bookmarkStart w:id="11" w:name="_Toc15307"/>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6.申报单位不存在将本属于同一性质内涵与建设内容的资助项目刻意分拆成两个项目的情形。同一项目不得重复申请多个支持方向。</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kinsoku/>
        <w:wordWrap/>
        <w:overflowPunct/>
        <w:topLinePunct w:val="0"/>
        <w:autoSpaceDE/>
        <w:autoSpaceDN/>
        <w:bidi w:val="0"/>
        <w:adjustRightInd/>
        <w:snapToGrid/>
        <w:spacing w:before="0" w:after="0"/>
        <w:ind w:firstLine="0"/>
        <w:textAlignment w:val="auto"/>
        <w:rPr>
          <w:rFonts w:hint="eastAsia"/>
          <w:color w:val="auto"/>
          <w:highlight w:val="none"/>
          <w:lang w:val="en-US" w:eastAsia="zh-CN"/>
        </w:rPr>
      </w:pPr>
      <w:r>
        <w:rPr>
          <w:rFonts w:hint="eastAsia"/>
          <w:color w:val="auto"/>
          <w:highlight w:val="none"/>
          <w:lang w:val="en-US" w:eastAsia="zh-CN"/>
        </w:rPr>
        <w:t>1.申报项目须已融合商业、旅游、文化、体育、健康等多业态；</w:t>
      </w:r>
    </w:p>
    <w:p>
      <w:pPr>
        <w:keepNext w:val="0"/>
        <w:keepLines w:val="0"/>
        <w:pageBreakBefore w:val="0"/>
        <w:widowControl/>
        <w:kinsoku/>
        <w:wordWrap/>
        <w:overflowPunct/>
        <w:topLinePunct w:val="0"/>
        <w:autoSpaceDE/>
        <w:autoSpaceDN/>
        <w:bidi w:val="0"/>
        <w:adjustRightInd/>
        <w:snapToGrid/>
        <w:spacing w:before="0" w:after="0"/>
        <w:ind w:firstLine="0"/>
        <w:textAlignment w:val="auto"/>
        <w:rPr>
          <w:rFonts w:hint="eastAsia"/>
          <w:color w:val="auto"/>
          <w:highlight w:val="none"/>
          <w:lang w:val="en-US" w:eastAsia="zh-CN"/>
        </w:rPr>
      </w:pPr>
      <w:r>
        <w:rPr>
          <w:rFonts w:hint="eastAsia"/>
          <w:color w:val="auto"/>
          <w:highlight w:val="none"/>
          <w:lang w:val="en-US" w:eastAsia="zh-CN"/>
        </w:rPr>
        <w:t>2.评分达到60分及以上（评分表详见附录）。</w:t>
      </w:r>
    </w:p>
    <w:p>
      <w:pPr>
        <w:pStyle w:val="35"/>
        <w:bidi w:val="0"/>
        <w:spacing w:line="560" w:lineRule="exact"/>
        <w:ind w:firstLine="640" w:firstLineChars="200"/>
        <w:rPr>
          <w:rStyle w:val="19"/>
          <w:rFonts w:hint="eastAsia" w:ascii="仿宋_GB2312" w:hAnsi="仿宋" w:eastAsia="仿宋_GB2312" w:cs="宋体"/>
          <w:bCs/>
          <w:color w:val="auto"/>
          <w:kern w:val="36"/>
          <w:sz w:val="32"/>
          <w:szCs w:val="32"/>
          <w:highlight w:val="none"/>
          <w:lang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pageBreakBefore w:val="0"/>
        <w:widowControl/>
        <w:kinsoku/>
        <w:wordWrap/>
        <w:overflowPunct/>
        <w:topLinePunct w:val="0"/>
        <w:autoSpaceDE/>
        <w:autoSpaceDN/>
        <w:bidi w:val="0"/>
        <w:adjustRightInd/>
        <w:snapToGrid/>
        <w:spacing w:before="0" w:after="0"/>
        <w:ind w:firstLine="0"/>
        <w:textAlignment w:val="auto"/>
        <w:rPr>
          <w:rFonts w:hint="eastAsia" w:ascii="仿宋_GB2312" w:hAnsi="仿宋_GB2312" w:eastAsia="仿宋_GB2312" w:cs="仿宋"/>
          <w:bCs w:val="0"/>
          <w:color w:val="auto"/>
          <w:kern w:val="2"/>
          <w:szCs w:val="22"/>
          <w:highlight w:val="none"/>
          <w:lang w:val="en-US" w:eastAsia="zh-CN"/>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w:t>
      </w:r>
      <w:bookmarkStart w:id="40" w:name="_GoBack"/>
      <w:bookmarkEnd w:id="40"/>
      <w:r>
        <w:rPr>
          <w:rStyle w:val="19"/>
          <w:rFonts w:hint="default" w:ascii="仿宋_GB2312" w:hAnsi="仿宋_GB2312" w:eastAsia="仿宋_GB2312" w:cs="仿宋_GB2312"/>
          <w:color w:val="auto"/>
          <w:sz w:val="32"/>
          <w:szCs w:val="32"/>
          <w:highlight w:val="none"/>
          <w:lang w:val="en-US" w:eastAsia="zh-CN"/>
        </w:rPr>
        <w:t>以及无消费内容的项目。</w:t>
      </w:r>
    </w:p>
    <w:p>
      <w:pPr>
        <w:bidi w:val="0"/>
        <w:ind w:firstLine="801"/>
        <w:rPr>
          <w:rFonts w:hint="eastAsia" w:ascii="仿宋_GB2312" w:eastAsia="仿宋_GB2312"/>
          <w:color w:val="auto"/>
          <w:highlight w:val="none"/>
          <w:lang w:val="en-US" w:eastAsia="zh-CN"/>
        </w:rPr>
      </w:pPr>
      <w:r>
        <w:rPr>
          <w:rFonts w:hint="eastAsia" w:eastAsia="黑体" w:cs="Times New Roman"/>
          <w:bCs/>
          <w:color w:val="auto"/>
          <w:kern w:val="36"/>
          <w:szCs w:val="48"/>
          <w:highlight w:val="none"/>
          <w:lang w:val="en-US" w:eastAsia="zh-CN"/>
        </w:rPr>
        <w:t>五、</w:t>
      </w:r>
      <w:bookmarkStart w:id="12" w:name="_Toc31102"/>
      <w:bookmarkStart w:id="13" w:name="_Toc7095"/>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对</w:t>
      </w:r>
      <w:r>
        <w:rPr>
          <w:rFonts w:hint="eastAsia"/>
          <w:color w:val="auto"/>
          <w:highlight w:val="none"/>
          <w:lang w:val="en-US" w:eastAsia="zh-CN"/>
        </w:rPr>
        <w:t>符合条件的</w:t>
      </w:r>
      <w:r>
        <w:rPr>
          <w:rFonts w:hint="eastAsia" w:ascii="仿宋_GB2312" w:eastAsia="仿宋_GB2312"/>
          <w:color w:val="auto"/>
          <w:highlight w:val="none"/>
          <w:lang w:val="en-US" w:eastAsia="zh-CN"/>
        </w:rPr>
        <w:t>项目按相关实际</w:t>
      </w:r>
      <w:r>
        <w:rPr>
          <w:rFonts w:hint="eastAsia"/>
          <w:color w:val="auto"/>
          <w:highlight w:val="none"/>
          <w:lang w:val="en-US" w:eastAsia="zh-CN"/>
        </w:rPr>
        <w:t>有效</w:t>
      </w:r>
      <w:r>
        <w:rPr>
          <w:rFonts w:hint="eastAsia" w:ascii="仿宋_GB2312" w:eastAsia="仿宋_GB2312"/>
          <w:color w:val="auto"/>
          <w:highlight w:val="none"/>
          <w:lang w:val="en-US" w:eastAsia="zh-CN"/>
        </w:rPr>
        <w:t>投入（不含各级财政投资部分）15%给予资助，试点期间最高不超过500万元。</w:t>
      </w:r>
    </w:p>
    <w:p>
      <w:pPr>
        <w:bidi w:val="0"/>
        <w:rPr>
          <w:rFonts w:hint="eastAsia" w:ascii="仿宋_GB2312" w:eastAsia="仿宋_GB2312"/>
          <w:color w:val="auto"/>
          <w:highlight w:val="none"/>
          <w:lang w:val="en-US" w:eastAsia="zh-CN"/>
        </w:rPr>
      </w:pPr>
      <w:r>
        <w:rPr>
          <w:rFonts w:hint="eastAsia"/>
          <w:color w:val="auto"/>
          <w:highlight w:val="none"/>
          <w:lang w:val="en-US" w:eastAsia="zh-CN"/>
        </w:rPr>
        <w:t>实际有效投入是指</w:t>
      </w:r>
      <w:r>
        <w:rPr>
          <w:rStyle w:val="19"/>
          <w:rFonts w:hint="eastAsia"/>
          <w:color w:val="auto"/>
          <w:sz w:val="32"/>
          <w:szCs w:val="32"/>
          <w:highlight w:val="none"/>
          <w:lang w:eastAsia="zh-CN"/>
        </w:rPr>
        <w:t>2025年9月30日以来至申报日，</w:t>
      </w:r>
      <w:r>
        <w:rPr>
          <w:rFonts w:hint="eastAsia"/>
          <w:color w:val="auto"/>
          <w:highlight w:val="none"/>
          <w:lang w:val="en-US" w:eastAsia="zh-CN"/>
        </w:rPr>
        <w:t>申报主体在打造商旅文体健融合时，</w:t>
      </w:r>
      <w:r>
        <w:rPr>
          <w:rFonts w:hint="eastAsia"/>
          <w:color w:val="000000" w:themeColor="text1"/>
          <w:highlight w:val="none"/>
          <w:lang w:val="en-US" w:eastAsia="zh-CN"/>
          <w14:textFill>
            <w14:solidFill>
              <w14:schemeClr w14:val="tx1"/>
            </w14:solidFill>
          </w14:textFill>
        </w:rPr>
        <w:t>已完成或阶段性完成部分</w:t>
      </w:r>
      <w:r>
        <w:rPr>
          <w:rFonts w:hint="eastAsia"/>
          <w:color w:val="auto"/>
          <w:highlight w:val="none"/>
          <w:lang w:val="en-US" w:eastAsia="zh-CN"/>
        </w:rPr>
        <w:t>相应投入，不包括第四条专项条件中明确不予支持的投入部分。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pStyle w:val="35"/>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7147"/>
      <w:bookmarkStart w:id="15" w:name="_Toc27028"/>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申报单位按照申报材料要求编写项目申请书并提供相关证明材料，登录前海企业服务一体化平台在线下载填报申请书（网址：https://qhsk.sz.gov.cn/—选择“领补贴”—商贸物流—“消费新业态新模式新场景试点（</w:t>
      </w:r>
      <w:r>
        <w:rPr>
          <w:rFonts w:hint="default"/>
          <w:color w:val="auto"/>
          <w:highlight w:val="none"/>
        </w:rPr>
        <w:t>支持创新多元化服务消费场景—商旅文体健多元融合载体资助项目</w:t>
      </w:r>
      <w:r>
        <w:rPr>
          <w:rFonts w:hint="default"/>
          <w:color w:val="auto"/>
          <w:highlight w:val="none"/>
          <w:lang w:val="en-US" w:eastAsia="zh-CN"/>
        </w:rPr>
        <w:t>）事项”—点击“一键申报”—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w:t>
      </w:r>
      <w:r>
        <w:rPr>
          <w:rFonts w:hint="default"/>
          <w:color w:val="auto"/>
          <w:highlight w:val="none"/>
          <w:lang w:val="en-US" w:eastAsia="zh-CN"/>
        </w:rPr>
        <w:t>.</w:t>
      </w:r>
      <w:r>
        <w:rPr>
          <w:rFonts w:hint="eastAsia" w:ascii="仿宋_GB2312" w:eastAsia="仿宋_GB2312"/>
          <w:color w:val="auto"/>
          <w:highlight w:val="none"/>
          <w:lang w:val="en-US" w:eastAsia="zh-CN"/>
        </w:rPr>
        <w:t>评分表佐证材料</w:t>
      </w:r>
      <w:r>
        <w:rPr>
          <w:rFonts w:hint="eastAsia"/>
          <w:color w:val="auto"/>
          <w:highlight w:val="none"/>
          <w:lang w:val="en-US" w:eastAsia="zh-CN"/>
        </w:rPr>
        <w:t>：</w:t>
      </w:r>
      <w:r>
        <w:rPr>
          <w:rFonts w:hint="eastAsia" w:ascii="仿宋_GB2312" w:eastAsia="仿宋_GB2312"/>
          <w:color w:val="auto"/>
          <w:highlight w:val="none"/>
          <w:lang w:val="en-US" w:eastAsia="zh-CN"/>
        </w:rPr>
        <w:t>各申报单位应按照本指南附件《评分表》中所列指标及要求，完整提交对应佐证材料。</w:t>
      </w:r>
    </w:p>
    <w:p>
      <w:pPr>
        <w:bidi w:val="0"/>
        <w:rPr>
          <w:rFonts w:hint="eastAsia"/>
          <w:color w:val="auto"/>
          <w:highlight w:val="none"/>
          <w:lang w:val="en-US" w:eastAsia="zh-CN"/>
        </w:rPr>
      </w:pPr>
      <w:r>
        <w:rPr>
          <w:rFonts w:hint="eastAsia"/>
          <w:color w:val="auto"/>
          <w:highlight w:val="none"/>
          <w:lang w:val="en-US" w:eastAsia="zh-CN"/>
        </w:rPr>
        <w:t>2.项目成效总结（模板详见项目申报书）。</w:t>
      </w:r>
    </w:p>
    <w:p>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专项资金项目投入明细表</w:t>
      </w:r>
      <w:r>
        <w:rPr>
          <w:rFonts w:hint="eastAsia"/>
          <w:color w:val="auto"/>
          <w:highlight w:val="none"/>
          <w:lang w:val="en-US" w:eastAsia="zh-CN"/>
        </w:rPr>
        <w:t>及佐证材料（详见项目申报书）。</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5711"/>
      <w:bookmarkStart w:id="17" w:name="_Toc19526"/>
      <w:r>
        <w:rPr>
          <w:rFonts w:hint="eastAsia" w:ascii="黑体" w:hAnsi="黑体" w:eastAsia="黑体" w:cs="仿宋"/>
          <w:color w:val="auto"/>
          <w:kern w:val="2"/>
          <w:sz w:val="32"/>
          <w:szCs w:val="22"/>
          <w:highlight w:val="none"/>
          <w:lang w:val="en-US" w:eastAsia="zh-CN" w:bidi="ar-SA"/>
        </w:rPr>
        <w:t>七、申请表格</w:t>
      </w:r>
      <w:bookmarkEnd w:id="16"/>
      <w:bookmarkEnd w:id="17"/>
    </w:p>
    <w:p>
      <w:pPr>
        <w:bidi w:val="0"/>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本指南第六条（一）规定登录前海企业服务一体化平台在线填报申请书，网址：https://qhsk.sz.gov.cn/。</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13760"/>
      <w:bookmarkStart w:id="19" w:name="_Toc20121"/>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bidi w:val="0"/>
        <w:spacing w:before="0" w:after="0" w:line="560" w:lineRule="exact"/>
        <w:ind w:firstLine="640" w:firstLineChars="200"/>
        <w:rPr>
          <w:rFonts w:ascii="仿宋_GB2312" w:hAnsi="仿宋_GB2312" w:eastAsia="仿宋_GB2312" w:cs="仿宋_GB2312"/>
          <w:color w:val="auto"/>
          <w:sz w:val="32"/>
          <w:szCs w:val="32"/>
          <w:highlight w:val="none"/>
          <w:u w:val="none"/>
        </w:rPr>
      </w:pPr>
      <w:r>
        <w:rPr>
          <w:rFonts w:hint="eastAsia" w:cs="仿宋_GB2312"/>
          <w:color w:val="auto"/>
          <w:sz w:val="32"/>
          <w:szCs w:val="32"/>
          <w:highlight w:val="none"/>
          <w:u w:val="none"/>
          <w:lang w:val="en-US" w:eastAsia="zh-CN"/>
        </w:rPr>
        <w:t>深圳市前海管理局</w:t>
      </w:r>
    </w:p>
    <w:p>
      <w:pPr>
        <w:keepNext w:val="0"/>
        <w:keepLines w:val="0"/>
        <w:widowControl/>
        <w:bidi w:val="0"/>
        <w:spacing w:before="0" w:after="0" w:line="240" w:lineRule="auto"/>
        <w:ind w:firstLine="640" w:firstLineChars="200"/>
        <w:jc w:val="left"/>
        <w:outlineLvl w:val="9"/>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val="en-US" w:eastAsia="zh-CN"/>
        </w:rPr>
        <w:t>日-2026年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（三）受理地点</w:t>
      </w:r>
    </w:p>
    <w:p>
      <w:pPr>
        <w:bidi w:val="0"/>
        <w:spacing w:before="0" w:after="0" w:line="560" w:lineRule="exact"/>
        <w:ind w:firstLine="640" w:firstLineChars="200"/>
        <w:rPr>
          <w:rFonts w:ascii="仿宋_GB2312" w:hAnsi="仿宋_GB2312" w:eastAsia="仿宋_GB2312" w:cs="仿宋_GB2312"/>
          <w:color w:val="auto"/>
          <w:sz w:val="32"/>
          <w:szCs w:val="32"/>
          <w:highlight w:val="none"/>
          <w:u w:val="none"/>
        </w:rPr>
      </w:pPr>
      <w:r>
        <w:rPr>
          <w:rFonts w:hint="eastAsia" w:cs="仿宋_GB2312"/>
          <w:color w:val="000000" w:themeColor="text1"/>
          <w:sz w:val="32"/>
          <w:szCs w:val="32"/>
          <w:highlight w:val="none"/>
          <w:u w:val="none"/>
          <w:lang w:eastAsia="zh-CN"/>
          <w14:textFill>
            <w14:solidFill>
              <w14:schemeClr w14:val="tx1"/>
            </w14:solidFill>
          </w14:textFill>
        </w:rPr>
        <w:t>深圳市前海合作区前湾一路19号前海e站通服务中心</w:t>
      </w:r>
    </w:p>
    <w:p>
      <w:pPr>
        <w:bidi w:val="0"/>
        <w:spacing w:before="0" w:after="0" w:line="560" w:lineRule="exact"/>
        <w:ind w:left="645" w:firstLine="0" w:firstLineChars="0"/>
        <w:rPr>
          <w:rFonts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（四）咨询电话</w:t>
      </w:r>
    </w:p>
    <w:p>
      <w:pPr>
        <w:bidi w:val="0"/>
        <w:rPr>
          <w:rFonts w:hint="eastAsia" w:ascii="仿宋_GB2312" w:hAnsi="仿宋_GB2312" w:eastAsia="仿宋_GB2312" w:cs="仿宋_GB2312"/>
          <w:color w:val="auto"/>
          <w:sz w:val="32"/>
          <w:szCs w:val="32"/>
          <w:highlight w:val="none"/>
          <w:u w:val="single"/>
        </w:rPr>
      </w:pPr>
      <w:r>
        <w:rPr>
          <w:rFonts w:hint="eastAsia" w:cs="仿宋_GB2312"/>
          <w:color w:val="000000" w:themeColor="text1"/>
          <w:sz w:val="32"/>
          <w:szCs w:val="32"/>
          <w:highlight w:val="none"/>
          <w:u w:val="none"/>
          <w:lang w:val="en-US" w:eastAsia="zh-CN"/>
          <w14:textFill>
            <w14:solidFill>
              <w14:schemeClr w14:val="tx1"/>
            </w14:solidFill>
          </w14:textFill>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1376"/>
      <w:bookmarkStart w:id="21" w:name="_Toc9722"/>
      <w:r>
        <w:rPr>
          <w:rFonts w:hint="eastAsia" w:ascii="黑体" w:hAnsi="黑体" w:eastAsia="黑体" w:cs="仿宋"/>
          <w:color w:val="auto"/>
          <w:kern w:val="2"/>
          <w:sz w:val="32"/>
          <w:szCs w:val="22"/>
          <w:highlight w:val="none"/>
          <w:lang w:val="en-US" w:eastAsia="zh-CN" w:bidi="ar-SA"/>
        </w:rPr>
        <w:t>九、申请决定机关</w:t>
      </w:r>
      <w:bookmarkEnd w:id="20"/>
      <w:bookmarkEnd w:id="21"/>
    </w:p>
    <w:p>
      <w:pPr>
        <w:bidi w:val="0"/>
        <w:rPr>
          <w:rFonts w:hint="eastAsia" w:ascii="仿宋_GB2312" w:hAnsi="宋体" w:eastAsia="仿宋_GB2312" w:cs="宋体"/>
          <w:color w:val="auto"/>
          <w:kern w:val="0"/>
          <w:sz w:val="32"/>
          <w:szCs w:val="32"/>
          <w:highlight w:val="none"/>
          <w:lang w:val="en-US" w:eastAsia="zh-CN"/>
        </w:rPr>
      </w:pPr>
      <w:bookmarkStart w:id="22" w:name="_Toc10305"/>
      <w:bookmarkStart w:id="23" w:name="_Toc125127183"/>
      <w:bookmarkStart w:id="24" w:name="_Toc2137"/>
      <w:bookmarkStart w:id="25" w:name="_Toc161850809"/>
      <w:r>
        <w:rPr>
          <w:rFonts w:hint="eastAsia" w:cs="仿宋_GB2312"/>
          <w:color w:val="auto"/>
          <w:sz w:val="32"/>
          <w:szCs w:val="32"/>
          <w:highlight w:val="none"/>
          <w:u w:val="none"/>
          <w:lang w:val="en-US" w:eastAsia="zh-CN"/>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1274"/>
      <w:bookmarkStart w:id="27" w:name="_Toc16198"/>
      <w:r>
        <w:rPr>
          <w:rFonts w:hint="eastAsia" w:ascii="黑体" w:hAnsi="黑体" w:eastAsia="黑体" w:cs="仿宋"/>
          <w:color w:val="auto"/>
          <w:kern w:val="2"/>
          <w:sz w:val="32"/>
          <w:szCs w:val="22"/>
          <w:highlight w:val="none"/>
          <w:lang w:val="en-US" w:eastAsia="zh-CN" w:bidi="ar-SA"/>
        </w:rPr>
        <w:t>十、办理流程</w:t>
      </w:r>
      <w:bookmarkEnd w:id="26"/>
      <w:bookmarkEnd w:id="27"/>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仿宋_GB2312" w:hAnsi="仿宋_GB2312" w:eastAsia="仿宋_GB2312" w:cs="Times New Roman"/>
          <w:color w:val="auto"/>
          <w:sz w:val="32"/>
          <w:szCs w:val="32"/>
          <w:highlight w:val="none"/>
          <w:lang w:val="en-US" w:eastAsia="zh-CN" w:bidi="ar"/>
        </w:rPr>
        <w:t>前海管理局发布申报指南——申报单位网上申报——前海管理局网上初审——申报单位向政务服务中心收文窗口提交申请材料——前海管理局开展形式审查——前海管理局开展资质审查——前海管理局组织专项审计——征求意见与综合核查——拟定资助计划——社会公示——下达资助计划——通知申报单位提交拨付资料——拨付资金。</w:t>
      </w:r>
      <w:bookmarkStart w:id="28" w:name="_Toc28790"/>
      <w:bookmarkStart w:id="29" w:name="_Toc3693"/>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default" w:eastAsia="仿宋_GB2312"/>
          <w:color w:val="auto"/>
          <w:highlight w:val="none"/>
          <w:lang w:val="en-US" w:eastAsia="zh-CN"/>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32254"/>
      <w:bookmarkStart w:id="31" w:name="_Toc29872"/>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9920"/>
      <w:bookmarkStart w:id="33" w:name="_Toc17239"/>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7505"/>
      <w:bookmarkStart w:id="35" w:name="_Toc6842"/>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0677"/>
      <w:bookmarkStart w:id="39" w:name="_Toc28762"/>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账户信息变更或企业填写错误等原因导致拨不成功的，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Fonts w:hint="eastAsia"/>
          <w:color w:val="auto"/>
          <w:highlight w:val="none"/>
          <w:lang w:eastAsia="zh-CN"/>
        </w:rPr>
        <w:t>（八）</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bidi w:val="0"/>
        <w:rPr>
          <w:rFonts w:hint="eastAsia"/>
          <w:color w:val="auto"/>
          <w:highlight w:val="none"/>
        </w:rPr>
      </w:pPr>
    </w:p>
    <w:p>
      <w:pPr>
        <w:bidi w:val="0"/>
        <w:rPr>
          <w:rFonts w:hint="eastAsia"/>
          <w:color w:val="auto"/>
          <w:highlight w:val="none"/>
          <w:lang w:eastAsia="zh-CN"/>
        </w:rPr>
      </w:pPr>
      <w:r>
        <w:rPr>
          <w:rFonts w:hint="eastAsia"/>
          <w:color w:val="auto"/>
          <w:highlight w:val="none"/>
          <w:lang w:eastAsia="zh-CN"/>
        </w:rPr>
        <w:t>附录：深圳市消费新业态新模式新场景试点商旅文体健多元融合载体项目评分表</w:t>
      </w:r>
    </w:p>
    <w:bookmarkEnd w:id="22"/>
    <w:bookmarkEnd w:id="23"/>
    <w:bookmarkEnd w:id="24"/>
    <w:bookmarkEnd w:id="25"/>
    <w:p>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pPr>
    </w:p>
    <w:p>
      <w:pPr>
        <w:pStyle w:val="17"/>
        <w:spacing w:line="560" w:lineRule="exact"/>
        <w:rPr>
          <w:rFonts w:ascii="仿宋_GB2312" w:hAnsi="仿宋_GB2312"/>
          <w:color w:val="auto"/>
          <w:highlight w:val="none"/>
        </w:rPr>
        <w:sectPr>
          <w:headerReference r:id="rId5" w:type="default"/>
          <w:footerReference r:id="rId6" w:type="default"/>
          <w:pgSz w:w="11906" w:h="16838"/>
          <w:pgMar w:top="1814" w:right="1474" w:bottom="1814" w:left="1474"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b w:val="0"/>
          <w:bCs w:val="0"/>
          <w:i w:val="0"/>
          <w:iCs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color="auto" w:fill="FFFFFF"/>
          <w:lang w:val="en-US" w:eastAsia="zh-CN" w:bidi="ar"/>
        </w:rPr>
        <w:t>附  录</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b w:val="0"/>
          <w:bCs w:val="0"/>
          <w:i w:val="0"/>
          <w:iCs w:val="0"/>
          <w:caps w:val="0"/>
          <w:color w:val="auto"/>
          <w:spacing w:val="0"/>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pPr>
      <w:r>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t>商旅文体健多元融合载体项目评分表</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Calibri" w:hAnsi="等线" w:eastAsia="宋体" w:cs="仿宋_GB2312"/>
          <w:i w:val="0"/>
          <w:iCs w:val="0"/>
          <w:color w:val="auto"/>
          <w:kern w:val="0"/>
          <w:sz w:val="24"/>
          <w:szCs w:val="24"/>
          <w:highlight w:val="none"/>
          <w:u w:val="none"/>
          <w:lang w:val="en-US" w:eastAsia="zh-CN" w:bidi="ar"/>
        </w:rPr>
      </w:pPr>
    </w:p>
    <w:tbl>
      <w:tblPr>
        <w:tblStyle w:val="18"/>
        <w:tblW w:w="13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4"/>
        <w:gridCol w:w="1997"/>
        <w:gridCol w:w="1206"/>
        <w:gridCol w:w="1657"/>
        <w:gridCol w:w="2836"/>
        <w:gridCol w:w="1310"/>
        <w:gridCol w:w="2603"/>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一级指标</w:t>
            </w:r>
          </w:p>
        </w:tc>
        <w:tc>
          <w:tcPr>
            <w:tcW w:w="19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二级指标</w:t>
            </w:r>
          </w:p>
        </w:tc>
        <w:tc>
          <w:tcPr>
            <w:tcW w:w="569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评分标准</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分值（分）</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佐证材料参考</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区评分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项目规模与投入</w:t>
            </w: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商业面积</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总面积≥100,000㎡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租赁合同或房产证（需载明面积）等材料</w:t>
            </w:r>
          </w:p>
        </w:tc>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50,000㎡≤总面积&lt;100,000㎡​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20,000㎡≤总面积&lt;50,000㎡​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总面积&lt;20,000㎡​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商业管理团队就业带动（2025年9月30日以来）</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新增就业人数≥50个</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6</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kern w:val="0"/>
                <w:sz w:val="24"/>
                <w:szCs w:val="24"/>
                <w:highlight w:val="none"/>
                <w:u w:val="none"/>
                <w:lang w:val="en-US" w:eastAsia="zh-CN" w:bidi="ar"/>
              </w:rPr>
              <w:t>新增就业人数说明、</w:t>
            </w:r>
            <w:r>
              <w:rPr>
                <w:rFonts w:hint="eastAsia" w:ascii="仿宋_GB2312" w:hAnsi="仿宋_GB2312" w:eastAsia="仿宋_GB2312" w:cs="仿宋_GB2312"/>
                <w:i w:val="0"/>
                <w:iCs w:val="0"/>
                <w:color w:val="auto"/>
                <w:kern w:val="0"/>
                <w:sz w:val="24"/>
                <w:szCs w:val="24"/>
                <w:highlight w:val="none"/>
                <w:u w:val="none"/>
                <w:lang w:val="en-US" w:eastAsia="zh-CN" w:bidi="ar"/>
              </w:rPr>
              <w:t>社保缴纳记录等材料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30个≤新增就业人数&lt;50个</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新增就业人数&lt;30个</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非传统零售功能情况（文化、旅游、体育、健康等）</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细分业态</w:t>
            </w:r>
          </w:p>
        </w:tc>
        <w:tc>
          <w:tcPr>
            <w:tcW w:w="165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业态面积占总体的百分比</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偏离度判定</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right"/>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分值（分）</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佐证材料参考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文化类</w:t>
            </w:r>
          </w:p>
        </w:tc>
        <w:tc>
          <w:tcPr>
            <w:tcW w:w="1657"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项目业态租赁合同等材料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旅游类</w:t>
            </w:r>
          </w:p>
        </w:tc>
        <w:tc>
          <w:tcPr>
            <w:tcW w:w="1657"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体育类</w:t>
            </w:r>
          </w:p>
        </w:tc>
        <w:tc>
          <w:tcPr>
            <w:tcW w:w="1657"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健康类</w:t>
            </w:r>
          </w:p>
        </w:tc>
        <w:tc>
          <w:tcPr>
            <w:tcW w:w="1657"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165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预期效益与运营能力</w:t>
            </w: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月均租金坪效（元/㎡/月）</w:t>
            </w: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月均租金坪效</w:t>
            </w:r>
            <w:r>
              <w:rPr>
                <w:rStyle w:val="30"/>
                <w:rFonts w:hAnsi="仿宋_GB2312"/>
                <w:color w:val="auto"/>
                <w:sz w:val="24"/>
                <w:szCs w:val="24"/>
                <w:highlight w:val="none"/>
                <w:lang w:val="en-US" w:eastAsia="zh-CN" w:bidi="ar"/>
              </w:rPr>
              <w:t>＞</w:t>
            </w:r>
            <w:r>
              <w:rPr>
                <w:rStyle w:val="30"/>
                <w:rFonts w:hint="eastAsia" w:hAnsi="仿宋_GB2312"/>
                <w:color w:val="auto"/>
                <w:sz w:val="24"/>
                <w:szCs w:val="24"/>
                <w:highlight w:val="none"/>
                <w:lang w:val="en-US" w:eastAsia="zh-CN" w:bidi="ar"/>
              </w:rPr>
              <w:t>700</w:t>
            </w:r>
            <w:r>
              <w:rPr>
                <w:rStyle w:val="30"/>
                <w:rFonts w:hAnsi="仿宋_GB2312"/>
                <w:color w:val="auto"/>
                <w:sz w:val="24"/>
                <w:szCs w:val="24"/>
                <w:highlight w:val="none"/>
                <w:lang w:val="en-US" w:eastAsia="zh-CN" w:bidi="ar"/>
              </w:rPr>
              <w:t>元</w:t>
            </w:r>
            <w:r>
              <w:rPr>
                <w:rStyle w:val="31"/>
                <w:rFonts w:hint="eastAsia" w:ascii="仿宋_GB2312" w:hAnsi="仿宋_GB2312" w:eastAsia="仿宋_GB2312" w:cs="仿宋_GB2312"/>
                <w:color w:val="auto"/>
                <w:sz w:val="24"/>
                <w:szCs w:val="24"/>
                <w:highlight w:val="none"/>
                <w:lang w:val="en-US" w:eastAsia="zh-CN" w:bidi="ar"/>
              </w:rPr>
              <w:t>/</w:t>
            </w:r>
            <w:r>
              <w:rPr>
                <w:rFonts w:hint="eastAsia" w:ascii="仿宋_GB2312" w:hAnsi="仿宋_GB2312" w:eastAsia="仿宋_GB2312" w:cs="仿宋_GB2312"/>
                <w:color w:val="auto"/>
                <w:sz w:val="24"/>
                <w:szCs w:val="24"/>
                <w:highlight w:val="none"/>
                <w:u w:val="none"/>
                <w:lang w:val="en-US" w:eastAsia="zh-CN" w:bidi="ar"/>
              </w:rPr>
              <w:t>㎡</w:t>
            </w:r>
            <w:r>
              <w:rPr>
                <w:rStyle w:val="31"/>
                <w:rFonts w:hint="eastAsia" w:ascii="仿宋_GB2312" w:hAnsi="仿宋_GB2312" w:eastAsia="仿宋_GB2312" w:cs="仿宋_GB2312"/>
                <w:color w:val="auto"/>
                <w:sz w:val="24"/>
                <w:szCs w:val="24"/>
                <w:highlight w:val="none"/>
                <w:lang w:val="en-US" w:eastAsia="zh-CN" w:bidi="ar"/>
              </w:rPr>
              <w:t>/</w:t>
            </w:r>
            <w:r>
              <w:rPr>
                <w:rStyle w:val="30"/>
                <w:rFonts w:hAnsi="仿宋_GB2312"/>
                <w:color w:val="auto"/>
                <w:sz w:val="24"/>
                <w:szCs w:val="24"/>
                <w:highlight w:val="none"/>
                <w:lang w:val="en-US" w:eastAsia="zh-CN" w:bidi="ar"/>
              </w:rPr>
              <w:t>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租金及面积相关材料（如租赁合同、租金流水等）</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600≤月均租金坪效＜700元/㎡/月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500≤月均租金坪效&lt;600元/㎡/月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400≤月均租金坪效&lt;500元/㎡/月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200≤月均租金坪效&lt;400元/㎡/月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月均租金坪效&lt;200元/㎡/月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运营活动计划</w:t>
            </w: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有详尽、系统的年度活动计划，且活动类型多样、频次高（如每月有主题）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6</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详细的年度“商旅文体健”主题融合活动计划表，包含活动主题、时间、内容、预期规模等</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多元化场景融合能力</w:t>
            </w: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旅游（可多项得分）</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旅游服务设施种类（如导览、寄存、票务、多语种服务等）≥3类</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空间规划图、现场图片等材料</w:t>
            </w:r>
          </w:p>
        </w:tc>
        <w:tc>
          <w:tcPr>
            <w:tcW w:w="1004"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设置离境退税点或离境退税商铺</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设有旅游商品/手信销售区区域或商店/文创旅游商店</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文化（可多项得分）</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引入国际顶级文化IP（如迪士尼、环球等）或引入国家级文化IP/非遗项目≥3项</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IP授权协议或合作协议等材料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举办文化活动年均≥15场，或预计年度覆盖的观众、参与者或学员人次≥3000人次</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文化活动排期表、场地使用记录、现场图片、新闻稿等材料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与市级及以上（含国际）博物/美术馆、艺术家、文化机构等有正式合作，并举办过联名活动或设立常设展区</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合作协议、新闻稿等材料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体育（可多项得分）</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hAnsi="仿宋_GB2312" w:cs="仿宋_GB2312"/>
                <w:color w:val="auto"/>
                <w:sz w:val="24"/>
                <w:szCs w:val="24"/>
                <w:highlight w:val="none"/>
                <w:u w:val="none"/>
                <w:lang w:val="en-US" w:eastAsia="zh-CN" w:bidi="ar"/>
              </w:rPr>
              <w:t>拥有专业级运动场馆或赛事运营能力（如球场、马术中心、室内滑雪场、攀岩馆等）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场地功能图、现场图片，及赛事承办合同/政府批文等材料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自主举办或承办体育赛事、联赛、趣味挑战赛年均≥15场，或预计可容纳活动人数、参与者或学员人次≥3000人次</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现场图片、体育活动排期表、项目说明书、承诺函等材料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健康服务</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健康服务业态覆盖“医疗服务（如医美、齿科、体检）+养生保健（如中医、SPA）+健康餐饮”等3类及以上</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资质文件、合作协议、场地图片、现场图片、商户清单等材料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创新与引领能力</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融合模式创新性</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具有区域首创性或显著标杆意义</w:t>
            </w:r>
            <w:r>
              <w:rPr>
                <w:rStyle w:val="34"/>
                <w:rFonts w:hAnsi="仿宋_GB2312"/>
                <w:color w:val="auto"/>
                <w:sz w:val="24"/>
                <w:szCs w:val="24"/>
                <w:highlight w:val="none"/>
                <w:lang w:val="en-US" w:eastAsia="zh-CN" w:bidi="ar"/>
              </w:rPr>
              <w:t>的融合模式（如“工业遗存+旅游”、”文化艺术+商业综合体“、“体育健康+商业综合体”等）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3</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首创性项目需附有官方媒体新闻稿截图</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绿色低碳实践</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在节能改造、绿色建筑、废弃物管理等方面有突出实践，获得国家级或省级绿色商场、节能标杆等认证。</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3</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相关认证材料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注：1、</w:t>
      </w:r>
      <w:r>
        <w:rPr>
          <w:rFonts w:hint="default" w:ascii="仿宋_GB2312" w:hAnsi="仿宋_GB2312" w:eastAsia="仿宋_GB2312" w:cs="仿宋_GB2312"/>
          <w:i w:val="0"/>
          <w:iCs w:val="0"/>
          <w:color w:val="auto"/>
          <w:kern w:val="0"/>
          <w:sz w:val="24"/>
          <w:szCs w:val="24"/>
          <w:highlight w:val="none"/>
          <w:u w:val="none"/>
          <w:lang w:val="en-US" w:eastAsia="zh-CN" w:bidi="ar"/>
        </w:rPr>
        <w:t>文化类</w:t>
      </w:r>
      <w:r>
        <w:rPr>
          <w:rFonts w:hint="eastAsia" w:ascii="仿宋_GB2312" w:hAnsi="仿宋_GB2312" w:eastAsia="仿宋_GB2312" w:cs="仿宋_GB2312"/>
          <w:i w:val="0"/>
          <w:iCs w:val="0"/>
          <w:color w:val="auto"/>
          <w:kern w:val="0"/>
          <w:sz w:val="24"/>
          <w:szCs w:val="24"/>
          <w:highlight w:val="none"/>
          <w:u w:val="none"/>
          <w:lang w:val="en-US" w:eastAsia="zh-CN" w:bidi="ar"/>
        </w:rPr>
        <w:t>：文化策展、书店、画廊、剧场、影院、艺术展厅、非遗工坊、文创集合、艺术培训、数字娱乐体验</w:t>
      </w:r>
      <w:r>
        <w:rPr>
          <w:rFonts w:hint="default" w:ascii="仿宋_GB2312" w:hAnsi="仿宋_GB2312" w:eastAsia="仿宋_GB2312" w:cs="仿宋_GB2312"/>
          <w:i w:val="0"/>
          <w:iCs w:val="0"/>
          <w:color w:val="auto"/>
          <w:kern w:val="0"/>
          <w:sz w:val="24"/>
          <w:szCs w:val="24"/>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r>
        <w:rPr>
          <w:rFonts w:hint="default" w:ascii="仿宋_GB2312" w:hAnsi="仿宋_GB2312" w:eastAsia="仿宋_GB2312" w:cs="仿宋_GB2312"/>
          <w:i w:val="0"/>
          <w:iCs w:val="0"/>
          <w:color w:val="auto"/>
          <w:kern w:val="0"/>
          <w:sz w:val="24"/>
          <w:szCs w:val="24"/>
          <w:highlight w:val="none"/>
          <w:u w:val="none"/>
          <w:lang w:val="en-US" w:eastAsia="zh-CN" w:bidi="ar"/>
        </w:rPr>
        <w:t>旅游类</w:t>
      </w:r>
      <w:r>
        <w:rPr>
          <w:rFonts w:hint="eastAsia" w:ascii="仿宋_GB2312" w:hAnsi="仿宋_GB2312" w:eastAsia="仿宋_GB2312" w:cs="仿宋_GB2312"/>
          <w:i w:val="0"/>
          <w:iCs w:val="0"/>
          <w:color w:val="auto"/>
          <w:kern w:val="0"/>
          <w:sz w:val="24"/>
          <w:szCs w:val="24"/>
          <w:highlight w:val="none"/>
          <w:u w:val="none"/>
          <w:lang w:val="en-US" w:eastAsia="zh-CN" w:bidi="ar"/>
        </w:rPr>
        <w:t>：旅行社及体验中心、主题酒店、文创旅游商品店</w:t>
      </w:r>
      <w:r>
        <w:rPr>
          <w:rFonts w:hint="default" w:ascii="仿宋_GB2312" w:hAnsi="仿宋_GB2312" w:eastAsia="仿宋_GB2312" w:cs="仿宋_GB2312"/>
          <w:i w:val="0"/>
          <w:iCs w:val="0"/>
          <w:color w:val="auto"/>
          <w:kern w:val="0"/>
          <w:sz w:val="24"/>
          <w:szCs w:val="24"/>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r>
        <w:rPr>
          <w:rFonts w:hint="default" w:ascii="仿宋_GB2312" w:hAnsi="仿宋_GB2312" w:eastAsia="仿宋_GB2312" w:cs="仿宋_GB2312"/>
          <w:i w:val="0"/>
          <w:iCs w:val="0"/>
          <w:color w:val="auto"/>
          <w:kern w:val="0"/>
          <w:sz w:val="24"/>
          <w:szCs w:val="24"/>
          <w:highlight w:val="none"/>
          <w:u w:val="none"/>
          <w:lang w:val="en-US" w:eastAsia="zh-CN" w:bidi="ar"/>
        </w:rPr>
        <w:t>体育类</w:t>
      </w:r>
      <w:r>
        <w:rPr>
          <w:rFonts w:hint="eastAsia" w:ascii="仿宋_GB2312" w:hAnsi="仿宋_GB2312" w:eastAsia="仿宋_GB2312" w:cs="仿宋_GB2312"/>
          <w:i w:val="0"/>
          <w:iCs w:val="0"/>
          <w:color w:val="auto"/>
          <w:kern w:val="0"/>
          <w:sz w:val="24"/>
          <w:szCs w:val="24"/>
          <w:highlight w:val="none"/>
          <w:u w:val="none"/>
          <w:lang w:val="en-US" w:eastAsia="zh-CN" w:bidi="ar"/>
        </w:rPr>
        <w:t>：健身房、瑜伽馆、滑雪冲浪模拟、滑冰场、室内棒球馆、攀岩馆、户外装备、体育用品、击剑馆、骑行装备店、体感游戏、VR运动</w:t>
      </w:r>
      <w:r>
        <w:rPr>
          <w:rFonts w:hint="default" w:ascii="仿宋_GB2312" w:hAnsi="仿宋_GB2312" w:eastAsia="仿宋_GB2312" w:cs="仿宋_GB2312"/>
          <w:i w:val="0"/>
          <w:iCs w:val="0"/>
          <w:color w:val="auto"/>
          <w:kern w:val="0"/>
          <w:sz w:val="24"/>
          <w:szCs w:val="24"/>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sectPr>
          <w:pgSz w:w="16838" w:h="11906" w:orient="landscape"/>
          <w:pgMar w:top="1474" w:right="1814" w:bottom="1474" w:left="1814" w:header="851" w:footer="992" w:gutter="0"/>
          <w:pgNumType w:fmt="decimal"/>
          <w:cols w:space="720" w:num="1"/>
          <w:docGrid w:type="lines" w:linePitch="312" w:charSpace="0"/>
        </w:sectPr>
      </w:pPr>
      <w:r>
        <w:rPr>
          <w:rFonts w:hint="eastAsia" w:ascii="仿宋_GB2312" w:hAnsi="仿宋_GB2312" w:eastAsia="仿宋_GB2312" w:cs="仿宋_GB2312"/>
          <w:i w:val="0"/>
          <w:iCs w:val="0"/>
          <w:color w:val="auto"/>
          <w:kern w:val="0"/>
          <w:sz w:val="24"/>
          <w:szCs w:val="24"/>
          <w:highlight w:val="none"/>
          <w:u w:val="none"/>
          <w:lang w:val="en-US" w:eastAsia="zh-CN" w:bidi="ar"/>
        </w:rPr>
        <w:t>4、健康</w:t>
      </w:r>
      <w:r>
        <w:rPr>
          <w:rFonts w:hint="default" w:ascii="仿宋_GB2312" w:hAnsi="仿宋_GB2312" w:eastAsia="仿宋_GB2312" w:cs="仿宋_GB2312"/>
          <w:i w:val="0"/>
          <w:iCs w:val="0"/>
          <w:color w:val="auto"/>
          <w:kern w:val="0"/>
          <w:sz w:val="24"/>
          <w:szCs w:val="24"/>
          <w:highlight w:val="none"/>
          <w:u w:val="none"/>
          <w:lang w:val="en-US" w:eastAsia="zh-CN" w:bidi="ar"/>
        </w:rPr>
        <w:t>类</w:t>
      </w:r>
      <w:r>
        <w:rPr>
          <w:rFonts w:hint="eastAsia" w:ascii="仿宋_GB2312" w:hAnsi="仿宋_GB2312" w:eastAsia="仿宋_GB2312" w:cs="仿宋_GB2312"/>
          <w:i w:val="0"/>
          <w:iCs w:val="0"/>
          <w:color w:val="auto"/>
          <w:kern w:val="0"/>
          <w:sz w:val="24"/>
          <w:szCs w:val="24"/>
          <w:highlight w:val="none"/>
          <w:u w:val="none"/>
          <w:lang w:val="en-US" w:eastAsia="zh-CN" w:bidi="ar"/>
        </w:rPr>
        <w:t>：养生保健机构、健康管理中心、口腔医疗服务机构、医疗美容机构、身心疗愈中心、专业药房。</w:t>
      </w:r>
    </w:p>
    <w:p>
      <w:pPr>
        <w:pStyle w:val="17"/>
        <w:rPr>
          <w:rFonts w:ascii="仿宋_GB2312" w:hAnsi="仿宋_GB2312"/>
          <w:color w:val="auto"/>
          <w:highlight w:val="none"/>
        </w:rPr>
      </w:pPr>
    </w:p>
    <w:sectPr>
      <w:footerReference r:id="rId7" w:type="default"/>
      <w:pgSz w:w="16838" w:h="11906" w:orient="landscape"/>
      <w:pgMar w:top="1474" w:right="1814" w:bottom="1474" w:left="181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B44A79-ECAD-41B3-95D5-2134AD5ECF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0F6667-ED0B-417A-BA44-DD97D4D8030B}"/>
  </w:font>
  <w:font w:name="仿宋_GB2312">
    <w:panose1 w:val="02010609030101010101"/>
    <w:charset w:val="86"/>
    <w:family w:val="auto"/>
    <w:pitch w:val="default"/>
    <w:sig w:usb0="00000001" w:usb1="080E0000" w:usb2="00000000" w:usb3="00000000" w:csb0="00040000" w:csb1="00000000"/>
    <w:embedRegular r:id="rId3" w:fontKey="{6083E774-82A6-477E-9B0D-F27F8D43D8E1}"/>
  </w:font>
  <w:font w:name="仿宋">
    <w:panose1 w:val="02010609060101010101"/>
    <w:charset w:val="86"/>
    <w:family w:val="modern"/>
    <w:pitch w:val="default"/>
    <w:sig w:usb0="800002BF" w:usb1="38CF7CFA" w:usb2="00000016" w:usb3="00000000" w:csb0="00040001" w:csb1="00000000"/>
    <w:embedRegular r:id="rId4" w:fontKey="{EF81D528-137E-4366-9C31-C744CE6542FB}"/>
  </w:font>
  <w:font w:name="方正小标宋简体">
    <w:panose1 w:val="03000509000000000000"/>
    <w:charset w:val="86"/>
    <w:family w:val="auto"/>
    <w:pitch w:val="default"/>
    <w:sig w:usb0="00000001" w:usb1="080E0000" w:usb2="00000000" w:usb3="00000000" w:csb0="00040000" w:csb1="00000000"/>
    <w:embedRegular r:id="rId5" w:fontKey="{99EDD6D9-E3EF-4B9C-A7D3-0492393C0546}"/>
  </w:font>
  <w:font w:name="楷体">
    <w:panose1 w:val="02010609060101010101"/>
    <w:charset w:val="86"/>
    <w:family w:val="modern"/>
    <w:pitch w:val="default"/>
    <w:sig w:usb0="800002BF" w:usb1="38CF7CFA" w:usb2="00000016" w:usb3="00000000" w:csb0="00040001" w:csb1="00000000"/>
    <w:embedRegular r:id="rId6" w:fontKey="{FA4EB10B-D30C-4643-AC94-57A3CDB627A1}"/>
  </w:font>
  <w:font w:name="楷体_GB2312">
    <w:panose1 w:val="02010609030101010101"/>
    <w:charset w:val="86"/>
    <w:family w:val="auto"/>
    <w:pitch w:val="default"/>
    <w:sig w:usb0="00000001" w:usb1="080E0000" w:usb2="00000000" w:usb3="00000000" w:csb0="00040000" w:csb1="00000000"/>
    <w:embedRegular r:id="rId7" w:fontKey="{039B53CA-590E-420D-8D79-49E0BD370347}"/>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8" w:fontKey="{0D31FCEA-7D63-416D-9610-9AD04DC2771A}"/>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0951FEE"/>
    <w:rsid w:val="02803A46"/>
    <w:rsid w:val="02CB1CF7"/>
    <w:rsid w:val="02DA63DE"/>
    <w:rsid w:val="02E93786"/>
    <w:rsid w:val="032C6A46"/>
    <w:rsid w:val="04F91149"/>
    <w:rsid w:val="061A09F3"/>
    <w:rsid w:val="070F7027"/>
    <w:rsid w:val="0A2969CA"/>
    <w:rsid w:val="0A2D6324"/>
    <w:rsid w:val="0A6C5760"/>
    <w:rsid w:val="0B35692F"/>
    <w:rsid w:val="0B4456D1"/>
    <w:rsid w:val="0BE1742C"/>
    <w:rsid w:val="0CB05EFD"/>
    <w:rsid w:val="0D1F0CED"/>
    <w:rsid w:val="0F95719B"/>
    <w:rsid w:val="0FE131A1"/>
    <w:rsid w:val="105D1256"/>
    <w:rsid w:val="10BF0BFF"/>
    <w:rsid w:val="11A73770"/>
    <w:rsid w:val="124226AB"/>
    <w:rsid w:val="126D73E5"/>
    <w:rsid w:val="13A40095"/>
    <w:rsid w:val="14053C83"/>
    <w:rsid w:val="142C55F2"/>
    <w:rsid w:val="144621E7"/>
    <w:rsid w:val="163D2AB4"/>
    <w:rsid w:val="172A2DF8"/>
    <w:rsid w:val="17A666D5"/>
    <w:rsid w:val="17B005EC"/>
    <w:rsid w:val="17ED420C"/>
    <w:rsid w:val="185533C0"/>
    <w:rsid w:val="187E0EC3"/>
    <w:rsid w:val="18AB1F57"/>
    <w:rsid w:val="190653E0"/>
    <w:rsid w:val="197B53D3"/>
    <w:rsid w:val="1C210334"/>
    <w:rsid w:val="1C964CCC"/>
    <w:rsid w:val="1CFC17D2"/>
    <w:rsid w:val="1DFC18D3"/>
    <w:rsid w:val="1EE33534"/>
    <w:rsid w:val="1EF72C02"/>
    <w:rsid w:val="1F933745"/>
    <w:rsid w:val="1FB82EA7"/>
    <w:rsid w:val="205A510F"/>
    <w:rsid w:val="21127D99"/>
    <w:rsid w:val="222E1CB4"/>
    <w:rsid w:val="22C22819"/>
    <w:rsid w:val="246A3FA3"/>
    <w:rsid w:val="25C756B2"/>
    <w:rsid w:val="267C74E6"/>
    <w:rsid w:val="26E72CF4"/>
    <w:rsid w:val="28405A20"/>
    <w:rsid w:val="28DE0163"/>
    <w:rsid w:val="2976170C"/>
    <w:rsid w:val="2A104310"/>
    <w:rsid w:val="2A371B1D"/>
    <w:rsid w:val="2A4121E9"/>
    <w:rsid w:val="2A4B3E74"/>
    <w:rsid w:val="2BA068F1"/>
    <w:rsid w:val="2C2A1457"/>
    <w:rsid w:val="2CAE0A32"/>
    <w:rsid w:val="2E7C783A"/>
    <w:rsid w:val="2FFC0AFB"/>
    <w:rsid w:val="302C0287"/>
    <w:rsid w:val="31A95387"/>
    <w:rsid w:val="31B31F93"/>
    <w:rsid w:val="321653A8"/>
    <w:rsid w:val="329C19A3"/>
    <w:rsid w:val="32F52701"/>
    <w:rsid w:val="33296443"/>
    <w:rsid w:val="332F2FFB"/>
    <w:rsid w:val="33C85B84"/>
    <w:rsid w:val="341A4C22"/>
    <w:rsid w:val="347B2CCE"/>
    <w:rsid w:val="358D7EB4"/>
    <w:rsid w:val="363C0287"/>
    <w:rsid w:val="3654545B"/>
    <w:rsid w:val="36565190"/>
    <w:rsid w:val="366C2500"/>
    <w:rsid w:val="37E000B8"/>
    <w:rsid w:val="37FFEB9C"/>
    <w:rsid w:val="3810644E"/>
    <w:rsid w:val="382C7B34"/>
    <w:rsid w:val="387303F9"/>
    <w:rsid w:val="3B0E3D0E"/>
    <w:rsid w:val="3B512DAC"/>
    <w:rsid w:val="3BFC17F2"/>
    <w:rsid w:val="3CFD6976"/>
    <w:rsid w:val="3D5D42F6"/>
    <w:rsid w:val="3DB808BA"/>
    <w:rsid w:val="3EA82851"/>
    <w:rsid w:val="3FD176EA"/>
    <w:rsid w:val="3FEDD157"/>
    <w:rsid w:val="400B13AA"/>
    <w:rsid w:val="40A71F71"/>
    <w:rsid w:val="40ED17CA"/>
    <w:rsid w:val="417255D1"/>
    <w:rsid w:val="418D6C3A"/>
    <w:rsid w:val="423806ED"/>
    <w:rsid w:val="428230B1"/>
    <w:rsid w:val="437A5877"/>
    <w:rsid w:val="43BB3CEC"/>
    <w:rsid w:val="43DA7D58"/>
    <w:rsid w:val="444E5D09"/>
    <w:rsid w:val="44A91A1A"/>
    <w:rsid w:val="44D052C5"/>
    <w:rsid w:val="46AE1F3D"/>
    <w:rsid w:val="473C23B2"/>
    <w:rsid w:val="47781E40"/>
    <w:rsid w:val="48541414"/>
    <w:rsid w:val="4900762E"/>
    <w:rsid w:val="4A6B0082"/>
    <w:rsid w:val="4AB56AE2"/>
    <w:rsid w:val="4B6E7935"/>
    <w:rsid w:val="4DDB7ECF"/>
    <w:rsid w:val="4E0B6A19"/>
    <w:rsid w:val="4E7E74BD"/>
    <w:rsid w:val="4FC2745B"/>
    <w:rsid w:val="509A0D5C"/>
    <w:rsid w:val="52252BFC"/>
    <w:rsid w:val="54E753F5"/>
    <w:rsid w:val="55AB3BAD"/>
    <w:rsid w:val="563F7F48"/>
    <w:rsid w:val="5779221D"/>
    <w:rsid w:val="589B5008"/>
    <w:rsid w:val="58A326D8"/>
    <w:rsid w:val="593C1A00"/>
    <w:rsid w:val="59466376"/>
    <w:rsid w:val="5BF48FFA"/>
    <w:rsid w:val="5BF51433"/>
    <w:rsid w:val="5DA235EE"/>
    <w:rsid w:val="5FFF8D5C"/>
    <w:rsid w:val="623151CA"/>
    <w:rsid w:val="64180107"/>
    <w:rsid w:val="64DB7056"/>
    <w:rsid w:val="64DDF491"/>
    <w:rsid w:val="668533B4"/>
    <w:rsid w:val="66982F4F"/>
    <w:rsid w:val="685173D3"/>
    <w:rsid w:val="6888651F"/>
    <w:rsid w:val="6894168D"/>
    <w:rsid w:val="68E5638C"/>
    <w:rsid w:val="694A5FC1"/>
    <w:rsid w:val="69B52798"/>
    <w:rsid w:val="6A7451AD"/>
    <w:rsid w:val="6ABA5765"/>
    <w:rsid w:val="6AC14C27"/>
    <w:rsid w:val="6BC41409"/>
    <w:rsid w:val="6C030E4B"/>
    <w:rsid w:val="6C5C62E3"/>
    <w:rsid w:val="6CAB30BC"/>
    <w:rsid w:val="6CED51AD"/>
    <w:rsid w:val="6E8F8F93"/>
    <w:rsid w:val="6E973879"/>
    <w:rsid w:val="6FCC3E6E"/>
    <w:rsid w:val="6FEFB7EB"/>
    <w:rsid w:val="72694444"/>
    <w:rsid w:val="73A0155B"/>
    <w:rsid w:val="73C96237"/>
    <w:rsid w:val="7625601A"/>
    <w:rsid w:val="77BF249E"/>
    <w:rsid w:val="78D33F7B"/>
    <w:rsid w:val="796E5F2A"/>
    <w:rsid w:val="7AFC6C59"/>
    <w:rsid w:val="7BFF5141"/>
    <w:rsid w:val="7C1A6A34"/>
    <w:rsid w:val="7CBE4AD3"/>
    <w:rsid w:val="7CDF3B41"/>
    <w:rsid w:val="7D1C7CE5"/>
    <w:rsid w:val="7EECA5F2"/>
    <w:rsid w:val="7F363046"/>
    <w:rsid w:val="7F3F3896"/>
    <w:rsid w:val="7FDB43F7"/>
    <w:rsid w:val="7FFFB0E0"/>
    <w:rsid w:val="8EFFBC18"/>
    <w:rsid w:val="B6779C40"/>
    <w:rsid w:val="B7FFD38B"/>
    <w:rsid w:val="D978BEEC"/>
    <w:rsid w:val="EBEE8A8D"/>
    <w:rsid w:val="ECE3E2D2"/>
    <w:rsid w:val="F773774D"/>
    <w:rsid w:val="FB5F5F9C"/>
    <w:rsid w:val="FF6F7A24"/>
    <w:rsid w:val="FFF5C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4673</Words>
  <Characters>4922</Characters>
  <Lines>0</Lines>
  <Paragraphs>0</Paragraphs>
  <TotalTime>1</TotalTime>
  <ScaleCrop>false</ScaleCrop>
  <LinksUpToDate>false</LinksUpToDate>
  <CharactersWithSpaces>4925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2025-07-05T10:47:00Z</dcterms:created>
  <dc:creator>黄佩琳</dc:creator>
  <cp:lastModifiedBy>黎俊</cp:lastModifiedBy>
  <cp:lastPrinted>2026-03-15T14:46:00Z</cp:lastPrinted>
  <dcterms:modified xsi:type="dcterms:W3CDTF">2026-06-29T12:16:19Z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7D98975336AC4A87A80D38EB00C5BA6F_13</vt:lpwstr>
  </property>
  <property fmtid="{D5CDD505-2E9C-101B-9397-08002B2CF9AE}" pid="4" name="KSOTemplateDocerSaveRecord">
    <vt:lpwstr>eyJoZGlkIjoiNTIyMTVkNWMyNjg0MmY3ZTZkZGYyNGZiNGI3MzdhYTgiLCJ1c2VySWQiOiI1NzU3NDk0NDQifQ==</vt:lpwstr>
  </property>
</Properties>
</file>