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黑体" w:hAnsi="黑体" w:eastAsia="黑体" w:cs="宋体"/>
          <w:kern w:val="0"/>
          <w:sz w:val="32"/>
          <w:szCs w:val="32"/>
          <w:highlight w:val="none"/>
        </w:rPr>
      </w:pPr>
      <w:r>
        <w:rPr>
          <w:rFonts w:hint="eastAsia" w:ascii="黑体" w:hAnsi="黑体" w:eastAsia="黑体" w:cs="宋体"/>
          <w:kern w:val="0"/>
          <w:sz w:val="32"/>
          <w:szCs w:val="32"/>
          <w:highlight w:val="none"/>
        </w:rPr>
        <w:t>附件1</w:t>
      </w:r>
    </w:p>
    <w:p>
      <w:pPr>
        <w:overflowPunct w:val="0"/>
        <w:rPr>
          <w:rFonts w:hint="eastAsia" w:ascii="方正小标宋简体" w:hAnsi="方正小标宋简体" w:eastAsia="方正小标宋简体" w:cs="方正小标宋简体"/>
          <w:kern w:val="0"/>
          <w:sz w:val="44"/>
          <w:szCs w:val="44"/>
          <w:highlight w:val="none"/>
        </w:rPr>
      </w:pPr>
    </w:p>
    <w:p>
      <w:pPr>
        <w:overflowPunct w:val="0"/>
        <w:rPr>
          <w:rFonts w:hint="eastAsia" w:ascii="方正小标宋简体" w:hAnsi="方正小标宋简体" w:eastAsia="方正小标宋简体" w:cs="方正小标宋简体"/>
          <w:kern w:val="0"/>
          <w:sz w:val="44"/>
          <w:szCs w:val="44"/>
          <w:highlight w:val="none"/>
        </w:rPr>
      </w:pPr>
      <w:r>
        <w:rPr>
          <w:rFonts w:hint="eastAsia" w:ascii="方正小标宋简体" w:hAnsi="方正小标宋简体" w:eastAsia="方正小标宋简体" w:cs="方正小标宋简体"/>
          <w:kern w:val="0"/>
          <w:sz w:val="44"/>
          <w:szCs w:val="44"/>
          <w:highlight w:val="none"/>
        </w:rPr>
        <w:t>深圳市前海深港现代服务业合作区管理局</w:t>
      </w:r>
    </w:p>
    <w:p>
      <w:pPr>
        <w:overflowPunct w:val="0"/>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支持科技创新实施办法</w:t>
      </w:r>
    </w:p>
    <w:p>
      <w:pPr>
        <w:pStyle w:val="5"/>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深前海规〔2024〕11号</w:t>
      </w:r>
    </w:p>
    <w:p>
      <w:pPr>
        <w:jc w:val="both"/>
        <w:rPr>
          <w:rFonts w:ascii="Calibri" w:hAnsi="Calibri" w:eastAsia="宋体" w:cs="Times New Roman"/>
          <w:highlight w:val="none"/>
        </w:rPr>
      </w:pPr>
    </w:p>
    <w:p>
      <w:pPr>
        <w:pStyle w:val="3"/>
        <w:keepNext w:val="0"/>
        <w:keepLines w:val="0"/>
        <w:overflowPunct w:val="0"/>
        <w:spacing w:before="0" w:after="0" w:line="560" w:lineRule="exact"/>
        <w:jc w:val="center"/>
        <w:rPr>
          <w:rFonts w:hint="eastAsia" w:ascii="黑体" w:hAnsi="黑体" w:eastAsia="黑体"/>
          <w:b w:val="0"/>
          <w:highlight w:val="none"/>
        </w:rPr>
      </w:pPr>
      <w:r>
        <w:rPr>
          <w:rFonts w:ascii="黑体" w:hAnsi="黑体" w:eastAsia="黑体"/>
          <w:b w:val="0"/>
          <w:highlight w:val="none"/>
        </w:rPr>
        <w:t>第一章</w:t>
      </w:r>
      <w:r>
        <w:rPr>
          <w:rFonts w:hint="eastAsia" w:ascii="黑体" w:hAnsi="黑体" w:eastAsia="黑体"/>
          <w:b w:val="0"/>
          <w:highlight w:val="none"/>
        </w:rPr>
        <w:t xml:space="preserve"> </w:t>
      </w:r>
      <w:r>
        <w:rPr>
          <w:rFonts w:ascii="黑体" w:hAnsi="黑体" w:eastAsia="黑体"/>
          <w:b w:val="0"/>
          <w:highlight w:val="none"/>
        </w:rPr>
        <w:t xml:space="preserve"> </w:t>
      </w:r>
      <w:r>
        <w:rPr>
          <w:rFonts w:hint="eastAsia" w:ascii="黑体" w:hAnsi="黑体" w:eastAsia="黑体"/>
          <w:b w:val="0"/>
          <w:highlight w:val="none"/>
        </w:rPr>
        <w:t>总</w:t>
      </w:r>
      <w:r>
        <w:rPr>
          <w:rFonts w:ascii="黑体" w:hAnsi="黑体" w:eastAsia="黑体"/>
          <w:b w:val="0"/>
          <w:highlight w:val="none"/>
        </w:rPr>
        <w:t xml:space="preserve">  </w:t>
      </w:r>
      <w:r>
        <w:rPr>
          <w:rFonts w:hint="eastAsia" w:ascii="黑体" w:hAnsi="黑体" w:eastAsia="黑体"/>
          <w:b w:val="0"/>
          <w:highlight w:val="none"/>
        </w:rPr>
        <w:t>则</w:t>
      </w:r>
    </w:p>
    <w:p>
      <w:pPr>
        <w:overflowPunct w:val="0"/>
        <w:snapToGrid w:val="0"/>
        <w:ind w:firstLine="640" w:firstLineChars="200"/>
        <w:jc w:val="both"/>
        <w:rPr>
          <w:rFonts w:hint="eastAsia" w:ascii="黑体" w:hAnsi="黑体" w:eastAsia="黑体" w:cs="宋体"/>
          <w:kern w:val="0"/>
          <w:sz w:val="32"/>
          <w:szCs w:val="32"/>
          <w:highlight w:val="none"/>
        </w:rPr>
      </w:pPr>
    </w:p>
    <w:p>
      <w:pPr>
        <w:overflowPunct w:val="0"/>
        <w:snapToGrid w:val="0"/>
        <w:ind w:firstLine="640" w:firstLineChars="200"/>
        <w:jc w:val="both"/>
        <w:rPr>
          <w:rFonts w:hint="eastAsia" w:ascii="宋体" w:hAnsi="宋体" w:eastAsia="宋体" w:cs="宋体"/>
          <w:kern w:val="0"/>
          <w:sz w:val="24"/>
          <w:highlight w:val="none"/>
        </w:rPr>
      </w:pPr>
      <w:r>
        <w:rPr>
          <w:rFonts w:hint="eastAsia" w:ascii="黑体" w:hAnsi="黑体" w:eastAsia="黑体" w:cs="宋体"/>
          <w:kern w:val="0"/>
          <w:sz w:val="32"/>
          <w:szCs w:val="32"/>
          <w:highlight w:val="none"/>
        </w:rPr>
        <w:t xml:space="preserve">第一条 </w:t>
      </w:r>
      <w:r>
        <w:rPr>
          <w:rFonts w:hint="eastAsia" w:ascii="仿宋_GB2312" w:hAnsi="宋体" w:eastAsia="仿宋_GB2312" w:cs="宋体"/>
          <w:kern w:val="0"/>
          <w:sz w:val="32"/>
          <w:szCs w:val="32"/>
          <w:highlight w:val="none"/>
        </w:rPr>
        <w:t>为贯彻落实《全面深化前海深港现代服务业合作区改革开放方案》和《前海深港现代服务业合作区总体发展规划》，加快前海深港现代服务业合作区（以下简称前海合作区）科技发展体制机制改革创新，以科技创新推动产业创新，加快发展新质生产力，推动</w:t>
      </w:r>
      <w:r>
        <w:rPr>
          <w:rFonts w:ascii="仿宋_GB2312" w:hAnsi="宋体" w:eastAsia="仿宋_GB2312" w:cs="宋体"/>
          <w:kern w:val="0"/>
          <w:sz w:val="32"/>
          <w:szCs w:val="32"/>
          <w:highlight w:val="none"/>
        </w:rPr>
        <w:t>经济</w:t>
      </w:r>
      <w:r>
        <w:rPr>
          <w:rFonts w:hint="eastAsia" w:ascii="仿宋_GB2312" w:hAnsi="宋体" w:eastAsia="仿宋_GB2312" w:cs="宋体"/>
          <w:kern w:val="0"/>
          <w:sz w:val="32"/>
          <w:szCs w:val="32"/>
          <w:highlight w:val="none"/>
        </w:rPr>
        <w:t>高质量发展，根据有关规定，制定本办法。</w:t>
      </w:r>
    </w:p>
    <w:p>
      <w:pPr>
        <w:overflowPunct w:val="0"/>
        <w:snapToGrid w:val="0"/>
        <w:ind w:firstLine="640" w:firstLineChars="200"/>
        <w:jc w:val="both"/>
        <w:rPr>
          <w:rFonts w:hint="eastAsia" w:ascii="宋体" w:hAnsi="宋体" w:eastAsia="仿宋_GB2312" w:cs="宋体"/>
          <w:kern w:val="0"/>
          <w:sz w:val="24"/>
          <w:highlight w:val="none"/>
        </w:rPr>
      </w:pPr>
      <w:r>
        <w:rPr>
          <w:rFonts w:hint="eastAsia" w:ascii="黑体" w:hAnsi="黑体" w:eastAsia="黑体" w:cs="宋体"/>
          <w:kern w:val="0"/>
          <w:sz w:val="32"/>
          <w:szCs w:val="32"/>
          <w:highlight w:val="none"/>
        </w:rPr>
        <w:t xml:space="preserve">第二条 </w:t>
      </w:r>
      <w:r>
        <w:rPr>
          <w:rFonts w:hint="eastAsia" w:ascii="仿宋_GB2312" w:hAnsi="宋体" w:eastAsia="仿宋_GB2312" w:cs="宋体"/>
          <w:kern w:val="0"/>
          <w:sz w:val="32"/>
          <w:szCs w:val="32"/>
          <w:highlight w:val="none"/>
        </w:rPr>
        <w:t>深圳市前海深港现代服务业合作区管理局（以下简称前海管理局）负责本办法资金的管理和使用，包括编制年度资金计划、申报材料受理、审核认定、资金拨付和后续监管等。</w:t>
      </w:r>
    </w:p>
    <w:p>
      <w:pPr>
        <w:overflowPunct w:val="0"/>
        <w:snapToGrid w:val="0"/>
        <w:ind w:firstLine="640" w:firstLineChars="200"/>
        <w:jc w:val="both"/>
        <w:rPr>
          <w:rFonts w:ascii="Calibri" w:hAnsi="Calibri" w:eastAsia="宋体" w:cs="Times New Roman"/>
          <w:highlight w:val="none"/>
        </w:rPr>
      </w:pPr>
      <w:r>
        <w:rPr>
          <w:rFonts w:hint="eastAsia" w:ascii="黑体" w:hAnsi="黑体" w:eastAsia="黑体" w:cs="宋体"/>
          <w:kern w:val="0"/>
          <w:sz w:val="32"/>
          <w:szCs w:val="32"/>
          <w:highlight w:val="none"/>
        </w:rPr>
        <w:t xml:space="preserve">第三条 </w:t>
      </w:r>
      <w:r>
        <w:rPr>
          <w:rFonts w:hint="eastAsia" w:ascii="仿宋_GB2312" w:hAnsi="宋体" w:eastAsia="仿宋_GB2312" w:cs="宋体"/>
          <w:kern w:val="0"/>
          <w:sz w:val="32"/>
          <w:szCs w:val="32"/>
          <w:highlight w:val="none"/>
        </w:rPr>
        <w:t>本办法适用于在前海合作区实际经营，</w:t>
      </w:r>
      <w:r>
        <w:rPr>
          <w:rFonts w:hint="eastAsia" w:ascii="仿宋_GB2312" w:hAnsi="宋体" w:eastAsia="仿宋_GB2312" w:cs="宋体"/>
          <w:sz w:val="32"/>
          <w:szCs w:val="32"/>
          <w:highlight w:val="none"/>
        </w:rPr>
        <w:t>申报时未被列入严重失信主体名单，</w:t>
      </w:r>
      <w:r>
        <w:rPr>
          <w:rFonts w:hint="eastAsia" w:ascii="仿宋_GB2312" w:hAnsi="宋体" w:eastAsia="仿宋_GB2312" w:cs="宋体"/>
          <w:kern w:val="0"/>
          <w:sz w:val="32"/>
          <w:szCs w:val="32"/>
          <w:highlight w:val="none"/>
        </w:rPr>
        <w:t>开展科技创新，从事战略性新兴产业和未来产业、信息服务业、科技服务业等领域的法人或者非法人组织及其分支机构（以下统称机构）。</w:t>
      </w:r>
    </w:p>
    <w:p>
      <w:pPr>
        <w:overflowPunct w:val="0"/>
        <w:snapToGrid w:val="0"/>
        <w:ind w:firstLine="640" w:firstLineChars="200"/>
        <w:jc w:val="both"/>
        <w:rPr>
          <w:rFonts w:hint="eastAsia" w:ascii="仿宋_GB2312" w:hAnsi="宋体" w:eastAsia="仿宋_GB2312" w:cs="宋体"/>
          <w:kern w:val="0"/>
          <w:sz w:val="32"/>
          <w:szCs w:val="32"/>
          <w:highlight w:val="none"/>
        </w:rPr>
      </w:pPr>
      <w:r>
        <w:rPr>
          <w:rFonts w:hint="eastAsia" w:ascii="黑体" w:hAnsi="黑体" w:eastAsia="黑体" w:cs="宋体"/>
          <w:kern w:val="0"/>
          <w:sz w:val="32"/>
          <w:szCs w:val="32"/>
          <w:highlight w:val="none"/>
        </w:rPr>
        <w:t>第</w:t>
      </w:r>
      <w:r>
        <w:rPr>
          <w:rFonts w:ascii="黑体" w:hAnsi="黑体" w:eastAsia="黑体" w:cs="宋体"/>
          <w:kern w:val="0"/>
          <w:sz w:val="32"/>
          <w:szCs w:val="32"/>
          <w:highlight w:val="none"/>
        </w:rPr>
        <w:t>四</w:t>
      </w:r>
      <w:r>
        <w:rPr>
          <w:rFonts w:hint="eastAsia" w:ascii="黑体" w:hAnsi="黑体" w:eastAsia="黑体" w:cs="宋体"/>
          <w:kern w:val="0"/>
          <w:sz w:val="32"/>
          <w:szCs w:val="32"/>
          <w:highlight w:val="none"/>
        </w:rPr>
        <w:t xml:space="preserve">条 </w:t>
      </w:r>
      <w:r>
        <w:rPr>
          <w:rFonts w:hint="eastAsia" w:ascii="仿宋_GB2312" w:hAnsi="Calibri" w:eastAsia="仿宋_GB2312" w:cs="Times New Roman"/>
          <w:kern w:val="0"/>
          <w:sz w:val="32"/>
          <w:szCs w:val="32"/>
          <w:highlight w:val="none"/>
        </w:rPr>
        <w:t>符合条件的机构每年按照本办法获得支持金额原则上不超过2000万元，对于前海合作区发展有重大贡献的机构</w:t>
      </w:r>
      <w:r>
        <w:rPr>
          <w:rFonts w:hint="eastAsia" w:ascii="仿宋_GB2312" w:hAnsi="宋体" w:eastAsia="仿宋_GB2312" w:cs="宋体"/>
          <w:kern w:val="0"/>
          <w:sz w:val="32"/>
          <w:szCs w:val="32"/>
          <w:highlight w:val="none"/>
        </w:rPr>
        <w:t>以合作协议方式进行支持，以协议方式支持的机构总数不得超过当年度被扶持机构总数的10%。</w:t>
      </w:r>
    </w:p>
    <w:p>
      <w:pPr>
        <w:overflowPunct w:val="0"/>
        <w:snapToGrid w:val="0"/>
        <w:ind w:firstLine="640" w:firstLineChars="200"/>
        <w:jc w:val="both"/>
        <w:rPr>
          <w:rFonts w:hint="eastAsia" w:ascii="仿宋_GB2312" w:hAnsi="宋体" w:eastAsia="仿宋_GB2312" w:cs="宋体"/>
          <w:kern w:val="0"/>
          <w:sz w:val="32"/>
          <w:szCs w:val="32"/>
          <w:highlight w:val="none"/>
        </w:rPr>
      </w:pPr>
      <w:r>
        <w:rPr>
          <w:rFonts w:hint="eastAsia" w:ascii="黑体" w:hAnsi="黑体" w:eastAsia="黑体" w:cs="宋体"/>
          <w:kern w:val="0"/>
          <w:sz w:val="32"/>
          <w:szCs w:val="32"/>
          <w:highlight w:val="none"/>
        </w:rPr>
        <w:t xml:space="preserve">第五条 </w:t>
      </w:r>
      <w:r>
        <w:rPr>
          <w:rFonts w:hint="eastAsia" w:ascii="仿宋_GB2312" w:hAnsi="宋体" w:eastAsia="仿宋_GB2312" w:cs="宋体"/>
          <w:kern w:val="0"/>
          <w:sz w:val="32"/>
          <w:szCs w:val="32"/>
          <w:highlight w:val="none"/>
        </w:rPr>
        <w:t>扶持资金原则上采用事后支持方式，实行预算管理，按年度在前海合作区产业发展资金预算中安排。如通过审核的支持金额超过当年扶持资金的预算总额，则按适当比例对通过审核的支持金额进行调整。</w:t>
      </w:r>
    </w:p>
    <w:p>
      <w:pPr>
        <w:jc w:val="both"/>
        <w:outlineLvl w:val="0"/>
        <w:rPr>
          <w:rFonts w:ascii="Times New Roman" w:hAnsi="Times New Roman"/>
          <w:b/>
          <w:kern w:val="44"/>
          <w:sz w:val="44"/>
          <w:highlight w:val="none"/>
        </w:rPr>
      </w:pPr>
    </w:p>
    <w:p>
      <w:pPr>
        <w:pStyle w:val="3"/>
        <w:keepNext w:val="0"/>
        <w:keepLines w:val="0"/>
        <w:overflowPunct w:val="0"/>
        <w:spacing w:before="0" w:after="0" w:line="560" w:lineRule="exact"/>
        <w:jc w:val="center"/>
        <w:rPr>
          <w:rFonts w:hint="eastAsia" w:ascii="黑体" w:hAnsi="黑体" w:eastAsia="黑体"/>
          <w:b w:val="0"/>
          <w:highlight w:val="none"/>
        </w:rPr>
      </w:pPr>
      <w:r>
        <w:rPr>
          <w:rFonts w:hint="eastAsia" w:ascii="黑体" w:hAnsi="黑体" w:eastAsia="黑体"/>
          <w:b w:val="0"/>
          <w:highlight w:val="none"/>
        </w:rPr>
        <w:t>第二章</w:t>
      </w:r>
      <w:r>
        <w:rPr>
          <w:rFonts w:ascii="黑体" w:hAnsi="黑体" w:eastAsia="黑体"/>
          <w:b w:val="0"/>
          <w:highlight w:val="none"/>
        </w:rPr>
        <w:t xml:space="preserve">  </w:t>
      </w:r>
      <w:r>
        <w:rPr>
          <w:rFonts w:hint="eastAsia" w:ascii="黑体" w:hAnsi="黑体" w:eastAsia="黑体"/>
          <w:b w:val="0"/>
          <w:highlight w:val="none"/>
        </w:rPr>
        <w:t>促进深港澳创新要素跨境融通</w:t>
      </w:r>
    </w:p>
    <w:p>
      <w:pPr>
        <w:overflowPunct w:val="0"/>
        <w:ind w:firstLine="640" w:firstLineChars="200"/>
        <w:jc w:val="left"/>
        <w:rPr>
          <w:rFonts w:hint="eastAsia" w:ascii="黑体" w:hAnsi="黑体" w:eastAsia="黑体" w:cs="黑体"/>
          <w:sz w:val="32"/>
          <w:szCs w:val="32"/>
          <w:highlight w:val="none"/>
        </w:rPr>
      </w:pPr>
    </w:p>
    <w:p>
      <w:pPr>
        <w:overflowPunct w:val="0"/>
        <w:ind w:firstLine="640" w:firstLineChars="200"/>
        <w:jc w:val="both"/>
        <w:rPr>
          <w:rFonts w:hint="eastAsia" w:ascii="仿宋_GB2312" w:hAnsi="宋体" w:eastAsia="仿宋_GB2312" w:cs="宋体"/>
          <w:kern w:val="0"/>
          <w:sz w:val="32"/>
          <w:szCs w:val="32"/>
          <w:highlight w:val="none"/>
        </w:rPr>
      </w:pPr>
      <w:r>
        <w:rPr>
          <w:rFonts w:hint="eastAsia" w:ascii="黑体" w:hAnsi="黑体" w:eastAsia="黑体" w:cs="黑体"/>
          <w:sz w:val="32"/>
          <w:szCs w:val="32"/>
          <w:highlight w:val="none"/>
        </w:rPr>
        <w:t xml:space="preserve">第六条 </w:t>
      </w:r>
      <w:r>
        <w:rPr>
          <w:rFonts w:hint="eastAsia" w:ascii="仿宋_GB2312" w:hAnsi="宋体" w:eastAsia="仿宋_GB2312" w:cs="宋体"/>
          <w:kern w:val="0"/>
          <w:sz w:val="32"/>
          <w:szCs w:val="32"/>
          <w:highlight w:val="none"/>
        </w:rPr>
        <w:t>对符合下列情形的，按照相关标准予以支持：</w:t>
      </w:r>
    </w:p>
    <w:p>
      <w:pPr>
        <w:overflowPunct w:val="0"/>
        <w:ind w:firstLine="640" w:firstLineChars="200"/>
        <w:jc w:val="both"/>
        <w:rPr>
          <w:rFonts w:hint="eastAsia" w:ascii="仿宋_GB2312" w:hAnsi="宋体" w:eastAsia="仿宋_GB2312" w:cs="宋体"/>
          <w:kern w:val="0"/>
          <w:sz w:val="32"/>
          <w:szCs w:val="32"/>
          <w:highlight w:val="none"/>
        </w:rPr>
      </w:pPr>
      <w:r>
        <w:rPr>
          <w:rFonts w:ascii="仿宋_GB2312" w:hAnsi="宋体" w:eastAsia="仿宋_GB2312" w:cs="宋体"/>
          <w:kern w:val="0"/>
          <w:sz w:val="32"/>
          <w:szCs w:val="32"/>
          <w:highlight w:val="none"/>
        </w:rPr>
        <w:t>（一）</w:t>
      </w:r>
      <w:r>
        <w:rPr>
          <w:rFonts w:hint="eastAsia" w:ascii="仿宋_GB2312" w:hAnsi="宋体" w:eastAsia="仿宋_GB2312" w:cs="宋体"/>
          <w:kern w:val="0"/>
          <w:sz w:val="32"/>
          <w:szCs w:val="32"/>
          <w:highlight w:val="none"/>
        </w:rPr>
        <w:t>支持港澳高校建设孵化机构，促进港澳高校人才在前海创新创业。在前海合作区面向港澳青年创新创业建设的孵化机构，事前与前海管理局签订协议同意支持的，三年内予以每年最高1100万元运营经费支持；</w:t>
      </w:r>
    </w:p>
    <w:p>
      <w:pPr>
        <w:overflowPunct w:val="0"/>
        <w:ind w:firstLine="640" w:firstLineChars="200"/>
        <w:jc w:val="both"/>
        <w:rPr>
          <w:rFonts w:ascii="Calibri" w:hAnsi="Calibri" w:eastAsia="仿宋_GB2312" w:cs="Times New Roman"/>
          <w:highlight w:val="none"/>
        </w:rPr>
      </w:pPr>
      <w:r>
        <w:rPr>
          <w:rFonts w:hint="eastAsia" w:ascii="仿宋_GB2312" w:hAnsi="宋体" w:eastAsia="仿宋_GB2312" w:cs="宋体"/>
          <w:kern w:val="0"/>
          <w:sz w:val="32"/>
          <w:szCs w:val="32"/>
          <w:highlight w:val="none"/>
        </w:rPr>
        <w:t>（二）支持港澳青年在前海深港青年梦工场创新创业，对拥有自主知识产权的首创技术产品，企业员工中香港居民占比不少于50%，且已获得专业投资机构的股权投资或已获得香港特别行政区政府部门、法定机构、高校等资助（投资）的港澳青年创业企业，首创产品实现在内地首次应用，按照首单合同实际销售额（前3个合同中任选1个）的30%，予以单个产品最高不超过200万元一次性奖励，同一企业有多个首发产品的，累计予以不超过500万元奖励；</w:t>
      </w:r>
    </w:p>
    <w:p>
      <w:pPr>
        <w:overflowPunct w:val="0"/>
        <w:snapToGrid w:val="0"/>
        <w:ind w:firstLine="640" w:firstLineChars="200"/>
        <w:jc w:val="both"/>
        <w:rPr>
          <w:rFonts w:hint="eastAsia" w:ascii="仿宋_GB2312" w:hAnsi="宋体" w:eastAsia="仿宋_GB2312" w:cs="宋体"/>
          <w:kern w:val="0"/>
          <w:sz w:val="32"/>
          <w:szCs w:val="32"/>
          <w:highlight w:val="none"/>
        </w:rPr>
      </w:pP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三</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支持港澳高校成立的孵化基金，对符合《深圳前海深港现代服务业合作区产业投资引导基金管理办法》有关条件，且对港澳创新创业团队的投资金额占总投资70%以上的孵化基金，前海合作区产业引导基金可通过合伙或参股方式参与基金设立。</w:t>
      </w:r>
    </w:p>
    <w:p>
      <w:pPr>
        <w:overflowPunct w:val="0"/>
        <w:ind w:firstLine="640" w:firstLineChars="200"/>
        <w:jc w:val="both"/>
        <w:rPr>
          <w:rFonts w:hint="eastAsia" w:ascii="仿宋_GB2312" w:hAnsi="宋体" w:eastAsia="仿宋_GB2312" w:cs="宋体"/>
          <w:kern w:val="0"/>
          <w:sz w:val="32"/>
          <w:szCs w:val="32"/>
          <w:highlight w:val="none"/>
        </w:rPr>
      </w:pPr>
      <w:r>
        <w:rPr>
          <w:rFonts w:hint="eastAsia" w:ascii="黑体" w:hAnsi="黑体" w:eastAsia="黑体" w:cs="黑体"/>
          <w:sz w:val="32"/>
          <w:szCs w:val="32"/>
          <w:highlight w:val="none"/>
        </w:rPr>
        <w:t xml:space="preserve">第七条 </w:t>
      </w:r>
      <w:r>
        <w:rPr>
          <w:rFonts w:hint="eastAsia" w:ascii="仿宋_GB2312" w:hAnsi="宋体" w:eastAsia="仿宋_GB2312" w:cs="宋体"/>
          <w:kern w:val="0"/>
          <w:sz w:val="32"/>
          <w:szCs w:val="32"/>
          <w:highlight w:val="none"/>
        </w:rPr>
        <w:t>对符合下列情形的，按照相关标准予以支持，单一机构全年因下列情形获得支持金额累计不超过50万元：</w:t>
      </w:r>
    </w:p>
    <w:p>
      <w:pPr>
        <w:overflowPunct w:val="0"/>
        <w:snapToGrid w:val="0"/>
        <w:ind w:firstLine="640" w:firstLineChars="200"/>
        <w:jc w:val="both"/>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（一）机构购买港澳高校、研发中心知识产权并成功实现产业化的，按照发明专利技术交易金额（以发票或港澳地区收据为准）的20%，予以最高不超过10万元支持；</w:t>
      </w:r>
    </w:p>
    <w:p>
      <w:pPr>
        <w:overflowPunct w:val="0"/>
        <w:snapToGrid w:val="0"/>
        <w:ind w:firstLine="640" w:firstLineChars="200"/>
        <w:jc w:val="both"/>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（二）机构从港澳高校、研发中心获得创新成果的知识产权许可的，按照知识产权许可交易金额（以发票或港澳地区收据为准）的20%予以支持，每项许可最高不超过5万元。</w:t>
      </w:r>
    </w:p>
    <w:p>
      <w:pPr>
        <w:overflowPunct w:val="0"/>
        <w:ind w:firstLine="640" w:firstLineChars="200"/>
        <w:jc w:val="both"/>
        <w:rPr>
          <w:rFonts w:hint="eastAsia" w:ascii="仿宋_GB2312" w:hAnsi="宋体" w:eastAsia="仿宋_GB2312" w:cs="宋体"/>
          <w:kern w:val="0"/>
          <w:sz w:val="32"/>
          <w:szCs w:val="32"/>
          <w:highlight w:val="none"/>
        </w:rPr>
      </w:pPr>
      <w:r>
        <w:rPr>
          <w:rFonts w:hint="eastAsia" w:ascii="黑体" w:hAnsi="黑体" w:eastAsia="黑体" w:cs="黑体"/>
          <w:sz w:val="32"/>
          <w:szCs w:val="32"/>
          <w:highlight w:val="none"/>
        </w:rPr>
        <w:t xml:space="preserve">第八条 </w:t>
      </w:r>
      <w:r>
        <w:rPr>
          <w:rFonts w:hint="eastAsia" w:ascii="仿宋_GB2312" w:hAnsi="宋体" w:eastAsia="仿宋_GB2312" w:cs="宋体"/>
          <w:kern w:val="0"/>
          <w:sz w:val="32"/>
          <w:szCs w:val="32"/>
          <w:highlight w:val="none"/>
        </w:rPr>
        <w:t>港澳及国际投资机构成立科技创投基金满足以下条件的，前海合作区产业投资引导基金可以按照《深圳前海深港现代服务业合作区产业投资引导基金管理办法》参股支持：</w:t>
      </w:r>
    </w:p>
    <w:p>
      <w:pPr>
        <w:overflowPunct w:val="0"/>
        <w:snapToGrid w:val="0"/>
        <w:ind w:firstLine="640" w:firstLineChars="200"/>
        <w:jc w:val="both"/>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（一）基金所投资项目属于前海扶持和鼓励发展的战略性新兴产业和未来产业、科技服务业、信息服务业；</w:t>
      </w:r>
    </w:p>
    <w:p>
      <w:pPr>
        <w:overflowPunct w:val="0"/>
        <w:snapToGrid w:val="0"/>
        <w:ind w:firstLine="640" w:firstLineChars="200"/>
        <w:jc w:val="both"/>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（二）基金投资于深圳科技研发型企业的投资额占比不低于总投资的70%，其中投资于前海合作区科技研发型企业的投资额占比不低于总投资的40%。</w:t>
      </w:r>
    </w:p>
    <w:p>
      <w:pPr>
        <w:overflowPunct w:val="0"/>
        <w:ind w:firstLine="640" w:firstLineChars="200"/>
        <w:jc w:val="both"/>
        <w:rPr>
          <w:rFonts w:hint="eastAsia" w:ascii="仿宋_GB2312" w:hAnsi="宋体" w:eastAsia="仿宋_GB2312" w:cs="宋体"/>
          <w:kern w:val="0"/>
          <w:sz w:val="32"/>
          <w:szCs w:val="32"/>
          <w:highlight w:val="none"/>
        </w:rPr>
      </w:pPr>
      <w:r>
        <w:rPr>
          <w:rFonts w:hint="eastAsia" w:ascii="黑体" w:hAnsi="黑体" w:eastAsia="黑体" w:cs="黑体"/>
          <w:sz w:val="32"/>
          <w:szCs w:val="32"/>
          <w:highlight w:val="none"/>
        </w:rPr>
        <w:t xml:space="preserve">第九条 </w:t>
      </w:r>
      <w:r>
        <w:rPr>
          <w:rFonts w:hint="eastAsia" w:ascii="仿宋_GB2312" w:hAnsi="宋体" w:eastAsia="仿宋_GB2312" w:cs="宋体"/>
          <w:kern w:val="0"/>
          <w:sz w:val="32"/>
          <w:szCs w:val="32"/>
          <w:highlight w:val="none"/>
        </w:rPr>
        <w:t>对港澳资企业、外资企业和粤港澳</w:t>
      </w:r>
      <w:r>
        <w:rPr>
          <w:rFonts w:ascii="仿宋_GB2312" w:hAnsi="宋体" w:eastAsia="仿宋_GB2312" w:cs="宋体"/>
          <w:kern w:val="0"/>
          <w:sz w:val="32"/>
          <w:szCs w:val="32"/>
          <w:highlight w:val="none"/>
        </w:rPr>
        <w:t>合作的</w:t>
      </w:r>
      <w:r>
        <w:rPr>
          <w:rFonts w:hint="eastAsia" w:ascii="仿宋_GB2312" w:hAnsi="宋体" w:eastAsia="仿宋_GB2312" w:cs="宋体"/>
          <w:kern w:val="0"/>
          <w:sz w:val="32"/>
          <w:szCs w:val="32"/>
          <w:highlight w:val="none"/>
        </w:rPr>
        <w:t>新型研发机构围绕科技研发或成果转化，建立院士工作站、博士后科研流动站、博士后科研工作（分）站、博士后创新实践基地的，按照市资助金额予以50%配套资助。</w:t>
      </w:r>
    </w:p>
    <w:p>
      <w:pPr>
        <w:jc w:val="both"/>
        <w:outlineLvl w:val="0"/>
        <w:rPr>
          <w:rFonts w:ascii="Times New Roman" w:hAnsi="Times New Roman"/>
          <w:b/>
          <w:kern w:val="44"/>
          <w:sz w:val="44"/>
          <w:highlight w:val="none"/>
        </w:rPr>
      </w:pPr>
    </w:p>
    <w:p>
      <w:pPr>
        <w:pStyle w:val="3"/>
        <w:keepNext w:val="0"/>
        <w:keepLines w:val="0"/>
        <w:overflowPunct w:val="0"/>
        <w:spacing w:before="0" w:after="0" w:line="560" w:lineRule="exact"/>
        <w:jc w:val="center"/>
        <w:rPr>
          <w:rFonts w:hint="eastAsia" w:ascii="黑体" w:hAnsi="黑体" w:eastAsia="黑体"/>
          <w:b w:val="0"/>
          <w:highlight w:val="none"/>
        </w:rPr>
      </w:pPr>
      <w:r>
        <w:rPr>
          <w:rFonts w:hint="eastAsia" w:ascii="黑体" w:hAnsi="黑体" w:eastAsia="黑体"/>
          <w:b w:val="0"/>
          <w:highlight w:val="none"/>
        </w:rPr>
        <w:t>第</w:t>
      </w:r>
      <w:r>
        <w:rPr>
          <w:rFonts w:ascii="黑体" w:hAnsi="黑体" w:eastAsia="黑体"/>
          <w:b w:val="0"/>
          <w:highlight w:val="none"/>
        </w:rPr>
        <w:t>三</w:t>
      </w:r>
      <w:r>
        <w:rPr>
          <w:rFonts w:hint="eastAsia" w:ascii="黑体" w:hAnsi="黑体" w:eastAsia="黑体"/>
          <w:b w:val="0"/>
          <w:highlight w:val="none"/>
        </w:rPr>
        <w:t xml:space="preserve">章 </w:t>
      </w:r>
      <w:r>
        <w:rPr>
          <w:rFonts w:ascii="黑体" w:hAnsi="黑体" w:eastAsia="黑体"/>
          <w:b w:val="0"/>
          <w:highlight w:val="none"/>
        </w:rPr>
        <w:t xml:space="preserve"> </w:t>
      </w:r>
      <w:r>
        <w:rPr>
          <w:rFonts w:hint="eastAsia" w:ascii="黑体" w:hAnsi="黑体" w:eastAsia="黑体"/>
          <w:b w:val="0"/>
          <w:highlight w:val="none"/>
        </w:rPr>
        <w:t>培育深港澳合作的开放创新生态</w:t>
      </w:r>
    </w:p>
    <w:p>
      <w:pPr>
        <w:overflowPunct w:val="0"/>
        <w:snapToGrid w:val="0"/>
        <w:ind w:firstLine="640" w:firstLineChars="200"/>
        <w:jc w:val="both"/>
        <w:rPr>
          <w:rFonts w:hint="eastAsia" w:ascii="黑体" w:hAnsi="黑体" w:eastAsia="黑体" w:cs="黑体"/>
          <w:sz w:val="32"/>
          <w:szCs w:val="32"/>
          <w:highlight w:val="none"/>
        </w:rPr>
      </w:pPr>
    </w:p>
    <w:p>
      <w:pPr>
        <w:overflowPunct w:val="0"/>
        <w:snapToGrid w:val="0"/>
        <w:ind w:firstLine="640" w:firstLineChars="200"/>
        <w:jc w:val="both"/>
        <w:rPr>
          <w:rFonts w:hint="eastAsia" w:ascii="仿宋_GB2312" w:hAnsi="宋体" w:eastAsia="仿宋_GB2312" w:cs="宋体"/>
          <w:sz w:val="32"/>
          <w:szCs w:val="32"/>
          <w:highlight w:val="none"/>
        </w:rPr>
      </w:pPr>
      <w:r>
        <w:rPr>
          <w:rFonts w:hint="eastAsia" w:ascii="黑体" w:hAnsi="黑体" w:eastAsia="黑体" w:cs="黑体"/>
          <w:sz w:val="32"/>
          <w:szCs w:val="32"/>
          <w:highlight w:val="none"/>
        </w:rPr>
        <w:t xml:space="preserve">第十条 </w:t>
      </w:r>
      <w:r>
        <w:rPr>
          <w:rFonts w:hint="eastAsia" w:ascii="仿宋_GB2312" w:hAnsi="宋体" w:eastAsia="仿宋_GB2312" w:cs="宋体"/>
          <w:kern w:val="0"/>
          <w:sz w:val="32"/>
          <w:szCs w:val="32"/>
          <w:highlight w:val="none"/>
        </w:rPr>
        <w:t>支持前海合作区机构与港澳高校、研发中心等创新主体联合组建实验室、创新中心等科技创新联合体（财务独立核算），面积达200平方米且对</w:t>
      </w:r>
      <w:r>
        <w:rPr>
          <w:rFonts w:hint="eastAsia" w:ascii="仿宋_GB2312" w:hAnsi="宋体" w:eastAsia="仿宋_GB2312" w:cs="宋体"/>
          <w:sz w:val="32"/>
          <w:szCs w:val="32"/>
          <w:highlight w:val="none"/>
        </w:rPr>
        <w:t>科研设备累计投入200万元以上</w:t>
      </w:r>
      <w:r>
        <w:rPr>
          <w:rFonts w:ascii="仿宋_GB2312" w:hAnsi="宋体" w:eastAsia="仿宋_GB2312" w:cs="宋体"/>
          <w:sz w:val="32"/>
          <w:szCs w:val="32"/>
          <w:highlight w:val="none"/>
        </w:rPr>
        <w:t>的</w:t>
      </w:r>
      <w:r>
        <w:rPr>
          <w:rFonts w:hint="eastAsia" w:ascii="仿宋_GB2312" w:hAnsi="宋体" w:eastAsia="仿宋_GB2312" w:cs="宋体"/>
          <w:sz w:val="32"/>
          <w:szCs w:val="32"/>
          <w:highlight w:val="none"/>
        </w:rPr>
        <w:t>，</w:t>
      </w:r>
      <w:r>
        <w:rPr>
          <w:rFonts w:ascii="仿宋_GB2312" w:hAnsi="宋体" w:eastAsia="仿宋_GB2312" w:cs="宋体"/>
          <w:sz w:val="32"/>
          <w:szCs w:val="32"/>
          <w:highlight w:val="none"/>
        </w:rPr>
        <w:t>按照</w:t>
      </w:r>
      <w:r>
        <w:rPr>
          <w:rFonts w:hint="eastAsia" w:ascii="仿宋_GB2312" w:hAnsi="宋体" w:eastAsia="仿宋_GB2312" w:cs="宋体"/>
          <w:sz w:val="32"/>
          <w:szCs w:val="32"/>
          <w:highlight w:val="none"/>
        </w:rPr>
        <w:t>上一年度实验室研发投入</w:t>
      </w:r>
      <w:r>
        <w:rPr>
          <w:rFonts w:ascii="仿宋_GB2312" w:hAnsi="宋体" w:eastAsia="仿宋_GB2312" w:cs="宋体"/>
          <w:sz w:val="32"/>
          <w:szCs w:val="32"/>
          <w:highlight w:val="none"/>
        </w:rPr>
        <w:t>的</w:t>
      </w:r>
      <w:r>
        <w:rPr>
          <w:rFonts w:hint="eastAsia" w:ascii="仿宋_GB2312" w:hAnsi="宋体" w:eastAsia="仿宋_GB2312" w:cs="宋体"/>
          <w:sz w:val="32"/>
          <w:szCs w:val="32"/>
          <w:highlight w:val="none"/>
        </w:rPr>
        <w:t>20%，</w:t>
      </w:r>
      <w:r>
        <w:rPr>
          <w:rFonts w:ascii="仿宋_GB2312" w:hAnsi="宋体" w:eastAsia="仿宋_GB2312" w:cs="宋体"/>
          <w:sz w:val="32"/>
          <w:szCs w:val="32"/>
          <w:highlight w:val="none"/>
        </w:rPr>
        <w:t>予以每年</w:t>
      </w:r>
      <w:r>
        <w:rPr>
          <w:rFonts w:hint="eastAsia" w:ascii="仿宋_GB2312" w:hAnsi="宋体" w:eastAsia="仿宋_GB2312" w:cs="宋体"/>
          <w:sz w:val="32"/>
          <w:szCs w:val="32"/>
          <w:highlight w:val="none"/>
        </w:rPr>
        <w:t>最高500万元支持。</w:t>
      </w:r>
    </w:p>
    <w:p>
      <w:pPr>
        <w:overflowPunct w:val="0"/>
        <w:snapToGrid w:val="0"/>
        <w:ind w:firstLine="640" w:firstLineChars="200"/>
        <w:jc w:val="both"/>
        <w:rPr>
          <w:rFonts w:hint="eastAsia" w:ascii="仿宋_GB2312" w:hAnsi="宋体" w:eastAsia="仿宋_GB2312" w:cs="宋体"/>
          <w:sz w:val="32"/>
          <w:szCs w:val="32"/>
          <w:highlight w:val="none"/>
        </w:rPr>
      </w:pPr>
      <w:r>
        <w:rPr>
          <w:rFonts w:hint="eastAsia" w:ascii="黑体" w:hAnsi="黑体" w:eastAsia="黑体" w:cs="黑体"/>
          <w:sz w:val="32"/>
          <w:szCs w:val="32"/>
          <w:highlight w:val="none"/>
        </w:rPr>
        <w:t xml:space="preserve">第十一条 </w:t>
      </w:r>
      <w:r>
        <w:rPr>
          <w:rFonts w:hint="eastAsia" w:ascii="仿宋_GB2312" w:hAnsi="宋体" w:eastAsia="仿宋_GB2312" w:cs="宋体"/>
          <w:sz w:val="32"/>
          <w:szCs w:val="32"/>
          <w:highlight w:val="none"/>
        </w:rPr>
        <w:t>支持新型研发机构发展，按照以下标准予以支持：</w:t>
      </w:r>
    </w:p>
    <w:p>
      <w:pPr>
        <w:overflowPunct w:val="0"/>
        <w:snapToGrid w:val="0"/>
        <w:ind w:firstLine="640" w:firstLineChars="200"/>
        <w:jc w:val="both"/>
        <w:rPr>
          <w:rFonts w:hint="eastAsia" w:ascii="仿宋_GB2312" w:hAnsi="宋体" w:eastAsia="仿宋_GB2312" w:cs="宋体"/>
          <w:sz w:val="32"/>
          <w:szCs w:val="32"/>
          <w:highlight w:val="none"/>
        </w:rPr>
      </w:pPr>
      <w:r>
        <w:rPr>
          <w:rFonts w:hint="eastAsia" w:ascii="仿宋_GB2312" w:hAnsi="宋体" w:eastAsia="仿宋_GB2312" w:cs="宋体"/>
          <w:sz w:val="32"/>
          <w:szCs w:val="32"/>
          <w:highlight w:val="none"/>
        </w:rPr>
        <w:t>（一）同时符合以下条件的新型研发机构，按照研发投入的20%，予以最高1000万元支持：</w:t>
      </w:r>
    </w:p>
    <w:p>
      <w:pPr>
        <w:overflowPunct w:val="0"/>
        <w:snapToGrid w:val="0"/>
        <w:ind w:firstLine="640" w:firstLineChars="200"/>
        <w:jc w:val="both"/>
        <w:rPr>
          <w:rFonts w:hint="eastAsia" w:ascii="仿宋_GB2312" w:hAnsi="宋体" w:eastAsia="仿宋_GB2312" w:cs="宋体"/>
          <w:sz w:val="32"/>
          <w:szCs w:val="32"/>
          <w:highlight w:val="none"/>
        </w:rPr>
      </w:pPr>
      <w:r>
        <w:rPr>
          <w:rFonts w:hint="eastAsia" w:ascii="仿宋_GB2312" w:hAnsi="宋体" w:eastAsia="仿宋_GB2312" w:cs="宋体"/>
          <w:sz w:val="32"/>
          <w:szCs w:val="32"/>
          <w:highlight w:val="none"/>
        </w:rPr>
        <w:t>1.在前海合作区购买或租赁200平方米以上空间用于科研办公，拥有科研仪器设备和软件原价总值不低于200万元；</w:t>
      </w:r>
    </w:p>
    <w:p>
      <w:pPr>
        <w:overflowPunct w:val="0"/>
        <w:snapToGrid w:val="0"/>
        <w:ind w:firstLine="640" w:firstLineChars="200"/>
        <w:jc w:val="both"/>
        <w:rPr>
          <w:rFonts w:hint="eastAsia" w:ascii="仿宋_GB2312" w:hAnsi="宋体" w:eastAsia="仿宋_GB2312" w:cs="宋体"/>
          <w:sz w:val="32"/>
          <w:szCs w:val="32"/>
          <w:highlight w:val="none"/>
        </w:rPr>
      </w:pPr>
      <w:r>
        <w:rPr>
          <w:rFonts w:hint="eastAsia" w:ascii="仿宋_GB2312" w:hAnsi="宋体" w:eastAsia="仿宋_GB2312" w:cs="宋体"/>
          <w:sz w:val="32"/>
          <w:szCs w:val="32"/>
          <w:highlight w:val="none"/>
        </w:rPr>
        <w:t>2.近三年承担过国家级、省级科技计划项目，或者机构主要负责人获得港澳特区政府科研项目计划支持；</w:t>
      </w:r>
    </w:p>
    <w:p>
      <w:pPr>
        <w:overflowPunct w:val="0"/>
        <w:snapToGrid w:val="0"/>
        <w:ind w:firstLine="640" w:firstLineChars="200"/>
        <w:jc w:val="both"/>
        <w:rPr>
          <w:rFonts w:hint="eastAsia" w:ascii="仿宋_GB2312" w:hAnsi="宋体" w:eastAsia="仿宋_GB2312" w:cs="宋体"/>
          <w:sz w:val="32"/>
          <w:szCs w:val="32"/>
          <w:highlight w:val="none"/>
        </w:rPr>
      </w:pPr>
      <w:r>
        <w:rPr>
          <w:rFonts w:hint="eastAsia" w:ascii="仿宋_GB2312" w:hAnsi="宋体" w:eastAsia="仿宋_GB2312" w:cs="宋体"/>
          <w:sz w:val="32"/>
          <w:szCs w:val="32"/>
          <w:highlight w:val="none"/>
        </w:rPr>
        <w:t>3.开展科研成果转化，近三年创办1家以上的科技企业，且每家企业融资累计不少于500万元。</w:t>
      </w:r>
    </w:p>
    <w:p>
      <w:pPr>
        <w:overflowPunct w:val="0"/>
        <w:snapToGrid w:val="0"/>
        <w:ind w:firstLine="640" w:firstLineChars="200"/>
        <w:jc w:val="both"/>
        <w:rPr>
          <w:rFonts w:hint="eastAsia" w:ascii="仿宋_GB2312" w:hAnsi="宋体" w:eastAsia="仿宋_GB2312" w:cs="宋体"/>
          <w:sz w:val="32"/>
          <w:szCs w:val="32"/>
          <w:highlight w:val="none"/>
        </w:rPr>
      </w:pPr>
      <w:r>
        <w:rPr>
          <w:rFonts w:hint="eastAsia" w:ascii="仿宋_GB2312" w:hAnsi="宋体" w:eastAsia="仿宋_GB2312" w:cs="宋体"/>
          <w:sz w:val="32"/>
          <w:szCs w:val="32"/>
          <w:highlight w:val="none"/>
        </w:rPr>
        <w:t>（二）港澳高校、研发中心在前海合作区建设新型研发机构，</w:t>
      </w:r>
      <w:r>
        <w:rPr>
          <w:rFonts w:ascii="仿宋_GB2312" w:hAnsi="宋体" w:eastAsia="仿宋_GB2312" w:cs="宋体"/>
          <w:sz w:val="32"/>
          <w:szCs w:val="32"/>
          <w:highlight w:val="none"/>
        </w:rPr>
        <w:t>根据建设投入需求和建设意义，事前经前海管理局同意支持的，以协议方式</w:t>
      </w:r>
      <w:r>
        <w:rPr>
          <w:rFonts w:ascii="仿宋_GB2312" w:hAnsi="宋体" w:eastAsia="仿宋_GB2312" w:cs="宋体"/>
          <w:kern w:val="0"/>
          <w:sz w:val="32"/>
          <w:szCs w:val="32"/>
          <w:highlight w:val="none"/>
        </w:rPr>
        <w:t>予以</w:t>
      </w:r>
      <w:r>
        <w:rPr>
          <w:rFonts w:ascii="仿宋_GB2312" w:hAnsi="宋体" w:eastAsia="仿宋_GB2312" w:cs="宋体"/>
          <w:sz w:val="32"/>
          <w:szCs w:val="32"/>
          <w:highlight w:val="none"/>
        </w:rPr>
        <w:t>支持</w:t>
      </w:r>
      <w:r>
        <w:rPr>
          <w:rFonts w:hint="eastAsia" w:ascii="仿宋_GB2312" w:hAnsi="宋体" w:eastAsia="仿宋_GB2312" w:cs="宋体"/>
          <w:kern w:val="0"/>
          <w:sz w:val="32"/>
          <w:szCs w:val="32"/>
          <w:highlight w:val="none"/>
        </w:rPr>
        <w:t>。</w:t>
      </w:r>
    </w:p>
    <w:p>
      <w:pPr>
        <w:overflowPunct w:val="0"/>
        <w:snapToGrid w:val="0"/>
        <w:ind w:firstLine="640" w:firstLineChars="200"/>
        <w:jc w:val="both"/>
        <w:rPr>
          <w:rFonts w:hint="eastAsia" w:ascii="仿宋_GB2312" w:hAnsi="宋体" w:eastAsia="仿宋_GB2312" w:cs="宋体"/>
          <w:kern w:val="0"/>
          <w:sz w:val="32"/>
          <w:szCs w:val="32"/>
          <w:highlight w:val="none"/>
        </w:rPr>
      </w:pPr>
      <w:r>
        <w:rPr>
          <w:rFonts w:hint="eastAsia" w:ascii="黑体" w:hAnsi="黑体" w:eastAsia="黑体" w:cs="黑体"/>
          <w:sz w:val="32"/>
          <w:szCs w:val="32"/>
          <w:highlight w:val="none"/>
        </w:rPr>
        <w:t xml:space="preserve">第十二条 </w:t>
      </w:r>
      <w:r>
        <w:rPr>
          <w:rFonts w:hint="eastAsia" w:ascii="仿宋_GB2312" w:hAnsi="宋体" w:eastAsia="仿宋_GB2312" w:cs="宋体"/>
          <w:kern w:val="0"/>
          <w:sz w:val="32"/>
          <w:szCs w:val="32"/>
          <w:highlight w:val="none"/>
        </w:rPr>
        <w:t>对符合以下条件之一的科技创新机构在前海合作区集聚发展的，按照相关标准予以一次性支持：</w:t>
      </w:r>
    </w:p>
    <w:p>
      <w:pPr>
        <w:overflowPunct w:val="0"/>
        <w:snapToGrid w:val="0"/>
        <w:ind w:firstLine="640" w:firstLineChars="200"/>
        <w:jc w:val="both"/>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（一）由内地社会团体与3家以上港澳高校、研发中心、学会协会等联合成立的促进粤港澳科技创新合作的社会团体，予以30万元支持；</w:t>
      </w:r>
    </w:p>
    <w:p>
      <w:pPr>
        <w:overflowPunct w:val="0"/>
        <w:snapToGrid w:val="0"/>
        <w:ind w:firstLine="640" w:firstLineChars="200"/>
        <w:jc w:val="both"/>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（二）由企事业单位、社会团体等联合全国（国家）重点实验室和国家级创新中心等国家级科研机构成立的促进科技创新开放合作的社会团体或者民办非企业单位，予以30万元支持；</w:t>
      </w:r>
    </w:p>
    <w:p>
      <w:pPr>
        <w:overflowPunct w:val="0"/>
        <w:snapToGrid w:val="0"/>
        <w:ind w:firstLine="640" w:firstLineChars="200"/>
        <w:jc w:val="both"/>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（三）对以市场化方式发起，依法经批准设立的科技、工程、标准、产业等领域的国际性社会团体和国际性社会团体依法获得批准设立的代表机构，按照前海管理局有关政策标准执行。</w:t>
      </w:r>
    </w:p>
    <w:p>
      <w:pPr>
        <w:overflowPunct w:val="0"/>
        <w:snapToGrid w:val="0"/>
        <w:ind w:firstLine="640" w:firstLineChars="200"/>
        <w:jc w:val="both"/>
        <w:rPr>
          <w:rFonts w:hint="eastAsia" w:ascii="仿宋_GB2312" w:hAnsi="Source Han Sans CN" w:eastAsia="仿宋_GB2312"/>
          <w:sz w:val="32"/>
          <w:szCs w:val="32"/>
          <w:highlight w:val="none"/>
        </w:rPr>
      </w:pPr>
      <w:r>
        <w:rPr>
          <w:rFonts w:hint="eastAsia" w:ascii="黑体" w:hAnsi="黑体" w:eastAsia="黑体" w:cs="黑体"/>
          <w:sz w:val="32"/>
          <w:szCs w:val="32"/>
          <w:highlight w:val="none"/>
        </w:rPr>
        <w:t xml:space="preserve">第十三条 </w:t>
      </w:r>
      <w:r>
        <w:rPr>
          <w:rFonts w:hint="eastAsia" w:ascii="仿宋_GB2312" w:hAnsi="宋体" w:eastAsia="仿宋_GB2312" w:cs="宋体"/>
          <w:kern w:val="0"/>
          <w:sz w:val="32"/>
          <w:szCs w:val="32"/>
          <w:highlight w:val="none"/>
        </w:rPr>
        <w:t>支持机构</w:t>
      </w:r>
      <w:r>
        <w:rPr>
          <w:rFonts w:ascii="仿宋_GB2312" w:hAnsi="宋体" w:eastAsia="仿宋_GB2312" w:cs="宋体"/>
          <w:kern w:val="0"/>
          <w:sz w:val="32"/>
          <w:szCs w:val="32"/>
          <w:highlight w:val="none"/>
        </w:rPr>
        <w:t>赴</w:t>
      </w:r>
      <w:r>
        <w:rPr>
          <w:rFonts w:hint="eastAsia" w:ascii="仿宋_GB2312" w:hAnsi="宋体" w:eastAsia="仿宋_GB2312" w:cs="宋体"/>
          <w:kern w:val="0"/>
          <w:sz w:val="32"/>
          <w:szCs w:val="32"/>
          <w:highlight w:val="none"/>
        </w:rPr>
        <w:t>港澳设立实验室</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创新中心等</w:t>
      </w:r>
      <w:r>
        <w:rPr>
          <w:rFonts w:ascii="仿宋_GB2312" w:hAnsi="宋体" w:eastAsia="仿宋_GB2312" w:cs="宋体"/>
          <w:kern w:val="0"/>
          <w:sz w:val="32"/>
          <w:szCs w:val="32"/>
          <w:highlight w:val="none"/>
        </w:rPr>
        <w:t>载体</w:t>
      </w:r>
      <w:r>
        <w:rPr>
          <w:rFonts w:hint="eastAsia" w:ascii="仿宋_GB2312" w:hAnsi="宋体" w:eastAsia="仿宋_GB2312" w:cs="宋体"/>
          <w:kern w:val="0"/>
          <w:sz w:val="32"/>
          <w:szCs w:val="32"/>
          <w:highlight w:val="none"/>
        </w:rPr>
        <w:t>，</w:t>
      </w:r>
      <w:r>
        <w:rPr>
          <w:rFonts w:ascii="仿宋_GB2312" w:hAnsi="宋体" w:eastAsia="仿宋_GB2312" w:cs="宋体"/>
          <w:kern w:val="0"/>
          <w:sz w:val="32"/>
          <w:szCs w:val="32"/>
          <w:highlight w:val="none"/>
        </w:rPr>
        <w:t>对其在港澳设立的</w:t>
      </w:r>
      <w:r>
        <w:rPr>
          <w:rFonts w:hint="eastAsia" w:ascii="仿宋_GB2312" w:hAnsi="宋体" w:eastAsia="仿宋_GB2312" w:cs="宋体"/>
          <w:kern w:val="0"/>
          <w:sz w:val="32"/>
          <w:szCs w:val="32"/>
          <w:highlight w:val="none"/>
        </w:rPr>
        <w:t>实验室</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创新中心等上一年度仪器设备和专业软件购置等费用</w:t>
      </w:r>
      <w:r>
        <w:rPr>
          <w:rFonts w:hint="eastAsia" w:ascii="仿宋_GB2312" w:hAnsi="宋体" w:eastAsia="仿宋_GB2312" w:cs="宋体"/>
          <w:sz w:val="32"/>
          <w:szCs w:val="32"/>
          <w:highlight w:val="none"/>
        </w:rPr>
        <w:t>投入达1000万元以上</w:t>
      </w:r>
      <w:r>
        <w:rPr>
          <w:rFonts w:ascii="仿宋_GB2312" w:hAnsi="宋体" w:eastAsia="仿宋_GB2312" w:cs="宋体"/>
          <w:sz w:val="32"/>
          <w:szCs w:val="32"/>
          <w:highlight w:val="none"/>
        </w:rPr>
        <w:t>的</w:t>
      </w:r>
      <w:r>
        <w:rPr>
          <w:rFonts w:hint="eastAsia" w:ascii="仿宋_GB2312" w:hAnsi="宋体" w:eastAsia="仿宋_GB2312" w:cs="宋体"/>
          <w:sz w:val="32"/>
          <w:szCs w:val="32"/>
          <w:highlight w:val="none"/>
        </w:rPr>
        <w:t>，对机构予以一次性</w:t>
      </w:r>
      <w:r>
        <w:rPr>
          <w:rFonts w:hint="eastAsia" w:ascii="仿宋_GB2312" w:hAnsi="Source Han Sans CN" w:eastAsia="仿宋_GB2312"/>
          <w:sz w:val="32"/>
          <w:szCs w:val="32"/>
          <w:highlight w:val="none"/>
        </w:rPr>
        <w:t>1</w:t>
      </w:r>
      <w:r>
        <w:rPr>
          <w:rFonts w:ascii="仿宋_GB2312" w:hAnsi="Source Han Sans CN" w:eastAsia="仿宋_GB2312"/>
          <w:sz w:val="32"/>
          <w:szCs w:val="32"/>
          <w:highlight w:val="none"/>
        </w:rPr>
        <w:t>00万元</w:t>
      </w:r>
      <w:r>
        <w:rPr>
          <w:rFonts w:hint="eastAsia" w:ascii="仿宋_GB2312" w:hAnsi="Source Han Sans CN" w:eastAsia="仿宋_GB2312"/>
          <w:sz w:val="32"/>
          <w:szCs w:val="32"/>
          <w:highlight w:val="none"/>
        </w:rPr>
        <w:t>奖励</w:t>
      </w:r>
      <w:r>
        <w:rPr>
          <w:rFonts w:ascii="仿宋_GB2312" w:hAnsi="Source Han Sans CN" w:eastAsia="仿宋_GB2312"/>
          <w:sz w:val="32"/>
          <w:szCs w:val="32"/>
          <w:highlight w:val="none"/>
        </w:rPr>
        <w:t>。</w:t>
      </w:r>
    </w:p>
    <w:p>
      <w:pPr>
        <w:snapToGrid w:val="0"/>
        <w:ind w:firstLine="640" w:firstLineChars="200"/>
        <w:jc w:val="both"/>
        <w:rPr>
          <w:rFonts w:hint="eastAsia" w:ascii="仿宋_GB2312" w:hAnsi="宋体" w:eastAsia="仿宋_GB2312" w:cs="宋体"/>
          <w:kern w:val="0"/>
          <w:sz w:val="32"/>
          <w:szCs w:val="32"/>
          <w:highlight w:val="none"/>
        </w:rPr>
      </w:pPr>
      <w:r>
        <w:rPr>
          <w:rFonts w:hint="eastAsia" w:ascii="黑体" w:hAnsi="黑体" w:eastAsia="黑体" w:cs="黑体"/>
          <w:sz w:val="32"/>
          <w:szCs w:val="32"/>
          <w:highlight w:val="none"/>
        </w:rPr>
        <w:t xml:space="preserve">第十四条 </w:t>
      </w:r>
      <w:r>
        <w:rPr>
          <w:rFonts w:hint="eastAsia" w:ascii="仿宋_GB2312" w:hAnsi="宋体" w:eastAsia="仿宋_GB2312" w:cs="宋体"/>
          <w:kern w:val="0"/>
          <w:sz w:val="32"/>
          <w:szCs w:val="32"/>
          <w:highlight w:val="none"/>
        </w:rPr>
        <w:t>由港澳及外国投资者设立，从事自然科学及其相关科技领域的研究开发和实验发展（包括为研发活动服务的中间试验）的机构</w:t>
      </w:r>
      <w:r>
        <w:rPr>
          <w:rFonts w:hint="eastAsia" w:ascii="仿宋_GB2312" w:hAnsi="宋体" w:eastAsia="仿宋_GB2312" w:cs="宋体"/>
          <w:sz w:val="32"/>
          <w:szCs w:val="32"/>
          <w:highlight w:val="none"/>
        </w:rPr>
        <w:t>，</w:t>
      </w:r>
      <w:r>
        <w:rPr>
          <w:rFonts w:hint="eastAsia" w:ascii="仿宋_GB2312" w:hAnsi="宋体" w:eastAsia="仿宋_GB2312" w:cs="宋体"/>
          <w:kern w:val="0"/>
          <w:sz w:val="32"/>
          <w:szCs w:val="32"/>
          <w:highlight w:val="none"/>
        </w:rPr>
        <w:t>上一年度研发投入达到100万美元的，按照上一年度研发投入年度增量的</w:t>
      </w:r>
      <w:r>
        <w:rPr>
          <w:rFonts w:ascii="仿宋_GB2312" w:hAnsi="宋体" w:eastAsia="仿宋_GB2312" w:cs="宋体"/>
          <w:kern w:val="0"/>
          <w:sz w:val="32"/>
          <w:szCs w:val="32"/>
          <w:highlight w:val="none"/>
        </w:rPr>
        <w:t>5</w:t>
      </w:r>
      <w:r>
        <w:rPr>
          <w:rFonts w:hint="eastAsia" w:ascii="仿宋_GB2312" w:hAnsi="宋体" w:eastAsia="仿宋_GB2312" w:cs="宋体"/>
          <w:kern w:val="0"/>
          <w:sz w:val="32"/>
          <w:szCs w:val="32"/>
          <w:highlight w:val="none"/>
        </w:rPr>
        <w:t>%</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予以最高100万元支持。</w:t>
      </w:r>
    </w:p>
    <w:p>
      <w:pPr>
        <w:overflowPunct w:val="0"/>
        <w:ind w:firstLine="640" w:firstLineChars="200"/>
        <w:jc w:val="both"/>
        <w:rPr>
          <w:rFonts w:hint="eastAsia" w:ascii="仿宋_GB2312" w:hAnsi="宋体" w:eastAsia="仿宋_GB2312" w:cs="宋体"/>
          <w:kern w:val="0"/>
          <w:sz w:val="32"/>
          <w:szCs w:val="32"/>
          <w:highlight w:val="none"/>
        </w:rPr>
      </w:pPr>
      <w:r>
        <w:rPr>
          <w:rFonts w:hint="eastAsia" w:ascii="黑体" w:hAnsi="黑体" w:eastAsia="黑体" w:cs="黑体"/>
          <w:sz w:val="32"/>
          <w:szCs w:val="32"/>
          <w:highlight w:val="none"/>
        </w:rPr>
        <w:t xml:space="preserve">第十五条 </w:t>
      </w:r>
      <w:r>
        <w:rPr>
          <w:rFonts w:hint="eastAsia" w:ascii="仿宋_GB2312" w:hAnsi="宋体" w:eastAsia="仿宋_GB2312" w:cs="宋体"/>
          <w:kern w:val="0"/>
          <w:sz w:val="32"/>
          <w:szCs w:val="32"/>
          <w:highlight w:val="none"/>
        </w:rPr>
        <w:t>符合下列情形之一的，按照相关标准予以支持：</w:t>
      </w:r>
    </w:p>
    <w:p>
      <w:pPr>
        <w:overflowPunct w:val="0"/>
        <w:ind w:firstLine="640" w:firstLineChars="200"/>
        <w:jc w:val="both"/>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（一）鼓励金融机构建立对科技企业的联合授信及共保机制，对融资担保机构为符合条件的企业提供融资担保服务，按融资担保额的5‰予以支持，同一融资担保机构每年最高支持50万元；</w:t>
      </w:r>
    </w:p>
    <w:p>
      <w:pPr>
        <w:overflowPunct w:val="0"/>
        <w:ind w:firstLine="640" w:firstLineChars="200"/>
        <w:jc w:val="both"/>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（二）鼓励机构积极运用集合债券、短期融资券、信托计划、中小企业私募债等方式进行融资，按照上述金融产品发行中产生的法律、审计、评估等中介费用的20%予以支持，同一机构每年最高支持50万元；</w:t>
      </w:r>
    </w:p>
    <w:p>
      <w:pPr>
        <w:overflowPunct w:val="0"/>
        <w:snapToGrid w:val="0"/>
        <w:ind w:firstLine="640" w:firstLineChars="200"/>
        <w:jc w:val="both"/>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（三）强化保险对科技赋能，支持机构购买科技保险服务。对首次申报</w:t>
      </w:r>
      <w:r>
        <w:rPr>
          <w:rFonts w:ascii="仿宋_GB2312" w:hAnsi="宋体" w:eastAsia="仿宋_GB2312" w:cs="宋体"/>
          <w:kern w:val="0"/>
          <w:sz w:val="32"/>
          <w:szCs w:val="32"/>
          <w:highlight w:val="none"/>
        </w:rPr>
        <w:t>科技保险</w:t>
      </w:r>
      <w:r>
        <w:rPr>
          <w:rFonts w:hint="eastAsia" w:ascii="仿宋_GB2312" w:hAnsi="宋体" w:eastAsia="仿宋_GB2312" w:cs="宋体"/>
          <w:kern w:val="0"/>
          <w:sz w:val="32"/>
          <w:szCs w:val="32"/>
          <w:highlight w:val="none"/>
        </w:rPr>
        <w:t>的机构，按照购买科技保险产品费用的20%予以支持，同一机构</w:t>
      </w:r>
      <w:r>
        <w:rPr>
          <w:rFonts w:ascii="仿宋_GB2312" w:hAnsi="宋体" w:eastAsia="仿宋_GB2312" w:cs="宋体"/>
          <w:kern w:val="0"/>
          <w:sz w:val="32"/>
          <w:szCs w:val="32"/>
          <w:highlight w:val="none"/>
        </w:rPr>
        <w:t>每年</w:t>
      </w:r>
      <w:r>
        <w:rPr>
          <w:rFonts w:hint="eastAsia" w:ascii="仿宋_GB2312" w:hAnsi="宋体" w:eastAsia="仿宋_GB2312" w:cs="宋体"/>
          <w:kern w:val="0"/>
          <w:sz w:val="32"/>
          <w:szCs w:val="32"/>
          <w:highlight w:val="none"/>
        </w:rPr>
        <w:t>最高支持30万元。</w:t>
      </w:r>
    </w:p>
    <w:p>
      <w:pPr>
        <w:jc w:val="both"/>
        <w:outlineLvl w:val="0"/>
        <w:rPr>
          <w:rFonts w:ascii="Times New Roman" w:hAnsi="Times New Roman"/>
          <w:b/>
          <w:kern w:val="44"/>
          <w:sz w:val="44"/>
          <w:highlight w:val="none"/>
        </w:rPr>
      </w:pPr>
    </w:p>
    <w:p>
      <w:pPr>
        <w:pStyle w:val="3"/>
        <w:keepNext w:val="0"/>
        <w:keepLines w:val="0"/>
        <w:overflowPunct w:val="0"/>
        <w:spacing w:before="0" w:after="0" w:line="560" w:lineRule="exact"/>
        <w:jc w:val="center"/>
        <w:rPr>
          <w:rFonts w:hint="eastAsia" w:ascii="黑体" w:hAnsi="黑体" w:eastAsia="黑体"/>
          <w:b w:val="0"/>
          <w:highlight w:val="none"/>
        </w:rPr>
      </w:pPr>
      <w:r>
        <w:rPr>
          <w:rFonts w:hint="eastAsia" w:ascii="黑体" w:hAnsi="黑体" w:eastAsia="黑体"/>
          <w:b w:val="0"/>
          <w:highlight w:val="none"/>
        </w:rPr>
        <w:t xml:space="preserve">第四章 </w:t>
      </w:r>
      <w:r>
        <w:rPr>
          <w:rFonts w:ascii="黑体" w:hAnsi="黑体" w:eastAsia="黑体"/>
          <w:b w:val="0"/>
          <w:highlight w:val="none"/>
        </w:rPr>
        <w:t xml:space="preserve"> </w:t>
      </w:r>
      <w:r>
        <w:rPr>
          <w:rFonts w:hint="eastAsia" w:ascii="黑体" w:hAnsi="黑体" w:eastAsia="黑体"/>
          <w:b w:val="0"/>
          <w:highlight w:val="none"/>
        </w:rPr>
        <w:t>加快科技服务业高质量发展</w:t>
      </w:r>
    </w:p>
    <w:p>
      <w:pPr>
        <w:overflowPunct w:val="0"/>
        <w:ind w:firstLine="640" w:firstLineChars="200"/>
        <w:jc w:val="both"/>
        <w:rPr>
          <w:rFonts w:hint="eastAsia" w:ascii="黑体" w:hAnsi="黑体" w:eastAsia="黑体" w:cs="黑体"/>
          <w:sz w:val="32"/>
          <w:szCs w:val="32"/>
          <w:highlight w:val="none"/>
        </w:rPr>
      </w:pPr>
    </w:p>
    <w:p>
      <w:pPr>
        <w:overflowPunct w:val="0"/>
        <w:ind w:firstLine="640" w:firstLineChars="200"/>
        <w:jc w:val="both"/>
        <w:rPr>
          <w:rFonts w:hint="eastAsia" w:ascii="仿宋_GB2312" w:hAnsi="宋体" w:eastAsia="仿宋_GB2312" w:cs="宋体"/>
          <w:kern w:val="0"/>
          <w:sz w:val="32"/>
          <w:szCs w:val="32"/>
          <w:highlight w:val="none"/>
        </w:rPr>
      </w:pPr>
      <w:r>
        <w:rPr>
          <w:rFonts w:hint="eastAsia" w:ascii="黑体" w:hAnsi="黑体" w:eastAsia="黑体" w:cs="黑体"/>
          <w:sz w:val="32"/>
          <w:szCs w:val="32"/>
          <w:highlight w:val="none"/>
        </w:rPr>
        <w:t xml:space="preserve">第十六条 </w:t>
      </w:r>
      <w:r>
        <w:rPr>
          <w:rFonts w:hint="eastAsia" w:ascii="仿宋_GB2312" w:hAnsi="宋体" w:eastAsia="仿宋_GB2312" w:cs="宋体"/>
          <w:kern w:val="0"/>
          <w:sz w:val="32"/>
          <w:szCs w:val="32"/>
          <w:highlight w:val="none"/>
        </w:rPr>
        <w:t>建设前海科技服务业集聚区。对集聚区内符合以下条件之一的科技服务业机构，</w:t>
      </w:r>
      <w:r>
        <w:rPr>
          <w:rFonts w:hint="eastAsia" w:ascii="仿宋_GB2312" w:hAnsi="黑体" w:eastAsia="仿宋_GB2312" w:cs="黑体"/>
          <w:snapToGrid w:val="0"/>
          <w:kern w:val="0"/>
          <w:sz w:val="32"/>
          <w:szCs w:val="32"/>
          <w:highlight w:val="none"/>
        </w:rPr>
        <w:t>租赁</w:t>
      </w:r>
      <w:r>
        <w:rPr>
          <w:rFonts w:hint="eastAsia" w:ascii="仿宋_GB2312" w:hAnsi="等线" w:eastAsia="仿宋_GB2312" w:cs="Times New Roman"/>
          <w:sz w:val="32"/>
          <w:szCs w:val="32"/>
          <w:highlight w:val="none"/>
        </w:rPr>
        <w:t>符合集聚条件的办公楼宇空间自用，</w:t>
      </w:r>
      <w:r>
        <w:rPr>
          <w:rFonts w:hint="eastAsia" w:ascii="仿宋_GB2312" w:hAnsi="黑体" w:eastAsia="仿宋_GB2312" w:cs="黑体"/>
          <w:snapToGrid w:val="0"/>
          <w:kern w:val="0"/>
          <w:sz w:val="32"/>
          <w:szCs w:val="32"/>
          <w:highlight w:val="none"/>
        </w:rPr>
        <w:t>面积不少于150平方米</w:t>
      </w:r>
      <w:r>
        <w:rPr>
          <w:rFonts w:hint="eastAsia" w:ascii="仿宋_GB2312" w:hAnsi="等线" w:eastAsia="仿宋_GB2312" w:cs="Times New Roman"/>
          <w:sz w:val="32"/>
          <w:szCs w:val="32"/>
          <w:highlight w:val="none"/>
        </w:rPr>
        <w:t>，</w:t>
      </w:r>
      <w:r>
        <w:rPr>
          <w:rFonts w:hint="eastAsia" w:ascii="仿宋_GB2312" w:hAnsi="仿宋_GB2312" w:eastAsia="仿宋_GB2312" w:cs="仿宋_GB2312"/>
          <w:sz w:val="32"/>
          <w:szCs w:val="32"/>
          <w:highlight w:val="none"/>
        </w:rPr>
        <w:t>在租赁期限内未转租分租或改变功能</w:t>
      </w:r>
      <w:r>
        <w:rPr>
          <w:rFonts w:hint="eastAsia" w:ascii="仿宋_GB2312" w:hAnsi="宋体" w:eastAsia="仿宋_GB2312" w:cs="宋体"/>
          <w:kern w:val="0"/>
          <w:sz w:val="32"/>
          <w:szCs w:val="32"/>
          <w:highlight w:val="none"/>
        </w:rPr>
        <w:t>，按照40元/平方米·月的租金补贴标准，连续支持36个月，每年最高不超过150万元，补贴金额不超过实际支付租金金额的50%：</w:t>
      </w:r>
    </w:p>
    <w:p>
      <w:pPr>
        <w:overflowPunct w:val="0"/>
        <w:ind w:firstLine="640" w:firstLineChars="200"/>
        <w:jc w:val="both"/>
        <w:rPr>
          <w:rFonts w:hint="eastAsia" w:ascii="仿宋_GB2312" w:hAnsi="宋体" w:eastAsia="仿宋_GB2312" w:cs="宋体"/>
          <w:kern w:val="0"/>
          <w:sz w:val="32"/>
          <w:szCs w:val="32"/>
          <w:highlight w:val="none"/>
        </w:rPr>
      </w:pPr>
      <w:r>
        <w:rPr>
          <w:rFonts w:ascii="仿宋_GB2312" w:hAnsi="宋体" w:eastAsia="仿宋_GB2312" w:cs="宋体"/>
          <w:kern w:val="0"/>
          <w:sz w:val="32"/>
          <w:szCs w:val="32"/>
          <w:highlight w:val="none"/>
        </w:rPr>
        <w:t>（一）</w:t>
      </w:r>
      <w:r>
        <w:rPr>
          <w:rFonts w:hint="eastAsia" w:ascii="仿宋_GB2312" w:hAnsi="宋体" w:eastAsia="仿宋_GB2312" w:cs="宋体"/>
          <w:kern w:val="0"/>
          <w:sz w:val="32"/>
          <w:szCs w:val="32"/>
          <w:highlight w:val="none"/>
        </w:rPr>
        <w:t>获得</w:t>
      </w:r>
      <w:r>
        <w:rPr>
          <w:rFonts w:ascii="仿宋_GB2312" w:hAnsi="宋体" w:eastAsia="仿宋_GB2312" w:cs="宋体"/>
          <w:kern w:val="0"/>
          <w:sz w:val="32"/>
          <w:szCs w:val="32"/>
          <w:highlight w:val="none"/>
        </w:rPr>
        <w:t>市</w:t>
      </w:r>
      <w:r>
        <w:rPr>
          <w:rFonts w:hint="eastAsia" w:ascii="仿宋_GB2312" w:hAnsi="宋体" w:eastAsia="仿宋_GB2312" w:cs="宋体"/>
          <w:kern w:val="0"/>
          <w:sz w:val="32"/>
          <w:szCs w:val="32"/>
          <w:highlight w:val="none"/>
        </w:rPr>
        <w:t>级以上创新载体、技术转移机构、工业设计中心、检验检测机构认定，并仍处于有效期内的企业；</w:t>
      </w:r>
    </w:p>
    <w:p>
      <w:pPr>
        <w:widowControl/>
        <w:overflowPunct w:val="0"/>
        <w:ind w:firstLine="640" w:firstLineChars="200"/>
        <w:jc w:val="both"/>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（二）获得</w:t>
      </w:r>
      <w:r>
        <w:rPr>
          <w:rFonts w:ascii="仿宋_GB2312" w:hAnsi="宋体" w:eastAsia="仿宋_GB2312" w:cs="宋体"/>
          <w:kern w:val="0"/>
          <w:sz w:val="32"/>
          <w:szCs w:val="32"/>
          <w:highlight w:val="none"/>
        </w:rPr>
        <w:t>工程设计综合甲级资质、工程勘察综合甲级资质、工程监理综合资质、工程设计行业甲级资质的</w:t>
      </w:r>
      <w:r>
        <w:rPr>
          <w:rFonts w:hint="eastAsia" w:ascii="仿宋_GB2312" w:hAnsi="宋体" w:eastAsia="仿宋_GB2312" w:cs="宋体"/>
          <w:kern w:val="0"/>
          <w:sz w:val="32"/>
          <w:szCs w:val="32"/>
          <w:highlight w:val="none"/>
        </w:rPr>
        <w:t>企业；</w:t>
      </w:r>
    </w:p>
    <w:p>
      <w:pPr>
        <w:overflowPunct w:val="0"/>
        <w:ind w:firstLine="640" w:firstLineChars="200"/>
        <w:jc w:val="both"/>
        <w:rPr>
          <w:rFonts w:hint="eastAsia" w:ascii="仿宋_GB2312" w:hAnsi="宋体" w:eastAsia="仿宋_GB2312" w:cs="宋体"/>
          <w:kern w:val="0"/>
          <w:sz w:val="32"/>
          <w:szCs w:val="32"/>
          <w:highlight w:val="none"/>
        </w:rPr>
      </w:pP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三</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经国家知识产权局批准设立，拥有10名以上专利代理师的知识产权代理机构；</w:t>
      </w:r>
    </w:p>
    <w:p>
      <w:pPr>
        <w:overflowPunct w:val="0"/>
        <w:ind w:firstLine="640" w:firstLineChars="200"/>
        <w:jc w:val="both"/>
        <w:rPr>
          <w:rFonts w:hint="eastAsia" w:ascii="仿宋_GB2312" w:hAnsi="宋体" w:eastAsia="仿宋_GB2312" w:cs="宋体"/>
          <w:kern w:val="0"/>
          <w:sz w:val="32"/>
          <w:szCs w:val="32"/>
          <w:highlight w:val="none"/>
        </w:rPr>
      </w:pP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四</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拥有3名以上港澳地区或者发达国家专业从业资质（所属领域）的港澳籍、外籍从业人员的科技服务业外资或者</w:t>
      </w:r>
      <w:r>
        <w:rPr>
          <w:rFonts w:ascii="仿宋_GB2312" w:hAnsi="宋体" w:eastAsia="仿宋_GB2312" w:cs="宋体"/>
          <w:kern w:val="0"/>
          <w:sz w:val="32"/>
          <w:szCs w:val="32"/>
          <w:highlight w:val="none"/>
        </w:rPr>
        <w:t>港澳资</w:t>
      </w:r>
      <w:r>
        <w:rPr>
          <w:rFonts w:hint="eastAsia" w:ascii="仿宋_GB2312" w:hAnsi="宋体" w:eastAsia="仿宋_GB2312" w:cs="宋体"/>
          <w:kern w:val="0"/>
          <w:sz w:val="32"/>
          <w:szCs w:val="32"/>
          <w:highlight w:val="none"/>
        </w:rPr>
        <w:t>机构；</w:t>
      </w:r>
    </w:p>
    <w:p>
      <w:pPr>
        <w:overflowPunct w:val="0"/>
        <w:ind w:firstLine="640" w:firstLineChars="200"/>
        <w:jc w:val="both"/>
        <w:rPr>
          <w:rFonts w:hint="eastAsia" w:ascii="仿宋_GB2312" w:hAnsi="宋体" w:eastAsia="仿宋_GB2312" w:cs="宋体"/>
          <w:kern w:val="0"/>
          <w:sz w:val="32"/>
          <w:szCs w:val="32"/>
          <w:highlight w:val="none"/>
        </w:rPr>
      </w:pP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五</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经国家知识产权局批准，外国专利代理机构设立的常驻代表机构。</w:t>
      </w:r>
    </w:p>
    <w:p>
      <w:pPr>
        <w:snapToGrid w:val="0"/>
        <w:ind w:firstLine="640" w:firstLineChars="200"/>
        <w:jc w:val="both"/>
        <w:rPr>
          <w:rFonts w:hint="eastAsia" w:ascii="仿宋_GB2312" w:hAnsi="宋体" w:eastAsia="仿宋_GB2312" w:cs="宋体"/>
          <w:color w:val="FF0000"/>
          <w:kern w:val="0"/>
          <w:sz w:val="32"/>
          <w:szCs w:val="32"/>
          <w:highlight w:val="none"/>
        </w:rPr>
      </w:pPr>
      <w:r>
        <w:rPr>
          <w:rFonts w:hint="eastAsia" w:ascii="黑体" w:hAnsi="黑体" w:eastAsia="黑体" w:cs="黑体"/>
          <w:sz w:val="32"/>
          <w:szCs w:val="32"/>
          <w:highlight w:val="none"/>
        </w:rPr>
        <w:t>第十七条</w:t>
      </w:r>
      <w:r>
        <w:rPr>
          <w:rFonts w:hint="eastAsia" w:ascii="仿宋_GB2312" w:hAnsi="宋体" w:eastAsia="仿宋_GB2312" w:cs="宋体"/>
          <w:kern w:val="0"/>
          <w:sz w:val="32"/>
          <w:szCs w:val="32"/>
          <w:highlight w:val="none"/>
        </w:rPr>
        <w:t xml:space="preserve"> 对获得检验检测机构资质（CMA）认定的检验检测认证企业，上一年度完成</w:t>
      </w:r>
      <w:r>
        <w:rPr>
          <w:rFonts w:ascii="仿宋_GB2312" w:hAnsi="宋体" w:eastAsia="仿宋_GB2312" w:cs="宋体"/>
          <w:kern w:val="0"/>
          <w:sz w:val="32"/>
          <w:szCs w:val="32"/>
          <w:highlight w:val="none"/>
        </w:rPr>
        <w:t>包括购买设备、技术改造等</w:t>
      </w:r>
      <w:r>
        <w:rPr>
          <w:rFonts w:hint="eastAsia" w:ascii="仿宋_GB2312" w:hAnsi="宋体" w:eastAsia="仿宋_GB2312" w:cs="宋体"/>
          <w:kern w:val="0"/>
          <w:sz w:val="32"/>
          <w:szCs w:val="32"/>
          <w:highlight w:val="none"/>
        </w:rPr>
        <w:t>固定资产投资超过1000万元的，按照上一年度完成固定资产</w:t>
      </w:r>
      <w:r>
        <w:rPr>
          <w:rFonts w:ascii="仿宋_GB2312" w:hAnsi="宋体" w:eastAsia="仿宋_GB2312" w:cs="宋体"/>
          <w:kern w:val="0"/>
          <w:sz w:val="32"/>
          <w:szCs w:val="32"/>
          <w:highlight w:val="none"/>
        </w:rPr>
        <w:t>投资</w:t>
      </w:r>
      <w:r>
        <w:rPr>
          <w:rFonts w:hint="eastAsia" w:ascii="仿宋_GB2312" w:hAnsi="宋体" w:eastAsia="仿宋_GB2312" w:cs="宋体"/>
          <w:kern w:val="0"/>
          <w:sz w:val="32"/>
          <w:szCs w:val="32"/>
          <w:highlight w:val="none"/>
        </w:rPr>
        <w:t>的5%，予以最高100万元支持。</w:t>
      </w:r>
    </w:p>
    <w:p>
      <w:pPr>
        <w:overflowPunct w:val="0"/>
        <w:ind w:firstLine="640" w:firstLineChars="200"/>
        <w:jc w:val="both"/>
        <w:rPr>
          <w:rFonts w:hint="eastAsia" w:ascii="仿宋_GB2312" w:hAnsi="宋体" w:eastAsia="仿宋_GB2312" w:cs="宋体"/>
          <w:kern w:val="0"/>
          <w:sz w:val="32"/>
          <w:szCs w:val="32"/>
          <w:highlight w:val="none"/>
        </w:rPr>
      </w:pPr>
      <w:r>
        <w:rPr>
          <w:rFonts w:hint="eastAsia" w:ascii="黑体" w:hAnsi="黑体" w:eastAsia="黑体" w:cs="黑体"/>
          <w:sz w:val="32"/>
          <w:szCs w:val="32"/>
          <w:highlight w:val="none"/>
        </w:rPr>
        <w:t xml:space="preserve">第十八条 </w:t>
      </w:r>
      <w:r>
        <w:rPr>
          <w:rFonts w:hint="eastAsia" w:ascii="仿宋_GB2312" w:hAnsi="宋体" w:eastAsia="仿宋_GB2312" w:cs="宋体"/>
          <w:kern w:val="0"/>
          <w:sz w:val="32"/>
          <w:szCs w:val="32"/>
          <w:highlight w:val="none"/>
        </w:rPr>
        <w:t>对港澳及国际知名高校、科研机构设立的科技战略研究及信息服务机构，</w:t>
      </w:r>
      <w:r>
        <w:rPr>
          <w:rFonts w:hint="eastAsia" w:ascii="仿宋_GB2312" w:hAnsi="Source Han Sans CN" w:eastAsia="仿宋_GB2312" w:cs="Times New Roman"/>
          <w:sz w:val="32"/>
          <w:szCs w:val="32"/>
          <w:highlight w:val="none"/>
        </w:rPr>
        <w:t>按照</w:t>
      </w:r>
      <w:r>
        <w:rPr>
          <w:rFonts w:ascii="仿宋_GB2312" w:hAnsi="Source Han Sans CN" w:eastAsia="仿宋_GB2312" w:cs="Times New Roman"/>
          <w:sz w:val="32"/>
          <w:szCs w:val="32"/>
          <w:highlight w:val="none"/>
        </w:rPr>
        <w:t>上一年度</w:t>
      </w:r>
      <w:r>
        <w:rPr>
          <w:rFonts w:hint="eastAsia" w:ascii="仿宋_GB2312" w:hAnsi="Source Han Sans CN" w:eastAsia="仿宋_GB2312" w:cs="Times New Roman"/>
          <w:sz w:val="32"/>
          <w:szCs w:val="32"/>
          <w:highlight w:val="none"/>
        </w:rPr>
        <w:t>软硬件购置费用的20</w:t>
      </w:r>
      <w:r>
        <w:rPr>
          <w:rFonts w:ascii="仿宋_GB2312" w:hAnsi="Source Han Sans CN" w:eastAsia="仿宋_GB2312" w:cs="Times New Roman"/>
          <w:sz w:val="32"/>
          <w:szCs w:val="32"/>
          <w:highlight w:val="none"/>
        </w:rPr>
        <w:t>%</w:t>
      </w:r>
      <w:r>
        <w:rPr>
          <w:rFonts w:hint="eastAsia" w:ascii="仿宋_GB2312" w:hAnsi="宋体" w:eastAsia="仿宋_GB2312" w:cs="宋体"/>
          <w:kern w:val="0"/>
          <w:sz w:val="32"/>
          <w:szCs w:val="32"/>
          <w:highlight w:val="none"/>
        </w:rPr>
        <w:t>，予以最高</w:t>
      </w:r>
      <w:r>
        <w:rPr>
          <w:rFonts w:ascii="仿宋_GB2312" w:hAnsi="宋体" w:eastAsia="仿宋_GB2312" w:cs="宋体"/>
          <w:kern w:val="0"/>
          <w:sz w:val="32"/>
          <w:szCs w:val="32"/>
          <w:highlight w:val="none"/>
        </w:rPr>
        <w:t>50</w:t>
      </w:r>
      <w:r>
        <w:rPr>
          <w:rFonts w:hint="eastAsia" w:ascii="仿宋_GB2312" w:hAnsi="宋体" w:eastAsia="仿宋_GB2312" w:cs="宋体"/>
          <w:kern w:val="0"/>
          <w:sz w:val="32"/>
          <w:szCs w:val="32"/>
          <w:highlight w:val="none"/>
        </w:rPr>
        <w:t>万元支持。</w:t>
      </w:r>
    </w:p>
    <w:p>
      <w:pPr>
        <w:snapToGrid w:val="0"/>
        <w:ind w:firstLine="640" w:firstLineChars="200"/>
        <w:jc w:val="both"/>
        <w:rPr>
          <w:rFonts w:hint="eastAsia" w:ascii="仿宋_GB2312" w:hAnsi="宋体" w:eastAsia="仿宋_GB2312" w:cs="宋体"/>
          <w:kern w:val="0"/>
          <w:sz w:val="32"/>
          <w:szCs w:val="32"/>
          <w:highlight w:val="none"/>
        </w:rPr>
      </w:pPr>
      <w:r>
        <w:rPr>
          <w:rFonts w:hint="eastAsia" w:ascii="黑体" w:hAnsi="黑体" w:eastAsia="黑体" w:cs="黑体"/>
          <w:sz w:val="32"/>
          <w:szCs w:val="32"/>
          <w:highlight w:val="none"/>
        </w:rPr>
        <w:t xml:space="preserve">第十九条 </w:t>
      </w:r>
      <w:r>
        <w:rPr>
          <w:rFonts w:hint="eastAsia" w:ascii="仿宋_GB2312" w:hAnsi="宋体" w:eastAsia="仿宋_GB2312" w:cs="宋体"/>
          <w:kern w:val="0"/>
          <w:sz w:val="32"/>
          <w:szCs w:val="32"/>
          <w:highlight w:val="none"/>
        </w:rPr>
        <w:t>对上一年度在前海合作区实际经营的市级以上工业设计中心，按照仪器设备和专业软件购置等费用的20%，予以最高</w:t>
      </w:r>
      <w:r>
        <w:rPr>
          <w:rFonts w:ascii="仿宋_GB2312" w:hAnsi="宋体" w:eastAsia="仿宋_GB2312" w:cs="宋体"/>
          <w:kern w:val="0"/>
          <w:sz w:val="32"/>
          <w:szCs w:val="32"/>
          <w:highlight w:val="none"/>
        </w:rPr>
        <w:t>50</w:t>
      </w:r>
      <w:r>
        <w:rPr>
          <w:rFonts w:hint="eastAsia" w:ascii="仿宋_GB2312" w:hAnsi="宋体" w:eastAsia="仿宋_GB2312" w:cs="宋体"/>
          <w:kern w:val="0"/>
          <w:sz w:val="32"/>
          <w:szCs w:val="32"/>
          <w:highlight w:val="none"/>
        </w:rPr>
        <w:t>万元支持。</w:t>
      </w:r>
    </w:p>
    <w:p>
      <w:pPr>
        <w:overflowPunct w:val="0"/>
        <w:snapToGrid w:val="0"/>
        <w:ind w:firstLine="640" w:firstLineChars="200"/>
        <w:jc w:val="both"/>
        <w:rPr>
          <w:rFonts w:hint="eastAsia" w:ascii="仿宋_GB2312" w:hAnsi="Source Han Sans CN" w:eastAsia="仿宋_GB2312" w:cs="Times New Roman"/>
          <w:sz w:val="32"/>
          <w:szCs w:val="32"/>
          <w:highlight w:val="none"/>
        </w:rPr>
      </w:pPr>
      <w:r>
        <w:rPr>
          <w:rFonts w:hint="eastAsia" w:ascii="黑体" w:hAnsi="黑体" w:eastAsia="黑体" w:cs="黑体"/>
          <w:sz w:val="32"/>
          <w:szCs w:val="32"/>
          <w:highlight w:val="none"/>
        </w:rPr>
        <w:t xml:space="preserve">第二十条  </w:t>
      </w:r>
      <w:r>
        <w:rPr>
          <w:rFonts w:hint="eastAsia" w:ascii="仿宋_GB2312" w:hAnsi="Source Han Sans CN" w:eastAsia="仿宋_GB2312" w:cs="Times New Roman"/>
          <w:sz w:val="32"/>
          <w:szCs w:val="32"/>
          <w:highlight w:val="none"/>
        </w:rPr>
        <w:t>对符合下列情形的，按照相关标准予以支持：</w:t>
      </w:r>
    </w:p>
    <w:p>
      <w:pPr>
        <w:overflowPunct w:val="0"/>
        <w:snapToGrid w:val="0"/>
        <w:ind w:firstLine="640" w:firstLineChars="200"/>
        <w:jc w:val="both"/>
        <w:rPr>
          <w:rFonts w:hint="eastAsia" w:ascii="仿宋_GB2312" w:hAnsi="Source Han Sans CN" w:eastAsia="仿宋_GB2312" w:cs="Times New Roman"/>
          <w:sz w:val="32"/>
          <w:szCs w:val="32"/>
          <w:highlight w:val="none"/>
        </w:rPr>
      </w:pPr>
      <w:r>
        <w:rPr>
          <w:rFonts w:hint="eastAsia" w:ascii="仿宋_GB2312" w:hAnsi="Source Han Sans CN" w:eastAsia="仿宋_GB2312" w:cs="Times New Roman"/>
          <w:sz w:val="32"/>
          <w:szCs w:val="32"/>
          <w:highlight w:val="none"/>
        </w:rPr>
        <w:t>（一）对经国家知识产权局批准，外国专利代理机构在前海设立的常驻代表机构，予以一次性150万元支持；</w:t>
      </w:r>
    </w:p>
    <w:p>
      <w:pPr>
        <w:overflowPunct w:val="0"/>
        <w:snapToGrid w:val="0"/>
        <w:ind w:firstLine="640" w:firstLineChars="200"/>
        <w:jc w:val="both"/>
        <w:rPr>
          <w:rFonts w:hint="eastAsia" w:ascii="仿宋_GB2312" w:hAnsi="Source Han Sans CN" w:eastAsia="仿宋_GB2312" w:cs="Times New Roman"/>
          <w:sz w:val="32"/>
          <w:szCs w:val="32"/>
          <w:highlight w:val="none"/>
        </w:rPr>
      </w:pPr>
      <w:r>
        <w:rPr>
          <w:rFonts w:hint="eastAsia" w:ascii="仿宋_GB2312" w:hAnsi="Source Han Sans CN" w:eastAsia="仿宋_GB2312" w:cs="Times New Roman"/>
          <w:sz w:val="32"/>
          <w:szCs w:val="32"/>
          <w:highlight w:val="none"/>
        </w:rPr>
        <w:t>（二）对获得国家知识产权局或国家版权局批准建设的国家级知识产权平台机构或数字化知识产权公共服务平台，经验收通过后，予以一次性50万元支持。</w:t>
      </w:r>
    </w:p>
    <w:p>
      <w:pPr>
        <w:pStyle w:val="3"/>
        <w:keepNext w:val="0"/>
        <w:keepLines w:val="0"/>
        <w:overflowPunct w:val="0"/>
        <w:spacing w:before="0" w:after="0" w:line="200" w:lineRule="exact"/>
        <w:rPr>
          <w:rFonts w:hint="eastAsia" w:ascii="黑体" w:hAnsi="黑体" w:eastAsia="黑体"/>
          <w:b w:val="0"/>
          <w:highlight w:val="none"/>
        </w:rPr>
      </w:pPr>
    </w:p>
    <w:p>
      <w:pPr>
        <w:pStyle w:val="3"/>
        <w:keepNext w:val="0"/>
        <w:keepLines w:val="0"/>
        <w:overflowPunct w:val="0"/>
        <w:spacing w:before="0" w:after="0" w:line="560" w:lineRule="exact"/>
        <w:jc w:val="center"/>
        <w:rPr>
          <w:rFonts w:hint="eastAsia" w:ascii="黑体" w:hAnsi="黑体" w:eastAsia="黑体" w:cs="黑体"/>
          <w:highlight w:val="none"/>
        </w:rPr>
      </w:pPr>
      <w:r>
        <w:rPr>
          <w:rFonts w:hint="eastAsia" w:ascii="黑体" w:hAnsi="黑体" w:eastAsia="黑体"/>
          <w:b w:val="0"/>
          <w:highlight w:val="none"/>
        </w:rPr>
        <w:t xml:space="preserve">第五章 </w:t>
      </w:r>
      <w:r>
        <w:rPr>
          <w:rFonts w:ascii="黑体" w:hAnsi="黑体" w:eastAsia="黑体"/>
          <w:b w:val="0"/>
          <w:highlight w:val="none"/>
        </w:rPr>
        <w:t xml:space="preserve"> </w:t>
      </w:r>
      <w:r>
        <w:rPr>
          <w:rFonts w:hint="eastAsia" w:ascii="黑体" w:hAnsi="黑体" w:eastAsia="黑体"/>
          <w:b w:val="0"/>
          <w:highlight w:val="none"/>
        </w:rPr>
        <w:t>支持发展新质生产力</w:t>
      </w:r>
    </w:p>
    <w:p>
      <w:pPr>
        <w:numPr>
          <w:ilvl w:val="255"/>
          <w:numId w:val="0"/>
        </w:numPr>
        <w:overflowPunct w:val="0"/>
        <w:snapToGrid w:val="0"/>
        <w:spacing w:line="220" w:lineRule="exact"/>
        <w:ind w:firstLine="640" w:firstLineChars="200"/>
        <w:jc w:val="both"/>
        <w:rPr>
          <w:rFonts w:hint="eastAsia" w:ascii="黑体" w:hAnsi="黑体" w:eastAsia="黑体" w:cs="黑体"/>
          <w:sz w:val="32"/>
          <w:szCs w:val="32"/>
          <w:highlight w:val="none"/>
        </w:rPr>
      </w:pPr>
    </w:p>
    <w:p>
      <w:pPr>
        <w:numPr>
          <w:ilvl w:val="255"/>
          <w:numId w:val="0"/>
        </w:numPr>
        <w:overflowPunct w:val="0"/>
        <w:snapToGrid w:val="0"/>
        <w:ind w:firstLine="640" w:firstLineChars="200"/>
        <w:jc w:val="both"/>
        <w:rPr>
          <w:rFonts w:hint="eastAsia" w:ascii="仿宋_GB2312" w:hAnsi="宋体" w:eastAsia="仿宋_GB2312" w:cs="宋体"/>
          <w:kern w:val="0"/>
          <w:sz w:val="32"/>
          <w:szCs w:val="32"/>
          <w:highlight w:val="none"/>
        </w:rPr>
      </w:pPr>
      <w:r>
        <w:rPr>
          <w:rFonts w:hint="eastAsia" w:ascii="黑体" w:hAnsi="黑体" w:eastAsia="黑体" w:cs="黑体"/>
          <w:sz w:val="32"/>
          <w:szCs w:val="32"/>
          <w:highlight w:val="none"/>
        </w:rPr>
        <w:t xml:space="preserve">第二十一条 </w:t>
      </w:r>
      <w:r>
        <w:rPr>
          <w:rFonts w:hint="eastAsia" w:ascii="仿宋_GB2312" w:hAnsi="宋体" w:eastAsia="仿宋_GB2312" w:cs="宋体"/>
          <w:kern w:val="0"/>
          <w:sz w:val="32"/>
          <w:szCs w:val="32"/>
          <w:highlight w:val="none"/>
        </w:rPr>
        <w:t>支持颠覆性技术产业化项目，对入选国家颠覆性技术创新专项，或者由国家有关部门评审认可其技术先进性、突破性和对现有技术的替代性的科研项目，符合前海</w:t>
      </w:r>
      <w:r>
        <w:rPr>
          <w:rFonts w:ascii="仿宋_GB2312" w:hAnsi="宋体" w:eastAsia="仿宋_GB2312" w:cs="宋体"/>
          <w:kern w:val="0"/>
          <w:sz w:val="32"/>
          <w:szCs w:val="32"/>
          <w:highlight w:val="none"/>
        </w:rPr>
        <w:t>合作区</w:t>
      </w:r>
      <w:r>
        <w:rPr>
          <w:rFonts w:hint="eastAsia" w:ascii="仿宋_GB2312" w:hAnsi="宋体" w:eastAsia="仿宋_GB2312" w:cs="宋体"/>
          <w:kern w:val="0"/>
          <w:sz w:val="32"/>
          <w:szCs w:val="32"/>
          <w:highlight w:val="none"/>
        </w:rPr>
        <w:t>产业发展方向，事前经前海管理局同意支持的，以协议方式予以支持。</w:t>
      </w:r>
    </w:p>
    <w:p>
      <w:pPr>
        <w:numPr>
          <w:ilvl w:val="255"/>
          <w:numId w:val="0"/>
        </w:numPr>
        <w:overflowPunct w:val="0"/>
        <w:snapToGrid w:val="0"/>
        <w:ind w:firstLine="640" w:firstLineChars="200"/>
        <w:jc w:val="both"/>
        <w:rPr>
          <w:rFonts w:hint="eastAsia" w:ascii="仿宋_GB2312" w:hAnsi="宋体" w:eastAsia="仿宋_GB2312" w:cs="宋体"/>
          <w:kern w:val="0"/>
          <w:sz w:val="32"/>
          <w:szCs w:val="32"/>
          <w:highlight w:val="none"/>
        </w:rPr>
      </w:pPr>
      <w:r>
        <w:rPr>
          <w:rFonts w:hint="eastAsia" w:ascii="黑体" w:hAnsi="黑体" w:eastAsia="黑体" w:cs="黑体"/>
          <w:sz w:val="32"/>
          <w:szCs w:val="32"/>
          <w:highlight w:val="none"/>
        </w:rPr>
        <w:t xml:space="preserve">第二十二条 </w:t>
      </w:r>
      <w:r>
        <w:rPr>
          <w:rFonts w:hint="eastAsia" w:ascii="仿宋_GB2312" w:hAnsi="宋体" w:eastAsia="仿宋_GB2312" w:cs="宋体"/>
          <w:sz w:val="32"/>
          <w:szCs w:val="32"/>
          <w:highlight w:val="none"/>
        </w:rPr>
        <w:t>支持</w:t>
      </w:r>
      <w:r>
        <w:rPr>
          <w:rFonts w:ascii="仿宋_GB2312" w:hAnsi="宋体" w:eastAsia="仿宋_GB2312" w:cs="宋体"/>
          <w:sz w:val="32"/>
          <w:szCs w:val="32"/>
          <w:highlight w:val="none"/>
        </w:rPr>
        <w:t>国家实验室</w:t>
      </w:r>
      <w:r>
        <w:rPr>
          <w:rFonts w:hint="eastAsia" w:ascii="仿宋_GB2312" w:hAnsi="宋体" w:eastAsia="仿宋_GB2312" w:cs="宋体"/>
          <w:kern w:val="0"/>
          <w:sz w:val="32"/>
          <w:szCs w:val="32"/>
          <w:highlight w:val="none"/>
        </w:rPr>
        <w:t>、全国（国家）重点实验室和国家级创新中心</w:t>
      </w:r>
      <w:r>
        <w:rPr>
          <w:rFonts w:hint="eastAsia" w:ascii="仿宋_GB2312" w:hAnsi="宋体" w:eastAsia="仿宋_GB2312" w:cs="宋体"/>
          <w:sz w:val="32"/>
          <w:szCs w:val="32"/>
          <w:highlight w:val="none"/>
        </w:rPr>
        <w:t>等</w:t>
      </w:r>
      <w:r>
        <w:rPr>
          <w:rFonts w:hint="eastAsia" w:ascii="仿宋_GB2312" w:hAnsi="宋体" w:eastAsia="仿宋_GB2312" w:cs="宋体"/>
          <w:kern w:val="0"/>
          <w:sz w:val="32"/>
          <w:szCs w:val="32"/>
          <w:highlight w:val="none"/>
        </w:rPr>
        <w:t>国家级创新载体</w:t>
      </w:r>
      <w:r>
        <w:rPr>
          <w:rFonts w:hint="eastAsia" w:ascii="仿宋_GB2312" w:hAnsi="宋体" w:eastAsia="仿宋_GB2312" w:cs="宋体"/>
          <w:sz w:val="32"/>
          <w:szCs w:val="32"/>
          <w:highlight w:val="none"/>
        </w:rPr>
        <w:t>建设</w:t>
      </w:r>
      <w:r>
        <w:rPr>
          <w:rFonts w:hint="eastAsia" w:ascii="仿宋_GB2312" w:hAnsi="宋体" w:eastAsia="仿宋_GB2312" w:cs="宋体"/>
          <w:kern w:val="0"/>
          <w:sz w:val="32"/>
          <w:szCs w:val="32"/>
          <w:highlight w:val="none"/>
        </w:rPr>
        <w:t>或者设立分支机构，</w:t>
      </w:r>
      <w:r>
        <w:rPr>
          <w:rFonts w:ascii="仿宋_GB2312" w:hAnsi="宋体" w:eastAsia="仿宋_GB2312" w:cs="宋体"/>
          <w:sz w:val="32"/>
          <w:szCs w:val="32"/>
          <w:highlight w:val="none"/>
        </w:rPr>
        <w:t>根据建设投入需求和建设意义，事前经前海管理局同意支持的，以协议方式</w:t>
      </w:r>
      <w:r>
        <w:rPr>
          <w:rFonts w:ascii="仿宋_GB2312" w:hAnsi="宋体" w:eastAsia="仿宋_GB2312" w:cs="宋体"/>
          <w:kern w:val="0"/>
          <w:sz w:val="32"/>
          <w:szCs w:val="32"/>
          <w:highlight w:val="none"/>
        </w:rPr>
        <w:t>予以</w:t>
      </w:r>
      <w:r>
        <w:rPr>
          <w:rFonts w:ascii="仿宋_GB2312" w:hAnsi="宋体" w:eastAsia="仿宋_GB2312" w:cs="宋体"/>
          <w:sz w:val="32"/>
          <w:szCs w:val="32"/>
          <w:highlight w:val="none"/>
        </w:rPr>
        <w:t>支持</w:t>
      </w:r>
      <w:r>
        <w:rPr>
          <w:rFonts w:hint="eastAsia" w:ascii="仿宋_GB2312" w:hAnsi="宋体" w:eastAsia="仿宋_GB2312" w:cs="宋体"/>
          <w:kern w:val="0"/>
          <w:sz w:val="32"/>
          <w:szCs w:val="32"/>
          <w:highlight w:val="none"/>
        </w:rPr>
        <w:t>。</w:t>
      </w:r>
    </w:p>
    <w:p>
      <w:pPr>
        <w:snapToGrid w:val="0"/>
        <w:ind w:firstLine="640" w:firstLineChars="200"/>
        <w:jc w:val="both"/>
        <w:rPr>
          <w:rFonts w:hint="eastAsia" w:ascii="仿宋_GB2312" w:hAnsi="宋体" w:eastAsia="仿宋_GB2312" w:cs="宋体"/>
          <w:kern w:val="0"/>
          <w:sz w:val="32"/>
          <w:szCs w:val="32"/>
          <w:highlight w:val="none"/>
        </w:rPr>
      </w:pPr>
      <w:r>
        <w:rPr>
          <w:rFonts w:hint="eastAsia" w:ascii="黑体" w:hAnsi="黑体" w:eastAsia="黑体" w:cs="黑体"/>
          <w:sz w:val="32"/>
          <w:szCs w:val="32"/>
          <w:highlight w:val="none"/>
        </w:rPr>
        <w:t xml:space="preserve">第二十三条 </w:t>
      </w:r>
      <w:r>
        <w:rPr>
          <w:rFonts w:hint="eastAsia" w:ascii="仿宋_GB2312" w:hAnsi="宋体" w:eastAsia="仿宋_GB2312" w:cs="宋体"/>
          <w:kern w:val="0"/>
          <w:sz w:val="32"/>
          <w:szCs w:val="32"/>
          <w:highlight w:val="none"/>
        </w:rPr>
        <w:t>对前海</w:t>
      </w:r>
      <w:r>
        <w:rPr>
          <w:rFonts w:ascii="仿宋_GB2312" w:hAnsi="宋体" w:eastAsia="仿宋_GB2312" w:cs="宋体"/>
          <w:kern w:val="0"/>
          <w:sz w:val="32"/>
          <w:szCs w:val="32"/>
          <w:highlight w:val="none"/>
        </w:rPr>
        <w:t>合作区</w:t>
      </w:r>
      <w:r>
        <w:rPr>
          <w:rFonts w:hint="eastAsia" w:ascii="仿宋_GB2312" w:hAnsi="宋体" w:eastAsia="仿宋_GB2312" w:cs="宋体"/>
          <w:kern w:val="0"/>
          <w:sz w:val="32"/>
          <w:szCs w:val="32"/>
          <w:highlight w:val="none"/>
        </w:rPr>
        <w:t>重点发展的战略性新兴产业和未来产业领域的企业，上一年度研发投入5000万元以上，拥有战略性新兴产业和未来产业领域相关专利5项以上的，按照上一年度研发投入增量的5％</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予以</w:t>
      </w:r>
      <w:r>
        <w:rPr>
          <w:rFonts w:ascii="仿宋_GB2312" w:hAnsi="宋体" w:eastAsia="仿宋_GB2312" w:cs="宋体"/>
          <w:kern w:val="0"/>
          <w:sz w:val="32"/>
          <w:szCs w:val="32"/>
          <w:highlight w:val="none"/>
        </w:rPr>
        <w:t>最高</w:t>
      </w:r>
      <w:r>
        <w:rPr>
          <w:rFonts w:hint="eastAsia" w:ascii="仿宋_GB2312" w:hAnsi="宋体" w:eastAsia="仿宋_GB2312" w:cs="宋体"/>
          <w:kern w:val="0"/>
          <w:sz w:val="32"/>
          <w:szCs w:val="32"/>
          <w:highlight w:val="none"/>
        </w:rPr>
        <w:t>500万元支持。</w:t>
      </w:r>
    </w:p>
    <w:p>
      <w:pPr>
        <w:pStyle w:val="3"/>
        <w:keepNext w:val="0"/>
        <w:keepLines w:val="0"/>
        <w:overflowPunct w:val="0"/>
        <w:spacing w:before="0" w:after="0" w:line="560" w:lineRule="exact"/>
        <w:jc w:val="center"/>
        <w:rPr>
          <w:rFonts w:hint="eastAsia" w:ascii="黑体" w:hAnsi="黑体" w:eastAsia="黑体"/>
          <w:b w:val="0"/>
          <w:highlight w:val="none"/>
        </w:rPr>
      </w:pPr>
    </w:p>
    <w:p>
      <w:pPr>
        <w:pStyle w:val="3"/>
        <w:keepNext w:val="0"/>
        <w:keepLines w:val="0"/>
        <w:overflowPunct w:val="0"/>
        <w:spacing w:before="0" w:after="0" w:line="560" w:lineRule="exact"/>
        <w:jc w:val="center"/>
        <w:rPr>
          <w:rFonts w:hint="eastAsia" w:ascii="黑体" w:hAnsi="黑体" w:eastAsia="黑体"/>
          <w:b w:val="0"/>
          <w:highlight w:val="none"/>
        </w:rPr>
      </w:pPr>
      <w:r>
        <w:rPr>
          <w:rFonts w:hint="eastAsia" w:ascii="黑体" w:hAnsi="黑体" w:eastAsia="黑体"/>
          <w:b w:val="0"/>
          <w:highlight w:val="none"/>
        </w:rPr>
        <w:t xml:space="preserve">第六章 </w:t>
      </w:r>
      <w:r>
        <w:rPr>
          <w:rFonts w:ascii="黑体" w:hAnsi="黑体" w:eastAsia="黑体"/>
          <w:b w:val="0"/>
          <w:highlight w:val="none"/>
        </w:rPr>
        <w:t xml:space="preserve"> </w:t>
      </w:r>
      <w:r>
        <w:rPr>
          <w:rFonts w:hint="eastAsia" w:ascii="黑体" w:hAnsi="黑体" w:eastAsia="黑体"/>
          <w:b w:val="0"/>
          <w:highlight w:val="none"/>
        </w:rPr>
        <w:t>申请与审核</w:t>
      </w:r>
    </w:p>
    <w:p>
      <w:pPr>
        <w:overflowPunct w:val="0"/>
        <w:jc w:val="both"/>
        <w:rPr>
          <w:rFonts w:hint="eastAsia" w:ascii="黑体" w:hAnsi="黑体" w:eastAsia="黑体" w:cs="仿宋_GB2312"/>
          <w:sz w:val="32"/>
          <w:szCs w:val="32"/>
          <w:highlight w:val="none"/>
        </w:rPr>
      </w:pPr>
    </w:p>
    <w:p>
      <w:pPr>
        <w:overflowPunct w:val="0"/>
        <w:ind w:firstLine="645"/>
        <w:jc w:val="both"/>
        <w:rPr>
          <w:rFonts w:hint="eastAsia" w:ascii="仿宋_GB2312" w:hAnsi="宋体" w:eastAsia="仿宋_GB2312" w:cs="宋体"/>
          <w:kern w:val="0"/>
          <w:sz w:val="32"/>
          <w:szCs w:val="32"/>
          <w:highlight w:val="none"/>
        </w:rPr>
      </w:pPr>
      <w:r>
        <w:rPr>
          <w:rFonts w:hint="eastAsia" w:ascii="黑体" w:hAnsi="黑体" w:eastAsia="黑体" w:cs="仿宋_GB2312"/>
          <w:sz w:val="32"/>
          <w:szCs w:val="32"/>
          <w:highlight w:val="none"/>
        </w:rPr>
        <w:t xml:space="preserve">第二十四条 </w:t>
      </w:r>
      <w:r>
        <w:rPr>
          <w:rFonts w:hint="eastAsia" w:ascii="仿宋_GB2312" w:hAnsi="宋体" w:eastAsia="仿宋_GB2312" w:cs="宋体"/>
          <w:kern w:val="0"/>
          <w:sz w:val="32"/>
          <w:szCs w:val="32"/>
          <w:highlight w:val="none"/>
        </w:rPr>
        <w:t>扶持资金申报与核准流程如下：</w:t>
      </w:r>
    </w:p>
    <w:p>
      <w:pPr>
        <w:overflowPunct w:val="0"/>
        <w:snapToGrid w:val="0"/>
        <w:ind w:firstLine="640" w:firstLineChars="200"/>
        <w:jc w:val="both"/>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（一）申报。扶持资金申请集中受理，受理时间以前海管理局发布公告为准，受理期限不少于10个工作日。申请机构应在受理期间提交申报材料。</w:t>
      </w:r>
    </w:p>
    <w:p>
      <w:pPr>
        <w:overflowPunct w:val="0"/>
        <w:snapToGrid w:val="0"/>
        <w:ind w:firstLine="640" w:firstLineChars="200"/>
        <w:jc w:val="both"/>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（二）材料审查。前海管理局对申报材料进行审查，包括</w:t>
      </w:r>
      <w:r>
        <w:rPr>
          <w:rFonts w:hint="eastAsia" w:ascii="仿宋_GB2312" w:hAnsi="仿宋" w:eastAsia="仿宋_GB2312" w:cs="Times New Roman"/>
          <w:sz w:val="32"/>
          <w:szCs w:val="32"/>
          <w:highlight w:val="none"/>
        </w:rPr>
        <w:t>审核申请机构获得市、区财政同类政策支持的情况等，</w:t>
      </w:r>
      <w:r>
        <w:rPr>
          <w:rFonts w:hint="eastAsia" w:ascii="仿宋_GB2312" w:hAnsi="宋体" w:eastAsia="仿宋_GB2312" w:cs="宋体"/>
          <w:kern w:val="0"/>
          <w:sz w:val="32"/>
          <w:szCs w:val="32"/>
          <w:highlight w:val="none"/>
        </w:rPr>
        <w:t>审查可委托专业机构进行审核并提供意见。</w:t>
      </w:r>
    </w:p>
    <w:p>
      <w:pPr>
        <w:overflowPunct w:val="0"/>
        <w:snapToGrid w:val="0"/>
        <w:ind w:firstLine="640" w:firstLineChars="200"/>
        <w:jc w:val="both"/>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三）公示。审查通过的应向社会公示，公示期不少于5个工作日。任何组织或个人对公示有异议的，应当在公示期内向前海管理局提出书面异议。前海管理局应当对异议进行调查核实。异议成立的，对事项进行公示，异议不成立的，书面告知异议人。</w:t>
      </w:r>
    </w:p>
    <w:p>
      <w:pPr>
        <w:overflowPunct w:val="0"/>
        <w:snapToGrid w:val="0"/>
        <w:ind w:firstLine="640" w:firstLineChars="200"/>
        <w:jc w:val="both"/>
        <w:rPr>
          <w:rFonts w:hint="eastAsia" w:ascii="仿宋_GB2312" w:hAnsi="等线" w:eastAsia="仿宋_GB2312" w:cs="Times New Roman"/>
          <w:sz w:val="32"/>
          <w:szCs w:val="36"/>
          <w:highlight w:val="none"/>
        </w:rPr>
      </w:pPr>
      <w:r>
        <w:rPr>
          <w:rFonts w:hint="eastAsia" w:ascii="仿宋_GB2312" w:hAnsi="宋体" w:eastAsia="仿宋_GB2312" w:cs="宋体"/>
          <w:kern w:val="0"/>
          <w:sz w:val="32"/>
          <w:szCs w:val="32"/>
          <w:highlight w:val="none"/>
        </w:rPr>
        <w:t>（四）拨付资金。经公示无异议的，或者异议不成立的，前海管理局按照规定拨付相应扶持资金至申请机构账户。前海管理局可根据机构支持事项申报情况，与申请主体签订相关支持协议。</w:t>
      </w:r>
    </w:p>
    <w:p>
      <w:pPr>
        <w:overflowPunct w:val="0"/>
        <w:ind w:firstLine="640" w:firstLineChars="200"/>
        <w:jc w:val="both"/>
        <w:rPr>
          <w:rFonts w:hint="eastAsia" w:ascii="仿宋_GB2312" w:hAnsi="宋体" w:eastAsia="仿宋_GB2312" w:cs="宋体"/>
          <w:kern w:val="0"/>
          <w:sz w:val="32"/>
          <w:szCs w:val="32"/>
          <w:highlight w:val="none"/>
        </w:rPr>
      </w:pPr>
      <w:r>
        <w:rPr>
          <w:rFonts w:hint="eastAsia" w:ascii="黑体" w:hAnsi="黑体" w:eastAsia="黑体" w:cs="仿宋_GB2312"/>
          <w:sz w:val="32"/>
          <w:szCs w:val="32"/>
          <w:highlight w:val="none"/>
        </w:rPr>
        <w:t>第</w:t>
      </w:r>
      <w:r>
        <w:rPr>
          <w:rFonts w:ascii="黑体" w:hAnsi="黑体" w:eastAsia="黑体" w:cs="仿宋_GB2312"/>
          <w:sz w:val="32"/>
          <w:szCs w:val="32"/>
          <w:highlight w:val="none"/>
        </w:rPr>
        <w:t>二十</w:t>
      </w:r>
      <w:r>
        <w:rPr>
          <w:rFonts w:hint="eastAsia" w:ascii="黑体" w:hAnsi="黑体" w:eastAsia="黑体" w:cs="仿宋_GB2312"/>
          <w:sz w:val="32"/>
          <w:szCs w:val="32"/>
          <w:highlight w:val="none"/>
        </w:rPr>
        <w:t>五</w:t>
      </w:r>
      <w:r>
        <w:rPr>
          <w:rFonts w:ascii="黑体" w:hAnsi="黑体" w:eastAsia="黑体" w:cs="仿宋_GB2312"/>
          <w:sz w:val="32"/>
          <w:szCs w:val="32"/>
          <w:highlight w:val="none"/>
        </w:rPr>
        <w:t>条</w:t>
      </w:r>
      <w:r>
        <w:rPr>
          <w:rFonts w:hint="eastAsia" w:ascii="黑体" w:hAnsi="黑体" w:eastAsia="黑体" w:cs="仿宋_GB2312"/>
          <w:sz w:val="32"/>
          <w:szCs w:val="32"/>
          <w:highlight w:val="none"/>
        </w:rPr>
        <w:t xml:space="preserve"> </w:t>
      </w:r>
      <w:r>
        <w:rPr>
          <w:rFonts w:hint="eastAsia" w:ascii="仿宋_GB2312" w:hAnsi="宋体" w:eastAsia="仿宋_GB2312" w:cs="宋体"/>
          <w:kern w:val="0"/>
          <w:sz w:val="32"/>
          <w:szCs w:val="32"/>
          <w:highlight w:val="none"/>
        </w:rPr>
        <w:t>申请材料由前海管理局根据本办法规定的条件以申报指南的形式列明，并在前海管理局官方网站公示。申请机构应当提供信用承诺，对申报材料的真实性和合法性负责。</w:t>
      </w:r>
    </w:p>
    <w:p>
      <w:pPr>
        <w:overflowPunct w:val="0"/>
        <w:ind w:firstLine="640" w:firstLineChars="200"/>
        <w:jc w:val="both"/>
        <w:rPr>
          <w:rFonts w:hint="eastAsia" w:ascii="黑体" w:hAnsi="黑体" w:eastAsia="黑体" w:cs="Times New Roman"/>
          <w:highlight w:val="none"/>
        </w:rPr>
      </w:pPr>
      <w:r>
        <w:rPr>
          <w:rFonts w:hint="eastAsia" w:ascii="黑体" w:hAnsi="黑体" w:eastAsia="黑体" w:cs="仿宋_GB2312"/>
          <w:sz w:val="32"/>
          <w:szCs w:val="32"/>
          <w:highlight w:val="none"/>
        </w:rPr>
        <w:t xml:space="preserve">第二十六条 </w:t>
      </w:r>
      <w:r>
        <w:rPr>
          <w:rFonts w:hint="eastAsia" w:ascii="仿宋_GB2312" w:hAnsi="宋体" w:eastAsia="仿宋_GB2312" w:cs="宋体"/>
          <w:kern w:val="0"/>
          <w:sz w:val="32"/>
          <w:szCs w:val="32"/>
          <w:highlight w:val="none"/>
        </w:rPr>
        <w:t>申报材料符合要求的，前海管理局应当受理并在60日内完成审核；申请材料需补充的，前海管理局应当一次性告知需补充的材料，经补充符合要求的，前海管理局应当受理并在60日内完成审核。特殊情况下，根据实际情况可延长不超过20日。</w:t>
      </w:r>
    </w:p>
    <w:p>
      <w:pPr>
        <w:pStyle w:val="3"/>
        <w:keepNext w:val="0"/>
        <w:keepLines w:val="0"/>
        <w:overflowPunct w:val="0"/>
        <w:spacing w:before="0" w:after="0" w:line="560" w:lineRule="exact"/>
        <w:jc w:val="center"/>
        <w:rPr>
          <w:rFonts w:hint="eastAsia" w:ascii="黑体" w:hAnsi="黑体" w:eastAsia="黑体"/>
          <w:b w:val="0"/>
          <w:highlight w:val="none"/>
        </w:rPr>
      </w:pPr>
    </w:p>
    <w:p>
      <w:pPr>
        <w:pStyle w:val="3"/>
        <w:keepNext w:val="0"/>
        <w:keepLines w:val="0"/>
        <w:overflowPunct w:val="0"/>
        <w:spacing w:before="0" w:after="0" w:line="560" w:lineRule="exact"/>
        <w:jc w:val="center"/>
        <w:rPr>
          <w:rFonts w:hint="eastAsia" w:ascii="黑体" w:hAnsi="黑体" w:eastAsia="黑体"/>
          <w:b w:val="0"/>
          <w:highlight w:val="none"/>
        </w:rPr>
      </w:pPr>
      <w:r>
        <w:rPr>
          <w:rFonts w:hint="eastAsia" w:ascii="黑体" w:hAnsi="黑体" w:eastAsia="黑体"/>
          <w:b w:val="0"/>
          <w:highlight w:val="none"/>
        </w:rPr>
        <w:t xml:space="preserve">第七章 </w:t>
      </w:r>
      <w:r>
        <w:rPr>
          <w:rFonts w:ascii="黑体" w:hAnsi="黑体" w:eastAsia="黑体"/>
          <w:b w:val="0"/>
          <w:highlight w:val="none"/>
        </w:rPr>
        <w:t xml:space="preserve"> </w:t>
      </w:r>
      <w:r>
        <w:rPr>
          <w:rFonts w:hint="eastAsia" w:ascii="黑体" w:hAnsi="黑体" w:eastAsia="黑体"/>
          <w:b w:val="0"/>
          <w:highlight w:val="none"/>
        </w:rPr>
        <w:t>监督管理</w:t>
      </w:r>
    </w:p>
    <w:p>
      <w:pPr>
        <w:tabs>
          <w:tab w:val="left" w:pos="499"/>
        </w:tabs>
        <w:overflowPunct w:val="0"/>
        <w:ind w:firstLine="640"/>
        <w:jc w:val="both"/>
        <w:rPr>
          <w:rFonts w:hint="eastAsia" w:ascii="黑体" w:hAnsi="黑体" w:eastAsia="黑体" w:cs="仿宋_GB2312"/>
          <w:sz w:val="32"/>
          <w:szCs w:val="32"/>
          <w:highlight w:val="none"/>
        </w:rPr>
      </w:pPr>
    </w:p>
    <w:p>
      <w:pPr>
        <w:tabs>
          <w:tab w:val="left" w:pos="499"/>
        </w:tabs>
        <w:overflowPunct w:val="0"/>
        <w:ind w:firstLine="640"/>
        <w:jc w:val="both"/>
        <w:rPr>
          <w:rFonts w:ascii="Calibri" w:hAnsi="Calibri" w:eastAsia="宋体" w:cs="Times New Roman"/>
          <w:highlight w:val="none"/>
        </w:rPr>
      </w:pPr>
      <w:r>
        <w:rPr>
          <w:rFonts w:hint="eastAsia" w:ascii="黑体" w:hAnsi="黑体" w:eastAsia="黑体" w:cs="仿宋_GB2312"/>
          <w:sz w:val="32"/>
          <w:szCs w:val="32"/>
          <w:highlight w:val="none"/>
        </w:rPr>
        <w:t>第二十七</w:t>
      </w:r>
      <w:r>
        <w:rPr>
          <w:rFonts w:ascii="黑体" w:hAnsi="黑体" w:eastAsia="黑体" w:cs="仿宋_GB2312"/>
          <w:sz w:val="32"/>
          <w:szCs w:val="32"/>
          <w:highlight w:val="none"/>
        </w:rPr>
        <w:t>条</w:t>
      </w:r>
      <w:r>
        <w:rPr>
          <w:rFonts w:hint="eastAsia" w:ascii="黑体" w:hAnsi="黑体" w:eastAsia="黑体" w:cs="仿宋_GB2312"/>
          <w:sz w:val="32"/>
          <w:szCs w:val="32"/>
          <w:highlight w:val="none"/>
        </w:rPr>
        <w:t xml:space="preserve"> </w:t>
      </w:r>
      <w:r>
        <w:rPr>
          <w:rFonts w:hint="eastAsia" w:ascii="仿宋_GB2312" w:hAnsi="宋体" w:eastAsia="仿宋_GB2312" w:cs="宋体"/>
          <w:kern w:val="0"/>
          <w:sz w:val="32"/>
          <w:szCs w:val="32"/>
          <w:highlight w:val="none"/>
        </w:rPr>
        <w:t>申请本办法支持的机构本单位及其人员未处于承担或者参股财政性资金支持科技活动禁止期限内，不存在虚报、冒领、贪污、挪用、截留用于科学技术进步的财政性资金，进行违背科研诚信和科技伦理的科学技术研究开发和应用活动，违反科学技术活动管理规范等情节严重的情形。</w:t>
      </w:r>
    </w:p>
    <w:p>
      <w:pPr>
        <w:tabs>
          <w:tab w:val="left" w:pos="499"/>
        </w:tabs>
        <w:overflowPunct w:val="0"/>
        <w:ind w:firstLine="640"/>
        <w:jc w:val="both"/>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申请机构应当保证申请材料的真实性、完整性，申请机构在申报、执行扶持资金过程中存在弄虚作假、以不正当手段骗取资金、拒绝配合监督检查的，前海管理局收回扶持资金，并按当期贷款市场报价利率（LPR）计息。构成犯罪的，依法追究刑事责任。</w:t>
      </w:r>
    </w:p>
    <w:p>
      <w:pPr>
        <w:tabs>
          <w:tab w:val="left" w:pos="499"/>
        </w:tabs>
        <w:overflowPunct w:val="0"/>
        <w:ind w:firstLine="640" w:firstLineChars="200"/>
        <w:jc w:val="both"/>
        <w:rPr>
          <w:rFonts w:hint="eastAsia" w:ascii="仿宋_GB2312" w:hAnsi="宋体" w:eastAsia="仿宋_GB2312" w:cs="宋体"/>
          <w:kern w:val="0"/>
          <w:sz w:val="32"/>
          <w:szCs w:val="32"/>
          <w:highlight w:val="none"/>
        </w:rPr>
      </w:pPr>
      <w:r>
        <w:rPr>
          <w:rFonts w:hint="eastAsia" w:ascii="黑体" w:hAnsi="黑体" w:eastAsia="黑体" w:cs="仿宋_GB2312"/>
          <w:sz w:val="32"/>
          <w:szCs w:val="32"/>
          <w:highlight w:val="none"/>
        </w:rPr>
        <w:t xml:space="preserve">第二十八条 </w:t>
      </w:r>
      <w:r>
        <w:rPr>
          <w:rFonts w:hint="eastAsia" w:ascii="仿宋_GB2312" w:hAnsi="宋体" w:eastAsia="仿宋_GB2312" w:cs="宋体"/>
          <w:kern w:val="0"/>
          <w:sz w:val="32"/>
          <w:szCs w:val="32"/>
          <w:highlight w:val="none"/>
        </w:rPr>
        <w:t>前海管理局工作人员在管理和审批资金过程中玩忽职守、滥用职权，不履行或不正确履行本办法规定的各项职责，或者利用职务便利谋取不正当利益，依法依规给予党纪政务处分；涉嫌职务犯罪的，依法移送监察机关处理。</w:t>
      </w:r>
    </w:p>
    <w:p>
      <w:pPr>
        <w:pStyle w:val="3"/>
        <w:keepNext w:val="0"/>
        <w:keepLines w:val="0"/>
        <w:overflowPunct w:val="0"/>
        <w:snapToGrid w:val="0"/>
        <w:spacing w:before="0" w:after="0" w:line="560" w:lineRule="exact"/>
        <w:jc w:val="center"/>
        <w:rPr>
          <w:rFonts w:hint="eastAsia" w:ascii="黑体" w:hAnsi="黑体" w:eastAsia="黑体"/>
          <w:b w:val="0"/>
          <w:highlight w:val="none"/>
        </w:rPr>
      </w:pPr>
    </w:p>
    <w:p>
      <w:pPr>
        <w:pStyle w:val="3"/>
        <w:keepNext w:val="0"/>
        <w:keepLines w:val="0"/>
        <w:overflowPunct w:val="0"/>
        <w:snapToGrid w:val="0"/>
        <w:spacing w:before="0" w:after="0" w:line="560" w:lineRule="exact"/>
        <w:jc w:val="center"/>
        <w:rPr>
          <w:rFonts w:hint="eastAsia" w:ascii="黑体" w:hAnsi="黑体" w:eastAsia="黑体" w:cs="宋体"/>
          <w:kern w:val="0"/>
          <w:highlight w:val="none"/>
        </w:rPr>
      </w:pPr>
      <w:r>
        <w:rPr>
          <w:rFonts w:hint="eastAsia" w:ascii="黑体" w:hAnsi="黑体" w:eastAsia="黑体"/>
          <w:b w:val="0"/>
          <w:highlight w:val="none"/>
        </w:rPr>
        <w:t xml:space="preserve">第八章 </w:t>
      </w:r>
      <w:r>
        <w:rPr>
          <w:rFonts w:ascii="黑体" w:hAnsi="黑体" w:eastAsia="黑体"/>
          <w:b w:val="0"/>
          <w:highlight w:val="none"/>
        </w:rPr>
        <w:t xml:space="preserve"> </w:t>
      </w:r>
      <w:r>
        <w:rPr>
          <w:rFonts w:hint="eastAsia" w:ascii="黑体" w:hAnsi="黑体" w:eastAsia="黑体"/>
          <w:b w:val="0"/>
          <w:highlight w:val="none"/>
        </w:rPr>
        <w:t>附</w:t>
      </w:r>
      <w:r>
        <w:rPr>
          <w:rFonts w:ascii="黑体" w:hAnsi="黑体" w:eastAsia="黑体"/>
          <w:b w:val="0"/>
          <w:highlight w:val="none"/>
        </w:rPr>
        <w:t xml:space="preserve">  </w:t>
      </w:r>
      <w:r>
        <w:rPr>
          <w:rFonts w:hint="eastAsia" w:ascii="黑体" w:hAnsi="黑体" w:eastAsia="黑体"/>
          <w:b w:val="0"/>
          <w:highlight w:val="none"/>
        </w:rPr>
        <w:t>则</w:t>
      </w:r>
    </w:p>
    <w:p>
      <w:pPr>
        <w:overflowPunct w:val="0"/>
        <w:snapToGrid w:val="0"/>
        <w:ind w:firstLine="640" w:firstLineChars="200"/>
        <w:jc w:val="both"/>
        <w:rPr>
          <w:rFonts w:hint="eastAsia" w:ascii="黑体" w:hAnsi="黑体" w:eastAsia="黑体" w:cs="宋体"/>
          <w:kern w:val="0"/>
          <w:sz w:val="32"/>
          <w:szCs w:val="32"/>
          <w:highlight w:val="none"/>
        </w:rPr>
      </w:pPr>
    </w:p>
    <w:p>
      <w:pPr>
        <w:overflowPunct w:val="0"/>
        <w:snapToGrid w:val="0"/>
        <w:ind w:firstLine="640" w:firstLineChars="200"/>
        <w:jc w:val="both"/>
        <w:rPr>
          <w:rFonts w:hint="eastAsia" w:ascii="黑体" w:hAnsi="黑体" w:eastAsia="黑体" w:cs="宋体"/>
          <w:kern w:val="0"/>
          <w:sz w:val="32"/>
          <w:szCs w:val="32"/>
          <w:highlight w:val="none"/>
        </w:rPr>
      </w:pPr>
      <w:r>
        <w:rPr>
          <w:rFonts w:hint="eastAsia" w:ascii="黑体" w:hAnsi="黑体" w:eastAsia="黑体" w:cs="宋体"/>
          <w:kern w:val="0"/>
          <w:sz w:val="32"/>
          <w:szCs w:val="32"/>
          <w:highlight w:val="none"/>
        </w:rPr>
        <w:t xml:space="preserve">第二十九条 </w:t>
      </w:r>
      <w:r>
        <w:rPr>
          <w:rFonts w:hint="eastAsia" w:ascii="仿宋_GB2312" w:hAnsi="宋体" w:eastAsia="仿宋_GB2312" w:cs="宋体"/>
          <w:kern w:val="0"/>
          <w:sz w:val="32"/>
          <w:szCs w:val="32"/>
          <w:highlight w:val="none"/>
        </w:rPr>
        <w:t>同时符合本办法支持政策及南山区、宝安区或者前海其他同类支持政策的，</w:t>
      </w:r>
      <w:r>
        <w:rPr>
          <w:rFonts w:hint="eastAsia" w:ascii="仿宋_GB2312" w:hAnsi="Calibri" w:eastAsia="仿宋_GB2312" w:cs="Times New Roman"/>
          <w:kern w:val="0"/>
          <w:sz w:val="32"/>
          <w:szCs w:val="32"/>
          <w:highlight w:val="none"/>
        </w:rPr>
        <w:t>按照“择优不重复”原则执行。</w:t>
      </w:r>
    </w:p>
    <w:p>
      <w:pPr>
        <w:ind w:firstLine="640" w:firstLineChars="200"/>
        <w:jc w:val="both"/>
        <w:rPr>
          <w:rFonts w:hint="eastAsia" w:ascii="仿宋_GB2312" w:hAnsi="宋体" w:eastAsia="仿宋_GB2312" w:cs="宋体"/>
          <w:kern w:val="0"/>
          <w:sz w:val="32"/>
          <w:szCs w:val="32"/>
          <w:highlight w:val="none"/>
        </w:rPr>
      </w:pPr>
      <w:r>
        <w:rPr>
          <w:rFonts w:hint="eastAsia" w:ascii="黑体" w:hAnsi="黑体" w:eastAsia="黑体" w:cs="宋体"/>
          <w:kern w:val="0"/>
          <w:sz w:val="32"/>
          <w:szCs w:val="32"/>
          <w:highlight w:val="none"/>
        </w:rPr>
        <w:t xml:space="preserve">第三十条 </w:t>
      </w:r>
      <w:r>
        <w:rPr>
          <w:rFonts w:hint="eastAsia" w:ascii="仿宋_GB2312" w:hAnsi="宋体" w:eastAsia="仿宋_GB2312" w:cs="宋体"/>
          <w:kern w:val="0"/>
          <w:sz w:val="32"/>
          <w:szCs w:val="32"/>
          <w:highlight w:val="none"/>
        </w:rPr>
        <w:t>本办法自2024年7月1日起实施，有效期</w:t>
      </w:r>
      <w:r>
        <w:rPr>
          <w:rFonts w:ascii="仿宋_GB2312" w:hAnsi="宋体" w:eastAsia="仿宋_GB2312" w:cs="宋体"/>
          <w:kern w:val="0"/>
          <w:sz w:val="32"/>
          <w:szCs w:val="32"/>
          <w:highlight w:val="none"/>
        </w:rPr>
        <w:t>三</w:t>
      </w:r>
      <w:r>
        <w:rPr>
          <w:rFonts w:hint="eastAsia" w:ascii="仿宋_GB2312" w:hAnsi="宋体" w:eastAsia="仿宋_GB2312" w:cs="宋体"/>
          <w:kern w:val="0"/>
          <w:sz w:val="32"/>
          <w:szCs w:val="32"/>
          <w:highlight w:val="none"/>
        </w:rPr>
        <w:t>年。《深圳市前海深港现代服务业合作区管理局支持科技创新实施办法（试行）》（深前海规〔2022〕9号）和《深圳市前海深港现代服务业合作区管理局支持新型研发机构管理办法（试行）》（深前海规〔2022〕</w:t>
      </w:r>
      <w:r>
        <w:rPr>
          <w:rFonts w:ascii="仿宋_GB2312" w:hAnsi="宋体" w:eastAsia="仿宋_GB2312" w:cs="宋体"/>
          <w:kern w:val="0"/>
          <w:sz w:val="32"/>
          <w:szCs w:val="32"/>
          <w:highlight w:val="none"/>
        </w:rPr>
        <w:t>11</w:t>
      </w:r>
      <w:r>
        <w:rPr>
          <w:rFonts w:hint="eastAsia" w:ascii="仿宋_GB2312" w:hAnsi="宋体" w:eastAsia="仿宋_GB2312" w:cs="宋体"/>
          <w:kern w:val="0"/>
          <w:sz w:val="32"/>
          <w:szCs w:val="32"/>
          <w:highlight w:val="none"/>
        </w:rPr>
        <w:t>号）同时废止。</w:t>
      </w:r>
    </w:p>
    <w:p>
      <w:pPr>
        <w:ind w:firstLine="640" w:firstLineChars="200"/>
        <w:jc w:val="both"/>
        <w:rPr>
          <w:rFonts w:hint="eastAsia" w:ascii="仿宋_GB2312" w:hAnsi="宋体" w:eastAsia="仿宋_GB2312" w:cs="宋体"/>
          <w:kern w:val="0"/>
          <w:sz w:val="32"/>
          <w:szCs w:val="32"/>
          <w:highlight w:val="none"/>
        </w:rPr>
      </w:pPr>
    </w:p>
    <w:p>
      <w:pPr>
        <w:ind w:firstLine="640" w:firstLineChars="200"/>
        <w:jc w:val="both"/>
        <w:rPr>
          <w:highlight w:val="none"/>
        </w:rPr>
      </w:pPr>
      <w:r>
        <w:rPr>
          <w:rFonts w:ascii="仿宋_GB2312" w:hAnsi="宋体" w:eastAsia="仿宋_GB2312" w:cs="宋体"/>
          <w:kern w:val="0"/>
          <w:sz w:val="32"/>
          <w:szCs w:val="32"/>
          <w:highlight w:val="none"/>
        </w:rPr>
        <w:t>附录：名词解释</w:t>
      </w:r>
    </w:p>
    <w:p>
      <w:pPr>
        <w:jc w:val="both"/>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br w:type="page"/>
      </w:r>
    </w:p>
    <w:p>
      <w:pPr>
        <w:pStyle w:val="3"/>
        <w:keepNext w:val="0"/>
        <w:keepLines w:val="0"/>
        <w:overflowPunct w:val="0"/>
        <w:snapToGrid w:val="0"/>
        <w:spacing w:before="0" w:after="0" w:line="560" w:lineRule="exact"/>
        <w:rPr>
          <w:rFonts w:hint="eastAsia" w:ascii="黑体" w:hAnsi="黑体" w:eastAsia="黑体"/>
          <w:b w:val="0"/>
          <w:highlight w:val="none"/>
        </w:rPr>
      </w:pPr>
      <w:r>
        <w:rPr>
          <w:rFonts w:hint="eastAsia" w:ascii="黑体" w:hAnsi="黑体" w:eastAsia="黑体"/>
          <w:b w:val="0"/>
          <w:highlight w:val="none"/>
        </w:rPr>
        <w:t>附录</w:t>
      </w:r>
    </w:p>
    <w:p>
      <w:pPr>
        <w:pStyle w:val="3"/>
        <w:keepNext w:val="0"/>
        <w:keepLines w:val="0"/>
        <w:overflowPunct w:val="0"/>
        <w:snapToGrid w:val="0"/>
        <w:spacing w:before="0" w:after="0" w:line="560" w:lineRule="exact"/>
        <w:rPr>
          <w:rFonts w:hint="eastAsia" w:ascii="黑体" w:hAnsi="黑体" w:eastAsia="黑体"/>
          <w:b w:val="0"/>
          <w:highlight w:val="none"/>
        </w:rPr>
      </w:pPr>
    </w:p>
    <w:p>
      <w:pPr>
        <w:pStyle w:val="3"/>
        <w:keepNext w:val="0"/>
        <w:keepLines w:val="0"/>
        <w:overflowPunct w:val="0"/>
        <w:snapToGrid w:val="0"/>
        <w:spacing w:before="0" w:after="0" w:line="560" w:lineRule="exact"/>
        <w:jc w:val="center"/>
        <w:rPr>
          <w:rFonts w:hint="eastAsia" w:ascii="方正小标宋简体" w:hAnsi="方正小标宋简体" w:eastAsia="方正小标宋简体" w:cs="方正小标宋简体"/>
          <w:b w:val="0"/>
          <w:sz w:val="44"/>
          <w:szCs w:val="44"/>
          <w:highlight w:val="none"/>
        </w:rPr>
      </w:pPr>
      <w:r>
        <w:rPr>
          <w:rFonts w:hint="eastAsia" w:ascii="方正小标宋简体" w:hAnsi="方正小标宋简体" w:eastAsia="方正小标宋简体" w:cs="方正小标宋简体"/>
          <w:b w:val="0"/>
          <w:sz w:val="44"/>
          <w:szCs w:val="44"/>
          <w:highlight w:val="none"/>
        </w:rPr>
        <w:t>名词解释</w:t>
      </w:r>
    </w:p>
    <w:p>
      <w:pPr>
        <w:overflowPunct w:val="0"/>
        <w:snapToGrid w:val="0"/>
        <w:ind w:firstLine="640" w:firstLineChars="200"/>
        <w:jc w:val="both"/>
        <w:rPr>
          <w:rFonts w:hint="eastAsia" w:ascii="仿宋_GB2312" w:hAnsi="宋体" w:eastAsia="仿宋_GB2312" w:cs="宋体"/>
          <w:kern w:val="0"/>
          <w:sz w:val="32"/>
          <w:szCs w:val="32"/>
          <w:highlight w:val="none"/>
        </w:rPr>
      </w:pPr>
    </w:p>
    <w:p>
      <w:pPr>
        <w:overflowPunct w:val="0"/>
        <w:snapToGrid w:val="0"/>
        <w:ind w:firstLine="640" w:firstLineChars="200"/>
        <w:jc w:val="both"/>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（一）本办法所称“港澳高校</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研发中心”，是指澳门综合性大学、受香港特区政府香港大学教育资助委员会资助并可颁授学位的高等教育院校以及香港特区政府创新科技署成立并发布的研发中心。</w:t>
      </w:r>
    </w:p>
    <w:p>
      <w:pPr>
        <w:overflowPunct w:val="0"/>
        <w:snapToGrid w:val="0"/>
        <w:ind w:firstLine="640" w:firstLineChars="200"/>
        <w:jc w:val="both"/>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（二）本办法所称“首创产品”，是指企业通过技术研发创新，具有自主知识产权，同时在内地市场尚未取得业绩的产品。</w:t>
      </w:r>
    </w:p>
    <w:p>
      <w:pPr>
        <w:overflowPunct w:val="0"/>
        <w:snapToGrid w:val="0"/>
        <w:ind w:firstLine="640" w:firstLineChars="200"/>
        <w:jc w:val="both"/>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（三）本办法所称“科研设备”，是指用于科研活动的仪器设备（含配件、实验材料及耗材），但不包括行政办公、后勤保障等职能部门的设备。科研设备进口应符合有关进出口部门的管理规定。</w:t>
      </w:r>
    </w:p>
    <w:p>
      <w:pPr>
        <w:overflowPunct w:val="0"/>
        <w:snapToGrid w:val="0"/>
        <w:ind w:firstLine="640" w:firstLineChars="200"/>
        <w:jc w:val="both"/>
        <w:rPr>
          <w:rFonts w:hint="eastAsia" w:ascii="仿宋_GB2312" w:hAnsi="宋体" w:eastAsia="仿宋_GB2312" w:cs="宋体"/>
          <w:kern w:val="0"/>
          <w:sz w:val="32"/>
          <w:szCs w:val="32"/>
          <w:highlight w:val="none"/>
        </w:rPr>
      </w:pP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四</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本办法所称“新型研发机构”，是指聚焦科技创新需求，主要从事科学研究、技术创新、成果转化和研发服务，投资主体多元化、管理制度现代化、运行机制市场化、用人机制灵活、依法设立，实施依章程管理、综合预算管理和绩效评价为基础管理模式的独立法人机构。</w:t>
      </w:r>
    </w:p>
    <w:p>
      <w:pPr>
        <w:overflowPunct w:val="0"/>
        <w:snapToGrid w:val="0"/>
        <w:ind w:firstLine="640" w:firstLineChars="200"/>
        <w:jc w:val="both"/>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（五）本办法所称“国家实验室”，是指经科技部批准设立的大型综合性研究基地。</w:t>
      </w:r>
    </w:p>
    <w:p>
      <w:pPr>
        <w:overflowPunct w:val="0"/>
        <w:snapToGrid w:val="0"/>
        <w:ind w:firstLine="640" w:firstLineChars="200"/>
        <w:jc w:val="both"/>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六）本办法所称“全国（国家）重点实验室”，是指经科技部批准设立，面向前沿科学、基础科学、工程科学等，开展基础研究、应用基础研究等，推动学科发展，促进技术进步，发挥原始创新能力的引领带动作用的科学与工程研究类国家科技创新基地。包括经批准改革重组的全国重点实验室。</w:t>
      </w:r>
    </w:p>
    <w:p>
      <w:pPr>
        <w:overflowPunct w:val="0"/>
        <w:snapToGrid w:val="0"/>
        <w:ind w:firstLine="640" w:firstLineChars="200"/>
        <w:jc w:val="both"/>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七）本办法所称“国家级创新载体”，是指经国家相关部门认定开展科技研发和产业化的平台载体，包括各类工程中心、技术中心、创新中心、研究(发)中心(院、所、站)、公共技术(服务)平台等，具体以国家部门批复文件为准。</w:t>
      </w:r>
    </w:p>
    <w:p>
      <w:pPr>
        <w:adjustRightInd w:val="0"/>
        <w:ind w:firstLine="640" w:firstLineChars="200"/>
        <w:jc w:val="both"/>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（八）本办法所称“研发投入”，是指机构研究开发活动符合研发费用加计扣除政策范畴，且已按规定向税务部门办理上年度加计扣除申报的费用。</w:t>
      </w:r>
    </w:p>
    <w:p>
      <w:pPr>
        <w:overflowPunct w:val="0"/>
        <w:snapToGrid w:val="0"/>
        <w:ind w:firstLine="640" w:firstLineChars="200"/>
        <w:jc w:val="both"/>
        <w:rPr>
          <w:rFonts w:hint="eastAsia" w:ascii="仿宋_GB2312" w:hAnsi="等线" w:eastAsia="仿宋_GB2312" w:cs="Times New Roman"/>
          <w:sz w:val="32"/>
          <w:szCs w:val="32"/>
          <w:highlight w:val="none"/>
        </w:rPr>
      </w:pPr>
      <w:r>
        <w:rPr>
          <w:rFonts w:hint="eastAsia" w:ascii="仿宋_GB2312" w:hAnsi="宋体" w:eastAsia="仿宋_GB2312" w:cs="宋体"/>
          <w:kern w:val="0"/>
          <w:sz w:val="32"/>
          <w:szCs w:val="32"/>
          <w:highlight w:val="none"/>
        </w:rPr>
        <w:t>（九）本办法所称“符合集聚条件”是指在前海合作区前湾、桂湾、妈湾、宝中及大铲湾片区</w:t>
      </w:r>
      <w:r>
        <w:rPr>
          <w:rFonts w:hint="eastAsia" w:ascii="仿宋_GB2312" w:hAnsi="等线" w:eastAsia="仿宋_GB2312" w:cs="Times New Roman"/>
          <w:sz w:val="32"/>
          <w:szCs w:val="32"/>
          <w:highlight w:val="none"/>
        </w:rPr>
        <w:t>范围内的楼宇，相关要求具体参照前海合作区办公用房资金补贴相关政策执行。</w:t>
      </w:r>
    </w:p>
    <w:p>
      <w:pPr>
        <w:overflowPunct w:val="0"/>
        <w:snapToGrid w:val="0"/>
        <w:ind w:firstLine="640" w:firstLineChars="200"/>
        <w:jc w:val="both"/>
        <w:rPr>
          <w:rFonts w:hint="eastAsia" w:ascii="仿宋_GB2312" w:hAnsi="宋体" w:eastAsia="仿宋_GB2312" w:cs="宋体"/>
          <w:kern w:val="0"/>
          <w:sz w:val="32"/>
          <w:szCs w:val="32"/>
          <w:highlight w:val="none"/>
        </w:rPr>
      </w:pPr>
      <w:r>
        <w:rPr>
          <w:rFonts w:hint="eastAsia" w:ascii="仿宋_GB2312" w:hAnsi="等线" w:eastAsia="仿宋_GB2312" w:cs="Times New Roman"/>
          <w:sz w:val="32"/>
          <w:szCs w:val="32"/>
          <w:highlight w:val="none"/>
        </w:rPr>
        <w:t>（十）本办法所称“</w:t>
      </w:r>
      <w:r>
        <w:rPr>
          <w:rFonts w:hint="eastAsia" w:ascii="仿宋_GB2312" w:hAnsi="宋体" w:eastAsia="仿宋_GB2312" w:cs="宋体"/>
          <w:kern w:val="0"/>
          <w:sz w:val="32"/>
          <w:szCs w:val="32"/>
          <w:highlight w:val="none"/>
        </w:rPr>
        <w:t>港澳及国际知名高校</w:t>
      </w:r>
      <w:r>
        <w:rPr>
          <w:rFonts w:hint="eastAsia" w:ascii="仿宋_GB2312" w:hAnsi="等线" w:eastAsia="仿宋_GB2312" w:cs="Times New Roman"/>
          <w:sz w:val="32"/>
          <w:szCs w:val="32"/>
          <w:highlight w:val="none"/>
        </w:rPr>
        <w:t>”是</w:t>
      </w:r>
      <w:r>
        <w:rPr>
          <w:rFonts w:hint="eastAsia" w:ascii="仿宋_GB2312" w:hAnsi="宋体" w:eastAsia="仿宋_GB2312" w:cs="宋体"/>
          <w:kern w:val="0"/>
          <w:sz w:val="32"/>
          <w:szCs w:val="32"/>
          <w:highlight w:val="none"/>
        </w:rPr>
        <w:t>指受香港特区政府香港大学教育资助委员会资助并可颁授学位的高等教育院校、澳门综合性大学，以及列入泰晤士高等教育世界大学排名、QS世界大学排名、软科世界大学学术排名和U.S. News世界大学排名前100名的高校。</w:t>
      </w:r>
    </w:p>
    <w:p>
      <w:pPr>
        <w:overflowPunct w:val="0"/>
        <w:snapToGrid w:val="0"/>
        <w:ind w:firstLine="640" w:firstLineChars="200"/>
        <w:jc w:val="both"/>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（十一）本办法所指金额的币种，除明确写明“美元”外，其他均为人民币。本办法涉及汇率换算均以申报之日中国人民银行官网发布的汇率作为计算基准。</w:t>
      </w:r>
    </w:p>
    <w:p>
      <w:pPr>
        <w:overflowPunct w:val="0"/>
        <w:snapToGrid w:val="0"/>
        <w:ind w:firstLine="640" w:firstLineChars="200"/>
        <w:jc w:val="both"/>
      </w:pPr>
      <w:r>
        <w:rPr>
          <w:rFonts w:hint="eastAsia" w:ascii="仿宋_GB2312" w:hAnsi="宋体" w:eastAsia="仿宋_GB2312" w:cs="宋体"/>
          <w:kern w:val="0"/>
          <w:sz w:val="32"/>
          <w:szCs w:val="32"/>
          <w:highlight w:val="none"/>
        </w:rPr>
        <w:t>（十二）本办法所称“不少于”“不超过”“以上”均含本数，“超过”不含本数。</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libri Light">
    <w:panose1 w:val="020F03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Source Han Sans CN">
    <w:altName w:val="Segoe Print"/>
    <w:panose1 w:val="00000000000000000000"/>
    <w:charset w:val="00"/>
    <w:family w:val="roman"/>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9E60FA"/>
    <w:rsid w:val="029E60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jc w:val="center"/>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rFonts w:ascii="Times New Roman" w:hAnsi="Times New Roman"/>
      <w:b/>
      <w:kern w:val="44"/>
      <w:sz w:val="44"/>
    </w:rPr>
  </w:style>
  <w:style w:type="paragraph" w:styleId="3">
    <w:name w:val="heading 2"/>
    <w:basedOn w:val="4"/>
    <w:next w:val="4"/>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4">
    <w:name w:val="正文_0"/>
    <w:next w:val="2"/>
    <w:qFormat/>
    <w:uiPriority w:val="0"/>
    <w:pPr>
      <w:widowControl w:val="0"/>
      <w:jc w:val="both"/>
    </w:pPr>
    <w:rPr>
      <w:rFonts w:ascii="Calibri" w:hAnsi="Calibri" w:eastAsia="宋体" w:cs="Times New Roman"/>
      <w:kern w:val="2"/>
      <w:sz w:val="21"/>
      <w:szCs w:val="24"/>
      <w:lang w:val="en-US" w:eastAsia="zh-CN" w:bidi="ar-SA"/>
    </w:rPr>
  </w:style>
  <w:style w:type="paragraph" w:styleId="5">
    <w:name w:val="Body Text"/>
    <w:basedOn w:val="1"/>
    <w:next w:val="1"/>
    <w:unhideWhenUsed/>
    <w:qFormat/>
    <w:uiPriority w:val="99"/>
    <w:pPr>
      <w:spacing w:after="12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2026-06-11T09:06:00Z</dcterms:created>
  <dc:creator>黎俊</dc:creator>
  <cp:lastModifiedBy>黎俊</cp:lastModifiedBy>
  <dcterms:modified xsi:type="dcterms:W3CDTF">2026-06-11T09:09:11Z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ies>
</file>