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2"/>
        <w:ind w:firstLine="420"/>
        <w:rPr>
          <w:rFonts w:hint="eastAsia" w:ascii="宋体" w:hAnsi="宋体" w:cs="宋体"/>
          <w:color w:val="000000" w:themeColor="text1"/>
          <w14:textFill>
            <w14:solidFill>
              <w14:schemeClr w14:val="tx1"/>
            </w14:solidFill>
          </w14:textFill>
        </w:rPr>
      </w:pPr>
    </w:p>
    <w:p>
      <w:pPr>
        <w:pStyle w:val="32"/>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招标编号：QH2026036</w:t>
      </w:r>
    </w:p>
    <w:p>
      <w:pPr>
        <w:pStyle w:val="32"/>
        <w:ind w:firstLine="420"/>
        <w:rPr>
          <w:rFonts w:hint="eastAsia" w:ascii="宋体" w:hAnsi="宋体" w:cs="宋体"/>
          <w:color w:val="000000" w:themeColor="text1"/>
          <w14:textFill>
            <w14:solidFill>
              <w14:schemeClr w14:val="tx1"/>
            </w14:solidFill>
          </w14:textFill>
        </w:rPr>
      </w:pPr>
    </w:p>
    <w:p>
      <w:pPr>
        <w:pStyle w:val="32"/>
        <w:ind w:firstLine="420"/>
        <w:rPr>
          <w:rFonts w:hint="eastAsia" w:ascii="宋体" w:hAnsi="宋体" w:cs="宋体"/>
          <w:color w:val="000000" w:themeColor="text1"/>
          <w14:textFill>
            <w14:solidFill>
              <w14:schemeClr w14:val="tx1"/>
            </w14:solidFill>
          </w14:textFill>
        </w:rPr>
      </w:pPr>
    </w:p>
    <w:p>
      <w:pPr>
        <w:pStyle w:val="32"/>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招标项目：《前海年鉴2026》编纂出版服务</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2026年</w:t>
      </w:r>
      <w:r>
        <w:rPr>
          <w:rFonts w:hint="eastAsia" w:ascii="宋体" w:hAnsi="宋体" w:cs="宋体"/>
          <w:b/>
          <w:bCs/>
          <w:color w:val="000000" w:themeColor="text1"/>
          <w:sz w:val="36"/>
          <w:szCs w:val="36"/>
          <w:lang w:val="en-US" w:eastAsia="zh-CN"/>
          <w14:textFill>
            <w14:solidFill>
              <w14:schemeClr w14:val="tx1"/>
            </w14:solidFill>
          </w14:textFill>
        </w:rPr>
        <w:t>4</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20"/>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10"/>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10"/>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autoSpaceDE w:val="0"/>
        <w:autoSpaceDN w:val="0"/>
        <w:adjustRightInd w:val="0"/>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关于享受对本国产品的政府采购支持政策的主体、价格扣除比例等事项的说明。</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1适用主体：国有企业、民营企业、外资企业等各类经营主体平等享受对本国产品的政府采购支持政策。</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关于同时满足中小企业扶持政策和对本国产品的支持政策的事项说明。</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20%-100</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10%=70元。具体情形如下：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上述支持政策不改变最终中标（成交）价格，政府采购合同仍按照中标（成交）供应商的报价签订。</w:t>
      </w:r>
    </w:p>
    <w:p>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11"/>
        <w:rPr>
          <w:rFonts w:hint="eastAsia"/>
          <w:color w:val="000000" w:themeColor="text1"/>
          <w14:textFill>
            <w14:solidFill>
              <w14:schemeClr w14:val="tx1"/>
            </w14:solidFill>
          </w14:textFill>
        </w:rPr>
      </w:pP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6"/>
        <w:tabs>
          <w:tab w:val="right" w:leader="dot" w:pos="8306"/>
        </w:tabs>
        <w:spacing w:line="480" w:lineRule="auto"/>
        <w:rPr>
          <w:b/>
          <w:bCs/>
          <w:color w:val="000000" w:themeColor="text1"/>
          <w:sz w:val="24"/>
          <w:szCs w:val="32"/>
          <w14:textFill>
            <w14:solidFill>
              <w14:schemeClr w14:val="tx1"/>
            </w14:solidFill>
          </w14:textFill>
        </w:rPr>
      </w:pPr>
    </w:p>
    <w:p>
      <w:pPr>
        <w:pStyle w:val="16"/>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8</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12</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17</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6"/>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文件编码：0722-26FE6470SZF-1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《前海年鉴2026》编纂出版服务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QH2026036</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5"/>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QH2026036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《前海年鉴2026》编纂出版服务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为做好前海大开发大建设大发展的历史记录，全面、系统、准确、客观反映前海深港合作区和前海蛇口自贸片区的工作和成就，综合办公室于2018年4月启动前海年鉴编纂工作。为持续做好前海年鉴相关工作，综合办公室拟启动《前海年鉴2026》编纂工作。依据《地方志工作条例》等精神要求申报立项，2026年工作任务为按照中国地方志指导小组《地方综合年鉴编纂出版规定》《地方志书质量规定》要求，坚持志体，以志为主，合理运用述、记、志、传、图、表、录等体裁，辅助整理《前海年鉴2026》项目，确保符合年鉴的专业性、规范性，并完成排版设计、印刷、出版管理等。财政预算安排的资金主要用于志书体例整理、设计、印刷、出版管理、出版审核等事项。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56</w:t>
            </w:r>
            <w:r>
              <w:rPr>
                <w:rFonts w:hint="eastAsia" w:ascii="宋体" w:hAnsi="宋体" w:cs="宋体"/>
                <w:color w:val="000000" w:themeColor="text1"/>
                <w:sz w:val="24"/>
                <w14:textFill>
                  <w14:solidFill>
                    <w14:schemeClr w14:val="tx1"/>
                  </w14:solidFill>
                </w14:textFill>
              </w:rPr>
              <w:t>,000.00（人民币</w:t>
            </w:r>
            <w:r>
              <w:rPr>
                <w:rFonts w:hint="eastAsia" w:ascii="宋体" w:hAnsi="宋体" w:cs="宋体"/>
                <w:color w:val="000000" w:themeColor="text1"/>
                <w:sz w:val="24"/>
                <w:lang w:val="en-US" w:eastAsia="zh-CN"/>
                <w14:textFill>
                  <w14:solidFill>
                    <w14:schemeClr w14:val="tx1"/>
                  </w14:solidFill>
                </w14:textFill>
              </w:rPr>
              <w:t>贰拾伍万陆仟</w:t>
            </w:r>
            <w:r>
              <w:rPr>
                <w:rFonts w:hint="eastAsia" w:ascii="宋体" w:hAnsi="宋体" w:cs="宋体"/>
                <w:color w:val="000000" w:themeColor="text1"/>
                <w:sz w:val="24"/>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2026年</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23</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：30时（北京时间）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前送达（现场递交或邮寄）至深圳市南山区前海深港合作区桂湾五路123号前海管理局前海大厦T1栋2903室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人：李</w:t>
            </w:r>
            <w:r>
              <w:rPr>
                <w:rFonts w:ascii="宋体" w:hAnsi="宋体" w:cs="宋体"/>
                <w:color w:val="000000" w:themeColor="text1"/>
                <w:kern w:val="0"/>
                <w:sz w:val="24"/>
                <w14:textFill>
                  <w14:solidFill>
                    <w14:schemeClr w14:val="tx1"/>
                  </w14:solidFill>
                </w14:textFill>
              </w:rPr>
              <w:t>工</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ascii="宋体" w:hAnsi="宋体" w:cs="宋体"/>
                <w:color w:val="000000" w:themeColor="text1"/>
                <w:kern w:val="0"/>
                <w:sz w:val="24"/>
                <w14:textFill>
                  <w14:solidFill>
                    <w14:schemeClr w14:val="tx1"/>
                  </w14:solidFill>
                </w14:textFill>
              </w:rPr>
              <w:t>0755-881050</w:t>
            </w:r>
            <w:r>
              <w:rPr>
                <w:rFonts w:hint="eastAsia" w:ascii="宋体" w:hAnsi="宋体" w:cs="宋体"/>
                <w:color w:val="000000" w:themeColor="text1"/>
                <w:kern w:val="0"/>
                <w:sz w:val="24"/>
                <w14:textFill>
                  <w14:solidFill>
                    <w14:schemeClr w14:val="tx1"/>
                  </w14:solidFill>
                </w14:textFill>
              </w:rPr>
              <w:t>18</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10"/>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签订的合同金额。投标人的报价不可高于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人员费用及成果制作费、专家咨询费/评审费、车辆使用费、办公场所租赁费、差旅费、管理费、税费等。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9" w:name="_Toc28359009"/>
            <w:bookmarkStart w:id="10"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联系人：李</w:t>
            </w:r>
            <w:r>
              <w:rPr>
                <w:rFonts w:ascii="宋体" w:hAnsi="宋体" w:cs="宋体"/>
                <w:color w:val="000000" w:themeColor="text1"/>
                <w:kern w:val="0"/>
                <w:sz w:val="24"/>
                <w14:textFill>
                  <w14:solidFill>
                    <w14:schemeClr w14:val="tx1"/>
                  </w14:solidFill>
                </w14:textFill>
              </w:rPr>
              <w:t>工</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w:t>
            </w:r>
            <w:r>
              <w:rPr>
                <w:rFonts w:ascii="宋体" w:hAnsi="宋体" w:cs="宋体"/>
                <w:color w:val="000000" w:themeColor="text1"/>
                <w:kern w:val="0"/>
                <w:sz w:val="24"/>
                <w14:textFill>
                  <w14:solidFill>
                    <w14:schemeClr w14:val="tx1"/>
                  </w14:solidFill>
                </w14:textFill>
              </w:rPr>
              <w:t>881050</w:t>
            </w:r>
            <w:r>
              <w:rPr>
                <w:rFonts w:hint="eastAsia" w:ascii="宋体" w:hAnsi="宋体" w:cs="宋体"/>
                <w:color w:val="000000" w:themeColor="text1"/>
                <w:kern w:val="0"/>
                <w:sz w:val="24"/>
                <w14:textFill>
                  <w14:solidFill>
                    <w14:schemeClr w14:val="tx1"/>
                  </w14:solidFill>
                </w14:textFill>
              </w:rPr>
              <w:t>18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9"/>
            <w:bookmarkEnd w:id="10"/>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10"/>
            <w:bookmarkStart w:id="12"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10214"/>
      <w:r>
        <w:rPr>
          <w:rFonts w:hint="eastAsia" w:ascii="宋体" w:hAnsi="宋体" w:cs="宋体"/>
          <w:b/>
          <w:bCs/>
          <w:color w:val="000000" w:themeColor="text1"/>
          <w:sz w:val="24"/>
          <w14:textFill>
            <w14:solidFill>
              <w14:schemeClr w14:val="tx1"/>
            </w14:solidFill>
          </w14:textFill>
        </w:rPr>
        <w:t>投标须知</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1、本项目是深圳市前海深港现代服务业合作区管理局的《前海年鉴2026》编纂出版服务。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4"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4"/>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5"/>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招标代理服务费缴纳至（特别注意：收款账号已变更）：</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5" w:name="_Toc20176"/>
      <w:r>
        <w:rPr>
          <w:rFonts w:hint="eastAsia" w:ascii="宋体" w:hAnsi="宋体" w:cs="宋体"/>
          <w:b/>
          <w:bCs/>
          <w:color w:val="000000" w:themeColor="text1"/>
          <w:sz w:val="24"/>
          <w14:textFill>
            <w14:solidFill>
              <w14:schemeClr w14:val="tx1"/>
            </w14:solidFill>
          </w14:textFill>
        </w:rPr>
        <w:t>评标程序</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八、采购代理机构就投标文件中的资格证明等内容对投标供应商进行资格审查。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1、评标委员会对各供应商的投标文件进行符合性审查，对未能通过符合性审查的投标文件作投标无效处理。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10"/>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6" w:name="_Toc3567"/>
      <w:r>
        <w:rPr>
          <w:rFonts w:hint="eastAsia" w:ascii="宋体" w:hAnsi="宋体" w:cs="宋体"/>
          <w:b/>
          <w:bCs/>
          <w:color w:val="000000" w:themeColor="text1"/>
          <w:sz w:val="24"/>
          <w14:textFill>
            <w14:solidFill>
              <w14:schemeClr w14:val="tx1"/>
            </w14:solidFill>
          </w14:textFill>
        </w:rPr>
        <w:t>合同格式及合同条款</w:t>
      </w:r>
      <w:bookmarkEnd w:id="1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7" w:name="_Toc73521592"/>
      <w:bookmarkStart w:id="18" w:name="_Toc84303603"/>
      <w:bookmarkStart w:id="19" w:name="_Toc73521680"/>
      <w:bookmarkStart w:id="20" w:name="_Toc73518163"/>
      <w:bookmarkStart w:id="21" w:name="_Toc73517685"/>
      <w:bookmarkStart w:id="22" w:name="_Toc100052414"/>
      <w:bookmarkStart w:id="23" w:name="_Toc101074886"/>
    </w:p>
    <w:bookmarkEnd w:id="17"/>
    <w:bookmarkEnd w:id="18"/>
    <w:bookmarkEnd w:id="19"/>
    <w:bookmarkEnd w:id="20"/>
    <w:bookmarkEnd w:id="21"/>
    <w:bookmarkEnd w:id="22"/>
    <w:bookmarkEnd w:id="23"/>
    <w:p>
      <w:pPr>
        <w:pStyle w:val="32"/>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2"/>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2"/>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2"/>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2"/>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《前海年鉴2026》编纂出版服务</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2"/>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2"/>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：《前海年鉴2026》编纂出版服务</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二〇二六年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560" w:lineRule="exact"/>
        <w:ind w:left="2168" w:hanging="2168" w:hangingChars="9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甲方：深圳市前海深港现代服务业合作区管理局</w:t>
      </w: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法定代表人：王守睿</w:t>
      </w:r>
    </w:p>
    <w:p>
      <w:pPr>
        <w:spacing w:line="560" w:lineRule="exact"/>
        <w:ind w:left="720" w:hanging="720" w:hanging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地址：深圳市前海深港合作区桂湾五路123号前海大厦T1栋前海管理局</w:t>
      </w:r>
    </w:p>
    <w:p>
      <w:pPr>
        <w:spacing w:line="560" w:lineRule="exact"/>
        <w:rPr>
          <w:rFonts w:hint="eastAsia" w:ascii="宋体" w:hAnsi="宋体" w:cs="宋体"/>
          <w:color w:val="000000" w:themeColor="text1"/>
          <w:sz w:val="24"/>
          <w14:textFill>
            <w14:solidFill>
              <w14:schemeClr w14:val="tx1"/>
            </w14:solidFill>
          </w14:textFill>
        </w:rPr>
      </w:pP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p>
      <w:pPr>
        <w:spacing w:line="5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pPr>
        <w:widowControl/>
        <w:spacing w:line="560" w:lineRule="exact"/>
        <w:rPr>
          <w:rFonts w:hint="eastAsia" w:ascii="宋体" w:hAnsi="宋体" w:cs="宋体"/>
          <w:color w:val="000000" w:themeColor="text1"/>
          <w:sz w:val="24"/>
          <w14:textFill>
            <w14:solidFill>
              <w14:schemeClr w14:val="tx1"/>
            </w14:solidFill>
          </w14:textFill>
        </w:rPr>
      </w:pP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QH2026036】招标项目的中标结果，甲、乙双方经友好协商，就甲方委托乙方承担《前海年鉴2026》编纂出版服务（以下简称本项目），达成以下合同条款：</w:t>
      </w:r>
    </w:p>
    <w:p>
      <w:pPr>
        <w:numPr>
          <w:ilvl w:val="0"/>
          <w:numId w:val="5"/>
        </w:numPr>
        <w:spacing w:line="360" w:lineRule="auto"/>
        <w:ind w:left="11" w:firstLine="42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项目内容</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bookmarkStart w:id="24" w:name="_Toc23975"/>
      <w:r>
        <w:rPr>
          <w:rFonts w:hint="eastAsia" w:ascii="宋体" w:hAnsi="宋体" w:cs="宋体"/>
          <w:color w:val="000000" w:themeColor="text1"/>
          <w:sz w:val="24"/>
          <w14:textFill>
            <w14:solidFill>
              <w14:schemeClr w14:val="tx1"/>
            </w14:solidFill>
          </w14:textFill>
        </w:rPr>
        <w:t>1.本项目研究工作至少应包含以下主要内容：</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1.1.现状调查及问题分析</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深入调研、实地考察等方式，全面了解研究前海合作区党工委、前海蛇口自贸片区管委会、前海管理局及各驻区单位，以及新扩区范围相关内容等资料；梳理总结出涵盖政治、经济、社会、文化、环境及新城建设等内容的前海年鉴。</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1.2.规划解读及功能分析</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1.3.需求预测</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1.4.规划思路及策略</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结合功能定位分析及前海2025年实际情况拟定具有深度和前言特色的篇目大纲。</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1.5.重要节点详细规划方案</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1.6.实施计划建议</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2.技术要求</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2.1.项目成果要严格依照国家颁布的有关法律、法规及政策要求，符合相关的技术规范和标准；</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2.2.研究过程中应当进行深入调查研究，把握前海2025年政治、经济、社会、文化、环境及新城建设相关信息和基础资料；</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2.3.研究工作开展之前应针对研究内容描述对项目的理解和要求的认识，剖析项目的难点和重点，制定完成研究任务的相应对策；</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2.4.研究工作应遵循思路开阔、方法科学、手段先进、观点明确、结论可操作性强等原则；</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2.5.《前海年鉴2026》应做到文字流畅、思路清晰、逻辑性强、数据详实可靠、图表规范清晰。</w:t>
      </w:r>
    </w:p>
    <w:p>
      <w:pPr>
        <w:numPr>
          <w:ilvl w:val="0"/>
          <w:numId w:val="5"/>
        </w:numPr>
        <w:spacing w:line="360" w:lineRule="auto"/>
        <w:ind w:left="11" w:firstLine="42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合同含税总价</w:t>
      </w:r>
      <w:bookmarkEnd w:id="24"/>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本项目合同含税总价为（大写）：_________________元（￥_______________元）人民币，总价包干。</w:t>
      </w:r>
    </w:p>
    <w:p>
      <w:pPr>
        <w:adjustRightIn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合同金额应包括本项目研究、成果报告编制、法定税费和企业的利润等为完成本项目服务所发生的全部相关费用。服务费包含</w:t>
      </w:r>
      <w:r>
        <w:rPr>
          <w:rFonts w:hint="eastAsia" w:ascii="宋体" w:hAnsi="宋体" w:cs="宋体"/>
          <w:color w:val="000000" w:themeColor="text1"/>
          <w:sz w:val="24"/>
          <w:lang w:eastAsia="zh-Hans"/>
          <w14:textFill>
            <w14:solidFill>
              <w14:schemeClr w14:val="tx1"/>
            </w14:solidFill>
          </w14:textFill>
        </w:rPr>
        <w:t>但不限于</w:t>
      </w:r>
      <w:r>
        <w:rPr>
          <w:rFonts w:hint="eastAsia" w:ascii="宋体" w:hAnsi="宋体" w:cs="宋体"/>
          <w:color w:val="000000" w:themeColor="text1"/>
          <w:sz w:val="24"/>
          <w14:textFill>
            <w14:solidFill>
              <w14:schemeClr w14:val="tx1"/>
            </w14:solidFill>
          </w14:textFill>
        </w:rPr>
        <w:t>：人员费用及成果制作费、专家咨询费/评审费、车辆使用费、办公场所租赁费、差旅费、管理费、税费等；在合同实施期间，除另签补充合同外，甲方不接受乙方以任何理由、任何名目提出增加费用的要求。</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25" w:name="_Toc30786"/>
      <w:r>
        <w:rPr>
          <w:rFonts w:hint="eastAsia" w:ascii="宋体" w:hAnsi="宋体" w:cs="宋体"/>
          <w:b/>
          <w:bCs/>
          <w:color w:val="000000" w:themeColor="text1"/>
          <w:sz w:val="24"/>
          <w14:textFill>
            <w14:solidFill>
              <w14:schemeClr w14:val="tx1"/>
            </w14:solidFill>
          </w14:textFill>
        </w:rPr>
        <w:t>三、技术资料</w:t>
      </w:r>
      <w:bookmarkEnd w:id="25"/>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1.乙方应按本合同规定的时间向甲方提供有关技术资料。</w:t>
      </w:r>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3.合同履行完毕，未经甲方的书面同意，乙方不得保存在履行合同过程中所获得或接触到的任何内部数据资料。</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26" w:name="_Toc9742"/>
      <w:r>
        <w:rPr>
          <w:rFonts w:hint="eastAsia" w:ascii="宋体" w:hAnsi="宋体" w:cs="宋体"/>
          <w:b/>
          <w:bCs/>
          <w:color w:val="000000" w:themeColor="text1"/>
          <w:sz w:val="24"/>
          <w14:textFill>
            <w14:solidFill>
              <w14:schemeClr w14:val="tx1"/>
            </w14:solidFill>
          </w14:textFill>
        </w:rPr>
        <w:t>四、知识产权</w:t>
      </w:r>
      <w:bookmarkEnd w:id="26"/>
    </w:p>
    <w:p>
      <w:pPr>
        <w:snapToGrid w:val="0"/>
        <w:spacing w:line="360" w:lineRule="auto"/>
        <w:ind w:left="11"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1.本项目全部阶段性成果和最终成果的所有权、知识产权以及与之相关的所有权利归甲方所有。</w:t>
      </w:r>
    </w:p>
    <w:p>
      <w:pPr>
        <w:snapToGrid w:val="0"/>
        <w:spacing w:line="360" w:lineRule="auto"/>
        <w:ind w:left="11"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2.双方确定，甲方有权利用乙方按照本合同约定提供的成果，进行后续改进。由此产生的具有实质性或创造性技术进步特征的新的成果及其权利归属，全部由甲方享有。具体相关利益的分配办法如下：甲方100%。</w:t>
      </w:r>
    </w:p>
    <w:p>
      <w:pPr>
        <w:snapToGrid w:val="0"/>
        <w:spacing w:line="360" w:lineRule="auto"/>
        <w:ind w:left="11"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5.乙方完成本合同项目的研究开发人员享有在有关成果文件上写明成果完成者的权利和与甲方共同获得有关荣誉证书、奖励的权利。</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27" w:name="_Toc16452"/>
      <w:r>
        <w:rPr>
          <w:rFonts w:hint="eastAsia" w:ascii="宋体" w:hAnsi="宋体" w:cs="宋体"/>
          <w:b/>
          <w:bCs/>
          <w:color w:val="000000" w:themeColor="text1"/>
          <w:sz w:val="24"/>
          <w14:textFill>
            <w14:solidFill>
              <w14:schemeClr w14:val="tx1"/>
            </w14:solidFill>
          </w14:textFill>
        </w:rPr>
        <w:t>五、甲方的权利与义务</w:t>
      </w:r>
      <w:bookmarkEnd w:id="27"/>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1.甲方的权利</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1.1甲方对项目研究过程的决策、控制、实施等环节实行全面管理，协调和监督项目工作开展，控制项目工作过程，进行项目成果验收。</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1.2检查乙方项目人员到位情况，如因人力、能力不足致使项目工作不能按计划完成时，可要求乙方增加或替换相应的技术人员，直至甲方认可，乙方不得拒绝。</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1.3甲方有权向乙方询问项目工作进展及相关情况，并要求乙方在指定时间内做出答复。</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1.4甲方有权对乙方提交的阶段性成果、最终成果等相关工作文件进行审核并提出修改意见，有权根据实际需要对成果进行综合优化、调整和修改。</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1.6甲方有权要求乙方全面履行合同。甲方不接受部分履行，如本合同项下部分成果文件未能按时交付则视为整体延误。</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1.7如甲方确认乙方工作人员未按照本合同要求履行职责，甲方有权要求乙方限期更换人员，直至终止合同并要求乙方承担相应赔偿责任。</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1.8甲方对乙方在委托权限范围内完成委托事项有指导、监督权利。</w:t>
      </w:r>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2.甲方的义务</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2.1甲方应将项目所需相关档案资料、信息数据等移交给乙方，并要求乙方签收甲方提供的材料清单。</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2.2甲方对乙方按照合同约定所履行的服务提供必要的支持与协助。</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2.3根据合同约定的相关条款，按时支付乙方服务费用。</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2.4甲方指定项目联系人：</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姓名： </w:t>
      </w:r>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联系方式：</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28" w:name="_Toc29058"/>
      <w:r>
        <w:rPr>
          <w:rFonts w:hint="eastAsia" w:ascii="宋体" w:hAnsi="宋体" w:cs="宋体"/>
          <w:b/>
          <w:bCs/>
          <w:color w:val="000000" w:themeColor="text1"/>
          <w:sz w:val="24"/>
          <w14:textFill>
            <w14:solidFill>
              <w14:schemeClr w14:val="tx1"/>
            </w14:solidFill>
          </w14:textFill>
        </w:rPr>
        <w:t>六、乙方的权利与义务</w:t>
      </w:r>
      <w:bookmarkEnd w:id="28"/>
    </w:p>
    <w:p>
      <w:pPr>
        <w:pStyle w:val="14"/>
        <w:snapToGrid w:val="0"/>
        <w:spacing w:line="360" w:lineRule="auto"/>
        <w:ind w:left="11" w:firstLine="720" w:firstLineChars="3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1.乙方的权利</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1.1根据项目工作的需要，可要求甲方提供或协助乙方收集相关资料。</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1.2参与本项目服务相关的工作会议及技术会议。</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1.3根据合同约定收取相应的服务费。</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2.乙方的义务</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2.1乙方应按国家及深圳的有关法律法规、设计标准、技术规范以及本合同约定的工作内容、工作进度等要求提供项目服务，并对其提交的研究意见负责。对于与本项目工作内容相关的其他相关项目，乙方应进行充分了解并做好协调与衔接工作。本次研究所需的一切相关资料及评价标准等均需由乙方自行收集，乙方使用的标准必须是国际公认或国家、地方政府颁布的同等或更高的标准。</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2.2对甲方提出的合理的额外服务，不应予以拒绝。</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2.3如乙方提供的项目意见等成果文件不符合本合同要求，必须在甲方提出要求七个日历日内无条件修改，其费用由乙方自行承担。修改期间，甲方付款时间相应顺延。因此造成支付延期的，甲方不承担相应责任。</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2.4乙方不得将本合同项下权利义务</w:t>
      </w:r>
      <w:r>
        <w:rPr>
          <w:rFonts w:hint="eastAsia" w:hAnsi="宋体" w:cs="宋体"/>
          <w:color w:val="000000" w:themeColor="text1"/>
          <w:sz w:val="24"/>
          <w:lang w:eastAsia="zh-Hans"/>
          <w14:textFill>
            <w14:solidFill>
              <w14:schemeClr w14:val="tx1"/>
            </w14:solidFill>
          </w14:textFill>
        </w:rPr>
        <w:t>部分或全部</w:t>
      </w:r>
      <w:r>
        <w:rPr>
          <w:rFonts w:hint="eastAsia" w:hAnsi="宋体" w:cs="宋体"/>
          <w:color w:val="000000" w:themeColor="text1"/>
          <w:sz w:val="24"/>
          <w14:textFill>
            <w14:solidFill>
              <w14:schemeClr w14:val="tx1"/>
            </w14:solidFill>
          </w14:textFill>
        </w:rPr>
        <w:t>转让给任何第三方。</w:t>
      </w:r>
    </w:p>
    <w:p>
      <w:pPr>
        <w:pStyle w:val="14"/>
        <w:snapToGrid w:val="0"/>
        <w:spacing w:line="360" w:lineRule="auto"/>
        <w:ind w:left="210" w:leftChars="100"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2.6为保证项目成果的质量，乙方在合同履行期间，应按照要求成立专门的项目小组，并保障项目团队成员（含项目负责人）到位。项目负责人负责对项目实施全过程进行组织和指导，并承担课题研究的实质性工作</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按甲方要求完成研究成果</w:t>
      </w:r>
      <w:r>
        <w:rPr>
          <w:rFonts w:hint="eastAsia" w:ascii="宋体" w:hAnsi="宋体" w:cs="宋体"/>
          <w:color w:val="000000" w:themeColor="text1"/>
          <w:kern w:val="0"/>
          <w:sz w:val="24"/>
          <w14:textFill>
            <w14:solidFill>
              <w14:schemeClr w14:val="tx1"/>
            </w14:solidFill>
          </w14:textFill>
        </w:rPr>
        <w:t>。乙方应保证本合同的主要核心成员在项目实施期间全程参与项目实质性工作。如确需更换项目团队成员（含项目负责人），乙方应</w:t>
      </w:r>
      <w:r>
        <w:rPr>
          <w:rFonts w:hint="eastAsia" w:ascii="宋体" w:hAnsi="宋体" w:cs="宋体"/>
          <w:bCs/>
          <w:color w:val="000000" w:themeColor="text1"/>
          <w:sz w:val="24"/>
          <w14:textFill>
            <w14:solidFill>
              <w14:schemeClr w14:val="tx1"/>
            </w14:solidFill>
          </w14:textFill>
        </w:rPr>
        <w:t>至少提前30天</w:t>
      </w:r>
      <w:r>
        <w:rPr>
          <w:rFonts w:hint="eastAsia" w:ascii="宋体" w:hAnsi="宋体" w:cs="宋体"/>
          <w:color w:val="000000" w:themeColor="text1"/>
          <w:kern w:val="0"/>
          <w:sz w:val="24"/>
          <w14:textFill>
            <w14:solidFill>
              <w14:schemeClr w14:val="tx1"/>
            </w14:solidFill>
          </w14:textFill>
        </w:rPr>
        <w:t>事先征得甲方的同意，且接替人员的职位、资历应与原定成员相当，否则，每擅自更换一个项目团队成员（含项目负责人），乙方应向甲方支付本合同总价款5%的违约金。</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2.7合同履行期间，乙方应按甲方的要求进行现场调研、阶段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2.8乙方有维护甲方声誉的义务，乙方不能以甲方名义从事与本项目无关的任何事务。</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2.9本合同期满或提前解除、终止后，乙方应将甲方的档案资料、信息数据等交还甲方，并应销毁或删除所有备份。</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2.10乙方在完成本项目过程中，不得损害其他任何第三方的知识产权等合法权益，否则由此造成的相关责任应当由乙方自行承担，与甲方无关。</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2.11乙方应采取必要措施配合专家评审会及甲方验收人员的工作</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对于评审验收过程中发现的问题，乙方应在发现问题之日起3天内进行改正，以符合甲方的需要。</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2.12乙方指定项目联系人：</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姓名： </w:t>
      </w:r>
    </w:p>
    <w:p>
      <w:pPr>
        <w:spacing w:line="360" w:lineRule="auto"/>
        <w:ind w:left="11" w:firstLine="720" w:firstLineChars="3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29" w:name="_Toc24089"/>
      <w:r>
        <w:rPr>
          <w:rFonts w:hint="eastAsia" w:ascii="宋体" w:hAnsi="宋体" w:cs="宋体"/>
          <w:b/>
          <w:bCs/>
          <w:color w:val="000000" w:themeColor="text1"/>
          <w:sz w:val="24"/>
          <w14:textFill>
            <w14:solidFill>
              <w14:schemeClr w14:val="tx1"/>
            </w14:solidFill>
          </w14:textFill>
        </w:rPr>
        <w:t>七、合同履行时间、进度要求、后续服务及履行地点</w:t>
      </w:r>
      <w:bookmarkEnd w:id="29"/>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1.履行时间：</w:t>
      </w:r>
      <w:r>
        <w:rPr>
          <w:rFonts w:hint="eastAsia" w:ascii="宋体" w:hAnsi="宋体" w:cs="宋体"/>
          <w:bCs/>
          <w:color w:val="000000" w:themeColor="text1"/>
          <w:sz w:val="24"/>
          <w14:textFill>
            <w14:solidFill>
              <w14:schemeClr w14:val="tx1"/>
            </w14:solidFill>
          </w14:textFill>
        </w:rPr>
        <w:t>自合同签订之日起至2026年11月30日</w:t>
      </w:r>
      <w:r>
        <w:rPr>
          <w:rFonts w:hint="eastAsia" w:ascii="宋体" w:hAnsi="宋体" w:cs="宋体"/>
          <w:color w:val="000000" w:themeColor="text1"/>
          <w:sz w:val="24"/>
          <w14:textFill>
            <w14:solidFill>
              <w14:schemeClr w14:val="tx1"/>
            </w14:solidFill>
          </w14:textFill>
        </w:rPr>
        <w:t>。</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2.进度要求</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2.1.乙方应在签署合同后</w:t>
      </w:r>
      <w:r>
        <w:rPr>
          <w:rFonts w:hint="eastAsia" w:ascii="宋体" w:hAnsi="宋体" w:cs="宋体"/>
          <w:bCs/>
          <w:color w:val="000000" w:themeColor="text1"/>
          <w:sz w:val="24"/>
          <w:lang w:val="en-US" w:eastAsia="zh-CN"/>
          <w14:textFill>
            <w14:solidFill>
              <w14:schemeClr w14:val="tx1"/>
            </w14:solidFill>
          </w14:textFill>
        </w:rPr>
        <w:t>1个月</w:t>
      </w:r>
      <w:r>
        <w:rPr>
          <w:rFonts w:hint="eastAsia" w:ascii="宋体" w:hAnsi="宋体" w:cs="宋体"/>
          <w:bCs/>
          <w:color w:val="000000" w:themeColor="text1"/>
          <w:sz w:val="24"/>
          <w14:textFill>
            <w14:solidFill>
              <w14:schemeClr w14:val="tx1"/>
            </w14:solidFill>
          </w14:textFill>
        </w:rPr>
        <w:t>向</w:t>
      </w:r>
      <w:bookmarkStart w:id="30" w:name="OLE_LINK19"/>
      <w:r>
        <w:rPr>
          <w:rFonts w:hint="eastAsia" w:ascii="宋体" w:hAnsi="宋体" w:cs="宋体"/>
          <w:bCs/>
          <w:color w:val="000000" w:themeColor="text1"/>
          <w:sz w:val="24"/>
          <w14:textFill>
            <w14:solidFill>
              <w14:schemeClr w14:val="tx1"/>
            </w14:solidFill>
          </w14:textFill>
        </w:rPr>
        <w:t>甲方</w:t>
      </w:r>
      <w:bookmarkEnd w:id="30"/>
      <w:r>
        <w:rPr>
          <w:rFonts w:hint="eastAsia" w:ascii="宋体" w:hAnsi="宋体" w:cs="宋体"/>
          <w:bCs/>
          <w:color w:val="000000" w:themeColor="text1"/>
          <w:sz w:val="24"/>
          <w14:textFill>
            <w14:solidFill>
              <w14:schemeClr w14:val="tx1"/>
            </w14:solidFill>
          </w14:textFill>
        </w:rPr>
        <w:t>提交工作方案，甲方</w:t>
      </w:r>
      <w:r>
        <w:rPr>
          <w:rFonts w:hint="eastAsia" w:ascii="宋体" w:hAnsi="宋体" w:cs="宋体"/>
          <w:bCs/>
          <w:color w:val="000000" w:themeColor="text1"/>
          <w:sz w:val="24"/>
          <w:lang w:eastAsia="zh-CN"/>
          <w14:textFill>
            <w14:solidFill>
              <w14:schemeClr w14:val="tx1"/>
            </w14:solidFill>
          </w14:textFill>
        </w:rPr>
        <w:t>应在</w:t>
      </w:r>
      <w:r>
        <w:rPr>
          <w:rFonts w:hint="eastAsia" w:ascii="宋体" w:hAnsi="宋体" w:cs="宋体"/>
          <w:bCs/>
          <w:color w:val="000000" w:themeColor="text1"/>
          <w:sz w:val="24"/>
          <w:lang w:val="en-US" w:eastAsia="zh-CN"/>
          <w14:textFill>
            <w14:solidFill>
              <w14:schemeClr w14:val="tx1"/>
            </w14:solidFill>
          </w14:textFill>
        </w:rPr>
        <w:t>10个工作日内</w:t>
      </w:r>
      <w:r>
        <w:rPr>
          <w:rFonts w:hint="eastAsia" w:ascii="宋体" w:hAnsi="宋体" w:cs="宋体"/>
          <w:bCs/>
          <w:color w:val="000000" w:themeColor="text1"/>
          <w:sz w:val="24"/>
          <w14:textFill>
            <w14:solidFill>
              <w14:schemeClr w14:val="tx1"/>
            </w14:solidFill>
          </w14:textFill>
        </w:rPr>
        <w:t>将修改意见反馈给乙方，乙方须</w:t>
      </w:r>
      <w:r>
        <w:rPr>
          <w:rFonts w:hint="eastAsia" w:ascii="宋体" w:hAnsi="宋体" w:cs="宋体"/>
          <w:bCs/>
          <w:color w:val="000000" w:themeColor="text1"/>
          <w:sz w:val="24"/>
          <w:lang w:eastAsia="zh-CN"/>
          <w14:textFill>
            <w14:solidFill>
              <w14:schemeClr w14:val="tx1"/>
            </w14:solidFill>
          </w14:textFill>
        </w:rPr>
        <w:t>在</w:t>
      </w:r>
      <w:r>
        <w:rPr>
          <w:rFonts w:hint="eastAsia" w:ascii="宋体" w:hAnsi="宋体" w:cs="宋体"/>
          <w:bCs/>
          <w:color w:val="000000" w:themeColor="text1"/>
          <w:sz w:val="24"/>
          <w:lang w:val="en-US" w:eastAsia="zh-CN"/>
          <w14:textFill>
            <w14:solidFill>
              <w14:schemeClr w14:val="tx1"/>
            </w14:solidFill>
          </w14:textFill>
        </w:rPr>
        <w:t>10个工作日内</w:t>
      </w:r>
      <w:r>
        <w:rPr>
          <w:rFonts w:hint="eastAsia" w:ascii="宋体" w:hAnsi="宋体" w:cs="宋体"/>
          <w:bCs/>
          <w:color w:val="000000" w:themeColor="text1"/>
          <w:sz w:val="24"/>
          <w14:textFill>
            <w14:solidFill>
              <w14:schemeClr w14:val="tx1"/>
            </w14:solidFill>
          </w14:textFill>
        </w:rPr>
        <w:t>依据修改意见认真</w:t>
      </w:r>
      <w:r>
        <w:rPr>
          <w:rFonts w:hint="eastAsia" w:ascii="宋体" w:hAnsi="宋体" w:cs="宋体"/>
          <w:bCs/>
          <w:color w:val="000000" w:themeColor="text1"/>
          <w:sz w:val="24"/>
          <w:lang w:eastAsia="zh-CN"/>
          <w14:textFill>
            <w14:solidFill>
              <w14:schemeClr w14:val="tx1"/>
            </w14:solidFill>
          </w14:textFill>
        </w:rPr>
        <w:t>完成</w:t>
      </w:r>
      <w:r>
        <w:rPr>
          <w:rFonts w:hint="eastAsia" w:ascii="宋体" w:hAnsi="宋体" w:cs="宋体"/>
          <w:bCs/>
          <w:color w:val="000000" w:themeColor="text1"/>
          <w:sz w:val="24"/>
          <w14:textFill>
            <w14:solidFill>
              <w14:schemeClr w14:val="tx1"/>
            </w14:solidFill>
          </w14:textFill>
        </w:rPr>
        <w:t>修改、补充。</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2.2.乙方应在工作方案定稿后</w:t>
      </w:r>
      <w:r>
        <w:rPr>
          <w:rFonts w:hint="eastAsia" w:ascii="宋体" w:hAnsi="宋体" w:cs="宋体"/>
          <w:bCs/>
          <w:color w:val="000000" w:themeColor="text1"/>
          <w:sz w:val="24"/>
          <w:lang w:val="en-US" w:eastAsia="zh-CN"/>
          <w14:textFill>
            <w14:solidFill>
              <w14:schemeClr w14:val="tx1"/>
            </w14:solidFill>
          </w14:textFill>
        </w:rPr>
        <w:t>10个工作日内</w:t>
      </w:r>
      <w:r>
        <w:rPr>
          <w:rFonts w:hint="eastAsia" w:ascii="宋体" w:hAnsi="宋体" w:cs="宋体"/>
          <w:bCs/>
          <w:color w:val="000000" w:themeColor="text1"/>
          <w:sz w:val="24"/>
          <w14:textFill>
            <w14:solidFill>
              <w14:schemeClr w14:val="tx1"/>
            </w14:solidFill>
          </w14:textFill>
        </w:rPr>
        <w:t>向</w:t>
      </w:r>
      <w:r>
        <w:rPr>
          <w:rFonts w:hint="eastAsia" w:ascii="宋体" w:hAnsi="宋体" w:cs="宋体"/>
          <w:bCs/>
          <w:color w:val="000000" w:themeColor="text1"/>
          <w:sz w:val="24"/>
          <w:lang w:eastAsia="zh-CN"/>
          <w14:textFill>
            <w14:solidFill>
              <w14:schemeClr w14:val="tx1"/>
            </w14:solidFill>
          </w14:textFill>
        </w:rPr>
        <w:t>甲方</w:t>
      </w:r>
      <w:r>
        <w:rPr>
          <w:rFonts w:hint="eastAsia" w:ascii="宋体" w:hAnsi="宋体" w:cs="宋体"/>
          <w:bCs/>
          <w:color w:val="000000" w:themeColor="text1"/>
          <w:sz w:val="24"/>
          <w14:textFill>
            <w14:solidFill>
              <w14:schemeClr w14:val="tx1"/>
            </w14:solidFill>
          </w14:textFill>
        </w:rPr>
        <w:t>进行初步成果汇报，乙方须根据初步成果审查意见认真总结、修改、补充、完善初步成果。</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2.3.乙方应在初步成果定稿后</w:t>
      </w:r>
      <w:r>
        <w:rPr>
          <w:rFonts w:hint="eastAsia" w:ascii="宋体" w:hAnsi="宋体" w:cs="宋体"/>
          <w:bCs/>
          <w:color w:val="000000" w:themeColor="text1"/>
          <w:sz w:val="24"/>
          <w:lang w:val="en-US" w:eastAsia="zh-CN"/>
          <w14:textFill>
            <w14:solidFill>
              <w14:schemeClr w14:val="tx1"/>
            </w14:solidFill>
          </w14:textFill>
        </w:rPr>
        <w:t>10个工作日内</w:t>
      </w:r>
      <w:r>
        <w:rPr>
          <w:rFonts w:hint="eastAsia" w:ascii="宋体" w:hAnsi="宋体" w:cs="宋体"/>
          <w:bCs/>
          <w:color w:val="000000" w:themeColor="text1"/>
          <w:sz w:val="24"/>
          <w14:textFill>
            <w14:solidFill>
              <w14:schemeClr w14:val="tx1"/>
            </w14:solidFill>
          </w14:textFill>
        </w:rPr>
        <w:t>向甲方提交项目的中间成果，征求各相关部门的意见，并依据中间成果审查意见对项目成果进行补充、修改和完善。</w:t>
      </w:r>
    </w:p>
    <w:p>
      <w:pPr>
        <w:snapToGrid w:val="0"/>
        <w:spacing w:line="360" w:lineRule="auto"/>
        <w:ind w:left="11"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2.4.乙方应在中间成果定稿后</w:t>
      </w:r>
      <w:r>
        <w:rPr>
          <w:rFonts w:hint="eastAsia" w:ascii="宋体" w:hAnsi="宋体" w:cs="宋体"/>
          <w:bCs/>
          <w:color w:val="000000" w:themeColor="text1"/>
          <w:sz w:val="24"/>
          <w:lang w:val="en-US" w:eastAsia="zh-CN"/>
          <w14:textFill>
            <w14:solidFill>
              <w14:schemeClr w14:val="tx1"/>
            </w14:solidFill>
          </w14:textFill>
        </w:rPr>
        <w:t>10个工作日内</w:t>
      </w:r>
      <w:r>
        <w:rPr>
          <w:rFonts w:hint="eastAsia" w:ascii="宋体" w:hAnsi="宋体" w:cs="宋体"/>
          <w:bCs/>
          <w:color w:val="000000" w:themeColor="text1"/>
          <w:sz w:val="24"/>
          <w14:textFill>
            <w14:solidFill>
              <w14:schemeClr w14:val="tx1"/>
            </w14:solidFill>
          </w14:textFill>
        </w:rPr>
        <w:t>协助甲方开展并通过项目专家评审会审查，并根据专家意见会审查意见进行修改完善，按合同要求提交最终成果。</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3.后续服务：</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3.1.后续服务内容：在后续服务期限内提供相关技术支持。</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3.2.后续服务要求：安排专人负责售后技术支持，并提供其联系手机、电话、微信、Email；如人员需要调整应及时通知</w:t>
      </w:r>
      <w:bookmarkStart w:id="31" w:name="OLE_LINK37"/>
      <w:r>
        <w:rPr>
          <w:rFonts w:hint="eastAsia" w:ascii="宋体" w:hAnsi="宋体" w:cs="宋体"/>
          <w:bCs/>
          <w:color w:val="000000" w:themeColor="text1"/>
          <w:sz w:val="24"/>
          <w14:textFill>
            <w14:solidFill>
              <w14:schemeClr w14:val="tx1"/>
            </w14:solidFill>
          </w14:textFill>
        </w:rPr>
        <w:t>甲方</w:t>
      </w:r>
      <w:bookmarkEnd w:id="31"/>
      <w:r>
        <w:rPr>
          <w:rFonts w:hint="eastAsia" w:ascii="宋体" w:hAnsi="宋体" w:cs="宋体"/>
          <w:bCs/>
          <w:color w:val="000000" w:themeColor="text1"/>
          <w:sz w:val="24"/>
          <w14:textFill>
            <w14:solidFill>
              <w14:schemeClr w14:val="tx1"/>
            </w14:solidFill>
          </w14:textFill>
        </w:rPr>
        <w:t>；按甲方要求完成后续服务。</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3.3.后续服务期限：后续服务期限为乙方完成项目成果</w:t>
      </w:r>
      <w:r>
        <w:rPr>
          <w:rFonts w:hint="eastAsia" w:ascii="宋体" w:hAnsi="宋体" w:cs="宋体"/>
          <w:bCs/>
          <w:color w:val="000000" w:themeColor="text1"/>
          <w:sz w:val="24"/>
          <w:lang w:eastAsia="zh-CN"/>
          <w14:textFill>
            <w14:solidFill>
              <w14:schemeClr w14:val="tx1"/>
            </w14:solidFill>
          </w14:textFill>
        </w:rPr>
        <w:t>并经甲方验收通过</w:t>
      </w:r>
      <w:r>
        <w:rPr>
          <w:rFonts w:hint="eastAsia" w:ascii="宋体" w:hAnsi="宋体" w:cs="宋体"/>
          <w:bCs/>
          <w:color w:val="000000" w:themeColor="text1"/>
          <w:sz w:val="24"/>
          <w14:textFill>
            <w14:solidFill>
              <w14:schemeClr w14:val="tx1"/>
            </w14:solidFill>
          </w14:textFill>
        </w:rPr>
        <w:t>之日起的1年，后续服务期内，乙方须与甲方保持全面沟通，协助甲方完成各种后续审计、评估等工作。</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4.履行地点：深圳市前海深港现代服务业合作区</w:t>
      </w:r>
    </w:p>
    <w:p>
      <w:pPr>
        <w:snapToGrid w:val="0"/>
        <w:spacing w:line="360" w:lineRule="auto"/>
        <w:ind w:left="11" w:firstLine="420"/>
        <w:rPr>
          <w:rFonts w:hint="eastAsia" w:ascii="宋体" w:hAnsi="宋体" w:cs="宋体"/>
          <w:color w:val="000000" w:themeColor="text1"/>
          <w:sz w:val="24"/>
          <w14:textFill>
            <w14:solidFill>
              <w14:schemeClr w14:val="tx1"/>
            </w14:solidFill>
          </w14:textFill>
        </w:rPr>
      </w:pPr>
      <w:bookmarkStart w:id="32" w:name="_Toc22413"/>
      <w:r>
        <w:rPr>
          <w:rFonts w:hint="eastAsia" w:ascii="宋体" w:hAnsi="宋体" w:cs="宋体"/>
          <w:b/>
          <w:bCs/>
          <w:color w:val="000000" w:themeColor="text1"/>
          <w:sz w:val="24"/>
          <w14:textFill>
            <w14:solidFill>
              <w14:schemeClr w14:val="tx1"/>
            </w14:solidFill>
          </w14:textFill>
        </w:rPr>
        <w:t>八、</w:t>
      </w:r>
      <w:bookmarkEnd w:id="32"/>
      <w:r>
        <w:rPr>
          <w:rFonts w:hint="eastAsia" w:ascii="宋体" w:hAnsi="宋体" w:cs="宋体"/>
          <w:b/>
          <w:bCs/>
          <w:color w:val="000000" w:themeColor="text1"/>
          <w:sz w:val="24"/>
          <w14:textFill>
            <w14:solidFill>
              <w14:schemeClr w14:val="tx1"/>
            </w14:solidFill>
          </w14:textFill>
        </w:rPr>
        <w:t>成果内容及验收方式</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bookmarkStart w:id="33" w:name="_Toc11509"/>
      <w:r>
        <w:rPr>
          <w:rFonts w:hint="eastAsia" w:ascii="宋体" w:hAnsi="宋体" w:cs="宋体"/>
          <w:color w:val="000000" w:themeColor="text1"/>
          <w:sz w:val="24"/>
          <w14:textFill>
            <w14:solidFill>
              <w14:schemeClr w14:val="tx1"/>
            </w14:solidFill>
          </w14:textFill>
        </w:rPr>
        <w:t>1.成果内容</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成果需满足国家颁布的有关法律、法规及政策要求，符合相关的技术规范和标准，提交的成果包括：编纂形成《前海年鉴2026》精装书100本：规格为 16 开。（889mm 高 X 1194mm 宽）</w:t>
      </w:r>
      <w:r>
        <w:rPr>
          <w:rFonts w:hint="eastAsia" w:ascii="宋体" w:hAnsi="宋体" w:cs="宋体"/>
          <w:color w:val="000000" w:themeColor="text1"/>
          <w:sz w:val="24"/>
          <w14:textFill>
            <w14:solidFill>
              <w14:schemeClr w14:val="tx1"/>
            </w14:solidFill>
          </w14:textFill>
        </w:rPr>
        <w:t>。</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2.验收方式</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最终成果</w:t>
      </w:r>
      <w:r>
        <w:rPr>
          <w:rFonts w:hint="eastAsia" w:ascii="宋体" w:hAnsi="宋体" w:cs="宋体"/>
          <w:color w:val="000000" w:themeColor="text1"/>
          <w:sz w:val="24"/>
          <w:lang w:eastAsia="zh-CN"/>
          <w14:textFill>
            <w14:solidFill>
              <w14:schemeClr w14:val="tx1"/>
            </w14:solidFill>
          </w14:textFill>
        </w:rPr>
        <w:t>验收合格的标准为</w:t>
      </w:r>
      <w:r>
        <w:rPr>
          <w:rFonts w:hint="eastAsia" w:ascii="宋体" w:hAnsi="宋体" w:cs="宋体"/>
          <w:color w:val="000000" w:themeColor="text1"/>
          <w:sz w:val="24"/>
          <w14:textFill>
            <w14:solidFill>
              <w14:schemeClr w14:val="tx1"/>
            </w14:solidFill>
          </w14:textFill>
        </w:rPr>
        <w:t>甲方审查通过。</w:t>
      </w:r>
    </w:p>
    <w:p>
      <w:pPr>
        <w:spacing w:line="360" w:lineRule="auto"/>
        <w:ind w:left="11" w:firstLine="42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九、费用支付</w:t>
      </w:r>
      <w:bookmarkEnd w:id="33"/>
    </w:p>
    <w:p>
      <w:pPr>
        <w:pStyle w:val="20"/>
        <w:numPr>
          <w:ilvl w:val="0"/>
          <w:numId w:val="6"/>
        </w:numPr>
        <w:spacing w:before="0" w:beforeAutospacing="0" w:after="0" w:afterAutospacing="0" w:line="360" w:lineRule="auto"/>
        <w:ind w:left="11"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支付方式：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1.合同金额由甲方分2期支付至乙方指定银行账户：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1.1.第一期：合同签订后，根据乙方提出的付款申请，甲方在15个工作日内支付合同总额的50%；即人民币  整（¥  元）</w:t>
      </w:r>
    </w:p>
    <w:p>
      <w:pPr>
        <w:pStyle w:val="20"/>
        <w:spacing w:before="0" w:beforeAutospacing="0" w:after="0" w:afterAutospacing="0" w:line="360" w:lineRule="auto"/>
        <w:ind w:left="11" w:firstLine="480" w:firstLineChars="200"/>
        <w:rPr>
          <w:rFonts w:hint="eastAsia"/>
          <w:color w:val="000000" w:themeColor="text1"/>
          <w:kern w:val="2"/>
          <w14:textFill>
            <w14:solidFill>
              <w14:schemeClr w14:val="tx1"/>
            </w14:solidFill>
          </w14:textFill>
        </w:rPr>
      </w:pPr>
      <w:r>
        <w:rPr>
          <w:rFonts w:hint="eastAsia"/>
          <w:color w:val="000000" w:themeColor="text1"/>
          <w14:textFill>
            <w14:solidFill>
              <w14:schemeClr w14:val="tx1"/>
            </w14:solidFill>
          </w14:textFill>
        </w:rPr>
        <w:t>1.2.第二期：在乙方提交通过</w:t>
      </w:r>
      <w:r>
        <w:rPr>
          <w:rFonts w:hint="eastAsia"/>
          <w:color w:val="000000" w:themeColor="text1"/>
          <w:lang w:eastAsia="zh-CN"/>
          <w14:textFill>
            <w14:solidFill>
              <w14:schemeClr w14:val="tx1"/>
            </w14:solidFill>
          </w14:textFill>
        </w:rPr>
        <w:t>专家评审会</w:t>
      </w:r>
      <w:r>
        <w:rPr>
          <w:rFonts w:hint="eastAsia"/>
          <w:color w:val="000000" w:themeColor="text1"/>
          <w14:textFill>
            <w14:solidFill>
              <w14:schemeClr w14:val="tx1"/>
            </w14:solidFill>
          </w14:textFill>
        </w:rPr>
        <w:t>审查的成果并经甲方验收通过后，根据乙方提出的付款申请，甲方在15个工作日内支付合同总额的50%。即人民币  整（¥  元）</w:t>
      </w:r>
    </w:p>
    <w:p>
      <w:pPr>
        <w:pStyle w:val="20"/>
        <w:spacing w:before="0" w:beforeAutospacing="0" w:after="0" w:afterAutospacing="0" w:line="360" w:lineRule="auto"/>
        <w:ind w:left="11"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pacing w:line="360" w:lineRule="auto"/>
        <w:ind w:left="11"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本合同执行中相关的一切税费均由乙方负担。</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3.合同价款由甲方分期付至乙方指定银行账户</w:t>
      </w:r>
    </w:p>
    <w:p>
      <w:pPr>
        <w:spacing w:line="360" w:lineRule="auto"/>
        <w:ind w:left="11"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乙方银行账户信息：</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户名：       </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账号： </w:t>
      </w:r>
    </w:p>
    <w:p>
      <w:pPr>
        <w:pStyle w:val="20"/>
        <w:spacing w:before="0" w:beforeAutospacing="0" w:after="0" w:afterAutospacing="0" w:line="360" w:lineRule="auto"/>
        <w:ind w:left="11" w:firstLine="480" w:firstLineChars="20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left="11" w:firstLine="42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十、合同提前终止</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3.有下列情形之一的，本合同自甲方向乙方发出书面通知之日起终止：</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（1）甲方的职能发生转变，不再具有委托职能。</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（2）本合同签订时适用的法律法规或政策发生变化，且对本合同的继续履行造成重大影响。</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4.如发生不可抗力或其他超出合同双方控制的事件，致使一方无法履行合同，本合同解除。</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（2）发生不可抗力，甲乙双方承担各自的损失。由于其中一方迟延履行合同义务后发生不可抗力的，其违约责任不能免除。</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34" w:name="_Toc10529"/>
      <w:r>
        <w:rPr>
          <w:rFonts w:hint="eastAsia" w:ascii="宋体" w:hAnsi="宋体" w:cs="宋体"/>
          <w:b/>
          <w:bCs/>
          <w:color w:val="000000" w:themeColor="text1"/>
          <w:sz w:val="24"/>
          <w14:textFill>
            <w14:solidFill>
              <w14:schemeClr w14:val="tx1"/>
            </w14:solidFill>
          </w14:textFill>
        </w:rPr>
        <w:t>十一、争议解决</w:t>
      </w:r>
      <w:bookmarkEnd w:id="34"/>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因本合同的履行发生的或与本合同有关的争议或纠纷，任一方有权向深圳前海合作区人民法院提起诉讼。</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35" w:name="_Toc14951"/>
      <w:r>
        <w:rPr>
          <w:rFonts w:hint="eastAsia" w:ascii="宋体" w:hAnsi="宋体" w:cs="宋体"/>
          <w:b/>
          <w:bCs/>
          <w:color w:val="000000" w:themeColor="text1"/>
          <w:sz w:val="24"/>
          <w14:textFill>
            <w14:solidFill>
              <w14:schemeClr w14:val="tx1"/>
            </w14:solidFill>
          </w14:textFill>
        </w:rPr>
        <w:t>十二、违约责任</w:t>
      </w:r>
      <w:bookmarkEnd w:id="35"/>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1.因乙方原因，未能按规定时间完成有关工作的，每延误一天，甲方有权自尚未支付的合同款项中扣除合同服务总金额的5‰的逾期违约金。</w:t>
      </w:r>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2.如乙方提供的服务或成果不符合质量要求，必须在甲方提出要求后7个日历日无条件修改，其费用由乙方承担。</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还应在合同解除通知发出之日起10日内向甲方支付合同总价款20%的违约金。乙方应同时将已完成的项目成果移交给甲方，并将全部有关资料退还甲方：</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3.1因乙方工作的错误或遗漏造成成果质量不符合本合同要求，且乙方未按甲方要求采取及时有效的补救措施的；</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3.2乙方未能按合同约定的日期(含协商延缓的日期)提交工作成果，延误时间超过30个工作日；或乙方虽如期提交阶段性成果和最终成果，但最终成果连续二次未能通过评审验收的；</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3.3发现乙方或乙方工作人员出现全部或部分丧失履行委托服务能力的情况，甲方有权通知乙方限期整改或更换工作人员，期限届满乙方并未进行改善的；</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color w:val="000000" w:themeColor="text1"/>
          <w:sz w:val="24"/>
          <w:lang w:bidi="ar"/>
          <w14:textFill>
            <w14:solidFill>
              <w14:schemeClr w14:val="tx1"/>
            </w14:solidFill>
          </w14:textFill>
        </w:rPr>
        <w:t>未经甲方书面在先同意，乙方擅自将本合同项目与任何第三方合作，或将本合同标的全部或部分擅自转包给任何第三方，且未按甲方的要求终止与第三方的合同的</w:t>
      </w:r>
      <w:r>
        <w:rPr>
          <w:rFonts w:hint="eastAsia" w:ascii="宋体" w:hAnsi="宋体" w:cs="宋体"/>
          <w:color w:val="000000" w:themeColor="text1"/>
          <w:sz w:val="24"/>
          <w:lang w:eastAsia="zh-Hans" w:bidi="ar"/>
          <w14:textFill>
            <w14:solidFill>
              <w14:schemeClr w14:val="tx1"/>
            </w14:solidFill>
          </w14:textFill>
        </w:rPr>
        <w:t>；</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3.5乙方明确表示或者以自己的行为表明不履行本合同的。</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36" w:name="_Toc17510"/>
      <w:r>
        <w:rPr>
          <w:rFonts w:hint="eastAsia" w:ascii="宋体" w:hAnsi="宋体" w:cs="宋体"/>
          <w:b/>
          <w:bCs/>
          <w:color w:val="000000" w:themeColor="text1"/>
          <w:sz w:val="24"/>
          <w14:textFill>
            <w14:solidFill>
              <w14:schemeClr w14:val="tx1"/>
            </w14:solidFill>
          </w14:textFill>
        </w:rPr>
        <w:t>十三、保密条款</w:t>
      </w:r>
      <w:bookmarkEnd w:id="36"/>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3.乙方实施项目的程序应符合国家安全、保密的有关规定和标准。</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5.如乙方违反上述保密条款，甲方有权解除本合同，乙方应在合同解除通知发出之日起10日内向甲方支付本合同服务费总金额20%的违约金，如果违约金无法弥补甲方损失，甲方保留要求乙方赔偿全部损失的权利</w:t>
      </w:r>
      <w:r>
        <w:rPr>
          <w:rFonts w:hint="eastAsia" w:ascii="宋体" w:hAnsi="宋体" w:cs="宋体"/>
          <w:color w:val="000000" w:themeColor="text1"/>
          <w:kern w:val="0"/>
          <w:sz w:val="24"/>
          <w14:textFill>
            <w14:solidFill>
              <w14:schemeClr w14:val="tx1"/>
            </w14:solidFill>
          </w14:textFill>
        </w:rPr>
        <w:t>，包括但不限于上述索赔或责任所产生的诉讼费用、合理的律师费用、鉴定评估费用、调查费用、和解金额或生效法律文书中规定的赔偿金额。</w:t>
      </w:r>
    </w:p>
    <w:p>
      <w:pPr>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6.无论本合同或本合同其他条款是否有效，本保密条款始终约束双方。国家秘密的保密期限由国家有关部门确定，工作秘密的保密期限由甲方确定。</w:t>
      </w:r>
    </w:p>
    <w:p>
      <w:pPr>
        <w:spacing w:line="360" w:lineRule="auto"/>
        <w:ind w:left="11" w:firstLine="420"/>
        <w:rPr>
          <w:rFonts w:hint="eastAsia" w:ascii="宋体" w:hAnsi="宋体" w:cs="宋体"/>
          <w:b/>
          <w:bCs/>
          <w:color w:val="000000" w:themeColor="text1"/>
          <w:sz w:val="24"/>
          <w14:textFill>
            <w14:solidFill>
              <w14:schemeClr w14:val="tx1"/>
            </w14:solidFill>
          </w14:textFill>
        </w:rPr>
      </w:pPr>
      <w:bookmarkStart w:id="37" w:name="_Toc16227"/>
      <w:r>
        <w:rPr>
          <w:rFonts w:hint="eastAsia" w:ascii="宋体" w:hAnsi="宋体" w:cs="宋体"/>
          <w:b/>
          <w:bCs/>
          <w:color w:val="000000" w:themeColor="text1"/>
          <w:sz w:val="24"/>
          <w14:textFill>
            <w14:solidFill>
              <w14:schemeClr w14:val="tx1"/>
            </w14:solidFill>
          </w14:textFill>
        </w:rPr>
        <w:t>十四、其他</w:t>
      </w:r>
      <w:bookmarkEnd w:id="37"/>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2.本合同替代此前双方所有关于本合同事项的口头或书面的纪要、备忘录、合同、协议。</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3.本合同附件（如有）为合同不可分割的组成部分，与本合同一并加盖骑缝章后具有同等法律效力。若附件与合同正文有任何冲突，以合同正文为准。</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4.本合同各条标题仅为提示之用，应以条文内容确定各方的权利义务。</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5.本合同未尽事宜，由双方协商签订补充协议进行约定。补充协议应以书面形式作成，经双方盖章后与本合同具有同等法律效力。</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7.如果本合同的任何条款在任何时候变成不合法、无效或不可强制执行而不从根本上影响本合同的效力时，本合同的其他条款不受影响。</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8.本合同的任何内容不应被视为或解释为双方之间具有合资、合伙、代理关系。</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9.任何一方未经另一方同意不得向任何第三方透露本合同的签订及其内容。甲方向其关联公司透露前述内容的，不受此限。</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11.本合同自双方盖章之日起生效，有效期至本合同全部权利义务履行完毕之日止。</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12.本合同一式六份正本，甲方与乙方各执三份，均具同等法律效力。（以下无正文）</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p>
    <w:p>
      <w:pPr>
        <w:pStyle w:val="14"/>
        <w:snapToGrid w:val="0"/>
        <w:spacing w:line="360" w:lineRule="auto"/>
        <w:ind w:left="11"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附件：</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1.服务团队名单；</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w:t>
      </w:r>
    </w:p>
    <w:p>
      <w:pPr>
        <w:snapToGrid w:val="0"/>
        <w:spacing w:line="360" w:lineRule="auto"/>
        <w:ind w:left="11"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4.《投标文件》。</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                                    乙方：</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地址：                                    地址：</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                              法定代表人：</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委托代理人：                              委托代理人：</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电话：                                    电话：</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开户银行：                                开户银行：</w:t>
      </w:r>
    </w:p>
    <w:p>
      <w:pPr>
        <w:snapToGrid w:val="0"/>
        <w:spacing w:line="360" w:lineRule="auto"/>
        <w:ind w:left="11" w:firstLine="42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 xml:space="preserve">号：                                    </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号：</w:t>
      </w:r>
    </w:p>
    <w:p>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签约地址：                           签约时间：     年   月   日</w:t>
      </w:r>
    </w:p>
    <w:p>
      <w:pPr>
        <w:pStyle w:val="10"/>
        <w:ind w:left="11" w:firstLine="480"/>
        <w:outlineLvl w:val="0"/>
        <w:rPr>
          <w:color w:val="000000" w:themeColor="text1"/>
          <w:sz w:val="21"/>
          <w:szCs w:val="21"/>
          <w14:textFill>
            <w14:solidFill>
              <w14:schemeClr w14:val="tx1"/>
            </w14:solidFill>
          </w14:textFill>
        </w:rPr>
      </w:pPr>
      <w:r>
        <w:rPr>
          <w:rFonts w:hint="eastAsia" w:ascii="Calibri" w:hAnsi="Calibri"/>
          <w:color w:val="000000" w:themeColor="text1"/>
          <w:szCs w:val="28"/>
          <w14:textFill>
            <w14:solidFill>
              <w14:schemeClr w14:val="tx1"/>
            </w14:solidFill>
          </w14:textFill>
        </w:rPr>
        <w:br w:type="page"/>
      </w:r>
      <w:bookmarkStart w:id="38" w:name="_Toc21532"/>
      <w:r>
        <w:rPr>
          <w:rFonts w:hint="eastAsia"/>
          <w:color w:val="000000" w:themeColor="text1"/>
          <w:sz w:val="21"/>
          <w:szCs w:val="21"/>
          <w14:textFill>
            <w14:solidFill>
              <w14:schemeClr w14:val="tx1"/>
            </w14:solidFill>
          </w14:textFill>
        </w:rPr>
        <w:t>附件1：服务团队名单</w:t>
      </w:r>
      <w:bookmarkEnd w:id="38"/>
    </w:p>
    <w:p>
      <w:pPr>
        <w:ind w:left="11" w:firstLine="42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服务团队名单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650"/>
        <w:gridCol w:w="1481"/>
        <w:gridCol w:w="264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1650" w:type="dxa"/>
          </w:tcPr>
          <w:p>
            <w:pPr>
              <w:pStyle w:val="10"/>
              <w:ind w:left="11"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姓名</w:t>
            </w:r>
          </w:p>
        </w:tc>
        <w:tc>
          <w:tcPr>
            <w:tcW w:w="1481" w:type="dxa"/>
          </w:tcPr>
          <w:p>
            <w:pPr>
              <w:pStyle w:val="10"/>
              <w:ind w:left="11"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岗位</w:t>
            </w:r>
          </w:p>
        </w:tc>
        <w:tc>
          <w:tcPr>
            <w:tcW w:w="2645" w:type="dxa"/>
          </w:tcPr>
          <w:p>
            <w:pPr>
              <w:pStyle w:val="10"/>
              <w:ind w:left="11"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联系方式</w:t>
            </w:r>
          </w:p>
        </w:tc>
        <w:tc>
          <w:tcPr>
            <w:tcW w:w="1704" w:type="dxa"/>
          </w:tcPr>
          <w:p>
            <w:pPr>
              <w:pStyle w:val="10"/>
              <w:ind w:left="11"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ind w:left="11" w:firstLine="420"/>
              <w:rPr>
                <w:color w:val="000000" w:themeColor="text1"/>
                <w:sz w:val="21"/>
                <w:szCs w:val="21"/>
                <w14:textFill>
                  <w14:solidFill>
                    <w14:schemeClr w14:val="tx1"/>
                  </w14:solidFill>
                </w14:textFill>
              </w:rPr>
            </w:pPr>
          </w:p>
        </w:tc>
        <w:tc>
          <w:tcPr>
            <w:tcW w:w="1650" w:type="dxa"/>
          </w:tcPr>
          <w:p>
            <w:pPr>
              <w:pStyle w:val="10"/>
              <w:ind w:left="11" w:firstLine="420"/>
              <w:rPr>
                <w:color w:val="000000" w:themeColor="text1"/>
                <w:sz w:val="21"/>
                <w:szCs w:val="21"/>
                <w14:textFill>
                  <w14:solidFill>
                    <w14:schemeClr w14:val="tx1"/>
                  </w14:solidFill>
                </w14:textFill>
              </w:rPr>
            </w:pPr>
          </w:p>
        </w:tc>
        <w:tc>
          <w:tcPr>
            <w:tcW w:w="1481" w:type="dxa"/>
          </w:tcPr>
          <w:p>
            <w:pPr>
              <w:pStyle w:val="10"/>
              <w:ind w:left="11" w:firstLine="420"/>
              <w:rPr>
                <w:color w:val="000000" w:themeColor="text1"/>
                <w:sz w:val="21"/>
                <w:szCs w:val="21"/>
                <w14:textFill>
                  <w14:solidFill>
                    <w14:schemeClr w14:val="tx1"/>
                  </w14:solidFill>
                </w14:textFill>
              </w:rPr>
            </w:pPr>
          </w:p>
        </w:tc>
        <w:tc>
          <w:tcPr>
            <w:tcW w:w="2645" w:type="dxa"/>
          </w:tcPr>
          <w:p>
            <w:pPr>
              <w:pStyle w:val="10"/>
              <w:ind w:left="11" w:firstLine="420"/>
              <w:rPr>
                <w:color w:val="000000" w:themeColor="text1"/>
                <w:sz w:val="21"/>
                <w:szCs w:val="21"/>
                <w14:textFill>
                  <w14:solidFill>
                    <w14:schemeClr w14:val="tx1"/>
                  </w14:solidFill>
                </w14:textFill>
              </w:rPr>
            </w:pPr>
          </w:p>
        </w:tc>
        <w:tc>
          <w:tcPr>
            <w:tcW w:w="1704" w:type="dxa"/>
          </w:tcPr>
          <w:p>
            <w:pPr>
              <w:pStyle w:val="10"/>
              <w:ind w:left="11" w:firstLine="42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ind w:left="11" w:firstLine="420"/>
              <w:rPr>
                <w:color w:val="000000" w:themeColor="text1"/>
                <w:sz w:val="21"/>
                <w:szCs w:val="21"/>
                <w14:textFill>
                  <w14:solidFill>
                    <w14:schemeClr w14:val="tx1"/>
                  </w14:solidFill>
                </w14:textFill>
              </w:rPr>
            </w:pPr>
          </w:p>
        </w:tc>
        <w:tc>
          <w:tcPr>
            <w:tcW w:w="1650" w:type="dxa"/>
          </w:tcPr>
          <w:p>
            <w:pPr>
              <w:pStyle w:val="10"/>
              <w:ind w:left="11" w:firstLine="420"/>
              <w:rPr>
                <w:color w:val="000000" w:themeColor="text1"/>
                <w:sz w:val="21"/>
                <w:szCs w:val="21"/>
                <w14:textFill>
                  <w14:solidFill>
                    <w14:schemeClr w14:val="tx1"/>
                  </w14:solidFill>
                </w14:textFill>
              </w:rPr>
            </w:pPr>
          </w:p>
        </w:tc>
        <w:tc>
          <w:tcPr>
            <w:tcW w:w="1481" w:type="dxa"/>
          </w:tcPr>
          <w:p>
            <w:pPr>
              <w:pStyle w:val="10"/>
              <w:ind w:left="11" w:firstLine="420"/>
              <w:rPr>
                <w:color w:val="000000" w:themeColor="text1"/>
                <w:sz w:val="21"/>
                <w:szCs w:val="21"/>
                <w14:textFill>
                  <w14:solidFill>
                    <w14:schemeClr w14:val="tx1"/>
                  </w14:solidFill>
                </w14:textFill>
              </w:rPr>
            </w:pPr>
          </w:p>
        </w:tc>
        <w:tc>
          <w:tcPr>
            <w:tcW w:w="2645" w:type="dxa"/>
          </w:tcPr>
          <w:p>
            <w:pPr>
              <w:pStyle w:val="10"/>
              <w:ind w:left="11" w:firstLine="420"/>
              <w:rPr>
                <w:color w:val="000000" w:themeColor="text1"/>
                <w:sz w:val="21"/>
                <w:szCs w:val="21"/>
                <w14:textFill>
                  <w14:solidFill>
                    <w14:schemeClr w14:val="tx1"/>
                  </w14:solidFill>
                </w14:textFill>
              </w:rPr>
            </w:pPr>
          </w:p>
        </w:tc>
        <w:tc>
          <w:tcPr>
            <w:tcW w:w="1704" w:type="dxa"/>
          </w:tcPr>
          <w:p>
            <w:pPr>
              <w:pStyle w:val="10"/>
              <w:ind w:left="11" w:firstLine="42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ind w:left="11" w:firstLine="420"/>
              <w:rPr>
                <w:color w:val="000000" w:themeColor="text1"/>
                <w:sz w:val="21"/>
                <w:szCs w:val="21"/>
                <w14:textFill>
                  <w14:solidFill>
                    <w14:schemeClr w14:val="tx1"/>
                  </w14:solidFill>
                </w14:textFill>
              </w:rPr>
            </w:pPr>
          </w:p>
        </w:tc>
        <w:tc>
          <w:tcPr>
            <w:tcW w:w="1650" w:type="dxa"/>
          </w:tcPr>
          <w:p>
            <w:pPr>
              <w:pStyle w:val="10"/>
              <w:ind w:left="11" w:firstLine="420"/>
              <w:rPr>
                <w:color w:val="000000" w:themeColor="text1"/>
                <w:sz w:val="21"/>
                <w:szCs w:val="21"/>
                <w14:textFill>
                  <w14:solidFill>
                    <w14:schemeClr w14:val="tx1"/>
                  </w14:solidFill>
                </w14:textFill>
              </w:rPr>
            </w:pPr>
          </w:p>
        </w:tc>
        <w:tc>
          <w:tcPr>
            <w:tcW w:w="1481" w:type="dxa"/>
          </w:tcPr>
          <w:p>
            <w:pPr>
              <w:pStyle w:val="10"/>
              <w:ind w:left="11" w:firstLine="420"/>
              <w:rPr>
                <w:color w:val="000000" w:themeColor="text1"/>
                <w:sz w:val="21"/>
                <w:szCs w:val="21"/>
                <w14:textFill>
                  <w14:solidFill>
                    <w14:schemeClr w14:val="tx1"/>
                  </w14:solidFill>
                </w14:textFill>
              </w:rPr>
            </w:pPr>
          </w:p>
        </w:tc>
        <w:tc>
          <w:tcPr>
            <w:tcW w:w="2645" w:type="dxa"/>
          </w:tcPr>
          <w:p>
            <w:pPr>
              <w:pStyle w:val="10"/>
              <w:ind w:left="11" w:firstLine="420"/>
              <w:rPr>
                <w:color w:val="000000" w:themeColor="text1"/>
                <w:sz w:val="21"/>
                <w:szCs w:val="21"/>
                <w14:textFill>
                  <w14:solidFill>
                    <w14:schemeClr w14:val="tx1"/>
                  </w14:solidFill>
                </w14:textFill>
              </w:rPr>
            </w:pPr>
          </w:p>
        </w:tc>
        <w:tc>
          <w:tcPr>
            <w:tcW w:w="1704" w:type="dxa"/>
          </w:tcPr>
          <w:p>
            <w:pPr>
              <w:pStyle w:val="10"/>
              <w:ind w:left="11" w:firstLine="42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ind w:left="11" w:firstLine="420"/>
              <w:rPr>
                <w:color w:val="000000" w:themeColor="text1"/>
                <w:sz w:val="21"/>
                <w:szCs w:val="21"/>
                <w14:textFill>
                  <w14:solidFill>
                    <w14:schemeClr w14:val="tx1"/>
                  </w14:solidFill>
                </w14:textFill>
              </w:rPr>
            </w:pPr>
          </w:p>
        </w:tc>
        <w:tc>
          <w:tcPr>
            <w:tcW w:w="1650" w:type="dxa"/>
          </w:tcPr>
          <w:p>
            <w:pPr>
              <w:pStyle w:val="10"/>
              <w:ind w:left="11" w:firstLine="420"/>
              <w:rPr>
                <w:color w:val="000000" w:themeColor="text1"/>
                <w:sz w:val="21"/>
                <w:szCs w:val="21"/>
                <w14:textFill>
                  <w14:solidFill>
                    <w14:schemeClr w14:val="tx1"/>
                  </w14:solidFill>
                </w14:textFill>
              </w:rPr>
            </w:pPr>
          </w:p>
        </w:tc>
        <w:tc>
          <w:tcPr>
            <w:tcW w:w="1481" w:type="dxa"/>
          </w:tcPr>
          <w:p>
            <w:pPr>
              <w:pStyle w:val="10"/>
              <w:ind w:left="11" w:firstLine="420"/>
              <w:rPr>
                <w:color w:val="000000" w:themeColor="text1"/>
                <w:sz w:val="21"/>
                <w:szCs w:val="21"/>
                <w14:textFill>
                  <w14:solidFill>
                    <w14:schemeClr w14:val="tx1"/>
                  </w14:solidFill>
                </w14:textFill>
              </w:rPr>
            </w:pPr>
          </w:p>
        </w:tc>
        <w:tc>
          <w:tcPr>
            <w:tcW w:w="2645" w:type="dxa"/>
          </w:tcPr>
          <w:p>
            <w:pPr>
              <w:pStyle w:val="10"/>
              <w:ind w:left="11" w:firstLine="420"/>
              <w:rPr>
                <w:color w:val="000000" w:themeColor="text1"/>
                <w:sz w:val="21"/>
                <w:szCs w:val="21"/>
                <w14:textFill>
                  <w14:solidFill>
                    <w14:schemeClr w14:val="tx1"/>
                  </w14:solidFill>
                </w14:textFill>
              </w:rPr>
            </w:pPr>
          </w:p>
        </w:tc>
        <w:tc>
          <w:tcPr>
            <w:tcW w:w="1704" w:type="dxa"/>
          </w:tcPr>
          <w:p>
            <w:pPr>
              <w:pStyle w:val="10"/>
              <w:ind w:left="11" w:firstLine="42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0"/>
              <w:ind w:left="11" w:firstLine="420"/>
              <w:rPr>
                <w:color w:val="000000" w:themeColor="text1"/>
                <w:sz w:val="21"/>
                <w:szCs w:val="21"/>
                <w14:textFill>
                  <w14:solidFill>
                    <w14:schemeClr w14:val="tx1"/>
                  </w14:solidFill>
                </w14:textFill>
              </w:rPr>
            </w:pPr>
          </w:p>
        </w:tc>
        <w:tc>
          <w:tcPr>
            <w:tcW w:w="1650" w:type="dxa"/>
          </w:tcPr>
          <w:p>
            <w:pPr>
              <w:pStyle w:val="10"/>
              <w:ind w:left="11" w:firstLine="420"/>
              <w:rPr>
                <w:color w:val="000000" w:themeColor="text1"/>
                <w:sz w:val="21"/>
                <w:szCs w:val="21"/>
                <w14:textFill>
                  <w14:solidFill>
                    <w14:schemeClr w14:val="tx1"/>
                  </w14:solidFill>
                </w14:textFill>
              </w:rPr>
            </w:pPr>
          </w:p>
        </w:tc>
        <w:tc>
          <w:tcPr>
            <w:tcW w:w="1481" w:type="dxa"/>
          </w:tcPr>
          <w:p>
            <w:pPr>
              <w:pStyle w:val="10"/>
              <w:ind w:left="11" w:firstLine="420"/>
              <w:rPr>
                <w:color w:val="000000" w:themeColor="text1"/>
                <w:sz w:val="21"/>
                <w:szCs w:val="21"/>
                <w14:textFill>
                  <w14:solidFill>
                    <w14:schemeClr w14:val="tx1"/>
                  </w14:solidFill>
                </w14:textFill>
              </w:rPr>
            </w:pPr>
          </w:p>
        </w:tc>
        <w:tc>
          <w:tcPr>
            <w:tcW w:w="2645" w:type="dxa"/>
          </w:tcPr>
          <w:p>
            <w:pPr>
              <w:pStyle w:val="10"/>
              <w:ind w:left="11" w:firstLine="420"/>
              <w:rPr>
                <w:color w:val="000000" w:themeColor="text1"/>
                <w:sz w:val="21"/>
                <w:szCs w:val="21"/>
                <w14:textFill>
                  <w14:solidFill>
                    <w14:schemeClr w14:val="tx1"/>
                  </w14:solidFill>
                </w14:textFill>
              </w:rPr>
            </w:pPr>
          </w:p>
        </w:tc>
        <w:tc>
          <w:tcPr>
            <w:tcW w:w="1704" w:type="dxa"/>
          </w:tcPr>
          <w:p>
            <w:pPr>
              <w:pStyle w:val="10"/>
              <w:ind w:left="11" w:firstLine="420"/>
              <w:rPr>
                <w:color w:val="000000" w:themeColor="text1"/>
                <w:sz w:val="21"/>
                <w:szCs w:val="21"/>
                <w14:textFill>
                  <w14:solidFill>
                    <w14:schemeClr w14:val="tx1"/>
                  </w14:solidFill>
                </w14:textFill>
              </w:rPr>
            </w:pPr>
          </w:p>
        </w:tc>
      </w:tr>
    </w:tbl>
    <w:p>
      <w:pPr>
        <w:ind w:left="11" w:firstLine="420" w:firstLineChars="200"/>
        <w:rPr>
          <w:rFonts w:hint="eastAsia" w:ascii="仿宋" w:hAnsi="仿宋" w:eastAsia="仿宋" w:cs="仿宋"/>
          <w:color w:val="000000" w:themeColor="text1"/>
          <w:szCs w:val="21"/>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ind w:firstLine="420" w:firstLineChars="200"/>
        <w:jc w:val="left"/>
        <w:rPr>
          <w:rFonts w:hint="eastAsia" w:ascii="宋体" w:hAnsi="宋体" w:cs="宋体"/>
          <w:color w:val="000000" w:themeColor="text1"/>
          <w:szCs w:val="21"/>
          <w14:textFill>
            <w14:solidFill>
              <w14:schemeClr w14:val="tx1"/>
            </w14:solidFill>
          </w14:textFill>
        </w:rPr>
      </w:pPr>
    </w:p>
    <w:p>
      <w:pPr>
        <w:ind w:firstLine="630" w:firstLineChars="300"/>
        <w:rPr>
          <w:rFonts w:hint="eastAsia" w:ascii="宋体" w:hAnsi="宋体" w:cs="宋体"/>
          <w:color w:val="000000" w:themeColor="text1"/>
          <w:szCs w:val="21"/>
          <w14:textFill>
            <w14:solidFill>
              <w14:schemeClr w14:val="tx1"/>
            </w14:solidFill>
          </w14:textFill>
        </w:rPr>
      </w:pP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10"/>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9" w:name="_Toc25518"/>
      <w:r>
        <w:rPr>
          <w:rFonts w:hint="eastAsia" w:ascii="宋体" w:hAnsi="宋体" w:cs="宋体"/>
          <w:b/>
          <w:bCs/>
          <w:color w:val="000000" w:themeColor="text1"/>
          <w:sz w:val="24"/>
          <w14:textFill>
            <w14:solidFill>
              <w14:schemeClr w14:val="tx1"/>
            </w14:solidFill>
          </w14:textFill>
        </w:rPr>
        <w:t>用户需求书</w:t>
      </w:r>
      <w:bookmarkEnd w:id="39"/>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40" w:name="_Toc23726"/>
      <w:bookmarkStart w:id="41"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40"/>
    <w:bookmarkEnd w:id="41"/>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Start w:id="42" w:name="_Toc51746099"/>
      <w:r>
        <w:rPr>
          <w:rFonts w:hint="eastAsia" w:ascii="宋体" w:hAnsi="宋体" w:cs="宋体"/>
          <w:b/>
          <w:color w:val="000000" w:themeColor="text1"/>
          <w:sz w:val="24"/>
          <w:lang w:val="zh-CN"/>
          <w14:textFill>
            <w14:solidFill>
              <w14:schemeClr w14:val="tx1"/>
            </w14:solidFill>
          </w14:textFill>
        </w:rPr>
        <w:t>项目概况</w:t>
      </w:r>
    </w:p>
    <w:bookmarkEnd w:id="42"/>
    <w:p>
      <w:pPr>
        <w:pStyle w:val="10"/>
        <w:spacing w:after="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做好前海大开发大建设大发展的历史记录，全面、系统、准确、客观反映前海深港合作区和前海蛇口自贸片区的工作和成就，综合办公室于2018年4月启动前海年鉴编纂工作。为持续做好前海年鉴相关工作，综合办公室拟启动《前海年鉴2026》编纂工作。依据《地方志工作条例》等精神要求申报立项，2026年工作任务为按照中国地方志指导小组《地方综合年鉴编纂出版规定》《地方志书质量规定》要求，坚持志体，以志为主，合理运用述、记、志、传、图、表、录等体裁</w:t>
      </w:r>
      <w:r>
        <w:rPr>
          <w:rFonts w:ascii="宋体" w:hAnsi="宋体" w:cs="宋体"/>
          <w:color w:val="000000" w:themeColor="text1"/>
          <w14:textFill>
            <w14:solidFill>
              <w14:schemeClr w14:val="tx1"/>
            </w14:solidFill>
          </w14:textFill>
        </w:rPr>
        <w:t>，辅助整理</w:t>
      </w:r>
      <w:r>
        <w:rPr>
          <w:rFonts w:hint="eastAsia" w:ascii="宋体" w:hAnsi="宋体" w:cs="宋体"/>
          <w:color w:val="000000" w:themeColor="text1"/>
          <w14:textFill>
            <w14:solidFill>
              <w14:schemeClr w14:val="tx1"/>
            </w14:solidFill>
          </w14:textFill>
        </w:rPr>
        <w:t>《前海年鉴2026》</w:t>
      </w:r>
      <w:r>
        <w:rPr>
          <w:rFonts w:ascii="宋体" w:hAnsi="宋体" w:cs="宋体"/>
          <w:color w:val="000000" w:themeColor="text1"/>
          <w14:textFill>
            <w14:solidFill>
              <w14:schemeClr w14:val="tx1"/>
            </w14:solidFill>
          </w14:textFill>
        </w:rPr>
        <w:t>项目</w:t>
      </w:r>
      <w:r>
        <w:rPr>
          <w:rFonts w:hint="eastAsia" w:ascii="宋体" w:hAnsi="宋体" w:cs="宋体"/>
          <w:color w:val="000000" w:themeColor="text1"/>
          <w14:textFill>
            <w14:solidFill>
              <w14:schemeClr w14:val="tx1"/>
            </w14:solidFill>
          </w14:textFill>
        </w:rPr>
        <w:t>，确保符合年鉴的专业性、规范性</w:t>
      </w:r>
      <w:r>
        <w:rPr>
          <w:rFonts w:ascii="宋体" w:hAnsi="宋体" w:cs="宋体"/>
          <w:color w:val="000000" w:themeColor="text1"/>
          <w14:textFill>
            <w14:solidFill>
              <w14:schemeClr w14:val="tx1"/>
            </w14:solidFill>
          </w14:textFill>
        </w:rPr>
        <w:t>，并完成</w:t>
      </w:r>
      <w:r>
        <w:rPr>
          <w:rFonts w:hint="eastAsia" w:ascii="宋体" w:hAnsi="宋体" w:cs="宋体"/>
          <w:color w:val="000000" w:themeColor="text1"/>
          <w14:textFill>
            <w14:solidFill>
              <w14:schemeClr w14:val="tx1"/>
            </w14:solidFill>
          </w14:textFill>
        </w:rPr>
        <w:t>排版设计</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印刷</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出版</w:t>
      </w:r>
      <w:r>
        <w:rPr>
          <w:rFonts w:ascii="宋体" w:hAnsi="宋体" w:cs="宋体"/>
          <w:color w:val="000000" w:themeColor="text1"/>
          <w14:textFill>
            <w14:solidFill>
              <w14:schemeClr w14:val="tx1"/>
            </w14:solidFill>
          </w14:textFill>
        </w:rPr>
        <w:t>管理等</w:t>
      </w:r>
      <w:r>
        <w:rPr>
          <w:rFonts w:hint="eastAsia" w:ascii="宋体" w:hAnsi="宋体" w:cs="宋体"/>
          <w:color w:val="000000" w:themeColor="text1"/>
          <w14:textFill>
            <w14:solidFill>
              <w14:schemeClr w14:val="tx1"/>
            </w14:solidFill>
          </w14:textFill>
        </w:rPr>
        <w:t>。财政预算安排的资金主要用于</w:t>
      </w:r>
      <w:r>
        <w:rPr>
          <w:rFonts w:ascii="宋体" w:hAnsi="宋体" w:cs="宋体"/>
          <w:color w:val="000000" w:themeColor="text1"/>
          <w14:textFill>
            <w14:solidFill>
              <w14:schemeClr w14:val="tx1"/>
            </w14:solidFill>
          </w14:textFill>
        </w:rPr>
        <w:t>志书体例整理、设计、</w:t>
      </w:r>
      <w:r>
        <w:rPr>
          <w:rFonts w:hint="eastAsia" w:ascii="宋体" w:hAnsi="宋体" w:cs="宋体"/>
          <w:color w:val="000000" w:themeColor="text1"/>
          <w14:textFill>
            <w14:solidFill>
              <w14:schemeClr w14:val="tx1"/>
            </w14:solidFill>
          </w14:textFill>
        </w:rPr>
        <w:t>印刷、出版管理、出版审核等事项。</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二、工作目标</w:t>
      </w:r>
    </w:p>
    <w:p>
      <w:pPr>
        <w:pStyle w:val="10"/>
        <w:spacing w:after="0" w:line="360" w:lineRule="auto"/>
        <w:ind w:firstLine="480" w:firstLineChars="200"/>
        <w:rPr>
          <w:color w:val="000000" w:themeColor="text1"/>
          <w14:textFill>
            <w14:solidFill>
              <w14:schemeClr w14:val="tx1"/>
            </w14:solidFill>
          </w14:textFill>
        </w:rPr>
      </w:pPr>
      <w:bookmarkStart w:id="43" w:name="_Toc3457"/>
      <w:bookmarkStart w:id="44" w:name="_Toc226187701"/>
      <w:bookmarkStart w:id="45" w:name="_Toc30370"/>
      <w:r>
        <w:rPr>
          <w:rFonts w:hint="eastAsia" w:ascii="宋体" w:hAnsi="宋体" w:cs="宋体"/>
          <w:color w:val="000000" w:themeColor="text1"/>
          <w14:textFill>
            <w14:solidFill>
              <w14:schemeClr w14:val="tx1"/>
            </w14:solidFill>
          </w14:textFill>
        </w:rPr>
        <w:t>编纂出版一部政治正确、符合年鉴体例、行文规范的公开出版年鉴，增加社会各界对前海发展的了解。</w:t>
      </w:r>
      <w:bookmarkEnd w:id="43"/>
      <w:bookmarkEnd w:id="44"/>
      <w:bookmarkEnd w:id="45"/>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三、工作内容</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bookmarkStart w:id="46" w:name="OLE_LINK4"/>
      <w:r>
        <w:rPr>
          <w:rFonts w:hint="eastAsia" w:ascii="宋体" w:hAnsi="宋体" w:cs="宋体"/>
          <w:bCs/>
          <w:color w:val="000000" w:themeColor="text1"/>
          <w:sz w:val="24"/>
          <w14:textFill>
            <w14:solidFill>
              <w14:schemeClr w14:val="tx1"/>
            </w14:solidFill>
          </w14:textFill>
        </w:rPr>
        <w:t>（一）</w:t>
      </w:r>
      <w:bookmarkEnd w:id="46"/>
      <w:r>
        <w:rPr>
          <w:rFonts w:hint="eastAsia" w:ascii="宋体" w:hAnsi="宋体" w:cs="宋体"/>
          <w:bCs/>
          <w:color w:val="000000" w:themeColor="text1"/>
          <w:sz w:val="24"/>
          <w14:textFill>
            <w14:solidFill>
              <w14:schemeClr w14:val="tx1"/>
            </w14:solidFill>
          </w14:textFill>
        </w:rPr>
        <w:t>本项目研究工作至少应包含以下主要内容：</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1.现状调查及问题分析</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深入调研、实地考察等方式，全面了解研究前海合作区党工委、前海蛇口自贸片区管委会、前海管理局及各驻区单位，以及新扩区范围相关内容等资料；梳理总结出涵盖政治、经济、社会、文化、环境及新城建设等内容的前海年鉴。</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2.规划解读及功能分析</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3.需求预测</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4.规划思路及策略</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结合功能定位分析及前海2025年实际情况拟定具有深度和前言特色的篇目大纲。</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5.重要节点详细规划方案</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6.实施计划建议</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（二）技术要求</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1.项目成果要严格依照国家颁布的有关法律、法规及政策要求，符合相关的技术规范和标准；</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2.研究过程中应当进行深入调查研究，把握前海2025年政治、经济、社会、文化、环境及新城建设相关信息和基础资料；</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3.研究工作开展之前应针对研究内容描述对项目的理解和要求的认识，剖析项目的难点和重点，制定完成研究任务的相应对策；</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4.研究工作应遵循思路开阔、方法科学、手段先进、观点明确、结论可操作性强等原则；</w:t>
      </w:r>
    </w:p>
    <w:p>
      <w:pPr>
        <w:pStyle w:val="33"/>
        <w:tabs>
          <w:tab w:val="left" w:pos="720"/>
        </w:tabs>
        <w:autoSpaceDE w:val="0"/>
        <w:autoSpaceDN w:val="0"/>
        <w:adjustRightInd w:val="0"/>
        <w:spacing w:line="360" w:lineRule="auto"/>
        <w:ind w:right="17" w:firstLine="480"/>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5.《前海年鉴2026》应做到文字流畅、思路清晰、逻辑性强、数据详实可靠、图表规范清晰。</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w:t>
      </w:r>
      <w:r>
        <w:rPr>
          <w:rFonts w:hint="eastAsia" w:ascii="宋体" w:hAnsi="宋体" w:cs="宋体"/>
          <w:b/>
          <w:bCs/>
          <w:color w:val="000000" w:themeColor="text1"/>
          <w:sz w:val="24"/>
          <w14:textFill>
            <w14:solidFill>
              <w14:schemeClr w14:val="tx1"/>
            </w14:solidFill>
          </w14:textFill>
        </w:rPr>
        <w:t>成果内容及验收方式</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bookmarkStart w:id="47" w:name="OLE_LINK5"/>
      <w:r>
        <w:rPr>
          <w:rFonts w:hint="eastAsia" w:ascii="宋体" w:hAnsi="宋体" w:cs="宋体"/>
          <w:bCs/>
          <w:color w:val="000000" w:themeColor="text1"/>
          <w:sz w:val="24"/>
          <w14:textFill>
            <w14:solidFill>
              <w14:schemeClr w14:val="tx1"/>
            </w14:solidFill>
          </w14:textFill>
        </w:rPr>
        <w:t>（一）</w:t>
      </w:r>
      <w:bookmarkEnd w:id="47"/>
      <w:r>
        <w:rPr>
          <w:rFonts w:hint="eastAsia" w:ascii="宋体" w:hAnsi="宋体" w:cs="宋体"/>
          <w:bCs/>
          <w:color w:val="000000" w:themeColor="text1"/>
          <w:sz w:val="24"/>
          <w14:textFill>
            <w14:solidFill>
              <w14:schemeClr w14:val="tx1"/>
            </w14:solidFill>
          </w14:textFill>
        </w:rPr>
        <w:t>成果内容</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成果需满足国家颁布的有关法律、法规及政策要求，符合相关的技术规范和标准，提交的成果包括：编纂形成《前海年鉴2026》精装书100本：规格为 16 开。（889mm 高 X 1194mm 宽）。</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（二）验收方式</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最终成果由采购人审查通过。</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w:t>
      </w:r>
      <w:bookmarkStart w:id="48" w:name="OLE_LINK7"/>
      <w:r>
        <w:rPr>
          <w:rFonts w:hint="eastAsia" w:ascii="宋体" w:hAnsi="宋体" w:cs="宋体"/>
          <w:b/>
          <w:color w:val="000000" w:themeColor="text1"/>
          <w:sz w:val="24"/>
          <w14:textFill>
            <w14:solidFill>
              <w14:schemeClr w14:val="tx1"/>
            </w14:solidFill>
          </w14:textFill>
        </w:rPr>
        <w:t>项目管理</w:t>
      </w:r>
      <w:bookmarkEnd w:id="48"/>
      <w:r>
        <w:rPr>
          <w:rFonts w:hint="eastAsia" w:ascii="宋体" w:hAnsi="宋体" w:cs="宋体"/>
          <w:b/>
          <w:color w:val="000000" w:themeColor="text1"/>
          <w:sz w:val="24"/>
          <w14:textFill>
            <w14:solidFill>
              <w14:schemeClr w14:val="tx1"/>
            </w14:solidFill>
          </w14:textFill>
        </w:rPr>
        <w:t>及</w:t>
      </w:r>
      <w:bookmarkStart w:id="49" w:name="OLE_LINK8"/>
      <w:r>
        <w:rPr>
          <w:rFonts w:hint="eastAsia" w:ascii="宋体" w:hAnsi="宋体" w:cs="宋体"/>
          <w:b/>
          <w:color w:val="000000" w:themeColor="text1"/>
          <w:sz w:val="24"/>
          <w14:textFill>
            <w14:solidFill>
              <w14:schemeClr w14:val="tx1"/>
            </w14:solidFill>
          </w14:textFill>
        </w:rPr>
        <w:t>进度要求</w:t>
      </w:r>
      <w:bookmarkEnd w:id="49"/>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（一）项目管理</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为确保本次项目投标工作管理规范、实施有力，投标方应成立项目组，按采购人要求完成研究成果。</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（二）进度要求</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自合同签订之日</w:t>
      </w:r>
      <w:r>
        <w:rPr>
          <w:rFonts w:ascii="宋体" w:hAnsi="宋体" w:cs="宋体"/>
          <w:bCs/>
          <w:color w:val="000000" w:themeColor="text1"/>
          <w:sz w:val="24"/>
          <w14:textFill>
            <w14:solidFill>
              <w14:schemeClr w14:val="tx1"/>
            </w14:solidFill>
          </w14:textFill>
        </w:rPr>
        <w:t>起</w:t>
      </w:r>
      <w:r>
        <w:rPr>
          <w:rFonts w:hint="eastAsia" w:ascii="宋体" w:hAnsi="宋体" w:cs="宋体"/>
          <w:bCs/>
          <w:color w:val="000000" w:themeColor="text1"/>
          <w:sz w:val="24"/>
          <w14:textFill>
            <w14:solidFill>
              <w14:schemeClr w14:val="tx1"/>
            </w14:solidFill>
          </w14:textFill>
        </w:rPr>
        <w:t>至2026</w:t>
      </w:r>
      <w:r>
        <w:rPr>
          <w:rFonts w:ascii="宋体" w:hAnsi="宋体" w:cs="宋体"/>
          <w:bCs/>
          <w:color w:val="000000" w:themeColor="text1"/>
          <w:sz w:val="24"/>
          <w14:textFill>
            <w14:solidFill>
              <w14:schemeClr w14:val="tx1"/>
            </w14:solidFill>
          </w14:textFill>
        </w:rPr>
        <w:t>年11月30日</w:t>
      </w:r>
      <w:r>
        <w:rPr>
          <w:rFonts w:hint="eastAsia" w:ascii="宋体" w:hAnsi="宋体" w:cs="宋体"/>
          <w:color w:val="000000" w:themeColor="text1"/>
          <w:sz w:val="24"/>
          <w14:textFill>
            <w14:solidFill>
              <w14:schemeClr w14:val="tx1"/>
            </w14:solidFill>
          </w14:textFill>
        </w:rPr>
        <w:t>：</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1.中标方应在签署合同后向采购方提交工作方案，采购方将修改意见反馈给中标方后，中标方须依据修改意见认真修改、补充。</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2.中标方应在工作方案定稿后尽快向采购方进行初步成果汇报，中标方须根据初步成果审查意见认真总结、修改、补充、完善初步成果。</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3.中标方应在初步成果定稿后尽快向采购方提交项目的中间成果，征求各相关部门的意见，并依据中间成果审查意见对项目成果进行补充、修改和完善。</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4.中标方应在中间成果定稿后尽快协助采购方开展并通过项目专家评审会审查，并根据专家意见会审查意见进行修改完善，按合同要求提交最终成果。</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六、项目人员安排要求</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（一）投标方拟投入本项目的项目负责人及项目团队成员应具有相关工作经验，其职称、学位、获奖、资历等相关情况将作为评分的重要因素。</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w:t>
      </w:r>
      <w:bookmarkStart w:id="50" w:name="OLE_LINK22"/>
      <w:r>
        <w:rPr>
          <w:rFonts w:hint="eastAsia" w:ascii="宋体" w:hAnsi="宋体" w:cs="宋体"/>
          <w:bCs/>
          <w:color w:val="000000" w:themeColor="text1"/>
          <w:sz w:val="24"/>
          <w14:textFill>
            <w14:solidFill>
              <w14:schemeClr w14:val="tx1"/>
            </w14:solidFill>
          </w14:textFill>
        </w:rPr>
        <w:t>中标方</w:t>
      </w:r>
      <w:bookmarkEnd w:id="50"/>
      <w:r>
        <w:rPr>
          <w:rFonts w:hint="eastAsia" w:ascii="宋体" w:hAnsi="宋体" w:cs="宋体"/>
          <w:bCs/>
          <w:color w:val="000000" w:themeColor="text1"/>
          <w:sz w:val="24"/>
          <w14:textFill>
            <w14:solidFill>
              <w14:schemeClr w14:val="tx1"/>
            </w14:solidFill>
          </w14:textFill>
        </w:rPr>
        <w:t>不得随意更换项目负责人和项目组成员，中标方需要变更团队成员的，</w:t>
      </w:r>
      <w:bookmarkStart w:id="51" w:name="OLE_LINK23"/>
      <w:r>
        <w:rPr>
          <w:rFonts w:hint="eastAsia" w:ascii="宋体" w:hAnsi="宋体" w:cs="宋体"/>
          <w:bCs/>
          <w:color w:val="000000" w:themeColor="text1"/>
          <w:sz w:val="24"/>
          <w14:textFill>
            <w14:solidFill>
              <w14:schemeClr w14:val="tx1"/>
            </w14:solidFill>
          </w14:textFill>
        </w:rPr>
        <w:t>应至少提前30天</w:t>
      </w:r>
      <w:bookmarkEnd w:id="51"/>
      <w:r>
        <w:rPr>
          <w:rFonts w:hint="eastAsia" w:ascii="宋体" w:hAnsi="宋体" w:cs="宋体"/>
          <w:bCs/>
          <w:color w:val="000000" w:themeColor="text1"/>
          <w:sz w:val="24"/>
          <w14:textFill>
            <w14:solidFill>
              <w14:schemeClr w14:val="tx1"/>
            </w14:solidFill>
          </w14:textFill>
        </w:rPr>
        <w:t>书面征得采购人同意，并提供变更后团队成员的资质和经验证明，需要与原团队成员资质一致。</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七、后续服务：</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bookmarkStart w:id="52" w:name="OLE_LINK12"/>
      <w:bookmarkStart w:id="53" w:name="OLE_LINK36"/>
      <w:r>
        <w:rPr>
          <w:rFonts w:hint="eastAsia" w:ascii="宋体" w:hAnsi="宋体" w:cs="宋体"/>
          <w:bCs/>
          <w:color w:val="000000" w:themeColor="text1"/>
          <w:sz w:val="24"/>
          <w14:textFill>
            <w14:solidFill>
              <w14:schemeClr w14:val="tx1"/>
            </w14:solidFill>
          </w14:textFill>
        </w:rPr>
        <w:t>（一）</w:t>
      </w:r>
      <w:bookmarkEnd w:id="52"/>
      <w:bookmarkStart w:id="54" w:name="OLE_LINK35"/>
      <w:r>
        <w:rPr>
          <w:rFonts w:hint="eastAsia" w:ascii="宋体" w:hAnsi="宋体" w:cs="宋体"/>
          <w:bCs/>
          <w:color w:val="000000" w:themeColor="text1"/>
          <w:sz w:val="24"/>
          <w14:textFill>
            <w14:solidFill>
              <w14:schemeClr w14:val="tx1"/>
            </w14:solidFill>
          </w14:textFill>
        </w:rPr>
        <w:t>后续</w:t>
      </w:r>
      <w:bookmarkEnd w:id="54"/>
      <w:r>
        <w:rPr>
          <w:rFonts w:hint="eastAsia" w:ascii="宋体" w:hAnsi="宋体" w:cs="宋体"/>
          <w:bCs/>
          <w:color w:val="000000" w:themeColor="text1"/>
          <w:sz w:val="24"/>
          <w14:textFill>
            <w14:solidFill>
              <w14:schemeClr w14:val="tx1"/>
            </w14:solidFill>
          </w14:textFill>
        </w:rPr>
        <w:t>服务内容</w:t>
      </w:r>
      <w:bookmarkStart w:id="55" w:name="OLE_LINK33"/>
      <w:r>
        <w:rPr>
          <w:rFonts w:hint="eastAsia" w:ascii="宋体" w:hAnsi="宋体" w:cs="宋体"/>
          <w:bCs/>
          <w:color w:val="000000" w:themeColor="text1"/>
          <w:sz w:val="24"/>
          <w14:textFill>
            <w14:solidFill>
              <w14:schemeClr w14:val="tx1"/>
            </w14:solidFill>
          </w14:textFill>
        </w:rPr>
        <w:t>：</w:t>
      </w:r>
      <w:bookmarkEnd w:id="55"/>
      <w:r>
        <w:rPr>
          <w:rFonts w:hint="eastAsia" w:ascii="宋体" w:hAnsi="宋体" w:cs="宋体"/>
          <w:bCs/>
          <w:color w:val="000000" w:themeColor="text1"/>
          <w:sz w:val="24"/>
          <w14:textFill>
            <w14:solidFill>
              <w14:schemeClr w14:val="tx1"/>
            </w14:solidFill>
          </w14:textFill>
        </w:rPr>
        <w:t>在后续服务期限内提供相关技术支持。</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bookmarkStart w:id="56" w:name="OLE_LINK34"/>
      <w:r>
        <w:rPr>
          <w:rFonts w:hint="eastAsia" w:ascii="宋体" w:hAnsi="宋体" w:cs="宋体"/>
          <w:bCs/>
          <w:color w:val="000000" w:themeColor="text1"/>
          <w:sz w:val="24"/>
          <w14:textFill>
            <w14:solidFill>
              <w14:schemeClr w14:val="tx1"/>
            </w14:solidFill>
          </w14:textFill>
        </w:rPr>
        <w:t>（二）</w:t>
      </w:r>
      <w:bookmarkEnd w:id="56"/>
      <w:r>
        <w:rPr>
          <w:rFonts w:hint="eastAsia" w:ascii="宋体" w:hAnsi="宋体" w:cs="宋体"/>
          <w:bCs/>
          <w:color w:val="000000" w:themeColor="text1"/>
          <w:sz w:val="24"/>
          <w14:textFill>
            <w14:solidFill>
              <w14:schemeClr w14:val="tx1"/>
            </w14:solidFill>
          </w14:textFill>
        </w:rPr>
        <w:t>后续服务要求：安排专人负责售后技术支持，并提供其联系手机、电话、微信、Email；如人员需要调整应及时通知采购人；按采购人要求完成后续服务。</w:t>
      </w:r>
    </w:p>
    <w:p>
      <w:pPr>
        <w:pStyle w:val="33"/>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（三）后续服务期限：后续服务期限为中标人完成项目成果之日起的1年，后续服务期内，中标人须与采购人保持全面沟通，协助采购人完成各种后续审计、评估等工作</w:t>
      </w:r>
      <w:bookmarkEnd w:id="53"/>
      <w:r>
        <w:rPr>
          <w:rFonts w:hint="eastAsia" w:ascii="宋体" w:hAnsi="宋体" w:cs="宋体"/>
          <w:bCs/>
          <w:color w:val="000000" w:themeColor="text1"/>
          <w:sz w:val="24"/>
          <w14:textFill>
            <w14:solidFill>
              <w14:schemeClr w14:val="tx1"/>
            </w14:solidFill>
          </w14:textFill>
        </w:rPr>
        <w:t>。</w:t>
      </w:r>
    </w:p>
    <w:p>
      <w:pPr>
        <w:pStyle w:val="33"/>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八、商务要求</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bookmarkStart w:id="57" w:name="_Toc6017"/>
      <w:bookmarkStart w:id="58" w:name="_Toc16195"/>
      <w:r>
        <w:rPr>
          <w:rFonts w:hint="eastAsia" w:ascii="宋体" w:hAnsi="宋体" w:cs="宋体"/>
          <w:b/>
          <w:bCs/>
          <w:color w:val="000000" w:themeColor="text1"/>
          <w:sz w:val="24"/>
          <w14:textFill>
            <w14:solidFill>
              <w14:schemeClr w14:val="tx1"/>
            </w14:solidFill>
          </w14:textFill>
        </w:rPr>
        <w:t>（一）服务期限</w:t>
      </w:r>
      <w:bookmarkEnd w:id="57"/>
      <w:bookmarkEnd w:id="58"/>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自合同签订之日起至2026年11月30日。</w:t>
      </w:r>
    </w:p>
    <w:p>
      <w:pPr>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bookmarkStart w:id="59" w:name="_Toc10463"/>
      <w:bookmarkStart w:id="60" w:name="_Toc15471"/>
      <w:r>
        <w:rPr>
          <w:rFonts w:hint="eastAsia" w:ascii="宋体" w:hAnsi="宋体" w:cs="宋体"/>
          <w:b/>
          <w:bCs/>
          <w:color w:val="000000" w:themeColor="text1"/>
          <w:sz w:val="24"/>
          <w14:textFill>
            <w14:solidFill>
              <w14:schemeClr w14:val="tx1"/>
            </w14:solidFill>
          </w14:textFill>
        </w:rPr>
        <w:t>（二）服务地点</w:t>
      </w:r>
      <w:bookmarkEnd w:id="59"/>
      <w:bookmarkEnd w:id="60"/>
    </w:p>
    <w:p>
      <w:pPr>
        <w:autoSpaceDE w:val="0"/>
        <w:autoSpaceDN w:val="0"/>
        <w:adjustRightInd w:val="0"/>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签订的合同金额。投标人的报价不可高于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人员费用及成果制作费、专家咨询费/评审费、车辆使用费、办公场所租赁费、差旅费、管理费、税费等。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1.项目资金由采购人分2期支付至中标人指定银行账户：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1.1.第一期：合同签订后，根据中标人提出的付款申请，采购人在15个工作日内支付合同总额的50%；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1.2.第二期：在中标人提交通过审查的成果并经采购人验收通过后，根据中标人提出的付款申请，采购人在15个工作日内支付合同总额的50%。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付款审批影响支付进度，请</w:t>
      </w:r>
      <w:r>
        <w:rPr>
          <w:rFonts w:ascii="宋体" w:hAnsi="宋体" w:cs="宋体"/>
          <w:color w:val="000000" w:themeColor="text1"/>
          <w:sz w:val="24"/>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予以谅解，并不得就此向</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1.本项目全部阶段性成果和最终成果的所有权、知识产权以及与之相关的所有权利归采购方所有。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5.中标单位完成本合同项目的研究开发人员享有在有关成果文件上写明成果完成者的权利和与采购方共同获得有关荣誉证书、奖励的权利。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3.中标单位实施项目的程序应符合国家安全、保密的有关规定和标准。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6.无论本项目其他条款是否有效，本保密条款始终约束双方。国家秘密的保密期限由国家有关部门确定，工作秘密的保密期限由采购人确定。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1.因中标单位原因，未能按规定时间完成有关工作的，每延误一天，采购方自尚未支付的合同款项中扣除合同服务总金额的5‰的逾期违约金。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2.如中标单位提供的服务或成果不符合质量要求，必须在采购方提出要求后7个日历日内无条件修改，其费用由中标单位承担。</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3.本合同履行期间，发生下述情形时，采购方有权解除本合同，中标单位除应退还采购方已支付的全部款项外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还应在合同解除通知发出之日起10日内向采购方支付合同总价款20%的违约金。中标单位应同时将已完成的项目成果移交给采购方，并将全部有关资料退还采购方：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(1)因中标单位工作的错误或遗漏造成成果质量不符合本合同要求，且中标单位未按采购方要求采取及时有效的补救措施的；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(2)中标单位未能按合同约定的日期(含协商延缓的日期)提交工作成果，延误时间超过30个工作日；或中标单位虽如期提交阶段性成果和最终成果，但最终成果连续二次未能通过评审验收的；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(3)发现中标单位或中标单位工作人员出现全部或部分丧失履行委托服务能力的情况，采购方有权通知中标单位限期整改或更换工作人员，期限届满中标单位并未进行改善的；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(4)未经采购单位书面在先同意，中标单位擅自将本合同项目与任何第三方合作，或将本合同标的全部或部分擅自转包给任何第三方，且未按采购单位的要求终止与第三方的合同的；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（5）中标单位明确表示或者以自己的行为表明不履行本合同的。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bookmarkStart w:id="61" w:name="OLE_LINK13"/>
      <w:r>
        <w:rPr>
          <w:rFonts w:hint="eastAsia" w:ascii="宋体" w:hAnsi="宋体" w:cs="宋体"/>
          <w:b/>
          <w:bCs/>
          <w:color w:val="000000" w:themeColor="text1"/>
          <w:sz w:val="24"/>
          <w14:textFill>
            <w14:solidFill>
              <w14:schemeClr w14:val="tx1"/>
            </w14:solidFill>
          </w14:textFill>
        </w:rPr>
        <w:t>（八）</w:t>
      </w:r>
      <w:bookmarkEnd w:id="61"/>
      <w:r>
        <w:rPr>
          <w:rFonts w:hint="eastAsia" w:ascii="宋体" w:hAnsi="宋体" w:cs="宋体"/>
          <w:b/>
          <w:bCs/>
          <w:color w:val="000000" w:themeColor="text1"/>
          <w:sz w:val="24"/>
          <w14:textFill>
            <w14:solidFill>
              <w14:schemeClr w14:val="tx1"/>
            </w14:solidFill>
          </w14:textFill>
        </w:rPr>
        <w:t>争议解决方式</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因合同的履行发生的或与合同有关的争议或纠纷，由双方协商解决，协商不成的，任意一方有权向深圳前海合作区人民法院提起诉讼。</w:t>
      </w:r>
    </w:p>
    <w:p>
      <w:pPr>
        <w:widowControl/>
        <w:numPr>
          <w:ilvl w:val="0"/>
          <w:numId w:val="7"/>
        </w:numPr>
        <w:ind w:firstLine="482" w:firstLineChars="200"/>
        <w:jc w:val="left"/>
        <w:rPr>
          <w:rFonts w:hint="eastAsia" w:ascii="宋体" w:hAnsi="宋体" w:cs="宋体"/>
          <w:b/>
          <w:bCs/>
          <w:color w:val="000000" w:themeColor="text1"/>
          <w:sz w:val="24"/>
          <w14:textFill>
            <w14:solidFill>
              <w14:schemeClr w14:val="tx1"/>
            </w14:solidFill>
          </w14:textFill>
        </w:rPr>
      </w:pPr>
      <w:bookmarkStart w:id="62" w:name="OLE_LINK17"/>
      <w:r>
        <w:rPr>
          <w:rFonts w:hint="eastAsia" w:ascii="宋体" w:hAnsi="宋体" w:cs="宋体"/>
          <w:b/>
          <w:bCs/>
          <w:color w:val="000000" w:themeColor="text1"/>
          <w:sz w:val="24"/>
          <w14:textFill>
            <w14:solidFill>
              <w14:schemeClr w14:val="tx1"/>
            </w14:solidFill>
          </w14:textFill>
        </w:rPr>
        <w:t>项目其他要求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1.投标方应确保投标文件中的人员信息真实、有效。</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2.本次研究所需的一切相关资料及评价标准等均需由投标人自行收集，投标人使用的标准必须是国际公认或国家、地方政府颁布的同等或更高的标准。</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3.成果文件须不迟于采购单位指定的成果文件提交时间。</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.与本项目相关的技术成果知识产权归采购单位单方所有，未经采购单位允许，中标方不得以任何形式公开相关成果内容。</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bookmarkStart w:id="63" w:name="OLE_LINK21"/>
      <w:r>
        <w:rPr>
          <w:rFonts w:hint="eastAsia" w:ascii="宋体" w:hAnsi="宋体" w:cs="宋体"/>
          <w:color w:val="000000" w:themeColor="text1"/>
          <w:sz w:val="24"/>
          <w14:textFill>
            <w14:solidFill>
              <w14:schemeClr w14:val="tx1"/>
            </w14:solidFill>
          </w14:textFill>
        </w:rPr>
        <w:t>采购单位有权根据实际需要对成果进行综合优化、调整和修改</w:t>
      </w:r>
      <w:bookmarkEnd w:id="63"/>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6.中标方不得以任何名义分包本项目工作中的主体工作内容。</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7.年鉴成果经过最终审查并结题后，采购人将组织召开项目绩效专家评审会，所需</w:t>
      </w:r>
      <w:bookmarkStart w:id="64" w:name="OLE_LINK15"/>
      <w:r>
        <w:rPr>
          <w:rFonts w:hint="eastAsia" w:ascii="宋体" w:hAnsi="宋体" w:cs="宋体"/>
          <w:color w:val="000000" w:themeColor="text1"/>
          <w:sz w:val="24"/>
          <w14:textFill>
            <w14:solidFill>
              <w14:schemeClr w14:val="tx1"/>
            </w14:solidFill>
          </w14:textFill>
        </w:rPr>
        <w:t>专家评审费</w:t>
      </w:r>
      <w:bookmarkEnd w:id="64"/>
      <w:r>
        <w:rPr>
          <w:rFonts w:hint="eastAsia" w:ascii="宋体" w:hAnsi="宋体" w:cs="宋体"/>
          <w:color w:val="000000" w:themeColor="text1"/>
          <w:sz w:val="24"/>
          <w14:textFill>
            <w14:solidFill>
              <w14:schemeClr w14:val="tx1"/>
            </w14:solidFill>
          </w14:textFill>
        </w:rPr>
        <w:t>等会务相关经费包含在项目总费用中。</w:t>
      </w:r>
      <w:bookmarkEnd w:id="62"/>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65" w:name="_Toc23822"/>
      <w:r>
        <w:rPr>
          <w:rFonts w:hint="eastAsia" w:ascii="宋体" w:cs="宋体"/>
          <w:b/>
          <w:bCs/>
          <w:color w:val="000000" w:themeColor="text1"/>
          <w:sz w:val="24"/>
          <w14:textFill>
            <w14:solidFill>
              <w14:schemeClr w14:val="tx1"/>
            </w14:solidFill>
          </w14:textFill>
        </w:rPr>
        <w:t>第六章 投标文件初审及招标项目评分表</w:t>
      </w:r>
      <w:bookmarkEnd w:id="65"/>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5"/>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92" w:type="dxa"/>
            <w:vAlign w:val="center"/>
          </w:tcPr>
          <w:p>
            <w:pPr>
              <w:pStyle w:val="9"/>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9"/>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8"/>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8"/>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3.关于享受对本国产品的政府采购支持政策的主体、价格扣除比例等事项的说明。</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3.1适用主体：国有企业、民营企业、外资企业等各类经营主体平等享受对本国产品的政府采购支持政策。</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3.4供应商出具符合要求的《关于符合本国产品标准的声明函》或财政部会同有关部门规定的有关证明文件，该产品视为本国产品。声明函样式见投标文件格式。</w:t>
            </w:r>
          </w:p>
          <w:p>
            <w:pPr>
              <w:spacing w:line="360" w:lineRule="auto"/>
              <w:ind w:left="2"/>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4.关于同时满足中小企业扶持政策和对本国产品的支持政策的事项说明。</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20%-100×10%=70元。具体情形如下：</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5.上述支持政策不改变最终中标（成交）价格，政府采购合同仍按照中标（成交）供应商的报价签订</w:t>
            </w:r>
            <w:r>
              <w:rPr>
                <w:rFonts w:hint="eastAsia" w:ascii="宋体" w:hAnsi="宋体" w:cs="宋体"/>
                <w:bCs/>
                <w:color w:val="000000" w:themeColor="text1"/>
                <w:sz w:val="24"/>
                <w14:textFill>
                  <w14:solidFill>
                    <w14:schemeClr w14:val="tx1"/>
                  </w14:solidFill>
                </w14:textFill>
              </w:rPr>
              <w:t>。</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70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w:t>
            </w:r>
          </w:p>
        </w:tc>
        <w:tc>
          <w:tcPr>
            <w:tcW w:w="5992"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提供自2020年1月1日起（以合同签订时间为准）至本项目投标截止之日止投标人参与史志年鉴有关编纂业绩（含部门年鉴、专业年鉴、口述史、纪实文章、书籍刊物等任一类型），每提供一项得3分，最高得15分。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提供同类业绩中标通知书和合同关键页（包括但不限于：合同内容页、双方签字盖章页、签订时间页等）扫描件，</w:t>
            </w:r>
            <w:r>
              <w:rPr>
                <w:rFonts w:hint="eastAsia" w:ascii="宋体" w:hAnsi="宋体" w:cs="宋体"/>
                <w:color w:val="000000" w:themeColor="text1"/>
                <w:kern w:val="0"/>
                <w:sz w:val="24"/>
                <w14:textFill>
                  <w14:solidFill>
                    <w14:schemeClr w14:val="tx1"/>
                  </w14:solidFill>
                </w14:textFill>
              </w:rPr>
              <w:t>通过合同关键信息无法判断是否得分的，也可以同时提供能证明得分的其它证明资料，如项目报告、会议纪要或合同甲方出具的证明文件等</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以上资料加盖投标人公章。未按要求提供或提供不清晰导致评审无法判断的不得分。</w:t>
            </w:r>
          </w:p>
        </w:tc>
        <w:tc>
          <w:tcPr>
            <w:tcW w:w="816" w:type="dxa"/>
            <w:vAlign w:val="center"/>
          </w:tcPr>
          <w:p>
            <w:pPr>
              <w:widowControl/>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获奖情况</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投标人参与实施的上述“同类项目业绩”中获奖情况或感谢信：获得省级</w:t>
            </w:r>
            <w:r>
              <w:rPr>
                <w:rFonts w:ascii="宋体" w:hAnsi="宋体" w:cs="宋体"/>
                <w:color w:val="000000" w:themeColor="text1"/>
                <w:sz w:val="24"/>
                <w14:textFill>
                  <w14:solidFill>
                    <w14:schemeClr w14:val="tx1"/>
                  </w14:solidFill>
                </w14:textFill>
              </w:rPr>
              <w:t>（含副省级）</w:t>
            </w:r>
            <w:r>
              <w:rPr>
                <w:rFonts w:hint="eastAsia" w:ascii="宋体" w:hAnsi="宋体" w:cs="宋体"/>
                <w:color w:val="000000" w:themeColor="text1"/>
                <w:sz w:val="24"/>
                <w14:textFill>
                  <w14:solidFill>
                    <w14:schemeClr w14:val="tx1"/>
                  </w14:solidFill>
                </w14:textFill>
              </w:rPr>
              <w:t>或以上评比荣誉奖项或感谢信的，每提供1项得4分；获得市级评比荣誉奖项或感谢信的，每提供1项得2分。（备注</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本项得分最高分为20分，若某一项目同时获得多个级别的荣誉奖项，按照最高分计取）</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提供相关证明材料，如颁奖单位出具的文件证明材料、公示公告或奖项证书等。国家级要求颁发单位为国务院（或其直接所属的行政机关）；省级</w:t>
            </w:r>
            <w:r>
              <w:rPr>
                <w:rFonts w:ascii="宋体" w:hAnsi="宋体" w:cs="宋体"/>
                <w:color w:val="000000" w:themeColor="text1"/>
                <w:sz w:val="24"/>
                <w14:textFill>
                  <w14:solidFill>
                    <w14:schemeClr w14:val="tx1"/>
                  </w14:solidFill>
                </w14:textFill>
              </w:rPr>
              <w:t>（含副省级）</w:t>
            </w:r>
            <w:r>
              <w:rPr>
                <w:rFonts w:hint="eastAsia" w:ascii="宋体" w:hAnsi="宋体" w:cs="宋体"/>
                <w:color w:val="000000" w:themeColor="text1"/>
                <w:sz w:val="24"/>
                <w14:textFill>
                  <w14:solidFill>
                    <w14:schemeClr w14:val="tx1"/>
                  </w14:solidFill>
                </w14:textFill>
              </w:rPr>
              <w:t>要求颁发单位为省（自治区、直辖市）人民政府（或其直接所属的行政机关）：市级要求颁发单位为市（地级）人民政府（或其直接所属的行政机关）。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以上资料加盖投标人公章。未按照要求提供或提供不清晰导致评分员无法判断的不得分。</w:t>
            </w:r>
          </w:p>
        </w:tc>
        <w:tc>
          <w:tcPr>
            <w:tcW w:w="816" w:type="dxa"/>
            <w:vAlign w:val="center"/>
          </w:tcPr>
          <w:p>
            <w:pPr>
              <w:widowControl/>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团队成员（含一名项目负责人）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1.项目团队成员职称情况：团队成员中具有</w:t>
            </w:r>
            <w:r>
              <w:rPr>
                <w:rFonts w:ascii="宋体" w:hAnsi="宋体" w:cs="宋体"/>
                <w:color w:val="000000" w:themeColor="text1"/>
                <w:sz w:val="24"/>
                <w14:textFill>
                  <w14:solidFill>
                    <w14:schemeClr w14:val="tx1"/>
                  </w14:solidFill>
                </w14:textFill>
              </w:rPr>
              <w:t>记者、编辑等</w:t>
            </w:r>
            <w:r>
              <w:rPr>
                <w:rFonts w:hint="eastAsia" w:ascii="宋体" w:hAnsi="宋体" w:cs="宋体"/>
                <w:color w:val="000000" w:themeColor="text1"/>
                <w:sz w:val="24"/>
                <w14:textFill>
                  <w14:solidFill>
                    <w14:schemeClr w14:val="tx1"/>
                  </w14:solidFill>
                </w14:textFill>
              </w:rPr>
              <w:t>高级</w:t>
            </w:r>
            <w:r>
              <w:rPr>
                <w:rFonts w:ascii="宋体" w:hAnsi="宋体" w:cs="宋体"/>
                <w:color w:val="000000" w:themeColor="text1"/>
                <w:sz w:val="24"/>
                <w14:textFill>
                  <w14:solidFill>
                    <w14:schemeClr w14:val="tx1"/>
                  </w14:solidFill>
                </w14:textFill>
              </w:rPr>
              <w:t>（含副高级）</w:t>
            </w:r>
            <w:r>
              <w:rPr>
                <w:rFonts w:hint="eastAsia" w:ascii="宋体" w:hAnsi="宋体" w:cs="宋体"/>
                <w:color w:val="000000" w:themeColor="text1"/>
                <w:sz w:val="24"/>
                <w14:textFill>
                  <w14:solidFill>
                    <w14:schemeClr w14:val="tx1"/>
                  </w14:solidFill>
                </w14:textFill>
              </w:rPr>
              <w:t>或以上职称，每人得5分；具有中级职称，每人得4分；具有初级职称，每人得3分。此项最高5分。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2.相关工作经历：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①具有本科或以上学历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为汉语言文学、传播学、新闻学、社会学、法学等任一相关专业的，且拥有5年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含</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或以上文字编辑工作经历的，每人得5分；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②具有本科或以上学历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为汉语言文学、传播学、新闻学、社会学、法学等任一相关专业的，且拥有3</w:t>
            </w:r>
            <w:r>
              <w:rPr>
                <w:rFonts w:hint="eastAsia" w:ascii="宋体" w:hAnsi="宋体" w:cs="宋体"/>
                <w:color w:val="000000" w:themeColor="text1"/>
                <w:sz w:val="24"/>
                <w:lang w:val="en-US" w:eastAsia="zh-CN"/>
                <w14:textFill>
                  <w14:solidFill>
                    <w14:schemeClr w14:val="tx1"/>
                  </w14:solidFill>
                </w14:textFill>
              </w:rPr>
              <w:t>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含</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5（不含）</w:t>
            </w:r>
            <w:r>
              <w:rPr>
                <w:rFonts w:hint="eastAsia" w:ascii="宋体" w:hAnsi="宋体" w:cs="宋体"/>
                <w:color w:val="000000" w:themeColor="text1"/>
                <w:sz w:val="24"/>
                <w14:textFill>
                  <w14:solidFill>
                    <w14:schemeClr w14:val="tx1"/>
                  </w14:solidFill>
                </w14:textFill>
              </w:rPr>
              <w:t>年文字编辑工作经历的，每人得3分；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③具有本科或以上学历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为汉语言文学、传播学、新闻学、社会学、法学等任一相关专业的，且拥有1</w:t>
            </w:r>
            <w:r>
              <w:rPr>
                <w:rFonts w:hint="eastAsia" w:ascii="宋体" w:hAnsi="宋体" w:cs="宋体"/>
                <w:color w:val="000000" w:themeColor="text1"/>
                <w:sz w:val="24"/>
                <w:lang w:val="en-US" w:eastAsia="zh-CN"/>
                <w14:textFill>
                  <w14:solidFill>
                    <w14:schemeClr w14:val="tx1"/>
                  </w14:solidFill>
                </w14:textFill>
              </w:rPr>
              <w:t>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含</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不含</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文字编辑工作经历的，每人得1分。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此小项最高15分。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3.学历要求：项目团队成员为汉语言文学、传播学、新闻学、社会学、法学等任一相关专业硕士研究生学历的，每提供一人得5分，为上述相关专业博士研究生或以上学历的，得10分。此项最高10分。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同一人满足上述多种条件仅得一次分数，按最优得分，不可重复得分。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1、投标文件提供项目团队成员近</w:t>
            </w:r>
            <w:r>
              <w:rPr>
                <w:rFonts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个月社保证明复印件及劳动合同，不提供不得分。如开标日上一个月的社保材料因社保部门原因暂时无法取得，则可以往前顺延一个月。原件备查。</w:t>
            </w:r>
            <w:r>
              <w:rPr>
                <w:rFonts w:hint="eastAsia"/>
                <w:color w:val="000000" w:themeColor="text1"/>
                <w:sz w:val="24"/>
                <w14:textFill>
                  <w14:solidFill>
                    <w14:schemeClr w14:val="tx1"/>
                  </w14:solidFill>
                </w14:textFill>
              </w:rPr>
              <w:t>如供应商为新成立企业且成立时间不足1个月可提供加盖公章的情况说明或者证明材料亦视为符合，</w:t>
            </w:r>
            <w:r>
              <w:rPr>
                <w:rFonts w:hint="eastAsia" w:ascii="宋体" w:hAnsi="宋体" w:cs="宋体"/>
                <w:color w:val="000000" w:themeColor="text1"/>
                <w:sz w:val="24"/>
                <w:lang w:bidi="ar"/>
                <w14:textFill>
                  <w14:solidFill>
                    <w14:schemeClr w14:val="tx1"/>
                  </w14:solidFill>
                </w14:textFill>
              </w:rPr>
              <w:t>如为退休返聘人员提供退休证明和聘用合同亦视为符合</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涉及职称的，要求投标文件提供职称证书复印件，如职称证书颁发机构为非人力资源和社会保障厅（局）的：还需提供证书官网或权威机构（如“中国社会组织公共服务平台”“中国国家认证认可监督管理委员会”等）等合法查询渠道的查询记录（原件备查），相关证书在公开渠道无法查询的，需提供具备职称颁发权限的部门或者人力资源和社会保障厅（局）的相关证明，证明证书真实有效且为合法机构颁发，原件备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涉及学历的，要求投标文件提供学历证书（毕业证书）及学信网查询记录，原件备查。学信网无法查询的，需提供其他佐证材料（如毕业院校、人社部门等颁发机构或监管机构等单位出具的证明），留学归国人员如无法提供学信网查询记录截图，提供国（境）外学历（毕业证书）和教育部留学服务中心出具的国外学历学位认证书扫描件【或教育部留学服务中心网（http://zwfw.cscse.edu.cn/）在线查询截图】也予以认可。</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4.涉及相关工作经历：投标人可用不同单位的劳动合同(体现相关工作经历的岗位)作为证明材料（工作年限可进行累计）。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5.以上资料加盖投标人公章，原件备查。未按照要求提供或提供不清晰导致评分员无法判断的不得分</w:t>
            </w:r>
            <w:r>
              <w:rPr>
                <w:rFonts w:hint="eastAsia"/>
                <w:color w:val="000000" w:themeColor="text1"/>
                <w:sz w:val="24"/>
                <w14:textFill>
                  <w14:solidFill>
                    <w14:schemeClr w14:val="tx1"/>
                  </w14:solidFill>
                </w14:textFill>
              </w:rPr>
              <w:t>。</w:t>
            </w:r>
          </w:p>
        </w:tc>
        <w:tc>
          <w:tcPr>
            <w:tcW w:w="816" w:type="dxa"/>
            <w:vAlign w:val="center"/>
          </w:tcPr>
          <w:p>
            <w:pPr>
              <w:widowControl/>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1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20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项目服务概述、应急保障措施方案</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提供本项目1.编纂出版服务方案；2.应急保障措施方案；3.全流程服务方案。</w:t>
            </w:r>
          </w:p>
          <w:p>
            <w:pPr>
              <w:spacing w:line="360" w:lineRule="auto"/>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分，满足任意</w:t>
            </w: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1.各项方案内容全面、具体，针对性、可操作性强，编纂出版全流程服务优秀的，加6分。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2.各项方案内容较全面、较具体，针对性、可操作性较强，编纂出版全流程服务良好的，加3分。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3.各项方案内容一般，针对性、可操作性一般，编纂出版全流程服务一般的，加1分；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4.各项方案内容不完整，无针对性、可操作性，编纂出版全流程服务差的，不加分。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提供编纂出版服务方案、应急保障措施方案，全流程服务方案，内容包括：编纂、设计、排版、印刷、出版、质检等服务概述、应急保障措施、全流程</w:t>
            </w:r>
            <w:r>
              <w:rPr>
                <w:rFonts w:ascii="宋体" w:hAnsi="宋体" w:cs="宋体"/>
                <w:color w:val="000000" w:themeColor="text1"/>
                <w:sz w:val="24"/>
                <w14:textFill>
                  <w14:solidFill>
                    <w14:schemeClr w14:val="tx1"/>
                  </w14:solidFill>
                </w14:textFill>
              </w:rPr>
              <w:t>服务</w:t>
            </w:r>
            <w:r>
              <w:rPr>
                <w:rFonts w:hint="eastAsia" w:ascii="宋体" w:hAnsi="宋体" w:cs="宋体"/>
                <w:color w:val="000000" w:themeColor="text1"/>
                <w:sz w:val="24"/>
                <w14:textFill>
                  <w14:solidFill>
                    <w14:schemeClr w14:val="tx1"/>
                  </w14:solidFill>
                </w14:textFill>
              </w:rPr>
              <w:t>方案。</w:t>
            </w:r>
          </w:p>
        </w:tc>
        <w:tc>
          <w:tcPr>
            <w:tcW w:w="81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印制保障服务</w:t>
            </w:r>
          </w:p>
        </w:tc>
        <w:tc>
          <w:tcPr>
            <w:tcW w:w="5992"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投标人自身具有印刷生产线或有良好合作关系的印刷供应商</w:t>
            </w:r>
            <w:r>
              <w:rPr>
                <w:rFonts w:hint="eastAsia" w:ascii="宋体" w:hAnsi="宋体" w:cs="宋体"/>
                <w:color w:val="000000" w:themeColor="text1"/>
                <w:sz w:val="24"/>
                <w:lang w:val="en-US" w:eastAsia="zh-CN"/>
                <w14:textFill>
                  <w14:solidFill>
                    <w14:schemeClr w14:val="tx1"/>
                  </w14:solidFill>
                </w14:textFill>
              </w:rPr>
              <w:t>或承诺中标后提供</w:t>
            </w:r>
            <w:r>
              <w:rPr>
                <w:rFonts w:hint="eastAsia" w:ascii="宋体" w:hAnsi="宋体" w:cs="宋体"/>
                <w:color w:val="000000" w:themeColor="text1"/>
                <w:sz w:val="24"/>
                <w14:textFill>
                  <w14:solidFill>
                    <w14:schemeClr w14:val="tx1"/>
                  </w14:solidFill>
                </w14:textFill>
              </w:rPr>
              <w:t>有良好合作关系的印刷供应商</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，可得5分。若无，则不得分。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1.若投标人自身具有印刷生产线厂房的，提供产权证明（若为租赁的场所，提供租赁方产权证明以及租赁合同）和场所设备照片等相关证明材料，并加盖公章；</w:t>
            </w:r>
          </w:p>
          <w:p>
            <w:pPr>
              <w:spacing w:line="360" w:lineRule="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2.若投标人具有良好合作关系印刷供应商的，提供投标人与合作印刷供应商相关合作合同、协议，同时须提供印刷供应商三证合一营业执照及场所设备照片等相关证明材料，并加盖公章</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3.承诺中标后提供</w:t>
            </w:r>
            <w:r>
              <w:rPr>
                <w:rFonts w:hint="eastAsia" w:ascii="宋体" w:hAnsi="宋体" w:cs="宋体"/>
                <w:color w:val="000000" w:themeColor="text1"/>
                <w:sz w:val="24"/>
                <w14:textFill>
                  <w14:solidFill>
                    <w14:schemeClr w14:val="tx1"/>
                  </w14:solidFill>
                </w14:textFill>
              </w:rPr>
              <w:t>有良好合作关系的印刷供应商</w:t>
            </w:r>
            <w:r>
              <w:rPr>
                <w:rFonts w:hint="eastAsia" w:ascii="宋体" w:hAnsi="宋体" w:cs="宋体"/>
                <w:color w:val="000000" w:themeColor="text1"/>
                <w:sz w:val="24"/>
                <w:lang w:val="en-US" w:eastAsia="zh-CN"/>
                <w14:textFill>
                  <w14:solidFill>
                    <w14:schemeClr w14:val="tx1"/>
                  </w14:solidFill>
                </w14:textFill>
              </w:rPr>
              <w:t>的承诺函（格式自拟）。</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未按照要求提供或提供不清晰导致评分员无法判断的不得分。</w:t>
            </w:r>
          </w:p>
        </w:tc>
        <w:tc>
          <w:tcPr>
            <w:tcW w:w="816"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66" w:name="_Toc9548"/>
      <w:bookmarkStart w:id="67"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66"/>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68" w:name="_Toc6548"/>
      <w:bookmarkStart w:id="69" w:name="_Toc5116"/>
      <w:bookmarkStart w:id="70" w:name="_Toc31827"/>
      <w:bookmarkStart w:id="71" w:name="_Toc19494"/>
      <w:r>
        <w:rPr>
          <w:rFonts w:hint="eastAsia" w:ascii="宋体" w:hAnsi="宋体" w:cs="宋体"/>
          <w:b/>
          <w:bCs/>
          <w:color w:val="000000" w:themeColor="text1"/>
          <w:sz w:val="24"/>
          <w14:textFill>
            <w14:solidFill>
              <w14:schemeClr w14:val="tx1"/>
            </w14:solidFill>
          </w14:textFill>
        </w:rPr>
        <w:t>1、投标文件密封袋/封面参考</w:t>
      </w:r>
      <w:bookmarkEnd w:id="68"/>
      <w:bookmarkEnd w:id="69"/>
      <w:bookmarkEnd w:id="70"/>
      <w:bookmarkEnd w:id="71"/>
    </w:p>
    <w:tbl>
      <w:tblPr>
        <w:tblStyle w:val="2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10"/>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10"/>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10"/>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10"/>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10"/>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10"/>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0"/>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72" w:name="_Toc16724"/>
      <w:r>
        <w:rPr>
          <w:rFonts w:hint="eastAsia" w:ascii="宋体" w:hAnsi="宋体" w:cs="宋体"/>
          <w:b/>
          <w:color w:val="000000" w:themeColor="text1"/>
          <w:sz w:val="24"/>
          <w14:textFill>
            <w14:solidFill>
              <w14:schemeClr w14:val="tx1"/>
            </w14:solidFill>
          </w14:textFill>
        </w:rPr>
        <w:t>2、投标文件—目录</w:t>
      </w:r>
      <w:bookmarkEnd w:id="72"/>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获奖情况；</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团队成员（含一名项目负责人）；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项目服务概述、应急保障措施方案；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印制保障服务；</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5"/>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0"/>
        <w:rPr>
          <w:color w:val="000000" w:themeColor="text1"/>
          <w14:textFill>
            <w14:solidFill>
              <w14:schemeClr w14:val="tx1"/>
            </w14:solidFill>
          </w14:textFill>
        </w:rPr>
      </w:pP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4"/>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4"/>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10"/>
        <w:rPr>
          <w:color w:val="000000" w:themeColor="text1"/>
          <w14:textFill>
            <w14:solidFill>
              <w14:schemeClr w14:val="tx1"/>
            </w14:solidFill>
          </w14:textFill>
        </w:rPr>
      </w:pP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bookmarkStart w:id="79" w:name="_GoBack"/>
      <w:bookmarkEnd w:id="79"/>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4"/>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4"/>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4"/>
        <w:spacing w:line="360" w:lineRule="auto"/>
        <w:jc w:val="center"/>
        <w:rPr>
          <w:rFonts w:hint="eastAsia" w:hAnsi="宋体" w:cs="宋体"/>
          <w:b/>
          <w:color w:val="000000" w:themeColor="text1"/>
          <w:sz w:val="24"/>
          <w14:textFill>
            <w14:solidFill>
              <w14:schemeClr w14:val="tx1"/>
            </w14:solidFill>
          </w14:textFill>
        </w:rPr>
      </w:pPr>
    </w:p>
    <w:p>
      <w:pPr>
        <w:pStyle w:val="14"/>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4"/>
        <w:spacing w:line="360" w:lineRule="auto"/>
        <w:rPr>
          <w:rFonts w:hint="eastAsia" w:hAnsi="宋体" w:cs="宋体"/>
          <w:color w:val="000000" w:themeColor="text1"/>
          <w:sz w:val="24"/>
          <w14:textFill>
            <w14:solidFill>
              <w14:schemeClr w14:val="tx1"/>
            </w14:solidFill>
          </w14:textFill>
        </w:rPr>
      </w:pPr>
    </w:p>
    <w:p>
      <w:pPr>
        <w:pStyle w:val="14"/>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4"/>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4"/>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4"/>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4"/>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4"/>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4"/>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4"/>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获奖情况；</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团队成员（含一名项目负责人）；</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4"/>
        <w:spacing w:line="360" w:lineRule="auto"/>
        <w:jc w:val="left"/>
        <w:rPr>
          <w:rFonts w:hint="eastAsia" w:hAnsi="宋体" w:cs="宋体"/>
          <w:color w:val="000000" w:themeColor="text1"/>
          <w:sz w:val="24"/>
          <w14:textFill>
            <w14:solidFill>
              <w14:schemeClr w14:val="tx1"/>
            </w14:solidFill>
          </w14:textFill>
        </w:rPr>
      </w:pPr>
    </w:p>
    <w:p>
      <w:pPr>
        <w:pStyle w:val="14"/>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10"/>
        <w:rPr>
          <w:color w:val="000000" w:themeColor="text1"/>
          <w:lang w:val="fr-CH"/>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4"/>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4"/>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4"/>
          <w:rFonts w:hint="eastAsia" w:ascii="宋体" w:hAnsi="宋体" w:cs="宋体"/>
          <w:b/>
          <w:color w:val="000000" w:themeColor="text1"/>
          <w:sz w:val="24"/>
          <w14:textFill>
            <w14:solidFill>
              <w14:schemeClr w14:val="tx1"/>
            </w14:solidFill>
          </w14:textFill>
        </w:rPr>
      </w:pPr>
      <w:r>
        <w:rPr>
          <w:rStyle w:val="34"/>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4"/>
          <w:rFonts w:hint="eastAsia" w:ascii="宋体" w:hAnsi="宋体" w:cs="宋体"/>
          <w:b/>
          <w:color w:val="000000" w:themeColor="text1"/>
          <w:sz w:val="24"/>
          <w14:textFill>
            <w14:solidFill>
              <w14:schemeClr w14:val="tx1"/>
            </w14:solidFill>
          </w14:textFill>
        </w:rPr>
      </w:pPr>
      <w:r>
        <w:rPr>
          <w:rStyle w:val="34"/>
          <w:rFonts w:hint="eastAsia" w:ascii="宋体" w:hAnsi="宋体" w:cs="宋体"/>
          <w:b/>
          <w:color w:val="000000" w:themeColor="text1"/>
          <w:sz w:val="24"/>
          <w14:textFill>
            <w14:solidFill>
              <w14:schemeClr w14:val="tx1"/>
            </w14:solidFill>
          </w14:textFill>
        </w:rPr>
        <w:br w:type="page"/>
      </w:r>
      <w:r>
        <w:rPr>
          <w:rStyle w:val="34"/>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4"/>
          <w:rFonts w:hint="eastAsia" w:ascii="宋体" w:hAnsi="宋体" w:cs="宋体"/>
          <w:color w:val="000000" w:themeColor="text1"/>
          <w:spacing w:val="6"/>
          <w:sz w:val="24"/>
          <w14:textFill>
            <w14:solidFill>
              <w14:schemeClr w14:val="tx1"/>
            </w14:solidFill>
          </w14:textFill>
        </w:rPr>
      </w:pPr>
      <w:r>
        <w:rPr>
          <w:rStyle w:val="34"/>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4"/>
          <w:rFonts w:hint="eastAsia" w:ascii="宋体" w:hAnsi="宋体" w:cs="宋体"/>
          <w:color w:val="000000" w:themeColor="text1"/>
          <w:spacing w:val="6"/>
          <w:sz w:val="24"/>
          <w:u w:val="single"/>
          <w14:textFill>
            <w14:solidFill>
              <w14:schemeClr w14:val="tx1"/>
            </w14:solidFill>
          </w14:textFill>
        </w:rPr>
        <w:t xml:space="preserve"> （采购单位名称） </w:t>
      </w:r>
      <w:r>
        <w:rPr>
          <w:rStyle w:val="34"/>
          <w:rFonts w:hint="eastAsia" w:ascii="宋体" w:hAnsi="宋体" w:cs="宋体"/>
          <w:color w:val="000000" w:themeColor="text1"/>
          <w:spacing w:val="6"/>
          <w:sz w:val="24"/>
          <w14:textFill>
            <w14:solidFill>
              <w14:schemeClr w14:val="tx1"/>
            </w14:solidFill>
          </w14:textFill>
        </w:rPr>
        <w:t>单位的</w:t>
      </w:r>
      <w:r>
        <w:rPr>
          <w:rStyle w:val="34"/>
          <w:rFonts w:hint="eastAsia" w:ascii="宋体" w:hAnsi="宋体" w:cs="宋体"/>
          <w:color w:val="000000" w:themeColor="text1"/>
          <w:spacing w:val="6"/>
          <w:sz w:val="24"/>
          <w:u w:val="single"/>
          <w14:textFill>
            <w14:solidFill>
              <w14:schemeClr w14:val="tx1"/>
            </w14:solidFill>
          </w14:textFill>
        </w:rPr>
        <w:t xml:space="preserve"> （采购项目名称） </w:t>
      </w:r>
      <w:r>
        <w:rPr>
          <w:rStyle w:val="34"/>
          <w:rFonts w:hint="eastAsia" w:ascii="宋体" w:hAnsi="宋体" w:cs="宋体"/>
          <w:color w:val="000000" w:themeColor="text1"/>
          <w:spacing w:val="6"/>
          <w:sz w:val="24"/>
          <w14:textFill>
            <w14:solidFill>
              <w14:schemeClr w14:val="tx1"/>
            </w14:solidFill>
          </w14:textFill>
        </w:rPr>
        <w:t>项目采购</w:t>
      </w:r>
      <w:r>
        <w:rPr>
          <w:rStyle w:val="34"/>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4"/>
          <w:rFonts w:hint="eastAsia" w:ascii="宋体" w:hAnsi="宋体" w:cs="宋体"/>
          <w:color w:val="000000" w:themeColor="text1"/>
          <w:spacing w:val="6"/>
          <w:sz w:val="24"/>
          <w14:textFill>
            <w14:solidFill>
              <w14:schemeClr w14:val="tx1"/>
            </w14:solidFill>
          </w14:textFill>
        </w:rPr>
        <w:t>。</w:t>
      </w:r>
      <w:r>
        <w:rPr>
          <w:rStyle w:val="34"/>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4"/>
          <w:rFonts w:hint="eastAsia" w:ascii="宋体" w:hAnsi="宋体" w:cs="宋体"/>
          <w:color w:val="000000" w:themeColor="text1"/>
          <w:spacing w:val="6"/>
          <w:sz w:val="24"/>
          <w14:textFill>
            <w14:solidFill>
              <w14:schemeClr w14:val="tx1"/>
            </w14:solidFill>
          </w14:textFill>
        </w:rPr>
      </w:pPr>
      <w:r>
        <w:rPr>
          <w:rStyle w:val="34"/>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4"/>
          <w:rFonts w:hint="eastAsia" w:ascii="宋体" w:hAnsi="宋体" w:cs="宋体"/>
          <w:color w:val="000000" w:themeColor="text1"/>
          <w:spacing w:val="6"/>
          <w:sz w:val="24"/>
          <w14:textFill>
            <w14:solidFill>
              <w14:schemeClr w14:val="tx1"/>
            </w14:solidFill>
          </w14:textFill>
        </w:rPr>
      </w:pPr>
      <w:r>
        <w:rPr>
          <w:rStyle w:val="34"/>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4"/>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4"/>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4"/>
          <w:rFonts w:hint="eastAsia" w:ascii="宋体" w:hAnsi="宋体" w:cs="宋体"/>
          <w:color w:val="000000" w:themeColor="text1"/>
          <w:spacing w:val="6"/>
          <w:sz w:val="24"/>
          <w14:textFill>
            <w14:solidFill>
              <w14:schemeClr w14:val="tx1"/>
            </w14:solidFill>
          </w14:textFill>
        </w:rPr>
      </w:pPr>
      <w:r>
        <w:rPr>
          <w:rStyle w:val="34"/>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4"/>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spacing w:after="79" w:afterLines="25" w:line="300" w:lineRule="auto"/>
        <w:ind w:firstLine="504" w:firstLineChars="20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r>
        <w:rPr>
          <w:rFonts w:hint="eastAsia" w:ascii="宋体" w:hAnsi="宋体" w:cs="宋体"/>
          <w:b/>
          <w:bCs/>
          <w:color w:val="000000" w:themeColor="text1"/>
          <w:spacing w:val="6"/>
          <w:sz w:val="24"/>
          <w14:textFill>
            <w14:solidFill>
              <w14:schemeClr w14:val="tx1"/>
            </w14:solidFill>
          </w14:textFill>
        </w:rPr>
        <w:t>④</w:t>
      </w:r>
      <w:r>
        <w:rPr>
          <w:rFonts w:hint="eastAsia" w:ascii="宋体" w:hAnsi="宋体" w:cs="宋体"/>
          <w:b/>
          <w:bCs/>
          <w:color w:val="000000" w:themeColor="text1"/>
          <w:sz w:val="24"/>
          <w14:textFill>
            <w14:solidFill>
              <w14:schemeClr w14:val="tx1"/>
            </w14:solidFill>
          </w14:textFill>
        </w:rPr>
        <w:t>本国产品声明函</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填写指引：</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2、该部分内容填写需要参考的相关文件：</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（1）《国务院办公厅关于在政府采购中实施本国产品标准及相关政策的通知》（国办发〔2025〕34号）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（2）《关于贯彻落实&lt;国务院办公厅关于在政府采购中实施本国产品标准及相关政策的通知&gt;的意见》（财库〔2025〕30号）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（3）《深圳市财政局关于贯彻落实政府采购本国产品标准及相关政策的通知》（深财购〔2025〕69号）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3、请依照提供的格式和内容填写声明函，不要随意变更格式；声明函可以不盖章或签字。</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4、声明函具体填写要求：</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（1）产品如有型号，请在“产品名称”栏一并填写。</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（2）生产厂名与厂址应与生产厂营业执照载明的相关信息保持一致。</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（3）该产品的中国境内生产的组件成本占比相关要求实施前，“规定比例”栏可不填，下同。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（4）该产品的关键组件要求实施前，“关键组件”栏可不填，下同。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（5）该产品的关键工序要求实施前，“关键工序”栏可不填，下同。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color w:val="000000" w:themeColor="text1"/>
          <w:sz w:val="24"/>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争议处理：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1.关于符合本国产品标准的声明函</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1</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3</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4</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5</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2"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cs="宋体"/>
          <w:b/>
          <w:bCs/>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（具体比例） </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6</w:t>
      </w:r>
      <w:r>
        <w:rPr>
          <w:rFonts w:hint="eastAsia" w:ascii="宋体" w:hAnsi="宋体" w:cs="宋体"/>
          <w:b/>
          <w:bCs/>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cs="宋体"/>
          <w:color w:val="000000" w:themeColor="text1"/>
          <w:kern w:val="0"/>
          <w:sz w:val="24"/>
          <w:shd w:val="clear" w:color="auto" w:fill="FFFFFF"/>
          <w14:textFill>
            <w14:solidFill>
              <w14:schemeClr w14:val="tx1"/>
            </w14:solidFill>
          </w14:textFill>
        </w:rPr>
      </w:pPr>
    </w:p>
    <w:p>
      <w:pPr>
        <w:widowControl/>
        <w:shd w:val="clear" w:color="auto" w:fill="FFFFFF"/>
        <w:spacing w:line="360" w:lineRule="auto"/>
        <w:ind w:right="840" w:rightChars="4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公司（单位）名称：</w:t>
      </w:r>
    </w:p>
    <w:p>
      <w:pPr>
        <w:widowControl/>
        <w:shd w:val="clear" w:color="auto" w:fill="FFFFFF"/>
        <w:spacing w:line="360" w:lineRule="auto"/>
        <w:ind w:right="840" w:rightChars="400"/>
        <w:jc w:val="right"/>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日期：    年  月  日</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__________________</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1.产品如有型号，请在“产品名称”栏一并填写。</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2.生产厂名与厂址应与生产厂营业执照载明的相关信息保持一致。</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3.该产品的中国境内生产的组件成本占比相关要求实施前，“规定比例”栏可不填，下同。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4.该产品的关键组件要求实施前，“关键组件”栏可不填，下同。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5.该产品的关键工序要求实施前，“关键工序”栏可不填，下同。</w:t>
      </w:r>
    </w:p>
    <w:p>
      <w:pPr>
        <w:rPr>
          <w:rFonts w:hint="eastAsia" w:ascii="宋体" w:hAnsi="宋体" w:cs="宋体"/>
          <w:bCs/>
          <w:color w:val="000000" w:themeColor="text1"/>
          <w:kern w:val="0"/>
          <w:sz w:val="24"/>
          <w14:textFill>
            <w14:solidFill>
              <w14:schemeClr w14:val="tx1"/>
            </w14:solidFill>
          </w14:textFill>
        </w:rPr>
      </w:pPr>
    </w:p>
    <w:p>
      <w:pPr>
        <w:rPr>
          <w:rFonts w:hint="eastAsia" w:ascii="宋体" w:hAnsi="宋体" w:cs="宋体"/>
          <w:bCs/>
          <w:color w:val="000000" w:themeColor="text1"/>
          <w:kern w:val="0"/>
          <w:sz w:val="24"/>
          <w14:textFill>
            <w14:solidFill>
              <w14:schemeClr w14:val="tx1"/>
            </w14:solidFill>
          </w14:textFill>
        </w:rPr>
      </w:pP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2.符合要求的财政部会同有关部门规定的有关证明文件（如有）</w:t>
      </w:r>
    </w:p>
    <w:p>
      <w:pPr>
        <w:rPr>
          <w:color w:val="000000" w:themeColor="text1"/>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7"/>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7"/>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73" w:name="OLE_LINK9"/>
      <w:r>
        <w:rPr>
          <w:rFonts w:hint="eastAsia" w:ascii="宋体" w:hAnsi="宋体" w:cs="宋体"/>
          <w:b/>
          <w:color w:val="000000" w:themeColor="text1"/>
          <w:sz w:val="28"/>
          <w:szCs w:val="28"/>
          <w14:textFill>
            <w14:solidFill>
              <w14:schemeClr w14:val="tx1"/>
            </w14:solidFill>
          </w14:textFill>
        </w:rPr>
        <w:t>证明</w:t>
      </w:r>
      <w:bookmarkEnd w:id="73"/>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5"/>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7"/>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74" w:name="OLE_LINK10"/>
      <w:r>
        <w:rPr>
          <w:rFonts w:hint="eastAsia" w:ascii="宋体" w:hAnsi="宋体" w:cs="宋体"/>
          <w:b/>
          <w:color w:val="000000" w:themeColor="text1"/>
          <w:sz w:val="28"/>
          <w:szCs w:val="28"/>
          <w14:textFill>
            <w14:solidFill>
              <w14:schemeClr w14:val="tx1"/>
            </w14:solidFill>
          </w14:textFill>
        </w:rPr>
        <w:t>股权关系证明</w:t>
      </w:r>
      <w:bookmarkEnd w:id="74"/>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5"/>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0"/>
        <w:spacing w:line="360" w:lineRule="auto"/>
        <w:rPr>
          <w:color w:val="000000" w:themeColor="text1"/>
          <w:lang w:val="fr-CH"/>
          <w14:textFill>
            <w14:solidFill>
              <w14:schemeClr w14:val="tx1"/>
            </w14:solidFill>
          </w14:textFill>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项目服务概述、应急保障措施方案；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印制保障服务；</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67"/>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75" w:name="_Toc6251"/>
      <w:bookmarkStart w:id="76" w:name="_Toc742"/>
      <w:r>
        <w:rPr>
          <w:rFonts w:hint="eastAsia" w:ascii="宋体" w:hAnsi="宋体" w:cs="宋体"/>
          <w:b/>
          <w:bCs/>
          <w:color w:val="000000" w:themeColor="text1"/>
          <w:sz w:val="24"/>
          <w14:textFill>
            <w14:solidFill>
              <w14:schemeClr w14:val="tx1"/>
            </w14:solidFill>
          </w14:textFill>
        </w:rPr>
        <w:t>附件：相关政策</w:t>
      </w:r>
      <w:bookmarkEnd w:id="75"/>
      <w:bookmarkEnd w:id="76"/>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0"/>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10"/>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10"/>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10"/>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10"/>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10"/>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0"/>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0"/>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10"/>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10"/>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0"/>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10"/>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0"/>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10"/>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10"/>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10"/>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5"/>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5"/>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5"/>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5"/>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5"/>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5"/>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5"/>
              <w:jc w:val="center"/>
              <w:rPr>
                <w:rFonts w:hint="eastAsia"/>
                <w:color w:val="000000" w:themeColor="text1"/>
                <w:sz w:val="24"/>
                <w:szCs w:val="24"/>
                <w14:textFill>
                  <w14:solidFill>
                    <w14:schemeClr w14:val="tx1"/>
                  </w14:solidFill>
                </w14:textFill>
              </w:rPr>
            </w:pPr>
          </w:p>
          <w:p>
            <w:pPr>
              <w:pStyle w:val="35"/>
              <w:jc w:val="center"/>
              <w:rPr>
                <w:rFonts w:hint="eastAsia"/>
                <w:color w:val="000000" w:themeColor="text1"/>
                <w:sz w:val="24"/>
                <w:szCs w:val="24"/>
                <w14:textFill>
                  <w14:solidFill>
                    <w14:schemeClr w14:val="tx1"/>
                  </w14:solidFill>
                </w14:textFill>
              </w:rPr>
            </w:pPr>
          </w:p>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5"/>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5"/>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5"/>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10"/>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1"/>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21"/>
        <w:jc w:val="both"/>
        <w:outlineLvl w:val="9"/>
        <w:rPr>
          <w:rFonts w:hint="eastAsia" w:ascii="宋体" w:hAnsi="宋体" w:eastAsia="宋体" w:cs="宋体"/>
          <w:color w:val="000000" w:themeColor="text1"/>
          <w:sz w:val="24"/>
          <w:szCs w:val="24"/>
          <w14:textFill>
            <w14:solidFill>
              <w14:schemeClr w14:val="tx1"/>
            </w14:solidFill>
          </w14:textFill>
        </w:rPr>
      </w:pPr>
    </w:p>
    <w:p>
      <w:pPr>
        <w:pStyle w:val="21"/>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5"/>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0"/>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1"/>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20"/>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77" w:name="sendNo"/>
      <w:r>
        <w:rPr>
          <w:rFonts w:hint="eastAsia"/>
          <w:color w:val="000000" w:themeColor="text1"/>
          <w14:textFill>
            <w14:solidFill>
              <w14:schemeClr w14:val="tx1"/>
            </w14:solidFill>
          </w14:textFill>
        </w:rPr>
        <w:t>财库〔</w:t>
      </w:r>
      <w:bookmarkEnd w:id="77"/>
      <w:r>
        <w:rPr>
          <w:rFonts w:hint="eastAsia"/>
          <w:color w:val="000000" w:themeColor="text1"/>
          <w14:textFill>
            <w14:solidFill>
              <w14:schemeClr w14:val="tx1"/>
            </w14:solidFill>
          </w14:textFill>
        </w:rPr>
        <w:t>2017〕141号</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78"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78"/>
      <w:r>
        <w:rPr>
          <w:rFonts w:hint="eastAsia"/>
          <w:color w:val="000000" w:themeColor="text1"/>
          <w14:textFill>
            <w14:solidFill>
              <w14:schemeClr w14:val="tx1"/>
            </w14:solidFill>
          </w14:textFill>
        </w:rPr>
        <w:t>：</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0"/>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20"/>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0"/>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0"/>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20"/>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20"/>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6"/>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6"/>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7"/>
          <w:rFonts w:hint="eastAsia"/>
          <w:b/>
          <w:bCs/>
          <w:color w:val="000000" w:themeColor="text1"/>
          <w14:textFill>
            <w14:solidFill>
              <w14:schemeClr w14:val="tx1"/>
            </w14:solidFill>
          </w14:textFill>
        </w:rPr>
        <w:t>残疾人福利性单位声明函</w:t>
      </w:r>
    </w:p>
    <w:p>
      <w:pPr>
        <w:pStyle w:val="36"/>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7"/>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6"/>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7"/>
          <w:rFonts w:hint="eastAsia"/>
          <w:color w:val="000000" w:themeColor="text1"/>
          <w14:textFill>
            <w14:solidFill>
              <w14:schemeClr w14:val="tx1"/>
            </w14:solidFill>
          </w14:textFill>
        </w:rPr>
        <w:t>本单位对上述声明的真实性负责。如有虚假，将依法承担相应责任。</w:t>
      </w:r>
    </w:p>
    <w:p>
      <w:pPr>
        <w:pStyle w:val="36"/>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6"/>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7"/>
          <w:rFonts w:hint="eastAsia"/>
          <w:color w:val="000000" w:themeColor="text1"/>
          <w14:textFill>
            <w14:solidFill>
              <w14:schemeClr w14:val="tx1"/>
            </w14:solidFill>
          </w14:textFill>
        </w:rPr>
        <w:t>单位名称（盖章）：</w:t>
      </w:r>
    </w:p>
    <w:p>
      <w:pPr>
        <w:pStyle w:val="36"/>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7"/>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widowControl/>
        <w:tabs>
          <w:tab w:val="left" w:pos="640"/>
          <w:tab w:val="left" w:pos="840"/>
        </w:tabs>
        <w:spacing w:line="360" w:lineRule="auto"/>
        <w:ind w:right="26"/>
        <w:textAlignment w:val="bottom"/>
        <w:rPr>
          <w:rStyle w:val="37"/>
          <w:rFonts w:hint="eastAsia" w:ascii="宋体" w:hAnsi="宋体" w:cs="宋体"/>
          <w:b/>
          <w:color w:val="000000" w:themeColor="text1"/>
          <w:sz w:val="24"/>
          <w14:textFill>
            <w14:solidFill>
              <w14:schemeClr w14:val="tx1"/>
            </w14:solidFill>
          </w14:textFill>
        </w:rPr>
      </w:pPr>
    </w:p>
    <w:p>
      <w:pPr>
        <w:widowControl/>
        <w:tabs>
          <w:tab w:val="left" w:pos="640"/>
          <w:tab w:val="left" w:pos="840"/>
        </w:tabs>
        <w:spacing w:line="360" w:lineRule="auto"/>
        <w:ind w:right="26"/>
        <w:textAlignment w:val="bottom"/>
        <w:rPr>
          <w:rStyle w:val="37"/>
          <w:rFonts w:hint="eastAsia" w:ascii="宋体" w:hAnsi="宋体" w:cs="宋体"/>
          <w:b/>
          <w:color w:val="000000" w:themeColor="text1"/>
          <w:sz w:val="24"/>
          <w14:textFill>
            <w14:solidFill>
              <w14:schemeClr w14:val="tx1"/>
            </w14:solidFill>
          </w14:textFill>
        </w:rPr>
      </w:pPr>
    </w:p>
    <w:p>
      <w:pPr>
        <w:widowControl/>
        <w:tabs>
          <w:tab w:val="left" w:pos="640"/>
          <w:tab w:val="left" w:pos="840"/>
        </w:tabs>
        <w:spacing w:line="360" w:lineRule="auto"/>
        <w:ind w:right="26"/>
        <w:textAlignment w:val="bottom"/>
        <w:rPr>
          <w:rStyle w:val="37"/>
          <w:rFonts w:hint="eastAsia" w:ascii="宋体" w:hAnsi="宋体" w:cs="宋体"/>
          <w:b/>
          <w:color w:val="000000" w:themeColor="text1"/>
          <w:sz w:val="24"/>
          <w14:textFill>
            <w14:solidFill>
              <w14:schemeClr w14:val="tx1"/>
            </w14:solidFill>
          </w14:textFill>
        </w:rPr>
      </w:pPr>
      <w:r>
        <w:rPr>
          <w:rStyle w:val="37"/>
          <w:rFonts w:hint="eastAsia" w:ascii="宋体" w:hAnsi="宋体" w:cs="宋体"/>
          <w:b/>
          <w:color w:val="000000" w:themeColor="text1"/>
          <w:sz w:val="24"/>
          <w14:textFill>
            <w14:solidFill>
              <w14:schemeClr w14:val="tx1"/>
            </w14:solidFill>
          </w14:textFill>
        </w:rPr>
        <w:t>5，实施本国产品标准及相关政策的特殊规定</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国务院办公厅印发《关于在政府采购中实施本国产品标准及相关政策的通知》</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"http://www.mof.gov.cn/zhengwuxinxi/caizhengxinwen/202509/t20250930_3973725.htm" </w:instrText>
      </w:r>
      <w:r>
        <w:rPr>
          <w:color w:val="000000" w:themeColor="text1"/>
          <w14:textFill>
            <w14:solidFill>
              <w14:schemeClr w14:val="tx1"/>
            </w14:solidFill>
          </w14:textFill>
        </w:rPr>
        <w:fldChar w:fldCharType="separate"/>
      </w:r>
      <w:r>
        <w:rPr>
          <w:rStyle w:val="37"/>
          <w:rFonts w:hint="eastAsia"/>
          <w:bCs/>
          <w:color w:val="000000" w:themeColor="text1"/>
          <w14:textFill>
            <w14:solidFill>
              <w14:schemeClr w14:val="tx1"/>
            </w14:solidFill>
          </w14:textFill>
        </w:rPr>
        <w:t>http://www.mof.gov.cn/zhengwuxinxi/caizhengxinwen/202509/t20250930_3973725.htm</w:t>
      </w:r>
      <w:r>
        <w:rPr>
          <w:rStyle w:val="37"/>
          <w:rFonts w:hint="eastAsia"/>
          <w:bCs/>
          <w:color w:val="000000" w:themeColor="text1"/>
          <w14:textFill>
            <w14:solidFill>
              <w14:schemeClr w14:val="tx1"/>
            </w14:solidFill>
          </w14:textFill>
        </w:rPr>
        <w:fldChar w:fldCharType="end"/>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深圳市财政局关于贯彻落实政府采购本国产品标准及相关政策的通知</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https://www.sz.gov.cn/cn/xxgk/zfxxgj/tzgg/content/post_12577672.html</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财政部有关负责人就《关于在政府采购中实施本国产品标准及相关政策的通知》答记者问</w:t>
      </w:r>
    </w:p>
    <w:p>
      <w:pPr>
        <w:pStyle w:val="36"/>
        <w:shd w:val="clear" w:color="auto" w:fill="FFFFFF"/>
        <w:spacing w:before="0" w:beforeAutospacing="0" w:after="0" w:afterAutospacing="0" w:line="360" w:lineRule="auto"/>
        <w:ind w:firstLine="624"/>
        <w:jc w:val="both"/>
        <w:rPr>
          <w:rStyle w:val="37"/>
          <w:rFonts w:hint="eastAsia"/>
          <w:bCs/>
          <w:color w:val="000000" w:themeColor="text1"/>
          <w14:textFill>
            <w14:solidFill>
              <w14:schemeClr w14:val="tx1"/>
            </w14:solidFill>
          </w14:textFill>
        </w:rPr>
      </w:pPr>
      <w:r>
        <w:rPr>
          <w:rStyle w:val="37"/>
          <w:rFonts w:hint="eastAsia"/>
          <w:bCs/>
          <w:color w:val="000000" w:themeColor="text1"/>
          <w14:textFill>
            <w14:solidFill>
              <w14:schemeClr w14:val="tx1"/>
            </w14:solidFill>
          </w14:textFill>
        </w:rPr>
        <w:t>http://www.ccgp.gov.cn/zcfg/zcjd/202509/t20250930_25456987.htm</w:t>
      </w: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ED0DAB-E9EA-4501-8B7F-3F27902EAA1B}"/>
  </w:font>
  <w:font w:name="黑体">
    <w:panose1 w:val="02010609060101010101"/>
    <w:charset w:val="86"/>
    <w:family w:val="auto"/>
    <w:pitch w:val="default"/>
    <w:sig w:usb0="800002BF" w:usb1="38CF7CFA" w:usb2="00000016" w:usb3="00000000" w:csb0="00040001" w:csb1="00000000"/>
    <w:embedRegular r:id="rId2" w:fontKey="{506B8368-6ED2-4D89-BF68-2646E66738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6AD81FE-F5D3-422B-9CEF-3FE189E8C096}"/>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867BAF6-2504-4BE6-B786-498BACD065D1}"/>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0E1402C8-A369-4D23-90B1-A5C84AE758D0}"/>
  </w:font>
  <w:font w:name="Tahoma">
    <w:panose1 w:val="020B0604030504040204"/>
    <w:charset w:val="00"/>
    <w:family w:val="swiss"/>
    <w:pitch w:val="default"/>
    <w:sig w:usb0="E1002EFF" w:usb1="C000605B" w:usb2="00000029" w:usb3="00000000" w:csb0="200101FF" w:csb1="20280000"/>
  </w:font>
  <w:font w:name="Arial Narrow">
    <w:altName w:val="Times New Roman"/>
    <w:panose1 w:val="020B0606020202030204"/>
    <w:charset w:val="00"/>
    <w:family w:val="swiss"/>
    <w:pitch w:val="default"/>
    <w:sig w:usb0="00000000" w:usb1="00000000" w:usb2="00000000" w:usb3="00000000" w:csb0="2000009F" w:csb1="DFD70000"/>
    <w:embedRegular r:id="rId6" w:fontKey="{3BF3C256-AA97-44FC-B17D-7BFBBD9701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9"/>
        <w:rFonts w:ascii="宋体" w:hAnsi="宋体"/>
        <w:sz w:val="28"/>
        <w:szCs w:val="28"/>
      </w:rPr>
      <w:instrText xml:space="preserve">PAGE  </w:instrText>
    </w:r>
    <w:r>
      <w:rPr>
        <w:rFonts w:ascii="宋体" w:hAnsi="宋体"/>
        <w:sz w:val="28"/>
        <w:szCs w:val="28"/>
      </w:rPr>
      <w:fldChar w:fldCharType="separate"/>
    </w:r>
    <w:r>
      <w:rPr>
        <w:rStyle w:val="29"/>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9"/>
        <w:rFonts w:ascii="宋体" w:hAnsi="宋体"/>
        <w:sz w:val="28"/>
        <w:szCs w:val="28"/>
      </w:rPr>
      <w:instrText xml:space="preserve">PAGE  </w:instrText>
    </w:r>
    <w:r>
      <w:rPr>
        <w:rFonts w:ascii="宋体" w:hAnsi="宋体"/>
        <w:sz w:val="28"/>
        <w:szCs w:val="28"/>
      </w:rPr>
      <w:fldChar w:fldCharType="separate"/>
    </w:r>
    <w:r>
      <w:rPr>
        <w:rStyle w:val="29"/>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C69C03CD"/>
    <w:multiLevelType w:val="singleLevel"/>
    <w:tmpl w:val="C69C03CD"/>
    <w:lvl w:ilvl="0" w:tentative="0">
      <w:start w:val="1"/>
      <w:numFmt w:val="decimal"/>
      <w:lvlText w:val="%1."/>
      <w:lvlJc w:val="left"/>
      <w:pPr>
        <w:tabs>
          <w:tab w:val="left" w:pos="312"/>
        </w:tabs>
      </w:pPr>
    </w:lvl>
  </w:abstractNum>
  <w:abstractNum w:abstractNumId="6">
    <w:nsid w:val="CCD43B40"/>
    <w:multiLevelType w:val="singleLevel"/>
    <w:tmpl w:val="CCD43B40"/>
    <w:lvl w:ilvl="0" w:tentative="0">
      <w:start w:val="9"/>
      <w:numFmt w:val="chineseCounting"/>
      <w:suff w:val="nothing"/>
      <w:lvlText w:val="（%1）"/>
      <w:lvlJc w:val="left"/>
      <w:rPr>
        <w:rFonts w:hint="eastAsia"/>
      </w:rPr>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00000009"/>
    <w:multiLevelType w:val="singleLevel"/>
    <w:tmpl w:val="00000009"/>
    <w:lvl w:ilvl="0" w:tentative="0">
      <w:start w:val="1"/>
      <w:numFmt w:val="chineseCounting"/>
      <w:suff w:val="nothing"/>
      <w:lvlText w:val="%1、"/>
      <w:lvlJc w:val="left"/>
    </w:lvl>
  </w:abstractNum>
  <w:abstractNum w:abstractNumId="10">
    <w:nsid w:val="200A2FAF"/>
    <w:multiLevelType w:val="singleLevel"/>
    <w:tmpl w:val="200A2FAF"/>
    <w:lvl w:ilvl="0" w:tentative="0">
      <w:start w:val="5"/>
      <w:numFmt w:val="decimal"/>
      <w:suff w:val="nothing"/>
      <w:lvlText w:val="（%1）"/>
      <w:lvlJc w:val="left"/>
    </w:lvl>
  </w:abstractNum>
  <w:abstractNum w:abstractNumId="11">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2">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3">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4">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5"/>
  </w:num>
  <w:num w:numId="2">
    <w:abstractNumId w:val="4"/>
  </w:num>
  <w:num w:numId="3">
    <w:abstractNumId w:val="2"/>
  </w:num>
  <w:num w:numId="4">
    <w:abstractNumId w:val="11"/>
  </w:num>
  <w:num w:numId="5">
    <w:abstractNumId w:val="9"/>
  </w:num>
  <w:num w:numId="6">
    <w:abstractNumId w:val="5"/>
  </w:num>
  <w:num w:numId="7">
    <w:abstractNumId w:val="6"/>
  </w:num>
  <w:num w:numId="8">
    <w:abstractNumId w:val="12"/>
  </w:num>
  <w:num w:numId="9">
    <w:abstractNumId w:val="3"/>
  </w:num>
  <w:num w:numId="10">
    <w:abstractNumId w:val="7"/>
  </w:num>
  <w:num w:numId="11">
    <w:abstractNumId w:val="1"/>
  </w:num>
  <w:num w:numId="12">
    <w:abstractNumId w:val="0"/>
  </w:num>
  <w:num w:numId="13">
    <w:abstractNumId w:val="8"/>
  </w:num>
  <w:num w:numId="14">
    <w:abstractNumId w:val="1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1E102D"/>
    <w:rsid w:val="00324DCE"/>
    <w:rsid w:val="0037030E"/>
    <w:rsid w:val="003A4DB8"/>
    <w:rsid w:val="00441793"/>
    <w:rsid w:val="004D2E2A"/>
    <w:rsid w:val="004E616D"/>
    <w:rsid w:val="006E4653"/>
    <w:rsid w:val="00771B68"/>
    <w:rsid w:val="007B48C8"/>
    <w:rsid w:val="008172D7"/>
    <w:rsid w:val="0089189B"/>
    <w:rsid w:val="0090375F"/>
    <w:rsid w:val="00980E9E"/>
    <w:rsid w:val="009C2FBF"/>
    <w:rsid w:val="00A60959"/>
    <w:rsid w:val="00B82957"/>
    <w:rsid w:val="00C93875"/>
    <w:rsid w:val="00D23242"/>
    <w:rsid w:val="00D62CC9"/>
    <w:rsid w:val="00E512A6"/>
    <w:rsid w:val="00E747E3"/>
    <w:rsid w:val="00F46D15"/>
    <w:rsid w:val="00F56DCF"/>
    <w:rsid w:val="00F72CA9"/>
    <w:rsid w:val="00FE0C6D"/>
    <w:rsid w:val="00FF40AC"/>
    <w:rsid w:val="01145951"/>
    <w:rsid w:val="011663ED"/>
    <w:rsid w:val="01211AD4"/>
    <w:rsid w:val="012515C4"/>
    <w:rsid w:val="012D0479"/>
    <w:rsid w:val="01433A3B"/>
    <w:rsid w:val="0157618B"/>
    <w:rsid w:val="019E3125"/>
    <w:rsid w:val="01B446F6"/>
    <w:rsid w:val="01D628BE"/>
    <w:rsid w:val="01EC0334"/>
    <w:rsid w:val="01EF572E"/>
    <w:rsid w:val="020442FF"/>
    <w:rsid w:val="020B6FE8"/>
    <w:rsid w:val="020E3E06"/>
    <w:rsid w:val="02477318"/>
    <w:rsid w:val="025263E9"/>
    <w:rsid w:val="025C1016"/>
    <w:rsid w:val="02A80FA1"/>
    <w:rsid w:val="02B81FC4"/>
    <w:rsid w:val="032558AB"/>
    <w:rsid w:val="032F4898"/>
    <w:rsid w:val="034A0620"/>
    <w:rsid w:val="036839EA"/>
    <w:rsid w:val="036D7252"/>
    <w:rsid w:val="037800D1"/>
    <w:rsid w:val="037C7496"/>
    <w:rsid w:val="038C5CCB"/>
    <w:rsid w:val="038D16A3"/>
    <w:rsid w:val="038E26A7"/>
    <w:rsid w:val="0396194E"/>
    <w:rsid w:val="03993BA4"/>
    <w:rsid w:val="03A10CAA"/>
    <w:rsid w:val="03B24C65"/>
    <w:rsid w:val="03B54992"/>
    <w:rsid w:val="03BB1D6C"/>
    <w:rsid w:val="03D167CD"/>
    <w:rsid w:val="03D80B70"/>
    <w:rsid w:val="03E012B9"/>
    <w:rsid w:val="03E5503B"/>
    <w:rsid w:val="03FF0592"/>
    <w:rsid w:val="03FF56E1"/>
    <w:rsid w:val="040B5B34"/>
    <w:rsid w:val="040C3CF2"/>
    <w:rsid w:val="04191764"/>
    <w:rsid w:val="044E26AD"/>
    <w:rsid w:val="045A0087"/>
    <w:rsid w:val="04640655"/>
    <w:rsid w:val="048C5BE2"/>
    <w:rsid w:val="04972A57"/>
    <w:rsid w:val="049A4077"/>
    <w:rsid w:val="049D5915"/>
    <w:rsid w:val="04A919F3"/>
    <w:rsid w:val="04AC3B33"/>
    <w:rsid w:val="04D035F5"/>
    <w:rsid w:val="04D255BF"/>
    <w:rsid w:val="04E15802"/>
    <w:rsid w:val="050D4546"/>
    <w:rsid w:val="052851DF"/>
    <w:rsid w:val="054F4E62"/>
    <w:rsid w:val="05525F81"/>
    <w:rsid w:val="058F5A54"/>
    <w:rsid w:val="05A30D0A"/>
    <w:rsid w:val="05D438B9"/>
    <w:rsid w:val="05F15671"/>
    <w:rsid w:val="05F652DD"/>
    <w:rsid w:val="05F94DCD"/>
    <w:rsid w:val="060A7F0C"/>
    <w:rsid w:val="0616772D"/>
    <w:rsid w:val="06345E06"/>
    <w:rsid w:val="06386398"/>
    <w:rsid w:val="06416BB8"/>
    <w:rsid w:val="06420131"/>
    <w:rsid w:val="06456265"/>
    <w:rsid w:val="06AA02E8"/>
    <w:rsid w:val="06CE1F71"/>
    <w:rsid w:val="06D01FD2"/>
    <w:rsid w:val="06E415DA"/>
    <w:rsid w:val="07000B16"/>
    <w:rsid w:val="070D0B30"/>
    <w:rsid w:val="07200C9D"/>
    <w:rsid w:val="073A5410"/>
    <w:rsid w:val="0754675F"/>
    <w:rsid w:val="076B39F3"/>
    <w:rsid w:val="076F5347"/>
    <w:rsid w:val="0775167C"/>
    <w:rsid w:val="07A0765A"/>
    <w:rsid w:val="07AA45D1"/>
    <w:rsid w:val="07BD13EE"/>
    <w:rsid w:val="07CF36C6"/>
    <w:rsid w:val="07D914DE"/>
    <w:rsid w:val="07F13FAE"/>
    <w:rsid w:val="080A5070"/>
    <w:rsid w:val="084E684E"/>
    <w:rsid w:val="084F5179"/>
    <w:rsid w:val="08564759"/>
    <w:rsid w:val="087921F6"/>
    <w:rsid w:val="089D5EE4"/>
    <w:rsid w:val="08AE6343"/>
    <w:rsid w:val="08AF2F0D"/>
    <w:rsid w:val="08C45350"/>
    <w:rsid w:val="08E458C1"/>
    <w:rsid w:val="08EB30F3"/>
    <w:rsid w:val="08EF6AC2"/>
    <w:rsid w:val="09185F2E"/>
    <w:rsid w:val="091E5277"/>
    <w:rsid w:val="092C2AB7"/>
    <w:rsid w:val="09306D58"/>
    <w:rsid w:val="093C394F"/>
    <w:rsid w:val="095505E7"/>
    <w:rsid w:val="096C4D6B"/>
    <w:rsid w:val="09772BD9"/>
    <w:rsid w:val="09774987"/>
    <w:rsid w:val="097815DF"/>
    <w:rsid w:val="098E31D7"/>
    <w:rsid w:val="09B94BC9"/>
    <w:rsid w:val="09C149B3"/>
    <w:rsid w:val="09D57431"/>
    <w:rsid w:val="09D9508C"/>
    <w:rsid w:val="09E75EDE"/>
    <w:rsid w:val="09F47D86"/>
    <w:rsid w:val="09F90D53"/>
    <w:rsid w:val="0A3B3CB9"/>
    <w:rsid w:val="0A3D797F"/>
    <w:rsid w:val="0A3E54A5"/>
    <w:rsid w:val="0A570314"/>
    <w:rsid w:val="0A747118"/>
    <w:rsid w:val="0A7F6940"/>
    <w:rsid w:val="0A904DFA"/>
    <w:rsid w:val="0A962578"/>
    <w:rsid w:val="0B1D330C"/>
    <w:rsid w:val="0B872ED2"/>
    <w:rsid w:val="0B8D66E4"/>
    <w:rsid w:val="0BA12829"/>
    <w:rsid w:val="0BB45AA2"/>
    <w:rsid w:val="0BCB720C"/>
    <w:rsid w:val="0BDC4F75"/>
    <w:rsid w:val="0BE85AA6"/>
    <w:rsid w:val="0BF0642E"/>
    <w:rsid w:val="0C23344D"/>
    <w:rsid w:val="0C2506CA"/>
    <w:rsid w:val="0C393981"/>
    <w:rsid w:val="0C3B7EEE"/>
    <w:rsid w:val="0C4310EE"/>
    <w:rsid w:val="0CA03970"/>
    <w:rsid w:val="0CC15CA8"/>
    <w:rsid w:val="0CDB1EA2"/>
    <w:rsid w:val="0CEE48A7"/>
    <w:rsid w:val="0CF602B9"/>
    <w:rsid w:val="0D01348F"/>
    <w:rsid w:val="0D0429D6"/>
    <w:rsid w:val="0D0B2017"/>
    <w:rsid w:val="0D136775"/>
    <w:rsid w:val="0D244BFF"/>
    <w:rsid w:val="0D373A0B"/>
    <w:rsid w:val="0D38267F"/>
    <w:rsid w:val="0D4E1EA3"/>
    <w:rsid w:val="0D5D3E94"/>
    <w:rsid w:val="0D6214AA"/>
    <w:rsid w:val="0D63594E"/>
    <w:rsid w:val="0D703BC7"/>
    <w:rsid w:val="0D774F56"/>
    <w:rsid w:val="0D907DC5"/>
    <w:rsid w:val="0D9F44AC"/>
    <w:rsid w:val="0DAC6849"/>
    <w:rsid w:val="0DCF21C8"/>
    <w:rsid w:val="0DDA54E4"/>
    <w:rsid w:val="0DFE5677"/>
    <w:rsid w:val="0E034A3B"/>
    <w:rsid w:val="0E19425F"/>
    <w:rsid w:val="0E19600D"/>
    <w:rsid w:val="0E2624D8"/>
    <w:rsid w:val="0E356BBF"/>
    <w:rsid w:val="0E4219DB"/>
    <w:rsid w:val="0E4C540B"/>
    <w:rsid w:val="0E793654"/>
    <w:rsid w:val="0EA97268"/>
    <w:rsid w:val="0EAF071F"/>
    <w:rsid w:val="0ED35847"/>
    <w:rsid w:val="0ED40186"/>
    <w:rsid w:val="0ED802FF"/>
    <w:rsid w:val="0EE20AF5"/>
    <w:rsid w:val="0F072309"/>
    <w:rsid w:val="0F0942D3"/>
    <w:rsid w:val="0F0E3698"/>
    <w:rsid w:val="0F6A2898"/>
    <w:rsid w:val="0F6B6D3C"/>
    <w:rsid w:val="0F851480"/>
    <w:rsid w:val="0FA1450C"/>
    <w:rsid w:val="0FC14BAE"/>
    <w:rsid w:val="0FDC3796"/>
    <w:rsid w:val="0FF74205"/>
    <w:rsid w:val="1008458B"/>
    <w:rsid w:val="100D4B83"/>
    <w:rsid w:val="106D0892"/>
    <w:rsid w:val="108F25B6"/>
    <w:rsid w:val="10947BCD"/>
    <w:rsid w:val="109C4CD3"/>
    <w:rsid w:val="110D797F"/>
    <w:rsid w:val="11286567"/>
    <w:rsid w:val="1131366D"/>
    <w:rsid w:val="113D64B6"/>
    <w:rsid w:val="11447845"/>
    <w:rsid w:val="1173012A"/>
    <w:rsid w:val="11AC7198"/>
    <w:rsid w:val="11B22B48"/>
    <w:rsid w:val="11BD75F7"/>
    <w:rsid w:val="11DB1AE3"/>
    <w:rsid w:val="11E20D72"/>
    <w:rsid w:val="121C256F"/>
    <w:rsid w:val="124318AA"/>
    <w:rsid w:val="12631F4C"/>
    <w:rsid w:val="126E3EB0"/>
    <w:rsid w:val="12747CB6"/>
    <w:rsid w:val="128437C6"/>
    <w:rsid w:val="12891287"/>
    <w:rsid w:val="129465AA"/>
    <w:rsid w:val="129B4B68"/>
    <w:rsid w:val="129C720C"/>
    <w:rsid w:val="12D9220E"/>
    <w:rsid w:val="12F17B2E"/>
    <w:rsid w:val="13023513"/>
    <w:rsid w:val="13157F9E"/>
    <w:rsid w:val="136071FB"/>
    <w:rsid w:val="13660293"/>
    <w:rsid w:val="13737F6D"/>
    <w:rsid w:val="137B7981"/>
    <w:rsid w:val="138959E3"/>
    <w:rsid w:val="138F7287"/>
    <w:rsid w:val="139B1132"/>
    <w:rsid w:val="139B74C4"/>
    <w:rsid w:val="13AA5959"/>
    <w:rsid w:val="13C056B4"/>
    <w:rsid w:val="13E87CB7"/>
    <w:rsid w:val="13F56435"/>
    <w:rsid w:val="140C1FE5"/>
    <w:rsid w:val="141650CD"/>
    <w:rsid w:val="141D612B"/>
    <w:rsid w:val="142C45C0"/>
    <w:rsid w:val="143040B0"/>
    <w:rsid w:val="145533A6"/>
    <w:rsid w:val="14587163"/>
    <w:rsid w:val="14740441"/>
    <w:rsid w:val="148443FC"/>
    <w:rsid w:val="1497412F"/>
    <w:rsid w:val="149F2FE4"/>
    <w:rsid w:val="14A423A8"/>
    <w:rsid w:val="14CB5B87"/>
    <w:rsid w:val="14EC25CE"/>
    <w:rsid w:val="150C0679"/>
    <w:rsid w:val="1514752E"/>
    <w:rsid w:val="151F0FD9"/>
    <w:rsid w:val="152F028D"/>
    <w:rsid w:val="153100AC"/>
    <w:rsid w:val="15455939"/>
    <w:rsid w:val="154F67B8"/>
    <w:rsid w:val="158D6BDD"/>
    <w:rsid w:val="158E72E0"/>
    <w:rsid w:val="15A5462A"/>
    <w:rsid w:val="15D33824"/>
    <w:rsid w:val="15DE7AD6"/>
    <w:rsid w:val="15E92BC7"/>
    <w:rsid w:val="15FD3709"/>
    <w:rsid w:val="160464D3"/>
    <w:rsid w:val="16157A01"/>
    <w:rsid w:val="16493207"/>
    <w:rsid w:val="164B0365"/>
    <w:rsid w:val="164B6F7F"/>
    <w:rsid w:val="16565924"/>
    <w:rsid w:val="16685D83"/>
    <w:rsid w:val="166938A9"/>
    <w:rsid w:val="167A7865"/>
    <w:rsid w:val="167F6351"/>
    <w:rsid w:val="168B1A72"/>
    <w:rsid w:val="16C32C88"/>
    <w:rsid w:val="16C358AF"/>
    <w:rsid w:val="16D637FC"/>
    <w:rsid w:val="16F76FA7"/>
    <w:rsid w:val="172A3039"/>
    <w:rsid w:val="1763654B"/>
    <w:rsid w:val="1773288D"/>
    <w:rsid w:val="178D1D96"/>
    <w:rsid w:val="17966920"/>
    <w:rsid w:val="17B40B54"/>
    <w:rsid w:val="17CA65CA"/>
    <w:rsid w:val="17D91DCC"/>
    <w:rsid w:val="17E0069A"/>
    <w:rsid w:val="17F35B20"/>
    <w:rsid w:val="180B1483"/>
    <w:rsid w:val="180C273E"/>
    <w:rsid w:val="183459BE"/>
    <w:rsid w:val="183D7B1A"/>
    <w:rsid w:val="1840688C"/>
    <w:rsid w:val="184F3D45"/>
    <w:rsid w:val="18B51DF5"/>
    <w:rsid w:val="18BE7B6B"/>
    <w:rsid w:val="18D019BE"/>
    <w:rsid w:val="18E37943"/>
    <w:rsid w:val="18FA239B"/>
    <w:rsid w:val="190B2632"/>
    <w:rsid w:val="191C4C03"/>
    <w:rsid w:val="19232435"/>
    <w:rsid w:val="194D3428"/>
    <w:rsid w:val="19575C3B"/>
    <w:rsid w:val="195B397D"/>
    <w:rsid w:val="19622F5E"/>
    <w:rsid w:val="19835FF4"/>
    <w:rsid w:val="19882298"/>
    <w:rsid w:val="19946E8F"/>
    <w:rsid w:val="199E39C2"/>
    <w:rsid w:val="19A8293B"/>
    <w:rsid w:val="19B0520C"/>
    <w:rsid w:val="19B4308D"/>
    <w:rsid w:val="19D41982"/>
    <w:rsid w:val="19E219A9"/>
    <w:rsid w:val="19E73463"/>
    <w:rsid w:val="1A332204"/>
    <w:rsid w:val="1A78055F"/>
    <w:rsid w:val="1A7F3E24"/>
    <w:rsid w:val="1A9A5D1C"/>
    <w:rsid w:val="1AC217DA"/>
    <w:rsid w:val="1AE57390"/>
    <w:rsid w:val="1AFE2C2B"/>
    <w:rsid w:val="1B1F09DB"/>
    <w:rsid w:val="1B6F1962"/>
    <w:rsid w:val="1B982FF3"/>
    <w:rsid w:val="1BD619E1"/>
    <w:rsid w:val="1BD971F4"/>
    <w:rsid w:val="1BDA2117"/>
    <w:rsid w:val="1BDB6FF7"/>
    <w:rsid w:val="1BEA548C"/>
    <w:rsid w:val="1C0F2CE1"/>
    <w:rsid w:val="1C224C26"/>
    <w:rsid w:val="1C623275"/>
    <w:rsid w:val="1C762226"/>
    <w:rsid w:val="1C7B60E4"/>
    <w:rsid w:val="1C8675BF"/>
    <w:rsid w:val="1CA8197B"/>
    <w:rsid w:val="1D0D31E0"/>
    <w:rsid w:val="1D1C78C7"/>
    <w:rsid w:val="1D214EDE"/>
    <w:rsid w:val="1D7F1C04"/>
    <w:rsid w:val="1D864D41"/>
    <w:rsid w:val="1DC64109"/>
    <w:rsid w:val="1DD10C77"/>
    <w:rsid w:val="1DD821DB"/>
    <w:rsid w:val="1DD84EE2"/>
    <w:rsid w:val="1DD957B9"/>
    <w:rsid w:val="1DE21BFC"/>
    <w:rsid w:val="1DEA52D0"/>
    <w:rsid w:val="1E2702D2"/>
    <w:rsid w:val="1EC575F3"/>
    <w:rsid w:val="1ECC0E79"/>
    <w:rsid w:val="1EFB350D"/>
    <w:rsid w:val="1F126AC2"/>
    <w:rsid w:val="1F1840BF"/>
    <w:rsid w:val="1F2760B0"/>
    <w:rsid w:val="1F503858"/>
    <w:rsid w:val="1F515A39"/>
    <w:rsid w:val="1F69532E"/>
    <w:rsid w:val="1F7C63FB"/>
    <w:rsid w:val="1F9803AC"/>
    <w:rsid w:val="1F9A4AD4"/>
    <w:rsid w:val="1FCF29CF"/>
    <w:rsid w:val="1FFD411B"/>
    <w:rsid w:val="202B1BD0"/>
    <w:rsid w:val="203D01A7"/>
    <w:rsid w:val="2087367A"/>
    <w:rsid w:val="209F2A54"/>
    <w:rsid w:val="20A43E5C"/>
    <w:rsid w:val="20B47E17"/>
    <w:rsid w:val="20D73ACA"/>
    <w:rsid w:val="20EE50D7"/>
    <w:rsid w:val="20FD1BD4"/>
    <w:rsid w:val="20FD356C"/>
    <w:rsid w:val="21193E13"/>
    <w:rsid w:val="211B1C44"/>
    <w:rsid w:val="212E447E"/>
    <w:rsid w:val="212E5E1B"/>
    <w:rsid w:val="21671CF6"/>
    <w:rsid w:val="217557F8"/>
    <w:rsid w:val="218872DA"/>
    <w:rsid w:val="218E0668"/>
    <w:rsid w:val="21B856E5"/>
    <w:rsid w:val="21E93AF0"/>
    <w:rsid w:val="21ED1832"/>
    <w:rsid w:val="2221328A"/>
    <w:rsid w:val="227B6E3E"/>
    <w:rsid w:val="228A7081"/>
    <w:rsid w:val="228D764F"/>
    <w:rsid w:val="229C6DE9"/>
    <w:rsid w:val="22D64075"/>
    <w:rsid w:val="22E76282"/>
    <w:rsid w:val="230E7CB2"/>
    <w:rsid w:val="231150AD"/>
    <w:rsid w:val="233E412D"/>
    <w:rsid w:val="233E7DBC"/>
    <w:rsid w:val="2349026B"/>
    <w:rsid w:val="23A83C63"/>
    <w:rsid w:val="23BD5235"/>
    <w:rsid w:val="23C465C3"/>
    <w:rsid w:val="23CD1D77"/>
    <w:rsid w:val="24281889"/>
    <w:rsid w:val="24577437"/>
    <w:rsid w:val="24961D0D"/>
    <w:rsid w:val="24B403E6"/>
    <w:rsid w:val="24C42EA1"/>
    <w:rsid w:val="24C90A33"/>
    <w:rsid w:val="24D10F97"/>
    <w:rsid w:val="24F074D1"/>
    <w:rsid w:val="25022231"/>
    <w:rsid w:val="251A0B90"/>
    <w:rsid w:val="251A3303"/>
    <w:rsid w:val="25284930"/>
    <w:rsid w:val="25457290"/>
    <w:rsid w:val="2547125A"/>
    <w:rsid w:val="25545725"/>
    <w:rsid w:val="25710085"/>
    <w:rsid w:val="25853B30"/>
    <w:rsid w:val="2593449F"/>
    <w:rsid w:val="25AD37B3"/>
    <w:rsid w:val="25B20DC9"/>
    <w:rsid w:val="25C32FD6"/>
    <w:rsid w:val="25CA1509"/>
    <w:rsid w:val="25EC437E"/>
    <w:rsid w:val="25FF2AF6"/>
    <w:rsid w:val="260450DB"/>
    <w:rsid w:val="26094761"/>
    <w:rsid w:val="260E7FC9"/>
    <w:rsid w:val="261E645E"/>
    <w:rsid w:val="263D7F73"/>
    <w:rsid w:val="264F486A"/>
    <w:rsid w:val="26625BC2"/>
    <w:rsid w:val="269E208E"/>
    <w:rsid w:val="26A050C5"/>
    <w:rsid w:val="26A54F0B"/>
    <w:rsid w:val="26BE19EF"/>
    <w:rsid w:val="26D7485F"/>
    <w:rsid w:val="26E02441"/>
    <w:rsid w:val="26E054C2"/>
    <w:rsid w:val="27042DFE"/>
    <w:rsid w:val="270645C5"/>
    <w:rsid w:val="2707406D"/>
    <w:rsid w:val="27191DB9"/>
    <w:rsid w:val="275639D6"/>
    <w:rsid w:val="2781787A"/>
    <w:rsid w:val="279A7D67"/>
    <w:rsid w:val="279D1605"/>
    <w:rsid w:val="279F712B"/>
    <w:rsid w:val="27B5694E"/>
    <w:rsid w:val="27CE5C62"/>
    <w:rsid w:val="27DF39CB"/>
    <w:rsid w:val="28355CE1"/>
    <w:rsid w:val="28373807"/>
    <w:rsid w:val="28440A5B"/>
    <w:rsid w:val="284952E9"/>
    <w:rsid w:val="284C045D"/>
    <w:rsid w:val="285048C9"/>
    <w:rsid w:val="28846049"/>
    <w:rsid w:val="28E31299"/>
    <w:rsid w:val="28EF4F44"/>
    <w:rsid w:val="28F17E5A"/>
    <w:rsid w:val="28FB4835"/>
    <w:rsid w:val="290556B4"/>
    <w:rsid w:val="29257B04"/>
    <w:rsid w:val="292A6EC8"/>
    <w:rsid w:val="29540304"/>
    <w:rsid w:val="295B1778"/>
    <w:rsid w:val="295C0655"/>
    <w:rsid w:val="296950CB"/>
    <w:rsid w:val="29695C42"/>
    <w:rsid w:val="29A5570A"/>
    <w:rsid w:val="29A63C37"/>
    <w:rsid w:val="29B570DA"/>
    <w:rsid w:val="29D62BAC"/>
    <w:rsid w:val="29F00112"/>
    <w:rsid w:val="2A473AAA"/>
    <w:rsid w:val="2A622692"/>
    <w:rsid w:val="2A662182"/>
    <w:rsid w:val="2A697EC4"/>
    <w:rsid w:val="2A900FAD"/>
    <w:rsid w:val="2A9C2D33"/>
    <w:rsid w:val="2AA119FC"/>
    <w:rsid w:val="2AF27EBA"/>
    <w:rsid w:val="2AF7102C"/>
    <w:rsid w:val="2AFC0D9C"/>
    <w:rsid w:val="2B45623B"/>
    <w:rsid w:val="2B5D17D7"/>
    <w:rsid w:val="2B7663F5"/>
    <w:rsid w:val="2B794137"/>
    <w:rsid w:val="2B7F70A5"/>
    <w:rsid w:val="2B8C5C18"/>
    <w:rsid w:val="2B960845"/>
    <w:rsid w:val="2BB1742D"/>
    <w:rsid w:val="2BBF0C1C"/>
    <w:rsid w:val="2BC41327"/>
    <w:rsid w:val="2BFA5278"/>
    <w:rsid w:val="2C005095"/>
    <w:rsid w:val="2C17011F"/>
    <w:rsid w:val="2C1D2D14"/>
    <w:rsid w:val="2C2220D9"/>
    <w:rsid w:val="2C2B3086"/>
    <w:rsid w:val="2C387B4E"/>
    <w:rsid w:val="2C525562"/>
    <w:rsid w:val="2C610E53"/>
    <w:rsid w:val="2C755D0D"/>
    <w:rsid w:val="2CA13945"/>
    <w:rsid w:val="2CAC2A7B"/>
    <w:rsid w:val="2CB951EB"/>
    <w:rsid w:val="2CC24314"/>
    <w:rsid w:val="2CDD07AF"/>
    <w:rsid w:val="2CF0667B"/>
    <w:rsid w:val="2CF90D9F"/>
    <w:rsid w:val="2D69418A"/>
    <w:rsid w:val="2D99286E"/>
    <w:rsid w:val="2D9B2143"/>
    <w:rsid w:val="2D9E319D"/>
    <w:rsid w:val="2DAF47F9"/>
    <w:rsid w:val="2DB33930"/>
    <w:rsid w:val="2DB86843"/>
    <w:rsid w:val="2DD12008"/>
    <w:rsid w:val="2DE57862"/>
    <w:rsid w:val="2DED474D"/>
    <w:rsid w:val="2DFE6E37"/>
    <w:rsid w:val="2E1741F6"/>
    <w:rsid w:val="2E3031D3"/>
    <w:rsid w:val="2E36630F"/>
    <w:rsid w:val="2E823302"/>
    <w:rsid w:val="2EC102CF"/>
    <w:rsid w:val="2ED31DB0"/>
    <w:rsid w:val="2EDD0C2B"/>
    <w:rsid w:val="2F223C93"/>
    <w:rsid w:val="2F3445FD"/>
    <w:rsid w:val="2F3E7229"/>
    <w:rsid w:val="2F535856"/>
    <w:rsid w:val="2F57653D"/>
    <w:rsid w:val="2F6B1FE9"/>
    <w:rsid w:val="2F762E67"/>
    <w:rsid w:val="2FA026BE"/>
    <w:rsid w:val="2FAC4ADB"/>
    <w:rsid w:val="2FE13593"/>
    <w:rsid w:val="2FFE2E5D"/>
    <w:rsid w:val="301F52AD"/>
    <w:rsid w:val="302428C3"/>
    <w:rsid w:val="302F3B93"/>
    <w:rsid w:val="3034552F"/>
    <w:rsid w:val="30413E8E"/>
    <w:rsid w:val="304271ED"/>
    <w:rsid w:val="30542A7D"/>
    <w:rsid w:val="3075313F"/>
    <w:rsid w:val="30760C45"/>
    <w:rsid w:val="30963095"/>
    <w:rsid w:val="30A9101A"/>
    <w:rsid w:val="30AE4883"/>
    <w:rsid w:val="30B11C7D"/>
    <w:rsid w:val="30F11D05"/>
    <w:rsid w:val="30F45B82"/>
    <w:rsid w:val="30F878AC"/>
    <w:rsid w:val="30FA3624"/>
    <w:rsid w:val="310426F5"/>
    <w:rsid w:val="31181CFC"/>
    <w:rsid w:val="311A5A74"/>
    <w:rsid w:val="312D57A8"/>
    <w:rsid w:val="312E5FEB"/>
    <w:rsid w:val="31A6555A"/>
    <w:rsid w:val="31C76D4C"/>
    <w:rsid w:val="31D356B0"/>
    <w:rsid w:val="31E00A6C"/>
    <w:rsid w:val="31FE21A5"/>
    <w:rsid w:val="32186458"/>
    <w:rsid w:val="32220E91"/>
    <w:rsid w:val="322A0611"/>
    <w:rsid w:val="32463916"/>
    <w:rsid w:val="324A23F5"/>
    <w:rsid w:val="325E7BE3"/>
    <w:rsid w:val="326276D3"/>
    <w:rsid w:val="32851613"/>
    <w:rsid w:val="32954E27"/>
    <w:rsid w:val="329655CE"/>
    <w:rsid w:val="32BF7DFB"/>
    <w:rsid w:val="32C97752"/>
    <w:rsid w:val="32E1603D"/>
    <w:rsid w:val="32F02F31"/>
    <w:rsid w:val="331C1F78"/>
    <w:rsid w:val="33323549"/>
    <w:rsid w:val="335C7FF4"/>
    <w:rsid w:val="33751688"/>
    <w:rsid w:val="3381002D"/>
    <w:rsid w:val="338A7FAD"/>
    <w:rsid w:val="339C4E66"/>
    <w:rsid w:val="33B421B0"/>
    <w:rsid w:val="33C85C5B"/>
    <w:rsid w:val="33D76D13"/>
    <w:rsid w:val="33ED018B"/>
    <w:rsid w:val="33FB1B8D"/>
    <w:rsid w:val="34060532"/>
    <w:rsid w:val="34207846"/>
    <w:rsid w:val="34305F32"/>
    <w:rsid w:val="34332B30"/>
    <w:rsid w:val="3434236D"/>
    <w:rsid w:val="34433534"/>
    <w:rsid w:val="347B4A7C"/>
    <w:rsid w:val="348F22D5"/>
    <w:rsid w:val="34916467"/>
    <w:rsid w:val="349A75F8"/>
    <w:rsid w:val="34B232D3"/>
    <w:rsid w:val="34BD5AEB"/>
    <w:rsid w:val="34C46423"/>
    <w:rsid w:val="34E24AFB"/>
    <w:rsid w:val="34E26838"/>
    <w:rsid w:val="34EB7E53"/>
    <w:rsid w:val="34EE34A0"/>
    <w:rsid w:val="35074561"/>
    <w:rsid w:val="350C3926"/>
    <w:rsid w:val="35156C7E"/>
    <w:rsid w:val="35213875"/>
    <w:rsid w:val="353A4937"/>
    <w:rsid w:val="353A66E5"/>
    <w:rsid w:val="353F5AA9"/>
    <w:rsid w:val="35586B6B"/>
    <w:rsid w:val="3566572C"/>
    <w:rsid w:val="35A3428A"/>
    <w:rsid w:val="35BE328B"/>
    <w:rsid w:val="35C30A55"/>
    <w:rsid w:val="35C661CB"/>
    <w:rsid w:val="35D07049"/>
    <w:rsid w:val="35E11256"/>
    <w:rsid w:val="35EF65E1"/>
    <w:rsid w:val="35F74A58"/>
    <w:rsid w:val="35FE5964"/>
    <w:rsid w:val="36034D29"/>
    <w:rsid w:val="3609300A"/>
    <w:rsid w:val="362C191E"/>
    <w:rsid w:val="362F3BFA"/>
    <w:rsid w:val="365E5169"/>
    <w:rsid w:val="366C6D72"/>
    <w:rsid w:val="366D4BC8"/>
    <w:rsid w:val="366E760D"/>
    <w:rsid w:val="367B6FB5"/>
    <w:rsid w:val="369066FC"/>
    <w:rsid w:val="369334DC"/>
    <w:rsid w:val="36AC7588"/>
    <w:rsid w:val="36C21C3F"/>
    <w:rsid w:val="36D13079"/>
    <w:rsid w:val="36D33C63"/>
    <w:rsid w:val="36F318CB"/>
    <w:rsid w:val="37023232"/>
    <w:rsid w:val="371A4A20"/>
    <w:rsid w:val="372A42BA"/>
    <w:rsid w:val="3736112E"/>
    <w:rsid w:val="373A0948"/>
    <w:rsid w:val="375E2A17"/>
    <w:rsid w:val="376161AB"/>
    <w:rsid w:val="377744E3"/>
    <w:rsid w:val="3795529C"/>
    <w:rsid w:val="379E11AD"/>
    <w:rsid w:val="37B22EAA"/>
    <w:rsid w:val="37E42938"/>
    <w:rsid w:val="37F708BD"/>
    <w:rsid w:val="38074AF9"/>
    <w:rsid w:val="38082ACA"/>
    <w:rsid w:val="38314519"/>
    <w:rsid w:val="38336D98"/>
    <w:rsid w:val="383F038F"/>
    <w:rsid w:val="38505119"/>
    <w:rsid w:val="386A72E1"/>
    <w:rsid w:val="386C3059"/>
    <w:rsid w:val="3891486E"/>
    <w:rsid w:val="38E60960"/>
    <w:rsid w:val="38F512A1"/>
    <w:rsid w:val="39406294"/>
    <w:rsid w:val="39416F45"/>
    <w:rsid w:val="394A3E0E"/>
    <w:rsid w:val="394B1EE3"/>
    <w:rsid w:val="396B1563"/>
    <w:rsid w:val="396B4DB7"/>
    <w:rsid w:val="396E1053"/>
    <w:rsid w:val="397330FD"/>
    <w:rsid w:val="397C6ACC"/>
    <w:rsid w:val="39954B62"/>
    <w:rsid w:val="39A44A75"/>
    <w:rsid w:val="39E3546E"/>
    <w:rsid w:val="3A241DD5"/>
    <w:rsid w:val="3A257964"/>
    <w:rsid w:val="3A3A5061"/>
    <w:rsid w:val="3A3C6A5B"/>
    <w:rsid w:val="3A4678DA"/>
    <w:rsid w:val="3A4727AD"/>
    <w:rsid w:val="3A555D6F"/>
    <w:rsid w:val="3A571AE7"/>
    <w:rsid w:val="3A6F0BDF"/>
    <w:rsid w:val="3A86417A"/>
    <w:rsid w:val="3A8D375B"/>
    <w:rsid w:val="3AAA60BB"/>
    <w:rsid w:val="3AD84A09"/>
    <w:rsid w:val="3AE214AE"/>
    <w:rsid w:val="3AEA295B"/>
    <w:rsid w:val="3B0D21A6"/>
    <w:rsid w:val="3B124BB9"/>
    <w:rsid w:val="3B2220F5"/>
    <w:rsid w:val="3B247C1B"/>
    <w:rsid w:val="3B531D3E"/>
    <w:rsid w:val="3B5878C5"/>
    <w:rsid w:val="3B7A5A8D"/>
    <w:rsid w:val="3B903503"/>
    <w:rsid w:val="3B9C1479"/>
    <w:rsid w:val="3BA05290"/>
    <w:rsid w:val="3BA1126C"/>
    <w:rsid w:val="3BB0325D"/>
    <w:rsid w:val="3BE90B1A"/>
    <w:rsid w:val="3C045EE9"/>
    <w:rsid w:val="3C12185C"/>
    <w:rsid w:val="3C2459F9"/>
    <w:rsid w:val="3C316BFE"/>
    <w:rsid w:val="3C3A2B60"/>
    <w:rsid w:val="3C4B567C"/>
    <w:rsid w:val="3C6C6886"/>
    <w:rsid w:val="3C710A9B"/>
    <w:rsid w:val="3C740B22"/>
    <w:rsid w:val="3C942B7F"/>
    <w:rsid w:val="3C9613C2"/>
    <w:rsid w:val="3CA37266"/>
    <w:rsid w:val="3CA803D8"/>
    <w:rsid w:val="3CA8662A"/>
    <w:rsid w:val="3CAB3899"/>
    <w:rsid w:val="3CE75344"/>
    <w:rsid w:val="3CF4361D"/>
    <w:rsid w:val="3CF76527"/>
    <w:rsid w:val="3D0F48FB"/>
    <w:rsid w:val="3D1117D8"/>
    <w:rsid w:val="3D315030"/>
    <w:rsid w:val="3D385C00"/>
    <w:rsid w:val="3D387E51"/>
    <w:rsid w:val="3D463DBE"/>
    <w:rsid w:val="3D4B05F7"/>
    <w:rsid w:val="3D536F54"/>
    <w:rsid w:val="3D714C6E"/>
    <w:rsid w:val="3D7F365D"/>
    <w:rsid w:val="3D80667C"/>
    <w:rsid w:val="3D8F1598"/>
    <w:rsid w:val="3D931DA2"/>
    <w:rsid w:val="3D934BE4"/>
    <w:rsid w:val="3D995F73"/>
    <w:rsid w:val="3DE2791A"/>
    <w:rsid w:val="3DF02037"/>
    <w:rsid w:val="3DFD7B27"/>
    <w:rsid w:val="3DFF0E5C"/>
    <w:rsid w:val="3E004607"/>
    <w:rsid w:val="3E0B50C2"/>
    <w:rsid w:val="3E0E4BB3"/>
    <w:rsid w:val="3E22515D"/>
    <w:rsid w:val="3E263CAA"/>
    <w:rsid w:val="3E396CAE"/>
    <w:rsid w:val="3E3B7D9F"/>
    <w:rsid w:val="3E506F79"/>
    <w:rsid w:val="3E614CE2"/>
    <w:rsid w:val="3E78202C"/>
    <w:rsid w:val="3E7A5DA4"/>
    <w:rsid w:val="3E7D047A"/>
    <w:rsid w:val="3EA62247"/>
    <w:rsid w:val="3EC82FB3"/>
    <w:rsid w:val="3ED05615"/>
    <w:rsid w:val="3F0F473E"/>
    <w:rsid w:val="3F250AB4"/>
    <w:rsid w:val="3F2F6B8F"/>
    <w:rsid w:val="3F6251B6"/>
    <w:rsid w:val="3F7E3CCE"/>
    <w:rsid w:val="3F8C2233"/>
    <w:rsid w:val="3F9115F7"/>
    <w:rsid w:val="3FB3156E"/>
    <w:rsid w:val="3FB65AD9"/>
    <w:rsid w:val="3FBA0B4E"/>
    <w:rsid w:val="3FD339BE"/>
    <w:rsid w:val="3FE05723"/>
    <w:rsid w:val="3FFAF31D"/>
    <w:rsid w:val="40144798"/>
    <w:rsid w:val="40185875"/>
    <w:rsid w:val="40224945"/>
    <w:rsid w:val="402C0554"/>
    <w:rsid w:val="402E6E46"/>
    <w:rsid w:val="403D6978"/>
    <w:rsid w:val="40452C81"/>
    <w:rsid w:val="40582115"/>
    <w:rsid w:val="405D1A2A"/>
    <w:rsid w:val="405E0525"/>
    <w:rsid w:val="40646D0C"/>
    <w:rsid w:val="40774C91"/>
    <w:rsid w:val="40955117"/>
    <w:rsid w:val="40AD420F"/>
    <w:rsid w:val="410762AC"/>
    <w:rsid w:val="41151DB4"/>
    <w:rsid w:val="41601F71"/>
    <w:rsid w:val="41932D5F"/>
    <w:rsid w:val="41A05B22"/>
    <w:rsid w:val="41AF2209"/>
    <w:rsid w:val="41C95079"/>
    <w:rsid w:val="41EA3241"/>
    <w:rsid w:val="41FF4F3E"/>
    <w:rsid w:val="42024A2E"/>
    <w:rsid w:val="420A6C99"/>
    <w:rsid w:val="421A72C0"/>
    <w:rsid w:val="42312C1E"/>
    <w:rsid w:val="423408FB"/>
    <w:rsid w:val="426873D6"/>
    <w:rsid w:val="42827F0E"/>
    <w:rsid w:val="42925DB2"/>
    <w:rsid w:val="42B52A5A"/>
    <w:rsid w:val="42EB4309"/>
    <w:rsid w:val="42F16099"/>
    <w:rsid w:val="433429C6"/>
    <w:rsid w:val="4339622E"/>
    <w:rsid w:val="435C016E"/>
    <w:rsid w:val="437159C8"/>
    <w:rsid w:val="43AE09CA"/>
    <w:rsid w:val="43B91888"/>
    <w:rsid w:val="43C95804"/>
    <w:rsid w:val="4403491A"/>
    <w:rsid w:val="445826D6"/>
    <w:rsid w:val="44703ED1"/>
    <w:rsid w:val="447F4114"/>
    <w:rsid w:val="448917EC"/>
    <w:rsid w:val="44A2710B"/>
    <w:rsid w:val="44A5030F"/>
    <w:rsid w:val="44BE2144"/>
    <w:rsid w:val="44C1472D"/>
    <w:rsid w:val="44CD30D2"/>
    <w:rsid w:val="44D3620E"/>
    <w:rsid w:val="44E4041B"/>
    <w:rsid w:val="44FC7513"/>
    <w:rsid w:val="450D39DC"/>
    <w:rsid w:val="45141548"/>
    <w:rsid w:val="45181009"/>
    <w:rsid w:val="452C0D9A"/>
    <w:rsid w:val="452F78E8"/>
    <w:rsid w:val="4541761C"/>
    <w:rsid w:val="45686B2D"/>
    <w:rsid w:val="457E78C3"/>
    <w:rsid w:val="457F0202"/>
    <w:rsid w:val="457F1EF2"/>
    <w:rsid w:val="45806396"/>
    <w:rsid w:val="45C10D70"/>
    <w:rsid w:val="45C85647"/>
    <w:rsid w:val="45DB3EF9"/>
    <w:rsid w:val="45E85CE9"/>
    <w:rsid w:val="46032B23"/>
    <w:rsid w:val="46132D66"/>
    <w:rsid w:val="46317690"/>
    <w:rsid w:val="46364CA7"/>
    <w:rsid w:val="463A1ECC"/>
    <w:rsid w:val="46B81CA9"/>
    <w:rsid w:val="46E110B6"/>
    <w:rsid w:val="46E62229"/>
    <w:rsid w:val="46ED1809"/>
    <w:rsid w:val="46FA3F26"/>
    <w:rsid w:val="46FA6535"/>
    <w:rsid w:val="47024B89"/>
    <w:rsid w:val="470C6541"/>
    <w:rsid w:val="47134FE8"/>
    <w:rsid w:val="47266AC9"/>
    <w:rsid w:val="47811F51"/>
    <w:rsid w:val="47A60B70"/>
    <w:rsid w:val="47C84024"/>
    <w:rsid w:val="47E81FD1"/>
    <w:rsid w:val="47F40975"/>
    <w:rsid w:val="47F60B91"/>
    <w:rsid w:val="48054931"/>
    <w:rsid w:val="482F5E51"/>
    <w:rsid w:val="483B0352"/>
    <w:rsid w:val="486758C4"/>
    <w:rsid w:val="487C41DD"/>
    <w:rsid w:val="488C2ACF"/>
    <w:rsid w:val="488F7C16"/>
    <w:rsid w:val="48931F3C"/>
    <w:rsid w:val="48965349"/>
    <w:rsid w:val="48AA54D8"/>
    <w:rsid w:val="48D32C81"/>
    <w:rsid w:val="48EF2E1B"/>
    <w:rsid w:val="48F35B3F"/>
    <w:rsid w:val="4901159C"/>
    <w:rsid w:val="49153299"/>
    <w:rsid w:val="49180694"/>
    <w:rsid w:val="495B760C"/>
    <w:rsid w:val="49677321"/>
    <w:rsid w:val="4974292D"/>
    <w:rsid w:val="49751537"/>
    <w:rsid w:val="498B5C77"/>
    <w:rsid w:val="498E0956"/>
    <w:rsid w:val="49A119ED"/>
    <w:rsid w:val="49B27967"/>
    <w:rsid w:val="49CA6C64"/>
    <w:rsid w:val="49D00F6E"/>
    <w:rsid w:val="49DF0B35"/>
    <w:rsid w:val="49EF5898"/>
    <w:rsid w:val="4A0D488A"/>
    <w:rsid w:val="4A0D5D1E"/>
    <w:rsid w:val="4A2A75AB"/>
    <w:rsid w:val="4A3855BE"/>
    <w:rsid w:val="4A4554B8"/>
    <w:rsid w:val="4A5E5DDF"/>
    <w:rsid w:val="4A7F6F7D"/>
    <w:rsid w:val="4A9511DA"/>
    <w:rsid w:val="4AC705C3"/>
    <w:rsid w:val="4ACF1226"/>
    <w:rsid w:val="4AD30D16"/>
    <w:rsid w:val="4AD44F71"/>
    <w:rsid w:val="4AD4683C"/>
    <w:rsid w:val="4AD60806"/>
    <w:rsid w:val="4AEC1DD8"/>
    <w:rsid w:val="4AF54F29"/>
    <w:rsid w:val="4B007631"/>
    <w:rsid w:val="4B232DA2"/>
    <w:rsid w:val="4B296B88"/>
    <w:rsid w:val="4B5670C1"/>
    <w:rsid w:val="4BA72908"/>
    <w:rsid w:val="4BCD6803"/>
    <w:rsid w:val="4BDA60D4"/>
    <w:rsid w:val="4BE64A79"/>
    <w:rsid w:val="4C1E1B11"/>
    <w:rsid w:val="4C352DFF"/>
    <w:rsid w:val="4C612351"/>
    <w:rsid w:val="4C63431C"/>
    <w:rsid w:val="4C637F6F"/>
    <w:rsid w:val="4C7D7357"/>
    <w:rsid w:val="4C891FD4"/>
    <w:rsid w:val="4CA010CC"/>
    <w:rsid w:val="4CEC2563"/>
    <w:rsid w:val="4D0072CE"/>
    <w:rsid w:val="4D0C636D"/>
    <w:rsid w:val="4D1D67F6"/>
    <w:rsid w:val="4D562C80"/>
    <w:rsid w:val="4D6B3488"/>
    <w:rsid w:val="4D7560B4"/>
    <w:rsid w:val="4D77225E"/>
    <w:rsid w:val="4D7D31BB"/>
    <w:rsid w:val="4D901140"/>
    <w:rsid w:val="4D930C30"/>
    <w:rsid w:val="4D9E721C"/>
    <w:rsid w:val="4DAB1AD6"/>
    <w:rsid w:val="4DF47921"/>
    <w:rsid w:val="4E06707A"/>
    <w:rsid w:val="4E5C54C6"/>
    <w:rsid w:val="4E661EA1"/>
    <w:rsid w:val="4E726A98"/>
    <w:rsid w:val="4ECC5774"/>
    <w:rsid w:val="4EE73FDF"/>
    <w:rsid w:val="4EEB4A7F"/>
    <w:rsid w:val="4F18319B"/>
    <w:rsid w:val="4F1A44F5"/>
    <w:rsid w:val="4F3A01B4"/>
    <w:rsid w:val="4F3A75B6"/>
    <w:rsid w:val="4F561F16"/>
    <w:rsid w:val="4F585C8E"/>
    <w:rsid w:val="4F5876FA"/>
    <w:rsid w:val="4F6208BA"/>
    <w:rsid w:val="4F7A5C04"/>
    <w:rsid w:val="4F8C3B89"/>
    <w:rsid w:val="4F936CC6"/>
    <w:rsid w:val="4F9812E6"/>
    <w:rsid w:val="4FDA0854"/>
    <w:rsid w:val="50137E07"/>
    <w:rsid w:val="501A2F43"/>
    <w:rsid w:val="501D6F9B"/>
    <w:rsid w:val="501E0C85"/>
    <w:rsid w:val="50402E5B"/>
    <w:rsid w:val="50760AC1"/>
    <w:rsid w:val="507C44FD"/>
    <w:rsid w:val="509314F5"/>
    <w:rsid w:val="50B45146"/>
    <w:rsid w:val="50B91612"/>
    <w:rsid w:val="50C57353"/>
    <w:rsid w:val="50EC2B32"/>
    <w:rsid w:val="50FD73A0"/>
    <w:rsid w:val="51037E7B"/>
    <w:rsid w:val="51090CE9"/>
    <w:rsid w:val="511676E7"/>
    <w:rsid w:val="51625CF9"/>
    <w:rsid w:val="51890380"/>
    <w:rsid w:val="51932FAD"/>
    <w:rsid w:val="51962A9D"/>
    <w:rsid w:val="51AB479B"/>
    <w:rsid w:val="51C27D36"/>
    <w:rsid w:val="522602C5"/>
    <w:rsid w:val="523227C6"/>
    <w:rsid w:val="52376968"/>
    <w:rsid w:val="52662470"/>
    <w:rsid w:val="5268268C"/>
    <w:rsid w:val="527252B8"/>
    <w:rsid w:val="527949B6"/>
    <w:rsid w:val="52880638"/>
    <w:rsid w:val="52B551A5"/>
    <w:rsid w:val="52BB0A0D"/>
    <w:rsid w:val="52D7511B"/>
    <w:rsid w:val="52D95337"/>
    <w:rsid w:val="52DE1FCB"/>
    <w:rsid w:val="532A1B08"/>
    <w:rsid w:val="535844AE"/>
    <w:rsid w:val="536852EA"/>
    <w:rsid w:val="5386726D"/>
    <w:rsid w:val="538961A4"/>
    <w:rsid w:val="539B083F"/>
    <w:rsid w:val="53A45945"/>
    <w:rsid w:val="53A6324B"/>
    <w:rsid w:val="53AE2320"/>
    <w:rsid w:val="53CB1124"/>
    <w:rsid w:val="53D17DBD"/>
    <w:rsid w:val="540445A3"/>
    <w:rsid w:val="54104D89"/>
    <w:rsid w:val="54156ACF"/>
    <w:rsid w:val="54297BF9"/>
    <w:rsid w:val="544B176B"/>
    <w:rsid w:val="54776BB6"/>
    <w:rsid w:val="547846DC"/>
    <w:rsid w:val="5479292E"/>
    <w:rsid w:val="549F7EBB"/>
    <w:rsid w:val="54BB7C66"/>
    <w:rsid w:val="54C17E31"/>
    <w:rsid w:val="55264138"/>
    <w:rsid w:val="55326D32"/>
    <w:rsid w:val="55365402"/>
    <w:rsid w:val="553B5952"/>
    <w:rsid w:val="554B4D08"/>
    <w:rsid w:val="55515659"/>
    <w:rsid w:val="5566710A"/>
    <w:rsid w:val="55853555"/>
    <w:rsid w:val="558A0B6B"/>
    <w:rsid w:val="558E2409"/>
    <w:rsid w:val="55B13EB6"/>
    <w:rsid w:val="55B160F8"/>
    <w:rsid w:val="55BB6615"/>
    <w:rsid w:val="55E42029"/>
    <w:rsid w:val="55F81F79"/>
    <w:rsid w:val="56010E2D"/>
    <w:rsid w:val="560721BC"/>
    <w:rsid w:val="56293EE0"/>
    <w:rsid w:val="56450EDB"/>
    <w:rsid w:val="56576C9F"/>
    <w:rsid w:val="565E15A5"/>
    <w:rsid w:val="568832FC"/>
    <w:rsid w:val="568E6439"/>
    <w:rsid w:val="56E12A0D"/>
    <w:rsid w:val="56E322E1"/>
    <w:rsid w:val="56EE0C86"/>
    <w:rsid w:val="56F02C50"/>
    <w:rsid w:val="572B18A4"/>
    <w:rsid w:val="573E39BB"/>
    <w:rsid w:val="57596A47"/>
    <w:rsid w:val="576176AA"/>
    <w:rsid w:val="57822B16"/>
    <w:rsid w:val="579857A6"/>
    <w:rsid w:val="579B7990"/>
    <w:rsid w:val="57A53A3A"/>
    <w:rsid w:val="57AF0E5C"/>
    <w:rsid w:val="57CA16F3"/>
    <w:rsid w:val="57DB15B9"/>
    <w:rsid w:val="58191461"/>
    <w:rsid w:val="581E3FA7"/>
    <w:rsid w:val="583D33C0"/>
    <w:rsid w:val="586438F5"/>
    <w:rsid w:val="58A7742D"/>
    <w:rsid w:val="58D17250"/>
    <w:rsid w:val="58DF2F7C"/>
    <w:rsid w:val="58E95BA9"/>
    <w:rsid w:val="58ED4416"/>
    <w:rsid w:val="58F5454D"/>
    <w:rsid w:val="58F76517"/>
    <w:rsid w:val="590B5B1F"/>
    <w:rsid w:val="590D1897"/>
    <w:rsid w:val="5919401E"/>
    <w:rsid w:val="591E1BC3"/>
    <w:rsid w:val="59653481"/>
    <w:rsid w:val="596671F9"/>
    <w:rsid w:val="59691FED"/>
    <w:rsid w:val="597162CA"/>
    <w:rsid w:val="597638E0"/>
    <w:rsid w:val="597B2CC1"/>
    <w:rsid w:val="598C3730"/>
    <w:rsid w:val="59B60656"/>
    <w:rsid w:val="59B66EB3"/>
    <w:rsid w:val="59BD32BD"/>
    <w:rsid w:val="59D33627"/>
    <w:rsid w:val="59D46859"/>
    <w:rsid w:val="5A094F9B"/>
    <w:rsid w:val="5A0C5FF2"/>
    <w:rsid w:val="5A19111B"/>
    <w:rsid w:val="5A276988"/>
    <w:rsid w:val="5A2C317E"/>
    <w:rsid w:val="5A3C190B"/>
    <w:rsid w:val="5A5B0D0C"/>
    <w:rsid w:val="5A8D7F61"/>
    <w:rsid w:val="5A981634"/>
    <w:rsid w:val="5AD54636"/>
    <w:rsid w:val="5AD54E03"/>
    <w:rsid w:val="5AF26F96"/>
    <w:rsid w:val="5B0B3659"/>
    <w:rsid w:val="5B3E2BC0"/>
    <w:rsid w:val="5B6360E6"/>
    <w:rsid w:val="5B977B3E"/>
    <w:rsid w:val="5B9E0ECC"/>
    <w:rsid w:val="5BA54009"/>
    <w:rsid w:val="5BCF63A9"/>
    <w:rsid w:val="5C2C4F2D"/>
    <w:rsid w:val="5C423F4D"/>
    <w:rsid w:val="5C5679F9"/>
    <w:rsid w:val="5C7120A1"/>
    <w:rsid w:val="5C797243"/>
    <w:rsid w:val="5C806824"/>
    <w:rsid w:val="5CB52971"/>
    <w:rsid w:val="5CD32DF8"/>
    <w:rsid w:val="5CD4149F"/>
    <w:rsid w:val="5CF323B1"/>
    <w:rsid w:val="5CFD7E74"/>
    <w:rsid w:val="5CFF1E3E"/>
    <w:rsid w:val="5D5D31F7"/>
    <w:rsid w:val="5D63417B"/>
    <w:rsid w:val="5D635829"/>
    <w:rsid w:val="5D6677C8"/>
    <w:rsid w:val="5D775E79"/>
    <w:rsid w:val="5D8B36D2"/>
    <w:rsid w:val="5D8F4F70"/>
    <w:rsid w:val="5D924A61"/>
    <w:rsid w:val="5DAF116F"/>
    <w:rsid w:val="5DB449D7"/>
    <w:rsid w:val="5DD30284"/>
    <w:rsid w:val="5E162F9C"/>
    <w:rsid w:val="5E29424F"/>
    <w:rsid w:val="5E40626B"/>
    <w:rsid w:val="5E4C10B3"/>
    <w:rsid w:val="5E4C4C10"/>
    <w:rsid w:val="5E5166CA"/>
    <w:rsid w:val="5E5B30A5"/>
    <w:rsid w:val="5E6957C1"/>
    <w:rsid w:val="5E8545C5"/>
    <w:rsid w:val="5E875C48"/>
    <w:rsid w:val="5EAC3900"/>
    <w:rsid w:val="5EC7698C"/>
    <w:rsid w:val="5ECB7E0E"/>
    <w:rsid w:val="5EE70977"/>
    <w:rsid w:val="5EF84D97"/>
    <w:rsid w:val="5F17346F"/>
    <w:rsid w:val="5F5A270B"/>
    <w:rsid w:val="5F84662B"/>
    <w:rsid w:val="5FD217D5"/>
    <w:rsid w:val="5FEB6469"/>
    <w:rsid w:val="5FFC0099"/>
    <w:rsid w:val="601479AF"/>
    <w:rsid w:val="602045A6"/>
    <w:rsid w:val="60285208"/>
    <w:rsid w:val="60310561"/>
    <w:rsid w:val="60365B77"/>
    <w:rsid w:val="603C0CB4"/>
    <w:rsid w:val="605D1356"/>
    <w:rsid w:val="608B78E2"/>
    <w:rsid w:val="609B1E7E"/>
    <w:rsid w:val="60B30F76"/>
    <w:rsid w:val="60B85F03"/>
    <w:rsid w:val="60DC361E"/>
    <w:rsid w:val="60F33A68"/>
    <w:rsid w:val="61016185"/>
    <w:rsid w:val="612956DC"/>
    <w:rsid w:val="612A4D6D"/>
    <w:rsid w:val="613227E3"/>
    <w:rsid w:val="613A3118"/>
    <w:rsid w:val="613B24C6"/>
    <w:rsid w:val="614C4F26"/>
    <w:rsid w:val="615564D1"/>
    <w:rsid w:val="616650DA"/>
    <w:rsid w:val="616933C9"/>
    <w:rsid w:val="61A15272"/>
    <w:rsid w:val="61B74A96"/>
    <w:rsid w:val="61C4171F"/>
    <w:rsid w:val="61F93300"/>
    <w:rsid w:val="61F96E5C"/>
    <w:rsid w:val="62031A89"/>
    <w:rsid w:val="621D48D8"/>
    <w:rsid w:val="624A77E6"/>
    <w:rsid w:val="626B18B4"/>
    <w:rsid w:val="62854B94"/>
    <w:rsid w:val="63096CAD"/>
    <w:rsid w:val="631E435E"/>
    <w:rsid w:val="63213CF4"/>
    <w:rsid w:val="633345F0"/>
    <w:rsid w:val="63844E4C"/>
    <w:rsid w:val="63AC7EFE"/>
    <w:rsid w:val="63B079EF"/>
    <w:rsid w:val="63B86816"/>
    <w:rsid w:val="63C94F54"/>
    <w:rsid w:val="63D86F45"/>
    <w:rsid w:val="63EB6C79"/>
    <w:rsid w:val="6420377A"/>
    <w:rsid w:val="644606A8"/>
    <w:rsid w:val="644F5459"/>
    <w:rsid w:val="6450412D"/>
    <w:rsid w:val="64602371"/>
    <w:rsid w:val="646D65C4"/>
    <w:rsid w:val="64942E6C"/>
    <w:rsid w:val="64994970"/>
    <w:rsid w:val="64B928D3"/>
    <w:rsid w:val="64CA053B"/>
    <w:rsid w:val="64CA0F84"/>
    <w:rsid w:val="64CA31F0"/>
    <w:rsid w:val="64D771FD"/>
    <w:rsid w:val="64D911C7"/>
    <w:rsid w:val="64DA367B"/>
    <w:rsid w:val="64DD4813"/>
    <w:rsid w:val="64E14962"/>
    <w:rsid w:val="64F61D79"/>
    <w:rsid w:val="651144BD"/>
    <w:rsid w:val="65241F3A"/>
    <w:rsid w:val="65282833"/>
    <w:rsid w:val="652A37D1"/>
    <w:rsid w:val="652E26F9"/>
    <w:rsid w:val="65366619"/>
    <w:rsid w:val="65416DD3"/>
    <w:rsid w:val="656349CE"/>
    <w:rsid w:val="65727C4B"/>
    <w:rsid w:val="65757142"/>
    <w:rsid w:val="658554FB"/>
    <w:rsid w:val="65883BF7"/>
    <w:rsid w:val="658B6DC7"/>
    <w:rsid w:val="659A0956"/>
    <w:rsid w:val="659E34C7"/>
    <w:rsid w:val="659F7D1B"/>
    <w:rsid w:val="65AA3925"/>
    <w:rsid w:val="65E676F8"/>
    <w:rsid w:val="660B3602"/>
    <w:rsid w:val="660C6F8D"/>
    <w:rsid w:val="661C75BD"/>
    <w:rsid w:val="662D5327"/>
    <w:rsid w:val="665658CC"/>
    <w:rsid w:val="667C62AE"/>
    <w:rsid w:val="668F2A3A"/>
    <w:rsid w:val="66901922"/>
    <w:rsid w:val="66903B07"/>
    <w:rsid w:val="669058B5"/>
    <w:rsid w:val="66A23F66"/>
    <w:rsid w:val="66AD4998"/>
    <w:rsid w:val="66B5531C"/>
    <w:rsid w:val="66BA7997"/>
    <w:rsid w:val="66E14363"/>
    <w:rsid w:val="66E16111"/>
    <w:rsid w:val="66E3632D"/>
    <w:rsid w:val="66E95CF8"/>
    <w:rsid w:val="672524A2"/>
    <w:rsid w:val="673301D2"/>
    <w:rsid w:val="673B3A73"/>
    <w:rsid w:val="676A395C"/>
    <w:rsid w:val="67713939"/>
    <w:rsid w:val="67AF1239"/>
    <w:rsid w:val="67CD5013"/>
    <w:rsid w:val="67DD2D7C"/>
    <w:rsid w:val="684C2884"/>
    <w:rsid w:val="68580655"/>
    <w:rsid w:val="68662D72"/>
    <w:rsid w:val="68A33BCF"/>
    <w:rsid w:val="68AB69D7"/>
    <w:rsid w:val="68AB7651"/>
    <w:rsid w:val="68B61551"/>
    <w:rsid w:val="68D128E1"/>
    <w:rsid w:val="68D60C2D"/>
    <w:rsid w:val="68D90E35"/>
    <w:rsid w:val="690C1B6B"/>
    <w:rsid w:val="69205A17"/>
    <w:rsid w:val="692F585A"/>
    <w:rsid w:val="6931512E"/>
    <w:rsid w:val="69981651"/>
    <w:rsid w:val="69C12EFD"/>
    <w:rsid w:val="69EA35AF"/>
    <w:rsid w:val="69EE74C3"/>
    <w:rsid w:val="69FF3DA6"/>
    <w:rsid w:val="6A0A597F"/>
    <w:rsid w:val="6A250690"/>
    <w:rsid w:val="6A5938E3"/>
    <w:rsid w:val="6A5C267E"/>
    <w:rsid w:val="6A617C95"/>
    <w:rsid w:val="6A8169BA"/>
    <w:rsid w:val="6A837C0B"/>
    <w:rsid w:val="6A9516EC"/>
    <w:rsid w:val="6A9C18BD"/>
    <w:rsid w:val="6AA803E7"/>
    <w:rsid w:val="6AAE27AE"/>
    <w:rsid w:val="6AAF57D6"/>
    <w:rsid w:val="6AE90161"/>
    <w:rsid w:val="6B014ED0"/>
    <w:rsid w:val="6B054AC4"/>
    <w:rsid w:val="6B2947D1"/>
    <w:rsid w:val="6B3D24B0"/>
    <w:rsid w:val="6B5363CE"/>
    <w:rsid w:val="6B865960"/>
    <w:rsid w:val="6BA5042F"/>
    <w:rsid w:val="6BB87D88"/>
    <w:rsid w:val="6BC466BB"/>
    <w:rsid w:val="6BD60F99"/>
    <w:rsid w:val="6BE26BB3"/>
    <w:rsid w:val="6BF30DC0"/>
    <w:rsid w:val="6BF95CAB"/>
    <w:rsid w:val="6BFF0DBE"/>
    <w:rsid w:val="6C021003"/>
    <w:rsid w:val="6C0A54C0"/>
    <w:rsid w:val="6C382C77"/>
    <w:rsid w:val="6C384A25"/>
    <w:rsid w:val="6C4B29AA"/>
    <w:rsid w:val="6C507FC1"/>
    <w:rsid w:val="6C5F591C"/>
    <w:rsid w:val="6C7C2B64"/>
    <w:rsid w:val="6C7F2654"/>
    <w:rsid w:val="6C9500C9"/>
    <w:rsid w:val="6CBD73A9"/>
    <w:rsid w:val="6CCB5899"/>
    <w:rsid w:val="6CFF5543"/>
    <w:rsid w:val="6D0D3798"/>
    <w:rsid w:val="6D360A56"/>
    <w:rsid w:val="6D746AAD"/>
    <w:rsid w:val="6D79369D"/>
    <w:rsid w:val="6D866288"/>
    <w:rsid w:val="6DA47CF5"/>
    <w:rsid w:val="6DA5433C"/>
    <w:rsid w:val="6E0A1704"/>
    <w:rsid w:val="6E113780"/>
    <w:rsid w:val="6E11552E"/>
    <w:rsid w:val="6E315BD0"/>
    <w:rsid w:val="6E3631E6"/>
    <w:rsid w:val="6E495542"/>
    <w:rsid w:val="6E510B61"/>
    <w:rsid w:val="6E5518BE"/>
    <w:rsid w:val="6E70494A"/>
    <w:rsid w:val="6E7855AD"/>
    <w:rsid w:val="6E7D42EE"/>
    <w:rsid w:val="6EAE733F"/>
    <w:rsid w:val="6ECD3B4B"/>
    <w:rsid w:val="6ED24CBD"/>
    <w:rsid w:val="6ED26B2E"/>
    <w:rsid w:val="6EF70BC7"/>
    <w:rsid w:val="6F062BB9"/>
    <w:rsid w:val="6F0C1D3D"/>
    <w:rsid w:val="6F3040D9"/>
    <w:rsid w:val="6F5558EE"/>
    <w:rsid w:val="6F751AEC"/>
    <w:rsid w:val="6F7B1AEF"/>
    <w:rsid w:val="6F7FF749"/>
    <w:rsid w:val="6F8C57B4"/>
    <w:rsid w:val="6F997ED1"/>
    <w:rsid w:val="6FBA7D43"/>
    <w:rsid w:val="703025E3"/>
    <w:rsid w:val="703379DD"/>
    <w:rsid w:val="703F5A70"/>
    <w:rsid w:val="707216B3"/>
    <w:rsid w:val="70765B1C"/>
    <w:rsid w:val="708C533F"/>
    <w:rsid w:val="709A7A5C"/>
    <w:rsid w:val="70A64653"/>
    <w:rsid w:val="70B52AE8"/>
    <w:rsid w:val="70B7060E"/>
    <w:rsid w:val="70BC3E77"/>
    <w:rsid w:val="70F3716D"/>
    <w:rsid w:val="70F829D5"/>
    <w:rsid w:val="711C7DEE"/>
    <w:rsid w:val="715A543E"/>
    <w:rsid w:val="71A87053"/>
    <w:rsid w:val="71AB5C99"/>
    <w:rsid w:val="71B132B0"/>
    <w:rsid w:val="71B40FF2"/>
    <w:rsid w:val="71BB5EDC"/>
    <w:rsid w:val="71CA611F"/>
    <w:rsid w:val="71CB5851"/>
    <w:rsid w:val="71DE4E50"/>
    <w:rsid w:val="72101EA0"/>
    <w:rsid w:val="7218332F"/>
    <w:rsid w:val="72322114"/>
    <w:rsid w:val="7232489D"/>
    <w:rsid w:val="724F1FEB"/>
    <w:rsid w:val="72733556"/>
    <w:rsid w:val="72757DB1"/>
    <w:rsid w:val="7276104D"/>
    <w:rsid w:val="72783DCD"/>
    <w:rsid w:val="727E484F"/>
    <w:rsid w:val="728F462D"/>
    <w:rsid w:val="729B7F48"/>
    <w:rsid w:val="72AE77EF"/>
    <w:rsid w:val="72B017B9"/>
    <w:rsid w:val="72BB1F0C"/>
    <w:rsid w:val="72D1172F"/>
    <w:rsid w:val="72D60AF4"/>
    <w:rsid w:val="72F316A6"/>
    <w:rsid w:val="73020FF3"/>
    <w:rsid w:val="731E2BC7"/>
    <w:rsid w:val="73267CCD"/>
    <w:rsid w:val="73685BF0"/>
    <w:rsid w:val="739048A5"/>
    <w:rsid w:val="73B21B10"/>
    <w:rsid w:val="73B40E35"/>
    <w:rsid w:val="73B862A1"/>
    <w:rsid w:val="73BC5F3C"/>
    <w:rsid w:val="74080C44"/>
    <w:rsid w:val="74153556"/>
    <w:rsid w:val="745F28C4"/>
    <w:rsid w:val="747C78F7"/>
    <w:rsid w:val="747F7695"/>
    <w:rsid w:val="7483115A"/>
    <w:rsid w:val="748C570A"/>
    <w:rsid w:val="749B0247"/>
    <w:rsid w:val="74A52E74"/>
    <w:rsid w:val="74AB5D69"/>
    <w:rsid w:val="74CE5F27"/>
    <w:rsid w:val="74DF6386"/>
    <w:rsid w:val="750A2372"/>
    <w:rsid w:val="750E6C6B"/>
    <w:rsid w:val="753D283B"/>
    <w:rsid w:val="75610B49"/>
    <w:rsid w:val="756E14B8"/>
    <w:rsid w:val="75864A53"/>
    <w:rsid w:val="75C7191E"/>
    <w:rsid w:val="75CF06D9"/>
    <w:rsid w:val="75D1787A"/>
    <w:rsid w:val="75DF032D"/>
    <w:rsid w:val="75FC2F67"/>
    <w:rsid w:val="760140DA"/>
    <w:rsid w:val="76045978"/>
    <w:rsid w:val="760F4A49"/>
    <w:rsid w:val="76133B2A"/>
    <w:rsid w:val="76236746"/>
    <w:rsid w:val="763C5112"/>
    <w:rsid w:val="76530DD9"/>
    <w:rsid w:val="767A350B"/>
    <w:rsid w:val="76A038F3"/>
    <w:rsid w:val="76A77C3C"/>
    <w:rsid w:val="77083846"/>
    <w:rsid w:val="773D7394"/>
    <w:rsid w:val="77585F7B"/>
    <w:rsid w:val="775A6197"/>
    <w:rsid w:val="7789082B"/>
    <w:rsid w:val="7797D8E2"/>
    <w:rsid w:val="779A2861"/>
    <w:rsid w:val="77AE0C6B"/>
    <w:rsid w:val="77BD0907"/>
    <w:rsid w:val="77CB499F"/>
    <w:rsid w:val="77DE0B76"/>
    <w:rsid w:val="77F205C7"/>
    <w:rsid w:val="78120820"/>
    <w:rsid w:val="78126A72"/>
    <w:rsid w:val="781400F4"/>
    <w:rsid w:val="78144598"/>
    <w:rsid w:val="783B1B25"/>
    <w:rsid w:val="783E6762"/>
    <w:rsid w:val="785610A2"/>
    <w:rsid w:val="78615304"/>
    <w:rsid w:val="78661F8A"/>
    <w:rsid w:val="789B25C4"/>
    <w:rsid w:val="78D17B63"/>
    <w:rsid w:val="78D65BEF"/>
    <w:rsid w:val="78D76F87"/>
    <w:rsid w:val="78E21FA1"/>
    <w:rsid w:val="78F148D9"/>
    <w:rsid w:val="78F357D1"/>
    <w:rsid w:val="78F9378E"/>
    <w:rsid w:val="78FF6FF6"/>
    <w:rsid w:val="79226841"/>
    <w:rsid w:val="793F73F3"/>
    <w:rsid w:val="794A52AF"/>
    <w:rsid w:val="794B223C"/>
    <w:rsid w:val="79752E15"/>
    <w:rsid w:val="7999158E"/>
    <w:rsid w:val="79C75A4A"/>
    <w:rsid w:val="79D51B05"/>
    <w:rsid w:val="79F71A7C"/>
    <w:rsid w:val="79F91C98"/>
    <w:rsid w:val="7A08012D"/>
    <w:rsid w:val="7A0F3269"/>
    <w:rsid w:val="7A1B6D05"/>
    <w:rsid w:val="7A1E0906"/>
    <w:rsid w:val="7A2F56B9"/>
    <w:rsid w:val="7A41719B"/>
    <w:rsid w:val="7A4A7B5C"/>
    <w:rsid w:val="7A4C320B"/>
    <w:rsid w:val="7A536C4F"/>
    <w:rsid w:val="7A5E1074"/>
    <w:rsid w:val="7A637111"/>
    <w:rsid w:val="7A644541"/>
    <w:rsid w:val="7A716392"/>
    <w:rsid w:val="7A74131E"/>
    <w:rsid w:val="7A7C5876"/>
    <w:rsid w:val="7A856043"/>
    <w:rsid w:val="7AA716F4"/>
    <w:rsid w:val="7AAA2F92"/>
    <w:rsid w:val="7AAE4C6D"/>
    <w:rsid w:val="7AB94F83"/>
    <w:rsid w:val="7AC9574D"/>
    <w:rsid w:val="7ACA5211"/>
    <w:rsid w:val="7AE30F47"/>
    <w:rsid w:val="7AED7F62"/>
    <w:rsid w:val="7B000A80"/>
    <w:rsid w:val="7B0F54EB"/>
    <w:rsid w:val="7B3D416D"/>
    <w:rsid w:val="7B475882"/>
    <w:rsid w:val="7B5F1FCE"/>
    <w:rsid w:val="7B7F6999"/>
    <w:rsid w:val="7B8B5094"/>
    <w:rsid w:val="7B8E2477"/>
    <w:rsid w:val="7B985587"/>
    <w:rsid w:val="7BB4552D"/>
    <w:rsid w:val="7BB5399C"/>
    <w:rsid w:val="7C044924"/>
    <w:rsid w:val="7C1D11E6"/>
    <w:rsid w:val="7C233619"/>
    <w:rsid w:val="7C5238E1"/>
    <w:rsid w:val="7C547659"/>
    <w:rsid w:val="7CB63E70"/>
    <w:rsid w:val="7CC43D31"/>
    <w:rsid w:val="7CE7399F"/>
    <w:rsid w:val="7D226E2B"/>
    <w:rsid w:val="7D6452D1"/>
    <w:rsid w:val="7D781125"/>
    <w:rsid w:val="7D8628FA"/>
    <w:rsid w:val="7D943A85"/>
    <w:rsid w:val="7D965A4F"/>
    <w:rsid w:val="7DA41F1A"/>
    <w:rsid w:val="7DA57A41"/>
    <w:rsid w:val="7DAF266D"/>
    <w:rsid w:val="7DB05310"/>
    <w:rsid w:val="7DC77AC8"/>
    <w:rsid w:val="7DE42E8D"/>
    <w:rsid w:val="7DF12C86"/>
    <w:rsid w:val="7E0712F2"/>
    <w:rsid w:val="7E292420"/>
    <w:rsid w:val="7E355268"/>
    <w:rsid w:val="7E546F05"/>
    <w:rsid w:val="7E6B2A38"/>
    <w:rsid w:val="7E786F03"/>
    <w:rsid w:val="7EA06B86"/>
    <w:rsid w:val="7EA877E8"/>
    <w:rsid w:val="7EAA7A04"/>
    <w:rsid w:val="7EAF6DC9"/>
    <w:rsid w:val="7EB25E33"/>
    <w:rsid w:val="7EC42148"/>
    <w:rsid w:val="7ECB34D7"/>
    <w:rsid w:val="7ED24865"/>
    <w:rsid w:val="7EE33B7E"/>
    <w:rsid w:val="7EEF3F71"/>
    <w:rsid w:val="7EF43FBB"/>
    <w:rsid w:val="7F01339C"/>
    <w:rsid w:val="7F160BF6"/>
    <w:rsid w:val="7F364DF4"/>
    <w:rsid w:val="7F36750F"/>
    <w:rsid w:val="7F4339B5"/>
    <w:rsid w:val="7F482E61"/>
    <w:rsid w:val="7F5B0CFF"/>
    <w:rsid w:val="7F8B2ADE"/>
    <w:rsid w:val="7FA2248A"/>
    <w:rsid w:val="7FDD39BD"/>
    <w:rsid w:val="7FF627D5"/>
    <w:rsid w:val="AFEDCBB5"/>
    <w:rsid w:val="DEFF135F"/>
    <w:rsid w:val="EC375103"/>
    <w:rsid w:val="F4DF5C08"/>
    <w:rsid w:val="FD7EB862"/>
    <w:rsid w:val="FFFD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firstLineChars="200"/>
    </w:pPr>
    <w:rPr>
      <w:szCs w:val="20"/>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annotation text"/>
    <w:basedOn w:val="1"/>
    <w:link w:val="42"/>
    <w:unhideWhenUsed/>
    <w:qFormat/>
    <w:uiPriority w:val="0"/>
    <w:pPr>
      <w:jc w:val="left"/>
    </w:pPr>
    <w:rPr>
      <w:kern w:val="0"/>
      <w:sz w:val="20"/>
    </w:rPr>
  </w:style>
  <w:style w:type="paragraph" w:styleId="10">
    <w:name w:val="Body Text"/>
    <w:basedOn w:val="1"/>
    <w:next w:val="11"/>
    <w:unhideWhenUsed/>
    <w:qFormat/>
    <w:uiPriority w:val="0"/>
    <w:pPr>
      <w:spacing w:after="120"/>
    </w:pPr>
    <w:rPr>
      <w:sz w:val="24"/>
    </w:rPr>
  </w:style>
  <w:style w:type="paragraph" w:styleId="11">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12">
    <w:name w:val="Body Text Indent"/>
    <w:basedOn w:val="1"/>
    <w:next w:val="13"/>
    <w:unhideWhenUsed/>
    <w:qFormat/>
    <w:uiPriority w:val="99"/>
    <w:pPr>
      <w:spacing w:after="120"/>
      <w:ind w:left="420" w:leftChars="200"/>
    </w:pPr>
    <w:rPr>
      <w:kern w:val="0"/>
      <w:sz w:val="20"/>
      <w:szCs w:val="20"/>
    </w:rPr>
  </w:style>
  <w:style w:type="paragraph" w:styleId="13">
    <w:name w:val="envelope return"/>
    <w:basedOn w:val="1"/>
    <w:qFormat/>
    <w:uiPriority w:val="0"/>
    <w:pPr>
      <w:tabs>
        <w:tab w:val="left" w:pos="426"/>
      </w:tabs>
    </w:pPr>
    <w:rPr>
      <w:rFonts w:ascii="Arial" w:hAnsi="Arial"/>
    </w:rPr>
  </w:style>
  <w:style w:type="paragraph" w:styleId="14">
    <w:name w:val="Plain Text"/>
    <w:basedOn w:val="1"/>
    <w:qFormat/>
    <w:uiPriority w:val="0"/>
    <w:rPr>
      <w:rFonts w:ascii="宋体" w:hAnsi="Courier New"/>
    </w:rPr>
  </w:style>
  <w:style w:type="paragraph" w:styleId="15">
    <w:name w:val="header"/>
    <w:basedOn w:val="1"/>
    <w:link w:val="41"/>
    <w:qFormat/>
    <w:uiPriority w:val="0"/>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List"/>
    <w:basedOn w:val="1"/>
    <w:qFormat/>
    <w:uiPriority w:val="0"/>
    <w:pPr>
      <w:ind w:left="200" w:hanging="200" w:hangingChars="200"/>
    </w:pPr>
    <w:rPr>
      <w:rFonts w:ascii="Calibri" w:hAnsi="Calibri"/>
      <w:szCs w:val="20"/>
    </w:rPr>
  </w:style>
  <w:style w:type="paragraph" w:styleId="18">
    <w:name w:val="footnote text"/>
    <w:basedOn w:val="1"/>
    <w:qFormat/>
    <w:uiPriority w:val="0"/>
    <w:pPr>
      <w:snapToGrid w:val="0"/>
      <w:jc w:val="left"/>
    </w:pPr>
    <w:rPr>
      <w:sz w:val="18"/>
    </w:rPr>
  </w:style>
  <w:style w:type="paragraph" w:styleId="19">
    <w:name w:val="Body Text 2"/>
    <w:basedOn w:val="1"/>
    <w:qFormat/>
    <w:uiPriority w:val="99"/>
    <w:pPr>
      <w:spacing w:before="240"/>
    </w:pPr>
    <w:rPr>
      <w:rFonts w:ascii="Calibri" w:hAnsi="Calibri"/>
      <w:color w:val="FF0000"/>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Arial" w:hAnsi="Arial" w:eastAsia="隶书"/>
      <w:b/>
      <w:bCs/>
      <w:sz w:val="32"/>
      <w:szCs w:val="32"/>
    </w:rPr>
  </w:style>
  <w:style w:type="paragraph" w:styleId="22">
    <w:name w:val="annotation subject"/>
    <w:basedOn w:val="9"/>
    <w:next w:val="9"/>
    <w:link w:val="43"/>
    <w:qFormat/>
    <w:uiPriority w:val="0"/>
    <w:rPr>
      <w:b/>
      <w:bCs/>
      <w:kern w:val="2"/>
      <w:sz w:val="21"/>
    </w:rPr>
  </w:style>
  <w:style w:type="paragraph" w:styleId="23">
    <w:name w:val="Body Text First Indent"/>
    <w:basedOn w:val="10"/>
    <w:qFormat/>
    <w:uiPriority w:val="0"/>
    <w:pPr>
      <w:snapToGrid w:val="0"/>
      <w:spacing w:line="560" w:lineRule="exact"/>
      <w:ind w:firstLine="200" w:firstLineChars="200"/>
    </w:pPr>
    <w:rPr>
      <w:rFonts w:ascii="仿宋" w:hAnsi="仿宋" w:cs="仿宋"/>
    </w:rPr>
  </w:style>
  <w:style w:type="paragraph" w:styleId="24">
    <w:name w:val="Body Text First Indent 2"/>
    <w:basedOn w:val="12"/>
    <w:next w:val="17"/>
    <w:semiHidden/>
    <w:qFormat/>
    <w:uiPriority w:val="0"/>
    <w:pPr>
      <w:ind w:firstLine="420" w:firstLineChars="200"/>
    </w:pPr>
    <w:rPr>
      <w:szCs w:val="24"/>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qFormat/>
    <w:uiPriority w:val="0"/>
  </w:style>
  <w:style w:type="character" w:styleId="30">
    <w:name w:val="annotation reference"/>
    <w:basedOn w:val="27"/>
    <w:qFormat/>
    <w:uiPriority w:val="0"/>
    <w:rPr>
      <w:sz w:val="21"/>
      <w:szCs w:val="21"/>
    </w:rPr>
  </w:style>
  <w:style w:type="character" w:styleId="31">
    <w:name w:val="footnote reference"/>
    <w:basedOn w:val="27"/>
    <w:qFormat/>
    <w:uiPriority w:val="0"/>
    <w:rPr>
      <w:vertAlign w:val="superscript"/>
    </w:rPr>
  </w:style>
  <w:style w:type="paragraph" w:customStyle="1" w:styleId="3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3">
    <w:name w:val="List Paragraph"/>
    <w:basedOn w:val="1"/>
    <w:qFormat/>
    <w:uiPriority w:val="34"/>
    <w:pPr>
      <w:ind w:firstLine="420" w:firstLineChars="200"/>
    </w:pPr>
  </w:style>
  <w:style w:type="character" w:customStyle="1" w:styleId="34">
    <w:name w:val="NormalCharacter"/>
    <w:qFormat/>
    <w:uiPriority w:val="0"/>
    <w:rPr>
      <w:kern w:val="2"/>
      <w:sz w:val="21"/>
      <w:szCs w:val="24"/>
      <w:lang w:val="en-US" w:eastAsia="zh-CN" w:bidi="ar-SA"/>
    </w:rPr>
  </w:style>
  <w:style w:type="paragraph" w:customStyle="1" w:styleId="35">
    <w:name w:val="Table Paragraph"/>
    <w:basedOn w:val="1"/>
    <w:qFormat/>
    <w:uiPriority w:val="0"/>
    <w:pPr>
      <w:autoSpaceDE w:val="0"/>
      <w:autoSpaceDN w:val="0"/>
      <w:jc w:val="left"/>
    </w:pPr>
    <w:rPr>
      <w:rFonts w:ascii="宋体" w:hAnsi="宋体" w:cs="宋体"/>
      <w:kern w:val="0"/>
      <w:sz w:val="22"/>
      <w:szCs w:val="22"/>
    </w:rPr>
  </w:style>
  <w:style w:type="paragraph" w:customStyle="1" w:styleId="36">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qowt-font5-gb2312"/>
    <w:qFormat/>
    <w:uiPriority w:val="0"/>
  </w:style>
  <w:style w:type="paragraph" w:customStyle="1" w:styleId="38">
    <w:name w:val="正文格式"/>
    <w:basedOn w:val="12"/>
    <w:qFormat/>
    <w:uiPriority w:val="99"/>
    <w:pPr>
      <w:spacing w:after="0" w:line="360" w:lineRule="auto"/>
      <w:ind w:left="0" w:leftChars="0" w:firstLine="600"/>
    </w:pPr>
    <w:rPr>
      <w:rFonts w:eastAsia="仿宋_GB2312"/>
      <w:sz w:val="30"/>
      <w:szCs w:val="30"/>
    </w:rPr>
  </w:style>
  <w:style w:type="paragraph" w:customStyle="1" w:styleId="39">
    <w:name w:val="msolistparagraph"/>
    <w:basedOn w:val="1"/>
    <w:qFormat/>
    <w:uiPriority w:val="0"/>
    <w:pPr>
      <w:ind w:firstLine="420" w:firstLineChars="200"/>
    </w:pPr>
  </w:style>
  <w:style w:type="paragraph" w:customStyle="1" w:styleId="4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1">
    <w:name w:val="页眉 字符"/>
    <w:basedOn w:val="27"/>
    <w:link w:val="15"/>
    <w:qFormat/>
    <w:uiPriority w:val="0"/>
    <w:rPr>
      <w:kern w:val="2"/>
      <w:sz w:val="18"/>
      <w:szCs w:val="18"/>
    </w:rPr>
  </w:style>
  <w:style w:type="character" w:customStyle="1" w:styleId="42">
    <w:name w:val="批注文字 字符"/>
    <w:basedOn w:val="27"/>
    <w:link w:val="9"/>
    <w:qFormat/>
    <w:uiPriority w:val="0"/>
    <w:rPr>
      <w:szCs w:val="24"/>
    </w:rPr>
  </w:style>
  <w:style w:type="character" w:customStyle="1" w:styleId="43">
    <w:name w:val="批注主题 字符"/>
    <w:basedOn w:val="42"/>
    <w:link w:val="22"/>
    <w:qFormat/>
    <w:uiPriority w:val="0"/>
    <w:rPr>
      <w:b/>
      <w:bCs/>
      <w:kern w:val="2"/>
      <w:sz w:val="21"/>
      <w:szCs w:val="24"/>
    </w:rPr>
  </w:style>
  <w:style w:type="paragraph" w:customStyle="1" w:styleId="44">
    <w:name w:val="9前海 正文"/>
    <w:basedOn w:val="45"/>
    <w:qFormat/>
    <w:uiPriority w:val="0"/>
    <w:pPr>
      <w:ind w:firstLine="640"/>
    </w:pPr>
    <w:rPr>
      <w:rFonts w:ascii="仿宋_GB2312" w:eastAsia="仿宋_GB2312"/>
    </w:rPr>
  </w:style>
  <w:style w:type="paragraph" w:customStyle="1" w:styleId="45">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6">
    <w:name w:val="列出段落2"/>
    <w:basedOn w:val="1"/>
    <w:qFormat/>
    <w:uiPriority w:val="34"/>
    <w:pPr>
      <w:ind w:firstLine="420" w:firstLineChars="200"/>
    </w:pPr>
  </w:style>
  <w:style w:type="paragraph" w:customStyle="1" w:styleId="47">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48">
    <w:name w:val="No Spacing"/>
    <w:qFormat/>
    <w:uiPriority w:val="1"/>
    <w:pPr>
      <w:adjustRightInd w:val="0"/>
      <w:snapToGrid w:val="0"/>
      <w:jc w:val="center"/>
    </w:pPr>
    <w:rPr>
      <w:rFonts w:ascii="Tahoma" w:hAnsi="Tahoma" w:eastAsia="宋体" w:cstheme="minorBidi"/>
      <w:sz w:val="21"/>
      <w:szCs w:val="22"/>
      <w:lang w:val="en-US" w:eastAsia="zh-CN" w:bidi="ar-SA"/>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132</Pages>
  <Words>16213</Words>
  <Characters>17028</Characters>
  <Lines>1809</Lines>
  <Paragraphs>1615</Paragraphs>
  <TotalTime>23</TotalTime>
  <ScaleCrop>false</ScaleCrop>
  <LinksUpToDate>false</LinksUpToDate>
  <CharactersWithSpaces>17618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2025-02-14T17:50:00Z</dcterms:created>
  <dc:creator>黎俊</dc:creator>
  <cp:lastModifiedBy>黎俊</cp:lastModifiedBy>
  <cp:lastPrinted>2025-09-28T16:37:00Z</cp:lastPrinted>
  <dcterms:modified xsi:type="dcterms:W3CDTF">2026-04-16T02:04:53Z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3A64BCE627F3A4733779CB694B7E73CE_43</vt:lpwstr>
  </property>
</Properties>
</file>