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color w:val="auto"/>
          <w:highlight w:val="none"/>
        </w:rPr>
      </w:pPr>
    </w:p>
    <w:p>
      <w:pPr>
        <w:rPr>
          <w:color w:val="auto"/>
          <w:highlight w:val="none"/>
        </w:rPr>
      </w:pPr>
    </w:p>
    <w:p>
      <w:pPr>
        <w:rPr>
          <w:color w:val="auto"/>
          <w:highlight w:val="none"/>
        </w:rPr>
      </w:pPr>
    </w:p>
    <w:p>
      <w:pPr>
        <w:jc w:val="center"/>
        <w:rPr>
          <w:rFonts w:ascii="宋体" w:hAnsi="宋体" w:cs="宋体"/>
          <w:b/>
          <w:color w:val="auto"/>
          <w:sz w:val="72"/>
          <w:szCs w:val="72"/>
          <w:highlight w:val="none"/>
        </w:rPr>
      </w:pPr>
      <w:r>
        <w:rPr>
          <w:rFonts w:hint="eastAsia" w:ascii="宋体" w:hAnsi="宋体" w:cs="宋体"/>
          <w:b/>
          <w:color w:val="auto"/>
          <w:sz w:val="72"/>
          <w:szCs w:val="72"/>
          <w:highlight w:val="none"/>
        </w:rPr>
        <w:t>简易招标文件</w:t>
      </w:r>
    </w:p>
    <w:p>
      <w:pPr>
        <w:jc w:val="center"/>
        <w:rPr>
          <w:rFonts w:ascii="宋体" w:hAnsi="宋体" w:cs="宋体"/>
          <w:color w:val="auto"/>
          <w:highlight w:val="none"/>
        </w:rPr>
      </w:pPr>
    </w:p>
    <w:p>
      <w:pPr>
        <w:rPr>
          <w:rFonts w:ascii="宋体" w:hAnsi="宋体" w:cs="宋体"/>
          <w:color w:val="auto"/>
          <w:highlight w:val="none"/>
        </w:rPr>
      </w:pPr>
    </w:p>
    <w:p>
      <w:pPr>
        <w:pStyle w:val="32"/>
        <w:ind w:firstLine="420"/>
        <w:rPr>
          <w:rFonts w:ascii="宋体" w:hAnsi="宋体" w:cs="宋体"/>
          <w:color w:val="auto"/>
          <w:highlight w:val="none"/>
        </w:rPr>
      </w:pPr>
    </w:p>
    <w:p>
      <w:pPr>
        <w:pStyle w:val="32"/>
        <w:ind w:firstLine="420"/>
        <w:rPr>
          <w:rFonts w:ascii="宋体" w:hAnsi="宋体" w:cs="宋体"/>
          <w:color w:val="auto"/>
          <w:highlight w:val="none"/>
        </w:rPr>
      </w:pPr>
    </w:p>
    <w:p>
      <w:pPr>
        <w:rPr>
          <w:rFonts w:ascii="宋体" w:hAnsi="宋体" w:cs="宋体"/>
          <w:b/>
          <w:color w:val="auto"/>
          <w:sz w:val="44"/>
          <w:highlight w:val="none"/>
        </w:rPr>
      </w:pPr>
    </w:p>
    <w:p>
      <w:pPr>
        <w:ind w:left="2326" w:leftChars="247" w:right="-319" w:rightChars="-152" w:hanging="1807" w:hangingChars="500"/>
        <w:rPr>
          <w:rFonts w:ascii="宋体" w:hAnsi="宋体" w:cs="宋体"/>
          <w:b/>
          <w:color w:val="auto"/>
          <w:sz w:val="36"/>
          <w:szCs w:val="36"/>
          <w:highlight w:val="none"/>
        </w:rPr>
      </w:pPr>
      <w:r>
        <w:rPr>
          <w:rFonts w:hint="eastAsia" w:ascii="宋体" w:hAnsi="宋体" w:cs="宋体"/>
          <w:b/>
          <w:color w:val="auto"/>
          <w:sz w:val="36"/>
          <w:szCs w:val="36"/>
          <w:highlight w:val="none"/>
        </w:rPr>
        <w:t>招标编号：QH2026028</w:t>
      </w:r>
    </w:p>
    <w:p>
      <w:pPr>
        <w:pStyle w:val="32"/>
        <w:ind w:firstLine="420"/>
        <w:rPr>
          <w:rFonts w:ascii="宋体" w:hAnsi="宋体" w:cs="宋体"/>
          <w:color w:val="auto"/>
          <w:highlight w:val="none"/>
        </w:rPr>
      </w:pPr>
    </w:p>
    <w:p>
      <w:pPr>
        <w:pStyle w:val="32"/>
        <w:ind w:firstLine="420"/>
        <w:rPr>
          <w:rFonts w:ascii="宋体" w:hAnsi="宋体" w:cs="宋体"/>
          <w:color w:val="auto"/>
          <w:highlight w:val="none"/>
        </w:rPr>
      </w:pPr>
    </w:p>
    <w:p>
      <w:pPr>
        <w:pStyle w:val="32"/>
        <w:ind w:firstLine="420"/>
        <w:rPr>
          <w:rFonts w:ascii="宋体" w:hAnsi="宋体" w:cs="宋体"/>
          <w:color w:val="auto"/>
          <w:highlight w:val="none"/>
        </w:rPr>
      </w:pPr>
    </w:p>
    <w:p>
      <w:pPr>
        <w:ind w:left="2326" w:leftChars="247" w:right="-319" w:rightChars="-152" w:hanging="1807" w:hangingChars="500"/>
        <w:rPr>
          <w:rFonts w:ascii="宋体" w:hAnsi="宋体" w:cs="宋体"/>
          <w:b/>
          <w:color w:val="auto"/>
          <w:sz w:val="36"/>
          <w:szCs w:val="36"/>
          <w:highlight w:val="none"/>
        </w:rPr>
      </w:pPr>
      <w:r>
        <w:rPr>
          <w:rFonts w:hint="eastAsia" w:ascii="宋体" w:hAnsi="宋体" w:cs="宋体"/>
          <w:b/>
          <w:color w:val="auto"/>
          <w:sz w:val="36"/>
          <w:szCs w:val="36"/>
          <w:highlight w:val="none"/>
        </w:rPr>
        <w:t>招标项目：2026年多语种翻译服务项目</w:t>
      </w:r>
    </w:p>
    <w:p>
      <w:pPr>
        <w:ind w:firstLine="3264" w:firstLineChars="739"/>
        <w:rPr>
          <w:rFonts w:ascii="宋体" w:hAnsi="宋体" w:cs="宋体"/>
          <w:b/>
          <w:color w:val="auto"/>
          <w:sz w:val="44"/>
          <w:highlight w:val="none"/>
        </w:rPr>
      </w:pPr>
    </w:p>
    <w:p>
      <w:pPr>
        <w:ind w:left="1260" w:leftChars="600" w:firstLine="1855" w:firstLineChars="420"/>
        <w:rPr>
          <w:rFonts w:ascii="宋体" w:hAnsi="宋体" w:cs="宋体"/>
          <w:b/>
          <w:color w:val="auto"/>
          <w:sz w:val="44"/>
          <w:highlight w:val="none"/>
        </w:rPr>
      </w:pPr>
    </w:p>
    <w:p>
      <w:pPr>
        <w:rPr>
          <w:rFonts w:ascii="宋体" w:hAnsi="宋体" w:cs="宋体"/>
          <w:b/>
          <w:color w:val="auto"/>
          <w:sz w:val="44"/>
          <w:highlight w:val="none"/>
        </w:rPr>
      </w:pPr>
    </w:p>
    <w:p>
      <w:pPr>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深圳市前海深港现代服务业合作区管理局</w:t>
      </w: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2026年3月</w:t>
      </w:r>
    </w:p>
    <w:p>
      <w:pPr>
        <w:autoSpaceDE w:val="0"/>
        <w:autoSpaceDN w:val="0"/>
        <w:adjustRightInd w:val="0"/>
        <w:spacing w:line="360" w:lineRule="auto"/>
        <w:jc w:val="center"/>
        <w:rPr>
          <w:rFonts w:ascii="宋体" w:hAnsi="宋体" w:cs="仿宋_GB2312"/>
          <w:b/>
          <w:bCs/>
          <w:color w:val="auto"/>
          <w:kern w:val="0"/>
          <w:sz w:val="22"/>
          <w:szCs w:val="22"/>
          <w:highlight w:val="none"/>
        </w:rPr>
      </w:pPr>
      <w:bookmarkStart w:id="0" w:name="_Toc12932"/>
      <w:r>
        <w:rPr>
          <w:rFonts w:ascii="宋体" w:hAnsi="宋体"/>
          <w:b/>
          <w:bCs/>
          <w:color w:val="auto"/>
          <w:sz w:val="32"/>
          <w:szCs w:val="40"/>
          <w:highlight w:val="none"/>
          <w:u w:val="single"/>
        </w:rPr>
        <w:br w:type="page"/>
      </w:r>
    </w:p>
    <w:p>
      <w:pPr>
        <w:autoSpaceDE w:val="0"/>
        <w:autoSpaceDN w:val="0"/>
        <w:adjustRightInd w:val="0"/>
        <w:spacing w:line="360" w:lineRule="auto"/>
        <w:jc w:val="center"/>
        <w:rPr>
          <w:color w:val="auto"/>
          <w:highlight w:val="none"/>
        </w:rPr>
      </w:pPr>
      <w:r>
        <w:rPr>
          <w:rFonts w:hint="eastAsia" w:ascii="宋体" w:hAnsi="宋体" w:cs="宋体"/>
          <w:b/>
          <w:bCs/>
          <w:color w:val="auto"/>
          <w:kern w:val="0"/>
          <w:sz w:val="36"/>
          <w:szCs w:val="36"/>
          <w:highlight w:val="none"/>
        </w:rPr>
        <w:t>特别警示条款</w:t>
      </w:r>
    </w:p>
    <w:p>
      <w:pPr>
        <w:ind w:firstLine="420" w:firstLineChars="200"/>
        <w:rPr>
          <w:rFonts w:ascii="宋体" w:hAnsi="宋体" w:cs="宋体"/>
          <w:color w:val="auto"/>
          <w:szCs w:val="21"/>
          <w:highlight w:val="none"/>
        </w:rPr>
      </w:pPr>
      <w:bookmarkStart w:id="1" w:name="OLE_LINK38"/>
      <w:r>
        <w:rPr>
          <w:rFonts w:hint="eastAsia" w:ascii="宋体" w:hAnsi="宋体" w:cs="宋体"/>
          <w:color w:val="auto"/>
          <w:szCs w:val="21"/>
          <w:highlight w:val="none"/>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482" w:type="pct"/>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4482" w:type="pct"/>
            <w:vAlign w:val="center"/>
          </w:tcPr>
          <w:p>
            <w:pPr>
              <w:jc w:val="left"/>
              <w:rPr>
                <w:rFonts w:ascii="宋体" w:hAnsi="宋体" w:cs="宋体"/>
                <w:color w:val="auto"/>
                <w:szCs w:val="21"/>
                <w:highlight w:val="none"/>
              </w:rPr>
            </w:pPr>
            <w:r>
              <w:rPr>
                <w:rFonts w:hint="eastAsia" w:ascii="宋体" w:hAnsi="宋体" w:cs="宋体"/>
                <w:color w:val="auto"/>
                <w:szCs w:val="21"/>
                <w:highlight w:val="none"/>
              </w:rPr>
              <w:t>与其他投标供应商的法定代表人、主要经营负责人、投标授权代表人、项目负责人、主要技术人员为</w:t>
            </w:r>
            <w:r>
              <w:rPr>
                <w:rFonts w:hint="eastAsia" w:ascii="宋体" w:hAnsi="宋体" w:cs="宋体"/>
                <w:b/>
                <w:bCs/>
                <w:color w:val="auto"/>
                <w:szCs w:val="21"/>
                <w:highlight w:val="none"/>
              </w:rPr>
              <w:t>同一人、属同一单位或者在同一单位缴纳社会保险</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4482" w:type="pct"/>
            <w:vAlign w:val="center"/>
          </w:tcPr>
          <w:p>
            <w:pPr>
              <w:jc w:val="left"/>
              <w:rPr>
                <w:rFonts w:ascii="宋体" w:hAnsi="宋体" w:cs="宋体"/>
                <w:color w:val="auto"/>
                <w:szCs w:val="21"/>
                <w:highlight w:val="none"/>
              </w:rPr>
            </w:pPr>
            <w:r>
              <w:rPr>
                <w:rFonts w:hint="eastAsia" w:ascii="宋体" w:hAnsi="宋体" w:cs="宋体"/>
                <w:color w:val="auto"/>
                <w:szCs w:val="21"/>
                <w:highlight w:val="none"/>
              </w:rPr>
              <w:t>参与本项目政府采购活动时，与其他投标供应商存在单位负责人为</w:t>
            </w:r>
            <w:r>
              <w:rPr>
                <w:rFonts w:hint="eastAsia" w:ascii="宋体" w:hAnsi="宋体" w:cs="宋体"/>
                <w:b/>
                <w:bCs/>
                <w:color w:val="auto"/>
                <w:szCs w:val="21"/>
                <w:highlight w:val="none"/>
              </w:rPr>
              <w:t>同一人或直接控股、管理关系</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4482" w:type="pct"/>
            <w:vAlign w:val="center"/>
          </w:tcPr>
          <w:p>
            <w:pPr>
              <w:jc w:val="left"/>
              <w:rPr>
                <w:rFonts w:ascii="宋体" w:hAnsi="宋体" w:cs="宋体"/>
                <w:color w:val="auto"/>
                <w:szCs w:val="21"/>
                <w:highlight w:val="none"/>
              </w:rPr>
            </w:pPr>
            <w:r>
              <w:rPr>
                <w:rFonts w:hint="eastAsia" w:ascii="宋体" w:hAnsi="宋体" w:cs="宋体"/>
                <w:color w:val="auto"/>
                <w:szCs w:val="21"/>
                <w:highlight w:val="none"/>
              </w:rPr>
              <w:t>与其他投标供应商的投标文件或部分投标文件</w:t>
            </w:r>
            <w:r>
              <w:rPr>
                <w:rFonts w:hint="eastAsia" w:ascii="宋体" w:hAnsi="宋体" w:cs="宋体"/>
                <w:b/>
                <w:bCs/>
                <w:color w:val="auto"/>
                <w:szCs w:val="21"/>
                <w:highlight w:val="none"/>
              </w:rPr>
              <w:t>相互混装或存在非正常一致</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4482" w:type="pct"/>
            <w:vAlign w:val="center"/>
          </w:tcPr>
          <w:p>
            <w:pPr>
              <w:jc w:val="left"/>
              <w:rPr>
                <w:rFonts w:ascii="宋体" w:hAnsi="宋体" w:cs="宋体"/>
                <w:color w:val="auto"/>
                <w:szCs w:val="21"/>
                <w:highlight w:val="none"/>
              </w:rPr>
            </w:pPr>
            <w:r>
              <w:rPr>
                <w:rFonts w:hint="eastAsia" w:ascii="宋体" w:hAnsi="宋体" w:cs="宋体"/>
                <w:color w:val="auto"/>
                <w:szCs w:val="21"/>
                <w:highlight w:val="none"/>
              </w:rPr>
              <w:t>与其他投标供应商的投标文件由</w:t>
            </w:r>
            <w:r>
              <w:rPr>
                <w:rFonts w:hint="eastAsia" w:ascii="宋体" w:hAnsi="宋体" w:cs="宋体"/>
                <w:b/>
                <w:bCs/>
                <w:color w:val="auto"/>
                <w:szCs w:val="21"/>
                <w:highlight w:val="none"/>
              </w:rPr>
              <w:t>同一单位或者同一人编制</w:t>
            </w:r>
            <w:r>
              <w:rPr>
                <w:rFonts w:hint="eastAsia" w:ascii="宋体" w:hAnsi="宋体" w:cs="宋体"/>
                <w:color w:val="auto"/>
                <w:szCs w:val="21"/>
                <w:highlight w:val="none"/>
              </w:rPr>
              <w:t>，或者使用</w:t>
            </w:r>
            <w:r>
              <w:rPr>
                <w:rFonts w:hint="eastAsia" w:ascii="宋体" w:hAnsi="宋体" w:cs="宋体"/>
                <w:b/>
                <w:bCs/>
                <w:color w:val="auto"/>
                <w:szCs w:val="21"/>
                <w:highlight w:val="none"/>
              </w:rPr>
              <w:t>同一设备编制</w:t>
            </w:r>
            <w:r>
              <w:rPr>
                <w:rFonts w:hint="eastAsia" w:ascii="宋体" w:hAnsi="宋体" w:cs="宋体"/>
                <w:color w:val="auto"/>
                <w:szCs w:val="21"/>
                <w:highlight w:val="none"/>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4482" w:type="pct"/>
            <w:vAlign w:val="center"/>
          </w:tcPr>
          <w:p>
            <w:pPr>
              <w:jc w:val="left"/>
              <w:rPr>
                <w:rFonts w:ascii="宋体" w:hAnsi="宋体" w:cs="宋体"/>
                <w:color w:val="auto"/>
                <w:szCs w:val="21"/>
                <w:highlight w:val="none"/>
              </w:rPr>
            </w:pPr>
            <w:r>
              <w:rPr>
                <w:rFonts w:hint="eastAsia" w:ascii="宋体" w:hAnsi="宋体" w:cs="宋体"/>
                <w:color w:val="auto"/>
                <w:szCs w:val="21"/>
                <w:highlight w:val="none"/>
              </w:rPr>
              <w:t>提供</w:t>
            </w:r>
            <w:r>
              <w:rPr>
                <w:rFonts w:hint="eastAsia" w:ascii="宋体" w:hAnsi="宋体" w:cs="宋体"/>
                <w:b/>
                <w:bCs/>
                <w:color w:val="auto"/>
                <w:szCs w:val="21"/>
                <w:highlight w:val="none"/>
              </w:rPr>
              <w:t>未经出具机构核实</w:t>
            </w:r>
            <w:r>
              <w:rPr>
                <w:rFonts w:hint="eastAsia" w:ascii="宋体" w:hAnsi="宋体" w:cs="宋体"/>
                <w:color w:val="auto"/>
                <w:szCs w:val="21"/>
                <w:highlight w:val="none"/>
              </w:rPr>
              <w:t>的虚假的检验检测报告、业绩材料、社保缴纳证明、学历学位证书、职称认证证书等材料。</w:t>
            </w:r>
          </w:p>
        </w:tc>
      </w:tr>
      <w:bookmarkEnd w:id="1"/>
    </w:tbl>
    <w:p>
      <w:pPr>
        <w:autoSpaceDE w:val="0"/>
        <w:autoSpaceDN w:val="0"/>
        <w:adjustRightInd w:val="0"/>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《深圳经济特区政府采购条例》</w:t>
      </w:r>
    </w:p>
    <w:p>
      <w:pPr>
        <w:autoSpaceDE w:val="0"/>
        <w:autoSpaceDN w:val="0"/>
        <w:adjustRightInd w:val="0"/>
        <w:spacing w:line="360" w:lineRule="auto"/>
        <w:ind w:firstLine="482" w:firstLineChars="200"/>
        <w:jc w:val="left"/>
        <w:rPr>
          <w:rFonts w:ascii="宋体" w:hAnsi="宋体" w:cs="宋体"/>
          <w:color w:val="auto"/>
          <w:sz w:val="24"/>
          <w:highlight w:val="none"/>
        </w:rPr>
      </w:pPr>
      <w:r>
        <w:rPr>
          <w:rStyle w:val="21"/>
          <w:rFonts w:hint="eastAsia" w:ascii="宋体" w:hAnsi="宋体" w:cs="宋体"/>
          <w:color w:val="auto"/>
          <w:sz w:val="24"/>
          <w:highlight w:val="none"/>
        </w:rPr>
        <w:t>第五十七条</w:t>
      </w:r>
      <w:r>
        <w:rPr>
          <w:rFonts w:hint="eastAsia" w:ascii="宋体" w:hAnsi="宋体" w:cs="宋体"/>
          <w:color w:val="auto"/>
          <w:sz w:val="24"/>
          <w:highlight w:val="none"/>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5"/>
        <w:shd w:val="clear" w:color="auto" w:fill="FFFFFF"/>
        <w:spacing w:before="0" w:beforeAutospacing="0" w:after="0" w:afterAutospacing="0" w:line="360" w:lineRule="auto"/>
        <w:ind w:firstLine="480" w:firstLineChars="200"/>
        <w:rPr>
          <w:color w:val="auto"/>
          <w:highlight w:val="none"/>
        </w:rPr>
      </w:pPr>
      <w:bookmarkStart w:id="2" w:name="_Toc2750"/>
      <w:r>
        <w:rPr>
          <w:rFonts w:hint="eastAsia"/>
          <w:color w:val="auto"/>
          <w:highlight w:val="none"/>
        </w:rPr>
        <w:t>（一）在采购活动中应当回避而未回避的；</w:t>
      </w:r>
      <w:bookmarkEnd w:id="2"/>
    </w:p>
    <w:p>
      <w:pPr>
        <w:pStyle w:val="15"/>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（二）未按照本条例规定签订、履行采购合同，造成严重后果的；</w:t>
      </w:r>
    </w:p>
    <w:p>
      <w:pPr>
        <w:pStyle w:val="15"/>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（三）隐瞒真实情况，提供虚假资料的；</w:t>
      </w:r>
    </w:p>
    <w:p>
      <w:pPr>
        <w:pStyle w:val="15"/>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（四）以非法手段排斥其他供应商参与竞争的；</w:t>
      </w:r>
    </w:p>
    <w:p>
      <w:pPr>
        <w:pStyle w:val="15"/>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（五）与其他采购参加人串通投标的；</w:t>
      </w:r>
    </w:p>
    <w:p>
      <w:pPr>
        <w:pStyle w:val="15"/>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（六）恶意投诉的；</w:t>
      </w:r>
    </w:p>
    <w:p>
      <w:pPr>
        <w:pStyle w:val="15"/>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（七）向采购项目相关人行贿或者提供其他不当利益的；</w:t>
      </w:r>
    </w:p>
    <w:p>
      <w:pPr>
        <w:pStyle w:val="15"/>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（八）阻碍、抗拒主管部门监督检查的；</w:t>
      </w:r>
    </w:p>
    <w:p>
      <w:pPr>
        <w:pStyle w:val="15"/>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（九）其他违反本条例规定的行为。</w:t>
      </w:r>
    </w:p>
    <w:p>
      <w:pPr>
        <w:autoSpaceDE w:val="0"/>
        <w:autoSpaceDN w:val="0"/>
        <w:adjustRightInd w:val="0"/>
        <w:spacing w:line="360" w:lineRule="auto"/>
        <w:ind w:firstLine="360" w:firstLineChars="150"/>
        <w:jc w:val="left"/>
        <w:rPr>
          <w:rFonts w:ascii="宋体" w:hAnsi="宋体" w:cs="宋体"/>
          <w:color w:val="auto"/>
          <w:kern w:val="0"/>
          <w:sz w:val="24"/>
          <w:highlight w:val="none"/>
        </w:rPr>
      </w:pPr>
    </w:p>
    <w:p>
      <w:pPr>
        <w:autoSpaceDE w:val="0"/>
        <w:autoSpaceDN w:val="0"/>
        <w:adjustRightInd w:val="0"/>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《深圳经济特区政府采购条例实施细则》</w:t>
      </w:r>
    </w:p>
    <w:p>
      <w:pPr>
        <w:keepLines/>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第七十五条</w:t>
      </w:r>
      <w:r>
        <w:rPr>
          <w:rFonts w:hint="eastAsia" w:ascii="宋体" w:hAnsi="宋体" w:cs="宋体"/>
          <w:color w:val="auto"/>
          <w:sz w:val="24"/>
          <w:highlight w:val="none"/>
        </w:rPr>
        <w:t> 供应商有下列情形的，属于采购条例所称的串通投标行为，按照采购条例第五十七条有关规定处理：</w:t>
      </w:r>
    </w:p>
    <w:p>
      <w:pPr>
        <w:keepLines/>
        <w:spacing w:line="360" w:lineRule="auto"/>
        <w:ind w:firstLine="480" w:firstLineChars="200"/>
        <w:rPr>
          <w:rFonts w:ascii="宋体" w:hAnsi="宋体" w:cs="宋体"/>
          <w:color w:val="auto"/>
          <w:sz w:val="24"/>
          <w:highlight w:val="none"/>
        </w:rPr>
      </w:pPr>
      <w:bookmarkStart w:id="3" w:name="_Toc6281"/>
      <w:r>
        <w:rPr>
          <w:rFonts w:hint="eastAsia" w:ascii="宋体" w:hAnsi="宋体" w:cs="宋体"/>
          <w:color w:val="auto"/>
          <w:sz w:val="24"/>
          <w:highlight w:val="none"/>
        </w:rPr>
        <w:t>（一）投标供应商之间相互约定给予未中标的供应商利益补偿；</w:t>
      </w:r>
      <w:bookmarkEnd w:id="3"/>
    </w:p>
    <w:p>
      <w:pPr>
        <w:keepLine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（三）不同投标供应商的投标文件由同一单位或者同一人编制，或者由同一人分阶段参与编制的；</w:t>
      </w:r>
    </w:p>
    <w:p>
      <w:pPr>
        <w:keepLine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（四）不同投标供应商的投标文件或部分投标文件相互混装；</w:t>
      </w:r>
    </w:p>
    <w:p>
      <w:pPr>
        <w:keepLine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（五）不同投标供应商的投标文件内容存在非正常一致；</w:t>
      </w:r>
    </w:p>
    <w:p>
      <w:pPr>
        <w:keepLine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（六）由同一单位工作人员为两家以上（含两家）供应商进行同一项投标活动的；</w:t>
      </w:r>
    </w:p>
    <w:p>
      <w:pPr>
        <w:keepLines/>
        <w:spacing w:line="360" w:lineRule="auto"/>
        <w:ind w:firstLine="480" w:firstLineChars="200"/>
        <w:rPr>
          <w:rFonts w:ascii="宋体" w:hAnsi="宋体" w:cs="宋体"/>
          <w:color w:val="auto"/>
          <w:sz w:val="24"/>
          <w:highlight w:val="none"/>
        </w:rPr>
      </w:pPr>
      <w:bookmarkStart w:id="4" w:name="_Toc31089"/>
      <w:r>
        <w:rPr>
          <w:rFonts w:hint="eastAsia" w:ascii="宋体" w:hAnsi="宋体" w:cs="宋体"/>
          <w:color w:val="auto"/>
          <w:sz w:val="24"/>
          <w:highlight w:val="none"/>
        </w:rPr>
        <w:t>（七）主管部门依照法律、法规认定的其他情形。</w:t>
      </w:r>
      <w:bookmarkEnd w:id="4"/>
    </w:p>
    <w:p>
      <w:pPr>
        <w:keepLines/>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第七十七条</w:t>
      </w:r>
      <w:r>
        <w:rPr>
          <w:rFonts w:hint="eastAsia" w:ascii="宋体" w:hAnsi="宋体" w:cs="宋体"/>
          <w:color w:val="auto"/>
          <w:sz w:val="24"/>
          <w:highlight w:val="none"/>
        </w:rPr>
        <w:t> 供应商有下列情形之一的，属于隐瞒真实情况，提供虚假资料，按照采购条例第五十七条的有关规定处理：</w:t>
      </w:r>
    </w:p>
    <w:p>
      <w:pPr>
        <w:keepLine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（一）通过转让或者租借等方式从其他单位获取资格或者资质证书投标的；</w:t>
      </w:r>
    </w:p>
    <w:p>
      <w:pPr>
        <w:keepLine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（二）由其他单位或者其他单位负责人在投标供应商编制的投标文件上加盖印章或者签字的；</w:t>
      </w:r>
    </w:p>
    <w:p>
      <w:pPr>
        <w:keepLine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（三）项目负责人或者主要技术人员不是本单位人员的；</w:t>
      </w:r>
    </w:p>
    <w:p>
      <w:pPr>
        <w:keepLine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（四）投标保证金不是从投标供应商基本账户转出的；</w:t>
      </w:r>
    </w:p>
    <w:p>
      <w:pPr>
        <w:keepLine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（五）其他隐瞒真实情况、提供虚假资料的行为。</w:t>
      </w:r>
    </w:p>
    <w:p>
      <w:pPr>
        <w:keepLine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投标供应商不能提供项目负责人或者主要技术人员的劳动合同、社会保险等劳动关系证明材料的，视为存在前款第（三）项规定的情形。</w:t>
      </w:r>
    </w:p>
    <w:p>
      <w:pPr>
        <w:pStyle w:val="7"/>
        <w:tabs>
          <w:tab w:val="left" w:pos="562"/>
          <w:tab w:val="left" w:pos="3372"/>
          <w:tab w:val="left" w:pos="3653"/>
        </w:tabs>
        <w:spacing w:line="360" w:lineRule="auto"/>
        <w:rPr>
          <w:rFonts w:ascii="宋体" w:hAnsi="宋体" w:cs="宋体"/>
          <w:color w:val="auto"/>
          <w:highlight w:val="none"/>
        </w:rPr>
      </w:pPr>
    </w:p>
    <w:p>
      <w:pPr>
        <w:autoSpaceDE w:val="0"/>
        <w:autoSpaceDN w:val="0"/>
        <w:adjustRightInd w:val="0"/>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 xml:space="preserve">《中华人民共和国政府采购法实施条例》 </w:t>
      </w:r>
    </w:p>
    <w:p>
      <w:pPr>
        <w:spacing w:line="360" w:lineRule="auto"/>
        <w:ind w:firstLine="482" w:firstLineChars="200"/>
        <w:jc w:val="left"/>
        <w:rPr>
          <w:rFonts w:ascii="宋体" w:hAnsi="宋体" w:cs="宋体"/>
          <w:color w:val="auto"/>
          <w:sz w:val="24"/>
          <w:highlight w:val="none"/>
        </w:rPr>
      </w:pPr>
      <w:bookmarkStart w:id="5" w:name="_Toc10451"/>
      <w:r>
        <w:rPr>
          <w:rFonts w:hint="eastAsia" w:ascii="宋体" w:hAnsi="宋体" w:cs="宋体"/>
          <w:b/>
          <w:bCs/>
          <w:color w:val="auto"/>
          <w:sz w:val="24"/>
          <w:highlight w:val="none"/>
        </w:rPr>
        <w:t>第十八条</w:t>
      </w:r>
      <w:r>
        <w:rPr>
          <w:rFonts w:hint="eastAsia" w:ascii="宋体" w:hAnsi="宋体" w:cs="宋体"/>
          <w:color w:val="auto"/>
          <w:sz w:val="24"/>
          <w:highlight w:val="none"/>
        </w:rPr>
        <w:t xml:space="preserve"> 单位负责人为同一人或者存在直接控股、管理关系的不同供应商，不得参加同一合同项下的政府采购活动。</w:t>
      </w:r>
      <w:bookmarkEnd w:id="5"/>
    </w:p>
    <w:p>
      <w:pPr>
        <w:spacing w:line="360" w:lineRule="auto"/>
        <w:ind w:firstLine="480" w:firstLineChars="200"/>
        <w:jc w:val="left"/>
        <w:rPr>
          <w:rFonts w:ascii="宋体" w:hAnsi="宋体" w:cs="宋体"/>
          <w:color w:val="auto"/>
          <w:sz w:val="24"/>
          <w:highlight w:val="none"/>
        </w:rPr>
      </w:pPr>
      <w:bookmarkStart w:id="6" w:name="_Toc4495"/>
      <w:r>
        <w:rPr>
          <w:rFonts w:hint="eastAsia" w:ascii="宋体" w:hAnsi="宋体" w:cs="宋体"/>
          <w:color w:val="auto"/>
          <w:sz w:val="24"/>
          <w:highlight w:val="none"/>
        </w:rPr>
        <w:t>除单一来源采购项目外，为采购项目提供整体设计、规范编制或者项目管理、监 理、检测等服务的供应商，不得再参加该采购项目的其他采购活动。</w:t>
      </w:r>
      <w:bookmarkEnd w:id="6"/>
    </w:p>
    <w:p>
      <w:pPr>
        <w:pStyle w:val="7"/>
        <w:tabs>
          <w:tab w:val="left" w:pos="562"/>
          <w:tab w:val="left" w:pos="3372"/>
          <w:tab w:val="left" w:pos="3653"/>
        </w:tabs>
        <w:spacing w:line="360" w:lineRule="auto"/>
        <w:rPr>
          <w:rFonts w:ascii="宋体" w:hAnsi="宋体" w:cs="宋体"/>
          <w:color w:val="auto"/>
          <w:highlight w:val="none"/>
        </w:rPr>
      </w:pPr>
    </w:p>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b/>
          <w:color w:val="auto"/>
          <w:kern w:val="0"/>
          <w:sz w:val="24"/>
          <w:highlight w:val="none"/>
        </w:rPr>
        <w:t xml:space="preserve">《深圳市财政局关于采购文件增加风险告知有关事项的通知》 </w:t>
      </w:r>
    </w:p>
    <w:p>
      <w:pPr>
        <w:pStyle w:val="7"/>
        <w:tabs>
          <w:tab w:val="left" w:pos="562"/>
          <w:tab w:val="left" w:pos="3372"/>
          <w:tab w:val="left" w:pos="3653"/>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jc w:val="center"/>
        <w:rPr>
          <w:rFonts w:ascii="宋体" w:hAnsi="宋体" w:cs="宋体"/>
          <w:b/>
          <w:color w:val="auto"/>
          <w:kern w:val="0"/>
          <w:sz w:val="24"/>
          <w:highlight w:val="none"/>
        </w:rPr>
      </w:pPr>
      <w:r>
        <w:rPr>
          <w:rFonts w:hint="eastAsia" w:ascii="宋体" w:hAnsi="宋体" w:cs="宋体"/>
          <w:b/>
          <w:color w:val="auto"/>
          <w:kern w:val="0"/>
          <w:sz w:val="24"/>
          <w:highlight w:val="none"/>
        </w:rPr>
        <w:t>《关于在相关自由贸易试验区和自由贸易港开展推动解决政府采购异常低价问题试点工作的通知》</w:t>
      </w:r>
    </w:p>
    <w:p>
      <w:pPr>
        <w:pStyle w:val="7"/>
        <w:tabs>
          <w:tab w:val="left" w:pos="562"/>
          <w:tab w:val="left" w:pos="3372"/>
          <w:tab w:val="left" w:pos="3653"/>
        </w:tabs>
        <w:spacing w:after="0"/>
        <w:rPr>
          <w:rFonts w:ascii="宋体" w:hAnsi="宋体" w:cs="宋体"/>
          <w:b/>
          <w:bCs/>
          <w:color w:val="auto"/>
          <w:highlight w:val="none"/>
        </w:rPr>
      </w:pPr>
      <w:r>
        <w:rPr>
          <w:rFonts w:hint="eastAsia" w:ascii="宋体" w:hAnsi="宋体" w:cs="宋体"/>
          <w:b/>
          <w:bCs/>
          <w:color w:val="auto"/>
          <w:highlight w:val="none"/>
        </w:rPr>
        <w:t>强化政府采购异常低价审查：</w:t>
      </w:r>
    </w:p>
    <w:p>
      <w:pPr>
        <w:pStyle w:val="7"/>
        <w:tabs>
          <w:tab w:val="left" w:pos="562"/>
          <w:tab w:val="left" w:pos="3372"/>
          <w:tab w:val="left" w:pos="3653"/>
        </w:tabs>
        <w:spacing w:after="0"/>
        <w:ind w:firstLine="480" w:firstLineChars="200"/>
        <w:rPr>
          <w:rFonts w:ascii="宋体" w:hAnsi="宋体" w:cs="宋体"/>
          <w:color w:val="auto"/>
          <w:highlight w:val="none"/>
        </w:rPr>
      </w:pPr>
      <w:r>
        <w:rPr>
          <w:rFonts w:hint="eastAsia" w:ascii="宋体" w:hAnsi="宋体" w:cs="宋体"/>
          <w:color w:val="auto"/>
          <w:highlight w:val="none"/>
        </w:rPr>
        <w:t>试点地区采购人应当在采购文件中明确异常低价投标（响应）审查的有关内容，主要包括：</w:t>
      </w:r>
    </w:p>
    <w:p>
      <w:pPr>
        <w:pStyle w:val="7"/>
        <w:tabs>
          <w:tab w:val="left" w:pos="562"/>
          <w:tab w:val="left" w:pos="3372"/>
          <w:tab w:val="left" w:pos="3653"/>
        </w:tabs>
        <w:spacing w:after="0"/>
        <w:ind w:firstLine="480" w:firstLineChars="200"/>
        <w:rPr>
          <w:rFonts w:ascii="宋体" w:hAnsi="宋体" w:cs="宋体"/>
          <w:color w:val="auto"/>
          <w:highlight w:val="none"/>
        </w:rPr>
      </w:pPr>
      <w:r>
        <w:rPr>
          <w:rFonts w:hint="eastAsia" w:ascii="宋体" w:hAnsi="宋体" w:cs="宋体"/>
          <w:color w:val="auto"/>
          <w:highlight w:val="none"/>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7"/>
        <w:tabs>
          <w:tab w:val="left" w:pos="562"/>
          <w:tab w:val="left" w:pos="3372"/>
          <w:tab w:val="left" w:pos="3653"/>
        </w:tabs>
        <w:spacing w:after="0"/>
        <w:ind w:firstLine="480" w:firstLineChars="200"/>
        <w:rPr>
          <w:rFonts w:ascii="宋体" w:hAnsi="宋体" w:cs="宋体"/>
          <w:color w:val="auto"/>
          <w:highlight w:val="none"/>
        </w:rPr>
      </w:pPr>
      <w:r>
        <w:rPr>
          <w:rFonts w:hint="eastAsia" w:ascii="宋体" w:hAnsi="宋体" w:cs="宋体"/>
          <w:color w:val="auto"/>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7"/>
        <w:tabs>
          <w:tab w:val="left" w:pos="562"/>
          <w:tab w:val="left" w:pos="3372"/>
          <w:tab w:val="left" w:pos="3653"/>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pStyle w:val="7"/>
        <w:tabs>
          <w:tab w:val="left" w:pos="562"/>
          <w:tab w:val="left" w:pos="3372"/>
          <w:tab w:val="left" w:pos="3653"/>
        </w:tabs>
        <w:spacing w:line="360" w:lineRule="auto"/>
        <w:ind w:firstLine="480" w:firstLineChars="200"/>
        <w:rPr>
          <w:rFonts w:ascii="宋体" w:hAnsi="宋体" w:cs="宋体"/>
          <w:color w:val="auto"/>
          <w:highlight w:val="none"/>
        </w:rPr>
      </w:pPr>
    </w:p>
    <w:p>
      <w:pPr>
        <w:pStyle w:val="7"/>
        <w:tabs>
          <w:tab w:val="left" w:pos="562"/>
          <w:tab w:val="left" w:pos="3372"/>
          <w:tab w:val="left" w:pos="3653"/>
        </w:tabs>
        <w:spacing w:line="360" w:lineRule="auto"/>
        <w:ind w:firstLine="480" w:firstLineChars="200"/>
        <w:rPr>
          <w:rFonts w:ascii="宋体" w:hAnsi="宋体" w:cs="宋体"/>
          <w:color w:val="auto"/>
          <w:highlight w:val="none"/>
        </w:rPr>
      </w:pPr>
    </w:p>
    <w:p>
      <w:pPr>
        <w:pStyle w:val="7"/>
        <w:tabs>
          <w:tab w:val="left" w:pos="562"/>
          <w:tab w:val="left" w:pos="3372"/>
          <w:tab w:val="left" w:pos="3653"/>
        </w:tabs>
        <w:spacing w:line="360" w:lineRule="auto"/>
        <w:ind w:firstLine="480" w:firstLineChars="200"/>
        <w:rPr>
          <w:rFonts w:ascii="宋体" w:hAnsi="宋体" w:cs="宋体"/>
          <w:color w:val="auto"/>
          <w:highlight w:val="none"/>
        </w:rPr>
      </w:pPr>
    </w:p>
    <w:p>
      <w:pPr>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bookmarkStart w:id="7" w:name="_Toc20808"/>
      <w:bookmarkStart w:id="8" w:name="_Toc20243"/>
      <w:r>
        <w:rPr>
          <w:rFonts w:hint="eastAsia" w:ascii="宋体" w:hAnsi="宋体" w:cs="宋体"/>
          <w:b/>
          <w:bCs/>
          <w:color w:val="auto"/>
          <w:sz w:val="36"/>
          <w:szCs w:val="36"/>
          <w:highlight w:val="none"/>
          <w:lang w:val="zh-CN"/>
        </w:rPr>
        <w:t>目录</w:t>
      </w:r>
      <w:bookmarkEnd w:id="0"/>
      <w:bookmarkEnd w:id="7"/>
      <w:bookmarkEnd w:id="8"/>
    </w:p>
    <w:p>
      <w:pPr>
        <w:pStyle w:val="13"/>
        <w:tabs>
          <w:tab w:val="right" w:leader="dot" w:pos="8306"/>
        </w:tabs>
        <w:spacing w:line="480" w:lineRule="auto"/>
        <w:rPr>
          <w:b/>
          <w:bCs/>
          <w:color w:val="auto"/>
          <w:sz w:val="24"/>
          <w:szCs w:val="32"/>
          <w:highlight w:val="none"/>
        </w:rPr>
      </w:pPr>
    </w:p>
    <w:p>
      <w:pPr>
        <w:pStyle w:val="13"/>
        <w:tabs>
          <w:tab w:val="right" w:leader="dot" w:pos="8306"/>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TOC \o "1-1" \h \u </w:instrText>
      </w:r>
      <w:r>
        <w:rPr>
          <w:rFonts w:hint="eastAsia" w:ascii="宋体" w:hAnsi="宋体" w:cs="宋体"/>
          <w:b/>
          <w:bCs/>
          <w:color w:val="auto"/>
          <w:sz w:val="24"/>
          <w:highlight w:val="none"/>
        </w:rPr>
        <w:fldChar w:fldCharType="separate"/>
      </w:r>
      <w:r>
        <w:rPr>
          <w:color w:val="auto"/>
          <w:highlight w:val="none"/>
        </w:rPr>
        <w:fldChar w:fldCharType="begin"/>
      </w:r>
      <w:r>
        <w:rPr>
          <w:color w:val="auto"/>
          <w:highlight w:val="none"/>
        </w:rPr>
        <w:instrText xml:space="preserve"> HYPERLINK \l "_Toc15219" </w:instrText>
      </w:r>
      <w:r>
        <w:rPr>
          <w:color w:val="auto"/>
          <w:highlight w:val="none"/>
        </w:rPr>
        <w:fldChar w:fldCharType="separate"/>
      </w:r>
      <w:r>
        <w:rPr>
          <w:rFonts w:hint="eastAsia" w:ascii="宋体" w:hAnsi="宋体" w:cs="宋体"/>
          <w:b/>
          <w:bCs/>
          <w:color w:val="auto"/>
          <w:sz w:val="24"/>
          <w:highlight w:val="none"/>
        </w:rPr>
        <w:t>第一章 招标邀请书（招标公告）</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_Toc15219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6</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3"/>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"_Toc30172" </w:instrText>
      </w:r>
      <w:r>
        <w:rPr>
          <w:color w:val="auto"/>
          <w:highlight w:val="none"/>
        </w:rPr>
        <w:fldChar w:fldCharType="separate"/>
      </w:r>
      <w:r>
        <w:rPr>
          <w:rFonts w:hint="eastAsia" w:ascii="宋体" w:hAnsi="宋体" w:cs="宋体"/>
          <w:b/>
          <w:bCs/>
          <w:color w:val="auto"/>
          <w:sz w:val="24"/>
          <w:highlight w:val="none"/>
        </w:rPr>
        <w:t>第二章 投标须知</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_Toc30172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10</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3"/>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"_Toc25974" </w:instrText>
      </w:r>
      <w:r>
        <w:rPr>
          <w:color w:val="auto"/>
          <w:highlight w:val="none"/>
        </w:rPr>
        <w:fldChar w:fldCharType="separate"/>
      </w:r>
      <w:r>
        <w:rPr>
          <w:rFonts w:hint="eastAsia" w:ascii="宋体" w:hAnsi="宋体" w:cs="宋体"/>
          <w:b/>
          <w:bCs/>
          <w:color w:val="auto"/>
          <w:sz w:val="24"/>
          <w:highlight w:val="none"/>
        </w:rPr>
        <w:t>第三章 评标程序</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_Toc25974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13</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3"/>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"_Toc8663" </w:instrText>
      </w:r>
      <w:r>
        <w:rPr>
          <w:color w:val="auto"/>
          <w:highlight w:val="none"/>
        </w:rPr>
        <w:fldChar w:fldCharType="separate"/>
      </w:r>
      <w:r>
        <w:rPr>
          <w:rFonts w:hint="eastAsia" w:ascii="宋体" w:hAnsi="宋体" w:cs="宋体"/>
          <w:b/>
          <w:bCs/>
          <w:color w:val="auto"/>
          <w:sz w:val="24"/>
          <w:highlight w:val="none"/>
        </w:rPr>
        <w:t>第四章 合同格式及合同条款</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_Toc8663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15</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3"/>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"_Toc11333" </w:instrText>
      </w:r>
      <w:r>
        <w:rPr>
          <w:color w:val="auto"/>
          <w:highlight w:val="none"/>
        </w:rPr>
        <w:fldChar w:fldCharType="separate"/>
      </w:r>
      <w:r>
        <w:rPr>
          <w:rFonts w:hint="eastAsia" w:ascii="宋体" w:hAnsi="宋体" w:cs="宋体"/>
          <w:b/>
          <w:bCs/>
          <w:color w:val="auto"/>
          <w:sz w:val="24"/>
          <w:highlight w:val="none"/>
        </w:rPr>
        <w:t>第五章 用户需求书</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_Toc11333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28</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3"/>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"_Toc10061" </w:instrText>
      </w:r>
      <w:r>
        <w:rPr>
          <w:color w:val="auto"/>
          <w:highlight w:val="none"/>
        </w:rPr>
        <w:fldChar w:fldCharType="separate"/>
      </w:r>
      <w:r>
        <w:rPr>
          <w:rFonts w:hint="eastAsia" w:ascii="宋体" w:hAnsi="宋体" w:cs="宋体"/>
          <w:b/>
          <w:bCs/>
          <w:color w:val="auto"/>
          <w:sz w:val="24"/>
          <w:highlight w:val="none"/>
        </w:rPr>
        <w:t>第六章 投标文件初审及招标项目评分表</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_Toc10061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35</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3"/>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"_Toc31322" </w:instrText>
      </w:r>
      <w:r>
        <w:rPr>
          <w:color w:val="auto"/>
          <w:highlight w:val="none"/>
        </w:rPr>
        <w:fldChar w:fldCharType="separate"/>
      </w:r>
      <w:r>
        <w:rPr>
          <w:rFonts w:hint="eastAsia" w:ascii="宋体" w:hAnsi="宋体" w:cs="宋体"/>
          <w:b/>
          <w:bCs/>
          <w:color w:val="auto"/>
          <w:sz w:val="24"/>
          <w:highlight w:val="none"/>
        </w:rPr>
        <w:t>第七章 附件（投标文件格式）</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_Toc31322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43</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3"/>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"_Toc2231" </w:instrText>
      </w:r>
      <w:r>
        <w:rPr>
          <w:color w:val="auto"/>
          <w:highlight w:val="none"/>
        </w:rPr>
        <w:fldChar w:fldCharType="separate"/>
      </w:r>
      <w:r>
        <w:rPr>
          <w:rFonts w:hint="eastAsia" w:ascii="宋体" w:hAnsi="宋体" w:cs="宋体"/>
          <w:b/>
          <w:bCs/>
          <w:color w:val="auto"/>
          <w:sz w:val="24"/>
          <w:highlight w:val="none"/>
        </w:rPr>
        <w:t>附件：相关政策</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_Toc2231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74</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3"/>
        <w:tabs>
          <w:tab w:val="right" w:leader="dot" w:pos="8306"/>
        </w:tabs>
        <w:spacing w:line="360" w:lineRule="auto"/>
        <w:rPr>
          <w:rFonts w:ascii="宋体" w:hAnsi="宋体" w:cs="宋体"/>
          <w:b/>
          <w:color w:val="auto"/>
          <w:sz w:val="24"/>
          <w:highlight w:val="none"/>
        </w:rPr>
      </w:pPr>
      <w:r>
        <w:rPr>
          <w:rFonts w:hint="eastAsia" w:ascii="宋体" w:hAnsi="宋体" w:cs="宋体"/>
          <w:b/>
          <w:bCs/>
          <w:color w:val="auto"/>
          <w:sz w:val="24"/>
          <w:highlight w:val="none"/>
        </w:rPr>
        <w:fldChar w:fldCharType="end"/>
      </w:r>
    </w:p>
    <w:p>
      <w:pPr>
        <w:spacing w:line="360" w:lineRule="auto"/>
        <w:rPr>
          <w:color w:val="auto"/>
          <w:highlight w:val="none"/>
        </w:rPr>
      </w:pPr>
    </w:p>
    <w:p>
      <w:pPr>
        <w:numPr>
          <w:ilvl w:val="0"/>
          <w:numId w:val="1"/>
        </w:numPr>
        <w:spacing w:line="360" w:lineRule="auto"/>
        <w:jc w:val="center"/>
        <w:outlineLvl w:val="0"/>
        <w:rPr>
          <w:rFonts w:ascii="宋体" w:hAnsi="宋体" w:cs="宋体"/>
          <w:b/>
          <w:bCs/>
          <w:color w:val="auto"/>
          <w:sz w:val="24"/>
          <w:highlight w:val="none"/>
        </w:rPr>
      </w:pPr>
      <w:r>
        <w:rPr>
          <w:rFonts w:ascii="宋体"/>
          <w:b/>
          <w:bCs/>
          <w:color w:val="auto"/>
          <w:sz w:val="32"/>
          <w:szCs w:val="28"/>
          <w:highlight w:val="none"/>
        </w:rPr>
        <w:br w:type="page"/>
      </w:r>
      <w:r>
        <w:rPr>
          <w:rFonts w:hint="eastAsia" w:ascii="宋体"/>
          <w:b/>
          <w:bCs/>
          <w:color w:val="auto"/>
          <w:sz w:val="32"/>
          <w:szCs w:val="28"/>
          <w:highlight w:val="none"/>
        </w:rPr>
        <w:t xml:space="preserve"> </w:t>
      </w:r>
      <w:bookmarkStart w:id="9" w:name="_Toc15219"/>
      <w:bookmarkStart w:id="10" w:name="_Toc17273"/>
      <w:r>
        <w:rPr>
          <w:rFonts w:hint="eastAsia" w:ascii="宋体" w:hAnsi="宋体" w:cs="宋体"/>
          <w:b/>
          <w:bCs/>
          <w:color w:val="auto"/>
          <w:sz w:val="24"/>
          <w:highlight w:val="none"/>
        </w:rPr>
        <w:t>招标邀请书（招标公告）</w:t>
      </w:r>
      <w:bookmarkEnd w:id="9"/>
      <w:bookmarkEnd w:id="10"/>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北京国际招标有限公司（以下简称采购代理机构）受深圳市前海深港现代服务业合作区管理局委托就</w:t>
      </w:r>
      <w:r>
        <w:rPr>
          <w:rFonts w:hint="eastAsia" w:ascii="宋体" w:hAnsi="宋体" w:cs="宋体"/>
          <w:color w:val="auto"/>
          <w:sz w:val="24"/>
          <w:highlight w:val="none"/>
          <w:u w:val="single"/>
        </w:rPr>
        <w:t>2026年多语种翻译服务</w:t>
      </w:r>
      <w:r>
        <w:rPr>
          <w:rFonts w:hint="eastAsia" w:ascii="宋体" w:hAnsi="宋体" w:cs="宋体"/>
          <w:color w:val="auto"/>
          <w:sz w:val="24"/>
          <w:highlight w:val="none"/>
        </w:rPr>
        <w:t>采购项目（招标编号：</w:t>
      </w:r>
      <w:r>
        <w:rPr>
          <w:rFonts w:hint="eastAsia" w:ascii="宋体" w:hAnsi="宋体" w:cs="宋体"/>
          <w:color w:val="auto"/>
          <w:sz w:val="24"/>
          <w:highlight w:val="none"/>
          <w:u w:val="single"/>
        </w:rPr>
        <w:t>QH2026028）</w:t>
      </w:r>
      <w:r>
        <w:rPr>
          <w:rFonts w:hint="eastAsia" w:ascii="宋体" w:hAnsi="宋体" w:cs="宋体"/>
          <w:color w:val="auto"/>
          <w:sz w:val="24"/>
          <w:highlight w:val="none"/>
        </w:rPr>
        <w:t>采用简易招标方式采购，欢迎符合投标人资格要求的专业供应商积极参加投标。</w:t>
      </w:r>
    </w:p>
    <w:tbl>
      <w:tblPr>
        <w:tblStyle w:val="18"/>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招标编号</w:t>
            </w:r>
          </w:p>
        </w:tc>
        <w:tc>
          <w:tcPr>
            <w:tcW w:w="7015"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QH2026028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招标项目名称</w:t>
            </w:r>
          </w:p>
        </w:tc>
        <w:tc>
          <w:tcPr>
            <w:tcW w:w="7015"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2026年多语种翻译服务项目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标的内容</w:t>
            </w:r>
          </w:p>
        </w:tc>
        <w:tc>
          <w:tcPr>
            <w:tcW w:w="7015" w:type="dxa"/>
            <w:vAlign w:val="center"/>
          </w:tcPr>
          <w:p>
            <w:pPr>
              <w:spacing w:line="360" w:lineRule="auto"/>
              <w:rPr>
                <w:color w:val="auto"/>
                <w:highlight w:val="none"/>
              </w:rPr>
            </w:pPr>
            <w:r>
              <w:rPr>
                <w:rFonts w:hint="eastAsia" w:ascii="宋体" w:hAnsi="宋体" w:cs="宋体"/>
                <w:color w:val="auto"/>
                <w:sz w:val="24"/>
                <w:highlight w:val="none"/>
              </w:rPr>
              <w:t>为助力前海实现高水平对外开放，满足前海在双招双引及各类涉外工作中日益增长的多语种翻译需求，前海管理局现拟开展2026年多语种翻译服务采购工作。具体详见用户需求书。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项目预算</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（支付上限）</w:t>
            </w:r>
          </w:p>
        </w:tc>
        <w:tc>
          <w:tcPr>
            <w:tcW w:w="7015"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¥400,000.00（人民币肆拾万元整）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676"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标书获得办法</w:t>
            </w:r>
          </w:p>
        </w:tc>
        <w:tc>
          <w:tcPr>
            <w:tcW w:w="7015" w:type="dxa"/>
            <w:vAlign w:val="center"/>
          </w:tcPr>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招标文件为电子版，投标人可在前海管理局官网（政务公开-采购信息-招标公告栏目）(</w:t>
            </w:r>
            <w:bookmarkStart w:id="11" w:name="OLE_LINK46"/>
            <w:r>
              <w:rPr>
                <w:rFonts w:hint="eastAsia" w:ascii="宋体" w:hAnsi="宋体" w:cs="宋体"/>
                <w:color w:val="auto"/>
                <w:kern w:val="0"/>
                <w:sz w:val="24"/>
                <w:highlight w:val="none"/>
              </w:rPr>
              <w:t>http://qh.sz.gov.cn/</w:t>
            </w:r>
            <w:bookmarkEnd w:id="11"/>
            <w:r>
              <w:rPr>
                <w:rFonts w:hint="eastAsia" w:ascii="宋体" w:hAnsi="宋体" w:cs="宋体"/>
                <w:color w:val="auto"/>
                <w:kern w:val="0"/>
                <w:sz w:val="24"/>
                <w:highlight w:val="none"/>
              </w:rPr>
              <w:t>)免费下载。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报名方式</w:t>
            </w:r>
          </w:p>
        </w:tc>
        <w:tc>
          <w:tcPr>
            <w:tcW w:w="7015" w:type="dxa"/>
            <w:vAlign w:val="center"/>
          </w:tcPr>
          <w:p>
            <w:pPr>
              <w:adjustRightInd w:val="0"/>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将投标文件密封并在</w:t>
            </w:r>
            <w:r>
              <w:rPr>
                <w:rFonts w:hint="eastAsia" w:ascii="宋体" w:hAnsi="宋体" w:cs="宋体"/>
                <w:b/>
                <w:bCs/>
                <w:color w:val="auto"/>
                <w:kern w:val="0"/>
                <w:sz w:val="24"/>
                <w:highlight w:val="none"/>
              </w:rPr>
              <w:t>2026年</w:t>
            </w:r>
            <w:r>
              <w:rPr>
                <w:rFonts w:hint="eastAsia" w:ascii="宋体" w:hAnsi="宋体" w:cs="宋体"/>
                <w:b/>
                <w:bCs/>
                <w:color w:val="auto"/>
                <w:kern w:val="0"/>
                <w:sz w:val="24"/>
                <w:highlight w:val="none"/>
                <w:lang w:val="en-US" w:eastAsia="zh-CN"/>
              </w:rPr>
              <w:t>4</w:t>
            </w:r>
            <w:r>
              <w:rPr>
                <w:rFonts w:hint="eastAsia" w:ascii="宋体" w:hAnsi="宋体" w:cs="宋体"/>
                <w:b/>
                <w:bCs/>
                <w:color w:val="auto"/>
                <w:kern w:val="0"/>
                <w:sz w:val="24"/>
                <w:highlight w:val="none"/>
              </w:rPr>
              <w:t>月</w:t>
            </w:r>
            <w:r>
              <w:rPr>
                <w:rFonts w:hint="eastAsia" w:ascii="宋体" w:hAnsi="宋体" w:cs="宋体"/>
                <w:b/>
                <w:bCs/>
                <w:color w:val="auto"/>
                <w:kern w:val="0"/>
                <w:sz w:val="24"/>
                <w:highlight w:val="none"/>
                <w:lang w:val="en-US" w:eastAsia="zh-CN"/>
              </w:rPr>
              <w:t>2</w:t>
            </w:r>
            <w:r>
              <w:rPr>
                <w:rFonts w:hint="eastAsia" w:ascii="宋体" w:hAnsi="宋体" w:cs="宋体"/>
                <w:b/>
                <w:bCs/>
                <w:color w:val="auto"/>
                <w:kern w:val="0"/>
                <w:sz w:val="24"/>
                <w:highlight w:val="none"/>
              </w:rPr>
              <w:t>日</w:t>
            </w:r>
            <w:r>
              <w:rPr>
                <w:rFonts w:hint="eastAsia" w:ascii="宋体" w:hAnsi="宋体" w:cs="宋体"/>
                <w:b/>
                <w:bCs/>
                <w:color w:val="auto"/>
                <w:kern w:val="0"/>
                <w:sz w:val="24"/>
                <w:highlight w:val="none"/>
                <w:lang w:val="en-US" w:eastAsia="zh-CN"/>
              </w:rPr>
              <w:t>14</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3</w:t>
            </w:r>
            <w:r>
              <w:rPr>
                <w:rFonts w:hint="eastAsia" w:ascii="宋体" w:hAnsi="宋体" w:cs="宋体"/>
                <w:b/>
                <w:bCs/>
                <w:color w:val="auto"/>
                <w:kern w:val="0"/>
                <w:sz w:val="24"/>
                <w:highlight w:val="none"/>
              </w:rPr>
              <w:t>0时（北京时间）</w:t>
            </w:r>
            <w:r>
              <w:rPr>
                <w:rFonts w:hint="eastAsia" w:ascii="宋体" w:hAnsi="宋体" w:cs="宋体"/>
                <w:color w:val="auto"/>
                <w:kern w:val="0"/>
                <w:sz w:val="24"/>
                <w:highlight w:val="none"/>
              </w:rPr>
              <w:t>前送达（现场递交或邮寄）至深圳市南山区前海深港合作区桂湾五路123号前海管理局前海大厦T1栋2415室</w:t>
            </w:r>
          </w:p>
          <w:p>
            <w:pPr>
              <w:adjustRightInd w:val="0"/>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联  系  人：邵女士</w:t>
            </w:r>
          </w:p>
          <w:p>
            <w:pPr>
              <w:adjustRightInd w:val="0"/>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电      话：0755-88105315</w:t>
            </w:r>
          </w:p>
          <w:p>
            <w:pPr>
              <w:adjustRightInd w:val="0"/>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投标人资格要求</w:t>
            </w:r>
          </w:p>
        </w:tc>
        <w:tc>
          <w:tcPr>
            <w:tcW w:w="7015" w:type="dxa"/>
            <w:vAlign w:val="center"/>
          </w:tcPr>
          <w:p>
            <w:pPr>
              <w:numPr>
                <w:ilvl w:val="0"/>
                <w:numId w:val="2"/>
              </w:num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在中华人民共和国境内注册的具有独立法人资格或具有独立承担民事责任的能力的其他组织</w:t>
            </w:r>
            <w:r>
              <w:rPr>
                <w:rFonts w:hint="eastAsia" w:ascii="宋体" w:hAnsi="宋体" w:cs="宋体"/>
                <w:b/>
                <w:bCs/>
                <w:color w:val="auto"/>
                <w:kern w:val="0"/>
                <w:sz w:val="24"/>
                <w:highlight w:val="none"/>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auto"/>
                <w:kern w:val="0"/>
                <w:sz w:val="24"/>
                <w:highlight w:val="none"/>
              </w:rPr>
              <w:t>；</w:t>
            </w:r>
          </w:p>
          <w:p>
            <w:pPr>
              <w:numPr>
                <w:ilvl w:val="0"/>
                <w:numId w:val="2"/>
              </w:num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参与政府采购项目投标的供应商近三年内无行贿犯罪记录</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color w:val="auto"/>
                <w:kern w:val="0"/>
                <w:sz w:val="24"/>
                <w:highlight w:val="none"/>
              </w:rPr>
              <w:t>；</w:t>
            </w:r>
          </w:p>
          <w:p>
            <w:pPr>
              <w:numPr>
                <w:ilvl w:val="0"/>
                <w:numId w:val="2"/>
              </w:num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参与本项目投标前三年内，在经营活动中没有重大违法记录以及不存在被有关部门禁止参与政府采购活动且在有效期内的情况</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color w:val="auto"/>
                <w:kern w:val="0"/>
                <w:sz w:val="24"/>
                <w:highlight w:val="none"/>
              </w:rPr>
              <w:t>；</w:t>
            </w:r>
          </w:p>
          <w:p>
            <w:pPr>
              <w:numPr>
                <w:ilvl w:val="0"/>
                <w:numId w:val="2"/>
              </w:num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投标人承诺“本单位（公司）不存在《深圳市财政局政府采购供应商信用信息管理办法》（深财规〔2023〕3号）列明的严重违法失信行为”</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auto"/>
                <w:kern w:val="0"/>
                <w:sz w:val="24"/>
                <w:highlight w:val="none"/>
              </w:rPr>
              <w:t>（由投标人提供《供应商基本情况表》并加盖公章，同时提供投标人的社保缴纳证明材料及股权关系证明材料，格式见-投标文件格式）；</w:t>
            </w:r>
          </w:p>
          <w:p>
            <w:pPr>
              <w:numPr>
                <w:ilvl w:val="0"/>
                <w:numId w:val="2"/>
              </w:num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为此项目提供整体设计、规范编制或者项目管理、监理、检测等服务的供应商，不得再参加此项目的其他招标采购活动</w:t>
            </w:r>
            <w:r>
              <w:rPr>
                <w:rFonts w:hint="eastAsia" w:ascii="宋体" w:hAnsi="宋体" w:cs="宋体"/>
                <w:b/>
                <w:bCs/>
                <w:color w:val="auto"/>
                <w:kern w:val="0"/>
                <w:sz w:val="24"/>
                <w:highlight w:val="none"/>
              </w:rPr>
              <w:t>（由投标人在《政府采购投标及履约承诺函》中作出声明）；</w:t>
            </w:r>
          </w:p>
          <w:p>
            <w:pPr>
              <w:numPr>
                <w:ilvl w:val="0"/>
                <w:numId w:val="2"/>
              </w:num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落实政府采购政策需满足的资格要求：本项目不属于专门面向特定企业（单位）的采购项目，本项目采购标的对应的中小企业划分标准所属行业为：</w:t>
            </w:r>
            <w:r>
              <w:rPr>
                <w:rFonts w:hint="eastAsia" w:ascii="宋体" w:hAnsi="宋体" w:cs="宋体"/>
                <w:color w:val="auto"/>
                <w:kern w:val="0"/>
                <w:sz w:val="24"/>
                <w:highlight w:val="none"/>
                <w:u w:val="single"/>
              </w:rPr>
              <w:t>其他未列明行业。</w:t>
            </w:r>
          </w:p>
          <w:p>
            <w:pPr>
              <w:numPr>
                <w:ilvl w:val="0"/>
                <w:numId w:val="2"/>
              </w:num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报价要求</w:t>
            </w:r>
          </w:p>
        </w:tc>
        <w:tc>
          <w:tcPr>
            <w:tcW w:w="7015" w:type="dxa"/>
            <w:vAlign w:val="center"/>
          </w:tcPr>
          <w:p>
            <w:pPr>
              <w:numPr>
                <w:ilvl w:val="0"/>
                <w:numId w:val="3"/>
              </w:numPr>
              <w:spacing w:line="360" w:lineRule="auto"/>
              <w:rPr>
                <w:rFonts w:ascii="宋体" w:hAnsi="宋体" w:cs="宋体"/>
                <w:color w:val="auto"/>
                <w:sz w:val="24"/>
                <w:highlight w:val="none"/>
              </w:rPr>
            </w:pPr>
            <w:r>
              <w:rPr>
                <w:rFonts w:hint="eastAsia" w:ascii="宋体" w:hAnsi="宋体" w:cs="宋体"/>
                <w:color w:val="auto"/>
                <w:sz w:val="24"/>
                <w:highlight w:val="none"/>
              </w:rPr>
              <w:t>本次投标以“单价合计金额”</w:t>
            </w:r>
            <w:r>
              <w:rPr>
                <w:rFonts w:hint="eastAsia"/>
                <w:color w:val="auto"/>
                <w:sz w:val="24"/>
                <w:szCs w:val="32"/>
                <w:highlight w:val="none"/>
              </w:rPr>
              <w:t>（笔译级别+口译级别）</w:t>
            </w:r>
            <w:r>
              <w:rPr>
                <w:rFonts w:hint="eastAsia" w:ascii="宋体" w:hAnsi="宋体" w:cs="宋体"/>
                <w:color w:val="auto"/>
                <w:sz w:val="24"/>
                <w:highlight w:val="none"/>
              </w:rPr>
              <w:t>作为价格评分依据。投标人需按采购人列出的清单填报相应单价，实际结算单价等于所投标单价，据实结算。投标单价不得超过相应限价，如投标单价超过相应限价，则视同无效报价。本项目服务费按合同期内实际翻译的数量结算，费用结算按照服务项目单价乘以数量结算。项目预算控制及合同总金额(支付上限)40万元。投标人的投标报价为完成项目及招标文件或合同条款所规定的工作内容的各项费用，项目服务费包括但不限于口译服务费用、设备费用、投标人工作人员成本、中标服务费、资料费、通讯费、交通费、税金、后续服务、利润等所有费用，并提供合同要求的成果文件，以及其它相关服务的全部费用。</w:t>
            </w:r>
          </w:p>
          <w:p>
            <w:pPr>
              <w:numPr>
                <w:ilvl w:val="0"/>
                <w:numId w:val="3"/>
              </w:numPr>
              <w:spacing w:line="360" w:lineRule="auto"/>
              <w:rPr>
                <w:rFonts w:ascii="宋体" w:hAnsi="宋体" w:cs="宋体"/>
                <w:color w:val="auto"/>
                <w:sz w:val="24"/>
                <w:highlight w:val="none"/>
              </w:rPr>
            </w:pPr>
            <w:r>
              <w:rPr>
                <w:rFonts w:hint="eastAsia" w:ascii="宋体" w:hAnsi="宋体" w:cs="宋体"/>
                <w:color w:val="auto"/>
                <w:sz w:val="24"/>
                <w:highlight w:val="none"/>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ascii="宋体" w:hAnsi="宋体" w:cs="宋体"/>
                <w:color w:val="auto"/>
                <w:sz w:val="24"/>
                <w:highlight w:val="none"/>
              </w:rPr>
            </w:pPr>
            <w:r>
              <w:rPr>
                <w:rFonts w:hint="eastAsia" w:ascii="宋体" w:hAnsi="宋体" w:cs="宋体"/>
                <w:color w:val="auto"/>
                <w:sz w:val="24"/>
                <w:highlight w:val="none"/>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ascii="宋体" w:hAnsi="宋体" w:cs="宋体"/>
                <w:color w:val="auto"/>
                <w:sz w:val="24"/>
                <w:highlight w:val="none"/>
              </w:rPr>
            </w:pPr>
            <w:r>
              <w:rPr>
                <w:rFonts w:hint="eastAsia" w:ascii="宋体" w:hAnsi="宋体" w:cs="宋体"/>
                <w:color w:val="auto"/>
                <w:sz w:val="24"/>
                <w:highlight w:val="none"/>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ascii="宋体" w:hAnsi="宋体" w:cs="宋体"/>
                <w:color w:val="auto"/>
                <w:sz w:val="24"/>
                <w:highlight w:val="none"/>
              </w:rPr>
            </w:pPr>
            <w:r>
              <w:rPr>
                <w:rFonts w:hint="eastAsia" w:ascii="宋体" w:hAnsi="宋体" w:cs="宋体"/>
                <w:color w:val="auto"/>
                <w:sz w:val="24"/>
                <w:highlight w:val="none"/>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联系方式</w:t>
            </w:r>
          </w:p>
        </w:tc>
        <w:tc>
          <w:tcPr>
            <w:tcW w:w="7015" w:type="dxa"/>
            <w:vAlign w:val="center"/>
          </w:tcPr>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1.采购人信息</w:t>
            </w:r>
          </w:p>
          <w:p>
            <w:pPr>
              <w:spacing w:line="360" w:lineRule="auto"/>
              <w:rPr>
                <w:rFonts w:ascii="宋体" w:hAnsi="宋体" w:cs="宋体"/>
                <w:color w:val="auto"/>
                <w:kern w:val="0"/>
                <w:sz w:val="24"/>
                <w:highlight w:val="none"/>
              </w:rPr>
            </w:pPr>
            <w:bookmarkStart w:id="12" w:name="_Toc28359009"/>
            <w:bookmarkStart w:id="13" w:name="_Toc28359086"/>
            <w:r>
              <w:rPr>
                <w:rFonts w:hint="eastAsia" w:ascii="宋体" w:hAnsi="宋体" w:cs="宋体"/>
                <w:color w:val="auto"/>
                <w:kern w:val="0"/>
                <w:sz w:val="24"/>
                <w:highlight w:val="none"/>
              </w:rPr>
              <w:t>名  称：深圳市前海深港现代服务业合作区管理局</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  址：深圳市南山区前海深港合作区桂湾五路123号前海管理局前海大厦T1栋　　　　　　　　　</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联系人：邵女士</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电  话：0755-88105315</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2.采购代理机构信息</w:t>
            </w:r>
            <w:bookmarkEnd w:id="12"/>
            <w:bookmarkEnd w:id="13"/>
          </w:p>
          <w:p>
            <w:pPr>
              <w:spacing w:line="360" w:lineRule="auto"/>
              <w:rPr>
                <w:rFonts w:ascii="宋体" w:hAnsi="宋体" w:cs="宋体"/>
                <w:color w:val="auto"/>
                <w:kern w:val="0"/>
                <w:sz w:val="24"/>
                <w:highlight w:val="none"/>
              </w:rPr>
            </w:pPr>
            <w:bookmarkStart w:id="14" w:name="_Toc28359087"/>
            <w:bookmarkStart w:id="15" w:name="_Toc28359010"/>
            <w:r>
              <w:rPr>
                <w:rFonts w:hint="eastAsia" w:ascii="宋体" w:hAnsi="宋体" w:cs="宋体"/>
                <w:color w:val="auto"/>
                <w:kern w:val="0"/>
                <w:sz w:val="24"/>
                <w:highlight w:val="none"/>
              </w:rPr>
              <w:t>名  称：北京国际招标有限公司</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  址：深圳市南山区卓越前海壹号大厦A座1403B</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联系人：张先生</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电  话：0755-83629963</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邮  箱：759017044@qq.com</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3.项目联系方式</w:t>
            </w:r>
            <w:bookmarkEnd w:id="14"/>
            <w:bookmarkEnd w:id="15"/>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项目联系人：张先生</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电　话：0755-83629963</w:t>
            </w:r>
          </w:p>
        </w:tc>
      </w:tr>
    </w:tbl>
    <w:p>
      <w:pPr>
        <w:adjustRightInd w:val="0"/>
        <w:snapToGrid w:val="0"/>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北京国际招标有限公司</w:t>
      </w:r>
    </w:p>
    <w:p>
      <w:pPr>
        <w:adjustRightInd w:val="0"/>
        <w:snapToGrid w:val="0"/>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2026年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日</w:t>
      </w:r>
    </w:p>
    <w:p>
      <w:pPr>
        <w:numPr>
          <w:ilvl w:val="0"/>
          <w:numId w:val="1"/>
        </w:numPr>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 </w:t>
      </w:r>
      <w:bookmarkStart w:id="16" w:name="_Toc10214"/>
      <w:bookmarkStart w:id="17" w:name="_Toc30172"/>
      <w:r>
        <w:rPr>
          <w:rFonts w:hint="eastAsia" w:ascii="宋体" w:hAnsi="宋体" w:cs="宋体"/>
          <w:b/>
          <w:bCs/>
          <w:color w:val="auto"/>
          <w:sz w:val="24"/>
          <w:highlight w:val="none"/>
        </w:rPr>
        <w:t>投标须知</w:t>
      </w:r>
      <w:bookmarkEnd w:id="16"/>
      <w:bookmarkEnd w:id="17"/>
    </w:p>
    <w:p>
      <w:pPr>
        <w:spacing w:line="360" w:lineRule="auto"/>
        <w:rPr>
          <w:rFonts w:ascii="宋体" w:hAnsi="宋体" w:cs="宋体"/>
          <w:color w:val="auto"/>
          <w:sz w:val="24"/>
          <w:highlight w:val="none"/>
        </w:rPr>
      </w:pPr>
      <w:r>
        <w:rPr>
          <w:rFonts w:hint="eastAsia" w:ascii="宋体" w:hAnsi="宋体" w:cs="宋体"/>
          <w:color w:val="auto"/>
          <w:sz w:val="24"/>
          <w:highlight w:val="none"/>
        </w:rPr>
        <w:t>1、本项目是深圳市前海深港现代服务业合作区管理局的2026年多语种翻译服务项目。</w:t>
      </w:r>
    </w:p>
    <w:p>
      <w:pPr>
        <w:spacing w:line="360" w:lineRule="auto"/>
        <w:rPr>
          <w:rFonts w:ascii="宋体" w:hAnsi="宋体" w:cs="宋体"/>
          <w:color w:val="auto"/>
          <w:sz w:val="24"/>
          <w:highlight w:val="none"/>
        </w:rPr>
      </w:pPr>
      <w:r>
        <w:rPr>
          <w:rFonts w:hint="eastAsia" w:ascii="宋体" w:hAnsi="宋体" w:cs="宋体"/>
          <w:color w:val="auto"/>
          <w:sz w:val="24"/>
          <w:highlight w:val="none"/>
        </w:rPr>
        <w:t>2、本项目不属于《深圳市2025—2026年政府集中采购目录及限额标准》规定应集中采购项目，根据《中华人民共和国政府采购法》《深圳经济特区政府采购条例》的有关规定，北京国际招标有限公司受深圳市前海深港现代服务业合作区管理局委托组织采购。</w:t>
      </w:r>
    </w:p>
    <w:p>
      <w:pPr>
        <w:spacing w:line="360" w:lineRule="auto"/>
        <w:rPr>
          <w:rFonts w:ascii="宋体" w:hAnsi="宋体" w:cs="宋体"/>
          <w:color w:val="auto"/>
          <w:sz w:val="24"/>
          <w:highlight w:val="none"/>
        </w:rPr>
      </w:pPr>
      <w:r>
        <w:rPr>
          <w:rFonts w:hint="eastAsia" w:ascii="宋体" w:hAnsi="宋体" w:cs="宋体"/>
          <w:color w:val="auto"/>
          <w:sz w:val="24"/>
          <w:highlight w:val="none"/>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rPr>
          <w:rFonts w:ascii="宋体" w:hAnsi="宋体" w:cs="宋体"/>
          <w:color w:val="auto"/>
          <w:sz w:val="24"/>
          <w:highlight w:val="none"/>
        </w:rPr>
      </w:pPr>
      <w:r>
        <w:rPr>
          <w:rFonts w:hint="eastAsia" w:ascii="宋体" w:hAnsi="宋体" w:cs="宋体"/>
          <w:color w:val="auto"/>
          <w:sz w:val="24"/>
          <w:highlight w:val="none"/>
        </w:rPr>
        <w:t>2.2、对于重新组织简易招标(公开征集)，仍出现有效投标供应商不足3家的情形，按以下流程执行：</w:t>
      </w:r>
    </w:p>
    <w:p>
      <w:pPr>
        <w:spacing w:line="360" w:lineRule="auto"/>
        <w:rPr>
          <w:rFonts w:ascii="宋体" w:hAnsi="宋体" w:cs="宋体"/>
          <w:color w:val="auto"/>
          <w:sz w:val="24"/>
          <w:highlight w:val="none"/>
        </w:rPr>
      </w:pPr>
      <w:r>
        <w:rPr>
          <w:rFonts w:hint="eastAsia" w:ascii="宋体" w:hAnsi="宋体" w:cs="宋体"/>
          <w:color w:val="auto"/>
          <w:sz w:val="24"/>
          <w:highlight w:val="none"/>
        </w:rPr>
        <w:t>a.有效投标人为2家的，可在2家有效投标人中取得分最高者为中标供应商；</w:t>
      </w:r>
    </w:p>
    <w:p>
      <w:pPr>
        <w:spacing w:line="360" w:lineRule="auto"/>
        <w:rPr>
          <w:rFonts w:ascii="宋体" w:hAnsi="宋体" w:cs="宋体"/>
          <w:color w:val="auto"/>
          <w:sz w:val="24"/>
          <w:highlight w:val="none"/>
        </w:rPr>
      </w:pPr>
      <w:r>
        <w:rPr>
          <w:rFonts w:hint="eastAsia" w:ascii="宋体" w:hAnsi="宋体" w:cs="宋体"/>
          <w:color w:val="auto"/>
          <w:sz w:val="24"/>
          <w:highlight w:val="none"/>
        </w:rPr>
        <w:t>b.如参与投标且符合招标文件要求的供应商仅有1家，评审委员会应与投标供应商进行谈判，原则上成交价不超过最初报价的95%。</w:t>
      </w:r>
    </w:p>
    <w:p>
      <w:pPr>
        <w:spacing w:line="360" w:lineRule="auto"/>
        <w:rPr>
          <w:rFonts w:ascii="宋体" w:hAnsi="宋体" w:cs="宋体"/>
          <w:color w:val="auto"/>
          <w:sz w:val="24"/>
          <w:highlight w:val="none"/>
        </w:rPr>
      </w:pPr>
      <w:r>
        <w:rPr>
          <w:rFonts w:hint="eastAsia" w:ascii="宋体" w:hAnsi="宋体" w:cs="宋体"/>
          <w:color w:val="auto"/>
          <w:sz w:val="24"/>
          <w:highlight w:val="none"/>
        </w:rPr>
        <w:t>3、本项目根据项目的实际情况，公开征集符合投标人资格的供应商。请各供应商根据本文件的要求，准备</w:t>
      </w:r>
      <w:r>
        <w:rPr>
          <w:rFonts w:hint="eastAsia" w:ascii="宋体" w:hAnsi="宋体" w:cs="宋体"/>
          <w:b/>
          <w:bCs/>
          <w:color w:val="auto"/>
          <w:sz w:val="24"/>
          <w:highlight w:val="none"/>
        </w:rPr>
        <w:t>5套（1套正本，4套副本</w:t>
      </w:r>
      <w:bookmarkStart w:id="18" w:name="OLE_LINK1"/>
      <w:r>
        <w:rPr>
          <w:rFonts w:hint="eastAsia" w:ascii="宋体" w:hAnsi="宋体" w:cs="宋体"/>
          <w:b/>
          <w:bCs/>
          <w:color w:val="auto"/>
          <w:sz w:val="24"/>
          <w:highlight w:val="none"/>
        </w:rPr>
        <w:t>，</w:t>
      </w:r>
      <w:bookmarkStart w:id="19" w:name="OLE_LINK3"/>
      <w:r>
        <w:rPr>
          <w:rFonts w:hint="eastAsia" w:ascii="宋体" w:hAnsi="宋体" w:cs="宋体"/>
          <w:b/>
          <w:color w:val="auto"/>
          <w:sz w:val="24"/>
          <w:highlight w:val="none"/>
        </w:rPr>
        <w:t>1份</w:t>
      </w:r>
      <w:bookmarkEnd w:id="18"/>
      <w:bookmarkEnd w:id="19"/>
      <w:r>
        <w:rPr>
          <w:rFonts w:hint="eastAsia" w:ascii="宋体" w:hAnsi="宋体" w:cs="宋体"/>
          <w:b/>
          <w:color w:val="auto"/>
          <w:sz w:val="24"/>
          <w:highlight w:val="none"/>
        </w:rPr>
        <w:t>电子文档【电子文档包括：PDF格式的正本投标文件扫描件、与正本一致的word文档格式的投标文件】</w:t>
      </w:r>
      <w:r>
        <w:rPr>
          <w:rFonts w:hint="eastAsia" w:ascii="宋体" w:hAnsi="宋体" w:cs="宋体"/>
          <w:b/>
          <w:bCs/>
          <w:color w:val="auto"/>
          <w:sz w:val="24"/>
          <w:highlight w:val="none"/>
        </w:rPr>
        <w:t>）</w:t>
      </w:r>
      <w:r>
        <w:rPr>
          <w:rFonts w:hint="eastAsia" w:ascii="宋体" w:hAnsi="宋体" w:cs="宋体"/>
          <w:color w:val="auto"/>
          <w:sz w:val="24"/>
          <w:highlight w:val="none"/>
        </w:rPr>
        <w:t>完备的资料进行投标。</w:t>
      </w:r>
    </w:p>
    <w:p>
      <w:pPr>
        <w:spacing w:line="360" w:lineRule="auto"/>
        <w:rPr>
          <w:rFonts w:ascii="宋体" w:hAnsi="宋体" w:cs="宋体"/>
          <w:color w:val="auto"/>
          <w:sz w:val="24"/>
          <w:highlight w:val="none"/>
        </w:rPr>
      </w:pPr>
      <w:r>
        <w:rPr>
          <w:rFonts w:hint="eastAsia" w:ascii="宋体" w:hAnsi="宋体" w:cs="宋体"/>
          <w:color w:val="auto"/>
          <w:sz w:val="24"/>
          <w:highlight w:val="none"/>
        </w:rPr>
        <w:t>4、本招标文件已对本次采购项目的商务条件和货物或服务的质量、技术要求、成果要求、交货要求、售后服务作出了明确的规定。</w:t>
      </w:r>
    </w:p>
    <w:p>
      <w:pPr>
        <w:snapToGrid w:val="0"/>
        <w:spacing w:after="78" w:afterLines="25" w:line="360" w:lineRule="auto"/>
        <w:rPr>
          <w:rFonts w:ascii="宋体" w:hAnsi="宋体" w:cs="宋体"/>
          <w:color w:val="auto"/>
          <w:sz w:val="24"/>
          <w:highlight w:val="none"/>
        </w:rPr>
      </w:pPr>
      <w:r>
        <w:rPr>
          <w:rFonts w:hint="eastAsia" w:ascii="宋体" w:hAnsi="宋体" w:cs="宋体"/>
          <w:color w:val="auto"/>
          <w:sz w:val="24"/>
          <w:highlight w:val="none"/>
        </w:rPr>
        <w:t>5、响应文件要包括如下内容：</w:t>
      </w:r>
    </w:p>
    <w:p>
      <w:pPr>
        <w:numPr>
          <w:ilvl w:val="0"/>
          <w:numId w:val="4"/>
        </w:numPr>
        <w:tabs>
          <w:tab w:val="clear" w:pos="-420"/>
        </w:tabs>
        <w:snapToGrid w:val="0"/>
        <w:spacing w:after="78" w:afterLines="25" w:line="360" w:lineRule="auto"/>
        <w:ind w:left="1050" w:hanging="420"/>
        <w:rPr>
          <w:rFonts w:ascii="宋体" w:hAnsi="宋体" w:cs="宋体"/>
          <w:color w:val="auto"/>
          <w:sz w:val="24"/>
          <w:highlight w:val="none"/>
        </w:rPr>
      </w:pPr>
      <w:r>
        <w:rPr>
          <w:rFonts w:hint="eastAsia" w:ascii="宋体" w:hAnsi="宋体" w:cs="宋体"/>
          <w:color w:val="auto"/>
          <w:sz w:val="24"/>
          <w:highlight w:val="none"/>
        </w:rPr>
        <w:t>价格部分；</w:t>
      </w:r>
    </w:p>
    <w:p>
      <w:pPr>
        <w:numPr>
          <w:ilvl w:val="0"/>
          <w:numId w:val="4"/>
        </w:numPr>
        <w:tabs>
          <w:tab w:val="clear" w:pos="-420"/>
        </w:tabs>
        <w:snapToGrid w:val="0"/>
        <w:spacing w:after="78" w:afterLines="25" w:line="360" w:lineRule="auto"/>
        <w:ind w:left="1050" w:hanging="420"/>
        <w:rPr>
          <w:rFonts w:ascii="宋体" w:hAnsi="宋体" w:cs="宋体"/>
          <w:color w:val="auto"/>
          <w:sz w:val="24"/>
          <w:highlight w:val="none"/>
        </w:rPr>
      </w:pPr>
      <w:r>
        <w:rPr>
          <w:rFonts w:hint="eastAsia" w:ascii="宋体" w:hAnsi="宋体" w:cs="宋体"/>
          <w:color w:val="auto"/>
          <w:sz w:val="24"/>
          <w:highlight w:val="none"/>
        </w:rPr>
        <w:t>商务部分；</w:t>
      </w:r>
    </w:p>
    <w:p>
      <w:pPr>
        <w:numPr>
          <w:ilvl w:val="0"/>
          <w:numId w:val="4"/>
        </w:numPr>
        <w:tabs>
          <w:tab w:val="clear" w:pos="-420"/>
        </w:tabs>
        <w:snapToGrid w:val="0"/>
        <w:spacing w:after="78" w:afterLines="25" w:line="360" w:lineRule="auto"/>
        <w:ind w:left="1050" w:hanging="420"/>
        <w:rPr>
          <w:rFonts w:ascii="宋体" w:hAnsi="宋体" w:cs="宋体"/>
          <w:color w:val="auto"/>
          <w:sz w:val="24"/>
          <w:highlight w:val="none"/>
        </w:rPr>
      </w:pPr>
      <w:r>
        <w:rPr>
          <w:rFonts w:hint="eastAsia" w:ascii="宋体" w:hAnsi="宋体" w:cs="宋体"/>
          <w:color w:val="auto"/>
          <w:sz w:val="24"/>
          <w:highlight w:val="none"/>
        </w:rPr>
        <w:t>技术部分。</w:t>
      </w:r>
    </w:p>
    <w:p>
      <w:pPr>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采购人会对本次招标的项目确定一个最高限价，最终成交价格超出最高限价将会被当作投标无效处理。</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9、本次采购凡涉及知识产权问题，由项目供应商负责。</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10、采购人将组成评审委员会，评审工作由评审委员会独立负责。</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12、采用综合评分法的情况：评审委员会将分别对供应商递交的投标文件进行评审。</w:t>
      </w:r>
    </w:p>
    <w:p>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（2）如果二个及以上供应商的综合评分相同时，取投标价格低者为第一中标候选人。</w:t>
      </w:r>
    </w:p>
    <w:p>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（3）如果二个及以上供应商的综合评分相同，且投标价格也相同时，取技术部分得分高者为第一中标候选人。</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13、采用谈判的情况：参与投标且符合招标文件要求的供应商仅有一家，评审委员会将与投标供应商进行谈判。</w:t>
      </w:r>
    </w:p>
    <w:p>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（1）供应商在谈判时由项目负责人与评审委员会进行谈判；</w:t>
      </w:r>
    </w:p>
    <w:p>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（2）原则上成交价不超过最初报价的95%。</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14、所有的评审/谈判内容都必须保密。</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15、招标代理服务收费：</w:t>
      </w:r>
    </w:p>
    <w:p>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具体计取费率标准如下表所示：</w:t>
      </w:r>
    </w:p>
    <w:tbl>
      <w:tblPr>
        <w:tblStyle w:val="18"/>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ascii="宋体" w:hAnsi="宋体" w:cs="宋体"/>
                <w:b/>
                <w:bCs/>
                <w:color w:val="auto"/>
                <w:sz w:val="24"/>
                <w:highlight w:val="none"/>
              </w:rPr>
            </w:pPr>
            <w:r>
              <w:rPr>
                <w:rFonts w:hint="eastAsia" w:ascii="宋体" w:hAnsi="宋体" w:cs="宋体"/>
                <w:b/>
                <w:bCs/>
                <w:color w:val="auto"/>
                <w:sz w:val="24"/>
                <w:highlight w:val="none"/>
              </w:rPr>
              <w:t>中标金额</w:t>
            </w:r>
          </w:p>
        </w:tc>
        <w:tc>
          <w:tcPr>
            <w:tcW w:w="5495" w:type="dxa"/>
            <w:gridSpan w:val="3"/>
            <w:shd w:val="clear" w:color="auto" w:fill="D7D7D7"/>
            <w:vAlign w:val="center"/>
          </w:tcPr>
          <w:p>
            <w:pPr>
              <w:adjustRightInd w:val="0"/>
              <w:snapToGrid w:val="0"/>
              <w:spacing w:line="360" w:lineRule="auto"/>
              <w:ind w:right="26"/>
              <w:jc w:val="center"/>
              <w:rPr>
                <w:rFonts w:ascii="宋体" w:hAnsi="宋体" w:cs="宋体"/>
                <w:b/>
                <w:bCs/>
                <w:color w:val="auto"/>
                <w:sz w:val="24"/>
                <w:highlight w:val="none"/>
              </w:rPr>
            </w:pPr>
            <w:r>
              <w:rPr>
                <w:rFonts w:hint="eastAsia" w:ascii="宋体" w:hAnsi="宋体" w:cs="宋体"/>
                <w:b/>
                <w:bCs/>
                <w:color w:val="auto"/>
                <w:sz w:val="24"/>
                <w:highlight w:val="none"/>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ascii="宋体" w:hAnsi="宋体" w:cs="宋体"/>
                <w:b/>
                <w:bCs/>
                <w:color w:val="auto"/>
                <w:sz w:val="24"/>
                <w:highlight w:val="none"/>
              </w:rPr>
            </w:pPr>
          </w:p>
        </w:tc>
        <w:tc>
          <w:tcPr>
            <w:tcW w:w="1843" w:type="dxa"/>
            <w:shd w:val="clear" w:color="auto" w:fill="D7D7D7"/>
            <w:vAlign w:val="center"/>
          </w:tcPr>
          <w:p>
            <w:pPr>
              <w:adjustRightInd w:val="0"/>
              <w:snapToGrid w:val="0"/>
              <w:spacing w:line="360" w:lineRule="auto"/>
              <w:ind w:right="26"/>
              <w:jc w:val="center"/>
              <w:rPr>
                <w:rFonts w:ascii="宋体" w:hAnsi="宋体" w:cs="宋体"/>
                <w:b/>
                <w:bCs/>
                <w:color w:val="auto"/>
                <w:sz w:val="24"/>
                <w:highlight w:val="none"/>
              </w:rPr>
            </w:pPr>
            <w:r>
              <w:rPr>
                <w:rFonts w:hint="eastAsia" w:ascii="宋体" w:hAnsi="宋体" w:cs="宋体"/>
                <w:b/>
                <w:bCs/>
                <w:color w:val="auto"/>
                <w:sz w:val="24"/>
                <w:highlight w:val="none"/>
              </w:rPr>
              <w:t>货物招标</w:t>
            </w:r>
          </w:p>
        </w:tc>
        <w:tc>
          <w:tcPr>
            <w:tcW w:w="1755" w:type="dxa"/>
            <w:shd w:val="clear" w:color="auto" w:fill="D7D7D7"/>
            <w:vAlign w:val="center"/>
          </w:tcPr>
          <w:p>
            <w:pPr>
              <w:adjustRightInd w:val="0"/>
              <w:snapToGrid w:val="0"/>
              <w:spacing w:line="360" w:lineRule="auto"/>
              <w:ind w:right="26"/>
              <w:jc w:val="center"/>
              <w:rPr>
                <w:rFonts w:ascii="宋体" w:hAnsi="宋体" w:cs="宋体"/>
                <w:b/>
                <w:bCs/>
                <w:color w:val="auto"/>
                <w:sz w:val="24"/>
                <w:highlight w:val="none"/>
              </w:rPr>
            </w:pPr>
            <w:r>
              <w:rPr>
                <w:rFonts w:hint="eastAsia" w:ascii="宋体" w:hAnsi="宋体" w:cs="宋体"/>
                <w:b/>
                <w:bCs/>
                <w:color w:val="auto"/>
                <w:sz w:val="24"/>
                <w:highlight w:val="none"/>
              </w:rPr>
              <w:t>服务招标</w:t>
            </w:r>
          </w:p>
        </w:tc>
        <w:tc>
          <w:tcPr>
            <w:tcW w:w="1897" w:type="dxa"/>
            <w:shd w:val="clear" w:color="auto" w:fill="D7D7D7"/>
            <w:vAlign w:val="center"/>
          </w:tcPr>
          <w:p>
            <w:pPr>
              <w:adjustRightInd w:val="0"/>
              <w:snapToGrid w:val="0"/>
              <w:spacing w:line="360" w:lineRule="auto"/>
              <w:ind w:right="26"/>
              <w:jc w:val="center"/>
              <w:rPr>
                <w:rFonts w:ascii="宋体" w:hAnsi="宋体" w:cs="宋体"/>
                <w:b/>
                <w:bCs/>
                <w:color w:val="auto"/>
                <w:sz w:val="24"/>
                <w:highlight w:val="none"/>
              </w:rPr>
            </w:pPr>
            <w:r>
              <w:rPr>
                <w:rFonts w:hint="eastAsia" w:ascii="宋体" w:hAnsi="宋体" w:cs="宋体"/>
                <w:b/>
                <w:bCs/>
                <w:color w:val="auto"/>
                <w:sz w:val="24"/>
                <w:highlight w:val="none"/>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100万元以下</w:t>
            </w:r>
          </w:p>
        </w:tc>
        <w:tc>
          <w:tcPr>
            <w:tcW w:w="1843" w:type="dxa"/>
            <w:vAlign w:val="center"/>
          </w:tcPr>
          <w:p>
            <w:pPr>
              <w:adjustRightInd w:val="0"/>
              <w:snapToGrid w:val="0"/>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1755"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1.5%</w:t>
            </w:r>
          </w:p>
        </w:tc>
        <w:tc>
          <w:tcPr>
            <w:tcW w:w="1897"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100万元（含）-500万元</w:t>
            </w:r>
          </w:p>
        </w:tc>
        <w:tc>
          <w:tcPr>
            <w:tcW w:w="1843" w:type="dxa"/>
            <w:vAlign w:val="center"/>
          </w:tcPr>
          <w:p>
            <w:pPr>
              <w:adjustRightInd w:val="0"/>
              <w:snapToGrid w:val="0"/>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1.1%</w:t>
            </w:r>
          </w:p>
        </w:tc>
        <w:tc>
          <w:tcPr>
            <w:tcW w:w="1755"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0.8%</w:t>
            </w:r>
          </w:p>
        </w:tc>
        <w:tc>
          <w:tcPr>
            <w:tcW w:w="1897"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500万元（含）-1000万元</w:t>
            </w:r>
          </w:p>
        </w:tc>
        <w:tc>
          <w:tcPr>
            <w:tcW w:w="1843" w:type="dxa"/>
            <w:vAlign w:val="center"/>
          </w:tcPr>
          <w:p>
            <w:pPr>
              <w:adjustRightInd w:val="0"/>
              <w:snapToGrid w:val="0"/>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0.8%</w:t>
            </w:r>
          </w:p>
        </w:tc>
        <w:tc>
          <w:tcPr>
            <w:tcW w:w="1755"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0.45%</w:t>
            </w:r>
          </w:p>
        </w:tc>
        <w:tc>
          <w:tcPr>
            <w:tcW w:w="1897"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1000万元（含）-5000万元</w:t>
            </w:r>
          </w:p>
        </w:tc>
        <w:tc>
          <w:tcPr>
            <w:tcW w:w="1843" w:type="dxa"/>
            <w:vAlign w:val="center"/>
          </w:tcPr>
          <w:p>
            <w:pPr>
              <w:adjustRightInd w:val="0"/>
              <w:snapToGrid w:val="0"/>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0.5%</w:t>
            </w:r>
          </w:p>
        </w:tc>
        <w:tc>
          <w:tcPr>
            <w:tcW w:w="1755"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0.25%</w:t>
            </w:r>
          </w:p>
        </w:tc>
        <w:tc>
          <w:tcPr>
            <w:tcW w:w="1897"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5000万元（含）-1亿元</w:t>
            </w:r>
          </w:p>
        </w:tc>
        <w:tc>
          <w:tcPr>
            <w:tcW w:w="1843" w:type="dxa"/>
            <w:vAlign w:val="center"/>
          </w:tcPr>
          <w:p>
            <w:pPr>
              <w:adjustRightInd w:val="0"/>
              <w:snapToGrid w:val="0"/>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0.25%</w:t>
            </w:r>
          </w:p>
        </w:tc>
        <w:tc>
          <w:tcPr>
            <w:tcW w:w="1755"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0.1%</w:t>
            </w:r>
          </w:p>
        </w:tc>
        <w:tc>
          <w:tcPr>
            <w:tcW w:w="1897"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1亿元（含）-5亿元</w:t>
            </w:r>
          </w:p>
        </w:tc>
        <w:tc>
          <w:tcPr>
            <w:tcW w:w="1843" w:type="dxa"/>
            <w:vAlign w:val="center"/>
          </w:tcPr>
          <w:p>
            <w:pPr>
              <w:adjustRightInd w:val="0"/>
              <w:snapToGrid w:val="0"/>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0.05%</w:t>
            </w:r>
          </w:p>
        </w:tc>
        <w:tc>
          <w:tcPr>
            <w:tcW w:w="1755"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0.05%</w:t>
            </w:r>
          </w:p>
        </w:tc>
        <w:tc>
          <w:tcPr>
            <w:tcW w:w="1897"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5亿元（含）-10亿元</w:t>
            </w:r>
          </w:p>
        </w:tc>
        <w:tc>
          <w:tcPr>
            <w:tcW w:w="1843" w:type="dxa"/>
            <w:vAlign w:val="center"/>
          </w:tcPr>
          <w:p>
            <w:pPr>
              <w:adjustRightInd w:val="0"/>
              <w:snapToGrid w:val="0"/>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0.035%</w:t>
            </w:r>
          </w:p>
        </w:tc>
        <w:tc>
          <w:tcPr>
            <w:tcW w:w="1755"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0.035%</w:t>
            </w:r>
          </w:p>
        </w:tc>
        <w:tc>
          <w:tcPr>
            <w:tcW w:w="1897"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10亿元（含）-50亿元</w:t>
            </w:r>
          </w:p>
        </w:tc>
        <w:tc>
          <w:tcPr>
            <w:tcW w:w="1843" w:type="dxa"/>
            <w:vAlign w:val="center"/>
          </w:tcPr>
          <w:p>
            <w:pPr>
              <w:adjustRightInd w:val="0"/>
              <w:snapToGrid w:val="0"/>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0.008%</w:t>
            </w:r>
          </w:p>
        </w:tc>
        <w:tc>
          <w:tcPr>
            <w:tcW w:w="1755"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0.008%</w:t>
            </w:r>
          </w:p>
        </w:tc>
        <w:tc>
          <w:tcPr>
            <w:tcW w:w="1897"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50亿元（含）-100亿元</w:t>
            </w:r>
          </w:p>
        </w:tc>
        <w:tc>
          <w:tcPr>
            <w:tcW w:w="1843" w:type="dxa"/>
            <w:vAlign w:val="center"/>
          </w:tcPr>
          <w:p>
            <w:pPr>
              <w:adjustRightInd w:val="0"/>
              <w:snapToGrid w:val="0"/>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0.006%</w:t>
            </w:r>
          </w:p>
        </w:tc>
        <w:tc>
          <w:tcPr>
            <w:tcW w:w="1755"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0.006%</w:t>
            </w:r>
          </w:p>
        </w:tc>
        <w:tc>
          <w:tcPr>
            <w:tcW w:w="1897"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100亿元（含）以上</w:t>
            </w:r>
          </w:p>
        </w:tc>
        <w:tc>
          <w:tcPr>
            <w:tcW w:w="1843" w:type="dxa"/>
            <w:vAlign w:val="center"/>
          </w:tcPr>
          <w:p>
            <w:pPr>
              <w:adjustRightInd w:val="0"/>
              <w:snapToGrid w:val="0"/>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0.004%</w:t>
            </w:r>
          </w:p>
        </w:tc>
        <w:tc>
          <w:tcPr>
            <w:tcW w:w="1755"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0.004%</w:t>
            </w:r>
          </w:p>
        </w:tc>
        <w:tc>
          <w:tcPr>
            <w:tcW w:w="1897"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0.004%</w:t>
            </w:r>
          </w:p>
        </w:tc>
      </w:tr>
    </w:tbl>
    <w:p>
      <w:pPr>
        <w:spacing w:line="360" w:lineRule="auto"/>
        <w:rPr>
          <w:rFonts w:ascii="宋体" w:hAnsi="宋体" w:cs="宋体"/>
          <w:color w:val="auto"/>
          <w:sz w:val="24"/>
          <w:highlight w:val="none"/>
        </w:rPr>
      </w:pPr>
      <w:r>
        <w:rPr>
          <w:rFonts w:hint="eastAsia" w:ascii="宋体" w:hAnsi="宋体" w:cs="宋体"/>
          <w:color w:val="auto"/>
          <w:sz w:val="24"/>
          <w:highlight w:val="none"/>
        </w:rPr>
        <w:t>招标代理服务费缴纳至：</w:t>
      </w:r>
    </w:p>
    <w:p>
      <w:pPr>
        <w:spacing w:line="360" w:lineRule="auto"/>
        <w:rPr>
          <w:rFonts w:ascii="宋体" w:hAnsi="宋体" w:cs="宋体"/>
          <w:color w:val="auto"/>
          <w:sz w:val="24"/>
          <w:highlight w:val="none"/>
        </w:rPr>
      </w:pPr>
      <w:r>
        <w:rPr>
          <w:rFonts w:hint="eastAsia" w:ascii="宋体" w:hAnsi="宋体" w:cs="宋体"/>
          <w:color w:val="auto"/>
          <w:sz w:val="24"/>
          <w:highlight w:val="none"/>
        </w:rPr>
        <w:t>开户名称：北京国际招标有限公司深圳分公司</w:t>
      </w:r>
    </w:p>
    <w:p>
      <w:pPr>
        <w:spacing w:line="360" w:lineRule="auto"/>
        <w:rPr>
          <w:rFonts w:ascii="宋体" w:hAnsi="宋体" w:cs="宋体"/>
          <w:color w:val="auto"/>
          <w:sz w:val="24"/>
          <w:highlight w:val="none"/>
        </w:rPr>
      </w:pPr>
      <w:r>
        <w:rPr>
          <w:rFonts w:hint="eastAsia" w:ascii="宋体" w:hAnsi="宋体" w:cs="宋体"/>
          <w:color w:val="auto"/>
          <w:sz w:val="24"/>
          <w:highlight w:val="none"/>
        </w:rPr>
        <w:t>银行账号：15063366666619</w:t>
      </w:r>
    </w:p>
    <w:p>
      <w:pPr>
        <w:spacing w:line="360" w:lineRule="auto"/>
        <w:rPr>
          <w:rFonts w:ascii="宋体" w:hAnsi="宋体" w:cs="宋体"/>
          <w:b/>
          <w:bCs/>
          <w:color w:val="auto"/>
          <w:sz w:val="24"/>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color w:val="auto"/>
          <w:sz w:val="24"/>
          <w:highlight w:val="none"/>
        </w:rPr>
        <w:t>开户银行：平安银行深圳分行营业部</w:t>
      </w:r>
    </w:p>
    <w:p>
      <w:pPr>
        <w:numPr>
          <w:ilvl w:val="0"/>
          <w:numId w:val="1"/>
        </w:numPr>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rPr>
        <w:t xml:space="preserve"> </w:t>
      </w:r>
      <w:bookmarkStart w:id="20" w:name="_Toc20176"/>
      <w:bookmarkStart w:id="21" w:name="_Toc25974"/>
      <w:r>
        <w:rPr>
          <w:rFonts w:hint="eastAsia" w:ascii="宋体" w:hAnsi="宋体" w:cs="宋体"/>
          <w:b/>
          <w:bCs/>
          <w:color w:val="auto"/>
          <w:sz w:val="24"/>
          <w:highlight w:val="none"/>
        </w:rPr>
        <w:t>评标程序</w:t>
      </w:r>
      <w:bookmarkEnd w:id="20"/>
      <w:bookmarkEnd w:id="21"/>
    </w:p>
    <w:p>
      <w:pPr>
        <w:spacing w:line="360" w:lineRule="auto"/>
        <w:rPr>
          <w:rFonts w:ascii="宋体" w:hAnsi="宋体" w:cs="宋体"/>
          <w:color w:val="auto"/>
          <w:sz w:val="24"/>
          <w:highlight w:val="none"/>
        </w:rPr>
      </w:pPr>
      <w:r>
        <w:rPr>
          <w:rFonts w:hint="eastAsia" w:ascii="宋体" w:hAnsi="宋体" w:cs="宋体"/>
          <w:color w:val="auto"/>
          <w:sz w:val="24"/>
          <w:highlight w:val="none"/>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ascii="宋体" w:hAnsi="宋体" w:cs="宋体"/>
          <w:color w:val="auto"/>
          <w:sz w:val="24"/>
          <w:highlight w:val="none"/>
        </w:rPr>
      </w:pPr>
      <w:r>
        <w:rPr>
          <w:rFonts w:hint="eastAsia" w:ascii="宋体" w:hAnsi="宋体" w:cs="宋体"/>
          <w:color w:val="auto"/>
          <w:sz w:val="24"/>
          <w:highlight w:val="none"/>
        </w:rPr>
        <w:t>二、参加会议人员：投标人代表（如需）、项目负责代表、评审委员会成员、监督部门代表（如需）、采购代理机构代表。</w:t>
      </w:r>
    </w:p>
    <w:p>
      <w:pPr>
        <w:spacing w:line="360" w:lineRule="auto"/>
        <w:rPr>
          <w:rFonts w:ascii="宋体" w:hAnsi="宋体" w:cs="宋体"/>
          <w:color w:val="auto"/>
          <w:sz w:val="24"/>
          <w:highlight w:val="none"/>
        </w:rPr>
      </w:pPr>
      <w:r>
        <w:rPr>
          <w:rFonts w:hint="eastAsia" w:ascii="宋体" w:hAnsi="宋体" w:cs="宋体"/>
          <w:color w:val="auto"/>
          <w:sz w:val="24"/>
          <w:highlight w:val="none"/>
        </w:rPr>
        <w:t>三、会议主持人：北京国际招标有限公司工作人员 。</w:t>
      </w:r>
    </w:p>
    <w:p>
      <w:pPr>
        <w:spacing w:line="360" w:lineRule="auto"/>
        <w:rPr>
          <w:rFonts w:ascii="宋体" w:hAnsi="宋体" w:cs="宋体"/>
          <w:color w:val="auto"/>
          <w:sz w:val="24"/>
          <w:highlight w:val="none"/>
        </w:rPr>
      </w:pPr>
      <w:r>
        <w:rPr>
          <w:rFonts w:hint="eastAsia" w:ascii="宋体" w:hAnsi="宋体" w:cs="宋体"/>
          <w:color w:val="auto"/>
          <w:sz w:val="24"/>
          <w:highlight w:val="none"/>
        </w:rPr>
        <w:t>四、开标时间：2026年4月2日14：30时（北京时间）。</w:t>
      </w:r>
    </w:p>
    <w:p>
      <w:pPr>
        <w:spacing w:line="360" w:lineRule="auto"/>
        <w:rPr>
          <w:rFonts w:ascii="宋体" w:hAnsi="宋体" w:cs="宋体"/>
          <w:color w:val="auto"/>
          <w:sz w:val="24"/>
          <w:highlight w:val="none"/>
        </w:rPr>
      </w:pPr>
      <w:r>
        <w:rPr>
          <w:rFonts w:hint="eastAsia" w:ascii="宋体" w:hAnsi="宋体" w:cs="宋体"/>
          <w:color w:val="auto"/>
          <w:sz w:val="24"/>
          <w:highlight w:val="none"/>
        </w:rPr>
        <w:t>五、会议开始：2026年4月2日14：30时（北京时间）由会议主持人宣布定标会议开始。</w:t>
      </w:r>
    </w:p>
    <w:p>
      <w:pPr>
        <w:spacing w:line="360" w:lineRule="auto"/>
        <w:rPr>
          <w:rFonts w:ascii="宋体" w:hAnsi="宋体" w:cs="宋体"/>
          <w:color w:val="auto"/>
          <w:sz w:val="24"/>
          <w:highlight w:val="none"/>
        </w:rPr>
      </w:pPr>
      <w:r>
        <w:rPr>
          <w:rFonts w:hint="eastAsia" w:ascii="宋体" w:hAnsi="宋体" w:cs="宋体"/>
          <w:color w:val="auto"/>
          <w:sz w:val="24"/>
          <w:highlight w:val="none"/>
        </w:rPr>
        <w:t>六、项目负责代表向采购代理机构代表送交投标文件，监督部门代表（如有）确认投标文件密封完整，未密封投标文件将作为投标无效处理。</w:t>
      </w:r>
    </w:p>
    <w:p>
      <w:pPr>
        <w:spacing w:line="360" w:lineRule="auto"/>
        <w:rPr>
          <w:rFonts w:ascii="宋体" w:hAnsi="宋体" w:cs="宋体"/>
          <w:color w:val="auto"/>
          <w:sz w:val="24"/>
          <w:highlight w:val="none"/>
        </w:rPr>
      </w:pPr>
      <w:r>
        <w:rPr>
          <w:rFonts w:hint="eastAsia" w:ascii="宋体" w:hAnsi="宋体" w:cs="宋体"/>
          <w:color w:val="auto"/>
          <w:sz w:val="24"/>
          <w:highlight w:val="none"/>
        </w:rPr>
        <w:t>七、由采购代理机构代表现场拆封投标文件，并分发给评审委员会成员。</w:t>
      </w:r>
    </w:p>
    <w:p>
      <w:pPr>
        <w:spacing w:line="360" w:lineRule="auto"/>
        <w:rPr>
          <w:rFonts w:ascii="宋体" w:hAnsi="宋体" w:cs="宋体"/>
          <w:color w:val="auto"/>
          <w:sz w:val="24"/>
          <w:highlight w:val="none"/>
        </w:rPr>
      </w:pPr>
      <w:r>
        <w:rPr>
          <w:rFonts w:hint="eastAsia" w:ascii="宋体" w:hAnsi="宋体" w:cs="宋体"/>
          <w:color w:val="auto"/>
          <w:sz w:val="24"/>
          <w:highlight w:val="none"/>
        </w:rPr>
        <w:t>八、采购代理机构就投标文件中的资格证明等内容对投标供应商进行资格审查。</w:t>
      </w:r>
    </w:p>
    <w:p>
      <w:pPr>
        <w:spacing w:line="360" w:lineRule="auto"/>
        <w:rPr>
          <w:rFonts w:ascii="宋体" w:hAnsi="宋体" w:cs="宋体"/>
          <w:color w:val="auto"/>
          <w:sz w:val="24"/>
          <w:highlight w:val="none"/>
        </w:rPr>
      </w:pPr>
      <w:r>
        <w:rPr>
          <w:rFonts w:hint="eastAsia" w:ascii="宋体" w:hAnsi="宋体" w:cs="宋体"/>
          <w:color w:val="auto"/>
          <w:sz w:val="24"/>
          <w:highlight w:val="none"/>
        </w:rPr>
        <w:t>九、评审委员会审查供应商的投标文件，工作人员记录审查的情况。</w:t>
      </w:r>
    </w:p>
    <w:p>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十</w:t>
      </w:r>
      <w:r>
        <w:rPr>
          <w:rFonts w:hint="eastAsia" w:ascii="宋体" w:hAnsi="宋体" w:cs="宋体"/>
          <w:color w:val="auto"/>
          <w:sz w:val="24"/>
          <w:highlight w:val="none"/>
        </w:rPr>
        <w:t>、评审委员会按以下工作程序进行：</w:t>
      </w:r>
    </w:p>
    <w:p>
      <w:pPr>
        <w:spacing w:line="360" w:lineRule="auto"/>
        <w:rPr>
          <w:rFonts w:ascii="宋体" w:hAnsi="宋体" w:cs="宋体"/>
          <w:color w:val="auto"/>
          <w:sz w:val="24"/>
          <w:highlight w:val="none"/>
        </w:rPr>
      </w:pPr>
      <w:r>
        <w:rPr>
          <w:rFonts w:hint="eastAsia" w:ascii="宋体" w:hAnsi="宋体" w:cs="宋体"/>
          <w:color w:val="auto"/>
          <w:sz w:val="24"/>
          <w:highlight w:val="none"/>
        </w:rPr>
        <w:t>1、评标委员会对各供应商的投标文件进行符合性审查，对未能通过符合性审查的投标文件作投标无效处理。</w:t>
      </w:r>
    </w:p>
    <w:p>
      <w:pPr>
        <w:spacing w:line="360" w:lineRule="auto"/>
        <w:rPr>
          <w:rFonts w:ascii="宋体" w:hAnsi="宋体" w:cs="宋体"/>
          <w:color w:val="auto"/>
          <w:sz w:val="24"/>
          <w:highlight w:val="none"/>
        </w:rPr>
      </w:pPr>
      <w:r>
        <w:rPr>
          <w:rFonts w:hint="eastAsia" w:ascii="宋体" w:hAnsi="宋体" w:cs="宋体"/>
          <w:color w:val="auto"/>
          <w:sz w:val="24"/>
          <w:highlight w:val="none"/>
        </w:rPr>
        <w:t>2、对通过初审的供应商的投标文件进行详细的比较和评价。如需要，进行必要的澄清/说明工作。</w:t>
      </w:r>
    </w:p>
    <w:p>
      <w:pPr>
        <w:spacing w:line="360" w:lineRule="auto"/>
        <w:rPr>
          <w:rFonts w:ascii="宋体" w:hAnsi="宋体" w:cs="宋体"/>
          <w:color w:val="auto"/>
          <w:sz w:val="24"/>
          <w:highlight w:val="none"/>
        </w:rPr>
      </w:pPr>
      <w:r>
        <w:rPr>
          <w:rFonts w:hint="eastAsia" w:ascii="宋体" w:hAnsi="宋体" w:cs="宋体"/>
          <w:color w:val="auto"/>
          <w:sz w:val="24"/>
          <w:highlight w:val="none"/>
        </w:rPr>
        <w:t>3、根据参与投标且符合招标文件要求的供应商数量情况，确定本项目的评审方法。</w:t>
      </w:r>
    </w:p>
    <w:p>
      <w:pPr>
        <w:spacing w:line="360" w:lineRule="auto"/>
        <w:rPr>
          <w:rFonts w:ascii="宋体" w:hAnsi="宋体" w:cs="宋体"/>
          <w:color w:val="auto"/>
          <w:sz w:val="24"/>
          <w:highlight w:val="none"/>
        </w:rPr>
      </w:pPr>
      <w:r>
        <w:rPr>
          <w:rFonts w:hint="eastAsia" w:ascii="宋体" w:hAnsi="宋体" w:cs="宋体"/>
          <w:color w:val="auto"/>
          <w:sz w:val="24"/>
          <w:highlight w:val="none"/>
        </w:rPr>
        <w:t>4、采用综合评分法的情况：评审委员会将分别对供应商递交的投标文件进行评审。</w:t>
      </w:r>
    </w:p>
    <w:p>
      <w:pPr>
        <w:spacing w:line="360" w:lineRule="auto"/>
        <w:rPr>
          <w:rFonts w:ascii="宋体" w:hAnsi="宋体" w:cs="宋体"/>
          <w:color w:val="auto"/>
          <w:sz w:val="24"/>
          <w:highlight w:val="none"/>
        </w:rPr>
      </w:pPr>
      <w:r>
        <w:rPr>
          <w:rFonts w:hint="eastAsia" w:ascii="宋体" w:hAnsi="宋体" w:cs="宋体"/>
          <w:color w:val="auto"/>
          <w:sz w:val="24"/>
          <w:highlight w:val="none"/>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ascii="宋体" w:hAnsi="宋体" w:cs="宋体"/>
          <w:color w:val="auto"/>
          <w:sz w:val="24"/>
          <w:highlight w:val="none"/>
        </w:rPr>
      </w:pPr>
      <w:r>
        <w:rPr>
          <w:rFonts w:hint="eastAsia" w:ascii="宋体" w:hAnsi="宋体" w:cs="宋体"/>
          <w:color w:val="auto"/>
          <w:sz w:val="24"/>
          <w:highlight w:val="none"/>
        </w:rPr>
        <w:t>4.2如果二个及以上供应商的综合评分相同时，取投标价格低者为第一中标候选人。</w:t>
      </w:r>
    </w:p>
    <w:p>
      <w:pPr>
        <w:spacing w:line="360" w:lineRule="auto"/>
        <w:rPr>
          <w:rFonts w:ascii="宋体" w:hAnsi="宋体" w:cs="宋体"/>
          <w:color w:val="auto"/>
          <w:sz w:val="24"/>
          <w:highlight w:val="none"/>
        </w:rPr>
      </w:pPr>
      <w:r>
        <w:rPr>
          <w:rFonts w:hint="eastAsia" w:ascii="宋体" w:hAnsi="宋体" w:cs="宋体"/>
          <w:color w:val="auto"/>
          <w:sz w:val="24"/>
          <w:highlight w:val="none"/>
        </w:rPr>
        <w:t>4.3如果二个及以上供应商的综合评分相同，且投标价格也相同时，取技术部分得分高者为第一中标候选人。</w:t>
      </w:r>
    </w:p>
    <w:p>
      <w:pPr>
        <w:spacing w:line="360" w:lineRule="auto"/>
        <w:rPr>
          <w:rFonts w:ascii="宋体" w:hAnsi="宋体" w:cs="宋体"/>
          <w:color w:val="auto"/>
          <w:sz w:val="24"/>
          <w:highlight w:val="none"/>
        </w:rPr>
      </w:pPr>
      <w:r>
        <w:rPr>
          <w:rFonts w:hint="eastAsia" w:ascii="宋体" w:hAnsi="宋体" w:cs="宋体"/>
          <w:color w:val="auto"/>
          <w:sz w:val="24"/>
          <w:highlight w:val="none"/>
        </w:rPr>
        <w:t>5、采用谈判的情况：参与投标且符合招标文件要求的供应商仅有一家，评审委员会将与投标供应商进行谈判。</w:t>
      </w:r>
    </w:p>
    <w:p>
      <w:pPr>
        <w:spacing w:line="360" w:lineRule="auto"/>
        <w:rPr>
          <w:rFonts w:ascii="宋体" w:hAnsi="宋体" w:cs="宋体"/>
          <w:color w:val="auto"/>
          <w:sz w:val="24"/>
          <w:highlight w:val="none"/>
        </w:rPr>
      </w:pPr>
      <w:r>
        <w:rPr>
          <w:rFonts w:hint="eastAsia" w:ascii="宋体" w:hAnsi="宋体" w:cs="宋体"/>
          <w:color w:val="auto"/>
          <w:sz w:val="24"/>
          <w:highlight w:val="none"/>
        </w:rPr>
        <w:t>5.1 供应商在谈判时由项目负责人与评审委员会进行谈判；</w:t>
      </w:r>
    </w:p>
    <w:p>
      <w:pPr>
        <w:spacing w:line="360" w:lineRule="auto"/>
        <w:rPr>
          <w:rFonts w:ascii="宋体" w:hAnsi="宋体" w:cs="宋体"/>
          <w:color w:val="auto"/>
          <w:sz w:val="24"/>
          <w:highlight w:val="none"/>
        </w:rPr>
      </w:pPr>
      <w:r>
        <w:rPr>
          <w:rFonts w:hint="eastAsia" w:ascii="宋体" w:hAnsi="宋体" w:cs="宋体"/>
          <w:color w:val="auto"/>
          <w:sz w:val="24"/>
          <w:highlight w:val="none"/>
        </w:rPr>
        <w:t>5.2 原则上成交价不超过最初报价的95%。</w:t>
      </w:r>
    </w:p>
    <w:p>
      <w:pPr>
        <w:spacing w:line="360" w:lineRule="auto"/>
        <w:rPr>
          <w:rFonts w:ascii="宋体" w:hAnsi="宋体" w:cs="宋体"/>
          <w:color w:val="auto"/>
          <w:sz w:val="24"/>
          <w:highlight w:val="none"/>
        </w:rPr>
      </w:pPr>
      <w:r>
        <w:rPr>
          <w:rFonts w:hint="eastAsia" w:ascii="宋体" w:hAnsi="宋体" w:cs="宋体"/>
          <w:color w:val="auto"/>
          <w:sz w:val="24"/>
          <w:highlight w:val="none"/>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ascii="宋体" w:hAnsi="宋体" w:cs="宋体"/>
          <w:color w:val="auto"/>
          <w:sz w:val="24"/>
          <w:highlight w:val="none"/>
        </w:rPr>
      </w:pPr>
      <w:r>
        <w:rPr>
          <w:rFonts w:hint="eastAsia" w:ascii="宋体" w:hAnsi="宋体" w:cs="宋体"/>
          <w:color w:val="auto"/>
          <w:sz w:val="24"/>
          <w:highlight w:val="none"/>
        </w:rPr>
        <w:t>6、评审委员会按照本项目招标文件中规定的评标方法确定中标供应商。</w:t>
      </w:r>
    </w:p>
    <w:p>
      <w:pPr>
        <w:spacing w:line="360" w:lineRule="auto"/>
        <w:rPr>
          <w:rFonts w:ascii="宋体" w:hAnsi="宋体" w:cs="宋体"/>
          <w:color w:val="auto"/>
          <w:sz w:val="24"/>
          <w:highlight w:val="none"/>
        </w:rPr>
      </w:pPr>
      <w:r>
        <w:rPr>
          <w:rFonts w:hint="eastAsia" w:ascii="宋体" w:hAnsi="宋体" w:cs="宋体"/>
          <w:color w:val="auto"/>
          <w:sz w:val="24"/>
          <w:highlight w:val="none"/>
        </w:rPr>
        <w:t>十</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、根据本次采购的结果，1</w:t>
      </w:r>
      <w:r>
        <w:rPr>
          <w:rFonts w:ascii="宋体" w:hAnsi="宋体" w:cs="宋体"/>
          <w:color w:val="auto"/>
          <w:sz w:val="24"/>
          <w:highlight w:val="none"/>
        </w:rPr>
        <w:t>0</w:t>
      </w:r>
      <w:r>
        <w:rPr>
          <w:rFonts w:hint="eastAsia" w:ascii="宋体" w:hAnsi="宋体" w:cs="宋体"/>
          <w:color w:val="auto"/>
          <w:sz w:val="24"/>
          <w:highlight w:val="none"/>
        </w:rPr>
        <w:t>个工作日内与中标供应商签订合同。</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pStyle w:val="7"/>
        <w:rPr>
          <w:rFonts w:ascii="宋体" w:hAnsi="宋体" w:cs="宋体"/>
          <w:color w:val="auto"/>
          <w:highlight w:val="none"/>
        </w:rPr>
      </w:pPr>
      <w:r>
        <w:rPr>
          <w:rFonts w:hint="eastAsia"/>
          <w:color w:val="auto"/>
          <w:highlight w:val="none"/>
        </w:rPr>
        <w:br w:type="page"/>
      </w:r>
    </w:p>
    <w:p>
      <w:pPr>
        <w:numPr>
          <w:ilvl w:val="0"/>
          <w:numId w:val="1"/>
        </w:numPr>
        <w:spacing w:line="360" w:lineRule="auto"/>
        <w:jc w:val="center"/>
        <w:outlineLvl w:val="0"/>
        <w:rPr>
          <w:rFonts w:ascii="宋体" w:hAnsi="宋体" w:cs="宋体"/>
          <w:b/>
          <w:bCs/>
          <w:color w:val="auto"/>
          <w:sz w:val="24"/>
          <w:highlight w:val="none"/>
        </w:rPr>
      </w:pPr>
      <w:bookmarkStart w:id="22" w:name="_Toc8663"/>
      <w:bookmarkStart w:id="23" w:name="_Toc3567"/>
      <w:r>
        <w:rPr>
          <w:rFonts w:hint="eastAsia" w:ascii="宋体" w:hAnsi="宋体" w:cs="宋体"/>
          <w:b/>
          <w:bCs/>
          <w:color w:val="auto"/>
          <w:sz w:val="24"/>
          <w:highlight w:val="none"/>
        </w:rPr>
        <w:t xml:space="preserve"> 合同格式及合同条款</w:t>
      </w:r>
      <w:bookmarkEnd w:id="22"/>
      <w:bookmarkEnd w:id="23"/>
    </w:p>
    <w:p>
      <w:pPr>
        <w:spacing w:line="360" w:lineRule="auto"/>
        <w:ind w:firstLine="470" w:firstLineChars="196"/>
        <w:jc w:val="center"/>
        <w:rPr>
          <w:rFonts w:ascii="宋体" w:hAnsi="宋体" w:cs="宋体"/>
          <w:color w:val="auto"/>
          <w:sz w:val="24"/>
          <w:highlight w:val="none"/>
        </w:rPr>
      </w:pPr>
      <w:bookmarkStart w:id="24" w:name="_Toc101074886"/>
      <w:bookmarkStart w:id="25" w:name="_Toc84303603"/>
      <w:bookmarkStart w:id="26" w:name="_Toc100052414"/>
      <w:bookmarkStart w:id="27" w:name="_Toc73521680"/>
      <w:bookmarkStart w:id="28" w:name="_Toc73517685"/>
      <w:bookmarkStart w:id="29" w:name="_Toc73518163"/>
      <w:bookmarkStart w:id="30" w:name="_Toc73521592"/>
    </w:p>
    <w:bookmarkEnd w:id="24"/>
    <w:bookmarkEnd w:id="25"/>
    <w:bookmarkEnd w:id="26"/>
    <w:bookmarkEnd w:id="27"/>
    <w:bookmarkEnd w:id="28"/>
    <w:bookmarkEnd w:id="29"/>
    <w:bookmarkEnd w:id="30"/>
    <w:p>
      <w:pPr>
        <w:pStyle w:val="32"/>
        <w:spacing w:line="360" w:lineRule="auto"/>
        <w:ind w:left="1470" w:right="1470" w:firstLine="489"/>
        <w:jc w:val="center"/>
        <w:rPr>
          <w:rFonts w:ascii="宋体" w:hAnsi="宋体" w:cs="宋体"/>
          <w:b/>
          <w:color w:val="auto"/>
          <w:sz w:val="24"/>
          <w:szCs w:val="24"/>
          <w:highlight w:val="none"/>
        </w:rPr>
      </w:pPr>
      <w:r>
        <w:rPr>
          <w:rFonts w:hint="eastAsia" w:ascii="宋体" w:hAnsi="宋体" w:cs="宋体"/>
          <w:b/>
          <w:color w:val="auto"/>
          <w:sz w:val="24"/>
          <w:szCs w:val="24"/>
          <w:highlight w:val="none"/>
        </w:rPr>
        <w:t xml:space="preserve">                        合同编号（甲方）：            </w:t>
      </w:r>
    </w:p>
    <w:p>
      <w:pPr>
        <w:pStyle w:val="32"/>
        <w:spacing w:line="360" w:lineRule="auto"/>
        <w:ind w:left="1470" w:right="1470" w:firstLine="489"/>
        <w:jc w:val="center"/>
        <w:rPr>
          <w:rFonts w:ascii="宋体" w:hAnsi="宋体" w:cs="宋体"/>
          <w:b/>
          <w:color w:val="auto"/>
          <w:sz w:val="24"/>
          <w:szCs w:val="24"/>
          <w:highlight w:val="none"/>
        </w:rPr>
      </w:pPr>
      <w:r>
        <w:rPr>
          <w:rFonts w:hint="eastAsia" w:ascii="宋体" w:hAnsi="宋体" w:cs="宋体"/>
          <w:b/>
          <w:color w:val="auto"/>
          <w:sz w:val="24"/>
          <w:szCs w:val="24"/>
          <w:highlight w:val="none"/>
        </w:rPr>
        <w:t xml:space="preserve">                        合同编号（乙方）：            </w:t>
      </w:r>
    </w:p>
    <w:p>
      <w:pPr>
        <w:pStyle w:val="32"/>
        <w:spacing w:line="360" w:lineRule="auto"/>
        <w:ind w:left="1470" w:right="1470" w:firstLine="489"/>
        <w:jc w:val="center"/>
        <w:rPr>
          <w:rFonts w:ascii="宋体" w:hAnsi="宋体" w:cs="宋体"/>
          <w:b/>
          <w:color w:val="auto"/>
          <w:sz w:val="24"/>
          <w:szCs w:val="24"/>
          <w:highlight w:val="none"/>
        </w:rPr>
      </w:pPr>
    </w:p>
    <w:p>
      <w:pPr>
        <w:pStyle w:val="32"/>
        <w:spacing w:line="360" w:lineRule="auto"/>
        <w:ind w:left="1470" w:right="1470" w:firstLine="489"/>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pStyle w:val="32"/>
        <w:spacing w:line="360" w:lineRule="auto"/>
        <w:ind w:left="1470" w:right="1470" w:firstLine="489"/>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spacing w:line="360" w:lineRule="auto"/>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2026年多语种翻译服务项目</w:t>
      </w:r>
    </w:p>
    <w:p>
      <w:pPr>
        <w:spacing w:line="360" w:lineRule="auto"/>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委托合同</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pStyle w:val="32"/>
        <w:spacing w:line="360" w:lineRule="auto"/>
        <w:ind w:left="1470" w:right="1470"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32"/>
        <w:spacing w:line="360" w:lineRule="auto"/>
        <w:ind w:left="1470" w:right="1470"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2026年多语种翻译服务项目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项目类型：</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委托方（甲方）：</w:t>
      </w:r>
      <w:r>
        <w:rPr>
          <w:rFonts w:hint="eastAsia" w:ascii="宋体" w:hAnsi="宋体" w:cs="宋体"/>
          <w:color w:val="auto"/>
          <w:sz w:val="24"/>
          <w:highlight w:val="none"/>
          <w:u w:val="single"/>
        </w:rPr>
        <w:t>深圳市前海深港现代服务业合作区管理局</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承接方（乙方）：</w:t>
      </w:r>
      <w:r>
        <w:rPr>
          <w:rFonts w:hint="eastAsia" w:ascii="宋体" w:hAnsi="宋体" w:cs="宋体"/>
          <w:color w:val="auto"/>
          <w:sz w:val="24"/>
          <w:highlight w:val="none"/>
          <w:u w:val="single"/>
        </w:rPr>
        <w:t xml:space="preserve">                                    </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二〇二六年  月</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本合同共    页（不含封面）</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甲方： </w:t>
      </w:r>
      <w:r>
        <w:rPr>
          <w:rFonts w:hint="eastAsia" w:ascii="宋体" w:hAnsi="宋体" w:cs="宋体"/>
          <w:color w:val="auto"/>
          <w:sz w:val="24"/>
          <w:highlight w:val="none"/>
          <w:u w:val="single"/>
        </w:rPr>
        <w:t>深圳市前海深港现代服务业合作区管理局</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地址： </w:t>
      </w:r>
      <w:r>
        <w:rPr>
          <w:rFonts w:hint="eastAsia" w:ascii="宋体" w:hAnsi="宋体" w:cs="宋体"/>
          <w:color w:val="auto"/>
          <w:sz w:val="24"/>
          <w:highlight w:val="none"/>
          <w:u w:val="single"/>
        </w:rPr>
        <w:t>深圳市前海深港合作区</w:t>
      </w:r>
      <w:r>
        <w:rPr>
          <w:rFonts w:ascii="宋体" w:hAnsi="宋体" w:cs="宋体"/>
          <w:color w:val="auto"/>
          <w:sz w:val="24"/>
          <w:highlight w:val="none"/>
          <w:u w:val="single"/>
        </w:rPr>
        <w:t>桂湾五路123号前海大厦T1栋前海管理局</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法定代表人：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乙方：</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地址：</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法定代表人：</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以下甲方和乙方合称“双方”。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民法典》等法律、法规的相关规定和编号为【QH2026XXX】招标项目的中标结果，由【***】单位（以下简称乙方）为中标人。按照《中华人民共和国民法典》和《深圳经济特区政府采购条例》，经深圳市前海深港现代服务业合作区管理局（以下简称甲方）和【***】单位（以下简称乙方）协商，就甲方委托</w:t>
      </w:r>
      <w:r>
        <w:rPr>
          <w:rFonts w:hint="eastAsia" w:ascii="宋体" w:hAnsi="宋体" w:cs="宋体"/>
          <w:b/>
          <w:bCs/>
          <w:color w:val="auto"/>
          <w:sz w:val="24"/>
          <w:highlight w:val="none"/>
          <w:u w:val="single"/>
        </w:rPr>
        <w:t>乙方</w:t>
      </w:r>
      <w:r>
        <w:rPr>
          <w:rFonts w:hint="eastAsia" w:ascii="宋体" w:hAnsi="宋体" w:cs="宋体"/>
          <w:color w:val="auto"/>
          <w:sz w:val="24"/>
          <w:highlight w:val="none"/>
        </w:rPr>
        <w:t>共同承担</w:t>
      </w:r>
      <w:r>
        <w:rPr>
          <w:rFonts w:hint="eastAsia" w:ascii="宋体" w:hAnsi="宋体" w:cs="宋体"/>
          <w:b/>
          <w:bCs/>
          <w:color w:val="auto"/>
          <w:kern w:val="0"/>
          <w:sz w:val="24"/>
          <w:highlight w:val="none"/>
          <w:u w:val="single"/>
        </w:rPr>
        <w:t xml:space="preserve"> </w:t>
      </w:r>
      <w:r>
        <w:rPr>
          <w:rFonts w:hint="eastAsia" w:ascii="宋体" w:hAnsi="宋体" w:cs="宋体"/>
          <w:color w:val="auto"/>
          <w:sz w:val="24"/>
          <w:highlight w:val="none"/>
          <w:u w:val="single"/>
        </w:rPr>
        <w:t>2026年多语种翻译服务项目</w:t>
      </w:r>
      <w:r>
        <w:rPr>
          <w:rFonts w:hint="eastAsia" w:ascii="宋体" w:hAnsi="宋体" w:cs="宋体"/>
          <w:b/>
          <w:bCs/>
          <w:color w:val="auto"/>
          <w:kern w:val="0"/>
          <w:sz w:val="24"/>
          <w:highlight w:val="none"/>
          <w:u w:val="single"/>
        </w:rPr>
        <w:t>（以下简称本项目）</w:t>
      </w:r>
      <w:r>
        <w:rPr>
          <w:rFonts w:hint="eastAsia" w:ascii="宋体" w:hAnsi="宋体" w:cs="宋体"/>
          <w:color w:val="auto"/>
          <w:sz w:val="24"/>
          <w:highlight w:val="none"/>
        </w:rPr>
        <w:t>，达成以下合同条款：</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第一条 项目内容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lang w:val="zh-CN"/>
        </w:rPr>
        <w:t>202</w:t>
      </w:r>
      <w:r>
        <w:rPr>
          <w:rFonts w:hint="eastAsia" w:ascii="宋体" w:hAnsi="宋体" w:cs="宋体"/>
          <w:color w:val="auto"/>
          <w:sz w:val="24"/>
          <w:highlight w:val="none"/>
        </w:rPr>
        <w:t>6</w:t>
      </w:r>
      <w:r>
        <w:rPr>
          <w:rFonts w:hint="eastAsia" w:ascii="宋体" w:hAnsi="宋体" w:cs="宋体"/>
          <w:color w:val="auto"/>
          <w:sz w:val="24"/>
          <w:highlight w:val="none"/>
          <w:lang w:val="zh-CN"/>
        </w:rPr>
        <w:t>年多语种翻译服务项目</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1.项目内容</w:t>
      </w:r>
    </w:p>
    <w:p>
      <w:pPr>
        <w:spacing w:line="360" w:lineRule="auto"/>
        <w:ind w:firstLine="482" w:firstLineChars="200"/>
        <w:outlineLvl w:val="2"/>
        <w:rPr>
          <w:rFonts w:ascii="宋体" w:hAnsi="宋体" w:cs="宋体"/>
          <w:b/>
          <w:bCs/>
          <w:color w:val="auto"/>
          <w:sz w:val="24"/>
          <w:highlight w:val="none"/>
          <w:lang w:val="zh-CN"/>
        </w:rPr>
      </w:pPr>
      <w:r>
        <w:rPr>
          <w:rFonts w:hint="eastAsia" w:ascii="宋体" w:hAnsi="宋体" w:cs="宋体"/>
          <w:b/>
          <w:bCs/>
          <w:color w:val="auto"/>
          <w:sz w:val="24"/>
          <w:highlight w:val="none"/>
          <w:lang w:val="zh-CN"/>
        </w:rPr>
        <w:t>1.1 口译服务内容：</w:t>
      </w:r>
    </w:p>
    <w:p>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1.1.1 乙方应按照甲方要求委派口译员，为甲方提供口译服务。如口译服务中需要同传设备，乙方应向甲方提供同传设备，并同时向甲方提供租赁设备之外的免费技术支持、维护等软性服务；乙方按照甲方要求，在会议开始前将设备送达指定地点，乙方负责调试安装，现场有专人全程陪同负责。</w:t>
      </w:r>
    </w:p>
    <w:p>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1.1.2 口译服务人员需求：</w:t>
      </w:r>
      <w:bookmarkStart w:id="31" w:name="OLE_LINK7"/>
      <w:r>
        <w:rPr>
          <w:rFonts w:hint="eastAsia" w:ascii="宋体" w:hAnsi="宋体" w:cs="宋体"/>
          <w:color w:val="auto"/>
          <w:sz w:val="24"/>
          <w:highlight w:val="none"/>
          <w:lang w:val="zh-CN"/>
        </w:rPr>
        <w:t>经过长期现场口译实践，有5年以上的大型会议口译经验的签约译员</w:t>
      </w:r>
      <w:bookmarkEnd w:id="31"/>
      <w:r>
        <w:rPr>
          <w:rFonts w:hint="eastAsia" w:ascii="宋体" w:hAnsi="宋体" w:cs="宋体"/>
          <w:color w:val="auto"/>
          <w:sz w:val="24"/>
          <w:highlight w:val="none"/>
          <w:lang w:val="zh-CN"/>
        </w:rPr>
        <w:t>。</w:t>
      </w:r>
    </w:p>
    <w:p>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1.1.3 接收机（如有需要）的分发流程：</w:t>
      </w:r>
    </w:p>
    <w:p>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a. 所有参会嘉宾必须凭本人有效身份证或护照在会议现场换取接收机的使用权，并于当场会议结束后及时归还接收机并取回相关证件。乙方负责指定专门人员进行接收机发放、咨询及回收，保证现场有序。甲方以其他特殊方式领取接收机的，甲方负责保管与追回或赔偿。如发生未归还，甲方有义务协助乙方积极追回接收机。</w:t>
      </w:r>
    </w:p>
    <w:p>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b. 重要特殊嘉宾如无法用有效证件换取接收机的，请甲方在会议现场指定唯一甲方工作人员来领取并负责回收与保管。</w:t>
      </w:r>
    </w:p>
    <w:p>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c. 乙方负责在会场显眼区域设置接收机领取处，张贴易拉宝等用于宣传接收机的使用说明。</w:t>
      </w:r>
    </w:p>
    <w:p>
      <w:pPr>
        <w:spacing w:line="360" w:lineRule="auto"/>
        <w:ind w:firstLine="482" w:firstLineChars="200"/>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1.2.笔译部分</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1.2.1.定义及释义</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原件：指甲方提供给乙方、要求乙方翻译的文件，其所采用的语言为源语言。</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译件：指乙方按要求在约定的时间、按约定的方式交付的翻译文件，其所采用的语言为目标语言。</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文本：指采用Microsoft® WORD 2010TM “工具”栏“字数统计”可以统计的内容，包括文本框、脚注、尾注等，其他格式可以转化成 Microsoft® WORD 2010TM统计。</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插图：指采用上述工具无法统计的内容，包括但不限于页眉页脚、图框、艺术字、图片等。</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图纸：指以Autodesk® AutoCADTM、Adobe® PhotoshopTM等图形制作工具绘制的文档。</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译文等级：指按照翻译所需技术专业性、语言要求、译件用途等不同要求而划分的等级。</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1.2.2.译文等级</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普通级：一般为内部参考用，语言与专业性要求不高。适用于普通信函、个人资料、出国资料等一般性稿件。</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专业级：由5年以上专业译员翻译，适用于法律合同、招投标书、技术安装手册等专业性较强的文件。</w:t>
      </w:r>
    </w:p>
    <w:p>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kern w:val="0"/>
          <w:sz w:val="24"/>
          <w:highlight w:val="none"/>
        </w:rPr>
        <w:t>资深级：由国内一流译员翻译，并由外籍专家或长期在国外居住的华人专家对稿件进行润色。译文用词精准，语句流畅，文辞优美，满足客户主体特定或出版需求，达到准母语水平。适用于公司宣传资料、国际论文发表、书籍出版翻译等重要文件。</w:t>
      </w:r>
    </w:p>
    <w:p>
      <w:pPr>
        <w:pStyle w:val="15"/>
        <w:spacing w:beforeAutospacing="0" w:afterAutospacing="0"/>
        <w:ind w:firstLine="480" w:firstLineChars="200"/>
        <w:outlineLvl w:val="2"/>
        <w:rPr>
          <w:color w:val="auto"/>
          <w:highlight w:val="none"/>
        </w:rPr>
      </w:pPr>
      <w:r>
        <w:rPr>
          <w:rFonts w:hint="eastAsia"/>
          <w:color w:val="auto"/>
          <w:highlight w:val="none"/>
        </w:rPr>
        <w:t>1.2.3工作量及收费说明</w:t>
      </w:r>
    </w:p>
    <w:p>
      <w:pPr>
        <w:widowControl/>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.2.</w:t>
      </w:r>
      <w:r>
        <w:rPr>
          <w:rFonts w:hint="eastAsia" w:ascii="宋体" w:hAnsi="宋体" w:cs="宋体"/>
          <w:color w:val="auto"/>
          <w:sz w:val="24"/>
          <w:highlight w:val="none"/>
        </w:rPr>
        <w:t>3</w:t>
      </w:r>
      <w:r>
        <w:rPr>
          <w:rFonts w:hint="eastAsia" w:ascii="宋体" w:hAnsi="宋体" w:cs="宋体"/>
          <w:color w:val="auto"/>
          <w:sz w:val="24"/>
          <w:highlight w:val="none"/>
          <w:lang w:val="zh-CN"/>
        </w:rPr>
        <w:t>.1 工作量：以中文版本计算笔译服务的工作量；文本以字符数（不计空格）计量，插图以个数计量，图纸以自然张计量或双方约定以图纸的实际字数加排版费的方式计算。</w:t>
      </w:r>
    </w:p>
    <w:p>
      <w:pPr>
        <w:widowControl/>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ascii="宋体" w:hAnsi="宋体" w:cs="宋体"/>
          <w:color w:val="auto"/>
          <w:sz w:val="24"/>
          <w:highlight w:val="none"/>
        </w:rPr>
        <w:t>2.</w:t>
      </w:r>
      <w:r>
        <w:rPr>
          <w:rFonts w:hint="eastAsia" w:ascii="宋体" w:hAnsi="宋体" w:cs="宋体"/>
          <w:color w:val="auto"/>
          <w:sz w:val="24"/>
          <w:highlight w:val="none"/>
        </w:rPr>
        <w:t>3</w:t>
      </w:r>
      <w:r>
        <w:rPr>
          <w:rFonts w:hint="eastAsia" w:ascii="宋体" w:hAnsi="宋体" w:cs="宋体"/>
          <w:color w:val="auto"/>
          <w:sz w:val="24"/>
          <w:highlight w:val="none"/>
          <w:lang w:val="zh-CN"/>
        </w:rPr>
        <w:t>.2 统计方式：</w:t>
      </w:r>
    </w:p>
    <w:p>
      <w:pPr>
        <w:widowControl/>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a. 统计时应当包含所有需要翻译的文字和需要编辑的图形，文本以Microsoft® Word 2010TM “工具栏-字数统计-字符数（不计空格）”包括文本框、脚注及尾注所显示的结果为准（以1000字起算，不足1000字按1000字统计）；</w:t>
      </w:r>
    </w:p>
    <w:p>
      <w:pPr>
        <w:widowControl/>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b. 证件类稿件按份收费；</w:t>
      </w:r>
    </w:p>
    <w:p>
      <w:pPr>
        <w:widowControl/>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c. 插图按个数统计；</w:t>
      </w:r>
    </w:p>
    <w:p>
      <w:pPr>
        <w:widowControl/>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d. 图纸按一个自然张为一张统计，且图纸字数应不超过500字；图纸字数超过500字的，按字数+排版费计价；</w:t>
      </w:r>
    </w:p>
    <w:p>
      <w:pPr>
        <w:widowControl/>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e. PPT格式按“文件-属性-统计-字数”× 1.8统计；</w:t>
      </w:r>
    </w:p>
    <w:p>
      <w:pPr>
        <w:widowControl/>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f. 原件为中文，但无法采用上述方式统计，且目标语言为英语的，以译件的“字数”×2为准；目标语言为其他语种的，系数由双方协商。</w:t>
      </w:r>
    </w:p>
    <w:p>
      <w:pPr>
        <w:widowControl/>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ascii="宋体" w:hAnsi="宋体" w:cs="宋体"/>
          <w:color w:val="auto"/>
          <w:sz w:val="24"/>
          <w:highlight w:val="none"/>
        </w:rPr>
        <w:t>2.</w:t>
      </w:r>
      <w:r>
        <w:rPr>
          <w:rFonts w:hint="eastAsia" w:ascii="宋体" w:hAnsi="宋体" w:cs="宋体"/>
          <w:color w:val="auto"/>
          <w:sz w:val="24"/>
          <w:highlight w:val="none"/>
        </w:rPr>
        <w:t>3</w:t>
      </w:r>
      <w:r>
        <w:rPr>
          <w:rFonts w:hint="eastAsia" w:ascii="宋体" w:hAnsi="宋体" w:cs="宋体"/>
          <w:color w:val="auto"/>
          <w:sz w:val="24"/>
          <w:highlight w:val="none"/>
          <w:lang w:val="zh-CN"/>
        </w:rPr>
        <w:t>.3 单价浮动：</w:t>
      </w:r>
    </w:p>
    <w:p>
      <w:pPr>
        <w:widowControl/>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a. 以上项目若需安排母语翻译与/或审校，价格另议；</w:t>
      </w:r>
    </w:p>
    <w:p>
      <w:pPr>
        <w:widowControl/>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b. A0及以上图纸，价格双方另行协商；</w:t>
      </w:r>
    </w:p>
    <w:p>
      <w:pPr>
        <w:widowControl/>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c. 以上原件均应为可编辑电子文件，包括Microsoft® Word、EXCEL、PPT、PDF及Autodesk CAD文件，如原件为不可编辑电子文件或印刷件以及其他软件编辑的文件，译前排版与译后排版价格双方另行协商；</w:t>
      </w:r>
    </w:p>
    <w:p>
      <w:pPr>
        <w:widowControl/>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d. 若遇上述</w:t>
      </w:r>
      <w:r>
        <w:rPr>
          <w:rFonts w:hint="eastAsia" w:ascii="宋体" w:hAnsi="宋体" w:cs="宋体"/>
          <w:color w:val="auto"/>
          <w:sz w:val="24"/>
          <w:highlight w:val="none"/>
        </w:rPr>
        <w:t>a</w:t>
      </w:r>
      <w:r>
        <w:rPr>
          <w:rFonts w:hint="eastAsia" w:ascii="宋体" w:hAnsi="宋体" w:cs="宋体"/>
          <w:color w:val="auto"/>
          <w:sz w:val="24"/>
          <w:highlight w:val="none"/>
          <w:lang w:val="zh-CN"/>
        </w:rPr>
        <w:t>中未报价语种与/或其他服务，价格由双方另行协商；</w:t>
      </w:r>
    </w:p>
    <w:p>
      <w:pPr>
        <w:widowControl/>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e. 若甲方对于统计规则有其他要求，应当在每次下单前书面协商确定。</w:t>
      </w:r>
    </w:p>
    <w:p>
      <w:pPr>
        <w:pStyle w:val="15"/>
        <w:spacing w:beforeAutospacing="0" w:afterAutospacing="0"/>
        <w:ind w:firstLine="482" w:firstLineChars="200"/>
        <w:outlineLvl w:val="2"/>
        <w:rPr>
          <w:b/>
          <w:bCs/>
          <w:color w:val="auto"/>
          <w:highlight w:val="none"/>
          <w:lang w:val="zh-CN"/>
        </w:rPr>
      </w:pPr>
      <w:r>
        <w:rPr>
          <w:rFonts w:hint="eastAsia"/>
          <w:b/>
          <w:bCs/>
          <w:color w:val="auto"/>
          <w:highlight w:val="none"/>
        </w:rPr>
        <w:t>1.</w:t>
      </w:r>
      <w:r>
        <w:rPr>
          <w:b/>
          <w:bCs/>
          <w:color w:val="auto"/>
          <w:highlight w:val="none"/>
        </w:rPr>
        <w:t>3</w:t>
      </w:r>
      <w:r>
        <w:rPr>
          <w:rFonts w:hint="eastAsia"/>
          <w:b/>
          <w:bCs/>
          <w:color w:val="auto"/>
          <w:highlight w:val="none"/>
        </w:rPr>
        <w:t>.质量及进度保证</w:t>
      </w:r>
    </w:p>
    <w:p>
      <w:pPr>
        <w:widowControl/>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w:t>
      </w:r>
      <w:r>
        <w:rPr>
          <w:rFonts w:ascii="宋体" w:hAnsi="宋体" w:cs="宋体"/>
          <w:color w:val="auto"/>
          <w:sz w:val="24"/>
          <w:highlight w:val="none"/>
        </w:rPr>
        <w:t>3</w:t>
      </w:r>
      <w:r>
        <w:rPr>
          <w:rFonts w:hint="eastAsia" w:ascii="宋体" w:hAnsi="宋体" w:cs="宋体"/>
          <w:color w:val="auto"/>
          <w:sz w:val="24"/>
          <w:highlight w:val="none"/>
          <w:lang w:val="zh-CN"/>
        </w:rPr>
        <w:t>.1乙方应按照翻译行业通用规范和国家标准《翻译服务规范GB/T19363.1-2003》进行质量控制，并按甲方选定的译文等级所对应的正常翻译、校对程序工作，准确地传达原件信息，确保文体适当、语句通顺、专有名词准确。如果甲方对翻译质量有专门的质量评价体系与/或标准或对语言风格与术语表述等方面有特殊要求，应在每次向乙方委托翻译任务时，以书面方式告知乙方，否则甲方应承担乙方因此而额外支出的费用，同时，乙方不承担相应语言风格和专业术语偏差的责任。该要求不应当超过上述服务规范要求的标准与/或本合同约定译文等级的质量要求。</w:t>
      </w:r>
    </w:p>
    <w:p>
      <w:pPr>
        <w:widowControl/>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w:t>
      </w:r>
      <w:r>
        <w:rPr>
          <w:rFonts w:ascii="宋体" w:hAnsi="宋体" w:cs="宋体"/>
          <w:color w:val="auto"/>
          <w:sz w:val="24"/>
          <w:highlight w:val="none"/>
        </w:rPr>
        <w:t>3</w:t>
      </w:r>
      <w:r>
        <w:rPr>
          <w:rFonts w:hint="eastAsia" w:ascii="宋体" w:hAnsi="宋体" w:cs="宋体"/>
          <w:color w:val="auto"/>
          <w:sz w:val="24"/>
          <w:highlight w:val="none"/>
          <w:lang w:val="zh-CN"/>
        </w:rPr>
        <w:t>.2</w:t>
      </w:r>
      <w:r>
        <w:rPr>
          <w:rFonts w:hint="eastAsia" w:ascii="宋体" w:hAnsi="宋体" w:cs="宋体"/>
          <w:color w:val="auto"/>
          <w:sz w:val="24"/>
          <w:highlight w:val="none"/>
        </w:rPr>
        <w:t>.</w:t>
      </w:r>
      <w:r>
        <w:rPr>
          <w:rFonts w:hint="eastAsia" w:ascii="宋体" w:hAnsi="宋体" w:cs="宋体"/>
          <w:color w:val="auto"/>
          <w:sz w:val="24"/>
          <w:highlight w:val="none"/>
          <w:lang w:val="zh-CN"/>
        </w:rPr>
        <w:t>乙方提供为期1年的质量保证，自译件交付甲方之日起计算。保证期内，若甲方对译件提出异议，则乙方有义务按照合同约定质量标准并结合甲方的合理要求对其进行修改或校对，不计费用；保证期内，甲方因修改原件或增加翻译要求等非乙方原因需要修改译件的，乙方应全力配合并按本合同的约定或者双方另行约定收取费用。</w:t>
      </w:r>
    </w:p>
    <w:p>
      <w:pPr>
        <w:widowControl/>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w:t>
      </w:r>
      <w:r>
        <w:rPr>
          <w:rFonts w:ascii="宋体" w:hAnsi="宋体" w:cs="宋体"/>
          <w:color w:val="auto"/>
          <w:sz w:val="24"/>
          <w:highlight w:val="none"/>
        </w:rPr>
        <w:t>3</w:t>
      </w:r>
      <w:r>
        <w:rPr>
          <w:rFonts w:hint="eastAsia" w:ascii="宋体" w:hAnsi="宋体" w:cs="宋体"/>
          <w:color w:val="auto"/>
          <w:sz w:val="24"/>
          <w:highlight w:val="none"/>
          <w:lang w:val="zh-CN"/>
        </w:rPr>
        <w:t>.</w:t>
      </w:r>
      <w:r>
        <w:rPr>
          <w:rFonts w:hint="eastAsia" w:ascii="宋体" w:hAnsi="宋体" w:cs="宋体"/>
          <w:color w:val="auto"/>
          <w:sz w:val="24"/>
          <w:highlight w:val="none"/>
        </w:rPr>
        <w:t>3.</w:t>
      </w:r>
      <w:r>
        <w:rPr>
          <w:rFonts w:hint="eastAsia" w:ascii="宋体" w:hAnsi="宋体" w:cs="宋体"/>
          <w:color w:val="auto"/>
          <w:sz w:val="24"/>
          <w:highlight w:val="none"/>
          <w:lang w:val="zh-CN"/>
        </w:rPr>
        <w:t>乙方未按约定时间交付译件的，甲方有权按所延误部分翻译费用的3 ‰（千分之三）按日收取违约金。但因甲方原因导致的延误，或双方达成一致的情况除外。</w:t>
      </w:r>
    </w:p>
    <w:p>
      <w:pPr>
        <w:widowControl/>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w:t>
      </w:r>
      <w:r>
        <w:rPr>
          <w:rFonts w:ascii="宋体" w:hAnsi="宋体" w:cs="宋体"/>
          <w:color w:val="auto"/>
          <w:sz w:val="24"/>
          <w:highlight w:val="none"/>
        </w:rPr>
        <w:t>3</w:t>
      </w:r>
      <w:r>
        <w:rPr>
          <w:rFonts w:hint="eastAsia" w:ascii="宋体" w:hAnsi="宋体" w:cs="宋体"/>
          <w:color w:val="auto"/>
          <w:sz w:val="24"/>
          <w:highlight w:val="none"/>
          <w:lang w:val="zh-CN"/>
        </w:rPr>
        <w:t>.</w:t>
      </w:r>
      <w:r>
        <w:rPr>
          <w:rFonts w:hint="eastAsia" w:ascii="宋体" w:hAnsi="宋体" w:cs="宋体"/>
          <w:color w:val="auto"/>
          <w:sz w:val="24"/>
          <w:highlight w:val="none"/>
        </w:rPr>
        <w:t>4.</w:t>
      </w:r>
      <w:r>
        <w:rPr>
          <w:rFonts w:hint="eastAsia" w:ascii="宋体" w:hAnsi="宋体" w:cs="宋体"/>
          <w:color w:val="auto"/>
          <w:sz w:val="24"/>
          <w:highlight w:val="none"/>
          <w:lang w:val="zh-CN"/>
        </w:rPr>
        <w:t>甲、乙双方应协商确定，标准工期为：</w:t>
      </w:r>
      <w:r>
        <w:rPr>
          <w:rFonts w:hint="eastAsia" w:ascii="宋体" w:hAnsi="宋体" w:cs="宋体"/>
          <w:color w:val="auto"/>
          <w:sz w:val="24"/>
          <w:highlight w:val="none"/>
          <w:u w:val="single"/>
          <w:lang w:val="zh-CN"/>
        </w:rPr>
        <w:t xml:space="preserve"> 三个工作日 </w:t>
      </w:r>
      <w:r>
        <w:rPr>
          <w:rFonts w:hint="eastAsia" w:ascii="宋体" w:hAnsi="宋体" w:cs="宋体"/>
          <w:color w:val="auto"/>
          <w:sz w:val="24"/>
          <w:highlight w:val="none"/>
          <w:lang w:val="zh-CN"/>
        </w:rPr>
        <w:t>。</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第二条  服务期限</w:t>
      </w:r>
    </w:p>
    <w:p>
      <w:pPr>
        <w:widowControl/>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1.服务期限：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本项目合同服务期限为自合同签订之日起至2026年11月30日。</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第三条  项目资料归属</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1.所有提交给甲方的项目文件及相关资料的</w:t>
      </w:r>
      <w:r>
        <w:rPr>
          <w:rFonts w:ascii="宋体" w:hAnsi="宋体" w:cs="宋体"/>
          <w:color w:val="auto"/>
          <w:sz w:val="24"/>
          <w:highlight w:val="none"/>
        </w:rPr>
        <w:t>阶段性成果及</w:t>
      </w:r>
      <w:r>
        <w:rPr>
          <w:rFonts w:hint="eastAsia" w:ascii="宋体" w:hAnsi="宋体" w:cs="宋体"/>
          <w:color w:val="auto"/>
          <w:sz w:val="24"/>
          <w:highlight w:val="none"/>
        </w:rPr>
        <w:t>最后文本，包括为履行服务范围所编制的计划和证明资料等，都属于甲方</w:t>
      </w:r>
      <w:r>
        <w:rPr>
          <w:rFonts w:ascii="宋体" w:hAnsi="宋体" w:cs="宋体"/>
          <w:color w:val="auto"/>
          <w:sz w:val="24"/>
          <w:highlight w:val="none"/>
        </w:rPr>
        <w:t>所有</w:t>
      </w:r>
      <w:r>
        <w:rPr>
          <w:rFonts w:hint="eastAsia" w:ascii="宋体" w:hAnsi="宋体" w:cs="宋体"/>
          <w:color w:val="auto"/>
          <w:sz w:val="24"/>
          <w:highlight w:val="none"/>
        </w:rPr>
        <w:t>，乙方在提交给甲方之前应将上述资料进行整理归类和编制索引。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2.乙方未经甲方的书面同意，不得将上述资料用于与本项目之外的任何项目，也不得将其泄露或授权给第三方使用。</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第四条  双方的权利义务</w:t>
      </w:r>
    </w:p>
    <w:p>
      <w:pPr>
        <w:spacing w:line="360" w:lineRule="auto"/>
        <w:ind w:firstLine="480" w:firstLineChars="200"/>
        <w:outlineLvl w:val="2"/>
        <w:rPr>
          <w:rFonts w:ascii="宋体" w:hAnsi="宋体" w:cs="宋体"/>
          <w:color w:val="auto"/>
          <w:sz w:val="24"/>
          <w:highlight w:val="none"/>
        </w:rPr>
      </w:pPr>
      <w:r>
        <w:rPr>
          <w:rFonts w:hint="eastAsia" w:ascii="宋体" w:hAnsi="宋体" w:cs="宋体"/>
          <w:color w:val="auto"/>
          <w:sz w:val="24"/>
          <w:highlight w:val="none"/>
        </w:rPr>
        <w:t>（一）甲方的权利义务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1.甲方应保证合理利用乙方口译译员的服务，不得要求乙方口译人员执行任何未在本合同中规定的活动（例如：笔译、进行会议记录、提供旅游和组织服务）。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2.根据具体工作情况，甲方可调整项目需求，但须在会前至少提前五日以邮件形式通知乙方</w:t>
      </w:r>
      <w:r>
        <w:rPr>
          <w:rFonts w:hint="eastAsia" w:ascii="宋体" w:hAnsi="宋体" w:cs="宋体"/>
          <w:color w:val="auto"/>
          <w:sz w:val="24"/>
          <w:highlight w:val="none"/>
          <w:lang w:eastAsia="zh-CN"/>
        </w:rPr>
        <w:t>，</w:t>
      </w:r>
      <w:r>
        <w:rPr>
          <w:rFonts w:hint="eastAsia" w:ascii="宋体" w:hAnsi="宋体" w:cs="宋体"/>
          <w:color w:val="auto"/>
          <w:sz w:val="24"/>
          <w:highlight w:val="none"/>
        </w:rPr>
        <w:t>本协议总价以附件一约定单价为基础</w:t>
      </w:r>
      <w:r>
        <w:rPr>
          <w:rFonts w:hint="eastAsia" w:ascii="宋体" w:hAnsi="宋体" w:cs="宋体"/>
          <w:color w:val="auto"/>
          <w:sz w:val="24"/>
          <w:highlight w:val="none"/>
          <w:lang w:eastAsia="zh-CN"/>
        </w:rPr>
        <w:t>，</w:t>
      </w:r>
      <w:r>
        <w:rPr>
          <w:rFonts w:hint="eastAsia" w:ascii="宋体" w:hAnsi="宋体" w:cs="宋体"/>
          <w:color w:val="auto"/>
          <w:sz w:val="24"/>
          <w:highlight w:val="none"/>
        </w:rPr>
        <w:t>随项目需求调整而调整。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3.在服务前和服务期间，向乙方口译人员提供必要的介绍或培训以及会议资料，以及能够使口译人员了解和熟悉相关项目/活动的一切相关知识和信息，以利于口译服务的开展。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4.未经乙方事先书面同意，甲方不得与乙方提供的译员私求达成与本合同相关内容的交易。</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5.甲方应在乙方完成口译服务且通过甲方验收后，严格按照双方合同约定的期限及时付清余款，否则视为违约。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6.甲方有权向乙方询问项目工作进展及相关情况，并要求乙方在指定时间内作出答复。甲方有权对乙方的工作进行验收。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7.如甲方确认乙方工作人员未按照本协议要求履行职责，甲方有权要求乙方限期更换人员，直至终止协议并要求乙方承担相应赔偿责任。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8.甲方对乙方在委托权限范围内完成委托事项有指导、监督权利。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9.甲方有权要求乙方全面履行协议。甲方不接受部分履行，如本协议项下部分成果文件未能按时交付则视为整体延误。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10.如乙方所提供的项目成果不符合本协议的要求，甲方有权要求乙方重新执行相应的工作服务，由此产生的全部费用由乙方自行承担，同时，甲方的付款时间相应顺延。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11.甲方指定项目联系人：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姓名：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联系方式： </w:t>
      </w:r>
    </w:p>
    <w:p>
      <w:pPr>
        <w:spacing w:line="360" w:lineRule="auto"/>
        <w:ind w:firstLine="480" w:firstLineChars="200"/>
        <w:outlineLvl w:val="2"/>
        <w:rPr>
          <w:rFonts w:ascii="宋体" w:hAnsi="宋体" w:cs="宋体"/>
          <w:color w:val="auto"/>
          <w:sz w:val="24"/>
          <w:highlight w:val="none"/>
        </w:rPr>
      </w:pPr>
      <w:r>
        <w:rPr>
          <w:rFonts w:hint="eastAsia" w:ascii="宋体" w:hAnsi="宋体" w:cs="宋体"/>
          <w:color w:val="auto"/>
          <w:sz w:val="24"/>
          <w:highlight w:val="none"/>
        </w:rPr>
        <w:t>（二）乙方的权利义务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按照本协议约定收取口译和笔译服务费用。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2.乙方应确保本协议约定的译员按时到达指定地点进行口译服务。如因不可抗力导致约定译员无法按时到场，乙方有义务及时调配同档次及以上译员，为甲方提供服务保障。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3.对译员进行翻译业务的管理和监督，确保口译服务达到甲方需要。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4.对译员进行保密意识教育和监督，并签署保密协议，确保甲方有关技术和商业秘密不被</w:t>
      </w:r>
      <w:r>
        <w:rPr>
          <w:rFonts w:hint="eastAsia" w:ascii="宋体" w:hAnsi="宋体" w:cs="宋体"/>
          <w:color w:val="auto"/>
          <w:sz w:val="24"/>
          <w:highlight w:val="none"/>
          <w:lang w:val="en-US" w:eastAsia="zh-CN"/>
        </w:rPr>
        <w:t>泄露</w:t>
      </w:r>
      <w:bookmarkStart w:id="66" w:name="_GoBack"/>
      <w:bookmarkEnd w:id="66"/>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5.乙方译员尽力提供优质的翻译；翻译质量符合《口译翻译服务规范》国家标准（GB/T 19363.2-2006）。</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6.乙方负责安排并承担译员交通等相关费用。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如使用到同传设备，乙方应在甲方指定的时间和地点提供同传活动前约定的全部配套机器，并且保证所有器材运行良好。如因设备自身原因导致大会间断10分钟以上，乙方应向甲方做出赔偿。赔偿金额不超过合同金额的50%。</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乙方提供笔译服务应按照翻译行业通用规范和国家标准《翻译服务规范GB/T19363.1-2003》进行质量控制，并按甲方选定的译文等级所对应的正常翻译、校对程序工作，准确地传达原件信息，确保文体适当、语句通顺、专有名词准确。如果甲方对翻译质量有专门的质量评价体系与/或标准或对语言风格与术语表述等方面有特殊要求，应在每次向乙方委托翻译任务时，以书面方式告知乙方，否则甲方应承担乙方因此而额外支出的费用，同时，乙方不承担相应语言风格和专业术语偏差的责任。该要求不应当超过上述服务规范要求的标准与/或本合同约定译文等级的质量要求。</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 xml:space="preserve"> 乙方笔译服务提供为期1年的质量保证，自译件交付甲方之日起计算。保证期内，若甲方对译件提出异议，则乙方有义务按照合同约定质量标准并结合甲方的合理要求对其进行修改或校对，不计费用；保证期内，甲方因修改原件或增加翻译要求等非乙方原因需要修改译件的，乙方应全力配合并按本合同的约定或者双方另行约定收取费用。</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 xml:space="preserve"> 乙方有权要求甲方提供笔译原文件确保原件清晰易辨可编辑。原件提交乙方后发生修改的，甲方应及时通知乙方并对改动部分进行标注；若在乙方已经完成译文（包括部分完成）后，甲方修改了原文，并要求乙方对译文进行相应修改的，则视为新的翻译服务，甲方应向乙方提供标注出修改位置的文稿，并应按照修改量相应增加支付给乙方的费用。</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 xml:space="preserve"> 乙方有权要求甲方笔译项目确保给出足够的工期，以便乙方完成工作流程，确保达到相应的质量标准。如果甲方确有困难，需要乙方提前交付译件，乙方应全力配合，但甲方认同并愿意承担由此造成的质量风险，同时按本协议的约定支付加急费。</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 xml:space="preserve"> 乙方有权要求甲方笔译项目中需要分批提交的译件，在邮件中明示分批交付的时间、数量、内容等要求。对于甲方要求乙方分批交付非成品译件的，甲方不应以过程交付文件的质量发起对乙方不利的投诉。</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 xml:space="preserve"> 对于乙方未按约定时间交付译件的，甲方有权按所延误部分翻译费用的3 ‰（千分之三）按日收取违约金。但因甲方原因导致的延误，或双方达成一致的情况除外。</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14.</w:t>
      </w:r>
      <w:r>
        <w:rPr>
          <w:rFonts w:hint="eastAsia" w:ascii="宋体" w:hAnsi="宋体" w:cs="宋体"/>
          <w:color w:val="auto"/>
          <w:sz w:val="24"/>
          <w:highlight w:val="none"/>
        </w:rPr>
        <w:t xml:space="preserve"> 甲、乙双方应协商确定，确认交期。笔译标准工期为： 6000字中文/工作日</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15</w:t>
      </w:r>
      <w:r>
        <w:rPr>
          <w:rFonts w:hint="eastAsia" w:ascii="宋体" w:hAnsi="宋体" w:cs="宋体"/>
          <w:color w:val="auto"/>
          <w:sz w:val="24"/>
          <w:highlight w:val="none"/>
        </w:rPr>
        <w:t>.乙方保证具备提供本协议约定服务的全部合法资质与权力，且提供服务不侵害甲方及任何第三方合法权益。乙方提供全部服务应符合双方约定的数量、质量、标准，无故障、中断及不能使用的情况，甲方有权进行验收。</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16</w:t>
      </w:r>
      <w:r>
        <w:rPr>
          <w:rFonts w:hint="eastAsia" w:ascii="宋体" w:hAnsi="宋体" w:cs="宋体"/>
          <w:color w:val="auto"/>
          <w:sz w:val="24"/>
          <w:highlight w:val="none"/>
        </w:rPr>
        <w:t>.乙方指定项目联系人：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姓名：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联系方式：</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第五条  人员要求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以下为本项目核心领导团队。</w:t>
      </w:r>
    </w:p>
    <w:tbl>
      <w:tblPr>
        <w:tblStyle w:val="18"/>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拟任</w:t>
            </w:r>
            <w:r>
              <w:rPr>
                <w:rFonts w:ascii="宋体" w:hAnsi="宋体" w:cs="宋体"/>
                <w:color w:val="auto"/>
                <w:sz w:val="24"/>
                <w:highlight w:val="none"/>
              </w:rPr>
              <w:t>团队</w:t>
            </w:r>
            <w:r>
              <w:rPr>
                <w:rFonts w:hint="eastAsia" w:ascii="宋体" w:hAnsi="宋体" w:cs="宋体"/>
                <w:color w:val="auto"/>
                <w:sz w:val="24"/>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bl>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1.参加本项目编制的人员必须具有国家和有关部门规定的相应资质。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2.参加本项目编制的人员配置必须与合同中的项目成员组成一致，若需调整需经甲方</w:t>
      </w:r>
      <w:r>
        <w:rPr>
          <w:rFonts w:ascii="宋体" w:hAnsi="宋体" w:cs="宋体"/>
          <w:color w:val="auto"/>
          <w:sz w:val="24"/>
          <w:highlight w:val="none"/>
        </w:rPr>
        <w:t>书面</w:t>
      </w:r>
      <w:r>
        <w:rPr>
          <w:rFonts w:hint="eastAsia" w:ascii="宋体" w:hAnsi="宋体" w:cs="宋体"/>
          <w:color w:val="auto"/>
          <w:sz w:val="24"/>
          <w:highlight w:val="none"/>
        </w:rPr>
        <w:t>同意后，方可变更。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3.必须以乙方直属人员</w:t>
      </w:r>
      <w:r>
        <w:rPr>
          <w:rFonts w:ascii="宋体" w:hAnsi="宋体" w:cs="宋体"/>
          <w:color w:val="auto"/>
          <w:sz w:val="24"/>
          <w:highlight w:val="none"/>
        </w:rPr>
        <w:t>（直属人员指</w:t>
      </w:r>
      <w:r>
        <w:rPr>
          <w:rFonts w:hint="eastAsia" w:ascii="宋体" w:hAnsi="宋体" w:cs="宋体"/>
          <w:color w:val="auto"/>
          <w:sz w:val="24"/>
          <w:highlight w:val="none"/>
        </w:rPr>
        <w:t>劳动合同、社会保险等劳动关系</w:t>
      </w:r>
      <w:r>
        <w:rPr>
          <w:rFonts w:ascii="宋体" w:hAnsi="宋体" w:cs="宋体"/>
          <w:color w:val="auto"/>
          <w:sz w:val="24"/>
          <w:highlight w:val="none"/>
        </w:rPr>
        <w:t>在乙方的人员）</w:t>
      </w:r>
      <w:r>
        <w:rPr>
          <w:rFonts w:hint="eastAsia" w:ascii="宋体" w:hAnsi="宋体" w:cs="宋体"/>
          <w:color w:val="auto"/>
          <w:sz w:val="24"/>
          <w:highlight w:val="none"/>
        </w:rPr>
        <w:t>参与本项目服务，不得使用挂靠队伍。</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第六条 成果权属与知识产权</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1.双方对本合同有关的知识产权以及与之相关的所有权利归属约定如下： 本项目全部阶段性成果和最终成果（包括为后续服务范围所编制的文件）的知识产权以及与之相关的所有权利归甲方所有；本合同签署前双方已经拥有的知识产权权利，仍归各自所有。</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确定，甲方有权利用乙方按照本合同约定提供的研究开发成果（如有），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未经甲方书面在先同意，乙方不得将本项目的中间成果和最终成果文件及任何数据、资料、软件向任何第三方转让、授权任何第三方使用或用于本合同项目外的其他项目。如发生以上情况，乙方应向甲方支付本合同总价款10%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5.乙方完成本合同项目的研究开发人员享有在有关技术成果文件上写明技术成果完成者的权利和与甲方共同获得有关荣誉证书、奖励的权利。</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第七条  保密条款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应以保密方式处理在提供本协议项下翻译服务过程中自甲方、甲方工作人员或甲方关联机构获得的相关信息、资料、图纸、数据等，或由甲方在履行本协议过程中明确指明为秘密的任何信息，以及乙方因本项目工作内容所直接或间接取得、处理或接触的任何其他资料。未经甲方书面在先同意，乙方不得向任何第三方透露与本项目有关的内容，或公开本项目的翻译内容。即使向与履行本协议有关的人员提供前述保密信息，也应限于履行协议的必需范围，且这些人员应接受至少与本条款同等严格的保密条款的约束。</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3.乙方实施项目的程序应符合国家安全、保密的有关规定和标准。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4.上述保密义务不适用以下情况：</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（1）获取的信息已被合法公开；</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（2）获得信息拥有方书面许可并在该许可范围内披露；</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（3）国家法律、法规规定的情形。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如乙方违反上述保密条款，甲方有权解除本合同，乙方应在合同解除通知发出之日起10日内向甲方支付本合同服务费总金额20%的违约金，如果违约金无法弥补甲方损失，甲方保留要求乙方赔偿全部损失的权利，包括但不限于上述索赔或责任所产生的诉讼费用、合理的律师费用、鉴定评估费用、调查费用、和解金额或生效法律文书中规定的赔偿金额。</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6.无论本合同或本合同其他条款是否有效，本保密条款始终约束双方。国家秘密的保密期限由国家有关部门确定，工作秘密的保密期限由甲方确定。</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 xml:space="preserve">第八条  验收标准     </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甲方在每次乙方服务结束后，对服务内容进行验收。对于验收过程中发现的问题，乙方应在发现问题之日起3天内进行改正，以符合甲方的需要。</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第九条  项目服务费用及付款方式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1.合同价款：据实结算，合同支付上限为</w:t>
      </w:r>
      <w:r>
        <w:rPr>
          <w:rFonts w:ascii="宋体" w:hAnsi="宋体" w:cs="宋体"/>
          <w:color w:val="auto"/>
          <w:sz w:val="24"/>
          <w:highlight w:val="none"/>
        </w:rPr>
        <w:t>人民币</w:t>
      </w:r>
      <w:r>
        <w:rPr>
          <w:rFonts w:hint="eastAsia" w:ascii="宋体" w:hAnsi="宋体" w:cs="宋体"/>
          <w:color w:val="auto"/>
          <w:sz w:val="24"/>
          <w:highlight w:val="none"/>
          <w:u w:val="single"/>
        </w:rPr>
        <w:t xml:space="preserve">      </w:t>
      </w:r>
      <w:r>
        <w:rPr>
          <w:rFonts w:ascii="宋体" w:hAnsi="宋体" w:cs="宋体"/>
          <w:color w:val="auto"/>
          <w:sz w:val="24"/>
          <w:highlight w:val="none"/>
        </w:rPr>
        <w:t>整（</w:t>
      </w:r>
      <w:r>
        <w:rPr>
          <w:rFonts w:hint="eastAsia" w:ascii="宋体" w:hAnsi="宋体" w:cs="宋体"/>
          <w:color w:val="auto"/>
          <w:sz w:val="24"/>
          <w:highlight w:val="none"/>
        </w:rPr>
        <w:t>¥     元</w:t>
      </w:r>
      <w:r>
        <w:rPr>
          <w:rFonts w:ascii="宋体" w:hAnsi="宋体" w:cs="宋体"/>
          <w:color w:val="auto"/>
          <w:sz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lang w:val="zh-CN"/>
        </w:rPr>
        <w:t>合同单价：见附件一（报价单），</w:t>
      </w:r>
      <w:r>
        <w:rPr>
          <w:rFonts w:hint="eastAsia" w:ascii="宋体" w:hAnsi="宋体" w:cs="宋体"/>
          <w:color w:val="auto"/>
          <w:sz w:val="24"/>
          <w:highlight w:val="none"/>
        </w:rPr>
        <w:t>包括但不限于口译服务费用、设备费用、乙方工作人员成本、中标服务费、资料费、通讯费、交通费、税金、利润等所有费用，并提供合同要求的成果文件，以及其它相关服务的全部费用。</w:t>
      </w:r>
    </w:p>
    <w:p>
      <w:pPr>
        <w:pStyle w:val="7"/>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2.乙方提交相应工作服务项目并经过甲方验收合格后，且甲方收到乙方开具的载明相应金额的合格发票后15个工作日内付至乙方指定银行账户。如未及时收到发票，则甲方相应付款时间顺延。若因甲方付款审批影响支付进度，请乙方予以谅解，并不得就此向甲方索赔。</w:t>
      </w:r>
    </w:p>
    <w:p>
      <w:pPr>
        <w:pStyle w:val="7"/>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3.乙方银行账户信息：</w:t>
      </w:r>
    </w:p>
    <w:p>
      <w:pPr>
        <w:pStyle w:val="7"/>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 xml:space="preserve">开户银行： </w:t>
      </w:r>
    </w:p>
    <w:p>
      <w:pPr>
        <w:pStyle w:val="7"/>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户名：</w:t>
      </w:r>
    </w:p>
    <w:p>
      <w:pPr>
        <w:pStyle w:val="7"/>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账号：</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第十条 合同提前终止</w:t>
      </w:r>
    </w:p>
    <w:p>
      <w:pPr>
        <w:pStyle w:val="3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1.双方协商同意提前终止本合同的，按双方协商约定的方式进行清算执行。</w:t>
      </w:r>
    </w:p>
    <w:p>
      <w:pPr>
        <w:pStyle w:val="3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pStyle w:val="3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3.有下列情形之一的，本合同自甲方向乙方发出书面通知之日起终止：</w:t>
      </w:r>
    </w:p>
    <w:p>
      <w:pPr>
        <w:pStyle w:val="3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（1）甲方的职能发生转变，不再具有委托职能。</w:t>
      </w:r>
    </w:p>
    <w:p>
      <w:pPr>
        <w:pStyle w:val="3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（2）本合同签订时适用的法律法规或政策发生变化，且对本合同的继续履行造成重大影响。</w:t>
      </w:r>
    </w:p>
    <w:p>
      <w:pPr>
        <w:pStyle w:val="3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发生以上情形，甲方已向乙方支付的款项不退还，尚未支付的款项不再支付，同时乙方应向甲方提交在合同终止日前完成的所有项目文件和相关资料。</w:t>
      </w:r>
    </w:p>
    <w:p>
      <w:pPr>
        <w:pStyle w:val="3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4.如发生不可抗力或其他超出合同双方控制的事件，致使一方无法履行合同，本合同解除。</w:t>
      </w:r>
    </w:p>
    <w:p>
      <w:pPr>
        <w:pStyle w:val="3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3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（2）发生不可抗力，甲乙双方承担各自的损失。由于其中一方迟延履行合同义务后发生不可抗力的，其违约责任不能免除。</w:t>
      </w:r>
    </w:p>
    <w:p>
      <w:pPr>
        <w:pStyle w:val="3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第十一条  争议解决办法</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因本合同的履行发生的或与本合同有关的争议或纠纷，由甲乙双方协商解决。协商不成的，双方同意将争议提交深圳前海合作区人民法院通过诉讼解决。</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第十二条  项目变更</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1.本合同履行过程中的需求变更和进度调整，以甲乙双方达成一致的书面文件为准。</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4.在合同所约定的工作范畴内的服务，本合同价格不予变更。</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第十三条  风险责任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乙方应完全地按照【  】号招标文件的要求和乙方投标文件的承诺完成本项目，出于自身财务、技术、人力等原因导致项目失败的，应承担全部责任。</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第十四条  违约责任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1.乙方未按照本合同约定的时间完成本项目各阶段工作，每延迟一日，甲方有权自尚未支付的合同款项中扣除本合同服务费总金额的3‰的逾期违约金。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2.本项目项下的工作内容不可分割，任一文件的迟延交付均视为整个项目的迟延交付。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3.本合同履行期间，发生下述情形时，甲方有权解除本合同，乙方除应退还甲方已支付的全部款项外</w:t>
      </w:r>
      <w:r>
        <w:rPr>
          <w:rFonts w:hint="eastAsia" w:ascii="宋体" w:hAnsi="宋体" w:cs="宋体"/>
          <w:color w:val="auto"/>
          <w:sz w:val="24"/>
          <w:highlight w:val="none"/>
          <w:lang w:eastAsia="zh-CN"/>
        </w:rPr>
        <w:t>，</w:t>
      </w:r>
      <w:r>
        <w:rPr>
          <w:rFonts w:hint="eastAsia" w:ascii="宋体" w:hAnsi="宋体" w:cs="宋体"/>
          <w:color w:val="auto"/>
          <w:sz w:val="24"/>
          <w:highlight w:val="none"/>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（1）乙方未能按合同约定的日期(含协商延缓的日期)提交各阶段成果或最终成果，延误时间超过15个工作日；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（2）因乙方工作的错误或遗漏造成翻译服务质量不符合本协议要求，且乙方未按甲方要求采取及时有效的补救措施的；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（3）未经甲方书面在先同意，乙方擅自将本合同项目与任何第三方合作，或将本合同标的全部或部分擅自转包或分包给任何第三方，且未按甲方的要求终止与第三方的合同的；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（4）项目负责人未承担本合同项目实质性工作，或未经甲方书面在先同意，乙方擅自更换项目负责人的；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（6）乙方明确表示或者以自己的行为表明不履行本合同的。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10%的违约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第十五条  其他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（1）合同书及补充协议；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（2）中标通知书；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（3）招标文件（编号：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）及其澄清、补正公告；</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3.本合同各条标题仅为提示之用，应以条文内容确定各方的权利义务。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4.本合同未尽事宜，由双方协商签订补充协议进行约定。补充协议应以书面形式作成，经双方法定代表人或其授权代表签字、盖章后与本合同具有同等法律效力。</w:t>
      </w:r>
    </w:p>
    <w:p>
      <w:pPr>
        <w:pStyle w:val="3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5.本合同约定的权利和义务不因合同双方发生收购、兼并、重组、分立而发生变化。如果发生上述情形，则本合同约定的权利和义务随之转移至收购、兼并、重组或分立后成立的单位。</w:t>
      </w:r>
    </w:p>
    <w:p>
      <w:pPr>
        <w:pStyle w:val="3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6.本合同在国家法律、法规和规章规定的范围内执行。当国家法律、法规和规章发生变化导致本合同有关条款与之抵触时，双方协商变更或废止该条款，在此情况下，双方互不承担责任。</w:t>
      </w:r>
    </w:p>
    <w:p>
      <w:pPr>
        <w:pStyle w:val="3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7.如果本合同的任何条款在任何时候变成不合法、无效或不可强制执行而不从根本上影响本合同的效力时，本合同的其他条款不受影响。</w:t>
      </w:r>
    </w:p>
    <w:p>
      <w:pPr>
        <w:pStyle w:val="3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3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9.任何一方未经另一方同意不得向任何第三方透露本合同的签订及其内容。甲方向其关联公司透露前述内容的，不受此限。</w:t>
      </w:r>
    </w:p>
    <w:p>
      <w:pPr>
        <w:pStyle w:val="3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11.本合同自双方法定代表人或其授权代表签字、盖章之日起生效，有效期至本合同全部权利义务履行完毕之日止。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12.本合同一式六份，甲、乙方各执三份，均具有同等法律效力。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（以下无正文，为签章栏）</w:t>
      </w: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（本页为签章页）</w:t>
      </w:r>
    </w:p>
    <w:p>
      <w:pPr>
        <w:adjustRightInd w:val="0"/>
        <w:snapToGrid w:val="0"/>
        <w:spacing w:line="360" w:lineRule="auto"/>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p>
    <w:p>
      <w:pPr>
        <w:adjustRightInd w:val="0"/>
        <w:snapToGrid w:val="0"/>
        <w:spacing w:line="360" w:lineRule="auto"/>
        <w:ind w:firstLine="200"/>
        <w:rPr>
          <w:rFonts w:ascii="宋体" w:hAnsi="宋体" w:cs="宋体"/>
          <w:color w:val="auto"/>
          <w:sz w:val="24"/>
          <w:highlight w:val="none"/>
        </w:rPr>
      </w:pPr>
    </w:p>
    <w:p>
      <w:pPr>
        <w:adjustRightInd w:val="0"/>
        <w:snapToGrid w:val="0"/>
        <w:spacing w:line="360" w:lineRule="auto"/>
        <w:ind w:left="8442" w:hanging="8312" w:hangingChars="3450"/>
        <w:rPr>
          <w:rFonts w:ascii="宋体" w:hAnsi="宋体" w:cs="宋体"/>
          <w:b/>
          <w:color w:val="auto"/>
          <w:sz w:val="24"/>
          <w:highlight w:val="none"/>
        </w:rPr>
      </w:pPr>
      <w:r>
        <w:rPr>
          <w:rFonts w:hint="eastAsia" w:ascii="宋体" w:hAnsi="宋体" w:cs="宋体"/>
          <w:b/>
          <w:color w:val="auto"/>
          <w:sz w:val="24"/>
          <w:highlight w:val="none"/>
        </w:rPr>
        <w:t>甲方名称：                                 乙方名称：</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深圳市前海深港现代服务业合作区管理局</w:t>
      </w:r>
      <w:r>
        <w:rPr>
          <w:rFonts w:hint="eastAsia" w:ascii="宋体" w:hAnsi="宋体" w:cs="宋体"/>
          <w:color w:val="auto"/>
          <w:sz w:val="24"/>
          <w:highlight w:val="none"/>
        </w:rPr>
        <w:tab/>
      </w:r>
      <w:r>
        <w:rPr>
          <w:rFonts w:hint="eastAsia" w:ascii="宋体" w:hAnsi="宋体" w:cs="宋体"/>
          <w:color w:val="auto"/>
          <w:sz w:val="24"/>
          <w:highlight w:val="none"/>
        </w:rPr>
        <w:t xml:space="preserve">     </w:t>
      </w:r>
    </w:p>
    <w:p>
      <w:pPr>
        <w:adjustRightInd w:val="0"/>
        <w:snapToGrid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（盖章）</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（盖章）</w:t>
      </w:r>
    </w:p>
    <w:p>
      <w:pPr>
        <w:adjustRightInd w:val="0"/>
        <w:snapToGrid w:val="0"/>
        <w:spacing w:line="360" w:lineRule="auto"/>
        <w:ind w:firstLine="200"/>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法定代表人或授权代表：（签字） </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法定代表人或授权代表：（签字）</w:t>
      </w:r>
    </w:p>
    <w:p>
      <w:pPr>
        <w:widowControl/>
        <w:adjustRightInd w:val="0"/>
        <w:snapToGrid w:val="0"/>
        <w:spacing w:line="360" w:lineRule="auto"/>
        <w:ind w:firstLine="200"/>
        <w:jc w:val="left"/>
        <w:rPr>
          <w:rFonts w:ascii="宋体" w:hAnsi="宋体" w:cs="宋体"/>
          <w:color w:val="auto"/>
          <w:sz w:val="24"/>
          <w:highlight w:val="none"/>
        </w:rPr>
      </w:pPr>
    </w:p>
    <w:p>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日期：                                       日期：</w:t>
      </w:r>
    </w:p>
    <w:p>
      <w:pPr>
        <w:rPr>
          <w:rFonts w:ascii="仿宋" w:hAnsi="仿宋" w:eastAsia="仿宋" w:cs="仿宋"/>
          <w:color w:val="auto"/>
          <w:szCs w:val="21"/>
          <w:highlight w:val="none"/>
        </w:rPr>
      </w:pPr>
    </w:p>
    <w:p>
      <w:pPr>
        <w:ind w:left="11" w:firstLine="630" w:firstLineChars="300"/>
        <w:rPr>
          <w:rFonts w:ascii="仿宋" w:hAnsi="仿宋" w:eastAsia="仿宋" w:cs="仿宋"/>
          <w:color w:val="auto"/>
          <w:szCs w:val="21"/>
          <w:highlight w:val="none"/>
        </w:rPr>
      </w:pPr>
    </w:p>
    <w:p>
      <w:pPr>
        <w:adjustRightInd w:val="0"/>
        <w:snapToGrid w:val="0"/>
        <w:spacing w:line="360" w:lineRule="auto"/>
        <w:rPr>
          <w:rFonts w:ascii="宋体" w:hAnsi="宋体" w:cs="宋体"/>
          <w:color w:val="auto"/>
          <w:sz w:val="24"/>
          <w:highlight w:val="none"/>
        </w:rPr>
      </w:pPr>
      <w:r>
        <w:rPr>
          <w:rFonts w:hint="eastAsia" w:ascii="宋体" w:hAnsi="宋体"/>
          <w:b/>
          <w:bCs/>
          <w:color w:val="auto"/>
          <w:szCs w:val="21"/>
          <w:highlight w:val="none"/>
        </w:rPr>
        <w:t>注：本合同样本仅供参考，具体条款内容采购人和中标人按前海管理局合同样本签订。实际合同样本不改变本招标文件的实质条件</w:t>
      </w:r>
      <w:r>
        <w:rPr>
          <w:rFonts w:hint="eastAsia" w:ascii="宋体" w:hAnsi="宋体" w:cs="宋体"/>
          <w:b/>
          <w:bCs/>
          <w:color w:val="auto"/>
          <w:sz w:val="24"/>
          <w:highlight w:val="none"/>
        </w:rPr>
        <w:t>。</w:t>
      </w:r>
    </w:p>
    <w:p>
      <w:pPr>
        <w:snapToGrid w:val="0"/>
        <w:spacing w:line="360" w:lineRule="auto"/>
        <w:rPr>
          <w:rFonts w:ascii="宋体" w:hAnsi="宋体" w:cs="宋体"/>
          <w:color w:val="auto"/>
          <w:sz w:val="24"/>
          <w:highlight w:val="none"/>
        </w:rPr>
      </w:pPr>
    </w:p>
    <w:p>
      <w:pPr>
        <w:numPr>
          <w:ilvl w:val="0"/>
          <w:numId w:val="1"/>
        </w:numPr>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 </w:t>
      </w:r>
      <w:bookmarkStart w:id="32" w:name="_Toc25518"/>
      <w:bookmarkStart w:id="33" w:name="_Toc11333"/>
      <w:r>
        <w:rPr>
          <w:rFonts w:hint="eastAsia" w:ascii="宋体" w:hAnsi="宋体" w:cs="宋体"/>
          <w:b/>
          <w:bCs/>
          <w:color w:val="auto"/>
          <w:sz w:val="24"/>
          <w:highlight w:val="none"/>
        </w:rPr>
        <w:t>用户需求书</w:t>
      </w:r>
      <w:bookmarkEnd w:id="32"/>
      <w:bookmarkEnd w:id="33"/>
    </w:p>
    <w:p>
      <w:pPr>
        <w:pStyle w:val="33"/>
        <w:tabs>
          <w:tab w:val="left" w:pos="720"/>
        </w:tabs>
        <w:autoSpaceDE w:val="0"/>
        <w:autoSpaceDN w:val="0"/>
        <w:adjustRightInd w:val="0"/>
        <w:spacing w:line="360" w:lineRule="auto"/>
        <w:ind w:right="17" w:firstLine="489"/>
        <w:jc w:val="left"/>
        <w:rPr>
          <w:rFonts w:ascii="宋体" w:hAnsi="宋体" w:cs="宋体"/>
          <w:b/>
          <w:color w:val="auto"/>
          <w:sz w:val="24"/>
          <w:highlight w:val="none"/>
        </w:rPr>
      </w:pPr>
      <w:bookmarkStart w:id="34" w:name="_Toc11045"/>
      <w:bookmarkStart w:id="35" w:name="_Toc23726"/>
      <w:r>
        <w:rPr>
          <w:rFonts w:hint="eastAsia" w:ascii="宋体" w:hAnsi="宋体" w:cs="宋体"/>
          <w:b/>
          <w:color w:val="auto"/>
          <w:sz w:val="24"/>
          <w:highlight w:val="none"/>
        </w:rPr>
        <w:t>说明：本章“用户需求书”的全部内容为本项目正常开展的基本要求，投标人必须完全响应，否则将导致投标无效。</w:t>
      </w:r>
    </w:p>
    <w:bookmarkEnd w:id="34"/>
    <w:bookmarkEnd w:id="35"/>
    <w:p>
      <w:pPr>
        <w:pStyle w:val="33"/>
        <w:tabs>
          <w:tab w:val="left" w:pos="720"/>
        </w:tabs>
        <w:autoSpaceDE w:val="0"/>
        <w:autoSpaceDN w:val="0"/>
        <w:adjustRightInd w:val="0"/>
        <w:spacing w:line="360" w:lineRule="auto"/>
        <w:ind w:right="17" w:firstLine="489"/>
        <w:jc w:val="left"/>
        <w:outlineLvl w:val="1"/>
        <w:rPr>
          <w:rFonts w:ascii="宋体" w:hAnsi="宋体" w:cs="宋体"/>
          <w:b/>
          <w:color w:val="auto"/>
          <w:sz w:val="24"/>
          <w:highlight w:val="none"/>
        </w:rPr>
      </w:pPr>
      <w:r>
        <w:rPr>
          <w:rFonts w:hint="eastAsia" w:ascii="宋体" w:hAnsi="宋体" w:cs="宋体"/>
          <w:b/>
          <w:color w:val="auto"/>
          <w:sz w:val="24"/>
          <w:highlight w:val="none"/>
        </w:rPr>
        <w:t>一、</w:t>
      </w:r>
      <w:bookmarkStart w:id="36" w:name="_Toc51746099"/>
      <w:r>
        <w:rPr>
          <w:rFonts w:hint="eastAsia" w:ascii="宋体" w:hAnsi="宋体" w:cs="宋体"/>
          <w:b/>
          <w:color w:val="auto"/>
          <w:sz w:val="24"/>
          <w:highlight w:val="none"/>
          <w:lang w:val="zh-CN"/>
        </w:rPr>
        <w:t>项目概况</w:t>
      </w:r>
    </w:p>
    <w:bookmarkEnd w:id="36"/>
    <w:p>
      <w:pPr>
        <w:pStyle w:val="7"/>
        <w:spacing w:after="0"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为助力前海实现高水平对外开放，满足前海在双招双引及国际化招商推介等工作中日益增长的多语种翻译需求，自2019年起，我局便着手采购相关多语种翻译服务。鉴于过往使用情况良好，现拟开展2026年多语种翻译服务采购工作。</w:t>
      </w:r>
    </w:p>
    <w:p>
      <w:pPr>
        <w:pStyle w:val="33"/>
        <w:tabs>
          <w:tab w:val="left" w:pos="720"/>
        </w:tabs>
        <w:autoSpaceDE w:val="0"/>
        <w:autoSpaceDN w:val="0"/>
        <w:adjustRightInd w:val="0"/>
        <w:spacing w:line="360" w:lineRule="auto"/>
        <w:ind w:right="17" w:firstLine="489"/>
        <w:jc w:val="left"/>
        <w:outlineLvl w:val="1"/>
        <w:rPr>
          <w:rFonts w:ascii="宋体" w:hAnsi="宋体" w:cs="宋体"/>
          <w:b/>
          <w:color w:val="auto"/>
          <w:sz w:val="24"/>
          <w:highlight w:val="none"/>
        </w:rPr>
      </w:pPr>
      <w:r>
        <w:rPr>
          <w:rFonts w:hint="eastAsia" w:ascii="宋体" w:hAnsi="宋体" w:cs="宋体"/>
          <w:b/>
          <w:color w:val="auto"/>
          <w:sz w:val="24"/>
          <w:highlight w:val="none"/>
        </w:rPr>
        <w:t>二、工作内容</w:t>
      </w:r>
    </w:p>
    <w:p>
      <w:pPr>
        <w:pStyle w:val="33"/>
        <w:tabs>
          <w:tab w:val="left" w:pos="720"/>
        </w:tabs>
        <w:autoSpaceDE w:val="0"/>
        <w:autoSpaceDN w:val="0"/>
        <w:adjustRightInd w:val="0"/>
        <w:spacing w:line="360" w:lineRule="auto"/>
        <w:ind w:right="17" w:firstLine="489"/>
        <w:jc w:val="left"/>
        <w:outlineLvl w:val="1"/>
        <w:rPr>
          <w:rFonts w:ascii="宋体" w:hAnsi="宋体" w:cs="宋体"/>
          <w:b/>
          <w:color w:val="auto"/>
          <w:sz w:val="24"/>
          <w:highlight w:val="none"/>
        </w:rPr>
      </w:pPr>
      <w:r>
        <w:rPr>
          <w:rFonts w:hint="eastAsia" w:ascii="宋体" w:hAnsi="宋体" w:cs="宋体"/>
          <w:b/>
          <w:color w:val="auto"/>
          <w:sz w:val="24"/>
          <w:highlight w:val="none"/>
        </w:rPr>
        <w:t>（一）口译服务内容：</w:t>
      </w:r>
    </w:p>
    <w:p>
      <w:pPr>
        <w:pStyle w:val="33"/>
        <w:tabs>
          <w:tab w:val="left" w:pos="720"/>
        </w:tabs>
        <w:autoSpaceDE w:val="0"/>
        <w:autoSpaceDN w:val="0"/>
        <w:adjustRightInd w:val="0"/>
        <w:spacing w:line="360" w:lineRule="auto"/>
        <w:ind w:right="17" w:firstLine="480"/>
        <w:jc w:val="left"/>
        <w:outlineLvl w:val="1"/>
        <w:rPr>
          <w:rFonts w:ascii="宋体" w:hAnsi="宋体" w:cs="宋体"/>
          <w:bCs/>
          <w:color w:val="auto"/>
          <w:sz w:val="24"/>
          <w:highlight w:val="none"/>
        </w:rPr>
      </w:pPr>
      <w:r>
        <w:rPr>
          <w:rFonts w:hint="eastAsia" w:ascii="宋体" w:hAnsi="宋体" w:cs="宋体"/>
          <w:bCs/>
          <w:color w:val="auto"/>
          <w:sz w:val="24"/>
          <w:highlight w:val="none"/>
        </w:rPr>
        <w:t>1.中标人应按照采购人要求委派口译员，为采购人提供口译服务。如口译服务中需要同传设备，中标人应向采购人提供同传设备，并同时向采购人提供租赁设备之外的免费技术支持、维护等软性服务；中标人按照采购人要求，在会议开始前将设备送达指定地点，中标人负责调试安装，现场有专人全程陪同负责。</w:t>
      </w:r>
    </w:p>
    <w:p>
      <w:pPr>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2.口译服务人员需求：</w:t>
      </w:r>
      <w:r>
        <w:rPr>
          <w:rFonts w:hint="eastAsia" w:ascii="宋体" w:hAnsi="宋体" w:cs="宋体"/>
          <w:color w:val="auto"/>
          <w:sz w:val="24"/>
          <w:highlight w:val="none"/>
          <w:lang w:val="zh-CN"/>
        </w:rPr>
        <w:t>经过长期现场口译实践，有5年以上的大型会议口译经验的签约译员。</w:t>
      </w:r>
      <w:r>
        <w:rPr>
          <w:rFonts w:ascii="宋体" w:hAnsi="宋体" w:cs="宋体"/>
          <w:color w:val="auto"/>
          <w:sz w:val="24"/>
          <w:highlight w:val="none"/>
        </w:rPr>
        <w:t>(</w:t>
      </w:r>
      <w:r>
        <w:rPr>
          <w:rFonts w:hint="eastAsia" w:ascii="宋体" w:hAnsi="宋体" w:cs="宋体"/>
          <w:color w:val="auto"/>
          <w:sz w:val="24"/>
          <w:highlight w:val="none"/>
        </w:rPr>
        <w:t>需提供译员的相关证明材料，经验以其在国内外正规高等院校翻译专业毕业年份至投标截止时间为得分依据。)</w:t>
      </w:r>
    </w:p>
    <w:p>
      <w:pPr>
        <w:pStyle w:val="33"/>
        <w:tabs>
          <w:tab w:val="left" w:pos="720"/>
        </w:tabs>
        <w:autoSpaceDE w:val="0"/>
        <w:autoSpaceDN w:val="0"/>
        <w:adjustRightInd w:val="0"/>
        <w:spacing w:line="360" w:lineRule="auto"/>
        <w:ind w:right="17" w:firstLine="480"/>
        <w:jc w:val="left"/>
        <w:outlineLvl w:val="1"/>
        <w:rPr>
          <w:rFonts w:ascii="宋体" w:hAnsi="宋体" w:cs="宋体"/>
          <w:bCs/>
          <w:color w:val="auto"/>
          <w:sz w:val="24"/>
          <w:highlight w:val="none"/>
        </w:rPr>
      </w:pPr>
      <w:r>
        <w:rPr>
          <w:rFonts w:hint="eastAsia" w:ascii="宋体" w:hAnsi="宋体" w:cs="宋体"/>
          <w:bCs/>
          <w:color w:val="auto"/>
          <w:sz w:val="24"/>
          <w:highlight w:val="none"/>
        </w:rPr>
        <w:t>3.接收机（如有需要）的分发流程：</w:t>
      </w:r>
    </w:p>
    <w:p>
      <w:pPr>
        <w:pStyle w:val="33"/>
        <w:tabs>
          <w:tab w:val="left" w:pos="720"/>
        </w:tabs>
        <w:autoSpaceDE w:val="0"/>
        <w:autoSpaceDN w:val="0"/>
        <w:adjustRightInd w:val="0"/>
        <w:spacing w:line="360" w:lineRule="auto"/>
        <w:ind w:right="17" w:firstLine="480"/>
        <w:jc w:val="left"/>
        <w:outlineLvl w:val="1"/>
        <w:rPr>
          <w:rFonts w:ascii="宋体" w:hAnsi="宋体" w:cs="宋体"/>
          <w:bCs/>
          <w:color w:val="auto"/>
          <w:sz w:val="24"/>
          <w:highlight w:val="none"/>
        </w:rPr>
      </w:pPr>
      <w:r>
        <w:rPr>
          <w:rFonts w:hint="eastAsia" w:ascii="宋体" w:hAnsi="宋体" w:cs="宋体"/>
          <w:bCs/>
          <w:color w:val="auto"/>
          <w:sz w:val="24"/>
          <w:highlight w:val="none"/>
        </w:rPr>
        <w:t>3.1.所有参会嘉宾必须凭本人有效身份证或护照在会议现场换取接收机的使用权，并于当场会议结束后及时归还接收机并取回相关证件。中标人负责指定专门人员进行接收机发放、咨询及回收，保证现场有序。采购人以其他特殊方式领取接收机的，采购人负责保管与追回或赔偿。如发生未归还，采购人有义务协助中标人积极追回接收机。</w:t>
      </w:r>
    </w:p>
    <w:p>
      <w:pPr>
        <w:pStyle w:val="33"/>
        <w:tabs>
          <w:tab w:val="left" w:pos="720"/>
        </w:tabs>
        <w:autoSpaceDE w:val="0"/>
        <w:autoSpaceDN w:val="0"/>
        <w:adjustRightInd w:val="0"/>
        <w:spacing w:line="360" w:lineRule="auto"/>
        <w:ind w:right="17" w:firstLine="480"/>
        <w:jc w:val="left"/>
        <w:outlineLvl w:val="1"/>
        <w:rPr>
          <w:rFonts w:ascii="宋体" w:hAnsi="宋体" w:cs="宋体"/>
          <w:bCs/>
          <w:color w:val="auto"/>
          <w:sz w:val="24"/>
          <w:highlight w:val="none"/>
        </w:rPr>
      </w:pPr>
      <w:r>
        <w:rPr>
          <w:rFonts w:hint="eastAsia" w:ascii="宋体" w:hAnsi="宋体" w:cs="宋体"/>
          <w:bCs/>
          <w:color w:val="auto"/>
          <w:sz w:val="24"/>
          <w:highlight w:val="none"/>
        </w:rPr>
        <w:t>3.2.重要特殊嘉宾如无法用有效证件换取接收机的，请采购人在会议现场指定唯一采购人工作人员来领取并负责回收与保管。</w:t>
      </w:r>
    </w:p>
    <w:p>
      <w:pPr>
        <w:pStyle w:val="33"/>
        <w:tabs>
          <w:tab w:val="left" w:pos="720"/>
        </w:tabs>
        <w:autoSpaceDE w:val="0"/>
        <w:autoSpaceDN w:val="0"/>
        <w:adjustRightInd w:val="0"/>
        <w:spacing w:line="360" w:lineRule="auto"/>
        <w:ind w:right="17" w:firstLine="480"/>
        <w:jc w:val="left"/>
        <w:outlineLvl w:val="1"/>
        <w:rPr>
          <w:rFonts w:ascii="宋体" w:hAnsi="宋体" w:cs="宋体"/>
          <w:bCs/>
          <w:color w:val="auto"/>
          <w:sz w:val="24"/>
          <w:highlight w:val="none"/>
        </w:rPr>
      </w:pPr>
      <w:r>
        <w:rPr>
          <w:rFonts w:hint="eastAsia" w:ascii="宋体" w:hAnsi="宋体" w:cs="宋体"/>
          <w:bCs/>
          <w:color w:val="auto"/>
          <w:sz w:val="24"/>
          <w:highlight w:val="none"/>
        </w:rPr>
        <w:t>3.3.中标人负责在会场显眼区域设置接收机领取处，张贴易拉宝等用于宣传接收机的使用说明。</w:t>
      </w:r>
    </w:p>
    <w:p>
      <w:pPr>
        <w:pStyle w:val="33"/>
        <w:tabs>
          <w:tab w:val="left" w:pos="720"/>
        </w:tabs>
        <w:autoSpaceDE w:val="0"/>
        <w:autoSpaceDN w:val="0"/>
        <w:adjustRightInd w:val="0"/>
        <w:spacing w:line="360" w:lineRule="auto"/>
        <w:ind w:right="17" w:firstLine="489"/>
        <w:jc w:val="left"/>
        <w:outlineLvl w:val="1"/>
        <w:rPr>
          <w:rFonts w:ascii="宋体" w:hAnsi="宋体" w:cs="宋体"/>
          <w:b/>
          <w:color w:val="auto"/>
          <w:sz w:val="24"/>
          <w:highlight w:val="none"/>
        </w:rPr>
      </w:pPr>
      <w:r>
        <w:rPr>
          <w:rFonts w:hint="eastAsia" w:ascii="宋体" w:hAnsi="宋体" w:cs="宋体"/>
          <w:b/>
          <w:color w:val="auto"/>
          <w:sz w:val="24"/>
          <w:highlight w:val="none"/>
        </w:rPr>
        <w:t>（二）笔译服务部分</w:t>
      </w:r>
    </w:p>
    <w:p>
      <w:pPr>
        <w:pStyle w:val="33"/>
        <w:tabs>
          <w:tab w:val="left" w:pos="720"/>
        </w:tabs>
        <w:autoSpaceDE w:val="0"/>
        <w:autoSpaceDN w:val="0"/>
        <w:adjustRightInd w:val="0"/>
        <w:spacing w:line="360" w:lineRule="auto"/>
        <w:ind w:right="17" w:firstLine="480"/>
        <w:jc w:val="left"/>
        <w:outlineLvl w:val="1"/>
        <w:rPr>
          <w:rFonts w:ascii="宋体" w:hAnsi="宋体" w:cs="宋体"/>
          <w:bCs/>
          <w:color w:val="auto"/>
          <w:sz w:val="24"/>
          <w:highlight w:val="none"/>
        </w:rPr>
      </w:pPr>
      <w:r>
        <w:rPr>
          <w:rFonts w:hint="eastAsia" w:ascii="宋体" w:hAnsi="宋体" w:cs="宋体"/>
          <w:bCs/>
          <w:color w:val="auto"/>
          <w:sz w:val="24"/>
          <w:highlight w:val="none"/>
        </w:rPr>
        <w:t>1.定义及释义</w:t>
      </w:r>
    </w:p>
    <w:p>
      <w:pPr>
        <w:pStyle w:val="33"/>
        <w:tabs>
          <w:tab w:val="left" w:pos="720"/>
        </w:tabs>
        <w:autoSpaceDE w:val="0"/>
        <w:autoSpaceDN w:val="0"/>
        <w:adjustRightInd w:val="0"/>
        <w:spacing w:line="360" w:lineRule="auto"/>
        <w:ind w:right="17" w:firstLine="480"/>
        <w:jc w:val="left"/>
        <w:outlineLvl w:val="1"/>
        <w:rPr>
          <w:rFonts w:ascii="宋体" w:hAnsi="宋体" w:cs="宋体"/>
          <w:bCs/>
          <w:color w:val="auto"/>
          <w:sz w:val="24"/>
          <w:highlight w:val="none"/>
        </w:rPr>
      </w:pPr>
      <w:r>
        <w:rPr>
          <w:rFonts w:hint="eastAsia" w:ascii="宋体" w:hAnsi="宋体" w:cs="宋体"/>
          <w:bCs/>
          <w:color w:val="auto"/>
          <w:sz w:val="24"/>
          <w:highlight w:val="none"/>
        </w:rPr>
        <w:t>原件：指采购人提供给中标人、要求中标人翻译的文件，其所采用的语言为源语言。</w:t>
      </w:r>
    </w:p>
    <w:p>
      <w:pPr>
        <w:pStyle w:val="33"/>
        <w:tabs>
          <w:tab w:val="left" w:pos="720"/>
        </w:tabs>
        <w:autoSpaceDE w:val="0"/>
        <w:autoSpaceDN w:val="0"/>
        <w:adjustRightInd w:val="0"/>
        <w:spacing w:line="360" w:lineRule="auto"/>
        <w:ind w:right="17" w:firstLine="480"/>
        <w:jc w:val="left"/>
        <w:outlineLvl w:val="1"/>
        <w:rPr>
          <w:rFonts w:ascii="宋体" w:hAnsi="宋体" w:cs="宋体"/>
          <w:bCs/>
          <w:color w:val="auto"/>
          <w:sz w:val="24"/>
          <w:highlight w:val="none"/>
        </w:rPr>
      </w:pPr>
      <w:r>
        <w:rPr>
          <w:rFonts w:hint="eastAsia" w:ascii="宋体" w:hAnsi="宋体" w:cs="宋体"/>
          <w:bCs/>
          <w:color w:val="auto"/>
          <w:sz w:val="24"/>
          <w:highlight w:val="none"/>
        </w:rPr>
        <w:t>译件：指中标人按要求在约定的时间、按约定的方式交付的翻译文件，其所采用的语言为目标语言。</w:t>
      </w:r>
    </w:p>
    <w:p>
      <w:pPr>
        <w:pStyle w:val="33"/>
        <w:tabs>
          <w:tab w:val="left" w:pos="720"/>
        </w:tabs>
        <w:autoSpaceDE w:val="0"/>
        <w:autoSpaceDN w:val="0"/>
        <w:adjustRightInd w:val="0"/>
        <w:spacing w:line="360" w:lineRule="auto"/>
        <w:ind w:right="17" w:firstLine="480"/>
        <w:jc w:val="left"/>
        <w:outlineLvl w:val="1"/>
        <w:rPr>
          <w:rFonts w:ascii="宋体" w:hAnsi="宋体" w:cs="宋体"/>
          <w:bCs/>
          <w:color w:val="auto"/>
          <w:sz w:val="24"/>
          <w:highlight w:val="none"/>
        </w:rPr>
      </w:pPr>
      <w:r>
        <w:rPr>
          <w:rFonts w:hint="eastAsia" w:ascii="宋体" w:hAnsi="宋体" w:cs="宋体"/>
          <w:bCs/>
          <w:color w:val="auto"/>
          <w:sz w:val="24"/>
          <w:highlight w:val="none"/>
        </w:rPr>
        <w:t>文本：指采用Microsoft® WORD 2010TM “工具”栏“字数统计”可以统计的内容，包括文本框、脚注、尾注等，其他格式可以转化成 Microsoft® WORD 2010TM统计。</w:t>
      </w:r>
    </w:p>
    <w:p>
      <w:pPr>
        <w:pStyle w:val="33"/>
        <w:tabs>
          <w:tab w:val="left" w:pos="720"/>
        </w:tabs>
        <w:autoSpaceDE w:val="0"/>
        <w:autoSpaceDN w:val="0"/>
        <w:adjustRightInd w:val="0"/>
        <w:spacing w:line="360" w:lineRule="auto"/>
        <w:ind w:right="17" w:firstLine="480"/>
        <w:jc w:val="left"/>
        <w:outlineLvl w:val="1"/>
        <w:rPr>
          <w:rFonts w:ascii="宋体" w:hAnsi="宋体" w:cs="宋体"/>
          <w:bCs/>
          <w:color w:val="auto"/>
          <w:sz w:val="24"/>
          <w:highlight w:val="none"/>
        </w:rPr>
      </w:pPr>
      <w:r>
        <w:rPr>
          <w:rFonts w:hint="eastAsia" w:ascii="宋体" w:hAnsi="宋体" w:cs="宋体"/>
          <w:bCs/>
          <w:color w:val="auto"/>
          <w:sz w:val="24"/>
          <w:highlight w:val="none"/>
        </w:rPr>
        <w:t>插图：指采用上述工具无法统计的内容，包括但不限于页眉页脚、图框、艺术字、图片等。</w:t>
      </w:r>
    </w:p>
    <w:p>
      <w:pPr>
        <w:pStyle w:val="33"/>
        <w:tabs>
          <w:tab w:val="left" w:pos="720"/>
        </w:tabs>
        <w:autoSpaceDE w:val="0"/>
        <w:autoSpaceDN w:val="0"/>
        <w:adjustRightInd w:val="0"/>
        <w:spacing w:line="360" w:lineRule="auto"/>
        <w:ind w:right="17" w:firstLine="480"/>
        <w:jc w:val="left"/>
        <w:outlineLvl w:val="1"/>
        <w:rPr>
          <w:rFonts w:ascii="宋体" w:hAnsi="宋体" w:cs="宋体"/>
          <w:bCs/>
          <w:color w:val="auto"/>
          <w:sz w:val="24"/>
          <w:highlight w:val="none"/>
        </w:rPr>
      </w:pPr>
      <w:r>
        <w:rPr>
          <w:rFonts w:hint="eastAsia" w:ascii="宋体" w:hAnsi="宋体" w:cs="宋体"/>
          <w:bCs/>
          <w:color w:val="auto"/>
          <w:sz w:val="24"/>
          <w:highlight w:val="none"/>
        </w:rPr>
        <w:t>图纸：指以Autodesk® AutoCADTM、Adobe® PhotoshopTM等图形制作工具绘制的文档。</w:t>
      </w:r>
    </w:p>
    <w:p>
      <w:pPr>
        <w:pStyle w:val="33"/>
        <w:tabs>
          <w:tab w:val="left" w:pos="720"/>
        </w:tabs>
        <w:autoSpaceDE w:val="0"/>
        <w:autoSpaceDN w:val="0"/>
        <w:adjustRightInd w:val="0"/>
        <w:spacing w:line="360" w:lineRule="auto"/>
        <w:ind w:right="17" w:firstLine="480"/>
        <w:jc w:val="left"/>
        <w:outlineLvl w:val="1"/>
        <w:rPr>
          <w:rFonts w:ascii="宋体" w:hAnsi="宋体" w:cs="宋体"/>
          <w:bCs/>
          <w:color w:val="auto"/>
          <w:sz w:val="24"/>
          <w:highlight w:val="none"/>
        </w:rPr>
      </w:pPr>
      <w:r>
        <w:rPr>
          <w:rFonts w:hint="eastAsia" w:ascii="宋体" w:hAnsi="宋体" w:cs="宋体"/>
          <w:bCs/>
          <w:color w:val="auto"/>
          <w:sz w:val="24"/>
          <w:highlight w:val="none"/>
        </w:rPr>
        <w:t>译文等级：指按照翻译所需技术专业性、语言要求、译件用途等不同要求而划分的等级。</w:t>
      </w:r>
    </w:p>
    <w:p>
      <w:pPr>
        <w:pStyle w:val="33"/>
        <w:tabs>
          <w:tab w:val="left" w:pos="720"/>
        </w:tabs>
        <w:autoSpaceDE w:val="0"/>
        <w:autoSpaceDN w:val="0"/>
        <w:adjustRightInd w:val="0"/>
        <w:spacing w:line="360" w:lineRule="auto"/>
        <w:ind w:right="17" w:firstLine="480"/>
        <w:jc w:val="left"/>
        <w:outlineLvl w:val="1"/>
        <w:rPr>
          <w:rFonts w:ascii="宋体" w:hAnsi="宋体" w:cs="宋体"/>
          <w:bCs/>
          <w:color w:val="auto"/>
          <w:sz w:val="24"/>
          <w:highlight w:val="none"/>
        </w:rPr>
      </w:pPr>
      <w:r>
        <w:rPr>
          <w:rFonts w:hint="eastAsia" w:ascii="宋体" w:hAnsi="宋体" w:cs="宋体"/>
          <w:bCs/>
          <w:color w:val="auto"/>
          <w:sz w:val="24"/>
          <w:highlight w:val="none"/>
        </w:rPr>
        <w:t>2.译文等级</w:t>
      </w:r>
    </w:p>
    <w:p>
      <w:pPr>
        <w:pStyle w:val="33"/>
        <w:tabs>
          <w:tab w:val="left" w:pos="720"/>
        </w:tabs>
        <w:autoSpaceDE w:val="0"/>
        <w:autoSpaceDN w:val="0"/>
        <w:adjustRightInd w:val="0"/>
        <w:spacing w:line="360" w:lineRule="auto"/>
        <w:ind w:right="17" w:firstLine="480"/>
        <w:jc w:val="left"/>
        <w:outlineLvl w:val="1"/>
        <w:rPr>
          <w:rFonts w:ascii="宋体" w:hAnsi="宋体" w:cs="宋体"/>
          <w:bCs/>
          <w:color w:val="auto"/>
          <w:sz w:val="24"/>
          <w:highlight w:val="none"/>
        </w:rPr>
      </w:pPr>
      <w:r>
        <w:rPr>
          <w:rFonts w:hint="eastAsia" w:ascii="宋体" w:hAnsi="宋体" w:cs="宋体"/>
          <w:bCs/>
          <w:color w:val="auto"/>
          <w:sz w:val="24"/>
          <w:highlight w:val="none"/>
        </w:rPr>
        <w:t>普通级：一般为内部参考用，语言与专业性要求不高。适用于普通信函、个人资料、出国资料等一般性稿件。</w:t>
      </w:r>
    </w:p>
    <w:p>
      <w:pPr>
        <w:pStyle w:val="33"/>
        <w:tabs>
          <w:tab w:val="left" w:pos="720"/>
        </w:tabs>
        <w:autoSpaceDE w:val="0"/>
        <w:autoSpaceDN w:val="0"/>
        <w:adjustRightInd w:val="0"/>
        <w:spacing w:line="360" w:lineRule="auto"/>
        <w:ind w:right="17" w:firstLine="480"/>
        <w:jc w:val="left"/>
        <w:outlineLvl w:val="1"/>
        <w:rPr>
          <w:rFonts w:ascii="宋体" w:hAnsi="宋体" w:cs="宋体"/>
          <w:bCs/>
          <w:color w:val="auto"/>
          <w:sz w:val="24"/>
          <w:highlight w:val="none"/>
        </w:rPr>
      </w:pPr>
      <w:r>
        <w:rPr>
          <w:rFonts w:hint="eastAsia" w:ascii="宋体" w:hAnsi="宋体" w:cs="宋体"/>
          <w:bCs/>
          <w:color w:val="auto"/>
          <w:sz w:val="24"/>
          <w:highlight w:val="none"/>
        </w:rPr>
        <w:t>专业级：由5年以上专业译员翻译，适用于法律合同、招投标书、技术安装手册等专业性较强的文件。</w:t>
      </w:r>
    </w:p>
    <w:p>
      <w:pPr>
        <w:pStyle w:val="33"/>
        <w:tabs>
          <w:tab w:val="left" w:pos="720"/>
        </w:tabs>
        <w:autoSpaceDE w:val="0"/>
        <w:autoSpaceDN w:val="0"/>
        <w:adjustRightInd w:val="0"/>
        <w:spacing w:line="360" w:lineRule="auto"/>
        <w:ind w:right="17" w:firstLine="480"/>
        <w:jc w:val="left"/>
        <w:outlineLvl w:val="1"/>
        <w:rPr>
          <w:rFonts w:ascii="宋体" w:hAnsi="宋体" w:cs="宋体"/>
          <w:bCs/>
          <w:color w:val="auto"/>
          <w:sz w:val="24"/>
          <w:highlight w:val="none"/>
        </w:rPr>
      </w:pPr>
      <w:r>
        <w:rPr>
          <w:rFonts w:hint="eastAsia" w:ascii="宋体" w:hAnsi="宋体" w:cs="宋体"/>
          <w:bCs/>
          <w:color w:val="auto"/>
          <w:sz w:val="24"/>
          <w:highlight w:val="none"/>
        </w:rPr>
        <w:t>资深级：由国内一流译员翻译，并由外籍专家或长期在国外居住的华人专家对稿件进行润色。译文用词精准，语句流畅，文辞优美，满足客户主体特定或出版需求，达到准母语水平。适用于公司宣传资料、国际论文发表、书籍出版翻译等重要文件。</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三、笔译工作量及收费说明</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1.工作量：以中文版本计算笔译服务的工作量；文本以字符数（不计空格）计量，插图以个数计量，图纸以自然张计量或双方约定以图纸的实际字数加排版费的方式计算。</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2.统计方式：</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2.1.统计时应当包含所有需要翻译的文字和需要编辑的图形，文本以Microsoft® Word 2010TM “工具栏-字数统计-字符数（不计空格）”包括文本框、脚注及尾注所显示的结果为准（以1000字起算，不足1000字按1000字统计）；</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2.2.证件类稿件按份收费；</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2.3.插图按个数统计；</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2.4.图纸按一个自然张为一张统计，且图纸字数应不超过500字；图纸字数超过500字的，按字数+排版费计价；</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2.5.PPT格式按“文件-属性-统计-字数”× 1.8统计；</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2.6.原件为中文，但无法采用上述方式统计，且目标语言为英语的，以译件的“字数”×2为准；目标语言为其他语种的，系数由双方协商。</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3.单价浮动：</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3.1.以上项目若需安排母语翻译与/或审校，价格另议；</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3.2.A0及以上图纸，价格双方另行协商；</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3.3.以上原件均应为可编辑电子文件，包括Microsoft® Word、EXCEL、PPT、PDF及Autodesk CAD文件，如原件为不可编辑电子文件或印刷件以及其他软件编辑的文件，译前排版与译后排版价格双方另行协商；</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3.4.若遇上述3.1中未报价语种与/或其他服务，价格由双方另行协商；</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3.5.若采购人对于统计规则有其他要求，应当在每次下单前书面协商确定。</w:t>
      </w:r>
    </w:p>
    <w:p>
      <w:pPr>
        <w:pStyle w:val="33"/>
        <w:tabs>
          <w:tab w:val="left" w:pos="720"/>
        </w:tabs>
        <w:autoSpaceDE w:val="0"/>
        <w:autoSpaceDN w:val="0"/>
        <w:adjustRightInd w:val="0"/>
        <w:spacing w:line="360" w:lineRule="auto"/>
        <w:ind w:right="17" w:firstLine="489"/>
        <w:jc w:val="left"/>
        <w:outlineLvl w:val="1"/>
        <w:rPr>
          <w:rFonts w:ascii="宋体" w:hAnsi="宋体" w:cs="宋体"/>
          <w:b/>
          <w:color w:val="auto"/>
          <w:sz w:val="24"/>
          <w:highlight w:val="none"/>
        </w:rPr>
      </w:pPr>
      <w:r>
        <w:rPr>
          <w:rFonts w:hint="eastAsia" w:ascii="宋体" w:hAnsi="宋体" w:cs="宋体"/>
          <w:b/>
          <w:color w:val="auto"/>
          <w:sz w:val="24"/>
          <w:highlight w:val="none"/>
        </w:rPr>
        <w:t>四、质量及进度保证</w:t>
      </w:r>
    </w:p>
    <w:p>
      <w:pPr>
        <w:pStyle w:val="33"/>
        <w:tabs>
          <w:tab w:val="left" w:pos="720"/>
        </w:tabs>
        <w:autoSpaceDE w:val="0"/>
        <w:autoSpaceDN w:val="0"/>
        <w:adjustRightInd w:val="0"/>
        <w:spacing w:line="360" w:lineRule="auto"/>
        <w:ind w:right="17" w:firstLine="480"/>
        <w:jc w:val="left"/>
        <w:rPr>
          <w:rFonts w:ascii="宋体" w:hAnsi="宋体" w:cs="宋体"/>
          <w:bCs/>
          <w:color w:val="auto"/>
          <w:sz w:val="24"/>
          <w:highlight w:val="none"/>
          <w:lang w:val="zh-CN"/>
        </w:rPr>
      </w:pPr>
      <w:r>
        <w:rPr>
          <w:rFonts w:hint="eastAsia" w:ascii="宋体" w:hAnsi="宋体" w:cs="宋体"/>
          <w:bCs/>
          <w:color w:val="auto"/>
          <w:sz w:val="24"/>
          <w:highlight w:val="none"/>
          <w:lang w:val="zh-CN"/>
        </w:rPr>
        <w:t>1</w:t>
      </w:r>
      <w:r>
        <w:rPr>
          <w:rFonts w:hint="eastAsia" w:ascii="宋体" w:hAnsi="宋体" w:cs="宋体"/>
          <w:bCs/>
          <w:color w:val="auto"/>
          <w:sz w:val="24"/>
          <w:highlight w:val="none"/>
        </w:rPr>
        <w:t>.</w:t>
      </w:r>
      <w:r>
        <w:rPr>
          <w:rFonts w:hint="eastAsia" w:ascii="宋体" w:hAnsi="宋体" w:cs="宋体"/>
          <w:bCs/>
          <w:color w:val="auto"/>
          <w:sz w:val="24"/>
          <w:highlight w:val="none"/>
          <w:lang w:val="zh-CN"/>
        </w:rPr>
        <w:t>中标人应按照翻译行业通用规范和国家标准《翻译服务规范GB/T19363.1-2003》进行质量控制，并按采购人选定的译文等级所对应的正常翻译、校对程序工作，准确地传达原件信息，确保文体适当、语句通顺、专有名词准确。如果采购人对翻译质量有专门的质量评价体系与/或标准或对语言风格与术语表述等方面有特殊要求，应在每次向中标人委托翻译任务时，以书面方式告知中标人，否则采购人应承担中标人因此而额外支出的费用，同时，中标人不承担相应语言风格和专业术语偏差的责任。该要求不应当超过上述服务规范要求的标准与/或本合同约定译文等级的质量要求。</w:t>
      </w:r>
    </w:p>
    <w:p>
      <w:pPr>
        <w:pStyle w:val="33"/>
        <w:tabs>
          <w:tab w:val="left" w:pos="720"/>
        </w:tabs>
        <w:autoSpaceDE w:val="0"/>
        <w:autoSpaceDN w:val="0"/>
        <w:adjustRightInd w:val="0"/>
        <w:spacing w:line="360" w:lineRule="auto"/>
        <w:ind w:right="17" w:firstLine="480"/>
        <w:jc w:val="left"/>
        <w:rPr>
          <w:rFonts w:ascii="宋体" w:hAnsi="宋体" w:cs="宋体"/>
          <w:bCs/>
          <w:color w:val="auto"/>
          <w:sz w:val="24"/>
          <w:highlight w:val="none"/>
          <w:lang w:val="zh-CN"/>
        </w:rPr>
      </w:pPr>
      <w:r>
        <w:rPr>
          <w:rFonts w:hint="eastAsia" w:ascii="宋体" w:hAnsi="宋体" w:cs="宋体"/>
          <w:bCs/>
          <w:color w:val="auto"/>
          <w:sz w:val="24"/>
          <w:highlight w:val="none"/>
          <w:lang w:val="zh-CN"/>
        </w:rPr>
        <w:t>2</w:t>
      </w:r>
      <w:r>
        <w:rPr>
          <w:rFonts w:hint="eastAsia" w:ascii="宋体" w:hAnsi="宋体" w:cs="宋体"/>
          <w:bCs/>
          <w:color w:val="auto"/>
          <w:sz w:val="24"/>
          <w:highlight w:val="none"/>
        </w:rPr>
        <w:t>.</w:t>
      </w:r>
      <w:r>
        <w:rPr>
          <w:rFonts w:hint="eastAsia" w:ascii="宋体" w:hAnsi="宋体" w:cs="宋体"/>
          <w:bCs/>
          <w:color w:val="auto"/>
          <w:sz w:val="24"/>
          <w:highlight w:val="none"/>
          <w:lang w:val="zh-CN"/>
        </w:rPr>
        <w:t>中标人提供为期1年的质量保证，自译件交付采购人之日起计算。保证期内，若采购人对译件提出异议，则中标人有义务按照合同约定质量标准并结合采购人的合理要求对其进行修改或校对，不计费用；保证期内，采购人因修改原件或增加翻译要求等非中标人原因需要修改译件的，中标人应全力配合并按本合同的约定或者双方另行约定收取费用。</w:t>
      </w:r>
    </w:p>
    <w:p>
      <w:pPr>
        <w:pStyle w:val="33"/>
        <w:tabs>
          <w:tab w:val="left" w:pos="720"/>
        </w:tabs>
        <w:autoSpaceDE w:val="0"/>
        <w:autoSpaceDN w:val="0"/>
        <w:adjustRightInd w:val="0"/>
        <w:spacing w:line="360" w:lineRule="auto"/>
        <w:ind w:right="17" w:firstLine="480"/>
        <w:jc w:val="left"/>
        <w:rPr>
          <w:rFonts w:ascii="宋体" w:hAnsi="宋体" w:cs="宋体"/>
          <w:bCs/>
          <w:color w:val="auto"/>
          <w:sz w:val="24"/>
          <w:highlight w:val="none"/>
          <w:lang w:val="zh-CN"/>
        </w:rPr>
      </w:pPr>
      <w:r>
        <w:rPr>
          <w:rFonts w:hint="eastAsia" w:ascii="宋体" w:hAnsi="宋体" w:cs="宋体"/>
          <w:bCs/>
          <w:color w:val="auto"/>
          <w:sz w:val="24"/>
          <w:highlight w:val="none"/>
        </w:rPr>
        <w:t>3.</w:t>
      </w:r>
      <w:r>
        <w:rPr>
          <w:rFonts w:hint="eastAsia" w:ascii="宋体" w:hAnsi="宋体" w:cs="宋体"/>
          <w:bCs/>
          <w:color w:val="auto"/>
          <w:sz w:val="24"/>
          <w:highlight w:val="none"/>
          <w:lang w:val="zh-CN"/>
        </w:rPr>
        <w:t>中标人未按约定时间交付译件的，采购人有权按所延误部分翻译费用的3 ‰（千分之三）按日收取违约金。但因采购人原因导致的延误，或双方达成一致的情况除外。</w:t>
      </w:r>
    </w:p>
    <w:p>
      <w:pPr>
        <w:pStyle w:val="33"/>
        <w:tabs>
          <w:tab w:val="left" w:pos="720"/>
        </w:tabs>
        <w:autoSpaceDE w:val="0"/>
        <w:autoSpaceDN w:val="0"/>
        <w:adjustRightInd w:val="0"/>
        <w:spacing w:line="360" w:lineRule="auto"/>
        <w:ind w:right="17" w:firstLine="480"/>
        <w:jc w:val="left"/>
        <w:rPr>
          <w:rFonts w:ascii="宋体" w:hAnsi="宋体" w:cs="宋体"/>
          <w:bCs/>
          <w:color w:val="auto"/>
          <w:sz w:val="24"/>
          <w:highlight w:val="none"/>
          <w:lang w:val="zh-CN"/>
        </w:rPr>
      </w:pPr>
      <w:r>
        <w:rPr>
          <w:rFonts w:hint="eastAsia" w:ascii="宋体" w:hAnsi="宋体" w:cs="宋体"/>
          <w:bCs/>
          <w:color w:val="auto"/>
          <w:sz w:val="24"/>
          <w:highlight w:val="none"/>
        </w:rPr>
        <w:t>4</w:t>
      </w:r>
      <w:r>
        <w:rPr>
          <w:rFonts w:hint="eastAsia" w:ascii="宋体" w:hAnsi="宋体" w:cs="宋体"/>
          <w:bCs/>
          <w:color w:val="auto"/>
          <w:sz w:val="24"/>
          <w:highlight w:val="none"/>
          <w:lang w:val="zh-CN"/>
        </w:rPr>
        <w:t>.标准工期为：</w:t>
      </w:r>
      <w:r>
        <w:rPr>
          <w:rFonts w:hint="eastAsia" w:ascii="宋体" w:hAnsi="宋体" w:cs="宋体"/>
          <w:bCs/>
          <w:color w:val="auto"/>
          <w:sz w:val="24"/>
          <w:highlight w:val="none"/>
          <w:u w:val="single"/>
          <w:lang w:val="zh-CN"/>
        </w:rPr>
        <w:t>三个工作日</w:t>
      </w:r>
      <w:r>
        <w:rPr>
          <w:rFonts w:hint="eastAsia" w:ascii="宋体" w:hAnsi="宋体" w:cs="宋体"/>
          <w:bCs/>
          <w:color w:val="auto"/>
          <w:sz w:val="24"/>
          <w:highlight w:val="none"/>
          <w:u w:val="single"/>
        </w:rPr>
        <w:t>内</w:t>
      </w:r>
      <w:r>
        <w:rPr>
          <w:rFonts w:hint="eastAsia" w:ascii="宋体" w:hAnsi="宋体" w:cs="宋体"/>
          <w:bCs/>
          <w:color w:val="auto"/>
          <w:sz w:val="24"/>
          <w:highlight w:val="none"/>
          <w:lang w:val="zh-CN"/>
        </w:rPr>
        <w:t>。</w:t>
      </w:r>
    </w:p>
    <w:p>
      <w:pPr>
        <w:pStyle w:val="33"/>
        <w:tabs>
          <w:tab w:val="left" w:pos="720"/>
        </w:tabs>
        <w:autoSpaceDE w:val="0"/>
        <w:autoSpaceDN w:val="0"/>
        <w:adjustRightInd w:val="0"/>
        <w:spacing w:line="360" w:lineRule="auto"/>
        <w:ind w:right="17" w:firstLine="489"/>
        <w:jc w:val="left"/>
        <w:outlineLvl w:val="1"/>
        <w:rPr>
          <w:rFonts w:ascii="宋体" w:hAnsi="宋体" w:cs="宋体"/>
          <w:b/>
          <w:color w:val="auto"/>
          <w:sz w:val="24"/>
          <w:highlight w:val="none"/>
        </w:rPr>
      </w:pPr>
      <w:r>
        <w:rPr>
          <w:rFonts w:hint="eastAsia" w:ascii="宋体" w:hAnsi="宋体" w:cs="宋体"/>
          <w:b/>
          <w:color w:val="auto"/>
          <w:sz w:val="24"/>
          <w:highlight w:val="none"/>
        </w:rPr>
        <w:t>五、验收标准</w:t>
      </w:r>
    </w:p>
    <w:p>
      <w:pPr>
        <w:pStyle w:val="33"/>
        <w:tabs>
          <w:tab w:val="left" w:pos="720"/>
        </w:tabs>
        <w:autoSpaceDE w:val="0"/>
        <w:autoSpaceDN w:val="0"/>
        <w:adjustRightInd w:val="0"/>
        <w:spacing w:line="360" w:lineRule="auto"/>
        <w:ind w:right="17" w:firstLine="480"/>
        <w:jc w:val="left"/>
        <w:rPr>
          <w:rFonts w:ascii="宋体" w:hAnsi="宋体" w:cs="宋体"/>
          <w:bCs/>
          <w:color w:val="auto"/>
          <w:sz w:val="24"/>
          <w:highlight w:val="none"/>
        </w:rPr>
      </w:pPr>
      <w:r>
        <w:rPr>
          <w:rFonts w:hint="eastAsia" w:ascii="宋体" w:hAnsi="宋体" w:cs="宋体"/>
          <w:bCs/>
          <w:color w:val="auto"/>
          <w:sz w:val="24"/>
          <w:highlight w:val="none"/>
        </w:rPr>
        <w:t>采购人在每次中标人服务结束后，对服务内容进行验收。对于验收过程中发现的问题，中标人应在发现问题之日起3天内进行改正，以符合采购人的需要。</w:t>
      </w:r>
    </w:p>
    <w:p>
      <w:pPr>
        <w:pStyle w:val="33"/>
        <w:tabs>
          <w:tab w:val="left" w:pos="720"/>
        </w:tabs>
        <w:autoSpaceDE w:val="0"/>
        <w:autoSpaceDN w:val="0"/>
        <w:adjustRightInd w:val="0"/>
        <w:spacing w:line="360" w:lineRule="auto"/>
        <w:ind w:right="17" w:firstLine="489"/>
        <w:jc w:val="left"/>
        <w:outlineLvl w:val="1"/>
        <w:rPr>
          <w:rFonts w:ascii="宋体" w:hAnsi="宋体" w:cs="宋体"/>
          <w:b/>
          <w:color w:val="auto"/>
          <w:sz w:val="24"/>
          <w:highlight w:val="none"/>
        </w:rPr>
      </w:pPr>
      <w:r>
        <w:rPr>
          <w:rFonts w:hint="eastAsia" w:ascii="宋体" w:hAnsi="宋体" w:cs="宋体"/>
          <w:b/>
          <w:color w:val="auto"/>
          <w:sz w:val="24"/>
          <w:highlight w:val="none"/>
        </w:rPr>
        <w:t>六、商务要求</w:t>
      </w:r>
    </w:p>
    <w:p>
      <w:pPr>
        <w:tabs>
          <w:tab w:val="left" w:pos="720"/>
        </w:tabs>
        <w:autoSpaceDE w:val="0"/>
        <w:autoSpaceDN w:val="0"/>
        <w:adjustRightInd w:val="0"/>
        <w:spacing w:line="360" w:lineRule="auto"/>
        <w:ind w:right="17" w:firstLine="482" w:firstLineChars="200"/>
        <w:outlineLvl w:val="2"/>
        <w:rPr>
          <w:rFonts w:ascii="宋体" w:hAnsi="宋体" w:cs="宋体"/>
          <w:color w:val="auto"/>
          <w:sz w:val="24"/>
          <w:highlight w:val="none"/>
        </w:rPr>
      </w:pPr>
      <w:r>
        <w:rPr>
          <w:rFonts w:hint="eastAsia" w:ascii="宋体" w:hAnsi="宋体" w:cs="宋体"/>
          <w:b/>
          <w:bCs/>
          <w:color w:val="auto"/>
          <w:kern w:val="0"/>
          <w:sz w:val="24"/>
          <w:highlight w:val="none"/>
        </w:rPr>
        <w:t>（一）服务期限</w:t>
      </w:r>
    </w:p>
    <w:p>
      <w:pPr>
        <w:spacing w:after="159" w:afterLines="50" w:line="360" w:lineRule="auto"/>
        <w:ind w:firstLine="480" w:firstLineChars="200"/>
        <w:rPr>
          <w:color w:val="auto"/>
          <w:highlight w:val="none"/>
        </w:rPr>
      </w:pPr>
      <w:r>
        <w:rPr>
          <w:rFonts w:hint="eastAsia" w:ascii="宋体" w:hAnsi="宋体" w:cs="宋体"/>
          <w:color w:val="auto"/>
          <w:sz w:val="24"/>
          <w:highlight w:val="none"/>
        </w:rPr>
        <w:t>本项目合同服务期限为自合同签订之日起至2026年11月30日。</w:t>
      </w:r>
    </w:p>
    <w:p>
      <w:pPr>
        <w:tabs>
          <w:tab w:val="left" w:pos="720"/>
        </w:tabs>
        <w:autoSpaceDE w:val="0"/>
        <w:autoSpaceDN w:val="0"/>
        <w:adjustRightInd w:val="0"/>
        <w:spacing w:line="360" w:lineRule="auto"/>
        <w:ind w:right="17" w:firstLine="482" w:firstLineChars="200"/>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（二）报价要求</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次投标以“单价合计金额”（笔译级别+口译级别）作为价格评分依据。投标人需按采购人列出的清单填报相应单价，实际结算单价等于所投标单价，据实结算。投标单价不得超过相应限价，如投标单价超过相应限价，则视同无效报价。本项目服务费按合同期内实际翻译的数量结算，费用结算按照服务项目单价乘以数量结算。项目预算控制及合同总金额(支付上限)40万元。投标人的投标报价为完成项目及招标文件或合同条款所规定的工作内容的各项费用，项目服务费包括但不限于口译服务费用、设备费用、投标人工作人员成本、中标服务费、资料费、通讯费、交通费、税金、后续服务、利润等所有费用，并提供合同要求的成果文件，以及其它相关服务的全部费用。</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ascii="宋体" w:hAnsi="宋体" w:cs="宋体"/>
          <w:b/>
          <w:bCs/>
          <w:color w:val="auto"/>
          <w:kern w:val="0"/>
          <w:sz w:val="24"/>
          <w:highlight w:val="none"/>
        </w:rPr>
      </w:pPr>
      <w:r>
        <w:rPr>
          <w:rFonts w:hint="eastAsia" w:ascii="宋体" w:hAnsi="宋体" w:cs="宋体"/>
          <w:color w:val="auto"/>
          <w:sz w:val="24"/>
          <w:highlight w:val="none"/>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（三）付款方式</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为单价报价，支付上限金额为40万元，按实际发生翻译服务工作量及实际结算单价据实结算，实际结算单价等于中标人所投标单价。中标人提交相应工作服务项目并经过采购人验收合格后，采购人向中标人指定银行账户支付相应金额。</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中标人提交相应工作服务项目并经过采购人验收合格后，且采购人收到中标人开具的载明相应金额的合格发票后15个工作日内付至中标人指定银行账户。如未及时收到发票，则采购人相应付款时间顺延。若因</w:t>
      </w:r>
      <w:r>
        <w:rPr>
          <w:rFonts w:ascii="宋体" w:hAnsi="宋体" w:cs="宋体"/>
          <w:color w:val="auto"/>
          <w:sz w:val="24"/>
          <w:highlight w:val="none"/>
        </w:rPr>
        <w:t>采购人</w:t>
      </w:r>
      <w:r>
        <w:rPr>
          <w:rFonts w:hint="eastAsia" w:ascii="宋体" w:hAnsi="宋体" w:cs="宋体"/>
          <w:color w:val="auto"/>
          <w:sz w:val="24"/>
          <w:highlight w:val="none"/>
        </w:rPr>
        <w:t>付款审批影响支付进度，请</w:t>
      </w:r>
      <w:r>
        <w:rPr>
          <w:rFonts w:ascii="宋体" w:hAnsi="宋体" w:cs="宋体"/>
          <w:color w:val="auto"/>
          <w:sz w:val="24"/>
          <w:highlight w:val="none"/>
        </w:rPr>
        <w:t>中标人</w:t>
      </w:r>
      <w:r>
        <w:rPr>
          <w:rFonts w:hint="eastAsia" w:ascii="宋体" w:hAnsi="宋体" w:cs="宋体"/>
          <w:color w:val="auto"/>
          <w:sz w:val="24"/>
          <w:highlight w:val="none"/>
        </w:rPr>
        <w:t>予以谅解，并不得就此向</w:t>
      </w:r>
      <w:r>
        <w:rPr>
          <w:rFonts w:ascii="宋体" w:hAnsi="宋体" w:cs="宋体"/>
          <w:color w:val="auto"/>
          <w:sz w:val="24"/>
          <w:highlight w:val="none"/>
        </w:rPr>
        <w:t>采购人</w:t>
      </w:r>
      <w:r>
        <w:rPr>
          <w:rFonts w:hint="eastAsia" w:ascii="宋体" w:hAnsi="宋体" w:cs="宋体"/>
          <w:color w:val="auto"/>
          <w:sz w:val="24"/>
          <w:highlight w:val="none"/>
        </w:rPr>
        <w:t>索赔。</w:t>
      </w:r>
    </w:p>
    <w:p>
      <w:pPr>
        <w:tabs>
          <w:tab w:val="left" w:pos="720"/>
        </w:tabs>
        <w:autoSpaceDE w:val="0"/>
        <w:autoSpaceDN w:val="0"/>
        <w:adjustRightInd w:val="0"/>
        <w:spacing w:line="360" w:lineRule="auto"/>
        <w:ind w:right="17" w:firstLine="482" w:firstLineChars="200"/>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（四）成果权属与知识产权</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1.本项目全部阶段性成果和最终成果（包括为后续服务范围所编制的文件）的知识产权以及与之相关的所有权利归采购人所有；本合同签署前双方已经拥有的知识产权权利，仍归各自所有。</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确定，采购人有权对中标人按照合同约定提供的研究开发成果（如有），进行后续改进。由此产生的具有实质性或创造性技术进步特征的新的技术成果及其权利归属，全部由采购人享有。具体相关利益的分配办法如下：采购人100%。</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10%的违约金，如果违约金无法弥补采购人的损失，采购人有权要求中标人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5.中标人完成本合同项目的研究人员享有在有关技术成果文件上署名的权利和与采购人共同获得有关荣誉证书、奖励的权利。</w:t>
      </w:r>
    </w:p>
    <w:p>
      <w:pPr>
        <w:widowControl/>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kern w:val="0"/>
          <w:sz w:val="24"/>
          <w:highlight w:val="none"/>
        </w:rPr>
        <w:t>（五）</w:t>
      </w:r>
      <w:r>
        <w:rPr>
          <w:rFonts w:hint="eastAsia" w:ascii="宋体" w:hAnsi="宋体" w:cs="宋体"/>
          <w:b/>
          <w:bCs/>
          <w:color w:val="auto"/>
          <w:sz w:val="24"/>
          <w:highlight w:val="none"/>
        </w:rPr>
        <w:t>保密条款</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人应以保密方式处理在提供本协议项下翻译服务过程中自采购人、采购人工作人员或采购人关联机构获得的相关信息、资料、图纸、数据等，或由采购人在履行本协议过程中明确指明为秘密的任何信息，以及中标人因本项目工作内容所直接或间接取得、处理或接触的任何其他资料。未经采购人书面在先同意，中标人不得向任何第三方透露与本项目有关的内容，或公开本项目的翻译内容。即使向与履行本协议有关的人员提供前述保密信息，也应限于履行协议的必需范围，且这些人员应接受至少与本条款同等严格的保密条款的约束。</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3.中标人实施项目的程序应符合国家安全、保密的有关规定和标准。</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4.上述保密义务不适用以下情况：</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（1）获取的信息已被合法公开；</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（2）获得信息拥有方书面许可并在该许可范围内披露；</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（3）国家法律、法规规定的情形。</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kern w:val="0"/>
          <w:sz w:val="24"/>
          <w:highlight w:val="none"/>
        </w:rPr>
        <w:t>（六）</w:t>
      </w:r>
      <w:r>
        <w:rPr>
          <w:rFonts w:hint="eastAsia" w:ascii="宋体" w:hAnsi="宋体" w:cs="宋体"/>
          <w:b/>
          <w:bCs/>
          <w:color w:val="auto"/>
          <w:sz w:val="24"/>
          <w:highlight w:val="none"/>
        </w:rPr>
        <w:t>违约责任</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1.中标人未按照本合同约定的时间完成本项目各阶段工作，每延迟一日，采购人有权自尚未支付的合同款项中扣除本合同服务费总金额的3‰的逾期违约金。</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2.本合同项下的工作内容不可分割，任一文件的迟延交付均视为整个项目的迟延交付。</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3.本合同履行期间，发生下述情形时，采购人有权解除本合同，中标人除应退还采购人已支付的全部款项外</w:t>
      </w:r>
      <w:r>
        <w:rPr>
          <w:rFonts w:hint="eastAsia" w:ascii="宋体" w:hAnsi="宋体" w:cs="宋体"/>
          <w:color w:val="auto"/>
          <w:sz w:val="24"/>
          <w:highlight w:val="none"/>
          <w:lang w:eastAsia="zh-CN"/>
        </w:rPr>
        <w:t>，</w:t>
      </w:r>
      <w:r>
        <w:rPr>
          <w:rFonts w:hint="eastAsia" w:ascii="宋体" w:hAnsi="宋体" w:cs="宋体"/>
          <w:color w:val="auto"/>
          <w:sz w:val="24"/>
          <w:highlight w:val="none"/>
        </w:rPr>
        <w:t>还应在合同解除通知发出之日起10日内向采购人支付合同总价款20%的违约金。中标人应同时将已完成的项目成果移交给采购人，并将全部有关资料退还采购人：</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（1）中标人未能按合同约定的日期(含协商延缓的日期)提交各阶段工作成果，延误时间超过15个工作日；</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（2）因中标人工作的错误或遗漏造成翻译服务质量不符合本协议要求，且中标人未按采购人要求采取及时有效的补救措施的；</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（3）未经采购人书面在先同意，中标人擅自将本合同项目与任何第三方合作，或将本合同标的全部或部分擅自转包或分包给任何第三方，且未按采购人的要求终止与第三方的合同的；</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（4）项目负责人未承担本合同项目实质性工作，或未经采购人书面在先同意，中标人擅自更换项目负责人的；</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（6）中标人明确表示或者以自己的行为表明不履行本合同的。</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 除因采购人付款审批影响支付进度的情况外，如采购人未按照本合同约定的时间支付服务费，中标人书面催告采购人并给予不少于30个工作日的履行期限后采购人仍未支付的，中标人有权自该期限届满之日起要求采购人支付该阶段应付而未付合同价款每日1‰的逾期违约金。采购人无正当理由拒绝接受服务，到期明确表示拒付服务款项的，采购人向中标人偿付本合同总价10%的违约金。</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numPr>
          <w:ilvl w:val="0"/>
          <w:numId w:val="1"/>
        </w:numPr>
        <w:spacing w:line="360" w:lineRule="auto"/>
        <w:jc w:val="center"/>
        <w:outlineLvl w:val="0"/>
        <w:rPr>
          <w:rFonts w:ascii="宋体" w:hAnsi="宋体" w:cs="宋体"/>
          <w:b/>
          <w:bCs/>
          <w:color w:val="auto"/>
          <w:sz w:val="24"/>
          <w:highlight w:val="none"/>
        </w:rPr>
      </w:pPr>
      <w:r>
        <w:rPr>
          <w:rFonts w:hint="eastAsia" w:ascii="宋体" w:hAnsi="宋体" w:cs="宋体"/>
          <w:color w:val="auto"/>
          <w:sz w:val="24"/>
          <w:highlight w:val="none"/>
        </w:rPr>
        <w:br w:type="page"/>
      </w:r>
      <w:bookmarkStart w:id="37" w:name="_Toc10061"/>
      <w:bookmarkStart w:id="38" w:name="_Toc23822"/>
      <w:r>
        <w:rPr>
          <w:rFonts w:hint="eastAsia" w:ascii="宋体" w:hAnsi="宋体" w:cs="宋体"/>
          <w:b/>
          <w:bCs/>
          <w:color w:val="auto"/>
          <w:sz w:val="24"/>
          <w:highlight w:val="none"/>
        </w:rPr>
        <w:t xml:space="preserve"> 投标文件初审及招标项目评分表</w:t>
      </w:r>
      <w:bookmarkEnd w:id="37"/>
      <w:bookmarkEnd w:id="38"/>
    </w:p>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投标文件初审表（不可偏离条款）</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（凡有下列情形之一的，投标文件无效，投标作废标处理）</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7108"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7108"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7108"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7108" w:type="dxa"/>
            <w:vAlign w:val="center"/>
          </w:tcPr>
          <w:p>
            <w:pPr>
              <w:spacing w:line="360" w:lineRule="auto"/>
              <w:rPr>
                <w:rFonts w:ascii="宋体" w:hAnsi="宋体" w:cs="宋体"/>
                <w:b/>
                <w:bCs/>
                <w:color w:val="auto"/>
                <w:sz w:val="24"/>
                <w:highlight w:val="none"/>
              </w:rPr>
            </w:pPr>
            <w:r>
              <w:rPr>
                <w:rFonts w:hint="eastAsia" w:ascii="宋体" w:hAnsi="宋体" w:cs="宋体"/>
                <w:color w:val="auto"/>
                <w:sz w:val="24"/>
                <w:highlight w:val="none"/>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7108"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7108"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7108"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7108"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7108"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未出现“所投货物或工程或服务在质量、技术、方案等方面没有实质性满足招标文件要求”的情形</w:t>
            </w:r>
          </w:p>
          <w:p>
            <w:pPr>
              <w:spacing w:line="360" w:lineRule="auto"/>
              <w:rPr>
                <w:rFonts w:ascii="宋体" w:hAnsi="宋体" w:cs="宋体"/>
                <w:b/>
                <w:bCs/>
                <w:color w:val="auto"/>
                <w:sz w:val="24"/>
                <w:highlight w:val="none"/>
              </w:rPr>
            </w:pPr>
            <w:r>
              <w:rPr>
                <w:rFonts w:hint="eastAsia" w:ascii="宋体" w:hAnsi="宋体" w:cs="宋体"/>
                <w:color w:val="auto"/>
                <w:sz w:val="24"/>
                <w:highlight w:val="none"/>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7108"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7108" w:type="dxa"/>
            <w:vAlign w:val="center"/>
          </w:tcPr>
          <w:p>
            <w:pPr>
              <w:pStyle w:val="16"/>
              <w:spacing w:before="0" w:after="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报价合理性审查</w:t>
            </w:r>
          </w:p>
          <w:p>
            <w:pPr>
              <w:pStyle w:val="16"/>
              <w:spacing w:before="0" w:after="0"/>
              <w:jc w:val="left"/>
              <w:outlineLvl w:val="2"/>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pStyle w:val="16"/>
              <w:spacing w:before="0" w:after="0"/>
              <w:jc w:val="left"/>
              <w:outlineLvl w:val="2"/>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（一）投标（响应）报价低于全部通过符合性审查供应商投标（响应）报价平均值50%的，即投标（响应）报价&lt;全部通过符合性审查供应商投标（响应）报价平均值×50%；</w:t>
            </w:r>
          </w:p>
          <w:p>
            <w:pPr>
              <w:pStyle w:val="16"/>
              <w:spacing w:before="0" w:after="0"/>
              <w:jc w:val="left"/>
              <w:outlineLvl w:val="2"/>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（二）投标（响应）报价低于通过符合性审查且报价次低供应商投标（响应）报价50%的，即投标（响应）报价&lt;通过符合性审查且报价次低供应商投标（响应）报价×50%；</w:t>
            </w:r>
          </w:p>
          <w:p>
            <w:pPr>
              <w:pStyle w:val="16"/>
              <w:spacing w:before="0" w:after="0"/>
              <w:jc w:val="left"/>
              <w:outlineLvl w:val="2"/>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（三）投标（响应）报价低于采购项目最高限价45%的，即投标（响应）报价&lt;采购项目最高限价×45%；</w:t>
            </w:r>
          </w:p>
          <w:p>
            <w:pPr>
              <w:pStyle w:val="16"/>
              <w:spacing w:before="0" w:after="0"/>
              <w:jc w:val="left"/>
              <w:outlineLvl w:val="2"/>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（四）其他评审委员会认为供应商报价过低，有可能影响产品质量或者不能诚信履约的情形。</w:t>
            </w:r>
          </w:p>
          <w:p>
            <w:pPr>
              <w:rPr>
                <w:rFonts w:ascii="宋体" w:hAnsi="宋体" w:cs="宋体"/>
                <w:color w:val="auto"/>
                <w:sz w:val="24"/>
                <w:highlight w:val="none"/>
              </w:rPr>
            </w:pPr>
            <w:r>
              <w:rPr>
                <w:rFonts w:hint="eastAsia" w:ascii="宋体" w:hAnsi="宋体" w:cs="宋体"/>
                <w:color w:val="auto"/>
                <w:sz w:val="24"/>
                <w:highlight w:val="none"/>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7108"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未出现法律、法规规定的其他情形</w:t>
            </w:r>
          </w:p>
        </w:tc>
      </w:tr>
    </w:tbl>
    <w:p>
      <w:pPr>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br w:type="page"/>
      </w:r>
      <w:bookmarkStart w:id="39" w:name="_Toc9548"/>
      <w:bookmarkStart w:id="40" w:name="_Hlk28269117"/>
      <w:r>
        <w:rPr>
          <w:rFonts w:hint="eastAsia" w:ascii="宋体" w:hAnsi="宋体" w:cs="宋体"/>
          <w:b/>
          <w:bCs/>
          <w:color w:val="auto"/>
          <w:sz w:val="24"/>
          <w:highlight w:val="none"/>
        </w:rPr>
        <w:t>招标项目评分表</w:t>
      </w:r>
    </w:p>
    <w:tbl>
      <w:tblPr>
        <w:tblStyle w:val="18"/>
        <w:tblW w:w="861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0"/>
        <w:gridCol w:w="1117"/>
        <w:gridCol w:w="5717"/>
        <w:gridCol w:w="500"/>
        <w:gridCol w:w="7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8611" w:type="dxa"/>
            <w:gridSpan w:val="5"/>
            <w:shd w:val="clear" w:color="auto" w:fill="D9D9D9"/>
            <w:vAlign w:val="center"/>
          </w:tcPr>
          <w:p>
            <w:pPr>
              <w:autoSpaceDE w:val="0"/>
              <w:autoSpaceDN w:val="0"/>
              <w:adjustRightInd w:val="0"/>
              <w:spacing w:line="360" w:lineRule="auto"/>
              <w:jc w:val="center"/>
              <w:rPr>
                <w:rFonts w:ascii="宋体" w:hAnsi="宋体" w:cs="宋体"/>
                <w:b/>
                <w:color w:val="auto"/>
                <w:sz w:val="24"/>
                <w:highlight w:val="none"/>
                <w:lang w:val="zh-CN"/>
              </w:rPr>
            </w:pPr>
            <w:bookmarkStart w:id="41" w:name="OLE_LINK24"/>
            <w:r>
              <w:rPr>
                <w:rFonts w:hint="eastAsia" w:ascii="宋体" w:hAnsi="宋体" w:cs="宋体"/>
                <w:b/>
                <w:color w:val="auto"/>
                <w:sz w:val="24"/>
                <w:highlight w:val="none"/>
                <w:lang w:val="zh-CN"/>
              </w:rPr>
              <w:t>一、价格部分（</w:t>
            </w:r>
            <w:r>
              <w:rPr>
                <w:rFonts w:hint="eastAsia" w:ascii="宋体" w:hAnsi="宋体" w:cs="宋体"/>
                <w:b/>
                <w:color w:val="auto"/>
                <w:sz w:val="24"/>
                <w:highlight w:val="none"/>
              </w:rPr>
              <w:t>10</w:t>
            </w:r>
            <w:r>
              <w:rPr>
                <w:rFonts w:hint="eastAsia" w:ascii="宋体" w:hAnsi="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60"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序号</w:t>
            </w:r>
          </w:p>
        </w:tc>
        <w:tc>
          <w:tcPr>
            <w:tcW w:w="1117"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内容</w:t>
            </w:r>
          </w:p>
        </w:tc>
        <w:tc>
          <w:tcPr>
            <w:tcW w:w="5717"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评分规则</w:t>
            </w:r>
          </w:p>
        </w:tc>
        <w:tc>
          <w:tcPr>
            <w:tcW w:w="500" w:type="dxa"/>
            <w:vAlign w:val="center"/>
          </w:tcPr>
          <w:p>
            <w:pPr>
              <w:autoSpaceDE w:val="0"/>
              <w:autoSpaceDN w:val="0"/>
              <w:adjustRightIn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rPr>
              <w:t>权重</w:t>
            </w:r>
          </w:p>
        </w:tc>
        <w:tc>
          <w:tcPr>
            <w:tcW w:w="717"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60" w:type="dxa"/>
            <w:vAlign w:val="center"/>
          </w:tcPr>
          <w:p>
            <w:pPr>
              <w:autoSpaceDE w:val="0"/>
              <w:autoSpaceDN w:val="0"/>
              <w:adjustRightIn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1</w:t>
            </w:r>
          </w:p>
        </w:tc>
        <w:tc>
          <w:tcPr>
            <w:tcW w:w="1117" w:type="dxa"/>
            <w:vAlign w:val="center"/>
          </w:tcPr>
          <w:p>
            <w:pPr>
              <w:autoSpaceDE w:val="0"/>
              <w:autoSpaceDN w:val="0"/>
              <w:adjustRightInd w:val="0"/>
              <w:spacing w:line="360" w:lineRule="auto"/>
              <w:jc w:val="center"/>
              <w:rPr>
                <w:rFonts w:ascii="宋体" w:hAnsi="宋体" w:cs="宋体"/>
                <w:color w:val="auto"/>
                <w:sz w:val="24"/>
                <w:highlight w:val="none"/>
                <w:lang w:val="zh-CN"/>
              </w:rPr>
            </w:pPr>
            <w:r>
              <w:rPr>
                <w:rFonts w:hint="eastAsia" w:ascii="宋体" w:hAnsi="宋体" w:cs="宋体"/>
                <w:b/>
                <w:color w:val="auto"/>
                <w:sz w:val="24"/>
                <w:highlight w:val="none"/>
              </w:rPr>
              <w:t>投标报价</w:t>
            </w:r>
          </w:p>
        </w:tc>
        <w:tc>
          <w:tcPr>
            <w:tcW w:w="5717" w:type="dxa"/>
            <w:vAlign w:val="center"/>
          </w:tcPr>
          <w:p>
            <w:pPr>
              <w:pStyle w:val="6"/>
              <w:spacing w:line="360" w:lineRule="auto"/>
              <w:rPr>
                <w:rFonts w:ascii="宋体" w:hAnsi="宋体" w:cs="宋体"/>
                <w:color w:val="auto"/>
                <w:sz w:val="24"/>
                <w:highlight w:val="none"/>
              </w:rPr>
            </w:pPr>
            <w:r>
              <w:rPr>
                <w:rFonts w:hint="eastAsia" w:ascii="宋体" w:hAnsi="宋体" w:cs="宋体"/>
                <w:color w:val="auto"/>
                <w:sz w:val="24"/>
                <w:highlight w:val="none"/>
              </w:rPr>
              <w:t>采用低价优先法计算，即满足招标文件要求且投标价格最低的投标报价为评标基准价，其价格分为满分。其他投标人的价格分统一按照下列公式计算：</w:t>
            </w:r>
          </w:p>
          <w:p>
            <w:pPr>
              <w:pStyle w:val="6"/>
              <w:spacing w:line="360" w:lineRule="auto"/>
              <w:rPr>
                <w:rFonts w:ascii="宋体" w:hAnsi="宋体" w:cs="宋体"/>
                <w:color w:val="auto"/>
                <w:sz w:val="24"/>
                <w:highlight w:val="none"/>
              </w:rPr>
            </w:pPr>
            <w:r>
              <w:rPr>
                <w:rFonts w:hint="eastAsia" w:ascii="宋体" w:hAnsi="宋体" w:cs="宋体"/>
                <w:b/>
                <w:bCs/>
                <w:color w:val="auto"/>
                <w:sz w:val="24"/>
                <w:highlight w:val="none"/>
              </w:rPr>
              <w:t>投标报价得分=(评标基准价／投标报价)×10</w:t>
            </w:r>
          </w:p>
          <w:p>
            <w:pPr>
              <w:numPr>
                <w:ilvl w:val="0"/>
                <w:numId w:val="5"/>
              </w:numPr>
              <w:spacing w:line="360" w:lineRule="auto"/>
              <w:ind w:left="250" w:hanging="249" w:hangingChars="104"/>
              <w:jc w:val="left"/>
              <w:rPr>
                <w:rFonts w:ascii="宋体" w:hAnsi="宋体" w:cs="宋体"/>
                <w:bCs/>
                <w:color w:val="auto"/>
                <w:sz w:val="24"/>
                <w:highlight w:val="none"/>
              </w:rPr>
            </w:pPr>
            <w:r>
              <w:rPr>
                <w:rFonts w:hint="eastAsia" w:ascii="宋体" w:hAnsi="宋体" w:cs="宋体"/>
                <w:bCs/>
                <w:color w:val="auto"/>
                <w:sz w:val="24"/>
                <w:highlight w:val="none"/>
              </w:rPr>
              <w:t>价格评分仅限于有效投标人，</w:t>
            </w:r>
            <w:r>
              <w:rPr>
                <w:rFonts w:hint="eastAsia" w:ascii="宋体" w:hAnsi="宋体" w:cs="宋体"/>
                <w:color w:val="auto"/>
                <w:sz w:val="24"/>
                <w:highlight w:val="none"/>
              </w:rPr>
              <w:t>当价格分&lt;0时，取0。</w:t>
            </w:r>
          </w:p>
          <w:p>
            <w:pPr>
              <w:numPr>
                <w:ilvl w:val="0"/>
                <w:numId w:val="5"/>
              </w:numPr>
              <w:spacing w:line="360" w:lineRule="auto"/>
              <w:ind w:left="0" w:hanging="9"/>
              <w:jc w:val="left"/>
              <w:rPr>
                <w:rFonts w:ascii="宋体" w:hAnsi="宋体" w:cs="宋体"/>
                <w:b/>
                <w:color w:val="auto"/>
                <w:sz w:val="24"/>
                <w:highlight w:val="none"/>
              </w:rPr>
            </w:pPr>
            <w:r>
              <w:rPr>
                <w:rFonts w:hint="eastAsia" w:ascii="宋体" w:hAnsi="宋体" w:cs="宋体"/>
                <w:bCs/>
                <w:color w:val="auto"/>
                <w:sz w:val="24"/>
                <w:highlight w:val="none"/>
              </w:rPr>
              <w:t>根据财库〔2020〕46号、财库〔2014〕68号及财库〔2017〕141号及（深财购〔2022〕31号）文件规定：</w:t>
            </w:r>
            <w:r>
              <w:rPr>
                <w:rFonts w:hint="eastAsia" w:ascii="宋体" w:hAnsi="宋体" w:cs="宋体"/>
                <w:b/>
                <w:color w:val="auto"/>
                <w:sz w:val="24"/>
                <w:highlight w:val="none"/>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ascii="宋体" w:hAnsi="宋体" w:cs="宋体"/>
                <w:color w:val="auto"/>
                <w:sz w:val="24"/>
                <w:highlight w:val="none"/>
              </w:rPr>
            </w:pPr>
            <w:r>
              <w:rPr>
                <w:rFonts w:hint="eastAsia" w:ascii="宋体" w:hAnsi="宋体" w:cs="宋体"/>
                <w:bCs/>
                <w:color w:val="auto"/>
                <w:sz w:val="24"/>
                <w:highlight w:val="none"/>
              </w:rPr>
              <w:t>监狱企业应当提供由省级以上监狱管理局、戒毒管理局（含新疆生产建设兵团）出具的属于监狱企业的证明文件，中小企业提供中小企业声明函，残疾人福利性企业提供残疾人福利性企业声明函。</w:t>
            </w:r>
          </w:p>
        </w:tc>
        <w:tc>
          <w:tcPr>
            <w:tcW w:w="500"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717" w:type="dxa"/>
            <w:vAlign w:val="center"/>
          </w:tcPr>
          <w:p>
            <w:pPr>
              <w:autoSpaceDE w:val="0"/>
              <w:autoSpaceDN w:val="0"/>
              <w:adjustRightIn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8611" w:type="dxa"/>
            <w:gridSpan w:val="5"/>
            <w:shd w:val="clear" w:color="auto" w:fill="D9D9D9"/>
            <w:vAlign w:val="center"/>
          </w:tcPr>
          <w:p>
            <w:pPr>
              <w:autoSpaceDE w:val="0"/>
              <w:autoSpaceDN w:val="0"/>
              <w:adjustRightInd w:val="0"/>
              <w:spacing w:line="360" w:lineRule="auto"/>
              <w:jc w:val="center"/>
              <w:rPr>
                <w:rFonts w:ascii="宋体" w:hAnsi="宋体" w:cs="宋体"/>
                <w:b/>
                <w:color w:val="auto"/>
                <w:sz w:val="24"/>
                <w:highlight w:val="none"/>
                <w:lang w:val="zh-CN"/>
              </w:rPr>
            </w:pPr>
            <w:r>
              <w:rPr>
                <w:rFonts w:hint="eastAsia" w:ascii="宋体" w:hAnsi="宋体" w:cs="宋体"/>
                <w:b/>
                <w:color w:val="auto"/>
                <w:sz w:val="24"/>
                <w:highlight w:val="none"/>
                <w:lang w:val="zh-CN"/>
              </w:rPr>
              <w:t>二、商务部分（</w:t>
            </w:r>
            <w:r>
              <w:rPr>
                <w:rFonts w:hint="eastAsia" w:ascii="宋体" w:hAnsi="宋体" w:cs="宋体"/>
                <w:b/>
                <w:bCs/>
                <w:color w:val="auto"/>
                <w:kern w:val="0"/>
                <w:sz w:val="24"/>
                <w:highlight w:val="none"/>
                <w:lang w:bidi="ar"/>
              </w:rPr>
              <w:t>45</w:t>
            </w:r>
            <w:r>
              <w:rPr>
                <w:rFonts w:hint="eastAsia" w:ascii="宋体" w:hAnsi="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60"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序号</w:t>
            </w:r>
          </w:p>
        </w:tc>
        <w:tc>
          <w:tcPr>
            <w:tcW w:w="1117"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内容</w:t>
            </w:r>
          </w:p>
        </w:tc>
        <w:tc>
          <w:tcPr>
            <w:tcW w:w="5717"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评分规则</w:t>
            </w:r>
          </w:p>
        </w:tc>
        <w:tc>
          <w:tcPr>
            <w:tcW w:w="500" w:type="dxa"/>
            <w:vAlign w:val="center"/>
          </w:tcPr>
          <w:p>
            <w:pPr>
              <w:autoSpaceDE w:val="0"/>
              <w:autoSpaceDN w:val="0"/>
              <w:adjustRightIn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rPr>
              <w:t>权重</w:t>
            </w:r>
          </w:p>
        </w:tc>
        <w:tc>
          <w:tcPr>
            <w:tcW w:w="717"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3" w:hRule="atLeast"/>
        </w:trPr>
        <w:tc>
          <w:tcPr>
            <w:tcW w:w="560" w:type="dxa"/>
            <w:vAlign w:val="center"/>
          </w:tcPr>
          <w:p>
            <w:pPr>
              <w:autoSpaceDE w:val="0"/>
              <w:autoSpaceDN w:val="0"/>
              <w:adjustRightInd w:val="0"/>
              <w:spacing w:line="360" w:lineRule="auto"/>
              <w:jc w:val="center"/>
              <w:rPr>
                <w:rFonts w:ascii="宋体" w:hAnsi="宋体" w:cs="宋体"/>
                <w:color w:val="auto"/>
                <w:sz w:val="24"/>
                <w:highlight w:val="none"/>
              </w:rPr>
            </w:pPr>
            <w:bookmarkStart w:id="42" w:name="OLE_LINK28" w:colFirst="1" w:colLast="1"/>
            <w:r>
              <w:rPr>
                <w:rFonts w:hint="eastAsia" w:ascii="宋体" w:hAnsi="宋体" w:cs="宋体"/>
                <w:color w:val="auto"/>
                <w:sz w:val="24"/>
                <w:highlight w:val="none"/>
              </w:rPr>
              <w:t>1</w:t>
            </w:r>
          </w:p>
        </w:tc>
        <w:tc>
          <w:tcPr>
            <w:tcW w:w="1117"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相关项目经验</w:t>
            </w:r>
          </w:p>
        </w:tc>
        <w:tc>
          <w:tcPr>
            <w:tcW w:w="5717" w:type="dxa"/>
            <w:vAlign w:val="center"/>
          </w:tcPr>
          <w:p>
            <w:pPr>
              <w:autoSpaceDE w:val="0"/>
              <w:autoSpaceDN w:val="0"/>
              <w:adjustRightIn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（一）评审标准：</w:t>
            </w:r>
          </w:p>
          <w:p>
            <w:pPr>
              <w:autoSpaceDE w:val="0"/>
              <w:autoSpaceDN w:val="0"/>
              <w:adjustRightIn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rPr>
              <w:t>自</w:t>
            </w:r>
            <w:r>
              <w:rPr>
                <w:rFonts w:hint="eastAsia" w:ascii="宋体" w:hAnsi="宋体" w:cs="宋体"/>
                <w:color w:val="auto"/>
                <w:kern w:val="0"/>
                <w:sz w:val="24"/>
                <w:highlight w:val="none"/>
                <w:lang w:val="zh-CN"/>
              </w:rPr>
              <w:t>20</w:t>
            </w:r>
            <w:r>
              <w:rPr>
                <w:rFonts w:hint="eastAsia" w:ascii="宋体" w:hAnsi="宋体" w:cs="宋体"/>
                <w:color w:val="auto"/>
                <w:kern w:val="0"/>
                <w:sz w:val="24"/>
                <w:highlight w:val="none"/>
              </w:rPr>
              <w:t>21</w:t>
            </w:r>
            <w:r>
              <w:rPr>
                <w:rFonts w:hint="eastAsia" w:ascii="宋体" w:hAnsi="宋体" w:cs="宋体"/>
                <w:color w:val="auto"/>
                <w:kern w:val="0"/>
                <w:sz w:val="24"/>
                <w:highlight w:val="none"/>
                <w:lang w:val="zh-CN"/>
              </w:rPr>
              <w:t>年1月1日至</w:t>
            </w:r>
            <w:r>
              <w:rPr>
                <w:rFonts w:hint="eastAsia" w:ascii="宋体" w:hAnsi="宋体" w:cs="宋体"/>
                <w:color w:val="auto"/>
                <w:kern w:val="0"/>
                <w:sz w:val="24"/>
                <w:highlight w:val="none"/>
              </w:rPr>
              <w:t>投标截止</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以合同签订日期为准</w:t>
            </w:r>
            <w:r>
              <w:rPr>
                <w:rFonts w:hint="eastAsia" w:ascii="宋体" w:hAnsi="宋体" w:cs="宋体"/>
                <w:color w:val="auto"/>
                <w:kern w:val="0"/>
                <w:sz w:val="24"/>
                <w:highlight w:val="none"/>
                <w:lang w:val="zh-CN"/>
              </w:rPr>
              <w:t>），投标人具</w:t>
            </w:r>
            <w:r>
              <w:rPr>
                <w:rFonts w:hint="eastAsia" w:ascii="宋体" w:hAnsi="宋体" w:cs="宋体"/>
                <w:color w:val="auto"/>
                <w:kern w:val="0"/>
                <w:sz w:val="24"/>
                <w:highlight w:val="none"/>
              </w:rPr>
              <w:t>有与翻译相关的项目经验的</w:t>
            </w:r>
            <w:r>
              <w:rPr>
                <w:rFonts w:hint="eastAsia" w:ascii="宋体" w:hAnsi="宋体" w:cs="宋体"/>
                <w:color w:val="auto"/>
                <w:kern w:val="0"/>
                <w:sz w:val="24"/>
                <w:highlight w:val="none"/>
                <w:lang w:val="zh-CN"/>
              </w:rPr>
              <w:t>，每项</w:t>
            </w:r>
            <w:r>
              <w:rPr>
                <w:rFonts w:hint="eastAsia" w:ascii="宋体" w:hAnsi="宋体" w:cs="宋体"/>
                <w:color w:val="auto"/>
                <w:kern w:val="0"/>
                <w:sz w:val="24"/>
                <w:highlight w:val="none"/>
              </w:rPr>
              <w:t>得5</w:t>
            </w:r>
            <w:r>
              <w:rPr>
                <w:rFonts w:hint="eastAsia" w:ascii="宋体" w:hAnsi="宋体" w:cs="宋体"/>
                <w:color w:val="auto"/>
                <w:kern w:val="0"/>
                <w:sz w:val="24"/>
                <w:highlight w:val="none"/>
                <w:lang w:val="zh-CN"/>
              </w:rPr>
              <w:t>分，最高</w:t>
            </w:r>
            <w:r>
              <w:rPr>
                <w:rFonts w:hint="eastAsia" w:ascii="宋体" w:hAnsi="宋体" w:cs="宋体"/>
                <w:color w:val="auto"/>
                <w:kern w:val="0"/>
                <w:sz w:val="24"/>
                <w:highlight w:val="none"/>
              </w:rPr>
              <w:t>15</w:t>
            </w:r>
            <w:r>
              <w:rPr>
                <w:rFonts w:hint="eastAsia" w:ascii="宋体" w:hAnsi="宋体" w:cs="宋体"/>
                <w:color w:val="auto"/>
                <w:kern w:val="0"/>
                <w:sz w:val="24"/>
                <w:highlight w:val="none"/>
                <w:lang w:val="zh-CN"/>
              </w:rPr>
              <w:t>分。</w:t>
            </w:r>
          </w:p>
          <w:p>
            <w:pPr>
              <w:autoSpaceDE w:val="0"/>
              <w:autoSpaceDN w:val="0"/>
              <w:adjustRightInd w:val="0"/>
              <w:spacing w:line="360" w:lineRule="auto"/>
              <w:jc w:val="left"/>
              <w:rPr>
                <w:rFonts w:ascii="宋体" w:hAnsi="宋体" w:cs="宋体"/>
                <w:color w:val="auto"/>
                <w:sz w:val="24"/>
                <w:highlight w:val="none"/>
                <w:lang w:val="zh-CN"/>
              </w:rPr>
            </w:pPr>
            <w:r>
              <w:rPr>
                <w:rFonts w:hint="eastAsia" w:ascii="宋体" w:hAnsi="宋体" w:cs="宋体"/>
                <w:color w:val="auto"/>
                <w:sz w:val="24"/>
                <w:highlight w:val="none"/>
                <w:lang w:val="zh-CN"/>
              </w:rPr>
              <w:t>（二）证明文件：</w:t>
            </w:r>
          </w:p>
          <w:p>
            <w:pPr>
              <w:autoSpaceDE w:val="0"/>
              <w:autoSpaceDN w:val="0"/>
              <w:adjustRightInd w:val="0"/>
              <w:spacing w:line="360" w:lineRule="auto"/>
              <w:jc w:val="left"/>
              <w:rPr>
                <w:rFonts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须提供业绩合同关键页（包括但不限于合同封面、合作内容、</w:t>
            </w:r>
            <w:r>
              <w:rPr>
                <w:rFonts w:hint="eastAsia" w:ascii="宋体" w:hAnsi="宋体" w:cs="宋体"/>
                <w:color w:val="auto"/>
                <w:sz w:val="24"/>
                <w:highlight w:val="none"/>
              </w:rPr>
              <w:t>合同签订日期页及</w:t>
            </w:r>
            <w:r>
              <w:rPr>
                <w:rFonts w:hint="eastAsia" w:ascii="宋体" w:hAnsi="宋体" w:cs="宋体"/>
                <w:color w:val="auto"/>
                <w:sz w:val="24"/>
                <w:highlight w:val="none"/>
                <w:lang w:val="zh-CN"/>
              </w:rPr>
              <w:t>双方</w:t>
            </w:r>
            <w:r>
              <w:rPr>
                <w:rFonts w:hint="eastAsia" w:ascii="宋体" w:hAnsi="宋体" w:cs="宋体"/>
                <w:color w:val="auto"/>
                <w:sz w:val="24"/>
                <w:highlight w:val="none"/>
              </w:rPr>
              <w:t>签字</w:t>
            </w:r>
            <w:r>
              <w:rPr>
                <w:rFonts w:hint="eastAsia" w:ascii="宋体" w:hAnsi="宋体" w:cs="宋体"/>
                <w:color w:val="auto"/>
                <w:sz w:val="24"/>
                <w:highlight w:val="none"/>
                <w:lang w:val="zh-CN"/>
              </w:rPr>
              <w:t>盖章页等）扫描件</w:t>
            </w:r>
            <w:r>
              <w:rPr>
                <w:rFonts w:hint="eastAsia" w:ascii="宋体" w:hAnsi="宋体" w:cs="宋体"/>
                <w:color w:val="auto"/>
                <w:sz w:val="24"/>
                <w:highlight w:val="none"/>
              </w:rPr>
              <w:t>并</w:t>
            </w:r>
            <w:r>
              <w:rPr>
                <w:rFonts w:hint="eastAsia" w:ascii="宋体" w:hAnsi="宋体" w:cs="宋体"/>
                <w:color w:val="auto"/>
                <w:sz w:val="24"/>
                <w:highlight w:val="none"/>
                <w:lang w:val="zh-CN"/>
              </w:rPr>
              <w:t>加盖投标人公章，原件备查。</w:t>
            </w:r>
          </w:p>
          <w:p>
            <w:pPr>
              <w:autoSpaceDE w:val="0"/>
              <w:autoSpaceDN w:val="0"/>
              <w:adjustRightIn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投标人提供虚假材料的，将做无效投标处理，涉嫌存在违法违规行为的，依法报主管部门处理处罚。</w:t>
            </w:r>
          </w:p>
        </w:tc>
        <w:tc>
          <w:tcPr>
            <w:tcW w:w="500"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15</w:t>
            </w:r>
          </w:p>
        </w:tc>
        <w:tc>
          <w:tcPr>
            <w:tcW w:w="717" w:type="dxa"/>
            <w:vAlign w:val="center"/>
          </w:tcPr>
          <w:p>
            <w:pPr>
              <w:autoSpaceDE w:val="0"/>
              <w:autoSpaceDN w:val="0"/>
              <w:adjustRightIn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60"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117"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拟安排项目</w:t>
            </w:r>
            <w:r>
              <w:rPr>
                <w:rFonts w:hint="eastAsia" w:ascii="宋体" w:hAnsi="宋体" w:cs="宋体"/>
                <w:color w:val="auto"/>
                <w:sz w:val="24"/>
                <w:highlight w:val="none"/>
              </w:rPr>
              <w:t>负责人</w:t>
            </w:r>
            <w:r>
              <w:rPr>
                <w:rFonts w:hint="eastAsia" w:ascii="宋体" w:hAnsi="宋体" w:cs="宋体"/>
                <w:color w:val="auto"/>
                <w:sz w:val="24"/>
                <w:highlight w:val="none"/>
                <w:lang w:val="zh-CN"/>
              </w:rPr>
              <w:t>（</w:t>
            </w:r>
            <w:r>
              <w:rPr>
                <w:rFonts w:hint="eastAsia" w:ascii="宋体" w:hAnsi="宋体" w:cs="宋体"/>
                <w:color w:val="auto"/>
                <w:sz w:val="24"/>
                <w:highlight w:val="none"/>
              </w:rPr>
              <w:t>仅一人</w:t>
            </w:r>
            <w:r>
              <w:rPr>
                <w:rFonts w:hint="eastAsia" w:ascii="宋体" w:hAnsi="宋体" w:cs="宋体"/>
                <w:color w:val="auto"/>
                <w:sz w:val="24"/>
                <w:highlight w:val="none"/>
                <w:lang w:val="zh-CN"/>
              </w:rPr>
              <w:t>）情况</w:t>
            </w:r>
          </w:p>
        </w:tc>
        <w:tc>
          <w:tcPr>
            <w:tcW w:w="5717" w:type="dxa"/>
            <w:vAlign w:val="center"/>
          </w:tcPr>
          <w:p>
            <w:pPr>
              <w:autoSpaceDE w:val="0"/>
              <w:autoSpaceDN w:val="0"/>
              <w:adjustRightIn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（一）评分内容：</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1.项目负责人具有全国翻译专业资格（水平）考试笔译或口译资质。满足条件得5分，其他不得分。</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2.项目负责人为投标人在职员工，且具有十年或以上的从业经验。满足条件得5分，其他不得分。</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3.项目负责人在最近一年（自2024年1月1日至今）服务过的国际线下会议，按场次计算，每场得0.5分，满分5分。</w:t>
            </w:r>
          </w:p>
          <w:p>
            <w:pPr>
              <w:spacing w:line="360" w:lineRule="auto"/>
              <w:jc w:val="left"/>
              <w:rPr>
                <w:rFonts w:ascii="宋体" w:hAnsi="宋体" w:cs="宋体"/>
                <w:color w:val="auto"/>
                <w:sz w:val="24"/>
                <w:highlight w:val="none"/>
                <w:lang w:val="zh-CN"/>
              </w:rPr>
            </w:pPr>
            <w:r>
              <w:rPr>
                <w:rFonts w:hint="eastAsia" w:ascii="宋体" w:hAnsi="宋体" w:cs="宋体"/>
                <w:color w:val="auto"/>
                <w:sz w:val="24"/>
                <w:highlight w:val="none"/>
                <w:lang w:val="zh-CN"/>
              </w:rPr>
              <w:t>（二）评分依据：</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zh-CN"/>
              </w:rPr>
              <w:t>1.提供能证明具有</w:t>
            </w:r>
            <w:r>
              <w:rPr>
                <w:rFonts w:hint="eastAsia" w:ascii="宋体" w:hAnsi="宋体" w:cs="宋体"/>
                <w:color w:val="auto"/>
                <w:sz w:val="24"/>
                <w:highlight w:val="none"/>
              </w:rPr>
              <w:t>笔译或口译资质的相关证书（人社部门颁发的考试资格证书或外语口译类证书或国内外院校高级翻译学院的毕业证书），需体现人员名称。涉及学历的，提供毕业证书扫描件及学信网查询记录截图（如较早颁发的毕业证书，学信网无法查询的，可提供毕业院校或教育或人社部门等颁发机构或监管机构等出具的证明，如海外留学（含港澳台人）学历无法通过学信网站查询的，应当提供教育部留学服务中心出具的国外学历认证证书以及教育部留学服务中心官网查询截图。若证明文件为其它语言，必须附中文译文，以中文译文为准）；</w:t>
            </w:r>
          </w:p>
          <w:p>
            <w:pPr>
              <w:spacing w:line="360" w:lineRule="auto"/>
              <w:jc w:val="left"/>
              <w:rPr>
                <w:rFonts w:ascii="宋体" w:hAnsi="宋体" w:cs="宋体"/>
                <w:color w:val="auto"/>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拟安排的项目负责人须为投标人在职员工，提供通过投标人缴纳的近三个月内任意一个月社保证明并加盖投标人公章（若供应商成立不足一个月的，需提供成立情况说明函（格式自拟），无需提供相关人员社保，亦可得分；若为退休返聘人员，提供退休证明和返聘协议，亦可得分），且</w:t>
            </w:r>
            <w:r>
              <w:rPr>
                <w:rFonts w:hint="eastAsia" w:ascii="宋体" w:hAnsi="宋体" w:cs="宋体"/>
                <w:color w:val="auto"/>
                <w:sz w:val="24"/>
                <w:highlight w:val="none"/>
              </w:rPr>
              <w:t>须同时</w:t>
            </w:r>
            <w:r>
              <w:rPr>
                <w:rFonts w:hint="eastAsia" w:ascii="宋体" w:hAnsi="宋体" w:cs="宋体"/>
                <w:color w:val="auto"/>
                <w:sz w:val="24"/>
                <w:highlight w:val="none"/>
                <w:lang w:val="zh-CN"/>
              </w:rPr>
              <w:t>提供毕业证书、入职证明等相关证明材料，</w:t>
            </w:r>
            <w:r>
              <w:rPr>
                <w:rFonts w:hint="eastAsia" w:ascii="宋体" w:hAnsi="宋体" w:cs="宋体"/>
                <w:color w:val="auto"/>
                <w:sz w:val="24"/>
                <w:highlight w:val="none"/>
              </w:rPr>
              <w:t>须</w:t>
            </w:r>
            <w:r>
              <w:rPr>
                <w:rFonts w:hint="eastAsia" w:ascii="宋体" w:hAnsi="宋体" w:cs="宋体"/>
                <w:color w:val="auto"/>
                <w:sz w:val="24"/>
                <w:highlight w:val="none"/>
                <w:lang w:val="zh-CN"/>
              </w:rPr>
              <w:t>体现人员名称和时间等。</w:t>
            </w:r>
            <w:r>
              <w:rPr>
                <w:rFonts w:hint="eastAsia" w:ascii="宋体" w:hAnsi="宋体" w:cs="宋体"/>
                <w:color w:val="auto"/>
                <w:sz w:val="24"/>
                <w:highlight w:val="none"/>
              </w:rPr>
              <w:t>项目负责人从业经验以其在国内外正规高等院校翻译专业毕业年份至投标截止时间为得分依据。</w:t>
            </w:r>
          </w:p>
          <w:p>
            <w:pPr>
              <w:autoSpaceDE w:val="0"/>
              <w:autoSpaceDN w:val="0"/>
              <w:adjustRightIn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zh-CN"/>
              </w:rPr>
              <w:t>项目负责人的项目经验须提供服务项目合同关键信息（包括但不限于合同封面、合作内容、双方盖章页等，</w:t>
            </w:r>
            <w:r>
              <w:rPr>
                <w:rFonts w:hint="eastAsia" w:ascii="宋体" w:hAnsi="宋体" w:cs="宋体"/>
                <w:color w:val="auto"/>
                <w:sz w:val="24"/>
                <w:highlight w:val="none"/>
              </w:rPr>
              <w:t>需体现人员名称</w:t>
            </w:r>
            <w:r>
              <w:rPr>
                <w:rFonts w:hint="eastAsia" w:ascii="宋体" w:hAnsi="宋体" w:cs="宋体"/>
                <w:color w:val="auto"/>
                <w:sz w:val="24"/>
                <w:highlight w:val="none"/>
                <w:lang w:val="zh-CN"/>
              </w:rPr>
              <w:t>）作为得分依据，通过合同关键信息无法判断是否得分的，还须同时提供合同甲方出具的证明文件等。</w:t>
            </w:r>
          </w:p>
          <w:p>
            <w:pPr>
              <w:autoSpaceDE w:val="0"/>
              <w:autoSpaceDN w:val="0"/>
              <w:adjustRightIn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.以上资料均要求提供复印件加盖投标人公章，</w:t>
            </w:r>
            <w:r>
              <w:rPr>
                <w:rFonts w:hint="eastAsia" w:ascii="宋体" w:hAnsi="宋体" w:cs="宋体"/>
                <w:color w:val="auto"/>
                <w:sz w:val="24"/>
                <w:highlight w:val="none"/>
              </w:rPr>
              <w:t>原件备查，</w:t>
            </w:r>
            <w:r>
              <w:rPr>
                <w:rFonts w:hint="eastAsia" w:ascii="宋体" w:hAnsi="宋体" w:cs="宋体"/>
                <w:color w:val="auto"/>
                <w:sz w:val="24"/>
                <w:highlight w:val="none"/>
                <w:lang w:val="zh-CN"/>
              </w:rPr>
              <w:t>评分中出现无证明资料或专家无法凭所提供资料判断是否得分的情况，一律作不得分处理。</w:t>
            </w:r>
          </w:p>
        </w:tc>
        <w:tc>
          <w:tcPr>
            <w:tcW w:w="500"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15</w:t>
            </w:r>
          </w:p>
        </w:tc>
        <w:tc>
          <w:tcPr>
            <w:tcW w:w="717" w:type="dxa"/>
            <w:vAlign w:val="center"/>
          </w:tcPr>
          <w:p>
            <w:pPr>
              <w:autoSpaceDE w:val="0"/>
              <w:autoSpaceDN w:val="0"/>
              <w:adjustRightIn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60"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117"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团队成员（项目负责人除外）</w:t>
            </w:r>
          </w:p>
        </w:tc>
        <w:tc>
          <w:tcPr>
            <w:tcW w:w="5717" w:type="dxa"/>
            <w:vAlign w:val="center"/>
          </w:tcPr>
          <w:p>
            <w:pPr>
              <w:numPr>
                <w:ilvl w:val="0"/>
                <w:numId w:val="6"/>
              </w:numPr>
              <w:autoSpaceDE w:val="0"/>
              <w:autoSpaceDN w:val="0"/>
              <w:adjustRightIn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评分内容：</w:t>
            </w:r>
          </w:p>
          <w:p>
            <w:pPr>
              <w:pStyle w:val="7"/>
              <w:spacing w:line="360" w:lineRule="auto"/>
              <w:rPr>
                <w:rFonts w:ascii="宋体" w:hAnsi="宋体" w:cs="宋体"/>
                <w:color w:val="auto"/>
                <w:highlight w:val="none"/>
              </w:rPr>
            </w:pPr>
            <w:r>
              <w:rPr>
                <w:rFonts w:hint="eastAsia" w:ascii="宋体" w:hAnsi="宋体" w:cs="宋体"/>
                <w:color w:val="auto"/>
                <w:highlight w:val="none"/>
                <w:lang w:val="zh-CN"/>
              </w:rPr>
              <w:t xml:space="preserve">1. </w:t>
            </w:r>
            <w:r>
              <w:rPr>
                <w:rFonts w:hint="eastAsia" w:ascii="宋体" w:hAnsi="宋体" w:cs="宋体"/>
                <w:b/>
                <w:bCs/>
                <w:color w:val="auto"/>
                <w:highlight w:val="none"/>
                <w:lang w:val="zh-CN"/>
              </w:rPr>
              <w:t>项目管理执行成员</w:t>
            </w:r>
            <w:r>
              <w:rPr>
                <w:rFonts w:hint="eastAsia" w:ascii="宋体" w:hAnsi="宋体" w:cs="宋体"/>
                <w:color w:val="auto"/>
                <w:highlight w:val="none"/>
                <w:lang w:val="zh-CN"/>
              </w:rPr>
              <w:t>（职责为项目管理执行，</w:t>
            </w:r>
            <w:r>
              <w:rPr>
                <w:rFonts w:hint="eastAsia" w:ascii="宋体" w:hAnsi="宋体" w:cs="宋体"/>
                <w:color w:val="auto"/>
                <w:highlight w:val="none"/>
              </w:rPr>
              <w:t>须</w:t>
            </w:r>
            <w:r>
              <w:rPr>
                <w:rFonts w:hint="eastAsia" w:ascii="宋体" w:hAnsi="宋体" w:cs="宋体"/>
                <w:color w:val="auto"/>
                <w:highlight w:val="none"/>
                <w:lang w:val="zh-CN"/>
              </w:rPr>
              <w:t>至少1名）以及</w:t>
            </w:r>
            <w:r>
              <w:rPr>
                <w:rFonts w:hint="eastAsia" w:ascii="宋体" w:hAnsi="宋体" w:cs="宋体"/>
                <w:b/>
                <w:bCs/>
                <w:color w:val="auto"/>
                <w:highlight w:val="none"/>
                <w:lang w:val="zh-CN"/>
              </w:rPr>
              <w:t>翻译设备技术人员</w:t>
            </w:r>
            <w:r>
              <w:rPr>
                <w:rFonts w:hint="eastAsia" w:ascii="宋体" w:hAnsi="宋体" w:cs="宋体"/>
                <w:color w:val="auto"/>
                <w:highlight w:val="none"/>
                <w:lang w:val="zh-CN"/>
              </w:rPr>
              <w:t>（职责为翻译音频及设备技术保障，</w:t>
            </w:r>
            <w:r>
              <w:rPr>
                <w:rFonts w:hint="eastAsia" w:ascii="宋体" w:hAnsi="宋体" w:cs="宋体"/>
                <w:color w:val="auto"/>
                <w:highlight w:val="none"/>
              </w:rPr>
              <w:t>须</w:t>
            </w:r>
            <w:r>
              <w:rPr>
                <w:rFonts w:hint="eastAsia" w:ascii="宋体" w:hAnsi="宋体" w:cs="宋体"/>
                <w:color w:val="auto"/>
                <w:highlight w:val="none"/>
                <w:lang w:val="zh-CN"/>
              </w:rPr>
              <w:t>至少1名）须为投标人在职员工，</w:t>
            </w:r>
            <w:r>
              <w:rPr>
                <w:rFonts w:hint="eastAsia" w:ascii="宋体" w:hAnsi="宋体" w:cs="宋体"/>
                <w:color w:val="auto"/>
                <w:highlight w:val="none"/>
              </w:rPr>
              <w:t>否则本项不得分。在此基础上，团队成员（包含以上2名成员）每提供1人得1分，满分4分。其它不得分。</w:t>
            </w:r>
          </w:p>
          <w:p>
            <w:pPr>
              <w:spacing w:line="360" w:lineRule="auto"/>
              <w:jc w:val="left"/>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b/>
                <w:bCs/>
                <w:color w:val="auto"/>
                <w:sz w:val="24"/>
                <w:highlight w:val="none"/>
              </w:rPr>
              <w:t>译员</w:t>
            </w:r>
            <w:r>
              <w:rPr>
                <w:rFonts w:hint="eastAsia" w:ascii="宋体" w:hAnsi="宋体" w:cs="宋体"/>
                <w:color w:val="auto"/>
                <w:sz w:val="24"/>
                <w:highlight w:val="none"/>
              </w:rPr>
              <w:t>具有全国翻译专业资格（水平）考试笔译或口译资质，并具备外国语言文学类学科或相关学科研究生或以上学历。</w:t>
            </w:r>
            <w:r>
              <w:rPr>
                <w:rFonts w:hint="eastAsia" w:ascii="宋体" w:hAnsi="宋体" w:cs="宋体"/>
                <w:color w:val="auto"/>
                <w:sz w:val="24"/>
                <w:highlight w:val="none"/>
                <w:lang w:val="zh-CN"/>
              </w:rPr>
              <w:t>每提供1</w:t>
            </w:r>
            <w:r>
              <w:rPr>
                <w:rFonts w:hint="eastAsia" w:ascii="宋体" w:hAnsi="宋体" w:cs="宋体"/>
                <w:color w:val="auto"/>
                <w:sz w:val="24"/>
                <w:highlight w:val="none"/>
              </w:rPr>
              <w:t>人</w:t>
            </w:r>
            <w:r>
              <w:rPr>
                <w:rFonts w:hint="eastAsia" w:ascii="宋体" w:hAnsi="宋体" w:cs="宋体"/>
                <w:color w:val="auto"/>
                <w:sz w:val="24"/>
                <w:highlight w:val="none"/>
                <w:lang w:val="zh-CN"/>
              </w:rPr>
              <w:t>得</w:t>
            </w:r>
            <w:r>
              <w:rPr>
                <w:rFonts w:hint="eastAsia" w:ascii="宋体" w:hAnsi="宋体" w:cs="宋体"/>
                <w:color w:val="auto"/>
                <w:sz w:val="24"/>
                <w:highlight w:val="none"/>
              </w:rPr>
              <w:t>3</w:t>
            </w:r>
            <w:r>
              <w:rPr>
                <w:rFonts w:hint="eastAsia" w:ascii="宋体" w:hAnsi="宋体" w:cs="宋体"/>
                <w:color w:val="auto"/>
                <w:sz w:val="24"/>
                <w:highlight w:val="none"/>
                <w:lang w:val="zh-CN"/>
              </w:rPr>
              <w:t>分，满分</w:t>
            </w:r>
            <w:r>
              <w:rPr>
                <w:rFonts w:hint="eastAsia" w:ascii="宋体" w:hAnsi="宋体" w:cs="宋体"/>
                <w:color w:val="auto"/>
                <w:sz w:val="24"/>
                <w:highlight w:val="none"/>
              </w:rPr>
              <w:t>6</w:t>
            </w:r>
            <w:r>
              <w:rPr>
                <w:rFonts w:hint="eastAsia" w:ascii="宋体" w:hAnsi="宋体" w:cs="宋体"/>
                <w:color w:val="auto"/>
                <w:sz w:val="24"/>
                <w:highlight w:val="none"/>
                <w:lang w:val="zh-CN"/>
              </w:rPr>
              <w:t>分。其他不得分。</w:t>
            </w:r>
          </w:p>
          <w:p>
            <w:pPr>
              <w:spacing w:line="360" w:lineRule="auto"/>
              <w:jc w:val="left"/>
              <w:rPr>
                <w:rFonts w:ascii="宋体" w:hAnsi="宋体" w:cs="宋体"/>
                <w:color w:val="auto"/>
                <w:sz w:val="24"/>
                <w:highlight w:val="none"/>
                <w:lang w:val="zh-CN"/>
              </w:rPr>
            </w:pPr>
            <w:r>
              <w:rPr>
                <w:rFonts w:hint="eastAsia" w:ascii="宋体" w:hAnsi="宋体" w:cs="宋体"/>
                <w:color w:val="auto"/>
                <w:sz w:val="24"/>
                <w:highlight w:val="none"/>
                <w:lang w:val="zh-CN"/>
              </w:rPr>
              <w:t>（二）评分依据：</w:t>
            </w:r>
          </w:p>
          <w:p>
            <w:pPr>
              <w:spacing w:line="360" w:lineRule="auto"/>
              <w:jc w:val="left"/>
              <w:rPr>
                <w:rFonts w:ascii="宋体" w:hAnsi="宋体" w:cs="宋体"/>
                <w:color w:val="auto"/>
                <w:sz w:val="24"/>
                <w:highlight w:val="none"/>
                <w:lang w:val="zh-CN"/>
              </w:rPr>
            </w:pPr>
            <w:r>
              <w:rPr>
                <w:rFonts w:hint="eastAsia" w:ascii="宋体" w:hAnsi="宋体" w:cs="宋体"/>
                <w:color w:val="auto"/>
                <w:sz w:val="24"/>
                <w:highlight w:val="none"/>
                <w:lang w:val="zh-CN"/>
              </w:rPr>
              <w:t>1.拟安排的</w:t>
            </w:r>
            <w:bookmarkStart w:id="43" w:name="OLE_LINK5"/>
            <w:r>
              <w:rPr>
                <w:rFonts w:hint="eastAsia" w:ascii="宋体" w:hAnsi="宋体" w:cs="宋体"/>
                <w:b/>
                <w:bCs/>
                <w:color w:val="auto"/>
                <w:sz w:val="24"/>
                <w:highlight w:val="none"/>
                <w:lang w:val="zh-CN"/>
              </w:rPr>
              <w:t>项目管理执行成员</w:t>
            </w:r>
            <w:r>
              <w:rPr>
                <w:rFonts w:hint="eastAsia" w:ascii="宋体" w:hAnsi="宋体" w:cs="宋体"/>
                <w:color w:val="auto"/>
                <w:sz w:val="24"/>
                <w:highlight w:val="none"/>
                <w:lang w:val="zh-CN"/>
              </w:rPr>
              <w:t>以及</w:t>
            </w:r>
            <w:r>
              <w:rPr>
                <w:rFonts w:hint="eastAsia" w:ascii="宋体" w:hAnsi="宋体" w:cs="宋体"/>
                <w:b/>
                <w:bCs/>
                <w:color w:val="auto"/>
                <w:sz w:val="24"/>
                <w:highlight w:val="none"/>
                <w:lang w:val="zh-CN"/>
              </w:rPr>
              <w:t>翻译设备技术人员</w:t>
            </w:r>
            <w:r>
              <w:rPr>
                <w:rFonts w:hint="eastAsia" w:ascii="宋体" w:hAnsi="宋体" w:cs="宋体"/>
                <w:color w:val="auto"/>
                <w:sz w:val="24"/>
                <w:highlight w:val="none"/>
                <w:lang w:val="zh-CN"/>
              </w:rPr>
              <w:t>须为投标人在职员工</w:t>
            </w:r>
            <w:bookmarkEnd w:id="43"/>
            <w:r>
              <w:rPr>
                <w:rFonts w:hint="eastAsia" w:ascii="宋体" w:hAnsi="宋体" w:cs="宋体"/>
                <w:color w:val="auto"/>
                <w:sz w:val="24"/>
                <w:highlight w:val="none"/>
                <w:lang w:val="zh-CN"/>
              </w:rPr>
              <w:t>，提供通过投标人缴纳的近三个月内任意一个月社保证明并加盖投标人公章（若供应商成立不足一个月的，需提供成立情况说明函（格式自拟），无需提供相关人员社保，亦可得分；若为退休返聘人员，提供退休证明和返聘协议，亦可得分），且</w:t>
            </w:r>
            <w:r>
              <w:rPr>
                <w:rFonts w:hint="eastAsia" w:ascii="宋体" w:hAnsi="宋体" w:cs="宋体"/>
                <w:color w:val="auto"/>
                <w:sz w:val="24"/>
                <w:highlight w:val="none"/>
              </w:rPr>
              <w:t>须同时</w:t>
            </w:r>
            <w:r>
              <w:rPr>
                <w:rFonts w:hint="eastAsia" w:ascii="宋体" w:hAnsi="宋体" w:cs="宋体"/>
                <w:color w:val="auto"/>
                <w:sz w:val="24"/>
                <w:highlight w:val="none"/>
                <w:lang w:val="zh-CN"/>
              </w:rPr>
              <w:t>提供入职证明等相关证明材料，</w:t>
            </w:r>
            <w:r>
              <w:rPr>
                <w:rFonts w:hint="eastAsia" w:ascii="宋体" w:hAnsi="宋体" w:cs="宋体"/>
                <w:color w:val="auto"/>
                <w:sz w:val="24"/>
                <w:highlight w:val="none"/>
              </w:rPr>
              <w:t>须</w:t>
            </w:r>
            <w:r>
              <w:rPr>
                <w:rFonts w:hint="eastAsia" w:ascii="宋体" w:hAnsi="宋体" w:cs="宋体"/>
                <w:color w:val="auto"/>
                <w:sz w:val="24"/>
                <w:highlight w:val="none"/>
                <w:lang w:val="zh-CN"/>
              </w:rPr>
              <w:t>体现人员名称和时间等。</w:t>
            </w:r>
          </w:p>
          <w:p>
            <w:pPr>
              <w:spacing w:line="360" w:lineRule="auto"/>
              <w:jc w:val="left"/>
              <w:rPr>
                <w:rFonts w:ascii="宋体" w:hAnsi="宋体" w:cs="宋体"/>
                <w:color w:val="auto"/>
                <w:sz w:val="24"/>
                <w:highlight w:val="none"/>
                <w:lang w:val="zh-CN"/>
              </w:rPr>
            </w:pPr>
            <w:r>
              <w:rPr>
                <w:rFonts w:hint="eastAsia" w:ascii="宋体" w:hAnsi="宋体" w:cs="宋体"/>
                <w:color w:val="auto"/>
                <w:sz w:val="24"/>
                <w:highlight w:val="none"/>
                <w:lang w:val="zh-CN"/>
              </w:rPr>
              <w:t>2.拟安排的</w:t>
            </w:r>
            <w:r>
              <w:rPr>
                <w:rFonts w:hint="eastAsia" w:ascii="宋体" w:hAnsi="宋体" w:cs="宋体"/>
                <w:b/>
                <w:bCs/>
                <w:color w:val="auto"/>
                <w:sz w:val="24"/>
                <w:highlight w:val="none"/>
                <w:lang w:val="zh-CN"/>
              </w:rPr>
              <w:t>译员</w:t>
            </w:r>
            <w:r>
              <w:rPr>
                <w:rFonts w:hint="eastAsia" w:ascii="宋体" w:hAnsi="宋体" w:cs="宋体"/>
                <w:color w:val="auto"/>
                <w:sz w:val="24"/>
                <w:highlight w:val="none"/>
                <w:lang w:val="zh-CN"/>
              </w:rPr>
              <w:t>须提供能证明具有笔译或口译资质的相关证书（人社部门颁发的考试资格证书或外语口译类证书或国内外院校高级翻译学院的毕业证书），需体现人员名称。涉及学历的，提供毕业证书扫描件及学信网查询记录截图（如较早颁发的毕业证书，学信网无法查询的，可提供毕业院校或教育或人社部门等颁发机构或监管机构等出具的证明，如海外留学（含港澳台人）学历无法通过学信网站查询的，应当提供教育部留学服务中心出具的国外学历认证证书以及教育部留学服务中心官网查询截图。若证明文件为其它语言，必须附中文译文，以中文译文为准）。</w:t>
            </w:r>
          </w:p>
          <w:p>
            <w:pPr>
              <w:autoSpaceDE w:val="0"/>
              <w:autoSpaceDN w:val="0"/>
              <w:adjustRightIn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zh-CN"/>
              </w:rPr>
              <w:t>.以上资料均要求提供复印件加盖投标人公章，</w:t>
            </w:r>
            <w:r>
              <w:rPr>
                <w:rFonts w:hint="eastAsia" w:ascii="宋体" w:hAnsi="宋体" w:cs="宋体"/>
                <w:color w:val="auto"/>
                <w:sz w:val="24"/>
                <w:highlight w:val="none"/>
              </w:rPr>
              <w:t>原件备查，</w:t>
            </w:r>
            <w:r>
              <w:rPr>
                <w:rFonts w:hint="eastAsia" w:ascii="宋体" w:hAnsi="宋体" w:cs="宋体"/>
                <w:color w:val="auto"/>
                <w:sz w:val="24"/>
                <w:highlight w:val="none"/>
                <w:lang w:val="zh-CN"/>
              </w:rPr>
              <w:t>评分中出现无证明资料或专家无法凭所提供资料判断是否得分的情况，一律作不得分处理。</w:t>
            </w:r>
          </w:p>
        </w:tc>
        <w:tc>
          <w:tcPr>
            <w:tcW w:w="500"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717" w:type="dxa"/>
            <w:vAlign w:val="center"/>
          </w:tcPr>
          <w:p>
            <w:pPr>
              <w:autoSpaceDE w:val="0"/>
              <w:autoSpaceDN w:val="0"/>
              <w:adjustRightIn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bookmarkEnd w:id="42"/>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60"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117" w:type="dxa"/>
            <w:vAlign w:val="center"/>
          </w:tcPr>
          <w:p>
            <w:pPr>
              <w:autoSpaceDE w:val="0"/>
              <w:autoSpaceDN w:val="0"/>
              <w:adjustRightIn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诚信声明与承诺</w:t>
            </w:r>
          </w:p>
        </w:tc>
        <w:tc>
          <w:tcPr>
            <w:tcW w:w="5717"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（一）评分内容：</w:t>
            </w:r>
          </w:p>
          <w:p>
            <w:pPr>
              <w:spacing w:line="360" w:lineRule="auto"/>
              <w:rPr>
                <w:rFonts w:ascii="宋体" w:hAnsi="宋体" w:cs="宋体"/>
                <w:color w:val="auto"/>
                <w:sz w:val="24"/>
                <w:highlight w:val="none"/>
              </w:rPr>
            </w:pPr>
            <w:r>
              <w:rPr>
                <w:rFonts w:hint="eastAsia" w:ascii="宋体" w:hAnsi="宋体" w:cs="宋体"/>
                <w:color w:val="auto"/>
                <w:sz w:val="24"/>
                <w:highlight w:val="none"/>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ascii="宋体" w:hAnsi="宋体" w:cs="宋体"/>
                <w:color w:val="auto"/>
                <w:sz w:val="24"/>
                <w:highlight w:val="none"/>
              </w:rPr>
            </w:pPr>
            <w:r>
              <w:rPr>
                <w:rFonts w:hint="eastAsia" w:ascii="宋体" w:hAnsi="宋体" w:cs="宋体"/>
                <w:color w:val="auto"/>
                <w:sz w:val="24"/>
                <w:highlight w:val="none"/>
              </w:rPr>
              <w:t>（二）评分依据：</w:t>
            </w:r>
          </w:p>
          <w:p>
            <w:pPr>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1、投标人提供诚信声明与承诺加盖公章；</w:t>
            </w:r>
          </w:p>
          <w:p>
            <w:pPr>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auto"/>
                <w:sz w:val="24"/>
                <w:highlight w:val="none"/>
              </w:rPr>
              <w:t>。</w:t>
            </w:r>
          </w:p>
        </w:tc>
        <w:tc>
          <w:tcPr>
            <w:tcW w:w="500"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717" w:type="dxa"/>
            <w:vAlign w:val="center"/>
          </w:tcPr>
          <w:p>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8611" w:type="dxa"/>
            <w:gridSpan w:val="5"/>
            <w:shd w:val="clear" w:color="auto" w:fill="D9D9D9"/>
            <w:vAlign w:val="center"/>
          </w:tcPr>
          <w:p>
            <w:pPr>
              <w:autoSpaceDE w:val="0"/>
              <w:autoSpaceDN w:val="0"/>
              <w:adjustRightInd w:val="0"/>
              <w:spacing w:line="360" w:lineRule="auto"/>
              <w:jc w:val="center"/>
              <w:rPr>
                <w:rFonts w:ascii="宋体" w:hAnsi="宋体" w:cs="宋体"/>
                <w:b/>
                <w:color w:val="auto"/>
                <w:sz w:val="24"/>
                <w:highlight w:val="none"/>
                <w:lang w:val="zh-CN"/>
              </w:rPr>
            </w:pPr>
            <w:r>
              <w:rPr>
                <w:rFonts w:hint="eastAsia" w:ascii="宋体" w:hAnsi="宋体" w:cs="宋体"/>
                <w:b/>
                <w:color w:val="auto"/>
                <w:sz w:val="24"/>
                <w:highlight w:val="none"/>
                <w:lang w:val="zh-CN"/>
              </w:rPr>
              <w:t>三、技术部分（</w:t>
            </w:r>
            <w:r>
              <w:rPr>
                <w:rFonts w:hint="eastAsia" w:ascii="宋体" w:hAnsi="宋体" w:cs="宋体"/>
                <w:b/>
                <w:color w:val="auto"/>
                <w:sz w:val="24"/>
                <w:highlight w:val="none"/>
              </w:rPr>
              <w:t>45</w:t>
            </w:r>
            <w:r>
              <w:rPr>
                <w:rFonts w:hint="eastAsia" w:ascii="宋体" w:hAnsi="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60"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序号</w:t>
            </w:r>
          </w:p>
        </w:tc>
        <w:tc>
          <w:tcPr>
            <w:tcW w:w="1117"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内容</w:t>
            </w:r>
          </w:p>
        </w:tc>
        <w:tc>
          <w:tcPr>
            <w:tcW w:w="5717" w:type="dxa"/>
            <w:vAlign w:val="center"/>
          </w:tcPr>
          <w:p>
            <w:pPr>
              <w:autoSpaceDE w:val="0"/>
              <w:autoSpaceDN w:val="0"/>
              <w:adjustRightIn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评分规则</w:t>
            </w:r>
          </w:p>
        </w:tc>
        <w:tc>
          <w:tcPr>
            <w:tcW w:w="500" w:type="dxa"/>
            <w:vAlign w:val="center"/>
          </w:tcPr>
          <w:p>
            <w:pPr>
              <w:autoSpaceDE w:val="0"/>
              <w:autoSpaceDN w:val="0"/>
              <w:adjustRightIn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rPr>
              <w:t>权重</w:t>
            </w:r>
          </w:p>
        </w:tc>
        <w:tc>
          <w:tcPr>
            <w:tcW w:w="717" w:type="dxa"/>
            <w:vAlign w:val="center"/>
          </w:tcPr>
          <w:p>
            <w:pPr>
              <w:autoSpaceDE w:val="0"/>
              <w:autoSpaceDN w:val="0"/>
              <w:adjustRightIn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60"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117" w:type="dxa"/>
            <w:vAlign w:val="center"/>
          </w:tcPr>
          <w:p>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rPr>
              <w:t>项目实施方案</w:t>
            </w:r>
          </w:p>
        </w:tc>
        <w:tc>
          <w:tcPr>
            <w:tcW w:w="5717"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评审内容：</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投标人根据项目自身特点，针对项目运行的整体设想和策划，编制实施方案。包括但不限于以下内容：</w:t>
            </w:r>
          </w:p>
          <w:p>
            <w:pPr>
              <w:spacing w:line="360" w:lineRule="auto"/>
              <w:rPr>
                <w:rFonts w:ascii="宋体" w:hAnsi="宋体" w:cs="宋体"/>
                <w:color w:val="auto"/>
                <w:sz w:val="24"/>
                <w:highlight w:val="none"/>
              </w:rPr>
            </w:pPr>
            <w:r>
              <w:rPr>
                <w:rFonts w:hint="eastAsia" w:ascii="宋体" w:hAnsi="宋体" w:cs="宋体"/>
                <w:color w:val="auto"/>
                <w:sz w:val="24"/>
                <w:highlight w:val="none"/>
              </w:rPr>
              <w:t>1、项目背景；</w:t>
            </w:r>
          </w:p>
          <w:p>
            <w:pPr>
              <w:spacing w:line="360" w:lineRule="auto"/>
              <w:rPr>
                <w:rFonts w:ascii="宋体" w:hAnsi="宋体" w:cs="宋体"/>
                <w:color w:val="auto"/>
                <w:sz w:val="24"/>
                <w:highlight w:val="none"/>
              </w:rPr>
            </w:pPr>
            <w:r>
              <w:rPr>
                <w:rFonts w:hint="eastAsia" w:ascii="宋体" w:hAnsi="宋体" w:cs="宋体"/>
                <w:color w:val="auto"/>
                <w:sz w:val="24"/>
                <w:highlight w:val="none"/>
              </w:rPr>
              <w:t>2、服务目标；</w:t>
            </w:r>
          </w:p>
          <w:p>
            <w:pPr>
              <w:spacing w:line="360" w:lineRule="auto"/>
              <w:rPr>
                <w:rFonts w:ascii="宋体" w:hAnsi="宋体" w:cs="宋体"/>
                <w:color w:val="auto"/>
                <w:sz w:val="24"/>
                <w:highlight w:val="none"/>
              </w:rPr>
            </w:pPr>
            <w:r>
              <w:rPr>
                <w:rFonts w:hint="eastAsia" w:ascii="宋体" w:hAnsi="宋体" w:cs="宋体"/>
                <w:color w:val="auto"/>
                <w:sz w:val="24"/>
                <w:highlight w:val="none"/>
              </w:rPr>
              <w:t>3、服务内容。</w:t>
            </w:r>
          </w:p>
          <w:p>
            <w:pPr>
              <w:spacing w:line="360" w:lineRule="auto"/>
              <w:rPr>
                <w:rFonts w:ascii="宋体" w:hAnsi="宋体" w:cs="宋体"/>
                <w:color w:val="auto"/>
                <w:sz w:val="24"/>
                <w:highlight w:val="none"/>
              </w:rPr>
            </w:pPr>
            <w:r>
              <w:rPr>
                <w:rFonts w:hint="eastAsia" w:ascii="宋体" w:hAnsi="宋体" w:cs="宋体"/>
                <w:color w:val="auto"/>
                <w:sz w:val="24"/>
                <w:highlight w:val="none"/>
              </w:rPr>
              <w:t>评分标准：</w:t>
            </w:r>
          </w:p>
          <w:p>
            <w:pPr>
              <w:spacing w:line="360" w:lineRule="auto"/>
              <w:rPr>
                <w:rFonts w:ascii="宋体" w:hAnsi="宋体" w:cs="宋体"/>
                <w:color w:val="auto"/>
                <w:sz w:val="24"/>
                <w:highlight w:val="none"/>
              </w:rPr>
            </w:pPr>
            <w:r>
              <w:rPr>
                <w:rFonts w:hint="eastAsia" w:ascii="宋体" w:hAnsi="宋体" w:cs="宋体"/>
                <w:color w:val="auto"/>
                <w:sz w:val="24"/>
                <w:highlight w:val="none"/>
              </w:rPr>
              <w:t>1、每满足1点得2分，最高得6分，未满足不得分。</w:t>
            </w:r>
          </w:p>
          <w:p>
            <w:pPr>
              <w:spacing w:line="360" w:lineRule="auto"/>
              <w:rPr>
                <w:rFonts w:ascii="宋体" w:hAnsi="宋体" w:cs="宋体"/>
                <w:color w:val="auto"/>
                <w:sz w:val="24"/>
                <w:highlight w:val="none"/>
              </w:rPr>
            </w:pPr>
            <w:r>
              <w:rPr>
                <w:rFonts w:hint="eastAsia" w:ascii="宋体" w:hAnsi="宋体" w:cs="宋体"/>
                <w:color w:val="auto"/>
                <w:sz w:val="24"/>
                <w:highlight w:val="none"/>
              </w:rPr>
              <w:t>2、在此基础上，评审专家根据投标人的具体响应内容按照量化的评审因素指标进一步评审：</w:t>
            </w:r>
          </w:p>
          <w:p>
            <w:pPr>
              <w:spacing w:line="360" w:lineRule="auto"/>
              <w:rPr>
                <w:rFonts w:ascii="宋体" w:hAnsi="宋体" w:cs="宋体"/>
                <w:color w:val="auto"/>
                <w:sz w:val="24"/>
                <w:highlight w:val="none"/>
              </w:rPr>
            </w:pPr>
            <w:r>
              <w:rPr>
                <w:rFonts w:hint="eastAsia" w:ascii="宋体" w:hAnsi="宋体" w:cs="宋体"/>
                <w:color w:val="auto"/>
                <w:sz w:val="24"/>
                <w:highlight w:val="none"/>
              </w:rPr>
              <w:t>评审为优：方案内容完整详细且符合项目实际，可行性强的，加4分；</w:t>
            </w:r>
          </w:p>
          <w:p>
            <w:pPr>
              <w:spacing w:line="360" w:lineRule="auto"/>
              <w:rPr>
                <w:rFonts w:ascii="宋体" w:hAnsi="宋体" w:cs="宋体"/>
                <w:color w:val="auto"/>
                <w:sz w:val="24"/>
                <w:highlight w:val="none"/>
              </w:rPr>
            </w:pPr>
            <w:r>
              <w:rPr>
                <w:rFonts w:hint="eastAsia" w:ascii="宋体" w:hAnsi="宋体" w:cs="宋体"/>
                <w:color w:val="auto"/>
                <w:sz w:val="24"/>
                <w:highlight w:val="none"/>
              </w:rPr>
              <w:t>评审为良：方案内容完整，可行性较好的，加2分；</w:t>
            </w:r>
          </w:p>
          <w:p>
            <w:pPr>
              <w:spacing w:line="360" w:lineRule="auto"/>
              <w:rPr>
                <w:rFonts w:ascii="宋体" w:hAnsi="宋体" w:cs="宋体"/>
                <w:color w:val="auto"/>
                <w:sz w:val="24"/>
                <w:highlight w:val="none"/>
              </w:rPr>
            </w:pPr>
            <w:r>
              <w:rPr>
                <w:rFonts w:hint="eastAsia" w:ascii="宋体" w:hAnsi="宋体" w:cs="宋体"/>
                <w:color w:val="auto"/>
                <w:sz w:val="24"/>
                <w:highlight w:val="none"/>
              </w:rPr>
              <w:t>评审为中：方案内容能符合项目部分要求，较贴近项目实际的，加1分；</w:t>
            </w:r>
          </w:p>
          <w:p>
            <w:pPr>
              <w:spacing w:line="360" w:lineRule="auto"/>
              <w:rPr>
                <w:rFonts w:ascii="宋体" w:hAnsi="宋体" w:cs="宋体"/>
                <w:color w:val="auto"/>
                <w:sz w:val="24"/>
                <w:highlight w:val="none"/>
              </w:rPr>
            </w:pPr>
            <w:r>
              <w:rPr>
                <w:rFonts w:hint="eastAsia" w:ascii="宋体" w:hAnsi="宋体" w:cs="宋体"/>
                <w:color w:val="auto"/>
                <w:sz w:val="24"/>
                <w:highlight w:val="none"/>
              </w:rPr>
              <w:t>评审为差：方案内容不符合项目要求的，不加分。</w:t>
            </w:r>
          </w:p>
        </w:tc>
        <w:tc>
          <w:tcPr>
            <w:tcW w:w="50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717" w:type="dxa"/>
            <w:vAlign w:val="center"/>
          </w:tcPr>
          <w:p>
            <w:pPr>
              <w:autoSpaceDE w:val="0"/>
              <w:autoSpaceDN w:val="0"/>
              <w:adjustRightIn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60" w:type="dxa"/>
            <w:vAlign w:val="center"/>
          </w:tcPr>
          <w:p>
            <w:pPr>
              <w:autoSpaceDE w:val="0"/>
              <w:autoSpaceDN w:val="0"/>
              <w:adjustRightIn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rPr>
              <w:t>2</w:t>
            </w:r>
          </w:p>
        </w:tc>
        <w:tc>
          <w:tcPr>
            <w:tcW w:w="1117" w:type="dxa"/>
            <w:vAlign w:val="center"/>
          </w:tcPr>
          <w:p>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rPr>
              <w:t>项目重难点分析及解决方案</w:t>
            </w:r>
          </w:p>
        </w:tc>
        <w:tc>
          <w:tcPr>
            <w:tcW w:w="5717"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评审内容：</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投标人根据投标文件，提供对本项目的重点难点分析、应对措施及相关的合理化建议。包括但不限于以下内容：</w:t>
            </w:r>
          </w:p>
          <w:p>
            <w:pPr>
              <w:spacing w:line="360" w:lineRule="auto"/>
              <w:rPr>
                <w:rFonts w:ascii="宋体" w:hAnsi="宋体" w:cs="宋体"/>
                <w:color w:val="auto"/>
                <w:sz w:val="24"/>
                <w:highlight w:val="none"/>
              </w:rPr>
            </w:pPr>
            <w:r>
              <w:rPr>
                <w:rFonts w:hint="eastAsia" w:ascii="宋体" w:hAnsi="宋体" w:cs="宋体"/>
                <w:color w:val="auto"/>
                <w:sz w:val="24"/>
                <w:highlight w:val="none"/>
              </w:rPr>
              <w:t>1、项目重点难点分析；</w:t>
            </w:r>
          </w:p>
          <w:p>
            <w:pPr>
              <w:spacing w:line="360" w:lineRule="auto"/>
              <w:rPr>
                <w:rFonts w:ascii="宋体" w:hAnsi="宋体" w:cs="宋体"/>
                <w:color w:val="auto"/>
                <w:sz w:val="24"/>
                <w:highlight w:val="none"/>
              </w:rPr>
            </w:pPr>
            <w:r>
              <w:rPr>
                <w:rFonts w:hint="eastAsia" w:ascii="宋体" w:hAnsi="宋体" w:cs="宋体"/>
                <w:color w:val="auto"/>
                <w:sz w:val="24"/>
                <w:highlight w:val="none"/>
              </w:rPr>
              <w:t>2、重点难点应对措施；</w:t>
            </w:r>
          </w:p>
          <w:p>
            <w:pPr>
              <w:spacing w:line="360" w:lineRule="auto"/>
              <w:rPr>
                <w:rFonts w:ascii="宋体" w:hAnsi="宋体" w:cs="宋体"/>
                <w:color w:val="auto"/>
                <w:sz w:val="24"/>
                <w:highlight w:val="none"/>
              </w:rPr>
            </w:pPr>
            <w:r>
              <w:rPr>
                <w:rFonts w:hint="eastAsia" w:ascii="宋体" w:hAnsi="宋体" w:cs="宋体"/>
                <w:color w:val="auto"/>
                <w:sz w:val="24"/>
                <w:highlight w:val="none"/>
              </w:rPr>
              <w:t>3、对本项目的服务优化意见和建议。</w:t>
            </w:r>
          </w:p>
          <w:p>
            <w:pPr>
              <w:spacing w:line="360" w:lineRule="auto"/>
              <w:rPr>
                <w:rFonts w:ascii="宋体" w:hAnsi="宋体" w:cs="宋体"/>
                <w:color w:val="auto"/>
                <w:sz w:val="24"/>
                <w:highlight w:val="none"/>
              </w:rPr>
            </w:pPr>
            <w:r>
              <w:rPr>
                <w:rFonts w:hint="eastAsia" w:ascii="宋体" w:hAnsi="宋体" w:cs="宋体"/>
                <w:color w:val="auto"/>
                <w:sz w:val="24"/>
                <w:highlight w:val="none"/>
              </w:rPr>
              <w:t>评分标准：</w:t>
            </w:r>
          </w:p>
          <w:p>
            <w:pPr>
              <w:spacing w:line="360" w:lineRule="auto"/>
              <w:rPr>
                <w:rFonts w:ascii="宋体" w:hAnsi="宋体" w:cs="宋体"/>
                <w:color w:val="auto"/>
                <w:sz w:val="24"/>
                <w:highlight w:val="none"/>
              </w:rPr>
            </w:pPr>
            <w:r>
              <w:rPr>
                <w:rFonts w:hint="eastAsia" w:ascii="宋体" w:hAnsi="宋体" w:cs="宋体"/>
                <w:color w:val="auto"/>
                <w:sz w:val="24"/>
                <w:highlight w:val="none"/>
              </w:rPr>
              <w:t>1、每满足1点得2分，最高得6分，未满足不得分。</w:t>
            </w:r>
          </w:p>
          <w:p>
            <w:pPr>
              <w:spacing w:line="360" w:lineRule="auto"/>
              <w:rPr>
                <w:rFonts w:ascii="宋体" w:hAnsi="宋体" w:cs="宋体"/>
                <w:color w:val="auto"/>
                <w:sz w:val="24"/>
                <w:highlight w:val="none"/>
              </w:rPr>
            </w:pPr>
            <w:r>
              <w:rPr>
                <w:rFonts w:hint="eastAsia" w:ascii="宋体" w:hAnsi="宋体" w:cs="宋体"/>
                <w:color w:val="auto"/>
                <w:sz w:val="24"/>
                <w:highlight w:val="none"/>
              </w:rPr>
              <w:t>2、在此基础上，根据投标人的具体响应内容按照量化的评审因素指标进一步评审：</w:t>
            </w:r>
          </w:p>
          <w:p>
            <w:pPr>
              <w:spacing w:line="360" w:lineRule="auto"/>
              <w:rPr>
                <w:rFonts w:ascii="宋体" w:hAnsi="宋体" w:cs="宋体"/>
                <w:color w:val="auto"/>
                <w:sz w:val="24"/>
                <w:highlight w:val="none"/>
              </w:rPr>
            </w:pPr>
            <w:r>
              <w:rPr>
                <w:rFonts w:hint="eastAsia" w:ascii="宋体" w:hAnsi="宋体" w:cs="宋体"/>
                <w:color w:val="auto"/>
                <w:sz w:val="24"/>
                <w:highlight w:val="none"/>
              </w:rPr>
              <w:t>评审为优：内容完整详细且符合项目实际，可行性强的，加4分；</w:t>
            </w:r>
          </w:p>
          <w:p>
            <w:pPr>
              <w:spacing w:line="360" w:lineRule="auto"/>
              <w:rPr>
                <w:rFonts w:ascii="宋体" w:hAnsi="宋体" w:cs="宋体"/>
                <w:color w:val="auto"/>
                <w:sz w:val="24"/>
                <w:highlight w:val="none"/>
              </w:rPr>
            </w:pPr>
            <w:r>
              <w:rPr>
                <w:rFonts w:hint="eastAsia" w:ascii="宋体" w:hAnsi="宋体" w:cs="宋体"/>
                <w:color w:val="auto"/>
                <w:sz w:val="24"/>
                <w:highlight w:val="none"/>
              </w:rPr>
              <w:t>评审为良：内容完整，可行性较好的，加3分；</w:t>
            </w:r>
          </w:p>
          <w:p>
            <w:pPr>
              <w:spacing w:line="360" w:lineRule="auto"/>
              <w:rPr>
                <w:rFonts w:ascii="宋体" w:hAnsi="宋体" w:cs="宋体"/>
                <w:color w:val="auto"/>
                <w:sz w:val="24"/>
                <w:highlight w:val="none"/>
              </w:rPr>
            </w:pPr>
            <w:r>
              <w:rPr>
                <w:rFonts w:hint="eastAsia" w:ascii="宋体" w:hAnsi="宋体" w:cs="宋体"/>
                <w:color w:val="auto"/>
                <w:sz w:val="24"/>
                <w:highlight w:val="none"/>
              </w:rPr>
              <w:t>评审为中：内容能符合项目部分要求，较贴近项目实际的，加1分；</w:t>
            </w:r>
          </w:p>
          <w:p>
            <w:pPr>
              <w:spacing w:line="360" w:lineRule="auto"/>
              <w:rPr>
                <w:rFonts w:ascii="宋体" w:hAnsi="宋体" w:cs="宋体"/>
                <w:color w:val="auto"/>
                <w:sz w:val="24"/>
                <w:highlight w:val="none"/>
              </w:rPr>
            </w:pPr>
            <w:r>
              <w:rPr>
                <w:rFonts w:hint="eastAsia" w:ascii="宋体" w:hAnsi="宋体" w:cs="宋体"/>
                <w:color w:val="auto"/>
                <w:sz w:val="24"/>
                <w:highlight w:val="none"/>
              </w:rPr>
              <w:t>评审为差：方案内容不符合项目要求的，不加分。</w:t>
            </w:r>
          </w:p>
        </w:tc>
        <w:tc>
          <w:tcPr>
            <w:tcW w:w="50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717" w:type="dxa"/>
            <w:vAlign w:val="center"/>
          </w:tcPr>
          <w:p>
            <w:pPr>
              <w:autoSpaceDE w:val="0"/>
              <w:autoSpaceDN w:val="0"/>
              <w:adjustRightIn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60"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117" w:type="dxa"/>
            <w:vAlign w:val="center"/>
          </w:tcPr>
          <w:p>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rPr>
              <w:t>项目管理措施和进度计划</w:t>
            </w:r>
          </w:p>
        </w:tc>
        <w:tc>
          <w:tcPr>
            <w:tcW w:w="5717"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评审内容：</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投标人根据项目需求和目标，制定质量保障措施和方案，包括但不限于以下内容：</w:t>
            </w:r>
          </w:p>
          <w:p>
            <w:pPr>
              <w:spacing w:line="360" w:lineRule="auto"/>
              <w:rPr>
                <w:rFonts w:ascii="宋体" w:hAnsi="宋体" w:cs="宋体"/>
                <w:color w:val="auto"/>
                <w:sz w:val="24"/>
                <w:highlight w:val="none"/>
              </w:rPr>
            </w:pPr>
            <w:r>
              <w:rPr>
                <w:rFonts w:hint="eastAsia" w:ascii="宋体" w:hAnsi="宋体" w:cs="宋体"/>
                <w:color w:val="auto"/>
                <w:sz w:val="24"/>
                <w:highlight w:val="none"/>
              </w:rPr>
              <w:t>1、项目时间管理制度与措施；</w:t>
            </w:r>
          </w:p>
          <w:p>
            <w:pPr>
              <w:spacing w:line="360" w:lineRule="auto"/>
              <w:rPr>
                <w:rFonts w:ascii="宋体" w:hAnsi="宋体" w:cs="宋体"/>
                <w:color w:val="auto"/>
                <w:sz w:val="24"/>
                <w:highlight w:val="none"/>
              </w:rPr>
            </w:pPr>
            <w:r>
              <w:rPr>
                <w:rFonts w:hint="eastAsia" w:ascii="宋体" w:hAnsi="宋体" w:cs="宋体"/>
                <w:color w:val="auto"/>
                <w:sz w:val="24"/>
                <w:highlight w:val="none"/>
              </w:rPr>
              <w:t>2、项目质量管理制度与措施；</w:t>
            </w:r>
          </w:p>
          <w:p>
            <w:pPr>
              <w:spacing w:line="360" w:lineRule="auto"/>
              <w:rPr>
                <w:rFonts w:ascii="宋体" w:hAnsi="宋体" w:cs="宋体"/>
                <w:color w:val="auto"/>
                <w:sz w:val="24"/>
                <w:highlight w:val="none"/>
              </w:rPr>
            </w:pPr>
            <w:r>
              <w:rPr>
                <w:rFonts w:hint="eastAsia" w:ascii="宋体" w:hAnsi="宋体" w:cs="宋体"/>
                <w:color w:val="auto"/>
                <w:sz w:val="24"/>
                <w:highlight w:val="none"/>
              </w:rPr>
              <w:t>3、项目资料、成果安全性保障制度与措施；</w:t>
            </w:r>
          </w:p>
          <w:p>
            <w:pPr>
              <w:spacing w:line="360" w:lineRule="auto"/>
              <w:rPr>
                <w:rFonts w:ascii="宋体" w:hAnsi="宋体" w:cs="宋体"/>
                <w:color w:val="auto"/>
                <w:sz w:val="24"/>
                <w:highlight w:val="none"/>
              </w:rPr>
            </w:pPr>
            <w:r>
              <w:rPr>
                <w:rFonts w:hint="eastAsia" w:ascii="宋体" w:hAnsi="宋体" w:cs="宋体"/>
                <w:color w:val="auto"/>
                <w:sz w:val="24"/>
                <w:highlight w:val="none"/>
              </w:rPr>
              <w:t>4、响应时间。</w:t>
            </w:r>
          </w:p>
          <w:p>
            <w:pPr>
              <w:spacing w:line="360" w:lineRule="auto"/>
              <w:rPr>
                <w:rFonts w:ascii="宋体" w:hAnsi="宋体" w:cs="宋体"/>
                <w:color w:val="auto"/>
                <w:sz w:val="24"/>
                <w:highlight w:val="none"/>
              </w:rPr>
            </w:pPr>
            <w:r>
              <w:rPr>
                <w:rFonts w:hint="eastAsia" w:ascii="宋体" w:hAnsi="宋体" w:cs="宋体"/>
                <w:color w:val="auto"/>
                <w:sz w:val="24"/>
                <w:highlight w:val="none"/>
              </w:rPr>
              <w:t>评分标准：</w:t>
            </w:r>
          </w:p>
          <w:p>
            <w:pPr>
              <w:spacing w:line="360" w:lineRule="auto"/>
              <w:rPr>
                <w:rFonts w:ascii="宋体" w:hAnsi="宋体" w:cs="宋体"/>
                <w:color w:val="auto"/>
                <w:sz w:val="24"/>
                <w:highlight w:val="none"/>
              </w:rPr>
            </w:pPr>
            <w:r>
              <w:rPr>
                <w:rFonts w:hint="eastAsia" w:ascii="宋体" w:hAnsi="宋体" w:cs="宋体"/>
                <w:color w:val="auto"/>
                <w:sz w:val="24"/>
                <w:highlight w:val="none"/>
              </w:rPr>
              <w:t>1、每满足1点得2分，最高得8分，未满足不得分。</w:t>
            </w:r>
          </w:p>
          <w:p>
            <w:pPr>
              <w:spacing w:line="360" w:lineRule="auto"/>
              <w:rPr>
                <w:rFonts w:ascii="宋体" w:hAnsi="宋体" w:cs="宋体"/>
                <w:color w:val="auto"/>
                <w:sz w:val="24"/>
                <w:highlight w:val="none"/>
              </w:rPr>
            </w:pPr>
            <w:r>
              <w:rPr>
                <w:rFonts w:hint="eastAsia" w:ascii="宋体" w:hAnsi="宋体" w:cs="宋体"/>
                <w:color w:val="auto"/>
                <w:sz w:val="24"/>
                <w:highlight w:val="none"/>
              </w:rPr>
              <w:t>2、在此基础上，根据投标人的具体响应内容按照量化的评审因素指标进一步评审；</w:t>
            </w:r>
          </w:p>
          <w:p>
            <w:pPr>
              <w:spacing w:line="360" w:lineRule="auto"/>
              <w:rPr>
                <w:rFonts w:ascii="宋体" w:hAnsi="宋体" w:cs="宋体"/>
                <w:color w:val="auto"/>
                <w:sz w:val="24"/>
                <w:highlight w:val="none"/>
              </w:rPr>
            </w:pPr>
            <w:r>
              <w:rPr>
                <w:rFonts w:hint="eastAsia" w:ascii="宋体" w:hAnsi="宋体" w:cs="宋体"/>
                <w:color w:val="auto"/>
                <w:sz w:val="24"/>
                <w:highlight w:val="none"/>
              </w:rPr>
              <w:t>评审为优：内容完整详细且符合项目实际，可行性强的，加7分；</w:t>
            </w:r>
          </w:p>
          <w:p>
            <w:pPr>
              <w:spacing w:line="360" w:lineRule="auto"/>
              <w:rPr>
                <w:rFonts w:ascii="宋体" w:hAnsi="宋体" w:cs="宋体"/>
                <w:color w:val="auto"/>
                <w:sz w:val="24"/>
                <w:highlight w:val="none"/>
              </w:rPr>
            </w:pPr>
            <w:r>
              <w:rPr>
                <w:rFonts w:hint="eastAsia" w:ascii="宋体" w:hAnsi="宋体" w:cs="宋体"/>
                <w:color w:val="auto"/>
                <w:sz w:val="24"/>
                <w:highlight w:val="none"/>
              </w:rPr>
              <w:t>评审为良：内容完整，可行性较好的，加3分；</w:t>
            </w:r>
          </w:p>
          <w:p>
            <w:pPr>
              <w:spacing w:line="360" w:lineRule="auto"/>
              <w:rPr>
                <w:rFonts w:ascii="宋体" w:hAnsi="宋体" w:cs="宋体"/>
                <w:color w:val="auto"/>
                <w:sz w:val="24"/>
                <w:highlight w:val="none"/>
              </w:rPr>
            </w:pPr>
            <w:r>
              <w:rPr>
                <w:rFonts w:hint="eastAsia" w:ascii="宋体" w:hAnsi="宋体" w:cs="宋体"/>
                <w:color w:val="auto"/>
                <w:sz w:val="24"/>
                <w:highlight w:val="none"/>
              </w:rPr>
              <w:t>评审为中：方案内容能符合项目部分要求，较贴近项目实际的，加1分；</w:t>
            </w:r>
          </w:p>
          <w:p>
            <w:pPr>
              <w:spacing w:line="360" w:lineRule="auto"/>
              <w:rPr>
                <w:rFonts w:ascii="宋体" w:hAnsi="宋体" w:cs="宋体"/>
                <w:color w:val="auto"/>
                <w:sz w:val="24"/>
                <w:highlight w:val="none"/>
              </w:rPr>
            </w:pPr>
            <w:r>
              <w:rPr>
                <w:rFonts w:hint="eastAsia" w:ascii="宋体" w:hAnsi="宋体" w:cs="宋体"/>
                <w:color w:val="auto"/>
                <w:sz w:val="24"/>
                <w:highlight w:val="none"/>
              </w:rPr>
              <w:t>评审为差：方案内容不符合项目要求的，不加分。</w:t>
            </w:r>
          </w:p>
        </w:tc>
        <w:tc>
          <w:tcPr>
            <w:tcW w:w="50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15</w:t>
            </w:r>
          </w:p>
        </w:tc>
        <w:tc>
          <w:tcPr>
            <w:tcW w:w="717" w:type="dxa"/>
            <w:vAlign w:val="center"/>
          </w:tcPr>
          <w:p>
            <w:pPr>
              <w:autoSpaceDE w:val="0"/>
              <w:autoSpaceDN w:val="0"/>
              <w:adjustRightIn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60" w:type="dxa"/>
            <w:vAlign w:val="center"/>
          </w:tcPr>
          <w:p>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117" w:type="dxa"/>
            <w:vAlign w:val="center"/>
          </w:tcPr>
          <w:p>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rPr>
              <w:t>现场笔译及口译测试</w:t>
            </w:r>
          </w:p>
        </w:tc>
        <w:tc>
          <w:tcPr>
            <w:tcW w:w="5717"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投标人安排1位项目负责人或项目团队成员通过现场或线上形式，根据评标现场临时发放的材料，进行现场即时笔译和口译测试</w:t>
            </w:r>
            <w:r>
              <w:rPr>
                <w:rStyle w:val="25"/>
                <w:rFonts w:hint="eastAsia" w:ascii="宋体" w:hAnsi="宋体" w:cs="宋体"/>
                <w:color w:val="auto"/>
                <w:kern w:val="0"/>
                <w:highlight w:val="none"/>
              </w:rPr>
              <w:t>，</w:t>
            </w:r>
            <w:r>
              <w:rPr>
                <w:rStyle w:val="25"/>
                <w:rFonts w:hint="eastAsia" w:ascii="宋体" w:hAnsi="宋体" w:cs="宋体"/>
                <w:color w:val="auto"/>
                <w:kern w:val="0"/>
                <w:sz w:val="24"/>
                <w:szCs w:val="24"/>
                <w:highlight w:val="none"/>
              </w:rPr>
              <w:t>测试</w:t>
            </w:r>
            <w:r>
              <w:rPr>
                <w:rFonts w:hint="eastAsia" w:ascii="宋体" w:hAnsi="宋体" w:cs="宋体"/>
                <w:color w:val="auto"/>
                <w:sz w:val="24"/>
                <w:highlight w:val="none"/>
              </w:rPr>
              <w:t>语种为英语，并由专家进行评分。</w:t>
            </w:r>
          </w:p>
          <w:p>
            <w:pPr>
              <w:spacing w:line="360" w:lineRule="auto"/>
              <w:rPr>
                <w:rFonts w:ascii="宋体" w:hAnsi="宋体" w:cs="宋体"/>
                <w:color w:val="auto"/>
                <w:sz w:val="24"/>
                <w:highlight w:val="none"/>
              </w:rPr>
            </w:pPr>
            <w:r>
              <w:rPr>
                <w:rFonts w:hint="eastAsia" w:ascii="宋体" w:hAnsi="宋体" w:cs="宋体"/>
                <w:color w:val="auto"/>
                <w:sz w:val="24"/>
                <w:highlight w:val="none"/>
              </w:rPr>
              <w:t>评分标准：</w:t>
            </w:r>
          </w:p>
          <w:p>
            <w:pPr>
              <w:spacing w:line="360" w:lineRule="auto"/>
              <w:rPr>
                <w:rFonts w:ascii="宋体" w:hAnsi="宋体" w:cs="宋体"/>
                <w:color w:val="auto"/>
                <w:sz w:val="24"/>
                <w:highlight w:val="none"/>
              </w:rPr>
            </w:pPr>
            <w:r>
              <w:rPr>
                <w:rFonts w:hint="eastAsia" w:ascii="宋体" w:hAnsi="宋体" w:cs="宋体"/>
                <w:color w:val="auto"/>
                <w:sz w:val="24"/>
                <w:highlight w:val="none"/>
              </w:rPr>
              <w:t>1.评审为优：口译语速流利，翻译内容（口译、笔译）准确率达95%，得10分；</w:t>
            </w:r>
          </w:p>
          <w:p>
            <w:pPr>
              <w:spacing w:line="360" w:lineRule="auto"/>
              <w:rPr>
                <w:rFonts w:ascii="宋体" w:hAnsi="宋体" w:cs="宋体"/>
                <w:color w:val="auto"/>
                <w:sz w:val="24"/>
                <w:highlight w:val="none"/>
              </w:rPr>
            </w:pPr>
            <w:r>
              <w:rPr>
                <w:rFonts w:hint="eastAsia" w:ascii="宋体" w:hAnsi="宋体" w:cs="宋体"/>
                <w:color w:val="auto"/>
                <w:sz w:val="24"/>
                <w:highlight w:val="none"/>
              </w:rPr>
              <w:t>2.评审为良：口译语速正常，翻译内容（口译、笔译）准确率达70%，得6分；</w:t>
            </w:r>
          </w:p>
          <w:p>
            <w:pPr>
              <w:spacing w:line="360" w:lineRule="auto"/>
              <w:rPr>
                <w:rFonts w:ascii="宋体" w:hAnsi="宋体" w:cs="宋体"/>
                <w:color w:val="auto"/>
                <w:sz w:val="24"/>
                <w:highlight w:val="none"/>
              </w:rPr>
            </w:pPr>
            <w:r>
              <w:rPr>
                <w:rFonts w:hint="eastAsia" w:ascii="宋体" w:hAnsi="宋体" w:cs="宋体"/>
                <w:color w:val="auto"/>
                <w:sz w:val="24"/>
                <w:highlight w:val="none"/>
              </w:rPr>
              <w:t>3.评审为中：能够基本翻译材料内容，完成率达50%，得3分；</w:t>
            </w:r>
          </w:p>
          <w:p>
            <w:pPr>
              <w:spacing w:line="360" w:lineRule="auto"/>
              <w:rPr>
                <w:rFonts w:ascii="宋体" w:hAnsi="宋体" w:cs="宋体"/>
                <w:color w:val="auto"/>
                <w:sz w:val="24"/>
                <w:highlight w:val="none"/>
              </w:rPr>
            </w:pPr>
            <w:r>
              <w:rPr>
                <w:rFonts w:hint="eastAsia" w:ascii="宋体" w:hAnsi="宋体" w:cs="宋体"/>
                <w:color w:val="auto"/>
                <w:sz w:val="24"/>
                <w:highlight w:val="none"/>
              </w:rPr>
              <w:t>4.评审为差：翻译内容与材料不符，语速卡顿，不得分。</w:t>
            </w:r>
          </w:p>
        </w:tc>
        <w:tc>
          <w:tcPr>
            <w:tcW w:w="50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717" w:type="dxa"/>
            <w:vAlign w:val="center"/>
          </w:tcPr>
          <w:p>
            <w:pPr>
              <w:autoSpaceDE w:val="0"/>
              <w:autoSpaceDN w:val="0"/>
              <w:adjustRightIn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bookmarkEnd w:id="41"/>
    </w:tbl>
    <w:p>
      <w:pPr>
        <w:tabs>
          <w:tab w:val="left" w:pos="640"/>
          <w:tab w:val="left" w:pos="1260"/>
          <w:tab w:val="left" w:pos="1418"/>
        </w:tabs>
        <w:spacing w:line="360" w:lineRule="auto"/>
        <w:ind w:right="-420" w:rightChars="-200"/>
        <w:rPr>
          <w:rFonts w:ascii="宋体" w:hAnsi="宋体" w:cs="宋体"/>
          <w:color w:val="auto"/>
          <w:sz w:val="24"/>
          <w:highlight w:val="none"/>
          <w:lang w:val="fr-CH"/>
        </w:rPr>
        <w:sectPr>
          <w:pgSz w:w="11906" w:h="16838"/>
          <w:pgMar w:top="1490" w:right="1803" w:bottom="709" w:left="1803" w:header="851" w:footer="992" w:gutter="0"/>
          <w:cols w:space="720" w:num="1"/>
          <w:docGrid w:type="lines" w:linePitch="319" w:charSpace="0"/>
        </w:sectPr>
      </w:pPr>
    </w:p>
    <w:p>
      <w:pPr>
        <w:spacing w:line="360" w:lineRule="auto"/>
        <w:jc w:val="center"/>
        <w:outlineLvl w:val="0"/>
        <w:rPr>
          <w:rFonts w:ascii="宋体" w:hAnsi="宋体" w:cs="宋体"/>
          <w:b/>
          <w:bCs/>
          <w:color w:val="auto"/>
          <w:sz w:val="24"/>
          <w:highlight w:val="none"/>
        </w:rPr>
      </w:pPr>
      <w:bookmarkStart w:id="44" w:name="_Toc31322"/>
      <w:r>
        <w:rPr>
          <w:rFonts w:hint="eastAsia" w:ascii="宋体" w:hAnsi="宋体" w:cs="宋体"/>
          <w:b/>
          <w:bCs/>
          <w:color w:val="auto"/>
          <w:sz w:val="24"/>
          <w:highlight w:val="none"/>
        </w:rPr>
        <w:t>第七章 附件（投标文件格式）</w:t>
      </w:r>
      <w:bookmarkEnd w:id="39"/>
      <w:bookmarkEnd w:id="44"/>
    </w:p>
    <w:p>
      <w:pPr>
        <w:keepNext/>
        <w:keepLines/>
        <w:spacing w:before="260" w:after="260" w:line="440" w:lineRule="exact"/>
        <w:jc w:val="center"/>
        <w:outlineLvl w:val="1"/>
        <w:rPr>
          <w:rFonts w:ascii="宋体" w:hAnsi="宋体" w:cs="宋体"/>
          <w:b/>
          <w:bCs/>
          <w:color w:val="auto"/>
          <w:sz w:val="24"/>
          <w:highlight w:val="none"/>
        </w:rPr>
      </w:pPr>
      <w:bookmarkStart w:id="45" w:name="_Toc31827"/>
      <w:bookmarkStart w:id="46" w:name="_Toc6548"/>
      <w:bookmarkStart w:id="47" w:name="_Toc19494"/>
      <w:bookmarkStart w:id="48" w:name="_Toc5116"/>
      <w:r>
        <w:rPr>
          <w:rFonts w:hint="eastAsia" w:ascii="宋体" w:hAnsi="宋体" w:cs="宋体"/>
          <w:b/>
          <w:bCs/>
          <w:color w:val="auto"/>
          <w:sz w:val="24"/>
          <w:highlight w:val="none"/>
        </w:rPr>
        <w:t>1、投标文件密封袋/封面参考</w:t>
      </w:r>
      <w:bookmarkEnd w:id="45"/>
      <w:bookmarkEnd w:id="46"/>
      <w:bookmarkEnd w:id="47"/>
      <w:bookmarkEnd w:id="48"/>
    </w:p>
    <w:tbl>
      <w:tblPr>
        <w:tblStyle w:val="18"/>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7"/>
              <w:tabs>
                <w:tab w:val="left" w:pos="562"/>
                <w:tab w:val="left" w:pos="3372"/>
                <w:tab w:val="left" w:pos="3653"/>
              </w:tabs>
              <w:spacing w:line="360" w:lineRule="auto"/>
              <w:rPr>
                <w:rFonts w:ascii="仿宋_GB2312" w:eastAsia="仿宋_GB2312"/>
                <w:b/>
                <w:color w:val="auto"/>
                <w:sz w:val="32"/>
                <w:highlight w:val="none"/>
              </w:rPr>
            </w:pPr>
          </w:p>
          <w:p>
            <w:pPr>
              <w:pStyle w:val="7"/>
              <w:tabs>
                <w:tab w:val="left" w:pos="562"/>
                <w:tab w:val="left" w:pos="3372"/>
                <w:tab w:val="left" w:pos="3653"/>
              </w:tabs>
              <w:spacing w:line="360" w:lineRule="auto"/>
              <w:jc w:val="center"/>
              <w:rPr>
                <w:rFonts w:ascii="黑体" w:eastAsia="黑体"/>
                <w:b/>
                <w:color w:val="auto"/>
                <w:sz w:val="72"/>
                <w:szCs w:val="72"/>
                <w:highlight w:val="none"/>
              </w:rPr>
            </w:pPr>
          </w:p>
          <w:p>
            <w:pPr>
              <w:pStyle w:val="7"/>
              <w:tabs>
                <w:tab w:val="left" w:pos="562"/>
                <w:tab w:val="left" w:pos="3372"/>
                <w:tab w:val="left" w:pos="3653"/>
              </w:tabs>
              <w:spacing w:line="360" w:lineRule="auto"/>
              <w:jc w:val="center"/>
              <w:rPr>
                <w:rFonts w:ascii="黑体" w:eastAsia="黑体"/>
                <w:b/>
                <w:color w:val="auto"/>
                <w:sz w:val="72"/>
                <w:szCs w:val="72"/>
                <w:highlight w:val="none"/>
              </w:rPr>
            </w:pPr>
            <w:r>
              <w:rPr>
                <w:rFonts w:hint="eastAsia" w:ascii="黑体" w:eastAsia="黑体"/>
                <w:b/>
                <w:color w:val="auto"/>
                <w:sz w:val="72"/>
                <w:szCs w:val="72"/>
                <w:highlight w:val="none"/>
              </w:rPr>
              <w:t>投 标 文 件</w:t>
            </w:r>
          </w:p>
          <w:p>
            <w:pPr>
              <w:pStyle w:val="7"/>
              <w:tabs>
                <w:tab w:val="left" w:pos="562"/>
                <w:tab w:val="left" w:pos="3372"/>
                <w:tab w:val="left" w:pos="3653"/>
              </w:tabs>
              <w:spacing w:line="360" w:lineRule="auto"/>
              <w:jc w:val="center"/>
              <w:rPr>
                <w:rFonts w:ascii="黑体" w:eastAsia="黑体"/>
                <w:b/>
                <w:strike/>
                <w:color w:val="auto"/>
                <w:sz w:val="32"/>
                <w:highlight w:val="none"/>
              </w:rPr>
            </w:pPr>
          </w:p>
          <w:p>
            <w:pPr>
              <w:spacing w:after="120" w:line="360" w:lineRule="auto"/>
              <w:ind w:firstLine="3385" w:firstLineChars="651"/>
              <w:textAlignment w:val="baseline"/>
              <w:rPr>
                <w:rFonts w:ascii="黑体" w:eastAsia="黑体"/>
                <w:color w:val="auto"/>
                <w:sz w:val="32"/>
                <w:highlight w:val="none"/>
              </w:rPr>
            </w:pPr>
            <w:r>
              <w:rPr>
                <w:rFonts w:hint="eastAsia" w:ascii="黑体" w:eastAsia="黑体"/>
                <w:color w:val="auto"/>
                <w:sz w:val="52"/>
                <w:szCs w:val="52"/>
                <w:highlight w:val="none"/>
              </w:rPr>
              <w:t xml:space="preserve">口 </w:t>
            </w:r>
            <w:r>
              <w:rPr>
                <w:rFonts w:hint="eastAsia" w:ascii="黑体" w:eastAsia="黑体"/>
                <w:color w:val="auto"/>
                <w:sz w:val="32"/>
                <w:highlight w:val="none"/>
              </w:rPr>
              <w:t>正本</w:t>
            </w:r>
          </w:p>
          <w:p>
            <w:pPr>
              <w:spacing w:after="120" w:line="360" w:lineRule="auto"/>
              <w:ind w:firstLine="3385" w:firstLineChars="651"/>
              <w:textAlignment w:val="baseline"/>
              <w:rPr>
                <w:rFonts w:ascii="黑体" w:eastAsia="黑体"/>
                <w:color w:val="auto"/>
                <w:sz w:val="32"/>
                <w:highlight w:val="none"/>
              </w:rPr>
            </w:pPr>
            <w:r>
              <w:rPr>
                <w:rFonts w:hint="eastAsia" w:ascii="黑体" w:eastAsia="黑体"/>
                <w:color w:val="auto"/>
                <w:sz w:val="52"/>
                <w:szCs w:val="52"/>
                <w:highlight w:val="none"/>
              </w:rPr>
              <w:t xml:space="preserve">口 </w:t>
            </w:r>
            <w:r>
              <w:rPr>
                <w:rFonts w:hint="eastAsia" w:ascii="黑体" w:eastAsia="黑体"/>
                <w:color w:val="auto"/>
                <w:sz w:val="32"/>
                <w:highlight w:val="none"/>
              </w:rPr>
              <w:t>副本</w:t>
            </w:r>
          </w:p>
          <w:p>
            <w:pPr>
              <w:pStyle w:val="7"/>
              <w:tabs>
                <w:tab w:val="left" w:pos="562"/>
                <w:tab w:val="left" w:pos="3372"/>
                <w:tab w:val="left" w:pos="3653"/>
              </w:tabs>
              <w:spacing w:line="360" w:lineRule="auto"/>
              <w:rPr>
                <w:rFonts w:ascii="仿宋_GB2312" w:eastAsia="仿宋_GB2312"/>
                <w:b/>
                <w:color w:val="auto"/>
                <w:sz w:val="32"/>
                <w:highlight w:val="none"/>
              </w:rPr>
            </w:pPr>
          </w:p>
          <w:p>
            <w:pPr>
              <w:rPr>
                <w:color w:val="auto"/>
                <w:highlight w:val="none"/>
              </w:rPr>
            </w:pPr>
          </w:p>
          <w:p>
            <w:pPr>
              <w:pStyle w:val="7"/>
              <w:tabs>
                <w:tab w:val="left" w:pos="562"/>
                <w:tab w:val="left" w:pos="3372"/>
                <w:tab w:val="left" w:pos="3653"/>
              </w:tabs>
              <w:spacing w:line="400" w:lineRule="exact"/>
              <w:ind w:firstLine="900" w:firstLineChars="320"/>
              <w:rPr>
                <w:rFonts w:ascii="仿宋_GB2312" w:eastAsia="仿宋_GB2312"/>
                <w:b/>
                <w:color w:val="auto"/>
                <w:sz w:val="28"/>
                <w:szCs w:val="28"/>
                <w:highlight w:val="none"/>
              </w:rPr>
            </w:pPr>
          </w:p>
          <w:p>
            <w:pPr>
              <w:pStyle w:val="7"/>
              <w:tabs>
                <w:tab w:val="left" w:pos="562"/>
                <w:tab w:val="left" w:pos="3372"/>
                <w:tab w:val="left" w:pos="3653"/>
              </w:tabs>
              <w:spacing w:line="400" w:lineRule="exact"/>
              <w:ind w:firstLine="900" w:firstLineChars="320"/>
              <w:rPr>
                <w:rFonts w:ascii="宋体" w:hAnsi="宋体" w:cs="宋体"/>
                <w:b/>
                <w:color w:val="auto"/>
                <w:sz w:val="28"/>
                <w:szCs w:val="28"/>
                <w:highlight w:val="none"/>
              </w:rPr>
            </w:pPr>
            <w:r>
              <w:rPr>
                <w:rFonts w:hint="eastAsia" w:ascii="宋体" w:hAnsi="宋体" w:cs="宋体"/>
                <w:b/>
                <w:color w:val="auto"/>
                <w:sz w:val="28"/>
                <w:szCs w:val="28"/>
                <w:highlight w:val="none"/>
              </w:rPr>
              <w:t>项目编号：</w:t>
            </w:r>
            <w:r>
              <w:rPr>
                <w:rFonts w:hint="eastAsia" w:ascii="宋体" w:hAnsi="宋体" w:cs="Arial"/>
                <w:b/>
                <w:bCs/>
                <w:color w:val="auto"/>
                <w:sz w:val="28"/>
                <w:szCs w:val="28"/>
                <w:highlight w:val="none"/>
                <w:u w:val="single"/>
              </w:rPr>
              <w:t xml:space="preserve">                                   </w:t>
            </w:r>
          </w:p>
          <w:p>
            <w:pPr>
              <w:pStyle w:val="7"/>
              <w:tabs>
                <w:tab w:val="left" w:pos="562"/>
                <w:tab w:val="left" w:pos="3372"/>
                <w:tab w:val="left" w:pos="3653"/>
              </w:tabs>
              <w:spacing w:line="400" w:lineRule="exact"/>
              <w:ind w:firstLine="900" w:firstLineChars="320"/>
              <w:rPr>
                <w:rFonts w:ascii="宋体" w:hAnsi="宋体" w:cs="宋体"/>
                <w:b/>
                <w:color w:val="auto"/>
                <w:sz w:val="28"/>
                <w:szCs w:val="28"/>
                <w:highlight w:val="none"/>
              </w:rPr>
            </w:pPr>
            <w:r>
              <w:rPr>
                <w:rFonts w:hint="eastAsia" w:ascii="宋体" w:hAnsi="宋体" w:cs="宋体"/>
                <w:b/>
                <w:color w:val="auto"/>
                <w:sz w:val="28"/>
                <w:szCs w:val="28"/>
                <w:highlight w:val="none"/>
              </w:rPr>
              <w:t>项目名称：</w:t>
            </w:r>
            <w:r>
              <w:rPr>
                <w:rFonts w:hint="eastAsia" w:ascii="宋体" w:hAnsi="宋体" w:cs="Arial"/>
                <w:b/>
                <w:bCs/>
                <w:color w:val="auto"/>
                <w:sz w:val="28"/>
                <w:szCs w:val="28"/>
                <w:highlight w:val="none"/>
                <w:u w:val="single"/>
              </w:rPr>
              <w:t xml:space="preserve">                                   </w:t>
            </w:r>
          </w:p>
          <w:p>
            <w:pPr>
              <w:pStyle w:val="7"/>
              <w:tabs>
                <w:tab w:val="left" w:pos="562"/>
                <w:tab w:val="left" w:pos="3372"/>
                <w:tab w:val="left" w:pos="3653"/>
              </w:tabs>
              <w:spacing w:line="400" w:lineRule="exact"/>
              <w:ind w:firstLine="900" w:firstLineChars="320"/>
              <w:rPr>
                <w:rFonts w:ascii="宋体" w:hAnsi="宋体" w:cs="宋体"/>
                <w:b/>
                <w:color w:val="auto"/>
                <w:sz w:val="28"/>
                <w:szCs w:val="28"/>
                <w:highlight w:val="none"/>
              </w:rPr>
            </w:pPr>
            <w:r>
              <w:rPr>
                <w:rFonts w:hint="eastAsia" w:ascii="宋体" w:hAnsi="宋体" w:cs="宋体"/>
                <w:b/>
                <w:color w:val="auto"/>
                <w:sz w:val="28"/>
                <w:szCs w:val="28"/>
                <w:highlight w:val="none"/>
              </w:rPr>
              <w:t>投标人名称：</w:t>
            </w:r>
            <w:r>
              <w:rPr>
                <w:rFonts w:hint="eastAsia" w:ascii="宋体" w:hAnsi="宋体" w:cs="Arial"/>
                <w:b/>
                <w:bCs/>
                <w:color w:val="auto"/>
                <w:sz w:val="28"/>
                <w:szCs w:val="28"/>
                <w:highlight w:val="none"/>
                <w:u w:val="single"/>
              </w:rPr>
              <w:t xml:space="preserve">                     （加盖公章）</w:t>
            </w:r>
          </w:p>
          <w:p>
            <w:pPr>
              <w:pStyle w:val="7"/>
              <w:tabs>
                <w:tab w:val="left" w:pos="562"/>
                <w:tab w:val="left" w:pos="3372"/>
                <w:tab w:val="left" w:pos="3653"/>
              </w:tabs>
              <w:spacing w:line="400" w:lineRule="exact"/>
              <w:ind w:firstLine="900" w:firstLineChars="320"/>
              <w:rPr>
                <w:rFonts w:ascii="宋体" w:hAnsi="宋体" w:cs="Arial"/>
                <w:b/>
                <w:bCs/>
                <w:color w:val="auto"/>
                <w:sz w:val="28"/>
                <w:szCs w:val="28"/>
                <w:highlight w:val="none"/>
                <w:u w:val="single"/>
              </w:rPr>
            </w:pPr>
            <w:r>
              <w:rPr>
                <w:rFonts w:hint="eastAsia" w:ascii="宋体" w:hAnsi="宋体" w:cs="宋体"/>
                <w:b/>
                <w:color w:val="auto"/>
                <w:sz w:val="28"/>
                <w:szCs w:val="28"/>
                <w:highlight w:val="none"/>
              </w:rPr>
              <w:t>投标人地址：</w:t>
            </w:r>
            <w:r>
              <w:rPr>
                <w:rFonts w:hint="eastAsia" w:ascii="宋体" w:hAnsi="宋体" w:cs="Arial"/>
                <w:b/>
                <w:bCs/>
                <w:color w:val="auto"/>
                <w:sz w:val="28"/>
                <w:szCs w:val="28"/>
                <w:highlight w:val="none"/>
                <w:u w:val="single"/>
              </w:rPr>
              <w:t xml:space="preserve">                                 </w:t>
            </w:r>
          </w:p>
          <w:p>
            <w:pPr>
              <w:pStyle w:val="7"/>
              <w:tabs>
                <w:tab w:val="left" w:pos="562"/>
                <w:tab w:val="left" w:pos="3372"/>
                <w:tab w:val="left" w:pos="3653"/>
              </w:tabs>
              <w:spacing w:line="400" w:lineRule="exact"/>
              <w:ind w:firstLine="900" w:firstLineChars="320"/>
              <w:rPr>
                <w:rFonts w:ascii="宋体" w:hAnsi="宋体" w:cs="Arial"/>
                <w:b/>
                <w:bCs/>
                <w:color w:val="auto"/>
                <w:sz w:val="28"/>
                <w:szCs w:val="28"/>
                <w:highlight w:val="none"/>
                <w:u w:val="single"/>
              </w:rPr>
            </w:pPr>
            <w:r>
              <w:rPr>
                <w:rFonts w:hint="eastAsia" w:ascii="宋体" w:hAnsi="宋体" w:cs="Arial"/>
                <w:b/>
                <w:bCs/>
                <w:color w:val="auto"/>
                <w:sz w:val="28"/>
                <w:szCs w:val="28"/>
                <w:highlight w:val="none"/>
              </w:rPr>
              <w:t>法定代表人/被授权人：</w:t>
            </w:r>
            <w:r>
              <w:rPr>
                <w:rFonts w:hint="eastAsia" w:ascii="宋体" w:hAnsi="宋体" w:cs="Arial"/>
                <w:b/>
                <w:bCs/>
                <w:color w:val="auto"/>
                <w:sz w:val="28"/>
                <w:szCs w:val="28"/>
                <w:highlight w:val="none"/>
                <w:u w:val="single"/>
              </w:rPr>
              <w:t xml:space="preserve">                        </w:t>
            </w:r>
          </w:p>
          <w:p>
            <w:pPr>
              <w:pStyle w:val="7"/>
              <w:tabs>
                <w:tab w:val="left" w:pos="562"/>
                <w:tab w:val="left" w:pos="3372"/>
                <w:tab w:val="left" w:pos="3653"/>
              </w:tabs>
              <w:spacing w:line="400" w:lineRule="exact"/>
              <w:ind w:firstLine="900" w:firstLineChars="320"/>
              <w:rPr>
                <w:rFonts w:ascii="宋体" w:hAnsi="宋体" w:cs="宋体"/>
                <w:b/>
                <w:color w:val="auto"/>
                <w:sz w:val="28"/>
                <w:szCs w:val="28"/>
                <w:highlight w:val="none"/>
              </w:rPr>
            </w:pPr>
            <w:r>
              <w:rPr>
                <w:rFonts w:hint="eastAsia" w:ascii="宋体" w:hAnsi="宋体" w:cs="Arial"/>
                <w:b/>
                <w:bCs/>
                <w:color w:val="auto"/>
                <w:sz w:val="28"/>
                <w:szCs w:val="28"/>
                <w:highlight w:val="none"/>
              </w:rPr>
              <w:t>联系电话：</w:t>
            </w:r>
            <w:r>
              <w:rPr>
                <w:rFonts w:hint="eastAsia" w:ascii="宋体" w:hAnsi="宋体" w:cs="Arial"/>
                <w:b/>
                <w:bCs/>
                <w:color w:val="auto"/>
                <w:sz w:val="28"/>
                <w:szCs w:val="28"/>
                <w:highlight w:val="none"/>
                <w:u w:val="single"/>
              </w:rPr>
              <w:t xml:space="preserve">                                   </w:t>
            </w:r>
          </w:p>
          <w:p>
            <w:pPr>
              <w:spacing w:line="360" w:lineRule="auto"/>
              <w:jc w:val="center"/>
              <w:rPr>
                <w:rFonts w:ascii="宋体" w:hAnsi="宋体" w:cs="Arial"/>
                <w:b/>
                <w:bCs/>
                <w:color w:val="auto"/>
                <w:sz w:val="28"/>
                <w:szCs w:val="28"/>
                <w:highlight w:val="none"/>
              </w:rPr>
            </w:pPr>
          </w:p>
          <w:p>
            <w:pPr>
              <w:spacing w:line="360" w:lineRule="auto"/>
              <w:jc w:val="center"/>
              <w:rPr>
                <w:rFonts w:ascii="宋体" w:hAnsi="宋体" w:cs="Arial"/>
                <w:b/>
                <w:bCs/>
                <w:color w:val="auto"/>
                <w:sz w:val="28"/>
                <w:szCs w:val="28"/>
                <w:highlight w:val="none"/>
              </w:rPr>
            </w:pPr>
          </w:p>
          <w:p>
            <w:pPr>
              <w:spacing w:line="360" w:lineRule="auto"/>
              <w:jc w:val="center"/>
              <w:rPr>
                <w:rFonts w:ascii="仿宋_GB2312" w:eastAsia="仿宋_GB2312"/>
                <w:b/>
                <w:color w:val="auto"/>
                <w:sz w:val="32"/>
                <w:highlight w:val="none"/>
              </w:rPr>
            </w:pPr>
            <w:r>
              <w:rPr>
                <w:rFonts w:hint="eastAsia" w:ascii="宋体" w:hAnsi="宋体" w:cs="Arial"/>
                <w:b/>
                <w:bCs/>
                <w:color w:val="auto"/>
                <w:sz w:val="28"/>
                <w:szCs w:val="28"/>
                <w:highlight w:val="none"/>
              </w:rPr>
              <w:t>【年月日时分之前不得启封。】</w:t>
            </w:r>
          </w:p>
        </w:tc>
      </w:tr>
    </w:tbl>
    <w:p>
      <w:pPr>
        <w:spacing w:line="360" w:lineRule="auto"/>
        <w:jc w:val="center"/>
        <w:rPr>
          <w:rFonts w:ascii="宋体" w:hAnsi="宋体" w:cs="宋体"/>
          <w:b/>
          <w:bCs/>
          <w:color w:val="auto"/>
          <w:sz w:val="24"/>
          <w:highlight w:val="none"/>
        </w:rPr>
      </w:pPr>
    </w:p>
    <w:p>
      <w:pPr>
        <w:spacing w:before="100" w:beforeAutospacing="1" w:after="100" w:afterAutospacing="1"/>
        <w:jc w:val="center"/>
        <w:outlineLvl w:val="1"/>
        <w:rPr>
          <w:rFonts w:ascii="宋体" w:hAnsi="宋体" w:cs="宋体"/>
          <w:b/>
          <w:color w:val="auto"/>
          <w:sz w:val="24"/>
          <w:highlight w:val="none"/>
        </w:rPr>
      </w:pPr>
      <w:bookmarkStart w:id="49" w:name="_Toc16724"/>
      <w:r>
        <w:rPr>
          <w:rFonts w:hint="eastAsia" w:ascii="宋体" w:hAnsi="宋体" w:cs="宋体"/>
          <w:b/>
          <w:color w:val="auto"/>
          <w:sz w:val="24"/>
          <w:highlight w:val="none"/>
        </w:rPr>
        <w:t>2、投标文件—目录</w:t>
      </w:r>
      <w:bookmarkEnd w:id="49"/>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（一）</w:t>
      </w:r>
      <w:r>
        <w:rPr>
          <w:rFonts w:hint="eastAsia" w:ascii="宋体" w:hAnsi="宋体" w:cs="宋体"/>
          <w:b/>
          <w:bCs/>
          <w:color w:val="auto"/>
          <w:sz w:val="24"/>
          <w:highlight w:val="none"/>
          <w:lang w:val="zh-CN"/>
        </w:rPr>
        <w:t>价格部分</w:t>
      </w:r>
    </w:p>
    <w:p>
      <w:pPr>
        <w:numPr>
          <w:ilvl w:val="0"/>
          <w:numId w:val="7"/>
        </w:numPr>
        <w:tabs>
          <w:tab w:val="left" w:pos="640"/>
          <w:tab w:val="clear" w:pos="425"/>
        </w:tabs>
        <w:spacing w:line="360" w:lineRule="auto"/>
        <w:ind w:left="625" w:hanging="625"/>
        <w:rPr>
          <w:rFonts w:ascii="宋体" w:hAnsi="宋体" w:cs="宋体"/>
          <w:color w:val="auto"/>
          <w:sz w:val="24"/>
          <w:highlight w:val="none"/>
        </w:rPr>
      </w:pPr>
      <w:r>
        <w:rPr>
          <w:rFonts w:hint="eastAsia" w:ascii="宋体" w:hAnsi="宋体" w:cs="宋体"/>
          <w:color w:val="auto"/>
          <w:sz w:val="24"/>
          <w:highlight w:val="none"/>
        </w:rPr>
        <w:t>投标一览表；</w:t>
      </w:r>
    </w:p>
    <w:p>
      <w:pPr>
        <w:numPr>
          <w:ilvl w:val="0"/>
          <w:numId w:val="7"/>
        </w:numPr>
        <w:tabs>
          <w:tab w:val="left" w:pos="640"/>
          <w:tab w:val="clear" w:pos="425"/>
        </w:tabs>
        <w:spacing w:line="360" w:lineRule="auto"/>
        <w:ind w:left="625" w:hanging="625"/>
        <w:rPr>
          <w:rFonts w:ascii="宋体" w:hAnsi="宋体" w:cs="宋体"/>
          <w:color w:val="auto"/>
          <w:sz w:val="24"/>
          <w:highlight w:val="none"/>
        </w:rPr>
      </w:pPr>
      <w:r>
        <w:rPr>
          <w:rFonts w:hint="eastAsia" w:ascii="宋体" w:hAnsi="宋体" w:cs="宋体"/>
          <w:color w:val="auto"/>
          <w:sz w:val="24"/>
          <w:highlight w:val="none"/>
        </w:rPr>
        <w:t>分类报价明细表；</w:t>
      </w:r>
    </w:p>
    <w:p>
      <w:pPr>
        <w:spacing w:line="360" w:lineRule="auto"/>
        <w:rPr>
          <w:rFonts w:ascii="宋体" w:hAnsi="宋体" w:cs="宋体"/>
          <w:b/>
          <w:bCs/>
          <w:color w:val="auto"/>
          <w:sz w:val="24"/>
          <w:highlight w:val="none"/>
          <w:u w:val="wave"/>
        </w:rPr>
      </w:pPr>
      <w:r>
        <w:rPr>
          <w:rFonts w:hint="eastAsia" w:ascii="宋体" w:hAnsi="宋体" w:cs="宋体"/>
          <w:b/>
          <w:bCs/>
          <w:color w:val="auto"/>
          <w:sz w:val="24"/>
          <w:highlight w:val="none"/>
        </w:rPr>
        <w:t>（二）商务部分</w:t>
      </w:r>
    </w:p>
    <w:p>
      <w:pPr>
        <w:numPr>
          <w:ilvl w:val="0"/>
          <w:numId w:val="8"/>
        </w:numPr>
        <w:tabs>
          <w:tab w:val="left" w:pos="640"/>
          <w:tab w:val="left" w:pos="1260"/>
          <w:tab w:val="left" w:pos="1418"/>
        </w:tabs>
        <w:spacing w:line="360" w:lineRule="auto"/>
        <w:ind w:left="845" w:hanging="845"/>
        <w:rPr>
          <w:rFonts w:ascii="宋体" w:hAnsi="宋体" w:cs="宋体"/>
          <w:color w:val="auto"/>
          <w:sz w:val="24"/>
          <w:highlight w:val="none"/>
        </w:rPr>
      </w:pPr>
      <w:r>
        <w:rPr>
          <w:rFonts w:hint="eastAsia" w:ascii="宋体" w:hAnsi="宋体" w:cs="宋体"/>
          <w:color w:val="auto"/>
          <w:sz w:val="24"/>
          <w:highlight w:val="none"/>
        </w:rPr>
        <w:t>投标响应书；</w:t>
      </w:r>
    </w:p>
    <w:p>
      <w:pPr>
        <w:numPr>
          <w:ilvl w:val="0"/>
          <w:numId w:val="8"/>
        </w:numPr>
        <w:tabs>
          <w:tab w:val="left" w:pos="640"/>
          <w:tab w:val="left" w:pos="1260"/>
          <w:tab w:val="left" w:pos="1418"/>
        </w:tabs>
        <w:spacing w:line="360" w:lineRule="auto"/>
        <w:ind w:left="645" w:hanging="645"/>
        <w:rPr>
          <w:rFonts w:ascii="宋体" w:hAnsi="宋体" w:cs="宋体"/>
          <w:color w:val="auto"/>
          <w:sz w:val="24"/>
          <w:highlight w:val="none"/>
          <w:lang w:val="fr-CH"/>
        </w:rPr>
      </w:pPr>
      <w:r>
        <w:rPr>
          <w:rFonts w:hint="eastAsia" w:ascii="宋体" w:hAnsi="宋体" w:cs="宋体"/>
          <w:color w:val="auto"/>
          <w:sz w:val="24"/>
          <w:highlight w:val="none"/>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8"/>
        </w:numPr>
        <w:tabs>
          <w:tab w:val="left" w:pos="640"/>
          <w:tab w:val="left" w:pos="1260"/>
          <w:tab w:val="left" w:pos="1418"/>
        </w:tabs>
        <w:spacing w:line="360" w:lineRule="auto"/>
        <w:ind w:left="645" w:hanging="645"/>
        <w:rPr>
          <w:rFonts w:ascii="宋体" w:hAnsi="宋体" w:cs="宋体"/>
          <w:b/>
          <w:bCs/>
          <w:color w:val="auto"/>
          <w:sz w:val="24"/>
          <w:highlight w:val="none"/>
          <w:lang w:val="fr-CH"/>
        </w:rPr>
      </w:pPr>
      <w:r>
        <w:rPr>
          <w:rFonts w:hint="eastAsia" w:ascii="宋体" w:hAnsi="宋体" w:cs="宋体"/>
          <w:color w:val="auto"/>
          <w:sz w:val="24"/>
          <w:highlight w:val="none"/>
          <w:lang w:val="fr-CH"/>
        </w:rPr>
        <w:t>政府采购投标及履约承诺函；</w:t>
      </w:r>
    </w:p>
    <w:p>
      <w:pPr>
        <w:numPr>
          <w:ilvl w:val="0"/>
          <w:numId w:val="8"/>
        </w:numPr>
        <w:tabs>
          <w:tab w:val="left" w:pos="640"/>
          <w:tab w:val="left" w:pos="1260"/>
          <w:tab w:val="left" w:pos="1418"/>
        </w:tabs>
        <w:spacing w:line="360" w:lineRule="auto"/>
        <w:ind w:left="645" w:hanging="645"/>
        <w:rPr>
          <w:rFonts w:ascii="宋体" w:hAnsi="宋体" w:cs="宋体"/>
          <w:color w:val="auto"/>
          <w:sz w:val="24"/>
          <w:highlight w:val="none"/>
          <w:lang w:val="fr-CH"/>
        </w:rPr>
      </w:pPr>
      <w:r>
        <w:rPr>
          <w:rFonts w:hint="eastAsia" w:ascii="宋体" w:hAnsi="宋体" w:cs="宋体"/>
          <w:color w:val="auto"/>
          <w:sz w:val="24"/>
          <w:highlight w:val="none"/>
          <w:lang w:val="fr-CH"/>
        </w:rPr>
        <w:t>关于资格的声明函；</w:t>
      </w:r>
    </w:p>
    <w:p>
      <w:pPr>
        <w:numPr>
          <w:ilvl w:val="0"/>
          <w:numId w:val="8"/>
        </w:numPr>
        <w:tabs>
          <w:tab w:val="left" w:pos="640"/>
          <w:tab w:val="left" w:pos="1260"/>
          <w:tab w:val="left" w:pos="1418"/>
        </w:tabs>
        <w:spacing w:line="360" w:lineRule="auto"/>
        <w:ind w:left="645" w:hanging="645"/>
        <w:rPr>
          <w:rFonts w:ascii="宋体" w:hAnsi="宋体" w:cs="宋体"/>
          <w:b/>
          <w:bCs/>
          <w:color w:val="auto"/>
          <w:sz w:val="24"/>
          <w:highlight w:val="none"/>
          <w:lang w:val="fr-CH"/>
        </w:rPr>
      </w:pPr>
      <w:r>
        <w:rPr>
          <w:rFonts w:hint="eastAsia" w:ascii="宋体" w:hAnsi="宋体" w:cs="宋体"/>
          <w:color w:val="auto"/>
          <w:sz w:val="24"/>
          <w:highlight w:val="none"/>
          <w:lang w:val="fr-CH"/>
        </w:rPr>
        <w:t>法人代表证明书及身份证明；</w:t>
      </w:r>
    </w:p>
    <w:p>
      <w:pPr>
        <w:numPr>
          <w:ilvl w:val="0"/>
          <w:numId w:val="8"/>
        </w:numPr>
        <w:tabs>
          <w:tab w:val="left" w:pos="640"/>
          <w:tab w:val="left" w:pos="1260"/>
          <w:tab w:val="left" w:pos="1418"/>
        </w:tabs>
        <w:spacing w:line="360" w:lineRule="auto"/>
        <w:ind w:left="845" w:hanging="845"/>
        <w:rPr>
          <w:rFonts w:ascii="宋体" w:hAnsi="宋体" w:cs="宋体"/>
          <w:color w:val="auto"/>
          <w:sz w:val="24"/>
          <w:highlight w:val="none"/>
          <w:lang w:val="fr-CH"/>
        </w:rPr>
      </w:pPr>
      <w:r>
        <w:rPr>
          <w:rFonts w:hint="eastAsia" w:ascii="宋体" w:hAnsi="宋体" w:cs="宋体"/>
          <w:color w:val="auto"/>
          <w:sz w:val="24"/>
          <w:highlight w:val="none"/>
          <w:lang w:val="fr-CH"/>
        </w:rPr>
        <w:t>法定代表人授权书及身份证明；</w:t>
      </w:r>
    </w:p>
    <w:p>
      <w:pPr>
        <w:numPr>
          <w:ilvl w:val="0"/>
          <w:numId w:val="8"/>
        </w:numPr>
        <w:tabs>
          <w:tab w:val="left" w:pos="640"/>
          <w:tab w:val="left" w:pos="1260"/>
          <w:tab w:val="left" w:pos="1418"/>
        </w:tabs>
        <w:spacing w:line="360" w:lineRule="auto"/>
        <w:ind w:left="845" w:hanging="845"/>
        <w:rPr>
          <w:rFonts w:ascii="宋体" w:hAnsi="宋体" w:cs="宋体"/>
          <w:b/>
          <w:bCs/>
          <w:color w:val="auto"/>
          <w:sz w:val="24"/>
          <w:highlight w:val="none"/>
          <w:lang w:val="fr-CH"/>
        </w:rPr>
      </w:pPr>
      <w:r>
        <w:rPr>
          <w:rFonts w:hint="eastAsia" w:ascii="宋体" w:hAnsi="宋体" w:cs="宋体"/>
          <w:color w:val="auto"/>
          <w:sz w:val="24"/>
          <w:highlight w:val="none"/>
          <w:lang w:val="fr-CH"/>
        </w:rPr>
        <w:t>招标代理服务费承诺书；</w:t>
      </w:r>
    </w:p>
    <w:p>
      <w:pPr>
        <w:numPr>
          <w:ilvl w:val="0"/>
          <w:numId w:val="8"/>
        </w:numPr>
        <w:tabs>
          <w:tab w:val="left" w:pos="640"/>
          <w:tab w:val="left" w:pos="1260"/>
          <w:tab w:val="left" w:pos="1418"/>
        </w:tabs>
        <w:spacing w:line="360" w:lineRule="auto"/>
        <w:ind w:left="845" w:hanging="845"/>
        <w:rPr>
          <w:rFonts w:ascii="宋体" w:hAnsi="宋体" w:cs="宋体"/>
          <w:color w:val="auto"/>
          <w:sz w:val="24"/>
          <w:highlight w:val="none"/>
          <w:lang w:val="fr-CH"/>
        </w:rPr>
      </w:pPr>
      <w:r>
        <w:rPr>
          <w:rFonts w:hint="eastAsia" w:ascii="宋体" w:hAnsi="宋体" w:cs="宋体"/>
          <w:color w:val="auto"/>
          <w:sz w:val="24"/>
          <w:highlight w:val="none"/>
          <w:lang w:val="fr-CH"/>
        </w:rPr>
        <w:t>投标人简介；</w:t>
      </w:r>
    </w:p>
    <w:p>
      <w:pPr>
        <w:numPr>
          <w:ilvl w:val="0"/>
          <w:numId w:val="8"/>
        </w:numPr>
        <w:tabs>
          <w:tab w:val="left" w:pos="640"/>
          <w:tab w:val="left" w:pos="840"/>
          <w:tab w:val="left" w:pos="1260"/>
          <w:tab w:val="left" w:pos="1418"/>
        </w:tabs>
        <w:spacing w:line="360" w:lineRule="auto"/>
        <w:ind w:left="845" w:hanging="845"/>
        <w:rPr>
          <w:rFonts w:ascii="宋体" w:hAnsi="宋体" w:cs="宋体"/>
          <w:color w:val="auto"/>
          <w:sz w:val="24"/>
          <w:highlight w:val="none"/>
          <w:lang w:val="fr-CH"/>
        </w:rPr>
      </w:pPr>
      <w:bookmarkStart w:id="50" w:name="OLE_LINK29"/>
      <w:r>
        <w:rPr>
          <w:rFonts w:hint="eastAsia" w:ascii="宋体" w:hAnsi="宋体" w:cs="宋体"/>
          <w:color w:val="auto"/>
          <w:sz w:val="24"/>
          <w:highlight w:val="none"/>
          <w:lang w:val="fr-CH"/>
        </w:rPr>
        <w:t>相关项目经验；</w:t>
      </w:r>
    </w:p>
    <w:p>
      <w:pPr>
        <w:numPr>
          <w:ilvl w:val="0"/>
          <w:numId w:val="8"/>
        </w:numPr>
        <w:tabs>
          <w:tab w:val="left" w:pos="640"/>
          <w:tab w:val="left" w:pos="840"/>
          <w:tab w:val="left" w:pos="1260"/>
          <w:tab w:val="left" w:pos="1418"/>
        </w:tabs>
        <w:spacing w:line="360" w:lineRule="auto"/>
        <w:ind w:left="845" w:hanging="845"/>
        <w:rPr>
          <w:rFonts w:ascii="宋体" w:hAnsi="宋体" w:cs="宋体"/>
          <w:color w:val="auto"/>
          <w:sz w:val="24"/>
          <w:highlight w:val="none"/>
          <w:lang w:val="fr-CH"/>
        </w:rPr>
      </w:pPr>
      <w:r>
        <w:rPr>
          <w:rFonts w:hint="eastAsia" w:ascii="宋体" w:hAnsi="宋体" w:cs="宋体"/>
          <w:color w:val="auto"/>
          <w:sz w:val="24"/>
          <w:highlight w:val="none"/>
          <w:lang w:val="fr-CH"/>
        </w:rPr>
        <w:t>拟安排项目负责人（仅一人）情况；</w:t>
      </w:r>
    </w:p>
    <w:p>
      <w:pPr>
        <w:numPr>
          <w:ilvl w:val="0"/>
          <w:numId w:val="8"/>
        </w:numPr>
        <w:tabs>
          <w:tab w:val="left" w:pos="640"/>
          <w:tab w:val="left" w:pos="840"/>
          <w:tab w:val="left" w:pos="1260"/>
          <w:tab w:val="left" w:pos="1418"/>
        </w:tabs>
        <w:spacing w:line="360" w:lineRule="auto"/>
        <w:ind w:left="845" w:hanging="845"/>
        <w:rPr>
          <w:rFonts w:ascii="宋体" w:hAnsi="宋体" w:cs="宋体"/>
          <w:color w:val="auto"/>
          <w:sz w:val="24"/>
          <w:highlight w:val="none"/>
          <w:lang w:val="fr-CH"/>
        </w:rPr>
      </w:pPr>
      <w:r>
        <w:rPr>
          <w:rFonts w:hint="eastAsia" w:ascii="宋体" w:hAnsi="宋体" w:cs="宋体"/>
          <w:color w:val="auto"/>
          <w:sz w:val="24"/>
          <w:highlight w:val="none"/>
          <w:lang w:val="fr-CH"/>
        </w:rPr>
        <w:t>团队成员（项目负责人除外）；</w:t>
      </w:r>
      <w:bookmarkEnd w:id="50"/>
    </w:p>
    <w:p>
      <w:pPr>
        <w:numPr>
          <w:ilvl w:val="0"/>
          <w:numId w:val="8"/>
        </w:numPr>
        <w:tabs>
          <w:tab w:val="left" w:pos="640"/>
          <w:tab w:val="left" w:pos="840"/>
          <w:tab w:val="left" w:pos="1260"/>
          <w:tab w:val="left" w:pos="1418"/>
        </w:tabs>
        <w:spacing w:line="360" w:lineRule="auto"/>
        <w:ind w:left="845" w:hanging="845"/>
        <w:rPr>
          <w:rFonts w:ascii="宋体" w:hAnsi="宋体" w:cs="宋体"/>
          <w:color w:val="auto"/>
          <w:sz w:val="24"/>
          <w:highlight w:val="none"/>
          <w:lang w:val="fr-CH"/>
        </w:rPr>
      </w:pPr>
      <w:r>
        <w:rPr>
          <w:rFonts w:hint="eastAsia" w:ascii="宋体" w:hAnsi="宋体" w:cs="宋体"/>
          <w:color w:val="auto"/>
          <w:sz w:val="24"/>
          <w:highlight w:val="none"/>
          <w:lang w:val="fr-CH"/>
        </w:rPr>
        <w:t>诚信声明与承诺；</w:t>
      </w:r>
    </w:p>
    <w:p>
      <w:pPr>
        <w:numPr>
          <w:ilvl w:val="0"/>
          <w:numId w:val="8"/>
        </w:numPr>
        <w:tabs>
          <w:tab w:val="left" w:pos="640"/>
          <w:tab w:val="left" w:pos="840"/>
          <w:tab w:val="left" w:pos="1260"/>
          <w:tab w:val="left" w:pos="1418"/>
        </w:tabs>
        <w:spacing w:line="360" w:lineRule="auto"/>
        <w:ind w:left="845" w:hanging="845"/>
        <w:rPr>
          <w:rFonts w:ascii="宋体" w:hAnsi="宋体" w:cs="宋体"/>
          <w:color w:val="auto"/>
          <w:sz w:val="24"/>
          <w:highlight w:val="none"/>
        </w:rPr>
      </w:pPr>
      <w:r>
        <w:rPr>
          <w:rFonts w:hint="eastAsia" w:ascii="宋体" w:hAnsi="宋体" w:cs="宋体"/>
          <w:color w:val="auto"/>
          <w:sz w:val="24"/>
          <w:highlight w:val="none"/>
        </w:rPr>
        <w:t>政府采购违法行为风险知悉确认书；</w:t>
      </w:r>
    </w:p>
    <w:p>
      <w:pPr>
        <w:numPr>
          <w:ilvl w:val="0"/>
          <w:numId w:val="8"/>
        </w:numPr>
        <w:tabs>
          <w:tab w:val="left" w:pos="640"/>
          <w:tab w:val="left" w:pos="840"/>
          <w:tab w:val="left" w:pos="1260"/>
          <w:tab w:val="left" w:pos="1418"/>
        </w:tabs>
        <w:spacing w:line="360" w:lineRule="auto"/>
        <w:ind w:left="845" w:hanging="845"/>
        <w:rPr>
          <w:rFonts w:ascii="宋体" w:hAnsi="宋体" w:cs="宋体"/>
          <w:color w:val="auto"/>
          <w:sz w:val="24"/>
          <w:highlight w:val="none"/>
        </w:rPr>
      </w:pPr>
      <w:r>
        <w:rPr>
          <w:rFonts w:hint="eastAsia" w:ascii="宋体" w:hAnsi="宋体" w:cs="宋体"/>
          <w:color w:val="auto"/>
          <w:sz w:val="24"/>
          <w:highlight w:val="none"/>
        </w:rPr>
        <w:t>参与价格扣除的证明文件；</w:t>
      </w:r>
    </w:p>
    <w:p>
      <w:pPr>
        <w:numPr>
          <w:ilvl w:val="0"/>
          <w:numId w:val="8"/>
        </w:numPr>
        <w:tabs>
          <w:tab w:val="left" w:pos="640"/>
          <w:tab w:val="left" w:pos="840"/>
          <w:tab w:val="left" w:pos="1260"/>
          <w:tab w:val="left" w:pos="1418"/>
        </w:tabs>
        <w:spacing w:line="360" w:lineRule="auto"/>
        <w:ind w:left="845" w:hanging="845"/>
        <w:rPr>
          <w:rFonts w:ascii="宋体" w:hAnsi="宋体" w:cs="宋体"/>
          <w:color w:val="auto"/>
          <w:sz w:val="24"/>
          <w:highlight w:val="none"/>
        </w:rPr>
      </w:pPr>
      <w:bookmarkStart w:id="51" w:name="OLE_LINK45"/>
      <w:r>
        <w:rPr>
          <w:rFonts w:hint="eastAsia" w:ascii="宋体" w:hAnsi="宋体" w:cs="宋体"/>
          <w:color w:val="auto"/>
          <w:sz w:val="24"/>
          <w:highlight w:val="none"/>
        </w:rPr>
        <w:t>供应商基本情况表、社保证明及股权关系证明</w:t>
      </w:r>
      <w:bookmarkEnd w:id="51"/>
      <w:r>
        <w:rPr>
          <w:rFonts w:hint="eastAsia" w:ascii="宋体" w:hAnsi="宋体" w:cs="宋体"/>
          <w:color w:val="auto"/>
          <w:sz w:val="24"/>
          <w:highlight w:val="none"/>
        </w:rPr>
        <w:t>；</w:t>
      </w:r>
    </w:p>
    <w:p>
      <w:pPr>
        <w:numPr>
          <w:ilvl w:val="0"/>
          <w:numId w:val="8"/>
        </w:numPr>
        <w:tabs>
          <w:tab w:val="left" w:pos="640"/>
          <w:tab w:val="left" w:pos="840"/>
          <w:tab w:val="left" w:pos="1260"/>
          <w:tab w:val="left" w:pos="1418"/>
        </w:tabs>
        <w:spacing w:line="360" w:lineRule="auto"/>
        <w:ind w:left="845" w:hanging="845"/>
        <w:rPr>
          <w:rFonts w:ascii="宋体" w:hAnsi="宋体" w:cs="宋体"/>
          <w:color w:val="auto"/>
          <w:sz w:val="24"/>
          <w:highlight w:val="none"/>
        </w:rPr>
      </w:pPr>
      <w:r>
        <w:rPr>
          <w:rFonts w:hint="eastAsia" w:ascii="宋体" w:hAnsi="宋体" w:cs="宋体"/>
          <w:color w:val="auto"/>
          <w:sz w:val="24"/>
          <w:highlight w:val="none"/>
        </w:rPr>
        <w:t>投标人认为有必要提供的其他材料。</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（三）技术部分</w:t>
      </w:r>
    </w:p>
    <w:p>
      <w:pPr>
        <w:numPr>
          <w:ilvl w:val="0"/>
          <w:numId w:val="9"/>
        </w:numPr>
        <w:tabs>
          <w:tab w:val="left" w:pos="640"/>
          <w:tab w:val="left" w:pos="1260"/>
          <w:tab w:val="left" w:pos="1418"/>
        </w:tabs>
        <w:spacing w:line="360" w:lineRule="auto"/>
        <w:ind w:left="640" w:right="-420" w:rightChars="-200" w:hanging="640"/>
        <w:rPr>
          <w:rFonts w:ascii="宋体" w:hAnsi="宋体" w:cs="宋体"/>
          <w:color w:val="auto"/>
          <w:sz w:val="24"/>
          <w:highlight w:val="none"/>
          <w:lang w:val="fr-CH"/>
        </w:rPr>
      </w:pPr>
      <w:r>
        <w:rPr>
          <w:rFonts w:hint="eastAsia" w:ascii="宋体" w:hAnsi="宋体" w:cs="宋体"/>
          <w:color w:val="auto"/>
          <w:sz w:val="24"/>
          <w:highlight w:val="none"/>
          <w:lang w:val="fr-CH"/>
        </w:rPr>
        <w:t>用户需求响应表；</w:t>
      </w:r>
    </w:p>
    <w:p>
      <w:pPr>
        <w:numPr>
          <w:ilvl w:val="0"/>
          <w:numId w:val="9"/>
        </w:numPr>
        <w:tabs>
          <w:tab w:val="left" w:pos="640"/>
          <w:tab w:val="left" w:pos="1260"/>
          <w:tab w:val="left" w:pos="1418"/>
        </w:tabs>
        <w:spacing w:line="360" w:lineRule="auto"/>
        <w:ind w:left="845" w:right="-420" w:rightChars="-200" w:hanging="845"/>
        <w:rPr>
          <w:rFonts w:ascii="宋体" w:hAnsi="宋体" w:cs="宋体"/>
          <w:color w:val="auto"/>
          <w:sz w:val="24"/>
          <w:highlight w:val="none"/>
          <w:lang w:val="fr-CH"/>
        </w:rPr>
      </w:pPr>
      <w:bookmarkStart w:id="52" w:name="OLE_LINK30"/>
      <w:r>
        <w:rPr>
          <w:rFonts w:hint="eastAsia" w:ascii="宋体" w:hAnsi="宋体" w:cs="宋体"/>
          <w:color w:val="auto"/>
          <w:sz w:val="24"/>
          <w:highlight w:val="none"/>
          <w:lang w:val="fr-CH"/>
        </w:rPr>
        <w:t>项目实施方案；</w:t>
      </w:r>
    </w:p>
    <w:p>
      <w:pPr>
        <w:numPr>
          <w:ilvl w:val="0"/>
          <w:numId w:val="9"/>
        </w:numPr>
        <w:tabs>
          <w:tab w:val="left" w:pos="640"/>
          <w:tab w:val="left" w:pos="1260"/>
          <w:tab w:val="left" w:pos="1418"/>
        </w:tabs>
        <w:spacing w:line="360" w:lineRule="auto"/>
        <w:ind w:left="845" w:right="-420" w:rightChars="-200" w:hanging="845"/>
        <w:rPr>
          <w:rFonts w:ascii="宋体" w:hAnsi="宋体" w:cs="宋体"/>
          <w:color w:val="auto"/>
          <w:sz w:val="24"/>
          <w:highlight w:val="none"/>
          <w:lang w:val="fr-CH"/>
        </w:rPr>
      </w:pPr>
      <w:r>
        <w:rPr>
          <w:rFonts w:hint="eastAsia" w:ascii="宋体" w:hAnsi="宋体" w:cs="宋体"/>
          <w:color w:val="auto"/>
          <w:sz w:val="24"/>
          <w:highlight w:val="none"/>
          <w:lang w:val="fr-CH"/>
        </w:rPr>
        <w:t>项目重难点分析及解决方案；</w:t>
      </w:r>
    </w:p>
    <w:p>
      <w:pPr>
        <w:numPr>
          <w:ilvl w:val="0"/>
          <w:numId w:val="9"/>
        </w:numPr>
        <w:tabs>
          <w:tab w:val="left" w:pos="640"/>
          <w:tab w:val="left" w:pos="1260"/>
          <w:tab w:val="left" w:pos="1418"/>
        </w:tabs>
        <w:spacing w:line="360" w:lineRule="auto"/>
        <w:ind w:left="845" w:right="-420" w:rightChars="-200" w:hanging="845"/>
        <w:rPr>
          <w:rFonts w:ascii="宋体" w:hAnsi="宋体" w:cs="宋体"/>
          <w:color w:val="auto"/>
          <w:sz w:val="24"/>
          <w:highlight w:val="none"/>
          <w:lang w:val="fr-CH"/>
        </w:rPr>
      </w:pPr>
      <w:r>
        <w:rPr>
          <w:rFonts w:hint="eastAsia" w:ascii="宋体" w:hAnsi="宋体" w:cs="宋体"/>
          <w:color w:val="auto"/>
          <w:sz w:val="24"/>
          <w:highlight w:val="none"/>
          <w:lang w:val="fr-CH"/>
        </w:rPr>
        <w:t>项目管理措施和进度计划；</w:t>
      </w:r>
    </w:p>
    <w:p>
      <w:pPr>
        <w:numPr>
          <w:ilvl w:val="0"/>
          <w:numId w:val="9"/>
        </w:numPr>
        <w:tabs>
          <w:tab w:val="left" w:pos="640"/>
          <w:tab w:val="left" w:pos="1260"/>
          <w:tab w:val="left" w:pos="1418"/>
        </w:tabs>
        <w:spacing w:line="360" w:lineRule="auto"/>
        <w:ind w:left="845" w:right="-420" w:rightChars="-200" w:hanging="845"/>
        <w:rPr>
          <w:rFonts w:ascii="宋体" w:hAnsi="宋体" w:cs="宋体"/>
          <w:color w:val="auto"/>
          <w:sz w:val="24"/>
          <w:highlight w:val="none"/>
          <w:lang w:val="fr-CH"/>
        </w:rPr>
      </w:pPr>
      <w:r>
        <w:rPr>
          <w:rFonts w:hint="eastAsia" w:ascii="宋体" w:hAnsi="宋体" w:cs="宋体"/>
          <w:color w:val="auto"/>
          <w:sz w:val="24"/>
          <w:highlight w:val="none"/>
          <w:lang w:val="fr-CH"/>
        </w:rPr>
        <w:t>现场笔译及口译测试；</w:t>
      </w:r>
      <w:bookmarkEnd w:id="52"/>
    </w:p>
    <w:p>
      <w:pPr>
        <w:numPr>
          <w:ilvl w:val="0"/>
          <w:numId w:val="9"/>
        </w:numPr>
        <w:tabs>
          <w:tab w:val="left" w:pos="640"/>
          <w:tab w:val="left" w:pos="1260"/>
          <w:tab w:val="left" w:pos="1418"/>
        </w:tabs>
        <w:spacing w:line="360" w:lineRule="auto"/>
        <w:ind w:left="845" w:right="-420" w:rightChars="-200" w:hanging="845"/>
        <w:rPr>
          <w:rFonts w:ascii="宋体" w:hAnsi="宋体" w:cs="宋体"/>
          <w:color w:val="auto"/>
          <w:sz w:val="24"/>
          <w:highlight w:val="none"/>
          <w:lang w:val="fr-CH"/>
        </w:rPr>
      </w:pPr>
      <w:r>
        <w:rPr>
          <w:rFonts w:hint="eastAsia" w:ascii="宋体" w:hAnsi="宋体" w:cs="宋体"/>
          <w:color w:val="auto"/>
          <w:sz w:val="24"/>
          <w:highlight w:val="none"/>
          <w:lang w:val="fr-CH"/>
        </w:rPr>
        <w:t>投标人认为有必要提供的其他材料。</w:t>
      </w:r>
    </w:p>
    <w:p>
      <w:pPr>
        <w:outlineLvl w:val="2"/>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（一）</w:t>
      </w:r>
      <w:r>
        <w:rPr>
          <w:rFonts w:hint="eastAsia" w:ascii="宋体" w:hAnsi="宋体" w:cs="宋体"/>
          <w:b/>
          <w:bCs/>
          <w:color w:val="auto"/>
          <w:sz w:val="24"/>
          <w:highlight w:val="none"/>
          <w:lang w:val="zh-CN"/>
        </w:rPr>
        <w:t>价格部分</w:t>
      </w:r>
    </w:p>
    <w:p>
      <w:pPr>
        <w:numPr>
          <w:ilvl w:val="0"/>
          <w:numId w:val="10"/>
        </w:numPr>
        <w:tabs>
          <w:tab w:val="left" w:pos="640"/>
          <w:tab w:val="clear" w:pos="425"/>
        </w:tabs>
        <w:ind w:left="625" w:hanging="625"/>
        <w:rPr>
          <w:rFonts w:ascii="宋体" w:hAnsi="宋体" w:cs="宋体"/>
          <w:color w:val="auto"/>
          <w:sz w:val="24"/>
          <w:highlight w:val="none"/>
        </w:rPr>
      </w:pPr>
      <w:r>
        <w:rPr>
          <w:rFonts w:hint="eastAsia" w:ascii="宋体" w:hAnsi="宋体" w:cs="宋体"/>
          <w:color w:val="auto"/>
          <w:sz w:val="24"/>
          <w:highlight w:val="none"/>
        </w:rPr>
        <w:t>投标一览表；</w:t>
      </w:r>
    </w:p>
    <w:p>
      <w:pPr>
        <w:spacing w:line="360" w:lineRule="auto"/>
        <w:rPr>
          <w:rFonts w:ascii="宋体" w:hAnsi="宋体" w:cs="宋体"/>
          <w:color w:val="auto"/>
          <w:sz w:val="24"/>
          <w:highlight w:val="none"/>
        </w:rPr>
      </w:pP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投标一览表</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p>
      <w:pPr>
        <w:pStyle w:val="7"/>
        <w:rPr>
          <w:rFonts w:hint="eastAsia" w:eastAsia="宋体"/>
          <w:b/>
          <w:bCs/>
          <w:color w:val="auto"/>
          <w:highlight w:val="none"/>
          <w:lang w:val="en-US" w:eastAsia="zh-CN"/>
        </w:rPr>
      </w:pPr>
      <w:r>
        <w:rPr>
          <w:rFonts w:hint="eastAsia"/>
          <w:b/>
          <w:bCs/>
          <w:color w:val="auto"/>
          <w:highlight w:val="none"/>
        </w:rPr>
        <w:t>（一）笔译报价（元/千中文字符）</w:t>
      </w:r>
      <w:r>
        <w:rPr>
          <w:rFonts w:hint="eastAsia"/>
          <w:b/>
          <w:bCs/>
          <w:color w:val="auto"/>
          <w:highlight w:val="none"/>
          <w:lang w:eastAsia="zh-CN"/>
        </w:rPr>
        <w:t>：</w:t>
      </w:r>
    </w:p>
    <w:tbl>
      <w:tblPr>
        <w:tblStyle w:val="18"/>
        <w:tblW w:w="56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0"/>
        <w:gridCol w:w="985"/>
        <w:gridCol w:w="1186"/>
        <w:gridCol w:w="1010"/>
        <w:gridCol w:w="942"/>
        <w:gridCol w:w="1091"/>
        <w:gridCol w:w="998"/>
        <w:gridCol w:w="771"/>
        <w:gridCol w:w="745"/>
        <w:gridCol w:w="8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4" w:hRule="atLeast"/>
          <w:jc w:val="center"/>
        </w:trPr>
        <w:tc>
          <w:tcPr>
            <w:tcW w:w="566" w:type="pct"/>
            <w:vMerge w:val="restart"/>
            <w:vAlign w:val="center"/>
          </w:tcPr>
          <w:p>
            <w:pPr>
              <w:spacing w:after="60"/>
              <w:jc w:val="center"/>
              <w:rPr>
                <w:rFonts w:ascii="宋体" w:hAnsi="宋体" w:cs="Arial"/>
                <w:b/>
                <w:bCs/>
                <w:color w:val="auto"/>
                <w:highlight w:val="none"/>
              </w:rPr>
            </w:pPr>
            <w:r>
              <w:rPr>
                <w:rFonts w:hint="eastAsia" w:ascii="宋体" w:hAnsi="宋体" w:cs="Arial"/>
                <w:b/>
                <w:bCs/>
                <w:color w:val="auto"/>
                <w:highlight w:val="none"/>
              </w:rPr>
              <w:t>笔译级别</w:t>
            </w:r>
          </w:p>
        </w:tc>
        <w:tc>
          <w:tcPr>
            <w:tcW w:w="2123" w:type="pct"/>
            <w:gridSpan w:val="4"/>
            <w:vAlign w:val="center"/>
          </w:tcPr>
          <w:p>
            <w:pPr>
              <w:spacing w:after="60"/>
              <w:jc w:val="center"/>
              <w:rPr>
                <w:rFonts w:ascii="宋体" w:hAnsi="宋体" w:cs="Arial"/>
                <w:b/>
                <w:bCs/>
                <w:color w:val="auto"/>
                <w:highlight w:val="none"/>
              </w:rPr>
            </w:pPr>
            <w:r>
              <w:rPr>
                <w:rFonts w:hint="eastAsia" w:ascii="宋体" w:hAnsi="宋体" w:cs="Arial"/>
                <w:b/>
                <w:bCs/>
                <w:color w:val="auto"/>
                <w:highlight w:val="none"/>
              </w:rPr>
              <w:t>英语</w:t>
            </w:r>
          </w:p>
        </w:tc>
        <w:tc>
          <w:tcPr>
            <w:tcW w:w="1857" w:type="pct"/>
            <w:gridSpan w:val="4"/>
            <w:vAlign w:val="center"/>
          </w:tcPr>
          <w:p>
            <w:pPr>
              <w:spacing w:after="60"/>
              <w:jc w:val="center"/>
              <w:rPr>
                <w:rFonts w:ascii="宋体" w:hAnsi="宋体" w:cs="Arial"/>
                <w:b/>
                <w:bCs/>
                <w:color w:val="auto"/>
                <w:highlight w:val="none"/>
              </w:rPr>
            </w:pPr>
            <w:r>
              <w:rPr>
                <w:rFonts w:hint="eastAsia" w:ascii="宋体" w:hAnsi="宋体" w:cs="Arial"/>
                <w:b/>
                <w:bCs/>
                <w:color w:val="auto"/>
                <w:highlight w:val="none"/>
              </w:rPr>
              <w:t>日/韩/德/法/俄/西</w:t>
            </w:r>
          </w:p>
        </w:tc>
        <w:tc>
          <w:tcPr>
            <w:tcW w:w="453" w:type="pct"/>
            <w:vAlign w:val="center"/>
          </w:tcPr>
          <w:p>
            <w:pPr>
              <w:spacing w:after="60"/>
              <w:jc w:val="center"/>
              <w:rPr>
                <w:rFonts w:ascii="宋体" w:hAnsi="宋体" w:cs="Arial"/>
                <w:b/>
                <w:bCs/>
                <w:color w:val="auto"/>
                <w:highlight w:val="none"/>
              </w:rPr>
            </w:pPr>
            <w:r>
              <w:rPr>
                <w:rFonts w:hint="eastAsia" w:ascii="宋体" w:hAnsi="宋体" w:cs="Arial"/>
                <w:b/>
                <w:bCs/>
                <w:color w:val="auto"/>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4" w:hRule="atLeast"/>
          <w:jc w:val="center"/>
        </w:trPr>
        <w:tc>
          <w:tcPr>
            <w:tcW w:w="566" w:type="pct"/>
            <w:vMerge w:val="continue"/>
            <w:vAlign w:val="center"/>
          </w:tcPr>
          <w:p>
            <w:pPr>
              <w:spacing w:after="60"/>
              <w:jc w:val="center"/>
              <w:rPr>
                <w:rFonts w:ascii="宋体" w:hAnsi="宋体" w:cs="Arial"/>
                <w:b/>
                <w:bCs/>
                <w:color w:val="auto"/>
                <w:highlight w:val="none"/>
              </w:rPr>
            </w:pPr>
          </w:p>
        </w:tc>
        <w:tc>
          <w:tcPr>
            <w:tcW w:w="507" w:type="pct"/>
            <w:vAlign w:val="center"/>
          </w:tcPr>
          <w:p>
            <w:pPr>
              <w:spacing w:after="60"/>
              <w:jc w:val="center"/>
              <w:rPr>
                <w:rFonts w:ascii="宋体" w:hAnsi="宋体" w:cs="Arial"/>
                <w:b/>
                <w:bCs/>
                <w:color w:val="auto"/>
                <w:highlight w:val="none"/>
              </w:rPr>
            </w:pPr>
            <w:r>
              <w:rPr>
                <w:rFonts w:hint="eastAsia" w:ascii="宋体" w:hAnsi="宋体" w:cs="Arial"/>
                <w:b/>
                <w:bCs/>
                <w:color w:val="auto"/>
                <w:highlight w:val="none"/>
              </w:rPr>
              <w:t>英</w:t>
            </w:r>
            <w:r>
              <w:rPr>
                <w:rFonts w:hint="eastAsia"/>
                <w:b/>
                <w:bCs/>
                <w:color w:val="auto"/>
                <w:sz w:val="24"/>
                <w:highlight w:val="none"/>
              </w:rPr>
              <w:t>译中</w:t>
            </w:r>
          </w:p>
        </w:tc>
        <w:tc>
          <w:tcPr>
            <w:tcW w:w="611" w:type="pct"/>
            <w:vAlign w:val="center"/>
          </w:tcPr>
          <w:p>
            <w:pPr>
              <w:spacing w:after="60"/>
              <w:jc w:val="center"/>
              <w:rPr>
                <w:rFonts w:ascii="宋体" w:hAnsi="宋体" w:cs="Arial"/>
                <w:b/>
                <w:bCs/>
                <w:color w:val="auto"/>
                <w:highlight w:val="none"/>
              </w:rPr>
            </w:pPr>
            <w:r>
              <w:rPr>
                <w:rFonts w:hint="eastAsia" w:ascii="宋体" w:hAnsi="宋体" w:cs="Arial"/>
                <w:b/>
                <w:bCs/>
                <w:color w:val="auto"/>
                <w:highlight w:val="none"/>
              </w:rPr>
              <w:t>投标上限价</w:t>
            </w:r>
          </w:p>
        </w:tc>
        <w:tc>
          <w:tcPr>
            <w:tcW w:w="520" w:type="pct"/>
            <w:vAlign w:val="center"/>
          </w:tcPr>
          <w:p>
            <w:pPr>
              <w:spacing w:after="60"/>
              <w:jc w:val="center"/>
              <w:rPr>
                <w:rFonts w:ascii="宋体" w:hAnsi="宋体" w:cs="Arial"/>
                <w:b/>
                <w:bCs/>
                <w:color w:val="auto"/>
                <w:highlight w:val="none"/>
              </w:rPr>
            </w:pPr>
            <w:r>
              <w:rPr>
                <w:rFonts w:hint="eastAsia"/>
                <w:b/>
                <w:bCs/>
                <w:color w:val="auto"/>
                <w:sz w:val="24"/>
                <w:highlight w:val="none"/>
              </w:rPr>
              <w:t>中译</w:t>
            </w:r>
            <w:r>
              <w:rPr>
                <w:rFonts w:hint="eastAsia" w:ascii="宋体" w:hAnsi="宋体" w:cs="Arial"/>
                <w:b/>
                <w:bCs/>
                <w:color w:val="auto"/>
                <w:highlight w:val="none"/>
              </w:rPr>
              <w:t>英</w:t>
            </w:r>
          </w:p>
        </w:tc>
        <w:tc>
          <w:tcPr>
            <w:tcW w:w="483" w:type="pct"/>
            <w:vAlign w:val="center"/>
          </w:tcPr>
          <w:p>
            <w:pPr>
              <w:spacing w:after="60"/>
              <w:jc w:val="center"/>
              <w:rPr>
                <w:b/>
                <w:bCs/>
                <w:color w:val="auto"/>
                <w:sz w:val="24"/>
                <w:highlight w:val="none"/>
              </w:rPr>
            </w:pPr>
            <w:r>
              <w:rPr>
                <w:rFonts w:hint="eastAsia" w:ascii="宋体" w:hAnsi="宋体" w:cs="Arial"/>
                <w:b/>
                <w:bCs/>
                <w:color w:val="auto"/>
                <w:highlight w:val="none"/>
              </w:rPr>
              <w:t>投标上限价</w:t>
            </w:r>
          </w:p>
        </w:tc>
        <w:tc>
          <w:tcPr>
            <w:tcW w:w="562" w:type="pct"/>
            <w:vAlign w:val="center"/>
          </w:tcPr>
          <w:p>
            <w:pPr>
              <w:spacing w:after="60"/>
              <w:jc w:val="center"/>
              <w:rPr>
                <w:rFonts w:ascii="宋体" w:hAnsi="宋体" w:cs="Arial"/>
                <w:b/>
                <w:bCs/>
                <w:color w:val="auto"/>
                <w:highlight w:val="none"/>
              </w:rPr>
            </w:pPr>
            <w:r>
              <w:rPr>
                <w:rFonts w:hint="eastAsia" w:ascii="宋体" w:hAnsi="宋体" w:cs="Arial"/>
                <w:b/>
                <w:bCs/>
                <w:color w:val="auto"/>
                <w:highlight w:val="none"/>
              </w:rPr>
              <w:t>外</w:t>
            </w:r>
            <w:r>
              <w:rPr>
                <w:rFonts w:hint="eastAsia"/>
                <w:b/>
                <w:bCs/>
                <w:color w:val="auto"/>
                <w:sz w:val="24"/>
                <w:highlight w:val="none"/>
              </w:rPr>
              <w:t>译中</w:t>
            </w:r>
          </w:p>
        </w:tc>
        <w:tc>
          <w:tcPr>
            <w:tcW w:w="514" w:type="pct"/>
            <w:vAlign w:val="center"/>
          </w:tcPr>
          <w:p>
            <w:pPr>
              <w:spacing w:after="60"/>
              <w:jc w:val="center"/>
              <w:rPr>
                <w:rFonts w:ascii="宋体" w:hAnsi="宋体" w:cs="Arial"/>
                <w:b/>
                <w:bCs/>
                <w:color w:val="auto"/>
                <w:highlight w:val="none"/>
              </w:rPr>
            </w:pPr>
            <w:r>
              <w:rPr>
                <w:rFonts w:hint="eastAsia" w:ascii="宋体" w:hAnsi="宋体" w:cs="Arial"/>
                <w:b/>
                <w:bCs/>
                <w:color w:val="auto"/>
                <w:highlight w:val="none"/>
              </w:rPr>
              <w:t>投标上限价</w:t>
            </w:r>
          </w:p>
        </w:tc>
        <w:tc>
          <w:tcPr>
            <w:tcW w:w="397" w:type="pct"/>
            <w:vAlign w:val="center"/>
          </w:tcPr>
          <w:p>
            <w:pPr>
              <w:spacing w:after="60"/>
              <w:jc w:val="center"/>
              <w:rPr>
                <w:rFonts w:ascii="宋体" w:hAnsi="宋体" w:cs="Arial"/>
                <w:b/>
                <w:bCs/>
                <w:color w:val="auto"/>
                <w:highlight w:val="none"/>
              </w:rPr>
            </w:pPr>
            <w:r>
              <w:rPr>
                <w:rFonts w:hint="eastAsia"/>
                <w:b/>
                <w:bCs/>
                <w:color w:val="auto"/>
                <w:sz w:val="24"/>
                <w:highlight w:val="none"/>
              </w:rPr>
              <w:t>中译外</w:t>
            </w:r>
          </w:p>
        </w:tc>
        <w:tc>
          <w:tcPr>
            <w:tcW w:w="382" w:type="pct"/>
            <w:vAlign w:val="center"/>
          </w:tcPr>
          <w:p>
            <w:pPr>
              <w:spacing w:after="60"/>
              <w:jc w:val="center"/>
              <w:rPr>
                <w:b/>
                <w:bCs/>
                <w:color w:val="auto"/>
                <w:sz w:val="24"/>
                <w:highlight w:val="none"/>
              </w:rPr>
            </w:pPr>
            <w:r>
              <w:rPr>
                <w:rFonts w:hint="eastAsia" w:ascii="宋体" w:hAnsi="宋体" w:cs="Arial"/>
                <w:b/>
                <w:bCs/>
                <w:color w:val="auto"/>
                <w:highlight w:val="none"/>
              </w:rPr>
              <w:t>投标上限价</w:t>
            </w:r>
          </w:p>
        </w:tc>
        <w:tc>
          <w:tcPr>
            <w:tcW w:w="453" w:type="pct"/>
            <w:vMerge w:val="restart"/>
            <w:vAlign w:val="center"/>
          </w:tcPr>
          <w:p>
            <w:pPr>
              <w:jc w:val="center"/>
              <w:rPr>
                <w:rFonts w:ascii="宋体" w:hAnsi="宋体" w:cs="宋体"/>
                <w:color w:val="auto"/>
                <w:sz w:val="22"/>
                <w:szCs w:val="22"/>
                <w:highlight w:val="none"/>
              </w:rPr>
            </w:pPr>
            <w:r>
              <w:rPr>
                <w:rFonts w:hint="eastAsia" w:ascii="宋体" w:hAnsi="宋体" w:cs="宋体"/>
                <w:color w:val="auto"/>
                <w:szCs w:val="21"/>
                <w:highlight w:val="none"/>
              </w:rPr>
              <w:t>投标单价不得超过对应上限价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jc w:val="center"/>
        </w:trPr>
        <w:tc>
          <w:tcPr>
            <w:tcW w:w="566" w:type="pct"/>
            <w:vAlign w:val="center"/>
          </w:tcPr>
          <w:p>
            <w:pPr>
              <w:jc w:val="center"/>
              <w:rPr>
                <w:rFonts w:ascii="宋体" w:hAnsi="宋体"/>
                <w:color w:val="auto"/>
                <w:highlight w:val="none"/>
              </w:rPr>
            </w:pPr>
            <w:r>
              <w:rPr>
                <w:rFonts w:hint="eastAsia" w:ascii="宋体" w:hAnsi="宋体"/>
                <w:color w:val="auto"/>
                <w:highlight w:val="none"/>
              </w:rPr>
              <w:t>普通</w:t>
            </w:r>
          </w:p>
        </w:tc>
        <w:tc>
          <w:tcPr>
            <w:tcW w:w="507" w:type="pct"/>
            <w:tcBorders>
              <w:right w:val="single" w:color="auto" w:sz="4" w:space="0"/>
            </w:tcBorders>
            <w:vAlign w:val="center"/>
          </w:tcPr>
          <w:p>
            <w:pPr>
              <w:jc w:val="center"/>
              <w:rPr>
                <w:rFonts w:ascii="宋体" w:hAnsi="宋体"/>
                <w:color w:val="auto"/>
                <w:sz w:val="24"/>
                <w:highlight w:val="none"/>
                <w:u w:val="single"/>
              </w:rPr>
            </w:pPr>
          </w:p>
        </w:tc>
        <w:tc>
          <w:tcPr>
            <w:tcW w:w="611" w:type="pct"/>
            <w:tcBorders>
              <w:lef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220</w:t>
            </w:r>
          </w:p>
        </w:tc>
        <w:tc>
          <w:tcPr>
            <w:tcW w:w="520" w:type="pct"/>
            <w:tcBorders>
              <w:right w:val="single" w:color="auto" w:sz="4" w:space="0"/>
            </w:tcBorders>
            <w:vAlign w:val="center"/>
          </w:tcPr>
          <w:p>
            <w:pPr>
              <w:jc w:val="center"/>
              <w:rPr>
                <w:rFonts w:ascii="宋体" w:hAnsi="宋体"/>
                <w:color w:val="auto"/>
                <w:highlight w:val="none"/>
              </w:rPr>
            </w:pPr>
          </w:p>
        </w:tc>
        <w:tc>
          <w:tcPr>
            <w:tcW w:w="483" w:type="pct"/>
            <w:tcBorders>
              <w:lef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250</w:t>
            </w:r>
          </w:p>
        </w:tc>
        <w:tc>
          <w:tcPr>
            <w:tcW w:w="562" w:type="pct"/>
            <w:tcBorders>
              <w:right w:val="single" w:color="auto" w:sz="4" w:space="0"/>
            </w:tcBorders>
            <w:vAlign w:val="center"/>
          </w:tcPr>
          <w:p>
            <w:pPr>
              <w:jc w:val="center"/>
              <w:rPr>
                <w:rFonts w:ascii="宋体" w:hAnsi="宋体"/>
                <w:color w:val="auto"/>
                <w:highlight w:val="none"/>
              </w:rPr>
            </w:pPr>
          </w:p>
        </w:tc>
        <w:tc>
          <w:tcPr>
            <w:tcW w:w="514" w:type="pct"/>
            <w:tcBorders>
              <w:lef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300</w:t>
            </w:r>
          </w:p>
        </w:tc>
        <w:tc>
          <w:tcPr>
            <w:tcW w:w="397" w:type="pct"/>
            <w:tcBorders>
              <w:right w:val="single" w:color="auto" w:sz="4" w:space="0"/>
            </w:tcBorders>
            <w:vAlign w:val="center"/>
          </w:tcPr>
          <w:p>
            <w:pPr>
              <w:widowControl/>
              <w:jc w:val="center"/>
              <w:textAlignment w:val="center"/>
              <w:rPr>
                <w:rFonts w:ascii="仿宋_GB2312" w:hAnsi="仿宋_GB2312" w:eastAsia="仿宋_GB2312" w:cs="仿宋_GB2312"/>
                <w:color w:val="auto"/>
                <w:sz w:val="22"/>
                <w:szCs w:val="22"/>
                <w:highlight w:val="none"/>
              </w:rPr>
            </w:pPr>
          </w:p>
        </w:tc>
        <w:tc>
          <w:tcPr>
            <w:tcW w:w="382" w:type="pct"/>
            <w:tcBorders>
              <w:left w:val="single" w:color="auto" w:sz="4" w:space="0"/>
            </w:tcBorders>
            <w:vAlign w:val="center"/>
          </w:tcPr>
          <w:p>
            <w:pPr>
              <w:widowControl/>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350</w:t>
            </w:r>
          </w:p>
        </w:tc>
        <w:tc>
          <w:tcPr>
            <w:tcW w:w="453" w:type="pct"/>
            <w:vMerge w:val="continue"/>
            <w:vAlign w:val="center"/>
          </w:tcPr>
          <w:p>
            <w:pPr>
              <w:jc w:val="center"/>
              <w:rPr>
                <w:rFonts w:ascii="宋体" w:hAnsi="宋体" w:cs="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jc w:val="center"/>
        </w:trPr>
        <w:tc>
          <w:tcPr>
            <w:tcW w:w="566" w:type="pct"/>
            <w:vAlign w:val="center"/>
          </w:tcPr>
          <w:p>
            <w:pPr>
              <w:jc w:val="center"/>
              <w:rPr>
                <w:rFonts w:ascii="宋体" w:hAnsi="宋体"/>
                <w:color w:val="auto"/>
                <w:highlight w:val="none"/>
              </w:rPr>
            </w:pPr>
            <w:r>
              <w:rPr>
                <w:rFonts w:hint="eastAsia" w:ascii="宋体" w:hAnsi="宋体"/>
                <w:color w:val="auto"/>
                <w:highlight w:val="none"/>
              </w:rPr>
              <w:t>专业</w:t>
            </w:r>
          </w:p>
        </w:tc>
        <w:tc>
          <w:tcPr>
            <w:tcW w:w="507" w:type="pct"/>
            <w:tcBorders>
              <w:right w:val="single" w:color="auto" w:sz="4" w:space="0"/>
            </w:tcBorders>
            <w:vAlign w:val="center"/>
          </w:tcPr>
          <w:p>
            <w:pPr>
              <w:jc w:val="center"/>
              <w:rPr>
                <w:rFonts w:ascii="宋体" w:hAnsi="宋体"/>
                <w:color w:val="auto"/>
                <w:sz w:val="24"/>
                <w:highlight w:val="none"/>
                <w:u w:val="single"/>
              </w:rPr>
            </w:pPr>
          </w:p>
        </w:tc>
        <w:tc>
          <w:tcPr>
            <w:tcW w:w="611" w:type="pct"/>
            <w:tcBorders>
              <w:left w:val="single" w:color="auto" w:sz="4" w:space="0"/>
            </w:tcBorders>
            <w:vAlign w:val="center"/>
          </w:tcPr>
          <w:p>
            <w:pPr>
              <w:jc w:val="center"/>
              <w:rPr>
                <w:rFonts w:ascii="宋体" w:hAnsi="宋体"/>
                <w:color w:val="auto"/>
                <w:sz w:val="24"/>
                <w:highlight w:val="none"/>
                <w:u w:val="single"/>
              </w:rPr>
            </w:pPr>
            <w:r>
              <w:rPr>
                <w:rFonts w:hint="eastAsia" w:ascii="宋体" w:hAnsi="宋体"/>
                <w:color w:val="auto"/>
                <w:highlight w:val="none"/>
              </w:rPr>
              <w:t>320</w:t>
            </w:r>
          </w:p>
        </w:tc>
        <w:tc>
          <w:tcPr>
            <w:tcW w:w="520" w:type="pct"/>
            <w:tcBorders>
              <w:right w:val="single" w:color="auto" w:sz="4" w:space="0"/>
            </w:tcBorders>
            <w:vAlign w:val="center"/>
          </w:tcPr>
          <w:p>
            <w:pPr>
              <w:jc w:val="center"/>
              <w:rPr>
                <w:rFonts w:ascii="宋体" w:hAnsi="宋体"/>
                <w:color w:val="auto"/>
                <w:sz w:val="24"/>
                <w:highlight w:val="none"/>
                <w:u w:val="single"/>
              </w:rPr>
            </w:pPr>
          </w:p>
        </w:tc>
        <w:tc>
          <w:tcPr>
            <w:tcW w:w="483" w:type="pct"/>
            <w:tcBorders>
              <w:left w:val="single" w:color="auto" w:sz="4" w:space="0"/>
            </w:tcBorders>
            <w:vAlign w:val="center"/>
          </w:tcPr>
          <w:p>
            <w:pPr>
              <w:jc w:val="center"/>
              <w:rPr>
                <w:rFonts w:ascii="宋体" w:hAnsi="宋体"/>
                <w:color w:val="auto"/>
                <w:sz w:val="24"/>
                <w:highlight w:val="none"/>
                <w:u w:val="single"/>
              </w:rPr>
            </w:pPr>
            <w:r>
              <w:rPr>
                <w:rFonts w:hint="eastAsia" w:ascii="宋体" w:hAnsi="宋体"/>
                <w:color w:val="auto"/>
                <w:sz w:val="24"/>
                <w:highlight w:val="none"/>
              </w:rPr>
              <w:t>400</w:t>
            </w:r>
          </w:p>
        </w:tc>
        <w:tc>
          <w:tcPr>
            <w:tcW w:w="562" w:type="pct"/>
            <w:tcBorders>
              <w:right w:val="single" w:color="auto" w:sz="4" w:space="0"/>
            </w:tcBorders>
            <w:vAlign w:val="center"/>
          </w:tcPr>
          <w:p>
            <w:pPr>
              <w:widowControl/>
              <w:jc w:val="center"/>
              <w:textAlignment w:val="center"/>
              <w:rPr>
                <w:rFonts w:ascii="仿宋_GB2312" w:hAnsi="仿宋_GB2312" w:eastAsia="仿宋_GB2312" w:cs="仿宋_GB2312"/>
                <w:color w:val="auto"/>
                <w:sz w:val="22"/>
                <w:szCs w:val="22"/>
                <w:highlight w:val="none"/>
              </w:rPr>
            </w:pPr>
          </w:p>
        </w:tc>
        <w:tc>
          <w:tcPr>
            <w:tcW w:w="514" w:type="pct"/>
            <w:tcBorders>
              <w:left w:val="single" w:color="auto" w:sz="4" w:space="0"/>
            </w:tcBorders>
            <w:vAlign w:val="center"/>
          </w:tcPr>
          <w:p>
            <w:pPr>
              <w:widowControl/>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350</w:t>
            </w:r>
          </w:p>
        </w:tc>
        <w:tc>
          <w:tcPr>
            <w:tcW w:w="397" w:type="pct"/>
            <w:tcBorders>
              <w:right w:val="single" w:color="auto" w:sz="4" w:space="0"/>
            </w:tcBorders>
            <w:vAlign w:val="center"/>
          </w:tcPr>
          <w:p>
            <w:pPr>
              <w:widowControl/>
              <w:jc w:val="center"/>
              <w:textAlignment w:val="center"/>
              <w:rPr>
                <w:rFonts w:ascii="仿宋_GB2312" w:hAnsi="仿宋_GB2312" w:eastAsia="仿宋_GB2312" w:cs="仿宋_GB2312"/>
                <w:color w:val="auto"/>
                <w:sz w:val="22"/>
                <w:szCs w:val="22"/>
                <w:highlight w:val="none"/>
              </w:rPr>
            </w:pPr>
          </w:p>
        </w:tc>
        <w:tc>
          <w:tcPr>
            <w:tcW w:w="382" w:type="pct"/>
            <w:tcBorders>
              <w:left w:val="single" w:color="auto" w:sz="4" w:space="0"/>
            </w:tcBorders>
            <w:vAlign w:val="center"/>
          </w:tcPr>
          <w:p>
            <w:pPr>
              <w:widowControl/>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450</w:t>
            </w:r>
          </w:p>
        </w:tc>
        <w:tc>
          <w:tcPr>
            <w:tcW w:w="453" w:type="pct"/>
            <w:vMerge w:val="continue"/>
            <w:vAlign w:val="center"/>
          </w:tcPr>
          <w:p>
            <w:pPr>
              <w:jc w:val="center"/>
              <w:rPr>
                <w:rFonts w:ascii="宋体" w:hAnsi="宋体" w:cs="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jc w:val="center"/>
        </w:trPr>
        <w:tc>
          <w:tcPr>
            <w:tcW w:w="566" w:type="pct"/>
            <w:vAlign w:val="center"/>
          </w:tcPr>
          <w:p>
            <w:pPr>
              <w:jc w:val="center"/>
              <w:rPr>
                <w:rFonts w:ascii="宋体" w:hAnsi="宋体"/>
                <w:color w:val="auto"/>
                <w:highlight w:val="none"/>
              </w:rPr>
            </w:pPr>
            <w:r>
              <w:rPr>
                <w:rFonts w:hint="eastAsia" w:ascii="宋体" w:hAnsi="宋体"/>
                <w:color w:val="auto"/>
                <w:highlight w:val="none"/>
              </w:rPr>
              <w:t>资深</w:t>
            </w:r>
          </w:p>
        </w:tc>
        <w:tc>
          <w:tcPr>
            <w:tcW w:w="507" w:type="pct"/>
            <w:tcBorders>
              <w:right w:val="single" w:color="auto" w:sz="4" w:space="0"/>
            </w:tcBorders>
            <w:vAlign w:val="center"/>
          </w:tcPr>
          <w:p>
            <w:pPr>
              <w:jc w:val="center"/>
              <w:rPr>
                <w:rFonts w:ascii="宋体" w:hAnsi="宋体"/>
                <w:color w:val="auto"/>
                <w:sz w:val="24"/>
                <w:highlight w:val="none"/>
                <w:u w:val="single"/>
              </w:rPr>
            </w:pPr>
          </w:p>
        </w:tc>
        <w:tc>
          <w:tcPr>
            <w:tcW w:w="611" w:type="pct"/>
            <w:tcBorders>
              <w:left w:val="single" w:color="auto" w:sz="4" w:space="0"/>
            </w:tcBorders>
            <w:vAlign w:val="center"/>
          </w:tcPr>
          <w:p>
            <w:pPr>
              <w:jc w:val="center"/>
              <w:rPr>
                <w:rFonts w:ascii="宋体" w:hAnsi="宋体"/>
                <w:color w:val="auto"/>
                <w:sz w:val="24"/>
                <w:highlight w:val="none"/>
                <w:u w:val="single"/>
              </w:rPr>
            </w:pPr>
            <w:r>
              <w:rPr>
                <w:rFonts w:hint="eastAsia" w:ascii="宋体" w:hAnsi="宋体"/>
                <w:color w:val="auto"/>
                <w:sz w:val="24"/>
                <w:highlight w:val="none"/>
              </w:rPr>
              <w:t>700</w:t>
            </w:r>
          </w:p>
        </w:tc>
        <w:tc>
          <w:tcPr>
            <w:tcW w:w="520" w:type="pct"/>
            <w:tcBorders>
              <w:right w:val="single" w:color="auto" w:sz="4" w:space="0"/>
            </w:tcBorders>
            <w:vAlign w:val="center"/>
          </w:tcPr>
          <w:p>
            <w:pPr>
              <w:jc w:val="center"/>
              <w:rPr>
                <w:rFonts w:ascii="宋体" w:hAnsi="宋体"/>
                <w:color w:val="auto"/>
                <w:sz w:val="24"/>
                <w:highlight w:val="none"/>
                <w:u w:val="single"/>
              </w:rPr>
            </w:pPr>
          </w:p>
        </w:tc>
        <w:tc>
          <w:tcPr>
            <w:tcW w:w="483" w:type="pct"/>
            <w:tcBorders>
              <w:left w:val="single" w:color="auto" w:sz="4" w:space="0"/>
            </w:tcBorders>
            <w:vAlign w:val="center"/>
          </w:tcPr>
          <w:p>
            <w:pPr>
              <w:jc w:val="center"/>
              <w:rPr>
                <w:rFonts w:ascii="宋体" w:hAnsi="宋体"/>
                <w:color w:val="auto"/>
                <w:sz w:val="24"/>
                <w:highlight w:val="none"/>
                <w:u w:val="single"/>
              </w:rPr>
            </w:pPr>
            <w:r>
              <w:rPr>
                <w:rFonts w:hint="eastAsia" w:ascii="宋体" w:hAnsi="宋体"/>
                <w:color w:val="auto"/>
                <w:sz w:val="24"/>
                <w:highlight w:val="none"/>
              </w:rPr>
              <w:t>900</w:t>
            </w:r>
          </w:p>
        </w:tc>
        <w:tc>
          <w:tcPr>
            <w:tcW w:w="562" w:type="pct"/>
            <w:tcBorders>
              <w:right w:val="single" w:color="auto" w:sz="4" w:space="0"/>
            </w:tcBorders>
            <w:vAlign w:val="center"/>
          </w:tcPr>
          <w:p>
            <w:pPr>
              <w:widowControl/>
              <w:textAlignment w:val="center"/>
              <w:rPr>
                <w:rFonts w:ascii="仿宋_GB2312" w:hAnsi="仿宋_GB2312" w:eastAsia="仿宋_GB2312" w:cs="仿宋_GB2312"/>
                <w:color w:val="auto"/>
                <w:sz w:val="22"/>
                <w:szCs w:val="22"/>
                <w:highlight w:val="none"/>
              </w:rPr>
            </w:pPr>
          </w:p>
        </w:tc>
        <w:tc>
          <w:tcPr>
            <w:tcW w:w="514" w:type="pct"/>
            <w:tcBorders>
              <w:left w:val="single" w:color="auto" w:sz="4" w:space="0"/>
            </w:tcBorders>
            <w:vAlign w:val="center"/>
          </w:tcPr>
          <w:p>
            <w:pPr>
              <w:widowControl/>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850</w:t>
            </w:r>
          </w:p>
        </w:tc>
        <w:tc>
          <w:tcPr>
            <w:tcW w:w="397" w:type="pct"/>
            <w:tcBorders>
              <w:right w:val="single" w:color="auto" w:sz="4" w:space="0"/>
            </w:tcBorders>
            <w:vAlign w:val="center"/>
          </w:tcPr>
          <w:p>
            <w:pPr>
              <w:widowControl/>
              <w:jc w:val="center"/>
              <w:textAlignment w:val="center"/>
              <w:rPr>
                <w:rFonts w:ascii="仿宋_GB2312" w:hAnsi="仿宋_GB2312" w:eastAsia="仿宋_GB2312" w:cs="仿宋_GB2312"/>
                <w:color w:val="auto"/>
                <w:sz w:val="22"/>
                <w:szCs w:val="22"/>
                <w:highlight w:val="none"/>
              </w:rPr>
            </w:pPr>
          </w:p>
        </w:tc>
        <w:tc>
          <w:tcPr>
            <w:tcW w:w="382" w:type="pct"/>
            <w:tcBorders>
              <w:left w:val="single" w:color="auto" w:sz="4" w:space="0"/>
            </w:tcBorders>
            <w:vAlign w:val="center"/>
          </w:tcPr>
          <w:p>
            <w:pPr>
              <w:widowControl/>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1200</w:t>
            </w:r>
          </w:p>
        </w:tc>
        <w:tc>
          <w:tcPr>
            <w:tcW w:w="453" w:type="pct"/>
            <w:vMerge w:val="continue"/>
            <w:vAlign w:val="center"/>
          </w:tcPr>
          <w:p>
            <w:pPr>
              <w:jc w:val="center"/>
              <w:rPr>
                <w:rFonts w:ascii="宋体" w:hAnsi="宋体" w:cs="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jc w:val="center"/>
        </w:trPr>
        <w:tc>
          <w:tcPr>
            <w:tcW w:w="566" w:type="pct"/>
            <w:vAlign w:val="center"/>
          </w:tcPr>
          <w:p>
            <w:pPr>
              <w:jc w:val="center"/>
              <w:rPr>
                <w:rFonts w:ascii="宋体" w:hAnsi="宋体"/>
                <w:color w:val="auto"/>
                <w:highlight w:val="none"/>
              </w:rPr>
            </w:pPr>
            <w:r>
              <w:rPr>
                <w:rFonts w:hint="eastAsia" w:ascii="宋体" w:hAnsi="宋体"/>
                <w:color w:val="auto"/>
                <w:highlight w:val="none"/>
              </w:rPr>
              <w:t>投标单价合计</w:t>
            </w:r>
          </w:p>
        </w:tc>
        <w:tc>
          <w:tcPr>
            <w:tcW w:w="4433" w:type="pct"/>
            <w:gridSpan w:val="9"/>
            <w:vAlign w:val="center"/>
          </w:tcPr>
          <w:p>
            <w:pPr>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w:t>
            </w:r>
          </w:p>
        </w:tc>
      </w:tr>
    </w:tbl>
    <w:p>
      <w:pPr>
        <w:spacing w:line="360" w:lineRule="auto"/>
        <w:rPr>
          <w:rFonts w:ascii="宋体" w:hAnsi="宋体" w:cs="宋体"/>
          <w:color w:val="auto"/>
          <w:sz w:val="24"/>
          <w:highlight w:val="none"/>
        </w:rPr>
      </w:pPr>
      <w:r>
        <w:rPr>
          <w:rFonts w:hint="eastAsia" w:ascii="宋体" w:hAnsi="宋体" w:cs="宋体"/>
          <w:color w:val="auto"/>
          <w:sz w:val="24"/>
          <w:highlight w:val="none"/>
        </w:rPr>
        <w:t>备注：1.证件类稿件、插图图纸除字数统计费用外，额外加收人民币50元每件的排版费用。</w:t>
      </w:r>
    </w:p>
    <w:p>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2.其他语种价格以双方协商为准；</w:t>
      </w:r>
    </w:p>
    <w:p>
      <w:pPr>
        <w:spacing w:line="360" w:lineRule="auto"/>
        <w:ind w:left="-218" w:leftChars="-104" w:firstLine="960" w:firstLineChars="400"/>
        <w:rPr>
          <w:rFonts w:ascii="宋体" w:hAnsi="宋体" w:cs="宋体"/>
          <w:color w:val="auto"/>
          <w:sz w:val="24"/>
          <w:highlight w:val="none"/>
        </w:rPr>
      </w:pPr>
      <w:r>
        <w:rPr>
          <w:rFonts w:hint="eastAsia" w:ascii="宋体" w:hAnsi="宋体" w:cs="宋体"/>
          <w:color w:val="auto"/>
          <w:sz w:val="24"/>
          <w:highlight w:val="none"/>
        </w:rPr>
        <w:t>3.投标人需按采购人列出的清单填报相应单价，实际结算单价等于所投标单价。投标单价不得超过相应限价，如投标单价超过相应限价，则视同无效报价。</w:t>
      </w:r>
    </w:p>
    <w:p>
      <w:pPr>
        <w:spacing w:line="360" w:lineRule="auto"/>
        <w:rPr>
          <w:rFonts w:ascii="宋体" w:hAnsi="宋体" w:cs="宋体"/>
          <w:b/>
          <w:bCs/>
          <w:color w:val="auto"/>
          <w:sz w:val="24"/>
          <w:highlight w:val="none"/>
        </w:rPr>
      </w:pP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（二）口译报价（元/人/天）</w:t>
      </w:r>
    </w:p>
    <w:tbl>
      <w:tblPr>
        <w:tblStyle w:val="18"/>
        <w:tblW w:w="573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4"/>
        <w:gridCol w:w="637"/>
        <w:gridCol w:w="831"/>
        <w:gridCol w:w="800"/>
        <w:gridCol w:w="786"/>
        <w:gridCol w:w="1112"/>
        <w:gridCol w:w="802"/>
        <w:gridCol w:w="1142"/>
        <w:gridCol w:w="927"/>
        <w:gridCol w:w="1118"/>
        <w:gridCol w:w="4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4" w:hRule="atLeast"/>
          <w:jc w:val="center"/>
        </w:trPr>
        <w:tc>
          <w:tcPr>
            <w:tcW w:w="606" w:type="pct"/>
            <w:vMerge w:val="restart"/>
            <w:vAlign w:val="center"/>
          </w:tcPr>
          <w:p>
            <w:pPr>
              <w:spacing w:after="60"/>
              <w:jc w:val="center"/>
              <w:rPr>
                <w:rFonts w:ascii="宋体" w:hAnsi="宋体" w:cs="Arial"/>
                <w:b/>
                <w:bCs/>
                <w:color w:val="auto"/>
                <w:highlight w:val="none"/>
              </w:rPr>
            </w:pPr>
            <w:r>
              <w:rPr>
                <w:rFonts w:hint="eastAsia" w:ascii="宋体" w:hAnsi="宋体" w:cs="Arial"/>
                <w:b/>
                <w:bCs/>
                <w:color w:val="auto"/>
                <w:highlight w:val="none"/>
              </w:rPr>
              <w:t>口译级别</w:t>
            </w:r>
          </w:p>
        </w:tc>
        <w:tc>
          <w:tcPr>
            <w:tcW w:w="326" w:type="pct"/>
            <w:vMerge w:val="restart"/>
            <w:vAlign w:val="center"/>
          </w:tcPr>
          <w:p>
            <w:pPr>
              <w:spacing w:after="60"/>
              <w:jc w:val="center"/>
              <w:rPr>
                <w:rFonts w:ascii="宋体" w:hAnsi="宋体" w:cs="Arial"/>
                <w:b/>
                <w:bCs/>
                <w:color w:val="auto"/>
                <w:highlight w:val="none"/>
              </w:rPr>
            </w:pPr>
            <w:r>
              <w:rPr>
                <w:rFonts w:hint="eastAsia" w:ascii="宋体" w:hAnsi="宋体" w:cs="Arial"/>
                <w:b/>
                <w:bCs/>
                <w:color w:val="auto"/>
                <w:highlight w:val="none"/>
              </w:rPr>
              <w:t>级别</w:t>
            </w:r>
          </w:p>
        </w:tc>
        <w:tc>
          <w:tcPr>
            <w:tcW w:w="1805" w:type="pct"/>
            <w:gridSpan w:val="4"/>
            <w:vAlign w:val="center"/>
          </w:tcPr>
          <w:p>
            <w:pPr>
              <w:spacing w:after="60"/>
              <w:jc w:val="center"/>
              <w:rPr>
                <w:rFonts w:ascii="宋体" w:hAnsi="宋体" w:cs="Arial"/>
                <w:b/>
                <w:bCs/>
                <w:color w:val="auto"/>
                <w:highlight w:val="none"/>
              </w:rPr>
            </w:pPr>
            <w:r>
              <w:rPr>
                <w:rFonts w:hint="eastAsia" w:ascii="宋体" w:hAnsi="宋体" w:cs="Arial"/>
                <w:b/>
                <w:bCs/>
                <w:color w:val="auto"/>
                <w:highlight w:val="none"/>
              </w:rPr>
              <w:t>英语</w:t>
            </w:r>
          </w:p>
        </w:tc>
        <w:tc>
          <w:tcPr>
            <w:tcW w:w="2040" w:type="pct"/>
            <w:gridSpan w:val="4"/>
            <w:tcBorders>
              <w:right w:val="single" w:color="auto" w:sz="4" w:space="0"/>
            </w:tcBorders>
            <w:vAlign w:val="center"/>
          </w:tcPr>
          <w:p>
            <w:pPr>
              <w:spacing w:after="60"/>
              <w:jc w:val="center"/>
              <w:rPr>
                <w:rFonts w:ascii="宋体" w:hAnsi="宋体" w:cs="Arial"/>
                <w:b/>
                <w:bCs/>
                <w:color w:val="auto"/>
                <w:highlight w:val="none"/>
              </w:rPr>
            </w:pPr>
            <w:r>
              <w:rPr>
                <w:rFonts w:hint="eastAsia" w:ascii="宋体" w:hAnsi="宋体" w:cs="Arial"/>
                <w:b/>
                <w:bCs/>
                <w:color w:val="auto"/>
                <w:highlight w:val="none"/>
              </w:rPr>
              <w:t>日/韩/德/法/俄/西</w:t>
            </w:r>
          </w:p>
        </w:tc>
        <w:tc>
          <w:tcPr>
            <w:tcW w:w="223" w:type="pct"/>
            <w:tcBorders>
              <w:left w:val="single" w:color="auto" w:sz="4" w:space="0"/>
            </w:tcBorders>
            <w:vAlign w:val="center"/>
          </w:tcPr>
          <w:p>
            <w:pPr>
              <w:spacing w:after="60"/>
              <w:jc w:val="center"/>
              <w:rPr>
                <w:rFonts w:ascii="宋体" w:hAnsi="宋体" w:cs="Arial"/>
                <w:b/>
                <w:bCs/>
                <w:color w:val="auto"/>
                <w:highlight w:val="none"/>
              </w:rPr>
            </w:pPr>
            <w:r>
              <w:rPr>
                <w:rFonts w:hint="eastAsia" w:ascii="宋体" w:hAnsi="宋体" w:cs="Arial"/>
                <w:b/>
                <w:bCs/>
                <w:color w:val="auto"/>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4" w:hRule="atLeast"/>
          <w:jc w:val="center"/>
        </w:trPr>
        <w:tc>
          <w:tcPr>
            <w:tcW w:w="606" w:type="pct"/>
            <w:vMerge w:val="continue"/>
            <w:vAlign w:val="center"/>
          </w:tcPr>
          <w:p>
            <w:pPr>
              <w:spacing w:after="60"/>
              <w:jc w:val="center"/>
              <w:rPr>
                <w:rFonts w:ascii="宋体" w:hAnsi="宋体" w:cs="Arial"/>
                <w:b/>
                <w:bCs/>
                <w:color w:val="auto"/>
                <w:highlight w:val="none"/>
              </w:rPr>
            </w:pPr>
          </w:p>
        </w:tc>
        <w:tc>
          <w:tcPr>
            <w:tcW w:w="326" w:type="pct"/>
            <w:vMerge w:val="continue"/>
            <w:vAlign w:val="center"/>
          </w:tcPr>
          <w:p>
            <w:pPr>
              <w:spacing w:after="60"/>
              <w:jc w:val="center"/>
              <w:rPr>
                <w:rFonts w:ascii="宋体" w:hAnsi="宋体" w:cs="Arial"/>
                <w:b/>
                <w:bCs/>
                <w:color w:val="auto"/>
                <w:highlight w:val="none"/>
              </w:rPr>
            </w:pPr>
          </w:p>
        </w:tc>
        <w:tc>
          <w:tcPr>
            <w:tcW w:w="425" w:type="pct"/>
            <w:vAlign w:val="center"/>
          </w:tcPr>
          <w:p>
            <w:pPr>
              <w:spacing w:after="60"/>
              <w:jc w:val="center"/>
              <w:rPr>
                <w:rFonts w:ascii="宋体" w:hAnsi="宋体" w:cs="Arial"/>
                <w:b/>
                <w:bCs/>
                <w:color w:val="auto"/>
                <w:highlight w:val="none"/>
              </w:rPr>
            </w:pPr>
            <w:r>
              <w:rPr>
                <w:rFonts w:hint="eastAsia" w:ascii="宋体" w:hAnsi="宋体" w:cs="Arial"/>
                <w:b/>
                <w:bCs/>
                <w:color w:val="auto"/>
                <w:highlight w:val="none"/>
              </w:rPr>
              <w:t>半天/4小时</w:t>
            </w:r>
          </w:p>
        </w:tc>
        <w:tc>
          <w:tcPr>
            <w:tcW w:w="409" w:type="pct"/>
            <w:vAlign w:val="center"/>
          </w:tcPr>
          <w:p>
            <w:pPr>
              <w:spacing w:after="60"/>
              <w:jc w:val="center"/>
              <w:rPr>
                <w:rFonts w:ascii="宋体" w:hAnsi="宋体" w:cs="Arial"/>
                <w:b/>
                <w:bCs/>
                <w:color w:val="auto"/>
                <w:highlight w:val="none"/>
              </w:rPr>
            </w:pPr>
            <w:r>
              <w:rPr>
                <w:rFonts w:hint="eastAsia" w:ascii="宋体" w:hAnsi="宋体" w:cs="Arial"/>
                <w:b/>
                <w:bCs/>
                <w:color w:val="auto"/>
                <w:highlight w:val="none"/>
              </w:rPr>
              <w:t>投标上限价</w:t>
            </w:r>
          </w:p>
        </w:tc>
        <w:tc>
          <w:tcPr>
            <w:tcW w:w="402" w:type="pct"/>
            <w:vAlign w:val="center"/>
          </w:tcPr>
          <w:p>
            <w:pPr>
              <w:spacing w:after="60"/>
              <w:jc w:val="center"/>
              <w:rPr>
                <w:rFonts w:ascii="宋体" w:hAnsi="宋体" w:cs="Arial"/>
                <w:b/>
                <w:bCs/>
                <w:color w:val="auto"/>
                <w:highlight w:val="none"/>
              </w:rPr>
            </w:pPr>
            <w:r>
              <w:rPr>
                <w:rFonts w:hint="eastAsia" w:ascii="宋体" w:hAnsi="宋体" w:cs="Arial"/>
                <w:b/>
                <w:bCs/>
                <w:color w:val="auto"/>
                <w:highlight w:val="none"/>
              </w:rPr>
              <w:t>全天/8小时</w:t>
            </w:r>
          </w:p>
        </w:tc>
        <w:tc>
          <w:tcPr>
            <w:tcW w:w="569" w:type="pct"/>
            <w:vAlign w:val="center"/>
          </w:tcPr>
          <w:p>
            <w:pPr>
              <w:spacing w:after="60"/>
              <w:jc w:val="center"/>
              <w:rPr>
                <w:b/>
                <w:bCs/>
                <w:color w:val="auto"/>
                <w:sz w:val="24"/>
                <w:highlight w:val="none"/>
              </w:rPr>
            </w:pPr>
            <w:r>
              <w:rPr>
                <w:rFonts w:hint="eastAsia" w:ascii="宋体" w:hAnsi="宋体" w:cs="Arial"/>
                <w:b/>
                <w:bCs/>
                <w:color w:val="auto"/>
                <w:highlight w:val="none"/>
              </w:rPr>
              <w:t>投标上限价</w:t>
            </w:r>
          </w:p>
        </w:tc>
        <w:tc>
          <w:tcPr>
            <w:tcW w:w="410" w:type="pct"/>
            <w:vAlign w:val="center"/>
          </w:tcPr>
          <w:p>
            <w:pPr>
              <w:spacing w:after="60"/>
              <w:jc w:val="center"/>
              <w:rPr>
                <w:rFonts w:ascii="宋体" w:hAnsi="宋体" w:cs="Arial"/>
                <w:b/>
                <w:bCs/>
                <w:color w:val="auto"/>
                <w:highlight w:val="none"/>
              </w:rPr>
            </w:pPr>
            <w:r>
              <w:rPr>
                <w:rFonts w:hint="eastAsia" w:ascii="宋体" w:hAnsi="宋体" w:cs="Arial"/>
                <w:b/>
                <w:bCs/>
                <w:color w:val="auto"/>
                <w:highlight w:val="none"/>
              </w:rPr>
              <w:t>半天/4小时</w:t>
            </w:r>
          </w:p>
        </w:tc>
        <w:tc>
          <w:tcPr>
            <w:tcW w:w="584" w:type="pct"/>
            <w:tcBorders>
              <w:bottom w:val="single" w:color="auto" w:sz="4" w:space="0"/>
            </w:tcBorders>
            <w:vAlign w:val="center"/>
          </w:tcPr>
          <w:p>
            <w:pPr>
              <w:spacing w:after="60"/>
              <w:jc w:val="center"/>
              <w:rPr>
                <w:b/>
                <w:bCs/>
                <w:color w:val="auto"/>
                <w:sz w:val="24"/>
                <w:highlight w:val="none"/>
              </w:rPr>
            </w:pPr>
            <w:r>
              <w:rPr>
                <w:rFonts w:hint="eastAsia" w:ascii="宋体" w:hAnsi="宋体" w:cs="Arial"/>
                <w:b/>
                <w:bCs/>
                <w:color w:val="auto"/>
                <w:highlight w:val="none"/>
              </w:rPr>
              <w:t>投标上限价</w:t>
            </w:r>
          </w:p>
        </w:tc>
        <w:tc>
          <w:tcPr>
            <w:tcW w:w="474" w:type="pct"/>
            <w:tcBorders>
              <w:bottom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b/>
                <w:bCs/>
                <w:color w:val="auto"/>
                <w:sz w:val="22"/>
                <w:szCs w:val="22"/>
                <w:highlight w:val="none"/>
              </w:rPr>
              <w:t>全天/8小时</w:t>
            </w:r>
          </w:p>
        </w:tc>
        <w:tc>
          <w:tcPr>
            <w:tcW w:w="572" w:type="pct"/>
            <w:tcBorders>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b/>
                <w:bCs/>
                <w:color w:val="auto"/>
                <w:szCs w:val="21"/>
                <w:highlight w:val="none"/>
              </w:rPr>
              <w:t>投标上限价</w:t>
            </w:r>
          </w:p>
        </w:tc>
        <w:tc>
          <w:tcPr>
            <w:tcW w:w="223" w:type="pct"/>
            <w:vMerge w:val="restart"/>
            <w:tcBorders>
              <w:lef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投标单价不得超过对应上限价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jc w:val="center"/>
        </w:trPr>
        <w:tc>
          <w:tcPr>
            <w:tcW w:w="606" w:type="pct"/>
            <w:vAlign w:val="center"/>
          </w:tcPr>
          <w:p>
            <w:pPr>
              <w:jc w:val="center"/>
              <w:rPr>
                <w:rFonts w:ascii="宋体" w:hAnsi="宋体"/>
                <w:color w:val="auto"/>
                <w:highlight w:val="none"/>
              </w:rPr>
            </w:pPr>
            <w:r>
              <w:rPr>
                <w:rFonts w:hint="eastAsia" w:ascii="宋体" w:hAnsi="宋体"/>
                <w:color w:val="auto"/>
                <w:highlight w:val="none"/>
              </w:rPr>
              <w:t>陪同口译</w:t>
            </w:r>
          </w:p>
        </w:tc>
        <w:tc>
          <w:tcPr>
            <w:tcW w:w="326" w:type="pct"/>
            <w:tcBorders>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高级</w:t>
            </w:r>
          </w:p>
        </w:tc>
        <w:tc>
          <w:tcPr>
            <w:tcW w:w="425" w:type="pct"/>
            <w:tcBorders>
              <w:right w:val="single" w:color="auto" w:sz="4" w:space="0"/>
            </w:tcBorders>
            <w:vAlign w:val="center"/>
          </w:tcPr>
          <w:p>
            <w:pPr>
              <w:jc w:val="center"/>
              <w:rPr>
                <w:rFonts w:ascii="宋体" w:hAnsi="宋体"/>
                <w:color w:val="auto"/>
                <w:sz w:val="24"/>
                <w:highlight w:val="none"/>
                <w:u w:val="single"/>
              </w:rPr>
            </w:pPr>
          </w:p>
        </w:tc>
        <w:tc>
          <w:tcPr>
            <w:tcW w:w="409" w:type="pct"/>
            <w:tcBorders>
              <w:lef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1600</w:t>
            </w:r>
          </w:p>
        </w:tc>
        <w:tc>
          <w:tcPr>
            <w:tcW w:w="402" w:type="pct"/>
            <w:tcBorders>
              <w:right w:val="single" w:color="auto" w:sz="4" w:space="0"/>
            </w:tcBorders>
            <w:vAlign w:val="center"/>
          </w:tcPr>
          <w:p>
            <w:pPr>
              <w:jc w:val="center"/>
              <w:rPr>
                <w:rFonts w:ascii="宋体" w:hAnsi="宋体"/>
                <w:color w:val="auto"/>
                <w:highlight w:val="none"/>
              </w:rPr>
            </w:pPr>
          </w:p>
        </w:tc>
        <w:tc>
          <w:tcPr>
            <w:tcW w:w="569" w:type="pct"/>
            <w:tcBorders>
              <w:lef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2500</w:t>
            </w:r>
          </w:p>
        </w:tc>
        <w:tc>
          <w:tcPr>
            <w:tcW w:w="410" w:type="pct"/>
            <w:tcBorders>
              <w:right w:val="single" w:color="auto" w:sz="4" w:space="0"/>
            </w:tcBorders>
            <w:vAlign w:val="center"/>
          </w:tcPr>
          <w:p>
            <w:pPr>
              <w:jc w:val="center"/>
              <w:rPr>
                <w:rFonts w:ascii="宋体" w:hAnsi="宋体"/>
                <w:color w:val="auto"/>
                <w:highlight w:val="none"/>
              </w:rPr>
            </w:pPr>
          </w:p>
        </w:tc>
        <w:tc>
          <w:tcPr>
            <w:tcW w:w="584" w:type="pct"/>
            <w:tcBorders>
              <w:top w:val="single" w:color="auto" w:sz="4" w:space="0"/>
              <w:left w:val="single" w:color="auto" w:sz="4" w:space="0"/>
              <w:bottom w:val="single" w:color="auto" w:sz="4" w:space="0"/>
            </w:tcBorders>
            <w:vAlign w:val="center"/>
          </w:tcPr>
          <w:p>
            <w:pPr>
              <w:widowControl/>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2200</w:t>
            </w:r>
          </w:p>
        </w:tc>
        <w:tc>
          <w:tcPr>
            <w:tcW w:w="474" w:type="pct"/>
            <w:tcBorders>
              <w:top w:val="single" w:color="auto" w:sz="4" w:space="0"/>
              <w:bottom w:val="single" w:color="auto" w:sz="4" w:space="0"/>
              <w:right w:val="single" w:color="auto" w:sz="4" w:space="0"/>
            </w:tcBorders>
            <w:vAlign w:val="center"/>
          </w:tcPr>
          <w:p>
            <w:pPr>
              <w:jc w:val="center"/>
              <w:rPr>
                <w:rFonts w:ascii="宋体" w:hAnsi="宋体" w:cs="宋体"/>
                <w:color w:val="auto"/>
                <w:sz w:val="22"/>
                <w:szCs w:val="22"/>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3600</w:t>
            </w:r>
          </w:p>
        </w:tc>
        <w:tc>
          <w:tcPr>
            <w:tcW w:w="223" w:type="pct"/>
            <w:vMerge w:val="continue"/>
            <w:tcBorders>
              <w:left w:val="single" w:color="auto" w:sz="4" w:space="0"/>
            </w:tcBorders>
            <w:vAlign w:val="center"/>
          </w:tcPr>
          <w:p>
            <w:pPr>
              <w:jc w:val="center"/>
              <w:rPr>
                <w:rFonts w:ascii="宋体" w:hAnsi="宋体" w:cs="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jc w:val="center"/>
        </w:trPr>
        <w:tc>
          <w:tcPr>
            <w:tcW w:w="606" w:type="pct"/>
            <w:vAlign w:val="center"/>
          </w:tcPr>
          <w:p>
            <w:pPr>
              <w:jc w:val="center"/>
              <w:rPr>
                <w:rFonts w:ascii="宋体" w:hAnsi="宋体"/>
                <w:color w:val="auto"/>
                <w:highlight w:val="none"/>
              </w:rPr>
            </w:pPr>
            <w:r>
              <w:rPr>
                <w:rFonts w:hint="eastAsia" w:ascii="宋体" w:hAnsi="宋体"/>
                <w:color w:val="auto"/>
                <w:highlight w:val="none"/>
              </w:rPr>
              <w:t>会议交传</w:t>
            </w:r>
          </w:p>
        </w:tc>
        <w:tc>
          <w:tcPr>
            <w:tcW w:w="326" w:type="pct"/>
            <w:tcBorders>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高级</w:t>
            </w:r>
          </w:p>
        </w:tc>
        <w:tc>
          <w:tcPr>
            <w:tcW w:w="425" w:type="pct"/>
            <w:tcBorders>
              <w:right w:val="single" w:color="auto" w:sz="4" w:space="0"/>
            </w:tcBorders>
            <w:vAlign w:val="center"/>
          </w:tcPr>
          <w:p>
            <w:pPr>
              <w:jc w:val="center"/>
              <w:rPr>
                <w:rFonts w:ascii="宋体" w:hAnsi="宋体"/>
                <w:color w:val="auto"/>
                <w:sz w:val="24"/>
                <w:highlight w:val="none"/>
                <w:u w:val="single"/>
              </w:rPr>
            </w:pPr>
          </w:p>
        </w:tc>
        <w:tc>
          <w:tcPr>
            <w:tcW w:w="409" w:type="pct"/>
            <w:tcBorders>
              <w:left w:val="single" w:color="auto" w:sz="4" w:space="0"/>
            </w:tcBorders>
            <w:vAlign w:val="center"/>
          </w:tcPr>
          <w:p>
            <w:pPr>
              <w:jc w:val="center"/>
              <w:rPr>
                <w:rFonts w:ascii="宋体" w:hAnsi="宋体"/>
                <w:color w:val="auto"/>
                <w:sz w:val="24"/>
                <w:highlight w:val="none"/>
                <w:u w:val="single"/>
              </w:rPr>
            </w:pPr>
            <w:r>
              <w:rPr>
                <w:rFonts w:hint="eastAsia" w:ascii="宋体" w:hAnsi="宋体"/>
                <w:color w:val="auto"/>
                <w:highlight w:val="none"/>
              </w:rPr>
              <w:t>2500</w:t>
            </w:r>
          </w:p>
        </w:tc>
        <w:tc>
          <w:tcPr>
            <w:tcW w:w="402" w:type="pct"/>
            <w:tcBorders>
              <w:right w:val="single" w:color="auto" w:sz="4" w:space="0"/>
            </w:tcBorders>
            <w:vAlign w:val="center"/>
          </w:tcPr>
          <w:p>
            <w:pPr>
              <w:jc w:val="center"/>
              <w:rPr>
                <w:rFonts w:ascii="宋体" w:hAnsi="宋体"/>
                <w:color w:val="auto"/>
                <w:sz w:val="24"/>
                <w:highlight w:val="none"/>
                <w:u w:val="single"/>
              </w:rPr>
            </w:pPr>
          </w:p>
        </w:tc>
        <w:tc>
          <w:tcPr>
            <w:tcW w:w="569" w:type="pct"/>
            <w:tcBorders>
              <w:left w:val="single" w:color="auto" w:sz="4" w:space="0"/>
            </w:tcBorders>
            <w:vAlign w:val="center"/>
          </w:tcPr>
          <w:p>
            <w:pPr>
              <w:jc w:val="center"/>
              <w:rPr>
                <w:rFonts w:ascii="宋体" w:hAnsi="宋体"/>
                <w:color w:val="auto"/>
                <w:sz w:val="24"/>
                <w:highlight w:val="none"/>
                <w:u w:val="single"/>
              </w:rPr>
            </w:pPr>
            <w:r>
              <w:rPr>
                <w:rFonts w:hint="eastAsia" w:ascii="宋体" w:hAnsi="宋体"/>
                <w:color w:val="auto"/>
                <w:highlight w:val="none"/>
              </w:rPr>
              <w:t>4000</w:t>
            </w:r>
          </w:p>
        </w:tc>
        <w:tc>
          <w:tcPr>
            <w:tcW w:w="410" w:type="pct"/>
            <w:tcBorders>
              <w:right w:val="single" w:color="auto" w:sz="4" w:space="0"/>
            </w:tcBorders>
            <w:vAlign w:val="center"/>
          </w:tcPr>
          <w:p>
            <w:pPr>
              <w:widowControl/>
              <w:jc w:val="center"/>
              <w:textAlignment w:val="center"/>
              <w:rPr>
                <w:rFonts w:ascii="仿宋_GB2312" w:hAnsi="仿宋_GB2312" w:eastAsia="仿宋_GB2312" w:cs="仿宋_GB2312"/>
                <w:color w:val="auto"/>
                <w:sz w:val="22"/>
                <w:szCs w:val="22"/>
                <w:highlight w:val="none"/>
              </w:rPr>
            </w:pPr>
          </w:p>
        </w:tc>
        <w:tc>
          <w:tcPr>
            <w:tcW w:w="584" w:type="pct"/>
            <w:tcBorders>
              <w:top w:val="single" w:color="auto" w:sz="4" w:space="0"/>
              <w:left w:val="single" w:color="auto" w:sz="4" w:space="0"/>
            </w:tcBorders>
            <w:vAlign w:val="center"/>
          </w:tcPr>
          <w:p>
            <w:pPr>
              <w:widowControl/>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2800</w:t>
            </w:r>
          </w:p>
        </w:tc>
        <w:tc>
          <w:tcPr>
            <w:tcW w:w="474" w:type="pct"/>
            <w:tcBorders>
              <w:top w:val="single" w:color="auto" w:sz="4" w:space="0"/>
              <w:right w:val="single" w:color="auto" w:sz="4" w:space="0"/>
            </w:tcBorders>
            <w:vAlign w:val="center"/>
          </w:tcPr>
          <w:p>
            <w:pPr>
              <w:jc w:val="center"/>
              <w:rPr>
                <w:rFonts w:ascii="宋体" w:hAnsi="宋体" w:cs="宋体"/>
                <w:color w:val="auto"/>
                <w:sz w:val="22"/>
                <w:szCs w:val="22"/>
                <w:highlight w:val="none"/>
              </w:rPr>
            </w:pPr>
          </w:p>
        </w:tc>
        <w:tc>
          <w:tcPr>
            <w:tcW w:w="572" w:type="pct"/>
            <w:tcBorders>
              <w:top w:val="single" w:color="auto" w:sz="4" w:space="0"/>
              <w:left w:val="single" w:color="auto" w:sz="4" w:space="0"/>
              <w:right w:val="single" w:color="auto" w:sz="4" w:space="0"/>
            </w:tcBorders>
            <w:vAlign w:val="center"/>
          </w:tcPr>
          <w:p>
            <w:pPr>
              <w:tabs>
                <w:tab w:val="left" w:pos="220"/>
              </w:tabs>
              <w:jc w:val="center"/>
              <w:rPr>
                <w:rFonts w:ascii="宋体" w:hAnsi="宋体" w:cs="宋体"/>
                <w:color w:val="auto"/>
                <w:sz w:val="22"/>
                <w:szCs w:val="22"/>
                <w:highlight w:val="none"/>
              </w:rPr>
            </w:pPr>
            <w:r>
              <w:rPr>
                <w:rFonts w:hint="eastAsia" w:ascii="宋体" w:hAnsi="宋体" w:cs="宋体"/>
                <w:color w:val="auto"/>
                <w:sz w:val="22"/>
                <w:szCs w:val="22"/>
                <w:highlight w:val="none"/>
              </w:rPr>
              <w:t>4500</w:t>
            </w:r>
          </w:p>
        </w:tc>
        <w:tc>
          <w:tcPr>
            <w:tcW w:w="223" w:type="pct"/>
            <w:vMerge w:val="continue"/>
            <w:tcBorders>
              <w:left w:val="single" w:color="auto" w:sz="4" w:space="0"/>
            </w:tcBorders>
            <w:vAlign w:val="center"/>
          </w:tcPr>
          <w:p>
            <w:pPr>
              <w:jc w:val="center"/>
              <w:rPr>
                <w:rFonts w:ascii="宋体" w:hAnsi="宋体" w:cs="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jc w:val="center"/>
        </w:trPr>
        <w:tc>
          <w:tcPr>
            <w:tcW w:w="606" w:type="pct"/>
            <w:vAlign w:val="center"/>
          </w:tcPr>
          <w:p>
            <w:pPr>
              <w:jc w:val="center"/>
              <w:rPr>
                <w:rFonts w:ascii="宋体" w:hAnsi="宋体"/>
                <w:color w:val="auto"/>
                <w:highlight w:val="none"/>
              </w:rPr>
            </w:pPr>
            <w:r>
              <w:rPr>
                <w:rFonts w:hint="eastAsia" w:ascii="宋体" w:hAnsi="宋体"/>
                <w:color w:val="auto"/>
                <w:highlight w:val="none"/>
              </w:rPr>
              <w:t>会议同传</w:t>
            </w:r>
          </w:p>
        </w:tc>
        <w:tc>
          <w:tcPr>
            <w:tcW w:w="326" w:type="pct"/>
            <w:tcBorders>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咨询</w:t>
            </w:r>
          </w:p>
        </w:tc>
        <w:tc>
          <w:tcPr>
            <w:tcW w:w="425" w:type="pct"/>
            <w:tcBorders>
              <w:right w:val="single" w:color="auto" w:sz="4" w:space="0"/>
            </w:tcBorders>
            <w:vAlign w:val="center"/>
          </w:tcPr>
          <w:p>
            <w:pPr>
              <w:jc w:val="center"/>
              <w:rPr>
                <w:rFonts w:ascii="宋体" w:hAnsi="宋体"/>
                <w:color w:val="auto"/>
                <w:sz w:val="24"/>
                <w:highlight w:val="none"/>
                <w:u w:val="single"/>
              </w:rPr>
            </w:pPr>
          </w:p>
        </w:tc>
        <w:tc>
          <w:tcPr>
            <w:tcW w:w="409" w:type="pct"/>
            <w:tcBorders>
              <w:left w:val="single" w:color="auto" w:sz="4" w:space="0"/>
            </w:tcBorders>
            <w:vAlign w:val="center"/>
          </w:tcPr>
          <w:p>
            <w:pPr>
              <w:jc w:val="center"/>
              <w:rPr>
                <w:rFonts w:ascii="宋体" w:hAnsi="宋体"/>
                <w:color w:val="auto"/>
                <w:sz w:val="24"/>
                <w:highlight w:val="none"/>
                <w:u w:val="single"/>
              </w:rPr>
            </w:pPr>
            <w:r>
              <w:rPr>
                <w:rFonts w:hint="eastAsia" w:ascii="宋体" w:hAnsi="宋体"/>
                <w:color w:val="auto"/>
                <w:highlight w:val="none"/>
              </w:rPr>
              <w:t>4000</w:t>
            </w:r>
          </w:p>
        </w:tc>
        <w:tc>
          <w:tcPr>
            <w:tcW w:w="402" w:type="pct"/>
            <w:tcBorders>
              <w:right w:val="single" w:color="auto" w:sz="4" w:space="0"/>
            </w:tcBorders>
            <w:vAlign w:val="center"/>
          </w:tcPr>
          <w:p>
            <w:pPr>
              <w:jc w:val="center"/>
              <w:rPr>
                <w:rFonts w:ascii="宋体" w:hAnsi="宋体"/>
                <w:color w:val="auto"/>
                <w:sz w:val="24"/>
                <w:highlight w:val="none"/>
                <w:u w:val="single"/>
              </w:rPr>
            </w:pPr>
          </w:p>
        </w:tc>
        <w:tc>
          <w:tcPr>
            <w:tcW w:w="569" w:type="pct"/>
            <w:tcBorders>
              <w:left w:val="single" w:color="auto" w:sz="4" w:space="0"/>
            </w:tcBorders>
            <w:vAlign w:val="center"/>
          </w:tcPr>
          <w:p>
            <w:pPr>
              <w:jc w:val="center"/>
              <w:rPr>
                <w:rFonts w:ascii="宋体" w:hAnsi="宋体"/>
                <w:color w:val="auto"/>
                <w:sz w:val="24"/>
                <w:highlight w:val="none"/>
                <w:u w:val="single"/>
              </w:rPr>
            </w:pPr>
            <w:r>
              <w:rPr>
                <w:rFonts w:hint="eastAsia" w:ascii="宋体" w:hAnsi="宋体"/>
                <w:color w:val="auto"/>
                <w:highlight w:val="none"/>
              </w:rPr>
              <w:t>6000</w:t>
            </w:r>
          </w:p>
        </w:tc>
        <w:tc>
          <w:tcPr>
            <w:tcW w:w="410" w:type="pct"/>
            <w:tcBorders>
              <w:right w:val="single" w:color="auto" w:sz="4" w:space="0"/>
            </w:tcBorders>
            <w:vAlign w:val="center"/>
          </w:tcPr>
          <w:p>
            <w:pPr>
              <w:widowControl/>
              <w:jc w:val="center"/>
              <w:textAlignment w:val="center"/>
              <w:rPr>
                <w:rFonts w:ascii="仿宋_GB2312" w:hAnsi="仿宋_GB2312" w:eastAsia="仿宋_GB2312" w:cs="仿宋_GB2312"/>
                <w:color w:val="auto"/>
                <w:sz w:val="22"/>
                <w:szCs w:val="22"/>
                <w:highlight w:val="none"/>
              </w:rPr>
            </w:pPr>
          </w:p>
        </w:tc>
        <w:tc>
          <w:tcPr>
            <w:tcW w:w="584" w:type="pct"/>
            <w:tcBorders>
              <w:left w:val="single" w:color="auto" w:sz="4" w:space="0"/>
            </w:tcBorders>
            <w:vAlign w:val="center"/>
          </w:tcPr>
          <w:p>
            <w:pPr>
              <w:widowControl/>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4500</w:t>
            </w:r>
          </w:p>
        </w:tc>
        <w:tc>
          <w:tcPr>
            <w:tcW w:w="474" w:type="pct"/>
            <w:tcBorders>
              <w:right w:val="single" w:color="auto" w:sz="4" w:space="0"/>
            </w:tcBorders>
            <w:vAlign w:val="center"/>
          </w:tcPr>
          <w:p>
            <w:pPr>
              <w:jc w:val="center"/>
              <w:rPr>
                <w:rFonts w:ascii="宋体" w:hAnsi="宋体" w:cs="宋体"/>
                <w:color w:val="auto"/>
                <w:sz w:val="22"/>
                <w:szCs w:val="22"/>
                <w:highlight w:val="none"/>
              </w:rPr>
            </w:pPr>
          </w:p>
        </w:tc>
        <w:tc>
          <w:tcPr>
            <w:tcW w:w="572" w:type="pct"/>
            <w:tcBorders>
              <w:left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7200</w:t>
            </w:r>
          </w:p>
        </w:tc>
        <w:tc>
          <w:tcPr>
            <w:tcW w:w="223" w:type="pct"/>
            <w:vMerge w:val="continue"/>
            <w:tcBorders>
              <w:left w:val="single" w:color="auto" w:sz="4" w:space="0"/>
            </w:tcBorders>
            <w:vAlign w:val="center"/>
          </w:tcPr>
          <w:p>
            <w:pPr>
              <w:jc w:val="center"/>
              <w:rPr>
                <w:rFonts w:ascii="宋体" w:hAnsi="宋体" w:cs="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jc w:val="center"/>
        </w:trPr>
        <w:tc>
          <w:tcPr>
            <w:tcW w:w="606" w:type="pct"/>
            <w:vAlign w:val="center"/>
          </w:tcPr>
          <w:p>
            <w:pPr>
              <w:jc w:val="center"/>
              <w:rPr>
                <w:rFonts w:ascii="宋体" w:hAnsi="宋体"/>
                <w:color w:val="auto"/>
                <w:highlight w:val="none"/>
              </w:rPr>
            </w:pPr>
            <w:r>
              <w:rPr>
                <w:rFonts w:hint="eastAsia" w:ascii="宋体" w:hAnsi="宋体"/>
                <w:color w:val="auto"/>
                <w:highlight w:val="none"/>
              </w:rPr>
              <w:t>投标单价合计</w:t>
            </w:r>
          </w:p>
        </w:tc>
        <w:tc>
          <w:tcPr>
            <w:tcW w:w="4394" w:type="pct"/>
            <w:gridSpan w:val="10"/>
            <w:vAlign w:val="center"/>
          </w:tcPr>
          <w:p>
            <w:pPr>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w:t>
            </w:r>
          </w:p>
        </w:tc>
      </w:tr>
    </w:tbl>
    <w:p>
      <w:pPr>
        <w:spacing w:line="360" w:lineRule="auto"/>
        <w:rPr>
          <w:rFonts w:ascii="宋体" w:hAnsi="宋体" w:cs="宋体"/>
          <w:color w:val="auto"/>
          <w:sz w:val="24"/>
          <w:highlight w:val="none"/>
        </w:rPr>
      </w:pPr>
      <w:r>
        <w:rPr>
          <w:rFonts w:hint="eastAsia" w:ascii="宋体" w:hAnsi="宋体" w:cs="宋体"/>
          <w:color w:val="auto"/>
          <w:sz w:val="24"/>
          <w:highlight w:val="none"/>
        </w:rPr>
        <w:t>备注：1.其他语种价格以双方协商为准；</w:t>
      </w:r>
    </w:p>
    <w:p>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2.投标人需按采购人列出的清单填报相应单价，实际结算单价等于所投标单价。投标单价不得超过相应限价，如投标单价超过相应限价，则视同无效报价。</w:t>
      </w:r>
    </w:p>
    <w:p>
      <w:pPr>
        <w:spacing w:line="360" w:lineRule="auto"/>
        <w:rPr>
          <w:rFonts w:ascii="宋体" w:hAnsi="宋体" w:cs="宋体"/>
          <w:b/>
          <w:bCs/>
          <w:color w:val="auto"/>
          <w:sz w:val="24"/>
          <w:highlight w:val="none"/>
        </w:rPr>
      </w:pPr>
    </w:p>
    <w:p>
      <w:pPr>
        <w:rPr>
          <w:color w:val="auto"/>
          <w:highlight w:val="none"/>
        </w:rPr>
      </w:pPr>
      <w:r>
        <w:rPr>
          <w:rFonts w:hint="eastAsia" w:ascii="宋体" w:hAnsi="宋体" w:cs="宋体"/>
          <w:b/>
          <w:bCs/>
          <w:color w:val="auto"/>
          <w:sz w:val="24"/>
          <w:highlight w:val="none"/>
        </w:rPr>
        <w:t>（三）本次投标单价合计金额</w:t>
      </w:r>
    </w:p>
    <w:tbl>
      <w:tblPr>
        <w:tblStyle w:val="18"/>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071"/>
        <w:gridCol w:w="2985"/>
        <w:gridCol w:w="14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45" w:hRule="atLeast"/>
        </w:trPr>
        <w:tc>
          <w:tcPr>
            <w:tcW w:w="2391"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w:t>
            </w:r>
          </w:p>
        </w:tc>
        <w:tc>
          <w:tcPr>
            <w:tcW w:w="1753"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投标单价合计</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（人民币）</w:t>
            </w:r>
          </w:p>
        </w:tc>
        <w:tc>
          <w:tcPr>
            <w:tcW w:w="856"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2391" w:type="pct"/>
            <w:vAlign w:val="center"/>
          </w:tcPr>
          <w:p>
            <w:pPr>
              <w:spacing w:line="360" w:lineRule="auto"/>
              <w:jc w:val="center"/>
              <w:rPr>
                <w:rFonts w:ascii="宋体" w:hAnsi="宋体" w:cs="宋体"/>
                <w:color w:val="auto"/>
                <w:sz w:val="24"/>
                <w:highlight w:val="none"/>
                <w:u w:val="single"/>
              </w:rPr>
            </w:pPr>
            <w:r>
              <w:rPr>
                <w:rFonts w:hint="eastAsia" w:ascii="宋体" w:hAnsi="宋体" w:cs="Arial"/>
                <w:b/>
                <w:bCs/>
                <w:color w:val="auto"/>
                <w:highlight w:val="none"/>
              </w:rPr>
              <w:t>笔译级别</w:t>
            </w:r>
          </w:p>
        </w:tc>
        <w:tc>
          <w:tcPr>
            <w:tcW w:w="1753" w:type="pct"/>
            <w:vAlign w:val="center"/>
          </w:tcPr>
          <w:p>
            <w:pPr>
              <w:spacing w:line="360" w:lineRule="auto"/>
              <w:jc w:val="center"/>
              <w:rPr>
                <w:rFonts w:ascii="宋体" w:hAnsi="宋体" w:cs="宋体"/>
                <w:color w:val="auto"/>
                <w:sz w:val="24"/>
                <w:highlight w:val="none"/>
                <w:u w:val="single"/>
              </w:rPr>
            </w:pPr>
          </w:p>
        </w:tc>
        <w:tc>
          <w:tcPr>
            <w:tcW w:w="856" w:type="pct"/>
            <w:vAlign w:val="center"/>
          </w:tcPr>
          <w:p>
            <w:pPr>
              <w:spacing w:line="360" w:lineRule="auto"/>
              <w:jc w:val="center"/>
              <w:rPr>
                <w:rFonts w:ascii="宋体" w:hAnsi="宋体" w:cs="宋体"/>
                <w:color w:val="auto"/>
                <w:sz w:val="24"/>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2391" w:type="pct"/>
            <w:vAlign w:val="center"/>
          </w:tcPr>
          <w:p>
            <w:pPr>
              <w:spacing w:line="360" w:lineRule="auto"/>
              <w:jc w:val="center"/>
              <w:rPr>
                <w:rFonts w:ascii="宋体" w:hAnsi="宋体" w:cs="宋体"/>
                <w:color w:val="auto"/>
                <w:sz w:val="24"/>
                <w:highlight w:val="none"/>
                <w:u w:val="single"/>
              </w:rPr>
            </w:pPr>
            <w:r>
              <w:rPr>
                <w:rFonts w:hint="eastAsia" w:ascii="宋体" w:hAnsi="宋体" w:cs="Arial"/>
                <w:b/>
                <w:bCs/>
                <w:color w:val="auto"/>
                <w:highlight w:val="none"/>
              </w:rPr>
              <w:t>口译级别</w:t>
            </w:r>
          </w:p>
        </w:tc>
        <w:tc>
          <w:tcPr>
            <w:tcW w:w="1753" w:type="pct"/>
            <w:vAlign w:val="center"/>
          </w:tcPr>
          <w:p>
            <w:pPr>
              <w:spacing w:line="360" w:lineRule="auto"/>
              <w:jc w:val="center"/>
              <w:rPr>
                <w:rFonts w:ascii="宋体" w:hAnsi="宋体" w:cs="宋体"/>
                <w:color w:val="auto"/>
                <w:sz w:val="24"/>
                <w:highlight w:val="none"/>
                <w:u w:val="single"/>
              </w:rPr>
            </w:pPr>
          </w:p>
        </w:tc>
        <w:tc>
          <w:tcPr>
            <w:tcW w:w="856" w:type="pct"/>
            <w:vAlign w:val="center"/>
          </w:tcPr>
          <w:p>
            <w:pPr>
              <w:spacing w:line="360" w:lineRule="auto"/>
              <w:jc w:val="center"/>
              <w:rPr>
                <w:rFonts w:ascii="宋体" w:hAnsi="宋体" w:cs="宋体"/>
                <w:color w:val="auto"/>
                <w:sz w:val="24"/>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2391" w:type="pct"/>
            <w:vAlign w:val="center"/>
          </w:tcPr>
          <w:p>
            <w:pPr>
              <w:spacing w:line="360" w:lineRule="auto"/>
              <w:jc w:val="center"/>
              <w:rPr>
                <w:rFonts w:ascii="宋体" w:hAnsi="宋体" w:cs="宋体"/>
                <w:color w:val="auto"/>
                <w:sz w:val="24"/>
                <w:highlight w:val="none"/>
                <w:u w:val="single"/>
              </w:rPr>
            </w:pPr>
            <w:r>
              <w:rPr>
                <w:rFonts w:hint="eastAsia" w:ascii="宋体" w:hAnsi="宋体"/>
                <w:color w:val="auto"/>
                <w:highlight w:val="none"/>
              </w:rPr>
              <w:t>投标单价合计</w:t>
            </w:r>
          </w:p>
        </w:tc>
        <w:tc>
          <w:tcPr>
            <w:tcW w:w="2609" w:type="pct"/>
            <w:gridSpan w:val="2"/>
            <w:vAlign w:val="center"/>
          </w:tcPr>
          <w:p>
            <w:pPr>
              <w:spacing w:line="360" w:lineRule="auto"/>
              <w:jc w:val="center"/>
              <w:rPr>
                <w:rFonts w:ascii="宋体" w:hAnsi="宋体" w:cs="宋体"/>
                <w:color w:val="auto"/>
                <w:sz w:val="24"/>
                <w:highlight w:val="none"/>
                <w:u w:val="single"/>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w:t>
            </w:r>
          </w:p>
        </w:tc>
      </w:tr>
    </w:tbl>
    <w:p>
      <w:pPr>
        <w:spacing w:line="360" w:lineRule="auto"/>
        <w:rPr>
          <w:rFonts w:ascii="宋体" w:hAnsi="宋体" w:cs="宋体"/>
          <w:color w:val="auto"/>
          <w:sz w:val="24"/>
          <w:highlight w:val="none"/>
        </w:rPr>
      </w:pPr>
      <w:r>
        <w:rPr>
          <w:rFonts w:hint="eastAsia" w:ascii="宋体" w:hAnsi="宋体" w:cs="宋体"/>
          <w:color w:val="auto"/>
          <w:sz w:val="24"/>
          <w:highlight w:val="none"/>
        </w:rPr>
        <w:t>备注：本次投标单价合计金额(笔译级别+口译级别)作为价格评分依据。</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pStyle w:val="7"/>
        <w:rPr>
          <w:color w:val="auto"/>
          <w:highlight w:val="none"/>
        </w:rPr>
      </w:pPr>
    </w:p>
    <w:p>
      <w:pPr>
        <w:spacing w:line="360" w:lineRule="auto"/>
        <w:outlineLvl w:val="2"/>
        <w:rPr>
          <w:rFonts w:ascii="宋体" w:hAnsi="宋体" w:cs="宋体"/>
          <w:b/>
          <w:bCs/>
          <w:color w:val="auto"/>
          <w:sz w:val="24"/>
          <w:highlight w:val="none"/>
          <w:u w:val="wave"/>
        </w:rPr>
      </w:pPr>
      <w:r>
        <w:rPr>
          <w:rFonts w:hint="eastAsia" w:ascii="宋体" w:hAnsi="宋体" w:cs="宋体"/>
          <w:color w:val="auto"/>
          <w:sz w:val="24"/>
          <w:highlight w:val="none"/>
        </w:rPr>
        <w:br w:type="page"/>
      </w:r>
      <w:r>
        <w:rPr>
          <w:rFonts w:hint="eastAsia" w:ascii="宋体" w:hAnsi="宋体" w:cs="宋体"/>
          <w:b/>
          <w:bCs/>
          <w:color w:val="auto"/>
          <w:sz w:val="24"/>
          <w:highlight w:val="none"/>
        </w:rPr>
        <w:t>（二）商务部分</w:t>
      </w:r>
    </w:p>
    <w:p>
      <w:pPr>
        <w:numPr>
          <w:ilvl w:val="0"/>
          <w:numId w:val="11"/>
        </w:numPr>
        <w:tabs>
          <w:tab w:val="left" w:pos="640"/>
          <w:tab w:val="left" w:pos="1260"/>
          <w:tab w:val="left" w:pos="1418"/>
        </w:tabs>
        <w:spacing w:line="360" w:lineRule="auto"/>
        <w:ind w:left="845" w:hanging="845"/>
        <w:rPr>
          <w:rFonts w:ascii="宋体" w:hAnsi="宋体" w:cs="宋体"/>
          <w:color w:val="auto"/>
          <w:sz w:val="24"/>
          <w:highlight w:val="none"/>
        </w:rPr>
      </w:pPr>
      <w:r>
        <w:rPr>
          <w:rFonts w:hint="eastAsia" w:ascii="宋体" w:hAnsi="宋体" w:cs="宋体"/>
          <w:color w:val="auto"/>
          <w:sz w:val="24"/>
          <w:highlight w:val="none"/>
        </w:rPr>
        <w:t>投标响应书；</w:t>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投标响应书</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p>
    <w:p>
      <w:pPr>
        <w:spacing w:line="360" w:lineRule="auto"/>
        <w:ind w:firstLine="494" w:firstLineChars="206"/>
        <w:rPr>
          <w:rFonts w:ascii="宋体" w:hAnsi="宋体" w:cs="宋体"/>
          <w:color w:val="auto"/>
          <w:sz w:val="24"/>
          <w:highlight w:val="none"/>
        </w:rPr>
      </w:pPr>
      <w:r>
        <w:rPr>
          <w:rFonts w:hint="eastAsia" w:ascii="宋体" w:hAnsi="宋体" w:cs="宋体"/>
          <w:color w:val="auto"/>
          <w:sz w:val="24"/>
          <w:highlight w:val="none"/>
        </w:rPr>
        <w:t>根据贵方为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项目采购的邀请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（招标文件编号         ），签字代表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（全名、职务）经正式授权并代表供应商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（供应商方名称、地址）提交</w:t>
      </w:r>
      <w:r>
        <w:rPr>
          <w:rFonts w:hint="eastAsia" w:ascii="宋体" w:hAnsi="宋体" w:cs="宋体"/>
          <w:b/>
          <w:color w:val="auto"/>
          <w:sz w:val="24"/>
          <w:highlight w:val="none"/>
        </w:rPr>
        <w:t>一份正本四份副本以及</w:t>
      </w:r>
      <w:bookmarkStart w:id="53" w:name="OLE_LINK2"/>
      <w:r>
        <w:rPr>
          <w:rFonts w:hint="eastAsia" w:ascii="宋体" w:hAnsi="宋体" w:cs="宋体"/>
          <w:b/>
          <w:color w:val="auto"/>
          <w:sz w:val="24"/>
          <w:highlight w:val="none"/>
        </w:rPr>
        <w:t>一份PDF格式的正本投标文件扫描件的</w:t>
      </w:r>
      <w:bookmarkEnd w:id="53"/>
      <w:r>
        <w:rPr>
          <w:rFonts w:hint="eastAsia" w:ascii="宋体" w:hAnsi="宋体" w:cs="宋体"/>
          <w:color w:val="auto"/>
          <w:sz w:val="24"/>
          <w:highlight w:val="none"/>
        </w:rPr>
        <w:t>投标文件。</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据此函，签字代表宣布同意如下：</w:t>
      </w:r>
    </w:p>
    <w:p>
      <w:pPr>
        <w:spacing w:line="360" w:lineRule="auto"/>
        <w:rPr>
          <w:rFonts w:ascii="宋体" w:hAnsi="宋体" w:cs="宋体"/>
          <w:color w:val="auto"/>
          <w:sz w:val="24"/>
          <w:highlight w:val="none"/>
        </w:rPr>
      </w:pPr>
      <w:r>
        <w:rPr>
          <w:rFonts w:hint="eastAsia" w:ascii="宋体" w:hAnsi="宋体" w:cs="宋体"/>
          <w:color w:val="auto"/>
          <w:sz w:val="24"/>
          <w:highlight w:val="none"/>
        </w:rPr>
        <w:t>1、供应商方将按招标文件的规定履行合同责任和义务。</w:t>
      </w:r>
    </w:p>
    <w:p>
      <w:pPr>
        <w:spacing w:line="360" w:lineRule="auto"/>
        <w:rPr>
          <w:rFonts w:ascii="宋体" w:hAnsi="宋体" w:cs="宋体"/>
          <w:color w:val="auto"/>
          <w:sz w:val="24"/>
          <w:highlight w:val="none"/>
        </w:rPr>
      </w:pPr>
      <w:r>
        <w:rPr>
          <w:rFonts w:hint="eastAsia" w:ascii="宋体" w:hAnsi="宋体" w:cs="宋体"/>
          <w:color w:val="auto"/>
          <w:sz w:val="24"/>
          <w:highlight w:val="none"/>
        </w:rPr>
        <w:t>2、供应商方已详细审查全部投标文件，包括修改文件（如有的话）以及全部参考资料和有关附件。我们完全理解并同意放弃对这方面有不明及误解的权利。</w:t>
      </w:r>
    </w:p>
    <w:p>
      <w:pPr>
        <w:spacing w:line="360" w:lineRule="auto"/>
        <w:rPr>
          <w:rFonts w:ascii="宋体" w:hAnsi="宋体" w:cs="宋体"/>
          <w:color w:val="auto"/>
          <w:sz w:val="24"/>
          <w:highlight w:val="none"/>
        </w:rPr>
      </w:pPr>
      <w:r>
        <w:rPr>
          <w:rFonts w:hint="eastAsia" w:ascii="宋体" w:hAnsi="宋体" w:cs="宋体"/>
          <w:color w:val="auto"/>
          <w:sz w:val="24"/>
          <w:highlight w:val="none"/>
        </w:rPr>
        <w:t>3、与本投标项目有关的一切正式往来通讯请寄：</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邮编：</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邮箱：</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投标供应商授权代表、职务（印刷体）：</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投标供应商名称：</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（公  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rPr>
          <w:rFonts w:ascii="宋体" w:hAnsi="宋体" w:cs="宋体"/>
          <w:b/>
          <w:bCs/>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pStyle w:val="7"/>
        <w:rPr>
          <w:color w:val="auto"/>
          <w:highlight w:val="none"/>
        </w:rPr>
      </w:pPr>
    </w:p>
    <w:p>
      <w:pPr>
        <w:numPr>
          <w:ilvl w:val="0"/>
          <w:numId w:val="11"/>
        </w:numPr>
        <w:tabs>
          <w:tab w:val="left" w:pos="640"/>
          <w:tab w:val="left" w:pos="1260"/>
          <w:tab w:val="left" w:pos="1418"/>
        </w:tabs>
        <w:spacing w:line="360" w:lineRule="auto"/>
        <w:ind w:left="645" w:hanging="645"/>
        <w:rPr>
          <w:rFonts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auto"/>
          <w:sz w:val="24"/>
          <w:highlight w:val="none"/>
          <w:lang w:val="fr-CH"/>
        </w:rPr>
        <w:br w:type="page"/>
      </w:r>
    </w:p>
    <w:p>
      <w:pPr>
        <w:numPr>
          <w:ilvl w:val="0"/>
          <w:numId w:val="11"/>
        </w:numPr>
        <w:tabs>
          <w:tab w:val="left" w:pos="640"/>
          <w:tab w:val="left" w:pos="1260"/>
          <w:tab w:val="left" w:pos="1418"/>
        </w:tabs>
        <w:spacing w:line="360" w:lineRule="auto"/>
        <w:ind w:left="645" w:hanging="645"/>
        <w:rPr>
          <w:rFonts w:ascii="宋体" w:hAnsi="宋体" w:cs="宋体"/>
          <w:color w:val="auto"/>
          <w:sz w:val="24"/>
          <w:highlight w:val="none"/>
          <w:lang w:val="fr-CH"/>
        </w:rPr>
      </w:pPr>
      <w:r>
        <w:rPr>
          <w:rFonts w:hint="eastAsia" w:ascii="宋体" w:hAnsi="宋体" w:cs="宋体"/>
          <w:color w:val="auto"/>
          <w:sz w:val="24"/>
          <w:highlight w:val="none"/>
          <w:lang w:val="fr-CH"/>
        </w:rPr>
        <w:t>政府采购投标及履约承诺函；</w:t>
      </w:r>
    </w:p>
    <w:p>
      <w:pPr>
        <w:spacing w:line="360" w:lineRule="auto"/>
        <w:jc w:val="center"/>
        <w:rPr>
          <w:rFonts w:ascii="宋体" w:hAnsi="宋体" w:cs="宋体"/>
          <w:b/>
          <w:bCs/>
          <w:color w:val="auto"/>
          <w:sz w:val="24"/>
          <w:highlight w:val="none"/>
          <w:lang w:val="fr-CH"/>
        </w:rPr>
      </w:pPr>
      <w:r>
        <w:rPr>
          <w:rFonts w:hint="eastAsia" w:ascii="宋体" w:hAnsi="宋体" w:cs="宋体"/>
          <w:b/>
          <w:bCs/>
          <w:color w:val="auto"/>
          <w:sz w:val="24"/>
          <w:highlight w:val="none"/>
          <w:lang w:val="fr-CH"/>
        </w:rPr>
        <w:t>政府采购投标及履约承诺函</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（采购单位名称/代理机构名称）：</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我单位深知本项目对贵局的重要性和紧迫性，亦了解贵局对廉政建设的相关要求，因此我单位承诺如下：</w:t>
      </w:r>
    </w:p>
    <w:p>
      <w:pPr>
        <w:numPr>
          <w:ilvl w:val="0"/>
          <w:numId w:val="12"/>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我单位本招标项目所提供的货物或服务未侵犯知识产权。</w:t>
      </w:r>
    </w:p>
    <w:p>
      <w:pPr>
        <w:widowControl/>
        <w:numPr>
          <w:ilvl w:val="0"/>
          <w:numId w:val="12"/>
        </w:numPr>
        <w:shd w:val="clear" w:color="auto" w:fill="FFFFFF"/>
        <w:spacing w:line="360" w:lineRule="auto"/>
        <w:ind w:right="-4"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我单位</w:t>
      </w:r>
      <w:r>
        <w:rPr>
          <w:rFonts w:hint="eastAsia" w:ascii="宋体" w:hAnsi="宋体" w:cs="宋体"/>
          <w:color w:val="auto"/>
          <w:kern w:val="0"/>
          <w:sz w:val="24"/>
          <w:highlight w:val="none"/>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2"/>
        </w:numPr>
        <w:shd w:val="clear" w:color="auto" w:fill="FFFFFF"/>
        <w:spacing w:line="360" w:lineRule="auto"/>
        <w:ind w:right="-4"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我单位</w:t>
      </w:r>
      <w:r>
        <w:rPr>
          <w:rFonts w:hint="eastAsia" w:ascii="宋体" w:hAnsi="宋体" w:cs="宋体"/>
          <w:color w:val="auto"/>
          <w:kern w:val="0"/>
          <w:sz w:val="24"/>
          <w:highlight w:val="none"/>
        </w:rPr>
        <w:t>及其法定代表人近三年内（投标人成立不足三年的可从成立之日起算）无行贿犯罪记录；</w:t>
      </w:r>
    </w:p>
    <w:p>
      <w:pPr>
        <w:numPr>
          <w:ilvl w:val="0"/>
          <w:numId w:val="12"/>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我单位具备《中华人民共和国政府采购法》第二十二条第一款的条件。</w:t>
      </w:r>
    </w:p>
    <w:p>
      <w:pPr>
        <w:numPr>
          <w:ilvl w:val="0"/>
          <w:numId w:val="12"/>
        </w:num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bidi="ar"/>
        </w:rPr>
        <w:t>符合财政部和深圳市财政局关于诚信管理的要求，</w:t>
      </w:r>
      <w:r>
        <w:rPr>
          <w:rFonts w:hint="eastAsia" w:ascii="宋体" w:hAnsi="宋体" w:cs="宋体"/>
          <w:color w:val="auto"/>
          <w:kern w:val="0"/>
          <w:sz w:val="24"/>
          <w:highlight w:val="none"/>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auto"/>
          <w:sz w:val="24"/>
          <w:highlight w:val="none"/>
        </w:rPr>
        <w:t>。</w:t>
      </w:r>
    </w:p>
    <w:p>
      <w:pPr>
        <w:numPr>
          <w:ilvl w:val="0"/>
          <w:numId w:val="12"/>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2"/>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2"/>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我单位如果中标，做到诚实守信，依照本项目招标文件需求内容、签署的采购合同及本单位在投标中所作的一切承诺履约；不非法转包、分包。</w:t>
      </w:r>
    </w:p>
    <w:p>
      <w:pPr>
        <w:numPr>
          <w:ilvl w:val="0"/>
          <w:numId w:val="12"/>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2"/>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2"/>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我单位承诺未参与本项目的采购需求、技术指标、商务指标等内容的设定，不存在对其他投标单位不公平的行为。</w:t>
      </w:r>
    </w:p>
    <w:p>
      <w:pPr>
        <w:numPr>
          <w:ilvl w:val="0"/>
          <w:numId w:val="12"/>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13.我单位承诺本单位（公司）不存在《深圳市财政局政府采购供应商信用信息管理办法》（深财规〔2023〕3号）列明的严重违法失信行为。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以上承诺，如有违反，愿依照国家相关法律处理，并承担由此给采购人带来的损失。</w:t>
      </w:r>
    </w:p>
    <w:p>
      <w:pPr>
        <w:spacing w:line="360" w:lineRule="auto"/>
        <w:ind w:firstLine="480" w:firstLineChars="200"/>
        <w:rPr>
          <w:rFonts w:ascii="宋体" w:hAnsi="宋体" w:cs="宋体"/>
          <w:color w:val="auto"/>
          <w:sz w:val="24"/>
          <w:highlight w:val="none"/>
        </w:rPr>
      </w:pPr>
    </w:p>
    <w:p>
      <w:pPr>
        <w:tabs>
          <w:tab w:val="left" w:pos="4860"/>
        </w:tabs>
        <w:adjustRightInd w:val="0"/>
        <w:snapToGrid w:val="0"/>
        <w:spacing w:line="360" w:lineRule="auto"/>
        <w:ind w:right="105" w:rightChars="50" w:firstLine="240" w:firstLineChars="100"/>
        <w:rPr>
          <w:rFonts w:ascii="宋体" w:hAnsi="宋体" w:cs="宋体"/>
          <w:color w:val="auto"/>
          <w:sz w:val="24"/>
          <w:highlight w:val="none"/>
        </w:rPr>
      </w:pPr>
      <w:r>
        <w:rPr>
          <w:rFonts w:hint="eastAsia" w:ascii="宋体" w:hAnsi="宋体" w:cs="宋体"/>
          <w:color w:val="auto"/>
          <w:sz w:val="24"/>
          <w:highlight w:val="none"/>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4860"/>
        </w:tabs>
        <w:adjustRightInd w:val="0"/>
        <w:snapToGrid w:val="0"/>
        <w:spacing w:line="360" w:lineRule="auto"/>
        <w:ind w:right="105" w:rightChars="50" w:firstLine="240" w:firstLineChars="100"/>
        <w:rPr>
          <w:rFonts w:ascii="宋体" w:hAnsi="宋体" w:cs="宋体"/>
          <w:color w:val="auto"/>
          <w:sz w:val="24"/>
          <w:highlight w:val="none"/>
        </w:rPr>
      </w:pPr>
      <w:r>
        <w:rPr>
          <w:rFonts w:hint="eastAsia" w:ascii="宋体" w:hAnsi="宋体" w:cs="宋体"/>
          <w:color w:val="auto"/>
          <w:sz w:val="24"/>
          <w:highlight w:val="none"/>
        </w:rPr>
        <w:t>日期：   年  月   日</w:t>
      </w:r>
    </w:p>
    <w:p>
      <w:pPr>
        <w:numPr>
          <w:ilvl w:val="0"/>
          <w:numId w:val="11"/>
        </w:numPr>
        <w:tabs>
          <w:tab w:val="left" w:pos="640"/>
          <w:tab w:val="left" w:pos="1260"/>
          <w:tab w:val="left" w:pos="1418"/>
        </w:tabs>
        <w:spacing w:line="360" w:lineRule="auto"/>
        <w:ind w:left="645" w:hanging="645"/>
        <w:rPr>
          <w:rFonts w:ascii="宋体" w:hAnsi="宋体" w:cs="宋体"/>
          <w:color w:val="auto"/>
          <w:sz w:val="24"/>
          <w:highlight w:val="none"/>
          <w:lang w:val="fr-CH"/>
        </w:rPr>
      </w:pPr>
      <w:r>
        <w:rPr>
          <w:rFonts w:hint="eastAsia" w:hAnsi="宋体" w:cs="宋体"/>
          <w:color w:val="auto"/>
          <w:highlight w:val="none"/>
        </w:rPr>
        <w:br w:type="page"/>
      </w:r>
      <w:r>
        <w:rPr>
          <w:rFonts w:hint="eastAsia" w:ascii="宋体" w:hAnsi="宋体" w:cs="宋体"/>
          <w:color w:val="auto"/>
          <w:sz w:val="24"/>
          <w:highlight w:val="none"/>
        </w:rPr>
        <w:t>关于资格的声明函；</w:t>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关于资格的声明函</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（采购单位名称/代理机构名称）：</w:t>
      </w:r>
    </w:p>
    <w:p>
      <w:pPr>
        <w:spacing w:line="360" w:lineRule="auto"/>
        <w:ind w:firstLine="566" w:firstLineChars="236"/>
        <w:rPr>
          <w:rFonts w:ascii="宋体" w:hAnsi="宋体" w:cs="宋体"/>
          <w:color w:val="auto"/>
          <w:sz w:val="24"/>
          <w:highlight w:val="none"/>
        </w:rPr>
      </w:pPr>
      <w:r>
        <w:rPr>
          <w:rFonts w:hint="eastAsia" w:ascii="宋体" w:hAnsi="宋体" w:cs="宋体"/>
          <w:color w:val="auto"/>
          <w:sz w:val="24"/>
          <w:highlight w:val="none"/>
          <w:u w:val="single"/>
        </w:rPr>
        <w:t xml:space="preserve"> （ 投标人名称）    </w:t>
      </w:r>
      <w:r>
        <w:rPr>
          <w:rFonts w:hint="eastAsia" w:ascii="宋体" w:hAnsi="宋体" w:cs="宋体"/>
          <w:color w:val="auto"/>
          <w:sz w:val="24"/>
          <w:highlight w:val="none"/>
        </w:rPr>
        <w:t xml:space="preserve"> 参与了</w:t>
      </w:r>
      <w:r>
        <w:rPr>
          <w:rFonts w:hint="eastAsia" w:ascii="宋体" w:hAnsi="宋体" w:cs="宋体"/>
          <w:color w:val="auto"/>
          <w:sz w:val="24"/>
          <w:highlight w:val="none"/>
          <w:u w:val="single"/>
        </w:rPr>
        <w:t xml:space="preserve"> （项目名称 、招标编号） </w:t>
      </w:r>
      <w:r>
        <w:rPr>
          <w:rFonts w:hint="eastAsia" w:ascii="宋体" w:hAnsi="宋体" w:cs="宋体"/>
          <w:color w:val="auto"/>
          <w:sz w:val="24"/>
          <w:highlight w:val="none"/>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ascii="宋体" w:hAnsi="宋体" w:cs="宋体"/>
          <w:color w:val="auto"/>
          <w:sz w:val="24"/>
          <w:highlight w:val="none"/>
        </w:rPr>
      </w:pPr>
      <w:r>
        <w:rPr>
          <w:rFonts w:hint="eastAsia" w:ascii="宋体" w:hAnsi="宋体" w:cs="宋体"/>
          <w:color w:val="auto"/>
          <w:sz w:val="24"/>
          <w:highlight w:val="none"/>
        </w:rPr>
        <w:t>特此承诺！</w:t>
      </w:r>
    </w:p>
    <w:p>
      <w:pPr>
        <w:spacing w:line="360" w:lineRule="auto"/>
        <w:ind w:left="420"/>
        <w:rPr>
          <w:rFonts w:ascii="宋体" w:hAnsi="宋体" w:cs="宋体"/>
          <w:color w:val="auto"/>
          <w:sz w:val="24"/>
          <w:highlight w:val="none"/>
        </w:rPr>
      </w:pPr>
    </w:p>
    <w:p>
      <w:pPr>
        <w:tabs>
          <w:tab w:val="left" w:pos="4860"/>
        </w:tabs>
        <w:adjustRightInd w:val="0"/>
        <w:snapToGrid w:val="0"/>
        <w:spacing w:line="360" w:lineRule="auto"/>
        <w:ind w:right="105" w:rightChars="50"/>
        <w:rPr>
          <w:rFonts w:ascii="宋体" w:hAnsi="宋体" w:cs="宋体"/>
          <w:color w:val="auto"/>
          <w:sz w:val="24"/>
          <w:highlight w:val="none"/>
        </w:rPr>
      </w:pPr>
      <w:r>
        <w:rPr>
          <w:rFonts w:hint="eastAsia" w:ascii="宋体" w:hAnsi="宋体" w:cs="宋体"/>
          <w:color w:val="auto"/>
          <w:sz w:val="24"/>
          <w:highlight w:val="none"/>
        </w:rPr>
        <w:t>投标供应商名称（盖章）：</w:t>
      </w:r>
    </w:p>
    <w:p>
      <w:pPr>
        <w:spacing w:line="360" w:lineRule="auto"/>
        <w:rPr>
          <w:rFonts w:ascii="宋体" w:hAnsi="宋体" w:cs="宋体"/>
          <w:color w:val="auto"/>
          <w:kern w:val="0"/>
          <w:sz w:val="24"/>
          <w:highlight w:val="none"/>
        </w:rPr>
      </w:pPr>
      <w:r>
        <w:rPr>
          <w:rFonts w:hint="eastAsia" w:ascii="宋体" w:hAnsi="宋体" w:cs="宋体"/>
          <w:color w:val="auto"/>
          <w:sz w:val="24"/>
          <w:highlight w:val="none"/>
        </w:rPr>
        <w:t>日期：   年     月     日</w:t>
      </w:r>
    </w:p>
    <w:p>
      <w:pPr>
        <w:numPr>
          <w:ilvl w:val="0"/>
          <w:numId w:val="11"/>
        </w:numPr>
        <w:tabs>
          <w:tab w:val="left" w:pos="640"/>
          <w:tab w:val="left" w:pos="1260"/>
          <w:tab w:val="left" w:pos="1418"/>
        </w:tabs>
        <w:spacing w:line="360" w:lineRule="auto"/>
        <w:ind w:left="645" w:hanging="645"/>
        <w:rPr>
          <w:rFonts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法定代表人证明书及身份证明；</w:t>
      </w:r>
    </w:p>
    <w:p>
      <w:pPr>
        <w:spacing w:before="120" w:after="120" w:line="360" w:lineRule="auto"/>
        <w:jc w:val="center"/>
        <w:rPr>
          <w:rFonts w:ascii="宋体" w:hAnsi="宋体" w:cs="宋体"/>
          <w:b/>
          <w:color w:val="auto"/>
          <w:sz w:val="24"/>
          <w:highlight w:val="none"/>
        </w:rPr>
      </w:pPr>
    </w:p>
    <w:p>
      <w:pPr>
        <w:spacing w:before="120" w:after="120" w:line="360" w:lineRule="auto"/>
        <w:jc w:val="center"/>
        <w:rPr>
          <w:rFonts w:ascii="宋体" w:hAnsi="宋体" w:cs="宋体"/>
          <w:color w:val="auto"/>
          <w:sz w:val="24"/>
          <w:highlight w:val="none"/>
          <w:u w:val="single"/>
        </w:rPr>
      </w:pPr>
      <w:r>
        <w:rPr>
          <w:rFonts w:hint="eastAsia" w:ascii="宋体" w:hAnsi="宋体" w:cs="宋体"/>
          <w:b/>
          <w:color w:val="auto"/>
          <w:sz w:val="24"/>
          <w:highlight w:val="none"/>
        </w:rPr>
        <w:t>法定代表人证明书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同志，现任我单位职务，为法定代表人，特此证明。</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签发日期：             有效日期：         单位：              </w:t>
      </w:r>
    </w:p>
    <w:p>
      <w:pPr>
        <w:spacing w:line="360" w:lineRule="auto"/>
        <w:rPr>
          <w:rFonts w:ascii="宋体" w:hAnsi="宋体" w:cs="宋体"/>
          <w:color w:val="auto"/>
          <w:sz w:val="24"/>
          <w:highlight w:val="none"/>
        </w:rPr>
      </w:pPr>
      <w:r>
        <w:rPr>
          <w:rFonts w:hint="eastAsia" w:ascii="宋体" w:hAnsi="宋体" w:cs="宋体"/>
          <w:color w:val="auto"/>
          <w:sz w:val="24"/>
          <w:highlight w:val="none"/>
        </w:rPr>
        <w:t>附：代表人性别：   年龄：      身份证号码：</w:t>
      </w:r>
    </w:p>
    <w:p>
      <w:pPr>
        <w:spacing w:line="360" w:lineRule="auto"/>
        <w:rPr>
          <w:rFonts w:ascii="宋体" w:hAnsi="宋体" w:cs="宋体"/>
          <w:color w:val="auto"/>
          <w:sz w:val="24"/>
          <w:highlight w:val="none"/>
        </w:rPr>
      </w:pPr>
      <w:r>
        <w:rPr>
          <w:rFonts w:hint="eastAsia" w:ascii="宋体" w:hAnsi="宋体" w:cs="宋体"/>
          <w:color w:val="auto"/>
          <w:sz w:val="24"/>
          <w:highlight w:val="none"/>
        </w:rPr>
        <w:t>营业执照号码：                 经济性质：</w:t>
      </w:r>
    </w:p>
    <w:p>
      <w:pPr>
        <w:spacing w:line="360" w:lineRule="auto"/>
        <w:rPr>
          <w:rFonts w:ascii="宋体" w:hAnsi="宋体" w:cs="宋体"/>
          <w:color w:val="auto"/>
          <w:sz w:val="24"/>
          <w:highlight w:val="none"/>
        </w:rPr>
      </w:pPr>
      <w:r>
        <w:rPr>
          <w:rFonts w:hint="eastAsia" w:ascii="宋体" w:hAnsi="宋体" w:cs="宋体"/>
          <w:color w:val="auto"/>
          <w:sz w:val="24"/>
          <w:highlight w:val="none"/>
        </w:rPr>
        <w:t>主营（产）：</w:t>
      </w:r>
    </w:p>
    <w:p>
      <w:pPr>
        <w:spacing w:line="360" w:lineRule="auto"/>
        <w:rPr>
          <w:rFonts w:ascii="宋体" w:hAnsi="宋体" w:cs="宋体"/>
          <w:color w:val="auto"/>
          <w:sz w:val="24"/>
          <w:highlight w:val="none"/>
        </w:rPr>
      </w:pPr>
      <w:r>
        <w:rPr>
          <w:rFonts w:hint="eastAsia" w:ascii="宋体" w:hAnsi="宋体" w:cs="宋体"/>
          <w:color w:val="auto"/>
          <w:sz w:val="24"/>
          <w:highlight w:val="none"/>
        </w:rPr>
        <w:t>兼营（产）：</w:t>
      </w:r>
    </w:p>
    <w:p>
      <w:pPr>
        <w:spacing w:line="360" w:lineRule="auto"/>
        <w:rPr>
          <w:rFonts w:ascii="宋体" w:hAnsi="宋体" w:cs="宋体"/>
          <w:color w:val="auto"/>
          <w:sz w:val="24"/>
          <w:highlight w:val="none"/>
        </w:rPr>
      </w:pPr>
      <w:r>
        <w:rPr>
          <w:rFonts w:hint="eastAsia" w:ascii="宋体" w:hAnsi="宋体" w:cs="宋体"/>
          <w:color w:val="auto"/>
          <w:sz w:val="24"/>
          <w:highlight w:val="none"/>
        </w:rPr>
        <w:t>进口物品经营许可证号码：</w:t>
      </w:r>
    </w:p>
    <w:p>
      <w:pPr>
        <w:spacing w:line="360" w:lineRule="auto"/>
        <w:rPr>
          <w:rFonts w:ascii="宋体" w:hAnsi="宋体" w:cs="宋体"/>
          <w:color w:val="auto"/>
          <w:sz w:val="24"/>
          <w:highlight w:val="none"/>
        </w:rPr>
      </w:pPr>
      <w:r>
        <w:rPr>
          <w:rFonts w:hint="eastAsia" w:ascii="宋体" w:hAnsi="宋体" w:cs="宋体"/>
          <w:color w:val="auto"/>
          <w:sz w:val="24"/>
          <w:highlight w:val="none"/>
        </w:rPr>
        <w:t>主营：</w:t>
      </w:r>
    </w:p>
    <w:p>
      <w:pPr>
        <w:spacing w:line="360" w:lineRule="auto"/>
        <w:rPr>
          <w:rFonts w:ascii="宋体" w:hAnsi="宋体" w:cs="宋体"/>
          <w:color w:val="auto"/>
          <w:sz w:val="24"/>
          <w:highlight w:val="none"/>
        </w:rPr>
      </w:pPr>
      <w:r>
        <w:rPr>
          <w:rFonts w:hint="eastAsia" w:ascii="宋体" w:hAnsi="宋体" w:cs="宋体"/>
          <w:color w:val="auto"/>
          <w:sz w:val="24"/>
          <w:highlight w:val="none"/>
        </w:rPr>
        <w:t>兼营：</w:t>
      </w:r>
    </w:p>
    <w:p>
      <w:pPr>
        <w:spacing w:line="360" w:lineRule="auto"/>
        <w:rPr>
          <w:rFonts w:ascii="宋体" w:hAnsi="宋体" w:cs="宋体"/>
          <w:color w:val="auto"/>
          <w:sz w:val="24"/>
          <w:highlight w:val="none"/>
        </w:rPr>
      </w:pPr>
      <w:r>
        <w:rPr>
          <w:rFonts w:hint="eastAsia" w:ascii="宋体" w:hAnsi="宋体" w:cs="宋体"/>
          <w:color w:val="auto"/>
          <w:sz w:val="24"/>
          <w:highlight w:val="none"/>
        </w:rPr>
        <w:t>说明：1、法定代表人为企业事业单位、国家机关、社会团体的主要行政负责人。</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2、内容必须填写真实、清楚，涂改无效，不得转让、买卖</w:t>
      </w:r>
      <w:r>
        <w:rPr>
          <w:rFonts w:hint="eastAsia" w:ascii="宋体" w:hAnsi="宋体" w:cs="宋体"/>
          <w:color w:val="auto"/>
          <w:sz w:val="24"/>
          <w:highlight w:val="none"/>
          <w:lang w:eastAsia="zh-CN"/>
        </w:rPr>
        <w:t>。</w:t>
      </w:r>
    </w:p>
    <w:p>
      <w:pPr>
        <w:tabs>
          <w:tab w:val="left" w:pos="3780"/>
        </w:tabs>
        <w:spacing w:line="360" w:lineRule="auto"/>
        <w:rPr>
          <w:rFonts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rPr>
          <w:rFonts w:ascii="宋体" w:hAnsi="宋体" w:cs="宋体"/>
          <w:color w:val="auto"/>
          <w:sz w:val="24"/>
          <w:highlight w:val="none"/>
        </w:rPr>
      </w:pPr>
      <w:r>
        <w:rPr>
          <w:rFonts w:hint="eastAsia" w:ascii="宋体" w:hAnsi="宋体" w:cs="宋体"/>
          <w:color w:val="auto"/>
          <w:sz w:val="24"/>
          <w:highlight w:val="none"/>
        </w:rPr>
        <w:t>法定代表人（签字或签章）：</w:t>
      </w:r>
    </w:p>
    <w:p>
      <w:pPr>
        <w:spacing w:before="120" w:after="120"/>
        <w:jc w:val="left"/>
        <w:rPr>
          <w:rFonts w:ascii="宋体" w:hAnsi="宋体" w:cs="宋体"/>
          <w:color w:val="auto"/>
          <w:szCs w:val="21"/>
          <w:highlight w:val="none"/>
        </w:rPr>
      </w:pPr>
    </w:p>
    <w:p>
      <w:pPr>
        <w:spacing w:before="120" w:after="120" w:line="360" w:lineRule="auto"/>
        <w:jc w:val="left"/>
        <w:rPr>
          <w:rFonts w:ascii="宋体" w:hAnsi="宋体" w:cs="宋体"/>
          <w:b/>
          <w:color w:val="auto"/>
          <w:sz w:val="24"/>
          <w:highlight w:val="none"/>
        </w:rPr>
      </w:pPr>
      <w:r>
        <w:rPr>
          <w:rFonts w:hint="eastAsia" w:ascii="宋体" w:hAnsi="宋体" w:cs="宋体"/>
          <w:b/>
          <w:color w:val="auto"/>
          <w:sz w:val="24"/>
          <w:highlight w:val="none"/>
        </w:rPr>
        <w:t>附身份证正反面</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9"/>
              <w:spacing w:line="360" w:lineRule="auto"/>
              <w:rPr>
                <w:rFonts w:ascii="Arial Narrow" w:hAnsi="Arial Narrow"/>
                <w:b/>
                <w:bCs/>
                <w:color w:val="auto"/>
                <w:szCs w:val="21"/>
                <w:highlight w:val="none"/>
              </w:rPr>
            </w:pPr>
          </w:p>
        </w:tc>
        <w:tc>
          <w:tcPr>
            <w:tcW w:w="4240" w:type="dxa"/>
          </w:tcPr>
          <w:p>
            <w:pPr>
              <w:pStyle w:val="9"/>
              <w:spacing w:line="360" w:lineRule="auto"/>
              <w:rPr>
                <w:rFonts w:ascii="Arial Narrow" w:hAnsi="Arial Narrow"/>
                <w:b/>
                <w:bCs/>
                <w:color w:val="auto"/>
                <w:szCs w:val="21"/>
                <w:highlight w:val="none"/>
              </w:rPr>
            </w:pPr>
          </w:p>
        </w:tc>
      </w:tr>
    </w:tbl>
    <w:p>
      <w:pPr>
        <w:tabs>
          <w:tab w:val="left" w:pos="640"/>
          <w:tab w:val="left" w:pos="1260"/>
          <w:tab w:val="left" w:pos="1418"/>
        </w:tabs>
        <w:spacing w:line="360" w:lineRule="auto"/>
        <w:rPr>
          <w:color w:val="auto"/>
          <w:szCs w:val="21"/>
          <w:highlight w:val="none"/>
        </w:rPr>
      </w:pPr>
    </w:p>
    <w:p>
      <w:pPr>
        <w:tabs>
          <w:tab w:val="left" w:pos="640"/>
          <w:tab w:val="left" w:pos="1260"/>
          <w:tab w:val="left" w:pos="1418"/>
        </w:tabs>
        <w:spacing w:line="360" w:lineRule="auto"/>
        <w:rPr>
          <w:color w:val="auto"/>
          <w:szCs w:val="21"/>
          <w:highlight w:val="none"/>
          <w:lang w:val="fr-CH"/>
        </w:rPr>
      </w:pPr>
      <w:bookmarkStart w:id="54" w:name="OLE_LINK4"/>
      <w:r>
        <w:rPr>
          <w:rFonts w:hint="eastAsia"/>
          <w:color w:val="auto"/>
          <w:szCs w:val="21"/>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bookmarkEnd w:id="54"/>
    </w:p>
    <w:p>
      <w:pPr>
        <w:numPr>
          <w:ilvl w:val="0"/>
          <w:numId w:val="11"/>
        </w:numPr>
        <w:tabs>
          <w:tab w:val="left" w:pos="640"/>
          <w:tab w:val="left" w:pos="1260"/>
          <w:tab w:val="left" w:pos="1418"/>
        </w:tabs>
        <w:spacing w:line="360" w:lineRule="auto"/>
        <w:ind w:left="845" w:hanging="845"/>
        <w:rPr>
          <w:rFonts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法定代表人授权书及身份证明；</w:t>
      </w:r>
    </w:p>
    <w:p>
      <w:pPr>
        <w:pStyle w:val="9"/>
        <w:spacing w:line="360" w:lineRule="auto"/>
        <w:jc w:val="center"/>
        <w:rPr>
          <w:rFonts w:hAnsi="宋体" w:cs="宋体"/>
          <w:b/>
          <w:color w:val="auto"/>
          <w:sz w:val="24"/>
          <w:highlight w:val="none"/>
        </w:rPr>
      </w:pPr>
    </w:p>
    <w:p>
      <w:pPr>
        <w:pStyle w:val="9"/>
        <w:spacing w:line="360" w:lineRule="auto"/>
        <w:jc w:val="center"/>
        <w:rPr>
          <w:rFonts w:hAnsi="宋体" w:cs="宋体"/>
          <w:b/>
          <w:color w:val="auto"/>
          <w:sz w:val="24"/>
          <w:highlight w:val="none"/>
        </w:rPr>
      </w:pPr>
      <w:r>
        <w:rPr>
          <w:rFonts w:hint="eastAsia" w:hAnsi="宋体" w:cs="宋体"/>
          <w:b/>
          <w:color w:val="auto"/>
          <w:sz w:val="24"/>
          <w:highlight w:val="none"/>
        </w:rPr>
        <w:t>法定代表人授权书</w:t>
      </w:r>
    </w:p>
    <w:p>
      <w:pPr>
        <w:pStyle w:val="9"/>
        <w:spacing w:line="360" w:lineRule="auto"/>
        <w:rPr>
          <w:rFonts w:hAnsi="宋体" w:cs="宋体"/>
          <w:color w:val="auto"/>
          <w:sz w:val="24"/>
          <w:highlight w:val="none"/>
        </w:rPr>
      </w:pPr>
    </w:p>
    <w:p>
      <w:pPr>
        <w:pStyle w:val="9"/>
        <w:spacing w:line="360" w:lineRule="auto"/>
        <w:rPr>
          <w:rFonts w:hAnsi="宋体" w:cs="宋体"/>
          <w:color w:val="auto"/>
          <w:sz w:val="24"/>
          <w:highlight w:val="none"/>
        </w:rPr>
      </w:pPr>
      <w:r>
        <w:rPr>
          <w:rFonts w:hint="eastAsia" w:hAnsi="宋体" w:cs="宋体"/>
          <w:b/>
          <w:color w:val="auto"/>
          <w:sz w:val="24"/>
          <w:highlight w:val="none"/>
        </w:rPr>
        <w:t>深圳市前海深港现代服务业合作区管理局：</w:t>
      </w:r>
    </w:p>
    <w:p>
      <w:pPr>
        <w:pStyle w:val="9"/>
        <w:spacing w:line="360" w:lineRule="auto"/>
        <w:ind w:firstLine="420"/>
        <w:rPr>
          <w:rFonts w:hAnsi="宋体" w:cs="宋体"/>
          <w:color w:val="auto"/>
          <w:sz w:val="24"/>
          <w:highlight w:val="none"/>
        </w:rPr>
      </w:pPr>
      <w:r>
        <w:rPr>
          <w:rFonts w:hint="eastAsia" w:hAnsi="宋体" w:cs="宋体"/>
          <w:color w:val="auto"/>
          <w:sz w:val="24"/>
          <w:highlight w:val="none"/>
        </w:rPr>
        <w:t>本授权书声明：注册于</w:t>
      </w:r>
      <w:r>
        <w:rPr>
          <w:rFonts w:hint="eastAsia" w:hAnsi="宋体" w:cs="宋体"/>
          <w:color w:val="auto"/>
          <w:sz w:val="24"/>
          <w:highlight w:val="none"/>
          <w:u w:val="single"/>
        </w:rPr>
        <w:t xml:space="preserve">     </w:t>
      </w:r>
      <w:r>
        <w:rPr>
          <w:rFonts w:hint="eastAsia" w:hAnsi="宋体" w:cs="宋体"/>
          <w:color w:val="auto"/>
          <w:sz w:val="24"/>
          <w:highlight w:val="none"/>
        </w:rPr>
        <w:t>（国家或地区）的</w:t>
      </w:r>
      <w:r>
        <w:rPr>
          <w:rFonts w:hint="eastAsia" w:hAnsi="宋体" w:cs="宋体"/>
          <w:color w:val="auto"/>
          <w:sz w:val="24"/>
          <w:highlight w:val="none"/>
          <w:u w:val="single"/>
        </w:rPr>
        <w:t xml:space="preserve">     </w:t>
      </w:r>
      <w:r>
        <w:rPr>
          <w:rFonts w:hint="eastAsia" w:hAnsi="宋体" w:cs="宋体"/>
          <w:color w:val="auto"/>
          <w:sz w:val="24"/>
          <w:highlight w:val="none"/>
        </w:rPr>
        <w:t>（投标人名称）的在下面签字的</w:t>
      </w:r>
      <w:r>
        <w:rPr>
          <w:rFonts w:hint="eastAsia" w:hAnsi="宋体" w:cs="宋体"/>
          <w:color w:val="auto"/>
          <w:sz w:val="24"/>
          <w:highlight w:val="none"/>
          <w:u w:val="single"/>
        </w:rPr>
        <w:t xml:space="preserve">     </w:t>
      </w:r>
      <w:r>
        <w:rPr>
          <w:rFonts w:hint="eastAsia" w:hAnsi="宋体" w:cs="宋体"/>
          <w:color w:val="auto"/>
          <w:sz w:val="24"/>
          <w:highlight w:val="none"/>
        </w:rPr>
        <w:t xml:space="preserve"> （法定代表人姓名、职务）代表本公司授权在下面签字的</w:t>
      </w:r>
      <w:r>
        <w:rPr>
          <w:rFonts w:hint="eastAsia" w:hAnsi="宋体" w:cs="宋体"/>
          <w:color w:val="auto"/>
          <w:sz w:val="24"/>
          <w:highlight w:val="none"/>
          <w:u w:val="single"/>
        </w:rPr>
        <w:t xml:space="preserve">     </w:t>
      </w:r>
      <w:r>
        <w:rPr>
          <w:rFonts w:hint="eastAsia" w:hAnsi="宋体" w:cs="宋体"/>
          <w:color w:val="auto"/>
          <w:sz w:val="24"/>
          <w:highlight w:val="none"/>
        </w:rPr>
        <w:t>（被授权人的姓名、职务）为本公司的合法代表人，就</w:t>
      </w:r>
      <w:r>
        <w:rPr>
          <w:rFonts w:hint="eastAsia" w:hAnsi="宋体" w:cs="宋体"/>
          <w:color w:val="auto"/>
          <w:sz w:val="24"/>
          <w:highlight w:val="none"/>
          <w:u w:val="single"/>
        </w:rPr>
        <w:t xml:space="preserve">       </w:t>
      </w:r>
      <w:r>
        <w:rPr>
          <w:rFonts w:hint="eastAsia" w:hAnsi="宋体" w:cs="宋体"/>
          <w:color w:val="auto"/>
          <w:sz w:val="24"/>
          <w:highlight w:val="none"/>
        </w:rPr>
        <w:t>[招标编号为：</w:t>
      </w:r>
      <w:r>
        <w:rPr>
          <w:rFonts w:hint="eastAsia" w:hAnsi="宋体" w:cs="宋体"/>
          <w:color w:val="auto"/>
          <w:sz w:val="24"/>
          <w:highlight w:val="none"/>
          <w:u w:val="single"/>
        </w:rPr>
        <w:t xml:space="preserve">     </w:t>
      </w:r>
      <w:r>
        <w:rPr>
          <w:rFonts w:hint="eastAsia" w:hAnsi="宋体" w:cs="宋体"/>
          <w:color w:val="auto"/>
          <w:sz w:val="24"/>
          <w:highlight w:val="none"/>
        </w:rPr>
        <w:t>]的投标和合同执行，以我方的名义处理一切与之有关的事宜。</w:t>
      </w:r>
    </w:p>
    <w:p>
      <w:pPr>
        <w:pStyle w:val="9"/>
        <w:spacing w:line="360" w:lineRule="auto"/>
        <w:rPr>
          <w:rFonts w:hAnsi="宋体" w:cs="宋体"/>
          <w:color w:val="auto"/>
          <w:sz w:val="24"/>
          <w:highlight w:val="none"/>
        </w:rPr>
      </w:pPr>
    </w:p>
    <w:p>
      <w:pPr>
        <w:spacing w:line="360" w:lineRule="auto"/>
        <w:ind w:firstLine="570"/>
        <w:rPr>
          <w:rFonts w:ascii="宋体" w:hAnsi="宋体" w:cs="宋体"/>
          <w:color w:val="auto"/>
          <w:sz w:val="24"/>
          <w:highlight w:val="none"/>
        </w:rPr>
      </w:pPr>
      <w:r>
        <w:rPr>
          <w:rFonts w:hint="eastAsia" w:ascii="宋体" w:hAnsi="宋体" w:cs="宋体"/>
          <w:color w:val="auto"/>
          <w:sz w:val="24"/>
          <w:highlight w:val="none"/>
        </w:rPr>
        <w:t>本授权书于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日签字生效，特此声明。</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tabs>
          <w:tab w:val="left" w:pos="378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法定代表人（签字或签章）：</w:t>
      </w:r>
    </w:p>
    <w:p>
      <w:pPr>
        <w:tabs>
          <w:tab w:val="left" w:pos="3780"/>
        </w:tabs>
        <w:spacing w:line="360" w:lineRule="auto"/>
        <w:jc w:val="left"/>
        <w:rPr>
          <w:rFonts w:ascii="宋体" w:hAnsi="宋体" w:cs="宋体"/>
          <w:color w:val="auto"/>
          <w:sz w:val="24"/>
          <w:highlight w:val="none"/>
        </w:rPr>
      </w:pPr>
      <w:r>
        <w:rPr>
          <w:rFonts w:hint="eastAsia" w:ascii="宋体" w:hAnsi="宋体" w:cs="宋体"/>
          <w:color w:val="auto"/>
          <w:sz w:val="24"/>
          <w:highlight w:val="none"/>
        </w:rPr>
        <w:t>被授权人代表（签字或签章）：</w:t>
      </w:r>
    </w:p>
    <w:p>
      <w:pPr>
        <w:tabs>
          <w:tab w:val="left" w:pos="640"/>
          <w:tab w:val="left" w:pos="1260"/>
          <w:tab w:val="left" w:pos="1418"/>
        </w:tabs>
        <w:spacing w:line="360" w:lineRule="auto"/>
        <w:rPr>
          <w:rFonts w:ascii="宋体" w:hAnsi="宋体" w:cs="宋体"/>
          <w:b/>
          <w:color w:val="auto"/>
          <w:sz w:val="24"/>
          <w:highlight w:val="none"/>
        </w:rPr>
      </w:pPr>
    </w:p>
    <w:p>
      <w:pPr>
        <w:tabs>
          <w:tab w:val="left" w:pos="640"/>
          <w:tab w:val="left" w:pos="1260"/>
          <w:tab w:val="left" w:pos="1418"/>
        </w:tabs>
        <w:spacing w:line="360" w:lineRule="auto"/>
        <w:rPr>
          <w:rFonts w:ascii="宋体" w:hAnsi="宋体" w:cs="宋体"/>
          <w:b/>
          <w:color w:val="auto"/>
          <w:sz w:val="24"/>
          <w:highlight w:val="none"/>
        </w:rPr>
      </w:pPr>
      <w:r>
        <w:rPr>
          <w:rFonts w:hint="eastAsia" w:ascii="宋体" w:hAnsi="宋体" w:cs="宋体"/>
          <w:b/>
          <w:color w:val="auto"/>
          <w:sz w:val="24"/>
          <w:highlight w:val="none"/>
        </w:rPr>
        <w:t>附身份证正反面</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9"/>
              <w:spacing w:line="360" w:lineRule="auto"/>
              <w:rPr>
                <w:rFonts w:ascii="Arial Narrow" w:hAnsi="Arial Narrow"/>
                <w:b/>
                <w:bCs/>
                <w:color w:val="auto"/>
                <w:szCs w:val="21"/>
                <w:highlight w:val="none"/>
              </w:rPr>
            </w:pPr>
          </w:p>
        </w:tc>
        <w:tc>
          <w:tcPr>
            <w:tcW w:w="4677" w:type="dxa"/>
          </w:tcPr>
          <w:p>
            <w:pPr>
              <w:pStyle w:val="9"/>
              <w:spacing w:line="360" w:lineRule="auto"/>
              <w:rPr>
                <w:rFonts w:ascii="Arial Narrow" w:hAnsi="Arial Narrow"/>
                <w:b/>
                <w:bCs/>
                <w:color w:val="auto"/>
                <w:szCs w:val="21"/>
                <w:highlight w:val="none"/>
              </w:rPr>
            </w:pPr>
          </w:p>
        </w:tc>
      </w:tr>
    </w:tbl>
    <w:p>
      <w:pPr>
        <w:tabs>
          <w:tab w:val="left" w:pos="640"/>
          <w:tab w:val="left" w:pos="1260"/>
          <w:tab w:val="left" w:pos="1418"/>
        </w:tabs>
        <w:spacing w:line="360" w:lineRule="auto"/>
        <w:rPr>
          <w:color w:val="auto"/>
          <w:szCs w:val="21"/>
          <w:highlight w:val="none"/>
        </w:rPr>
      </w:pPr>
    </w:p>
    <w:p>
      <w:pPr>
        <w:tabs>
          <w:tab w:val="left" w:pos="640"/>
          <w:tab w:val="left" w:pos="1260"/>
          <w:tab w:val="left" w:pos="1418"/>
        </w:tabs>
        <w:spacing w:line="360" w:lineRule="auto"/>
        <w:rPr>
          <w:color w:val="auto"/>
          <w:szCs w:val="21"/>
          <w:highlight w:val="none"/>
        </w:rPr>
      </w:pPr>
      <w:r>
        <w:rPr>
          <w:rFonts w:hint="eastAsia"/>
          <w:color w:val="auto"/>
          <w:szCs w:val="21"/>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1"/>
        </w:numPr>
        <w:tabs>
          <w:tab w:val="left" w:pos="640"/>
          <w:tab w:val="left" w:pos="1260"/>
          <w:tab w:val="left" w:pos="1418"/>
        </w:tabs>
        <w:spacing w:line="360" w:lineRule="auto"/>
        <w:ind w:left="845" w:hanging="845"/>
        <w:rPr>
          <w:rFonts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招标代理服务费承诺书；</w:t>
      </w:r>
    </w:p>
    <w:p>
      <w:pPr>
        <w:widowControl/>
        <w:autoSpaceDE w:val="0"/>
        <w:autoSpaceDN w:val="0"/>
        <w:spacing w:line="360" w:lineRule="auto"/>
        <w:ind w:left="359" w:right="26" w:hanging="357"/>
        <w:jc w:val="center"/>
        <w:textAlignment w:val="bottom"/>
        <w:rPr>
          <w:rFonts w:ascii="宋体" w:hAnsi="宋体" w:cs="宋体"/>
          <w:b/>
          <w:bCs/>
          <w:color w:val="auto"/>
          <w:sz w:val="24"/>
          <w:highlight w:val="none"/>
          <w:lang w:val="fr-CH"/>
        </w:rPr>
      </w:pPr>
    </w:p>
    <w:p>
      <w:pPr>
        <w:widowControl/>
        <w:autoSpaceDE w:val="0"/>
        <w:autoSpaceDN w:val="0"/>
        <w:spacing w:line="360" w:lineRule="auto"/>
        <w:ind w:left="359" w:right="26" w:hanging="357"/>
        <w:jc w:val="center"/>
        <w:textAlignment w:val="bottom"/>
        <w:rPr>
          <w:rFonts w:ascii="宋体" w:hAnsi="宋体" w:cs="宋体"/>
          <w:b/>
          <w:bCs/>
          <w:color w:val="auto"/>
          <w:sz w:val="24"/>
          <w:highlight w:val="none"/>
          <w:lang w:val="fr-CH"/>
        </w:rPr>
      </w:pPr>
      <w:r>
        <w:rPr>
          <w:rFonts w:hint="eastAsia" w:ascii="宋体" w:hAnsi="宋体" w:cs="宋体"/>
          <w:b/>
          <w:bCs/>
          <w:color w:val="auto"/>
          <w:sz w:val="24"/>
          <w:highlight w:val="none"/>
          <w:lang w:val="fr-CH"/>
        </w:rPr>
        <w:t>招标代理服务费承诺书</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致：北京国际招标有限公司</w:t>
      </w:r>
    </w:p>
    <w:p>
      <w:pPr>
        <w:widowControl/>
        <w:autoSpaceDE w:val="0"/>
        <w:autoSpaceDN w:val="0"/>
        <w:spacing w:line="360" w:lineRule="auto"/>
        <w:ind w:right="26" w:firstLine="540"/>
        <w:textAlignment w:val="bottom"/>
        <w:rPr>
          <w:rFonts w:ascii="宋体" w:hAnsi="宋体" w:cs="宋体"/>
          <w:color w:val="auto"/>
          <w:sz w:val="24"/>
          <w:highlight w:val="none"/>
        </w:rPr>
      </w:pPr>
      <w:r>
        <w:rPr>
          <w:rFonts w:hint="eastAsia" w:ascii="宋体" w:hAnsi="宋体" w:cs="宋体"/>
          <w:color w:val="auto"/>
          <w:sz w:val="24"/>
          <w:highlight w:val="none"/>
        </w:rPr>
        <w:t>我们在贵司代理的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项目（招标编号：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auto"/>
          <w:sz w:val="24"/>
          <w:highlight w:val="none"/>
          <w:u w:val="single"/>
        </w:rPr>
        <w:t>招标文件中的规定</w:t>
      </w:r>
      <w:r>
        <w:rPr>
          <w:rFonts w:hint="eastAsia" w:ascii="宋体" w:hAnsi="宋体" w:cs="宋体"/>
          <w:color w:val="auto"/>
          <w:sz w:val="24"/>
          <w:highlight w:val="none"/>
        </w:rPr>
        <w:t>计算。</w:t>
      </w:r>
    </w:p>
    <w:p>
      <w:pPr>
        <w:widowControl/>
        <w:autoSpaceDE w:val="0"/>
        <w:autoSpaceDN w:val="0"/>
        <w:spacing w:line="360" w:lineRule="auto"/>
        <w:ind w:right="26" w:firstLine="540"/>
        <w:textAlignment w:val="bottom"/>
        <w:rPr>
          <w:rFonts w:ascii="宋体" w:hAnsi="宋体" w:cs="宋体"/>
          <w:color w:val="auto"/>
          <w:sz w:val="24"/>
          <w:highlight w:val="none"/>
        </w:rPr>
      </w:pPr>
      <w:r>
        <w:rPr>
          <w:rFonts w:hint="eastAsia" w:ascii="宋体" w:hAnsi="宋体" w:cs="宋体"/>
          <w:color w:val="auto"/>
          <w:sz w:val="24"/>
          <w:highlight w:val="none"/>
        </w:rPr>
        <w:t>特此承诺。</w:t>
      </w:r>
    </w:p>
    <w:p>
      <w:pPr>
        <w:tabs>
          <w:tab w:val="left" w:pos="3780"/>
        </w:tabs>
        <w:spacing w:line="360" w:lineRule="auto"/>
        <w:jc w:val="left"/>
        <w:rPr>
          <w:rFonts w:ascii="宋体" w:hAnsi="宋体" w:cs="宋体"/>
          <w:color w:val="auto"/>
          <w:sz w:val="24"/>
          <w:highlight w:val="none"/>
        </w:rPr>
      </w:pPr>
    </w:p>
    <w:p>
      <w:pPr>
        <w:tabs>
          <w:tab w:val="left" w:pos="378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投标供应商名称（盖章）：</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投标供应商地址：</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 xml:space="preserve">电话：         </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传真：</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日期：   年     月     日</w:t>
      </w:r>
    </w:p>
    <w:p>
      <w:pPr>
        <w:pStyle w:val="7"/>
        <w:rPr>
          <w:color w:val="auto"/>
          <w:highlight w:val="none"/>
          <w:lang w:val="fr-CH"/>
        </w:rPr>
      </w:pPr>
    </w:p>
    <w:p>
      <w:pPr>
        <w:tabs>
          <w:tab w:val="left" w:pos="640"/>
          <w:tab w:val="left" w:pos="1260"/>
          <w:tab w:val="left" w:pos="1418"/>
        </w:tabs>
        <w:spacing w:line="360" w:lineRule="auto"/>
        <w:rPr>
          <w:rFonts w:ascii="宋体" w:hAnsi="宋体" w:cs="宋体"/>
          <w:color w:val="auto"/>
          <w:sz w:val="24"/>
          <w:highlight w:val="none"/>
          <w:lang w:val="fr-CH"/>
        </w:rPr>
      </w:pPr>
    </w:p>
    <w:p>
      <w:pPr>
        <w:numPr>
          <w:ilvl w:val="0"/>
          <w:numId w:val="11"/>
        </w:numPr>
        <w:tabs>
          <w:tab w:val="left" w:pos="640"/>
          <w:tab w:val="left" w:pos="1260"/>
          <w:tab w:val="left" w:pos="1418"/>
        </w:tabs>
        <w:spacing w:line="360" w:lineRule="auto"/>
        <w:ind w:left="845" w:hanging="845"/>
        <w:rPr>
          <w:rFonts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rPr>
        <w:t>供应商</w:t>
      </w:r>
      <w:r>
        <w:rPr>
          <w:rFonts w:hint="eastAsia" w:ascii="宋体" w:hAnsi="宋体" w:cs="宋体"/>
          <w:color w:val="auto"/>
          <w:sz w:val="24"/>
          <w:highlight w:val="none"/>
          <w:lang w:val="fr-CH"/>
        </w:rPr>
        <w:t>简介；</w:t>
      </w:r>
    </w:p>
    <w:p>
      <w:pPr>
        <w:pStyle w:val="9"/>
        <w:spacing w:line="360" w:lineRule="auto"/>
        <w:jc w:val="center"/>
        <w:rPr>
          <w:rFonts w:hAnsi="宋体" w:cs="宋体"/>
          <w:b/>
          <w:bCs/>
          <w:color w:val="auto"/>
          <w:sz w:val="24"/>
          <w:highlight w:val="none"/>
        </w:rPr>
      </w:pPr>
      <w:r>
        <w:rPr>
          <w:rFonts w:hint="eastAsia" w:hAnsi="宋体" w:cs="宋体"/>
          <w:b/>
          <w:bCs/>
          <w:color w:val="auto"/>
          <w:sz w:val="24"/>
          <w:highlight w:val="none"/>
        </w:rPr>
        <w:t>供应商基本情况一览表</w:t>
      </w:r>
    </w:p>
    <w:p>
      <w:pPr>
        <w:pStyle w:val="9"/>
        <w:spacing w:line="360" w:lineRule="auto"/>
        <w:ind w:firstLine="420"/>
        <w:rPr>
          <w:rFonts w:hAnsi="宋体" w:cs="宋体"/>
          <w:color w:val="auto"/>
          <w:sz w:val="24"/>
          <w:highlight w:val="none"/>
        </w:rPr>
      </w:pPr>
      <w:r>
        <w:rPr>
          <w:rFonts w:hint="eastAsia" w:hAnsi="宋体" w:cs="宋体"/>
          <w:color w:val="auto"/>
          <w:sz w:val="24"/>
          <w:highlight w:val="none"/>
        </w:rPr>
        <w:t>1．名称及概况：</w:t>
      </w:r>
    </w:p>
    <w:p>
      <w:pPr>
        <w:pStyle w:val="9"/>
        <w:spacing w:line="360" w:lineRule="auto"/>
        <w:ind w:firstLine="420"/>
        <w:rPr>
          <w:rFonts w:hAnsi="宋体" w:cs="宋体"/>
          <w:color w:val="auto"/>
          <w:sz w:val="24"/>
          <w:highlight w:val="none"/>
        </w:rPr>
      </w:pPr>
      <w:r>
        <w:rPr>
          <w:rFonts w:hint="eastAsia" w:hAnsi="宋体" w:cs="宋体"/>
          <w:color w:val="auto"/>
          <w:sz w:val="24"/>
          <w:highlight w:val="none"/>
        </w:rPr>
        <w:t>（1）供应商名称：_______________________________________</w:t>
      </w:r>
    </w:p>
    <w:p>
      <w:pPr>
        <w:pStyle w:val="9"/>
        <w:spacing w:line="360" w:lineRule="auto"/>
        <w:ind w:firstLine="420"/>
        <w:rPr>
          <w:rFonts w:hAnsi="宋体" w:cs="宋体"/>
          <w:color w:val="auto"/>
          <w:sz w:val="24"/>
          <w:highlight w:val="none"/>
        </w:rPr>
      </w:pPr>
      <w:r>
        <w:rPr>
          <w:rFonts w:hint="eastAsia" w:hAnsi="宋体" w:cs="宋体"/>
          <w:color w:val="auto"/>
          <w:sz w:val="24"/>
          <w:highlight w:val="none"/>
        </w:rPr>
        <w:t>（2）地址：______________________________________________</w:t>
      </w:r>
    </w:p>
    <w:p>
      <w:pPr>
        <w:pStyle w:val="9"/>
        <w:spacing w:line="360" w:lineRule="auto"/>
        <w:ind w:firstLine="660" w:firstLineChars="275"/>
        <w:rPr>
          <w:rFonts w:hAnsi="宋体" w:cs="宋体"/>
          <w:color w:val="auto"/>
          <w:sz w:val="24"/>
          <w:highlight w:val="none"/>
        </w:rPr>
      </w:pPr>
      <w:r>
        <w:rPr>
          <w:rFonts w:hint="eastAsia" w:hAnsi="宋体" w:cs="宋体"/>
          <w:color w:val="auto"/>
          <w:sz w:val="24"/>
          <w:highlight w:val="none"/>
        </w:rPr>
        <w:t xml:space="preserve">   邮政编码：___________________________________________</w:t>
      </w:r>
    </w:p>
    <w:p>
      <w:pPr>
        <w:pStyle w:val="9"/>
        <w:spacing w:line="360" w:lineRule="auto"/>
        <w:ind w:firstLine="420"/>
        <w:rPr>
          <w:rFonts w:hAnsi="宋体" w:cs="宋体"/>
          <w:color w:val="auto"/>
          <w:sz w:val="24"/>
          <w:highlight w:val="none"/>
        </w:rPr>
      </w:pPr>
      <w:r>
        <w:rPr>
          <w:rFonts w:hint="eastAsia" w:hAnsi="宋体" w:cs="宋体"/>
          <w:color w:val="auto"/>
          <w:sz w:val="24"/>
          <w:highlight w:val="none"/>
        </w:rPr>
        <w:t xml:space="preserve">     电话号码：___________________________________________ </w:t>
      </w:r>
    </w:p>
    <w:p>
      <w:pPr>
        <w:pStyle w:val="9"/>
        <w:spacing w:line="360" w:lineRule="auto"/>
        <w:ind w:firstLine="420"/>
        <w:rPr>
          <w:rFonts w:hAnsi="宋体" w:cs="宋体"/>
          <w:color w:val="auto"/>
          <w:sz w:val="24"/>
          <w:highlight w:val="none"/>
        </w:rPr>
      </w:pPr>
      <w:r>
        <w:rPr>
          <w:rFonts w:hint="eastAsia" w:hAnsi="宋体" w:cs="宋体"/>
          <w:color w:val="auto"/>
          <w:sz w:val="24"/>
          <w:highlight w:val="none"/>
        </w:rPr>
        <w:t xml:space="preserve">     传真号码：___________________________________________ </w:t>
      </w:r>
    </w:p>
    <w:p>
      <w:pPr>
        <w:pStyle w:val="9"/>
        <w:spacing w:line="360" w:lineRule="auto"/>
        <w:ind w:firstLine="420"/>
        <w:rPr>
          <w:rFonts w:hAnsi="宋体" w:cs="宋体"/>
          <w:color w:val="auto"/>
          <w:sz w:val="24"/>
          <w:highlight w:val="none"/>
        </w:rPr>
      </w:pPr>
      <w:r>
        <w:rPr>
          <w:rFonts w:hint="eastAsia" w:hAnsi="宋体" w:cs="宋体"/>
          <w:color w:val="auto"/>
          <w:sz w:val="24"/>
          <w:highlight w:val="none"/>
        </w:rPr>
        <w:t>（3）成立和／或注册日期：_________________________________</w:t>
      </w:r>
    </w:p>
    <w:p>
      <w:pPr>
        <w:pStyle w:val="9"/>
        <w:spacing w:line="360" w:lineRule="auto"/>
        <w:ind w:firstLine="420"/>
        <w:rPr>
          <w:rFonts w:hAnsi="宋体" w:cs="宋体"/>
          <w:color w:val="auto"/>
          <w:sz w:val="24"/>
          <w:highlight w:val="none"/>
        </w:rPr>
      </w:pPr>
      <w:r>
        <w:rPr>
          <w:rFonts w:hint="eastAsia" w:hAnsi="宋体" w:cs="宋体"/>
          <w:color w:val="auto"/>
          <w:sz w:val="24"/>
          <w:highlight w:val="none"/>
        </w:rPr>
        <w:t>（4）法人代表：___________________________________________</w:t>
      </w:r>
    </w:p>
    <w:p>
      <w:pPr>
        <w:pStyle w:val="9"/>
        <w:spacing w:line="360" w:lineRule="auto"/>
        <w:ind w:firstLine="420"/>
        <w:rPr>
          <w:rFonts w:hAnsi="宋体" w:cs="宋体"/>
          <w:color w:val="auto"/>
          <w:sz w:val="24"/>
          <w:highlight w:val="none"/>
        </w:rPr>
      </w:pPr>
      <w:r>
        <w:rPr>
          <w:rFonts w:hint="eastAsia" w:hAnsi="宋体" w:cs="宋体"/>
          <w:color w:val="auto"/>
          <w:sz w:val="24"/>
          <w:highlight w:val="none"/>
        </w:rPr>
        <w:t>（5）开户银行：___________________________________________</w:t>
      </w:r>
    </w:p>
    <w:p>
      <w:pPr>
        <w:pStyle w:val="9"/>
        <w:spacing w:line="360" w:lineRule="auto"/>
        <w:ind w:firstLine="420"/>
        <w:rPr>
          <w:rFonts w:hAnsi="宋体" w:cs="宋体"/>
          <w:color w:val="auto"/>
          <w:sz w:val="24"/>
          <w:highlight w:val="none"/>
        </w:rPr>
      </w:pPr>
      <w:r>
        <w:rPr>
          <w:rFonts w:hint="eastAsia" w:hAnsi="宋体" w:cs="宋体"/>
          <w:color w:val="auto"/>
          <w:sz w:val="24"/>
          <w:highlight w:val="none"/>
        </w:rPr>
        <w:t>（6）开户</w:t>
      </w:r>
      <w:r>
        <w:rPr>
          <w:rFonts w:hint="eastAsia" w:hAnsi="宋体" w:cs="宋体"/>
          <w:color w:val="auto"/>
          <w:sz w:val="24"/>
          <w:highlight w:val="none"/>
          <w:lang w:eastAsia="zh-CN"/>
        </w:rPr>
        <w:t>账</w:t>
      </w:r>
      <w:r>
        <w:rPr>
          <w:rFonts w:hint="eastAsia" w:hAnsi="宋体" w:cs="宋体"/>
          <w:color w:val="auto"/>
          <w:sz w:val="24"/>
          <w:highlight w:val="none"/>
        </w:rPr>
        <w:t>号：___________________________________________</w:t>
      </w:r>
    </w:p>
    <w:p>
      <w:pPr>
        <w:pStyle w:val="9"/>
        <w:spacing w:line="360" w:lineRule="auto"/>
        <w:ind w:firstLine="420"/>
        <w:rPr>
          <w:rFonts w:hAnsi="宋体" w:cs="宋体"/>
          <w:color w:val="auto"/>
          <w:sz w:val="24"/>
          <w:highlight w:val="none"/>
        </w:rPr>
      </w:pPr>
      <w:r>
        <w:rPr>
          <w:rFonts w:hint="eastAsia" w:hAnsi="宋体" w:cs="宋体"/>
          <w:color w:val="auto"/>
          <w:sz w:val="24"/>
          <w:highlight w:val="none"/>
        </w:rPr>
        <w:t>（7）注册资金：___________________________________________</w:t>
      </w:r>
    </w:p>
    <w:p>
      <w:pPr>
        <w:pStyle w:val="9"/>
        <w:spacing w:line="360" w:lineRule="auto"/>
        <w:ind w:firstLine="420"/>
        <w:rPr>
          <w:rFonts w:hAnsi="宋体" w:cs="宋体"/>
          <w:color w:val="auto"/>
          <w:sz w:val="24"/>
          <w:highlight w:val="none"/>
        </w:rPr>
      </w:pPr>
      <w:r>
        <w:rPr>
          <w:rFonts w:hint="eastAsia" w:hAnsi="宋体" w:cs="宋体"/>
          <w:color w:val="auto"/>
          <w:sz w:val="24"/>
          <w:highlight w:val="none"/>
        </w:rPr>
        <w:t>（8）近两年财务基本情况</w:t>
      </w:r>
    </w:p>
    <w:p>
      <w:pPr>
        <w:pStyle w:val="9"/>
        <w:spacing w:line="360" w:lineRule="auto"/>
        <w:ind w:firstLine="420"/>
        <w:rPr>
          <w:rFonts w:hAnsi="宋体" w:cs="宋体"/>
          <w:color w:val="auto"/>
          <w:sz w:val="24"/>
          <w:highlight w:val="none"/>
        </w:rPr>
      </w:pPr>
      <w:r>
        <w:rPr>
          <w:rFonts w:hint="eastAsia" w:hAnsi="宋体" w:cs="宋体"/>
          <w:color w:val="auto"/>
          <w:sz w:val="24"/>
          <w:highlight w:val="none"/>
        </w:rPr>
        <w:t xml:space="preserve">    ①货币资金期末数：_____________________________________</w:t>
      </w:r>
    </w:p>
    <w:p>
      <w:pPr>
        <w:pStyle w:val="9"/>
        <w:spacing w:line="360" w:lineRule="auto"/>
        <w:ind w:firstLine="420"/>
        <w:rPr>
          <w:rFonts w:hAnsi="宋体" w:cs="宋体"/>
          <w:color w:val="auto"/>
          <w:sz w:val="24"/>
          <w:highlight w:val="none"/>
        </w:rPr>
      </w:pPr>
      <w:r>
        <w:rPr>
          <w:rFonts w:hint="eastAsia" w:hAnsi="宋体" w:cs="宋体"/>
          <w:color w:val="auto"/>
          <w:sz w:val="24"/>
          <w:highlight w:val="none"/>
        </w:rPr>
        <w:t xml:space="preserve">    ③年营业总额（值）：___________________________________</w:t>
      </w:r>
    </w:p>
    <w:p>
      <w:pPr>
        <w:pStyle w:val="9"/>
        <w:spacing w:line="360" w:lineRule="auto"/>
        <w:ind w:firstLine="420"/>
        <w:rPr>
          <w:rFonts w:hAnsi="宋体" w:cs="宋体"/>
          <w:color w:val="auto"/>
          <w:sz w:val="24"/>
          <w:highlight w:val="none"/>
        </w:rPr>
      </w:pPr>
      <w:r>
        <w:rPr>
          <w:rFonts w:hint="eastAsia" w:hAnsi="宋体" w:cs="宋体"/>
          <w:color w:val="auto"/>
          <w:sz w:val="24"/>
          <w:highlight w:val="none"/>
        </w:rPr>
        <w:t xml:space="preserve">    ③资产负债率：_________________________________________</w:t>
      </w:r>
    </w:p>
    <w:p>
      <w:pPr>
        <w:pStyle w:val="9"/>
        <w:spacing w:line="360" w:lineRule="auto"/>
        <w:ind w:firstLine="420"/>
        <w:rPr>
          <w:rFonts w:hAnsi="宋体" w:cs="宋体"/>
          <w:color w:val="auto"/>
          <w:sz w:val="24"/>
          <w:highlight w:val="none"/>
        </w:rPr>
      </w:pPr>
      <w:r>
        <w:rPr>
          <w:rFonts w:hint="eastAsia" w:hAnsi="宋体" w:cs="宋体"/>
          <w:color w:val="auto"/>
          <w:sz w:val="24"/>
          <w:highlight w:val="none"/>
        </w:rPr>
        <w:t xml:space="preserve">    ④销售利润率：_________________________________________</w:t>
      </w:r>
    </w:p>
    <w:p>
      <w:pPr>
        <w:pStyle w:val="9"/>
        <w:spacing w:line="360" w:lineRule="auto"/>
        <w:ind w:firstLine="420"/>
        <w:rPr>
          <w:rFonts w:hAnsi="宋体" w:cs="宋体"/>
          <w:color w:val="auto"/>
          <w:sz w:val="24"/>
          <w:highlight w:val="none"/>
        </w:rPr>
      </w:pPr>
      <w:r>
        <w:rPr>
          <w:rFonts w:hint="eastAsia" w:hAnsi="宋体" w:cs="宋体"/>
          <w:color w:val="auto"/>
          <w:sz w:val="24"/>
          <w:highlight w:val="none"/>
        </w:rPr>
        <w:t xml:space="preserve">    ⑤资本收益率：_________________________________________</w:t>
      </w:r>
    </w:p>
    <w:p>
      <w:pPr>
        <w:pStyle w:val="9"/>
        <w:spacing w:line="360" w:lineRule="auto"/>
        <w:ind w:firstLine="420"/>
        <w:rPr>
          <w:rFonts w:hAnsi="宋体" w:cs="宋体"/>
          <w:color w:val="auto"/>
          <w:sz w:val="24"/>
          <w:highlight w:val="none"/>
        </w:rPr>
      </w:pPr>
      <w:r>
        <w:rPr>
          <w:rFonts w:hint="eastAsia" w:hAnsi="宋体" w:cs="宋体"/>
          <w:color w:val="auto"/>
          <w:sz w:val="24"/>
          <w:highlight w:val="none"/>
        </w:rPr>
        <w:t>（9）项目主要联系人（姓名、职务、通讯）：</w:t>
      </w:r>
    </w:p>
    <w:p>
      <w:pPr>
        <w:pStyle w:val="9"/>
        <w:spacing w:line="360" w:lineRule="auto"/>
        <w:rPr>
          <w:rFonts w:hAnsi="宋体" w:cs="宋体"/>
          <w:color w:val="auto"/>
          <w:sz w:val="24"/>
          <w:highlight w:val="none"/>
        </w:rPr>
      </w:pPr>
      <w:r>
        <w:rPr>
          <w:rFonts w:hint="eastAsia" w:hAnsi="宋体" w:cs="宋体"/>
          <w:color w:val="auto"/>
          <w:sz w:val="24"/>
          <w:highlight w:val="none"/>
        </w:rPr>
        <w:t>_____________________________________________________________________</w:t>
      </w:r>
    </w:p>
    <w:p>
      <w:pPr>
        <w:pStyle w:val="9"/>
        <w:spacing w:line="360" w:lineRule="auto"/>
        <w:ind w:firstLine="420"/>
        <w:rPr>
          <w:rFonts w:hAnsi="宋体" w:cs="宋体"/>
          <w:color w:val="auto"/>
          <w:sz w:val="24"/>
          <w:highlight w:val="none"/>
        </w:rPr>
      </w:pPr>
      <w:r>
        <w:rPr>
          <w:rFonts w:hint="eastAsia" w:hAnsi="宋体" w:cs="宋体"/>
          <w:color w:val="auto"/>
          <w:sz w:val="24"/>
          <w:highlight w:val="none"/>
        </w:rPr>
        <w:t>（10）公司概况；</w:t>
      </w:r>
    </w:p>
    <w:p>
      <w:pPr>
        <w:pStyle w:val="9"/>
        <w:spacing w:line="360" w:lineRule="auto"/>
        <w:ind w:firstLine="420"/>
        <w:rPr>
          <w:rFonts w:hAnsi="宋体" w:cs="宋体"/>
          <w:color w:val="auto"/>
          <w:sz w:val="24"/>
          <w:highlight w:val="none"/>
        </w:rPr>
      </w:pPr>
      <w:r>
        <w:rPr>
          <w:rFonts w:hint="eastAsia" w:hAnsi="宋体" w:cs="宋体"/>
          <w:color w:val="auto"/>
          <w:sz w:val="24"/>
          <w:highlight w:val="none"/>
        </w:rPr>
        <w:t>（11）公司组织机构；</w:t>
      </w:r>
    </w:p>
    <w:p>
      <w:pPr>
        <w:pStyle w:val="9"/>
        <w:spacing w:line="360" w:lineRule="auto"/>
        <w:ind w:firstLine="420"/>
        <w:rPr>
          <w:rFonts w:hAnsi="宋体" w:cs="宋体"/>
          <w:color w:val="auto"/>
          <w:sz w:val="24"/>
          <w:highlight w:val="none"/>
        </w:rPr>
      </w:pPr>
      <w:r>
        <w:rPr>
          <w:rFonts w:hint="eastAsia" w:hAnsi="宋体" w:cs="宋体"/>
          <w:color w:val="auto"/>
          <w:sz w:val="24"/>
          <w:highlight w:val="none"/>
        </w:rPr>
        <w:t>兹证明上述说明是真实、正确的，并提供了全部能提供的资料和数据，我们同意遵照贵方要求出示有关证明文件。</w:t>
      </w:r>
    </w:p>
    <w:p>
      <w:pPr>
        <w:tabs>
          <w:tab w:val="left" w:pos="3780"/>
        </w:tabs>
        <w:spacing w:line="360" w:lineRule="auto"/>
        <w:jc w:val="left"/>
        <w:rPr>
          <w:rFonts w:ascii="宋体" w:hAnsi="宋体" w:cs="宋体"/>
          <w:color w:val="auto"/>
          <w:sz w:val="24"/>
          <w:highlight w:val="none"/>
        </w:rPr>
      </w:pPr>
    </w:p>
    <w:p>
      <w:pPr>
        <w:tabs>
          <w:tab w:val="left" w:pos="378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日期：  年  月   日</w:t>
      </w:r>
    </w:p>
    <w:p>
      <w:pPr>
        <w:pStyle w:val="7"/>
        <w:rPr>
          <w:color w:val="auto"/>
          <w:highlight w:val="none"/>
          <w:lang w:val="fr-CH"/>
        </w:rPr>
      </w:pPr>
    </w:p>
    <w:p>
      <w:pPr>
        <w:tabs>
          <w:tab w:val="left" w:pos="640"/>
        </w:tabs>
        <w:spacing w:line="360" w:lineRule="auto"/>
        <w:rPr>
          <w:rFonts w:ascii="宋体" w:hAnsi="宋体" w:cs="宋体"/>
          <w:color w:val="auto"/>
          <w:sz w:val="24"/>
          <w:highlight w:val="none"/>
          <w:lang w:val="fr-CH"/>
        </w:rPr>
      </w:pPr>
      <w:r>
        <w:rPr>
          <w:rFonts w:hint="eastAsia" w:ascii="宋体" w:hAnsi="宋体" w:cs="宋体"/>
          <w:color w:val="auto"/>
          <w:sz w:val="24"/>
          <w:highlight w:val="none"/>
          <w:lang w:val="fr-CH"/>
        </w:rPr>
        <w:br w:type="page"/>
      </w:r>
    </w:p>
    <w:p>
      <w:pPr>
        <w:numPr>
          <w:ilvl w:val="0"/>
          <w:numId w:val="11"/>
        </w:numPr>
        <w:tabs>
          <w:tab w:val="left" w:pos="640"/>
        </w:tabs>
        <w:spacing w:line="360" w:lineRule="auto"/>
        <w:ind w:left="845" w:hanging="845"/>
        <w:rPr>
          <w:rFonts w:ascii="宋体" w:hAnsi="宋体" w:cs="宋体"/>
          <w:color w:val="auto"/>
          <w:sz w:val="24"/>
          <w:highlight w:val="none"/>
        </w:rPr>
      </w:pPr>
      <w:bookmarkStart w:id="55" w:name="OLE_LINK31"/>
      <w:r>
        <w:rPr>
          <w:rFonts w:hint="eastAsia" w:ascii="宋体" w:hAnsi="宋体" w:cs="宋体"/>
          <w:color w:val="auto"/>
          <w:sz w:val="24"/>
          <w:highlight w:val="none"/>
        </w:rPr>
        <w:t>相关项目经验；</w:t>
      </w:r>
    </w:p>
    <w:p>
      <w:pPr>
        <w:numPr>
          <w:ilvl w:val="0"/>
          <w:numId w:val="11"/>
        </w:numPr>
        <w:tabs>
          <w:tab w:val="left" w:pos="640"/>
        </w:tabs>
        <w:spacing w:line="360" w:lineRule="auto"/>
        <w:ind w:left="845" w:hanging="845"/>
        <w:rPr>
          <w:rFonts w:ascii="宋体" w:hAnsi="宋体" w:cs="宋体"/>
          <w:color w:val="auto"/>
          <w:sz w:val="24"/>
          <w:highlight w:val="none"/>
        </w:rPr>
      </w:pPr>
      <w:r>
        <w:rPr>
          <w:rFonts w:hint="eastAsia" w:ascii="宋体" w:hAnsi="宋体" w:cs="宋体"/>
          <w:color w:val="auto"/>
          <w:sz w:val="24"/>
          <w:highlight w:val="none"/>
        </w:rPr>
        <w:t>拟安排项目负责人（仅一人）情况；</w:t>
      </w:r>
    </w:p>
    <w:p>
      <w:pPr>
        <w:numPr>
          <w:ilvl w:val="0"/>
          <w:numId w:val="11"/>
        </w:numPr>
        <w:tabs>
          <w:tab w:val="left" w:pos="640"/>
        </w:tabs>
        <w:spacing w:line="360" w:lineRule="auto"/>
        <w:ind w:left="845" w:hanging="845"/>
        <w:rPr>
          <w:rFonts w:ascii="宋体" w:hAnsi="宋体" w:cs="宋体"/>
          <w:color w:val="auto"/>
          <w:sz w:val="24"/>
          <w:highlight w:val="none"/>
        </w:rPr>
      </w:pPr>
      <w:r>
        <w:rPr>
          <w:rFonts w:hint="eastAsia" w:ascii="宋体" w:hAnsi="宋体" w:cs="宋体"/>
          <w:color w:val="auto"/>
          <w:sz w:val="24"/>
          <w:highlight w:val="none"/>
        </w:rPr>
        <w:t>团队成员（项目负责人除外）；</w:t>
      </w:r>
      <w:bookmarkEnd w:id="55"/>
    </w:p>
    <w:p>
      <w:pPr>
        <w:tabs>
          <w:tab w:val="left" w:pos="640"/>
          <w:tab w:val="left" w:pos="1260"/>
          <w:tab w:val="left" w:pos="1418"/>
        </w:tabs>
        <w:jc w:val="center"/>
        <w:rPr>
          <w:rFonts w:ascii="宋体" w:hAnsi="宋体" w:cs="宋体"/>
          <w:b/>
          <w:bCs/>
          <w:color w:val="auto"/>
          <w:szCs w:val="21"/>
          <w:highlight w:val="none"/>
        </w:rPr>
      </w:pPr>
    </w:p>
    <w:p>
      <w:pPr>
        <w:tabs>
          <w:tab w:val="left" w:pos="640"/>
          <w:tab w:val="left" w:pos="1260"/>
          <w:tab w:val="left" w:pos="1418"/>
        </w:tabs>
        <w:jc w:val="center"/>
        <w:rPr>
          <w:rFonts w:ascii="宋体" w:hAnsi="宋体" w:cs="宋体"/>
          <w:b/>
          <w:bCs/>
          <w:color w:val="auto"/>
          <w:sz w:val="24"/>
          <w:highlight w:val="none"/>
        </w:rPr>
      </w:pPr>
      <w:r>
        <w:rPr>
          <w:rFonts w:hint="eastAsia" w:ascii="宋体" w:hAnsi="宋体" w:cs="宋体"/>
          <w:b/>
          <w:bCs/>
          <w:color w:val="auto"/>
          <w:sz w:val="24"/>
          <w:highlight w:val="none"/>
        </w:rPr>
        <w:t>注：以上各项请根据“招标项目评分表”中的要求自行填写并提供相应的证明材料。</w:t>
      </w:r>
    </w:p>
    <w:p>
      <w:pPr>
        <w:numPr>
          <w:ilvl w:val="0"/>
          <w:numId w:val="11"/>
        </w:numPr>
        <w:tabs>
          <w:tab w:val="left" w:pos="640"/>
          <w:tab w:val="left" w:pos="840"/>
          <w:tab w:val="left" w:pos="1260"/>
          <w:tab w:val="left" w:pos="1418"/>
        </w:tabs>
        <w:spacing w:line="360" w:lineRule="auto"/>
        <w:ind w:left="845" w:hanging="845"/>
        <w:rPr>
          <w:rFonts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b/>
          <w:bCs/>
          <w:color w:val="auto"/>
          <w:sz w:val="24"/>
          <w:highlight w:val="none"/>
          <w:lang w:val="fr-CH"/>
        </w:rPr>
        <w:t>诚信</w:t>
      </w:r>
      <w:r>
        <w:rPr>
          <w:rFonts w:hint="eastAsia" w:ascii="宋体" w:hAnsi="宋体" w:cs="宋体"/>
          <w:b/>
          <w:bCs/>
          <w:color w:val="auto"/>
          <w:sz w:val="24"/>
          <w:highlight w:val="none"/>
        </w:rPr>
        <w:t>声明与承诺</w:t>
      </w:r>
      <w:r>
        <w:rPr>
          <w:rFonts w:hint="eastAsia" w:ascii="宋体" w:hAnsi="宋体" w:cs="宋体"/>
          <w:b/>
          <w:bCs/>
          <w:color w:val="auto"/>
          <w:sz w:val="24"/>
          <w:highlight w:val="none"/>
          <w:lang w:val="fr-CH"/>
        </w:rPr>
        <w:t>；</w:t>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诚信声明与承诺</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北京国际招标有限公司：</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  我公司（单位）参与贵代理机构组织的项目（项目编号：）投标，现就诚信作如下声明与承诺：</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我司对上述内容的真实性负责。如有虚假，将依法承担相应责任。</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特此声明与承诺！</w:t>
      </w: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tabs>
          <w:tab w:val="left" w:pos="378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日期：  年  月   日</w:t>
      </w:r>
    </w:p>
    <w:p>
      <w:pPr>
        <w:pStyle w:val="9"/>
        <w:spacing w:line="360" w:lineRule="auto"/>
        <w:jc w:val="left"/>
        <w:rPr>
          <w:rFonts w:hAnsi="宋体" w:cs="宋体"/>
          <w:color w:val="auto"/>
          <w:sz w:val="24"/>
          <w:highlight w:val="none"/>
        </w:rPr>
      </w:pPr>
    </w:p>
    <w:p>
      <w:pPr>
        <w:pStyle w:val="9"/>
        <w:spacing w:line="360" w:lineRule="auto"/>
        <w:jc w:val="left"/>
        <w:rPr>
          <w:rFonts w:hAnsi="宋体" w:cs="宋体"/>
          <w:color w:val="auto"/>
          <w:sz w:val="24"/>
          <w:highlight w:val="none"/>
        </w:rPr>
      </w:pPr>
    </w:p>
    <w:p>
      <w:pPr>
        <w:spacing w:before="100" w:beforeAutospacing="1" w:after="100" w:afterAutospacing="1" w:line="360" w:lineRule="auto"/>
        <w:rPr>
          <w:rFonts w:ascii="宋体" w:hAnsi="宋体" w:cs="宋体"/>
          <w:b/>
          <w:bCs/>
          <w:color w:val="auto"/>
          <w:sz w:val="24"/>
          <w:highlight w:val="none"/>
        </w:rPr>
      </w:pPr>
      <w:r>
        <w:rPr>
          <w:rFonts w:hint="eastAsia" w:ascii="宋体" w:hAnsi="宋体" w:cs="宋体"/>
          <w:b/>
          <w:bCs/>
          <w:color w:val="auto"/>
          <w:sz w:val="24"/>
          <w:highlight w:val="none"/>
        </w:rPr>
        <w:t>注：近三年内，如投标人有任何违法违规、受惩罚和禁止、不良信用等记录，必须列明记载，并附网络截图（加盖公章）。</w:t>
      </w:r>
    </w:p>
    <w:p>
      <w:pPr>
        <w:pStyle w:val="7"/>
        <w:rPr>
          <w:color w:val="auto"/>
          <w:highlight w:val="none"/>
          <w:lang w:val="fr-CH"/>
        </w:rPr>
      </w:pPr>
    </w:p>
    <w:p>
      <w:pPr>
        <w:numPr>
          <w:ilvl w:val="0"/>
          <w:numId w:val="11"/>
        </w:numPr>
        <w:tabs>
          <w:tab w:val="left" w:pos="640"/>
          <w:tab w:val="left" w:pos="840"/>
          <w:tab w:val="left" w:pos="1260"/>
          <w:tab w:val="left" w:pos="1418"/>
        </w:tabs>
        <w:spacing w:line="360" w:lineRule="auto"/>
        <w:ind w:left="845" w:hanging="845"/>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政府采购违法行为风险知悉确认书</w:t>
      </w:r>
    </w:p>
    <w:p>
      <w:pPr>
        <w:spacing w:line="360" w:lineRule="auto"/>
        <w:ind w:left="420"/>
        <w:jc w:val="center"/>
        <w:rPr>
          <w:rFonts w:ascii="宋体"/>
          <w:b/>
          <w:color w:val="auto"/>
          <w:sz w:val="24"/>
          <w:highlight w:val="none"/>
        </w:rPr>
      </w:pPr>
      <w:r>
        <w:rPr>
          <w:rFonts w:hint="eastAsia" w:ascii="宋体"/>
          <w:b/>
          <w:color w:val="auto"/>
          <w:sz w:val="24"/>
          <w:highlight w:val="none"/>
        </w:rPr>
        <w:t>政府采购违法行为风险知悉确认书</w:t>
      </w:r>
    </w:p>
    <w:p>
      <w:pPr>
        <w:autoSpaceDE w:val="0"/>
        <w:autoSpaceDN w:val="0"/>
        <w:adjustRightInd w:val="0"/>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b/>
                <w:bCs/>
                <w:color w:val="auto"/>
                <w:sz w:val="24"/>
                <w:highlight w:val="none"/>
              </w:rPr>
            </w:pPr>
            <w:bookmarkStart w:id="56" w:name="OLE_LINK6"/>
            <w:r>
              <w:rPr>
                <w:rFonts w:hint="eastAsia" w:ascii="宋体" w:hAnsi="宋体" w:cs="宋体"/>
                <w:b/>
                <w:bCs/>
                <w:color w:val="auto"/>
                <w:sz w:val="24"/>
                <w:highlight w:val="none"/>
              </w:rPr>
              <w:t>序号</w:t>
            </w:r>
          </w:p>
        </w:tc>
        <w:tc>
          <w:tcPr>
            <w:tcW w:w="7607" w:type="dxa"/>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7607" w:type="dxa"/>
            <w:vAlign w:val="center"/>
          </w:tcPr>
          <w:p>
            <w:pPr>
              <w:jc w:val="left"/>
              <w:rPr>
                <w:rFonts w:ascii="宋体" w:hAnsi="宋体" w:cs="宋体"/>
                <w:color w:val="auto"/>
                <w:sz w:val="24"/>
                <w:highlight w:val="none"/>
              </w:rPr>
            </w:pPr>
            <w:r>
              <w:rPr>
                <w:rFonts w:hint="eastAsia" w:ascii="宋体" w:hAnsi="宋体" w:cs="宋体"/>
                <w:color w:val="auto"/>
                <w:sz w:val="24"/>
                <w:highlight w:val="none"/>
              </w:rPr>
              <w:t>与其他投标供应商的法定代表人、主要经营负责人、投标授权代表人、项目负责人、主要技术人员为</w:t>
            </w:r>
            <w:r>
              <w:rPr>
                <w:rFonts w:hint="eastAsia" w:ascii="宋体" w:hAnsi="宋体" w:cs="宋体"/>
                <w:b/>
                <w:bCs/>
                <w:color w:val="auto"/>
                <w:sz w:val="24"/>
                <w:highlight w:val="none"/>
              </w:rPr>
              <w:t>同一人、属同一单位或者在同一单位缴纳社会保险</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7607" w:type="dxa"/>
            <w:vAlign w:val="center"/>
          </w:tcPr>
          <w:p>
            <w:pPr>
              <w:jc w:val="left"/>
              <w:rPr>
                <w:rFonts w:ascii="宋体" w:hAnsi="宋体" w:cs="宋体"/>
                <w:color w:val="auto"/>
                <w:sz w:val="24"/>
                <w:highlight w:val="none"/>
              </w:rPr>
            </w:pPr>
            <w:r>
              <w:rPr>
                <w:rFonts w:hint="eastAsia" w:ascii="宋体" w:hAnsi="宋体" w:cs="宋体"/>
                <w:color w:val="auto"/>
                <w:sz w:val="24"/>
                <w:highlight w:val="none"/>
              </w:rPr>
              <w:t>参与本项目政府采购活动时，与其他投标供应商存在单位负责人为</w:t>
            </w:r>
            <w:r>
              <w:rPr>
                <w:rFonts w:hint="eastAsia" w:ascii="宋体" w:hAnsi="宋体" w:cs="宋体"/>
                <w:b/>
                <w:bCs/>
                <w:color w:val="auto"/>
                <w:sz w:val="24"/>
                <w:highlight w:val="none"/>
              </w:rPr>
              <w:t>同一人或直接控股、管理关系</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7607" w:type="dxa"/>
            <w:vAlign w:val="center"/>
          </w:tcPr>
          <w:p>
            <w:pPr>
              <w:jc w:val="left"/>
              <w:rPr>
                <w:rFonts w:ascii="宋体" w:hAnsi="宋体" w:cs="宋体"/>
                <w:color w:val="auto"/>
                <w:sz w:val="24"/>
                <w:highlight w:val="none"/>
              </w:rPr>
            </w:pPr>
            <w:r>
              <w:rPr>
                <w:rFonts w:hint="eastAsia" w:ascii="宋体" w:hAnsi="宋体" w:cs="宋体"/>
                <w:color w:val="auto"/>
                <w:sz w:val="24"/>
                <w:highlight w:val="none"/>
              </w:rPr>
              <w:t>与其他投标供应商的投标文件或部分投标文件</w:t>
            </w:r>
            <w:r>
              <w:rPr>
                <w:rFonts w:hint="eastAsia" w:ascii="宋体" w:hAnsi="宋体" w:cs="宋体"/>
                <w:b/>
                <w:bCs/>
                <w:color w:val="auto"/>
                <w:sz w:val="24"/>
                <w:highlight w:val="none"/>
              </w:rPr>
              <w:t>相互混装或存在非正常一致</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4</w:t>
            </w:r>
          </w:p>
        </w:tc>
        <w:tc>
          <w:tcPr>
            <w:tcW w:w="7607" w:type="dxa"/>
            <w:vAlign w:val="center"/>
          </w:tcPr>
          <w:p>
            <w:pPr>
              <w:jc w:val="left"/>
              <w:rPr>
                <w:rFonts w:ascii="宋体" w:hAnsi="宋体" w:cs="宋体"/>
                <w:color w:val="auto"/>
                <w:sz w:val="24"/>
                <w:highlight w:val="none"/>
              </w:rPr>
            </w:pPr>
            <w:r>
              <w:rPr>
                <w:rFonts w:hint="eastAsia" w:ascii="宋体" w:hAnsi="宋体" w:cs="宋体"/>
                <w:color w:val="auto"/>
                <w:sz w:val="24"/>
                <w:highlight w:val="none"/>
              </w:rPr>
              <w:t>与其他投标供应商的投标文件由</w:t>
            </w:r>
            <w:r>
              <w:rPr>
                <w:rFonts w:hint="eastAsia" w:ascii="宋体" w:hAnsi="宋体" w:cs="宋体"/>
                <w:b/>
                <w:bCs/>
                <w:color w:val="auto"/>
                <w:sz w:val="24"/>
                <w:highlight w:val="none"/>
              </w:rPr>
              <w:t>同一单位或者同一人编制</w:t>
            </w:r>
            <w:r>
              <w:rPr>
                <w:rFonts w:hint="eastAsia" w:ascii="宋体" w:hAnsi="宋体" w:cs="宋体"/>
                <w:color w:val="auto"/>
                <w:sz w:val="24"/>
                <w:highlight w:val="none"/>
              </w:rPr>
              <w:t>，或者使用</w:t>
            </w:r>
            <w:r>
              <w:rPr>
                <w:rFonts w:hint="eastAsia" w:ascii="宋体" w:hAnsi="宋体" w:cs="宋体"/>
                <w:b/>
                <w:bCs/>
                <w:color w:val="auto"/>
                <w:sz w:val="24"/>
                <w:highlight w:val="none"/>
              </w:rPr>
              <w:t>同一设备编制</w:t>
            </w:r>
            <w:r>
              <w:rPr>
                <w:rFonts w:hint="eastAsia" w:ascii="宋体" w:hAnsi="宋体" w:cs="宋体"/>
                <w:color w:val="auto"/>
                <w:sz w:val="24"/>
                <w:highlight w:val="none"/>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5</w:t>
            </w:r>
          </w:p>
        </w:tc>
        <w:tc>
          <w:tcPr>
            <w:tcW w:w="7607" w:type="dxa"/>
            <w:vAlign w:val="center"/>
          </w:tcPr>
          <w:p>
            <w:pPr>
              <w:jc w:val="left"/>
              <w:rPr>
                <w:rFonts w:ascii="宋体" w:hAnsi="宋体" w:cs="宋体"/>
                <w:color w:val="auto"/>
                <w:sz w:val="24"/>
                <w:highlight w:val="none"/>
              </w:rPr>
            </w:pPr>
            <w:r>
              <w:rPr>
                <w:rFonts w:hint="eastAsia" w:ascii="宋体" w:hAnsi="宋体" w:cs="宋体"/>
                <w:color w:val="auto"/>
                <w:sz w:val="24"/>
                <w:highlight w:val="none"/>
              </w:rPr>
              <w:t>提供</w:t>
            </w:r>
            <w:r>
              <w:rPr>
                <w:rFonts w:hint="eastAsia" w:ascii="宋体" w:hAnsi="宋体" w:cs="宋体"/>
                <w:b/>
                <w:bCs/>
                <w:color w:val="auto"/>
                <w:sz w:val="24"/>
                <w:highlight w:val="none"/>
              </w:rPr>
              <w:t>未经出具机构核实</w:t>
            </w:r>
            <w:r>
              <w:rPr>
                <w:rFonts w:hint="eastAsia" w:ascii="宋体" w:hAnsi="宋体" w:cs="宋体"/>
                <w:color w:val="auto"/>
                <w:sz w:val="24"/>
                <w:highlight w:val="none"/>
              </w:rPr>
              <w:t>的虚假的检验检测报告、业绩材料、社保缴纳证明、学历学位证书、职称认证证书等材料。</w:t>
            </w:r>
          </w:p>
        </w:tc>
      </w:tr>
      <w:bookmarkEnd w:id="56"/>
    </w:tbl>
    <w:p>
      <w:pPr>
        <w:autoSpaceDE w:val="0"/>
        <w:autoSpaceDN w:val="0"/>
        <w:adjustRightInd w:val="0"/>
        <w:spacing w:line="360" w:lineRule="auto"/>
        <w:ind w:firstLine="480" w:firstLineChars="200"/>
        <w:jc w:val="left"/>
        <w:rPr>
          <w:rFonts w:ascii="宋体" w:hAnsi="宋体" w:cs="仿宋_GB2312"/>
          <w:color w:val="auto"/>
          <w:kern w:val="0"/>
          <w:sz w:val="24"/>
          <w:highlight w:val="none"/>
        </w:rPr>
      </w:pPr>
      <w:r>
        <w:rPr>
          <w:rFonts w:hint="eastAsia" w:ascii="宋体" w:hAnsi="宋体" w:cs="仿宋_GB2312"/>
          <w:color w:val="auto"/>
          <w:kern w:val="0"/>
          <w:sz w:val="24"/>
          <w:highlight w:val="none"/>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ascii="宋体" w:hAnsi="宋体" w:cs="仿宋_GB2312"/>
          <w:color w:val="auto"/>
          <w:kern w:val="0"/>
          <w:sz w:val="24"/>
          <w:highlight w:val="none"/>
        </w:rPr>
      </w:pPr>
      <w:r>
        <w:rPr>
          <w:rFonts w:hint="eastAsia" w:ascii="宋体" w:hAnsi="宋体" w:cs="仿宋_GB2312"/>
          <w:color w:val="auto"/>
          <w:kern w:val="0"/>
          <w:sz w:val="24"/>
          <w:highlight w:val="none"/>
        </w:rPr>
        <w:t>（一）通过转让或者租借等方式从其他单位获取资格或者资质证书投标的。</w:t>
      </w:r>
    </w:p>
    <w:p>
      <w:pPr>
        <w:autoSpaceDE w:val="0"/>
        <w:autoSpaceDN w:val="0"/>
        <w:adjustRightInd w:val="0"/>
        <w:spacing w:line="360" w:lineRule="auto"/>
        <w:ind w:firstLine="600" w:firstLineChars="250"/>
        <w:jc w:val="left"/>
        <w:rPr>
          <w:rFonts w:ascii="宋体" w:hAnsi="宋体" w:cs="仿宋_GB2312"/>
          <w:color w:val="auto"/>
          <w:kern w:val="0"/>
          <w:sz w:val="24"/>
          <w:highlight w:val="none"/>
        </w:rPr>
      </w:pPr>
      <w:r>
        <w:rPr>
          <w:rFonts w:hint="eastAsia" w:ascii="宋体" w:hAnsi="宋体" w:cs="仿宋_GB2312"/>
          <w:color w:val="auto"/>
          <w:kern w:val="0"/>
          <w:sz w:val="24"/>
          <w:highlight w:val="none"/>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ascii="宋体" w:hAnsi="宋体" w:cs="仿宋_GB2312"/>
          <w:color w:val="auto"/>
          <w:kern w:val="0"/>
          <w:sz w:val="24"/>
          <w:highlight w:val="none"/>
        </w:rPr>
      </w:pPr>
      <w:r>
        <w:rPr>
          <w:rFonts w:hint="eastAsia" w:ascii="宋体" w:hAnsi="宋体" w:cs="仿宋_GB2312"/>
          <w:color w:val="auto"/>
          <w:kern w:val="0"/>
          <w:sz w:val="24"/>
          <w:highlight w:val="none"/>
        </w:rPr>
        <w:t>（三）项目负责人或者主要技术人员不是本单位人员的。</w:t>
      </w:r>
    </w:p>
    <w:p>
      <w:pPr>
        <w:autoSpaceDE w:val="0"/>
        <w:autoSpaceDN w:val="0"/>
        <w:adjustRightInd w:val="0"/>
        <w:spacing w:line="360" w:lineRule="auto"/>
        <w:ind w:firstLine="600" w:firstLineChars="250"/>
        <w:jc w:val="left"/>
        <w:rPr>
          <w:rFonts w:ascii="宋体" w:hAnsi="宋体" w:cs="仿宋_GB2312"/>
          <w:color w:val="auto"/>
          <w:kern w:val="0"/>
          <w:sz w:val="24"/>
          <w:highlight w:val="none"/>
        </w:rPr>
      </w:pPr>
      <w:r>
        <w:rPr>
          <w:rFonts w:hint="eastAsia" w:ascii="宋体" w:hAnsi="宋体" w:cs="仿宋_GB2312"/>
          <w:color w:val="auto"/>
          <w:kern w:val="0"/>
          <w:sz w:val="24"/>
          <w:highlight w:val="none"/>
        </w:rPr>
        <w:t>（四）投标保证金不是从投标供应商基本账户转出的。</w:t>
      </w:r>
    </w:p>
    <w:p>
      <w:pPr>
        <w:autoSpaceDE w:val="0"/>
        <w:autoSpaceDN w:val="0"/>
        <w:adjustRightInd w:val="0"/>
        <w:spacing w:line="360" w:lineRule="auto"/>
        <w:ind w:firstLine="600" w:firstLineChars="250"/>
        <w:jc w:val="left"/>
        <w:rPr>
          <w:rFonts w:ascii="宋体" w:hAnsi="宋体" w:cs="仿宋_GB2312"/>
          <w:color w:val="auto"/>
          <w:kern w:val="0"/>
          <w:sz w:val="24"/>
          <w:highlight w:val="none"/>
        </w:rPr>
      </w:pPr>
      <w:r>
        <w:rPr>
          <w:rFonts w:hint="eastAsia" w:ascii="宋体" w:hAnsi="宋体" w:cs="仿宋_GB2312"/>
          <w:color w:val="auto"/>
          <w:kern w:val="0"/>
          <w:sz w:val="24"/>
          <w:highlight w:val="none"/>
        </w:rPr>
        <w:t>（五）其他隐瞒真实情况、提供虚假资料的行为。</w:t>
      </w:r>
    </w:p>
    <w:p>
      <w:pPr>
        <w:autoSpaceDE w:val="0"/>
        <w:autoSpaceDN w:val="0"/>
        <w:adjustRightInd w:val="0"/>
        <w:spacing w:line="360" w:lineRule="auto"/>
        <w:ind w:firstLine="480" w:firstLineChars="200"/>
        <w:jc w:val="left"/>
        <w:rPr>
          <w:rFonts w:ascii="宋体" w:hAnsi="宋体" w:cs="仿宋_GB2312"/>
          <w:color w:val="auto"/>
          <w:kern w:val="0"/>
          <w:sz w:val="24"/>
          <w:highlight w:val="none"/>
        </w:rPr>
      </w:pPr>
      <w:r>
        <w:rPr>
          <w:rFonts w:hint="eastAsia" w:ascii="宋体" w:hAnsi="宋体" w:cs="仿宋_GB2312"/>
          <w:color w:val="auto"/>
          <w:kern w:val="0"/>
          <w:sz w:val="24"/>
          <w:highlight w:val="none"/>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ascii="宋体" w:hAnsi="宋体" w:cs="仿宋_GB2312"/>
          <w:color w:val="auto"/>
          <w:kern w:val="0"/>
          <w:sz w:val="24"/>
          <w:highlight w:val="none"/>
        </w:rPr>
      </w:pPr>
      <w:r>
        <w:rPr>
          <w:rFonts w:hint="eastAsia" w:ascii="宋体" w:hAnsi="宋体" w:cs="仿宋_GB2312"/>
          <w:color w:val="auto"/>
          <w:kern w:val="0"/>
          <w:sz w:val="24"/>
          <w:highlight w:val="none"/>
        </w:rPr>
        <w:t>（一）投标供应商之间相互约定给予未中标的供应商利益补偿。</w:t>
      </w:r>
    </w:p>
    <w:p>
      <w:pPr>
        <w:autoSpaceDE w:val="0"/>
        <w:autoSpaceDN w:val="0"/>
        <w:adjustRightInd w:val="0"/>
        <w:spacing w:line="360" w:lineRule="auto"/>
        <w:ind w:firstLine="480" w:firstLineChars="200"/>
        <w:jc w:val="left"/>
        <w:rPr>
          <w:rFonts w:ascii="宋体" w:hAnsi="宋体" w:cs="仿宋_GB2312"/>
          <w:color w:val="auto"/>
          <w:kern w:val="0"/>
          <w:sz w:val="24"/>
          <w:highlight w:val="none"/>
        </w:rPr>
      </w:pPr>
      <w:r>
        <w:rPr>
          <w:rFonts w:hint="eastAsia" w:ascii="宋体" w:hAnsi="宋体" w:cs="仿宋_GB2312"/>
          <w:color w:val="auto"/>
          <w:kern w:val="0"/>
          <w:sz w:val="24"/>
          <w:highlight w:val="none"/>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ascii="宋体" w:hAnsi="宋体" w:cs="仿宋_GB2312"/>
          <w:color w:val="auto"/>
          <w:kern w:val="0"/>
          <w:sz w:val="24"/>
          <w:highlight w:val="none"/>
        </w:rPr>
      </w:pPr>
      <w:r>
        <w:rPr>
          <w:rFonts w:hint="eastAsia" w:ascii="宋体" w:hAnsi="宋体" w:cs="仿宋_GB2312"/>
          <w:color w:val="auto"/>
          <w:kern w:val="0"/>
          <w:sz w:val="24"/>
          <w:highlight w:val="none"/>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ascii="宋体" w:hAnsi="宋体" w:cs="仿宋_GB2312"/>
          <w:color w:val="auto"/>
          <w:kern w:val="0"/>
          <w:sz w:val="24"/>
          <w:highlight w:val="none"/>
        </w:rPr>
      </w:pPr>
      <w:r>
        <w:rPr>
          <w:rFonts w:hint="eastAsia" w:ascii="宋体" w:hAnsi="宋体" w:cs="仿宋_GB2312"/>
          <w:color w:val="auto"/>
          <w:kern w:val="0"/>
          <w:sz w:val="24"/>
          <w:highlight w:val="none"/>
        </w:rPr>
        <w:t>（四）不同投标供应商的投标文件或部分投标文件相互混装。</w:t>
      </w:r>
    </w:p>
    <w:p>
      <w:pPr>
        <w:autoSpaceDE w:val="0"/>
        <w:autoSpaceDN w:val="0"/>
        <w:adjustRightInd w:val="0"/>
        <w:spacing w:line="360" w:lineRule="auto"/>
        <w:ind w:firstLine="480" w:firstLineChars="200"/>
        <w:jc w:val="left"/>
        <w:rPr>
          <w:rFonts w:ascii="宋体" w:hAnsi="宋体" w:cs="仿宋_GB2312"/>
          <w:color w:val="auto"/>
          <w:kern w:val="0"/>
          <w:sz w:val="24"/>
          <w:highlight w:val="none"/>
        </w:rPr>
      </w:pPr>
      <w:r>
        <w:rPr>
          <w:rFonts w:hint="eastAsia" w:ascii="宋体" w:hAnsi="宋体" w:cs="仿宋_GB2312"/>
          <w:color w:val="auto"/>
          <w:kern w:val="0"/>
          <w:sz w:val="24"/>
          <w:highlight w:val="none"/>
        </w:rPr>
        <w:t>（五）不同投标供应商的投标文件内容存在非正常一致。</w:t>
      </w:r>
    </w:p>
    <w:p>
      <w:pPr>
        <w:autoSpaceDE w:val="0"/>
        <w:autoSpaceDN w:val="0"/>
        <w:adjustRightInd w:val="0"/>
        <w:spacing w:line="360" w:lineRule="auto"/>
        <w:ind w:firstLine="480" w:firstLineChars="200"/>
        <w:jc w:val="left"/>
        <w:rPr>
          <w:rFonts w:ascii="宋体" w:hAnsi="宋体" w:cs="仿宋_GB2312"/>
          <w:color w:val="auto"/>
          <w:kern w:val="0"/>
          <w:sz w:val="24"/>
          <w:highlight w:val="none"/>
        </w:rPr>
      </w:pPr>
      <w:r>
        <w:rPr>
          <w:rFonts w:hint="eastAsia" w:ascii="宋体" w:hAnsi="宋体" w:cs="仿宋_GB2312"/>
          <w:color w:val="auto"/>
          <w:kern w:val="0"/>
          <w:sz w:val="24"/>
          <w:highlight w:val="none"/>
        </w:rPr>
        <w:t>（六）由同一单位工作人员为两家以上（含两家）供应商进行同一项投标活动的。</w:t>
      </w:r>
    </w:p>
    <w:p>
      <w:pPr>
        <w:autoSpaceDE w:val="0"/>
        <w:autoSpaceDN w:val="0"/>
        <w:adjustRightInd w:val="0"/>
        <w:spacing w:line="360" w:lineRule="auto"/>
        <w:ind w:firstLine="480" w:firstLineChars="200"/>
        <w:jc w:val="left"/>
        <w:rPr>
          <w:rFonts w:ascii="宋体" w:hAnsi="宋体" w:cs="仿宋_GB2312"/>
          <w:color w:val="auto"/>
          <w:kern w:val="0"/>
          <w:sz w:val="24"/>
          <w:highlight w:val="none"/>
        </w:rPr>
      </w:pPr>
      <w:r>
        <w:rPr>
          <w:rFonts w:hint="eastAsia" w:ascii="宋体" w:hAnsi="宋体" w:cs="仿宋_GB2312"/>
          <w:color w:val="auto"/>
          <w:kern w:val="0"/>
          <w:sz w:val="24"/>
          <w:highlight w:val="none"/>
        </w:rPr>
        <w:t>（七）不同投标人的投标报价呈规律性差异。</w:t>
      </w:r>
    </w:p>
    <w:p>
      <w:pPr>
        <w:autoSpaceDE w:val="0"/>
        <w:autoSpaceDN w:val="0"/>
        <w:adjustRightInd w:val="0"/>
        <w:spacing w:line="360" w:lineRule="auto"/>
        <w:ind w:firstLine="480" w:firstLineChars="200"/>
        <w:jc w:val="left"/>
        <w:rPr>
          <w:rFonts w:ascii="宋体" w:hAnsi="宋体" w:cs="仿宋_GB2312"/>
          <w:color w:val="auto"/>
          <w:kern w:val="0"/>
          <w:sz w:val="24"/>
          <w:highlight w:val="none"/>
        </w:rPr>
      </w:pPr>
      <w:r>
        <w:rPr>
          <w:rFonts w:hint="eastAsia" w:ascii="宋体" w:hAnsi="宋体" w:cs="仿宋_GB2312"/>
          <w:color w:val="auto"/>
          <w:kern w:val="0"/>
          <w:sz w:val="24"/>
          <w:highlight w:val="none"/>
        </w:rPr>
        <w:t>（八）不同投标人的投标保证金从同一单位或者个人的账户转出。</w:t>
      </w:r>
    </w:p>
    <w:p>
      <w:pPr>
        <w:autoSpaceDE w:val="0"/>
        <w:autoSpaceDN w:val="0"/>
        <w:adjustRightInd w:val="0"/>
        <w:spacing w:line="360" w:lineRule="auto"/>
        <w:ind w:firstLine="480" w:firstLineChars="200"/>
        <w:jc w:val="left"/>
        <w:rPr>
          <w:rFonts w:ascii="宋体" w:hAnsi="宋体" w:cs="仿宋_GB2312"/>
          <w:color w:val="auto"/>
          <w:kern w:val="0"/>
          <w:sz w:val="24"/>
          <w:highlight w:val="none"/>
        </w:rPr>
      </w:pPr>
      <w:r>
        <w:rPr>
          <w:rFonts w:hint="eastAsia" w:ascii="宋体" w:hAnsi="宋体" w:cs="仿宋_GB2312"/>
          <w:color w:val="auto"/>
          <w:kern w:val="0"/>
          <w:sz w:val="24"/>
          <w:highlight w:val="none"/>
        </w:rPr>
        <w:t>（九）主管部门依照法律、法规认定的其他情形。</w:t>
      </w:r>
    </w:p>
    <w:p>
      <w:pPr>
        <w:autoSpaceDE w:val="0"/>
        <w:autoSpaceDN w:val="0"/>
        <w:adjustRightInd w:val="0"/>
        <w:spacing w:line="360" w:lineRule="auto"/>
        <w:ind w:firstLine="480" w:firstLineChars="200"/>
        <w:jc w:val="left"/>
        <w:rPr>
          <w:rFonts w:ascii="宋体" w:hAnsi="宋体" w:cs="仿宋_GB2312"/>
          <w:color w:val="auto"/>
          <w:kern w:val="0"/>
          <w:sz w:val="24"/>
          <w:highlight w:val="none"/>
        </w:rPr>
      </w:pPr>
      <w:r>
        <w:rPr>
          <w:rFonts w:hint="eastAsia" w:ascii="宋体" w:hAnsi="宋体" w:cs="仿宋_GB2312"/>
          <w:color w:val="auto"/>
          <w:kern w:val="0"/>
          <w:sz w:val="24"/>
          <w:highlight w:val="none"/>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ascii="宋体" w:hAnsi="宋体" w:cs="仿宋_GB2312"/>
          <w:color w:val="auto"/>
          <w:kern w:val="0"/>
          <w:sz w:val="24"/>
          <w:highlight w:val="none"/>
        </w:rPr>
      </w:pPr>
      <w:r>
        <w:rPr>
          <w:rFonts w:hint="eastAsia" w:ascii="宋体" w:hAnsi="宋体" w:cs="仿宋_GB2312"/>
          <w:color w:val="auto"/>
          <w:kern w:val="0"/>
          <w:sz w:val="24"/>
          <w:highlight w:val="none"/>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ascii="宋体" w:hAnsi="宋体" w:cs="仿宋_GB2312"/>
          <w:color w:val="auto"/>
          <w:kern w:val="0"/>
          <w:sz w:val="24"/>
          <w:highlight w:val="none"/>
        </w:rPr>
      </w:pPr>
      <w:r>
        <w:rPr>
          <w:rFonts w:hint="eastAsia" w:ascii="宋体" w:hAnsi="宋体" w:cs="仿宋_GB2312"/>
          <w:color w:val="auto"/>
          <w:kern w:val="0"/>
          <w:sz w:val="24"/>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ascii="宋体" w:hAnsi="宋体" w:cs="仿宋_GB2312"/>
          <w:color w:val="auto"/>
          <w:kern w:val="0"/>
          <w:sz w:val="24"/>
          <w:highlight w:val="none"/>
        </w:rPr>
      </w:pPr>
      <w:r>
        <w:rPr>
          <w:rFonts w:hint="eastAsia" w:ascii="宋体" w:hAnsi="宋体" w:cs="仿宋_GB2312"/>
          <w:color w:val="auto"/>
          <w:kern w:val="0"/>
          <w:sz w:val="24"/>
          <w:highlight w:val="none"/>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ascii="宋体" w:hAnsi="宋体" w:cs="仿宋_GB2312"/>
          <w:color w:val="auto"/>
          <w:kern w:val="0"/>
          <w:sz w:val="24"/>
          <w:highlight w:val="none"/>
        </w:rPr>
      </w:pPr>
      <w:r>
        <w:rPr>
          <w:rFonts w:hint="eastAsia" w:ascii="宋体" w:hAnsi="宋体" w:cs="仿宋_GB2312"/>
          <w:color w:val="auto"/>
          <w:kern w:val="0"/>
          <w:sz w:val="24"/>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ascii="宋体" w:hAnsi="宋体" w:cs="仿宋_GB2312"/>
          <w:color w:val="auto"/>
          <w:kern w:val="0"/>
          <w:sz w:val="24"/>
          <w:highlight w:val="none"/>
        </w:rPr>
      </w:pPr>
      <w:r>
        <w:rPr>
          <w:rFonts w:hint="eastAsia" w:ascii="宋体" w:hAnsi="宋体" w:cs="仿宋_GB2312"/>
          <w:color w:val="auto"/>
          <w:kern w:val="0"/>
          <w:sz w:val="24"/>
          <w:highlight w:val="none"/>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ascii="宋体" w:hAnsi="宋体" w:cs="仿宋_GB2312"/>
          <w:color w:val="auto"/>
          <w:kern w:val="0"/>
          <w:sz w:val="24"/>
          <w:highlight w:val="none"/>
        </w:rPr>
      </w:pPr>
      <w:r>
        <w:rPr>
          <w:rFonts w:hint="eastAsia" w:ascii="宋体" w:hAnsi="宋体" w:cs="仿宋_GB2312"/>
          <w:color w:val="auto"/>
          <w:kern w:val="0"/>
          <w:sz w:val="24"/>
          <w:highlight w:val="none"/>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ascii="宋体" w:hAnsi="宋体" w:cs="仿宋_GB2312"/>
          <w:color w:val="auto"/>
          <w:kern w:val="0"/>
          <w:sz w:val="24"/>
          <w:highlight w:val="none"/>
        </w:rPr>
      </w:pPr>
      <w:r>
        <w:rPr>
          <w:rFonts w:hint="eastAsia" w:ascii="宋体" w:hAnsi="宋体" w:cs="仿宋_GB2312"/>
          <w:color w:val="auto"/>
          <w:kern w:val="0"/>
          <w:sz w:val="24"/>
          <w:highlight w:val="none"/>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ascii="宋体" w:hAnsi="宋体" w:cs="仿宋_GB2312"/>
          <w:color w:val="auto"/>
          <w:kern w:val="0"/>
          <w:sz w:val="24"/>
          <w:highlight w:val="none"/>
        </w:rPr>
      </w:pPr>
    </w:p>
    <w:p>
      <w:pPr>
        <w:autoSpaceDE w:val="0"/>
        <w:autoSpaceDN w:val="0"/>
        <w:adjustRightInd w:val="0"/>
        <w:spacing w:line="360" w:lineRule="auto"/>
        <w:ind w:firstLine="480" w:firstLineChars="200"/>
        <w:jc w:val="left"/>
        <w:rPr>
          <w:rFonts w:ascii="宋体" w:hAnsi="宋体" w:cs="仿宋_GB2312"/>
          <w:color w:val="auto"/>
          <w:kern w:val="0"/>
          <w:sz w:val="24"/>
          <w:highlight w:val="none"/>
        </w:rPr>
      </w:pPr>
      <w:r>
        <w:rPr>
          <w:rFonts w:hint="eastAsia" w:ascii="宋体" w:hAnsi="宋体" w:cs="仿宋_GB2312"/>
          <w:color w:val="auto"/>
          <w:kern w:val="0"/>
          <w:sz w:val="24"/>
          <w:highlight w:val="none"/>
        </w:rPr>
        <w:t>以下文字请投标供应商</w:t>
      </w:r>
      <w:r>
        <w:rPr>
          <w:rFonts w:hint="eastAsia" w:ascii="宋体" w:hAnsi="宋体" w:cs="仿宋_GB2312"/>
          <w:b/>
          <w:bCs/>
          <w:color w:val="auto"/>
          <w:kern w:val="0"/>
          <w:sz w:val="24"/>
          <w:highlight w:val="none"/>
        </w:rPr>
        <w:t>抄写并确认</w:t>
      </w:r>
      <w:r>
        <w:rPr>
          <w:rFonts w:hint="eastAsia" w:ascii="宋体" w:hAnsi="宋体" w:cs="仿宋_GB2312"/>
          <w:color w:val="auto"/>
          <w:kern w:val="0"/>
          <w:sz w:val="24"/>
          <w:highlight w:val="none"/>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ascii="宋体" w:hAnsi="宋体" w:cs="仿宋_GB2312"/>
          <w:color w:val="auto"/>
          <w:kern w:val="0"/>
          <w:sz w:val="24"/>
          <w:highlight w:val="none"/>
          <w:u w:val="single"/>
        </w:rPr>
      </w:pPr>
      <w:r>
        <w:rPr>
          <w:rFonts w:hint="eastAsia" w:ascii="宋体" w:hAnsi="宋体" w:cs="仿宋_GB2312"/>
          <w:color w:val="auto"/>
          <w:kern w:val="0"/>
          <w:sz w:val="24"/>
          <w:highlight w:val="none"/>
          <w:u w:val="single"/>
        </w:rPr>
        <w:t xml:space="preserve">                                                                                        </w:t>
      </w:r>
    </w:p>
    <w:p>
      <w:pPr>
        <w:autoSpaceDE w:val="0"/>
        <w:autoSpaceDN w:val="0"/>
        <w:adjustRightInd w:val="0"/>
        <w:spacing w:line="360" w:lineRule="auto"/>
        <w:jc w:val="left"/>
        <w:rPr>
          <w:rFonts w:ascii="宋体" w:hAnsi="宋体" w:cs="仿宋_GB2312"/>
          <w:color w:val="auto"/>
          <w:kern w:val="0"/>
          <w:sz w:val="24"/>
          <w:highlight w:val="none"/>
          <w:u w:val="single"/>
        </w:rPr>
      </w:pPr>
      <w:r>
        <w:rPr>
          <w:rFonts w:hint="eastAsia" w:ascii="宋体" w:hAnsi="宋体" w:cs="仿宋_GB2312"/>
          <w:color w:val="auto"/>
          <w:kern w:val="0"/>
          <w:sz w:val="24"/>
          <w:highlight w:val="none"/>
          <w:u w:val="single"/>
        </w:rPr>
        <w:t xml:space="preserve">                                                                                       </w:t>
      </w:r>
    </w:p>
    <w:p>
      <w:pPr>
        <w:autoSpaceDE w:val="0"/>
        <w:autoSpaceDN w:val="0"/>
        <w:adjustRightInd w:val="0"/>
        <w:spacing w:line="360" w:lineRule="auto"/>
        <w:jc w:val="left"/>
        <w:rPr>
          <w:rFonts w:ascii="宋体" w:hAnsi="宋体" w:cs="仿宋_GB2312"/>
          <w:color w:val="auto"/>
          <w:kern w:val="0"/>
          <w:sz w:val="24"/>
          <w:highlight w:val="none"/>
          <w:u w:val="single"/>
        </w:rPr>
      </w:pPr>
      <w:r>
        <w:rPr>
          <w:rFonts w:hint="eastAsia" w:ascii="宋体" w:hAnsi="宋体" w:cs="仿宋_GB2312"/>
          <w:color w:val="auto"/>
          <w:kern w:val="0"/>
          <w:sz w:val="24"/>
          <w:highlight w:val="none"/>
          <w:u w:val="single"/>
        </w:rPr>
        <w:t xml:space="preserve">                                                                                       </w:t>
      </w:r>
    </w:p>
    <w:p>
      <w:pPr>
        <w:autoSpaceDE w:val="0"/>
        <w:autoSpaceDN w:val="0"/>
        <w:adjustRightInd w:val="0"/>
        <w:spacing w:line="360" w:lineRule="auto"/>
        <w:jc w:val="left"/>
        <w:rPr>
          <w:rFonts w:ascii="宋体" w:hAnsi="宋体" w:cs="仿宋_GB2312"/>
          <w:color w:val="auto"/>
          <w:kern w:val="0"/>
          <w:sz w:val="24"/>
          <w:highlight w:val="none"/>
          <w:u w:val="single"/>
        </w:rPr>
      </w:pPr>
      <w:r>
        <w:rPr>
          <w:rFonts w:hint="eastAsia" w:ascii="宋体" w:hAnsi="宋体" w:cs="仿宋_GB2312"/>
          <w:color w:val="auto"/>
          <w:kern w:val="0"/>
          <w:sz w:val="24"/>
          <w:highlight w:val="none"/>
          <w:u w:val="single"/>
        </w:rPr>
        <w:t xml:space="preserve">                                                                                       </w:t>
      </w:r>
    </w:p>
    <w:p>
      <w:pPr>
        <w:autoSpaceDE w:val="0"/>
        <w:autoSpaceDN w:val="0"/>
        <w:adjustRightInd w:val="0"/>
        <w:spacing w:line="360" w:lineRule="auto"/>
        <w:ind w:firstLine="480" w:firstLineChars="200"/>
        <w:jc w:val="left"/>
        <w:rPr>
          <w:rFonts w:ascii="宋体" w:hAnsi="宋体" w:cs="仿宋_GB2312"/>
          <w:color w:val="auto"/>
          <w:kern w:val="0"/>
          <w:sz w:val="24"/>
          <w:highlight w:val="none"/>
        </w:rPr>
      </w:pPr>
    </w:p>
    <w:p>
      <w:pPr>
        <w:autoSpaceDE w:val="0"/>
        <w:autoSpaceDN w:val="0"/>
        <w:adjustRightInd w:val="0"/>
        <w:spacing w:line="360" w:lineRule="auto"/>
        <w:ind w:firstLine="480" w:firstLineChars="200"/>
        <w:jc w:val="left"/>
        <w:rPr>
          <w:rFonts w:ascii="宋体" w:hAnsi="宋体" w:cs="仿宋_GB2312"/>
          <w:color w:val="auto"/>
          <w:kern w:val="0"/>
          <w:sz w:val="24"/>
          <w:highlight w:val="none"/>
        </w:rPr>
      </w:pPr>
    </w:p>
    <w:p>
      <w:pPr>
        <w:autoSpaceDE w:val="0"/>
        <w:autoSpaceDN w:val="0"/>
        <w:adjustRightInd w:val="0"/>
        <w:spacing w:line="360" w:lineRule="auto"/>
        <w:ind w:firstLine="480" w:firstLineChars="200"/>
        <w:jc w:val="left"/>
        <w:rPr>
          <w:rFonts w:ascii="宋体" w:hAnsi="宋体" w:cs="仿宋_GB2312"/>
          <w:color w:val="auto"/>
          <w:kern w:val="0"/>
          <w:sz w:val="24"/>
          <w:highlight w:val="none"/>
        </w:rPr>
      </w:pPr>
    </w:p>
    <w:p>
      <w:pPr>
        <w:autoSpaceDE w:val="0"/>
        <w:autoSpaceDN w:val="0"/>
        <w:adjustRightInd w:val="0"/>
        <w:spacing w:line="360" w:lineRule="auto"/>
        <w:ind w:firstLine="3840" w:firstLineChars="1600"/>
        <w:jc w:val="left"/>
        <w:rPr>
          <w:rFonts w:ascii="宋体" w:hAnsi="宋体" w:cs="仿宋_GB2312"/>
          <w:color w:val="auto"/>
          <w:kern w:val="0"/>
          <w:sz w:val="24"/>
          <w:highlight w:val="none"/>
          <w:u w:val="single"/>
        </w:rPr>
      </w:pPr>
      <w:r>
        <w:rPr>
          <w:rFonts w:hint="eastAsia" w:ascii="宋体" w:hAnsi="宋体" w:cs="仿宋_GB2312"/>
          <w:color w:val="auto"/>
          <w:kern w:val="0"/>
          <w:sz w:val="24"/>
          <w:highlight w:val="none"/>
        </w:rPr>
        <w:t>负责人</w:t>
      </w:r>
      <w:r>
        <w:rPr>
          <w:rFonts w:ascii="宋体" w:hAnsi="宋体" w:cs="仿宋_GB2312"/>
          <w:color w:val="auto"/>
          <w:kern w:val="0"/>
          <w:sz w:val="24"/>
          <w:highlight w:val="none"/>
        </w:rPr>
        <w:t>/</w:t>
      </w:r>
      <w:r>
        <w:rPr>
          <w:rFonts w:hint="eastAsia" w:ascii="宋体" w:hAnsi="宋体" w:cs="仿宋_GB2312"/>
          <w:color w:val="auto"/>
          <w:kern w:val="0"/>
          <w:sz w:val="24"/>
          <w:highlight w:val="none"/>
        </w:rPr>
        <w:t>投标授权代表签名：</w:t>
      </w:r>
      <w:r>
        <w:rPr>
          <w:rFonts w:hint="eastAsia" w:ascii="宋体" w:hAnsi="宋体" w:cs="仿宋_GB2312"/>
          <w:color w:val="auto"/>
          <w:kern w:val="0"/>
          <w:sz w:val="24"/>
          <w:highlight w:val="none"/>
          <w:u w:val="single"/>
        </w:rPr>
        <w:t xml:space="preserve">                </w:t>
      </w:r>
    </w:p>
    <w:p>
      <w:pPr>
        <w:autoSpaceDE w:val="0"/>
        <w:autoSpaceDN w:val="0"/>
        <w:adjustRightInd w:val="0"/>
        <w:spacing w:line="360" w:lineRule="auto"/>
        <w:ind w:firstLine="4920" w:firstLineChars="2050"/>
        <w:jc w:val="left"/>
        <w:rPr>
          <w:rFonts w:ascii="宋体" w:hAnsi="宋体" w:cs="仿宋_GB2312"/>
          <w:color w:val="auto"/>
          <w:kern w:val="0"/>
          <w:sz w:val="24"/>
          <w:highlight w:val="none"/>
        </w:rPr>
      </w:pPr>
      <w:r>
        <w:rPr>
          <w:rFonts w:hint="eastAsia" w:ascii="宋体" w:hAnsi="宋体" w:cs="仿宋_GB2312"/>
          <w:color w:val="auto"/>
          <w:kern w:val="0"/>
          <w:sz w:val="24"/>
          <w:highlight w:val="none"/>
        </w:rPr>
        <w:t>知悉人（公章）：</w:t>
      </w:r>
    </w:p>
    <w:p>
      <w:pPr>
        <w:spacing w:line="360" w:lineRule="auto"/>
        <w:jc w:val="right"/>
        <w:rPr>
          <w:rFonts w:ascii="宋体" w:hAnsi="宋体" w:cs="仿宋_GB2312"/>
          <w:color w:val="auto"/>
          <w:kern w:val="0"/>
          <w:sz w:val="24"/>
          <w:highlight w:val="none"/>
        </w:rPr>
      </w:pPr>
      <w:r>
        <w:rPr>
          <w:rFonts w:hint="eastAsia" w:ascii="宋体" w:hAnsi="宋体" w:cs="仿宋_GB2312"/>
          <w:color w:val="auto"/>
          <w:kern w:val="0"/>
          <w:sz w:val="24"/>
          <w:highlight w:val="none"/>
        </w:rPr>
        <w:t>日期： 202  年   月   日</w:t>
      </w:r>
    </w:p>
    <w:p>
      <w:pPr>
        <w:numPr>
          <w:ilvl w:val="0"/>
          <w:numId w:val="11"/>
        </w:numPr>
        <w:tabs>
          <w:tab w:val="left" w:pos="640"/>
          <w:tab w:val="left" w:pos="840"/>
          <w:tab w:val="left" w:pos="1260"/>
          <w:tab w:val="left" w:pos="1418"/>
        </w:tabs>
        <w:spacing w:line="360" w:lineRule="auto"/>
        <w:ind w:left="845" w:hanging="845"/>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参与价格扣除的证明文件</w:t>
      </w:r>
    </w:p>
    <w:p>
      <w:pPr>
        <w:keepNext/>
        <w:keepLines/>
        <w:jc w:val="center"/>
        <w:rPr>
          <w:rFonts w:ascii="宋体" w:hAnsi="宋体" w:cs="宋体"/>
          <w:bCs/>
          <w:color w:val="auto"/>
          <w:kern w:val="44"/>
          <w:sz w:val="24"/>
          <w:highlight w:val="none"/>
        </w:rPr>
      </w:pPr>
      <w:r>
        <w:rPr>
          <w:rFonts w:hint="eastAsia" w:ascii="宋体" w:hAnsi="宋体" w:cs="宋体"/>
          <w:b/>
          <w:bCs/>
          <w:color w:val="auto"/>
          <w:sz w:val="24"/>
          <w:highlight w:val="none"/>
        </w:rPr>
        <w:t>①中小企业声明函（工程、服务）</w:t>
      </w:r>
    </w:p>
    <w:p>
      <w:pPr>
        <w:widowControl/>
        <w:ind w:firstLine="480" w:firstLineChars="200"/>
        <w:textAlignment w:val="baseline"/>
        <w:rPr>
          <w:rFonts w:ascii="宋体" w:hAnsi="宋体" w:cs="宋体"/>
          <w:color w:val="auto"/>
          <w:sz w:val="24"/>
          <w:highlight w:val="none"/>
        </w:rPr>
      </w:pPr>
    </w:p>
    <w:p>
      <w:pPr>
        <w:widowControl/>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 号）的规定，本公司</w:t>
      </w:r>
    </w:p>
    <w:p>
      <w:pPr>
        <w:widowControl/>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ab/>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ab/>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p>
    <w:p>
      <w:pPr>
        <w:widowControl/>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ab/>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p>
    <w:p>
      <w:pPr>
        <w:widowControl/>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w:t>
      </w:r>
    </w:p>
    <w:p>
      <w:pPr>
        <w:widowControl/>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widowControl/>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widowControl/>
        <w:ind w:firstLine="482" w:firstLineChars="200"/>
        <w:jc w:val="right"/>
        <w:textAlignment w:val="baseline"/>
        <w:rPr>
          <w:rFonts w:ascii="宋体" w:hAnsi="宋体" w:cs="宋体"/>
          <w:b/>
          <w:bCs/>
          <w:color w:val="auto"/>
          <w:sz w:val="24"/>
          <w:highlight w:val="none"/>
        </w:rPr>
      </w:pPr>
      <w:r>
        <w:rPr>
          <w:rFonts w:hint="eastAsia" w:ascii="宋体" w:hAnsi="宋体" w:cs="宋体"/>
          <w:b/>
          <w:bCs/>
          <w:color w:val="auto"/>
          <w:sz w:val="24"/>
          <w:highlight w:val="none"/>
        </w:rPr>
        <w:t>企业名称（盖章）</w:t>
      </w:r>
    </w:p>
    <w:p>
      <w:pPr>
        <w:widowControl/>
        <w:ind w:firstLine="482" w:firstLineChars="200"/>
        <w:jc w:val="right"/>
        <w:textAlignment w:val="baseline"/>
        <w:rPr>
          <w:rFonts w:ascii="宋体" w:hAnsi="宋体" w:cs="宋体"/>
          <w:b/>
          <w:bCs/>
          <w:color w:val="auto"/>
          <w:sz w:val="24"/>
          <w:highlight w:val="none"/>
        </w:rPr>
      </w:pPr>
      <w:r>
        <w:rPr>
          <w:rFonts w:hint="eastAsia" w:ascii="宋体" w:hAnsi="宋体" w:cs="宋体"/>
          <w:b/>
          <w:bCs/>
          <w:color w:val="auto"/>
          <w:sz w:val="24"/>
          <w:highlight w:val="none"/>
        </w:rPr>
        <w:t>日期：</w:t>
      </w:r>
    </w:p>
    <w:p>
      <w:pPr>
        <w:widowControl/>
        <w:ind w:firstLine="480" w:firstLineChars="200"/>
        <w:textAlignment w:val="baseline"/>
        <w:rPr>
          <w:rFonts w:ascii="宋体" w:hAnsi="宋体" w:cs="宋体"/>
          <w:color w:val="auto"/>
          <w:sz w:val="24"/>
          <w:highlight w:val="none"/>
        </w:rPr>
      </w:pPr>
    </w:p>
    <w:p>
      <w:pPr>
        <w:widowControl/>
        <w:ind w:firstLine="480" w:firstLineChars="200"/>
        <w:textAlignment w:val="baseline"/>
        <w:rPr>
          <w:rFonts w:ascii="宋体" w:hAnsi="宋体" w:cs="宋体"/>
          <w:color w:val="auto"/>
          <w:sz w:val="24"/>
          <w:highlight w:val="none"/>
        </w:rPr>
      </w:pPr>
    </w:p>
    <w:p>
      <w:pPr>
        <w:jc w:val="left"/>
        <w:rPr>
          <w:rFonts w:ascii="宋体" w:hAnsi="宋体" w:cs="宋体"/>
          <w:b/>
          <w:bCs/>
          <w:color w:val="auto"/>
          <w:sz w:val="24"/>
          <w:highlight w:val="none"/>
        </w:rPr>
      </w:pPr>
      <w:r>
        <w:rPr>
          <w:rFonts w:hint="eastAsia" w:ascii="宋体" w:hAnsi="宋体" w:cs="宋体"/>
          <w:b/>
          <w:bCs/>
          <w:color w:val="auto"/>
          <w:sz w:val="24"/>
          <w:highlight w:val="none"/>
        </w:rPr>
        <w:t>注意事项：</w:t>
      </w:r>
    </w:p>
    <w:p>
      <w:pPr>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1.从业人员、营业收入、资产总额填报上一年度数据，无上一年度数据的新成立企业可不填报；</w:t>
      </w:r>
    </w:p>
    <w:p>
      <w:pPr>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4.相关承接/承建企业的所属行业应当与采购标的所属行业（采购文件中明确的行业）相一致。</w:t>
      </w:r>
    </w:p>
    <w:p>
      <w:pPr>
        <w:ind w:firstLine="480" w:firstLineChars="200"/>
        <w:rPr>
          <w:rFonts w:ascii="宋体" w:hAnsi="宋体" w:cs="宋体"/>
          <w:b/>
          <w:color w:val="auto"/>
          <w:sz w:val="24"/>
          <w:highlight w:val="none"/>
        </w:rPr>
      </w:pPr>
      <w:r>
        <w:rPr>
          <w:rFonts w:hint="eastAsia" w:ascii="宋体" w:hAnsi="宋体" w:cs="宋体"/>
          <w:color w:val="auto"/>
          <w:sz w:val="24"/>
          <w:highlight w:val="none"/>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附：中小企业划型标准规定</w:t>
      </w:r>
    </w:p>
    <w:p>
      <w:pPr>
        <w:rPr>
          <w:rFonts w:ascii="宋体" w:hAnsi="宋体" w:cs="宋体"/>
          <w:color w:val="auto"/>
          <w:sz w:val="24"/>
          <w:highlight w:val="none"/>
        </w:rPr>
      </w:pP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一、根据《中华人民共和国中小企业促进法》和《国务院关于进一步促进中小企业发展的若干意见》(国发〔2009〕36号)，制定本规定。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二、中小企业划分为中型、小型、微型三种类型，具体标准根据企业从业人员、营业收入、资产总额等指标，结合行业特点制定。 关于印发中小企业划型标准规定的通知</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四、各行业划型标准为：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五、企业类型的划分以统计部门的统计数据为依据。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六、本规定适用于在中华人民共和国境内依法设立的各类所有制和各种组织形式的企业。个体工商户和本规定以外的行业，参照本规定进行划型。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八、本规定由工业和信息化部、国家统计局会同有关部门根据《国民经济行业分类》修订情况和企业发展变化情况适时修订。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九、本规定由工业和信息化部、国家统计局会同有关部门负责解释。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十、本规定自发布之日起执行，原国家经贸委、原国家计委、财政部和国家统计局2003年颁布的《中小企业标准暂行规定》同时废止。</w:t>
      </w:r>
    </w:p>
    <w:p>
      <w:pPr>
        <w:adjustRightInd w:val="0"/>
        <w:snapToGrid w:val="0"/>
        <w:spacing w:line="360" w:lineRule="auto"/>
        <w:jc w:val="center"/>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②残疾人福利性单位声明函（样表）</w:t>
      </w:r>
    </w:p>
    <w:p>
      <w:pPr>
        <w:spacing w:line="620" w:lineRule="exact"/>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auto"/>
          <w:spacing w:val="6"/>
          <w:sz w:val="24"/>
          <w:highlight w:val="none"/>
        </w:rPr>
        <w:t>单位参加</w:t>
      </w:r>
      <w:r>
        <w:rPr>
          <w:rFonts w:hint="eastAsia" w:ascii="宋体" w:hAnsi="宋体" w:cs="宋体"/>
          <w:color w:val="auto"/>
          <w:spacing w:val="6"/>
          <w:sz w:val="24"/>
          <w:highlight w:val="none"/>
          <w:u w:val="single"/>
        </w:rPr>
        <w:t xml:space="preserve"> （采购单位名称） </w:t>
      </w:r>
      <w:r>
        <w:rPr>
          <w:rFonts w:hint="eastAsia" w:ascii="宋体" w:hAnsi="宋体" w:cs="宋体"/>
          <w:color w:val="auto"/>
          <w:spacing w:val="6"/>
          <w:sz w:val="24"/>
          <w:highlight w:val="none"/>
        </w:rPr>
        <w:t>单位的</w:t>
      </w:r>
      <w:r>
        <w:rPr>
          <w:rFonts w:hint="eastAsia" w:ascii="宋体" w:hAnsi="宋体" w:cs="宋体"/>
          <w:color w:val="auto"/>
          <w:spacing w:val="6"/>
          <w:sz w:val="24"/>
          <w:highlight w:val="none"/>
          <w:u w:val="single"/>
        </w:rPr>
        <w:t xml:space="preserve"> （采购项目名称） </w:t>
      </w:r>
      <w:r>
        <w:rPr>
          <w:rFonts w:hint="eastAsia" w:ascii="宋体" w:hAnsi="宋体" w:cs="宋体"/>
          <w:color w:val="auto"/>
          <w:spacing w:val="6"/>
          <w:sz w:val="24"/>
          <w:highlight w:val="none"/>
        </w:rPr>
        <w:t>项目</w:t>
      </w:r>
      <w:r>
        <w:rPr>
          <w:rFonts w:hint="eastAsia" w:ascii="宋体" w:hAnsi="宋体" w:cs="宋体"/>
          <w:color w:val="auto"/>
          <w:kern w:val="0"/>
          <w:sz w:val="24"/>
          <w:highlight w:val="none"/>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pPr>
        <w:spacing w:line="620" w:lineRule="exact"/>
        <w:ind w:firstLine="504" w:firstLineChars="200"/>
        <w:rPr>
          <w:rFonts w:ascii="宋体" w:hAnsi="宋体" w:cs="宋体"/>
          <w:color w:val="auto"/>
          <w:spacing w:val="6"/>
          <w:sz w:val="24"/>
          <w:highlight w:val="none"/>
        </w:rPr>
      </w:pPr>
    </w:p>
    <w:p>
      <w:pPr>
        <w:spacing w:line="620" w:lineRule="exact"/>
        <w:ind w:firstLine="504" w:firstLineChars="200"/>
        <w:rPr>
          <w:rFonts w:ascii="宋体" w:hAnsi="宋体" w:cs="宋体"/>
          <w:color w:val="auto"/>
          <w:spacing w:val="6"/>
          <w:sz w:val="24"/>
          <w:highlight w:val="none"/>
        </w:rPr>
      </w:pPr>
    </w:p>
    <w:p>
      <w:pPr>
        <w:tabs>
          <w:tab w:val="left" w:pos="4860"/>
        </w:tabs>
        <w:spacing w:line="620" w:lineRule="exact"/>
        <w:ind w:right="1560"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单位名称（盖章）：</w:t>
      </w:r>
    </w:p>
    <w:p>
      <w:pPr>
        <w:tabs>
          <w:tab w:val="left" w:pos="4860"/>
        </w:tabs>
        <w:spacing w:line="620" w:lineRule="exact"/>
        <w:ind w:right="1560" w:firstLine="504" w:firstLineChars="200"/>
        <w:jc w:val="center"/>
        <w:rPr>
          <w:rStyle w:val="42"/>
          <w:rFonts w:ascii="宋体" w:hAnsi="宋体" w:cs="宋体"/>
          <w:color w:val="auto"/>
          <w:sz w:val="24"/>
          <w:highlight w:val="none"/>
        </w:rPr>
      </w:pPr>
      <w:r>
        <w:rPr>
          <w:rFonts w:hint="eastAsia" w:ascii="宋体" w:hAnsi="宋体" w:cs="宋体"/>
          <w:color w:val="auto"/>
          <w:spacing w:val="6"/>
          <w:sz w:val="24"/>
          <w:highlight w:val="none"/>
        </w:rPr>
        <w:t xml:space="preserve">                        日  期：</w:t>
      </w:r>
    </w:p>
    <w:p>
      <w:pPr>
        <w:snapToGrid w:val="0"/>
        <w:spacing w:line="360" w:lineRule="auto"/>
        <w:ind w:firstLine="480" w:firstLineChars="200"/>
        <w:jc w:val="left"/>
        <w:textAlignment w:val="baseline"/>
        <w:rPr>
          <w:rStyle w:val="42"/>
          <w:rFonts w:ascii="宋体" w:hAnsi="宋体" w:cs="宋体"/>
          <w:color w:val="auto"/>
          <w:sz w:val="24"/>
          <w:highlight w:val="none"/>
        </w:rPr>
      </w:pPr>
    </w:p>
    <w:p>
      <w:pPr>
        <w:snapToGrid w:val="0"/>
        <w:spacing w:line="360" w:lineRule="auto"/>
        <w:ind w:firstLine="482" w:firstLineChars="200"/>
        <w:jc w:val="left"/>
        <w:textAlignment w:val="baseline"/>
        <w:rPr>
          <w:rStyle w:val="42"/>
          <w:rFonts w:ascii="宋体" w:hAnsi="宋体" w:cs="宋体"/>
          <w:b/>
          <w:color w:val="auto"/>
          <w:sz w:val="24"/>
          <w:highlight w:val="none"/>
        </w:rPr>
      </w:pPr>
      <w:r>
        <w:rPr>
          <w:rStyle w:val="42"/>
          <w:rFonts w:hint="eastAsia" w:ascii="宋体" w:hAnsi="宋体" w:cs="宋体"/>
          <w:b/>
          <w:color w:val="auto"/>
          <w:sz w:val="24"/>
          <w:highlight w:val="none"/>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rPr>
          <w:rStyle w:val="42"/>
          <w:rFonts w:ascii="宋体" w:hAnsi="宋体" w:cs="宋体"/>
          <w:b/>
          <w:color w:val="auto"/>
          <w:sz w:val="24"/>
          <w:highlight w:val="none"/>
        </w:rPr>
      </w:pPr>
      <w:r>
        <w:rPr>
          <w:rStyle w:val="42"/>
          <w:rFonts w:hint="eastAsia" w:ascii="宋体" w:hAnsi="宋体" w:cs="宋体"/>
          <w:b/>
          <w:color w:val="auto"/>
          <w:sz w:val="24"/>
          <w:highlight w:val="none"/>
        </w:rPr>
        <w:br w:type="page"/>
      </w:r>
      <w:r>
        <w:rPr>
          <w:rStyle w:val="42"/>
          <w:rFonts w:hint="eastAsia" w:ascii="宋体" w:hAnsi="宋体" w:cs="宋体"/>
          <w:b/>
          <w:color w:val="auto"/>
          <w:sz w:val="24"/>
          <w:highlight w:val="none"/>
        </w:rPr>
        <w:t>③监狱企业声明函</w:t>
      </w:r>
    </w:p>
    <w:p>
      <w:pPr>
        <w:snapToGrid w:val="0"/>
        <w:spacing w:line="620" w:lineRule="exact"/>
        <w:ind w:firstLine="504" w:firstLineChars="200"/>
        <w:textAlignment w:val="baseline"/>
        <w:rPr>
          <w:rStyle w:val="42"/>
          <w:rFonts w:ascii="宋体" w:hAnsi="宋体" w:cs="宋体"/>
          <w:color w:val="auto"/>
          <w:spacing w:val="6"/>
          <w:sz w:val="24"/>
          <w:highlight w:val="none"/>
        </w:rPr>
      </w:pPr>
      <w:r>
        <w:rPr>
          <w:rStyle w:val="42"/>
          <w:rFonts w:hint="eastAsia" w:ascii="宋体" w:hAnsi="宋体" w:cs="宋体"/>
          <w:color w:val="auto"/>
          <w:spacing w:val="6"/>
          <w:sz w:val="24"/>
          <w:highlight w:val="none"/>
        </w:rPr>
        <w:t>本单位郑重声明，根据《财政部司法部关于政府采购支持监狱企业发展有关问题的通知》（财库〔2014〕68号）的规定，本单位为符合条件的监狱企业，且本单位参加</w:t>
      </w:r>
      <w:r>
        <w:rPr>
          <w:rStyle w:val="42"/>
          <w:rFonts w:hint="eastAsia" w:ascii="宋体" w:hAnsi="宋体" w:cs="宋体"/>
          <w:color w:val="auto"/>
          <w:spacing w:val="6"/>
          <w:sz w:val="24"/>
          <w:highlight w:val="none"/>
          <w:u w:val="single"/>
        </w:rPr>
        <w:t xml:space="preserve"> （采购单位名称） </w:t>
      </w:r>
      <w:r>
        <w:rPr>
          <w:rStyle w:val="42"/>
          <w:rFonts w:hint="eastAsia" w:ascii="宋体" w:hAnsi="宋体" w:cs="宋体"/>
          <w:color w:val="auto"/>
          <w:spacing w:val="6"/>
          <w:sz w:val="24"/>
          <w:highlight w:val="none"/>
        </w:rPr>
        <w:t>单位的</w:t>
      </w:r>
      <w:r>
        <w:rPr>
          <w:rStyle w:val="42"/>
          <w:rFonts w:hint="eastAsia" w:ascii="宋体" w:hAnsi="宋体" w:cs="宋体"/>
          <w:color w:val="auto"/>
          <w:spacing w:val="6"/>
          <w:sz w:val="24"/>
          <w:highlight w:val="none"/>
          <w:u w:val="single"/>
        </w:rPr>
        <w:t xml:space="preserve"> （采购项目名称） </w:t>
      </w:r>
      <w:r>
        <w:rPr>
          <w:rStyle w:val="42"/>
          <w:rFonts w:hint="eastAsia" w:ascii="宋体" w:hAnsi="宋体" w:cs="宋体"/>
          <w:color w:val="auto"/>
          <w:spacing w:val="6"/>
          <w:sz w:val="24"/>
          <w:highlight w:val="none"/>
        </w:rPr>
        <w:t>项目采购</w:t>
      </w:r>
      <w:r>
        <w:rPr>
          <w:rStyle w:val="42"/>
          <w:rFonts w:hint="eastAsia" w:ascii="宋体" w:hAnsi="宋体" w:cs="宋体"/>
          <w:color w:val="auto"/>
          <w:kern w:val="0"/>
          <w:sz w:val="24"/>
          <w:highlight w:val="none"/>
        </w:rPr>
        <w:t>活动，并提供：□本单位制造的货物；□由本单位承担的工程、提供服务；□提供其他监狱企业制造的货物（承诺人在□处打√）</w:t>
      </w:r>
      <w:r>
        <w:rPr>
          <w:rStyle w:val="42"/>
          <w:rFonts w:hint="eastAsia" w:ascii="宋体" w:hAnsi="宋体" w:cs="宋体"/>
          <w:color w:val="auto"/>
          <w:spacing w:val="6"/>
          <w:sz w:val="24"/>
          <w:highlight w:val="none"/>
        </w:rPr>
        <w:t>。</w:t>
      </w:r>
      <w:r>
        <w:rPr>
          <w:rStyle w:val="42"/>
          <w:rFonts w:hint="eastAsia" w:ascii="宋体" w:hAnsi="宋体" w:cs="宋体"/>
          <w:color w:val="auto"/>
          <w:kern w:val="0"/>
          <w:sz w:val="24"/>
          <w:highlight w:val="none"/>
        </w:rPr>
        <w:t>本条所称货物是指单一产品采购项目中的货物，或者非单一产品采购项目中的核心产品（货物）。</w:t>
      </w:r>
    </w:p>
    <w:p>
      <w:pPr>
        <w:snapToGrid w:val="0"/>
        <w:spacing w:line="620" w:lineRule="exact"/>
        <w:ind w:firstLine="504" w:firstLineChars="200"/>
        <w:textAlignment w:val="baseline"/>
        <w:rPr>
          <w:rStyle w:val="42"/>
          <w:rFonts w:ascii="宋体" w:hAnsi="宋体" w:cs="宋体"/>
          <w:color w:val="auto"/>
          <w:spacing w:val="6"/>
          <w:sz w:val="24"/>
          <w:highlight w:val="none"/>
        </w:rPr>
      </w:pPr>
      <w:r>
        <w:rPr>
          <w:rStyle w:val="42"/>
          <w:rFonts w:hint="eastAsia" w:ascii="宋体" w:hAnsi="宋体" w:cs="宋体"/>
          <w:color w:val="auto"/>
          <w:spacing w:val="6"/>
          <w:sz w:val="24"/>
          <w:highlight w:val="none"/>
        </w:rPr>
        <w:t>本单位对上述声明的真实性负责。如有虚假，将依法承担相应责任。</w:t>
      </w:r>
    </w:p>
    <w:p>
      <w:pPr>
        <w:snapToGrid w:val="0"/>
        <w:spacing w:line="620" w:lineRule="exact"/>
        <w:ind w:firstLine="504" w:firstLineChars="200"/>
        <w:textAlignment w:val="baseline"/>
        <w:rPr>
          <w:rStyle w:val="42"/>
          <w:rFonts w:ascii="宋体" w:hAnsi="宋体" w:cs="宋体"/>
          <w:color w:val="auto"/>
          <w:spacing w:val="6"/>
          <w:sz w:val="24"/>
          <w:highlight w:val="none"/>
        </w:rPr>
      </w:pPr>
      <w:r>
        <w:rPr>
          <w:rStyle w:val="42"/>
          <w:rFonts w:hint="eastAsia" w:ascii="宋体" w:hAnsi="宋体" w:cs="宋体"/>
          <w:color w:val="auto"/>
          <w:spacing w:val="6"/>
          <w:sz w:val="24"/>
          <w:highlight w:val="none"/>
        </w:rPr>
        <w:t>附：省级以上监狱管理局、戒毒管理局（含新疆生产建设兵团）出具的监狱企业证明文件。</w:t>
      </w:r>
    </w:p>
    <w:p>
      <w:pPr>
        <w:snapToGrid w:val="0"/>
        <w:spacing w:line="620" w:lineRule="exact"/>
        <w:ind w:firstLine="504" w:firstLineChars="200"/>
        <w:textAlignment w:val="baseline"/>
        <w:rPr>
          <w:rStyle w:val="42"/>
          <w:rFonts w:ascii="宋体" w:hAnsi="宋体" w:cs="宋体"/>
          <w:color w:val="auto"/>
          <w:spacing w:val="6"/>
          <w:sz w:val="24"/>
          <w:highlight w:val="none"/>
        </w:rPr>
      </w:pPr>
    </w:p>
    <w:p>
      <w:pPr>
        <w:snapToGrid w:val="0"/>
        <w:spacing w:line="620" w:lineRule="exact"/>
        <w:ind w:firstLine="504" w:firstLineChars="200"/>
        <w:textAlignment w:val="baseline"/>
        <w:rPr>
          <w:rStyle w:val="42"/>
          <w:rFonts w:ascii="宋体" w:hAnsi="宋体" w:cs="宋体"/>
          <w:color w:val="auto"/>
          <w:spacing w:val="6"/>
          <w:sz w:val="24"/>
          <w:highlight w:val="none"/>
        </w:rPr>
      </w:pPr>
    </w:p>
    <w:p>
      <w:pPr>
        <w:tabs>
          <w:tab w:val="left" w:pos="4860"/>
        </w:tabs>
        <w:snapToGrid w:val="0"/>
        <w:spacing w:line="620" w:lineRule="exact"/>
        <w:ind w:right="1560" w:firstLine="504" w:firstLineChars="200"/>
        <w:jc w:val="center"/>
        <w:textAlignment w:val="baseline"/>
        <w:rPr>
          <w:rStyle w:val="42"/>
          <w:rFonts w:ascii="宋体" w:hAnsi="宋体" w:cs="宋体"/>
          <w:color w:val="auto"/>
          <w:spacing w:val="6"/>
          <w:sz w:val="24"/>
          <w:highlight w:val="none"/>
        </w:rPr>
      </w:pPr>
      <w:r>
        <w:rPr>
          <w:rStyle w:val="42"/>
          <w:rFonts w:hint="eastAsia" w:ascii="宋体" w:hAnsi="宋体" w:cs="宋体"/>
          <w:color w:val="auto"/>
          <w:spacing w:val="6"/>
          <w:sz w:val="24"/>
          <w:highlight w:val="none"/>
        </w:rPr>
        <w:t xml:space="preserve">               单位名称（盖章）：</w:t>
      </w:r>
    </w:p>
    <w:p>
      <w:pPr>
        <w:tabs>
          <w:tab w:val="left" w:pos="640"/>
          <w:tab w:val="left" w:pos="840"/>
          <w:tab w:val="left" w:pos="1260"/>
          <w:tab w:val="left" w:pos="1418"/>
        </w:tabs>
        <w:spacing w:line="360" w:lineRule="auto"/>
        <w:rPr>
          <w:rFonts w:ascii="宋体" w:hAnsi="宋体" w:cs="宋体"/>
          <w:color w:val="auto"/>
          <w:spacing w:val="6"/>
          <w:sz w:val="24"/>
          <w:highlight w:val="none"/>
        </w:rPr>
      </w:pPr>
      <w:r>
        <w:rPr>
          <w:rStyle w:val="42"/>
          <w:rFonts w:hint="eastAsia" w:ascii="宋体" w:hAnsi="宋体" w:cs="宋体"/>
          <w:color w:val="auto"/>
          <w:spacing w:val="6"/>
          <w:sz w:val="24"/>
          <w:highlight w:val="none"/>
        </w:rPr>
        <w:t xml:space="preserve">                          日  期</w:t>
      </w:r>
      <w:r>
        <w:rPr>
          <w:rFonts w:hint="eastAsia" w:ascii="宋体" w:hAnsi="宋体" w:cs="宋体"/>
          <w:color w:val="auto"/>
          <w:spacing w:val="6"/>
          <w:sz w:val="24"/>
          <w:highlight w:val="none"/>
        </w:rPr>
        <w:t>：</w:t>
      </w:r>
    </w:p>
    <w:p>
      <w:pPr>
        <w:rPr>
          <w:color w:val="auto"/>
          <w:highlight w:val="none"/>
        </w:rPr>
      </w:pPr>
      <w:r>
        <w:rPr>
          <w:rFonts w:hint="eastAsia" w:ascii="宋体" w:hAnsi="宋体" w:cs="宋体"/>
          <w:color w:val="auto"/>
          <w:spacing w:val="6"/>
          <w:sz w:val="24"/>
          <w:highlight w:val="none"/>
        </w:rPr>
        <w:br w:type="page"/>
      </w:r>
    </w:p>
    <w:p>
      <w:pPr>
        <w:numPr>
          <w:ilvl w:val="0"/>
          <w:numId w:val="11"/>
        </w:numPr>
        <w:tabs>
          <w:tab w:val="left" w:pos="640"/>
          <w:tab w:val="left" w:pos="840"/>
          <w:tab w:val="left" w:pos="1260"/>
          <w:tab w:val="left" w:pos="1418"/>
        </w:tabs>
        <w:spacing w:line="360" w:lineRule="auto"/>
        <w:ind w:left="845" w:hanging="845"/>
        <w:rPr>
          <w:rFonts w:ascii="宋体" w:hAnsi="宋体" w:cs="宋体"/>
          <w:color w:val="auto"/>
          <w:sz w:val="24"/>
          <w:highlight w:val="none"/>
        </w:rPr>
      </w:pPr>
      <w:r>
        <w:rPr>
          <w:rFonts w:hint="eastAsia" w:ascii="宋体" w:hAnsi="宋体" w:cs="宋体"/>
          <w:color w:val="auto"/>
          <w:sz w:val="24"/>
          <w:highlight w:val="none"/>
        </w:rPr>
        <w:t>供应商基本情况表、社保证明及股权关系证明</w:t>
      </w:r>
    </w:p>
    <w:p>
      <w:pPr>
        <w:snapToGrid w:val="0"/>
        <w:rPr>
          <w:rFonts w:ascii="宋体" w:hAnsi="宋体" w:cs="宋体"/>
          <w:b/>
          <w:color w:val="auto"/>
          <w:sz w:val="24"/>
          <w:highlight w:val="none"/>
        </w:rPr>
      </w:pPr>
      <w:bookmarkStart w:id="57" w:name="OLE_LINK18"/>
    </w:p>
    <w:p>
      <w:pPr>
        <w:snapToGrid w:val="0"/>
        <w:rPr>
          <w:rFonts w:ascii="宋体" w:hAnsi="宋体" w:cs="宋体"/>
          <w:b/>
          <w:color w:val="auto"/>
          <w:sz w:val="24"/>
          <w:highlight w:val="none"/>
        </w:rPr>
      </w:pPr>
      <w:r>
        <w:rPr>
          <w:rFonts w:hint="eastAsia" w:ascii="宋体" w:hAnsi="宋体" w:cs="宋体"/>
          <w:b/>
          <w:color w:val="auto"/>
          <w:sz w:val="24"/>
          <w:highlight w:val="none"/>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ascii="宋体" w:hAnsi="宋体" w:cs="宋体"/>
          <w:b/>
          <w:color w:val="auto"/>
          <w:sz w:val="24"/>
          <w:highlight w:val="none"/>
        </w:rPr>
      </w:pPr>
    </w:p>
    <w:p>
      <w:pPr>
        <w:snapToGrid w:val="0"/>
        <w:rPr>
          <w:rFonts w:ascii="宋体" w:hAnsi="宋体" w:cs="宋体"/>
          <w:b/>
          <w:color w:val="auto"/>
          <w:sz w:val="28"/>
          <w:szCs w:val="28"/>
          <w:highlight w:val="none"/>
        </w:rPr>
      </w:pPr>
      <w:r>
        <w:rPr>
          <w:rFonts w:hint="eastAsia" w:ascii="宋体" w:hAnsi="宋体" w:cs="宋体"/>
          <w:b/>
          <w:color w:val="auto"/>
          <w:sz w:val="28"/>
          <w:szCs w:val="28"/>
          <w:highlight w:val="none"/>
        </w:rPr>
        <w:t>1.《供应商基本情况表》</w:t>
      </w:r>
    </w:p>
    <w:p>
      <w:pPr>
        <w:adjustRightInd w:val="0"/>
        <w:snapToGrid w:val="0"/>
        <w:jc w:val="left"/>
        <w:rPr>
          <w:rFonts w:ascii="宋体" w:hAnsi="宋体" w:cs="宋体"/>
          <w:color w:val="auto"/>
          <w:sz w:val="24"/>
          <w:highlight w:val="none"/>
        </w:rPr>
      </w:pPr>
      <w:r>
        <w:rPr>
          <w:rFonts w:hint="eastAsia" w:ascii="宋体" w:hAnsi="宋体" w:cs="宋体"/>
          <w:color w:val="auto"/>
          <w:sz w:val="24"/>
          <w:highlight w:val="none"/>
        </w:rPr>
        <w:t>填表单位（</w:t>
      </w:r>
      <w:r>
        <w:rPr>
          <w:rFonts w:hint="eastAsia" w:ascii="宋体" w:hAnsi="宋体" w:cs="宋体"/>
          <w:b/>
          <w:bCs/>
          <w:color w:val="auto"/>
          <w:sz w:val="24"/>
          <w:highlight w:val="none"/>
        </w:rPr>
        <w:t>加盖单位公章，必填项</w:t>
      </w:r>
      <w:r>
        <w:rPr>
          <w:rFonts w:hint="eastAsia" w:ascii="宋体" w:hAnsi="宋体" w:cs="宋体"/>
          <w:color w:val="auto"/>
          <w:sz w:val="24"/>
          <w:highlight w:val="none"/>
        </w:rPr>
        <w:t>）：</w:t>
      </w:r>
    </w:p>
    <w:p>
      <w:pPr>
        <w:adjustRightInd w:val="0"/>
        <w:snapToGrid w:val="0"/>
        <w:jc w:val="left"/>
        <w:rPr>
          <w:rFonts w:ascii="宋体" w:hAnsi="宋体" w:cs="宋体"/>
          <w:color w:val="auto"/>
          <w:sz w:val="24"/>
          <w:highlight w:val="none"/>
        </w:rPr>
      </w:pPr>
      <w:r>
        <w:rPr>
          <w:rFonts w:hint="eastAsia" w:ascii="宋体" w:hAnsi="宋体" w:cs="宋体"/>
          <w:color w:val="auto"/>
          <w:sz w:val="24"/>
          <w:highlight w:val="none"/>
        </w:rPr>
        <w:t>填表日期（</w:t>
      </w:r>
      <w:r>
        <w:rPr>
          <w:rFonts w:hint="eastAsia" w:ascii="宋体" w:hAnsi="宋体" w:cs="宋体"/>
          <w:b/>
          <w:bCs/>
          <w:color w:val="auto"/>
          <w:sz w:val="24"/>
          <w:highlight w:val="none"/>
        </w:rPr>
        <w:t>必填项</w:t>
      </w:r>
      <w:r>
        <w:rPr>
          <w:rFonts w:hint="eastAsia" w:ascii="宋体" w:hAnsi="宋体" w:cs="宋体"/>
          <w:color w:val="auto"/>
          <w:sz w:val="24"/>
          <w:highlight w:val="none"/>
        </w:rPr>
        <w:t>）：        年     月      日</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采购人</w:t>
            </w:r>
          </w:p>
        </w:tc>
        <w:tc>
          <w:tcPr>
            <w:tcW w:w="1406" w:type="pct"/>
            <w:gridSpan w:val="2"/>
            <w:vAlign w:val="center"/>
          </w:tcPr>
          <w:p>
            <w:pPr>
              <w:widowControl/>
              <w:snapToGrid w:val="0"/>
              <w:jc w:val="center"/>
              <w:rPr>
                <w:rFonts w:ascii="宋体" w:hAnsi="宋体" w:cs="宋体"/>
                <w:bCs/>
                <w:color w:val="auto"/>
                <w:sz w:val="24"/>
                <w:highlight w:val="none"/>
              </w:rPr>
            </w:pPr>
          </w:p>
        </w:tc>
        <w:tc>
          <w:tcPr>
            <w:tcW w:w="1188" w:type="pct"/>
            <w:gridSpan w:val="2"/>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项目名称</w:t>
            </w:r>
          </w:p>
        </w:tc>
        <w:tc>
          <w:tcPr>
            <w:tcW w:w="1656" w:type="pct"/>
            <w:gridSpan w:val="2"/>
            <w:vAlign w:val="center"/>
          </w:tcPr>
          <w:p>
            <w:pPr>
              <w:widowControl/>
              <w:snapToGrid w:val="0"/>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投标（响应）供应商</w:t>
            </w:r>
          </w:p>
        </w:tc>
        <w:tc>
          <w:tcPr>
            <w:tcW w:w="1406" w:type="pct"/>
            <w:gridSpan w:val="2"/>
            <w:vAlign w:val="center"/>
          </w:tcPr>
          <w:p>
            <w:pPr>
              <w:widowControl/>
              <w:snapToGrid w:val="0"/>
              <w:jc w:val="center"/>
              <w:rPr>
                <w:rFonts w:ascii="宋体" w:hAnsi="宋体" w:cs="宋体"/>
                <w:bCs/>
                <w:color w:val="auto"/>
                <w:sz w:val="24"/>
                <w:highlight w:val="none"/>
              </w:rPr>
            </w:pPr>
          </w:p>
        </w:tc>
        <w:tc>
          <w:tcPr>
            <w:tcW w:w="1188" w:type="pct"/>
            <w:gridSpan w:val="2"/>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供应商统一社会信用代码</w:t>
            </w:r>
          </w:p>
        </w:tc>
        <w:tc>
          <w:tcPr>
            <w:tcW w:w="1656" w:type="pct"/>
            <w:gridSpan w:val="2"/>
            <w:vAlign w:val="center"/>
          </w:tcPr>
          <w:p>
            <w:pPr>
              <w:widowControl/>
              <w:snapToGrid w:val="0"/>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ascii="宋体" w:hAnsi="宋体" w:cs="宋体"/>
                <w:b/>
                <w:color w:val="auto"/>
                <w:sz w:val="24"/>
                <w:highlight w:val="none"/>
              </w:rPr>
            </w:pPr>
            <w:r>
              <w:rPr>
                <w:rFonts w:hint="eastAsia" w:ascii="宋体" w:hAnsi="宋体" w:cs="宋体"/>
                <w:b/>
                <w:color w:val="auto"/>
                <w:sz w:val="24"/>
                <w:highlight w:val="none"/>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1223" w:type="pct"/>
            <w:gridSpan w:val="2"/>
            <w:tcBorders>
              <w:bottom w:val="single" w:color="auto" w:sz="4" w:space="0"/>
            </w:tcBorders>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职务</w:t>
            </w:r>
          </w:p>
        </w:tc>
        <w:tc>
          <w:tcPr>
            <w:tcW w:w="543" w:type="pct"/>
            <w:tcBorders>
              <w:bottom w:val="single" w:color="auto" w:sz="4" w:space="0"/>
            </w:tcBorders>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姓名</w:t>
            </w:r>
          </w:p>
        </w:tc>
        <w:tc>
          <w:tcPr>
            <w:tcW w:w="1188" w:type="pct"/>
            <w:gridSpan w:val="2"/>
            <w:tcBorders>
              <w:bottom w:val="single" w:color="auto" w:sz="4" w:space="0"/>
            </w:tcBorders>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身份证号码</w:t>
            </w:r>
          </w:p>
        </w:tc>
        <w:tc>
          <w:tcPr>
            <w:tcW w:w="821" w:type="pct"/>
            <w:tcBorders>
              <w:bottom w:val="single" w:color="auto" w:sz="4" w:space="0"/>
            </w:tcBorders>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劳动合同</w:t>
            </w:r>
          </w:p>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关系单位</w:t>
            </w:r>
          </w:p>
        </w:tc>
        <w:tc>
          <w:tcPr>
            <w:tcW w:w="835" w:type="pct"/>
            <w:tcBorders>
              <w:bottom w:val="single" w:color="auto" w:sz="4" w:space="0"/>
            </w:tcBorders>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缴纳社会</w:t>
            </w:r>
          </w:p>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sz w:val="24"/>
                <w:highlight w:val="none"/>
              </w:rPr>
            </w:pPr>
            <w:r>
              <w:rPr>
                <w:rFonts w:hint="eastAsia" w:ascii="宋体" w:hAnsi="宋体" w:cs="宋体"/>
                <w:b/>
                <w:color w:val="auto"/>
                <w:sz w:val="24"/>
                <w:highlight w:val="none"/>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sz w:val="24"/>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sz w:val="24"/>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sz w:val="24"/>
                <w:highlight w:val="none"/>
              </w:rPr>
            </w:pPr>
            <w:r>
              <w:rPr>
                <w:rFonts w:hint="eastAsia" w:ascii="宋体" w:hAnsi="宋体" w:cs="宋体"/>
                <w:b/>
                <w:color w:val="auto"/>
                <w:sz w:val="24"/>
                <w:highlight w:val="none"/>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sz w:val="24"/>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sz w:val="24"/>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3</w:t>
            </w:r>
          </w:p>
        </w:tc>
        <w:tc>
          <w:tcPr>
            <w:tcW w:w="1223" w:type="pct"/>
            <w:gridSpan w:val="2"/>
            <w:tcBorders>
              <w:top w:val="single" w:color="auto" w:sz="4" w:space="0"/>
            </w:tcBorders>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项目负责人（如有）</w:t>
            </w:r>
          </w:p>
        </w:tc>
        <w:tc>
          <w:tcPr>
            <w:tcW w:w="543" w:type="pct"/>
            <w:tcBorders>
              <w:top w:val="single" w:color="auto" w:sz="4" w:space="0"/>
            </w:tcBorders>
            <w:vAlign w:val="center"/>
          </w:tcPr>
          <w:p>
            <w:pPr>
              <w:widowControl/>
              <w:snapToGrid w:val="0"/>
              <w:jc w:val="center"/>
              <w:rPr>
                <w:rFonts w:ascii="宋体" w:hAnsi="宋体" w:cs="宋体"/>
                <w:bCs/>
                <w:color w:val="auto"/>
                <w:sz w:val="24"/>
                <w:highlight w:val="none"/>
              </w:rPr>
            </w:pPr>
          </w:p>
        </w:tc>
        <w:tc>
          <w:tcPr>
            <w:tcW w:w="1188" w:type="pct"/>
            <w:gridSpan w:val="2"/>
            <w:tcBorders>
              <w:top w:val="single" w:color="auto" w:sz="4" w:space="0"/>
            </w:tcBorders>
            <w:vAlign w:val="center"/>
          </w:tcPr>
          <w:p>
            <w:pPr>
              <w:widowControl/>
              <w:snapToGrid w:val="0"/>
              <w:jc w:val="center"/>
              <w:rPr>
                <w:rFonts w:ascii="宋体" w:hAnsi="宋体" w:cs="宋体"/>
                <w:bCs/>
                <w:color w:val="auto"/>
                <w:sz w:val="24"/>
                <w:highlight w:val="none"/>
              </w:rPr>
            </w:pPr>
          </w:p>
        </w:tc>
        <w:tc>
          <w:tcPr>
            <w:tcW w:w="821" w:type="pct"/>
            <w:tcBorders>
              <w:top w:val="single" w:color="auto" w:sz="4" w:space="0"/>
            </w:tcBorders>
            <w:vAlign w:val="center"/>
          </w:tcPr>
          <w:p>
            <w:pPr>
              <w:widowControl/>
              <w:snapToGrid w:val="0"/>
              <w:jc w:val="center"/>
              <w:rPr>
                <w:rFonts w:ascii="宋体" w:hAnsi="宋体" w:cs="宋体"/>
                <w:bCs/>
                <w:color w:val="auto"/>
                <w:sz w:val="24"/>
                <w:highlight w:val="none"/>
              </w:rPr>
            </w:pPr>
          </w:p>
        </w:tc>
        <w:tc>
          <w:tcPr>
            <w:tcW w:w="835" w:type="pct"/>
            <w:tcBorders>
              <w:top w:val="single" w:color="auto" w:sz="4" w:space="0"/>
            </w:tcBorders>
            <w:vAlign w:val="center"/>
          </w:tcPr>
          <w:p>
            <w:pPr>
              <w:widowControl/>
              <w:snapToGrid w:val="0"/>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4</w:t>
            </w:r>
          </w:p>
        </w:tc>
        <w:tc>
          <w:tcPr>
            <w:tcW w:w="1223" w:type="pct"/>
            <w:gridSpan w:val="2"/>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主要技术人员（如有）</w:t>
            </w:r>
          </w:p>
        </w:tc>
        <w:tc>
          <w:tcPr>
            <w:tcW w:w="543" w:type="pct"/>
            <w:vAlign w:val="center"/>
          </w:tcPr>
          <w:p>
            <w:pPr>
              <w:widowControl/>
              <w:snapToGrid w:val="0"/>
              <w:jc w:val="center"/>
              <w:rPr>
                <w:rFonts w:ascii="宋体" w:hAnsi="宋体" w:cs="宋体"/>
                <w:bCs/>
                <w:color w:val="auto"/>
                <w:sz w:val="24"/>
                <w:highlight w:val="none"/>
              </w:rPr>
            </w:pPr>
          </w:p>
        </w:tc>
        <w:tc>
          <w:tcPr>
            <w:tcW w:w="1188" w:type="pct"/>
            <w:gridSpan w:val="2"/>
            <w:vAlign w:val="center"/>
          </w:tcPr>
          <w:p>
            <w:pPr>
              <w:widowControl/>
              <w:snapToGrid w:val="0"/>
              <w:jc w:val="center"/>
              <w:rPr>
                <w:rFonts w:ascii="宋体" w:hAnsi="宋体" w:cs="宋体"/>
                <w:bCs/>
                <w:color w:val="auto"/>
                <w:sz w:val="24"/>
                <w:highlight w:val="none"/>
              </w:rPr>
            </w:pPr>
          </w:p>
        </w:tc>
        <w:tc>
          <w:tcPr>
            <w:tcW w:w="821" w:type="pct"/>
            <w:vAlign w:val="center"/>
          </w:tcPr>
          <w:p>
            <w:pPr>
              <w:widowControl/>
              <w:snapToGrid w:val="0"/>
              <w:jc w:val="center"/>
              <w:rPr>
                <w:rFonts w:ascii="宋体" w:hAnsi="宋体" w:cs="宋体"/>
                <w:bCs/>
                <w:color w:val="auto"/>
                <w:sz w:val="24"/>
                <w:highlight w:val="none"/>
              </w:rPr>
            </w:pPr>
          </w:p>
        </w:tc>
        <w:tc>
          <w:tcPr>
            <w:tcW w:w="835" w:type="pct"/>
            <w:vAlign w:val="center"/>
          </w:tcPr>
          <w:p>
            <w:pPr>
              <w:widowControl/>
              <w:snapToGrid w:val="0"/>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5</w:t>
            </w:r>
          </w:p>
        </w:tc>
        <w:tc>
          <w:tcPr>
            <w:tcW w:w="1223" w:type="pct"/>
            <w:gridSpan w:val="2"/>
            <w:vAlign w:val="center"/>
          </w:tcPr>
          <w:p>
            <w:pPr>
              <w:widowControl/>
              <w:snapToGrid w:val="0"/>
              <w:jc w:val="center"/>
              <w:rPr>
                <w:rFonts w:ascii="宋体" w:hAnsi="宋体" w:cs="宋体"/>
                <w:bCs/>
                <w:color w:val="auto"/>
                <w:sz w:val="24"/>
                <w:highlight w:val="none"/>
              </w:rPr>
            </w:pPr>
            <w:r>
              <w:rPr>
                <w:rFonts w:hint="eastAsia" w:ascii="宋体" w:hAnsi="宋体" w:cs="宋体"/>
                <w:b/>
                <w:color w:val="auto"/>
                <w:sz w:val="24"/>
                <w:highlight w:val="none"/>
              </w:rPr>
              <w:t>投标文件编制人员（必填项）</w:t>
            </w:r>
          </w:p>
        </w:tc>
        <w:tc>
          <w:tcPr>
            <w:tcW w:w="543" w:type="pct"/>
            <w:vAlign w:val="center"/>
          </w:tcPr>
          <w:p>
            <w:pPr>
              <w:widowControl/>
              <w:snapToGrid w:val="0"/>
              <w:jc w:val="center"/>
              <w:rPr>
                <w:rFonts w:ascii="宋体" w:hAnsi="宋体" w:cs="宋体"/>
                <w:bCs/>
                <w:color w:val="auto"/>
                <w:sz w:val="24"/>
                <w:highlight w:val="none"/>
              </w:rPr>
            </w:pPr>
          </w:p>
        </w:tc>
        <w:tc>
          <w:tcPr>
            <w:tcW w:w="1188" w:type="pct"/>
            <w:gridSpan w:val="2"/>
            <w:vAlign w:val="center"/>
          </w:tcPr>
          <w:p>
            <w:pPr>
              <w:widowControl/>
              <w:snapToGrid w:val="0"/>
              <w:jc w:val="center"/>
              <w:rPr>
                <w:rFonts w:ascii="宋体" w:hAnsi="宋体" w:cs="宋体"/>
                <w:bCs/>
                <w:color w:val="auto"/>
                <w:sz w:val="24"/>
                <w:highlight w:val="none"/>
              </w:rPr>
            </w:pPr>
          </w:p>
        </w:tc>
        <w:tc>
          <w:tcPr>
            <w:tcW w:w="821" w:type="pct"/>
            <w:vAlign w:val="center"/>
          </w:tcPr>
          <w:p>
            <w:pPr>
              <w:widowControl/>
              <w:snapToGrid w:val="0"/>
              <w:jc w:val="center"/>
              <w:rPr>
                <w:rFonts w:ascii="宋体" w:hAnsi="宋体" w:cs="宋体"/>
                <w:bCs/>
                <w:color w:val="auto"/>
                <w:sz w:val="24"/>
                <w:highlight w:val="none"/>
              </w:rPr>
            </w:pPr>
          </w:p>
        </w:tc>
        <w:tc>
          <w:tcPr>
            <w:tcW w:w="835" w:type="pct"/>
            <w:vAlign w:val="center"/>
          </w:tcPr>
          <w:p>
            <w:pPr>
              <w:widowControl/>
              <w:snapToGrid w:val="0"/>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ascii="宋体" w:hAnsi="宋体" w:cs="宋体"/>
                <w:b/>
                <w:color w:val="auto"/>
                <w:sz w:val="24"/>
                <w:highlight w:val="none"/>
              </w:rPr>
            </w:pPr>
            <w:r>
              <w:rPr>
                <w:rFonts w:hint="eastAsia" w:ascii="宋体" w:hAnsi="宋体" w:cs="宋体"/>
                <w:b/>
                <w:color w:val="auto"/>
                <w:sz w:val="24"/>
                <w:highlight w:val="none"/>
              </w:rPr>
              <w:t>说明：1.同一职务有多人担任（如主要技术人员），应分行填写。</w:t>
            </w:r>
          </w:p>
          <w:p>
            <w:pPr>
              <w:pStyle w:val="5"/>
              <w:ind w:firstLine="723" w:firstLineChars="300"/>
              <w:rPr>
                <w:rFonts w:ascii="宋体" w:hAnsi="宋体" w:cs="宋体"/>
                <w:b/>
                <w:color w:val="auto"/>
                <w:sz w:val="24"/>
                <w:szCs w:val="24"/>
                <w:highlight w:val="none"/>
              </w:rPr>
            </w:pPr>
            <w:r>
              <w:rPr>
                <w:rFonts w:hint="eastAsia" w:ascii="宋体" w:hAnsi="宋体" w:cs="宋体"/>
                <w:b/>
                <w:color w:val="auto"/>
                <w:sz w:val="24"/>
                <w:szCs w:val="24"/>
                <w:highlight w:val="none"/>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ascii="宋体" w:hAnsi="宋体" w:cs="宋体"/>
                <w:b/>
                <w:color w:val="auto"/>
                <w:sz w:val="24"/>
                <w:highlight w:val="none"/>
              </w:rPr>
            </w:pPr>
            <w:r>
              <w:rPr>
                <w:rFonts w:hint="eastAsia" w:ascii="宋体" w:hAnsi="宋体" w:cs="宋体"/>
                <w:b/>
                <w:color w:val="auto"/>
                <w:sz w:val="24"/>
                <w:highlight w:val="none"/>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sz w:val="24"/>
                <w:highlight w:val="none"/>
              </w:rPr>
            </w:pPr>
            <w:r>
              <w:rPr>
                <w:rFonts w:hint="eastAsia" w:ascii="宋体" w:hAnsi="宋体" w:cs="宋体"/>
                <w:b/>
                <w:color w:val="auto"/>
                <w:sz w:val="24"/>
                <w:highlight w:val="none"/>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sz w:val="24"/>
                <w:highlight w:val="none"/>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color w:val="auto"/>
                <w:sz w:val="24"/>
                <w:highlight w:val="none"/>
              </w:rPr>
            </w:pPr>
            <w:r>
              <w:rPr>
                <w:rFonts w:hint="eastAsia" w:ascii="宋体" w:hAnsi="宋体" w:cs="宋体"/>
                <w:bCs/>
                <w:color w:val="auto"/>
                <w:sz w:val="24"/>
                <w:highlight w:val="none"/>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ascii="宋体" w:hAnsi="宋体" w:cs="宋体"/>
                <w:bCs/>
                <w:color w:val="auto"/>
                <w:sz w:val="24"/>
                <w:highlight w:val="none"/>
              </w:rPr>
            </w:pPr>
            <w:r>
              <w:rPr>
                <w:rFonts w:hint="eastAsia" w:ascii="宋体" w:hAnsi="宋体" w:cs="宋体"/>
                <w:bCs/>
                <w:color w:val="auto"/>
                <w:sz w:val="24"/>
                <w:highlight w:val="none"/>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sz w:val="24"/>
                <w:highlight w:val="none"/>
              </w:rPr>
            </w:pPr>
            <w:r>
              <w:rPr>
                <w:rFonts w:hint="eastAsia" w:ascii="宋体" w:hAnsi="宋体" w:cs="宋体"/>
                <w:bCs/>
                <w:color w:val="auto"/>
                <w:sz w:val="24"/>
                <w:highlight w:val="none"/>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sz w:val="24"/>
                <w:highlight w:val="none"/>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color w:val="auto"/>
                <w:sz w:val="24"/>
                <w:highlight w:val="none"/>
              </w:rPr>
            </w:pPr>
            <w:r>
              <w:rPr>
                <w:rFonts w:hint="eastAsia" w:ascii="宋体" w:hAnsi="宋体" w:cs="宋体"/>
                <w:bCs/>
                <w:color w:val="auto"/>
                <w:sz w:val="24"/>
                <w:highlight w:val="none"/>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b/>
                <w:color w:val="auto"/>
                <w:sz w:val="24"/>
                <w:highlight w:val="none"/>
              </w:rPr>
            </w:pPr>
            <w:r>
              <w:rPr>
                <w:rFonts w:hint="eastAsia" w:ascii="宋体" w:hAnsi="宋体" w:cs="宋体"/>
                <w:b/>
                <w:color w:val="auto"/>
                <w:sz w:val="24"/>
                <w:highlight w:val="none"/>
              </w:rPr>
              <w:t>说明：</w:t>
            </w:r>
          </w:p>
          <w:p>
            <w:pPr>
              <w:widowControl/>
              <w:snapToGrid w:val="0"/>
              <w:rPr>
                <w:rFonts w:ascii="宋体" w:hAnsi="宋体" w:cs="宋体"/>
                <w:b/>
                <w:color w:val="auto"/>
                <w:sz w:val="24"/>
                <w:highlight w:val="none"/>
              </w:rPr>
            </w:pPr>
            <w:r>
              <w:rPr>
                <w:rFonts w:hint="eastAsia" w:ascii="宋体" w:hAnsi="宋体" w:cs="宋体"/>
                <w:b/>
                <w:color w:val="auto"/>
                <w:sz w:val="24"/>
                <w:highlight w:val="none"/>
              </w:rPr>
              <w:t>1.同一关联关系类型有多个主体的，应分行填写。</w:t>
            </w:r>
          </w:p>
          <w:p>
            <w:pPr>
              <w:pStyle w:val="5"/>
              <w:ind w:firstLine="0" w:firstLineChars="0"/>
              <w:rPr>
                <w:rFonts w:ascii="宋体" w:hAnsi="宋体" w:cs="宋体"/>
                <w:color w:val="auto"/>
                <w:sz w:val="24"/>
                <w:szCs w:val="24"/>
                <w:highlight w:val="none"/>
              </w:rPr>
            </w:pPr>
            <w:r>
              <w:rPr>
                <w:rFonts w:hint="eastAsia" w:ascii="宋体" w:hAnsi="宋体" w:cs="宋体"/>
                <w:b/>
                <w:color w:val="auto"/>
                <w:sz w:val="24"/>
                <w:szCs w:val="24"/>
                <w:highlight w:val="none"/>
              </w:rPr>
              <w:t>2.上述规定的控股、管理关系仅限于直接控股、直接管理关系，不包括间接的控股或管理关系。</w:t>
            </w:r>
          </w:p>
        </w:tc>
      </w:tr>
    </w:tbl>
    <w:p>
      <w:pPr>
        <w:snapToGrid w:val="0"/>
        <w:rPr>
          <w:rFonts w:ascii="宋体" w:hAnsi="宋体" w:cs="宋体"/>
          <w:b/>
          <w:color w:val="auto"/>
          <w:sz w:val="24"/>
          <w:highlight w:val="none"/>
        </w:rPr>
      </w:pPr>
      <w:r>
        <w:rPr>
          <w:rFonts w:hint="eastAsia" w:ascii="宋体" w:hAnsi="宋体" w:cs="宋体"/>
          <w:b/>
          <w:color w:val="auto"/>
          <w:sz w:val="24"/>
          <w:highlight w:val="none"/>
        </w:rPr>
        <w:t>备注：注明“必填项”的必须填写；未注明“必填项”的，如供应商未填写则视为未安排（或无）。</w:t>
      </w:r>
    </w:p>
    <w:p>
      <w:pPr>
        <w:widowControl/>
        <w:snapToGrid w:val="0"/>
        <w:rPr>
          <w:rFonts w:ascii="宋体" w:hAnsi="宋体" w:cs="宋体"/>
          <w:b/>
          <w:color w:val="auto"/>
          <w:sz w:val="24"/>
          <w:highlight w:val="none"/>
        </w:rPr>
      </w:pPr>
    </w:p>
    <w:p>
      <w:pPr>
        <w:snapToGrid w:val="0"/>
        <w:rPr>
          <w:rFonts w:ascii="宋体" w:hAnsi="宋体" w:cs="宋体"/>
          <w:b/>
          <w:color w:val="auto"/>
          <w:sz w:val="28"/>
          <w:szCs w:val="28"/>
          <w:highlight w:val="none"/>
        </w:rPr>
      </w:pPr>
      <w:r>
        <w:rPr>
          <w:rFonts w:hint="eastAsia" w:ascii="宋体" w:hAnsi="宋体" w:cs="宋体"/>
          <w:b/>
          <w:color w:val="auto"/>
          <w:sz w:val="28"/>
          <w:szCs w:val="28"/>
          <w:highlight w:val="none"/>
        </w:rPr>
        <w:t>2.社保</w:t>
      </w:r>
      <w:bookmarkStart w:id="58" w:name="OLE_LINK9"/>
      <w:r>
        <w:rPr>
          <w:rFonts w:hint="eastAsia" w:ascii="宋体" w:hAnsi="宋体" w:cs="宋体"/>
          <w:b/>
          <w:color w:val="auto"/>
          <w:sz w:val="28"/>
          <w:szCs w:val="28"/>
          <w:highlight w:val="none"/>
        </w:rPr>
        <w:t>证明</w:t>
      </w:r>
      <w:bookmarkEnd w:id="58"/>
      <w:r>
        <w:rPr>
          <w:rFonts w:hint="eastAsia" w:ascii="宋体" w:hAnsi="宋体" w:cs="宋体"/>
          <w:b/>
          <w:color w:val="auto"/>
          <w:sz w:val="28"/>
          <w:szCs w:val="28"/>
          <w:highlight w:val="none"/>
        </w:rPr>
        <w:t>材料：</w:t>
      </w:r>
    </w:p>
    <w:p>
      <w:pPr>
        <w:widowControl/>
        <w:snapToGrid w:val="0"/>
        <w:rPr>
          <w:rFonts w:ascii="宋体" w:hAnsi="宋体" w:cs="宋体"/>
          <w:bCs/>
          <w:color w:val="auto"/>
          <w:sz w:val="24"/>
          <w:highlight w:val="none"/>
        </w:rPr>
      </w:pPr>
      <w:r>
        <w:rPr>
          <w:rFonts w:hint="eastAsia" w:ascii="宋体" w:hAnsi="宋体" w:cs="宋体"/>
          <w:bCs/>
          <w:color w:val="auto"/>
          <w:sz w:val="24"/>
          <w:highlight w:val="none"/>
        </w:rPr>
        <w:t>（1）法定代表人/单位负责人/主要经营负责人</w:t>
      </w:r>
    </w:p>
    <w:p>
      <w:pPr>
        <w:widowControl/>
        <w:snapToGrid w:val="0"/>
        <w:rPr>
          <w:rFonts w:ascii="宋体" w:hAnsi="宋体" w:cs="宋体"/>
          <w:bCs/>
          <w:color w:val="auto"/>
          <w:sz w:val="24"/>
          <w:highlight w:val="none"/>
        </w:rPr>
      </w:pPr>
      <w:r>
        <w:rPr>
          <w:rFonts w:hint="eastAsia" w:ascii="宋体" w:hAnsi="宋体" w:cs="宋体"/>
          <w:bCs/>
          <w:color w:val="auto"/>
          <w:sz w:val="24"/>
          <w:highlight w:val="none"/>
        </w:rPr>
        <w:t>开标前一个月的社保缴纳凭证：</w:t>
      </w:r>
    </w:p>
    <w:p>
      <w:pPr>
        <w:pStyle w:val="5"/>
        <w:widowControl/>
        <w:ind w:firstLine="480"/>
        <w:rPr>
          <w:rFonts w:ascii="宋体" w:hAnsi="宋体" w:cs="宋体"/>
          <w:bCs/>
          <w:color w:val="auto"/>
          <w:sz w:val="24"/>
          <w:szCs w:val="24"/>
          <w:highlight w:val="none"/>
        </w:rPr>
      </w:pPr>
    </w:p>
    <w:p>
      <w:pPr>
        <w:widowControl/>
        <w:snapToGrid w:val="0"/>
        <w:rPr>
          <w:rFonts w:ascii="宋体" w:hAnsi="宋体" w:cs="宋体"/>
          <w:bCs/>
          <w:color w:val="auto"/>
          <w:sz w:val="24"/>
          <w:highlight w:val="none"/>
        </w:rPr>
      </w:pPr>
      <w:r>
        <w:rPr>
          <w:rFonts w:hint="eastAsia" w:ascii="宋体" w:hAnsi="宋体" w:cs="宋体"/>
          <w:bCs/>
          <w:color w:val="auto"/>
          <w:sz w:val="24"/>
          <w:highlight w:val="none"/>
        </w:rPr>
        <w:t>（2）投标授权代表人</w:t>
      </w:r>
    </w:p>
    <w:p>
      <w:pPr>
        <w:widowControl/>
        <w:snapToGrid w:val="0"/>
        <w:rPr>
          <w:rFonts w:ascii="宋体" w:hAnsi="宋体" w:cs="宋体"/>
          <w:bCs/>
          <w:color w:val="auto"/>
          <w:sz w:val="24"/>
          <w:highlight w:val="none"/>
        </w:rPr>
      </w:pPr>
      <w:r>
        <w:rPr>
          <w:rFonts w:hint="eastAsia" w:ascii="宋体" w:hAnsi="宋体" w:cs="宋体"/>
          <w:bCs/>
          <w:color w:val="auto"/>
          <w:sz w:val="24"/>
          <w:highlight w:val="none"/>
        </w:rPr>
        <w:t>身份证复印件（正反面）：</w:t>
      </w:r>
    </w:p>
    <w:p>
      <w:pPr>
        <w:widowControl/>
        <w:snapToGrid w:val="0"/>
        <w:rPr>
          <w:rFonts w:ascii="宋体" w:hAnsi="宋体" w:cs="宋体"/>
          <w:bCs/>
          <w:color w:val="auto"/>
          <w:sz w:val="24"/>
          <w:highlight w:val="none"/>
        </w:rPr>
      </w:pPr>
      <w:r>
        <w:rPr>
          <w:rFonts w:hint="eastAsia" w:ascii="宋体" w:hAnsi="宋体" w:cs="宋体"/>
          <w:bCs/>
          <w:color w:val="auto"/>
          <w:sz w:val="24"/>
          <w:highlight w:val="none"/>
        </w:rPr>
        <w:t>开标前一个月的社保缴纳凭证：</w:t>
      </w:r>
    </w:p>
    <w:p>
      <w:pPr>
        <w:pStyle w:val="5"/>
        <w:widowControl/>
        <w:ind w:firstLine="480"/>
        <w:rPr>
          <w:rFonts w:ascii="宋体" w:hAnsi="宋体" w:cs="宋体"/>
          <w:bCs/>
          <w:color w:val="auto"/>
          <w:sz w:val="24"/>
          <w:szCs w:val="24"/>
          <w:highlight w:val="none"/>
        </w:rPr>
      </w:pPr>
    </w:p>
    <w:p>
      <w:pPr>
        <w:widowControl/>
        <w:snapToGrid w:val="0"/>
        <w:rPr>
          <w:rFonts w:ascii="宋体" w:hAnsi="宋体" w:cs="宋体"/>
          <w:bCs/>
          <w:color w:val="auto"/>
          <w:sz w:val="24"/>
          <w:highlight w:val="none"/>
        </w:rPr>
      </w:pPr>
      <w:r>
        <w:rPr>
          <w:rFonts w:hint="eastAsia" w:ascii="宋体" w:hAnsi="宋体" w:cs="宋体"/>
          <w:bCs/>
          <w:color w:val="auto"/>
          <w:sz w:val="24"/>
          <w:highlight w:val="none"/>
        </w:rPr>
        <w:t>（3）项目负责人（如本项目未安排，可不提供）</w:t>
      </w:r>
    </w:p>
    <w:p>
      <w:pPr>
        <w:widowControl/>
        <w:snapToGrid w:val="0"/>
        <w:rPr>
          <w:rFonts w:ascii="宋体" w:hAnsi="宋体" w:cs="宋体"/>
          <w:bCs/>
          <w:color w:val="auto"/>
          <w:sz w:val="24"/>
          <w:highlight w:val="none"/>
        </w:rPr>
      </w:pPr>
      <w:r>
        <w:rPr>
          <w:rFonts w:hint="eastAsia" w:ascii="宋体" w:hAnsi="宋体" w:cs="宋体"/>
          <w:bCs/>
          <w:color w:val="auto"/>
          <w:sz w:val="24"/>
          <w:highlight w:val="none"/>
        </w:rPr>
        <w:t>开标前一个月的社保缴纳凭证：</w:t>
      </w:r>
    </w:p>
    <w:p>
      <w:pPr>
        <w:pStyle w:val="5"/>
        <w:widowControl/>
        <w:ind w:firstLine="480"/>
        <w:rPr>
          <w:rFonts w:ascii="宋体" w:hAnsi="宋体" w:cs="宋体"/>
          <w:bCs/>
          <w:color w:val="auto"/>
          <w:sz w:val="24"/>
          <w:szCs w:val="24"/>
          <w:highlight w:val="none"/>
        </w:rPr>
      </w:pPr>
    </w:p>
    <w:p>
      <w:pPr>
        <w:widowControl/>
        <w:snapToGrid w:val="0"/>
        <w:rPr>
          <w:rFonts w:ascii="宋体" w:hAnsi="宋体" w:cs="宋体"/>
          <w:bCs/>
          <w:color w:val="auto"/>
          <w:sz w:val="24"/>
          <w:highlight w:val="none"/>
        </w:rPr>
      </w:pPr>
      <w:r>
        <w:rPr>
          <w:rFonts w:hint="eastAsia" w:ascii="宋体" w:hAnsi="宋体" w:cs="宋体"/>
          <w:bCs/>
          <w:color w:val="auto"/>
          <w:sz w:val="24"/>
          <w:highlight w:val="none"/>
        </w:rPr>
        <w:t>（4）主要技术人员（如本项目未安排，可不提供）</w:t>
      </w:r>
    </w:p>
    <w:p>
      <w:pPr>
        <w:widowControl/>
        <w:snapToGrid w:val="0"/>
        <w:rPr>
          <w:rFonts w:ascii="宋体" w:hAnsi="宋体" w:cs="宋体"/>
          <w:bCs/>
          <w:color w:val="auto"/>
          <w:sz w:val="24"/>
          <w:highlight w:val="none"/>
        </w:rPr>
      </w:pPr>
      <w:r>
        <w:rPr>
          <w:rFonts w:hint="eastAsia" w:ascii="宋体" w:hAnsi="宋体" w:cs="宋体"/>
          <w:bCs/>
          <w:color w:val="auto"/>
          <w:sz w:val="24"/>
          <w:highlight w:val="none"/>
        </w:rPr>
        <w:t>身份证复印件（正反面）：</w:t>
      </w:r>
    </w:p>
    <w:p>
      <w:pPr>
        <w:widowControl/>
        <w:snapToGrid w:val="0"/>
        <w:rPr>
          <w:rFonts w:ascii="宋体" w:hAnsi="宋体" w:cs="宋体"/>
          <w:bCs/>
          <w:color w:val="auto"/>
          <w:sz w:val="24"/>
          <w:highlight w:val="none"/>
        </w:rPr>
      </w:pPr>
      <w:r>
        <w:rPr>
          <w:rFonts w:hint="eastAsia" w:ascii="宋体" w:hAnsi="宋体" w:cs="宋体"/>
          <w:bCs/>
          <w:color w:val="auto"/>
          <w:sz w:val="24"/>
          <w:highlight w:val="none"/>
        </w:rPr>
        <w:t>开标前一个月的社保缴纳凭证：</w:t>
      </w:r>
    </w:p>
    <w:p>
      <w:pPr>
        <w:pStyle w:val="5"/>
        <w:widowControl/>
        <w:ind w:firstLine="480"/>
        <w:rPr>
          <w:rFonts w:ascii="宋体" w:hAnsi="宋体" w:cs="宋体"/>
          <w:bCs/>
          <w:color w:val="auto"/>
          <w:sz w:val="24"/>
          <w:szCs w:val="24"/>
          <w:highlight w:val="none"/>
        </w:rPr>
      </w:pPr>
    </w:p>
    <w:p>
      <w:pPr>
        <w:widowControl/>
        <w:numPr>
          <w:ilvl w:val="0"/>
          <w:numId w:val="13"/>
        </w:numPr>
        <w:snapToGrid w:val="0"/>
        <w:rPr>
          <w:rFonts w:ascii="宋体" w:hAnsi="宋体" w:cs="宋体"/>
          <w:bCs/>
          <w:color w:val="auto"/>
          <w:sz w:val="24"/>
          <w:highlight w:val="none"/>
        </w:rPr>
      </w:pPr>
      <w:r>
        <w:rPr>
          <w:rFonts w:hint="eastAsia" w:ascii="宋体" w:hAnsi="宋体" w:cs="宋体"/>
          <w:bCs/>
          <w:color w:val="auto"/>
          <w:sz w:val="24"/>
          <w:highlight w:val="none"/>
        </w:rPr>
        <w:t>投标文件编制人员</w:t>
      </w:r>
    </w:p>
    <w:p>
      <w:pPr>
        <w:widowControl/>
        <w:snapToGrid w:val="0"/>
        <w:rPr>
          <w:rFonts w:ascii="宋体" w:hAnsi="宋体" w:cs="宋体"/>
          <w:bCs/>
          <w:color w:val="auto"/>
          <w:sz w:val="24"/>
          <w:highlight w:val="none"/>
        </w:rPr>
      </w:pPr>
      <w:r>
        <w:rPr>
          <w:rFonts w:hint="eastAsia" w:ascii="宋体" w:hAnsi="宋体" w:cs="宋体"/>
          <w:bCs/>
          <w:color w:val="auto"/>
          <w:sz w:val="24"/>
          <w:highlight w:val="none"/>
        </w:rPr>
        <w:t>身份证复印件（正反面）：</w:t>
      </w:r>
    </w:p>
    <w:p>
      <w:pPr>
        <w:widowControl/>
        <w:snapToGrid w:val="0"/>
        <w:rPr>
          <w:rFonts w:ascii="宋体" w:hAnsi="宋体" w:cs="宋体"/>
          <w:bCs/>
          <w:color w:val="auto"/>
          <w:sz w:val="24"/>
          <w:highlight w:val="none"/>
        </w:rPr>
      </w:pPr>
      <w:r>
        <w:rPr>
          <w:rFonts w:hint="eastAsia" w:ascii="宋体" w:hAnsi="宋体" w:cs="宋体"/>
          <w:bCs/>
          <w:color w:val="auto"/>
          <w:sz w:val="24"/>
          <w:highlight w:val="none"/>
        </w:rPr>
        <w:t>开标前一个月的社保缴纳凭证：</w:t>
      </w:r>
    </w:p>
    <w:p>
      <w:pPr>
        <w:pStyle w:val="5"/>
        <w:widowControl/>
        <w:ind w:firstLine="480"/>
        <w:rPr>
          <w:rFonts w:ascii="宋体" w:hAnsi="宋体" w:cs="宋体"/>
          <w:color w:val="auto"/>
          <w:sz w:val="24"/>
          <w:szCs w:val="24"/>
          <w:highlight w:val="none"/>
        </w:rPr>
      </w:pPr>
    </w:p>
    <w:p>
      <w:pPr>
        <w:widowControl/>
        <w:snapToGrid w:val="0"/>
        <w:rPr>
          <w:rFonts w:ascii="宋体" w:hAnsi="宋体" w:cs="宋体"/>
          <w:bCs/>
          <w:color w:val="auto"/>
          <w:sz w:val="24"/>
          <w:highlight w:val="none"/>
        </w:rPr>
      </w:pPr>
      <w:r>
        <w:rPr>
          <w:rFonts w:hint="eastAsia" w:ascii="宋体" w:hAnsi="宋体" w:cs="宋体"/>
          <w:bCs/>
          <w:color w:val="auto"/>
          <w:sz w:val="24"/>
          <w:highlight w:val="none"/>
        </w:rPr>
        <w:t>注：</w:t>
      </w:r>
    </w:p>
    <w:p>
      <w:pPr>
        <w:widowControl/>
        <w:snapToGrid w:val="0"/>
        <w:rPr>
          <w:rFonts w:ascii="宋体" w:hAnsi="宋体" w:cs="宋体"/>
          <w:bCs/>
          <w:color w:val="auto"/>
          <w:sz w:val="24"/>
          <w:highlight w:val="none"/>
        </w:rPr>
      </w:pPr>
      <w:r>
        <w:rPr>
          <w:rFonts w:hint="eastAsia" w:ascii="宋体" w:hAnsi="宋体" w:cs="宋体"/>
          <w:bCs/>
          <w:color w:val="auto"/>
          <w:sz w:val="24"/>
          <w:highlight w:val="none"/>
        </w:rPr>
        <w:t>1.如开标前近一个月的社保材料因社保部门原因暂时无法取得，则可以往前顺延一个月。其中项目负责人及主要技术人员社保证明须由供应商缴纳。</w:t>
      </w:r>
    </w:p>
    <w:p>
      <w:pPr>
        <w:widowControl/>
        <w:snapToGrid w:val="0"/>
        <w:rPr>
          <w:rFonts w:ascii="宋体" w:hAnsi="宋体" w:cs="宋体"/>
          <w:bCs/>
          <w:color w:val="auto"/>
          <w:sz w:val="24"/>
          <w:highlight w:val="none"/>
        </w:rPr>
      </w:pPr>
      <w:r>
        <w:rPr>
          <w:rFonts w:hint="eastAsia" w:ascii="宋体" w:hAnsi="宋体" w:cs="宋体"/>
          <w:bCs/>
          <w:color w:val="auto"/>
          <w:sz w:val="24"/>
          <w:highlight w:val="none"/>
        </w:rPr>
        <w:t>2.供应商的项目投标授权代表人与法定代表人为同一人的，则须提供法定代表人的社保证明；本项目未安排项目负责人的，则无须提供项目负责人的社保证明。</w:t>
      </w:r>
    </w:p>
    <w:p>
      <w:pPr>
        <w:widowControl/>
        <w:snapToGrid w:val="0"/>
        <w:rPr>
          <w:rFonts w:ascii="宋体" w:hAnsi="宋体" w:cs="宋体"/>
          <w:bCs/>
          <w:color w:val="auto"/>
          <w:sz w:val="24"/>
          <w:highlight w:val="none"/>
        </w:rPr>
      </w:pPr>
      <w:r>
        <w:rPr>
          <w:rFonts w:hint="eastAsia" w:ascii="宋体" w:hAnsi="宋体" w:cs="宋体"/>
          <w:bCs/>
          <w:color w:val="auto"/>
          <w:sz w:val="24"/>
          <w:highlight w:val="none"/>
        </w:rPr>
        <w:t>3.如无法按上述要求提供人员社会保险证明材料的，提交以下材料亦视为符合：</w:t>
      </w:r>
    </w:p>
    <w:p>
      <w:pPr>
        <w:widowControl/>
        <w:snapToGrid w:val="0"/>
        <w:rPr>
          <w:rFonts w:ascii="宋体" w:hAnsi="宋体" w:cs="宋体"/>
          <w:bCs/>
          <w:color w:val="auto"/>
          <w:sz w:val="24"/>
          <w:highlight w:val="none"/>
        </w:rPr>
      </w:pPr>
      <w:r>
        <w:rPr>
          <w:rFonts w:hint="eastAsia" w:ascii="宋体" w:hAnsi="宋体" w:cs="宋体"/>
          <w:bCs/>
          <w:color w:val="auto"/>
          <w:sz w:val="24"/>
          <w:highlight w:val="none"/>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ascii="宋体" w:hAnsi="宋体" w:cs="宋体"/>
          <w:b/>
          <w:color w:val="auto"/>
          <w:sz w:val="28"/>
          <w:szCs w:val="28"/>
          <w:highlight w:val="none"/>
        </w:rPr>
      </w:pPr>
    </w:p>
    <w:p>
      <w:pPr>
        <w:snapToGrid w:val="0"/>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3.</w:t>
      </w:r>
      <w:bookmarkStart w:id="59" w:name="OLE_LINK10"/>
      <w:r>
        <w:rPr>
          <w:rFonts w:hint="eastAsia" w:ascii="宋体" w:hAnsi="宋体" w:cs="宋体"/>
          <w:b/>
          <w:color w:val="auto"/>
          <w:sz w:val="28"/>
          <w:szCs w:val="28"/>
          <w:highlight w:val="none"/>
        </w:rPr>
        <w:t>股权关系证明</w:t>
      </w:r>
      <w:bookmarkEnd w:id="59"/>
      <w:r>
        <w:rPr>
          <w:rFonts w:hint="eastAsia" w:ascii="宋体" w:hAnsi="宋体" w:cs="宋体"/>
          <w:b/>
          <w:color w:val="auto"/>
          <w:sz w:val="28"/>
          <w:szCs w:val="28"/>
          <w:highlight w:val="none"/>
        </w:rPr>
        <w:t>材料：</w:t>
      </w:r>
    </w:p>
    <w:p>
      <w:pPr>
        <w:widowControl/>
        <w:snapToGrid w:val="0"/>
        <w:rPr>
          <w:rFonts w:ascii="宋体" w:hAnsi="宋体" w:cs="宋体"/>
          <w:b/>
          <w:color w:val="auto"/>
          <w:sz w:val="24"/>
          <w:highlight w:val="none"/>
        </w:rPr>
      </w:pPr>
      <w:r>
        <w:rPr>
          <w:rFonts w:hint="eastAsia" w:ascii="宋体" w:hAnsi="宋体" w:cs="宋体"/>
          <w:b/>
          <w:color w:val="auto"/>
          <w:sz w:val="24"/>
          <w:highlight w:val="none"/>
        </w:rPr>
        <w:t>（1）股权（或管理）关系证明材料：</w:t>
      </w:r>
    </w:p>
    <w:p>
      <w:pPr>
        <w:widowControl/>
        <w:snapToGrid w:val="0"/>
        <w:rPr>
          <w:rFonts w:ascii="宋体" w:hAnsi="宋体" w:cs="宋体"/>
          <w:bCs/>
          <w:color w:val="auto"/>
          <w:sz w:val="24"/>
          <w:highlight w:val="none"/>
        </w:rPr>
      </w:pPr>
      <w:r>
        <w:rPr>
          <w:rFonts w:hint="eastAsia" w:ascii="宋体" w:hAnsi="宋体" w:cs="宋体"/>
          <w:bCs/>
          <w:color w:val="auto"/>
          <w:sz w:val="24"/>
          <w:highlight w:val="none"/>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ascii="宋体" w:hAnsi="宋体" w:cs="宋体"/>
          <w:color w:val="auto"/>
          <w:sz w:val="24"/>
          <w:highlight w:val="none"/>
        </w:rPr>
      </w:pPr>
    </w:p>
    <w:p>
      <w:pPr>
        <w:widowControl/>
        <w:snapToGrid w:val="0"/>
        <w:jc w:val="left"/>
        <w:rPr>
          <w:rFonts w:ascii="宋体" w:hAnsi="宋体" w:cs="宋体"/>
          <w:b/>
          <w:color w:val="auto"/>
          <w:sz w:val="24"/>
          <w:highlight w:val="none"/>
        </w:rPr>
      </w:pPr>
      <w:r>
        <w:rPr>
          <w:rFonts w:hint="eastAsia" w:ascii="宋体" w:hAnsi="宋体" w:cs="宋体"/>
          <w:b/>
          <w:color w:val="auto"/>
          <w:sz w:val="24"/>
          <w:highlight w:val="none"/>
        </w:rPr>
        <w:t>（2）股权关系情况承诺函</w:t>
      </w:r>
    </w:p>
    <w:p>
      <w:pPr>
        <w:widowControl/>
        <w:snapToGrid w:val="0"/>
        <w:ind w:firstLine="482" w:firstLineChars="200"/>
        <w:jc w:val="center"/>
        <w:rPr>
          <w:rFonts w:ascii="宋体" w:hAnsi="宋体" w:cs="宋体"/>
          <w:bCs/>
          <w:color w:val="auto"/>
          <w:sz w:val="24"/>
          <w:highlight w:val="none"/>
        </w:rPr>
      </w:pPr>
      <w:r>
        <w:rPr>
          <w:rFonts w:hint="eastAsia" w:ascii="宋体" w:hAnsi="宋体" w:cs="宋体"/>
          <w:b/>
          <w:color w:val="auto"/>
          <w:sz w:val="24"/>
          <w:highlight w:val="none"/>
        </w:rPr>
        <w:t>《股权关系情况承诺函》</w:t>
      </w:r>
    </w:p>
    <w:p>
      <w:pPr>
        <w:widowControl/>
        <w:snapToGrid w:val="0"/>
        <w:ind w:firstLine="480" w:firstLineChars="200"/>
        <w:rPr>
          <w:rFonts w:ascii="宋体" w:hAnsi="宋体" w:cs="宋体"/>
          <w:bCs/>
          <w:color w:val="auto"/>
          <w:sz w:val="24"/>
          <w:highlight w:val="none"/>
        </w:rPr>
      </w:pPr>
      <w:r>
        <w:rPr>
          <w:rFonts w:hint="eastAsia" w:ascii="宋体" w:hAnsi="宋体" w:cs="宋体"/>
          <w:bCs/>
          <w:color w:val="auto"/>
          <w:sz w:val="24"/>
          <w:highlight w:val="none"/>
        </w:rPr>
        <w:t>我公司申请参加</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项目（项目编号为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）的投标，并作出如下承诺：</w:t>
      </w:r>
    </w:p>
    <w:p>
      <w:pPr>
        <w:widowControl/>
        <w:snapToGrid w:val="0"/>
        <w:rPr>
          <w:rFonts w:ascii="宋体" w:hAnsi="宋体" w:cs="宋体"/>
          <w:bCs/>
          <w:color w:val="auto"/>
          <w:sz w:val="24"/>
          <w:highlight w:val="none"/>
        </w:rPr>
      </w:pPr>
      <w:r>
        <w:rPr>
          <w:rFonts w:hint="eastAsia" w:ascii="宋体" w:hAnsi="宋体" w:cs="宋体"/>
          <w:bCs/>
          <w:color w:val="auto"/>
          <w:sz w:val="24"/>
          <w:highlight w:val="none"/>
        </w:rPr>
        <w:t>我公司承诺所填的股权关系情况真实、准确、完整。</w:t>
      </w:r>
    </w:p>
    <w:p>
      <w:pPr>
        <w:widowControl/>
        <w:snapToGrid w:val="0"/>
        <w:rPr>
          <w:rFonts w:ascii="宋体" w:hAnsi="宋体" w:cs="宋体"/>
          <w:bCs/>
          <w:color w:val="auto"/>
          <w:sz w:val="24"/>
          <w:highlight w:val="none"/>
        </w:rPr>
      </w:pPr>
      <w:r>
        <w:rPr>
          <w:rFonts w:hint="eastAsia" w:ascii="宋体" w:hAnsi="宋体" w:cs="宋体"/>
          <w:bCs/>
          <w:color w:val="auto"/>
          <w:sz w:val="24"/>
          <w:highlight w:val="none"/>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ascii="宋体" w:hAnsi="宋体" w:cs="宋体"/>
          <w:bCs/>
          <w:color w:val="auto"/>
          <w:sz w:val="24"/>
          <w:highlight w:val="none"/>
        </w:rPr>
      </w:pPr>
      <w:r>
        <w:rPr>
          <w:rFonts w:hint="eastAsia" w:ascii="宋体" w:hAnsi="宋体" w:cs="宋体"/>
          <w:bCs/>
          <w:color w:val="auto"/>
          <w:sz w:val="24"/>
          <w:highlight w:val="none"/>
        </w:rPr>
        <w:t>特此承诺！</w:t>
      </w:r>
    </w:p>
    <w:p>
      <w:pPr>
        <w:widowControl/>
        <w:snapToGrid w:val="0"/>
        <w:rPr>
          <w:rFonts w:ascii="宋体" w:hAnsi="宋体" w:cs="宋体"/>
          <w:bCs/>
          <w:color w:val="auto"/>
          <w:sz w:val="24"/>
          <w:highlight w:val="none"/>
        </w:rPr>
      </w:pPr>
    </w:p>
    <w:p>
      <w:pPr>
        <w:widowControl/>
        <w:snapToGrid w:val="0"/>
        <w:rPr>
          <w:rFonts w:ascii="宋体" w:hAnsi="宋体" w:cs="宋体"/>
          <w:bCs/>
          <w:color w:val="auto"/>
          <w:sz w:val="24"/>
          <w:highlight w:val="none"/>
        </w:rPr>
      </w:pPr>
      <w:r>
        <w:rPr>
          <w:rFonts w:hint="eastAsia" w:ascii="宋体" w:hAnsi="宋体" w:cs="宋体"/>
          <w:bCs/>
          <w:color w:val="auto"/>
          <w:sz w:val="24"/>
          <w:highlight w:val="none"/>
        </w:rPr>
        <w:t xml:space="preserve">                                供应商名称（加盖公章</w:t>
      </w:r>
      <w:r>
        <w:rPr>
          <w:rFonts w:hint="eastAsia" w:ascii="宋体" w:hAnsi="宋体" w:cs="宋体"/>
          <w:bCs/>
          <w:color w:val="auto"/>
          <w:sz w:val="24"/>
          <w:highlight w:val="none"/>
        </w:rPr>
        <w:tab/>
      </w:r>
      <w:r>
        <w:rPr>
          <w:rFonts w:hint="eastAsia" w:ascii="宋体" w:hAnsi="宋体" w:cs="宋体"/>
          <w:bCs/>
          <w:color w:val="auto"/>
          <w:sz w:val="24"/>
          <w:highlight w:val="none"/>
        </w:rPr>
        <w:t xml:space="preserve">）： </w:t>
      </w:r>
    </w:p>
    <w:p>
      <w:pPr>
        <w:widowControl/>
        <w:snapToGrid w:val="0"/>
        <w:ind w:firstLine="3840" w:firstLineChars="1600"/>
        <w:rPr>
          <w:rFonts w:ascii="宋体" w:hAnsi="宋体" w:cs="宋体"/>
          <w:bCs/>
          <w:color w:val="auto"/>
          <w:sz w:val="24"/>
          <w:highlight w:val="none"/>
        </w:rPr>
      </w:pPr>
      <w:r>
        <w:rPr>
          <w:rFonts w:hint="eastAsia" w:ascii="宋体" w:hAnsi="宋体" w:cs="宋体"/>
          <w:bCs/>
          <w:color w:val="auto"/>
          <w:sz w:val="24"/>
          <w:highlight w:val="none"/>
        </w:rPr>
        <w:t>日  期：       年    月   日</w:t>
      </w:r>
    </w:p>
    <w:p>
      <w:pPr>
        <w:widowControl/>
        <w:snapToGrid w:val="0"/>
        <w:rPr>
          <w:rFonts w:ascii="宋体" w:hAnsi="宋体" w:cs="宋体"/>
          <w:bCs/>
          <w:color w:val="auto"/>
          <w:sz w:val="24"/>
          <w:highlight w:val="none"/>
        </w:rPr>
      </w:pPr>
    </w:p>
    <w:p>
      <w:pPr>
        <w:tabs>
          <w:tab w:val="left" w:pos="640"/>
          <w:tab w:val="left" w:pos="840"/>
          <w:tab w:val="left" w:pos="1260"/>
          <w:tab w:val="left" w:pos="1418"/>
        </w:tabs>
        <w:spacing w:line="360" w:lineRule="auto"/>
        <w:rPr>
          <w:rFonts w:ascii="宋体" w:hAnsi="宋体" w:cs="宋体"/>
          <w:bCs/>
          <w:color w:val="auto"/>
          <w:sz w:val="24"/>
          <w:highlight w:val="none"/>
        </w:rPr>
      </w:pPr>
      <w:r>
        <w:rPr>
          <w:rFonts w:hint="eastAsia" w:ascii="宋体" w:hAnsi="宋体" w:cs="宋体"/>
          <w:bCs/>
          <w:color w:val="auto"/>
          <w:sz w:val="24"/>
          <w:highlight w:val="none"/>
        </w:rPr>
        <w:t>注：代理机构将于截标当日同步通过上述网站进行查询，查询结果与供应商填报信息不一致的，以代理机构于截标当日的查询结果为准。</w:t>
      </w:r>
      <w:bookmarkEnd w:id="57"/>
    </w:p>
    <w:p>
      <w:pPr>
        <w:tabs>
          <w:tab w:val="left" w:pos="840"/>
          <w:tab w:val="left" w:pos="1119"/>
          <w:tab w:val="left" w:pos="1418"/>
        </w:tabs>
        <w:spacing w:line="360" w:lineRule="auto"/>
        <w:rPr>
          <w:rFonts w:ascii="宋体" w:hAnsi="宋体" w:cs="宋体"/>
          <w:color w:val="auto"/>
          <w:sz w:val="24"/>
          <w:highlight w:val="none"/>
        </w:rPr>
      </w:pPr>
    </w:p>
    <w:p>
      <w:pPr>
        <w:rPr>
          <w:color w:val="auto"/>
          <w:highlight w:val="none"/>
        </w:rPr>
      </w:pP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rPr>
          <w:color w:val="auto"/>
          <w:highlight w:val="none"/>
        </w:rPr>
      </w:pPr>
    </w:p>
    <w:p>
      <w:pPr>
        <w:numPr>
          <w:ilvl w:val="0"/>
          <w:numId w:val="11"/>
        </w:numPr>
        <w:tabs>
          <w:tab w:val="left" w:pos="640"/>
          <w:tab w:val="left" w:pos="840"/>
          <w:tab w:val="left" w:pos="1260"/>
          <w:tab w:val="left" w:pos="1418"/>
        </w:tabs>
        <w:spacing w:line="360" w:lineRule="auto"/>
        <w:ind w:left="845" w:hanging="845"/>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投标人认为有必要提供的其他材料。</w:t>
      </w:r>
    </w:p>
    <w:p>
      <w:pPr>
        <w:spacing w:line="360" w:lineRule="auto"/>
        <w:rPr>
          <w:rFonts w:ascii="宋体" w:hAnsi="宋体" w:cs="宋体"/>
          <w:color w:val="auto"/>
          <w:sz w:val="24"/>
          <w:highlight w:val="none"/>
        </w:rPr>
      </w:pPr>
    </w:p>
    <w:p>
      <w:pPr>
        <w:spacing w:line="360" w:lineRule="auto"/>
        <w:outlineLvl w:val="2"/>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（三）技术部分</w:t>
      </w:r>
    </w:p>
    <w:p>
      <w:pPr>
        <w:numPr>
          <w:ilvl w:val="0"/>
          <w:numId w:val="14"/>
        </w:numPr>
        <w:tabs>
          <w:tab w:val="left" w:pos="640"/>
          <w:tab w:val="left" w:pos="1260"/>
          <w:tab w:val="left" w:pos="1418"/>
        </w:tabs>
        <w:spacing w:line="360" w:lineRule="auto"/>
        <w:ind w:left="845" w:right="-420" w:rightChars="-200" w:hanging="845"/>
        <w:rPr>
          <w:rFonts w:ascii="宋体" w:hAnsi="宋体" w:cs="宋体"/>
          <w:color w:val="auto"/>
          <w:sz w:val="24"/>
          <w:highlight w:val="none"/>
          <w:lang w:val="fr-CH"/>
        </w:rPr>
      </w:pPr>
      <w:r>
        <w:rPr>
          <w:rFonts w:hint="eastAsia" w:ascii="宋体" w:hAnsi="宋体" w:cs="宋体"/>
          <w:color w:val="auto"/>
          <w:sz w:val="24"/>
          <w:highlight w:val="none"/>
          <w:lang w:val="fr-CH"/>
        </w:rPr>
        <w:t>用户需求响应表；</w:t>
      </w:r>
    </w:p>
    <w:p>
      <w:pPr>
        <w:spacing w:after="78" w:line="360" w:lineRule="auto"/>
        <w:jc w:val="center"/>
        <w:rPr>
          <w:rFonts w:ascii="宋体" w:hAnsi="宋体" w:cs="宋体"/>
          <w:b/>
          <w:bCs/>
          <w:color w:val="auto"/>
          <w:sz w:val="24"/>
          <w:highlight w:val="none"/>
          <w:lang w:val="fr-CH"/>
        </w:rPr>
      </w:pPr>
      <w:r>
        <w:rPr>
          <w:rFonts w:hint="eastAsia" w:ascii="宋体" w:hAnsi="宋体" w:cs="宋体"/>
          <w:b/>
          <w:bCs/>
          <w:color w:val="auto"/>
          <w:sz w:val="24"/>
          <w:highlight w:val="none"/>
          <w:lang w:val="fr-CH"/>
        </w:rPr>
        <w:t>用户需求响应表</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p>
      <w:pPr>
        <w:spacing w:after="78" w:line="360" w:lineRule="auto"/>
        <w:rPr>
          <w:rFonts w:ascii="宋体" w:hAnsi="宋体" w:cs="宋体"/>
          <w:bCs/>
          <w:color w:val="auto"/>
          <w:sz w:val="24"/>
          <w:highlight w:val="none"/>
        </w:rPr>
      </w:pPr>
      <w:r>
        <w:rPr>
          <w:rFonts w:hint="eastAsia" w:ascii="宋体" w:hAnsi="宋体" w:cs="宋体"/>
          <w:bCs/>
          <w:color w:val="auto"/>
          <w:sz w:val="24"/>
          <w:highlight w:val="none"/>
        </w:rPr>
        <w:t>据招标文件要求，我公司承诺响应如下：</w:t>
      </w:r>
    </w:p>
    <w:tbl>
      <w:tblPr>
        <w:tblStyle w:val="18"/>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3507" w:type="dxa"/>
            <w:vAlign w:val="center"/>
          </w:tcPr>
          <w:p>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招标文件要求</w:t>
            </w:r>
          </w:p>
        </w:tc>
        <w:tc>
          <w:tcPr>
            <w:tcW w:w="3052" w:type="dxa"/>
            <w:vAlign w:val="center"/>
          </w:tcPr>
          <w:p>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投标文件响应</w:t>
            </w:r>
          </w:p>
        </w:tc>
        <w:tc>
          <w:tcPr>
            <w:tcW w:w="2106" w:type="dxa"/>
            <w:vAlign w:val="center"/>
          </w:tcPr>
          <w:p>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ascii="宋体" w:hAnsi="宋体" w:cs="宋体"/>
                <w:bCs/>
                <w:color w:val="auto"/>
                <w:sz w:val="24"/>
                <w:highlight w:val="none"/>
              </w:rPr>
            </w:pPr>
            <w:r>
              <w:rPr>
                <w:rFonts w:hint="eastAsia" w:ascii="宋体" w:hAnsi="宋体" w:cs="宋体"/>
                <w:bCs/>
                <w:color w:val="auto"/>
                <w:sz w:val="24"/>
                <w:highlight w:val="none"/>
              </w:rPr>
              <w:t>1</w:t>
            </w:r>
          </w:p>
        </w:tc>
        <w:tc>
          <w:tcPr>
            <w:tcW w:w="3507" w:type="dxa"/>
            <w:vAlign w:val="center"/>
          </w:tcPr>
          <w:p>
            <w:pPr>
              <w:spacing w:after="78" w:line="360" w:lineRule="auto"/>
              <w:rPr>
                <w:rFonts w:ascii="宋体" w:hAnsi="宋体" w:cs="宋体"/>
                <w:bCs/>
                <w:color w:val="auto"/>
                <w:sz w:val="24"/>
                <w:highlight w:val="none"/>
              </w:rPr>
            </w:pPr>
            <w:r>
              <w:rPr>
                <w:rFonts w:hint="eastAsia" w:ascii="宋体" w:hAnsi="宋体" w:cs="宋体"/>
                <w:b/>
                <w:color w:val="auto"/>
                <w:sz w:val="24"/>
                <w:highlight w:val="none"/>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auto"/>
                <w:sz w:val="24"/>
                <w:highlight w:val="none"/>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填写说明：此项投标人必须完全响应满足，请投标人于“投标文件响应”栏中填写“投标人完全响应满足招标文件“第五章 用户需求书”的全部内容”即可；</w:t>
            </w:r>
          </w:p>
          <w:p>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无需另行编制填写内容。</w:t>
            </w:r>
          </w:p>
        </w:tc>
        <w:tc>
          <w:tcPr>
            <w:tcW w:w="2106" w:type="dxa"/>
            <w:vAlign w:val="center"/>
          </w:tcPr>
          <w:p>
            <w:pPr>
              <w:spacing w:line="360" w:lineRule="auto"/>
              <w:jc w:val="center"/>
              <w:rPr>
                <w:rFonts w:ascii="宋体" w:hAnsi="宋体" w:cs="宋体"/>
                <w:bCs/>
                <w:color w:val="auto"/>
                <w:sz w:val="24"/>
                <w:highlight w:val="none"/>
              </w:rPr>
            </w:pPr>
          </w:p>
        </w:tc>
      </w:tr>
    </w:tbl>
    <w:p>
      <w:pPr>
        <w:spacing w:after="78" w:line="360" w:lineRule="auto"/>
        <w:rPr>
          <w:rFonts w:ascii="宋体" w:hAnsi="宋体" w:cs="宋体"/>
          <w:bCs/>
          <w:color w:val="auto"/>
          <w:sz w:val="24"/>
          <w:highlight w:val="none"/>
        </w:rPr>
      </w:pPr>
    </w:p>
    <w:p>
      <w:pPr>
        <w:spacing w:after="78" w:line="360" w:lineRule="auto"/>
        <w:rPr>
          <w:rFonts w:ascii="宋体" w:hAnsi="宋体" w:cs="宋体"/>
          <w:bCs/>
          <w:color w:val="auto"/>
          <w:sz w:val="24"/>
          <w:highlight w:val="none"/>
        </w:rPr>
      </w:pPr>
      <w:r>
        <w:rPr>
          <w:rFonts w:hint="eastAsia" w:ascii="宋体" w:hAnsi="宋体" w:cs="宋体"/>
          <w:bCs/>
          <w:color w:val="auto"/>
          <w:sz w:val="24"/>
          <w:highlight w:val="none"/>
        </w:rPr>
        <w:t>若响应情况优于招标要求，应作详细说明；“偏离情况”栏中根据响应情况填写，没有达到要求的填“负偏离”，达到要求的填“无偏离”，优于要求的填“正偏离”。</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pStyle w:val="7"/>
        <w:spacing w:line="360" w:lineRule="auto"/>
        <w:rPr>
          <w:color w:val="auto"/>
          <w:highlight w:val="none"/>
          <w:lang w:val="fr-CH"/>
        </w:rPr>
      </w:pPr>
    </w:p>
    <w:p>
      <w:pPr>
        <w:numPr>
          <w:ilvl w:val="0"/>
          <w:numId w:val="14"/>
        </w:numPr>
        <w:tabs>
          <w:tab w:val="left" w:pos="640"/>
          <w:tab w:val="left" w:pos="1260"/>
          <w:tab w:val="left" w:pos="1418"/>
        </w:tabs>
        <w:spacing w:line="360" w:lineRule="auto"/>
        <w:ind w:left="845" w:right="-420" w:rightChars="-200" w:hanging="845"/>
        <w:rPr>
          <w:rFonts w:ascii="宋体" w:hAnsi="宋体" w:cs="宋体"/>
          <w:color w:val="auto"/>
          <w:sz w:val="24"/>
          <w:highlight w:val="none"/>
          <w:lang w:val="sq-AL"/>
        </w:rPr>
      </w:pPr>
      <w:r>
        <w:rPr>
          <w:rFonts w:hint="eastAsia" w:ascii="宋体" w:hAnsi="宋体" w:cs="宋体"/>
          <w:color w:val="auto"/>
          <w:sz w:val="24"/>
          <w:highlight w:val="none"/>
          <w:lang w:val="sq-AL"/>
        </w:rPr>
        <w:br w:type="page"/>
      </w:r>
      <w:bookmarkStart w:id="60" w:name="OLE_LINK32"/>
      <w:r>
        <w:rPr>
          <w:rFonts w:hint="eastAsia" w:ascii="宋体" w:hAnsi="宋体" w:cs="宋体"/>
          <w:color w:val="auto"/>
          <w:sz w:val="24"/>
          <w:highlight w:val="none"/>
          <w:lang w:val="sq-AL"/>
        </w:rPr>
        <w:t>项目实施方案；</w:t>
      </w:r>
    </w:p>
    <w:p>
      <w:pPr>
        <w:numPr>
          <w:ilvl w:val="0"/>
          <w:numId w:val="14"/>
        </w:numPr>
        <w:tabs>
          <w:tab w:val="left" w:pos="640"/>
          <w:tab w:val="left" w:pos="1260"/>
          <w:tab w:val="left" w:pos="1418"/>
        </w:tabs>
        <w:spacing w:line="360" w:lineRule="auto"/>
        <w:ind w:left="845" w:right="-420" w:rightChars="-200" w:hanging="845"/>
        <w:rPr>
          <w:rFonts w:ascii="宋体" w:hAnsi="宋体" w:cs="宋体"/>
          <w:color w:val="auto"/>
          <w:sz w:val="24"/>
          <w:highlight w:val="none"/>
          <w:lang w:val="sq-AL"/>
        </w:rPr>
      </w:pPr>
      <w:r>
        <w:rPr>
          <w:rFonts w:hint="eastAsia" w:ascii="宋体" w:hAnsi="宋体" w:cs="宋体"/>
          <w:color w:val="auto"/>
          <w:sz w:val="24"/>
          <w:highlight w:val="none"/>
          <w:lang w:val="sq-AL"/>
        </w:rPr>
        <w:t>项目重难点分析及解决方案；</w:t>
      </w:r>
    </w:p>
    <w:p>
      <w:pPr>
        <w:numPr>
          <w:ilvl w:val="0"/>
          <w:numId w:val="14"/>
        </w:numPr>
        <w:tabs>
          <w:tab w:val="left" w:pos="640"/>
          <w:tab w:val="left" w:pos="1260"/>
          <w:tab w:val="left" w:pos="1418"/>
        </w:tabs>
        <w:spacing w:line="360" w:lineRule="auto"/>
        <w:ind w:left="845" w:right="-420" w:rightChars="-200" w:hanging="845"/>
        <w:rPr>
          <w:rFonts w:ascii="宋体" w:hAnsi="宋体" w:cs="宋体"/>
          <w:color w:val="auto"/>
          <w:sz w:val="24"/>
          <w:highlight w:val="none"/>
          <w:lang w:val="sq-AL"/>
        </w:rPr>
      </w:pPr>
      <w:r>
        <w:rPr>
          <w:rFonts w:hint="eastAsia" w:ascii="宋体" w:hAnsi="宋体" w:cs="宋体"/>
          <w:color w:val="auto"/>
          <w:sz w:val="24"/>
          <w:highlight w:val="none"/>
          <w:lang w:val="sq-AL"/>
        </w:rPr>
        <w:t>项目管理措施和进度计划；</w:t>
      </w:r>
    </w:p>
    <w:p>
      <w:pPr>
        <w:numPr>
          <w:ilvl w:val="0"/>
          <w:numId w:val="14"/>
        </w:numPr>
        <w:tabs>
          <w:tab w:val="left" w:pos="640"/>
          <w:tab w:val="left" w:pos="1260"/>
          <w:tab w:val="left" w:pos="1418"/>
        </w:tabs>
        <w:spacing w:line="360" w:lineRule="auto"/>
        <w:ind w:left="845" w:right="-420" w:rightChars="-200" w:hanging="845"/>
        <w:rPr>
          <w:rFonts w:ascii="宋体" w:hAnsi="宋体" w:cs="宋体"/>
          <w:color w:val="auto"/>
          <w:sz w:val="24"/>
          <w:highlight w:val="none"/>
          <w:lang w:val="sq-AL"/>
        </w:rPr>
      </w:pPr>
      <w:r>
        <w:rPr>
          <w:rFonts w:hint="eastAsia" w:ascii="宋体" w:hAnsi="宋体" w:cs="宋体"/>
          <w:color w:val="auto"/>
          <w:sz w:val="24"/>
          <w:highlight w:val="none"/>
          <w:lang w:val="sq-AL"/>
        </w:rPr>
        <w:t>现场笔译及口译测试；</w:t>
      </w:r>
      <w:bookmarkEnd w:id="60"/>
    </w:p>
    <w:p>
      <w:pPr>
        <w:tabs>
          <w:tab w:val="left" w:pos="640"/>
          <w:tab w:val="left" w:pos="1260"/>
          <w:tab w:val="left" w:pos="1418"/>
        </w:tabs>
        <w:jc w:val="center"/>
        <w:rPr>
          <w:rFonts w:ascii="宋体" w:hAnsi="宋体" w:cs="宋体"/>
          <w:b/>
          <w:bCs/>
          <w:color w:val="auto"/>
          <w:sz w:val="24"/>
          <w:highlight w:val="none"/>
        </w:rPr>
      </w:pPr>
    </w:p>
    <w:p>
      <w:pPr>
        <w:tabs>
          <w:tab w:val="left" w:pos="640"/>
          <w:tab w:val="left" w:pos="1260"/>
          <w:tab w:val="left" w:pos="1418"/>
        </w:tabs>
        <w:jc w:val="center"/>
        <w:rPr>
          <w:rFonts w:ascii="宋体" w:hAnsi="宋体" w:cs="宋体"/>
          <w:b/>
          <w:bCs/>
          <w:color w:val="auto"/>
          <w:sz w:val="24"/>
          <w:highlight w:val="none"/>
        </w:rPr>
      </w:pPr>
    </w:p>
    <w:p>
      <w:pPr>
        <w:tabs>
          <w:tab w:val="left" w:pos="640"/>
          <w:tab w:val="left" w:pos="1260"/>
          <w:tab w:val="left" w:pos="1418"/>
        </w:tabs>
        <w:jc w:val="center"/>
        <w:rPr>
          <w:rFonts w:ascii="宋体" w:hAnsi="宋体" w:cs="宋体"/>
          <w:b/>
          <w:bCs/>
          <w:color w:val="auto"/>
          <w:sz w:val="24"/>
          <w:highlight w:val="none"/>
        </w:rPr>
      </w:pPr>
      <w:r>
        <w:rPr>
          <w:rFonts w:hint="eastAsia" w:ascii="宋体" w:hAnsi="宋体" w:cs="宋体"/>
          <w:b/>
          <w:bCs/>
          <w:color w:val="auto"/>
          <w:sz w:val="24"/>
          <w:highlight w:val="none"/>
        </w:rPr>
        <w:t>注：以上各项请根据“招标项目评分表”中的要求自行填写并提供相应的证明材料。</w:t>
      </w:r>
    </w:p>
    <w:p>
      <w:pPr>
        <w:numPr>
          <w:ilvl w:val="0"/>
          <w:numId w:val="14"/>
        </w:numPr>
        <w:tabs>
          <w:tab w:val="left" w:pos="640"/>
          <w:tab w:val="left" w:pos="1260"/>
          <w:tab w:val="left" w:pos="1418"/>
        </w:tabs>
        <w:spacing w:line="360" w:lineRule="auto"/>
        <w:ind w:left="845" w:right="-420" w:rightChars="-200" w:hanging="845"/>
        <w:rPr>
          <w:rFonts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投标人认为有必要提供的其他材料。</w:t>
      </w:r>
      <w:bookmarkEnd w:id="40"/>
    </w:p>
    <w:p>
      <w:pPr>
        <w:tabs>
          <w:tab w:val="left" w:pos="360"/>
        </w:tabs>
        <w:spacing w:line="300" w:lineRule="auto"/>
        <w:outlineLvl w:val="0"/>
        <w:rPr>
          <w:rFonts w:ascii="宋体" w:hAnsi="宋体" w:cs="宋体"/>
          <w:b/>
          <w:bCs/>
          <w:color w:val="auto"/>
          <w:sz w:val="24"/>
          <w:highlight w:val="none"/>
        </w:rPr>
      </w:pPr>
      <w:r>
        <w:rPr>
          <w:rFonts w:hint="eastAsia" w:ascii="宋体" w:hAnsi="宋体" w:cs="宋体"/>
          <w:color w:val="auto"/>
          <w:sz w:val="24"/>
          <w:highlight w:val="none"/>
          <w:lang w:val="fr-CH"/>
        </w:rPr>
        <w:br w:type="page"/>
      </w:r>
      <w:bookmarkStart w:id="61" w:name="_Toc742"/>
      <w:bookmarkStart w:id="62" w:name="_Toc2231"/>
      <w:bookmarkStart w:id="63" w:name="_Toc6251"/>
      <w:r>
        <w:rPr>
          <w:rFonts w:hint="eastAsia" w:ascii="宋体" w:hAnsi="宋体" w:cs="宋体"/>
          <w:b/>
          <w:bCs/>
          <w:color w:val="auto"/>
          <w:sz w:val="24"/>
          <w:highlight w:val="none"/>
        </w:rPr>
        <w:t>附件：相关政策</w:t>
      </w:r>
      <w:bookmarkEnd w:id="61"/>
      <w:bookmarkEnd w:id="62"/>
      <w:bookmarkEnd w:id="63"/>
    </w:p>
    <w:p>
      <w:pPr>
        <w:tabs>
          <w:tab w:val="left" w:pos="360"/>
        </w:tabs>
        <w:outlineLvl w:val="1"/>
        <w:rPr>
          <w:rFonts w:ascii="宋体" w:hAnsi="宋体" w:cs="宋体"/>
          <w:b/>
          <w:bCs/>
          <w:color w:val="auto"/>
          <w:sz w:val="24"/>
          <w:highlight w:val="none"/>
        </w:rPr>
      </w:pPr>
      <w:r>
        <w:rPr>
          <w:rFonts w:hint="eastAsia" w:ascii="宋体" w:hAnsi="宋体" w:cs="宋体"/>
          <w:b/>
          <w:bCs/>
          <w:color w:val="auto"/>
          <w:sz w:val="24"/>
          <w:highlight w:val="none"/>
        </w:rPr>
        <w:t>1、财政部、工业和信息化部《关于印发〈政府采购促进中小企业发展管理办法〉的通知》（财库〔2020〕46 号）</w:t>
      </w:r>
    </w:p>
    <w:p>
      <w:pPr>
        <w:pStyle w:val="7"/>
        <w:tabs>
          <w:tab w:val="left" w:pos="562"/>
          <w:tab w:val="left" w:pos="3372"/>
          <w:tab w:val="left" w:pos="3653"/>
        </w:tabs>
        <w:rPr>
          <w:rFonts w:ascii="宋体" w:hAnsi="宋体" w:cs="宋体"/>
          <w:color w:val="auto"/>
          <w:highlight w:val="none"/>
        </w:rPr>
      </w:pPr>
    </w:p>
    <w:p>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关于印发《政府采购促进中小企业发展管理办法》的通知</w:t>
      </w:r>
    </w:p>
    <w:p>
      <w:pPr>
        <w:widowControl/>
        <w:shd w:val="clear" w:color="auto" w:fill="FFFFFF"/>
        <w:spacing w:after="240"/>
        <w:jc w:val="center"/>
        <w:rPr>
          <w:rFonts w:ascii="宋体" w:hAnsi="宋体" w:cs="宋体"/>
          <w:color w:val="auto"/>
          <w:kern w:val="0"/>
          <w:sz w:val="24"/>
          <w:highlight w:val="none"/>
        </w:rPr>
      </w:pPr>
      <w:r>
        <w:rPr>
          <w:rFonts w:hint="eastAsia" w:ascii="宋体" w:hAnsi="宋体" w:cs="宋体"/>
          <w:color w:val="auto"/>
          <w:kern w:val="0"/>
          <w:sz w:val="24"/>
          <w:highlight w:val="none"/>
        </w:rPr>
        <w:t>财库〔2020〕46号</w:t>
      </w:r>
    </w:p>
    <w:p>
      <w:pPr>
        <w:widowControl/>
        <w:shd w:val="clear" w:color="auto" w:fill="FFFFFF"/>
        <w:spacing w:after="240"/>
        <w:jc w:val="left"/>
        <w:rPr>
          <w:rFonts w:ascii="宋体" w:hAnsi="宋体" w:cs="宋体"/>
          <w:color w:val="auto"/>
          <w:kern w:val="0"/>
          <w:sz w:val="24"/>
          <w:highlight w:val="none"/>
        </w:rPr>
      </w:pPr>
      <w:r>
        <w:rPr>
          <w:rFonts w:hint="eastAsia" w:ascii="宋体" w:hAnsi="宋体" w:cs="宋体"/>
          <w:color w:val="auto"/>
          <w:kern w:val="0"/>
          <w:sz w:val="24"/>
          <w:highlight w:val="none"/>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附件：政府采购促进中小企业发展管理办法</w:t>
      </w:r>
    </w:p>
    <w:p>
      <w:pPr>
        <w:widowControl/>
        <w:shd w:val="clear" w:color="auto" w:fill="FFFFFF"/>
        <w:jc w:val="right"/>
        <w:rPr>
          <w:rFonts w:ascii="宋体" w:hAnsi="宋体" w:cs="宋体"/>
          <w:color w:val="auto"/>
          <w:kern w:val="0"/>
          <w:sz w:val="24"/>
          <w:highlight w:val="none"/>
        </w:rPr>
      </w:pPr>
      <w:r>
        <w:rPr>
          <w:rFonts w:hint="eastAsia" w:ascii="宋体" w:hAnsi="宋体" w:cs="宋体"/>
          <w:color w:val="auto"/>
          <w:kern w:val="0"/>
          <w:sz w:val="24"/>
          <w:highlight w:val="none"/>
        </w:rPr>
        <w:t>财  政  部</w:t>
      </w:r>
    </w:p>
    <w:p>
      <w:pPr>
        <w:widowControl/>
        <w:shd w:val="clear" w:color="auto" w:fill="FFFFFF"/>
        <w:jc w:val="right"/>
        <w:rPr>
          <w:rFonts w:ascii="宋体" w:hAnsi="宋体" w:cs="宋体"/>
          <w:color w:val="auto"/>
          <w:kern w:val="0"/>
          <w:sz w:val="24"/>
          <w:highlight w:val="none"/>
        </w:rPr>
      </w:pPr>
      <w:r>
        <w:rPr>
          <w:rFonts w:hint="eastAsia" w:ascii="宋体" w:hAnsi="宋体" w:cs="宋体"/>
          <w:color w:val="auto"/>
          <w:kern w:val="0"/>
          <w:sz w:val="24"/>
          <w:highlight w:val="none"/>
        </w:rPr>
        <w:t>工业和信息化部</w:t>
      </w:r>
    </w:p>
    <w:p>
      <w:pPr>
        <w:widowControl/>
        <w:shd w:val="clear" w:color="auto" w:fill="FFFFFF"/>
        <w:jc w:val="right"/>
        <w:rPr>
          <w:rFonts w:ascii="宋体" w:hAnsi="宋体" w:cs="宋体"/>
          <w:color w:val="auto"/>
          <w:kern w:val="0"/>
          <w:sz w:val="24"/>
          <w:highlight w:val="none"/>
        </w:rPr>
      </w:pPr>
      <w:r>
        <w:rPr>
          <w:rFonts w:hint="eastAsia" w:ascii="宋体" w:hAnsi="宋体" w:cs="宋体"/>
          <w:color w:val="auto"/>
          <w:kern w:val="0"/>
          <w:sz w:val="24"/>
          <w:highlight w:val="none"/>
        </w:rPr>
        <w:t>2020年12月18日</w:t>
      </w:r>
    </w:p>
    <w:p>
      <w:pPr>
        <w:autoSpaceDE w:val="0"/>
        <w:autoSpaceDN w:val="0"/>
        <w:adjustRightInd w:val="0"/>
        <w:jc w:val="left"/>
        <w:rPr>
          <w:rFonts w:ascii="宋体" w:hAnsi="宋体" w:cs="宋体"/>
          <w:color w:val="auto"/>
          <w:kern w:val="0"/>
          <w:sz w:val="24"/>
          <w:highlight w:val="none"/>
        </w:rPr>
      </w:pPr>
    </w:p>
    <w:p>
      <w:pPr>
        <w:jc w:val="center"/>
        <w:rPr>
          <w:rFonts w:ascii="宋体" w:hAnsi="宋体" w:cs="宋体"/>
          <w:b/>
          <w:bCs/>
          <w:color w:val="auto"/>
          <w:sz w:val="24"/>
          <w:highlight w:val="none"/>
        </w:rPr>
      </w:pPr>
      <w:r>
        <w:rPr>
          <w:rFonts w:hint="eastAsia" w:ascii="宋体" w:hAnsi="宋体" w:cs="宋体"/>
          <w:b/>
          <w:bCs/>
          <w:color w:val="auto"/>
          <w:sz w:val="24"/>
          <w:highlight w:val="none"/>
        </w:rPr>
        <w:t>政府采购促进中小企业发展管理办法</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第一条 为了发挥政府采购的政策功能，促进中小企业健康发展，根据《中华人民共和国政府采购法》、《中华人民共和国中小企业促进法》等有关法律法规，制定本办法。</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第三条 采购人在政府采购活动中应当通过加强采购需求管理，落实预留采购份额、价格评审优惠、优先采购等 措施，提高中小企业在政府采购中的份额，支持中小企业发展。</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第四条 在政府采购活动中，供应商提供的货物、工程或者服务符合下列情形的，享受本办法规定的中小企业扶持政策：</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（一）在货物采购项目中，货物由中小企业制造，即货 物由中小企业生产且使用该中小企业商号或者注册商标；</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（二）在工程采购项目中，工程由中小企业承建，即工 程施工单位为中小企业；</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（三）在服务采购项目中，服务由中小企业承接，即提供服务的人员为中小企业依照《中华人民共和国劳动合同法》订立劳动合同的从业人员。</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在货物采购项目中，供应商提供的货物既有中小企业制造货物，也有大型企业制造货物的，不享受本办法规定的中小企业扶持政策。</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以联合体形式参加政府采购活动，联合体各方均为中小企业的，联合体视同中小企业。其中，联合体各方均为小微企业的，联合体视同小微企业。</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7"/>
        <w:tabs>
          <w:tab w:val="left" w:pos="562"/>
          <w:tab w:val="left" w:pos="3372"/>
          <w:tab w:val="left" w:pos="3653"/>
        </w:tabs>
        <w:ind w:firstLine="480" w:firstLineChars="200"/>
        <w:rPr>
          <w:rFonts w:ascii="宋体" w:hAnsi="宋体" w:cs="宋体"/>
          <w:color w:val="auto"/>
          <w:highlight w:val="none"/>
        </w:rPr>
      </w:pPr>
      <w:r>
        <w:rPr>
          <w:rFonts w:hint="eastAsia" w:ascii="宋体" w:hAnsi="宋体" w:cs="宋体"/>
          <w:color w:val="auto"/>
          <w:kern w:val="0"/>
          <w:highlight w:val="none"/>
        </w:rPr>
        <w:t>符合下列情形之一的，可不专门面向中小企业预留采购</w:t>
      </w:r>
      <w:r>
        <w:rPr>
          <w:rFonts w:hint="eastAsia" w:ascii="宋体" w:hAnsi="宋体" w:cs="宋体"/>
          <w:color w:val="auto"/>
          <w:highlight w:val="none"/>
        </w:rPr>
        <w:t>份额：</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（一）法律法规和国家有关政策明确规定优先或者应当面向事业单位、社会组织等非企业主体采购的；</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（二）因确需使用不可替代的专利、专有技术，基础设施限制，或者提供特定公共服务等原因，只能从中小企业之外的供应商处采购的；</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（三）按照本办法规定预留采购份额无法确保充分供应、充分竞争，或者存在可能影响政府采购目标实现的情形；</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（四）框架协议采购项目；</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（五）省级以上人民政府财政部门规定的其他情形。 除上述情形外，其他均为适宜由中小企业提供的情形。</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第七条采购限额标准以上，200万元以下的货物和服务采购项目、400 万元以下的工程采购项目，适宜由中小企业提供的，采购人应当专门面向中小企业采购。</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（一）将采购项目整体或者设置采购包专门面向中小企业采购；</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（二）要求供应商以联合体形式参加采购活动，且联合体中中小企业承担的部分达到一定比例；</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（三）要求获得采购合同的供应商将采购项目中的一定比例分包给一家或者多家中小企业。</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组成联合体或者接受分包合同的中小企业与联合体内 其他企业、分包企业之间不得存在直接控股、管理关系。</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第十二条 采购项目涉及中小企业采购的，采购文件应当明确以下内容：</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（一）预留份额的采购项目或者采购包，明确该项目或相关采购包专门面向中小企业采购，以及相关标的及预算金额；</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（二）要求以联合体形式参加或者合同分包的，明确联合协议或者分包意向协议中中小企业合同金额应当达到的 比例，并作为供应商资格条件；</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（三）非预留份额的采购项目或者采购包，明确有关价格扣除比例或者价格分加分比例；</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（四）规定依据本办法规定享受扶持政策获得政府采购合同的，小微企业不得将合同分包给大中型企业，中型企业不得将合同分包给大型企业；</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（五）采购人认为具备相关条件的，明确对中小企业在资金支付期限、预付款比例等方面的优惠措施；</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（六）明确采购标的对应的中小企业划分标准所属行业；</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（七）法律法规和省级以上人民政府财政部门规定的其他事项。</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第十三条 中标、成交供应商享受本办法规定的中小企业扶持政策的，采购人、采购代理机构应当随中标、成交结果公开中标、成交供应商的《中小企业声明函》。</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适用招标投标法的政府采购工程建设项目，应当在公示中标候选人时公开中标候选人的《中小企业声明函》。</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第十五条 鼓励各地区、各部门在采购活动中允许中小企业引入信用担保手段，为中小企业在投标（响应）保证、履约保证等方面提供专业化服务。鼓励中小企业依法合规通过政府采购合同融资。</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第十六条 政府采购监督检查、投诉处理及政府采购行政处罚中对中小企业的认定，由货物制造商或者工程、服务供应商注册登记所在地的县级以上人民政府中小企业主管部门负责。</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中小企业主管部门应当在收到财政部门或者有关招标 投标行政监督部门关于协助开展中小企业认定函后 10 个工作日内做出书面答复。</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第二十条 供应商按照本办法规定提供声明函内容不实的，属于提供虚假材料谋取中标、成交，依照《中华人民共和国政府采购法》等国家有关规定追究相应责任。</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适用招标投标法的政府采购工程建设项目，投标人按照 本办法规定提供声明函内容不实的，属于弄虚作假骗取中标，依照《中华人民共和国招标投标法》等国家有关规定追究相应责任。</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第二十二条 对外援助项目、国家相关资格或者资质管理制度另有规定的项目，不适用本办法。</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第二十三条 关于视同中小企业的其他主体的政府采购扶持政策，由财政部会同有关部门另行规定。</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第二十四条 省级财政部门可以会同中小企业主管部门根据本办法的规定制定具体实施办法。</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第二十五条 本办法自 2021 年 1 月 1 日起施行。《财政部 工业和信息化部关于印发〈政府采购促进中小企业发展暂行办法〉的通知》（财库﹝2011﹞181 号）同时废止。</w:t>
      </w:r>
    </w:p>
    <w:p>
      <w:pPr>
        <w:pStyle w:val="7"/>
        <w:tabs>
          <w:tab w:val="left" w:pos="562"/>
          <w:tab w:val="left" w:pos="3372"/>
          <w:tab w:val="left" w:pos="3653"/>
        </w:tabs>
        <w:spacing w:before="5"/>
        <w:rPr>
          <w:rFonts w:ascii="宋体" w:hAnsi="宋体" w:cs="宋体"/>
          <w:color w:val="auto"/>
          <w:highlight w:val="none"/>
        </w:rPr>
      </w:pP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附：1.中小企业声明函</w:t>
      </w:r>
    </w:p>
    <w:p>
      <w:pPr>
        <w:pStyle w:val="7"/>
        <w:tabs>
          <w:tab w:val="left" w:pos="562"/>
          <w:tab w:val="left" w:pos="3372"/>
          <w:tab w:val="left" w:pos="3653"/>
        </w:tabs>
        <w:ind w:firstLine="960" w:firstLineChars="400"/>
        <w:rPr>
          <w:rFonts w:ascii="宋体" w:hAnsi="宋体" w:cs="宋体"/>
          <w:color w:val="auto"/>
          <w:kern w:val="0"/>
          <w:highlight w:val="none"/>
        </w:rPr>
      </w:pPr>
      <w:r>
        <w:rPr>
          <w:rFonts w:hint="eastAsia" w:ascii="宋体" w:hAnsi="宋体" w:cs="宋体"/>
          <w:color w:val="auto"/>
          <w:kern w:val="0"/>
          <w:highlight w:val="none"/>
        </w:rPr>
        <w:t>2.面向中小企业预留项目执行情况公告</w:t>
      </w:r>
    </w:p>
    <w:p>
      <w:pPr>
        <w:pStyle w:val="7"/>
        <w:tabs>
          <w:tab w:val="left" w:pos="562"/>
          <w:tab w:val="left" w:pos="3372"/>
          <w:tab w:val="left" w:pos="3653"/>
        </w:tabs>
        <w:spacing w:before="30"/>
        <w:rPr>
          <w:rFonts w:ascii="宋体" w:hAnsi="宋体" w:cs="宋体"/>
          <w:b/>
          <w:bCs/>
          <w:color w:val="auto"/>
          <w:highlight w:val="none"/>
        </w:rPr>
      </w:pPr>
      <w:r>
        <w:rPr>
          <w:rFonts w:hint="eastAsia" w:ascii="宋体" w:hAnsi="宋体" w:cs="宋体"/>
          <w:b/>
          <w:bCs/>
          <w:color w:val="auto"/>
          <w:highlight w:val="none"/>
        </w:rPr>
        <w:br w:type="page"/>
      </w:r>
      <w:r>
        <w:rPr>
          <w:rFonts w:hint="eastAsia" w:ascii="宋体" w:hAnsi="宋体" w:cs="宋体"/>
          <w:b/>
          <w:bCs/>
          <w:color w:val="auto"/>
          <w:highlight w:val="none"/>
        </w:rPr>
        <w:t>附 1</w:t>
      </w:r>
    </w:p>
    <w:p>
      <w:pPr>
        <w:spacing w:after="319" w:afterLines="100"/>
        <w:jc w:val="center"/>
        <w:rPr>
          <w:rFonts w:ascii="宋体" w:hAnsi="宋体" w:cs="宋体"/>
          <w:color w:val="auto"/>
          <w:sz w:val="24"/>
          <w:highlight w:val="none"/>
        </w:rPr>
      </w:pPr>
      <w:r>
        <w:rPr>
          <w:rFonts w:hint="eastAsia" w:ascii="宋体" w:hAnsi="宋体" w:cs="宋体"/>
          <w:color w:val="auto"/>
          <w:sz w:val="24"/>
          <w:highlight w:val="none"/>
        </w:rPr>
        <w:t>中小企业声明函（货物）</w:t>
      </w:r>
    </w:p>
    <w:p>
      <w:pPr>
        <w:pStyle w:val="7"/>
        <w:tabs>
          <w:tab w:val="left" w:pos="562"/>
          <w:tab w:val="left" w:pos="3372"/>
          <w:tab w:val="left" w:pos="3653"/>
        </w:tabs>
        <w:ind w:firstLine="472" w:firstLineChars="200"/>
        <w:rPr>
          <w:rFonts w:ascii="宋体" w:hAnsi="宋体" w:cs="宋体"/>
          <w:color w:val="auto"/>
          <w:spacing w:val="-2"/>
          <w:highlight w:val="none"/>
        </w:rPr>
      </w:pPr>
      <w:r>
        <w:rPr>
          <w:rFonts w:hint="eastAsia" w:ascii="宋体" w:hAnsi="宋体" w:cs="宋体"/>
          <w:color w:val="auto"/>
          <w:spacing w:val="-2"/>
          <w:highlight w:val="none"/>
        </w:rPr>
        <w:t>本公司（联合体）郑重声明，根据《政府采购促进中小企业发展管理办法》（财库﹝2020﹞46 号）的规定，本公司（联合体）参加（</w:t>
      </w:r>
      <w:r>
        <w:rPr>
          <w:rFonts w:hint="eastAsia" w:ascii="宋体" w:hAnsi="宋体" w:cs="宋体"/>
          <w:color w:val="auto"/>
          <w:spacing w:val="-2"/>
          <w:highlight w:val="none"/>
          <w:u w:val="single"/>
        </w:rPr>
        <w:t>单位名称</w:t>
      </w:r>
      <w:r>
        <w:rPr>
          <w:rFonts w:hint="eastAsia" w:ascii="宋体" w:hAnsi="宋体" w:cs="宋体"/>
          <w:color w:val="auto"/>
          <w:spacing w:val="-2"/>
          <w:highlight w:val="none"/>
        </w:rPr>
        <w:t>）的（</w:t>
      </w:r>
      <w:r>
        <w:rPr>
          <w:rFonts w:hint="eastAsia" w:ascii="宋体" w:hAnsi="宋体" w:cs="宋体"/>
          <w:color w:val="auto"/>
          <w:spacing w:val="-2"/>
          <w:highlight w:val="none"/>
          <w:u w:val="single"/>
        </w:rPr>
        <w:t>项目名称</w:t>
      </w:r>
      <w:r>
        <w:rPr>
          <w:rFonts w:hint="eastAsia" w:ascii="宋体" w:hAnsi="宋体" w:cs="宋体"/>
          <w:color w:val="auto"/>
          <w:spacing w:val="-2"/>
          <w:highlight w:val="none"/>
        </w:rPr>
        <w:t>）采购活动，提供的货物全部由符合政策要求的中小企业制造。相关企业（含联合体中的中小企业、签订分包意向协议的中小企业） 的具体情况如下：</w:t>
      </w:r>
    </w:p>
    <w:p>
      <w:pPr>
        <w:pStyle w:val="7"/>
        <w:tabs>
          <w:tab w:val="left" w:pos="562"/>
          <w:tab w:val="left" w:pos="3372"/>
          <w:tab w:val="left" w:pos="3653"/>
        </w:tabs>
        <w:ind w:firstLine="480" w:firstLineChars="200"/>
        <w:rPr>
          <w:rFonts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u w:val="single"/>
        </w:rPr>
        <w:t>标的名称</w:t>
      </w:r>
      <w:r>
        <w:rPr>
          <w:rFonts w:hint="eastAsia" w:ascii="宋体" w:hAnsi="宋体" w:cs="宋体"/>
          <w:color w:val="auto"/>
          <w:kern w:val="0"/>
          <w:highlight w:val="none"/>
        </w:rPr>
        <w:t>），属于（</w:t>
      </w:r>
      <w:r>
        <w:rPr>
          <w:rFonts w:hint="eastAsia" w:ascii="宋体" w:hAnsi="宋体" w:cs="宋体"/>
          <w:color w:val="auto"/>
          <w:kern w:val="0"/>
          <w:highlight w:val="none"/>
          <w:u w:val="single"/>
        </w:rPr>
        <w:t>采购文件中明确的所属行业</w:t>
      </w:r>
      <w:r>
        <w:rPr>
          <w:rFonts w:hint="eastAsia" w:ascii="宋体" w:hAnsi="宋体" w:cs="宋体"/>
          <w:color w:val="auto"/>
          <w:kern w:val="0"/>
          <w:highlight w:val="none"/>
        </w:rPr>
        <w:t>）；制造商为（</w:t>
      </w:r>
      <w:r>
        <w:rPr>
          <w:rFonts w:hint="eastAsia" w:ascii="宋体" w:hAnsi="宋体" w:cs="宋体"/>
          <w:color w:val="auto"/>
          <w:kern w:val="0"/>
          <w:highlight w:val="none"/>
          <w:u w:val="single"/>
        </w:rPr>
        <w:t>企业名称</w:t>
      </w:r>
      <w:r>
        <w:rPr>
          <w:rFonts w:hint="eastAsia" w:ascii="宋体" w:hAnsi="宋体" w:cs="宋体"/>
          <w:color w:val="auto"/>
          <w:kern w:val="0"/>
          <w:highlight w:val="none"/>
        </w:rPr>
        <w:t>），从业人员</w:t>
      </w:r>
      <w:r>
        <w:rPr>
          <w:rFonts w:hint="eastAsia" w:ascii="宋体" w:hAnsi="宋体" w:cs="宋体"/>
          <w:color w:val="auto"/>
          <w:kern w:val="0"/>
          <w:highlight w:val="none"/>
          <w:u w:val="single"/>
        </w:rPr>
        <w:tab/>
      </w:r>
      <w:r>
        <w:rPr>
          <w:rFonts w:hint="eastAsia" w:ascii="宋体" w:hAnsi="宋体" w:cs="宋体"/>
          <w:color w:val="auto"/>
          <w:kern w:val="0"/>
          <w:highlight w:val="none"/>
        </w:rPr>
        <w:t xml:space="preserve">人，营业收入为 </w:t>
      </w:r>
      <w:r>
        <w:rPr>
          <w:rFonts w:hint="eastAsia" w:ascii="宋体" w:hAnsi="宋体" w:cs="宋体"/>
          <w:color w:val="auto"/>
          <w:kern w:val="0"/>
          <w:highlight w:val="none"/>
          <w:u w:val="single"/>
        </w:rPr>
        <w:tab/>
      </w:r>
      <w:r>
        <w:rPr>
          <w:rFonts w:hint="eastAsia" w:ascii="宋体" w:hAnsi="宋体" w:cs="宋体"/>
          <w:color w:val="auto"/>
          <w:kern w:val="0"/>
          <w:highlight w:val="none"/>
        </w:rPr>
        <w:t>万元，资产总额为</w:t>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万元，属于（</w:t>
      </w:r>
      <w:r>
        <w:rPr>
          <w:rFonts w:hint="eastAsia" w:ascii="宋体" w:hAnsi="宋体" w:cs="宋体"/>
          <w:color w:val="auto"/>
          <w:kern w:val="0"/>
          <w:highlight w:val="none"/>
          <w:u w:val="single"/>
        </w:rPr>
        <w:t>中型企业、小型企业、微型企业</w:t>
      </w:r>
      <w:r>
        <w:rPr>
          <w:rFonts w:hint="eastAsia" w:ascii="宋体" w:hAnsi="宋体" w:cs="宋体"/>
          <w:color w:val="auto"/>
          <w:kern w:val="0"/>
          <w:highlight w:val="none"/>
        </w:rPr>
        <w:t>）；</w:t>
      </w:r>
    </w:p>
    <w:p>
      <w:pPr>
        <w:pStyle w:val="7"/>
        <w:tabs>
          <w:tab w:val="left" w:pos="562"/>
          <w:tab w:val="left" w:pos="3372"/>
          <w:tab w:val="left" w:pos="3653"/>
        </w:tabs>
        <w:ind w:firstLine="472" w:firstLineChars="200"/>
        <w:rPr>
          <w:rFonts w:ascii="宋体" w:hAnsi="宋体" w:cs="宋体"/>
          <w:color w:val="auto"/>
          <w:spacing w:val="-2"/>
          <w:highlight w:val="none"/>
        </w:rPr>
      </w:pPr>
      <w:r>
        <w:rPr>
          <w:rFonts w:hint="eastAsia" w:ascii="宋体" w:hAnsi="宋体" w:cs="宋体"/>
          <w:color w:val="auto"/>
          <w:spacing w:val="-2"/>
          <w:highlight w:val="none"/>
        </w:rPr>
        <w:t>2、（</w:t>
      </w:r>
      <w:r>
        <w:rPr>
          <w:rFonts w:hint="eastAsia" w:ascii="宋体" w:hAnsi="宋体" w:cs="宋体"/>
          <w:color w:val="auto"/>
          <w:spacing w:val="-2"/>
          <w:highlight w:val="none"/>
          <w:u w:val="single"/>
        </w:rPr>
        <w:t>标的名称</w:t>
      </w:r>
      <w:r>
        <w:rPr>
          <w:rFonts w:hint="eastAsia" w:ascii="宋体" w:hAnsi="宋体" w:cs="宋体"/>
          <w:color w:val="auto"/>
          <w:spacing w:val="-2"/>
          <w:highlight w:val="none"/>
        </w:rPr>
        <w:t>），属于（</w:t>
      </w:r>
      <w:r>
        <w:rPr>
          <w:rFonts w:hint="eastAsia" w:ascii="宋体" w:hAnsi="宋体" w:cs="宋体"/>
          <w:color w:val="auto"/>
          <w:spacing w:val="-2"/>
          <w:highlight w:val="none"/>
          <w:u w:val="single"/>
        </w:rPr>
        <w:t>采购文件中明确的所属行业</w:t>
      </w:r>
      <w:r>
        <w:rPr>
          <w:rFonts w:hint="eastAsia" w:ascii="宋体" w:hAnsi="宋体" w:cs="宋体"/>
          <w:color w:val="auto"/>
          <w:spacing w:val="-2"/>
          <w:highlight w:val="none"/>
        </w:rPr>
        <w:t>）；制造商为（</w:t>
      </w:r>
      <w:r>
        <w:rPr>
          <w:rFonts w:hint="eastAsia" w:ascii="宋体" w:hAnsi="宋体" w:cs="宋体"/>
          <w:color w:val="auto"/>
          <w:spacing w:val="-2"/>
          <w:highlight w:val="none"/>
          <w:u w:val="single"/>
        </w:rPr>
        <w:t>企业名称</w:t>
      </w:r>
      <w:r>
        <w:rPr>
          <w:rFonts w:hint="eastAsia" w:ascii="宋体" w:hAnsi="宋体" w:cs="宋体"/>
          <w:color w:val="auto"/>
          <w:spacing w:val="-2"/>
          <w:highlight w:val="none"/>
        </w:rPr>
        <w:t>），从业人员</w:t>
      </w:r>
      <w:r>
        <w:rPr>
          <w:rFonts w:hint="eastAsia" w:ascii="宋体" w:hAnsi="宋体" w:cs="宋体"/>
          <w:color w:val="auto"/>
          <w:spacing w:val="-2"/>
          <w:highlight w:val="none"/>
          <w:u w:val="single"/>
        </w:rPr>
        <w:t xml:space="preserve">    </w:t>
      </w:r>
      <w:r>
        <w:rPr>
          <w:rFonts w:hint="eastAsia" w:ascii="宋体" w:hAnsi="宋体" w:cs="宋体"/>
          <w:color w:val="auto"/>
          <w:spacing w:val="-2"/>
          <w:highlight w:val="none"/>
        </w:rPr>
        <w:t>人，营业收入为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万元，资产总额为</w:t>
      </w:r>
      <w:r>
        <w:rPr>
          <w:rFonts w:hint="eastAsia" w:ascii="宋体" w:hAnsi="宋体" w:cs="宋体"/>
          <w:color w:val="auto"/>
          <w:spacing w:val="-2"/>
          <w:highlight w:val="none"/>
          <w:u w:val="single"/>
        </w:rPr>
        <w:t xml:space="preserve">   </w:t>
      </w:r>
      <w:r>
        <w:rPr>
          <w:rFonts w:hint="eastAsia" w:ascii="宋体" w:hAnsi="宋体" w:cs="宋体"/>
          <w:color w:val="auto"/>
          <w:spacing w:val="-2"/>
          <w:highlight w:val="none"/>
        </w:rPr>
        <w:t>万元，属于（</w:t>
      </w:r>
      <w:r>
        <w:rPr>
          <w:rFonts w:hint="eastAsia" w:ascii="宋体" w:hAnsi="宋体" w:cs="宋体"/>
          <w:color w:val="auto"/>
          <w:spacing w:val="-2"/>
          <w:highlight w:val="none"/>
          <w:u w:val="single"/>
        </w:rPr>
        <w:t>中型企业、小型企业、微型企业</w:t>
      </w:r>
      <w:r>
        <w:rPr>
          <w:rFonts w:hint="eastAsia" w:ascii="宋体" w:hAnsi="宋体" w:cs="宋体"/>
          <w:color w:val="auto"/>
          <w:spacing w:val="-2"/>
          <w:highlight w:val="none"/>
        </w:rPr>
        <w:t>）；</w:t>
      </w:r>
    </w:p>
    <w:p>
      <w:pPr>
        <w:pStyle w:val="7"/>
        <w:tabs>
          <w:tab w:val="left" w:pos="562"/>
          <w:tab w:val="left" w:pos="3372"/>
          <w:tab w:val="left" w:pos="3653"/>
        </w:tabs>
        <w:ind w:firstLine="472" w:firstLineChars="200"/>
        <w:rPr>
          <w:rFonts w:ascii="宋体" w:hAnsi="宋体" w:cs="宋体"/>
          <w:color w:val="auto"/>
          <w:spacing w:val="-2"/>
          <w:highlight w:val="none"/>
        </w:rPr>
      </w:pPr>
      <w:r>
        <w:rPr>
          <w:rFonts w:hint="eastAsia" w:ascii="宋体" w:hAnsi="宋体" w:cs="宋体"/>
          <w:color w:val="auto"/>
          <w:spacing w:val="-2"/>
          <w:highlight w:val="none"/>
        </w:rPr>
        <w:t>……</w:t>
      </w:r>
    </w:p>
    <w:p>
      <w:pPr>
        <w:pStyle w:val="7"/>
        <w:tabs>
          <w:tab w:val="left" w:pos="562"/>
          <w:tab w:val="left" w:pos="3372"/>
          <w:tab w:val="left" w:pos="3653"/>
        </w:tabs>
        <w:ind w:firstLine="472" w:firstLineChars="200"/>
        <w:rPr>
          <w:rFonts w:ascii="宋体" w:hAnsi="宋体" w:cs="宋体"/>
          <w:color w:val="auto"/>
          <w:spacing w:val="-2"/>
          <w:highlight w:val="none"/>
        </w:rPr>
      </w:pPr>
      <w:r>
        <w:rPr>
          <w:rFonts w:hint="eastAsia" w:ascii="宋体" w:hAnsi="宋体" w:cs="宋体"/>
          <w:color w:val="auto"/>
          <w:spacing w:val="-2"/>
          <w:highlight w:val="none"/>
        </w:rPr>
        <w:t>以上企业，不属于大企业的分支机构，不存在控股股东为大企业的情形，也不存在与大企业的负责人为同一人的情形。</w:t>
      </w:r>
    </w:p>
    <w:p>
      <w:pPr>
        <w:pStyle w:val="7"/>
        <w:tabs>
          <w:tab w:val="left" w:pos="562"/>
          <w:tab w:val="left" w:pos="3372"/>
          <w:tab w:val="left" w:pos="3653"/>
        </w:tabs>
        <w:ind w:firstLine="472" w:firstLineChars="200"/>
        <w:rPr>
          <w:rFonts w:ascii="宋体" w:hAnsi="宋体" w:cs="宋体"/>
          <w:color w:val="auto"/>
          <w:spacing w:val="-2"/>
          <w:highlight w:val="none"/>
        </w:rPr>
      </w:pPr>
      <w:r>
        <w:rPr>
          <w:rFonts w:hint="eastAsia" w:ascii="宋体" w:hAnsi="宋体" w:cs="宋体"/>
          <w:color w:val="auto"/>
          <w:spacing w:val="-2"/>
          <w:highlight w:val="none"/>
        </w:rPr>
        <w:t>本企业对上述声明内容的真实性负责。如有虚假，将依法承担相应责任。</w:t>
      </w:r>
    </w:p>
    <w:p>
      <w:pPr>
        <w:pStyle w:val="7"/>
        <w:tabs>
          <w:tab w:val="left" w:pos="562"/>
          <w:tab w:val="left" w:pos="3372"/>
          <w:tab w:val="left" w:pos="3653"/>
        </w:tabs>
        <w:ind w:firstLine="472" w:firstLineChars="200"/>
        <w:rPr>
          <w:rFonts w:ascii="宋体" w:hAnsi="宋体" w:cs="宋体"/>
          <w:color w:val="auto"/>
          <w:spacing w:val="-2"/>
          <w:highlight w:val="none"/>
        </w:rPr>
      </w:pPr>
      <w:r>
        <w:rPr>
          <w:rFonts w:hint="eastAsia" w:ascii="宋体" w:hAnsi="宋体" w:cs="宋体"/>
          <w:color w:val="auto"/>
          <w:spacing w:val="-2"/>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7"/>
        <w:tabs>
          <w:tab w:val="left" w:pos="562"/>
          <w:tab w:val="left" w:pos="3372"/>
          <w:tab w:val="left" w:pos="3653"/>
        </w:tabs>
        <w:ind w:left="4200" w:leftChars="2000"/>
        <w:rPr>
          <w:rFonts w:ascii="宋体" w:hAnsi="宋体" w:cs="宋体"/>
          <w:color w:val="auto"/>
          <w:highlight w:val="none"/>
        </w:rPr>
      </w:pPr>
      <w:r>
        <w:rPr>
          <w:rFonts w:hint="eastAsia" w:ascii="宋体" w:hAnsi="宋体" w:cs="宋体"/>
          <w:color w:val="auto"/>
          <w:spacing w:val="-2"/>
          <w:highlight w:val="none"/>
        </w:rPr>
        <w:t>企业名称（盖章）日期：</w:t>
      </w:r>
    </w:p>
    <w:p>
      <w:pPr>
        <w:pStyle w:val="7"/>
        <w:tabs>
          <w:tab w:val="left" w:pos="562"/>
          <w:tab w:val="left" w:pos="3372"/>
          <w:tab w:val="left" w:pos="3653"/>
        </w:tabs>
        <w:jc w:val="center"/>
        <w:rPr>
          <w:rFonts w:ascii="宋体" w:hAnsi="宋体" w:cs="宋体"/>
          <w:color w:val="auto"/>
          <w:spacing w:val="-2"/>
          <w:highlight w:val="none"/>
        </w:rPr>
      </w:pPr>
      <w:r>
        <w:rPr>
          <w:rFonts w:hint="eastAsia" w:ascii="宋体" w:hAnsi="宋体" w:cs="宋体"/>
          <w:color w:val="auto"/>
          <w:spacing w:val="-2"/>
          <w:highlight w:val="none"/>
        </w:rPr>
        <w:t>从业人员、营业收入、资产总额填报上一年度数据，无上一年度数据的新成立企业可不填报。</w:t>
      </w:r>
    </w:p>
    <w:p>
      <w:pPr>
        <w:spacing w:after="319" w:afterLines="100"/>
        <w:jc w:val="cente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中小企业声明函（工程、服务）</w:t>
      </w:r>
    </w:p>
    <w:p>
      <w:pPr>
        <w:pStyle w:val="7"/>
        <w:tabs>
          <w:tab w:val="left" w:pos="562"/>
          <w:tab w:val="left" w:pos="3372"/>
          <w:tab w:val="left" w:pos="3653"/>
        </w:tabs>
        <w:ind w:firstLine="472" w:firstLineChars="200"/>
        <w:rPr>
          <w:rFonts w:ascii="宋体" w:hAnsi="宋体" w:cs="宋体"/>
          <w:color w:val="auto"/>
          <w:spacing w:val="-2"/>
          <w:highlight w:val="none"/>
        </w:rPr>
      </w:pPr>
      <w:r>
        <w:rPr>
          <w:rFonts w:hint="eastAsia" w:ascii="宋体" w:hAnsi="宋体" w:cs="宋体"/>
          <w:color w:val="auto"/>
          <w:spacing w:val="-2"/>
          <w:highlight w:val="none"/>
        </w:rPr>
        <w:t>本公司（联合体）郑重声明，根据《政府采购促进中小企业发展管理办法》（财库﹝2020﹞46 号）的规定，本公司（联合体）参加（</w:t>
      </w:r>
      <w:r>
        <w:rPr>
          <w:rFonts w:hint="eastAsia" w:ascii="宋体" w:hAnsi="宋体" w:cs="宋体"/>
          <w:color w:val="auto"/>
          <w:spacing w:val="-2"/>
          <w:highlight w:val="none"/>
          <w:u w:val="single"/>
        </w:rPr>
        <w:t>单位名称</w:t>
      </w:r>
      <w:r>
        <w:rPr>
          <w:rFonts w:hint="eastAsia" w:ascii="宋体" w:hAnsi="宋体" w:cs="宋体"/>
          <w:color w:val="auto"/>
          <w:spacing w:val="-2"/>
          <w:highlight w:val="none"/>
        </w:rPr>
        <w:t>）的（</w:t>
      </w:r>
      <w:r>
        <w:rPr>
          <w:rFonts w:hint="eastAsia" w:ascii="宋体" w:hAnsi="宋体" w:cs="宋体"/>
          <w:color w:val="auto"/>
          <w:spacing w:val="-2"/>
          <w:highlight w:val="none"/>
          <w:u w:val="single"/>
        </w:rPr>
        <w:t>项目名称</w:t>
      </w:r>
      <w:r>
        <w:rPr>
          <w:rFonts w:hint="eastAsia" w:ascii="宋体" w:hAnsi="宋体" w:cs="宋体"/>
          <w:color w:val="auto"/>
          <w:spacing w:val="-2"/>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pStyle w:val="7"/>
        <w:tabs>
          <w:tab w:val="left" w:pos="562"/>
          <w:tab w:val="left" w:pos="3372"/>
          <w:tab w:val="left" w:pos="3653"/>
        </w:tabs>
        <w:ind w:firstLine="472" w:firstLineChars="200"/>
        <w:rPr>
          <w:rFonts w:ascii="宋体" w:hAnsi="宋体" w:cs="宋体"/>
          <w:color w:val="auto"/>
          <w:spacing w:val="-2"/>
          <w:highlight w:val="none"/>
        </w:rPr>
      </w:pPr>
      <w:r>
        <w:rPr>
          <w:rFonts w:hint="eastAsia" w:ascii="宋体" w:hAnsi="宋体" w:cs="宋体"/>
          <w:color w:val="auto"/>
          <w:spacing w:val="-2"/>
          <w:highlight w:val="none"/>
        </w:rPr>
        <w:t>1、（</w:t>
      </w:r>
      <w:r>
        <w:rPr>
          <w:rFonts w:hint="eastAsia" w:ascii="宋体" w:hAnsi="宋体" w:cs="宋体"/>
          <w:color w:val="auto"/>
          <w:spacing w:val="-2"/>
          <w:highlight w:val="none"/>
          <w:u w:val="single"/>
        </w:rPr>
        <w:t>标的名称</w:t>
      </w:r>
      <w:r>
        <w:rPr>
          <w:rFonts w:hint="eastAsia" w:ascii="宋体" w:hAnsi="宋体" w:cs="宋体"/>
          <w:color w:val="auto"/>
          <w:spacing w:val="-2"/>
          <w:highlight w:val="none"/>
        </w:rPr>
        <w:t>），属于（</w:t>
      </w:r>
      <w:r>
        <w:rPr>
          <w:rFonts w:hint="eastAsia" w:ascii="宋体" w:hAnsi="宋体" w:cs="宋体"/>
          <w:color w:val="auto"/>
          <w:spacing w:val="-2"/>
          <w:highlight w:val="none"/>
          <w:u w:val="single"/>
        </w:rPr>
        <w:t>采购文件中明确的所属行业</w:t>
      </w:r>
      <w:r>
        <w:rPr>
          <w:rFonts w:hint="eastAsia" w:ascii="宋体" w:hAnsi="宋体" w:cs="宋体"/>
          <w:color w:val="auto"/>
          <w:spacing w:val="-2"/>
          <w:highlight w:val="none"/>
        </w:rPr>
        <w:t>）；承建（承接）企业为（</w:t>
      </w:r>
      <w:r>
        <w:rPr>
          <w:rFonts w:hint="eastAsia" w:ascii="宋体" w:hAnsi="宋体" w:cs="宋体"/>
          <w:color w:val="auto"/>
          <w:spacing w:val="-2"/>
          <w:highlight w:val="none"/>
          <w:u w:val="single"/>
        </w:rPr>
        <w:t>企业名称</w:t>
      </w:r>
      <w:r>
        <w:rPr>
          <w:rFonts w:hint="eastAsia" w:ascii="宋体" w:hAnsi="宋体" w:cs="宋体"/>
          <w:color w:val="auto"/>
          <w:spacing w:val="-2"/>
          <w:highlight w:val="none"/>
        </w:rPr>
        <w:t>），从业人员</w:t>
      </w:r>
      <w:r>
        <w:rPr>
          <w:rFonts w:hint="eastAsia" w:ascii="宋体" w:hAnsi="宋体" w:cs="宋体"/>
          <w:color w:val="auto"/>
          <w:spacing w:val="-2"/>
          <w:highlight w:val="none"/>
          <w:u w:val="single"/>
        </w:rPr>
        <w:tab/>
      </w:r>
      <w:r>
        <w:rPr>
          <w:rFonts w:hint="eastAsia" w:ascii="宋体" w:hAnsi="宋体" w:cs="宋体"/>
          <w:color w:val="auto"/>
          <w:spacing w:val="-2"/>
          <w:highlight w:val="none"/>
        </w:rPr>
        <w:t>人，营业收入为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万元，资产总额为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万元，属于（</w:t>
      </w:r>
      <w:r>
        <w:rPr>
          <w:rFonts w:hint="eastAsia" w:ascii="宋体" w:hAnsi="宋体" w:cs="宋体"/>
          <w:color w:val="auto"/>
          <w:spacing w:val="-2"/>
          <w:highlight w:val="none"/>
          <w:u w:val="single"/>
        </w:rPr>
        <w:t>中型企业、小型企业、微型企业</w:t>
      </w:r>
      <w:r>
        <w:rPr>
          <w:rFonts w:hint="eastAsia" w:ascii="宋体" w:hAnsi="宋体" w:cs="宋体"/>
          <w:color w:val="auto"/>
          <w:spacing w:val="-2"/>
          <w:highlight w:val="none"/>
        </w:rPr>
        <w:t>）。</w:t>
      </w:r>
    </w:p>
    <w:p>
      <w:pPr>
        <w:pStyle w:val="7"/>
        <w:tabs>
          <w:tab w:val="left" w:pos="562"/>
          <w:tab w:val="left" w:pos="3372"/>
          <w:tab w:val="left" w:pos="3653"/>
        </w:tabs>
        <w:ind w:firstLine="472" w:firstLineChars="200"/>
        <w:rPr>
          <w:rFonts w:ascii="宋体" w:hAnsi="宋体" w:cs="宋体"/>
          <w:color w:val="auto"/>
          <w:spacing w:val="-2"/>
          <w:highlight w:val="none"/>
        </w:rPr>
      </w:pPr>
      <w:r>
        <w:rPr>
          <w:rFonts w:hint="eastAsia" w:ascii="宋体" w:hAnsi="宋体" w:cs="宋体"/>
          <w:color w:val="auto"/>
          <w:spacing w:val="-2"/>
          <w:highlight w:val="none"/>
        </w:rPr>
        <w:t>2、（</w:t>
      </w:r>
      <w:r>
        <w:rPr>
          <w:rFonts w:hint="eastAsia" w:ascii="宋体" w:hAnsi="宋体" w:cs="宋体"/>
          <w:color w:val="auto"/>
          <w:spacing w:val="-2"/>
          <w:highlight w:val="none"/>
          <w:u w:val="single"/>
        </w:rPr>
        <w:t>标的名称</w:t>
      </w:r>
      <w:r>
        <w:rPr>
          <w:rFonts w:hint="eastAsia" w:ascii="宋体" w:hAnsi="宋体" w:cs="宋体"/>
          <w:color w:val="auto"/>
          <w:spacing w:val="-2"/>
          <w:highlight w:val="none"/>
        </w:rPr>
        <w:t>），属于（</w:t>
      </w:r>
      <w:r>
        <w:rPr>
          <w:rFonts w:hint="eastAsia" w:ascii="宋体" w:hAnsi="宋体" w:cs="宋体"/>
          <w:color w:val="auto"/>
          <w:spacing w:val="-2"/>
          <w:highlight w:val="none"/>
          <w:u w:val="single"/>
        </w:rPr>
        <w:t>采购文件中明确的所属行业</w:t>
      </w:r>
      <w:r>
        <w:rPr>
          <w:rFonts w:hint="eastAsia" w:ascii="宋体" w:hAnsi="宋体" w:cs="宋体"/>
          <w:color w:val="auto"/>
          <w:spacing w:val="-2"/>
          <w:highlight w:val="none"/>
        </w:rPr>
        <w:t>） ；承建（承接）企业为（</w:t>
      </w:r>
      <w:r>
        <w:rPr>
          <w:rFonts w:hint="eastAsia" w:ascii="宋体" w:hAnsi="宋体" w:cs="宋体"/>
          <w:color w:val="auto"/>
          <w:spacing w:val="-2"/>
          <w:highlight w:val="none"/>
          <w:u w:val="single"/>
        </w:rPr>
        <w:t>企业名称</w:t>
      </w:r>
      <w:r>
        <w:rPr>
          <w:rFonts w:hint="eastAsia" w:ascii="宋体" w:hAnsi="宋体" w:cs="宋体"/>
          <w:color w:val="auto"/>
          <w:spacing w:val="-2"/>
          <w:highlight w:val="none"/>
        </w:rPr>
        <w:t>），从业人员</w:t>
      </w:r>
      <w:r>
        <w:rPr>
          <w:rFonts w:hint="eastAsia" w:ascii="宋体" w:hAnsi="宋体" w:cs="宋体"/>
          <w:color w:val="auto"/>
          <w:spacing w:val="-2"/>
          <w:highlight w:val="none"/>
          <w:u w:val="single"/>
        </w:rPr>
        <w:tab/>
      </w:r>
      <w:r>
        <w:rPr>
          <w:rFonts w:hint="eastAsia" w:ascii="宋体" w:hAnsi="宋体" w:cs="宋体"/>
          <w:color w:val="auto"/>
          <w:spacing w:val="-2"/>
          <w:highlight w:val="none"/>
        </w:rPr>
        <w:t>人，营业收入为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万元，资产总额为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万元，属于（</w:t>
      </w:r>
      <w:r>
        <w:rPr>
          <w:rFonts w:hint="eastAsia" w:ascii="宋体" w:hAnsi="宋体" w:cs="宋体"/>
          <w:color w:val="auto"/>
          <w:spacing w:val="-2"/>
          <w:highlight w:val="none"/>
          <w:u w:val="single"/>
        </w:rPr>
        <w:t>中型企业、小型企业、微型企业</w:t>
      </w:r>
      <w:r>
        <w:rPr>
          <w:rFonts w:hint="eastAsia" w:ascii="宋体" w:hAnsi="宋体" w:cs="宋体"/>
          <w:color w:val="auto"/>
          <w:spacing w:val="-2"/>
          <w:highlight w:val="none"/>
        </w:rPr>
        <w:t>）；</w:t>
      </w:r>
    </w:p>
    <w:p>
      <w:pPr>
        <w:pStyle w:val="7"/>
        <w:tabs>
          <w:tab w:val="left" w:pos="562"/>
          <w:tab w:val="left" w:pos="3372"/>
          <w:tab w:val="left" w:pos="3653"/>
        </w:tabs>
        <w:ind w:firstLine="472" w:firstLineChars="200"/>
        <w:rPr>
          <w:rFonts w:ascii="宋体" w:hAnsi="宋体" w:cs="宋体"/>
          <w:color w:val="auto"/>
          <w:spacing w:val="-2"/>
          <w:highlight w:val="none"/>
        </w:rPr>
      </w:pPr>
      <w:r>
        <w:rPr>
          <w:rFonts w:hint="eastAsia" w:ascii="宋体" w:hAnsi="宋体" w:cs="宋体"/>
          <w:color w:val="auto"/>
          <w:spacing w:val="-2"/>
          <w:highlight w:val="none"/>
        </w:rPr>
        <w:t>……</w:t>
      </w:r>
    </w:p>
    <w:p>
      <w:pPr>
        <w:pStyle w:val="7"/>
        <w:tabs>
          <w:tab w:val="left" w:pos="562"/>
          <w:tab w:val="left" w:pos="3372"/>
          <w:tab w:val="left" w:pos="3653"/>
        </w:tabs>
        <w:ind w:firstLine="472" w:firstLineChars="200"/>
        <w:rPr>
          <w:rFonts w:ascii="宋体" w:hAnsi="宋体" w:cs="宋体"/>
          <w:color w:val="auto"/>
          <w:spacing w:val="-2"/>
          <w:highlight w:val="none"/>
        </w:rPr>
      </w:pPr>
      <w:r>
        <w:rPr>
          <w:rFonts w:hint="eastAsia" w:ascii="宋体" w:hAnsi="宋体" w:cs="宋体"/>
          <w:color w:val="auto"/>
          <w:spacing w:val="-2"/>
          <w:highlight w:val="none"/>
        </w:rPr>
        <w:t>以上企业，不属于大企业的分支机构，不存在控股股东为大企业的情形，也不存在与大企业的负责人为同一人的情形。</w:t>
      </w:r>
    </w:p>
    <w:p>
      <w:pPr>
        <w:pStyle w:val="7"/>
        <w:tabs>
          <w:tab w:val="left" w:pos="562"/>
          <w:tab w:val="left" w:pos="3372"/>
          <w:tab w:val="left" w:pos="3653"/>
        </w:tabs>
        <w:ind w:firstLine="472" w:firstLineChars="200"/>
        <w:rPr>
          <w:rFonts w:ascii="宋体" w:hAnsi="宋体" w:cs="宋体"/>
          <w:color w:val="auto"/>
          <w:spacing w:val="-2"/>
          <w:highlight w:val="none"/>
        </w:rPr>
      </w:pPr>
      <w:r>
        <w:rPr>
          <w:rFonts w:hint="eastAsia" w:ascii="宋体" w:hAnsi="宋体" w:cs="宋体"/>
          <w:color w:val="auto"/>
          <w:spacing w:val="-2"/>
          <w:highlight w:val="none"/>
        </w:rPr>
        <w:t>本企业对上述声明内容的真实性负责。如有虚假，将依法承担相应责任。</w:t>
      </w:r>
    </w:p>
    <w:p>
      <w:pPr>
        <w:pStyle w:val="7"/>
        <w:tabs>
          <w:tab w:val="left" w:pos="562"/>
          <w:tab w:val="left" w:pos="3372"/>
          <w:tab w:val="left" w:pos="3653"/>
        </w:tabs>
        <w:ind w:firstLine="472" w:firstLineChars="200"/>
        <w:rPr>
          <w:rFonts w:ascii="宋体" w:hAnsi="宋体" w:cs="宋体"/>
          <w:color w:val="auto"/>
          <w:spacing w:val="-2"/>
          <w:highlight w:val="none"/>
        </w:rPr>
      </w:pPr>
    </w:p>
    <w:p>
      <w:pPr>
        <w:pStyle w:val="7"/>
        <w:tabs>
          <w:tab w:val="left" w:pos="562"/>
          <w:tab w:val="left" w:pos="3372"/>
          <w:tab w:val="left" w:pos="3653"/>
        </w:tabs>
        <w:ind w:firstLine="472" w:firstLineChars="200"/>
        <w:rPr>
          <w:rFonts w:ascii="宋体" w:hAnsi="宋体" w:cs="宋体"/>
          <w:color w:val="auto"/>
          <w:spacing w:val="-2"/>
          <w:highlight w:val="none"/>
        </w:rPr>
      </w:pPr>
      <w:r>
        <w:rPr>
          <w:rFonts w:hint="eastAsia" w:ascii="宋体" w:hAnsi="宋体" w:cs="宋体"/>
          <w:color w:val="auto"/>
          <w:spacing w:val="-2"/>
          <w:highlight w:val="none"/>
        </w:rPr>
        <w:t>注意事项：</w:t>
      </w:r>
    </w:p>
    <w:p>
      <w:pPr>
        <w:pStyle w:val="7"/>
        <w:tabs>
          <w:tab w:val="left" w:pos="562"/>
          <w:tab w:val="left" w:pos="3372"/>
          <w:tab w:val="left" w:pos="3653"/>
        </w:tabs>
        <w:spacing w:after="0"/>
        <w:ind w:firstLine="472" w:firstLineChars="200"/>
        <w:rPr>
          <w:rFonts w:ascii="宋体" w:hAnsi="宋体" w:cs="宋体"/>
          <w:color w:val="auto"/>
          <w:spacing w:val="-2"/>
          <w:highlight w:val="none"/>
        </w:rPr>
      </w:pPr>
      <w:r>
        <w:rPr>
          <w:rFonts w:hint="eastAsia" w:ascii="宋体" w:hAnsi="宋体" w:cs="宋体"/>
          <w:color w:val="auto"/>
          <w:spacing w:val="-2"/>
          <w:highlight w:val="none"/>
        </w:rPr>
        <w:t>1.从业人员、营业收入、资产总额填报上一年度数据，无上一年度数据的新成立企业可不填报。</w:t>
      </w:r>
    </w:p>
    <w:p>
      <w:pPr>
        <w:pStyle w:val="7"/>
        <w:tabs>
          <w:tab w:val="left" w:pos="562"/>
          <w:tab w:val="left" w:pos="3372"/>
          <w:tab w:val="left" w:pos="3653"/>
        </w:tabs>
        <w:spacing w:after="0"/>
        <w:ind w:firstLine="472" w:firstLineChars="200"/>
        <w:rPr>
          <w:rFonts w:ascii="宋体" w:hAnsi="宋体" w:cs="宋体"/>
          <w:color w:val="auto"/>
          <w:spacing w:val="-2"/>
          <w:highlight w:val="none"/>
        </w:rPr>
      </w:pPr>
      <w:r>
        <w:rPr>
          <w:rFonts w:hint="eastAsia" w:ascii="宋体" w:hAnsi="宋体" w:cs="宋体"/>
          <w:color w:val="auto"/>
          <w:spacing w:val="-2"/>
          <w:highlight w:val="none"/>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7"/>
        <w:tabs>
          <w:tab w:val="left" w:pos="562"/>
          <w:tab w:val="left" w:pos="3372"/>
          <w:tab w:val="left" w:pos="3653"/>
        </w:tabs>
        <w:spacing w:after="0"/>
        <w:ind w:firstLine="472" w:firstLineChars="200"/>
        <w:rPr>
          <w:rFonts w:ascii="宋体" w:hAnsi="宋体" w:cs="宋体"/>
          <w:color w:val="auto"/>
          <w:spacing w:val="-2"/>
          <w:highlight w:val="none"/>
        </w:rPr>
      </w:pPr>
      <w:r>
        <w:rPr>
          <w:rFonts w:hint="eastAsia" w:ascii="宋体" w:hAnsi="宋体" w:cs="宋体"/>
          <w:color w:val="auto"/>
          <w:spacing w:val="-2"/>
          <w:highlight w:val="none"/>
        </w:rPr>
        <w:t>3.事业单位、社会组织等非企业主体不享受中小企业扶持政策，但事业单位、社会组织等非企业主体提供全部由中小企业制造的货物参加货物采购项目的除外。</w:t>
      </w:r>
    </w:p>
    <w:p>
      <w:pPr>
        <w:pStyle w:val="7"/>
        <w:tabs>
          <w:tab w:val="left" w:pos="562"/>
          <w:tab w:val="left" w:pos="3372"/>
          <w:tab w:val="left" w:pos="3653"/>
        </w:tabs>
        <w:spacing w:after="0"/>
        <w:ind w:firstLine="472" w:firstLineChars="200"/>
        <w:rPr>
          <w:rFonts w:ascii="宋体" w:hAnsi="宋体" w:cs="宋体"/>
          <w:color w:val="auto"/>
          <w:spacing w:val="-2"/>
          <w:highlight w:val="none"/>
        </w:rPr>
      </w:pPr>
      <w:r>
        <w:rPr>
          <w:rFonts w:hint="eastAsia" w:ascii="宋体" w:hAnsi="宋体" w:cs="宋体"/>
          <w:color w:val="auto"/>
          <w:spacing w:val="-2"/>
          <w:highlight w:val="none"/>
        </w:rPr>
        <w:t>4.相关承接/承建企业的所属行业应当与采购标的所属行业（采购文件中明确的行业）相一致。</w:t>
      </w:r>
    </w:p>
    <w:p>
      <w:pPr>
        <w:pStyle w:val="7"/>
        <w:tabs>
          <w:tab w:val="left" w:pos="562"/>
          <w:tab w:val="left" w:pos="3372"/>
          <w:tab w:val="left" w:pos="3653"/>
        </w:tabs>
        <w:spacing w:after="0"/>
        <w:ind w:firstLine="472" w:firstLineChars="200"/>
        <w:rPr>
          <w:rFonts w:ascii="宋体" w:hAnsi="宋体" w:cs="宋体"/>
          <w:color w:val="auto"/>
          <w:spacing w:val="-2"/>
          <w:highlight w:val="none"/>
        </w:rPr>
      </w:pPr>
      <w:r>
        <w:rPr>
          <w:rFonts w:hint="eastAsia" w:ascii="宋体" w:hAnsi="宋体" w:cs="宋体"/>
          <w:color w:val="auto"/>
          <w:spacing w:val="-2"/>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7"/>
        <w:tabs>
          <w:tab w:val="left" w:pos="562"/>
          <w:tab w:val="left" w:pos="3372"/>
          <w:tab w:val="left" w:pos="3653"/>
        </w:tabs>
        <w:ind w:left="4200" w:leftChars="2000"/>
        <w:rPr>
          <w:rFonts w:ascii="宋体" w:hAnsi="宋体" w:cs="宋体"/>
          <w:color w:val="auto"/>
          <w:spacing w:val="-2"/>
          <w:highlight w:val="none"/>
        </w:rPr>
      </w:pPr>
    </w:p>
    <w:p>
      <w:pPr>
        <w:pStyle w:val="7"/>
        <w:tabs>
          <w:tab w:val="left" w:pos="562"/>
          <w:tab w:val="left" w:pos="3372"/>
          <w:tab w:val="left" w:pos="3653"/>
        </w:tabs>
        <w:ind w:left="4200" w:leftChars="2000"/>
        <w:rPr>
          <w:rFonts w:ascii="宋体" w:hAnsi="宋体" w:cs="宋体"/>
          <w:color w:val="auto"/>
          <w:spacing w:val="-2"/>
          <w:highlight w:val="none"/>
        </w:rPr>
      </w:pPr>
      <w:r>
        <w:rPr>
          <w:rFonts w:hint="eastAsia" w:ascii="宋体" w:hAnsi="宋体" w:cs="宋体"/>
          <w:color w:val="auto"/>
          <w:spacing w:val="-2"/>
          <w:highlight w:val="none"/>
        </w:rPr>
        <w:t>企业名称（盖章）日期：</w:t>
      </w:r>
    </w:p>
    <w:p>
      <w:pPr>
        <w:pStyle w:val="7"/>
        <w:tabs>
          <w:tab w:val="left" w:pos="562"/>
          <w:tab w:val="left" w:pos="3372"/>
          <w:tab w:val="left" w:pos="3653"/>
        </w:tabs>
        <w:spacing w:before="30"/>
        <w:rPr>
          <w:rFonts w:ascii="宋体" w:hAnsi="宋体" w:cs="宋体"/>
          <w:color w:val="auto"/>
          <w:highlight w:val="none"/>
        </w:rPr>
      </w:pPr>
      <w:r>
        <w:rPr>
          <w:rFonts w:hint="eastAsia" w:ascii="宋体" w:hAnsi="宋体" w:cs="宋体"/>
          <w:color w:val="auto"/>
          <w:spacing w:val="-2"/>
          <w:highlight w:val="none"/>
        </w:rPr>
        <w:t>从业人员、营业收入、资产总额填报上一年度数据，无上一年度数据的新成立企业可不填报。</w:t>
      </w:r>
      <w:r>
        <w:rPr>
          <w:rFonts w:hint="eastAsia" w:ascii="宋体" w:hAnsi="宋体" w:cs="宋体"/>
          <w:color w:val="auto"/>
          <w:highlight w:val="none"/>
        </w:rPr>
        <w:br w:type="page"/>
      </w:r>
      <w:r>
        <w:rPr>
          <w:rFonts w:hint="eastAsia" w:ascii="宋体" w:hAnsi="宋体" w:cs="宋体"/>
          <w:b/>
          <w:bCs/>
          <w:color w:val="auto"/>
          <w:highlight w:val="none"/>
        </w:rPr>
        <w:t>附 2</w:t>
      </w:r>
    </w:p>
    <w:p>
      <w:pPr>
        <w:jc w:val="center"/>
        <w:rPr>
          <w:rFonts w:ascii="宋体" w:hAnsi="宋体" w:cs="宋体"/>
          <w:b/>
          <w:color w:val="auto"/>
          <w:sz w:val="24"/>
          <w:highlight w:val="none"/>
        </w:rPr>
      </w:pPr>
      <w:r>
        <w:rPr>
          <w:rFonts w:hint="eastAsia" w:ascii="宋体" w:hAnsi="宋体" w:cs="宋体"/>
          <w:color w:val="auto"/>
          <w:spacing w:val="-3"/>
          <w:sz w:val="24"/>
          <w:highlight w:val="none"/>
          <w:u w:val="single" w:color="000000"/>
        </w:rPr>
        <w:t>（单位名称）</w:t>
      </w:r>
      <w:r>
        <w:rPr>
          <w:rFonts w:hint="eastAsia" w:ascii="宋体" w:hAnsi="宋体" w:cs="宋体"/>
          <w:color w:val="auto"/>
          <w:spacing w:val="-29"/>
          <w:sz w:val="24"/>
          <w:highlight w:val="none"/>
        </w:rPr>
        <w:t>××</w:t>
      </w:r>
      <w:r>
        <w:rPr>
          <w:rFonts w:hint="eastAsia" w:ascii="宋体" w:hAnsi="宋体" w:cs="宋体"/>
          <w:b/>
          <w:color w:val="auto"/>
          <w:sz w:val="24"/>
          <w:highlight w:val="none"/>
        </w:rPr>
        <w:t>年面向中小企业预留项目执行情况公告</w:t>
      </w:r>
    </w:p>
    <w:p>
      <w:pPr>
        <w:pStyle w:val="7"/>
        <w:tabs>
          <w:tab w:val="left" w:pos="562"/>
          <w:tab w:val="left" w:pos="3372"/>
          <w:tab w:val="left" w:pos="3653"/>
        </w:tabs>
        <w:ind w:firstLine="480" w:firstLineChars="200"/>
        <w:rPr>
          <w:rFonts w:ascii="宋体" w:hAnsi="宋体" w:cs="宋体"/>
          <w:color w:val="auto"/>
          <w:highlight w:val="none"/>
        </w:rPr>
      </w:pPr>
      <w:r>
        <w:rPr>
          <w:rFonts w:hint="eastAsia" w:ascii="宋体" w:hAnsi="宋体" w:cs="宋体"/>
          <w:color w:val="auto"/>
          <w:highlight w:val="none"/>
        </w:rPr>
        <w:t>根据《政府采购促进中小企业发展管理办法》（财库﹝2020﹞46</w:t>
      </w:r>
      <w:r>
        <w:rPr>
          <w:rFonts w:hint="eastAsia" w:ascii="宋体" w:hAnsi="宋体" w:cs="宋体"/>
          <w:color w:val="auto"/>
          <w:spacing w:val="-47"/>
          <w:highlight w:val="none"/>
        </w:rPr>
        <w:t xml:space="preserve"> 号</w:t>
      </w:r>
      <w:r>
        <w:rPr>
          <w:rFonts w:hint="eastAsia" w:ascii="宋体" w:hAnsi="宋体" w:cs="宋体"/>
          <w:color w:val="auto"/>
          <w:spacing w:val="-22"/>
          <w:highlight w:val="none"/>
        </w:rPr>
        <w:t>）</w:t>
      </w:r>
      <w:r>
        <w:rPr>
          <w:rFonts w:hint="eastAsia" w:ascii="宋体" w:hAnsi="宋体" w:cs="宋体"/>
          <w:color w:val="auto"/>
          <w:spacing w:val="-7"/>
          <w:highlight w:val="none"/>
        </w:rPr>
        <w:t>要求，现对本部门</w:t>
      </w:r>
      <w:r>
        <w:rPr>
          <w:rFonts w:hint="eastAsia" w:ascii="宋体" w:hAnsi="宋体" w:cs="宋体"/>
          <w:color w:val="auto"/>
          <w:spacing w:val="-3"/>
          <w:highlight w:val="none"/>
        </w:rPr>
        <w:t>（</w:t>
      </w:r>
      <w:r>
        <w:rPr>
          <w:rFonts w:hint="eastAsia" w:ascii="宋体" w:hAnsi="宋体" w:cs="宋体"/>
          <w:color w:val="auto"/>
          <w:highlight w:val="none"/>
        </w:rPr>
        <w:t>单位</w:t>
      </w:r>
      <w:r>
        <w:rPr>
          <w:rFonts w:hint="eastAsia" w:ascii="宋体" w:hAnsi="宋体" w:cs="宋体"/>
          <w:color w:val="auto"/>
          <w:spacing w:val="-7"/>
          <w:highlight w:val="none"/>
        </w:rPr>
        <w:t>）</w:t>
      </w:r>
      <w:r>
        <w:rPr>
          <w:rFonts w:hint="eastAsia" w:ascii="宋体" w:hAnsi="宋体" w:cs="宋体"/>
          <w:color w:val="auto"/>
          <w:spacing w:val="-4"/>
          <w:highlight w:val="none"/>
        </w:rPr>
        <w:t>××年面向中小企业预留项目执行情况公告如下：</w:t>
      </w:r>
    </w:p>
    <w:p>
      <w:pPr>
        <w:pStyle w:val="7"/>
        <w:tabs>
          <w:tab w:val="left" w:pos="562"/>
          <w:tab w:val="left" w:pos="3372"/>
          <w:tab w:val="left" w:pos="3653"/>
        </w:tabs>
        <w:ind w:firstLine="480" w:firstLineChars="200"/>
        <w:rPr>
          <w:rFonts w:ascii="宋体" w:hAnsi="宋体" w:cs="宋体"/>
          <w:color w:val="auto"/>
          <w:highlight w:val="none"/>
        </w:rPr>
      </w:pPr>
      <w:r>
        <w:rPr>
          <w:rFonts w:hint="eastAsia" w:ascii="宋体" w:hAnsi="宋体" w:cs="宋体"/>
          <w:color w:val="auto"/>
          <w:highlight w:val="none"/>
        </w:rPr>
        <w:t>本部门（单位）××年预留项目面向中小企业采购共计××万元，其中，面向小微企业采购××万元，占××%。</w:t>
      </w:r>
    </w:p>
    <w:p>
      <w:pPr>
        <w:pStyle w:val="7"/>
        <w:tabs>
          <w:tab w:val="left" w:pos="562"/>
          <w:tab w:val="left" w:pos="3372"/>
          <w:tab w:val="left" w:pos="3653"/>
        </w:tabs>
        <w:jc w:val="center"/>
        <w:rPr>
          <w:rFonts w:ascii="宋体" w:hAnsi="宋体" w:cs="宋体"/>
          <w:b/>
          <w:bCs/>
          <w:color w:val="auto"/>
          <w:highlight w:val="none"/>
        </w:rPr>
      </w:pPr>
      <w:r>
        <w:rPr>
          <w:rFonts w:hint="eastAsia" w:ascii="宋体" w:hAnsi="宋体" w:cs="宋体"/>
          <w:b/>
          <w:bCs/>
          <w:color w:val="auto"/>
          <w:highlight w:val="none"/>
        </w:rPr>
        <w:t>面向中小企业预留项目明细</w:t>
      </w:r>
    </w:p>
    <w:tbl>
      <w:tblPr>
        <w:tblStyle w:val="18"/>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5"/>
              <w:jc w:val="center"/>
              <w:rPr>
                <w:b/>
                <w:color w:val="auto"/>
                <w:sz w:val="24"/>
                <w:szCs w:val="24"/>
                <w:highlight w:val="none"/>
              </w:rPr>
            </w:pPr>
            <w:r>
              <w:rPr>
                <w:rFonts w:hint="eastAsia"/>
                <w:b/>
                <w:color w:val="auto"/>
                <w:sz w:val="24"/>
                <w:szCs w:val="24"/>
                <w:highlight w:val="none"/>
              </w:rPr>
              <w:t>序号</w:t>
            </w:r>
          </w:p>
        </w:tc>
        <w:tc>
          <w:tcPr>
            <w:tcW w:w="1866" w:type="dxa"/>
            <w:vAlign w:val="center"/>
          </w:tcPr>
          <w:p>
            <w:pPr>
              <w:pStyle w:val="35"/>
              <w:jc w:val="center"/>
              <w:rPr>
                <w:b/>
                <w:color w:val="auto"/>
                <w:sz w:val="24"/>
                <w:szCs w:val="24"/>
                <w:highlight w:val="none"/>
              </w:rPr>
            </w:pPr>
            <w:r>
              <w:rPr>
                <w:rFonts w:hint="eastAsia"/>
                <w:b/>
                <w:color w:val="auto"/>
                <w:sz w:val="24"/>
                <w:szCs w:val="24"/>
                <w:highlight w:val="none"/>
              </w:rPr>
              <w:t>项目名称</w:t>
            </w:r>
          </w:p>
        </w:tc>
        <w:tc>
          <w:tcPr>
            <w:tcW w:w="2010" w:type="dxa"/>
            <w:vAlign w:val="center"/>
          </w:tcPr>
          <w:p>
            <w:pPr>
              <w:pStyle w:val="35"/>
              <w:jc w:val="center"/>
              <w:rPr>
                <w:b/>
                <w:color w:val="auto"/>
                <w:sz w:val="24"/>
                <w:szCs w:val="24"/>
                <w:highlight w:val="none"/>
              </w:rPr>
            </w:pPr>
            <w:r>
              <w:rPr>
                <w:rFonts w:hint="eastAsia"/>
                <w:b/>
                <w:color w:val="auto"/>
                <w:sz w:val="24"/>
                <w:szCs w:val="24"/>
                <w:highlight w:val="none"/>
              </w:rPr>
              <w:t>预留选项</w:t>
            </w:r>
          </w:p>
        </w:tc>
        <w:tc>
          <w:tcPr>
            <w:tcW w:w="2296" w:type="dxa"/>
            <w:vAlign w:val="center"/>
          </w:tcPr>
          <w:p>
            <w:pPr>
              <w:pStyle w:val="35"/>
              <w:jc w:val="center"/>
              <w:rPr>
                <w:b/>
                <w:color w:val="auto"/>
                <w:sz w:val="24"/>
                <w:szCs w:val="24"/>
                <w:highlight w:val="none"/>
              </w:rPr>
            </w:pPr>
            <w:r>
              <w:rPr>
                <w:rFonts w:hint="eastAsia"/>
                <w:b/>
                <w:color w:val="auto"/>
                <w:sz w:val="24"/>
                <w:szCs w:val="24"/>
                <w:highlight w:val="none"/>
              </w:rPr>
              <w:t>面向中小企业采购金额</w:t>
            </w:r>
          </w:p>
        </w:tc>
        <w:tc>
          <w:tcPr>
            <w:tcW w:w="1784" w:type="dxa"/>
            <w:vAlign w:val="center"/>
          </w:tcPr>
          <w:p>
            <w:pPr>
              <w:pStyle w:val="35"/>
              <w:jc w:val="center"/>
              <w:rPr>
                <w:b/>
                <w:color w:val="auto"/>
                <w:sz w:val="24"/>
                <w:szCs w:val="24"/>
                <w:highlight w:val="none"/>
              </w:rPr>
            </w:pPr>
            <w:r>
              <w:rPr>
                <w:rFonts w:hint="eastAsia"/>
                <w:b/>
                <w:color w:val="auto"/>
                <w:sz w:val="24"/>
                <w:szCs w:val="24"/>
                <w:highlight w:val="none"/>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5"/>
              <w:jc w:val="center"/>
              <w:rPr>
                <w:color w:val="auto"/>
                <w:sz w:val="24"/>
                <w:szCs w:val="24"/>
                <w:highlight w:val="none"/>
              </w:rPr>
            </w:pPr>
          </w:p>
        </w:tc>
        <w:tc>
          <w:tcPr>
            <w:tcW w:w="1866" w:type="dxa"/>
            <w:tcBorders>
              <w:bottom w:val="nil"/>
            </w:tcBorders>
            <w:vAlign w:val="center"/>
          </w:tcPr>
          <w:p>
            <w:pPr>
              <w:pStyle w:val="35"/>
              <w:jc w:val="center"/>
              <w:rPr>
                <w:color w:val="auto"/>
                <w:sz w:val="24"/>
                <w:szCs w:val="24"/>
                <w:highlight w:val="none"/>
              </w:rPr>
            </w:pPr>
          </w:p>
        </w:tc>
        <w:tc>
          <w:tcPr>
            <w:tcW w:w="2010" w:type="dxa"/>
            <w:tcBorders>
              <w:bottom w:val="nil"/>
            </w:tcBorders>
            <w:vAlign w:val="center"/>
          </w:tcPr>
          <w:p>
            <w:pPr>
              <w:pStyle w:val="35"/>
              <w:jc w:val="center"/>
              <w:rPr>
                <w:color w:val="auto"/>
                <w:sz w:val="24"/>
                <w:szCs w:val="24"/>
                <w:highlight w:val="none"/>
              </w:rPr>
            </w:pPr>
            <w:r>
              <w:rPr>
                <w:rFonts w:hint="eastAsia"/>
                <w:color w:val="auto"/>
                <w:sz w:val="24"/>
                <w:szCs w:val="24"/>
                <w:highlight w:val="none"/>
              </w:rPr>
              <w:t>（填写“采购项</w:t>
            </w:r>
          </w:p>
        </w:tc>
        <w:tc>
          <w:tcPr>
            <w:tcW w:w="2296" w:type="dxa"/>
            <w:tcBorders>
              <w:bottom w:val="nil"/>
            </w:tcBorders>
            <w:vAlign w:val="center"/>
          </w:tcPr>
          <w:p>
            <w:pPr>
              <w:pStyle w:val="35"/>
              <w:jc w:val="center"/>
              <w:rPr>
                <w:color w:val="auto"/>
                <w:sz w:val="24"/>
                <w:szCs w:val="24"/>
                <w:highlight w:val="none"/>
              </w:rPr>
            </w:pPr>
          </w:p>
        </w:tc>
        <w:tc>
          <w:tcPr>
            <w:tcW w:w="1784" w:type="dxa"/>
            <w:vMerge w:val="restart"/>
            <w:vAlign w:val="center"/>
          </w:tcPr>
          <w:p>
            <w:pPr>
              <w:pStyle w:val="35"/>
              <w:jc w:val="center"/>
              <w:rPr>
                <w:color w:val="auto"/>
                <w:sz w:val="24"/>
                <w:szCs w:val="24"/>
                <w:highlight w:val="none"/>
              </w:rPr>
            </w:pPr>
          </w:p>
          <w:p>
            <w:pPr>
              <w:pStyle w:val="35"/>
              <w:jc w:val="center"/>
              <w:rPr>
                <w:color w:val="auto"/>
                <w:sz w:val="24"/>
                <w:szCs w:val="24"/>
                <w:highlight w:val="none"/>
              </w:rPr>
            </w:pPr>
          </w:p>
          <w:p>
            <w:pPr>
              <w:pStyle w:val="35"/>
              <w:jc w:val="center"/>
              <w:rPr>
                <w:color w:val="auto"/>
                <w:sz w:val="24"/>
                <w:szCs w:val="24"/>
                <w:highlight w:val="none"/>
              </w:rPr>
            </w:pPr>
            <w:r>
              <w:rPr>
                <w:rFonts w:hint="eastAsia"/>
                <w:color w:val="auto"/>
                <w:sz w:val="24"/>
                <w:szCs w:val="24"/>
                <w:highlight w:val="none"/>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auto"/>
                <w:sz w:val="24"/>
                <w:highlight w:val="none"/>
              </w:rPr>
            </w:pPr>
          </w:p>
        </w:tc>
        <w:tc>
          <w:tcPr>
            <w:tcW w:w="1866" w:type="dxa"/>
            <w:tcBorders>
              <w:top w:val="nil"/>
              <w:bottom w:val="nil"/>
            </w:tcBorders>
            <w:vAlign w:val="center"/>
          </w:tcPr>
          <w:p>
            <w:pPr>
              <w:pStyle w:val="35"/>
              <w:jc w:val="center"/>
              <w:rPr>
                <w:color w:val="auto"/>
                <w:sz w:val="24"/>
                <w:szCs w:val="24"/>
                <w:highlight w:val="none"/>
              </w:rPr>
            </w:pPr>
          </w:p>
        </w:tc>
        <w:tc>
          <w:tcPr>
            <w:tcW w:w="2010" w:type="dxa"/>
            <w:tcBorders>
              <w:top w:val="nil"/>
              <w:bottom w:val="nil"/>
            </w:tcBorders>
            <w:vAlign w:val="center"/>
          </w:tcPr>
          <w:p>
            <w:pPr>
              <w:pStyle w:val="35"/>
              <w:jc w:val="center"/>
              <w:rPr>
                <w:color w:val="auto"/>
                <w:sz w:val="24"/>
                <w:szCs w:val="24"/>
                <w:highlight w:val="none"/>
              </w:rPr>
            </w:pPr>
            <w:r>
              <w:rPr>
                <w:rFonts w:hint="eastAsia"/>
                <w:color w:val="auto"/>
                <w:sz w:val="24"/>
                <w:szCs w:val="24"/>
                <w:highlight w:val="none"/>
              </w:rPr>
              <w:t>目整体预留”、</w:t>
            </w:r>
          </w:p>
        </w:tc>
        <w:tc>
          <w:tcPr>
            <w:tcW w:w="2296" w:type="dxa"/>
            <w:tcBorders>
              <w:top w:val="nil"/>
              <w:bottom w:val="nil"/>
            </w:tcBorders>
            <w:vAlign w:val="center"/>
          </w:tcPr>
          <w:p>
            <w:pPr>
              <w:pStyle w:val="35"/>
              <w:jc w:val="center"/>
              <w:rPr>
                <w:color w:val="auto"/>
                <w:sz w:val="24"/>
                <w:szCs w:val="24"/>
                <w:highlight w:val="none"/>
              </w:rPr>
            </w:pPr>
          </w:p>
        </w:tc>
        <w:tc>
          <w:tcPr>
            <w:tcW w:w="1784" w:type="dxa"/>
            <w:vMerge w:val="continue"/>
            <w:tcBorders>
              <w:top w:val="nil"/>
            </w:tcBorders>
            <w:vAlign w:val="center"/>
          </w:tcPr>
          <w:p>
            <w:pPr>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auto"/>
                <w:sz w:val="24"/>
                <w:highlight w:val="none"/>
              </w:rPr>
            </w:pPr>
          </w:p>
        </w:tc>
        <w:tc>
          <w:tcPr>
            <w:tcW w:w="1866" w:type="dxa"/>
            <w:tcBorders>
              <w:top w:val="nil"/>
              <w:bottom w:val="nil"/>
            </w:tcBorders>
            <w:vAlign w:val="center"/>
          </w:tcPr>
          <w:p>
            <w:pPr>
              <w:pStyle w:val="35"/>
              <w:jc w:val="center"/>
              <w:rPr>
                <w:color w:val="auto"/>
                <w:sz w:val="24"/>
                <w:szCs w:val="24"/>
                <w:highlight w:val="none"/>
              </w:rPr>
            </w:pPr>
          </w:p>
        </w:tc>
        <w:tc>
          <w:tcPr>
            <w:tcW w:w="2010" w:type="dxa"/>
            <w:tcBorders>
              <w:top w:val="nil"/>
              <w:bottom w:val="nil"/>
            </w:tcBorders>
            <w:vAlign w:val="center"/>
          </w:tcPr>
          <w:p>
            <w:pPr>
              <w:pStyle w:val="35"/>
              <w:jc w:val="center"/>
              <w:rPr>
                <w:color w:val="auto"/>
                <w:sz w:val="24"/>
                <w:szCs w:val="24"/>
                <w:highlight w:val="none"/>
              </w:rPr>
            </w:pPr>
            <w:r>
              <w:rPr>
                <w:rFonts w:hint="eastAsia"/>
                <w:color w:val="auto"/>
                <w:sz w:val="24"/>
                <w:szCs w:val="24"/>
                <w:highlight w:val="none"/>
              </w:rPr>
              <w:t>“设置专门采购</w:t>
            </w:r>
          </w:p>
        </w:tc>
        <w:tc>
          <w:tcPr>
            <w:tcW w:w="2296" w:type="dxa"/>
            <w:tcBorders>
              <w:top w:val="nil"/>
              <w:bottom w:val="nil"/>
            </w:tcBorders>
            <w:vAlign w:val="center"/>
          </w:tcPr>
          <w:p>
            <w:pPr>
              <w:pStyle w:val="35"/>
              <w:jc w:val="center"/>
              <w:rPr>
                <w:color w:val="auto"/>
                <w:sz w:val="24"/>
                <w:szCs w:val="24"/>
                <w:highlight w:val="none"/>
              </w:rPr>
            </w:pPr>
          </w:p>
        </w:tc>
        <w:tc>
          <w:tcPr>
            <w:tcW w:w="1784" w:type="dxa"/>
            <w:vMerge w:val="continue"/>
            <w:tcBorders>
              <w:top w:val="nil"/>
            </w:tcBorders>
            <w:vAlign w:val="center"/>
          </w:tcPr>
          <w:p>
            <w:pPr>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auto"/>
                <w:sz w:val="24"/>
                <w:highlight w:val="none"/>
              </w:rPr>
            </w:pPr>
          </w:p>
        </w:tc>
        <w:tc>
          <w:tcPr>
            <w:tcW w:w="1866" w:type="dxa"/>
            <w:tcBorders>
              <w:top w:val="nil"/>
              <w:bottom w:val="nil"/>
            </w:tcBorders>
            <w:vAlign w:val="center"/>
          </w:tcPr>
          <w:p>
            <w:pPr>
              <w:pStyle w:val="35"/>
              <w:jc w:val="center"/>
              <w:rPr>
                <w:color w:val="auto"/>
                <w:sz w:val="24"/>
                <w:szCs w:val="24"/>
                <w:highlight w:val="none"/>
              </w:rPr>
            </w:pPr>
            <w:r>
              <w:rPr>
                <w:rFonts w:hint="eastAsia"/>
                <w:color w:val="auto"/>
                <w:sz w:val="24"/>
                <w:szCs w:val="24"/>
                <w:highlight w:val="none"/>
              </w:rPr>
              <w:t>（填写集中采</w:t>
            </w:r>
          </w:p>
        </w:tc>
        <w:tc>
          <w:tcPr>
            <w:tcW w:w="2010" w:type="dxa"/>
            <w:tcBorders>
              <w:top w:val="nil"/>
              <w:bottom w:val="nil"/>
            </w:tcBorders>
            <w:vAlign w:val="center"/>
          </w:tcPr>
          <w:p>
            <w:pPr>
              <w:pStyle w:val="35"/>
              <w:jc w:val="center"/>
              <w:rPr>
                <w:color w:val="auto"/>
                <w:sz w:val="24"/>
                <w:szCs w:val="24"/>
                <w:highlight w:val="none"/>
              </w:rPr>
            </w:pPr>
            <w:r>
              <w:rPr>
                <w:rFonts w:hint="eastAsia"/>
                <w:color w:val="auto"/>
                <w:sz w:val="24"/>
                <w:szCs w:val="24"/>
                <w:highlight w:val="none"/>
              </w:rPr>
              <w:t>包”、“要求以</w:t>
            </w:r>
          </w:p>
        </w:tc>
        <w:tc>
          <w:tcPr>
            <w:tcW w:w="2296" w:type="dxa"/>
            <w:tcBorders>
              <w:top w:val="nil"/>
              <w:bottom w:val="nil"/>
            </w:tcBorders>
            <w:vAlign w:val="center"/>
          </w:tcPr>
          <w:p>
            <w:pPr>
              <w:pStyle w:val="35"/>
              <w:jc w:val="center"/>
              <w:rPr>
                <w:color w:val="auto"/>
                <w:sz w:val="24"/>
                <w:szCs w:val="24"/>
                <w:highlight w:val="none"/>
              </w:rPr>
            </w:pPr>
          </w:p>
        </w:tc>
        <w:tc>
          <w:tcPr>
            <w:tcW w:w="1784" w:type="dxa"/>
            <w:vMerge w:val="continue"/>
            <w:tcBorders>
              <w:top w:val="nil"/>
            </w:tcBorders>
            <w:vAlign w:val="center"/>
          </w:tcPr>
          <w:p>
            <w:pPr>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auto"/>
                <w:sz w:val="24"/>
                <w:highlight w:val="none"/>
              </w:rPr>
            </w:pPr>
          </w:p>
        </w:tc>
        <w:tc>
          <w:tcPr>
            <w:tcW w:w="1866" w:type="dxa"/>
            <w:tcBorders>
              <w:top w:val="nil"/>
              <w:bottom w:val="nil"/>
            </w:tcBorders>
            <w:vAlign w:val="center"/>
          </w:tcPr>
          <w:p>
            <w:pPr>
              <w:pStyle w:val="35"/>
              <w:jc w:val="center"/>
              <w:rPr>
                <w:color w:val="auto"/>
                <w:sz w:val="24"/>
                <w:szCs w:val="24"/>
                <w:highlight w:val="none"/>
              </w:rPr>
            </w:pPr>
            <w:r>
              <w:rPr>
                <w:rFonts w:hint="eastAsia"/>
                <w:color w:val="auto"/>
                <w:sz w:val="24"/>
                <w:szCs w:val="24"/>
                <w:highlight w:val="none"/>
              </w:rPr>
              <w:t>购目录以内或</w:t>
            </w:r>
          </w:p>
        </w:tc>
        <w:tc>
          <w:tcPr>
            <w:tcW w:w="2010" w:type="dxa"/>
            <w:tcBorders>
              <w:top w:val="nil"/>
              <w:bottom w:val="nil"/>
            </w:tcBorders>
            <w:vAlign w:val="center"/>
          </w:tcPr>
          <w:p>
            <w:pPr>
              <w:pStyle w:val="35"/>
              <w:jc w:val="center"/>
              <w:rPr>
                <w:color w:val="auto"/>
                <w:sz w:val="24"/>
                <w:szCs w:val="24"/>
                <w:highlight w:val="none"/>
              </w:rPr>
            </w:pPr>
            <w:r>
              <w:rPr>
                <w:rFonts w:hint="eastAsia"/>
                <w:color w:val="auto"/>
                <w:sz w:val="24"/>
                <w:szCs w:val="24"/>
                <w:highlight w:val="none"/>
              </w:rPr>
              <w:t>联合体形式参</w:t>
            </w:r>
          </w:p>
        </w:tc>
        <w:tc>
          <w:tcPr>
            <w:tcW w:w="2296" w:type="dxa"/>
            <w:tcBorders>
              <w:top w:val="nil"/>
              <w:bottom w:val="nil"/>
            </w:tcBorders>
            <w:vAlign w:val="center"/>
          </w:tcPr>
          <w:p>
            <w:pPr>
              <w:pStyle w:val="35"/>
              <w:jc w:val="center"/>
              <w:rPr>
                <w:color w:val="auto"/>
                <w:sz w:val="24"/>
                <w:szCs w:val="24"/>
                <w:highlight w:val="none"/>
              </w:rPr>
            </w:pPr>
            <w:r>
              <w:rPr>
                <w:rFonts w:hint="eastAsia"/>
                <w:color w:val="auto"/>
                <w:sz w:val="24"/>
                <w:szCs w:val="24"/>
                <w:highlight w:val="none"/>
              </w:rPr>
              <w:t>（精确到万元）</w:t>
            </w:r>
          </w:p>
        </w:tc>
        <w:tc>
          <w:tcPr>
            <w:tcW w:w="1784" w:type="dxa"/>
            <w:vMerge w:val="continue"/>
            <w:tcBorders>
              <w:top w:val="nil"/>
            </w:tcBorders>
            <w:vAlign w:val="center"/>
          </w:tcPr>
          <w:p>
            <w:pPr>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auto"/>
                <w:sz w:val="24"/>
                <w:highlight w:val="none"/>
              </w:rPr>
            </w:pPr>
          </w:p>
        </w:tc>
        <w:tc>
          <w:tcPr>
            <w:tcW w:w="1866" w:type="dxa"/>
            <w:tcBorders>
              <w:top w:val="nil"/>
              <w:bottom w:val="nil"/>
            </w:tcBorders>
            <w:vAlign w:val="center"/>
          </w:tcPr>
          <w:p>
            <w:pPr>
              <w:pStyle w:val="35"/>
              <w:jc w:val="center"/>
              <w:rPr>
                <w:color w:val="auto"/>
                <w:sz w:val="24"/>
                <w:szCs w:val="24"/>
                <w:highlight w:val="none"/>
              </w:rPr>
            </w:pPr>
            <w:r>
              <w:rPr>
                <w:rFonts w:hint="eastAsia"/>
                <w:color w:val="auto"/>
                <w:sz w:val="24"/>
                <w:szCs w:val="24"/>
                <w:highlight w:val="none"/>
              </w:rPr>
              <w:t>者采购限额标</w:t>
            </w:r>
          </w:p>
        </w:tc>
        <w:tc>
          <w:tcPr>
            <w:tcW w:w="2010" w:type="dxa"/>
            <w:tcBorders>
              <w:top w:val="nil"/>
              <w:bottom w:val="nil"/>
            </w:tcBorders>
            <w:vAlign w:val="center"/>
          </w:tcPr>
          <w:p>
            <w:pPr>
              <w:pStyle w:val="35"/>
              <w:jc w:val="center"/>
              <w:rPr>
                <w:color w:val="auto"/>
                <w:sz w:val="24"/>
                <w:szCs w:val="24"/>
                <w:highlight w:val="none"/>
              </w:rPr>
            </w:pPr>
            <w:r>
              <w:rPr>
                <w:rFonts w:hint="eastAsia"/>
                <w:color w:val="auto"/>
                <w:sz w:val="24"/>
                <w:szCs w:val="24"/>
                <w:highlight w:val="none"/>
              </w:rPr>
              <w:t>加”或者“要求</w:t>
            </w:r>
          </w:p>
        </w:tc>
        <w:tc>
          <w:tcPr>
            <w:tcW w:w="2296" w:type="dxa"/>
            <w:tcBorders>
              <w:top w:val="nil"/>
              <w:bottom w:val="nil"/>
            </w:tcBorders>
            <w:vAlign w:val="center"/>
          </w:tcPr>
          <w:p>
            <w:pPr>
              <w:pStyle w:val="35"/>
              <w:jc w:val="center"/>
              <w:rPr>
                <w:color w:val="auto"/>
                <w:sz w:val="24"/>
                <w:szCs w:val="24"/>
                <w:highlight w:val="none"/>
              </w:rPr>
            </w:pPr>
          </w:p>
        </w:tc>
        <w:tc>
          <w:tcPr>
            <w:tcW w:w="1784" w:type="dxa"/>
            <w:vMerge w:val="continue"/>
            <w:tcBorders>
              <w:top w:val="nil"/>
            </w:tcBorders>
            <w:vAlign w:val="center"/>
          </w:tcPr>
          <w:p>
            <w:pPr>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auto"/>
                <w:sz w:val="24"/>
                <w:highlight w:val="none"/>
              </w:rPr>
            </w:pPr>
          </w:p>
        </w:tc>
        <w:tc>
          <w:tcPr>
            <w:tcW w:w="1866" w:type="dxa"/>
            <w:tcBorders>
              <w:top w:val="nil"/>
              <w:bottom w:val="nil"/>
            </w:tcBorders>
            <w:vAlign w:val="center"/>
          </w:tcPr>
          <w:p>
            <w:pPr>
              <w:pStyle w:val="35"/>
              <w:jc w:val="center"/>
              <w:rPr>
                <w:color w:val="auto"/>
                <w:sz w:val="24"/>
                <w:szCs w:val="24"/>
                <w:highlight w:val="none"/>
              </w:rPr>
            </w:pPr>
            <w:r>
              <w:rPr>
                <w:rFonts w:hint="eastAsia"/>
                <w:color w:val="auto"/>
                <w:sz w:val="24"/>
                <w:szCs w:val="24"/>
                <w:highlight w:val="none"/>
              </w:rPr>
              <w:t>准以上的采购项目</w:t>
            </w:r>
          </w:p>
        </w:tc>
        <w:tc>
          <w:tcPr>
            <w:tcW w:w="2010" w:type="dxa"/>
            <w:tcBorders>
              <w:top w:val="nil"/>
              <w:bottom w:val="nil"/>
            </w:tcBorders>
            <w:vAlign w:val="center"/>
          </w:tcPr>
          <w:p>
            <w:pPr>
              <w:pStyle w:val="35"/>
              <w:jc w:val="center"/>
              <w:rPr>
                <w:color w:val="auto"/>
                <w:sz w:val="24"/>
                <w:szCs w:val="24"/>
                <w:highlight w:val="none"/>
              </w:rPr>
            </w:pPr>
            <w:r>
              <w:rPr>
                <w:rFonts w:hint="eastAsia"/>
                <w:color w:val="auto"/>
                <w:sz w:val="24"/>
                <w:szCs w:val="24"/>
                <w:highlight w:val="none"/>
              </w:rPr>
              <w:t>合同分包”，除</w:t>
            </w:r>
          </w:p>
        </w:tc>
        <w:tc>
          <w:tcPr>
            <w:tcW w:w="2296" w:type="dxa"/>
            <w:tcBorders>
              <w:top w:val="nil"/>
              <w:bottom w:val="nil"/>
            </w:tcBorders>
            <w:vAlign w:val="center"/>
          </w:tcPr>
          <w:p>
            <w:pPr>
              <w:pStyle w:val="35"/>
              <w:jc w:val="center"/>
              <w:rPr>
                <w:color w:val="auto"/>
                <w:sz w:val="24"/>
                <w:szCs w:val="24"/>
                <w:highlight w:val="none"/>
              </w:rPr>
            </w:pPr>
          </w:p>
        </w:tc>
        <w:tc>
          <w:tcPr>
            <w:tcW w:w="1784" w:type="dxa"/>
            <w:vMerge w:val="continue"/>
            <w:tcBorders>
              <w:top w:val="nil"/>
            </w:tcBorders>
            <w:vAlign w:val="center"/>
          </w:tcPr>
          <w:p>
            <w:pPr>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auto"/>
                <w:sz w:val="24"/>
                <w:highlight w:val="none"/>
              </w:rPr>
            </w:pPr>
          </w:p>
        </w:tc>
        <w:tc>
          <w:tcPr>
            <w:tcW w:w="1866" w:type="dxa"/>
            <w:tcBorders>
              <w:top w:val="nil"/>
              <w:bottom w:val="nil"/>
            </w:tcBorders>
            <w:vAlign w:val="center"/>
          </w:tcPr>
          <w:p>
            <w:pPr>
              <w:pStyle w:val="35"/>
              <w:jc w:val="center"/>
              <w:rPr>
                <w:color w:val="auto"/>
                <w:sz w:val="24"/>
                <w:szCs w:val="24"/>
                <w:highlight w:val="none"/>
              </w:rPr>
            </w:pPr>
          </w:p>
        </w:tc>
        <w:tc>
          <w:tcPr>
            <w:tcW w:w="2010" w:type="dxa"/>
            <w:tcBorders>
              <w:top w:val="nil"/>
              <w:bottom w:val="nil"/>
            </w:tcBorders>
            <w:vAlign w:val="center"/>
          </w:tcPr>
          <w:p>
            <w:pPr>
              <w:pStyle w:val="35"/>
              <w:jc w:val="center"/>
              <w:rPr>
                <w:color w:val="auto"/>
                <w:sz w:val="24"/>
                <w:szCs w:val="24"/>
                <w:highlight w:val="none"/>
              </w:rPr>
            </w:pPr>
            <w:r>
              <w:rPr>
                <w:rFonts w:hint="eastAsia"/>
                <w:color w:val="auto"/>
                <w:sz w:val="24"/>
                <w:szCs w:val="24"/>
                <w:highlight w:val="none"/>
              </w:rPr>
              <w:t>“采购项目全部</w:t>
            </w:r>
          </w:p>
        </w:tc>
        <w:tc>
          <w:tcPr>
            <w:tcW w:w="2296" w:type="dxa"/>
            <w:tcBorders>
              <w:top w:val="nil"/>
              <w:bottom w:val="nil"/>
            </w:tcBorders>
            <w:vAlign w:val="center"/>
          </w:tcPr>
          <w:p>
            <w:pPr>
              <w:pStyle w:val="35"/>
              <w:jc w:val="center"/>
              <w:rPr>
                <w:color w:val="auto"/>
                <w:sz w:val="24"/>
                <w:szCs w:val="24"/>
                <w:highlight w:val="none"/>
              </w:rPr>
            </w:pPr>
          </w:p>
        </w:tc>
        <w:tc>
          <w:tcPr>
            <w:tcW w:w="1784" w:type="dxa"/>
            <w:vMerge w:val="continue"/>
            <w:tcBorders>
              <w:top w:val="nil"/>
            </w:tcBorders>
            <w:vAlign w:val="center"/>
          </w:tcPr>
          <w:p>
            <w:pPr>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auto"/>
                <w:sz w:val="24"/>
                <w:highlight w:val="none"/>
              </w:rPr>
            </w:pPr>
          </w:p>
        </w:tc>
        <w:tc>
          <w:tcPr>
            <w:tcW w:w="1866" w:type="dxa"/>
            <w:tcBorders>
              <w:top w:val="nil"/>
              <w:bottom w:val="nil"/>
            </w:tcBorders>
            <w:vAlign w:val="center"/>
          </w:tcPr>
          <w:p>
            <w:pPr>
              <w:pStyle w:val="35"/>
              <w:jc w:val="center"/>
              <w:rPr>
                <w:color w:val="auto"/>
                <w:sz w:val="24"/>
                <w:szCs w:val="24"/>
                <w:highlight w:val="none"/>
              </w:rPr>
            </w:pPr>
          </w:p>
        </w:tc>
        <w:tc>
          <w:tcPr>
            <w:tcW w:w="2010" w:type="dxa"/>
            <w:tcBorders>
              <w:top w:val="nil"/>
              <w:bottom w:val="nil"/>
            </w:tcBorders>
            <w:vAlign w:val="center"/>
          </w:tcPr>
          <w:p>
            <w:pPr>
              <w:pStyle w:val="35"/>
              <w:jc w:val="center"/>
              <w:rPr>
                <w:color w:val="auto"/>
                <w:sz w:val="24"/>
                <w:szCs w:val="24"/>
                <w:highlight w:val="none"/>
              </w:rPr>
            </w:pPr>
            <w:r>
              <w:rPr>
                <w:rFonts w:hint="eastAsia"/>
                <w:color w:val="auto"/>
                <w:sz w:val="24"/>
                <w:szCs w:val="24"/>
                <w:highlight w:val="none"/>
              </w:rPr>
              <w:t>预留”外，还应</w:t>
            </w:r>
          </w:p>
        </w:tc>
        <w:tc>
          <w:tcPr>
            <w:tcW w:w="2296" w:type="dxa"/>
            <w:tcBorders>
              <w:top w:val="nil"/>
              <w:bottom w:val="nil"/>
            </w:tcBorders>
            <w:vAlign w:val="center"/>
          </w:tcPr>
          <w:p>
            <w:pPr>
              <w:pStyle w:val="35"/>
              <w:jc w:val="center"/>
              <w:rPr>
                <w:color w:val="auto"/>
                <w:sz w:val="24"/>
                <w:szCs w:val="24"/>
                <w:highlight w:val="none"/>
              </w:rPr>
            </w:pPr>
          </w:p>
        </w:tc>
        <w:tc>
          <w:tcPr>
            <w:tcW w:w="1784" w:type="dxa"/>
            <w:vMerge w:val="continue"/>
            <w:tcBorders>
              <w:top w:val="nil"/>
            </w:tcBorders>
            <w:vAlign w:val="center"/>
          </w:tcPr>
          <w:p>
            <w:pPr>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auto"/>
                <w:sz w:val="24"/>
                <w:highlight w:val="none"/>
              </w:rPr>
            </w:pPr>
          </w:p>
        </w:tc>
        <w:tc>
          <w:tcPr>
            <w:tcW w:w="1866" w:type="dxa"/>
            <w:tcBorders>
              <w:top w:val="nil"/>
              <w:bottom w:val="nil"/>
            </w:tcBorders>
            <w:vAlign w:val="center"/>
          </w:tcPr>
          <w:p>
            <w:pPr>
              <w:pStyle w:val="35"/>
              <w:jc w:val="center"/>
              <w:rPr>
                <w:color w:val="auto"/>
                <w:sz w:val="24"/>
                <w:szCs w:val="24"/>
                <w:highlight w:val="none"/>
              </w:rPr>
            </w:pPr>
          </w:p>
        </w:tc>
        <w:tc>
          <w:tcPr>
            <w:tcW w:w="2010" w:type="dxa"/>
            <w:tcBorders>
              <w:top w:val="nil"/>
              <w:bottom w:val="nil"/>
            </w:tcBorders>
            <w:vAlign w:val="center"/>
          </w:tcPr>
          <w:p>
            <w:pPr>
              <w:pStyle w:val="35"/>
              <w:jc w:val="center"/>
              <w:rPr>
                <w:color w:val="auto"/>
                <w:sz w:val="24"/>
                <w:szCs w:val="24"/>
                <w:highlight w:val="none"/>
              </w:rPr>
            </w:pPr>
            <w:r>
              <w:rPr>
                <w:rFonts w:hint="eastAsia"/>
                <w:color w:val="auto"/>
                <w:sz w:val="24"/>
                <w:szCs w:val="24"/>
                <w:highlight w:val="none"/>
              </w:rPr>
              <w:t>当填写预留给中</w:t>
            </w:r>
          </w:p>
        </w:tc>
        <w:tc>
          <w:tcPr>
            <w:tcW w:w="2296" w:type="dxa"/>
            <w:tcBorders>
              <w:top w:val="nil"/>
              <w:bottom w:val="nil"/>
            </w:tcBorders>
            <w:vAlign w:val="center"/>
          </w:tcPr>
          <w:p>
            <w:pPr>
              <w:pStyle w:val="35"/>
              <w:jc w:val="center"/>
              <w:rPr>
                <w:color w:val="auto"/>
                <w:sz w:val="24"/>
                <w:szCs w:val="24"/>
                <w:highlight w:val="none"/>
              </w:rPr>
            </w:pPr>
          </w:p>
        </w:tc>
        <w:tc>
          <w:tcPr>
            <w:tcW w:w="1784" w:type="dxa"/>
            <w:vMerge w:val="continue"/>
            <w:tcBorders>
              <w:top w:val="nil"/>
            </w:tcBorders>
            <w:vAlign w:val="center"/>
          </w:tcPr>
          <w:p>
            <w:pPr>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auto"/>
                <w:sz w:val="24"/>
                <w:highlight w:val="none"/>
              </w:rPr>
            </w:pPr>
          </w:p>
        </w:tc>
        <w:tc>
          <w:tcPr>
            <w:tcW w:w="1866" w:type="dxa"/>
            <w:tcBorders>
              <w:top w:val="nil"/>
            </w:tcBorders>
            <w:vAlign w:val="center"/>
          </w:tcPr>
          <w:p>
            <w:pPr>
              <w:pStyle w:val="35"/>
              <w:jc w:val="center"/>
              <w:rPr>
                <w:color w:val="auto"/>
                <w:sz w:val="24"/>
                <w:szCs w:val="24"/>
                <w:highlight w:val="none"/>
              </w:rPr>
            </w:pPr>
          </w:p>
        </w:tc>
        <w:tc>
          <w:tcPr>
            <w:tcW w:w="2010" w:type="dxa"/>
            <w:tcBorders>
              <w:top w:val="nil"/>
            </w:tcBorders>
            <w:vAlign w:val="center"/>
          </w:tcPr>
          <w:p>
            <w:pPr>
              <w:pStyle w:val="35"/>
              <w:jc w:val="center"/>
              <w:rPr>
                <w:color w:val="auto"/>
                <w:sz w:val="24"/>
                <w:szCs w:val="24"/>
                <w:highlight w:val="none"/>
              </w:rPr>
            </w:pPr>
            <w:r>
              <w:rPr>
                <w:rFonts w:hint="eastAsia"/>
                <w:color w:val="auto"/>
                <w:sz w:val="24"/>
                <w:szCs w:val="24"/>
                <w:highlight w:val="none"/>
              </w:rPr>
              <w:t>小企业的比例）</w:t>
            </w:r>
          </w:p>
        </w:tc>
        <w:tc>
          <w:tcPr>
            <w:tcW w:w="2296" w:type="dxa"/>
            <w:tcBorders>
              <w:top w:val="nil"/>
            </w:tcBorders>
            <w:vAlign w:val="center"/>
          </w:tcPr>
          <w:p>
            <w:pPr>
              <w:pStyle w:val="35"/>
              <w:jc w:val="center"/>
              <w:rPr>
                <w:color w:val="auto"/>
                <w:sz w:val="24"/>
                <w:szCs w:val="24"/>
                <w:highlight w:val="none"/>
              </w:rPr>
            </w:pPr>
          </w:p>
        </w:tc>
        <w:tc>
          <w:tcPr>
            <w:tcW w:w="1784" w:type="dxa"/>
            <w:vMerge w:val="continue"/>
            <w:tcBorders>
              <w:top w:val="nil"/>
            </w:tcBorders>
            <w:vAlign w:val="center"/>
          </w:tcPr>
          <w:p>
            <w:pPr>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5"/>
              <w:jc w:val="center"/>
              <w:rPr>
                <w:color w:val="auto"/>
                <w:sz w:val="24"/>
                <w:szCs w:val="24"/>
                <w:highlight w:val="none"/>
              </w:rPr>
            </w:pPr>
            <w:r>
              <w:rPr>
                <w:rFonts w:hint="eastAsia"/>
                <w:color w:val="auto"/>
                <w:sz w:val="24"/>
                <w:szCs w:val="24"/>
                <w:highlight w:val="none"/>
              </w:rPr>
              <w:t>……</w:t>
            </w:r>
          </w:p>
        </w:tc>
        <w:tc>
          <w:tcPr>
            <w:tcW w:w="1866" w:type="dxa"/>
            <w:vAlign w:val="center"/>
          </w:tcPr>
          <w:p>
            <w:pPr>
              <w:pStyle w:val="35"/>
              <w:jc w:val="center"/>
              <w:rPr>
                <w:color w:val="auto"/>
                <w:sz w:val="24"/>
                <w:szCs w:val="24"/>
                <w:highlight w:val="none"/>
              </w:rPr>
            </w:pPr>
            <w:r>
              <w:rPr>
                <w:rFonts w:hint="eastAsia"/>
                <w:color w:val="auto"/>
                <w:sz w:val="24"/>
                <w:szCs w:val="24"/>
                <w:highlight w:val="none"/>
              </w:rPr>
              <w:t>……</w:t>
            </w:r>
          </w:p>
        </w:tc>
        <w:tc>
          <w:tcPr>
            <w:tcW w:w="2010" w:type="dxa"/>
            <w:vAlign w:val="center"/>
          </w:tcPr>
          <w:p>
            <w:pPr>
              <w:pStyle w:val="35"/>
              <w:jc w:val="center"/>
              <w:rPr>
                <w:color w:val="auto"/>
                <w:sz w:val="24"/>
                <w:szCs w:val="24"/>
                <w:highlight w:val="none"/>
              </w:rPr>
            </w:pPr>
            <w:r>
              <w:rPr>
                <w:rFonts w:hint="eastAsia"/>
                <w:color w:val="auto"/>
                <w:sz w:val="24"/>
                <w:szCs w:val="24"/>
                <w:highlight w:val="none"/>
              </w:rPr>
              <w:t>……</w:t>
            </w:r>
          </w:p>
        </w:tc>
        <w:tc>
          <w:tcPr>
            <w:tcW w:w="2296" w:type="dxa"/>
            <w:vAlign w:val="center"/>
          </w:tcPr>
          <w:p>
            <w:pPr>
              <w:pStyle w:val="35"/>
              <w:jc w:val="center"/>
              <w:rPr>
                <w:color w:val="auto"/>
                <w:sz w:val="24"/>
                <w:szCs w:val="24"/>
                <w:highlight w:val="none"/>
              </w:rPr>
            </w:pPr>
            <w:r>
              <w:rPr>
                <w:rFonts w:hint="eastAsia"/>
                <w:color w:val="auto"/>
                <w:sz w:val="24"/>
                <w:szCs w:val="24"/>
                <w:highlight w:val="none"/>
              </w:rPr>
              <w:t>……</w:t>
            </w:r>
          </w:p>
        </w:tc>
        <w:tc>
          <w:tcPr>
            <w:tcW w:w="1784" w:type="dxa"/>
            <w:vAlign w:val="center"/>
          </w:tcPr>
          <w:p>
            <w:pPr>
              <w:pStyle w:val="35"/>
              <w:jc w:val="center"/>
              <w:rPr>
                <w:color w:val="auto"/>
                <w:sz w:val="24"/>
                <w:szCs w:val="24"/>
                <w:highlight w:val="none"/>
              </w:rPr>
            </w:pPr>
            <w:r>
              <w:rPr>
                <w:rFonts w:hint="eastAsia"/>
                <w:color w:val="auto"/>
                <w:sz w:val="24"/>
                <w:szCs w:val="24"/>
                <w:highlight w:val="none"/>
              </w:rPr>
              <w:t>……</w:t>
            </w:r>
          </w:p>
        </w:tc>
      </w:tr>
    </w:tbl>
    <w:p>
      <w:pPr>
        <w:pStyle w:val="7"/>
        <w:tabs>
          <w:tab w:val="left" w:pos="562"/>
          <w:tab w:val="left" w:pos="3372"/>
          <w:tab w:val="left" w:pos="3653"/>
        </w:tabs>
        <w:spacing w:before="128"/>
        <w:ind w:left="4220" w:right="1843"/>
        <w:rPr>
          <w:rFonts w:ascii="宋体" w:hAnsi="宋体" w:cs="宋体"/>
          <w:color w:val="auto"/>
          <w:highlight w:val="none"/>
        </w:rPr>
      </w:pPr>
      <w:r>
        <w:rPr>
          <w:rFonts w:hint="eastAsia" w:ascii="宋体" w:hAnsi="宋体" w:cs="宋体"/>
          <w:color w:val="auto"/>
          <w:highlight w:val="none"/>
        </w:rPr>
        <w:t>部门（单位）名称： 日期：</w:t>
      </w:r>
    </w:p>
    <w:p>
      <w:pPr>
        <w:pStyle w:val="7"/>
        <w:tabs>
          <w:tab w:val="left" w:pos="562"/>
          <w:tab w:val="left" w:pos="3372"/>
          <w:tab w:val="left" w:pos="3653"/>
        </w:tabs>
        <w:rPr>
          <w:rFonts w:ascii="宋体" w:hAnsi="宋体" w:cs="宋体"/>
          <w:color w:val="auto"/>
          <w:highlight w:val="none"/>
        </w:rPr>
      </w:pPr>
    </w:p>
    <w:p>
      <w:pPr>
        <w:pStyle w:val="16"/>
        <w:jc w:val="both"/>
        <w:outlineLvl w:val="9"/>
        <w:rPr>
          <w:rFonts w:ascii="宋体" w:hAnsi="宋体" w:eastAsia="宋体" w:cs="宋体"/>
          <w:color w:val="auto"/>
          <w:sz w:val="24"/>
          <w:szCs w:val="24"/>
          <w:highlight w:val="none"/>
        </w:rPr>
      </w:pPr>
    </w:p>
    <w:p>
      <w:pPr>
        <w:tabs>
          <w:tab w:val="left" w:pos="360"/>
        </w:tabs>
        <w:outlineLvl w:val="1"/>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2、工业和信息化部、国家统计局、国家发展和改革委员会、财政部《关于印发〈中小企业划型标准规定〉的通知》（工信部联企〔2011〕300 号）</w:t>
      </w:r>
    </w:p>
    <w:p>
      <w:pPr>
        <w:pStyle w:val="7"/>
        <w:tabs>
          <w:tab w:val="left" w:pos="562"/>
          <w:tab w:val="left" w:pos="3372"/>
          <w:tab w:val="left" w:pos="3653"/>
        </w:tabs>
        <w:rPr>
          <w:rFonts w:ascii="宋体" w:hAnsi="宋体" w:cs="宋体"/>
          <w:color w:val="auto"/>
          <w:highlight w:val="none"/>
        </w:rPr>
      </w:pPr>
    </w:p>
    <w:p>
      <w:pPr>
        <w:jc w:val="center"/>
        <w:rPr>
          <w:rFonts w:ascii="宋体" w:hAnsi="宋体" w:cs="宋体"/>
          <w:b/>
          <w:bCs/>
          <w:color w:val="auto"/>
          <w:sz w:val="24"/>
          <w:highlight w:val="none"/>
        </w:rPr>
      </w:pPr>
      <w:r>
        <w:rPr>
          <w:rFonts w:hint="eastAsia" w:ascii="宋体" w:hAnsi="宋体" w:cs="宋体"/>
          <w:b/>
          <w:bCs/>
          <w:color w:val="auto"/>
          <w:sz w:val="24"/>
          <w:highlight w:val="none"/>
        </w:rPr>
        <w:t>关于印发中小企业划型标准规定的通知</w:t>
      </w:r>
    </w:p>
    <w:p>
      <w:pPr>
        <w:jc w:val="center"/>
        <w:rPr>
          <w:rFonts w:ascii="宋体" w:hAnsi="宋体" w:cs="宋体"/>
          <w:color w:val="auto"/>
          <w:sz w:val="24"/>
          <w:highlight w:val="none"/>
        </w:rPr>
      </w:pPr>
      <w:r>
        <w:rPr>
          <w:rFonts w:hint="eastAsia" w:ascii="宋体" w:hAnsi="宋体" w:cs="宋体"/>
          <w:color w:val="auto"/>
          <w:sz w:val="24"/>
          <w:highlight w:val="none"/>
        </w:rPr>
        <w:t>工信部联企业〔2011〕300号</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各省、自治区、直辖市人民政府，国务院各部委、各直属机构及有关单位：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ascii="宋体" w:hAnsi="宋体" w:cs="宋体"/>
          <w:color w:val="auto"/>
          <w:sz w:val="24"/>
          <w:highlight w:val="none"/>
        </w:rPr>
      </w:pPr>
      <w:r>
        <w:rPr>
          <w:rFonts w:hint="eastAsia" w:ascii="宋体" w:hAnsi="宋体" w:cs="宋体"/>
          <w:color w:val="auto"/>
          <w:sz w:val="24"/>
          <w:highlight w:val="none"/>
        </w:rPr>
        <w:t>工业和信息化部 国家统计局</w:t>
      </w:r>
    </w:p>
    <w:p>
      <w:pPr>
        <w:ind w:firstLine="480" w:firstLineChars="200"/>
        <w:jc w:val="right"/>
        <w:rPr>
          <w:rFonts w:ascii="宋体" w:hAnsi="宋体" w:cs="宋体"/>
          <w:color w:val="auto"/>
          <w:sz w:val="24"/>
          <w:highlight w:val="none"/>
        </w:rPr>
      </w:pPr>
      <w:r>
        <w:rPr>
          <w:rFonts w:hint="eastAsia" w:ascii="宋体" w:hAnsi="宋体" w:cs="宋体"/>
          <w:color w:val="auto"/>
          <w:sz w:val="24"/>
          <w:highlight w:val="none"/>
        </w:rPr>
        <w:t>国家发展和改革委员会 财政部</w:t>
      </w:r>
    </w:p>
    <w:p>
      <w:pPr>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二○一一年六月十八日</w:t>
      </w:r>
    </w:p>
    <w:p>
      <w:pPr>
        <w:ind w:firstLine="480" w:firstLineChars="200"/>
        <w:rPr>
          <w:rFonts w:ascii="宋体" w:hAnsi="宋体" w:cs="宋体"/>
          <w:color w:val="auto"/>
          <w:sz w:val="24"/>
          <w:highlight w:val="none"/>
        </w:rPr>
      </w:pPr>
    </w:p>
    <w:p>
      <w:pPr>
        <w:ind w:firstLine="480" w:firstLineChars="200"/>
        <w:rPr>
          <w:rFonts w:ascii="宋体" w:hAnsi="宋体" w:cs="宋体"/>
          <w:color w:val="auto"/>
          <w:sz w:val="24"/>
          <w:highlight w:val="none"/>
        </w:rPr>
      </w:pPr>
    </w:p>
    <w:p>
      <w:pPr>
        <w:ind w:firstLine="480" w:firstLineChars="200"/>
        <w:rPr>
          <w:rFonts w:ascii="宋体" w:hAnsi="宋体" w:cs="宋体"/>
          <w:color w:val="auto"/>
          <w:sz w:val="24"/>
          <w:highlight w:val="none"/>
        </w:rPr>
      </w:pPr>
    </w:p>
    <w:p>
      <w:pPr>
        <w:jc w:val="center"/>
        <w:rPr>
          <w:rFonts w:ascii="宋体" w:hAnsi="宋体" w:cs="宋体"/>
          <w:b/>
          <w:bCs/>
          <w:color w:val="auto"/>
          <w:sz w:val="24"/>
          <w:highlight w:val="none"/>
        </w:rPr>
      </w:pPr>
      <w:r>
        <w:rPr>
          <w:rFonts w:hint="eastAsia" w:ascii="宋体" w:hAnsi="宋体" w:cs="宋体"/>
          <w:b/>
          <w:bCs/>
          <w:color w:val="auto"/>
          <w:sz w:val="24"/>
          <w:highlight w:val="none"/>
        </w:rPr>
        <w:t xml:space="preserve">中小企业划型标准规定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一、根据《中华人民共和国中小企业促进法》和《国务院关于进一步促进中小企业发展的若干意见》(国发〔2009〕36号)，制定本规定。</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二、中小企业划分为中型、小型、微型三种类型，具体标准根据企业从业人员、营业收入、资产总额等指标，结合行业特点制定。</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四、各行业划型标准为：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五、企业类型的划分以统计部门的统计数据为依据。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六、本规定适用于在中华人民共和国境内依法设立的各类所有制和各种组织形式的企业。个体工商户和本规定以外的行业，参照本规定进行划型。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八、本规定由工业和信息化部、国家统计局会同有关部门根据《国民经济行业分类》修订情况和企业发展变化情况适时修订。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九、本规定由工业和信息化部、国家统计局会同有关部门负责解释。 </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十、本规定自发布之日起执行，原国家经贸委、原国家计委、财政部和国家统计局2003年颁布的《中小企业标准暂行规定》同时废止。</w:t>
      </w:r>
    </w:p>
    <w:p>
      <w:pPr>
        <w:ind w:firstLine="480" w:firstLineChars="200"/>
        <w:rPr>
          <w:rFonts w:ascii="宋体" w:hAnsi="宋体" w:cs="宋体"/>
          <w:color w:val="auto"/>
          <w:sz w:val="24"/>
          <w:highlight w:val="none"/>
        </w:rPr>
      </w:pPr>
    </w:p>
    <w:p>
      <w:pPr>
        <w:pStyle w:val="16"/>
        <w:jc w:val="both"/>
        <w:outlineLvl w:val="9"/>
        <w:rPr>
          <w:rFonts w:ascii="宋体" w:hAnsi="宋体" w:eastAsia="宋体" w:cs="宋体"/>
          <w:color w:val="auto"/>
          <w:sz w:val="24"/>
          <w:szCs w:val="24"/>
          <w:highlight w:val="none"/>
        </w:rPr>
      </w:pPr>
    </w:p>
    <w:p>
      <w:pPr>
        <w:pStyle w:val="16"/>
        <w:jc w:val="both"/>
        <w:outlineLvl w:val="9"/>
        <w:rPr>
          <w:rFonts w:ascii="宋体" w:hAnsi="宋体" w:eastAsia="宋体" w:cs="宋体"/>
          <w:color w:val="auto"/>
          <w:sz w:val="24"/>
          <w:szCs w:val="24"/>
          <w:highlight w:val="none"/>
        </w:rPr>
      </w:pPr>
    </w:p>
    <w:p>
      <w:pPr>
        <w:tabs>
          <w:tab w:val="left" w:pos="360"/>
        </w:tabs>
        <w:outlineLvl w:val="1"/>
        <w:rPr>
          <w:rFonts w:ascii="宋体" w:hAnsi="宋体" w:cs="宋体"/>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3、国家统计局《关于印发〈统计上大中小微型企业划分办法（2017）〉的通知》</w:t>
      </w:r>
    </w:p>
    <w:p>
      <w:pPr>
        <w:widowControl/>
        <w:shd w:val="clear" w:color="auto" w:fill="FFFFFF"/>
        <w:jc w:val="center"/>
        <w:rPr>
          <w:rFonts w:ascii="宋体" w:hAnsi="宋体" w:cs="宋体"/>
          <w:b/>
          <w:bCs/>
          <w:color w:val="auto"/>
          <w:kern w:val="0"/>
          <w:sz w:val="24"/>
          <w:highlight w:val="none"/>
        </w:rPr>
      </w:pPr>
    </w:p>
    <w:p>
      <w:pPr>
        <w:widowControl/>
        <w:shd w:val="clear" w:color="auto" w:fill="FFFFFF"/>
        <w:jc w:val="center"/>
        <w:rPr>
          <w:rFonts w:ascii="宋体" w:hAnsi="宋体" w:cs="宋体"/>
          <w:b/>
          <w:color w:val="auto"/>
          <w:kern w:val="0"/>
          <w:sz w:val="24"/>
          <w:highlight w:val="none"/>
        </w:rPr>
      </w:pPr>
      <w:r>
        <w:rPr>
          <w:rFonts w:hint="eastAsia" w:ascii="宋体" w:hAnsi="宋体" w:cs="宋体"/>
          <w:b/>
          <w:bCs/>
          <w:color w:val="auto"/>
          <w:kern w:val="0"/>
          <w:sz w:val="24"/>
          <w:highlight w:val="none"/>
        </w:rPr>
        <w:t>国家统计局关于印发《统计上大中小微型企业划分办法（2017）》的通知</w:t>
      </w:r>
    </w:p>
    <w:p>
      <w:pPr>
        <w:widowControl/>
        <w:shd w:val="clear" w:color="auto" w:fill="FFFFFF"/>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各省、自治区、直辖市统计局，新疆生产建设兵团统计局，国务院各有关部门，国家统计局各调查总队：</w:t>
      </w:r>
    </w:p>
    <w:p>
      <w:pPr>
        <w:widowControl/>
        <w:shd w:val="clear" w:color="auto" w:fill="FFFFFF"/>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附件：《统计上大中小微型企业划分办法（2017）》修订说明</w:t>
      </w:r>
    </w:p>
    <w:p>
      <w:pPr>
        <w:widowControl/>
        <w:shd w:val="clear" w:color="auto" w:fill="FFFFFF"/>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right"/>
        <w:rPr>
          <w:rFonts w:ascii="宋体" w:hAnsi="宋体" w:cs="宋体"/>
          <w:color w:val="auto"/>
          <w:kern w:val="0"/>
          <w:sz w:val="24"/>
          <w:highlight w:val="none"/>
        </w:rPr>
      </w:pPr>
      <w:r>
        <w:rPr>
          <w:rFonts w:hint="eastAsia" w:ascii="宋体" w:hAnsi="宋体" w:cs="宋体"/>
          <w:color w:val="auto"/>
          <w:kern w:val="0"/>
          <w:sz w:val="24"/>
          <w:highlight w:val="none"/>
        </w:rPr>
        <w:t>国家统计局</w:t>
      </w:r>
    </w:p>
    <w:p>
      <w:pPr>
        <w:widowControl/>
        <w:shd w:val="clear" w:color="auto" w:fill="FFFFFF"/>
        <w:ind w:firstLine="480" w:firstLineChars="200"/>
        <w:jc w:val="right"/>
        <w:rPr>
          <w:rFonts w:ascii="宋体" w:hAnsi="宋体" w:cs="宋体"/>
          <w:color w:val="auto"/>
          <w:kern w:val="0"/>
          <w:sz w:val="24"/>
          <w:highlight w:val="none"/>
        </w:rPr>
      </w:pPr>
      <w:r>
        <w:rPr>
          <w:rFonts w:hint="eastAsia" w:ascii="宋体" w:hAnsi="宋体" w:cs="宋体"/>
          <w:color w:val="auto"/>
          <w:kern w:val="0"/>
          <w:sz w:val="24"/>
          <w:highlight w:val="none"/>
        </w:rPr>
        <w:t>2017年12月28日</w:t>
      </w:r>
    </w:p>
    <w:p>
      <w:pPr>
        <w:widowControl/>
        <w:shd w:val="clear" w:color="auto" w:fill="FFFFFF"/>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统计上大中小微型企业划分办法（2017）</w:t>
      </w:r>
    </w:p>
    <w:p>
      <w:pPr>
        <w:widowControl/>
        <w:shd w:val="clear" w:color="auto" w:fill="FFFFFF"/>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五、企业划分由政府综合统计部门根据统计年报每年确定一次，定报统计原则上不进行调整。</w:t>
      </w:r>
    </w:p>
    <w:p>
      <w:pPr>
        <w:widowControl/>
        <w:shd w:val="clear" w:color="auto" w:fill="FFFFFF"/>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附表：统计上大中小微型企业划分标准</w:t>
      </w:r>
    </w:p>
    <w:p>
      <w:pPr>
        <w:widowControl/>
        <w:jc w:val="left"/>
        <w:rPr>
          <w:rFonts w:ascii="宋体" w:hAnsi="宋体" w:cs="宋体"/>
          <w:color w:val="auto"/>
          <w:kern w:val="0"/>
          <w:sz w:val="24"/>
          <w:highlight w:val="none"/>
        </w:rPr>
      </w:pPr>
    </w:p>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附表：</w:t>
      </w:r>
    </w:p>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统计上大中小微型企业划分标准</w:t>
      </w:r>
    </w:p>
    <w:tbl>
      <w:tblPr>
        <w:tblStyle w:val="1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行业名称</w:t>
            </w: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指标名称</w:t>
            </w:r>
          </w:p>
        </w:tc>
        <w:tc>
          <w:tcPr>
            <w:tcW w:w="727" w:type="dxa"/>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计量</w:t>
            </w:r>
          </w:p>
          <w:p>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单位</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大型</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中型</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小型</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农、林、牧、渔业</w:t>
            </w: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Y≥20000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500≤Y＜20000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50≤Y＜500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工业 *</w:t>
            </w: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auto"/>
                <w:kern w:val="0"/>
                <w:sz w:val="24"/>
                <w:highlight w:val="none"/>
              </w:rPr>
            </w:pP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Y≥40000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2000≤Y＜40000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300≤Y＜2000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建筑业</w:t>
            </w: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Y≥80000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6000≤Y＜80000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300≤Y＜6000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auto"/>
                <w:kern w:val="0"/>
                <w:sz w:val="24"/>
                <w:highlight w:val="none"/>
              </w:rPr>
            </w:pP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Z≥80000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5000≤Z＜80000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300≤Z＜5000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批发业</w:t>
            </w: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X≥200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20≤X＜200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5≤X＜20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auto"/>
                <w:kern w:val="0"/>
                <w:sz w:val="24"/>
                <w:highlight w:val="none"/>
              </w:rPr>
            </w:pP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Y≥40000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5000≤Y＜40000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1000≤Y＜5000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零售业</w:t>
            </w: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50≤X＜300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10≤X＜50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auto"/>
                <w:kern w:val="0"/>
                <w:sz w:val="24"/>
                <w:highlight w:val="none"/>
              </w:rPr>
            </w:pP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Y≥20000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500≤Y＜20000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100≤Y＜500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交通运输业 *</w:t>
            </w: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auto"/>
                <w:kern w:val="0"/>
                <w:sz w:val="24"/>
                <w:highlight w:val="none"/>
              </w:rPr>
            </w:pP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3000≤Y＜30000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200≤Y＜3000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仓储业*</w:t>
            </w: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X≥200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100≤X＜200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20≤X＜100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auto"/>
                <w:kern w:val="0"/>
                <w:sz w:val="24"/>
                <w:highlight w:val="none"/>
              </w:rPr>
            </w:pP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1000≤Y＜30000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邮政业</w:t>
            </w: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auto"/>
                <w:kern w:val="0"/>
                <w:sz w:val="24"/>
                <w:highlight w:val="none"/>
              </w:rPr>
            </w:pP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2000≤Y＜30000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住宿业</w:t>
            </w: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auto"/>
                <w:kern w:val="0"/>
                <w:sz w:val="24"/>
                <w:highlight w:val="none"/>
              </w:rPr>
            </w:pP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2000≤Y＜10000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餐饮业</w:t>
            </w: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auto"/>
                <w:kern w:val="0"/>
                <w:sz w:val="24"/>
                <w:highlight w:val="none"/>
              </w:rPr>
            </w:pP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2000≤Y＜10000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信息传输业 *</w:t>
            </w: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X≥2000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100≤X＜2000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auto"/>
                <w:kern w:val="0"/>
                <w:sz w:val="24"/>
                <w:highlight w:val="none"/>
              </w:rPr>
            </w:pP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Y≥100000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1000≤Y＜100000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软件和信息技术服务业</w:t>
            </w: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auto"/>
                <w:kern w:val="0"/>
                <w:sz w:val="24"/>
                <w:highlight w:val="none"/>
              </w:rPr>
            </w:pP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1000≤Y＜10000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50≤Y＜1000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房地产开发经营</w:t>
            </w: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Y≥200000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1000≤Y＜200000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auto"/>
                <w:kern w:val="0"/>
                <w:sz w:val="24"/>
                <w:highlight w:val="none"/>
              </w:rPr>
            </w:pP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Z≥10000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5000≤Z＜10000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2000≤Z＜5000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物业管理</w:t>
            </w: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100≤X＜300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auto"/>
                <w:kern w:val="0"/>
                <w:sz w:val="24"/>
                <w:highlight w:val="none"/>
              </w:rPr>
            </w:pP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Y≥5000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1000≤Y＜5000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500≤Y＜1000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租赁和商务服务业</w:t>
            </w: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auto"/>
                <w:kern w:val="0"/>
                <w:sz w:val="24"/>
                <w:highlight w:val="none"/>
              </w:rPr>
            </w:pP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Z≥120000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8000≤Z＜120000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100≤Z＜8000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其他未列明行业 *</w:t>
            </w:r>
          </w:p>
        </w:tc>
        <w:tc>
          <w:tcPr>
            <w:tcW w:w="1462"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X＜10</w:t>
            </w:r>
          </w:p>
        </w:tc>
      </w:tr>
    </w:tbl>
    <w:p>
      <w:pPr>
        <w:widowControl/>
        <w:shd w:val="clear" w:color="auto" w:fill="FFFFFF"/>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说明：</w:t>
      </w:r>
    </w:p>
    <w:p>
      <w:pPr>
        <w:widowControl/>
        <w:shd w:val="clear" w:color="auto" w:fill="FFFFFF"/>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1.大型、中型和小型企业须同时满足所列指标的下限，否则下划一档；微型企业只须满足所列指标中的一项即可。</w:t>
      </w:r>
    </w:p>
    <w:p>
      <w:pPr>
        <w:widowControl/>
        <w:shd w:val="clear" w:color="auto" w:fill="FFFFFF"/>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7"/>
        <w:tabs>
          <w:tab w:val="left" w:pos="562"/>
          <w:tab w:val="left" w:pos="3372"/>
          <w:tab w:val="left" w:pos="3653"/>
        </w:tabs>
        <w:rPr>
          <w:rFonts w:ascii="宋体" w:hAnsi="宋体" w:cs="宋体"/>
          <w:color w:val="auto"/>
          <w:highlight w:val="none"/>
        </w:rPr>
      </w:pPr>
    </w:p>
    <w:p>
      <w:pPr>
        <w:pStyle w:val="16"/>
        <w:outlineLvl w:val="9"/>
        <w:rPr>
          <w:rFonts w:ascii="宋体" w:hAnsi="宋体" w:eastAsia="宋体" w:cs="宋体"/>
          <w:color w:val="auto"/>
          <w:sz w:val="24"/>
          <w:szCs w:val="24"/>
          <w:highlight w:val="none"/>
        </w:rPr>
      </w:pPr>
    </w:p>
    <w:p>
      <w:pPr>
        <w:tabs>
          <w:tab w:val="left" w:pos="360"/>
        </w:tabs>
        <w:outlineLvl w:val="1"/>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4、财政部、民政部、中国残联《关于促进残疾人就业政府采购政策的通知》（财库〔2017〕141 号）</w:t>
      </w:r>
    </w:p>
    <w:p>
      <w:pPr>
        <w:shd w:val="clear" w:color="auto" w:fill="FFFFFF"/>
        <w:rPr>
          <w:rFonts w:ascii="宋体" w:hAnsi="宋体" w:cs="宋体"/>
          <w:bCs/>
          <w:color w:val="auto"/>
          <w:sz w:val="24"/>
          <w:highlight w:val="none"/>
        </w:rPr>
      </w:pPr>
    </w:p>
    <w:p>
      <w:pPr>
        <w:shd w:val="clear" w:color="auto" w:fill="FFFFFF"/>
        <w:rPr>
          <w:rFonts w:ascii="宋体" w:hAnsi="宋体" w:cs="宋体"/>
          <w:bCs/>
          <w:color w:val="auto"/>
          <w:sz w:val="24"/>
          <w:highlight w:val="none"/>
        </w:rPr>
      </w:pPr>
      <w:r>
        <w:rPr>
          <w:rFonts w:hint="eastAsia" w:ascii="宋体" w:hAnsi="宋体" w:cs="宋体"/>
          <w:bCs/>
          <w:color w:val="auto"/>
          <w:sz w:val="24"/>
          <w:highlight w:val="none"/>
        </w:rPr>
        <w:t>关于促进残疾人就业政府采购政策的通知</w:t>
      </w:r>
    </w:p>
    <w:p>
      <w:pPr>
        <w:pStyle w:val="15"/>
        <w:shd w:val="clear" w:color="auto" w:fill="FFFFFF"/>
        <w:spacing w:before="0" w:beforeAutospacing="0" w:after="0" w:afterAutospacing="0"/>
        <w:jc w:val="center"/>
        <w:rPr>
          <w:color w:val="auto"/>
          <w:highlight w:val="none"/>
        </w:rPr>
      </w:pPr>
      <w:r>
        <w:rPr>
          <w:rFonts w:hint="eastAsia"/>
          <w:color w:val="auto"/>
          <w:highlight w:val="none"/>
        </w:rPr>
        <w:t>　　</w:t>
      </w:r>
      <w:bookmarkStart w:id="64" w:name="sendNo"/>
      <w:r>
        <w:rPr>
          <w:rFonts w:hint="eastAsia"/>
          <w:color w:val="auto"/>
          <w:highlight w:val="none"/>
        </w:rPr>
        <w:t>财库〔</w:t>
      </w:r>
      <w:bookmarkEnd w:id="64"/>
      <w:r>
        <w:rPr>
          <w:rFonts w:hint="eastAsia"/>
          <w:color w:val="auto"/>
          <w:highlight w:val="none"/>
        </w:rPr>
        <w:t>2017〕141号</w:t>
      </w:r>
    </w:p>
    <w:p>
      <w:pPr>
        <w:pStyle w:val="15"/>
        <w:shd w:val="clear" w:color="auto" w:fill="FFFFFF"/>
        <w:spacing w:before="0" w:beforeAutospacing="0" w:after="0" w:afterAutospacing="0"/>
        <w:ind w:firstLine="480" w:firstLineChars="200"/>
        <w:rPr>
          <w:color w:val="auto"/>
          <w:highlight w:val="none"/>
        </w:rPr>
      </w:pPr>
      <w:bookmarkStart w:id="65" w:name="toDeptId"/>
      <w:r>
        <w:rPr>
          <w:rFonts w:hint="eastAsia"/>
          <w:color w:val="auto"/>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65"/>
      <w:r>
        <w:rPr>
          <w:rFonts w:hint="eastAsia"/>
          <w:color w:val="auto"/>
          <w:highlight w:val="none"/>
        </w:rPr>
        <w:t>：</w:t>
      </w:r>
    </w:p>
    <w:p>
      <w:pPr>
        <w:pStyle w:val="15"/>
        <w:shd w:val="clear" w:color="auto" w:fill="FFFFFF"/>
        <w:spacing w:before="0" w:beforeAutospacing="0" w:after="0" w:afterAutospacing="0"/>
        <w:ind w:firstLine="480" w:firstLineChars="200"/>
        <w:rPr>
          <w:color w:val="auto"/>
          <w:highlight w:val="none"/>
        </w:rPr>
      </w:pPr>
      <w:r>
        <w:rPr>
          <w:rFonts w:hint="eastAsia"/>
          <w:color w:val="auto"/>
          <w:highlight w:val="none"/>
        </w:rPr>
        <w:t>为了发挥政府采购促进残疾人就业的作用，进一步保障残疾人权益，依照《政府采购法》、《残疾人保障法》等法律法规及相关规定，现就促进残疾人就业政府采购政策通知如下：</w:t>
      </w:r>
    </w:p>
    <w:p>
      <w:pPr>
        <w:pStyle w:val="15"/>
        <w:shd w:val="clear" w:color="auto" w:fill="FFFFFF"/>
        <w:spacing w:before="0" w:beforeAutospacing="0" w:after="0" w:afterAutospacing="0"/>
        <w:ind w:firstLine="480" w:firstLineChars="200"/>
        <w:rPr>
          <w:color w:val="auto"/>
          <w:highlight w:val="none"/>
        </w:rPr>
      </w:pPr>
      <w:r>
        <w:rPr>
          <w:rFonts w:hint="eastAsia"/>
          <w:color w:val="auto"/>
          <w:highlight w:val="none"/>
        </w:rPr>
        <w:t>一、享受政府采购支持政策的残疾人福利性单位应当同时满足以下条件：</w:t>
      </w:r>
    </w:p>
    <w:p>
      <w:pPr>
        <w:pStyle w:val="15"/>
        <w:shd w:val="clear" w:color="auto" w:fill="FFFFFF"/>
        <w:spacing w:before="0" w:beforeAutospacing="0" w:after="0" w:afterAutospacing="0"/>
        <w:ind w:firstLine="480" w:firstLineChars="200"/>
        <w:rPr>
          <w:color w:val="auto"/>
          <w:highlight w:val="none"/>
        </w:rPr>
      </w:pPr>
      <w:r>
        <w:rPr>
          <w:rFonts w:hint="eastAsia"/>
          <w:color w:val="auto"/>
          <w:highlight w:val="none"/>
        </w:rPr>
        <w:t>（一）安置的残疾人占本单位在职职工人数的比例不低于25%（含25%），并且安置的残疾人人数不少于10人（含10人）；</w:t>
      </w:r>
    </w:p>
    <w:p>
      <w:pPr>
        <w:pStyle w:val="15"/>
        <w:shd w:val="clear" w:color="auto" w:fill="FFFFFF"/>
        <w:spacing w:before="0" w:beforeAutospacing="0" w:after="0" w:afterAutospacing="0"/>
        <w:ind w:firstLine="480" w:firstLineChars="200"/>
        <w:rPr>
          <w:color w:val="auto"/>
          <w:highlight w:val="none"/>
        </w:rPr>
      </w:pPr>
      <w:r>
        <w:rPr>
          <w:rFonts w:hint="eastAsia"/>
          <w:color w:val="auto"/>
          <w:highlight w:val="none"/>
        </w:rPr>
        <w:t>（二）依法与安置的每位残疾人签订了一年以上（含一年）的劳动合同或服务协议；</w:t>
      </w:r>
    </w:p>
    <w:p>
      <w:pPr>
        <w:pStyle w:val="15"/>
        <w:shd w:val="clear" w:color="auto" w:fill="FFFFFF"/>
        <w:spacing w:before="0" w:beforeAutospacing="0" w:after="0" w:afterAutospacing="0"/>
        <w:ind w:firstLine="480" w:firstLineChars="200"/>
        <w:rPr>
          <w:color w:val="auto"/>
          <w:highlight w:val="none"/>
        </w:rPr>
      </w:pPr>
      <w:r>
        <w:rPr>
          <w:rFonts w:hint="eastAsia"/>
          <w:color w:val="auto"/>
          <w:highlight w:val="none"/>
        </w:rPr>
        <w:t>（三）为安置的每位残疾人按月足额缴纳了基本养老保险、基本医疗保险、失业保险、工伤保险和生育保险等社会保险费；</w:t>
      </w:r>
    </w:p>
    <w:p>
      <w:pPr>
        <w:pStyle w:val="15"/>
        <w:shd w:val="clear" w:color="auto" w:fill="FFFFFF"/>
        <w:spacing w:before="0" w:beforeAutospacing="0" w:after="0" w:afterAutospacing="0"/>
        <w:ind w:firstLine="480" w:firstLineChars="200"/>
        <w:rPr>
          <w:color w:val="auto"/>
          <w:highlight w:val="none"/>
        </w:rPr>
      </w:pPr>
      <w:r>
        <w:rPr>
          <w:rFonts w:hint="eastAsia"/>
          <w:color w:val="auto"/>
          <w:highlight w:val="none"/>
        </w:rPr>
        <w:t>（四）通过银行等金融机构向安置的每位残疾人，按月支付了不低于单位所在区县适用的经省级人民政府批准的月最低工资标准的工资；</w:t>
      </w:r>
    </w:p>
    <w:p>
      <w:pPr>
        <w:pStyle w:val="15"/>
        <w:shd w:val="clear" w:color="auto" w:fill="FFFFFF"/>
        <w:spacing w:before="0" w:beforeAutospacing="0" w:after="0" w:afterAutospacing="0"/>
        <w:ind w:firstLine="480" w:firstLineChars="200"/>
        <w:rPr>
          <w:color w:val="auto"/>
          <w:highlight w:val="none"/>
        </w:rPr>
      </w:pPr>
      <w:r>
        <w:rPr>
          <w:rFonts w:hint="eastAsia"/>
          <w:color w:val="auto"/>
          <w:highlight w:val="none"/>
        </w:rPr>
        <w:t>（五）提供本单位制造的货物、承担的工程或者服务（以下简称产品），或者提供其他残疾人福利性单位制造的货物（不包括使用非残疾人福利性单位注册商标的货物）。</w:t>
      </w:r>
    </w:p>
    <w:p>
      <w:pPr>
        <w:pStyle w:val="15"/>
        <w:shd w:val="clear" w:color="auto" w:fill="FFFFFF"/>
        <w:spacing w:before="0" w:beforeAutospacing="0" w:after="0" w:afterAutospacing="0"/>
        <w:ind w:firstLine="480" w:firstLineChars="200"/>
        <w:rPr>
          <w:color w:val="auto"/>
          <w:highlight w:val="none"/>
        </w:rPr>
      </w:pPr>
      <w:r>
        <w:rPr>
          <w:rFonts w:hint="eastAsia"/>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5"/>
        <w:shd w:val="clear" w:color="auto" w:fill="FFFFFF"/>
        <w:spacing w:before="0" w:beforeAutospacing="0" w:after="0" w:afterAutospacing="0"/>
        <w:ind w:firstLine="480" w:firstLineChars="200"/>
        <w:rPr>
          <w:color w:val="auto"/>
          <w:highlight w:val="none"/>
        </w:rPr>
      </w:pPr>
      <w:r>
        <w:rPr>
          <w:rFonts w:hint="eastAsia"/>
          <w:color w:val="auto"/>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5"/>
        <w:shd w:val="clear" w:color="auto" w:fill="FFFFFF"/>
        <w:spacing w:before="0" w:beforeAutospacing="0" w:after="0" w:afterAutospacing="0"/>
        <w:ind w:firstLine="480" w:firstLineChars="200"/>
        <w:rPr>
          <w:color w:val="auto"/>
          <w:highlight w:val="none"/>
        </w:rPr>
      </w:pPr>
      <w:r>
        <w:rPr>
          <w:rFonts w:hint="eastAsia"/>
          <w:color w:val="auto"/>
          <w:highlight w:val="none"/>
        </w:rPr>
        <w:t>中标、成交供应商为残疾人福利性单位的，采购人或者其委托的采购代理机构应当随中标、成交结果同时公告其《残疾人福利性单位声明函》，接受社会监督。</w:t>
      </w:r>
    </w:p>
    <w:p>
      <w:pPr>
        <w:pStyle w:val="15"/>
        <w:shd w:val="clear" w:color="auto" w:fill="FFFFFF"/>
        <w:spacing w:before="0" w:beforeAutospacing="0" w:after="0" w:afterAutospacing="0"/>
        <w:ind w:firstLine="480" w:firstLineChars="200"/>
        <w:rPr>
          <w:color w:val="auto"/>
          <w:highlight w:val="none"/>
        </w:rPr>
      </w:pPr>
      <w:r>
        <w:rPr>
          <w:rFonts w:hint="eastAsia"/>
          <w:color w:val="auto"/>
          <w:highlight w:val="none"/>
        </w:rPr>
        <w:t>供应商提供的《残疾人福利性单位声明函》与事实不符的，依照《政府采购法》第七十七条第一款的规定追究法律责任。</w:t>
      </w:r>
    </w:p>
    <w:p>
      <w:pPr>
        <w:pStyle w:val="15"/>
        <w:shd w:val="clear" w:color="auto" w:fill="FFFFFF"/>
        <w:spacing w:before="0" w:beforeAutospacing="0" w:after="0" w:afterAutospacing="0"/>
        <w:ind w:firstLine="480" w:firstLineChars="200"/>
        <w:rPr>
          <w:color w:val="auto"/>
          <w:highlight w:val="none"/>
        </w:rPr>
      </w:pPr>
      <w:r>
        <w:rPr>
          <w:rFonts w:hint="eastAsia"/>
          <w:color w:val="auto"/>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5"/>
        <w:shd w:val="clear" w:color="auto" w:fill="FFFFFF"/>
        <w:spacing w:before="0" w:beforeAutospacing="0" w:after="0" w:afterAutospacing="0"/>
        <w:ind w:firstLine="480" w:firstLineChars="200"/>
        <w:rPr>
          <w:color w:val="auto"/>
          <w:highlight w:val="none"/>
        </w:rPr>
      </w:pPr>
      <w:r>
        <w:rPr>
          <w:rFonts w:hint="eastAsia"/>
          <w:color w:val="auto"/>
          <w:highlight w:val="none"/>
        </w:rPr>
        <w:t>四、采购人采购公开招标数额标准以上的货物或者服务，因落实促进残疾人就业政策的需要，依法履行有关报批程序后，可采用公开招标以外的采购方式。</w:t>
      </w:r>
    </w:p>
    <w:p>
      <w:pPr>
        <w:pStyle w:val="15"/>
        <w:shd w:val="clear" w:color="auto" w:fill="FFFFFF"/>
        <w:spacing w:before="0" w:beforeAutospacing="0" w:after="0" w:afterAutospacing="0" w:line="560" w:lineRule="exact"/>
        <w:ind w:firstLine="480" w:firstLineChars="200"/>
        <w:rPr>
          <w:color w:val="auto"/>
          <w:highlight w:val="none"/>
        </w:rPr>
      </w:pPr>
      <w:r>
        <w:rPr>
          <w:rFonts w:hint="eastAsia"/>
          <w:color w:val="auto"/>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5"/>
        <w:shd w:val="clear" w:color="auto" w:fill="FFFFFF"/>
        <w:spacing w:before="0" w:beforeAutospacing="0" w:after="0" w:afterAutospacing="0" w:line="560" w:lineRule="exact"/>
        <w:ind w:firstLine="480" w:firstLineChars="200"/>
        <w:rPr>
          <w:color w:val="auto"/>
          <w:highlight w:val="none"/>
        </w:rPr>
      </w:pPr>
      <w:r>
        <w:rPr>
          <w:rFonts w:hint="eastAsia"/>
          <w:color w:val="auto"/>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5"/>
        <w:shd w:val="clear" w:color="auto" w:fill="FFFFFF"/>
        <w:spacing w:before="0" w:beforeAutospacing="0" w:after="0" w:afterAutospacing="0" w:line="560" w:lineRule="exact"/>
        <w:ind w:firstLine="480" w:firstLineChars="200"/>
        <w:rPr>
          <w:color w:val="auto"/>
          <w:highlight w:val="none"/>
        </w:rPr>
      </w:pPr>
      <w:r>
        <w:rPr>
          <w:rFonts w:hint="eastAsia"/>
          <w:color w:val="auto"/>
          <w:highlight w:val="none"/>
        </w:rPr>
        <w:t>七、本通知自2017年10月1日起执行。</w:t>
      </w:r>
    </w:p>
    <w:p>
      <w:pPr>
        <w:pStyle w:val="15"/>
        <w:shd w:val="clear" w:color="auto" w:fill="FFFFFF"/>
        <w:spacing w:before="0" w:beforeAutospacing="0" w:after="0" w:afterAutospacing="0" w:line="560" w:lineRule="exact"/>
        <w:ind w:firstLine="480" w:firstLineChars="200"/>
        <w:jc w:val="right"/>
        <w:rPr>
          <w:color w:val="auto"/>
          <w:highlight w:val="none"/>
        </w:rPr>
      </w:pPr>
      <w:r>
        <w:rPr>
          <w:rFonts w:hint="eastAsia"/>
          <w:color w:val="auto"/>
          <w:highlight w:val="none"/>
        </w:rPr>
        <w:t>财政部 民政部 中国残疾人联合会</w:t>
      </w:r>
    </w:p>
    <w:p>
      <w:pPr>
        <w:pStyle w:val="15"/>
        <w:shd w:val="clear" w:color="auto" w:fill="FFFFFF"/>
        <w:spacing w:before="0" w:beforeAutospacing="0" w:after="0" w:afterAutospacing="0" w:line="560" w:lineRule="exact"/>
        <w:ind w:firstLine="480" w:firstLineChars="200"/>
        <w:jc w:val="right"/>
        <w:rPr>
          <w:color w:val="auto"/>
          <w:highlight w:val="none"/>
        </w:rPr>
      </w:pPr>
      <w:r>
        <w:rPr>
          <w:rFonts w:hint="eastAsia"/>
          <w:color w:val="auto"/>
          <w:highlight w:val="none"/>
        </w:rPr>
        <w:t>2017年8月22日</w:t>
      </w:r>
    </w:p>
    <w:p>
      <w:pPr>
        <w:pStyle w:val="36"/>
        <w:shd w:val="clear" w:color="auto" w:fill="FFFFFF"/>
        <w:spacing w:before="0" w:beforeAutospacing="0" w:after="0" w:afterAutospacing="0" w:line="560" w:lineRule="exact"/>
        <w:jc w:val="both"/>
        <w:rPr>
          <w:color w:val="auto"/>
          <w:highlight w:val="none"/>
        </w:rPr>
      </w:pPr>
      <w:r>
        <w:rPr>
          <w:rFonts w:hint="eastAsia"/>
          <w:color w:val="auto"/>
          <w:highlight w:val="none"/>
        </w:rPr>
        <w:t>附件：</w:t>
      </w:r>
    </w:p>
    <w:p>
      <w:pPr>
        <w:pStyle w:val="36"/>
        <w:shd w:val="clear" w:color="auto" w:fill="FFFFFF"/>
        <w:spacing w:before="0" w:beforeAutospacing="0" w:after="0" w:afterAutospacing="0" w:line="560" w:lineRule="exact"/>
        <w:ind w:firstLine="482" w:firstLineChars="200"/>
        <w:jc w:val="center"/>
        <w:rPr>
          <w:color w:val="auto"/>
          <w:highlight w:val="none"/>
        </w:rPr>
      </w:pPr>
      <w:r>
        <w:rPr>
          <w:rStyle w:val="37"/>
          <w:rFonts w:hint="eastAsia"/>
          <w:b/>
          <w:bCs/>
          <w:color w:val="auto"/>
          <w:highlight w:val="none"/>
        </w:rPr>
        <w:t>残疾人福利性单位声明函</w:t>
      </w:r>
    </w:p>
    <w:p>
      <w:pPr>
        <w:pStyle w:val="36"/>
        <w:shd w:val="clear" w:color="auto" w:fill="FFFFFF"/>
        <w:spacing w:before="0" w:beforeAutospacing="0" w:after="0" w:afterAutospacing="0" w:line="560" w:lineRule="exact"/>
        <w:ind w:firstLine="480" w:firstLineChars="200"/>
        <w:jc w:val="both"/>
        <w:rPr>
          <w:color w:val="auto"/>
          <w:highlight w:val="none"/>
        </w:rPr>
      </w:pPr>
      <w:r>
        <w:rPr>
          <w:rStyle w:val="37"/>
          <w:rFonts w:hint="eastAsia"/>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6"/>
        <w:shd w:val="clear" w:color="auto" w:fill="FFFFFF"/>
        <w:spacing w:before="0" w:beforeAutospacing="0" w:after="0" w:afterAutospacing="0" w:line="560" w:lineRule="exact"/>
        <w:ind w:firstLine="480" w:firstLineChars="200"/>
        <w:jc w:val="both"/>
        <w:rPr>
          <w:color w:val="auto"/>
          <w:highlight w:val="none"/>
        </w:rPr>
      </w:pPr>
      <w:r>
        <w:rPr>
          <w:rStyle w:val="37"/>
          <w:rFonts w:hint="eastAsia"/>
          <w:color w:val="auto"/>
          <w:highlight w:val="none"/>
        </w:rPr>
        <w:t>本单位对上述声明的真实性负责。如有虚假，将依法承担相应责任。</w:t>
      </w:r>
    </w:p>
    <w:p>
      <w:pPr>
        <w:pStyle w:val="36"/>
        <w:shd w:val="clear" w:color="auto" w:fill="FFFFFF"/>
        <w:spacing w:before="0" w:beforeAutospacing="0" w:after="0" w:afterAutospacing="0" w:line="560" w:lineRule="exact"/>
        <w:ind w:firstLine="480" w:firstLineChars="200"/>
        <w:jc w:val="both"/>
        <w:rPr>
          <w:color w:val="auto"/>
          <w:highlight w:val="none"/>
        </w:rPr>
      </w:pPr>
      <w:r>
        <w:rPr>
          <w:rFonts w:hint="eastAsia"/>
          <w:color w:val="auto"/>
          <w:highlight w:val="none"/>
        </w:rPr>
        <w:t>投标人已知悉《关于促进残疾人就业政府采购政策的通知》（财库〔2017〕141 号）的规定，承诺提供的声明函内容是真实的，如提供声明函内容不实，则依法追究相关法律责任。</w:t>
      </w:r>
    </w:p>
    <w:p>
      <w:pPr>
        <w:pStyle w:val="36"/>
        <w:shd w:val="clear" w:color="auto" w:fill="FFFFFF"/>
        <w:spacing w:before="0" w:beforeAutospacing="0" w:after="0" w:afterAutospacing="0" w:line="560" w:lineRule="exact"/>
        <w:ind w:right="2100" w:rightChars="1000"/>
        <w:jc w:val="right"/>
        <w:rPr>
          <w:color w:val="auto"/>
          <w:highlight w:val="none"/>
        </w:rPr>
      </w:pPr>
      <w:r>
        <w:rPr>
          <w:rStyle w:val="37"/>
          <w:rFonts w:hint="eastAsia"/>
          <w:color w:val="auto"/>
          <w:highlight w:val="none"/>
        </w:rPr>
        <w:t>单位名称（盖章）：</w:t>
      </w:r>
    </w:p>
    <w:p>
      <w:pPr>
        <w:pStyle w:val="36"/>
        <w:shd w:val="clear" w:color="auto" w:fill="FFFFFF"/>
        <w:spacing w:before="0" w:beforeAutospacing="0" w:after="0" w:afterAutospacing="0" w:line="560" w:lineRule="exact"/>
        <w:ind w:right="2100" w:rightChars="1000"/>
        <w:jc w:val="right"/>
        <w:rPr>
          <w:color w:val="auto"/>
          <w:highlight w:val="none"/>
          <w:lang w:val="fr-CH"/>
        </w:rPr>
      </w:pPr>
      <w:r>
        <w:rPr>
          <w:rStyle w:val="37"/>
          <w:rFonts w:hint="eastAsia"/>
          <w:color w:val="auto"/>
          <w:highlight w:val="none"/>
        </w:rPr>
        <w:t>日 期：</w:t>
      </w:r>
    </w:p>
    <w:p>
      <w:pPr>
        <w:pStyle w:val="31"/>
        <w:rPr>
          <w:color w:val="auto"/>
          <w:highlight w:val="none"/>
          <w:lang w:val="fr-CH"/>
        </w:rPr>
      </w:pPr>
    </w:p>
    <w:p>
      <w:pPr>
        <w:rPr>
          <w:color w:val="auto"/>
          <w:highlight w:val="none"/>
        </w:rPr>
      </w:pPr>
    </w:p>
    <w:sectPr>
      <w:headerReference r:id="rId7" w:type="first"/>
      <w:headerReference r:id="rId5" w:type="default"/>
      <w:headerReference r:id="rId6" w:type="even"/>
      <w:pgSz w:w="11906" w:h="16838"/>
      <w:pgMar w:top="1270" w:right="1803" w:bottom="1288"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隶书">
    <w:altName w:val="微软雅黑"/>
    <w:panose1 w:val="020B0604020202020204"/>
    <w:charset w:val="86"/>
    <w:family w:val="modern"/>
    <w:pitch w:val="default"/>
    <w:sig w:usb0="00000000" w:usb1="00000000" w:usb2="00000000" w:usb3="00000000" w:csb0="00040000" w:csb1="00000000"/>
  </w:font>
  <w:font w:name="长城仿宋">
    <w:altName w:val="仿宋"/>
    <w:panose1 w:val="020B0604020202020204"/>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3"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4"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6">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7">
    <w:nsid w:val="200A2FAF"/>
    <w:multiLevelType w:val="singleLevel"/>
    <w:tmpl w:val="200A2FAF"/>
    <w:lvl w:ilvl="0" w:tentative="0">
      <w:start w:val="5"/>
      <w:numFmt w:val="decimal"/>
      <w:suff w:val="nothing"/>
      <w:lvlText w:val="（%1）"/>
      <w:lvlJc w:val="left"/>
    </w:lvl>
  </w:abstractNum>
  <w:abstractNum w:abstractNumId="8">
    <w:nsid w:val="220D01D8"/>
    <w:multiLevelType w:val="multilevel"/>
    <w:tmpl w:val="220D01D8"/>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0">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1">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2">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3">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3"/>
  </w:num>
  <w:num w:numId="2">
    <w:abstractNumId w:val="4"/>
  </w:num>
  <w:num w:numId="3">
    <w:abstractNumId w:val="2"/>
  </w:num>
  <w:num w:numId="4">
    <w:abstractNumId w:val="9"/>
  </w:num>
  <w:num w:numId="5">
    <w:abstractNumId w:val="10"/>
  </w:num>
  <w:num w:numId="6">
    <w:abstractNumId w:val="8"/>
  </w:num>
  <w:num w:numId="7">
    <w:abstractNumId w:val="3"/>
  </w:num>
  <w:num w:numId="8">
    <w:abstractNumId w:val="5"/>
  </w:num>
  <w:num w:numId="9">
    <w:abstractNumId w:val="1"/>
  </w:num>
  <w:num w:numId="10">
    <w:abstractNumId w:val="0"/>
  </w:num>
  <w:num w:numId="11">
    <w:abstractNumId w:val="6"/>
  </w:num>
  <w:num w:numId="12">
    <w:abstractNumId w:val="11"/>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 w:name="KSO_WPS_MARK_KEY" w:val="6c52a594-fa24-4eda-8bdf-1df5baad3362"/>
  </w:docVars>
  <w:rsids>
    <w:rsidRoot w:val="6F152D9A"/>
    <w:rsid w:val="0002680B"/>
    <w:rsid w:val="000404DC"/>
    <w:rsid w:val="000821F1"/>
    <w:rsid w:val="001109FF"/>
    <w:rsid w:val="00176503"/>
    <w:rsid w:val="001F7F7E"/>
    <w:rsid w:val="00216C87"/>
    <w:rsid w:val="00291AA1"/>
    <w:rsid w:val="00304B53"/>
    <w:rsid w:val="003168D7"/>
    <w:rsid w:val="00350E7B"/>
    <w:rsid w:val="003571B4"/>
    <w:rsid w:val="0046340A"/>
    <w:rsid w:val="004819BA"/>
    <w:rsid w:val="004B5B75"/>
    <w:rsid w:val="004E616D"/>
    <w:rsid w:val="005262C6"/>
    <w:rsid w:val="00576960"/>
    <w:rsid w:val="00591ED4"/>
    <w:rsid w:val="005B3EB6"/>
    <w:rsid w:val="006A5E20"/>
    <w:rsid w:val="006D6A43"/>
    <w:rsid w:val="007743C7"/>
    <w:rsid w:val="00785F49"/>
    <w:rsid w:val="007E7AD1"/>
    <w:rsid w:val="007F6682"/>
    <w:rsid w:val="008172D7"/>
    <w:rsid w:val="00832935"/>
    <w:rsid w:val="00870BFD"/>
    <w:rsid w:val="008910FA"/>
    <w:rsid w:val="008D6511"/>
    <w:rsid w:val="008E095A"/>
    <w:rsid w:val="00924AE0"/>
    <w:rsid w:val="00942614"/>
    <w:rsid w:val="009C337D"/>
    <w:rsid w:val="009D033E"/>
    <w:rsid w:val="009E70F5"/>
    <w:rsid w:val="009F1B47"/>
    <w:rsid w:val="00A73F84"/>
    <w:rsid w:val="00A81D22"/>
    <w:rsid w:val="00A955D9"/>
    <w:rsid w:val="00AC7D6D"/>
    <w:rsid w:val="00B17380"/>
    <w:rsid w:val="00BE0740"/>
    <w:rsid w:val="00BF1095"/>
    <w:rsid w:val="00C33D8C"/>
    <w:rsid w:val="00C7677C"/>
    <w:rsid w:val="00CA5316"/>
    <w:rsid w:val="00D239DB"/>
    <w:rsid w:val="00D2452C"/>
    <w:rsid w:val="00DC1375"/>
    <w:rsid w:val="00DE4707"/>
    <w:rsid w:val="00DE5743"/>
    <w:rsid w:val="00DF15AF"/>
    <w:rsid w:val="00E6198E"/>
    <w:rsid w:val="00F3460E"/>
    <w:rsid w:val="00F52A8D"/>
    <w:rsid w:val="00F80C5D"/>
    <w:rsid w:val="00F87FEB"/>
    <w:rsid w:val="00FB3474"/>
    <w:rsid w:val="00FC1BE0"/>
    <w:rsid w:val="01070590"/>
    <w:rsid w:val="011D7606"/>
    <w:rsid w:val="01211AD4"/>
    <w:rsid w:val="012952B3"/>
    <w:rsid w:val="012B1DC1"/>
    <w:rsid w:val="013B4944"/>
    <w:rsid w:val="0140411C"/>
    <w:rsid w:val="014E4E03"/>
    <w:rsid w:val="0159301C"/>
    <w:rsid w:val="01623C7B"/>
    <w:rsid w:val="01683444"/>
    <w:rsid w:val="017E0CD4"/>
    <w:rsid w:val="018C0929"/>
    <w:rsid w:val="018F6A3E"/>
    <w:rsid w:val="019978BC"/>
    <w:rsid w:val="01AA3877"/>
    <w:rsid w:val="01AF6971"/>
    <w:rsid w:val="01B12E58"/>
    <w:rsid w:val="01B8192A"/>
    <w:rsid w:val="01BA0A50"/>
    <w:rsid w:val="01CC1A40"/>
    <w:rsid w:val="01E27A17"/>
    <w:rsid w:val="022618D2"/>
    <w:rsid w:val="02274EC8"/>
    <w:rsid w:val="02306473"/>
    <w:rsid w:val="023A5F04"/>
    <w:rsid w:val="02555717"/>
    <w:rsid w:val="026305F6"/>
    <w:rsid w:val="02685C0C"/>
    <w:rsid w:val="02881E0B"/>
    <w:rsid w:val="02947948"/>
    <w:rsid w:val="02A92B78"/>
    <w:rsid w:val="02AD5464"/>
    <w:rsid w:val="02CB7F49"/>
    <w:rsid w:val="02CC7BBA"/>
    <w:rsid w:val="02DC6BB1"/>
    <w:rsid w:val="02DE4536"/>
    <w:rsid w:val="02EB738D"/>
    <w:rsid w:val="031134B4"/>
    <w:rsid w:val="031C47EB"/>
    <w:rsid w:val="0334777F"/>
    <w:rsid w:val="0341645D"/>
    <w:rsid w:val="03634626"/>
    <w:rsid w:val="036D53D0"/>
    <w:rsid w:val="0375269E"/>
    <w:rsid w:val="0375603F"/>
    <w:rsid w:val="037A0E7B"/>
    <w:rsid w:val="038A0222"/>
    <w:rsid w:val="03990047"/>
    <w:rsid w:val="03A82039"/>
    <w:rsid w:val="03BE360A"/>
    <w:rsid w:val="03D96696"/>
    <w:rsid w:val="03DD6186"/>
    <w:rsid w:val="03DF1EFE"/>
    <w:rsid w:val="03E219EE"/>
    <w:rsid w:val="03EC2D32"/>
    <w:rsid w:val="03F5191B"/>
    <w:rsid w:val="040556DD"/>
    <w:rsid w:val="04137DFA"/>
    <w:rsid w:val="04152DE3"/>
    <w:rsid w:val="041A1188"/>
    <w:rsid w:val="04213AC4"/>
    <w:rsid w:val="042277B0"/>
    <w:rsid w:val="0433224A"/>
    <w:rsid w:val="043343BF"/>
    <w:rsid w:val="044004C3"/>
    <w:rsid w:val="0442248D"/>
    <w:rsid w:val="04474B37"/>
    <w:rsid w:val="04567CE7"/>
    <w:rsid w:val="04724631"/>
    <w:rsid w:val="049E5173"/>
    <w:rsid w:val="04A005CC"/>
    <w:rsid w:val="04A35474"/>
    <w:rsid w:val="04B50EB1"/>
    <w:rsid w:val="04C63705"/>
    <w:rsid w:val="04E377CC"/>
    <w:rsid w:val="04FF037E"/>
    <w:rsid w:val="05062697"/>
    <w:rsid w:val="051A4FE6"/>
    <w:rsid w:val="052E47BF"/>
    <w:rsid w:val="053973EC"/>
    <w:rsid w:val="054239F3"/>
    <w:rsid w:val="054B35C3"/>
    <w:rsid w:val="055E50A5"/>
    <w:rsid w:val="05695981"/>
    <w:rsid w:val="056D52E8"/>
    <w:rsid w:val="057C4BBE"/>
    <w:rsid w:val="057E6B51"/>
    <w:rsid w:val="05804BC2"/>
    <w:rsid w:val="058E7EB0"/>
    <w:rsid w:val="0594022D"/>
    <w:rsid w:val="05C80C71"/>
    <w:rsid w:val="05CD1439"/>
    <w:rsid w:val="05D74AE1"/>
    <w:rsid w:val="05D9775C"/>
    <w:rsid w:val="06336033"/>
    <w:rsid w:val="068A098C"/>
    <w:rsid w:val="069E458D"/>
    <w:rsid w:val="06A74AA2"/>
    <w:rsid w:val="06BC14B2"/>
    <w:rsid w:val="06BE2A9A"/>
    <w:rsid w:val="06C44D16"/>
    <w:rsid w:val="06C50397"/>
    <w:rsid w:val="06CC4290"/>
    <w:rsid w:val="06D00EEB"/>
    <w:rsid w:val="06D51397"/>
    <w:rsid w:val="06E23AB3"/>
    <w:rsid w:val="06E332E1"/>
    <w:rsid w:val="06F30D45"/>
    <w:rsid w:val="06F32700"/>
    <w:rsid w:val="07046BC9"/>
    <w:rsid w:val="070D6D82"/>
    <w:rsid w:val="070E3767"/>
    <w:rsid w:val="07235607"/>
    <w:rsid w:val="072A7934"/>
    <w:rsid w:val="072D6233"/>
    <w:rsid w:val="072F63A4"/>
    <w:rsid w:val="07397904"/>
    <w:rsid w:val="07521B5C"/>
    <w:rsid w:val="07593D76"/>
    <w:rsid w:val="0769037B"/>
    <w:rsid w:val="07787DB5"/>
    <w:rsid w:val="077961C6"/>
    <w:rsid w:val="079648D0"/>
    <w:rsid w:val="07994850"/>
    <w:rsid w:val="07AA45D1"/>
    <w:rsid w:val="07AC659B"/>
    <w:rsid w:val="07B13BB2"/>
    <w:rsid w:val="07CB4548"/>
    <w:rsid w:val="07E75482"/>
    <w:rsid w:val="07E8334B"/>
    <w:rsid w:val="07FD54F6"/>
    <w:rsid w:val="080A32D3"/>
    <w:rsid w:val="08206FE1"/>
    <w:rsid w:val="082A04D3"/>
    <w:rsid w:val="08497AA6"/>
    <w:rsid w:val="087C541A"/>
    <w:rsid w:val="088300A5"/>
    <w:rsid w:val="088F5575"/>
    <w:rsid w:val="08920DDF"/>
    <w:rsid w:val="08950582"/>
    <w:rsid w:val="08CA6A34"/>
    <w:rsid w:val="08CE609D"/>
    <w:rsid w:val="08E56AB0"/>
    <w:rsid w:val="08E57A87"/>
    <w:rsid w:val="08E92ED7"/>
    <w:rsid w:val="08F43C68"/>
    <w:rsid w:val="090306E4"/>
    <w:rsid w:val="090931C4"/>
    <w:rsid w:val="090A34E0"/>
    <w:rsid w:val="090C38B9"/>
    <w:rsid w:val="09183BF3"/>
    <w:rsid w:val="09300B06"/>
    <w:rsid w:val="093305F6"/>
    <w:rsid w:val="09336848"/>
    <w:rsid w:val="093822B1"/>
    <w:rsid w:val="09491BC8"/>
    <w:rsid w:val="09575898"/>
    <w:rsid w:val="09592469"/>
    <w:rsid w:val="09695D52"/>
    <w:rsid w:val="096F55F7"/>
    <w:rsid w:val="097B41C8"/>
    <w:rsid w:val="097D1872"/>
    <w:rsid w:val="09823515"/>
    <w:rsid w:val="09A42169"/>
    <w:rsid w:val="09AF2373"/>
    <w:rsid w:val="09C84ED3"/>
    <w:rsid w:val="09F33C46"/>
    <w:rsid w:val="09F77876"/>
    <w:rsid w:val="0A0C5A96"/>
    <w:rsid w:val="0A2A768E"/>
    <w:rsid w:val="0A3B3C06"/>
    <w:rsid w:val="0A466A41"/>
    <w:rsid w:val="0A570F70"/>
    <w:rsid w:val="0A5B7D15"/>
    <w:rsid w:val="0A5E16A3"/>
    <w:rsid w:val="0A602146"/>
    <w:rsid w:val="0A6A44EC"/>
    <w:rsid w:val="0A7809B7"/>
    <w:rsid w:val="0A896457"/>
    <w:rsid w:val="0A8A693C"/>
    <w:rsid w:val="0A97236A"/>
    <w:rsid w:val="0A99092D"/>
    <w:rsid w:val="0AA51080"/>
    <w:rsid w:val="0AA72E75"/>
    <w:rsid w:val="0AB80AEB"/>
    <w:rsid w:val="0AB85257"/>
    <w:rsid w:val="0ACC485F"/>
    <w:rsid w:val="0AD731CB"/>
    <w:rsid w:val="0AE20526"/>
    <w:rsid w:val="0B0C40B2"/>
    <w:rsid w:val="0B140280"/>
    <w:rsid w:val="0B246449"/>
    <w:rsid w:val="0B260413"/>
    <w:rsid w:val="0B352F5D"/>
    <w:rsid w:val="0B445AA4"/>
    <w:rsid w:val="0B7B37EB"/>
    <w:rsid w:val="0B925AA8"/>
    <w:rsid w:val="0B984E94"/>
    <w:rsid w:val="0BAB25C9"/>
    <w:rsid w:val="0BAE21B6"/>
    <w:rsid w:val="0BAF665A"/>
    <w:rsid w:val="0BB275A6"/>
    <w:rsid w:val="0BB91DF1"/>
    <w:rsid w:val="0BCB4B16"/>
    <w:rsid w:val="0BD240F7"/>
    <w:rsid w:val="0BD31C1D"/>
    <w:rsid w:val="0BE62205"/>
    <w:rsid w:val="0BF92B66"/>
    <w:rsid w:val="0C115BEF"/>
    <w:rsid w:val="0C2B0B3A"/>
    <w:rsid w:val="0C3E38D0"/>
    <w:rsid w:val="0C45359F"/>
    <w:rsid w:val="0C68338A"/>
    <w:rsid w:val="0C70493E"/>
    <w:rsid w:val="0C7A124E"/>
    <w:rsid w:val="0C822ACA"/>
    <w:rsid w:val="0C946488"/>
    <w:rsid w:val="0CAB21EE"/>
    <w:rsid w:val="0CAC4948"/>
    <w:rsid w:val="0CB0538F"/>
    <w:rsid w:val="0CB70393"/>
    <w:rsid w:val="0CBB0F79"/>
    <w:rsid w:val="0CBB2DDD"/>
    <w:rsid w:val="0CCE0642"/>
    <w:rsid w:val="0CE56A55"/>
    <w:rsid w:val="0CEF0CD8"/>
    <w:rsid w:val="0CF93490"/>
    <w:rsid w:val="0CF956B3"/>
    <w:rsid w:val="0CFA3905"/>
    <w:rsid w:val="0D0429D6"/>
    <w:rsid w:val="0D046532"/>
    <w:rsid w:val="0D1954AC"/>
    <w:rsid w:val="0D1F336B"/>
    <w:rsid w:val="0D200E92"/>
    <w:rsid w:val="0D2C7836"/>
    <w:rsid w:val="0D31309F"/>
    <w:rsid w:val="0D396D82"/>
    <w:rsid w:val="0D3F1CF7"/>
    <w:rsid w:val="0D4402D3"/>
    <w:rsid w:val="0D447276"/>
    <w:rsid w:val="0D5374B9"/>
    <w:rsid w:val="0D5C54A5"/>
    <w:rsid w:val="0D624FA8"/>
    <w:rsid w:val="0D6E7E4F"/>
    <w:rsid w:val="0D7E4CC4"/>
    <w:rsid w:val="0D9B4B4C"/>
    <w:rsid w:val="0D9F3011"/>
    <w:rsid w:val="0DC34AA9"/>
    <w:rsid w:val="0DD46C7B"/>
    <w:rsid w:val="0DD67766"/>
    <w:rsid w:val="0DDA3736"/>
    <w:rsid w:val="0DDC6E3D"/>
    <w:rsid w:val="0DF052B3"/>
    <w:rsid w:val="0E01691E"/>
    <w:rsid w:val="0E303356"/>
    <w:rsid w:val="0E3C1CFB"/>
    <w:rsid w:val="0E430BBB"/>
    <w:rsid w:val="0E4B0853"/>
    <w:rsid w:val="0E59465B"/>
    <w:rsid w:val="0E6800DA"/>
    <w:rsid w:val="0E731448"/>
    <w:rsid w:val="0E745939"/>
    <w:rsid w:val="0E9953A0"/>
    <w:rsid w:val="0EA37FCC"/>
    <w:rsid w:val="0EA53D44"/>
    <w:rsid w:val="0EA77ABC"/>
    <w:rsid w:val="0EB6623E"/>
    <w:rsid w:val="0EB66783"/>
    <w:rsid w:val="0EB86C56"/>
    <w:rsid w:val="0EC73CBB"/>
    <w:rsid w:val="0ED40186"/>
    <w:rsid w:val="0EDC703A"/>
    <w:rsid w:val="0EDF7256"/>
    <w:rsid w:val="0EE83D6C"/>
    <w:rsid w:val="0EE85080"/>
    <w:rsid w:val="0EEE550D"/>
    <w:rsid w:val="0F18170A"/>
    <w:rsid w:val="0F274759"/>
    <w:rsid w:val="0F2A5DFB"/>
    <w:rsid w:val="0F3570A3"/>
    <w:rsid w:val="0F474BA3"/>
    <w:rsid w:val="0F601A19"/>
    <w:rsid w:val="0F6063AF"/>
    <w:rsid w:val="0F670FFA"/>
    <w:rsid w:val="0F7D081D"/>
    <w:rsid w:val="0F8605B0"/>
    <w:rsid w:val="0F932761"/>
    <w:rsid w:val="0FAC4C5F"/>
    <w:rsid w:val="0FB3724D"/>
    <w:rsid w:val="0FDF48E7"/>
    <w:rsid w:val="0FE254EF"/>
    <w:rsid w:val="0FE96BFE"/>
    <w:rsid w:val="0FF5D091"/>
    <w:rsid w:val="0FF73826"/>
    <w:rsid w:val="0FFF663B"/>
    <w:rsid w:val="10134CDE"/>
    <w:rsid w:val="102C5B1A"/>
    <w:rsid w:val="102D2243"/>
    <w:rsid w:val="10365E2E"/>
    <w:rsid w:val="10394744"/>
    <w:rsid w:val="105B0B5E"/>
    <w:rsid w:val="105B405A"/>
    <w:rsid w:val="105E064F"/>
    <w:rsid w:val="10634BF3"/>
    <w:rsid w:val="10655A74"/>
    <w:rsid w:val="10661611"/>
    <w:rsid w:val="10686DD7"/>
    <w:rsid w:val="10792762"/>
    <w:rsid w:val="10795E9B"/>
    <w:rsid w:val="10813049"/>
    <w:rsid w:val="10857989"/>
    <w:rsid w:val="108B0D18"/>
    <w:rsid w:val="108B4148"/>
    <w:rsid w:val="10B0301F"/>
    <w:rsid w:val="10B40C48"/>
    <w:rsid w:val="10DB1C9F"/>
    <w:rsid w:val="10EA0134"/>
    <w:rsid w:val="10FB7C09"/>
    <w:rsid w:val="111B2557"/>
    <w:rsid w:val="112A3AAF"/>
    <w:rsid w:val="1130036A"/>
    <w:rsid w:val="113F222E"/>
    <w:rsid w:val="116E61A6"/>
    <w:rsid w:val="117D68B3"/>
    <w:rsid w:val="11933975"/>
    <w:rsid w:val="119473B4"/>
    <w:rsid w:val="119F4A7B"/>
    <w:rsid w:val="11C113C0"/>
    <w:rsid w:val="11CF6607"/>
    <w:rsid w:val="11D42AA6"/>
    <w:rsid w:val="11DC5CCF"/>
    <w:rsid w:val="11E20E0C"/>
    <w:rsid w:val="11E60541"/>
    <w:rsid w:val="11E626AA"/>
    <w:rsid w:val="11E64EC6"/>
    <w:rsid w:val="11FE3E97"/>
    <w:rsid w:val="1209283C"/>
    <w:rsid w:val="12220029"/>
    <w:rsid w:val="123376EC"/>
    <w:rsid w:val="12431D83"/>
    <w:rsid w:val="12437AFC"/>
    <w:rsid w:val="12522CB6"/>
    <w:rsid w:val="125B755A"/>
    <w:rsid w:val="125C6E10"/>
    <w:rsid w:val="12723F3D"/>
    <w:rsid w:val="12771554"/>
    <w:rsid w:val="12820336"/>
    <w:rsid w:val="128B66A0"/>
    <w:rsid w:val="12AA7B7B"/>
    <w:rsid w:val="12D149BF"/>
    <w:rsid w:val="12D65CA8"/>
    <w:rsid w:val="12E0359D"/>
    <w:rsid w:val="12E91C37"/>
    <w:rsid w:val="12FC6E07"/>
    <w:rsid w:val="13000F86"/>
    <w:rsid w:val="13021765"/>
    <w:rsid w:val="130D18FD"/>
    <w:rsid w:val="130F4553"/>
    <w:rsid w:val="13160D6D"/>
    <w:rsid w:val="13242E4C"/>
    <w:rsid w:val="13426006"/>
    <w:rsid w:val="13441D7E"/>
    <w:rsid w:val="13623D17"/>
    <w:rsid w:val="1369544C"/>
    <w:rsid w:val="137139FA"/>
    <w:rsid w:val="1373154F"/>
    <w:rsid w:val="13732C15"/>
    <w:rsid w:val="137B2173"/>
    <w:rsid w:val="137FA8DD"/>
    <w:rsid w:val="138A5087"/>
    <w:rsid w:val="13951544"/>
    <w:rsid w:val="139B74C4"/>
    <w:rsid w:val="13A1291C"/>
    <w:rsid w:val="13CE1647"/>
    <w:rsid w:val="13D76995"/>
    <w:rsid w:val="13DA0C71"/>
    <w:rsid w:val="13E90B4A"/>
    <w:rsid w:val="13F57F6C"/>
    <w:rsid w:val="14096B23"/>
    <w:rsid w:val="140E7C96"/>
    <w:rsid w:val="14207760"/>
    <w:rsid w:val="14263231"/>
    <w:rsid w:val="142C0FF0"/>
    <w:rsid w:val="14362E80"/>
    <w:rsid w:val="143B1FCB"/>
    <w:rsid w:val="144E5BAF"/>
    <w:rsid w:val="145911D3"/>
    <w:rsid w:val="145B077C"/>
    <w:rsid w:val="14691987"/>
    <w:rsid w:val="146A5583"/>
    <w:rsid w:val="146A69C0"/>
    <w:rsid w:val="14721A72"/>
    <w:rsid w:val="147D7C24"/>
    <w:rsid w:val="148E53CB"/>
    <w:rsid w:val="148F7029"/>
    <w:rsid w:val="14904B4F"/>
    <w:rsid w:val="149363ED"/>
    <w:rsid w:val="149A5B83"/>
    <w:rsid w:val="14BE346A"/>
    <w:rsid w:val="14C64A14"/>
    <w:rsid w:val="14CF4106"/>
    <w:rsid w:val="14D17C89"/>
    <w:rsid w:val="14D83808"/>
    <w:rsid w:val="14D94748"/>
    <w:rsid w:val="14FE7D0A"/>
    <w:rsid w:val="15153347"/>
    <w:rsid w:val="1528122B"/>
    <w:rsid w:val="15293404"/>
    <w:rsid w:val="152D2403"/>
    <w:rsid w:val="15334DC3"/>
    <w:rsid w:val="15347304"/>
    <w:rsid w:val="15392B59"/>
    <w:rsid w:val="153B4ABB"/>
    <w:rsid w:val="15567B46"/>
    <w:rsid w:val="15610299"/>
    <w:rsid w:val="1569013A"/>
    <w:rsid w:val="15897F1C"/>
    <w:rsid w:val="1597466A"/>
    <w:rsid w:val="15A52514"/>
    <w:rsid w:val="15BC1451"/>
    <w:rsid w:val="15C70A44"/>
    <w:rsid w:val="15E05662"/>
    <w:rsid w:val="15F12E86"/>
    <w:rsid w:val="16027A14"/>
    <w:rsid w:val="160C1181"/>
    <w:rsid w:val="162A366D"/>
    <w:rsid w:val="16322361"/>
    <w:rsid w:val="1633052E"/>
    <w:rsid w:val="163F247B"/>
    <w:rsid w:val="164B3423"/>
    <w:rsid w:val="16610551"/>
    <w:rsid w:val="167A7865"/>
    <w:rsid w:val="16817906"/>
    <w:rsid w:val="16B46578"/>
    <w:rsid w:val="16C3745D"/>
    <w:rsid w:val="16C52AF8"/>
    <w:rsid w:val="16CF7BB0"/>
    <w:rsid w:val="16D8450A"/>
    <w:rsid w:val="16E62092"/>
    <w:rsid w:val="17033CFE"/>
    <w:rsid w:val="171D5762"/>
    <w:rsid w:val="171F4A71"/>
    <w:rsid w:val="1732767F"/>
    <w:rsid w:val="17361B83"/>
    <w:rsid w:val="17396DCE"/>
    <w:rsid w:val="173F4503"/>
    <w:rsid w:val="174A0D2D"/>
    <w:rsid w:val="176431CF"/>
    <w:rsid w:val="178A03DE"/>
    <w:rsid w:val="17A322AC"/>
    <w:rsid w:val="17A4103D"/>
    <w:rsid w:val="17B01E78"/>
    <w:rsid w:val="17C70A77"/>
    <w:rsid w:val="17EC24A9"/>
    <w:rsid w:val="17EE22B8"/>
    <w:rsid w:val="17FD60AF"/>
    <w:rsid w:val="180C2F5C"/>
    <w:rsid w:val="180D7774"/>
    <w:rsid w:val="184B770B"/>
    <w:rsid w:val="184F0D8B"/>
    <w:rsid w:val="186A4456"/>
    <w:rsid w:val="18822A00"/>
    <w:rsid w:val="18A72F8C"/>
    <w:rsid w:val="18B169F7"/>
    <w:rsid w:val="18C46036"/>
    <w:rsid w:val="18D25736"/>
    <w:rsid w:val="18E667DE"/>
    <w:rsid w:val="19045FB6"/>
    <w:rsid w:val="190B1AB7"/>
    <w:rsid w:val="190E1E92"/>
    <w:rsid w:val="190E4E8A"/>
    <w:rsid w:val="191E2C88"/>
    <w:rsid w:val="191E47AE"/>
    <w:rsid w:val="19213D00"/>
    <w:rsid w:val="192E19B5"/>
    <w:rsid w:val="193E2DCB"/>
    <w:rsid w:val="194A5C14"/>
    <w:rsid w:val="194B4539"/>
    <w:rsid w:val="19524450"/>
    <w:rsid w:val="195A7AB6"/>
    <w:rsid w:val="19677F5C"/>
    <w:rsid w:val="196D6F0D"/>
    <w:rsid w:val="198729C4"/>
    <w:rsid w:val="199367A5"/>
    <w:rsid w:val="199FA76B"/>
    <w:rsid w:val="19A15F01"/>
    <w:rsid w:val="19A170D7"/>
    <w:rsid w:val="19A8293B"/>
    <w:rsid w:val="19AA0461"/>
    <w:rsid w:val="19B1216E"/>
    <w:rsid w:val="19C137C8"/>
    <w:rsid w:val="19D63004"/>
    <w:rsid w:val="19ED121F"/>
    <w:rsid w:val="19EF3664"/>
    <w:rsid w:val="1A0256C7"/>
    <w:rsid w:val="1A0F6EBC"/>
    <w:rsid w:val="1A1D6E85"/>
    <w:rsid w:val="1A3C3E2A"/>
    <w:rsid w:val="1A3D12D5"/>
    <w:rsid w:val="1A571CAA"/>
    <w:rsid w:val="1A680537"/>
    <w:rsid w:val="1A8A3DEE"/>
    <w:rsid w:val="1A8E78C8"/>
    <w:rsid w:val="1A914D5C"/>
    <w:rsid w:val="1A9609E5"/>
    <w:rsid w:val="1A9A2283"/>
    <w:rsid w:val="1A9B5FFB"/>
    <w:rsid w:val="1AAE5E28"/>
    <w:rsid w:val="1AC27A2C"/>
    <w:rsid w:val="1AD46734"/>
    <w:rsid w:val="1AD87250"/>
    <w:rsid w:val="1ADF413A"/>
    <w:rsid w:val="1AED4941"/>
    <w:rsid w:val="1AED6666"/>
    <w:rsid w:val="1AF264E1"/>
    <w:rsid w:val="1AF745BC"/>
    <w:rsid w:val="1B155DAE"/>
    <w:rsid w:val="1B417F7A"/>
    <w:rsid w:val="1B5508A0"/>
    <w:rsid w:val="1B5E1503"/>
    <w:rsid w:val="1B5E3AB8"/>
    <w:rsid w:val="1B822B4E"/>
    <w:rsid w:val="1B834AAE"/>
    <w:rsid w:val="1B9637E8"/>
    <w:rsid w:val="1BB235FD"/>
    <w:rsid w:val="1BB9498B"/>
    <w:rsid w:val="1BC947C4"/>
    <w:rsid w:val="1BCA47EE"/>
    <w:rsid w:val="1BD27C70"/>
    <w:rsid w:val="1BD96DDB"/>
    <w:rsid w:val="1BDB6FF7"/>
    <w:rsid w:val="1C00080C"/>
    <w:rsid w:val="1C0F6CA1"/>
    <w:rsid w:val="1C2344FA"/>
    <w:rsid w:val="1C2529FF"/>
    <w:rsid w:val="1C27223D"/>
    <w:rsid w:val="1C2C33AF"/>
    <w:rsid w:val="1C427076"/>
    <w:rsid w:val="1C522596"/>
    <w:rsid w:val="1C5648D0"/>
    <w:rsid w:val="1C5B5A42"/>
    <w:rsid w:val="1C6F14EE"/>
    <w:rsid w:val="1C735482"/>
    <w:rsid w:val="1C9211BE"/>
    <w:rsid w:val="1CA23671"/>
    <w:rsid w:val="1CA266AD"/>
    <w:rsid w:val="1CAA52F6"/>
    <w:rsid w:val="1CB425E3"/>
    <w:rsid w:val="1CB43DBF"/>
    <w:rsid w:val="1CC5619F"/>
    <w:rsid w:val="1CD31A7D"/>
    <w:rsid w:val="1CEF358F"/>
    <w:rsid w:val="1CF7709A"/>
    <w:rsid w:val="1D0B56BA"/>
    <w:rsid w:val="1D174D30"/>
    <w:rsid w:val="1D274825"/>
    <w:rsid w:val="1D2B18B9"/>
    <w:rsid w:val="1D2E12C2"/>
    <w:rsid w:val="1D44297A"/>
    <w:rsid w:val="1D552DD9"/>
    <w:rsid w:val="1D734FE3"/>
    <w:rsid w:val="1D7414B2"/>
    <w:rsid w:val="1D815FCC"/>
    <w:rsid w:val="1D927B8A"/>
    <w:rsid w:val="1D9D43F0"/>
    <w:rsid w:val="1DAF2AC9"/>
    <w:rsid w:val="1DB26E14"/>
    <w:rsid w:val="1DC42A0B"/>
    <w:rsid w:val="1DCA2E80"/>
    <w:rsid w:val="1DCF4116"/>
    <w:rsid w:val="1DEC593A"/>
    <w:rsid w:val="1DFB6F31"/>
    <w:rsid w:val="1E024641"/>
    <w:rsid w:val="1E03038B"/>
    <w:rsid w:val="1E25455A"/>
    <w:rsid w:val="1E2F362A"/>
    <w:rsid w:val="1E340C41"/>
    <w:rsid w:val="1E403142"/>
    <w:rsid w:val="1E533D63"/>
    <w:rsid w:val="1E6B7566"/>
    <w:rsid w:val="1E781388"/>
    <w:rsid w:val="1E851C27"/>
    <w:rsid w:val="1E923BA9"/>
    <w:rsid w:val="1E9B2886"/>
    <w:rsid w:val="1EA47B74"/>
    <w:rsid w:val="1EAE454F"/>
    <w:rsid w:val="1EB234A9"/>
    <w:rsid w:val="1EB25197"/>
    <w:rsid w:val="1EC51899"/>
    <w:rsid w:val="1ECC5479"/>
    <w:rsid w:val="1EEF7754"/>
    <w:rsid w:val="1EF46E21"/>
    <w:rsid w:val="1F18526B"/>
    <w:rsid w:val="1F237321"/>
    <w:rsid w:val="1F27593E"/>
    <w:rsid w:val="1F394761"/>
    <w:rsid w:val="1F4D21A9"/>
    <w:rsid w:val="1F4F2B8D"/>
    <w:rsid w:val="1F6A2B6C"/>
    <w:rsid w:val="1F902E99"/>
    <w:rsid w:val="1F9BB067"/>
    <w:rsid w:val="1FA31BDA"/>
    <w:rsid w:val="1FB47A5D"/>
    <w:rsid w:val="1FCF0C21"/>
    <w:rsid w:val="1FF42436"/>
    <w:rsid w:val="1FFF00F8"/>
    <w:rsid w:val="200655C0"/>
    <w:rsid w:val="200E78F3"/>
    <w:rsid w:val="20126D60"/>
    <w:rsid w:val="201C198C"/>
    <w:rsid w:val="20266068"/>
    <w:rsid w:val="20717F2A"/>
    <w:rsid w:val="207417C9"/>
    <w:rsid w:val="207A09B0"/>
    <w:rsid w:val="2094622D"/>
    <w:rsid w:val="209C776B"/>
    <w:rsid w:val="20AA3CDC"/>
    <w:rsid w:val="20B23D8A"/>
    <w:rsid w:val="20C56C00"/>
    <w:rsid w:val="20D54766"/>
    <w:rsid w:val="20D626D7"/>
    <w:rsid w:val="20DD55C0"/>
    <w:rsid w:val="20F546B7"/>
    <w:rsid w:val="20F86993"/>
    <w:rsid w:val="20FD531A"/>
    <w:rsid w:val="21037F10"/>
    <w:rsid w:val="213760C2"/>
    <w:rsid w:val="213D22F1"/>
    <w:rsid w:val="213F6706"/>
    <w:rsid w:val="2165078C"/>
    <w:rsid w:val="21667363"/>
    <w:rsid w:val="216A647F"/>
    <w:rsid w:val="217557F8"/>
    <w:rsid w:val="218B0B78"/>
    <w:rsid w:val="21A63C04"/>
    <w:rsid w:val="21A734D8"/>
    <w:rsid w:val="21C8784B"/>
    <w:rsid w:val="21CF315A"/>
    <w:rsid w:val="21F030D1"/>
    <w:rsid w:val="220646A2"/>
    <w:rsid w:val="22180E56"/>
    <w:rsid w:val="221C2372"/>
    <w:rsid w:val="2221328A"/>
    <w:rsid w:val="22235254"/>
    <w:rsid w:val="22266AF2"/>
    <w:rsid w:val="22274D44"/>
    <w:rsid w:val="222F3BF9"/>
    <w:rsid w:val="2245341D"/>
    <w:rsid w:val="22462A8A"/>
    <w:rsid w:val="22543B20"/>
    <w:rsid w:val="22574EFE"/>
    <w:rsid w:val="22631AF5"/>
    <w:rsid w:val="22696FF6"/>
    <w:rsid w:val="22916066"/>
    <w:rsid w:val="22993768"/>
    <w:rsid w:val="229B431D"/>
    <w:rsid w:val="229F2035"/>
    <w:rsid w:val="229F66F7"/>
    <w:rsid w:val="22B67E76"/>
    <w:rsid w:val="22B7264E"/>
    <w:rsid w:val="22B73217"/>
    <w:rsid w:val="22C87E82"/>
    <w:rsid w:val="22D03538"/>
    <w:rsid w:val="22D12F02"/>
    <w:rsid w:val="22E03145"/>
    <w:rsid w:val="22E83DA8"/>
    <w:rsid w:val="22E9024C"/>
    <w:rsid w:val="23006025"/>
    <w:rsid w:val="230102D9"/>
    <w:rsid w:val="23052BAC"/>
    <w:rsid w:val="230B7162"/>
    <w:rsid w:val="230C1C0F"/>
    <w:rsid w:val="231A1DBF"/>
    <w:rsid w:val="232748D0"/>
    <w:rsid w:val="23353491"/>
    <w:rsid w:val="23445482"/>
    <w:rsid w:val="23517B9F"/>
    <w:rsid w:val="23531B69"/>
    <w:rsid w:val="235F43F3"/>
    <w:rsid w:val="23664217"/>
    <w:rsid w:val="236B0C61"/>
    <w:rsid w:val="238E2BA1"/>
    <w:rsid w:val="23915FA1"/>
    <w:rsid w:val="23A14774"/>
    <w:rsid w:val="23A5639B"/>
    <w:rsid w:val="23A67435"/>
    <w:rsid w:val="23B61558"/>
    <w:rsid w:val="23BC770E"/>
    <w:rsid w:val="23C9141B"/>
    <w:rsid w:val="23FE3883"/>
    <w:rsid w:val="23FF75FB"/>
    <w:rsid w:val="240708CD"/>
    <w:rsid w:val="240F5A90"/>
    <w:rsid w:val="24106476"/>
    <w:rsid w:val="24162D28"/>
    <w:rsid w:val="24293F8F"/>
    <w:rsid w:val="243674C1"/>
    <w:rsid w:val="24380CC8"/>
    <w:rsid w:val="243A63CC"/>
    <w:rsid w:val="243C084F"/>
    <w:rsid w:val="246C10ED"/>
    <w:rsid w:val="247E49C4"/>
    <w:rsid w:val="24904744"/>
    <w:rsid w:val="249F3FA9"/>
    <w:rsid w:val="24C745BD"/>
    <w:rsid w:val="24D83DB6"/>
    <w:rsid w:val="2505221B"/>
    <w:rsid w:val="25066BAB"/>
    <w:rsid w:val="25181323"/>
    <w:rsid w:val="251913F0"/>
    <w:rsid w:val="251F222D"/>
    <w:rsid w:val="25235572"/>
    <w:rsid w:val="252F6C1F"/>
    <w:rsid w:val="25333A00"/>
    <w:rsid w:val="25457290"/>
    <w:rsid w:val="25561143"/>
    <w:rsid w:val="25676DE9"/>
    <w:rsid w:val="256F64AA"/>
    <w:rsid w:val="257B7047"/>
    <w:rsid w:val="2584600A"/>
    <w:rsid w:val="25AC5561"/>
    <w:rsid w:val="25B43E15"/>
    <w:rsid w:val="25B44CD6"/>
    <w:rsid w:val="25D53C59"/>
    <w:rsid w:val="25DF401E"/>
    <w:rsid w:val="25DF4AD8"/>
    <w:rsid w:val="25E75A1D"/>
    <w:rsid w:val="25E76599"/>
    <w:rsid w:val="25F07BA6"/>
    <w:rsid w:val="25FA2770"/>
    <w:rsid w:val="25FC2044"/>
    <w:rsid w:val="26025181"/>
    <w:rsid w:val="260F2A28"/>
    <w:rsid w:val="26176E7E"/>
    <w:rsid w:val="26201D24"/>
    <w:rsid w:val="263107B3"/>
    <w:rsid w:val="26322643"/>
    <w:rsid w:val="263631A5"/>
    <w:rsid w:val="2637667A"/>
    <w:rsid w:val="26655E3B"/>
    <w:rsid w:val="268C3FB5"/>
    <w:rsid w:val="26912233"/>
    <w:rsid w:val="269F15EB"/>
    <w:rsid w:val="26A26863"/>
    <w:rsid w:val="26AA7CF2"/>
    <w:rsid w:val="26BE19EF"/>
    <w:rsid w:val="26C143D2"/>
    <w:rsid w:val="26D7485F"/>
    <w:rsid w:val="26E24FAE"/>
    <w:rsid w:val="26EF739B"/>
    <w:rsid w:val="26F326F6"/>
    <w:rsid w:val="26F7280B"/>
    <w:rsid w:val="26FD42C6"/>
    <w:rsid w:val="27167136"/>
    <w:rsid w:val="273048EF"/>
    <w:rsid w:val="274A5031"/>
    <w:rsid w:val="27545EB0"/>
    <w:rsid w:val="2769150F"/>
    <w:rsid w:val="27734588"/>
    <w:rsid w:val="27781B9E"/>
    <w:rsid w:val="277F4CDB"/>
    <w:rsid w:val="2780146B"/>
    <w:rsid w:val="2786250D"/>
    <w:rsid w:val="278B2E18"/>
    <w:rsid w:val="27914CC8"/>
    <w:rsid w:val="27985D9D"/>
    <w:rsid w:val="27A42993"/>
    <w:rsid w:val="27AA2337"/>
    <w:rsid w:val="27AC7A9A"/>
    <w:rsid w:val="27C923FA"/>
    <w:rsid w:val="27CF7A19"/>
    <w:rsid w:val="27D019DA"/>
    <w:rsid w:val="27D52687"/>
    <w:rsid w:val="27D6739B"/>
    <w:rsid w:val="27DA0163"/>
    <w:rsid w:val="27E45F94"/>
    <w:rsid w:val="27F373E3"/>
    <w:rsid w:val="28131C63"/>
    <w:rsid w:val="28150C75"/>
    <w:rsid w:val="282464EB"/>
    <w:rsid w:val="282F222C"/>
    <w:rsid w:val="28626D75"/>
    <w:rsid w:val="286F3F95"/>
    <w:rsid w:val="287B7F79"/>
    <w:rsid w:val="28821E43"/>
    <w:rsid w:val="28916BE7"/>
    <w:rsid w:val="28A4024E"/>
    <w:rsid w:val="28B135BA"/>
    <w:rsid w:val="28B9528A"/>
    <w:rsid w:val="28BC481A"/>
    <w:rsid w:val="28C01A4F"/>
    <w:rsid w:val="28C1259F"/>
    <w:rsid w:val="28D92B11"/>
    <w:rsid w:val="28F0032A"/>
    <w:rsid w:val="28F24E95"/>
    <w:rsid w:val="28F434A6"/>
    <w:rsid w:val="28F93763"/>
    <w:rsid w:val="28FC23EA"/>
    <w:rsid w:val="29053273"/>
    <w:rsid w:val="290C61FF"/>
    <w:rsid w:val="291458F7"/>
    <w:rsid w:val="291E2E7B"/>
    <w:rsid w:val="29290FE4"/>
    <w:rsid w:val="292F7188"/>
    <w:rsid w:val="29376315"/>
    <w:rsid w:val="29501633"/>
    <w:rsid w:val="29567BFF"/>
    <w:rsid w:val="295F5B00"/>
    <w:rsid w:val="2973086F"/>
    <w:rsid w:val="298249CF"/>
    <w:rsid w:val="29980BDA"/>
    <w:rsid w:val="29A0362E"/>
    <w:rsid w:val="29AA3515"/>
    <w:rsid w:val="29AC50CB"/>
    <w:rsid w:val="29C25353"/>
    <w:rsid w:val="29CD4DD1"/>
    <w:rsid w:val="29D62BAC"/>
    <w:rsid w:val="29D86924"/>
    <w:rsid w:val="29DA6B40"/>
    <w:rsid w:val="29ED6BDD"/>
    <w:rsid w:val="29EF3D8C"/>
    <w:rsid w:val="29FA073B"/>
    <w:rsid w:val="2A042187"/>
    <w:rsid w:val="2A133DC8"/>
    <w:rsid w:val="2A200E38"/>
    <w:rsid w:val="2A350021"/>
    <w:rsid w:val="2A431C41"/>
    <w:rsid w:val="2A445BEE"/>
    <w:rsid w:val="2A5341FD"/>
    <w:rsid w:val="2A5A1A2F"/>
    <w:rsid w:val="2A602202"/>
    <w:rsid w:val="2A6237E6"/>
    <w:rsid w:val="2A777F01"/>
    <w:rsid w:val="2A7FF3BA"/>
    <w:rsid w:val="2A85159C"/>
    <w:rsid w:val="2A97058D"/>
    <w:rsid w:val="2AA1533C"/>
    <w:rsid w:val="2AAA7F7A"/>
    <w:rsid w:val="2ABE1FBE"/>
    <w:rsid w:val="2AC670C5"/>
    <w:rsid w:val="2ACB0237"/>
    <w:rsid w:val="2B004385"/>
    <w:rsid w:val="2B033E75"/>
    <w:rsid w:val="2B0674C1"/>
    <w:rsid w:val="2B1716CE"/>
    <w:rsid w:val="2B353322"/>
    <w:rsid w:val="2B37239C"/>
    <w:rsid w:val="2B3D7387"/>
    <w:rsid w:val="2B3E6C5B"/>
    <w:rsid w:val="2B5400F2"/>
    <w:rsid w:val="2B6A63EC"/>
    <w:rsid w:val="2B7348A5"/>
    <w:rsid w:val="2B94791E"/>
    <w:rsid w:val="2BB9468C"/>
    <w:rsid w:val="2BC2163A"/>
    <w:rsid w:val="2BC51EC5"/>
    <w:rsid w:val="2BD55811"/>
    <w:rsid w:val="2BD73CFD"/>
    <w:rsid w:val="2C155109"/>
    <w:rsid w:val="2C2422F5"/>
    <w:rsid w:val="2C2474F0"/>
    <w:rsid w:val="2C2A71DF"/>
    <w:rsid w:val="2C3562B0"/>
    <w:rsid w:val="2C372028"/>
    <w:rsid w:val="2C41042A"/>
    <w:rsid w:val="2C642FEA"/>
    <w:rsid w:val="2C6B0F62"/>
    <w:rsid w:val="2C6F14EE"/>
    <w:rsid w:val="2C7C04FF"/>
    <w:rsid w:val="2C882884"/>
    <w:rsid w:val="2C892158"/>
    <w:rsid w:val="2C8F2CCE"/>
    <w:rsid w:val="2C9C632F"/>
    <w:rsid w:val="2CB71165"/>
    <w:rsid w:val="2CC278F0"/>
    <w:rsid w:val="2CC7543A"/>
    <w:rsid w:val="2CC90818"/>
    <w:rsid w:val="2CCF5161"/>
    <w:rsid w:val="2CDA6E57"/>
    <w:rsid w:val="2D0D0C0E"/>
    <w:rsid w:val="2D546C0A"/>
    <w:rsid w:val="2D5B7F98"/>
    <w:rsid w:val="2D614E83"/>
    <w:rsid w:val="2D676ED0"/>
    <w:rsid w:val="2D6D7CCB"/>
    <w:rsid w:val="2D6E5CBA"/>
    <w:rsid w:val="2D8017AD"/>
    <w:rsid w:val="2D9708A4"/>
    <w:rsid w:val="2DD077B2"/>
    <w:rsid w:val="2DF301D1"/>
    <w:rsid w:val="2DFC77E9"/>
    <w:rsid w:val="2E06340F"/>
    <w:rsid w:val="2E183793"/>
    <w:rsid w:val="2E1E4B22"/>
    <w:rsid w:val="2E220AB6"/>
    <w:rsid w:val="2E362C91"/>
    <w:rsid w:val="2E433D29"/>
    <w:rsid w:val="2E450CFC"/>
    <w:rsid w:val="2E615CCD"/>
    <w:rsid w:val="2E717347"/>
    <w:rsid w:val="2E9153AA"/>
    <w:rsid w:val="2EA35514"/>
    <w:rsid w:val="2EC01219"/>
    <w:rsid w:val="2EC34FDD"/>
    <w:rsid w:val="2EDFE9E8"/>
    <w:rsid w:val="2EF04710"/>
    <w:rsid w:val="2EF97A69"/>
    <w:rsid w:val="2F155F25"/>
    <w:rsid w:val="2F3445FD"/>
    <w:rsid w:val="2F37730B"/>
    <w:rsid w:val="2F4A02C4"/>
    <w:rsid w:val="2F4A1335"/>
    <w:rsid w:val="2F4D2835"/>
    <w:rsid w:val="2F7C41F6"/>
    <w:rsid w:val="2F827A5E"/>
    <w:rsid w:val="2F882261"/>
    <w:rsid w:val="2F8A6913"/>
    <w:rsid w:val="2F940B9B"/>
    <w:rsid w:val="2FAC3F69"/>
    <w:rsid w:val="2FAF6379"/>
    <w:rsid w:val="2FB83480"/>
    <w:rsid w:val="2FBE65BC"/>
    <w:rsid w:val="2FCE2B17"/>
    <w:rsid w:val="2FCF2577"/>
    <w:rsid w:val="2FE364D9"/>
    <w:rsid w:val="2FF11F73"/>
    <w:rsid w:val="2FF6EBD2"/>
    <w:rsid w:val="300761B5"/>
    <w:rsid w:val="30085A89"/>
    <w:rsid w:val="301E2414"/>
    <w:rsid w:val="301F38BB"/>
    <w:rsid w:val="302610FC"/>
    <w:rsid w:val="302E54F0"/>
    <w:rsid w:val="30403475"/>
    <w:rsid w:val="3043586B"/>
    <w:rsid w:val="30443CB5"/>
    <w:rsid w:val="304C5976"/>
    <w:rsid w:val="3058256D"/>
    <w:rsid w:val="305A38D0"/>
    <w:rsid w:val="306E648F"/>
    <w:rsid w:val="30766E97"/>
    <w:rsid w:val="308E41E1"/>
    <w:rsid w:val="309243C0"/>
    <w:rsid w:val="309511AA"/>
    <w:rsid w:val="309D2676"/>
    <w:rsid w:val="30A47610"/>
    <w:rsid w:val="30B33C47"/>
    <w:rsid w:val="30B71989"/>
    <w:rsid w:val="30C46588"/>
    <w:rsid w:val="30E33504"/>
    <w:rsid w:val="30F4201C"/>
    <w:rsid w:val="30F524B2"/>
    <w:rsid w:val="30FF4B22"/>
    <w:rsid w:val="310B6BF3"/>
    <w:rsid w:val="312B3FDA"/>
    <w:rsid w:val="3138414C"/>
    <w:rsid w:val="31501496"/>
    <w:rsid w:val="31532D34"/>
    <w:rsid w:val="315C727B"/>
    <w:rsid w:val="31666F0B"/>
    <w:rsid w:val="316B4522"/>
    <w:rsid w:val="316D0BA9"/>
    <w:rsid w:val="31A627B9"/>
    <w:rsid w:val="31A62D61"/>
    <w:rsid w:val="31BE28A4"/>
    <w:rsid w:val="31C630A7"/>
    <w:rsid w:val="31C9211B"/>
    <w:rsid w:val="31CC628B"/>
    <w:rsid w:val="31EB31CE"/>
    <w:rsid w:val="31F60A7B"/>
    <w:rsid w:val="31FC517A"/>
    <w:rsid w:val="32024E86"/>
    <w:rsid w:val="32075FF9"/>
    <w:rsid w:val="321A7A9C"/>
    <w:rsid w:val="32236C2E"/>
    <w:rsid w:val="32496611"/>
    <w:rsid w:val="32607DFF"/>
    <w:rsid w:val="3281224F"/>
    <w:rsid w:val="328F502D"/>
    <w:rsid w:val="329B2BE5"/>
    <w:rsid w:val="329E6B50"/>
    <w:rsid w:val="329F256E"/>
    <w:rsid w:val="329F32EA"/>
    <w:rsid w:val="32BB5035"/>
    <w:rsid w:val="32C43EEA"/>
    <w:rsid w:val="32C65EB4"/>
    <w:rsid w:val="32EB0B99"/>
    <w:rsid w:val="32EE540A"/>
    <w:rsid w:val="33154745"/>
    <w:rsid w:val="331704BD"/>
    <w:rsid w:val="33237E07"/>
    <w:rsid w:val="33265EB1"/>
    <w:rsid w:val="3330332D"/>
    <w:rsid w:val="3332198B"/>
    <w:rsid w:val="333D443C"/>
    <w:rsid w:val="335A65FC"/>
    <w:rsid w:val="335A7075"/>
    <w:rsid w:val="335D7410"/>
    <w:rsid w:val="336D3EA4"/>
    <w:rsid w:val="33835B53"/>
    <w:rsid w:val="3384586B"/>
    <w:rsid w:val="33951EF8"/>
    <w:rsid w:val="339A10EE"/>
    <w:rsid w:val="339C1E4B"/>
    <w:rsid w:val="33A342A9"/>
    <w:rsid w:val="33AC6E70"/>
    <w:rsid w:val="33B66E47"/>
    <w:rsid w:val="33C64EB5"/>
    <w:rsid w:val="33D44600"/>
    <w:rsid w:val="33DB629F"/>
    <w:rsid w:val="33DC674E"/>
    <w:rsid w:val="33E74334"/>
    <w:rsid w:val="33EC6C5A"/>
    <w:rsid w:val="33EE1BA0"/>
    <w:rsid w:val="33F22CD8"/>
    <w:rsid w:val="33F9299F"/>
    <w:rsid w:val="33FE78CF"/>
    <w:rsid w:val="340622E0"/>
    <w:rsid w:val="34306838"/>
    <w:rsid w:val="34316ACF"/>
    <w:rsid w:val="343E641F"/>
    <w:rsid w:val="344468FB"/>
    <w:rsid w:val="344D4C35"/>
    <w:rsid w:val="34526541"/>
    <w:rsid w:val="3464195E"/>
    <w:rsid w:val="348854D0"/>
    <w:rsid w:val="34897199"/>
    <w:rsid w:val="34924BC9"/>
    <w:rsid w:val="349873DC"/>
    <w:rsid w:val="349879D5"/>
    <w:rsid w:val="34C3106B"/>
    <w:rsid w:val="34C74165"/>
    <w:rsid w:val="34E00D83"/>
    <w:rsid w:val="34E751DD"/>
    <w:rsid w:val="34E924AB"/>
    <w:rsid w:val="34EB5A9A"/>
    <w:rsid w:val="34F1756F"/>
    <w:rsid w:val="35066A3B"/>
    <w:rsid w:val="35270760"/>
    <w:rsid w:val="352F64C7"/>
    <w:rsid w:val="3532618A"/>
    <w:rsid w:val="35351167"/>
    <w:rsid w:val="353C7D87"/>
    <w:rsid w:val="355552CD"/>
    <w:rsid w:val="35615866"/>
    <w:rsid w:val="35703BE5"/>
    <w:rsid w:val="358A409C"/>
    <w:rsid w:val="35A57EBA"/>
    <w:rsid w:val="35BF6BEA"/>
    <w:rsid w:val="35C012AA"/>
    <w:rsid w:val="35C249F4"/>
    <w:rsid w:val="35D17237"/>
    <w:rsid w:val="35F30AB5"/>
    <w:rsid w:val="35FC3D7E"/>
    <w:rsid w:val="36145188"/>
    <w:rsid w:val="362058DB"/>
    <w:rsid w:val="36246BDF"/>
    <w:rsid w:val="36370634"/>
    <w:rsid w:val="363932F5"/>
    <w:rsid w:val="363D4FB8"/>
    <w:rsid w:val="363D6170"/>
    <w:rsid w:val="3642677E"/>
    <w:rsid w:val="36525CB0"/>
    <w:rsid w:val="3654343F"/>
    <w:rsid w:val="36570DD6"/>
    <w:rsid w:val="36590DED"/>
    <w:rsid w:val="367125DA"/>
    <w:rsid w:val="36760F87"/>
    <w:rsid w:val="36AF6603"/>
    <w:rsid w:val="36B87D9D"/>
    <w:rsid w:val="36C4095C"/>
    <w:rsid w:val="36C546D4"/>
    <w:rsid w:val="36D528EF"/>
    <w:rsid w:val="36F32FEF"/>
    <w:rsid w:val="37205FF6"/>
    <w:rsid w:val="372633C5"/>
    <w:rsid w:val="374E46CA"/>
    <w:rsid w:val="37602480"/>
    <w:rsid w:val="376676D7"/>
    <w:rsid w:val="3769770F"/>
    <w:rsid w:val="37865C12"/>
    <w:rsid w:val="379876F3"/>
    <w:rsid w:val="379A16BD"/>
    <w:rsid w:val="379F45EE"/>
    <w:rsid w:val="37CD1A92"/>
    <w:rsid w:val="37CE6DD4"/>
    <w:rsid w:val="37E06FFE"/>
    <w:rsid w:val="37E152F6"/>
    <w:rsid w:val="38233460"/>
    <w:rsid w:val="38287C31"/>
    <w:rsid w:val="3832770C"/>
    <w:rsid w:val="38387EA9"/>
    <w:rsid w:val="383907FA"/>
    <w:rsid w:val="383B1F8D"/>
    <w:rsid w:val="384855BD"/>
    <w:rsid w:val="386027CC"/>
    <w:rsid w:val="38624A88"/>
    <w:rsid w:val="38664899"/>
    <w:rsid w:val="386C12AB"/>
    <w:rsid w:val="38960E58"/>
    <w:rsid w:val="38A670D3"/>
    <w:rsid w:val="38AE714C"/>
    <w:rsid w:val="38B1729A"/>
    <w:rsid w:val="38B60778"/>
    <w:rsid w:val="38BC5693"/>
    <w:rsid w:val="38DC3EDC"/>
    <w:rsid w:val="38E5695C"/>
    <w:rsid w:val="38E92202"/>
    <w:rsid w:val="38F8669B"/>
    <w:rsid w:val="38FA68B7"/>
    <w:rsid w:val="38FB98C4"/>
    <w:rsid w:val="38FF20BA"/>
    <w:rsid w:val="39096AFA"/>
    <w:rsid w:val="391B4A7F"/>
    <w:rsid w:val="39202096"/>
    <w:rsid w:val="39394B01"/>
    <w:rsid w:val="39403675"/>
    <w:rsid w:val="39561E39"/>
    <w:rsid w:val="396E2E01"/>
    <w:rsid w:val="39777F08"/>
    <w:rsid w:val="39874323"/>
    <w:rsid w:val="398B661E"/>
    <w:rsid w:val="3999642E"/>
    <w:rsid w:val="399A1E48"/>
    <w:rsid w:val="399B57E9"/>
    <w:rsid w:val="39A10E34"/>
    <w:rsid w:val="39A64349"/>
    <w:rsid w:val="39AC4B2D"/>
    <w:rsid w:val="39B62C55"/>
    <w:rsid w:val="39C03AB0"/>
    <w:rsid w:val="39CD5D7A"/>
    <w:rsid w:val="39D62E7E"/>
    <w:rsid w:val="39F50E2C"/>
    <w:rsid w:val="39F63BBE"/>
    <w:rsid w:val="3A241712"/>
    <w:rsid w:val="3A335905"/>
    <w:rsid w:val="3A47599D"/>
    <w:rsid w:val="3A6477A9"/>
    <w:rsid w:val="3A7E52C6"/>
    <w:rsid w:val="3A8E4BF9"/>
    <w:rsid w:val="3A950543"/>
    <w:rsid w:val="3A9E7716"/>
    <w:rsid w:val="3AA23F47"/>
    <w:rsid w:val="3AAA1C17"/>
    <w:rsid w:val="3ABE2449"/>
    <w:rsid w:val="3ADA56C8"/>
    <w:rsid w:val="3AE35129"/>
    <w:rsid w:val="3AF37A62"/>
    <w:rsid w:val="3B00217F"/>
    <w:rsid w:val="3B082DE1"/>
    <w:rsid w:val="3B20012B"/>
    <w:rsid w:val="3B2A60E9"/>
    <w:rsid w:val="3B3360B0"/>
    <w:rsid w:val="3B4007CD"/>
    <w:rsid w:val="3B506A3A"/>
    <w:rsid w:val="3B561D9F"/>
    <w:rsid w:val="3B5B2B94"/>
    <w:rsid w:val="3B7566C9"/>
    <w:rsid w:val="3B7641EF"/>
    <w:rsid w:val="3B792ECF"/>
    <w:rsid w:val="3B827166"/>
    <w:rsid w:val="3B855DC3"/>
    <w:rsid w:val="3B9052B1"/>
    <w:rsid w:val="3B974891"/>
    <w:rsid w:val="3B9D279F"/>
    <w:rsid w:val="3BB16FD5"/>
    <w:rsid w:val="3BD056AD"/>
    <w:rsid w:val="3BD21711"/>
    <w:rsid w:val="3BD54987"/>
    <w:rsid w:val="3BD80F0D"/>
    <w:rsid w:val="3BDA2944"/>
    <w:rsid w:val="3BDB85C8"/>
    <w:rsid w:val="3BE467D1"/>
    <w:rsid w:val="3BFE66BE"/>
    <w:rsid w:val="3BFF8581"/>
    <w:rsid w:val="3C1C38AF"/>
    <w:rsid w:val="3C1C4D96"/>
    <w:rsid w:val="3C215F09"/>
    <w:rsid w:val="3C256A70"/>
    <w:rsid w:val="3C31001D"/>
    <w:rsid w:val="3C3A6AB5"/>
    <w:rsid w:val="3C4165AB"/>
    <w:rsid w:val="3C4B11D8"/>
    <w:rsid w:val="3C5D6EFF"/>
    <w:rsid w:val="3C6605CE"/>
    <w:rsid w:val="3C676D43"/>
    <w:rsid w:val="3C6F5B2F"/>
    <w:rsid w:val="3C7249B6"/>
    <w:rsid w:val="3C881B0B"/>
    <w:rsid w:val="3C926E07"/>
    <w:rsid w:val="3CAD59EE"/>
    <w:rsid w:val="3CB26F41"/>
    <w:rsid w:val="3CC17DD4"/>
    <w:rsid w:val="3CDC4526"/>
    <w:rsid w:val="3CDD2778"/>
    <w:rsid w:val="3CDE204C"/>
    <w:rsid w:val="3CE277AA"/>
    <w:rsid w:val="3CE8111C"/>
    <w:rsid w:val="3CEA279F"/>
    <w:rsid w:val="3CEC177B"/>
    <w:rsid w:val="3CF46FDB"/>
    <w:rsid w:val="3D0A1E56"/>
    <w:rsid w:val="3D1B6DFC"/>
    <w:rsid w:val="3D2A2A77"/>
    <w:rsid w:val="3D42082D"/>
    <w:rsid w:val="3D5F3C0A"/>
    <w:rsid w:val="3D7164EB"/>
    <w:rsid w:val="3D7737D1"/>
    <w:rsid w:val="3D7F382F"/>
    <w:rsid w:val="3D8F31BA"/>
    <w:rsid w:val="3D9B4E64"/>
    <w:rsid w:val="3D9F76BF"/>
    <w:rsid w:val="3DA70690"/>
    <w:rsid w:val="3DC54FBA"/>
    <w:rsid w:val="3DFB09DB"/>
    <w:rsid w:val="3E0205C4"/>
    <w:rsid w:val="3E0C3BB5"/>
    <w:rsid w:val="3E12336F"/>
    <w:rsid w:val="3E154BCF"/>
    <w:rsid w:val="3E342BCE"/>
    <w:rsid w:val="3E3A37E1"/>
    <w:rsid w:val="3E6432A1"/>
    <w:rsid w:val="3E6842C3"/>
    <w:rsid w:val="3E6B3DB3"/>
    <w:rsid w:val="3E90273A"/>
    <w:rsid w:val="3E955132"/>
    <w:rsid w:val="3EA352FB"/>
    <w:rsid w:val="3EA846BF"/>
    <w:rsid w:val="3EAD6F0F"/>
    <w:rsid w:val="3EBE3EE3"/>
    <w:rsid w:val="3EC62D97"/>
    <w:rsid w:val="3ED16F9D"/>
    <w:rsid w:val="3ED835C0"/>
    <w:rsid w:val="3EE14075"/>
    <w:rsid w:val="3EE22D6A"/>
    <w:rsid w:val="3EE33949"/>
    <w:rsid w:val="3EF7239A"/>
    <w:rsid w:val="3EF97772"/>
    <w:rsid w:val="3EFF671D"/>
    <w:rsid w:val="3F033FEC"/>
    <w:rsid w:val="3F1A33BE"/>
    <w:rsid w:val="3F2859A4"/>
    <w:rsid w:val="3F2F48E2"/>
    <w:rsid w:val="3F3C7CCF"/>
    <w:rsid w:val="3F5D194E"/>
    <w:rsid w:val="3F6031EC"/>
    <w:rsid w:val="3F6251B6"/>
    <w:rsid w:val="3F7722E4"/>
    <w:rsid w:val="3F7B6278"/>
    <w:rsid w:val="3F8C5D8F"/>
    <w:rsid w:val="3FBBF901"/>
    <w:rsid w:val="3FC4377B"/>
    <w:rsid w:val="3FCC669D"/>
    <w:rsid w:val="3FD00372"/>
    <w:rsid w:val="3FD753EE"/>
    <w:rsid w:val="3FD80FD4"/>
    <w:rsid w:val="3FDD241B"/>
    <w:rsid w:val="3FDD483D"/>
    <w:rsid w:val="3FE07E89"/>
    <w:rsid w:val="3FE69656"/>
    <w:rsid w:val="3FEE56A1"/>
    <w:rsid w:val="3FF77793"/>
    <w:rsid w:val="3FFA12B7"/>
    <w:rsid w:val="3FFF2802"/>
    <w:rsid w:val="402F22B4"/>
    <w:rsid w:val="404405EC"/>
    <w:rsid w:val="405110D6"/>
    <w:rsid w:val="406D6805"/>
    <w:rsid w:val="407A652F"/>
    <w:rsid w:val="407D110C"/>
    <w:rsid w:val="40827192"/>
    <w:rsid w:val="40864ED4"/>
    <w:rsid w:val="408C3992"/>
    <w:rsid w:val="40915918"/>
    <w:rsid w:val="40A05314"/>
    <w:rsid w:val="40B51B55"/>
    <w:rsid w:val="40B732E0"/>
    <w:rsid w:val="40E61FE6"/>
    <w:rsid w:val="40F71321"/>
    <w:rsid w:val="41140064"/>
    <w:rsid w:val="411B561D"/>
    <w:rsid w:val="41200E85"/>
    <w:rsid w:val="412519DB"/>
    <w:rsid w:val="41326E0A"/>
    <w:rsid w:val="41361B95"/>
    <w:rsid w:val="41515EEF"/>
    <w:rsid w:val="41526B64"/>
    <w:rsid w:val="41546D80"/>
    <w:rsid w:val="418A09F4"/>
    <w:rsid w:val="418A27A2"/>
    <w:rsid w:val="418D4040"/>
    <w:rsid w:val="418E2292"/>
    <w:rsid w:val="41970AE1"/>
    <w:rsid w:val="419E624E"/>
    <w:rsid w:val="41A35612"/>
    <w:rsid w:val="41AE7C60"/>
    <w:rsid w:val="41B617E9"/>
    <w:rsid w:val="41C37A62"/>
    <w:rsid w:val="41CC6917"/>
    <w:rsid w:val="41CE08E1"/>
    <w:rsid w:val="41D35EF7"/>
    <w:rsid w:val="41DD0B24"/>
    <w:rsid w:val="41E87DEF"/>
    <w:rsid w:val="41F1637D"/>
    <w:rsid w:val="420A5691"/>
    <w:rsid w:val="421C7965"/>
    <w:rsid w:val="422619BB"/>
    <w:rsid w:val="422C150A"/>
    <w:rsid w:val="423773F7"/>
    <w:rsid w:val="423A7D24"/>
    <w:rsid w:val="42436F8A"/>
    <w:rsid w:val="425410BD"/>
    <w:rsid w:val="425F778B"/>
    <w:rsid w:val="426009C5"/>
    <w:rsid w:val="426221F8"/>
    <w:rsid w:val="426D63FE"/>
    <w:rsid w:val="42724A9B"/>
    <w:rsid w:val="428F6994"/>
    <w:rsid w:val="42957651"/>
    <w:rsid w:val="4297632A"/>
    <w:rsid w:val="429E4757"/>
    <w:rsid w:val="42A15FF5"/>
    <w:rsid w:val="42B21705"/>
    <w:rsid w:val="42B32E08"/>
    <w:rsid w:val="42D31F27"/>
    <w:rsid w:val="42D55690"/>
    <w:rsid w:val="42DE3E28"/>
    <w:rsid w:val="42DF22D8"/>
    <w:rsid w:val="42E3216A"/>
    <w:rsid w:val="431C567C"/>
    <w:rsid w:val="43266677"/>
    <w:rsid w:val="432D2509"/>
    <w:rsid w:val="434075BC"/>
    <w:rsid w:val="43421586"/>
    <w:rsid w:val="434370AD"/>
    <w:rsid w:val="43470AA6"/>
    <w:rsid w:val="436E5EB8"/>
    <w:rsid w:val="43900783"/>
    <w:rsid w:val="43947392"/>
    <w:rsid w:val="439971FA"/>
    <w:rsid w:val="43A833B4"/>
    <w:rsid w:val="43AC4C52"/>
    <w:rsid w:val="43B42418"/>
    <w:rsid w:val="43BD6E5F"/>
    <w:rsid w:val="43D16909"/>
    <w:rsid w:val="43D42766"/>
    <w:rsid w:val="43F213F1"/>
    <w:rsid w:val="43F41FD8"/>
    <w:rsid w:val="43FD1DA6"/>
    <w:rsid w:val="44006D4C"/>
    <w:rsid w:val="440209A9"/>
    <w:rsid w:val="441B3B85"/>
    <w:rsid w:val="443C7F5E"/>
    <w:rsid w:val="444B19C8"/>
    <w:rsid w:val="446C30C9"/>
    <w:rsid w:val="44774926"/>
    <w:rsid w:val="448B0BED"/>
    <w:rsid w:val="449B01B0"/>
    <w:rsid w:val="44D65FFB"/>
    <w:rsid w:val="44DE708D"/>
    <w:rsid w:val="44F06447"/>
    <w:rsid w:val="44F833E9"/>
    <w:rsid w:val="44FF34A7"/>
    <w:rsid w:val="45061A4C"/>
    <w:rsid w:val="45120AE5"/>
    <w:rsid w:val="451C7579"/>
    <w:rsid w:val="45237196"/>
    <w:rsid w:val="45244CBC"/>
    <w:rsid w:val="452541DF"/>
    <w:rsid w:val="452B268D"/>
    <w:rsid w:val="4535500F"/>
    <w:rsid w:val="457271D8"/>
    <w:rsid w:val="457F1EF2"/>
    <w:rsid w:val="45857508"/>
    <w:rsid w:val="458D79D2"/>
    <w:rsid w:val="459E4D98"/>
    <w:rsid w:val="45DE28D0"/>
    <w:rsid w:val="45F66658"/>
    <w:rsid w:val="46115240"/>
    <w:rsid w:val="461A0599"/>
    <w:rsid w:val="461B60BF"/>
    <w:rsid w:val="462C3E28"/>
    <w:rsid w:val="46362EF9"/>
    <w:rsid w:val="4649255C"/>
    <w:rsid w:val="467265C4"/>
    <w:rsid w:val="46765CB1"/>
    <w:rsid w:val="467965F9"/>
    <w:rsid w:val="467E27F8"/>
    <w:rsid w:val="46841EBD"/>
    <w:rsid w:val="46843C64"/>
    <w:rsid w:val="46974134"/>
    <w:rsid w:val="469C746C"/>
    <w:rsid w:val="46A92635"/>
    <w:rsid w:val="46B10E38"/>
    <w:rsid w:val="46B651A1"/>
    <w:rsid w:val="46BC33FE"/>
    <w:rsid w:val="46C03289"/>
    <w:rsid w:val="46C978C9"/>
    <w:rsid w:val="46F245F5"/>
    <w:rsid w:val="470114A9"/>
    <w:rsid w:val="470703F1"/>
    <w:rsid w:val="47113E40"/>
    <w:rsid w:val="47120309"/>
    <w:rsid w:val="472015A9"/>
    <w:rsid w:val="47234906"/>
    <w:rsid w:val="47354BD4"/>
    <w:rsid w:val="474C3E81"/>
    <w:rsid w:val="474E4E09"/>
    <w:rsid w:val="47867568"/>
    <w:rsid w:val="479A733C"/>
    <w:rsid w:val="479D7445"/>
    <w:rsid w:val="47A00374"/>
    <w:rsid w:val="47CB7C64"/>
    <w:rsid w:val="47E57A30"/>
    <w:rsid w:val="47E66258"/>
    <w:rsid w:val="480014B3"/>
    <w:rsid w:val="48083249"/>
    <w:rsid w:val="480E7A25"/>
    <w:rsid w:val="48180B08"/>
    <w:rsid w:val="48483421"/>
    <w:rsid w:val="484E4529"/>
    <w:rsid w:val="485D6071"/>
    <w:rsid w:val="48614BFD"/>
    <w:rsid w:val="487B4BF3"/>
    <w:rsid w:val="48B1532F"/>
    <w:rsid w:val="48C26B67"/>
    <w:rsid w:val="48C81442"/>
    <w:rsid w:val="48E23D57"/>
    <w:rsid w:val="48E350EB"/>
    <w:rsid w:val="48E85B1A"/>
    <w:rsid w:val="48F051D0"/>
    <w:rsid w:val="490168B9"/>
    <w:rsid w:val="49080B7C"/>
    <w:rsid w:val="49296384"/>
    <w:rsid w:val="49465201"/>
    <w:rsid w:val="49523359"/>
    <w:rsid w:val="496E7D41"/>
    <w:rsid w:val="4989333F"/>
    <w:rsid w:val="498A4BF8"/>
    <w:rsid w:val="49964EEA"/>
    <w:rsid w:val="49997A26"/>
    <w:rsid w:val="49A62143"/>
    <w:rsid w:val="49C36851"/>
    <w:rsid w:val="49D36A87"/>
    <w:rsid w:val="49DA72EC"/>
    <w:rsid w:val="49DE06CA"/>
    <w:rsid w:val="49EF3AEA"/>
    <w:rsid w:val="49EF5898"/>
    <w:rsid w:val="4A034605"/>
    <w:rsid w:val="4A050411"/>
    <w:rsid w:val="4A182C5B"/>
    <w:rsid w:val="4A1B40A3"/>
    <w:rsid w:val="4A301681"/>
    <w:rsid w:val="4A314103"/>
    <w:rsid w:val="4A396B13"/>
    <w:rsid w:val="4A496D91"/>
    <w:rsid w:val="4A5E4C5F"/>
    <w:rsid w:val="4A6022F2"/>
    <w:rsid w:val="4A6F3D98"/>
    <w:rsid w:val="4A8D2E6D"/>
    <w:rsid w:val="4A8F7FB7"/>
    <w:rsid w:val="4A9560CC"/>
    <w:rsid w:val="4AA04DE4"/>
    <w:rsid w:val="4AB8212E"/>
    <w:rsid w:val="4ABD14F2"/>
    <w:rsid w:val="4AC408E4"/>
    <w:rsid w:val="4ACC3E2B"/>
    <w:rsid w:val="4ADD3943"/>
    <w:rsid w:val="4AE5022F"/>
    <w:rsid w:val="4AE7656F"/>
    <w:rsid w:val="4AF313B8"/>
    <w:rsid w:val="4AFE15E2"/>
    <w:rsid w:val="4B0C4228"/>
    <w:rsid w:val="4B1B2C46"/>
    <w:rsid w:val="4B2279C7"/>
    <w:rsid w:val="4B272E10"/>
    <w:rsid w:val="4B417485"/>
    <w:rsid w:val="4B470B88"/>
    <w:rsid w:val="4B4E4840"/>
    <w:rsid w:val="4B582E12"/>
    <w:rsid w:val="4B713354"/>
    <w:rsid w:val="4B74348F"/>
    <w:rsid w:val="4B7778F3"/>
    <w:rsid w:val="4B79502C"/>
    <w:rsid w:val="4B7D6ED4"/>
    <w:rsid w:val="4BA60AB1"/>
    <w:rsid w:val="4BA95231"/>
    <w:rsid w:val="4BAF1783"/>
    <w:rsid w:val="4BB078CC"/>
    <w:rsid w:val="4BB2670B"/>
    <w:rsid w:val="4BB365B5"/>
    <w:rsid w:val="4BC114B6"/>
    <w:rsid w:val="4BCB7C3F"/>
    <w:rsid w:val="4BE34546"/>
    <w:rsid w:val="4BE76F02"/>
    <w:rsid w:val="4BEB02E1"/>
    <w:rsid w:val="4BED22AB"/>
    <w:rsid w:val="4BF37AF5"/>
    <w:rsid w:val="4BF60521"/>
    <w:rsid w:val="4BF74ED8"/>
    <w:rsid w:val="4BF94C2F"/>
    <w:rsid w:val="4C0C0983"/>
    <w:rsid w:val="4C0E7ECE"/>
    <w:rsid w:val="4C121D12"/>
    <w:rsid w:val="4C2832E3"/>
    <w:rsid w:val="4C40062D"/>
    <w:rsid w:val="4C545E87"/>
    <w:rsid w:val="4C5A0B23"/>
    <w:rsid w:val="4C6A56AA"/>
    <w:rsid w:val="4C906769"/>
    <w:rsid w:val="4C942D3E"/>
    <w:rsid w:val="4CA666C3"/>
    <w:rsid w:val="4CA80573"/>
    <w:rsid w:val="4CA961D2"/>
    <w:rsid w:val="4CB61515"/>
    <w:rsid w:val="4CBD7ED0"/>
    <w:rsid w:val="4CCA439B"/>
    <w:rsid w:val="4CD929E2"/>
    <w:rsid w:val="4CE40E7D"/>
    <w:rsid w:val="4CE74F4D"/>
    <w:rsid w:val="4CF07945"/>
    <w:rsid w:val="4D1473C4"/>
    <w:rsid w:val="4D1A2C2C"/>
    <w:rsid w:val="4D2E2B7B"/>
    <w:rsid w:val="4D346504"/>
    <w:rsid w:val="4D3B0DF4"/>
    <w:rsid w:val="4D61085B"/>
    <w:rsid w:val="4D882DB8"/>
    <w:rsid w:val="4DB35167"/>
    <w:rsid w:val="4DDF102B"/>
    <w:rsid w:val="4DE33966"/>
    <w:rsid w:val="4DE96C85"/>
    <w:rsid w:val="4DEB6377"/>
    <w:rsid w:val="4E077171"/>
    <w:rsid w:val="4E1844A1"/>
    <w:rsid w:val="4E376C89"/>
    <w:rsid w:val="4E4179C0"/>
    <w:rsid w:val="4E4468A4"/>
    <w:rsid w:val="4E5B75AC"/>
    <w:rsid w:val="4E5E1120"/>
    <w:rsid w:val="4E5E5A81"/>
    <w:rsid w:val="4E6B6CEB"/>
    <w:rsid w:val="4E847155"/>
    <w:rsid w:val="4E9208C3"/>
    <w:rsid w:val="4EA62829"/>
    <w:rsid w:val="4ED35F6C"/>
    <w:rsid w:val="4ED46B7B"/>
    <w:rsid w:val="4ED60DD5"/>
    <w:rsid w:val="4EDE6657"/>
    <w:rsid w:val="4EE22FDD"/>
    <w:rsid w:val="4EFB6C2C"/>
    <w:rsid w:val="4EFE20DA"/>
    <w:rsid w:val="4F082F58"/>
    <w:rsid w:val="4F0A0AD1"/>
    <w:rsid w:val="4F0C76FA"/>
    <w:rsid w:val="4F165675"/>
    <w:rsid w:val="4F212F50"/>
    <w:rsid w:val="4F226DC8"/>
    <w:rsid w:val="4F234ACC"/>
    <w:rsid w:val="4F2A7373"/>
    <w:rsid w:val="4F3B36A9"/>
    <w:rsid w:val="4F3E697A"/>
    <w:rsid w:val="4F493C9D"/>
    <w:rsid w:val="4F5C1026"/>
    <w:rsid w:val="4F5E53C7"/>
    <w:rsid w:val="4F6351A5"/>
    <w:rsid w:val="4F7702AB"/>
    <w:rsid w:val="4F7EFCB4"/>
    <w:rsid w:val="4F7F44DF"/>
    <w:rsid w:val="4F854876"/>
    <w:rsid w:val="4F912F4E"/>
    <w:rsid w:val="4FA71C3F"/>
    <w:rsid w:val="4FAE5BAC"/>
    <w:rsid w:val="4FB01626"/>
    <w:rsid w:val="4FB11910"/>
    <w:rsid w:val="4FB84E80"/>
    <w:rsid w:val="4FB854F8"/>
    <w:rsid w:val="4FBA3692"/>
    <w:rsid w:val="4FDC1ACA"/>
    <w:rsid w:val="4FE985C7"/>
    <w:rsid w:val="500C08AC"/>
    <w:rsid w:val="500E56FC"/>
    <w:rsid w:val="501C6CBB"/>
    <w:rsid w:val="501F0559"/>
    <w:rsid w:val="502703FE"/>
    <w:rsid w:val="502768E9"/>
    <w:rsid w:val="505C668F"/>
    <w:rsid w:val="50601F36"/>
    <w:rsid w:val="507329BF"/>
    <w:rsid w:val="507E7976"/>
    <w:rsid w:val="50811214"/>
    <w:rsid w:val="50964CC0"/>
    <w:rsid w:val="50966A6E"/>
    <w:rsid w:val="50AB003F"/>
    <w:rsid w:val="50B36711"/>
    <w:rsid w:val="50CF4561"/>
    <w:rsid w:val="50D25854"/>
    <w:rsid w:val="50D852D8"/>
    <w:rsid w:val="50FE0AB7"/>
    <w:rsid w:val="51042AC7"/>
    <w:rsid w:val="51085492"/>
    <w:rsid w:val="512978E2"/>
    <w:rsid w:val="51346847"/>
    <w:rsid w:val="51475669"/>
    <w:rsid w:val="515D758B"/>
    <w:rsid w:val="5161537B"/>
    <w:rsid w:val="51655FC2"/>
    <w:rsid w:val="516A5418"/>
    <w:rsid w:val="516C5CF7"/>
    <w:rsid w:val="517174DB"/>
    <w:rsid w:val="517B1124"/>
    <w:rsid w:val="51866C59"/>
    <w:rsid w:val="51867B3E"/>
    <w:rsid w:val="51987112"/>
    <w:rsid w:val="519D3E2C"/>
    <w:rsid w:val="519D660F"/>
    <w:rsid w:val="51A56BA3"/>
    <w:rsid w:val="51A575B0"/>
    <w:rsid w:val="51C25FE7"/>
    <w:rsid w:val="51C969CF"/>
    <w:rsid w:val="51D33CF1"/>
    <w:rsid w:val="51FF4AE6"/>
    <w:rsid w:val="51FF6894"/>
    <w:rsid w:val="520677CB"/>
    <w:rsid w:val="520774F7"/>
    <w:rsid w:val="520C5A74"/>
    <w:rsid w:val="52555BF0"/>
    <w:rsid w:val="525564B4"/>
    <w:rsid w:val="525B75EF"/>
    <w:rsid w:val="526341EB"/>
    <w:rsid w:val="52666914"/>
    <w:rsid w:val="5267529D"/>
    <w:rsid w:val="5272350A"/>
    <w:rsid w:val="52732285"/>
    <w:rsid w:val="52741F4D"/>
    <w:rsid w:val="52902DFA"/>
    <w:rsid w:val="529B480F"/>
    <w:rsid w:val="52CC1C82"/>
    <w:rsid w:val="52DB2E5E"/>
    <w:rsid w:val="52DC2732"/>
    <w:rsid w:val="530E3233"/>
    <w:rsid w:val="53135B7C"/>
    <w:rsid w:val="5314011E"/>
    <w:rsid w:val="53146A66"/>
    <w:rsid w:val="531C0F71"/>
    <w:rsid w:val="53360094"/>
    <w:rsid w:val="5339302E"/>
    <w:rsid w:val="53490BB0"/>
    <w:rsid w:val="534F55FA"/>
    <w:rsid w:val="535521B1"/>
    <w:rsid w:val="536B200F"/>
    <w:rsid w:val="536B319B"/>
    <w:rsid w:val="536E11E4"/>
    <w:rsid w:val="53755060"/>
    <w:rsid w:val="537D2167"/>
    <w:rsid w:val="53A6051D"/>
    <w:rsid w:val="53AF2171"/>
    <w:rsid w:val="53B37937"/>
    <w:rsid w:val="53B60FA0"/>
    <w:rsid w:val="53B611D5"/>
    <w:rsid w:val="53B92BD0"/>
    <w:rsid w:val="53C27B7A"/>
    <w:rsid w:val="53C300EE"/>
    <w:rsid w:val="53D0016A"/>
    <w:rsid w:val="53E61F03"/>
    <w:rsid w:val="53E81EA7"/>
    <w:rsid w:val="53ED0769"/>
    <w:rsid w:val="53FB0263"/>
    <w:rsid w:val="5406215C"/>
    <w:rsid w:val="5429289E"/>
    <w:rsid w:val="542E6C2A"/>
    <w:rsid w:val="54413194"/>
    <w:rsid w:val="546315F6"/>
    <w:rsid w:val="54640C31"/>
    <w:rsid w:val="547215A0"/>
    <w:rsid w:val="547C0308"/>
    <w:rsid w:val="549C03CB"/>
    <w:rsid w:val="54A71B6F"/>
    <w:rsid w:val="54BE47E5"/>
    <w:rsid w:val="54BE5581"/>
    <w:rsid w:val="54C3413E"/>
    <w:rsid w:val="54C343AC"/>
    <w:rsid w:val="54E202BD"/>
    <w:rsid w:val="54E3424B"/>
    <w:rsid w:val="54E67898"/>
    <w:rsid w:val="54FA66E5"/>
    <w:rsid w:val="5507618C"/>
    <w:rsid w:val="550C37A2"/>
    <w:rsid w:val="55120B89"/>
    <w:rsid w:val="55124B31"/>
    <w:rsid w:val="55195ED1"/>
    <w:rsid w:val="55356592"/>
    <w:rsid w:val="5536081F"/>
    <w:rsid w:val="55363B79"/>
    <w:rsid w:val="553757FC"/>
    <w:rsid w:val="553920BD"/>
    <w:rsid w:val="553B086B"/>
    <w:rsid w:val="55523CC0"/>
    <w:rsid w:val="55561A9C"/>
    <w:rsid w:val="55683C90"/>
    <w:rsid w:val="55690BF5"/>
    <w:rsid w:val="556E259A"/>
    <w:rsid w:val="55807CEC"/>
    <w:rsid w:val="5587547F"/>
    <w:rsid w:val="55886BA1"/>
    <w:rsid w:val="55893CEF"/>
    <w:rsid w:val="55A0038E"/>
    <w:rsid w:val="55A531BA"/>
    <w:rsid w:val="55AD7ACE"/>
    <w:rsid w:val="55B00149"/>
    <w:rsid w:val="55CC3275"/>
    <w:rsid w:val="55D37310"/>
    <w:rsid w:val="55E4027B"/>
    <w:rsid w:val="55F12998"/>
    <w:rsid w:val="55F85AD5"/>
    <w:rsid w:val="56102E1E"/>
    <w:rsid w:val="56113BC9"/>
    <w:rsid w:val="561F12B3"/>
    <w:rsid w:val="562C774E"/>
    <w:rsid w:val="56323B98"/>
    <w:rsid w:val="563A60ED"/>
    <w:rsid w:val="563F6BD5"/>
    <w:rsid w:val="56466E93"/>
    <w:rsid w:val="56567054"/>
    <w:rsid w:val="565E627F"/>
    <w:rsid w:val="56621F53"/>
    <w:rsid w:val="56625644"/>
    <w:rsid w:val="566500E3"/>
    <w:rsid w:val="566D4FAA"/>
    <w:rsid w:val="566D64C3"/>
    <w:rsid w:val="5677F382"/>
    <w:rsid w:val="568052DE"/>
    <w:rsid w:val="568245C0"/>
    <w:rsid w:val="56867584"/>
    <w:rsid w:val="56AC60A3"/>
    <w:rsid w:val="56AD68BF"/>
    <w:rsid w:val="56AF6ADB"/>
    <w:rsid w:val="56B2576C"/>
    <w:rsid w:val="56B9194B"/>
    <w:rsid w:val="56C33BDD"/>
    <w:rsid w:val="56C553EB"/>
    <w:rsid w:val="56CD6678"/>
    <w:rsid w:val="56DA167E"/>
    <w:rsid w:val="56E40324"/>
    <w:rsid w:val="56EFBCE7"/>
    <w:rsid w:val="56F269C8"/>
    <w:rsid w:val="56F79C35"/>
    <w:rsid w:val="56FF5614"/>
    <w:rsid w:val="571006E4"/>
    <w:rsid w:val="57191362"/>
    <w:rsid w:val="57785D2A"/>
    <w:rsid w:val="579F5351"/>
    <w:rsid w:val="57AA1051"/>
    <w:rsid w:val="57D32355"/>
    <w:rsid w:val="57E502DB"/>
    <w:rsid w:val="581B1F4E"/>
    <w:rsid w:val="581F559B"/>
    <w:rsid w:val="583D01CF"/>
    <w:rsid w:val="5844151B"/>
    <w:rsid w:val="586475A6"/>
    <w:rsid w:val="5866141B"/>
    <w:rsid w:val="58810003"/>
    <w:rsid w:val="588A3598"/>
    <w:rsid w:val="58C61EBA"/>
    <w:rsid w:val="58C63C68"/>
    <w:rsid w:val="58D50A2B"/>
    <w:rsid w:val="58DE5456"/>
    <w:rsid w:val="58E56A80"/>
    <w:rsid w:val="58EB36CF"/>
    <w:rsid w:val="58EC0D07"/>
    <w:rsid w:val="58F702C5"/>
    <w:rsid w:val="58FA1B64"/>
    <w:rsid w:val="59034EBC"/>
    <w:rsid w:val="591A2160"/>
    <w:rsid w:val="5928031A"/>
    <w:rsid w:val="59367040"/>
    <w:rsid w:val="593F501F"/>
    <w:rsid w:val="59401C6C"/>
    <w:rsid w:val="59487733"/>
    <w:rsid w:val="594B23BF"/>
    <w:rsid w:val="59524CDB"/>
    <w:rsid w:val="596949DD"/>
    <w:rsid w:val="59707498"/>
    <w:rsid w:val="597F1167"/>
    <w:rsid w:val="59AC3549"/>
    <w:rsid w:val="59BD3A9E"/>
    <w:rsid w:val="59C363FA"/>
    <w:rsid w:val="59C74AA1"/>
    <w:rsid w:val="59D66164"/>
    <w:rsid w:val="59E25784"/>
    <w:rsid w:val="59E60318"/>
    <w:rsid w:val="59F111B9"/>
    <w:rsid w:val="5A0013FC"/>
    <w:rsid w:val="5A096502"/>
    <w:rsid w:val="5A407A4A"/>
    <w:rsid w:val="5A4E09B0"/>
    <w:rsid w:val="5A56B2A4"/>
    <w:rsid w:val="5A6A4308"/>
    <w:rsid w:val="5A736072"/>
    <w:rsid w:val="5A7B0A82"/>
    <w:rsid w:val="5A876EE7"/>
    <w:rsid w:val="5A8E633F"/>
    <w:rsid w:val="5A975B2D"/>
    <w:rsid w:val="5AA13369"/>
    <w:rsid w:val="5AA44386"/>
    <w:rsid w:val="5AA94A6E"/>
    <w:rsid w:val="5AB05047"/>
    <w:rsid w:val="5AB10D5E"/>
    <w:rsid w:val="5ABA15AB"/>
    <w:rsid w:val="5AE26D53"/>
    <w:rsid w:val="5AE34FA5"/>
    <w:rsid w:val="5AE723C6"/>
    <w:rsid w:val="5AEA041D"/>
    <w:rsid w:val="5AED3131"/>
    <w:rsid w:val="5AF01470"/>
    <w:rsid w:val="5B116199"/>
    <w:rsid w:val="5B176FD5"/>
    <w:rsid w:val="5B1834F7"/>
    <w:rsid w:val="5B264E92"/>
    <w:rsid w:val="5B2F7039"/>
    <w:rsid w:val="5B3F76D1"/>
    <w:rsid w:val="5B500161"/>
    <w:rsid w:val="5B505E97"/>
    <w:rsid w:val="5B985858"/>
    <w:rsid w:val="5BD743DE"/>
    <w:rsid w:val="5BE10428"/>
    <w:rsid w:val="5BF07EDE"/>
    <w:rsid w:val="5BF24C58"/>
    <w:rsid w:val="5BF60D08"/>
    <w:rsid w:val="5C0C052C"/>
    <w:rsid w:val="5C237623"/>
    <w:rsid w:val="5C2631A6"/>
    <w:rsid w:val="5C2740AC"/>
    <w:rsid w:val="5C276FB7"/>
    <w:rsid w:val="5C4D4754"/>
    <w:rsid w:val="5C4E644E"/>
    <w:rsid w:val="5C5C78A5"/>
    <w:rsid w:val="5C614DF7"/>
    <w:rsid w:val="5C6F429B"/>
    <w:rsid w:val="5C700ABB"/>
    <w:rsid w:val="5C7D6D34"/>
    <w:rsid w:val="5C966047"/>
    <w:rsid w:val="5C9C6B0B"/>
    <w:rsid w:val="5C9D3DA7"/>
    <w:rsid w:val="5CA249EC"/>
    <w:rsid w:val="5CA644DC"/>
    <w:rsid w:val="5CA7449A"/>
    <w:rsid w:val="5CB31B05"/>
    <w:rsid w:val="5CB9526D"/>
    <w:rsid w:val="5CBD35D4"/>
    <w:rsid w:val="5CC44962"/>
    <w:rsid w:val="5CC81D5B"/>
    <w:rsid w:val="5CCE6402"/>
    <w:rsid w:val="5CCE7ECF"/>
    <w:rsid w:val="5CDC6150"/>
    <w:rsid w:val="5CEC486A"/>
    <w:rsid w:val="5D071D68"/>
    <w:rsid w:val="5D131446"/>
    <w:rsid w:val="5D17158A"/>
    <w:rsid w:val="5D192F00"/>
    <w:rsid w:val="5D1A517B"/>
    <w:rsid w:val="5D1D4002"/>
    <w:rsid w:val="5D4476A0"/>
    <w:rsid w:val="5D605600"/>
    <w:rsid w:val="5D635829"/>
    <w:rsid w:val="5D6D3B91"/>
    <w:rsid w:val="5D801B4F"/>
    <w:rsid w:val="5DA9371D"/>
    <w:rsid w:val="5DB03139"/>
    <w:rsid w:val="5DB94316"/>
    <w:rsid w:val="5DBB5D65"/>
    <w:rsid w:val="5DBC1009"/>
    <w:rsid w:val="5DD230AF"/>
    <w:rsid w:val="5DE13D96"/>
    <w:rsid w:val="5DE80B25"/>
    <w:rsid w:val="5DEA6951"/>
    <w:rsid w:val="5DFC408A"/>
    <w:rsid w:val="5E162F9C"/>
    <w:rsid w:val="5E316028"/>
    <w:rsid w:val="5E343D6A"/>
    <w:rsid w:val="5E436EA1"/>
    <w:rsid w:val="5E473A9D"/>
    <w:rsid w:val="5E5426EE"/>
    <w:rsid w:val="5E6737F7"/>
    <w:rsid w:val="5E6B6806"/>
    <w:rsid w:val="5E6E5F24"/>
    <w:rsid w:val="5E9C4600"/>
    <w:rsid w:val="5EA06D09"/>
    <w:rsid w:val="5EAA5DDA"/>
    <w:rsid w:val="5EAB4A36"/>
    <w:rsid w:val="5EAC3900"/>
    <w:rsid w:val="5EAF0CFE"/>
    <w:rsid w:val="5EB21B8E"/>
    <w:rsid w:val="5EB729BA"/>
    <w:rsid w:val="5EEC0726"/>
    <w:rsid w:val="5EF07C91"/>
    <w:rsid w:val="5EFB2E92"/>
    <w:rsid w:val="5F105C3D"/>
    <w:rsid w:val="5F132FF0"/>
    <w:rsid w:val="5F1A6ABC"/>
    <w:rsid w:val="5F1E0A25"/>
    <w:rsid w:val="5F272D1C"/>
    <w:rsid w:val="5F2A371A"/>
    <w:rsid w:val="5F335DCF"/>
    <w:rsid w:val="5F337B7D"/>
    <w:rsid w:val="5F544336"/>
    <w:rsid w:val="5F5572F2"/>
    <w:rsid w:val="5F6103B4"/>
    <w:rsid w:val="5F6661A5"/>
    <w:rsid w:val="5F6CADD2"/>
    <w:rsid w:val="5F710660"/>
    <w:rsid w:val="5F820FCF"/>
    <w:rsid w:val="5FBD0C74"/>
    <w:rsid w:val="5FCA3AC6"/>
    <w:rsid w:val="5FD01870"/>
    <w:rsid w:val="5FE77D07"/>
    <w:rsid w:val="5FEFCB6A"/>
    <w:rsid w:val="5FF90DC7"/>
    <w:rsid w:val="60043CF7"/>
    <w:rsid w:val="60152F95"/>
    <w:rsid w:val="60204437"/>
    <w:rsid w:val="60211516"/>
    <w:rsid w:val="602D143E"/>
    <w:rsid w:val="60301004"/>
    <w:rsid w:val="60382473"/>
    <w:rsid w:val="603B26DF"/>
    <w:rsid w:val="603E67DA"/>
    <w:rsid w:val="604403A8"/>
    <w:rsid w:val="605E3790"/>
    <w:rsid w:val="606E0145"/>
    <w:rsid w:val="606F1089"/>
    <w:rsid w:val="607C3983"/>
    <w:rsid w:val="607E751E"/>
    <w:rsid w:val="60820DBC"/>
    <w:rsid w:val="60873180"/>
    <w:rsid w:val="60961758"/>
    <w:rsid w:val="609B1E7E"/>
    <w:rsid w:val="60CA5C5B"/>
    <w:rsid w:val="60E45417"/>
    <w:rsid w:val="60F87F99"/>
    <w:rsid w:val="61161505"/>
    <w:rsid w:val="613227E3"/>
    <w:rsid w:val="61333E65"/>
    <w:rsid w:val="613876CD"/>
    <w:rsid w:val="613E7BD6"/>
    <w:rsid w:val="614C5210"/>
    <w:rsid w:val="616404C2"/>
    <w:rsid w:val="616A6E87"/>
    <w:rsid w:val="618F2C11"/>
    <w:rsid w:val="61936344"/>
    <w:rsid w:val="619E1C26"/>
    <w:rsid w:val="61C97E28"/>
    <w:rsid w:val="61D3163F"/>
    <w:rsid w:val="61D94A0C"/>
    <w:rsid w:val="61E45BE1"/>
    <w:rsid w:val="61EF2482"/>
    <w:rsid w:val="61F25ACE"/>
    <w:rsid w:val="61FC06FB"/>
    <w:rsid w:val="6201191B"/>
    <w:rsid w:val="62052C58"/>
    <w:rsid w:val="620E7C5F"/>
    <w:rsid w:val="62136500"/>
    <w:rsid w:val="62143C96"/>
    <w:rsid w:val="62161BC7"/>
    <w:rsid w:val="623B56C7"/>
    <w:rsid w:val="62403290"/>
    <w:rsid w:val="624F2F20"/>
    <w:rsid w:val="627209BD"/>
    <w:rsid w:val="627A1670"/>
    <w:rsid w:val="62944DD7"/>
    <w:rsid w:val="62966DA1"/>
    <w:rsid w:val="62991FE0"/>
    <w:rsid w:val="62AF39BF"/>
    <w:rsid w:val="62BD4C1D"/>
    <w:rsid w:val="62C162DF"/>
    <w:rsid w:val="62C31218"/>
    <w:rsid w:val="62C52604"/>
    <w:rsid w:val="62C54F90"/>
    <w:rsid w:val="62F56060"/>
    <w:rsid w:val="630E2E70"/>
    <w:rsid w:val="633F11E7"/>
    <w:rsid w:val="6341070D"/>
    <w:rsid w:val="63493E13"/>
    <w:rsid w:val="634C56B2"/>
    <w:rsid w:val="635D78BF"/>
    <w:rsid w:val="63770981"/>
    <w:rsid w:val="637901FC"/>
    <w:rsid w:val="638304BF"/>
    <w:rsid w:val="63882ED5"/>
    <w:rsid w:val="638C3E3F"/>
    <w:rsid w:val="63A075C4"/>
    <w:rsid w:val="63A53E53"/>
    <w:rsid w:val="63A92582"/>
    <w:rsid w:val="63BB361B"/>
    <w:rsid w:val="63C27722"/>
    <w:rsid w:val="63C52A41"/>
    <w:rsid w:val="63CA33E7"/>
    <w:rsid w:val="63D20A4A"/>
    <w:rsid w:val="63DD455C"/>
    <w:rsid w:val="63E40472"/>
    <w:rsid w:val="63EE0517"/>
    <w:rsid w:val="642C2FFF"/>
    <w:rsid w:val="64427DEE"/>
    <w:rsid w:val="644B139F"/>
    <w:rsid w:val="644E24FB"/>
    <w:rsid w:val="644F5459"/>
    <w:rsid w:val="64653612"/>
    <w:rsid w:val="64760C38"/>
    <w:rsid w:val="64793B97"/>
    <w:rsid w:val="649176F3"/>
    <w:rsid w:val="64C64FF0"/>
    <w:rsid w:val="64E421D7"/>
    <w:rsid w:val="64E536C8"/>
    <w:rsid w:val="64EF27FA"/>
    <w:rsid w:val="64FF0793"/>
    <w:rsid w:val="65000502"/>
    <w:rsid w:val="651A6FFA"/>
    <w:rsid w:val="653603C7"/>
    <w:rsid w:val="654900FB"/>
    <w:rsid w:val="65662D40"/>
    <w:rsid w:val="657611B4"/>
    <w:rsid w:val="658E3D60"/>
    <w:rsid w:val="65905D2A"/>
    <w:rsid w:val="65975ABE"/>
    <w:rsid w:val="65980C88"/>
    <w:rsid w:val="659A31F0"/>
    <w:rsid w:val="65E358B9"/>
    <w:rsid w:val="65FC3B45"/>
    <w:rsid w:val="65FE0EE5"/>
    <w:rsid w:val="66094559"/>
    <w:rsid w:val="660B1854"/>
    <w:rsid w:val="662B1179"/>
    <w:rsid w:val="66486604"/>
    <w:rsid w:val="66490BF1"/>
    <w:rsid w:val="664D59C9"/>
    <w:rsid w:val="665065E3"/>
    <w:rsid w:val="66542793"/>
    <w:rsid w:val="6677416F"/>
    <w:rsid w:val="667E2026"/>
    <w:rsid w:val="66903B07"/>
    <w:rsid w:val="66A5036A"/>
    <w:rsid w:val="66AD6C48"/>
    <w:rsid w:val="66CB066F"/>
    <w:rsid w:val="66D41C46"/>
    <w:rsid w:val="66D45B3F"/>
    <w:rsid w:val="66EA3BE6"/>
    <w:rsid w:val="66FE6CC3"/>
    <w:rsid w:val="671E3D39"/>
    <w:rsid w:val="6721001D"/>
    <w:rsid w:val="67334BBF"/>
    <w:rsid w:val="6739419F"/>
    <w:rsid w:val="674768BC"/>
    <w:rsid w:val="67584625"/>
    <w:rsid w:val="67591E9E"/>
    <w:rsid w:val="67696832"/>
    <w:rsid w:val="678629DB"/>
    <w:rsid w:val="679259FF"/>
    <w:rsid w:val="679744DF"/>
    <w:rsid w:val="67980EC5"/>
    <w:rsid w:val="679F2254"/>
    <w:rsid w:val="67A413F1"/>
    <w:rsid w:val="67A45ABC"/>
    <w:rsid w:val="67B51A77"/>
    <w:rsid w:val="67C47140"/>
    <w:rsid w:val="67CF572D"/>
    <w:rsid w:val="67E4410B"/>
    <w:rsid w:val="67FA392E"/>
    <w:rsid w:val="68014955"/>
    <w:rsid w:val="68117613"/>
    <w:rsid w:val="68282344"/>
    <w:rsid w:val="682E5386"/>
    <w:rsid w:val="68354427"/>
    <w:rsid w:val="6839704A"/>
    <w:rsid w:val="684352D5"/>
    <w:rsid w:val="686F41A0"/>
    <w:rsid w:val="6873723D"/>
    <w:rsid w:val="687C5E53"/>
    <w:rsid w:val="687E455F"/>
    <w:rsid w:val="68831B76"/>
    <w:rsid w:val="689C6793"/>
    <w:rsid w:val="68B25AF9"/>
    <w:rsid w:val="68B7625C"/>
    <w:rsid w:val="68CA77A4"/>
    <w:rsid w:val="68D12617"/>
    <w:rsid w:val="68DE6DAC"/>
    <w:rsid w:val="68E7003B"/>
    <w:rsid w:val="68F14D31"/>
    <w:rsid w:val="68F16ADF"/>
    <w:rsid w:val="68F55EA4"/>
    <w:rsid w:val="68FA02C2"/>
    <w:rsid w:val="68FB170C"/>
    <w:rsid w:val="68FB795E"/>
    <w:rsid w:val="68FC7232"/>
    <w:rsid w:val="68FE744E"/>
    <w:rsid w:val="69001CCB"/>
    <w:rsid w:val="69064ECD"/>
    <w:rsid w:val="69117181"/>
    <w:rsid w:val="69180510"/>
    <w:rsid w:val="691B590A"/>
    <w:rsid w:val="692D4B35"/>
    <w:rsid w:val="69344C1E"/>
    <w:rsid w:val="6944742F"/>
    <w:rsid w:val="694F07A9"/>
    <w:rsid w:val="69613711"/>
    <w:rsid w:val="696C6E31"/>
    <w:rsid w:val="69746CC5"/>
    <w:rsid w:val="699A38B2"/>
    <w:rsid w:val="69B018C1"/>
    <w:rsid w:val="69C2047C"/>
    <w:rsid w:val="69DA3A17"/>
    <w:rsid w:val="69F85C4B"/>
    <w:rsid w:val="69FF1A78"/>
    <w:rsid w:val="6A010FA4"/>
    <w:rsid w:val="6A22006E"/>
    <w:rsid w:val="6A2A7525"/>
    <w:rsid w:val="6A436FC0"/>
    <w:rsid w:val="6A446A13"/>
    <w:rsid w:val="6A4E6E83"/>
    <w:rsid w:val="6A5F4F63"/>
    <w:rsid w:val="6A5F748C"/>
    <w:rsid w:val="6A745963"/>
    <w:rsid w:val="6A7C062B"/>
    <w:rsid w:val="6A841D70"/>
    <w:rsid w:val="6A850FAD"/>
    <w:rsid w:val="6A933BC6"/>
    <w:rsid w:val="6ADC37BF"/>
    <w:rsid w:val="6AE85CC0"/>
    <w:rsid w:val="6AF61265"/>
    <w:rsid w:val="6B083125"/>
    <w:rsid w:val="6B0A032C"/>
    <w:rsid w:val="6B0A3E88"/>
    <w:rsid w:val="6B0B007F"/>
    <w:rsid w:val="6B122D3D"/>
    <w:rsid w:val="6B1271E1"/>
    <w:rsid w:val="6B297183"/>
    <w:rsid w:val="6B8A321B"/>
    <w:rsid w:val="6BA53BB1"/>
    <w:rsid w:val="6BA66FDA"/>
    <w:rsid w:val="6BB549C4"/>
    <w:rsid w:val="6BB6110A"/>
    <w:rsid w:val="6BBA12EE"/>
    <w:rsid w:val="6BC57F00"/>
    <w:rsid w:val="6BC97EFC"/>
    <w:rsid w:val="6BCA6420"/>
    <w:rsid w:val="6BE26BB3"/>
    <w:rsid w:val="6BE741CA"/>
    <w:rsid w:val="6BEC4DD2"/>
    <w:rsid w:val="6C0C1E82"/>
    <w:rsid w:val="6C134FBF"/>
    <w:rsid w:val="6C1C3133"/>
    <w:rsid w:val="6C330ED2"/>
    <w:rsid w:val="6C3527D4"/>
    <w:rsid w:val="6C5B0466"/>
    <w:rsid w:val="6C643B3D"/>
    <w:rsid w:val="6C674CA3"/>
    <w:rsid w:val="6C7C7008"/>
    <w:rsid w:val="6C845EBC"/>
    <w:rsid w:val="6C847C6A"/>
    <w:rsid w:val="6C855934"/>
    <w:rsid w:val="6CA9147F"/>
    <w:rsid w:val="6CB85337"/>
    <w:rsid w:val="6CC369E5"/>
    <w:rsid w:val="6CC47E5A"/>
    <w:rsid w:val="6CD26C28"/>
    <w:rsid w:val="6CD96208"/>
    <w:rsid w:val="6CDE737B"/>
    <w:rsid w:val="6CED272F"/>
    <w:rsid w:val="6CF13C81"/>
    <w:rsid w:val="6CFE7A1D"/>
    <w:rsid w:val="6D055865"/>
    <w:rsid w:val="6D082649"/>
    <w:rsid w:val="6D152C7A"/>
    <w:rsid w:val="6D196605"/>
    <w:rsid w:val="6D1D512E"/>
    <w:rsid w:val="6D2154B9"/>
    <w:rsid w:val="6D3276C6"/>
    <w:rsid w:val="6D3708FB"/>
    <w:rsid w:val="6D3E250F"/>
    <w:rsid w:val="6D401DE3"/>
    <w:rsid w:val="6D5835D1"/>
    <w:rsid w:val="6D5C5AB8"/>
    <w:rsid w:val="6D632B13"/>
    <w:rsid w:val="6D8A305E"/>
    <w:rsid w:val="6D8C6AB1"/>
    <w:rsid w:val="6D8D2B4F"/>
    <w:rsid w:val="6D9050BE"/>
    <w:rsid w:val="6D964261"/>
    <w:rsid w:val="6DAF3EA4"/>
    <w:rsid w:val="6DB36A59"/>
    <w:rsid w:val="6DB41A6A"/>
    <w:rsid w:val="6DC63DA8"/>
    <w:rsid w:val="6DD75C35"/>
    <w:rsid w:val="6DEA7FA1"/>
    <w:rsid w:val="6E0E0133"/>
    <w:rsid w:val="6E11327E"/>
    <w:rsid w:val="6E386F5E"/>
    <w:rsid w:val="6E4A456A"/>
    <w:rsid w:val="6E4E0530"/>
    <w:rsid w:val="6E5518BE"/>
    <w:rsid w:val="6E777A87"/>
    <w:rsid w:val="6E8333A7"/>
    <w:rsid w:val="6E9835C9"/>
    <w:rsid w:val="6E9A4D7A"/>
    <w:rsid w:val="6E9B56B7"/>
    <w:rsid w:val="6E9D0F19"/>
    <w:rsid w:val="6EA13F6B"/>
    <w:rsid w:val="6EB81E4D"/>
    <w:rsid w:val="6ED94E10"/>
    <w:rsid w:val="6EE71039"/>
    <w:rsid w:val="6EEA46FD"/>
    <w:rsid w:val="6EEC4A39"/>
    <w:rsid w:val="6F101C89"/>
    <w:rsid w:val="6F152D9A"/>
    <w:rsid w:val="6F3C2A7E"/>
    <w:rsid w:val="6F5B1846"/>
    <w:rsid w:val="6F600666"/>
    <w:rsid w:val="6F6766E2"/>
    <w:rsid w:val="6F692830"/>
    <w:rsid w:val="6F7F3C85"/>
    <w:rsid w:val="6F852BA1"/>
    <w:rsid w:val="6F87083E"/>
    <w:rsid w:val="6FA526CF"/>
    <w:rsid w:val="6FA64098"/>
    <w:rsid w:val="6FB865A9"/>
    <w:rsid w:val="6FD107B4"/>
    <w:rsid w:val="6FE4739E"/>
    <w:rsid w:val="6FEF5D43"/>
    <w:rsid w:val="6FF3138F"/>
    <w:rsid w:val="6FFA135B"/>
    <w:rsid w:val="6FFF7C0E"/>
    <w:rsid w:val="700D06A2"/>
    <w:rsid w:val="70311EB7"/>
    <w:rsid w:val="70357BF9"/>
    <w:rsid w:val="70384FF4"/>
    <w:rsid w:val="7049709F"/>
    <w:rsid w:val="704C4F43"/>
    <w:rsid w:val="70607750"/>
    <w:rsid w:val="706B361B"/>
    <w:rsid w:val="7073599E"/>
    <w:rsid w:val="70736AC3"/>
    <w:rsid w:val="707515C1"/>
    <w:rsid w:val="707FDCA3"/>
    <w:rsid w:val="70865C9C"/>
    <w:rsid w:val="708A4D58"/>
    <w:rsid w:val="708F6BDE"/>
    <w:rsid w:val="70A37239"/>
    <w:rsid w:val="70A42689"/>
    <w:rsid w:val="70AE6A31"/>
    <w:rsid w:val="70B52AE8"/>
    <w:rsid w:val="70C5742E"/>
    <w:rsid w:val="70CB04E6"/>
    <w:rsid w:val="70D27294"/>
    <w:rsid w:val="71286E22"/>
    <w:rsid w:val="71431EA2"/>
    <w:rsid w:val="7143236C"/>
    <w:rsid w:val="71434477"/>
    <w:rsid w:val="71544FA7"/>
    <w:rsid w:val="716F0EE9"/>
    <w:rsid w:val="717D5BC9"/>
    <w:rsid w:val="718F06FD"/>
    <w:rsid w:val="71A566B9"/>
    <w:rsid w:val="71B2527A"/>
    <w:rsid w:val="71CA25C3"/>
    <w:rsid w:val="71D376CA"/>
    <w:rsid w:val="71DB20DB"/>
    <w:rsid w:val="71DB657E"/>
    <w:rsid w:val="71DC5974"/>
    <w:rsid w:val="71F15DA2"/>
    <w:rsid w:val="72231699"/>
    <w:rsid w:val="722568D7"/>
    <w:rsid w:val="72273572"/>
    <w:rsid w:val="722C6DDA"/>
    <w:rsid w:val="722F7D75"/>
    <w:rsid w:val="723D0FE7"/>
    <w:rsid w:val="72552B3F"/>
    <w:rsid w:val="72583E79"/>
    <w:rsid w:val="725A654C"/>
    <w:rsid w:val="725B4947"/>
    <w:rsid w:val="72602357"/>
    <w:rsid w:val="727F7783"/>
    <w:rsid w:val="72872262"/>
    <w:rsid w:val="728A3B01"/>
    <w:rsid w:val="72C45265"/>
    <w:rsid w:val="72D134DE"/>
    <w:rsid w:val="72D60AF4"/>
    <w:rsid w:val="72DD425C"/>
    <w:rsid w:val="72EB459F"/>
    <w:rsid w:val="72F85FEB"/>
    <w:rsid w:val="73013DC3"/>
    <w:rsid w:val="73153BB6"/>
    <w:rsid w:val="731C29AB"/>
    <w:rsid w:val="731E31D8"/>
    <w:rsid w:val="73243F55"/>
    <w:rsid w:val="73305DFD"/>
    <w:rsid w:val="734D5117"/>
    <w:rsid w:val="734F61F6"/>
    <w:rsid w:val="735E0EFB"/>
    <w:rsid w:val="735F61C1"/>
    <w:rsid w:val="7365121C"/>
    <w:rsid w:val="736B508C"/>
    <w:rsid w:val="737547B1"/>
    <w:rsid w:val="737650A4"/>
    <w:rsid w:val="738531BD"/>
    <w:rsid w:val="738A2DD7"/>
    <w:rsid w:val="73905147"/>
    <w:rsid w:val="73915B78"/>
    <w:rsid w:val="73941CCC"/>
    <w:rsid w:val="739447BA"/>
    <w:rsid w:val="73993FFB"/>
    <w:rsid w:val="73AA26AC"/>
    <w:rsid w:val="73AC4C26"/>
    <w:rsid w:val="73AE12EC"/>
    <w:rsid w:val="73AF3118"/>
    <w:rsid w:val="73B272DC"/>
    <w:rsid w:val="73B452D9"/>
    <w:rsid w:val="73BBD34C"/>
    <w:rsid w:val="73D46F1E"/>
    <w:rsid w:val="73D830DC"/>
    <w:rsid w:val="73F277FB"/>
    <w:rsid w:val="73F751C6"/>
    <w:rsid w:val="74035F8D"/>
    <w:rsid w:val="7416389E"/>
    <w:rsid w:val="74222C41"/>
    <w:rsid w:val="743467DF"/>
    <w:rsid w:val="74394BA4"/>
    <w:rsid w:val="743B1556"/>
    <w:rsid w:val="744213FF"/>
    <w:rsid w:val="744A1799"/>
    <w:rsid w:val="74714F78"/>
    <w:rsid w:val="74722479"/>
    <w:rsid w:val="74884070"/>
    <w:rsid w:val="7491607B"/>
    <w:rsid w:val="74962DDE"/>
    <w:rsid w:val="74B15F95"/>
    <w:rsid w:val="74B457E6"/>
    <w:rsid w:val="74DB6895"/>
    <w:rsid w:val="74DEE34C"/>
    <w:rsid w:val="74E0413E"/>
    <w:rsid w:val="74E670BC"/>
    <w:rsid w:val="74F31E31"/>
    <w:rsid w:val="74FE3011"/>
    <w:rsid w:val="74FE7FE0"/>
    <w:rsid w:val="751029E3"/>
    <w:rsid w:val="75322959"/>
    <w:rsid w:val="754B3A1B"/>
    <w:rsid w:val="755201BF"/>
    <w:rsid w:val="75521133"/>
    <w:rsid w:val="75532CC9"/>
    <w:rsid w:val="75640639"/>
    <w:rsid w:val="75672928"/>
    <w:rsid w:val="757F36C5"/>
    <w:rsid w:val="75A44F33"/>
    <w:rsid w:val="75AE7D3B"/>
    <w:rsid w:val="75B01F58"/>
    <w:rsid w:val="75B9544D"/>
    <w:rsid w:val="75BF1D13"/>
    <w:rsid w:val="75CB7DAE"/>
    <w:rsid w:val="75CE4A51"/>
    <w:rsid w:val="75D27C98"/>
    <w:rsid w:val="75DF5F11"/>
    <w:rsid w:val="75E901FC"/>
    <w:rsid w:val="75FD7964"/>
    <w:rsid w:val="75FF7042"/>
    <w:rsid w:val="7603295D"/>
    <w:rsid w:val="7607070F"/>
    <w:rsid w:val="760905A3"/>
    <w:rsid w:val="760925E8"/>
    <w:rsid w:val="76164217"/>
    <w:rsid w:val="76191423"/>
    <w:rsid w:val="76272F4D"/>
    <w:rsid w:val="763C3364"/>
    <w:rsid w:val="76407334"/>
    <w:rsid w:val="76487F5B"/>
    <w:rsid w:val="764B6161"/>
    <w:rsid w:val="768F354A"/>
    <w:rsid w:val="76934ECB"/>
    <w:rsid w:val="7696746C"/>
    <w:rsid w:val="76A814B1"/>
    <w:rsid w:val="76B85B6F"/>
    <w:rsid w:val="76BD3B8F"/>
    <w:rsid w:val="76D57A40"/>
    <w:rsid w:val="76EF79DF"/>
    <w:rsid w:val="76F0340D"/>
    <w:rsid w:val="76F52E1A"/>
    <w:rsid w:val="76F58E6F"/>
    <w:rsid w:val="76FD6F97"/>
    <w:rsid w:val="770164D0"/>
    <w:rsid w:val="77076AA4"/>
    <w:rsid w:val="770C0F88"/>
    <w:rsid w:val="77107490"/>
    <w:rsid w:val="771A4CBB"/>
    <w:rsid w:val="772269FE"/>
    <w:rsid w:val="77424D1F"/>
    <w:rsid w:val="7754671E"/>
    <w:rsid w:val="77597EB6"/>
    <w:rsid w:val="777233CA"/>
    <w:rsid w:val="77807586"/>
    <w:rsid w:val="77851A69"/>
    <w:rsid w:val="779C230C"/>
    <w:rsid w:val="77BC650A"/>
    <w:rsid w:val="77BD7388"/>
    <w:rsid w:val="77C11D73"/>
    <w:rsid w:val="77C61FA0"/>
    <w:rsid w:val="77CB0E43"/>
    <w:rsid w:val="77CD4BBB"/>
    <w:rsid w:val="77D17A45"/>
    <w:rsid w:val="77D744B6"/>
    <w:rsid w:val="77DA638B"/>
    <w:rsid w:val="77ED294E"/>
    <w:rsid w:val="77F543A4"/>
    <w:rsid w:val="77FE2FC7"/>
    <w:rsid w:val="7800397B"/>
    <w:rsid w:val="78055809"/>
    <w:rsid w:val="78125870"/>
    <w:rsid w:val="78267E28"/>
    <w:rsid w:val="78303C92"/>
    <w:rsid w:val="78336E8F"/>
    <w:rsid w:val="7836450F"/>
    <w:rsid w:val="783F195D"/>
    <w:rsid w:val="78454752"/>
    <w:rsid w:val="78485FF0"/>
    <w:rsid w:val="785A48DB"/>
    <w:rsid w:val="78623556"/>
    <w:rsid w:val="786728C9"/>
    <w:rsid w:val="786C7F30"/>
    <w:rsid w:val="78811502"/>
    <w:rsid w:val="788162CE"/>
    <w:rsid w:val="78827687"/>
    <w:rsid w:val="78833532"/>
    <w:rsid w:val="78867F50"/>
    <w:rsid w:val="78905C76"/>
    <w:rsid w:val="789574EF"/>
    <w:rsid w:val="78A7540C"/>
    <w:rsid w:val="78C22246"/>
    <w:rsid w:val="78E82ECC"/>
    <w:rsid w:val="78EB7C2E"/>
    <w:rsid w:val="78F74CE4"/>
    <w:rsid w:val="79061938"/>
    <w:rsid w:val="790F6B0E"/>
    <w:rsid w:val="79135078"/>
    <w:rsid w:val="79157058"/>
    <w:rsid w:val="7917664A"/>
    <w:rsid w:val="791B1604"/>
    <w:rsid w:val="79277E07"/>
    <w:rsid w:val="792D0CF6"/>
    <w:rsid w:val="793D4922"/>
    <w:rsid w:val="795471DE"/>
    <w:rsid w:val="795D5ACB"/>
    <w:rsid w:val="796B15F6"/>
    <w:rsid w:val="797362B4"/>
    <w:rsid w:val="797572B9"/>
    <w:rsid w:val="797D43BF"/>
    <w:rsid w:val="798153CC"/>
    <w:rsid w:val="79960FDD"/>
    <w:rsid w:val="799D3B64"/>
    <w:rsid w:val="79A26A4A"/>
    <w:rsid w:val="79A82AF9"/>
    <w:rsid w:val="79A90D10"/>
    <w:rsid w:val="79B0209F"/>
    <w:rsid w:val="79BF480D"/>
    <w:rsid w:val="79C67B14"/>
    <w:rsid w:val="79CE4C1B"/>
    <w:rsid w:val="79CF5E40"/>
    <w:rsid w:val="79D32B34"/>
    <w:rsid w:val="79E66321"/>
    <w:rsid w:val="7A0643B5"/>
    <w:rsid w:val="7A293F92"/>
    <w:rsid w:val="7A2F1E3C"/>
    <w:rsid w:val="7A2F7FBA"/>
    <w:rsid w:val="7A344A7E"/>
    <w:rsid w:val="7A4455AE"/>
    <w:rsid w:val="7A4D6A17"/>
    <w:rsid w:val="7A5F5873"/>
    <w:rsid w:val="7A613399"/>
    <w:rsid w:val="7A886B78"/>
    <w:rsid w:val="7A8C079F"/>
    <w:rsid w:val="7A9A7EC7"/>
    <w:rsid w:val="7AD048D5"/>
    <w:rsid w:val="7AF97A75"/>
    <w:rsid w:val="7B2C1BF9"/>
    <w:rsid w:val="7B315461"/>
    <w:rsid w:val="7B3B25D2"/>
    <w:rsid w:val="7B452056"/>
    <w:rsid w:val="7B4D23D0"/>
    <w:rsid w:val="7B5178B1"/>
    <w:rsid w:val="7B606A67"/>
    <w:rsid w:val="7B62561B"/>
    <w:rsid w:val="7B6A2721"/>
    <w:rsid w:val="7B707D38"/>
    <w:rsid w:val="7B7E4AEF"/>
    <w:rsid w:val="7B7F7F7B"/>
    <w:rsid w:val="7B9854E0"/>
    <w:rsid w:val="7B9D74A9"/>
    <w:rsid w:val="7BA615A2"/>
    <w:rsid w:val="7BAD2EC7"/>
    <w:rsid w:val="7BB8348D"/>
    <w:rsid w:val="7BBD1C97"/>
    <w:rsid w:val="7BBF715B"/>
    <w:rsid w:val="7BC23097"/>
    <w:rsid w:val="7BDE554C"/>
    <w:rsid w:val="7BDF6C6B"/>
    <w:rsid w:val="7BE14DA1"/>
    <w:rsid w:val="7BF54622"/>
    <w:rsid w:val="7BF546E1"/>
    <w:rsid w:val="7BF71835"/>
    <w:rsid w:val="7BFF585B"/>
    <w:rsid w:val="7C031C34"/>
    <w:rsid w:val="7C1459E2"/>
    <w:rsid w:val="7C1F175E"/>
    <w:rsid w:val="7C4756E9"/>
    <w:rsid w:val="7C5D696C"/>
    <w:rsid w:val="7C6F6241"/>
    <w:rsid w:val="7C7B014B"/>
    <w:rsid w:val="7C8616B1"/>
    <w:rsid w:val="7C883B40"/>
    <w:rsid w:val="7C8856BF"/>
    <w:rsid w:val="7C8A5143"/>
    <w:rsid w:val="7C907F65"/>
    <w:rsid w:val="7CA0464C"/>
    <w:rsid w:val="7CA52CCA"/>
    <w:rsid w:val="7CAE2D60"/>
    <w:rsid w:val="7CBA4FE2"/>
    <w:rsid w:val="7CBB1486"/>
    <w:rsid w:val="7CCD2F68"/>
    <w:rsid w:val="7CD267D0"/>
    <w:rsid w:val="7CDFA69B"/>
    <w:rsid w:val="7CF209C2"/>
    <w:rsid w:val="7D07111F"/>
    <w:rsid w:val="7D0D15B6"/>
    <w:rsid w:val="7D171AF4"/>
    <w:rsid w:val="7D23036F"/>
    <w:rsid w:val="7D2A03BA"/>
    <w:rsid w:val="7D337C34"/>
    <w:rsid w:val="7D344D95"/>
    <w:rsid w:val="7D366D5F"/>
    <w:rsid w:val="7D382AD7"/>
    <w:rsid w:val="7D40373A"/>
    <w:rsid w:val="7D4A0A5C"/>
    <w:rsid w:val="7D580E3B"/>
    <w:rsid w:val="7D60202E"/>
    <w:rsid w:val="7D607334"/>
    <w:rsid w:val="7D7E6B8B"/>
    <w:rsid w:val="7D864FB5"/>
    <w:rsid w:val="7D9046C1"/>
    <w:rsid w:val="7DA168CE"/>
    <w:rsid w:val="7DBFAEB0"/>
    <w:rsid w:val="7DC23DC2"/>
    <w:rsid w:val="7DCD02A0"/>
    <w:rsid w:val="7DD563A4"/>
    <w:rsid w:val="7DEB3451"/>
    <w:rsid w:val="7DF12C86"/>
    <w:rsid w:val="7DFD08B0"/>
    <w:rsid w:val="7DFF5852"/>
    <w:rsid w:val="7E144772"/>
    <w:rsid w:val="7E2748F9"/>
    <w:rsid w:val="7E3257BC"/>
    <w:rsid w:val="7E3D5ECB"/>
    <w:rsid w:val="7E4E1E86"/>
    <w:rsid w:val="7E584026"/>
    <w:rsid w:val="7E5F4093"/>
    <w:rsid w:val="7E641BD4"/>
    <w:rsid w:val="7E6B34F5"/>
    <w:rsid w:val="7E7B1E6F"/>
    <w:rsid w:val="7E7B3A3F"/>
    <w:rsid w:val="7E807A39"/>
    <w:rsid w:val="7E8B30DA"/>
    <w:rsid w:val="7E8C2368"/>
    <w:rsid w:val="7E9C6F9B"/>
    <w:rsid w:val="7EAB72D9"/>
    <w:rsid w:val="7EAF501B"/>
    <w:rsid w:val="7EB37063"/>
    <w:rsid w:val="7EBF4B32"/>
    <w:rsid w:val="7EC5039A"/>
    <w:rsid w:val="7EC562F5"/>
    <w:rsid w:val="7EC91358"/>
    <w:rsid w:val="7ED7DDCE"/>
    <w:rsid w:val="7EEB3B79"/>
    <w:rsid w:val="7EED1546"/>
    <w:rsid w:val="7EF70770"/>
    <w:rsid w:val="7F07550C"/>
    <w:rsid w:val="7F0D1D41"/>
    <w:rsid w:val="7F141322"/>
    <w:rsid w:val="7F1453DB"/>
    <w:rsid w:val="7F1475B9"/>
    <w:rsid w:val="7F1629A4"/>
    <w:rsid w:val="7F1E1CCB"/>
    <w:rsid w:val="7F2876AC"/>
    <w:rsid w:val="7F341DFF"/>
    <w:rsid w:val="7F590AE3"/>
    <w:rsid w:val="7F5931D8"/>
    <w:rsid w:val="7F6F7026"/>
    <w:rsid w:val="7F7F184C"/>
    <w:rsid w:val="7F7FE64A"/>
    <w:rsid w:val="7F956761"/>
    <w:rsid w:val="7F9B49B0"/>
    <w:rsid w:val="7FB422C4"/>
    <w:rsid w:val="7FDC3989"/>
    <w:rsid w:val="7FEA09E2"/>
    <w:rsid w:val="7FEC1957"/>
    <w:rsid w:val="7FF37189"/>
    <w:rsid w:val="8DDC2330"/>
    <w:rsid w:val="9FBD6E3A"/>
    <w:rsid w:val="ABB51C1B"/>
    <w:rsid w:val="AFBBF067"/>
    <w:rsid w:val="B5FF2DC1"/>
    <w:rsid w:val="B7D75C42"/>
    <w:rsid w:val="B9F775B7"/>
    <w:rsid w:val="BC936312"/>
    <w:rsid w:val="BDFF1568"/>
    <w:rsid w:val="BDFFED4C"/>
    <w:rsid w:val="BEDF50DF"/>
    <w:rsid w:val="BF7F7A46"/>
    <w:rsid w:val="BFD75EF3"/>
    <w:rsid w:val="BFE662D7"/>
    <w:rsid w:val="BFEA60F3"/>
    <w:rsid w:val="BFF4EE88"/>
    <w:rsid w:val="C6DF4D2C"/>
    <w:rsid w:val="CDDF8D29"/>
    <w:rsid w:val="CF7B6F3E"/>
    <w:rsid w:val="D2B781E6"/>
    <w:rsid w:val="D47FFD19"/>
    <w:rsid w:val="D6C7FF08"/>
    <w:rsid w:val="D8FF9E66"/>
    <w:rsid w:val="DB2EA37C"/>
    <w:rsid w:val="DEFAD7D8"/>
    <w:rsid w:val="DFB72C70"/>
    <w:rsid w:val="DFFA7DB7"/>
    <w:rsid w:val="E4EB1C6E"/>
    <w:rsid w:val="E75F9682"/>
    <w:rsid w:val="E7BBB46B"/>
    <w:rsid w:val="EA0B12A9"/>
    <w:rsid w:val="EBF68805"/>
    <w:rsid w:val="EEE7E7A4"/>
    <w:rsid w:val="EFF60C47"/>
    <w:rsid w:val="F1F511E9"/>
    <w:rsid w:val="F2CDE67B"/>
    <w:rsid w:val="F68F70A5"/>
    <w:rsid w:val="F7BBF211"/>
    <w:rsid w:val="F7DEF1EE"/>
    <w:rsid w:val="F7F38D57"/>
    <w:rsid w:val="F7FF55DE"/>
    <w:rsid w:val="F98567CE"/>
    <w:rsid w:val="F9BEFF0E"/>
    <w:rsid w:val="F9EFC684"/>
    <w:rsid w:val="FADDB4F8"/>
    <w:rsid w:val="FAE9CD5D"/>
    <w:rsid w:val="FB5F9FE3"/>
    <w:rsid w:val="FB692196"/>
    <w:rsid w:val="FBCF5740"/>
    <w:rsid w:val="FD7DC39C"/>
    <w:rsid w:val="FDAD4A42"/>
    <w:rsid w:val="FDEC5532"/>
    <w:rsid w:val="FDFDD994"/>
    <w:rsid w:val="FDFE196F"/>
    <w:rsid w:val="FDFFA531"/>
    <w:rsid w:val="FEBDE989"/>
    <w:rsid w:val="FEBF0BE3"/>
    <w:rsid w:val="FEF5BAD6"/>
    <w:rsid w:val="FF572B2E"/>
    <w:rsid w:val="FF7B3FA7"/>
    <w:rsid w:val="FFDF63B8"/>
    <w:rsid w:val="FFE70018"/>
    <w:rsid w:val="FFFAA7B2"/>
    <w:rsid w:val="FFFDC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annotation text"/>
    <w:basedOn w:val="1"/>
    <w:link w:val="26"/>
    <w:unhideWhenUsed/>
    <w:qFormat/>
    <w:uiPriority w:val="0"/>
    <w:pPr>
      <w:jc w:val="left"/>
    </w:pPr>
    <w:rPr>
      <w:kern w:val="0"/>
      <w:sz w:val="20"/>
    </w:rPr>
  </w:style>
  <w:style w:type="paragraph" w:styleId="7">
    <w:name w:val="Body Text"/>
    <w:basedOn w:val="1"/>
    <w:next w:val="1"/>
    <w:unhideWhenUsed/>
    <w:qFormat/>
    <w:uiPriority w:val="0"/>
    <w:pPr>
      <w:spacing w:after="120"/>
    </w:pPr>
    <w:rPr>
      <w:sz w:val="24"/>
    </w:rPr>
  </w:style>
  <w:style w:type="paragraph" w:styleId="8">
    <w:name w:val="Body Text Indent"/>
    <w:basedOn w:val="1"/>
    <w:unhideWhenUsed/>
    <w:qFormat/>
    <w:uiPriority w:val="99"/>
    <w:pPr>
      <w:spacing w:after="120"/>
      <w:ind w:left="420" w:leftChars="200"/>
    </w:pPr>
    <w:rPr>
      <w:kern w:val="0"/>
      <w:sz w:val="20"/>
      <w:szCs w:val="20"/>
    </w:rPr>
  </w:style>
  <w:style w:type="paragraph" w:styleId="9">
    <w:name w:val="Plain Text"/>
    <w:basedOn w:val="1"/>
    <w:qFormat/>
    <w:uiPriority w:val="0"/>
    <w:rPr>
      <w:rFonts w:ascii="宋体" w:hAnsi="Courier New"/>
    </w:rPr>
  </w:style>
  <w:style w:type="paragraph" w:styleId="10">
    <w:name w:val="Balloon Text"/>
    <w:basedOn w:val="1"/>
    <w:link w:val="27"/>
    <w:qFormat/>
    <w:uiPriority w:val="0"/>
    <w:rPr>
      <w:sz w:val="18"/>
      <w:szCs w:val="18"/>
    </w:rPr>
  </w:style>
  <w:style w:type="paragraph" w:styleId="11">
    <w:name w:val="footer"/>
    <w:basedOn w:val="1"/>
    <w:unhideWhenUsed/>
    <w:qFormat/>
    <w:uiPriority w:val="99"/>
    <w:pPr>
      <w:tabs>
        <w:tab w:val="center" w:pos="4153"/>
        <w:tab w:val="right" w:pos="8306"/>
      </w:tabs>
      <w:snapToGrid w:val="0"/>
      <w:jc w:val="left"/>
    </w:pPr>
    <w:rPr>
      <w:kern w:val="0"/>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toc 2"/>
    <w:basedOn w:val="1"/>
    <w:next w:val="1"/>
    <w:qFormat/>
    <w:uiPriority w:val="0"/>
    <w:pPr>
      <w:spacing w:line="600" w:lineRule="exact"/>
      <w:ind w:firstLine="880" w:firstLineChars="200"/>
    </w:pPr>
    <w:rPr>
      <w:rFonts w:eastAsia="仿宋_GB2312"/>
      <w:sz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Title"/>
    <w:basedOn w:val="1"/>
    <w:next w:val="1"/>
    <w:qFormat/>
    <w:uiPriority w:val="0"/>
    <w:pPr>
      <w:spacing w:before="240" w:after="60"/>
      <w:jc w:val="center"/>
      <w:outlineLvl w:val="0"/>
    </w:pPr>
    <w:rPr>
      <w:rFonts w:ascii="Arial" w:hAnsi="Arial" w:eastAsia="隶书"/>
      <w:b/>
      <w:bCs/>
      <w:sz w:val="32"/>
      <w:szCs w:val="32"/>
    </w:rPr>
  </w:style>
  <w:style w:type="paragraph" w:styleId="17">
    <w:name w:val="annotation subject"/>
    <w:basedOn w:val="6"/>
    <w:next w:val="6"/>
    <w:link w:val="28"/>
    <w:qFormat/>
    <w:uiPriority w:val="0"/>
    <w:rPr>
      <w:b/>
      <w:bCs/>
      <w:kern w:val="2"/>
      <w:sz w:val="21"/>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page number"/>
    <w:qFormat/>
    <w:uiPriority w:val="0"/>
  </w:style>
  <w:style w:type="character" w:styleId="23">
    <w:name w:val="FollowedHyperlink"/>
    <w:qFormat/>
    <w:uiPriority w:val="0"/>
    <w:rPr>
      <w:color w:val="800080"/>
      <w:u w:val="none"/>
    </w:rPr>
  </w:style>
  <w:style w:type="character" w:styleId="24">
    <w:name w:val="Hyperlink"/>
    <w:qFormat/>
    <w:uiPriority w:val="0"/>
    <w:rPr>
      <w:color w:val="0000FF"/>
      <w:u w:val="none"/>
    </w:rPr>
  </w:style>
  <w:style w:type="character" w:styleId="25">
    <w:name w:val="annotation reference"/>
    <w:qFormat/>
    <w:uiPriority w:val="0"/>
    <w:rPr>
      <w:sz w:val="21"/>
      <w:szCs w:val="21"/>
    </w:rPr>
  </w:style>
  <w:style w:type="character" w:customStyle="1" w:styleId="26">
    <w:name w:val="批注文字 字符"/>
    <w:link w:val="6"/>
    <w:qFormat/>
    <w:uiPriority w:val="0"/>
    <w:rPr>
      <w:szCs w:val="24"/>
    </w:rPr>
  </w:style>
  <w:style w:type="character" w:customStyle="1" w:styleId="27">
    <w:name w:val="批注框文本 字符"/>
    <w:link w:val="10"/>
    <w:qFormat/>
    <w:uiPriority w:val="0"/>
    <w:rPr>
      <w:kern w:val="2"/>
      <w:sz w:val="18"/>
      <w:szCs w:val="18"/>
    </w:rPr>
  </w:style>
  <w:style w:type="character" w:customStyle="1" w:styleId="28">
    <w:name w:val="批注主题 字符"/>
    <w:link w:val="17"/>
    <w:qFormat/>
    <w:uiPriority w:val="0"/>
    <w:rPr>
      <w:b/>
      <w:bCs/>
      <w:kern w:val="2"/>
      <w:sz w:val="21"/>
      <w:szCs w:val="24"/>
    </w:rPr>
  </w:style>
  <w:style w:type="paragraph" w:styleId="29">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1">
    <w:name w:val="正文格式"/>
    <w:basedOn w:val="8"/>
    <w:qFormat/>
    <w:uiPriority w:val="99"/>
    <w:pPr>
      <w:spacing w:after="0" w:line="360" w:lineRule="auto"/>
      <w:ind w:left="0" w:leftChars="0" w:firstLine="600"/>
    </w:pPr>
    <w:rPr>
      <w:rFonts w:eastAsia="仿宋_GB2312"/>
      <w:sz w:val="30"/>
      <w:szCs w:val="30"/>
    </w:rPr>
  </w:style>
  <w:style w:type="paragraph" w:customStyle="1" w:styleId="32">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3">
    <w:name w:val="List Paragraph"/>
    <w:basedOn w:val="1"/>
    <w:qFormat/>
    <w:uiPriority w:val="34"/>
    <w:pPr>
      <w:ind w:firstLine="420" w:firstLineChars="200"/>
    </w:pPr>
  </w:style>
  <w:style w:type="paragraph" w:customStyle="1" w:styleId="34">
    <w:name w:val="（）列表模式"/>
    <w:basedOn w:val="1"/>
    <w:qFormat/>
    <w:uiPriority w:val="0"/>
    <w:pPr>
      <w:tabs>
        <w:tab w:val="left" w:pos="960"/>
        <w:tab w:val="left" w:pos="1470"/>
      </w:tabs>
      <w:spacing w:line="360" w:lineRule="auto"/>
      <w:ind w:left="1470" w:hanging="420"/>
    </w:pPr>
    <w:rPr>
      <w:sz w:val="24"/>
      <w:szCs w:val="20"/>
    </w:rPr>
  </w:style>
  <w:style w:type="paragraph" w:customStyle="1" w:styleId="35">
    <w:name w:val="Table Paragraph"/>
    <w:basedOn w:val="1"/>
    <w:qFormat/>
    <w:uiPriority w:val="0"/>
    <w:pPr>
      <w:autoSpaceDE w:val="0"/>
      <w:autoSpaceDN w:val="0"/>
      <w:jc w:val="left"/>
    </w:pPr>
    <w:rPr>
      <w:rFonts w:ascii="宋体" w:hAnsi="宋体" w:cs="宋体"/>
      <w:kern w:val="0"/>
      <w:sz w:val="22"/>
      <w:szCs w:val="22"/>
    </w:rPr>
  </w:style>
  <w:style w:type="paragraph" w:customStyle="1" w:styleId="36">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qowt-font5-gb2312"/>
    <w:qFormat/>
    <w:uiPriority w:val="0"/>
  </w:style>
  <w:style w:type="paragraph" w:customStyle="1" w:styleId="38">
    <w:name w:val="正文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39">
    <w:name w:val="_Style 1"/>
    <w:qFormat/>
    <w:uiPriority w:val="1"/>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4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1">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42">
    <w:name w:val="NormalCharacter"/>
    <w:qFormat/>
    <w:uiPriority w:val="0"/>
    <w:rPr>
      <w:kern w:val="2"/>
      <w:sz w:val="21"/>
      <w:szCs w:val="24"/>
      <w:lang w:val="en-US" w:eastAsia="zh-CN" w:bidi="ar-SA"/>
    </w:rPr>
  </w:style>
  <w:style w:type="paragraph" w:customStyle="1" w:styleId="43">
    <w:name w:val="Table Text"/>
    <w:basedOn w:val="1"/>
    <w:semiHidden/>
    <w:qFormat/>
    <w:uiPriority w:val="0"/>
    <w:rPr>
      <w:rFonts w:ascii="宋体" w:hAnsi="宋体" w:cs="宋体"/>
      <w:sz w:val="20"/>
      <w:szCs w:val="20"/>
    </w:rPr>
  </w:style>
  <w:style w:type="table" w:customStyle="1" w:styleId="44">
    <w:name w:val="Table Normal"/>
    <w:unhideWhenUsed/>
    <w:qFormat/>
    <w:uiPriority w:val="0"/>
    <w:tblPr>
      <w:tblCellMar>
        <w:top w:w="0" w:type="dxa"/>
        <w:left w:w="0" w:type="dxa"/>
        <w:bottom w:w="0" w:type="dxa"/>
        <w:right w:w="0" w:type="dxa"/>
      </w:tblCellMar>
    </w:tblPr>
  </w:style>
  <w:style w:type="paragraph" w:customStyle="1" w:styleId="45">
    <w:name w:val="_Style 44"/>
    <w: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26365</Words>
  <Characters>27580</Characters>
  <Lines>428</Lines>
  <Paragraphs>120</Paragraphs>
  <TotalTime>7</TotalTime>
  <ScaleCrop>false</ScaleCrop>
  <LinksUpToDate>false</LinksUpToDate>
  <CharactersWithSpaces>28055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2023-11-16T20:59:00Z</dcterms:created>
  <dc:creator>姬崽</dc:creator>
  <cp:lastModifiedBy>黎俊</cp:lastModifiedBy>
  <dcterms:modified xsi:type="dcterms:W3CDTF">2026-03-23T01:54:50Z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BD5900DD2CB148189B0921C3E799BE86_13</vt:lpwstr>
  </property>
  <property fmtid="{D5CDD505-2E9C-101B-9397-08002B2CF9AE}" pid="4" name="KSOTemplateDocerSaveRecord">
    <vt:lpwstr>eyJoZGlkIjoiMjg4YTgwZWNlYzllODgyY2ZiMzc5OWI4YzIzOTI0NWYiLCJ1c2VySWQiOiI1NDE3NDk4ODMifQ==</vt:lpwstr>
  </property>
</Properties>
</file>