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hint="eastAsia" w:ascii="宋体" w:hAnsi="宋体" w:cs="宋体"/>
          <w:b/>
          <w:color w:val="000000" w:themeColor="text1"/>
          <w:sz w:val="36"/>
          <w:szCs w:val="36"/>
          <w:lang w:eastAsia="zh-CN"/>
          <w14:textFill>
            <w14:solidFill>
              <w14:schemeClr w14:val="tx1"/>
            </w14:solidFill>
          </w14:textFill>
        </w:rPr>
        <w:t>QH202</w:t>
      </w:r>
      <w:r>
        <w:rPr>
          <w:rFonts w:hint="eastAsia" w:ascii="宋体" w:hAnsi="宋体" w:cs="宋体"/>
          <w:b/>
          <w:color w:val="000000" w:themeColor="text1"/>
          <w:sz w:val="36"/>
          <w:szCs w:val="36"/>
          <w:lang w:val="en-US" w:eastAsia="zh-CN"/>
          <w14:textFill>
            <w14:solidFill>
              <w14:schemeClr w14:val="tx1"/>
            </w14:solidFill>
          </w14:textFill>
        </w:rPr>
        <w:t>6003</w:t>
      </w: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pStyle w:val="28"/>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“前海招商引资行业智库专项”服务</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1</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5"/>
        <w:tabs>
          <w:tab w:val="right" w:leader="dot" w:pos="8306"/>
        </w:tabs>
        <w:spacing w:line="480" w:lineRule="auto"/>
        <w:rPr>
          <w:b/>
          <w:bCs/>
          <w:color w:val="000000" w:themeColor="text1"/>
          <w:sz w:val="24"/>
          <w:szCs w:val="32"/>
          <w14:textFill>
            <w14:solidFill>
              <w14:schemeClr w14:val="tx1"/>
            </w14:solidFill>
          </w14:textFill>
        </w:rPr>
      </w:pPr>
    </w:p>
    <w:p>
      <w:pPr>
        <w:pStyle w:val="15"/>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5"/>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文件编码：0722-26FE6453SZF-1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“前海招商引资行业智库专项”服务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w:t>
      </w:r>
      <w:r>
        <w:rPr>
          <w:rFonts w:hint="eastAsia" w:ascii="宋体" w:hAnsi="宋体" w:cs="宋体"/>
          <w:color w:val="000000" w:themeColor="text1"/>
          <w:sz w:val="24"/>
          <w:u w:val="single"/>
          <w:lang w:val="en-US" w:eastAsia="zh-CN"/>
          <w14:textFill>
            <w14:solidFill>
              <w14:schemeClr w14:val="tx1"/>
            </w14:solidFill>
          </w14:textFill>
        </w:rPr>
        <w:t>6003</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w:t>
            </w:r>
            <w:r>
              <w:rPr>
                <w:rFonts w:hint="eastAsia" w:ascii="宋体" w:hAnsi="宋体" w:cs="宋体"/>
                <w:color w:val="000000" w:themeColor="text1"/>
                <w:sz w:val="24"/>
                <w:lang w:val="en-US" w:eastAsia="zh-CN"/>
                <w14:textFill>
                  <w14:solidFill>
                    <w14:schemeClr w14:val="tx1"/>
                  </w14:solidFill>
                </w14:textFill>
              </w:rPr>
              <w:t>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“前海招商引资行业智库专项”服务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为进一步向“招外、招大、招战、招新”的工作目标方向推进，统筹开展新一年度面向APEC国家、全国重点城市、龙头企业精准招商和主动招商工作，投促中心拟继续采购“前海招商引资行业智库专项”服务，为</w:t>
            </w:r>
            <w:r>
              <w:rPr>
                <w:rFonts w:hint="default" w:ascii="宋体" w:hAnsi="宋体" w:cs="宋体"/>
                <w:color w:val="000000" w:themeColor="text1"/>
                <w:sz w:val="24"/>
                <w:lang w:val="en-US"/>
                <w14:textFill>
                  <w14:solidFill>
                    <w14:schemeClr w14:val="tx1"/>
                  </w14:solidFill>
                </w14:textFill>
              </w:rPr>
              <w:t>本年</w:t>
            </w:r>
            <w:r>
              <w:rPr>
                <w:rFonts w:hint="eastAsia" w:ascii="宋体" w:hAnsi="宋体" w:cs="宋体"/>
                <w:color w:val="000000" w:themeColor="text1"/>
                <w:sz w:val="24"/>
                <w14:textFill>
                  <w14:solidFill>
                    <w14:schemeClr w14:val="tx1"/>
                  </w14:solidFill>
                </w14:textFill>
              </w:rPr>
              <w:t>度招引工作提供支撑。具体详见用户需求书。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default" w:ascii="宋体" w:hAnsi="宋体" w:cs="宋体"/>
                <w:color w:val="000000" w:themeColor="text1"/>
                <w:sz w:val="24"/>
                <w:lang w:val="en-US" w:eastAsia="zh-CN"/>
                <w14:textFill>
                  <w14:solidFill>
                    <w14:schemeClr w14:val="tx1"/>
                  </w14:solidFill>
                </w14:textFill>
              </w:rPr>
              <w:t>75</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000</w:t>
            </w:r>
            <w:r>
              <w:rPr>
                <w:rFonts w:hint="eastAsia" w:ascii="宋体" w:hAnsi="宋体" w:cs="宋体"/>
                <w:color w:val="000000" w:themeColor="text1"/>
                <w:sz w:val="24"/>
                <w:lang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人民币</w:t>
            </w:r>
            <w:r>
              <w:rPr>
                <w:rFonts w:hint="eastAsia" w:ascii="宋体" w:hAnsi="宋体" w:cs="宋体"/>
                <w:color w:val="000000" w:themeColor="text1"/>
                <w:sz w:val="24"/>
                <w:lang w:val="en-US" w:eastAsia="zh-CN"/>
                <w14:textFill>
                  <w14:solidFill>
                    <w14:schemeClr w14:val="tx1"/>
                  </w14:solidFill>
                </w14:textFill>
              </w:rPr>
              <w:t>柒拾伍万元整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shd w:val="clear" w:color="auto" w:fill="auto"/>
            <w:vAlign w:val="center"/>
          </w:tcPr>
          <w:p>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shd w:val="clear" w:color="auto" w:fill="auto"/>
            <w:vAlign w:val="center"/>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12</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ascii="宋体" w:hAnsi="宋体" w:cs="宋体"/>
                <w:sz w:val="24"/>
              </w:rPr>
              <w:t>2313</w:t>
            </w:r>
            <w:r>
              <w:rPr>
                <w:rFonts w:hint="eastAsia" w:ascii="宋体" w:hAnsi="宋体" w:cs="宋体"/>
                <w:color w:val="000000" w:themeColor="text1"/>
                <w:kern w:val="0"/>
                <w:sz w:val="24"/>
                <w:highlight w:val="none"/>
                <w14:textFill>
                  <w14:solidFill>
                    <w14:schemeClr w14:val="tx1"/>
                  </w14:solidFill>
                </w14:textFill>
              </w:rPr>
              <w:t>室</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王女士</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default" w:ascii="宋体" w:hAnsi="宋体" w:cs="宋体"/>
                <w:color w:val="000000" w:themeColor="text1"/>
                <w:kern w:val="0"/>
                <w:sz w:val="24"/>
                <w:highlight w:val="none"/>
                <w:lang w:val="en-US"/>
                <w14:textFill>
                  <w14:solidFill>
                    <w14:schemeClr w14:val="tx1"/>
                  </w14:solidFill>
                </w14:textFill>
              </w:rPr>
              <w:t>0755-</w:t>
            </w:r>
            <w:r>
              <w:rPr>
                <w:rFonts w:hint="default" w:ascii="宋体" w:hAnsi="宋体" w:cs="宋体"/>
                <w:kern w:val="0"/>
                <w:sz w:val="24"/>
                <w:lang w:val="en-US" w:bidi="ar"/>
              </w:rPr>
              <w:t>88105377</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注：如需现场谈判，投标人需在评标半</w:t>
            </w:r>
            <w:r>
              <w:rPr>
                <w:rFonts w:hint="eastAsia" w:ascii="宋体" w:hAnsi="宋体" w:cs="宋体"/>
                <w:color w:val="000000" w:themeColor="text1"/>
                <w:kern w:val="0"/>
                <w:sz w:val="24"/>
                <w14:textFill>
                  <w14:solidFill>
                    <w14:schemeClr w14:val="tx1"/>
                  </w14:solidFill>
                </w14:textFill>
              </w:rPr>
              <w:t>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numPr>
                <w:ilvl w:val="0"/>
                <w:numId w:val="0"/>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费采用包干制，应包括服务成本、法定税费和企业的利润等为完成本项目服务所发生的全部相关费用。由企业根据招标文件所提供的资料自行测算投标报价；由企业根据招标文件所提供的资料自行测算投标报价；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09"/>
            <w:bookmarkStart w:id="10"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王女士</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eastAsia" w:ascii="宋体" w:hAnsi="宋体" w:cs="宋体"/>
                <w:kern w:val="0"/>
                <w:sz w:val="24"/>
                <w:lang w:val="en-US" w:eastAsia="zh-CN" w:bidi="ar"/>
              </w:rPr>
              <w:t>88105377</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11" w:name="_Toc28359010"/>
            <w:bookmarkStart w:id="12" w:name="_Toc28359087"/>
            <w:r>
              <w:rPr>
                <w:rFonts w:hint="eastAsia" w:ascii="宋体" w:hAnsi="宋体" w:cs="宋体"/>
                <w:color w:val="000000" w:themeColor="text1"/>
                <w:kern w:val="0"/>
                <w:sz w:val="24"/>
                <w:highlight w:val="none"/>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联系人：凌</w:t>
            </w:r>
            <w:r>
              <w:rPr>
                <w:rFonts w:hint="eastAsia" w:ascii="宋体" w:hAnsi="宋体" w:cs="宋体"/>
                <w:color w:val="000000" w:themeColor="text1"/>
                <w:kern w:val="0"/>
                <w:sz w:val="24"/>
                <w14:textFill>
                  <w14:solidFill>
                    <w14:schemeClr w14:val="tx1"/>
                  </w14:solidFill>
                </w14:textFill>
              </w:rPr>
              <w:t>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“前海招商引资行业智库专项”服务</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r>
        <w:rPr>
          <w:rFonts w:hint="eastAsia" w:ascii="宋体" w:hAnsi="宋体" w:cs="宋体"/>
          <w:color w:val="000000" w:themeColor="text1"/>
          <w:sz w:val="24"/>
          <w:lang w:eastAsia="zh-CN"/>
          <w14:textFill>
            <w14:solidFill>
              <w14:schemeClr w14:val="tx1"/>
            </w14:solidFill>
          </w14:textFill>
        </w:rPr>
        <w:t>（特别注意：收款账号已变更）</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73517685"/>
      <w:bookmarkStart w:id="18" w:name="_Toc73521680"/>
      <w:bookmarkStart w:id="19" w:name="_Toc73521592"/>
      <w:bookmarkStart w:id="20" w:name="_Toc100052414"/>
      <w:bookmarkStart w:id="21" w:name="_Toc84303603"/>
      <w:bookmarkStart w:id="22" w:name="_Toc101074886"/>
      <w:bookmarkStart w:id="23" w:name="_Toc73518163"/>
    </w:p>
    <w:bookmarkEnd w:id="17"/>
    <w:bookmarkEnd w:id="18"/>
    <w:bookmarkEnd w:id="19"/>
    <w:bookmarkEnd w:id="20"/>
    <w:bookmarkEnd w:id="21"/>
    <w:bookmarkEnd w:id="22"/>
    <w:bookmarkEnd w:id="23"/>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8"/>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8"/>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“前海招商引资行业智库专项”服务</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8"/>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“前海招商引资行业智库专项”服务</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项目类型：</w:t>
      </w:r>
      <w:r>
        <w:rPr>
          <w:rFonts w:hint="eastAsia" w:ascii="宋体" w:hAnsi="宋体" w:eastAsia="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hint="eastAsia" w:ascii="宋体" w:hAnsi="宋体" w:eastAsia="宋体" w:cs="宋体"/>
          <w:color w:val="000000" w:themeColor="text1"/>
          <w:sz w:val="24"/>
          <w14:textFill>
            <w14:solidFill>
              <w14:schemeClr w14:val="tx1"/>
            </w14:solidFill>
          </w14:textFill>
        </w:rPr>
        <w:t>年  月</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本合同共    页（不含封面）</w:t>
      </w:r>
    </w:p>
    <w:p>
      <w:pPr>
        <w:spacing w:line="560" w:lineRule="exact"/>
        <w:ind w:left="2160" w:hanging="2168" w:hangingChars="9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甲方：深圳市前海深港现代服务业合作区管理局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法定代表人：王守睿</w:t>
      </w:r>
    </w:p>
    <w:p>
      <w:pPr>
        <w:spacing w:line="560" w:lineRule="exact"/>
        <w:ind w:left="720" w:hanging="720" w:hanging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地址：深圳市前海深港合作区桂湾五路123号前海大厦T1栋前海管理局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widowControl/>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根据《中华人民共和国民法典》等法律、法规的相关规定和编号为【</w:t>
      </w:r>
      <w:r>
        <w:rPr>
          <w:rFonts w:hint="eastAsia" w:ascii="宋体" w:hAnsi="宋体" w:cs="宋体"/>
          <w:color w:val="000000" w:themeColor="text1"/>
          <w:sz w:val="24"/>
          <w:highlight w:val="none"/>
          <w:lang w:val="en-US" w:eastAsia="zh-CN"/>
          <w14:textFill>
            <w14:solidFill>
              <w14:schemeClr w14:val="tx1"/>
            </w14:solidFill>
          </w14:textFill>
        </w:rPr>
        <w:t>QH2026003</w:t>
      </w:r>
      <w:r>
        <w:rPr>
          <w:rFonts w:hint="eastAsia" w:ascii="宋体" w:hAnsi="宋体" w:eastAsia="宋体" w:cs="宋体"/>
          <w:color w:val="000000" w:themeColor="text1"/>
          <w:sz w:val="24"/>
          <w:highlight w:val="none"/>
          <w14:textFill>
            <w14:solidFill>
              <w14:schemeClr w14:val="tx1"/>
            </w14:solidFill>
          </w14:textFill>
        </w:rPr>
        <w:t>】招标项目的中标结果，甲、乙双方经友好协商，就甲方委托乙方承担</w:t>
      </w:r>
      <w:r>
        <w:rPr>
          <w:rFonts w:hint="eastAsia" w:ascii="宋体" w:hAnsi="宋体" w:cs="宋体"/>
          <w:color w:val="000000" w:themeColor="text1"/>
          <w:sz w:val="24"/>
          <w:highlight w:val="none"/>
          <w:lang w:eastAsia="zh-CN"/>
          <w14:textFill>
            <w14:solidFill>
              <w14:schemeClr w14:val="tx1"/>
            </w14:solidFill>
          </w14:textFill>
        </w:rPr>
        <w:t>“前海招商引资行业智库专项”服务</w:t>
      </w:r>
      <w:r>
        <w:rPr>
          <w:rFonts w:hint="eastAsia" w:ascii="宋体" w:hAnsi="宋体" w:eastAsia="宋体" w:cs="宋体"/>
          <w:color w:val="000000" w:themeColor="text1"/>
          <w:sz w:val="24"/>
          <w:highlight w:val="none"/>
          <w14:textFill>
            <w14:solidFill>
              <w14:schemeClr w14:val="tx1"/>
            </w14:solidFill>
          </w14:textFill>
        </w:rPr>
        <w:t>（以下简称本项目），达成以下合同条款：</w:t>
      </w:r>
    </w:p>
    <w:p>
      <w:pPr>
        <w:adjustRightInd w:val="0"/>
        <w:snapToGrid w:val="0"/>
        <w:spacing w:line="360" w:lineRule="auto"/>
        <w:rPr>
          <w:rFonts w:ascii="宋体" w:hAnsi="宋体" w:cs="宋体"/>
          <w:b/>
          <w:color w:val="000000"/>
          <w:sz w:val="24"/>
        </w:rPr>
      </w:pPr>
      <w:r>
        <w:rPr>
          <w:rFonts w:hint="eastAsia" w:ascii="宋体" w:hAnsi="宋体" w:cs="宋体"/>
          <w:b/>
          <w:color w:val="000000"/>
          <w:sz w:val="24"/>
        </w:rPr>
        <w:t>一、服务内容</w:t>
      </w:r>
    </w:p>
    <w:p>
      <w:pPr>
        <w:adjustRightInd w:val="0"/>
        <w:snapToGrid w:val="0"/>
        <w:spacing w:line="360" w:lineRule="auto"/>
        <w:ind w:firstLine="480" w:firstLineChars="200"/>
        <w:rPr>
          <w:rFonts w:hint="eastAsia" w:ascii="宋体" w:hAnsi="宋体" w:eastAsia="宋体" w:cs="宋体"/>
          <w:color w:val="000000"/>
          <w:sz w:val="24"/>
        </w:rPr>
      </w:pPr>
      <w:bookmarkStart w:id="24" w:name="_Hlk183846451"/>
      <w:r>
        <w:rPr>
          <w:rFonts w:hint="eastAsia" w:ascii="宋体" w:hAnsi="宋体" w:eastAsia="宋体" w:cs="宋体"/>
          <w:color w:val="000000"/>
          <w:sz w:val="24"/>
          <w:lang w:val="en-US" w:eastAsia="zh-CN"/>
        </w:rPr>
        <w:t>1.</w:t>
      </w:r>
      <w:r>
        <w:rPr>
          <w:rFonts w:hint="eastAsia" w:ascii="宋体" w:hAnsi="宋体" w:eastAsia="宋体" w:cs="宋体"/>
          <w:color w:val="000000"/>
          <w:sz w:val="24"/>
        </w:rPr>
        <w:t>针对《〈财富〉世界500强企业》《企业家联合会中国企业500强》《中国服务业企业500强》《央企名录》等</w:t>
      </w:r>
      <w:r>
        <w:rPr>
          <w:rFonts w:hint="eastAsia" w:ascii="宋体" w:hAnsi="宋体" w:eastAsia="宋体" w:cs="宋体"/>
          <w:color w:val="000000"/>
          <w:sz w:val="24"/>
          <w:lang w:val="en-US" w:eastAsia="zh-CN"/>
        </w:rPr>
        <w:t>4</w:t>
      </w:r>
      <w:r>
        <w:rPr>
          <w:rFonts w:hint="eastAsia" w:ascii="宋体" w:hAnsi="宋体" w:eastAsia="宋体" w:cs="宋体"/>
          <w:color w:val="000000"/>
          <w:sz w:val="24"/>
        </w:rPr>
        <w:t>大榜单，完成并交付</w:t>
      </w:r>
      <w:r>
        <w:rPr>
          <w:rFonts w:hint="eastAsia" w:ascii="宋体" w:hAnsi="宋体" w:eastAsia="宋体" w:cs="宋体"/>
          <w:color w:val="000000"/>
          <w:sz w:val="24"/>
          <w:lang w:val="en-US" w:eastAsia="zh-CN"/>
        </w:rPr>
        <w:t>4</w:t>
      </w:r>
      <w:r>
        <w:rPr>
          <w:rFonts w:hint="eastAsia" w:ascii="宋体" w:hAnsi="宋体" w:eastAsia="宋体" w:cs="宋体"/>
          <w:color w:val="000000"/>
          <w:sz w:val="24"/>
        </w:rPr>
        <w:t>份《榜单企业监测周期内中国投资布局情况分析报告》。</w:t>
      </w:r>
      <w:bookmarkEnd w:id="24"/>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对</w:t>
      </w:r>
      <w:r>
        <w:rPr>
          <w:rFonts w:hint="eastAsia" w:ascii="宋体" w:hAnsi="宋体" w:eastAsia="宋体" w:cs="宋体"/>
          <w:color w:val="000000"/>
          <w:sz w:val="24"/>
          <w:lang w:eastAsia="zh-CN"/>
        </w:rPr>
        <w:t>不少于</w:t>
      </w:r>
      <w:r>
        <w:rPr>
          <w:rFonts w:hint="eastAsia" w:ascii="宋体" w:hAnsi="宋体" w:eastAsia="宋体" w:cs="宋体"/>
          <w:color w:val="000000"/>
          <w:sz w:val="24"/>
          <w:lang w:val="en-US" w:eastAsia="zh-CN"/>
        </w:rPr>
        <w:t>3</w:t>
      </w:r>
      <w:r>
        <w:rPr>
          <w:rFonts w:hint="eastAsia" w:ascii="宋体" w:hAnsi="宋体" w:eastAsia="宋体" w:cs="宋体"/>
          <w:color w:val="000000"/>
          <w:sz w:val="24"/>
        </w:rPr>
        <w:t>0个意向招引的重点项目、企业开展研判与分析，</w:t>
      </w:r>
      <w:bookmarkStart w:id="25" w:name="_Hlk183849987"/>
      <w:r>
        <w:rPr>
          <w:rFonts w:hint="eastAsia" w:ascii="宋体" w:hAnsi="宋体" w:eastAsia="宋体" w:cs="宋体"/>
          <w:color w:val="000000"/>
          <w:sz w:val="24"/>
          <w:lang w:eastAsia="zh-CN"/>
        </w:rPr>
        <w:t>形成</w:t>
      </w:r>
      <w:r>
        <w:rPr>
          <w:rFonts w:hint="eastAsia" w:ascii="宋体" w:hAnsi="宋体" w:eastAsia="宋体" w:cs="宋体"/>
          <w:color w:val="000000"/>
          <w:sz w:val="24"/>
        </w:rPr>
        <w:t>优质意向招引企业项目落地研判分析报告</w:t>
      </w:r>
      <w:r>
        <w:rPr>
          <w:rFonts w:hint="eastAsia" w:ascii="宋体" w:hAnsi="宋体" w:eastAsia="宋体" w:cs="宋体"/>
          <w:color w:val="000000"/>
          <w:sz w:val="24"/>
          <w:lang w:val="en-US" w:eastAsia="zh-CN"/>
        </w:rPr>
        <w:t>3</w:t>
      </w:r>
      <w:r>
        <w:rPr>
          <w:rFonts w:hint="eastAsia" w:ascii="宋体" w:hAnsi="宋体" w:eastAsia="宋体" w:cs="宋体"/>
          <w:color w:val="000000"/>
          <w:sz w:val="24"/>
        </w:rPr>
        <w:t>0份</w:t>
      </w:r>
      <w:bookmarkEnd w:id="25"/>
      <w:r>
        <w:rPr>
          <w:rFonts w:hint="eastAsia" w:ascii="宋体" w:hAnsi="宋体" w:eastAsia="宋体" w:cs="宋体"/>
          <w:color w:val="000000"/>
          <w:sz w:val="24"/>
        </w:rPr>
        <w:t>。</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3.重大项目落地可行性分析报告4份。对不少于4个重大意向招引项目开展可行性分析，每个项目在7个工作日内形成企业投资可行性分析和下一步工作建议材料。材料包括：企业简介、项目简介、项目与前海产业规划契合度、项目落地投资建议、前海下一步工作建议、项目市区政策匹配度分析，</w:t>
      </w:r>
      <w:r>
        <w:rPr>
          <w:rFonts w:hint="eastAsia" w:ascii="宋体" w:hAnsi="宋体" w:eastAsia="宋体" w:cs="宋体"/>
          <w:color w:val="000000"/>
          <w:sz w:val="24"/>
        </w:rPr>
        <w:t>形成重大项目</w:t>
      </w:r>
      <w:r>
        <w:rPr>
          <w:rFonts w:hint="eastAsia" w:ascii="宋体" w:hAnsi="宋体" w:eastAsia="宋体" w:cs="宋体"/>
          <w:color w:val="000000"/>
          <w:sz w:val="24"/>
          <w:lang w:val="en-US" w:eastAsia="zh-CN"/>
        </w:rPr>
        <w:t>的</w:t>
      </w:r>
      <w:r>
        <w:rPr>
          <w:rFonts w:hint="eastAsia" w:ascii="宋体" w:hAnsi="宋体" w:eastAsia="宋体" w:cs="宋体"/>
          <w:color w:val="000000"/>
          <w:sz w:val="24"/>
        </w:rPr>
        <w:t>落地可行性分析报告</w:t>
      </w:r>
      <w:r>
        <w:rPr>
          <w:rFonts w:hint="eastAsia" w:ascii="宋体" w:hAnsi="宋体" w:eastAsia="宋体" w:cs="宋体"/>
          <w:color w:val="000000"/>
          <w:sz w:val="24"/>
          <w:lang w:eastAsia="zh-CN"/>
        </w:rPr>
        <w:t>。</w:t>
      </w:r>
    </w:p>
    <w:p>
      <w:pPr>
        <w:adjustRightInd w:val="0"/>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境内外重点国家和城市招商引资资源梳理20期。主动梳理和挖掘对接不少于20个国家和城市的目标招商企业资源，特别针对非世界500强行业龙头企业/细分行业领军企业，通过前期对招商目标区域龙头企业的财务发展信息监测，形成对招商目标区域企业投资异动信息的及时抓取。</w:t>
      </w:r>
    </w:p>
    <w:p>
      <w:pPr>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5.针对北京、上海、杭州、成都、苏州等五座城市，在服务期内新出台的产业政策及招商引资相关政策开展相关信息的监测、梳理与提炼分析，提升对前海整体招商工作与市外主要城市竞争情况的比较分析。</w:t>
      </w:r>
    </w:p>
    <w:p>
      <w:pPr>
        <w:adjustRightInd w:val="0"/>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6.世界500强企业中国区域投资动态监测10期。定期对世界500强企业在中国投资动态、投资方式、投资对象的监测，将企业发展的意向投资信息实时反馈，以提升重大招商引资项目投资线索的挖掘。</w:t>
      </w:r>
    </w:p>
    <w:p>
      <w:pPr>
        <w:adjustRightInd w:val="0"/>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7.根据工作需要，常态化提供招商引资咨询建议服务。</w:t>
      </w:r>
    </w:p>
    <w:p>
      <w:pPr>
        <w:widowControl/>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二、项目服务费用及付款方式</w:t>
      </w:r>
    </w:p>
    <w:p>
      <w:pPr>
        <w:adjustRightInd w:val="0"/>
        <w:snapToGrid w:val="0"/>
        <w:spacing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1.本项目合同含税总价为为</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b/>
          <w:color w:val="000000"/>
          <w:sz w:val="24"/>
        </w:rPr>
        <w:t xml:space="preserve">人民币 </w:t>
      </w:r>
      <w:r>
        <w:rPr>
          <w:rFonts w:hint="eastAsia" w:ascii="宋体" w:hAnsi="宋体" w:cs="宋体"/>
          <w:color w:val="000000"/>
          <w:sz w:val="24"/>
        </w:rPr>
        <w:t>元整）。项目服务费包括</w:t>
      </w:r>
      <w:r>
        <w:rPr>
          <w:rFonts w:hint="eastAsia" w:ascii="宋体" w:hAnsi="宋体" w:eastAsia="宋体" w:cs="宋体"/>
          <w:color w:val="000000" w:themeColor="text1"/>
          <w:sz w:val="24"/>
          <w:szCs w:val="24"/>
          <w14:textFill>
            <w14:solidFill>
              <w14:schemeClr w14:val="tx1"/>
            </w14:solidFill>
          </w14:textFill>
        </w:rPr>
        <w:t>服务成本、法定税费和企业的利润等为完成本项目服务所发生的全部相关费用</w:t>
      </w:r>
      <w:r>
        <w:rPr>
          <w:rFonts w:hint="eastAsia" w:ascii="宋体" w:hAnsi="宋体" w:cs="宋体"/>
          <w:color w:val="000000"/>
          <w:sz w:val="24"/>
        </w:rPr>
        <w:t>。</w:t>
      </w:r>
      <w:r>
        <w:rPr>
          <w:rFonts w:hint="eastAsia" w:ascii="宋体" w:hAnsi="宋体" w:eastAsia="宋体" w:cs="宋体"/>
          <w:color w:val="000000" w:themeColor="text1"/>
          <w:sz w:val="24"/>
          <w:szCs w:val="24"/>
          <w14:textFill>
            <w14:solidFill>
              <w14:schemeClr w14:val="tx1"/>
            </w14:solidFill>
          </w14:textFill>
        </w:rPr>
        <w:t>在合同实施期间，除另签补充合同外，不接受</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以任何理由、任何名目提出增加费用的要求</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2.支付方式和时间如下：</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项目资金分2期支付至乙方指定银行账户：</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（1）首期：本合同签订后15个工作日内，向乙方支付本合同价款的</w:t>
      </w:r>
      <w:r>
        <w:rPr>
          <w:rFonts w:ascii="宋体" w:hAnsi="宋体" w:cs="宋体"/>
          <w:color w:val="000000"/>
          <w:sz w:val="24"/>
          <w:highlight w:val="yellow"/>
        </w:rPr>
        <w:t>50</w:t>
      </w:r>
      <w:r>
        <w:rPr>
          <w:rFonts w:hint="eastAsia" w:ascii="宋体" w:hAnsi="宋体" w:cs="宋体"/>
          <w:color w:val="000000"/>
          <w:sz w:val="24"/>
          <w:highlight w:val="yellow"/>
        </w:rPr>
        <w:t>%，</w:t>
      </w:r>
      <w:r>
        <w:rPr>
          <w:rFonts w:hint="eastAsia" w:ascii="宋体" w:hAnsi="宋体" w:cs="宋体"/>
          <w:color w:val="000000"/>
          <w:sz w:val="24"/>
        </w:rPr>
        <w:t>即</w:t>
      </w:r>
      <w:r>
        <w:rPr>
          <w:rFonts w:hint="eastAsia" w:ascii="宋体" w:hAnsi="宋体" w:cs="宋体"/>
          <w:b/>
          <w:color w:val="000000"/>
          <w:sz w:val="24"/>
          <w:u w:val="single"/>
        </w:rPr>
        <w:t>￥ 元</w:t>
      </w:r>
      <w:r>
        <w:rPr>
          <w:rFonts w:hint="eastAsia" w:ascii="宋体" w:hAnsi="宋体" w:cs="宋体"/>
          <w:color w:val="000000"/>
          <w:sz w:val="24"/>
          <w:u w:val="single"/>
        </w:rPr>
        <w:t>（大写：</w:t>
      </w:r>
      <w:r>
        <w:rPr>
          <w:rFonts w:hint="eastAsia" w:ascii="宋体" w:hAnsi="宋体" w:cs="宋体"/>
          <w:b/>
          <w:color w:val="000000"/>
          <w:sz w:val="24"/>
          <w:u w:val="single"/>
        </w:rPr>
        <w:t>人民币 元整</w:t>
      </w:r>
      <w:r>
        <w:rPr>
          <w:rFonts w:hint="eastAsia" w:ascii="宋体" w:hAnsi="宋体" w:cs="宋体"/>
          <w:color w:val="000000"/>
          <w:sz w:val="24"/>
          <w:u w:val="single"/>
        </w:rPr>
        <w:t>）</w:t>
      </w:r>
      <w:r>
        <w:rPr>
          <w:rFonts w:hint="eastAsia" w:ascii="宋体" w:hAnsi="宋体" w:cs="宋体"/>
          <w:color w:val="000000"/>
          <w:sz w:val="24"/>
        </w:rPr>
        <w:t>。</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rPr>
        <w:t>（2）第2</w:t>
      </w:r>
      <w:r>
        <w:rPr>
          <w:rFonts w:hint="eastAsia" w:ascii="宋体" w:hAnsi="宋体" w:cs="宋体"/>
          <w:color w:val="000000"/>
          <w:sz w:val="24"/>
          <w:highlight w:val="none"/>
        </w:rPr>
        <w:t>期：</w:t>
      </w:r>
      <w:r>
        <w:rPr>
          <w:rFonts w:hint="eastAsia"/>
          <w:color w:val="000000"/>
          <w:sz w:val="24"/>
          <w:highlight w:val="none"/>
        </w:rPr>
        <w:t>交付全部成果并经验收通过</w:t>
      </w:r>
      <w:r>
        <w:rPr>
          <w:rFonts w:hint="eastAsia" w:ascii="宋体" w:hAnsi="宋体" w:cs="宋体"/>
          <w:color w:val="000000"/>
          <w:sz w:val="24"/>
          <w:highlight w:val="none"/>
        </w:rPr>
        <w:t>后15个工作日内，向乙方支付本合同价款的</w:t>
      </w:r>
      <w:r>
        <w:rPr>
          <w:rFonts w:ascii="宋体" w:hAnsi="宋体" w:cs="宋体"/>
          <w:color w:val="000000"/>
          <w:sz w:val="24"/>
          <w:highlight w:val="none"/>
        </w:rPr>
        <w:t>50</w:t>
      </w:r>
      <w:r>
        <w:rPr>
          <w:rFonts w:hint="eastAsia" w:ascii="宋体" w:hAnsi="宋体" w:cs="宋体"/>
          <w:color w:val="000000"/>
          <w:sz w:val="24"/>
          <w:highlight w:val="none"/>
        </w:rPr>
        <w:t>%，即</w:t>
      </w:r>
      <w:r>
        <w:rPr>
          <w:rFonts w:hint="eastAsia" w:ascii="宋体" w:hAnsi="宋体" w:cs="宋体"/>
          <w:b/>
          <w:color w:val="000000"/>
          <w:sz w:val="24"/>
          <w:highlight w:val="none"/>
          <w:u w:val="single"/>
        </w:rPr>
        <w:t>￥ 元</w:t>
      </w:r>
      <w:r>
        <w:rPr>
          <w:rFonts w:hint="eastAsia" w:ascii="宋体" w:hAnsi="宋体" w:cs="宋体"/>
          <w:color w:val="000000"/>
          <w:sz w:val="24"/>
          <w:highlight w:val="none"/>
          <w:u w:val="single"/>
        </w:rPr>
        <w:t>（大写：</w:t>
      </w:r>
      <w:r>
        <w:rPr>
          <w:rFonts w:hint="eastAsia" w:ascii="宋体" w:hAnsi="宋体" w:cs="宋体"/>
          <w:b/>
          <w:color w:val="000000"/>
          <w:sz w:val="24"/>
          <w:highlight w:val="none"/>
          <w:u w:val="single"/>
        </w:rPr>
        <w:t>人民币 元整</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highlight w:val="none"/>
        </w:rPr>
        <w:t>上述每期</w:t>
      </w:r>
      <w:r>
        <w:rPr>
          <w:rFonts w:hint="eastAsia" w:ascii="宋体" w:hAnsi="宋体" w:cs="宋体"/>
          <w:color w:val="000000"/>
          <w:sz w:val="24"/>
        </w:rPr>
        <w:t>款项均在满足付款条件，且甲方收到乙方开具的载明相应金额的合格发票后15个工作日内付至乙方指定银行账户。如未及时收到相关请款材料</w:t>
      </w:r>
      <w:r>
        <w:rPr>
          <w:rFonts w:hint="eastAsia" w:ascii="宋体" w:hAnsi="宋体" w:cs="宋体"/>
          <w:color w:val="000000"/>
          <w:sz w:val="24"/>
          <w:lang w:eastAsia="zh-CN"/>
        </w:rPr>
        <w:t>，</w:t>
      </w:r>
      <w:r>
        <w:rPr>
          <w:rFonts w:hint="eastAsia" w:ascii="宋体" w:hAnsi="宋体" w:cs="宋体"/>
          <w:color w:val="000000"/>
          <w:sz w:val="24"/>
        </w:rPr>
        <w:t>则甲方相应付款时间顺延。若因甲方付款审批影响支付进度，请乙方予以谅解，谅解期为期3个月，若谅解期结束仍未收到相关款项，乙方可向甲方索赔。</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2.如果由于无法预见的原因，致使从事本合同所涉及的服务实际时间较本合同签订时预计的时间有明显增加或者减少时，如所涉增加费用的金额不超过本合同项下服务费总金额的10%</w:t>
      </w:r>
      <w:r>
        <w:rPr>
          <w:rFonts w:hint="eastAsia" w:ascii="宋体" w:hAnsi="宋体" w:cs="宋体"/>
          <w:color w:val="000000"/>
          <w:sz w:val="24"/>
          <w:lang w:eastAsia="zh-CN"/>
        </w:rPr>
        <w:t>，</w:t>
      </w:r>
      <w:r>
        <w:rPr>
          <w:rFonts w:hint="eastAsia" w:ascii="宋体" w:hAnsi="宋体" w:cs="宋体"/>
          <w:color w:val="000000"/>
          <w:sz w:val="24"/>
        </w:rPr>
        <w:t>由双方商定变更内容及具体价格后签订书面补充协议予以确认。</w:t>
      </w:r>
    </w:p>
    <w:p>
      <w:pPr>
        <w:tabs>
          <w:tab w:val="left" w:pos="360"/>
          <w:tab w:val="left" w:pos="720"/>
          <w:tab w:val="left" w:pos="1425"/>
          <w:tab w:val="left" w:pos="2355"/>
          <w:tab w:val="right" w:pos="10440"/>
        </w:tabs>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.乙方指定银行账户信息如下：</w:t>
      </w:r>
    </w:p>
    <w:p>
      <w:pPr>
        <w:widowControl/>
        <w:shd w:val="clear" w:color="auto" w:fill="FFFFFF"/>
        <w:tabs>
          <w:tab w:val="left" w:pos="426"/>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户名：</w:t>
      </w:r>
    </w:p>
    <w:p>
      <w:pPr>
        <w:widowControl/>
        <w:shd w:val="clear" w:color="auto" w:fill="FFFFFF"/>
        <w:tabs>
          <w:tab w:val="left" w:pos="426"/>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开户银行：</w:t>
      </w:r>
    </w:p>
    <w:p>
      <w:pPr>
        <w:widowControl/>
        <w:shd w:val="clear" w:color="auto" w:fill="FFFFFF"/>
        <w:tabs>
          <w:tab w:val="left" w:pos="426"/>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账号：</w:t>
      </w:r>
    </w:p>
    <w:p>
      <w:pPr>
        <w:adjustRightInd w:val="0"/>
        <w:snapToGrid w:val="0"/>
        <w:spacing w:line="360" w:lineRule="auto"/>
        <w:rPr>
          <w:rFonts w:hint="default" w:ascii="宋体" w:hAnsi="宋体" w:eastAsia="宋体" w:cs="宋体"/>
          <w:b/>
          <w:color w:val="000000"/>
          <w:sz w:val="24"/>
          <w:lang w:val="en-US" w:eastAsia="zh-CN"/>
        </w:rPr>
      </w:pPr>
      <w:r>
        <w:rPr>
          <w:rFonts w:hint="eastAsia" w:ascii="宋体" w:hAnsi="宋体" w:cs="宋体"/>
          <w:b/>
          <w:color w:val="000000"/>
          <w:sz w:val="24"/>
        </w:rPr>
        <w:t>三、服务期限、成果形式及</w:t>
      </w:r>
      <w:r>
        <w:rPr>
          <w:rFonts w:hint="eastAsia" w:ascii="宋体" w:hAnsi="宋体" w:cs="宋体"/>
          <w:b/>
          <w:color w:val="000000"/>
          <w:sz w:val="24"/>
          <w:lang w:val="en-US" w:eastAsia="zh-CN"/>
        </w:rPr>
        <w:t>验收方式</w:t>
      </w:r>
    </w:p>
    <w:p>
      <w:pPr>
        <w:tabs>
          <w:tab w:val="left" w:pos="884"/>
        </w:tabs>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1.本合同服务时间为自签署合同之日起一年内。</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成果形式</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2.1.</w:t>
      </w:r>
      <w:r>
        <w:rPr>
          <w:rFonts w:hint="eastAsia" w:ascii="宋体" w:hAnsi="宋体" w:cs="宋体"/>
          <w:color w:val="000000"/>
          <w:sz w:val="24"/>
        </w:rPr>
        <w:t>《榜单企业监测周期内中国投资布局情况分析报告》4份；</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2.2.</w:t>
      </w:r>
      <w:r>
        <w:rPr>
          <w:rFonts w:hint="eastAsia" w:ascii="宋体" w:hAnsi="宋体" w:cs="宋体"/>
          <w:color w:val="000000"/>
          <w:sz w:val="24"/>
        </w:rPr>
        <w:t>优质意向招引企业项目落地研判分析报告30份；</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2.3.</w:t>
      </w:r>
      <w:r>
        <w:rPr>
          <w:rFonts w:hint="eastAsia" w:ascii="宋体" w:hAnsi="宋体" w:cs="宋体"/>
          <w:color w:val="000000"/>
          <w:sz w:val="24"/>
        </w:rPr>
        <w:t>重大项目落地可行性分析报告4份；</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2.4.</w:t>
      </w:r>
      <w:r>
        <w:rPr>
          <w:rFonts w:hint="eastAsia" w:ascii="宋体" w:hAnsi="宋体" w:cs="宋体"/>
          <w:color w:val="000000"/>
          <w:sz w:val="24"/>
        </w:rPr>
        <w:t>境内外重点国家和城市招商引资资源梳理20期；</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2.5.</w:t>
      </w:r>
      <w:r>
        <w:rPr>
          <w:rFonts w:hint="eastAsia" w:ascii="宋体" w:hAnsi="宋体" w:cs="宋体"/>
          <w:color w:val="000000"/>
          <w:sz w:val="24"/>
        </w:rPr>
        <w:t>针对北京、上海、杭州、成都、苏州等五座城市，对服务期内新出台的产业政策及招商引资相关政策开展相关信息的监测；</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2.6.</w:t>
      </w:r>
      <w:r>
        <w:rPr>
          <w:rFonts w:hint="eastAsia" w:ascii="宋体" w:hAnsi="宋体" w:cs="宋体"/>
          <w:color w:val="000000"/>
          <w:sz w:val="24"/>
        </w:rPr>
        <w:t>世界500强企业中国区域投资动态监测10期；</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2.7.</w:t>
      </w:r>
      <w:r>
        <w:rPr>
          <w:rFonts w:hint="eastAsia" w:ascii="宋体" w:hAnsi="宋体" w:cs="宋体"/>
          <w:color w:val="000000"/>
          <w:sz w:val="24"/>
        </w:rPr>
        <w:t>常态化提供招商引资咨询建议服务。</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验收方式：</w:t>
      </w:r>
      <w:r>
        <w:rPr>
          <w:rFonts w:hint="eastAsia" w:ascii="宋体" w:hAnsi="宋体" w:cs="宋体"/>
          <w:color w:val="000000"/>
          <w:sz w:val="24"/>
          <w:lang w:val="en-US" w:eastAsia="zh-CN"/>
        </w:rPr>
        <w:t>甲方</w:t>
      </w:r>
      <w:r>
        <w:rPr>
          <w:rFonts w:hint="eastAsia" w:ascii="宋体" w:hAnsi="宋体" w:cs="宋体"/>
          <w:bCs/>
          <w:color w:val="000000"/>
          <w:sz w:val="24"/>
        </w:rPr>
        <w:t>自行组织验收，出具验收合格证明</w:t>
      </w:r>
      <w:r>
        <w:rPr>
          <w:rFonts w:hint="eastAsia" w:ascii="宋体" w:hAnsi="宋体" w:cs="宋体"/>
          <w:color w:val="000000"/>
          <w:sz w:val="24"/>
        </w:rPr>
        <w:t>。</w:t>
      </w:r>
    </w:p>
    <w:p>
      <w:pPr>
        <w:adjustRightInd w:val="0"/>
        <w:snapToGrid w:val="0"/>
        <w:spacing w:line="360" w:lineRule="auto"/>
        <w:rPr>
          <w:rFonts w:ascii="宋体" w:hAnsi="宋体" w:cs="宋体"/>
          <w:b/>
          <w:color w:val="000000"/>
          <w:sz w:val="24"/>
        </w:rPr>
      </w:pPr>
      <w:r>
        <w:rPr>
          <w:rFonts w:hint="eastAsia" w:ascii="宋体" w:hAnsi="宋体" w:cs="宋体"/>
          <w:b/>
          <w:color w:val="000000"/>
          <w:sz w:val="24"/>
        </w:rPr>
        <w:t>四、约定事项的变更</w:t>
      </w:r>
    </w:p>
    <w:p>
      <w:pPr>
        <w:widowControl/>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如果出现不可预见的情况，影响服务工作的如期完成，或需要提前出具报告，甲、乙双方均可要求变更约定事项，但应及时通知对方，并由双方协商解决。</w:t>
      </w:r>
    </w:p>
    <w:p>
      <w:pPr>
        <w:adjustRightInd w:val="0"/>
        <w:snapToGrid w:val="0"/>
        <w:spacing w:line="360" w:lineRule="auto"/>
        <w:rPr>
          <w:rFonts w:ascii="宋体" w:hAnsi="宋体" w:cs="宋体"/>
          <w:b/>
          <w:color w:val="000000"/>
          <w:sz w:val="24"/>
        </w:rPr>
      </w:pPr>
      <w:r>
        <w:rPr>
          <w:rFonts w:hint="eastAsia" w:ascii="宋体" w:hAnsi="宋体" w:cs="宋体"/>
          <w:b/>
          <w:color w:val="000000"/>
          <w:sz w:val="24"/>
        </w:rPr>
        <w:t>五、违约责任</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1.如乙方未按本合同约定期限出具报告每迟延一天，甲方有权要求乙方支付本合同项下服务费总金额3‰的违约金。</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2.本合同履行期间，发生下述情形时，甲方有权解除本合同，不予支付服务费并可要求返还已支付的服务费，乙方应向甲方支付合同总价款20%的违约金，同时，甲方保留要求乙方赔偿相应损失的权利：</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（1）乙方未能按合同约定的日期(含协商延缓的日期)提交成果，延误时间超过15个工作日；</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（2）因乙方工作的错误或遗漏造成成果质量损失，且乙方未按甲方要求采取及时有效的补救措施的；</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（3）乙方虽如期提交阶段性成果和最终成果，但最终成果连续二次未能通过验收的；</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（4）未经甲方书面在先同意，乙方擅自将本合同项目与任何第三方合作，或将本合同标的的全部或部分擅自转包给任何第三方，且未按甲方的要求终止与第三方的合同的；</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（5）发现乙方或乙方工作人员出现全部或部分丧失履行委托服务能力的情况，甲方有权通知乙方限期整改或更换工作人员，期限届满乙方并未进行改善的；</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（6）乙方明确表示或者以自己的行为表明不履行本合同的。</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3.如甲方无正当理由拒绝接受服务，到期明确表示拒付服务款项的，则甲方应向乙方偿付本合同项下服务费总金额3%的违约金。</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4.上述违约责任各自独立且可累加。本合同所约定的违约金如低于因违约行为所造成的损失，违约方应补偿上述不足部分的损失。</w:t>
      </w:r>
    </w:p>
    <w:p>
      <w:pPr>
        <w:adjustRightInd w:val="0"/>
        <w:snapToGrid w:val="0"/>
        <w:spacing w:line="360" w:lineRule="auto"/>
        <w:rPr>
          <w:rFonts w:ascii="宋体" w:hAnsi="宋体" w:cs="宋体"/>
          <w:b/>
          <w:color w:val="000000"/>
          <w:sz w:val="24"/>
        </w:rPr>
      </w:pPr>
      <w:r>
        <w:rPr>
          <w:rFonts w:hint="eastAsia" w:ascii="宋体" w:hAnsi="宋体" w:cs="宋体"/>
          <w:b/>
          <w:color w:val="000000"/>
          <w:sz w:val="24"/>
        </w:rPr>
        <w:t>六、保密条款</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乙方应以保密方式处理在编制本项目成果文件过程中自甲方、甲方工作人员或甲方局属企业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成果文件内容。即使向与履行本合同有关的人员提供前述保密信息，也应限于履行合同的必需范围，且这些人员应接受至少与本条款同等严格的保密条款的约束。</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3.如乙方违反上述保密条款，甲方有权解除本合同，乙方应在合同解除通知发出之日起10日内向甲方支付本合同服务费总金额20%的违约金，如果违约金无法弥补甲方损失，甲方保留要求乙方赔偿全部损失的权利。</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4.无论本合同或本合同其他条款是否有效，本保密条款始终约束双方。国家秘密的保密期限由国家有关部门确定，工作秘密的保密期限由甲方确定。</w:t>
      </w:r>
    </w:p>
    <w:p>
      <w:pPr>
        <w:adjustRightInd w:val="0"/>
        <w:snapToGrid w:val="0"/>
        <w:spacing w:line="360" w:lineRule="auto"/>
        <w:rPr>
          <w:rFonts w:ascii="宋体" w:hAnsi="宋体" w:cs="宋体"/>
          <w:b/>
          <w:color w:val="000000"/>
          <w:sz w:val="24"/>
        </w:rPr>
      </w:pPr>
      <w:r>
        <w:rPr>
          <w:rFonts w:hint="eastAsia" w:ascii="宋体" w:hAnsi="宋体" w:cs="宋体"/>
          <w:b/>
          <w:color w:val="000000"/>
          <w:sz w:val="24"/>
        </w:rPr>
        <w:t>七、适用法律和争议解决</w:t>
      </w:r>
    </w:p>
    <w:p>
      <w:pPr>
        <w:widowControl/>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合同的所有方面均应适用中华人民共和国法律进行解释并受其约束。因本合同所引起的或与本合同有关的任何纠纷或争议（包括关于本合同条款的存在、效力或终止，或无效之后果），双方协商确定采取以下第（一）种方式予以解决：</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（一）向深圳前海合作区人民法院提起诉讼；</w:t>
      </w:r>
    </w:p>
    <w:p>
      <w:pPr>
        <w:widowControl/>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（二）提交深圳国际仲裁院（深圳仲裁委员会）仲裁。</w:t>
      </w:r>
    </w:p>
    <w:p>
      <w:pPr>
        <w:widowControl/>
        <w:adjustRightInd w:val="0"/>
        <w:snapToGrid w:val="0"/>
        <w:spacing w:line="360" w:lineRule="auto"/>
        <w:rPr>
          <w:rFonts w:ascii="宋体" w:hAnsi="宋体" w:cs="宋体"/>
          <w:b/>
          <w:color w:val="000000"/>
          <w:sz w:val="24"/>
        </w:rPr>
      </w:pPr>
      <w:r>
        <w:rPr>
          <w:rFonts w:hint="eastAsia" w:ascii="宋体" w:hAnsi="宋体" w:cs="宋体"/>
          <w:b/>
          <w:color w:val="000000"/>
          <w:sz w:val="24"/>
        </w:rPr>
        <w:t>八、</w:t>
      </w:r>
      <w:r>
        <w:rPr>
          <w:rFonts w:hint="eastAsia" w:ascii="宋体" w:hAnsi="宋体" w:cs="宋体"/>
          <w:b/>
          <w:bCs/>
          <w:color w:val="000000"/>
          <w:kern w:val="0"/>
          <w:sz w:val="24"/>
        </w:rPr>
        <w:t>成果权属与知识产权</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1.双方对本合同有关的知识产权以及与之相关的所有权利归属约定如下： 本项目全部阶段性成果和最终成果的知识产权以及与之相关的所有权利归甲乙双方共同所有</w:t>
      </w:r>
      <w:r>
        <w:rPr>
          <w:rFonts w:hint="eastAsia" w:ascii="宋体" w:hAnsi="宋体" w:cs="宋体"/>
          <w:bCs/>
          <w:color w:val="000000"/>
          <w:sz w:val="24"/>
        </w:rPr>
        <w:t>。</w:t>
      </w:r>
      <w:r>
        <w:rPr>
          <w:rFonts w:hint="eastAsia" w:ascii="宋体" w:hAnsi="宋体" w:cs="宋体"/>
          <w:color w:val="000000"/>
          <w:sz w:val="24"/>
        </w:rPr>
        <w:t>本合同签署前双方已经拥有的知识产权权利，仍归各自所有。</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除用于政府部门科研项目申报外，</w:t>
      </w:r>
      <w:r>
        <w:rPr>
          <w:rFonts w:hint="eastAsia" w:ascii="宋体" w:hAnsi="宋体" w:cs="宋体"/>
          <w:color w:val="000000"/>
          <w:sz w:val="24"/>
        </w:rPr>
        <w:t>未经甲方书面同意，乙方不得将本项目的中间成果和最终成果文件及任何数据、资料、软件向任何第三方转让、授权任何第三方使用或用于本合同项目外的其他项目。经核实发生以上情况，乙方应向甲方支付本合同总价款20%的违约金，如果违约金无法弥补甲方的损失，甲方有权要求乙方赔偿全部损失。</w:t>
      </w:r>
    </w:p>
    <w:p>
      <w:pPr>
        <w:widowControl/>
        <w:adjustRightInd w:val="0"/>
        <w:snapToGrid w:val="0"/>
        <w:spacing w:line="360" w:lineRule="auto"/>
        <w:ind w:firstLine="480" w:firstLineChars="200"/>
        <w:rPr>
          <w:rFonts w:ascii="宋体" w:hAnsi="宋体" w:cs="宋体"/>
          <w:b/>
          <w:color w:val="000000"/>
          <w:sz w:val="24"/>
        </w:rPr>
      </w:pPr>
      <w:r>
        <w:rPr>
          <w:rFonts w:hint="eastAsia" w:ascii="宋体" w:hAnsi="宋体" w:cs="宋体"/>
          <w:color w:val="000000"/>
          <w:sz w:val="24"/>
        </w:rPr>
        <w:t>5.乙方完成本合同项目的研究开发人员享有在有关技术成果文件上写明技术成果完成者的权利和与甲方共同获得有关署名权、荣誉证书、奖励的权利。</w:t>
      </w:r>
    </w:p>
    <w:p>
      <w:pPr>
        <w:widowControl/>
        <w:adjustRightInd w:val="0"/>
        <w:snapToGrid w:val="0"/>
        <w:spacing w:line="360" w:lineRule="auto"/>
        <w:rPr>
          <w:rFonts w:ascii="宋体" w:hAnsi="宋体" w:cs="宋体"/>
          <w:b/>
          <w:color w:val="000000"/>
          <w:sz w:val="24"/>
        </w:rPr>
      </w:pPr>
      <w:r>
        <w:rPr>
          <w:rFonts w:hint="eastAsia" w:ascii="宋体" w:hAnsi="宋体" w:cs="宋体"/>
          <w:b/>
          <w:color w:val="000000"/>
          <w:sz w:val="24"/>
        </w:rPr>
        <w:t>九、双方对其他有关事项的约定</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1.本合同附件为合同不可分割的组成部分，与本合同一并加盖骑缝章后具有同等法律效力。若附件与合同正文有任何冲突，以合同正文为准。</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2.本合同未尽事宜，由双方协商签订补充协议进行约定。补充协议应以书面形式作成，经双方盖章后与本合同具有同等法律效力。</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3.本合同自双方签字盖章之日起生效。</w:t>
      </w:r>
    </w:p>
    <w:p>
      <w:pPr>
        <w:adjustRightInd w:val="0"/>
        <w:snapToGrid w:val="0"/>
        <w:spacing w:line="360" w:lineRule="auto"/>
        <w:rPr>
          <w:rFonts w:ascii="宋体" w:hAnsi="宋体" w:cs="宋体"/>
          <w:snapToGrid w:val="0"/>
          <w:color w:val="000000"/>
          <w:sz w:val="24"/>
        </w:rPr>
      </w:pPr>
      <w:r>
        <w:rPr>
          <w:rFonts w:hint="eastAsia" w:ascii="宋体" w:hAnsi="宋体" w:cs="宋体"/>
          <w:color w:val="000000"/>
          <w:sz w:val="24"/>
        </w:rPr>
        <w:t xml:space="preserve">    4.本合同一式四份，甲、乙双方各执两份，具有同等法律效力。</w:t>
      </w:r>
    </w:p>
    <w:p>
      <w:pPr>
        <w:adjustRightInd w:val="0"/>
        <w:snapToGrid w:val="0"/>
        <w:spacing w:line="360" w:lineRule="auto"/>
        <w:ind w:firstLine="480" w:firstLineChars="200"/>
        <w:jc w:val="left"/>
        <w:rPr>
          <w:rFonts w:ascii="宋体" w:hAnsi="宋体" w:cs="宋体"/>
          <w:color w:val="000000"/>
          <w:sz w:val="24"/>
        </w:rPr>
      </w:pPr>
    </w:p>
    <w:p>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附件：1.项目团队成员</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napToGrid w:val="0"/>
        <w:spacing w:line="360" w:lineRule="auto"/>
        <w:rPr>
          <w:rFonts w:ascii="宋体" w:hAnsi="宋体" w:cs="宋体"/>
          <w:color w:val="000000"/>
          <w:sz w:val="24"/>
        </w:rPr>
      </w:pPr>
      <w:r>
        <w:rPr>
          <w:rFonts w:hint="eastAsia" w:ascii="宋体" w:hAnsi="宋体" w:cs="宋体"/>
          <w:color w:val="000000"/>
          <w:sz w:val="24"/>
        </w:rPr>
        <w:t>甲方：深圳市前海深港现代服务业合作区     乙方：</w:t>
      </w:r>
    </w:p>
    <w:p>
      <w:pPr>
        <w:snapToGrid w:val="0"/>
        <w:spacing w:line="360" w:lineRule="auto"/>
        <w:ind w:firstLine="720" w:firstLineChars="300"/>
        <w:rPr>
          <w:rFonts w:ascii="宋体" w:hAnsi="宋体" w:cs="宋体"/>
          <w:color w:val="000000"/>
          <w:sz w:val="24"/>
        </w:rPr>
      </w:pPr>
      <w:r>
        <w:rPr>
          <w:rFonts w:hint="eastAsia" w:ascii="宋体" w:hAnsi="宋体" w:cs="宋体"/>
          <w:color w:val="000000"/>
          <w:sz w:val="24"/>
        </w:rPr>
        <w:t xml:space="preserve">管理局  </w:t>
      </w:r>
      <w:r>
        <w:rPr>
          <w:rFonts w:hint="eastAsia" w:ascii="宋体" w:hAnsi="宋体" w:cs="宋体"/>
          <w:color w:val="000000"/>
          <w:sz w:val="24"/>
        </w:rPr>
        <w:br w:type="textWrapping"/>
      </w:r>
    </w:p>
    <w:p>
      <w:pPr>
        <w:snapToGrid w:val="0"/>
        <w:spacing w:line="360" w:lineRule="auto"/>
        <w:rPr>
          <w:rFonts w:ascii="宋体" w:hAnsi="宋体" w:cs="宋体"/>
          <w:color w:val="000000"/>
          <w:sz w:val="24"/>
        </w:rPr>
      </w:pPr>
      <w:r>
        <w:rPr>
          <w:rFonts w:hint="eastAsia" w:ascii="宋体" w:hAnsi="宋体" w:cs="宋体"/>
          <w:color w:val="000000"/>
          <w:sz w:val="24"/>
        </w:rPr>
        <w:t>地址：深圳市前海深港合作区南山街道       地址：</w:t>
      </w:r>
    </w:p>
    <w:p>
      <w:pPr>
        <w:snapToGrid w:val="0"/>
        <w:spacing w:line="360" w:lineRule="auto"/>
        <w:ind w:left="5760" w:leftChars="342" w:hanging="5042" w:hangingChars="2101"/>
        <w:rPr>
          <w:rFonts w:ascii="宋体" w:hAnsi="宋体" w:cs="宋体"/>
          <w:color w:val="000000"/>
          <w:sz w:val="24"/>
        </w:rPr>
      </w:pPr>
      <w:r>
        <w:rPr>
          <w:rFonts w:hint="eastAsia" w:ascii="宋体" w:hAnsi="宋体" w:cs="宋体"/>
          <w:color w:val="000000"/>
          <w:sz w:val="24"/>
        </w:rPr>
        <w:t xml:space="preserve">桂湾五路123号前海大厦T1栋                                    </w:t>
      </w:r>
      <w:r>
        <w:rPr>
          <w:rFonts w:hint="eastAsia" w:ascii="宋体" w:hAnsi="宋体" w:cs="宋体"/>
          <w:color w:val="000000"/>
          <w:sz w:val="24"/>
        </w:rPr>
        <w:br w:type="textWrapping"/>
      </w:r>
    </w:p>
    <w:p>
      <w:pPr>
        <w:snapToGrid w:val="0"/>
        <w:spacing w:line="360" w:lineRule="auto"/>
        <w:rPr>
          <w:rFonts w:ascii="宋体" w:hAnsi="宋体" w:cs="宋体"/>
          <w:color w:val="000000"/>
          <w:sz w:val="24"/>
        </w:rPr>
      </w:pPr>
      <w:r>
        <w:rPr>
          <w:rFonts w:hint="eastAsia" w:ascii="宋体" w:hAnsi="宋体" w:cs="宋体"/>
          <w:color w:val="000000"/>
          <w:sz w:val="24"/>
        </w:rPr>
        <w:t>法定代表人：王守睿                             法定代表人：</w:t>
      </w:r>
      <w:r>
        <w:rPr>
          <w:rFonts w:hint="eastAsia" w:ascii="宋体" w:hAnsi="宋体" w:cs="宋体"/>
          <w:color w:val="000000"/>
          <w:sz w:val="24"/>
        </w:rPr>
        <w:br w:type="textWrapping"/>
      </w:r>
    </w:p>
    <w:p>
      <w:pPr>
        <w:snapToGrid w:val="0"/>
        <w:spacing w:line="360" w:lineRule="auto"/>
        <w:rPr>
          <w:rFonts w:ascii="宋体" w:hAnsi="宋体" w:cs="宋体"/>
          <w:color w:val="000000"/>
          <w:sz w:val="24"/>
        </w:rPr>
      </w:pPr>
      <w:r>
        <w:rPr>
          <w:rFonts w:hint="eastAsia" w:ascii="宋体" w:hAnsi="宋体" w:cs="宋体"/>
          <w:color w:val="000000"/>
          <w:sz w:val="24"/>
        </w:rPr>
        <w:t>委托代理人：                             委托代理人：</w:t>
      </w:r>
      <w:r>
        <w:rPr>
          <w:rFonts w:hint="eastAsia" w:ascii="宋体" w:hAnsi="宋体" w:cs="宋体"/>
          <w:color w:val="000000"/>
          <w:sz w:val="24"/>
        </w:rPr>
        <w:br w:type="textWrapping"/>
      </w:r>
    </w:p>
    <w:p>
      <w:pPr>
        <w:snapToGrid w:val="0"/>
        <w:spacing w:line="360" w:lineRule="auto"/>
        <w:ind w:firstLine="200"/>
        <w:rPr>
          <w:rFonts w:ascii="宋体" w:hAnsi="宋体" w:cs="宋体"/>
          <w:color w:val="000000"/>
          <w:sz w:val="24"/>
        </w:rPr>
      </w:pPr>
      <w:r>
        <w:rPr>
          <w:rFonts w:hint="eastAsia" w:ascii="宋体" w:hAnsi="宋体" w:cs="宋体"/>
          <w:color w:val="000000"/>
          <w:sz w:val="24"/>
        </w:rPr>
        <w:t xml:space="preserve">    电话：                             电话：</w:t>
      </w:r>
      <w:r>
        <w:rPr>
          <w:rFonts w:hint="eastAsia" w:ascii="宋体" w:hAnsi="宋体" w:cs="宋体"/>
          <w:color w:val="000000"/>
          <w:sz w:val="24"/>
        </w:rPr>
        <w:br w:type="textWrapping"/>
      </w:r>
    </w:p>
    <w:p>
      <w:pPr>
        <w:snapToGrid w:val="0"/>
        <w:spacing w:line="360" w:lineRule="auto"/>
        <w:rPr>
          <w:rFonts w:ascii="宋体" w:hAnsi="宋体" w:cs="宋体"/>
          <w:color w:val="000000"/>
          <w:sz w:val="24"/>
        </w:rPr>
      </w:pPr>
      <w:r>
        <w:rPr>
          <w:rFonts w:hint="eastAsia" w:ascii="宋体" w:hAnsi="宋体" w:cs="宋体"/>
          <w:color w:val="000000"/>
          <w:sz w:val="24"/>
        </w:rPr>
        <w:t>开户银行：                               开户银行：</w:t>
      </w:r>
      <w:r>
        <w:rPr>
          <w:rFonts w:hint="eastAsia" w:ascii="宋体" w:hAnsi="宋体" w:cs="宋体"/>
          <w:color w:val="000000"/>
          <w:sz w:val="24"/>
        </w:rPr>
        <w:br w:type="textWrapping"/>
      </w:r>
      <w:r>
        <w:rPr>
          <w:rFonts w:hint="eastAsia" w:ascii="宋体" w:hAnsi="宋体" w:cs="宋体"/>
          <w:color w:val="000000"/>
          <w:sz w:val="24"/>
        </w:rPr>
        <w:t xml:space="preserve">                                                    </w:t>
      </w:r>
    </w:p>
    <w:p>
      <w:pPr>
        <w:spacing w:line="360" w:lineRule="auto"/>
        <w:rPr>
          <w:rFonts w:ascii="宋体" w:hAnsi="宋体" w:cs="宋体"/>
          <w:color w:val="000000"/>
          <w:sz w:val="24"/>
        </w:rPr>
      </w:pPr>
      <w:r>
        <w:rPr>
          <w:rFonts w:hint="eastAsia" w:ascii="宋体" w:hAnsi="宋体" w:cs="宋体"/>
          <w:color w:val="000000"/>
          <w:sz w:val="24"/>
          <w:lang w:eastAsia="zh-CN"/>
        </w:rPr>
        <w:t>账</w:t>
      </w:r>
      <w:r>
        <w:rPr>
          <w:rFonts w:hint="eastAsia" w:ascii="宋体" w:hAnsi="宋体" w:cs="宋体"/>
          <w:color w:val="000000"/>
          <w:sz w:val="24"/>
        </w:rPr>
        <w:t xml:space="preserve">号：                                   </w:t>
      </w:r>
      <w:r>
        <w:rPr>
          <w:rFonts w:hint="eastAsia" w:ascii="宋体" w:hAnsi="宋体" w:cs="宋体"/>
          <w:color w:val="000000"/>
          <w:sz w:val="24"/>
          <w:lang w:eastAsia="zh-CN"/>
        </w:rPr>
        <w:t>账</w:t>
      </w:r>
      <w:r>
        <w:rPr>
          <w:rFonts w:hint="eastAsia" w:ascii="宋体" w:hAnsi="宋体" w:cs="宋体"/>
          <w:color w:val="000000"/>
          <w:sz w:val="24"/>
        </w:rPr>
        <w:t>号：</w:t>
      </w:r>
      <w:r>
        <w:rPr>
          <w:rFonts w:hint="eastAsia" w:ascii="宋体" w:hAnsi="宋体" w:cs="宋体"/>
          <w:color w:val="000000"/>
          <w:sz w:val="24"/>
        </w:rPr>
        <w:br w:type="textWrapping"/>
      </w:r>
      <w:r>
        <w:rPr>
          <w:rFonts w:hint="eastAsia" w:ascii="宋体" w:hAnsi="宋体" w:cs="宋体"/>
          <w:color w:val="000000"/>
          <w:sz w:val="24"/>
        </w:rPr>
        <w:br w:type="textWrapping"/>
      </w:r>
      <w:r>
        <w:rPr>
          <w:rFonts w:hint="eastAsia" w:ascii="宋体" w:hAnsi="宋体" w:cs="宋体"/>
          <w:color w:val="000000"/>
          <w:sz w:val="24"/>
        </w:rPr>
        <w:t>签约时间：     年   月   日              签约时间：     年   月   日</w:t>
      </w:r>
    </w:p>
    <w:p>
      <w:pPr>
        <w:spacing w:line="360" w:lineRule="auto"/>
        <w:ind w:firstLine="1440" w:firstLineChars="600"/>
        <w:rPr>
          <w:rFonts w:ascii="宋体" w:hAnsi="宋体" w:cs="宋体"/>
          <w:snapToGrid w:val="0"/>
          <w:color w:val="000000"/>
          <w:sz w:val="24"/>
        </w:rPr>
      </w:pPr>
    </w:p>
    <w:p>
      <w:pPr>
        <w:spacing w:line="360" w:lineRule="auto"/>
        <w:ind w:firstLine="1440" w:firstLineChars="600"/>
        <w:rPr>
          <w:rFonts w:ascii="宋体" w:hAnsi="宋体" w:cs="宋体"/>
          <w:snapToGrid w:val="0"/>
          <w:color w:val="000000"/>
          <w:sz w:val="24"/>
        </w:rPr>
      </w:pPr>
    </w:p>
    <w:p>
      <w:pPr>
        <w:pStyle w:val="2"/>
        <w:rPr>
          <w:rFonts w:ascii="宋体" w:hAnsi="宋体" w:cs="宋体"/>
          <w:snapToGrid w:val="0"/>
          <w:color w:val="000000"/>
          <w:sz w:val="24"/>
        </w:rPr>
      </w:pPr>
    </w:p>
    <w:p>
      <w:pPr>
        <w:pStyle w:val="27"/>
        <w:rPr>
          <w:rFonts w:ascii="宋体" w:hAnsi="宋体" w:cs="宋体"/>
          <w:snapToGrid w:val="0"/>
          <w:color w:val="000000"/>
          <w:sz w:val="24"/>
          <w:szCs w:val="24"/>
        </w:rPr>
      </w:pPr>
    </w:p>
    <w:p>
      <w:pPr>
        <w:rPr>
          <w:rFonts w:ascii="宋体" w:hAnsi="宋体" w:cs="宋体"/>
          <w:snapToGrid w:val="0"/>
          <w:color w:val="000000"/>
          <w:sz w:val="24"/>
        </w:rPr>
      </w:pPr>
    </w:p>
    <w:p>
      <w:r>
        <w:br w:type="page"/>
      </w:r>
    </w:p>
    <w:p>
      <w:pPr>
        <w:spacing w:line="360" w:lineRule="auto"/>
        <w:rPr>
          <w:rFonts w:ascii="宋体" w:hAnsi="宋体" w:cs="宋体"/>
          <w:snapToGrid w:val="0"/>
          <w:color w:val="000000"/>
          <w:sz w:val="24"/>
        </w:rPr>
      </w:pPr>
      <w:r>
        <w:rPr>
          <w:rFonts w:hint="eastAsia" w:ascii="宋体" w:hAnsi="宋体" w:cs="宋体"/>
          <w:snapToGrid w:val="0"/>
          <w:color w:val="000000"/>
          <w:sz w:val="24"/>
        </w:rPr>
        <w:t>附件1：</w:t>
      </w:r>
    </w:p>
    <w:p>
      <w:pPr>
        <w:spacing w:line="360" w:lineRule="auto"/>
        <w:jc w:val="center"/>
        <w:rPr>
          <w:rFonts w:ascii="宋体" w:hAnsi="宋体" w:cs="宋体"/>
          <w:b/>
          <w:bCs/>
          <w:snapToGrid w:val="0"/>
          <w:color w:val="000000"/>
          <w:sz w:val="24"/>
        </w:rPr>
      </w:pPr>
      <w:r>
        <w:rPr>
          <w:rFonts w:hint="eastAsia" w:ascii="宋体" w:hAnsi="宋体" w:cs="宋体"/>
          <w:b/>
          <w:bCs/>
          <w:snapToGrid w:val="0"/>
          <w:color w:val="000000"/>
          <w:sz w:val="24"/>
        </w:rPr>
        <w:t>项目团队成员</w:t>
      </w:r>
    </w:p>
    <w:tbl>
      <w:tblPr>
        <w:tblStyle w:val="21"/>
        <w:tblW w:w="8852" w:type="dxa"/>
        <w:tblInd w:w="0" w:type="dxa"/>
        <w:tblLayout w:type="fixed"/>
        <w:tblCellMar>
          <w:top w:w="0" w:type="dxa"/>
          <w:left w:w="108" w:type="dxa"/>
          <w:bottom w:w="0" w:type="dxa"/>
          <w:right w:w="108" w:type="dxa"/>
        </w:tblCellMar>
      </w:tblPr>
      <w:tblGrid>
        <w:gridCol w:w="1001"/>
        <w:gridCol w:w="1416"/>
        <w:gridCol w:w="2322"/>
        <w:gridCol w:w="2136"/>
        <w:gridCol w:w="1977"/>
      </w:tblGrid>
      <w:tr>
        <w:tblPrEx>
          <w:tblCellMar>
            <w:top w:w="0" w:type="dxa"/>
            <w:left w:w="108" w:type="dxa"/>
            <w:bottom w:w="0" w:type="dxa"/>
            <w:right w:w="108" w:type="dxa"/>
          </w:tblCellMar>
        </w:tblPrEx>
        <w:trPr>
          <w:trHeight w:val="679" w:hRule="atLeast"/>
        </w:trPr>
        <w:tc>
          <w:tcPr>
            <w:tcW w:w="100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姓名</w:t>
            </w:r>
          </w:p>
        </w:tc>
        <w:tc>
          <w:tcPr>
            <w:tcW w:w="141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学历及学位</w:t>
            </w:r>
          </w:p>
        </w:tc>
        <w:tc>
          <w:tcPr>
            <w:tcW w:w="232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职称或执业资格</w:t>
            </w:r>
          </w:p>
        </w:tc>
        <w:tc>
          <w:tcPr>
            <w:tcW w:w="2136"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从事审计工作年限</w:t>
            </w:r>
          </w:p>
        </w:tc>
        <w:tc>
          <w:tcPr>
            <w:tcW w:w="197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职责</w:t>
            </w:r>
          </w:p>
        </w:tc>
      </w:tr>
      <w:tr>
        <w:tblPrEx>
          <w:tblCellMar>
            <w:top w:w="0" w:type="dxa"/>
            <w:left w:w="108" w:type="dxa"/>
            <w:bottom w:w="0" w:type="dxa"/>
            <w:right w:w="108" w:type="dxa"/>
          </w:tblCellMar>
        </w:tblPrEx>
        <w:trPr>
          <w:trHeight w:val="679" w:hRule="atLeast"/>
        </w:trPr>
        <w:tc>
          <w:tcPr>
            <w:tcW w:w="1001"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nil"/>
              <w:left w:val="nil"/>
              <w:bottom w:val="single" w:color="auto" w:sz="4" w:space="0"/>
              <w:right w:val="single" w:color="auto" w:sz="4" w:space="0"/>
            </w:tcBorders>
            <w:noWrap w:val="0"/>
            <w:vAlign w:val="center"/>
          </w:tcPr>
          <w:p>
            <w:pPr>
              <w:widowControl/>
              <w:spacing w:line="360" w:lineRule="auto"/>
              <w:rPr>
                <w:rFonts w:ascii="宋体" w:hAnsi="宋体" w:cs="宋体"/>
                <w:color w:val="000000"/>
                <w:sz w:val="24"/>
              </w:rPr>
            </w:pPr>
          </w:p>
        </w:tc>
        <w:tc>
          <w:tcPr>
            <w:tcW w:w="213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nil"/>
              <w:left w:val="nil"/>
              <w:bottom w:val="single" w:color="auto" w:sz="4" w:space="0"/>
              <w:right w:val="single" w:color="auto" w:sz="4" w:space="0"/>
            </w:tcBorders>
            <w:noWrap w:val="0"/>
            <w:vAlign w:val="center"/>
          </w:tcPr>
          <w:p>
            <w:pPr>
              <w:widowControl/>
              <w:spacing w:line="360" w:lineRule="auto"/>
              <w:rPr>
                <w:rFonts w:ascii="宋体" w:hAnsi="宋体" w:cs="宋体"/>
                <w:color w:val="000000"/>
                <w:sz w:val="24"/>
              </w:rPr>
            </w:pPr>
          </w:p>
        </w:tc>
        <w:tc>
          <w:tcPr>
            <w:tcW w:w="213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13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136"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136"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13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r>
        <w:tblPrEx>
          <w:tblCellMar>
            <w:top w:w="0" w:type="dxa"/>
            <w:left w:w="108" w:type="dxa"/>
            <w:bottom w:w="0" w:type="dxa"/>
            <w:right w:w="108" w:type="dxa"/>
          </w:tblCellMar>
        </w:tblPrEx>
        <w:trPr>
          <w:trHeight w:val="679" w:hRule="atLeast"/>
        </w:trPr>
        <w:tc>
          <w:tcPr>
            <w:tcW w:w="1001"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41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322"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2136"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c>
          <w:tcPr>
            <w:tcW w:w="1977"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sz w:val="24"/>
              </w:rPr>
            </w:pPr>
          </w:p>
        </w:tc>
      </w:tr>
    </w:tbl>
    <w:p>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pPr>
        <w:ind w:firstLine="630" w:firstLineChars="300"/>
        <w:rPr>
          <w:rFonts w:hint="eastAsia" w:ascii="宋体" w:hAnsi="宋体" w:eastAsia="宋体" w:cs="宋体"/>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6" w:name="_Toc25518"/>
      <w:r>
        <w:rPr>
          <w:rFonts w:hint="eastAsia" w:ascii="宋体" w:hAnsi="宋体" w:cs="宋体"/>
          <w:b/>
          <w:bCs/>
          <w:color w:val="000000" w:themeColor="text1"/>
          <w:sz w:val="24"/>
          <w14:textFill>
            <w14:solidFill>
              <w14:schemeClr w14:val="tx1"/>
            </w14:solidFill>
          </w14:textFill>
        </w:rPr>
        <w:t>用户需求书</w:t>
      </w:r>
      <w:bookmarkEnd w:id="26"/>
    </w:p>
    <w:p>
      <w:pPr>
        <w:pStyle w:val="29"/>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7" w:name="_Toc11045"/>
      <w:bookmarkStart w:id="28"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27"/>
    <w:bookmarkEnd w:id="28"/>
    <w:p>
      <w:pPr>
        <w:spacing w:line="360" w:lineRule="auto"/>
        <w:ind w:firstLine="482" w:firstLineChars="200"/>
      </w:pPr>
      <w:r>
        <w:rPr>
          <w:rFonts w:hint="eastAsia" w:ascii="宋体" w:hAnsi="宋体" w:cs="宋体"/>
          <w:b/>
          <w:sz w:val="24"/>
        </w:rPr>
        <w:t>一、</w:t>
      </w:r>
      <w:bookmarkStart w:id="29" w:name="_Toc96337997"/>
      <w:bookmarkStart w:id="30" w:name="_Toc51746099"/>
      <w:r>
        <w:rPr>
          <w:rFonts w:hint="eastAsia" w:ascii="宋体" w:hAnsi="宋体" w:cs="宋体"/>
          <w:b/>
          <w:sz w:val="24"/>
        </w:rPr>
        <w:t>项目背景</w:t>
      </w:r>
      <w:bookmarkEnd w:id="29"/>
    </w:p>
    <w:bookmarkEnd w:id="30"/>
    <w:p>
      <w:pPr>
        <w:pStyle w:val="42"/>
        <w:tabs>
          <w:tab w:val="left" w:pos="720"/>
        </w:tabs>
        <w:autoSpaceDE w:val="0"/>
        <w:autoSpaceDN w:val="0"/>
        <w:adjustRightInd w:val="0"/>
        <w:spacing w:line="360" w:lineRule="auto"/>
        <w:ind w:right="17" w:firstLine="480"/>
        <w:jc w:val="left"/>
        <w:rPr>
          <w:rFonts w:hint="eastAsia" w:ascii="宋体" w:hAnsi="宋体" w:eastAsia="宋体" w:cs="宋体"/>
          <w:bCs/>
          <w:sz w:val="24"/>
        </w:rPr>
      </w:pPr>
      <w:r>
        <w:rPr>
          <w:rFonts w:hint="eastAsia" w:ascii="宋体" w:hAnsi="宋体" w:eastAsia="宋体" w:cs="宋体"/>
          <w:bCs/>
          <w:sz w:val="24"/>
          <w:lang w:eastAsia="zh-CN"/>
        </w:rPr>
        <w:t>为进一步向</w:t>
      </w:r>
      <w:r>
        <w:rPr>
          <w:rFonts w:hint="eastAsia" w:ascii="宋体" w:hAnsi="宋体" w:eastAsia="宋体" w:cs="宋体"/>
          <w:bCs/>
          <w:sz w:val="24"/>
          <w:lang w:val="en-US" w:eastAsia="zh-CN"/>
        </w:rPr>
        <w:t>“招外、招大、招战、招新”的工作目标方向推进，统筹</w:t>
      </w:r>
      <w:r>
        <w:rPr>
          <w:rFonts w:hint="eastAsia" w:ascii="宋体" w:hAnsi="宋体" w:eastAsia="宋体" w:cs="宋体"/>
          <w:bCs/>
          <w:sz w:val="24"/>
        </w:rPr>
        <w:t>开展</w:t>
      </w:r>
      <w:r>
        <w:rPr>
          <w:rFonts w:hint="eastAsia" w:ascii="宋体" w:hAnsi="宋体" w:eastAsia="宋体" w:cs="宋体"/>
          <w:bCs/>
          <w:sz w:val="24"/>
          <w:lang w:val="en-US" w:eastAsia="zh-CN"/>
        </w:rPr>
        <w:t>新一年度</w:t>
      </w:r>
      <w:r>
        <w:rPr>
          <w:rFonts w:hint="eastAsia" w:ascii="宋体" w:hAnsi="宋体" w:eastAsia="宋体" w:cs="宋体"/>
          <w:bCs/>
          <w:sz w:val="24"/>
        </w:rPr>
        <w:t>面向</w:t>
      </w:r>
      <w:r>
        <w:rPr>
          <w:rFonts w:hint="eastAsia" w:ascii="宋体" w:hAnsi="宋体" w:eastAsia="宋体" w:cs="宋体"/>
          <w:bCs/>
          <w:sz w:val="24"/>
          <w:lang w:val="en-US" w:eastAsia="zh-CN"/>
        </w:rPr>
        <w:t>APEC国家、</w:t>
      </w:r>
      <w:r>
        <w:rPr>
          <w:rFonts w:hint="eastAsia" w:ascii="宋体" w:hAnsi="宋体" w:eastAsia="宋体" w:cs="宋体"/>
          <w:bCs/>
          <w:sz w:val="24"/>
        </w:rPr>
        <w:t>全国重点城市、龙头企业精准招商和主动招商工作</w:t>
      </w:r>
      <w:r>
        <w:rPr>
          <w:rFonts w:hint="eastAsia" w:ascii="宋体" w:hAnsi="宋体" w:eastAsia="宋体" w:cs="宋体"/>
          <w:bCs/>
          <w:sz w:val="24"/>
          <w:lang w:val="en-US" w:eastAsia="zh-CN"/>
        </w:rPr>
        <w:t>，采购“前海招商引资行业智库专项”服务，为2026年招商引资工作提供支撑。</w:t>
      </w:r>
    </w:p>
    <w:p>
      <w:pPr>
        <w:pStyle w:val="42"/>
        <w:tabs>
          <w:tab w:val="left" w:pos="720"/>
        </w:tabs>
        <w:autoSpaceDE w:val="0"/>
        <w:autoSpaceDN w:val="0"/>
        <w:adjustRightInd w:val="0"/>
        <w:spacing w:line="360" w:lineRule="auto"/>
        <w:ind w:right="17" w:firstLine="482"/>
        <w:jc w:val="left"/>
        <w:rPr>
          <w:rFonts w:ascii="宋体" w:hAnsi="宋体" w:cs="宋体"/>
          <w:b/>
          <w:bCs/>
          <w:color w:val="000000"/>
          <w:sz w:val="24"/>
        </w:rPr>
      </w:pPr>
      <w:r>
        <w:rPr>
          <w:rFonts w:hint="eastAsia" w:ascii="宋体" w:hAnsi="宋体" w:cs="宋体"/>
          <w:b/>
          <w:sz w:val="24"/>
        </w:rPr>
        <w:t>二</w:t>
      </w:r>
      <w:r>
        <w:rPr>
          <w:rFonts w:hint="eastAsia" w:ascii="宋体" w:hAnsi="宋体" w:cs="宋体"/>
          <w:b/>
          <w:bCs/>
          <w:color w:val="000000"/>
          <w:sz w:val="24"/>
        </w:rPr>
        <w:t>、项目内容</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（一）针对《〈财富〉世界500强企业》《企业家联合会中国企业500强》《中国服务业企业500强》《央企名录》等</w:t>
      </w:r>
      <w:r>
        <w:rPr>
          <w:rFonts w:hint="eastAsia" w:ascii="宋体" w:hAnsi="宋体" w:eastAsia="宋体" w:cs="宋体"/>
          <w:color w:val="000000"/>
          <w:sz w:val="24"/>
          <w:lang w:val="en-US" w:eastAsia="zh-CN"/>
        </w:rPr>
        <w:t>4</w:t>
      </w:r>
      <w:r>
        <w:rPr>
          <w:rFonts w:hint="eastAsia" w:ascii="宋体" w:hAnsi="宋体" w:eastAsia="宋体" w:cs="宋体"/>
          <w:color w:val="000000"/>
          <w:sz w:val="24"/>
        </w:rPr>
        <w:t>大榜单，完成并交付</w:t>
      </w:r>
      <w:r>
        <w:rPr>
          <w:rFonts w:hint="eastAsia" w:ascii="宋体" w:hAnsi="宋体" w:eastAsia="宋体" w:cs="宋体"/>
          <w:color w:val="000000"/>
          <w:sz w:val="24"/>
          <w:lang w:val="en-US" w:eastAsia="zh-CN"/>
        </w:rPr>
        <w:t>4</w:t>
      </w:r>
      <w:r>
        <w:rPr>
          <w:rFonts w:hint="eastAsia" w:ascii="宋体" w:hAnsi="宋体" w:eastAsia="宋体" w:cs="宋体"/>
          <w:color w:val="000000"/>
          <w:sz w:val="24"/>
        </w:rPr>
        <w:t>份《榜单企业监测周期内中国投资布局情况分析报告》。</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二</w:t>
      </w:r>
      <w:r>
        <w:rPr>
          <w:rFonts w:hint="eastAsia" w:ascii="宋体" w:hAnsi="宋体" w:eastAsia="宋体" w:cs="宋体"/>
          <w:color w:val="000000"/>
          <w:sz w:val="24"/>
        </w:rPr>
        <w:t>）对</w:t>
      </w:r>
      <w:r>
        <w:rPr>
          <w:rFonts w:hint="eastAsia" w:ascii="宋体" w:hAnsi="宋体" w:eastAsia="宋体" w:cs="宋体"/>
          <w:color w:val="000000"/>
          <w:sz w:val="24"/>
          <w:lang w:eastAsia="zh-CN"/>
        </w:rPr>
        <w:t>不少于</w:t>
      </w:r>
      <w:r>
        <w:rPr>
          <w:rFonts w:hint="eastAsia" w:ascii="宋体" w:hAnsi="宋体" w:eastAsia="宋体" w:cs="宋体"/>
          <w:color w:val="000000"/>
          <w:sz w:val="24"/>
          <w:lang w:val="en-US" w:eastAsia="zh-CN"/>
        </w:rPr>
        <w:t>3</w:t>
      </w:r>
      <w:r>
        <w:rPr>
          <w:rFonts w:hint="eastAsia" w:ascii="宋体" w:hAnsi="宋体" w:eastAsia="宋体" w:cs="宋体"/>
          <w:color w:val="000000"/>
          <w:sz w:val="24"/>
        </w:rPr>
        <w:t>0个意向招引的重点项目、企业开展研判与分析，</w:t>
      </w:r>
      <w:r>
        <w:rPr>
          <w:rFonts w:hint="eastAsia" w:ascii="宋体" w:hAnsi="宋体" w:eastAsia="宋体" w:cs="宋体"/>
          <w:color w:val="000000"/>
          <w:sz w:val="24"/>
          <w:lang w:eastAsia="zh-CN"/>
        </w:rPr>
        <w:t>形成</w:t>
      </w:r>
      <w:r>
        <w:rPr>
          <w:rFonts w:hint="eastAsia" w:ascii="宋体" w:hAnsi="宋体" w:eastAsia="宋体" w:cs="宋体"/>
          <w:color w:val="000000"/>
          <w:sz w:val="24"/>
        </w:rPr>
        <w:t>优质意向招引企业项目落地研判分析报告</w:t>
      </w:r>
      <w:r>
        <w:rPr>
          <w:rFonts w:hint="eastAsia" w:ascii="宋体" w:hAnsi="宋体" w:eastAsia="宋体" w:cs="宋体"/>
          <w:color w:val="000000"/>
          <w:sz w:val="24"/>
          <w:lang w:val="en-US" w:eastAsia="zh-CN"/>
        </w:rPr>
        <w:t>3</w:t>
      </w:r>
      <w:r>
        <w:rPr>
          <w:rFonts w:hint="eastAsia" w:ascii="宋体" w:hAnsi="宋体" w:eastAsia="宋体" w:cs="宋体"/>
          <w:color w:val="000000"/>
          <w:sz w:val="24"/>
        </w:rPr>
        <w:t>0份。</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三）重大项目落地可行性分析报告4份。对不少于4个重大意向招引项目开展可行性分析，每个项目在7个工作日内形成企业投资可行性分析和下一步工作建议材料。材料包括：企业简介、项目简介、项目与前海产业规划契合度、项目落地投资建议、前海下一步工作建议、项目市区政策匹配度分析，</w:t>
      </w:r>
      <w:r>
        <w:rPr>
          <w:rFonts w:hint="eastAsia" w:ascii="宋体" w:hAnsi="宋体" w:eastAsia="宋体" w:cs="宋体"/>
          <w:color w:val="000000"/>
          <w:sz w:val="24"/>
        </w:rPr>
        <w:t>形成重大项目</w:t>
      </w:r>
      <w:r>
        <w:rPr>
          <w:rFonts w:hint="eastAsia" w:ascii="宋体" w:hAnsi="宋体" w:eastAsia="宋体" w:cs="宋体"/>
          <w:color w:val="000000"/>
          <w:sz w:val="24"/>
          <w:lang w:val="en-US" w:eastAsia="zh-CN"/>
        </w:rPr>
        <w:t>的</w:t>
      </w:r>
      <w:r>
        <w:rPr>
          <w:rFonts w:hint="eastAsia" w:ascii="宋体" w:hAnsi="宋体" w:eastAsia="宋体" w:cs="宋体"/>
          <w:color w:val="000000"/>
          <w:sz w:val="24"/>
        </w:rPr>
        <w:t>落地可行性分析报告</w:t>
      </w:r>
      <w:r>
        <w:rPr>
          <w:rFonts w:hint="eastAsia" w:ascii="宋体" w:hAnsi="宋体" w:eastAsia="宋体" w:cs="宋体"/>
          <w:color w:val="000000"/>
          <w:sz w:val="24"/>
          <w:lang w:eastAsia="zh-CN"/>
        </w:rPr>
        <w:t>。</w:t>
      </w:r>
    </w:p>
    <w:p>
      <w:pPr>
        <w:adjustRightInd w:val="0"/>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四</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境内外重点国家和城市招商引资资源梳理20期。主动梳理和挖掘对接不少于20个国家和城市的目标招商企业资源，特别针对非世界500强行业龙头企业/细分行业领军企业，通过前期对招商目标区域龙头企业的财务发展信息监测，形成对招商目标区域企业投资异动信息的及时抓取。</w:t>
      </w:r>
    </w:p>
    <w:p>
      <w:pPr>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（五）针对北京、上海、杭州、成都、苏州等五座城市，在服务期内新出台的产业政策及招商引资相关政策开展相关信息的监测、梳理与提炼分析，提升对前海整体招商工作与市外主要城市竞争情况的比较分析。</w:t>
      </w:r>
    </w:p>
    <w:p>
      <w:pPr>
        <w:adjustRightInd w:val="0"/>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（六）世界500强企业中国区域投资动态监测10期。定期对世界500强企业在中国投资动态、投资方式、投资对象的监测，将企业发展的意向投资信息实时反馈，以提升重大招商引资项目投资线索的挖掘。</w:t>
      </w:r>
    </w:p>
    <w:p>
      <w:pPr>
        <w:widowControl/>
        <w:spacing w:line="360" w:lineRule="auto"/>
        <w:ind w:firstLine="480" w:firstLineChars="200"/>
        <w:rPr>
          <w:rFonts w:ascii="宋体" w:hAnsi="宋体" w:cs="宋体"/>
          <w:bCs/>
          <w:sz w:val="24"/>
        </w:rPr>
      </w:pPr>
      <w:r>
        <w:rPr>
          <w:rFonts w:hint="eastAsia" w:ascii="宋体" w:hAnsi="宋体" w:eastAsia="宋体" w:cs="宋体"/>
          <w:color w:val="000000"/>
          <w:sz w:val="24"/>
          <w:lang w:val="en-US" w:eastAsia="zh-CN"/>
        </w:rPr>
        <w:t>（七）根据工作需要，常态化提供招商引资咨询建议服务。在日常工作中对于招引项目，根据工作需要开展项目分析以及提供落户建议参考。</w:t>
      </w:r>
    </w:p>
    <w:p>
      <w:pPr>
        <w:pStyle w:val="42"/>
        <w:tabs>
          <w:tab w:val="left" w:pos="720"/>
        </w:tabs>
        <w:autoSpaceDE w:val="0"/>
        <w:autoSpaceDN w:val="0"/>
        <w:adjustRightInd w:val="0"/>
        <w:spacing w:line="360" w:lineRule="auto"/>
        <w:ind w:right="17" w:firstLine="482"/>
        <w:jc w:val="left"/>
        <w:rPr>
          <w:rFonts w:ascii="宋体" w:hAnsi="宋体" w:cs="宋体"/>
          <w:b/>
          <w:sz w:val="24"/>
        </w:rPr>
      </w:pPr>
      <w:r>
        <w:rPr>
          <w:rFonts w:hint="eastAsia" w:ascii="宋体" w:hAnsi="宋体" w:cs="宋体"/>
          <w:b/>
          <w:sz w:val="24"/>
        </w:rPr>
        <w:t>三、</w:t>
      </w:r>
      <w:r>
        <w:rPr>
          <w:rFonts w:hint="eastAsia" w:ascii="宋体" w:hAnsi="宋体" w:cs="宋体"/>
          <w:b/>
          <w:color w:val="000000"/>
          <w:sz w:val="24"/>
        </w:rPr>
        <w:t>工作成果及验收要求</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《榜单企业监测周期内中国投资布局情况分析报告》</w:t>
      </w:r>
      <w:r>
        <w:rPr>
          <w:rFonts w:hint="eastAsia" w:ascii="宋体" w:hAnsi="宋体" w:eastAsia="宋体" w:cs="宋体"/>
          <w:color w:val="000000"/>
          <w:sz w:val="24"/>
          <w:lang w:val="en-US" w:eastAsia="zh-CN"/>
        </w:rPr>
        <w:t>4份；</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eastAsia="zh-CN"/>
        </w:rPr>
      </w:pPr>
      <w:r>
        <w:rPr>
          <w:rFonts w:hint="eastAsia" w:ascii="宋体" w:hAnsi="宋体" w:eastAsia="宋体" w:cs="宋体"/>
          <w:color w:val="000000"/>
          <w:sz w:val="24"/>
        </w:rPr>
        <w:t>优质意向招引企业项目落地研判分析报告</w:t>
      </w:r>
      <w:r>
        <w:rPr>
          <w:rFonts w:hint="eastAsia" w:ascii="宋体" w:hAnsi="宋体" w:eastAsia="宋体" w:cs="宋体"/>
          <w:color w:val="000000"/>
          <w:sz w:val="24"/>
          <w:lang w:val="en-US" w:eastAsia="zh-CN"/>
        </w:rPr>
        <w:t>3</w:t>
      </w:r>
      <w:r>
        <w:rPr>
          <w:rFonts w:hint="eastAsia" w:ascii="宋体" w:hAnsi="宋体" w:eastAsia="宋体" w:cs="宋体"/>
          <w:color w:val="000000"/>
          <w:sz w:val="24"/>
        </w:rPr>
        <w:t>0份</w:t>
      </w:r>
      <w:r>
        <w:rPr>
          <w:rFonts w:hint="eastAsia" w:ascii="宋体" w:hAnsi="宋体" w:eastAsia="宋体" w:cs="宋体"/>
          <w:color w:val="000000"/>
          <w:sz w:val="24"/>
          <w:lang w:eastAsia="zh-CN"/>
        </w:rPr>
        <w:t>；</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重大项目落地可行性分析报告4份；</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境内外重点国家和城市招商引资资源梳理20期；</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针对北京、上海、杭州、成都、苏州等五座城市，对服务期内新出台的产业政策及招商引资相关政策开展相关信息的监测；</w:t>
      </w:r>
    </w:p>
    <w:p>
      <w:pPr>
        <w:pStyle w:val="42"/>
        <w:numPr>
          <w:ilvl w:val="0"/>
          <w:numId w:val="5"/>
        </w:numPr>
        <w:tabs>
          <w:tab w:val="left" w:pos="720"/>
        </w:tabs>
        <w:autoSpaceDE w:val="0"/>
        <w:autoSpaceDN w:val="0"/>
        <w:adjustRightInd w:val="0"/>
        <w:spacing w:line="360" w:lineRule="auto"/>
        <w:ind w:left="0" w:leftChars="0" w:right="17"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世界500强企业中国区域投资动态监测10期；</w:t>
      </w:r>
    </w:p>
    <w:p>
      <w:pPr>
        <w:pStyle w:val="42"/>
        <w:numPr>
          <w:ilvl w:val="0"/>
          <w:numId w:val="5"/>
        </w:numPr>
        <w:tabs>
          <w:tab w:val="left" w:pos="720"/>
        </w:tabs>
        <w:autoSpaceDE w:val="0"/>
        <w:autoSpaceDN w:val="0"/>
        <w:adjustRightInd w:val="0"/>
        <w:spacing w:line="360" w:lineRule="auto"/>
        <w:ind w:left="0" w:leftChars="0" w:right="17" w:firstLine="420" w:firstLineChars="0"/>
        <w:rPr>
          <w:rFonts w:ascii="宋体" w:hAnsi="宋体" w:cs="宋体"/>
          <w:bCs/>
          <w:sz w:val="24"/>
        </w:rPr>
      </w:pPr>
      <w:r>
        <w:rPr>
          <w:rFonts w:hint="eastAsia" w:ascii="宋体" w:hAnsi="宋体" w:eastAsia="宋体" w:cs="宋体"/>
          <w:color w:val="000000"/>
          <w:sz w:val="24"/>
          <w:lang w:val="en-US" w:eastAsia="zh-CN"/>
        </w:rPr>
        <w:t>常态化提供招商引资咨询建议服务</w:t>
      </w:r>
    </w:p>
    <w:p>
      <w:pPr>
        <w:pStyle w:val="29"/>
        <w:tabs>
          <w:tab w:val="left" w:pos="720"/>
        </w:tabs>
        <w:autoSpaceDE w:val="0"/>
        <w:autoSpaceDN w:val="0"/>
        <w:adjustRightInd w:val="0"/>
        <w:spacing w:line="360" w:lineRule="auto"/>
        <w:ind w:right="17" w:firstLine="482"/>
        <w:jc w:val="left"/>
        <w:rPr>
          <w:rFonts w:ascii="宋体" w:hAnsi="宋体" w:cs="宋体"/>
          <w:b/>
          <w:color w:val="000000"/>
          <w:sz w:val="24"/>
        </w:rPr>
      </w:pPr>
      <w:r>
        <w:rPr>
          <w:rFonts w:hint="eastAsia" w:ascii="宋体" w:hAnsi="宋体" w:cs="宋体"/>
          <w:b/>
          <w:sz w:val="24"/>
        </w:rPr>
        <w:t>四、</w:t>
      </w:r>
      <w:r>
        <w:rPr>
          <w:rFonts w:hint="eastAsia" w:ascii="宋体" w:hAnsi="宋体" w:cs="宋体"/>
          <w:b/>
          <w:color w:val="000000"/>
          <w:sz w:val="24"/>
        </w:rPr>
        <w:t>验收方式</w:t>
      </w:r>
    </w:p>
    <w:p>
      <w:pPr>
        <w:pStyle w:val="42"/>
        <w:tabs>
          <w:tab w:val="left" w:pos="720"/>
        </w:tabs>
        <w:autoSpaceDE w:val="0"/>
        <w:autoSpaceDN w:val="0"/>
        <w:adjustRightInd w:val="0"/>
        <w:spacing w:line="360" w:lineRule="auto"/>
        <w:ind w:right="17" w:firstLine="480"/>
        <w:jc w:val="left"/>
        <w:rPr>
          <w:rFonts w:ascii="宋体" w:hAnsi="宋体" w:cs="宋体"/>
          <w:color w:val="000000"/>
          <w:kern w:val="0"/>
          <w:sz w:val="24"/>
        </w:rPr>
      </w:pPr>
      <w:r>
        <w:rPr>
          <w:rFonts w:hint="eastAsia" w:ascii="宋体" w:hAnsi="宋体" w:cs="宋体"/>
          <w:bCs/>
          <w:color w:val="000000"/>
          <w:sz w:val="24"/>
        </w:rPr>
        <w:t>采购人自行组织验收，出具验收合格证明。</w:t>
      </w:r>
    </w:p>
    <w:p>
      <w:pPr>
        <w:pStyle w:val="29"/>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、商务要求</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1" w:name="_Toc6017"/>
      <w:bookmarkStart w:id="32" w:name="_Toc16195"/>
      <w:r>
        <w:rPr>
          <w:rFonts w:hint="eastAsia" w:ascii="宋体" w:hAnsi="宋体" w:eastAsia="宋体" w:cs="宋体"/>
          <w:b/>
          <w:bCs/>
          <w:color w:val="000000" w:themeColor="text1"/>
          <w:sz w:val="24"/>
          <w:szCs w:val="24"/>
          <w14:textFill>
            <w14:solidFill>
              <w14:schemeClr w14:val="tx1"/>
            </w14:solidFill>
          </w14:textFill>
        </w:rPr>
        <w:t>（一）服务期限</w:t>
      </w:r>
      <w:bookmarkEnd w:id="31"/>
      <w:bookmarkEnd w:id="32"/>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rPr>
        <w:t>本合同服务时间为自签署合同之日起一年内。</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3" w:name="_Toc10463"/>
      <w:bookmarkStart w:id="34" w:name="_Toc15471"/>
      <w:r>
        <w:rPr>
          <w:rFonts w:hint="eastAsia" w:ascii="宋体" w:hAnsi="宋体" w:eastAsia="宋体" w:cs="宋体"/>
          <w:b/>
          <w:bCs/>
          <w:color w:val="000000" w:themeColor="text1"/>
          <w:sz w:val="24"/>
          <w:szCs w:val="24"/>
          <w14:textFill>
            <w14:solidFill>
              <w14:schemeClr w14:val="tx1"/>
            </w14:solidFill>
          </w14:textFill>
        </w:rPr>
        <w:t>（二）服务地点</w:t>
      </w:r>
      <w:bookmarkEnd w:id="33"/>
      <w:bookmarkEnd w:id="34"/>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5" w:name="_Toc368"/>
      <w:bookmarkStart w:id="36" w:name="_Toc32196"/>
      <w:r>
        <w:rPr>
          <w:rFonts w:hint="eastAsia" w:ascii="宋体" w:hAnsi="宋体" w:eastAsia="宋体" w:cs="宋体"/>
          <w:b/>
          <w:bCs/>
          <w:color w:val="000000" w:themeColor="text1"/>
          <w:sz w:val="24"/>
          <w:szCs w:val="24"/>
          <w14:textFill>
            <w14:solidFill>
              <w14:schemeClr w14:val="tx1"/>
            </w14:solidFill>
          </w14:textFill>
        </w:rPr>
        <w:t>（三）付款方式</w:t>
      </w:r>
      <w:bookmarkEnd w:id="35"/>
      <w:bookmarkEnd w:id="36"/>
    </w:p>
    <w:p>
      <w:pPr>
        <w:pStyle w:val="17"/>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1.项目资金由采购人分</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期支付至中标人指定银行账户：</w:t>
      </w:r>
    </w:p>
    <w:p>
      <w:pPr>
        <w:pStyle w:val="17"/>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（1）第1期：合同签订后15个工作日内，中标人向采购人提出付款申请，采购人向中标人支付总价款的</w:t>
      </w:r>
      <w:r>
        <w:rPr>
          <w:rFonts w:hint="eastAsia"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14:textFill>
            <w14:solidFill>
              <w14:schemeClr w14:val="tx1"/>
            </w14:solidFill>
          </w14:textFill>
        </w:rPr>
        <w:t>0%；</w:t>
      </w:r>
    </w:p>
    <w:p>
      <w:pPr>
        <w:pStyle w:val="17"/>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（2）第</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期：交付全部成果并经验收通过后15个工作日内，向中标人支付总价款的50%。</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上述每期款项均在满足付款条件，且采购方收到中标方开具的载明相应金额的合格发票后15个工作日内付至中标方指定银行账户。如未及时收到相关请款材料</w:t>
      </w:r>
      <w:r>
        <w:rPr>
          <w:rFonts w:hint="eastAsia" w:ascii="宋体" w:hAnsi="宋体" w:cs="宋体"/>
          <w:color w:val="000000"/>
          <w:sz w:val="24"/>
          <w:lang w:eastAsia="zh-CN"/>
        </w:rPr>
        <w:t>，</w:t>
      </w:r>
      <w:r>
        <w:rPr>
          <w:rFonts w:hint="eastAsia" w:ascii="宋体" w:hAnsi="宋体" w:cs="宋体"/>
          <w:color w:val="000000"/>
          <w:sz w:val="24"/>
        </w:rPr>
        <w:t>则采购方相应付款时间顺延。若因采购方付款审批影响支付进度，请中标方予以谅解，谅解期为期3个月，若谅解期结束仍未收到相关款项，中标方可向采购方索赔。</w:t>
      </w:r>
    </w:p>
    <w:p>
      <w:pPr>
        <w:pStyle w:val="17"/>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sz w:val="24"/>
          <w:lang w:val="en-US" w:eastAsia="zh-CN"/>
        </w:rPr>
        <w:t>3</w:t>
      </w:r>
      <w:r>
        <w:rPr>
          <w:rFonts w:hint="eastAsia" w:ascii="宋体" w:hAnsi="宋体" w:cs="宋体"/>
          <w:color w:val="000000"/>
          <w:sz w:val="24"/>
        </w:rPr>
        <w:t>.如果由于无法预见的原因，致使从事本合同所涉及的服务实际时间较本合同签订时预计的时间有明显增加或者减少时，如所涉增加费用的金额不超过本合同项下服务费总金额的10%</w:t>
      </w:r>
      <w:r>
        <w:rPr>
          <w:rFonts w:hint="eastAsia" w:cs="宋体"/>
          <w:color w:val="000000"/>
          <w:sz w:val="24"/>
          <w:lang w:eastAsia="zh-CN"/>
        </w:rPr>
        <w:t>，</w:t>
      </w:r>
      <w:r>
        <w:rPr>
          <w:rFonts w:hint="eastAsia" w:ascii="宋体" w:hAnsi="宋体" w:cs="宋体"/>
          <w:color w:val="000000"/>
          <w:sz w:val="24"/>
        </w:rPr>
        <w:t>由双方商定变更内容及具体价格后签订书面补充协议予以确认</w:t>
      </w:r>
      <w:r>
        <w:rPr>
          <w:rFonts w:hint="eastAsia" w:ascii="宋体" w:hAnsi="宋体" w:eastAsia="宋体" w:cs="宋体"/>
          <w:color w:val="000000" w:themeColor="text1"/>
          <w:kern w:val="2"/>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color w:val="000000" w:themeColor="text1"/>
          <w:sz w:val="24"/>
          <w:szCs w:val="24"/>
          <w14:textFill>
            <w14:solidFill>
              <w14:schemeClr w14:val="tx1"/>
            </w14:solidFill>
          </w14:textFill>
        </w:rPr>
      </w:pPr>
      <w:bookmarkStart w:id="37" w:name="_Toc16130"/>
      <w:bookmarkStart w:id="38" w:name="_Toc16091"/>
      <w:r>
        <w:rPr>
          <w:rFonts w:hint="eastAsia" w:ascii="宋体" w:hAnsi="宋体" w:eastAsia="宋体" w:cs="宋体"/>
          <w:b/>
          <w:color w:val="000000" w:themeColor="text1"/>
          <w:sz w:val="24"/>
          <w:szCs w:val="24"/>
          <w14:textFill>
            <w14:solidFill>
              <w14:schemeClr w14:val="tx1"/>
            </w14:solidFill>
          </w14:textFill>
        </w:rPr>
        <w:t>（五）投标报价</w:t>
      </w:r>
      <w:bookmarkEnd w:id="37"/>
      <w:bookmarkEnd w:id="38"/>
    </w:p>
    <w:p>
      <w:pPr>
        <w:pStyle w:val="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服务费采用包干制，应包括服务成本、法定税费和企业的利润等为完成本项目服务所发生的全部相关费用。由企业根据招标文件所提供的资料自行测算投标报价；由企业根据招标文件所提供的资料自行测算投标报价；一经中标，投标报价总价作为中标单位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的合同金额，在合同实施期间，除另签补充合同外，不接受中标人以任何理由、任何名目提出增加费用的要求。</w:t>
      </w:r>
    </w:p>
    <w:p>
      <w:pPr>
        <w:pStyle w:val="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9" w:name="_Toc7539"/>
      <w:bookmarkStart w:id="40" w:name="_Toc10430"/>
      <w:r>
        <w:rPr>
          <w:rFonts w:hint="eastAsia" w:ascii="宋体" w:hAnsi="宋体" w:eastAsia="宋体" w:cs="宋体"/>
          <w:b/>
          <w:bCs/>
          <w:color w:val="000000" w:themeColor="text1"/>
          <w:sz w:val="24"/>
          <w:szCs w:val="24"/>
          <w14:textFill>
            <w14:solidFill>
              <w14:schemeClr w14:val="tx1"/>
            </w14:solidFill>
          </w14:textFill>
        </w:rPr>
        <w:t>（六）</w:t>
      </w:r>
      <w:bookmarkStart w:id="41" w:name="OLE_LINK11"/>
      <w:r>
        <w:rPr>
          <w:rFonts w:hint="eastAsia" w:ascii="宋体" w:hAnsi="宋体" w:eastAsia="宋体" w:cs="宋体"/>
          <w:b/>
          <w:bCs/>
          <w:color w:val="000000" w:themeColor="text1"/>
          <w:sz w:val="24"/>
          <w:szCs w:val="24"/>
          <w14:textFill>
            <w14:solidFill>
              <w14:schemeClr w14:val="tx1"/>
            </w14:solidFill>
          </w14:textFill>
        </w:rPr>
        <w:t>知识产权</w:t>
      </w:r>
      <w:bookmarkEnd w:id="39"/>
      <w:bookmarkEnd w:id="40"/>
      <w:bookmarkEnd w:id="41"/>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1.双方对本合同有关的知识产权以及与之相关的所有权利归属约定如下： 本项目全部阶段性成果和最终成果的知识产权以及与之相关的所有权利归双方共同所有。本合同签署前双方已经拥有的知识产权权利，仍归各自所有。</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用于政府部门科研项目申报外，未经采购人书面同意，中标人不得将本项目的中间成果和最终成果文件及任何数据、资料、软件向任何第三方转让、授权任何第三方使用或用于本合同项目外的其他项目。经核实发生以上情况，中标人应向采购人支付本合同总价款20%的违约金，如果违约金无法弥补采购人的损失，采购人有权要求中标方赔偿全部损失。</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5.中标人完成本合同项目的研究开发人员享有在有关技术成果材料上写明技术成果完成者的权利和与采购人共同获得有关署名权、荣誉证书、奖励的权利。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2" w:name="_Toc14469"/>
      <w:bookmarkStart w:id="43" w:name="_Toc27553"/>
      <w:r>
        <w:rPr>
          <w:rFonts w:hint="eastAsia" w:ascii="宋体" w:hAnsi="宋体" w:eastAsia="宋体" w:cs="宋体"/>
          <w:b/>
          <w:bCs/>
          <w:color w:val="000000" w:themeColor="text1"/>
          <w:sz w:val="24"/>
          <w:szCs w:val="24"/>
          <w14:textFill>
            <w14:solidFill>
              <w14:schemeClr w14:val="tx1"/>
            </w14:solidFill>
          </w14:textFill>
        </w:rPr>
        <w:t>（七）违约责任</w:t>
      </w:r>
      <w:bookmarkEnd w:id="42"/>
      <w:bookmarkEnd w:id="43"/>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1.如中标人未按本合同约定期限出具审核报告每迟延一天，采购人有权要求中标人支付本合同项下服务费总金额3‰的违约金。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2.本合同履行期间，发生下述情形时，采购人有权解除本合同，不予支付服务费并可要求返还已支付的服务费，中标人应向采购人支付合同总价款20%的违约金，同时，采购人保留要求中标人赔偿相应损失的权利：</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（1）中标人未能按合同约定的日期(含协商延缓的日期)提交成果，延误时间超过15个工作日；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（2）因中标人工作的错误或遗漏造成成果质量损失，且中标人未按采购人要求采取及时有效的补救措施的；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（3）中标人虽如期提交阶段性成果和最终成果，但最终成果连续二次未能通过验收的；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（4）未经采购人书面在先同意，中标人擅自将本合同项目与任何第三方合作，或将本合同标的的全部或部分擅自转包给任何第三方，且未按采购人的要求终止与第三方的合同的；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（5）发现中标人或中标人工作人员出现全部或部分丧失履行委托服务能力的情况，采购人有权通知中标人限期整改或更换工作人员，期限届满中标人并未进行改善的；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（6）中标人明确表示或者以自己的行为表明不履行本合同的。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3.如采购人无正当理由拒绝接受服务，到期明确表示拒付服务款项的，则采购人应向中标人偿付本合同项下服务费总金额3%的违约金。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4.上述违约责任各自独立且可累加。本合同所约定的违约金如低于因违约行为所造成的损失，违约方应补偿上述不足部分的损失。</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4" w:name="_Toc11364"/>
      <w:bookmarkStart w:id="45" w:name="_Toc31814"/>
      <w:r>
        <w:rPr>
          <w:rFonts w:hint="eastAsia" w:ascii="宋体" w:hAnsi="宋体" w:eastAsia="宋体" w:cs="宋体"/>
          <w:b/>
          <w:bCs/>
          <w:color w:val="000000" w:themeColor="text1"/>
          <w:sz w:val="24"/>
          <w:szCs w:val="24"/>
          <w14:textFill>
            <w14:solidFill>
              <w14:schemeClr w14:val="tx1"/>
            </w14:solidFill>
          </w14:textFill>
        </w:rPr>
        <w:t>（八）保密条款</w:t>
      </w:r>
      <w:bookmarkEnd w:id="44"/>
      <w:bookmarkEnd w:id="45"/>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方应以保密方式处理在编制本项目成果文件过程中自采购人、采购人工作人员或采购人局属企业获得的相关信息、资料、图纸、数据等，或由采购人在履行本合同过程中明确指明为秘密的任何信息，以及中标人因本项目工作内容所直接或间接取得、处理或接触的任何其他资料。未经采购人书面在先同意，中标人不得向任何第三方透露与本项目有关的内容，或公开本项目的成果文件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4.无论本合同或本合同其他条款是否有效，本保密条款始终约束双方。国家秘密的保密期限由国家有关部门确定，工作秘密的保密期限由采购人确定。</w:t>
      </w: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46" w:name="_Toc23822"/>
      <w:r>
        <w:rPr>
          <w:rFonts w:hint="eastAsia" w:ascii="宋体" w:cs="宋体"/>
          <w:b/>
          <w:bCs/>
          <w:color w:val="000000" w:themeColor="text1"/>
          <w:sz w:val="24"/>
          <w14:textFill>
            <w14:solidFill>
              <w14:schemeClr w14:val="tx1"/>
            </w14:solidFill>
          </w14:textFill>
        </w:rPr>
        <w:t>第六章 投标文件初审及招标项目评分表</w:t>
      </w:r>
      <w:bookmarkEnd w:id="46"/>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11"/>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11"/>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投标人综合实力</w:t>
            </w:r>
          </w:p>
        </w:tc>
        <w:tc>
          <w:tcPr>
            <w:tcW w:w="5992" w:type="dxa"/>
            <w:shd w:val="clear" w:color="auto" w:fill="auto"/>
            <w:vAlign w:val="center"/>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（一）评分内容：</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投标人2021年1月1日至本项目投标截止时间内承担过同类项目（以合同签订日期为准）情况：</w:t>
            </w:r>
          </w:p>
          <w:p>
            <w:pPr>
              <w:widowControl/>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承担过招商引资企业统计和分析；战略性新兴产业和未来产业等重点产业招商引资研究；招商引资项目可行性分析研究；产业链分析研究；共4类相关领域政府课题或相关咨询研究案例的，每提供1</w:t>
            </w:r>
            <w:r>
              <w:rPr>
                <w:rFonts w:hint="eastAsia" w:ascii="宋体" w:hAnsi="宋体" w:eastAsia="宋体" w:cs="宋体"/>
                <w:kern w:val="0"/>
                <w:sz w:val="24"/>
                <w:szCs w:val="24"/>
                <w:lang w:val="en-US" w:eastAsia="zh-CN"/>
              </w:rPr>
              <w:t>类</w:t>
            </w:r>
            <w:r>
              <w:rPr>
                <w:rFonts w:hint="eastAsia" w:ascii="宋体" w:hAnsi="宋体" w:eastAsia="宋体" w:cs="宋体"/>
                <w:kern w:val="0"/>
                <w:sz w:val="24"/>
                <w:szCs w:val="24"/>
              </w:rPr>
              <w:t>得3分，最高得12分。 其中服务案例中，甲方验收</w:t>
            </w:r>
            <w:r>
              <w:rPr>
                <w:rFonts w:hint="eastAsia" w:ascii="宋体" w:hAnsi="宋体" w:eastAsia="宋体" w:cs="宋体"/>
                <w:kern w:val="0"/>
                <w:sz w:val="24"/>
                <w:szCs w:val="24"/>
                <w:lang w:val="en-US" w:eastAsia="zh-CN"/>
              </w:rPr>
              <w:t>或履约</w:t>
            </w:r>
            <w:r>
              <w:rPr>
                <w:rFonts w:hint="eastAsia" w:ascii="宋体" w:hAnsi="宋体" w:eastAsia="宋体" w:cs="宋体"/>
                <w:kern w:val="0"/>
                <w:sz w:val="24"/>
                <w:szCs w:val="24"/>
              </w:rPr>
              <w:t>结果为“优秀”或“满意”</w:t>
            </w:r>
            <w:r>
              <w:rPr>
                <w:rFonts w:hint="eastAsia" w:ascii="宋体" w:hAnsi="宋体" w:eastAsia="宋体" w:cs="宋体"/>
                <w:kern w:val="0"/>
                <w:sz w:val="24"/>
                <w:szCs w:val="24"/>
                <w:lang w:val="en-US" w:eastAsia="zh-CN"/>
              </w:rPr>
              <w:t>或评价表中最高</w:t>
            </w:r>
            <w:r>
              <w:rPr>
                <w:rFonts w:hint="eastAsia" w:ascii="宋体" w:hAnsi="宋体" w:eastAsia="宋体" w:cs="宋体"/>
                <w:kern w:val="0"/>
                <w:sz w:val="24"/>
                <w:szCs w:val="24"/>
              </w:rPr>
              <w:t>评级的，</w:t>
            </w:r>
            <w:r>
              <w:rPr>
                <w:rFonts w:hint="eastAsia" w:ascii="宋体" w:hAnsi="宋体" w:eastAsia="宋体" w:cs="宋体"/>
                <w:kern w:val="0"/>
                <w:sz w:val="24"/>
                <w:szCs w:val="24"/>
                <w:lang w:val="en-US" w:eastAsia="zh-CN"/>
              </w:rPr>
              <w:t>如为评分的，要求90或以上，</w:t>
            </w:r>
            <w:r>
              <w:rPr>
                <w:rFonts w:hint="eastAsia" w:ascii="宋体" w:hAnsi="宋体" w:eastAsia="宋体" w:cs="宋体"/>
                <w:kern w:val="0"/>
                <w:sz w:val="24"/>
                <w:szCs w:val="24"/>
              </w:rPr>
              <w:t>每提供1个</w:t>
            </w:r>
            <w:r>
              <w:rPr>
                <w:rFonts w:hint="eastAsia" w:ascii="宋体" w:hAnsi="宋体" w:eastAsia="宋体" w:cs="宋体"/>
                <w:kern w:val="0"/>
                <w:sz w:val="24"/>
                <w:szCs w:val="24"/>
                <w:lang w:val="en-US" w:eastAsia="zh-CN"/>
              </w:rPr>
              <w:t>项目评价</w:t>
            </w:r>
            <w:r>
              <w:rPr>
                <w:rFonts w:hint="eastAsia" w:ascii="宋体" w:hAnsi="宋体" w:eastAsia="宋体" w:cs="宋体"/>
                <w:kern w:val="0"/>
                <w:sz w:val="24"/>
                <w:szCs w:val="24"/>
              </w:rPr>
              <w:t>得4分，最高得8分。</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（二）评分依据：</w:t>
            </w:r>
          </w:p>
          <w:p>
            <w:pPr>
              <w:pStyle w:val="11"/>
              <w:spacing w:line="360" w:lineRule="auto"/>
              <w:rPr>
                <w:rFonts w:hint="default" w:ascii="宋体" w:hAnsi="宋体" w:eastAsia="宋体" w:cs="宋体"/>
                <w:color w:val="FF0000"/>
                <w:kern w:val="0"/>
                <w:sz w:val="24"/>
                <w:szCs w:val="24"/>
                <w:lang w:val="en-US"/>
              </w:rPr>
            </w:pPr>
            <w:r>
              <w:rPr>
                <w:rFonts w:hint="eastAsia" w:ascii="宋体" w:hAnsi="宋体" w:eastAsia="宋体" w:cs="宋体"/>
                <w:kern w:val="0"/>
                <w:sz w:val="24"/>
                <w:szCs w:val="24"/>
              </w:rPr>
              <w:t>1.要求提供合同关键页（至少能体现合同采购标的、合同签订双方盖章页及合同签署日期等内容），通过合同关键信息无法判断是否得分的，还须同时提供项目报告或客户单位出具的加盖客户单位公章或业务章的证明文件等。每个领域类型只计分1次，同一合同包含多个领域类型只计分1次。验收</w:t>
            </w:r>
            <w:r>
              <w:rPr>
                <w:rFonts w:hint="eastAsia" w:ascii="宋体" w:hAnsi="宋体" w:eastAsia="宋体" w:cs="宋体"/>
                <w:kern w:val="0"/>
                <w:sz w:val="24"/>
                <w:szCs w:val="24"/>
                <w:lang w:val="en-US" w:eastAsia="zh-CN"/>
              </w:rPr>
              <w:t>或履约评价需提供验收或履约评价表，加盖甲方公章（或业务章）。</w:t>
            </w:r>
          </w:p>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0"/>
                <w:sz w:val="24"/>
                <w:szCs w:val="24"/>
              </w:rPr>
              <w:t>2.以上资料均要求提供复印件或扫描件，原件备查。评分中出现无证明资料或专家无法凭所提供资料判断是否得分的情况，一律作不得分处理。</w:t>
            </w:r>
          </w:p>
        </w:tc>
        <w:tc>
          <w:tcPr>
            <w:tcW w:w="816" w:type="dxa"/>
            <w:shd w:val="clear" w:color="auto" w:fill="auto"/>
            <w:vAlign w:val="center"/>
          </w:tcPr>
          <w:p>
            <w:pPr>
              <w:wordWrap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拟派本项目负责人（1人）</w:t>
            </w:r>
          </w:p>
        </w:tc>
        <w:tc>
          <w:tcPr>
            <w:tcW w:w="5992" w:type="dxa"/>
            <w:shd w:val="clear" w:color="auto" w:fill="auto"/>
            <w:vAlign w:val="top"/>
          </w:tcPr>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（一）评分内容： </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评审标准：项目负责人仅限1人，需为投标人自有员工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以社保为准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，否则本项不得分，在此基础上：</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相关工作经验情况项目负责人经验：具有产业研究和招商引资相关工作经验的（</w:t>
            </w:r>
            <w:r>
              <w:rPr>
                <w:rFonts w:hint="eastAsia" w:ascii="宋体" w:hAnsi="宋体" w:eastAsia="宋体" w:cs="宋体"/>
                <w:sz w:val="24"/>
                <w:szCs w:val="24"/>
              </w:rPr>
              <w:t>需要投标人提供作为项目负责人的业绩证明材料</w:t>
            </w:r>
            <w:r>
              <w:rPr>
                <w:rFonts w:hint="eastAsia" w:ascii="宋体" w:hAnsi="宋体" w:eastAsia="宋体" w:cs="宋体"/>
                <w:kern w:val="0"/>
                <w:sz w:val="24"/>
                <w:szCs w:val="24"/>
              </w:rPr>
              <w:t>）</w:t>
            </w:r>
            <w:r>
              <w:rPr>
                <w:rFonts w:hint="eastAsia" w:ascii="宋体" w:hAnsi="宋体" w:eastAsia="宋体" w:cs="宋体"/>
                <w:color w:val="FF0000"/>
                <w:kern w:val="0"/>
                <w:sz w:val="24"/>
                <w:szCs w:val="24"/>
              </w:rPr>
              <w:t>，</w:t>
            </w:r>
            <w:r>
              <w:rPr>
                <w:rFonts w:hint="eastAsia" w:ascii="宋体" w:hAnsi="宋体" w:cs="宋体"/>
                <w:color w:val="FF0000"/>
                <w:kern w:val="0"/>
                <w:sz w:val="24"/>
                <w:szCs w:val="24"/>
                <w:lang w:val="en-US" w:eastAsia="zh-CN"/>
              </w:rPr>
              <w:t>1个</w:t>
            </w:r>
            <w:r>
              <w:rPr>
                <w:rFonts w:hint="eastAsia" w:ascii="宋体" w:hAnsi="宋体" w:eastAsia="宋体" w:cs="宋体"/>
                <w:color w:val="FF0000"/>
                <w:kern w:val="0"/>
                <w:sz w:val="24"/>
                <w:szCs w:val="24"/>
              </w:rPr>
              <w:t>得</w:t>
            </w:r>
            <w:r>
              <w:rPr>
                <w:rFonts w:hint="eastAsia" w:ascii="宋体" w:hAnsi="宋体" w:cs="宋体"/>
                <w:color w:val="FF0000"/>
                <w:kern w:val="0"/>
                <w:sz w:val="24"/>
                <w:szCs w:val="24"/>
                <w:lang w:val="en-US" w:eastAsia="zh-CN"/>
              </w:rPr>
              <w:t>2分，满分10</w:t>
            </w:r>
            <w:r>
              <w:rPr>
                <w:rFonts w:hint="eastAsia" w:ascii="宋体" w:hAnsi="宋体" w:eastAsia="宋体" w:cs="宋体"/>
                <w:color w:val="FF0000"/>
                <w:kern w:val="0"/>
                <w:sz w:val="24"/>
                <w:szCs w:val="24"/>
              </w:rPr>
              <w:t>分；不</w:t>
            </w:r>
            <w:r>
              <w:rPr>
                <w:rFonts w:hint="eastAsia" w:ascii="宋体" w:hAnsi="宋体" w:eastAsia="宋体" w:cs="宋体"/>
                <w:kern w:val="0"/>
                <w:sz w:val="24"/>
                <w:szCs w:val="24"/>
              </w:rPr>
              <w:t>提供或者不能有效证明的，得0分。</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（二）评分依据：</w:t>
            </w:r>
            <w:r>
              <w:rPr>
                <w:rFonts w:hint="eastAsia" w:ascii="宋体" w:hAnsi="宋体" w:eastAsia="宋体" w:cs="宋体"/>
                <w:kern w:val="0"/>
                <w:sz w:val="24"/>
                <w:szCs w:val="24"/>
                <w:lang w:val="zh-CN"/>
              </w:rPr>
              <w:tab/>
            </w:r>
          </w:p>
          <w:p>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1.项目负责人须为投标人自有员工，投标时须提供投标人近三个月任意一个月为拟投入的项目人员缴交的社保证明，如投标人注册成立时间不足1个月的，可提供承诺函证</w:t>
            </w:r>
            <w:r>
              <w:rPr>
                <w:rFonts w:hint="eastAsia" w:ascii="宋体" w:hAnsi="宋体" w:eastAsia="宋体" w:cs="宋体"/>
                <w:color w:val="000000" w:themeColor="text1"/>
                <w:kern w:val="0"/>
                <w:sz w:val="24"/>
                <w:szCs w:val="24"/>
                <w14:textFill>
                  <w14:solidFill>
                    <w14:schemeClr w14:val="tx1"/>
                  </w14:solidFill>
                </w14:textFill>
              </w:rPr>
              <w:t>明拟投入的项目人员为其自有员工（格式自拟），否则投入的该人员作不得分处理。本项目不接受退休返聘人员。</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2.涉及工作经验的，需提供业绩合同关键页（至少能体现合同采购标的、合同签订双方盖章页及合同签署日期等内容</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体现负责人信息</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项目负责人提供的业绩非在本单位完成的，</w:t>
            </w:r>
            <w:r>
              <w:rPr>
                <w:rFonts w:hint="eastAsia" w:ascii="宋体" w:hAnsi="宋体" w:eastAsia="宋体" w:cs="宋体"/>
                <w:color w:val="000000" w:themeColor="text1"/>
                <w:kern w:val="0"/>
                <w:sz w:val="24"/>
                <w:szCs w:val="24"/>
                <w14:textFill>
                  <w14:solidFill>
                    <w14:schemeClr w14:val="tx1"/>
                  </w14:solidFill>
                </w14:textFill>
              </w:rPr>
              <w:t>均可得分。</w:t>
            </w:r>
            <w:r>
              <w:rPr>
                <w:rFonts w:hint="eastAsia" w:ascii="宋体" w:hAnsi="宋体" w:eastAsia="宋体" w:cs="宋体"/>
                <w:color w:val="000000" w:themeColor="text1"/>
                <w:kern w:val="0"/>
                <w:sz w:val="24"/>
                <w:szCs w:val="24"/>
                <w:lang w:val="en-US" w:eastAsia="zh-CN"/>
                <w14:textFill>
                  <w14:solidFill>
                    <w14:schemeClr w14:val="tx1"/>
                  </w14:solidFill>
                </w14:textFill>
              </w:rPr>
              <w:t>如合同信息无法体现项目负责人信息，</w:t>
            </w:r>
            <w:r>
              <w:rPr>
                <w:rFonts w:hint="eastAsia" w:ascii="宋体" w:hAnsi="宋体" w:cs="宋体"/>
                <w:color w:val="000000" w:themeColor="text1"/>
                <w:sz w:val="24"/>
                <w:szCs w:val="24"/>
                <w:lang w:val="en-US" w:eastAsia="zh-CN"/>
                <w14:textFill>
                  <w14:solidFill>
                    <w14:schemeClr w14:val="tx1"/>
                  </w14:solidFill>
                </w14:textFill>
              </w:rPr>
              <w:t>同时需</w:t>
            </w:r>
            <w:r>
              <w:rPr>
                <w:rFonts w:hint="eastAsia" w:ascii="宋体" w:hAnsi="宋体" w:eastAsia="宋体" w:cs="宋体"/>
                <w:color w:val="000000" w:themeColor="text1"/>
                <w:kern w:val="0"/>
                <w:sz w:val="24"/>
                <w:szCs w:val="24"/>
                <w:lang w:val="en-US" w:eastAsia="zh-CN"/>
                <w14:textFill>
                  <w14:solidFill>
                    <w14:schemeClr w14:val="tx1"/>
                  </w14:solidFill>
                </w14:textFill>
              </w:rPr>
              <w:t>提供加盖合同甲方公章（或业务章）的证明材料。</w:t>
            </w:r>
          </w:p>
          <w:p>
            <w:pPr>
              <w:pStyle w:val="11"/>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.以上资料均要求提供复印件或扫描件（或官方网站截图），原件备查。评分中出现无证明资料或专家无法凭所提供资料判断是否得分的情况，一律作不得分处理。</w:t>
            </w:r>
          </w:p>
        </w:tc>
        <w:tc>
          <w:tcPr>
            <w:tcW w:w="816" w:type="dxa"/>
            <w:shd w:val="clear" w:color="auto" w:fill="auto"/>
            <w:vAlign w:val="center"/>
          </w:tcPr>
          <w:p>
            <w:pPr>
              <w:wordWrap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项目团队人员情况（不含项目负责人）</w:t>
            </w:r>
          </w:p>
        </w:tc>
        <w:tc>
          <w:tcPr>
            <w:tcW w:w="5992" w:type="dxa"/>
            <w:shd w:val="clear" w:color="auto" w:fill="auto"/>
            <w:vAlign w:val="top"/>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（一）评分内容： </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1.学历情况：项目团队中每提供1位具有</w:t>
            </w:r>
            <w:r>
              <w:rPr>
                <w:rFonts w:hint="default" w:ascii="宋体" w:hAnsi="宋体" w:cs="宋体"/>
                <w:kern w:val="0"/>
                <w:sz w:val="24"/>
                <w:szCs w:val="24"/>
                <w:lang w:val="en-US"/>
              </w:rPr>
              <w:t>经济、金融相关、数学、数据分析相关的</w:t>
            </w:r>
            <w:r>
              <w:rPr>
                <w:rFonts w:hint="eastAsia" w:ascii="宋体" w:hAnsi="宋体" w:eastAsia="宋体" w:cs="宋体"/>
                <w:kern w:val="0"/>
                <w:sz w:val="24"/>
                <w:szCs w:val="24"/>
              </w:rPr>
              <w:t>硕士研究生或以上学历人员得2分，最高得分不超过4分。同一人员具有多项学历的，仅按最高学历计分。</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2.项目经验：项目团队中每提供1位具有从事政府招商或园区招商或战略性新兴产业和未来产业等重点产业领域产业研究等工作经历的，得2分，最高得分不超过6分。</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（二）评分依据：</w:t>
            </w:r>
          </w:p>
          <w:p>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1.项目团队人员均须为投标人自有员工，投标时须提供投标人近三个月任意一个月为拟投入的项目团队人员缴交的社保证明，如投标人注册成立时间不足1个月的，可提供承诺函证明拟投入的项目团队人员为其自有员工（格式自拟），</w:t>
            </w:r>
            <w:r>
              <w:rPr>
                <w:rFonts w:hint="eastAsia" w:ascii="宋体" w:hAnsi="宋体" w:eastAsia="宋体" w:cs="宋体"/>
                <w:color w:val="000000" w:themeColor="text1"/>
                <w:kern w:val="0"/>
                <w:sz w:val="24"/>
                <w:szCs w:val="24"/>
                <w14:textFill>
                  <w14:solidFill>
                    <w14:schemeClr w14:val="tx1"/>
                  </w14:solidFill>
                </w14:textFill>
              </w:rPr>
              <w:t>否则投入的该人员作不得分处理。本项目不接受退休返聘人员。</w:t>
            </w:r>
          </w:p>
          <w:p>
            <w:pPr>
              <w:spacing w:line="360" w:lineRule="auto"/>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2.涉及</w:t>
            </w:r>
            <w:r>
              <w:rPr>
                <w:rFonts w:hint="eastAsia" w:ascii="宋体" w:hAnsi="宋体" w:eastAsia="宋体" w:cs="宋体"/>
                <w:color w:val="000000" w:themeColor="text1"/>
                <w:kern w:val="0"/>
                <w:sz w:val="24"/>
                <w:szCs w:val="24"/>
                <w:lang w:val="en-US" w:eastAsia="zh-CN"/>
                <w14:textFill>
                  <w14:solidFill>
                    <w14:schemeClr w14:val="tx1"/>
                  </w14:solidFill>
                </w14:textFill>
              </w:rPr>
              <w:t>工作</w:t>
            </w:r>
            <w:r>
              <w:rPr>
                <w:rFonts w:hint="eastAsia" w:ascii="宋体" w:hAnsi="宋体" w:eastAsia="宋体" w:cs="宋体"/>
                <w:color w:val="000000" w:themeColor="text1"/>
                <w:kern w:val="0"/>
                <w:sz w:val="24"/>
                <w:szCs w:val="24"/>
                <w14:textFill>
                  <w14:solidFill>
                    <w14:schemeClr w14:val="tx1"/>
                  </w14:solidFill>
                </w14:textFill>
              </w:rPr>
              <w:t>经验的，需提供业绩合同关键页（至少能体现合同采购标的、合同签订双方盖章页及合同签署日期</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人员信息</w:t>
            </w:r>
            <w:r>
              <w:rPr>
                <w:rFonts w:hint="eastAsia" w:ascii="宋体" w:hAnsi="宋体" w:eastAsia="宋体" w:cs="宋体"/>
                <w:color w:val="000000" w:themeColor="text1"/>
                <w:kern w:val="0"/>
                <w:sz w:val="24"/>
                <w:szCs w:val="24"/>
                <w14:textFill>
                  <w14:solidFill>
                    <w14:schemeClr w14:val="tx1"/>
                  </w14:solidFill>
                </w14:textFill>
              </w:rPr>
              <w:t>等内容）。</w:t>
            </w:r>
            <w:r>
              <w:rPr>
                <w:rFonts w:hint="eastAsia" w:ascii="宋体" w:hAnsi="宋体" w:eastAsia="宋体" w:cs="宋体"/>
                <w:color w:val="000000" w:themeColor="text1"/>
                <w:sz w:val="24"/>
                <w:szCs w:val="24"/>
                <w14:textFill>
                  <w14:solidFill>
                    <w14:schemeClr w14:val="tx1"/>
                  </w14:solidFill>
                </w14:textFill>
              </w:rPr>
              <w:t>同一项目多人参与可重复计分，续签合同可重复计分</w:t>
            </w:r>
            <w:r>
              <w:rPr>
                <w:rFonts w:hint="eastAsia" w:ascii="宋体" w:hAnsi="宋体" w:eastAsia="宋体" w:cs="宋体"/>
                <w:color w:val="000000" w:themeColor="text1"/>
                <w:sz w:val="24"/>
                <w:szCs w:val="24"/>
                <w:lang w:eastAsia="zh-CN"/>
                <w14:textFill>
                  <w14:solidFill>
                    <w14:schemeClr w14:val="tx1"/>
                  </w14:solidFill>
                </w14:textFill>
              </w:rPr>
              <w:t>。如合同信息无法体现项目负责人信息，</w:t>
            </w:r>
            <w:r>
              <w:rPr>
                <w:rFonts w:hint="eastAsia" w:ascii="宋体" w:hAnsi="宋体" w:cs="宋体"/>
                <w:color w:val="000000" w:themeColor="text1"/>
                <w:sz w:val="24"/>
                <w:szCs w:val="24"/>
                <w:lang w:val="en-US" w:eastAsia="zh-CN"/>
                <w14:textFill>
                  <w14:solidFill>
                    <w14:schemeClr w14:val="tx1"/>
                  </w14:solidFill>
                </w14:textFill>
              </w:rPr>
              <w:t>同时需</w:t>
            </w:r>
            <w:r>
              <w:rPr>
                <w:rFonts w:hint="eastAsia" w:ascii="宋体" w:hAnsi="宋体" w:eastAsia="宋体" w:cs="宋体"/>
                <w:color w:val="000000" w:themeColor="text1"/>
                <w:sz w:val="24"/>
                <w:szCs w:val="24"/>
                <w:lang w:eastAsia="zh-CN"/>
                <w14:textFill>
                  <w14:solidFill>
                    <w14:schemeClr w14:val="tx1"/>
                  </w14:solidFill>
                </w14:textFill>
              </w:rPr>
              <w:t>提供加盖合同甲方公章的证明材料。</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学历证明：学历证明需提供毕业证书复印件或扫描件及学信网查询截图，原件备查。对于较早颁发的毕业证书，学信网无法查询的，除要求提供证书复印件或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pStyle w:val="11"/>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kern w:val="0"/>
                <w:sz w:val="24"/>
                <w:szCs w:val="24"/>
              </w:rPr>
              <w:t>4.以上资料均要求提供扫描件（或官方网站截图），原件备查。评分中出现无证明资料或专家无法凭所提供资料判断是否得分的情况，一律作不得分处理。</w:t>
            </w:r>
          </w:p>
        </w:tc>
        <w:tc>
          <w:tcPr>
            <w:tcW w:w="816" w:type="dxa"/>
            <w:shd w:val="clear" w:color="auto" w:fill="auto"/>
            <w:vAlign w:val="center"/>
          </w:tcPr>
          <w:p>
            <w:pPr>
              <w:wordWrap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168" w:type="dxa"/>
            <w:vAlign w:val="center"/>
          </w:tcPr>
          <w:p>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投标人同类项目荣誉情况</w:t>
            </w:r>
          </w:p>
        </w:tc>
        <w:tc>
          <w:tcPr>
            <w:tcW w:w="5992" w:type="dxa"/>
            <w:shd w:val="clear" w:color="auto" w:fill="auto"/>
            <w:vAlign w:val="top"/>
          </w:tcPr>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（一）评分内容：</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投标人2021年1月1日至本项目投标截止时间内获得过奖项的情况：</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获得过地级市或以上城市（含其辖区范围内）招商工作相关荣誉</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奖项</w:t>
            </w:r>
            <w:r>
              <w:rPr>
                <w:rFonts w:hint="eastAsia" w:ascii="宋体" w:hAnsi="宋体" w:cs="宋体"/>
                <w:kern w:val="0"/>
                <w:sz w:val="24"/>
                <w:szCs w:val="24"/>
                <w:lang w:eastAsia="zh-CN"/>
              </w:rPr>
              <w:t>）</w:t>
            </w:r>
            <w:r>
              <w:rPr>
                <w:rFonts w:hint="eastAsia" w:ascii="宋体" w:hAnsi="宋体" w:eastAsia="宋体" w:cs="宋体"/>
                <w:kern w:val="0"/>
                <w:sz w:val="24"/>
                <w:szCs w:val="24"/>
              </w:rPr>
              <w:t xml:space="preserve">、称号的，得5分。 </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（二）评分依据：</w:t>
            </w:r>
          </w:p>
          <w:p>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1.要求提供奖项证书或荣誉证书等证明材料。</w:t>
            </w:r>
            <w:r>
              <w:rPr>
                <w:rFonts w:hint="eastAsia" w:ascii="宋体" w:hAnsi="宋体" w:eastAsia="宋体" w:cs="宋体"/>
                <w:kern w:val="0"/>
                <w:sz w:val="24"/>
                <w:szCs w:val="24"/>
                <w:lang w:eastAsia="zh-CN"/>
              </w:rPr>
              <w:t>（由协会颁发的</w:t>
            </w:r>
            <w:r>
              <w:rPr>
                <w:rFonts w:hint="eastAsia" w:ascii="宋体" w:hAnsi="宋体" w:eastAsia="宋体" w:cs="宋体"/>
                <w:kern w:val="0"/>
                <w:sz w:val="24"/>
                <w:szCs w:val="24"/>
                <w:lang w:val="en-US" w:eastAsia="zh-CN"/>
              </w:rPr>
              <w:t>证书</w:t>
            </w:r>
            <w:r>
              <w:rPr>
                <w:rFonts w:hint="eastAsia" w:ascii="宋体" w:hAnsi="宋体" w:eastAsia="宋体" w:cs="宋体"/>
                <w:kern w:val="0"/>
                <w:sz w:val="24"/>
                <w:szCs w:val="24"/>
                <w:lang w:eastAsia="zh-CN"/>
              </w:rPr>
              <w:t>，需提供该协会“中国社会组织政务服务平台（https://chinanpo.mca.gov.cn/）”的已合法登记且状态正常截图，否则不予认可，视为无效证书，以杜绝“离岸社团”“山寨社团”。）</w:t>
            </w:r>
          </w:p>
          <w:p>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荣誉</w:t>
            </w:r>
            <w:r>
              <w:rPr>
                <w:rFonts w:hint="eastAsia" w:ascii="宋体" w:hAnsi="宋体" w:eastAsia="宋体" w:cs="宋体"/>
                <w:kern w:val="0"/>
                <w:sz w:val="24"/>
                <w:szCs w:val="24"/>
              </w:rPr>
              <w:t>要求颁发单位为为市（地级）</w:t>
            </w:r>
            <w:r>
              <w:rPr>
                <w:rFonts w:hint="eastAsia" w:ascii="宋体" w:hAnsi="宋体" w:eastAsia="宋体" w:cs="宋体"/>
                <w:kern w:val="0"/>
                <w:sz w:val="24"/>
                <w:szCs w:val="24"/>
                <w:lang w:val="en-US" w:eastAsia="zh-CN"/>
              </w:rPr>
              <w:t>或以上</w:t>
            </w:r>
            <w:r>
              <w:rPr>
                <w:rFonts w:hint="eastAsia" w:ascii="宋体" w:hAnsi="宋体" w:eastAsia="宋体" w:cs="宋体"/>
                <w:kern w:val="0"/>
                <w:sz w:val="24"/>
                <w:szCs w:val="24"/>
              </w:rPr>
              <w:t>人民政府（或其直接所属的行政机关）或协会（学会）</w:t>
            </w:r>
            <w:r>
              <w:rPr>
                <w:rFonts w:hint="eastAsia" w:ascii="宋体" w:hAnsi="宋体" w:eastAsia="宋体" w:cs="宋体"/>
                <w:kern w:val="0"/>
                <w:sz w:val="24"/>
                <w:szCs w:val="24"/>
                <w:lang w:eastAsia="zh-CN"/>
              </w:rPr>
              <w:t>。</w:t>
            </w:r>
          </w:p>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以上资料均要求提供复印件或扫描件，原件备查。评分中出现无证明资料或专家无法凭所提供资料判断是否得分的情况，一律作不得分处理。</w:t>
            </w:r>
          </w:p>
        </w:tc>
        <w:tc>
          <w:tcPr>
            <w:tcW w:w="816" w:type="dxa"/>
            <w:shd w:val="clear" w:color="auto" w:fill="auto"/>
            <w:vAlign w:val="center"/>
          </w:tcPr>
          <w:p>
            <w:pPr>
              <w:wordWrap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bookmarkStart w:id="60" w:name="_GoBack"/>
            <w:bookmarkEnd w:id="60"/>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对项目需求的响应及理解</w:t>
            </w:r>
          </w:p>
        </w:tc>
        <w:tc>
          <w:tcPr>
            <w:tcW w:w="5992" w:type="dxa"/>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评审内容：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（1）对本项目背景、存在问题等工作内容的理解把握；</w:t>
            </w:r>
          </w:p>
          <w:p>
            <w:pPr>
              <w:spacing w:line="360" w:lineRule="auto"/>
              <w:rPr>
                <w:rFonts w:hint="eastAsia" w:ascii="宋体" w:hAnsi="宋体" w:eastAsia="宋体" w:cs="宋体"/>
                <w:sz w:val="24"/>
                <w:szCs w:val="24"/>
              </w:rPr>
            </w:pPr>
            <w:r>
              <w:rPr>
                <w:rFonts w:hint="eastAsia" w:ascii="宋体" w:hAnsi="宋体" w:eastAsia="宋体" w:cs="宋体"/>
                <w:sz w:val="24"/>
                <w:szCs w:val="24"/>
              </w:rPr>
              <w:t>（2）对本项目需求理解细致情况；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（3）对服务需求的技术响应程度。</w:t>
            </w:r>
          </w:p>
          <w:p>
            <w:pPr>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评审标准：</w:t>
            </w:r>
          </w:p>
          <w:p>
            <w:pPr>
              <w:pStyle w:val="11"/>
              <w:spacing w:line="360" w:lineRule="auto"/>
              <w:jc w:val="both"/>
              <w:rPr>
                <w:rFonts w:hint="eastAsia" w:ascii="宋体" w:hAnsi="宋体" w:eastAsia="宋体" w:cs="宋体"/>
                <w:sz w:val="24"/>
                <w:szCs w:val="24"/>
              </w:rPr>
            </w:pPr>
            <w:r>
              <w:rPr>
                <w:rFonts w:hint="eastAsia" w:ascii="宋体" w:hAnsi="宋体" w:eastAsia="宋体" w:cs="宋体"/>
                <w:kern w:val="0"/>
                <w:sz w:val="24"/>
                <w:szCs w:val="24"/>
                <w:lang w:val="zh-CN"/>
              </w:rPr>
              <w:t>满足任意一项得</w:t>
            </w:r>
            <w:r>
              <w:rPr>
                <w:rFonts w:hint="eastAsia" w:ascii="宋体" w:hAnsi="宋体" w:eastAsia="宋体" w:cs="宋体"/>
                <w:kern w:val="0"/>
                <w:sz w:val="24"/>
                <w:szCs w:val="24"/>
              </w:rPr>
              <w:t>1</w:t>
            </w:r>
            <w:r>
              <w:rPr>
                <w:rFonts w:hint="eastAsia" w:ascii="宋体" w:hAnsi="宋体" w:eastAsia="宋体" w:cs="宋体"/>
                <w:kern w:val="0"/>
                <w:sz w:val="24"/>
                <w:szCs w:val="24"/>
                <w:lang w:val="zh-CN"/>
              </w:rPr>
              <w:t>分，全部满足得</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分，未满足不得分，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在此基础上，评委根据各供应商的具体响应内容进行进一步评审：</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（1）计划完整清晰，内容准确完善，方案科学合理可操作性强的评价为优，</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（2）计划比较完整清晰，内容比较准确完善，方案合理，可操作性较强的评价为良，加</w:t>
            </w:r>
            <w:r>
              <w:rPr>
                <w:rFonts w:hint="eastAsia" w:ascii="宋体" w:hAnsi="宋体" w:eastAsia="宋体" w:cs="宋体"/>
                <w:kern w:val="0"/>
                <w:sz w:val="24"/>
                <w:szCs w:val="24"/>
              </w:rPr>
              <w:t>1.5</w:t>
            </w:r>
            <w:r>
              <w:rPr>
                <w:rFonts w:hint="eastAsia" w:ascii="宋体" w:hAnsi="宋体" w:eastAsia="宋体" w:cs="宋体"/>
                <w:kern w:val="0"/>
                <w:sz w:val="24"/>
                <w:szCs w:val="24"/>
                <w:lang w:val="zh-CN"/>
              </w:rPr>
              <w:t>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（3）计划不够完整清晰，内容不够完整准确，方案不够科学合理，可操作性一般的评价为中加</w:t>
            </w:r>
            <w:r>
              <w:rPr>
                <w:rFonts w:hint="eastAsia" w:ascii="宋体" w:hAnsi="宋体" w:eastAsia="宋体" w:cs="宋体"/>
                <w:kern w:val="0"/>
                <w:sz w:val="24"/>
                <w:szCs w:val="24"/>
              </w:rPr>
              <w:t>1</w:t>
            </w:r>
            <w:r>
              <w:rPr>
                <w:rFonts w:hint="eastAsia" w:ascii="宋体" w:hAnsi="宋体" w:eastAsia="宋体" w:cs="宋体"/>
                <w:kern w:val="0"/>
                <w:sz w:val="24"/>
                <w:szCs w:val="24"/>
                <w:lang w:val="zh-CN"/>
              </w:rPr>
              <w:t>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（4）计划不清晰，内容不全有严重缺漏项的评价为差的，不加分。</w:t>
            </w:r>
          </w:p>
        </w:tc>
        <w:tc>
          <w:tcPr>
            <w:tcW w:w="816" w:type="dxa"/>
            <w:vAlign w:val="center"/>
          </w:tcPr>
          <w:p>
            <w:pPr>
              <w:wordWrap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z w:val="24"/>
                <w:szCs w:val="24"/>
              </w:rPr>
              <w:t>5</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wordWrap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sz w:val="24"/>
                <w:szCs w:val="24"/>
              </w:rPr>
              <w:t>实施方案</w:t>
            </w:r>
          </w:p>
        </w:tc>
        <w:tc>
          <w:tcPr>
            <w:tcW w:w="5992" w:type="dxa"/>
            <w:vAlign w:val="top"/>
          </w:tcPr>
          <w:p>
            <w:pPr>
              <w:pStyle w:val="11"/>
              <w:spacing w:line="360" w:lineRule="auto"/>
              <w:jc w:val="both"/>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评审内容：</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根据投标人提供的项目实施方案的全面性、针对性、可操作性等进行分档评审。</w:t>
            </w:r>
          </w:p>
          <w:p>
            <w:pPr>
              <w:pStyle w:val="11"/>
              <w:spacing w:line="360" w:lineRule="auto"/>
              <w:jc w:val="both"/>
              <w:rPr>
                <w:rFonts w:hint="eastAsia" w:ascii="宋体" w:hAnsi="宋体" w:eastAsia="宋体" w:cs="宋体"/>
                <w:sz w:val="24"/>
                <w:szCs w:val="24"/>
              </w:rPr>
            </w:pPr>
            <w:r>
              <w:rPr>
                <w:rFonts w:hint="eastAsia" w:ascii="宋体" w:hAnsi="宋体" w:eastAsia="宋体" w:cs="宋体"/>
                <w:kern w:val="0"/>
                <w:sz w:val="24"/>
                <w:szCs w:val="24"/>
                <w:lang w:val="zh-CN"/>
              </w:rPr>
              <w:t>1.对项目的理解程度；2.工作措施；3.工作流程；</w:t>
            </w:r>
          </w:p>
          <w:p>
            <w:pPr>
              <w:pStyle w:val="11"/>
              <w:spacing w:line="360" w:lineRule="auto"/>
              <w:jc w:val="both"/>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评审标准：</w:t>
            </w:r>
          </w:p>
          <w:p>
            <w:pPr>
              <w:pStyle w:val="11"/>
              <w:spacing w:line="360" w:lineRule="auto"/>
              <w:jc w:val="both"/>
              <w:rPr>
                <w:rFonts w:hint="eastAsia" w:ascii="宋体" w:hAnsi="宋体" w:eastAsia="宋体" w:cs="宋体"/>
                <w:sz w:val="24"/>
                <w:szCs w:val="24"/>
              </w:rPr>
            </w:pPr>
            <w:r>
              <w:rPr>
                <w:rFonts w:hint="eastAsia" w:ascii="宋体" w:hAnsi="宋体" w:eastAsia="宋体" w:cs="宋体"/>
                <w:kern w:val="0"/>
                <w:sz w:val="24"/>
                <w:szCs w:val="24"/>
                <w:lang w:val="zh-CN"/>
              </w:rPr>
              <w:t>满足任意一项得</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分，全部满足得</w:t>
            </w:r>
            <w:r>
              <w:rPr>
                <w:rFonts w:hint="eastAsia" w:ascii="宋体" w:hAnsi="宋体" w:eastAsia="宋体" w:cs="宋体"/>
                <w:kern w:val="0"/>
                <w:sz w:val="24"/>
                <w:szCs w:val="24"/>
              </w:rPr>
              <w:t>6</w:t>
            </w:r>
            <w:r>
              <w:rPr>
                <w:rFonts w:hint="eastAsia" w:ascii="宋体" w:hAnsi="宋体" w:eastAsia="宋体" w:cs="宋体"/>
                <w:kern w:val="0"/>
                <w:sz w:val="24"/>
                <w:szCs w:val="24"/>
                <w:lang w:val="zh-CN"/>
              </w:rPr>
              <w:t>分，未满足不得分，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在此基础上，评委根据各供应商的具体响应内容进行进一步评审：</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（1）计划完整清晰，内容准确完善，方案科学合理可操作性强的评价为优，</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4</w:t>
            </w:r>
            <w:r>
              <w:rPr>
                <w:rFonts w:hint="eastAsia" w:ascii="宋体" w:hAnsi="宋体" w:eastAsia="宋体" w:cs="宋体"/>
                <w:kern w:val="0"/>
                <w:sz w:val="24"/>
                <w:szCs w:val="24"/>
                <w:lang w:val="zh-CN"/>
              </w:rPr>
              <w:t>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（2）计划比较完整清晰，内容比较准确完善，方案合理，可操作性较强的评价为良，加</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w:t>
            </w:r>
          </w:p>
          <w:p>
            <w:pPr>
              <w:pStyle w:val="11"/>
              <w:spacing w:line="360" w:lineRule="auto"/>
              <w:jc w:val="both"/>
              <w:rPr>
                <w:rFonts w:hint="eastAsia" w:ascii="宋体" w:hAnsi="宋体" w:eastAsia="宋体" w:cs="宋体"/>
                <w:sz w:val="24"/>
                <w:szCs w:val="24"/>
              </w:rPr>
            </w:pPr>
            <w:r>
              <w:rPr>
                <w:rFonts w:hint="eastAsia" w:ascii="宋体" w:hAnsi="宋体" w:eastAsia="宋体" w:cs="宋体"/>
                <w:sz w:val="24"/>
                <w:szCs w:val="24"/>
              </w:rPr>
              <w:t>（3）计划不够完整清晰，内容不够完整准确，方案不够科学合理，可操作性一般的评价为中加</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w:t>
            </w:r>
          </w:p>
          <w:p>
            <w:pPr>
              <w:pStyle w:val="11"/>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（4）计划不清晰，内容不全有严重缺漏项的评价为差的，不加分。</w:t>
            </w:r>
          </w:p>
        </w:tc>
        <w:tc>
          <w:tcPr>
            <w:tcW w:w="816" w:type="dxa"/>
            <w:vAlign w:val="center"/>
          </w:tcPr>
          <w:p>
            <w:pPr>
              <w:wordWrap w:val="0"/>
              <w:spacing w:line="360" w:lineRule="auto"/>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sz w:val="24"/>
                <w:szCs w:val="24"/>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wordWrap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sz w:val="24"/>
                <w:szCs w:val="24"/>
              </w:rPr>
              <w:t>项目重点难点分析、应对措施及相关的合理化建议</w:t>
            </w:r>
          </w:p>
        </w:tc>
        <w:tc>
          <w:tcPr>
            <w:tcW w:w="5992" w:type="dxa"/>
            <w:vAlign w:val="top"/>
          </w:tcPr>
          <w:p>
            <w:pPr>
              <w:pStyle w:val="11"/>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评审内容：</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（1）具有服务目标、工作目标；</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（2）对项目服务中可能出现的重点难点进行分析，并提出解决方案；</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（3）能提出重点难点事项的应对措施及相关的合理化建议。</w:t>
            </w:r>
          </w:p>
          <w:p>
            <w:pPr>
              <w:pStyle w:val="11"/>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评审标准：</w:t>
            </w:r>
          </w:p>
          <w:p>
            <w:pPr>
              <w:pStyle w:val="11"/>
              <w:spacing w:line="360" w:lineRule="auto"/>
              <w:rPr>
                <w:rFonts w:hint="eastAsia" w:ascii="宋体" w:hAnsi="宋体" w:eastAsia="宋体" w:cs="宋体"/>
                <w:sz w:val="24"/>
                <w:szCs w:val="24"/>
              </w:rPr>
            </w:pPr>
            <w:r>
              <w:rPr>
                <w:rFonts w:hint="eastAsia" w:ascii="宋体" w:hAnsi="宋体" w:eastAsia="宋体" w:cs="宋体"/>
                <w:kern w:val="0"/>
                <w:sz w:val="24"/>
                <w:szCs w:val="24"/>
                <w:lang w:val="zh-CN"/>
              </w:rPr>
              <w:t>提供任意一项得</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分，全部提供得</w:t>
            </w:r>
            <w:r>
              <w:rPr>
                <w:rFonts w:hint="eastAsia" w:ascii="宋体" w:hAnsi="宋体" w:eastAsia="宋体" w:cs="宋体"/>
                <w:kern w:val="0"/>
                <w:sz w:val="24"/>
                <w:szCs w:val="24"/>
              </w:rPr>
              <w:t>6</w:t>
            </w:r>
            <w:r>
              <w:rPr>
                <w:rFonts w:hint="eastAsia" w:ascii="宋体" w:hAnsi="宋体" w:eastAsia="宋体" w:cs="宋体"/>
                <w:kern w:val="0"/>
                <w:sz w:val="24"/>
                <w:szCs w:val="24"/>
                <w:lang w:val="zh-CN"/>
              </w:rPr>
              <w:t>分，未提供不得分，</w:t>
            </w:r>
            <w:r>
              <w:rPr>
                <w:rFonts w:hint="eastAsia" w:ascii="宋体" w:hAnsi="宋体" w:eastAsia="宋体" w:cs="宋体"/>
                <w:sz w:val="24"/>
                <w:szCs w:val="24"/>
              </w:rPr>
              <w:t>不满足不得分。</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在此基础上，评委根据各供应商的具体响应内容进行进一步评审：</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（1）服务目标、工作目标清晰明确，整体检测技术流程及解决方案完整清晰，措施完善可行的评价为优，</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4</w:t>
            </w:r>
            <w:r>
              <w:rPr>
                <w:rFonts w:hint="eastAsia" w:ascii="宋体" w:hAnsi="宋体" w:eastAsia="宋体" w:cs="宋体"/>
                <w:kern w:val="0"/>
                <w:sz w:val="24"/>
                <w:szCs w:val="24"/>
                <w:lang w:val="zh-CN"/>
              </w:rPr>
              <w:t>分；</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（2）服务目标、工作目标较清晰明确，整体检测技术流程及解决方案较完整清晰，措施较完善可行的评价为良，</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（3）服务目标、工作目标一般清晰明确，整体检测技术流程及解决方案一般完整清晰，措施一般完善可行的评价为中，</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w:t>
            </w:r>
          </w:p>
          <w:p>
            <w:pPr>
              <w:pStyle w:val="11"/>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（4）服务目标、工作目标不清晰明确，整体检测技术流程及解决方案不完整清晰，措施不完善可行的评价为差，不加分。</w:t>
            </w:r>
          </w:p>
        </w:tc>
        <w:tc>
          <w:tcPr>
            <w:tcW w:w="816" w:type="dxa"/>
            <w:vAlign w:val="center"/>
          </w:tcPr>
          <w:p>
            <w:pPr>
              <w:wordWrap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z w:val="24"/>
                <w:szCs w:val="24"/>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168" w:type="dxa"/>
            <w:vAlign w:val="center"/>
          </w:tcPr>
          <w:p>
            <w:pPr>
              <w:wordWrap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sz w:val="24"/>
                <w:szCs w:val="24"/>
              </w:rPr>
              <w:t>质量（完成时间、安全）保障措施及方案</w:t>
            </w:r>
          </w:p>
        </w:tc>
        <w:tc>
          <w:tcPr>
            <w:tcW w:w="5992" w:type="dxa"/>
            <w:vAlign w:val="top"/>
          </w:tcPr>
          <w:p>
            <w:pPr>
              <w:pStyle w:val="11"/>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评审内容：</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lang w:val="zh-CN"/>
              </w:rPr>
              <w:t>项目进度计划和人员安排；</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lang w:val="zh-CN"/>
              </w:rPr>
              <w:t>质量和进度保障措施。</w:t>
            </w:r>
          </w:p>
          <w:p>
            <w:pPr>
              <w:pStyle w:val="11"/>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sz w:val="24"/>
                <w:szCs w:val="24"/>
              </w:rPr>
              <w:t>评审标准：</w:t>
            </w:r>
          </w:p>
          <w:p>
            <w:pPr>
              <w:pStyle w:val="11"/>
              <w:spacing w:line="360" w:lineRule="auto"/>
              <w:rPr>
                <w:rFonts w:hint="eastAsia" w:ascii="宋体" w:hAnsi="宋体" w:eastAsia="宋体" w:cs="宋体"/>
                <w:sz w:val="24"/>
                <w:szCs w:val="24"/>
              </w:rPr>
            </w:pPr>
            <w:r>
              <w:rPr>
                <w:rFonts w:hint="eastAsia" w:ascii="宋体" w:hAnsi="宋体" w:eastAsia="宋体" w:cs="宋体"/>
                <w:kern w:val="0"/>
                <w:sz w:val="24"/>
                <w:szCs w:val="24"/>
                <w:lang w:val="zh-CN"/>
              </w:rPr>
              <w:t>满足任意一项得</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分，全部满足得</w:t>
            </w:r>
            <w:r>
              <w:rPr>
                <w:rFonts w:hint="eastAsia" w:ascii="宋体" w:hAnsi="宋体" w:eastAsia="宋体" w:cs="宋体"/>
                <w:kern w:val="0"/>
                <w:sz w:val="24"/>
                <w:szCs w:val="24"/>
              </w:rPr>
              <w:t>6</w:t>
            </w:r>
            <w:r>
              <w:rPr>
                <w:rFonts w:hint="eastAsia" w:ascii="宋体" w:hAnsi="宋体" w:eastAsia="宋体" w:cs="宋体"/>
                <w:kern w:val="0"/>
                <w:sz w:val="24"/>
                <w:szCs w:val="24"/>
                <w:lang w:val="zh-CN"/>
              </w:rPr>
              <w:t>分，未满足不得分，</w:t>
            </w:r>
            <w:r>
              <w:rPr>
                <w:rFonts w:hint="eastAsia" w:ascii="宋体" w:hAnsi="宋体" w:eastAsia="宋体" w:cs="宋体"/>
                <w:sz w:val="24"/>
                <w:szCs w:val="24"/>
              </w:rPr>
              <w:t>不满足不得分。</w:t>
            </w:r>
          </w:p>
          <w:p>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在此基础上，评委根据各供应商的具体响应内容进行进一步评审：</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1.评价为优，措施合理，建议可操作性强的，加</w:t>
            </w:r>
            <w:r>
              <w:rPr>
                <w:rFonts w:hint="eastAsia" w:ascii="宋体" w:hAnsi="宋体" w:eastAsia="宋体" w:cs="宋体"/>
                <w:kern w:val="0"/>
                <w:sz w:val="24"/>
                <w:szCs w:val="24"/>
              </w:rPr>
              <w:t>4</w:t>
            </w:r>
            <w:r>
              <w:rPr>
                <w:rFonts w:hint="eastAsia" w:ascii="宋体" w:hAnsi="宋体" w:eastAsia="宋体" w:cs="宋体"/>
                <w:kern w:val="0"/>
                <w:sz w:val="24"/>
                <w:szCs w:val="24"/>
                <w:lang w:val="zh-CN"/>
              </w:rPr>
              <w:t>分；</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2.评价为良，措施比较合理，建议可操作性较强的，加</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w:t>
            </w:r>
          </w:p>
          <w:p>
            <w:pPr>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3.评价为中，措施基本合理，建议可操作性一般的，加</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w:t>
            </w:r>
          </w:p>
          <w:p>
            <w:pPr>
              <w:pStyle w:val="11"/>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kern w:val="0"/>
                <w:sz w:val="24"/>
                <w:szCs w:val="24"/>
                <w:lang w:val="zh-CN"/>
              </w:rPr>
              <w:t>4.评价为差，措施不合理，建议可操作性差的，不加分</w:t>
            </w:r>
            <w:r>
              <w:rPr>
                <w:rFonts w:hint="eastAsia" w:ascii="宋体" w:hAnsi="宋体" w:eastAsia="宋体" w:cs="宋体"/>
                <w:sz w:val="24"/>
                <w:szCs w:val="24"/>
              </w:rPr>
              <w:t>。</w:t>
            </w:r>
          </w:p>
        </w:tc>
        <w:tc>
          <w:tcPr>
            <w:tcW w:w="816" w:type="dxa"/>
            <w:vAlign w:val="center"/>
          </w:tcPr>
          <w:p>
            <w:pPr>
              <w:wordWrap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1168" w:type="dxa"/>
            <w:vAlign w:val="center"/>
          </w:tcPr>
          <w:p>
            <w:pPr>
              <w:wordWrap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sz w:val="24"/>
                <w:szCs w:val="24"/>
              </w:rPr>
              <w:t>服务应急预案</w:t>
            </w:r>
          </w:p>
        </w:tc>
        <w:tc>
          <w:tcPr>
            <w:tcW w:w="5992" w:type="dxa"/>
            <w:vAlign w:val="center"/>
          </w:tcPr>
          <w:p>
            <w:pPr>
              <w:pStyle w:val="11"/>
              <w:widowControl/>
              <w:spacing w:line="360" w:lineRule="auto"/>
              <w:rPr>
                <w:rFonts w:hint="eastAsia" w:ascii="宋体" w:hAnsi="宋体" w:eastAsia="宋体" w:cs="宋体"/>
                <w:b/>
                <w:bCs/>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bCs/>
                <w:sz w:val="24"/>
                <w:szCs w:val="24"/>
              </w:rPr>
              <w:t>考察内容：</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（1）针对突发事件的处理措施；</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（2）应急预案及措施。</w:t>
            </w:r>
          </w:p>
          <w:p>
            <w:pPr>
              <w:pStyle w:val="11"/>
              <w:widowControl/>
              <w:spacing w:line="360" w:lineRule="auto"/>
              <w:rPr>
                <w:rFonts w:hint="eastAsia" w:ascii="宋体" w:hAnsi="宋体" w:eastAsia="宋体" w:cs="宋体"/>
                <w:b/>
                <w:bCs/>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w:t>
            </w:r>
            <w:r>
              <w:rPr>
                <w:rFonts w:hint="eastAsia" w:ascii="宋体" w:hAnsi="宋体" w:eastAsia="宋体" w:cs="宋体"/>
                <w:b/>
                <w:bCs/>
                <w:sz w:val="24"/>
                <w:szCs w:val="24"/>
              </w:rPr>
              <w:t>评分标准：</w:t>
            </w:r>
          </w:p>
          <w:p>
            <w:pPr>
              <w:pStyle w:val="11"/>
              <w:widowControl/>
              <w:spacing w:line="360" w:lineRule="auto"/>
              <w:rPr>
                <w:rFonts w:hint="eastAsia" w:ascii="宋体" w:hAnsi="宋体" w:eastAsia="宋体" w:cs="宋体"/>
                <w:sz w:val="24"/>
                <w:szCs w:val="24"/>
              </w:rPr>
            </w:pPr>
            <w:r>
              <w:rPr>
                <w:rFonts w:hint="eastAsia" w:ascii="宋体" w:hAnsi="宋体" w:eastAsia="宋体" w:cs="宋体"/>
                <w:kern w:val="0"/>
                <w:sz w:val="24"/>
                <w:szCs w:val="24"/>
                <w:lang w:val="zh-CN"/>
              </w:rPr>
              <w:t>提供任意一项得</w:t>
            </w:r>
            <w:r>
              <w:rPr>
                <w:rFonts w:hint="eastAsia" w:ascii="宋体" w:hAnsi="宋体" w:eastAsia="宋体" w:cs="宋体"/>
                <w:kern w:val="0"/>
                <w:sz w:val="24"/>
                <w:szCs w:val="24"/>
              </w:rPr>
              <w:t>1.5</w:t>
            </w:r>
            <w:r>
              <w:rPr>
                <w:rFonts w:hint="eastAsia" w:ascii="宋体" w:hAnsi="宋体" w:eastAsia="宋体" w:cs="宋体"/>
                <w:kern w:val="0"/>
                <w:sz w:val="24"/>
                <w:szCs w:val="24"/>
                <w:lang w:val="zh-CN"/>
              </w:rPr>
              <w:t>分，全部提供得</w:t>
            </w:r>
            <w:r>
              <w:rPr>
                <w:rFonts w:hint="eastAsia" w:ascii="宋体" w:hAnsi="宋体" w:eastAsia="宋体" w:cs="宋体"/>
                <w:kern w:val="0"/>
                <w:sz w:val="24"/>
                <w:szCs w:val="24"/>
              </w:rPr>
              <w:t>3</w:t>
            </w:r>
            <w:r>
              <w:rPr>
                <w:rFonts w:hint="eastAsia" w:ascii="宋体" w:hAnsi="宋体" w:eastAsia="宋体" w:cs="宋体"/>
                <w:kern w:val="0"/>
                <w:sz w:val="24"/>
                <w:szCs w:val="24"/>
                <w:lang w:val="zh-CN"/>
              </w:rPr>
              <w:t>分，未提供不得分，</w:t>
            </w:r>
            <w:r>
              <w:rPr>
                <w:rFonts w:hint="eastAsia" w:ascii="宋体" w:hAnsi="宋体" w:eastAsia="宋体" w:cs="宋体"/>
                <w:sz w:val="24"/>
                <w:szCs w:val="24"/>
              </w:rPr>
              <w:t>不满足不得分。</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在此基础上，评委根据各供应商的具体响应内容进行进一步评审：</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（1）理解到位、分析准确的评价为优，</w:t>
            </w:r>
            <w:r>
              <w:rPr>
                <w:rFonts w:hint="eastAsia" w:ascii="宋体" w:hAnsi="宋体" w:eastAsia="宋体" w:cs="宋体"/>
                <w:kern w:val="0"/>
                <w:sz w:val="24"/>
                <w:szCs w:val="24"/>
                <w:lang w:val="zh-CN"/>
              </w:rPr>
              <w:t>加</w:t>
            </w:r>
            <w:r>
              <w:rPr>
                <w:rFonts w:hint="eastAsia" w:ascii="宋体" w:hAnsi="宋体" w:eastAsia="宋体" w:cs="宋体"/>
                <w:kern w:val="0"/>
                <w:sz w:val="24"/>
                <w:szCs w:val="24"/>
              </w:rPr>
              <w:t>2</w:t>
            </w:r>
            <w:r>
              <w:rPr>
                <w:rFonts w:hint="eastAsia" w:ascii="宋体" w:hAnsi="宋体" w:eastAsia="宋体" w:cs="宋体"/>
                <w:kern w:val="0"/>
                <w:sz w:val="24"/>
                <w:szCs w:val="24"/>
                <w:lang w:val="zh-CN"/>
              </w:rPr>
              <w:t>分；</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（2）理解较好、分析较好的评价为良，加</w:t>
            </w:r>
            <w:r>
              <w:rPr>
                <w:rFonts w:hint="eastAsia" w:ascii="宋体" w:hAnsi="宋体" w:eastAsia="宋体" w:cs="宋体"/>
                <w:kern w:val="0"/>
                <w:sz w:val="24"/>
                <w:szCs w:val="24"/>
              </w:rPr>
              <w:t>1.5</w:t>
            </w:r>
            <w:r>
              <w:rPr>
                <w:rFonts w:hint="eastAsia" w:ascii="宋体" w:hAnsi="宋体" w:eastAsia="宋体" w:cs="宋体"/>
                <w:kern w:val="0"/>
                <w:sz w:val="24"/>
                <w:szCs w:val="24"/>
                <w:lang w:val="zh-CN"/>
              </w:rPr>
              <w:t>分；</w:t>
            </w:r>
          </w:p>
          <w:p>
            <w:pPr>
              <w:pStyle w:val="11"/>
              <w:widowControl/>
              <w:spacing w:line="360" w:lineRule="auto"/>
              <w:rPr>
                <w:rFonts w:hint="eastAsia" w:ascii="宋体" w:hAnsi="宋体" w:eastAsia="宋体" w:cs="宋体"/>
                <w:sz w:val="24"/>
                <w:szCs w:val="24"/>
              </w:rPr>
            </w:pPr>
            <w:r>
              <w:rPr>
                <w:rFonts w:hint="eastAsia" w:ascii="宋体" w:hAnsi="宋体" w:eastAsia="宋体" w:cs="宋体"/>
                <w:sz w:val="24"/>
                <w:szCs w:val="24"/>
              </w:rPr>
              <w:t>（3）理解一般、分析一般的评价为中，加</w:t>
            </w:r>
            <w:r>
              <w:rPr>
                <w:rFonts w:hint="eastAsia" w:ascii="宋体" w:hAnsi="宋体" w:eastAsia="宋体" w:cs="宋体"/>
                <w:kern w:val="0"/>
                <w:sz w:val="24"/>
                <w:szCs w:val="24"/>
              </w:rPr>
              <w:t>1</w:t>
            </w:r>
            <w:r>
              <w:rPr>
                <w:rFonts w:hint="eastAsia" w:ascii="宋体" w:hAnsi="宋体" w:eastAsia="宋体" w:cs="宋体"/>
                <w:kern w:val="0"/>
                <w:sz w:val="24"/>
                <w:szCs w:val="24"/>
                <w:lang w:val="zh-CN"/>
              </w:rPr>
              <w:t>分</w:t>
            </w:r>
            <w:r>
              <w:rPr>
                <w:rFonts w:hint="eastAsia" w:ascii="宋体" w:hAnsi="宋体" w:eastAsia="宋体" w:cs="宋体"/>
                <w:sz w:val="24"/>
                <w:szCs w:val="24"/>
              </w:rPr>
              <w:t>。</w:t>
            </w:r>
          </w:p>
          <w:p>
            <w:pPr>
              <w:pStyle w:val="11"/>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（4）理解差、分析差的评价为差，不加分</w:t>
            </w:r>
            <w:r>
              <w:rPr>
                <w:rFonts w:hint="eastAsia" w:ascii="宋体" w:hAnsi="宋体" w:eastAsia="宋体" w:cs="宋体"/>
                <w:sz w:val="24"/>
                <w:szCs w:val="24"/>
                <w:lang w:eastAsia="zh-CN"/>
              </w:rPr>
              <w:t>。</w:t>
            </w:r>
          </w:p>
        </w:tc>
        <w:tc>
          <w:tcPr>
            <w:tcW w:w="816" w:type="dxa"/>
            <w:vAlign w:val="center"/>
          </w:tcPr>
          <w:p>
            <w:pPr>
              <w:wordWrap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5</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bl>
    <w:p>
      <w:pPr>
        <w:pStyle w:val="4"/>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47" w:name="_Toc9548"/>
      <w:bookmarkStart w:id="48"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47"/>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49" w:name="_Toc19494"/>
      <w:bookmarkStart w:id="50" w:name="_Toc6548"/>
      <w:bookmarkStart w:id="51" w:name="_Toc31827"/>
      <w:bookmarkStart w:id="52" w:name="_Toc5116"/>
      <w:r>
        <w:rPr>
          <w:rFonts w:hint="eastAsia" w:ascii="宋体" w:hAnsi="宋体" w:cs="宋体"/>
          <w:b/>
          <w:bCs/>
          <w:color w:val="000000" w:themeColor="text1"/>
          <w:sz w:val="24"/>
          <w14:textFill>
            <w14:solidFill>
              <w14:schemeClr w14:val="tx1"/>
            </w14:solidFill>
          </w14:textFill>
        </w:rPr>
        <w:t>1、投标文件密封袋/封面参考</w:t>
      </w:r>
      <w:bookmarkEnd w:id="49"/>
      <w:bookmarkEnd w:id="50"/>
      <w:bookmarkEnd w:id="51"/>
      <w:bookmarkEnd w:id="52"/>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53" w:name="_Toc16724"/>
      <w:r>
        <w:rPr>
          <w:rFonts w:hint="eastAsia" w:ascii="宋体" w:hAnsi="宋体" w:cs="宋体"/>
          <w:b/>
          <w:color w:val="000000" w:themeColor="text1"/>
          <w:sz w:val="24"/>
          <w14:textFill>
            <w14:solidFill>
              <w14:schemeClr w14:val="tx1"/>
            </w14:solidFill>
          </w14:textFill>
        </w:rPr>
        <w:t>2、投标文件—目录</w:t>
      </w:r>
      <w:bookmarkEnd w:id="53"/>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投标人综合实力；</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拟派本项目负责人（1人）；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项目团队人员情况（不含项目负责人）；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投标人同类项目荣誉情况；</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对项目需求的响应及理解；</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项目重点难点分析、应对措施及相关的合理化建议；</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质量（完成时间、安全）保障措施及方案；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服务应急预案；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3"/>
        <w:spacing w:line="360" w:lineRule="auto"/>
        <w:jc w:val="center"/>
        <w:rPr>
          <w:rFonts w:hint="eastAsia" w:hAnsi="宋体" w:cs="宋体"/>
          <w:b/>
          <w:color w:val="000000" w:themeColor="text1"/>
          <w:sz w:val="24"/>
          <w14:textFill>
            <w14:solidFill>
              <w14:schemeClr w14:val="tx1"/>
            </w14:solidFill>
          </w14:textFill>
        </w:rPr>
      </w:pPr>
    </w:p>
    <w:p>
      <w:pPr>
        <w:pStyle w:val="13"/>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3"/>
        <w:spacing w:line="360" w:lineRule="auto"/>
        <w:rPr>
          <w:rFonts w:hint="eastAsia" w:hAnsi="宋体" w:cs="宋体"/>
          <w:color w:val="000000" w:themeColor="text1"/>
          <w:sz w:val="24"/>
          <w14:textFill>
            <w14:solidFill>
              <w14:schemeClr w14:val="tx1"/>
            </w14:solidFill>
          </w14:textFill>
        </w:rPr>
      </w:pP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3"/>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3"/>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3"/>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投标人综合实力；</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拟派本项目负责人（1人）；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项目团队人员情况（不含项目负责人）；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投标人同类项目荣誉情况；</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3"/>
        <w:spacing w:line="360" w:lineRule="auto"/>
        <w:jc w:val="left"/>
        <w:rPr>
          <w:rFonts w:hint="eastAsia" w:hAnsi="宋体" w:cs="宋体"/>
          <w:color w:val="000000" w:themeColor="text1"/>
          <w:sz w:val="24"/>
          <w14:textFill>
            <w14:solidFill>
              <w14:schemeClr w14:val="tx1"/>
            </w14:solidFill>
          </w14:textFill>
        </w:rPr>
      </w:pPr>
    </w:p>
    <w:p>
      <w:pPr>
        <w:pStyle w:val="13"/>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0"/>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0"/>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0"/>
          <w:rFonts w:hint="eastAsia" w:ascii="宋体" w:hAnsi="宋体" w:cs="宋体"/>
          <w:b/>
          <w:color w:val="000000" w:themeColor="text1"/>
          <w:sz w:val="24"/>
          <w14:textFill>
            <w14:solidFill>
              <w14:schemeClr w14:val="tx1"/>
            </w14:solidFill>
          </w14:textFill>
        </w:rPr>
      </w:pPr>
      <w:r>
        <w:rPr>
          <w:rStyle w:val="30"/>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0"/>
          <w:rFonts w:hint="eastAsia" w:ascii="宋体" w:hAnsi="宋体" w:cs="宋体"/>
          <w:b/>
          <w:color w:val="000000" w:themeColor="text1"/>
          <w:sz w:val="24"/>
          <w14:textFill>
            <w14:solidFill>
              <w14:schemeClr w14:val="tx1"/>
            </w14:solidFill>
          </w14:textFill>
        </w:rPr>
      </w:pPr>
      <w:r>
        <w:rPr>
          <w:rStyle w:val="30"/>
          <w:rFonts w:hint="eastAsia" w:ascii="宋体" w:hAnsi="宋体" w:cs="宋体"/>
          <w:b/>
          <w:color w:val="000000" w:themeColor="text1"/>
          <w:sz w:val="24"/>
          <w14:textFill>
            <w14:solidFill>
              <w14:schemeClr w14:val="tx1"/>
            </w14:solidFill>
          </w14:textFill>
        </w:rPr>
        <w:br w:type="page"/>
      </w:r>
      <w:r>
        <w:rPr>
          <w:rStyle w:val="30"/>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0"/>
          <w:rFonts w:hint="eastAsia" w:ascii="宋体" w:hAnsi="宋体" w:cs="宋体"/>
          <w:color w:val="000000" w:themeColor="text1"/>
          <w:spacing w:val="6"/>
          <w:sz w:val="24"/>
          <w:u w:val="single"/>
          <w14:textFill>
            <w14:solidFill>
              <w14:schemeClr w14:val="tx1"/>
            </w14:solidFill>
          </w14:textFill>
        </w:rPr>
        <w:t xml:space="preserve"> （采购单位名称） </w:t>
      </w:r>
      <w:r>
        <w:rPr>
          <w:rStyle w:val="30"/>
          <w:rFonts w:hint="eastAsia" w:ascii="宋体" w:hAnsi="宋体" w:cs="宋体"/>
          <w:color w:val="000000" w:themeColor="text1"/>
          <w:spacing w:val="6"/>
          <w:sz w:val="24"/>
          <w14:textFill>
            <w14:solidFill>
              <w14:schemeClr w14:val="tx1"/>
            </w14:solidFill>
          </w14:textFill>
        </w:rPr>
        <w:t>单位的</w:t>
      </w:r>
      <w:r>
        <w:rPr>
          <w:rStyle w:val="30"/>
          <w:rFonts w:hint="eastAsia" w:ascii="宋体" w:hAnsi="宋体" w:cs="宋体"/>
          <w:color w:val="000000" w:themeColor="text1"/>
          <w:spacing w:val="6"/>
          <w:sz w:val="24"/>
          <w:u w:val="single"/>
          <w14:textFill>
            <w14:solidFill>
              <w14:schemeClr w14:val="tx1"/>
            </w14:solidFill>
          </w14:textFill>
        </w:rPr>
        <w:t xml:space="preserve"> （采购项目名称） </w:t>
      </w:r>
      <w:r>
        <w:rPr>
          <w:rStyle w:val="30"/>
          <w:rFonts w:hint="eastAsia" w:ascii="宋体" w:hAnsi="宋体" w:cs="宋体"/>
          <w:color w:val="000000" w:themeColor="text1"/>
          <w:spacing w:val="6"/>
          <w:sz w:val="24"/>
          <w14:textFill>
            <w14:solidFill>
              <w14:schemeClr w14:val="tx1"/>
            </w14:solidFill>
          </w14:textFill>
        </w:rPr>
        <w:t>项目采购</w:t>
      </w:r>
      <w:r>
        <w:rPr>
          <w:rStyle w:val="30"/>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0"/>
          <w:rFonts w:hint="eastAsia" w:ascii="宋体" w:hAnsi="宋体" w:cs="宋体"/>
          <w:color w:val="000000" w:themeColor="text1"/>
          <w:spacing w:val="6"/>
          <w:sz w:val="24"/>
          <w14:textFill>
            <w14:solidFill>
              <w14:schemeClr w14:val="tx1"/>
            </w14:solidFill>
          </w14:textFill>
        </w:rPr>
        <w:t>。</w:t>
      </w:r>
      <w:r>
        <w:rPr>
          <w:rStyle w:val="30"/>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0"/>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0"/>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0"/>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9"/>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9"/>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54" w:name="OLE_LINK9"/>
      <w:r>
        <w:rPr>
          <w:rFonts w:hint="eastAsia" w:ascii="宋体" w:hAnsi="宋体" w:cs="宋体"/>
          <w:b/>
          <w:color w:val="000000" w:themeColor="text1"/>
          <w:sz w:val="28"/>
          <w:szCs w:val="28"/>
          <w14:textFill>
            <w14:solidFill>
              <w14:schemeClr w14:val="tx1"/>
            </w14:solidFill>
          </w14:textFill>
        </w:rPr>
        <w:t>证明</w:t>
      </w:r>
      <w:bookmarkEnd w:id="54"/>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3"/>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55" w:name="OLE_LINK10"/>
      <w:r>
        <w:rPr>
          <w:rFonts w:hint="eastAsia" w:ascii="宋体" w:hAnsi="宋体" w:cs="宋体"/>
          <w:b/>
          <w:color w:val="000000" w:themeColor="text1"/>
          <w:sz w:val="28"/>
          <w:szCs w:val="28"/>
          <w14:textFill>
            <w14:solidFill>
              <w14:schemeClr w14:val="tx1"/>
            </w14:solidFill>
          </w14:textFill>
        </w:rPr>
        <w:t>股权关系证明</w:t>
      </w:r>
      <w:bookmarkEnd w:id="55"/>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对项目需求的响应及理解；</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项目重点难点分析、应对措施及相关的合理化建议；</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质量（完成时间、安全）保障措施及方案；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服务应急预案；</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48"/>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56" w:name="_Toc742"/>
      <w:bookmarkStart w:id="57" w:name="_Toc6251"/>
      <w:r>
        <w:rPr>
          <w:rFonts w:hint="eastAsia" w:ascii="宋体" w:hAnsi="宋体" w:cs="宋体"/>
          <w:b/>
          <w:bCs/>
          <w:color w:val="000000" w:themeColor="text1"/>
          <w:sz w:val="24"/>
          <w14:textFill>
            <w14:solidFill>
              <w14:schemeClr w14:val="tx1"/>
            </w14:solidFill>
          </w14:textFill>
        </w:rPr>
        <w:t>附件：相关政策</w:t>
      </w:r>
      <w:bookmarkEnd w:id="56"/>
      <w:bookmarkEnd w:id="57"/>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1"/>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1"/>
              <w:jc w:val="center"/>
              <w:rPr>
                <w:rFonts w:hint="eastAsia"/>
                <w:color w:val="000000" w:themeColor="text1"/>
                <w:sz w:val="24"/>
                <w:szCs w:val="24"/>
                <w14:textFill>
                  <w14:solidFill>
                    <w14:schemeClr w14:val="tx1"/>
                  </w14:solidFill>
                </w14:textFill>
              </w:rPr>
            </w:pPr>
          </w:p>
          <w:p>
            <w:pPr>
              <w:pStyle w:val="31"/>
              <w:jc w:val="center"/>
              <w:rPr>
                <w:rFonts w:hint="eastAsia"/>
                <w:color w:val="000000" w:themeColor="text1"/>
                <w:sz w:val="24"/>
                <w:szCs w:val="24"/>
                <w14:textFill>
                  <w14:solidFill>
                    <w14:schemeClr w14:val="tx1"/>
                  </w14:solidFill>
                </w14:textFill>
              </w:rPr>
            </w:pPr>
          </w:p>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1"/>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1"/>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1"/>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3"/>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3"/>
        <w:jc w:val="both"/>
        <w:outlineLvl w:val="9"/>
        <w:rPr>
          <w:rFonts w:hint="eastAsia" w:ascii="宋体" w:hAnsi="宋体" w:eastAsia="宋体" w:cs="宋体"/>
          <w:color w:val="000000" w:themeColor="text1"/>
          <w:sz w:val="24"/>
          <w:szCs w:val="24"/>
          <w14:textFill>
            <w14:solidFill>
              <w14:schemeClr w14:val="tx1"/>
            </w14:solidFill>
          </w14:textFill>
        </w:rPr>
      </w:pPr>
    </w:p>
    <w:p>
      <w:pPr>
        <w:pStyle w:val="3"/>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3"/>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7"/>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58" w:name="sendNo"/>
      <w:r>
        <w:rPr>
          <w:rFonts w:hint="eastAsia"/>
          <w:color w:val="000000" w:themeColor="text1"/>
          <w14:textFill>
            <w14:solidFill>
              <w14:schemeClr w14:val="tx1"/>
            </w14:solidFill>
          </w14:textFill>
        </w:rPr>
        <w:t>财库〔</w:t>
      </w:r>
      <w:bookmarkEnd w:id="58"/>
      <w:r>
        <w:rPr>
          <w:rFonts w:hint="eastAsia"/>
          <w:color w:val="000000" w:themeColor="text1"/>
          <w14:textFill>
            <w14:solidFill>
              <w14:schemeClr w14:val="tx1"/>
            </w14:solidFill>
          </w14:textFill>
        </w:rPr>
        <w:t>2017〕141号</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59"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9"/>
      <w:r>
        <w:rPr>
          <w:rFonts w:hint="eastAsia"/>
          <w:color w:val="000000" w:themeColor="text1"/>
          <w14:textFill>
            <w14:solidFill>
              <w14:schemeClr w14:val="tx1"/>
            </w14:solidFill>
          </w14:textFill>
        </w:rPr>
        <w:t>：</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2"/>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2"/>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3"/>
          <w:rFonts w:hint="eastAsia"/>
          <w:b/>
          <w:bCs/>
          <w:color w:val="000000" w:themeColor="text1"/>
          <w14:textFill>
            <w14:solidFill>
              <w14:schemeClr w14:val="tx1"/>
            </w14:solidFill>
          </w14:textFill>
        </w:rPr>
        <w:t>残疾人福利性单位声明函</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本单位对上述声明的真实性负责。如有虚假，将依法承担相应责任。</w:t>
      </w:r>
    </w:p>
    <w:p>
      <w:pPr>
        <w:pStyle w:val="32"/>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3"/>
          <w:rFonts w:hint="eastAsia"/>
          <w:color w:val="000000" w:themeColor="text1"/>
          <w14:textFill>
            <w14:solidFill>
              <w14:schemeClr w14:val="tx1"/>
            </w14:solidFill>
          </w14:textFill>
        </w:rPr>
        <w:t>单位名称（盖章）：</w:t>
      </w:r>
    </w:p>
    <w:p>
      <w:pPr>
        <w:pStyle w:val="32"/>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3"/>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3C138D-2BD0-498A-9000-214AF06F738A}"/>
  </w:font>
  <w:font w:name="黑体">
    <w:panose1 w:val="02010609060101010101"/>
    <w:charset w:val="86"/>
    <w:family w:val="auto"/>
    <w:pitch w:val="default"/>
    <w:sig w:usb0="800002BF" w:usb1="38CF7CFA" w:usb2="00000016" w:usb3="00000000" w:csb0="00040001" w:csb1="00000000"/>
    <w:embedRegular r:id="rId2" w:fontKey="{695073C2-33D0-41B0-9393-8A6F06397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2F805F7-A88A-4B35-A1FC-80FC1299E53F}"/>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embedRegular r:id="rId4" w:fontKey="{D4917456-2E04-4862-819C-D1079B96BA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75AA4A2"/>
    <w:multiLevelType w:val="singleLevel"/>
    <w:tmpl w:val="F75AA4A2"/>
    <w:lvl w:ilvl="0" w:tentative="0">
      <w:start w:val="1"/>
      <w:numFmt w:val="chineseCounting"/>
      <w:suff w:val="nothing"/>
      <w:lvlText w:val="（%1）"/>
      <w:lvlJc w:val="left"/>
      <w:pPr>
        <w:ind w:left="0" w:firstLine="420"/>
      </w:pPr>
      <w:rPr>
        <w:rFonts w:hint="eastAsia"/>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6"/>
  </w:num>
  <w:num w:numId="6">
    <w:abstractNumId w:val="10"/>
  </w:num>
  <w:num w:numId="7">
    <w:abstractNumId w:val="3"/>
  </w:num>
  <w:num w:numId="8">
    <w:abstractNumId w:val="5"/>
  </w:num>
  <w:num w:numId="9">
    <w:abstractNumId w:val="1"/>
  </w:num>
  <w:num w:numId="10">
    <w:abstractNumId w:val="0"/>
  </w:num>
  <w:num w:numId="11">
    <w:abstractNumId w:val="7"/>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7030E"/>
    <w:rsid w:val="003A4DB8"/>
    <w:rsid w:val="00441793"/>
    <w:rsid w:val="004E616D"/>
    <w:rsid w:val="006E4653"/>
    <w:rsid w:val="00771B68"/>
    <w:rsid w:val="0089189B"/>
    <w:rsid w:val="00B82957"/>
    <w:rsid w:val="00C93875"/>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C1016"/>
    <w:rsid w:val="02A80FA1"/>
    <w:rsid w:val="02B81FC4"/>
    <w:rsid w:val="032558AB"/>
    <w:rsid w:val="032F4898"/>
    <w:rsid w:val="036839EA"/>
    <w:rsid w:val="036D7252"/>
    <w:rsid w:val="037800D1"/>
    <w:rsid w:val="037C7496"/>
    <w:rsid w:val="038D16A3"/>
    <w:rsid w:val="038E26A7"/>
    <w:rsid w:val="0396194E"/>
    <w:rsid w:val="03993BA4"/>
    <w:rsid w:val="03B24C65"/>
    <w:rsid w:val="03B54992"/>
    <w:rsid w:val="03BB1D6C"/>
    <w:rsid w:val="03D167CD"/>
    <w:rsid w:val="03E5503B"/>
    <w:rsid w:val="03FF0592"/>
    <w:rsid w:val="03FF56E1"/>
    <w:rsid w:val="040B5B34"/>
    <w:rsid w:val="040C3CF2"/>
    <w:rsid w:val="04191764"/>
    <w:rsid w:val="044E26AD"/>
    <w:rsid w:val="045A0087"/>
    <w:rsid w:val="04640655"/>
    <w:rsid w:val="048C5BE2"/>
    <w:rsid w:val="04972A57"/>
    <w:rsid w:val="049A4077"/>
    <w:rsid w:val="049D5915"/>
    <w:rsid w:val="04A919F3"/>
    <w:rsid w:val="04AC3B33"/>
    <w:rsid w:val="04D035F5"/>
    <w:rsid w:val="04D255BF"/>
    <w:rsid w:val="04E15802"/>
    <w:rsid w:val="050D4546"/>
    <w:rsid w:val="054F4E62"/>
    <w:rsid w:val="05525F81"/>
    <w:rsid w:val="058F5A54"/>
    <w:rsid w:val="05A30D0A"/>
    <w:rsid w:val="05D438B9"/>
    <w:rsid w:val="05F15671"/>
    <w:rsid w:val="05F652DD"/>
    <w:rsid w:val="05F94DCD"/>
    <w:rsid w:val="060A7F0C"/>
    <w:rsid w:val="0616772D"/>
    <w:rsid w:val="06345E06"/>
    <w:rsid w:val="06386398"/>
    <w:rsid w:val="06416BB8"/>
    <w:rsid w:val="06456265"/>
    <w:rsid w:val="06CE1F71"/>
    <w:rsid w:val="06D01FD2"/>
    <w:rsid w:val="06E415DA"/>
    <w:rsid w:val="07000B16"/>
    <w:rsid w:val="070D0B30"/>
    <w:rsid w:val="07200C9D"/>
    <w:rsid w:val="073A5410"/>
    <w:rsid w:val="0754675F"/>
    <w:rsid w:val="076B39F3"/>
    <w:rsid w:val="076F5347"/>
    <w:rsid w:val="0775167C"/>
    <w:rsid w:val="07A0765A"/>
    <w:rsid w:val="07BD13EE"/>
    <w:rsid w:val="07CF36C6"/>
    <w:rsid w:val="080A5070"/>
    <w:rsid w:val="084E684E"/>
    <w:rsid w:val="084F5179"/>
    <w:rsid w:val="089D5EE4"/>
    <w:rsid w:val="08AE6343"/>
    <w:rsid w:val="08AF2F0D"/>
    <w:rsid w:val="08C45350"/>
    <w:rsid w:val="08EF6AC2"/>
    <w:rsid w:val="09185F2E"/>
    <w:rsid w:val="091E5277"/>
    <w:rsid w:val="092C2AB7"/>
    <w:rsid w:val="093C394F"/>
    <w:rsid w:val="095505E7"/>
    <w:rsid w:val="096C4D6B"/>
    <w:rsid w:val="09772BD9"/>
    <w:rsid w:val="09774987"/>
    <w:rsid w:val="097815DF"/>
    <w:rsid w:val="098E31D7"/>
    <w:rsid w:val="09C149B3"/>
    <w:rsid w:val="09D57431"/>
    <w:rsid w:val="09D9508C"/>
    <w:rsid w:val="09E75EDE"/>
    <w:rsid w:val="09F47D86"/>
    <w:rsid w:val="09F90D53"/>
    <w:rsid w:val="0A3B3CB9"/>
    <w:rsid w:val="0A3D797F"/>
    <w:rsid w:val="0A3E54A5"/>
    <w:rsid w:val="0A570314"/>
    <w:rsid w:val="0A7F6940"/>
    <w:rsid w:val="0A904DFA"/>
    <w:rsid w:val="0A962578"/>
    <w:rsid w:val="0B1D330C"/>
    <w:rsid w:val="0B872ED2"/>
    <w:rsid w:val="0B8D66E4"/>
    <w:rsid w:val="0BA12829"/>
    <w:rsid w:val="0BB45AA2"/>
    <w:rsid w:val="0BCB720C"/>
    <w:rsid w:val="0BDC4F75"/>
    <w:rsid w:val="0BE85AA6"/>
    <w:rsid w:val="0BF0642E"/>
    <w:rsid w:val="0C23344D"/>
    <w:rsid w:val="0C2506CA"/>
    <w:rsid w:val="0C393981"/>
    <w:rsid w:val="0C3B7EEE"/>
    <w:rsid w:val="0C4310EE"/>
    <w:rsid w:val="0CA03970"/>
    <w:rsid w:val="0CEE48A7"/>
    <w:rsid w:val="0CF602B9"/>
    <w:rsid w:val="0D0B2017"/>
    <w:rsid w:val="0D136775"/>
    <w:rsid w:val="0D244BFF"/>
    <w:rsid w:val="0D373A0B"/>
    <w:rsid w:val="0D4E1EA3"/>
    <w:rsid w:val="0D5D3E94"/>
    <w:rsid w:val="0D6214AA"/>
    <w:rsid w:val="0D63594E"/>
    <w:rsid w:val="0D703BC7"/>
    <w:rsid w:val="0D907DC5"/>
    <w:rsid w:val="0D9F44AC"/>
    <w:rsid w:val="0DAC6849"/>
    <w:rsid w:val="0DCF21C8"/>
    <w:rsid w:val="0DDA54E4"/>
    <w:rsid w:val="0DFE5677"/>
    <w:rsid w:val="0E034A3B"/>
    <w:rsid w:val="0E19425F"/>
    <w:rsid w:val="0E19600D"/>
    <w:rsid w:val="0E2624D8"/>
    <w:rsid w:val="0E356BBF"/>
    <w:rsid w:val="0E4219DB"/>
    <w:rsid w:val="0E4C540B"/>
    <w:rsid w:val="0E793654"/>
    <w:rsid w:val="0EA97268"/>
    <w:rsid w:val="0EAF071F"/>
    <w:rsid w:val="0ED35847"/>
    <w:rsid w:val="0ED40186"/>
    <w:rsid w:val="0ED802FF"/>
    <w:rsid w:val="0EE20AF5"/>
    <w:rsid w:val="0F072309"/>
    <w:rsid w:val="0F0942D3"/>
    <w:rsid w:val="0F0E3698"/>
    <w:rsid w:val="0F6A2898"/>
    <w:rsid w:val="0F6B6D3C"/>
    <w:rsid w:val="0F851480"/>
    <w:rsid w:val="0FA1450C"/>
    <w:rsid w:val="0FC14BAE"/>
    <w:rsid w:val="0FDC3796"/>
    <w:rsid w:val="0FF74205"/>
    <w:rsid w:val="1008458B"/>
    <w:rsid w:val="100D4B83"/>
    <w:rsid w:val="106D0892"/>
    <w:rsid w:val="108F25B6"/>
    <w:rsid w:val="10947BCD"/>
    <w:rsid w:val="109C4CD3"/>
    <w:rsid w:val="11286567"/>
    <w:rsid w:val="1131366D"/>
    <w:rsid w:val="113D64B6"/>
    <w:rsid w:val="11447845"/>
    <w:rsid w:val="11AC7198"/>
    <w:rsid w:val="11B22B48"/>
    <w:rsid w:val="11BD75F7"/>
    <w:rsid w:val="11E20D72"/>
    <w:rsid w:val="121C256F"/>
    <w:rsid w:val="124318AA"/>
    <w:rsid w:val="12631F4C"/>
    <w:rsid w:val="126E3EB0"/>
    <w:rsid w:val="12747CB6"/>
    <w:rsid w:val="128437C6"/>
    <w:rsid w:val="129465AA"/>
    <w:rsid w:val="129C720C"/>
    <w:rsid w:val="12D9220E"/>
    <w:rsid w:val="12F17B2E"/>
    <w:rsid w:val="13157F9E"/>
    <w:rsid w:val="136071FB"/>
    <w:rsid w:val="13660293"/>
    <w:rsid w:val="13737F6D"/>
    <w:rsid w:val="137B7981"/>
    <w:rsid w:val="138959E3"/>
    <w:rsid w:val="138F7287"/>
    <w:rsid w:val="139B1132"/>
    <w:rsid w:val="139B74C4"/>
    <w:rsid w:val="13C056B4"/>
    <w:rsid w:val="13E87CB7"/>
    <w:rsid w:val="140C1FE5"/>
    <w:rsid w:val="141650CD"/>
    <w:rsid w:val="141D612B"/>
    <w:rsid w:val="143040B0"/>
    <w:rsid w:val="145533A6"/>
    <w:rsid w:val="14587163"/>
    <w:rsid w:val="14740441"/>
    <w:rsid w:val="148443FC"/>
    <w:rsid w:val="1497412F"/>
    <w:rsid w:val="149F2FE4"/>
    <w:rsid w:val="14A423A8"/>
    <w:rsid w:val="14EC25CE"/>
    <w:rsid w:val="150C0679"/>
    <w:rsid w:val="153100AC"/>
    <w:rsid w:val="154F67B8"/>
    <w:rsid w:val="158D6BDD"/>
    <w:rsid w:val="15D33824"/>
    <w:rsid w:val="15DE7AD6"/>
    <w:rsid w:val="15E92BC7"/>
    <w:rsid w:val="15FD3709"/>
    <w:rsid w:val="160464D3"/>
    <w:rsid w:val="16157A01"/>
    <w:rsid w:val="16493207"/>
    <w:rsid w:val="164B0365"/>
    <w:rsid w:val="16685D83"/>
    <w:rsid w:val="166938A9"/>
    <w:rsid w:val="167A7865"/>
    <w:rsid w:val="167F6351"/>
    <w:rsid w:val="168B1A72"/>
    <w:rsid w:val="16C32C88"/>
    <w:rsid w:val="16C358AF"/>
    <w:rsid w:val="16D637FC"/>
    <w:rsid w:val="16F76FA7"/>
    <w:rsid w:val="172A3039"/>
    <w:rsid w:val="1763654B"/>
    <w:rsid w:val="1773288D"/>
    <w:rsid w:val="178D1D96"/>
    <w:rsid w:val="17966920"/>
    <w:rsid w:val="17B40B54"/>
    <w:rsid w:val="17CA65CA"/>
    <w:rsid w:val="17F35B20"/>
    <w:rsid w:val="180B1483"/>
    <w:rsid w:val="180C273E"/>
    <w:rsid w:val="183459BE"/>
    <w:rsid w:val="183D7B1A"/>
    <w:rsid w:val="1840688C"/>
    <w:rsid w:val="184F3D45"/>
    <w:rsid w:val="18BE7B6B"/>
    <w:rsid w:val="18D019BE"/>
    <w:rsid w:val="18E37943"/>
    <w:rsid w:val="18FA239B"/>
    <w:rsid w:val="190B2632"/>
    <w:rsid w:val="191C4C03"/>
    <w:rsid w:val="194D3428"/>
    <w:rsid w:val="19575C3B"/>
    <w:rsid w:val="195B397D"/>
    <w:rsid w:val="19622F5E"/>
    <w:rsid w:val="19882298"/>
    <w:rsid w:val="19946E8F"/>
    <w:rsid w:val="199E39C2"/>
    <w:rsid w:val="19A8293B"/>
    <w:rsid w:val="19B4308D"/>
    <w:rsid w:val="19D41982"/>
    <w:rsid w:val="19E219A9"/>
    <w:rsid w:val="19E73463"/>
    <w:rsid w:val="1A332204"/>
    <w:rsid w:val="1A7F3E24"/>
    <w:rsid w:val="1A9A5D1C"/>
    <w:rsid w:val="1AC217DA"/>
    <w:rsid w:val="1AFE2C2B"/>
    <w:rsid w:val="1B1F09DB"/>
    <w:rsid w:val="1B6F1962"/>
    <w:rsid w:val="1B982FF3"/>
    <w:rsid w:val="1BD619E1"/>
    <w:rsid w:val="1BD971F4"/>
    <w:rsid w:val="1BDA2117"/>
    <w:rsid w:val="1BDB6FF7"/>
    <w:rsid w:val="1BEA548C"/>
    <w:rsid w:val="1C0F2CE1"/>
    <w:rsid w:val="1C224C26"/>
    <w:rsid w:val="1C623275"/>
    <w:rsid w:val="1C762226"/>
    <w:rsid w:val="1C7B60E4"/>
    <w:rsid w:val="1CA8197B"/>
    <w:rsid w:val="1D0D31E0"/>
    <w:rsid w:val="1D1C78C7"/>
    <w:rsid w:val="1D7F1C04"/>
    <w:rsid w:val="1D864D41"/>
    <w:rsid w:val="1DC64109"/>
    <w:rsid w:val="1DD10C77"/>
    <w:rsid w:val="1DD821DB"/>
    <w:rsid w:val="1DD84EE2"/>
    <w:rsid w:val="1DD957B9"/>
    <w:rsid w:val="1DE21BFC"/>
    <w:rsid w:val="1DEA52D0"/>
    <w:rsid w:val="1E2702D2"/>
    <w:rsid w:val="1EC575F3"/>
    <w:rsid w:val="1ECC0E79"/>
    <w:rsid w:val="1EFB350D"/>
    <w:rsid w:val="1F126AC2"/>
    <w:rsid w:val="1F1840BF"/>
    <w:rsid w:val="1F2760B0"/>
    <w:rsid w:val="1F503858"/>
    <w:rsid w:val="1F515A39"/>
    <w:rsid w:val="1F69532E"/>
    <w:rsid w:val="1F7C63FB"/>
    <w:rsid w:val="1F9803AC"/>
    <w:rsid w:val="1FFD411B"/>
    <w:rsid w:val="203D01A7"/>
    <w:rsid w:val="2087367A"/>
    <w:rsid w:val="209F2A54"/>
    <w:rsid w:val="20B47E17"/>
    <w:rsid w:val="20D73ACA"/>
    <w:rsid w:val="20FD1BD4"/>
    <w:rsid w:val="20FD356C"/>
    <w:rsid w:val="211B1C44"/>
    <w:rsid w:val="212E5E1B"/>
    <w:rsid w:val="21671CF6"/>
    <w:rsid w:val="217557F8"/>
    <w:rsid w:val="218872DA"/>
    <w:rsid w:val="218E0668"/>
    <w:rsid w:val="21B856E5"/>
    <w:rsid w:val="21E93AF0"/>
    <w:rsid w:val="21ED1832"/>
    <w:rsid w:val="2221328A"/>
    <w:rsid w:val="227B6E3E"/>
    <w:rsid w:val="228D764F"/>
    <w:rsid w:val="229C6DE9"/>
    <w:rsid w:val="22D64075"/>
    <w:rsid w:val="22E76282"/>
    <w:rsid w:val="230E7CB2"/>
    <w:rsid w:val="231150AD"/>
    <w:rsid w:val="233E412D"/>
    <w:rsid w:val="233E7DBC"/>
    <w:rsid w:val="2349026B"/>
    <w:rsid w:val="23BD5235"/>
    <w:rsid w:val="23C465C3"/>
    <w:rsid w:val="23CD1D77"/>
    <w:rsid w:val="24281889"/>
    <w:rsid w:val="24577437"/>
    <w:rsid w:val="24961D0D"/>
    <w:rsid w:val="24B403E6"/>
    <w:rsid w:val="24C90A33"/>
    <w:rsid w:val="24F074D1"/>
    <w:rsid w:val="25022231"/>
    <w:rsid w:val="251A0B90"/>
    <w:rsid w:val="251A3303"/>
    <w:rsid w:val="2547125A"/>
    <w:rsid w:val="25545725"/>
    <w:rsid w:val="25710085"/>
    <w:rsid w:val="25853B30"/>
    <w:rsid w:val="2593449F"/>
    <w:rsid w:val="25C32FD6"/>
    <w:rsid w:val="25CA1509"/>
    <w:rsid w:val="25EC437E"/>
    <w:rsid w:val="260450DB"/>
    <w:rsid w:val="260E7FC9"/>
    <w:rsid w:val="261E645E"/>
    <w:rsid w:val="263D7F73"/>
    <w:rsid w:val="264F486A"/>
    <w:rsid w:val="26625BC2"/>
    <w:rsid w:val="269E208E"/>
    <w:rsid w:val="26A050C5"/>
    <w:rsid w:val="26A54F0B"/>
    <w:rsid w:val="26BE19EF"/>
    <w:rsid w:val="26D7485F"/>
    <w:rsid w:val="26E02441"/>
    <w:rsid w:val="26E054C2"/>
    <w:rsid w:val="27042DFE"/>
    <w:rsid w:val="270645C5"/>
    <w:rsid w:val="2707406D"/>
    <w:rsid w:val="27191DB9"/>
    <w:rsid w:val="275639D6"/>
    <w:rsid w:val="2781787A"/>
    <w:rsid w:val="279D1605"/>
    <w:rsid w:val="27B5694E"/>
    <w:rsid w:val="27CE5C62"/>
    <w:rsid w:val="27DF39CB"/>
    <w:rsid w:val="28355CE1"/>
    <w:rsid w:val="28440A5B"/>
    <w:rsid w:val="284C045D"/>
    <w:rsid w:val="285048C9"/>
    <w:rsid w:val="28846049"/>
    <w:rsid w:val="28E31299"/>
    <w:rsid w:val="28EF4F44"/>
    <w:rsid w:val="28FB4835"/>
    <w:rsid w:val="290556B4"/>
    <w:rsid w:val="29257B04"/>
    <w:rsid w:val="292A6EC8"/>
    <w:rsid w:val="29540304"/>
    <w:rsid w:val="295C0655"/>
    <w:rsid w:val="296950CB"/>
    <w:rsid w:val="29695C42"/>
    <w:rsid w:val="29A5570A"/>
    <w:rsid w:val="29A63C37"/>
    <w:rsid w:val="29B570DA"/>
    <w:rsid w:val="29D62BAC"/>
    <w:rsid w:val="29D663AA"/>
    <w:rsid w:val="29F00112"/>
    <w:rsid w:val="2A697EC4"/>
    <w:rsid w:val="2A900FAD"/>
    <w:rsid w:val="2A9C2D33"/>
    <w:rsid w:val="2AA119FC"/>
    <w:rsid w:val="2AF27EBA"/>
    <w:rsid w:val="2AF7102C"/>
    <w:rsid w:val="2AFC0D9C"/>
    <w:rsid w:val="2B45623B"/>
    <w:rsid w:val="2B7663F5"/>
    <w:rsid w:val="2B794137"/>
    <w:rsid w:val="2B7F70A5"/>
    <w:rsid w:val="2B8C5C18"/>
    <w:rsid w:val="2B960845"/>
    <w:rsid w:val="2BB1742D"/>
    <w:rsid w:val="2BBF0C1C"/>
    <w:rsid w:val="2BC41327"/>
    <w:rsid w:val="2BFA5278"/>
    <w:rsid w:val="2C005095"/>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69418A"/>
    <w:rsid w:val="2D9B2143"/>
    <w:rsid w:val="2D9E319D"/>
    <w:rsid w:val="2DAF47F9"/>
    <w:rsid w:val="2DB33930"/>
    <w:rsid w:val="2DB86843"/>
    <w:rsid w:val="2DE57862"/>
    <w:rsid w:val="2DED474D"/>
    <w:rsid w:val="2DFE6E37"/>
    <w:rsid w:val="2E1741F6"/>
    <w:rsid w:val="2E36630F"/>
    <w:rsid w:val="2E823302"/>
    <w:rsid w:val="2EC102CF"/>
    <w:rsid w:val="2ED31DB0"/>
    <w:rsid w:val="2EDD0C2B"/>
    <w:rsid w:val="2F223C93"/>
    <w:rsid w:val="2F3445FD"/>
    <w:rsid w:val="2F535856"/>
    <w:rsid w:val="2F57653D"/>
    <w:rsid w:val="2F6B1FE9"/>
    <w:rsid w:val="2F762E67"/>
    <w:rsid w:val="2FAC4ADB"/>
    <w:rsid w:val="2FFE2E5D"/>
    <w:rsid w:val="301F52AD"/>
    <w:rsid w:val="302428C3"/>
    <w:rsid w:val="302F3B93"/>
    <w:rsid w:val="3034552F"/>
    <w:rsid w:val="30413E8E"/>
    <w:rsid w:val="304271ED"/>
    <w:rsid w:val="30542A7D"/>
    <w:rsid w:val="3075313F"/>
    <w:rsid w:val="30760C45"/>
    <w:rsid w:val="30963095"/>
    <w:rsid w:val="30A9101A"/>
    <w:rsid w:val="30AE4883"/>
    <w:rsid w:val="30F11D05"/>
    <w:rsid w:val="30F45B82"/>
    <w:rsid w:val="30FA3624"/>
    <w:rsid w:val="310426F5"/>
    <w:rsid w:val="311A5A74"/>
    <w:rsid w:val="312D57A8"/>
    <w:rsid w:val="312E5FEB"/>
    <w:rsid w:val="31A6555A"/>
    <w:rsid w:val="31C76D4C"/>
    <w:rsid w:val="31D356B0"/>
    <w:rsid w:val="31E00A6C"/>
    <w:rsid w:val="31FE21A5"/>
    <w:rsid w:val="32220E91"/>
    <w:rsid w:val="322A0611"/>
    <w:rsid w:val="32463916"/>
    <w:rsid w:val="324A23F5"/>
    <w:rsid w:val="326276D3"/>
    <w:rsid w:val="32851613"/>
    <w:rsid w:val="32954E27"/>
    <w:rsid w:val="32BF7DFB"/>
    <w:rsid w:val="32C97752"/>
    <w:rsid w:val="32E1603D"/>
    <w:rsid w:val="32F02F31"/>
    <w:rsid w:val="33323549"/>
    <w:rsid w:val="33751688"/>
    <w:rsid w:val="3381002D"/>
    <w:rsid w:val="338A7FAD"/>
    <w:rsid w:val="339C4E66"/>
    <w:rsid w:val="33D76D13"/>
    <w:rsid w:val="33ED018B"/>
    <w:rsid w:val="33FB1B8D"/>
    <w:rsid w:val="34060532"/>
    <w:rsid w:val="34207846"/>
    <w:rsid w:val="34305F32"/>
    <w:rsid w:val="3434236D"/>
    <w:rsid w:val="34433534"/>
    <w:rsid w:val="34916467"/>
    <w:rsid w:val="349A75F8"/>
    <w:rsid w:val="34B232D3"/>
    <w:rsid w:val="34BD5AEB"/>
    <w:rsid w:val="34C46423"/>
    <w:rsid w:val="34EB7E53"/>
    <w:rsid w:val="34EE34A0"/>
    <w:rsid w:val="35074561"/>
    <w:rsid w:val="350C3926"/>
    <w:rsid w:val="35156C7E"/>
    <w:rsid w:val="35213875"/>
    <w:rsid w:val="353A4937"/>
    <w:rsid w:val="353A66E5"/>
    <w:rsid w:val="353F5AA9"/>
    <w:rsid w:val="35586B6B"/>
    <w:rsid w:val="35A3428A"/>
    <w:rsid w:val="35BE328B"/>
    <w:rsid w:val="35C30A55"/>
    <w:rsid w:val="35C661CB"/>
    <w:rsid w:val="35D07049"/>
    <w:rsid w:val="35E11256"/>
    <w:rsid w:val="35EF65E1"/>
    <w:rsid w:val="35F74A58"/>
    <w:rsid w:val="35FE5964"/>
    <w:rsid w:val="36034D29"/>
    <w:rsid w:val="3609300A"/>
    <w:rsid w:val="362C191E"/>
    <w:rsid w:val="365E5169"/>
    <w:rsid w:val="366C6D72"/>
    <w:rsid w:val="366D4BC8"/>
    <w:rsid w:val="366E760D"/>
    <w:rsid w:val="367B6FB5"/>
    <w:rsid w:val="369066FC"/>
    <w:rsid w:val="369334DC"/>
    <w:rsid w:val="36AC7588"/>
    <w:rsid w:val="36C21C3F"/>
    <w:rsid w:val="36D33C63"/>
    <w:rsid w:val="36F318CB"/>
    <w:rsid w:val="37023232"/>
    <w:rsid w:val="372A42BA"/>
    <w:rsid w:val="373A0948"/>
    <w:rsid w:val="375E2A17"/>
    <w:rsid w:val="377744E3"/>
    <w:rsid w:val="3795529C"/>
    <w:rsid w:val="379E11AD"/>
    <w:rsid w:val="37E42938"/>
    <w:rsid w:val="37F708BD"/>
    <w:rsid w:val="38082ACA"/>
    <w:rsid w:val="38314519"/>
    <w:rsid w:val="38336D98"/>
    <w:rsid w:val="386C3059"/>
    <w:rsid w:val="3891486E"/>
    <w:rsid w:val="38E60960"/>
    <w:rsid w:val="38F512A1"/>
    <w:rsid w:val="39406294"/>
    <w:rsid w:val="39416F45"/>
    <w:rsid w:val="394A3E0E"/>
    <w:rsid w:val="394B1EE3"/>
    <w:rsid w:val="396B1563"/>
    <w:rsid w:val="396E1053"/>
    <w:rsid w:val="39954B62"/>
    <w:rsid w:val="39A44A75"/>
    <w:rsid w:val="39E3546E"/>
    <w:rsid w:val="3A257964"/>
    <w:rsid w:val="3A3A5061"/>
    <w:rsid w:val="3A3C6A5B"/>
    <w:rsid w:val="3A4678DA"/>
    <w:rsid w:val="3A4727AD"/>
    <w:rsid w:val="3A555D6F"/>
    <w:rsid w:val="3A571AE7"/>
    <w:rsid w:val="3A6F0BDF"/>
    <w:rsid w:val="3A86417A"/>
    <w:rsid w:val="3A8D375B"/>
    <w:rsid w:val="3AAA60BB"/>
    <w:rsid w:val="3AD84A09"/>
    <w:rsid w:val="3AE214AE"/>
    <w:rsid w:val="3B0D21A6"/>
    <w:rsid w:val="3B124BB9"/>
    <w:rsid w:val="3B2220F5"/>
    <w:rsid w:val="3B247C1B"/>
    <w:rsid w:val="3B5878C5"/>
    <w:rsid w:val="3B7A5A8D"/>
    <w:rsid w:val="3B903503"/>
    <w:rsid w:val="3BA05290"/>
    <w:rsid w:val="3BA1126C"/>
    <w:rsid w:val="3BB0325D"/>
    <w:rsid w:val="3C045EE9"/>
    <w:rsid w:val="3C2459F9"/>
    <w:rsid w:val="3C3A2B60"/>
    <w:rsid w:val="3C4B567C"/>
    <w:rsid w:val="3C6C6886"/>
    <w:rsid w:val="3C710A9B"/>
    <w:rsid w:val="3C740B22"/>
    <w:rsid w:val="3C942B7F"/>
    <w:rsid w:val="3C9613C2"/>
    <w:rsid w:val="3CA37266"/>
    <w:rsid w:val="3CA803D8"/>
    <w:rsid w:val="3CA8662A"/>
    <w:rsid w:val="3CAB3899"/>
    <w:rsid w:val="3CE75344"/>
    <w:rsid w:val="3CF4361D"/>
    <w:rsid w:val="3CF76527"/>
    <w:rsid w:val="3D315030"/>
    <w:rsid w:val="3D385C00"/>
    <w:rsid w:val="3D463DBE"/>
    <w:rsid w:val="3D4B05F7"/>
    <w:rsid w:val="3D536F54"/>
    <w:rsid w:val="3D7F365D"/>
    <w:rsid w:val="3D80667C"/>
    <w:rsid w:val="3D8F1598"/>
    <w:rsid w:val="3D931DA2"/>
    <w:rsid w:val="3D934BE4"/>
    <w:rsid w:val="3D995F73"/>
    <w:rsid w:val="3DE2791A"/>
    <w:rsid w:val="3DF02037"/>
    <w:rsid w:val="3DFD7B27"/>
    <w:rsid w:val="3E004607"/>
    <w:rsid w:val="3E0B50C2"/>
    <w:rsid w:val="3E0E4BB3"/>
    <w:rsid w:val="3E22515D"/>
    <w:rsid w:val="3E263CAA"/>
    <w:rsid w:val="3E396CAE"/>
    <w:rsid w:val="3E3B7D9F"/>
    <w:rsid w:val="3E506F79"/>
    <w:rsid w:val="3E614CE2"/>
    <w:rsid w:val="3E78202C"/>
    <w:rsid w:val="3E7A5DA4"/>
    <w:rsid w:val="3E7D047A"/>
    <w:rsid w:val="3EA62247"/>
    <w:rsid w:val="3EC82FB3"/>
    <w:rsid w:val="3ED05615"/>
    <w:rsid w:val="3F0F473E"/>
    <w:rsid w:val="3F250AB4"/>
    <w:rsid w:val="3F2F6B8F"/>
    <w:rsid w:val="3F6251B6"/>
    <w:rsid w:val="3F7E3CCE"/>
    <w:rsid w:val="3F9115F7"/>
    <w:rsid w:val="3FB3156E"/>
    <w:rsid w:val="3FB65AD9"/>
    <w:rsid w:val="3FBA0B4E"/>
    <w:rsid w:val="3FD339BE"/>
    <w:rsid w:val="3FE05723"/>
    <w:rsid w:val="3FFAF31D"/>
    <w:rsid w:val="40185875"/>
    <w:rsid w:val="402C0554"/>
    <w:rsid w:val="403D6978"/>
    <w:rsid w:val="40452C81"/>
    <w:rsid w:val="40582115"/>
    <w:rsid w:val="405D1A2A"/>
    <w:rsid w:val="405E0525"/>
    <w:rsid w:val="40646D0C"/>
    <w:rsid w:val="40955117"/>
    <w:rsid w:val="40AD420F"/>
    <w:rsid w:val="410762AC"/>
    <w:rsid w:val="41151DB4"/>
    <w:rsid w:val="41601F71"/>
    <w:rsid w:val="41932D5F"/>
    <w:rsid w:val="41A05B22"/>
    <w:rsid w:val="41AF2209"/>
    <w:rsid w:val="41C95079"/>
    <w:rsid w:val="41EA3241"/>
    <w:rsid w:val="41FF4F3E"/>
    <w:rsid w:val="420A6C99"/>
    <w:rsid w:val="421A72C0"/>
    <w:rsid w:val="42312C1E"/>
    <w:rsid w:val="423408FB"/>
    <w:rsid w:val="42827F0E"/>
    <w:rsid w:val="42925DB2"/>
    <w:rsid w:val="42B52A5A"/>
    <w:rsid w:val="42EB4309"/>
    <w:rsid w:val="42F16099"/>
    <w:rsid w:val="43172758"/>
    <w:rsid w:val="433429C6"/>
    <w:rsid w:val="435C016E"/>
    <w:rsid w:val="437159C8"/>
    <w:rsid w:val="43AE09CA"/>
    <w:rsid w:val="43B91888"/>
    <w:rsid w:val="43C95804"/>
    <w:rsid w:val="4403491A"/>
    <w:rsid w:val="445826D6"/>
    <w:rsid w:val="44703ED1"/>
    <w:rsid w:val="447F4114"/>
    <w:rsid w:val="448917EC"/>
    <w:rsid w:val="44A2710B"/>
    <w:rsid w:val="44BE2144"/>
    <w:rsid w:val="44C1472D"/>
    <w:rsid w:val="44CD30D2"/>
    <w:rsid w:val="44D3620E"/>
    <w:rsid w:val="44E4041B"/>
    <w:rsid w:val="44FC7513"/>
    <w:rsid w:val="450D39DC"/>
    <w:rsid w:val="45141548"/>
    <w:rsid w:val="452C0D9A"/>
    <w:rsid w:val="452F78E8"/>
    <w:rsid w:val="45686B2D"/>
    <w:rsid w:val="457E78C3"/>
    <w:rsid w:val="457F0202"/>
    <w:rsid w:val="457F1EF2"/>
    <w:rsid w:val="45806396"/>
    <w:rsid w:val="45DB3EF9"/>
    <w:rsid w:val="45E85CE9"/>
    <w:rsid w:val="46032B23"/>
    <w:rsid w:val="46317690"/>
    <w:rsid w:val="463A1ECC"/>
    <w:rsid w:val="46B81CA9"/>
    <w:rsid w:val="46E62229"/>
    <w:rsid w:val="46ED1809"/>
    <w:rsid w:val="46FA3F26"/>
    <w:rsid w:val="47024B89"/>
    <w:rsid w:val="470C6541"/>
    <w:rsid w:val="47134FE8"/>
    <w:rsid w:val="47266AC9"/>
    <w:rsid w:val="47811F51"/>
    <w:rsid w:val="47C84024"/>
    <w:rsid w:val="47F40975"/>
    <w:rsid w:val="47F60B91"/>
    <w:rsid w:val="48054931"/>
    <w:rsid w:val="482F5E51"/>
    <w:rsid w:val="483B0352"/>
    <w:rsid w:val="486758C4"/>
    <w:rsid w:val="487C41DD"/>
    <w:rsid w:val="488C2ACF"/>
    <w:rsid w:val="488F7C16"/>
    <w:rsid w:val="48931F3C"/>
    <w:rsid w:val="48965349"/>
    <w:rsid w:val="48AA54D8"/>
    <w:rsid w:val="48D32C81"/>
    <w:rsid w:val="48EF2E1B"/>
    <w:rsid w:val="4901159C"/>
    <w:rsid w:val="49153299"/>
    <w:rsid w:val="49180694"/>
    <w:rsid w:val="495B760C"/>
    <w:rsid w:val="49677321"/>
    <w:rsid w:val="4974292D"/>
    <w:rsid w:val="498B5C77"/>
    <w:rsid w:val="49A119ED"/>
    <w:rsid w:val="49B27967"/>
    <w:rsid w:val="49CA6C64"/>
    <w:rsid w:val="49DF0B35"/>
    <w:rsid w:val="49EF5898"/>
    <w:rsid w:val="4A0D488A"/>
    <w:rsid w:val="4A0D5D1E"/>
    <w:rsid w:val="4A2A75AB"/>
    <w:rsid w:val="4A3855BE"/>
    <w:rsid w:val="4A4554B8"/>
    <w:rsid w:val="4A5E5DDF"/>
    <w:rsid w:val="4A7F6F7D"/>
    <w:rsid w:val="4A9511DA"/>
    <w:rsid w:val="4AC705C3"/>
    <w:rsid w:val="4ACF1226"/>
    <w:rsid w:val="4AD4683C"/>
    <w:rsid w:val="4AD60806"/>
    <w:rsid w:val="4AF54F29"/>
    <w:rsid w:val="4B007631"/>
    <w:rsid w:val="4B232DA2"/>
    <w:rsid w:val="4B296B88"/>
    <w:rsid w:val="4B5670C1"/>
    <w:rsid w:val="4BA72908"/>
    <w:rsid w:val="4BCD6803"/>
    <w:rsid w:val="4BE64A79"/>
    <w:rsid w:val="4C1E1B11"/>
    <w:rsid w:val="4C352DFF"/>
    <w:rsid w:val="4C612351"/>
    <w:rsid w:val="4C63431C"/>
    <w:rsid w:val="4C637F6F"/>
    <w:rsid w:val="4C7D7357"/>
    <w:rsid w:val="4C891FD4"/>
    <w:rsid w:val="4CA010CC"/>
    <w:rsid w:val="4CEC2563"/>
    <w:rsid w:val="4D0072CE"/>
    <w:rsid w:val="4D0C636D"/>
    <w:rsid w:val="4D1D67F6"/>
    <w:rsid w:val="4D562C80"/>
    <w:rsid w:val="4D6B3488"/>
    <w:rsid w:val="4D74766F"/>
    <w:rsid w:val="4D7560B4"/>
    <w:rsid w:val="4D77225E"/>
    <w:rsid w:val="4D7D31BB"/>
    <w:rsid w:val="4D930C30"/>
    <w:rsid w:val="4D9E721C"/>
    <w:rsid w:val="4DAB1AD6"/>
    <w:rsid w:val="4E06707A"/>
    <w:rsid w:val="4E5C54C6"/>
    <w:rsid w:val="4E661EA1"/>
    <w:rsid w:val="4ECC5774"/>
    <w:rsid w:val="4EE73FDF"/>
    <w:rsid w:val="4EEB4A7F"/>
    <w:rsid w:val="4F1A44F5"/>
    <w:rsid w:val="4F3A01B4"/>
    <w:rsid w:val="4F3A75B6"/>
    <w:rsid w:val="4F561F16"/>
    <w:rsid w:val="4F585C8E"/>
    <w:rsid w:val="4F5876FA"/>
    <w:rsid w:val="4F6208BA"/>
    <w:rsid w:val="4F7A5C04"/>
    <w:rsid w:val="4F8C3B89"/>
    <w:rsid w:val="4F936CC6"/>
    <w:rsid w:val="4F9812E6"/>
    <w:rsid w:val="50137E07"/>
    <w:rsid w:val="501A2F43"/>
    <w:rsid w:val="501D6F9B"/>
    <w:rsid w:val="501E0C85"/>
    <w:rsid w:val="50402E5B"/>
    <w:rsid w:val="50760AC1"/>
    <w:rsid w:val="507C44FD"/>
    <w:rsid w:val="509314F5"/>
    <w:rsid w:val="50B45146"/>
    <w:rsid w:val="50B91612"/>
    <w:rsid w:val="50C57353"/>
    <w:rsid w:val="50EC2B32"/>
    <w:rsid w:val="50FD73A0"/>
    <w:rsid w:val="51037E7B"/>
    <w:rsid w:val="511676E7"/>
    <w:rsid w:val="51625CF9"/>
    <w:rsid w:val="51890380"/>
    <w:rsid w:val="51932FAD"/>
    <w:rsid w:val="51AB479B"/>
    <w:rsid w:val="51C27D36"/>
    <w:rsid w:val="522602C5"/>
    <w:rsid w:val="523227C6"/>
    <w:rsid w:val="52376968"/>
    <w:rsid w:val="52662470"/>
    <w:rsid w:val="5268268C"/>
    <w:rsid w:val="527252B8"/>
    <w:rsid w:val="52B551A5"/>
    <w:rsid w:val="52BB0A0D"/>
    <w:rsid w:val="52D7511B"/>
    <w:rsid w:val="52D95337"/>
    <w:rsid w:val="52DE1FCB"/>
    <w:rsid w:val="532A1B08"/>
    <w:rsid w:val="535844AE"/>
    <w:rsid w:val="536852EA"/>
    <w:rsid w:val="5386726D"/>
    <w:rsid w:val="538961A4"/>
    <w:rsid w:val="53A45945"/>
    <w:rsid w:val="53A6324B"/>
    <w:rsid w:val="53CB1124"/>
    <w:rsid w:val="540445A3"/>
    <w:rsid w:val="54104D89"/>
    <w:rsid w:val="54297BF9"/>
    <w:rsid w:val="544B176B"/>
    <w:rsid w:val="54776BB6"/>
    <w:rsid w:val="547846DC"/>
    <w:rsid w:val="5479292E"/>
    <w:rsid w:val="549F7EBB"/>
    <w:rsid w:val="54BB7C66"/>
    <w:rsid w:val="54C17E31"/>
    <w:rsid w:val="55264138"/>
    <w:rsid w:val="55326D32"/>
    <w:rsid w:val="55365402"/>
    <w:rsid w:val="553B5952"/>
    <w:rsid w:val="554B4D08"/>
    <w:rsid w:val="55515659"/>
    <w:rsid w:val="5566710A"/>
    <w:rsid w:val="55853555"/>
    <w:rsid w:val="558E2409"/>
    <w:rsid w:val="55B160F8"/>
    <w:rsid w:val="55BB6615"/>
    <w:rsid w:val="55E42029"/>
    <w:rsid w:val="55F81F79"/>
    <w:rsid w:val="56010E2D"/>
    <w:rsid w:val="560721BC"/>
    <w:rsid w:val="56293EE0"/>
    <w:rsid w:val="56450EDB"/>
    <w:rsid w:val="568E6439"/>
    <w:rsid w:val="56E12A0D"/>
    <w:rsid w:val="56E322E1"/>
    <w:rsid w:val="56EE0C86"/>
    <w:rsid w:val="56F02C50"/>
    <w:rsid w:val="572B18A4"/>
    <w:rsid w:val="573E39BB"/>
    <w:rsid w:val="57596A47"/>
    <w:rsid w:val="576176AA"/>
    <w:rsid w:val="57822B16"/>
    <w:rsid w:val="579B7990"/>
    <w:rsid w:val="57A53A3A"/>
    <w:rsid w:val="57AF0E5C"/>
    <w:rsid w:val="57CA16F3"/>
    <w:rsid w:val="57DB15B9"/>
    <w:rsid w:val="58191461"/>
    <w:rsid w:val="581E3FA7"/>
    <w:rsid w:val="583D33C0"/>
    <w:rsid w:val="586438F5"/>
    <w:rsid w:val="58A7742D"/>
    <w:rsid w:val="58D17250"/>
    <w:rsid w:val="58DF2F7C"/>
    <w:rsid w:val="58F5454D"/>
    <w:rsid w:val="58F76517"/>
    <w:rsid w:val="590B5B1F"/>
    <w:rsid w:val="590D1897"/>
    <w:rsid w:val="5919401E"/>
    <w:rsid w:val="591E1BC3"/>
    <w:rsid w:val="596671F9"/>
    <w:rsid w:val="59691FED"/>
    <w:rsid w:val="597162CA"/>
    <w:rsid w:val="597638E0"/>
    <w:rsid w:val="597B2CC1"/>
    <w:rsid w:val="598C3730"/>
    <w:rsid w:val="59B66EB3"/>
    <w:rsid w:val="59BD32BD"/>
    <w:rsid w:val="59D33627"/>
    <w:rsid w:val="59D46859"/>
    <w:rsid w:val="5A094F9B"/>
    <w:rsid w:val="5A19111B"/>
    <w:rsid w:val="5A276988"/>
    <w:rsid w:val="5A2C317E"/>
    <w:rsid w:val="5A3C190B"/>
    <w:rsid w:val="5A5B0D0C"/>
    <w:rsid w:val="5A8D7F61"/>
    <w:rsid w:val="5A981634"/>
    <w:rsid w:val="5AD54636"/>
    <w:rsid w:val="5AD54E03"/>
    <w:rsid w:val="5AF26F96"/>
    <w:rsid w:val="5B0B3659"/>
    <w:rsid w:val="5B3E2BC0"/>
    <w:rsid w:val="5B6360E6"/>
    <w:rsid w:val="5B977B3E"/>
    <w:rsid w:val="5B9E0ECC"/>
    <w:rsid w:val="5BA54009"/>
    <w:rsid w:val="5BCF63A9"/>
    <w:rsid w:val="5C2C4F2D"/>
    <w:rsid w:val="5C5679F9"/>
    <w:rsid w:val="5C7120A1"/>
    <w:rsid w:val="5C797243"/>
    <w:rsid w:val="5C806824"/>
    <w:rsid w:val="5CB52971"/>
    <w:rsid w:val="5CD32DF8"/>
    <w:rsid w:val="5CD4149F"/>
    <w:rsid w:val="5CF323B1"/>
    <w:rsid w:val="5CFD7E74"/>
    <w:rsid w:val="5D63417B"/>
    <w:rsid w:val="5D635829"/>
    <w:rsid w:val="5D775E79"/>
    <w:rsid w:val="5D8B36D2"/>
    <w:rsid w:val="5D8F4F70"/>
    <w:rsid w:val="5D924A61"/>
    <w:rsid w:val="5DAF116F"/>
    <w:rsid w:val="5DB449D7"/>
    <w:rsid w:val="5DD30284"/>
    <w:rsid w:val="5E162F9C"/>
    <w:rsid w:val="5E29424F"/>
    <w:rsid w:val="5E4C10B3"/>
    <w:rsid w:val="5E4C4C10"/>
    <w:rsid w:val="5E5166CA"/>
    <w:rsid w:val="5E5B30A5"/>
    <w:rsid w:val="5E6957C1"/>
    <w:rsid w:val="5E8545C5"/>
    <w:rsid w:val="5E875C48"/>
    <w:rsid w:val="5EC7698C"/>
    <w:rsid w:val="5ECB7E0E"/>
    <w:rsid w:val="5EE70977"/>
    <w:rsid w:val="5EF84D97"/>
    <w:rsid w:val="5F17346F"/>
    <w:rsid w:val="5F5A270B"/>
    <w:rsid w:val="5FD217D5"/>
    <w:rsid w:val="5FEB6469"/>
    <w:rsid w:val="5FFC0099"/>
    <w:rsid w:val="602045A6"/>
    <w:rsid w:val="60310561"/>
    <w:rsid w:val="60365B77"/>
    <w:rsid w:val="603C0CB4"/>
    <w:rsid w:val="605D1356"/>
    <w:rsid w:val="608B78E2"/>
    <w:rsid w:val="609B1E7E"/>
    <w:rsid w:val="60B85F03"/>
    <w:rsid w:val="60DC361E"/>
    <w:rsid w:val="60F33A68"/>
    <w:rsid w:val="61016185"/>
    <w:rsid w:val="612956DC"/>
    <w:rsid w:val="612A4D6D"/>
    <w:rsid w:val="613227E3"/>
    <w:rsid w:val="613A3118"/>
    <w:rsid w:val="613B24C6"/>
    <w:rsid w:val="614C4F26"/>
    <w:rsid w:val="615564D1"/>
    <w:rsid w:val="616650DA"/>
    <w:rsid w:val="616933C9"/>
    <w:rsid w:val="61A15272"/>
    <w:rsid w:val="61B74A96"/>
    <w:rsid w:val="61C4171F"/>
    <w:rsid w:val="61F93300"/>
    <w:rsid w:val="61F96E5C"/>
    <w:rsid w:val="621D48D8"/>
    <w:rsid w:val="624A77E6"/>
    <w:rsid w:val="62854B94"/>
    <w:rsid w:val="63096CAD"/>
    <w:rsid w:val="631E435E"/>
    <w:rsid w:val="63213CF4"/>
    <w:rsid w:val="633345F0"/>
    <w:rsid w:val="63AC7EFE"/>
    <w:rsid w:val="63B079EF"/>
    <w:rsid w:val="63B86816"/>
    <w:rsid w:val="63C94F54"/>
    <w:rsid w:val="63D86F45"/>
    <w:rsid w:val="6420377A"/>
    <w:rsid w:val="644606A8"/>
    <w:rsid w:val="644F5459"/>
    <w:rsid w:val="6450412D"/>
    <w:rsid w:val="64602371"/>
    <w:rsid w:val="64994970"/>
    <w:rsid w:val="64B928D3"/>
    <w:rsid w:val="64CA053B"/>
    <w:rsid w:val="64CA0F84"/>
    <w:rsid w:val="64CA31F0"/>
    <w:rsid w:val="64D771FD"/>
    <w:rsid w:val="64D911C7"/>
    <w:rsid w:val="64DA367B"/>
    <w:rsid w:val="64DD4813"/>
    <w:rsid w:val="64E14962"/>
    <w:rsid w:val="64F61D79"/>
    <w:rsid w:val="651144BD"/>
    <w:rsid w:val="65241F3A"/>
    <w:rsid w:val="65282833"/>
    <w:rsid w:val="652E26F9"/>
    <w:rsid w:val="65366619"/>
    <w:rsid w:val="65416DD3"/>
    <w:rsid w:val="656349CE"/>
    <w:rsid w:val="65727C4B"/>
    <w:rsid w:val="65757142"/>
    <w:rsid w:val="658554FB"/>
    <w:rsid w:val="65883BF7"/>
    <w:rsid w:val="658B6DC7"/>
    <w:rsid w:val="659A0956"/>
    <w:rsid w:val="659E34C7"/>
    <w:rsid w:val="659F7D1B"/>
    <w:rsid w:val="65AA3925"/>
    <w:rsid w:val="65E676F8"/>
    <w:rsid w:val="660B3602"/>
    <w:rsid w:val="660C6F8D"/>
    <w:rsid w:val="661C75BD"/>
    <w:rsid w:val="662D5327"/>
    <w:rsid w:val="665658CC"/>
    <w:rsid w:val="667C62AE"/>
    <w:rsid w:val="668F2A3A"/>
    <w:rsid w:val="66903B07"/>
    <w:rsid w:val="669058B5"/>
    <w:rsid w:val="66A23F66"/>
    <w:rsid w:val="66AD4998"/>
    <w:rsid w:val="66B5531C"/>
    <w:rsid w:val="66BA7997"/>
    <w:rsid w:val="66E14363"/>
    <w:rsid w:val="66E16111"/>
    <w:rsid w:val="672524A2"/>
    <w:rsid w:val="673301D2"/>
    <w:rsid w:val="673B3A73"/>
    <w:rsid w:val="676A395C"/>
    <w:rsid w:val="67713939"/>
    <w:rsid w:val="67CD5013"/>
    <w:rsid w:val="67DD2D7C"/>
    <w:rsid w:val="684C2884"/>
    <w:rsid w:val="68662D72"/>
    <w:rsid w:val="68A33BCF"/>
    <w:rsid w:val="68AB7651"/>
    <w:rsid w:val="68B61551"/>
    <w:rsid w:val="68D60C2D"/>
    <w:rsid w:val="68D90E35"/>
    <w:rsid w:val="690C1B6B"/>
    <w:rsid w:val="69205A17"/>
    <w:rsid w:val="692F585A"/>
    <w:rsid w:val="6931512E"/>
    <w:rsid w:val="69981651"/>
    <w:rsid w:val="69EE74C3"/>
    <w:rsid w:val="69FF3DA6"/>
    <w:rsid w:val="6A0A597F"/>
    <w:rsid w:val="6A250690"/>
    <w:rsid w:val="6A5938E3"/>
    <w:rsid w:val="6A5C267E"/>
    <w:rsid w:val="6A617C95"/>
    <w:rsid w:val="6A8169BA"/>
    <w:rsid w:val="6A9516EC"/>
    <w:rsid w:val="6AA803E7"/>
    <w:rsid w:val="6AAE27AE"/>
    <w:rsid w:val="6AAF57D6"/>
    <w:rsid w:val="6AE90161"/>
    <w:rsid w:val="6B014ED0"/>
    <w:rsid w:val="6B054AC4"/>
    <w:rsid w:val="6B2947D1"/>
    <w:rsid w:val="6B5363CE"/>
    <w:rsid w:val="6B865960"/>
    <w:rsid w:val="6BA5042F"/>
    <w:rsid w:val="6BB87D88"/>
    <w:rsid w:val="6BD60F99"/>
    <w:rsid w:val="6BE26BB3"/>
    <w:rsid w:val="6BF30DC0"/>
    <w:rsid w:val="6BF95CAB"/>
    <w:rsid w:val="6BFF0DBE"/>
    <w:rsid w:val="6C0A54C0"/>
    <w:rsid w:val="6C384A25"/>
    <w:rsid w:val="6C4B29AA"/>
    <w:rsid w:val="6C507FC1"/>
    <w:rsid w:val="6C5F591C"/>
    <w:rsid w:val="6C7C2B64"/>
    <w:rsid w:val="6C7F2654"/>
    <w:rsid w:val="6CBD73A9"/>
    <w:rsid w:val="6CCB5899"/>
    <w:rsid w:val="6D0D3798"/>
    <w:rsid w:val="6D360A56"/>
    <w:rsid w:val="6D746AAD"/>
    <w:rsid w:val="6D79369D"/>
    <w:rsid w:val="6D866288"/>
    <w:rsid w:val="6DA47CF5"/>
    <w:rsid w:val="6DA5433C"/>
    <w:rsid w:val="6E0A1704"/>
    <w:rsid w:val="6E113780"/>
    <w:rsid w:val="6E11552E"/>
    <w:rsid w:val="6E315BD0"/>
    <w:rsid w:val="6E3631E6"/>
    <w:rsid w:val="6E495542"/>
    <w:rsid w:val="6E510B61"/>
    <w:rsid w:val="6E70494A"/>
    <w:rsid w:val="6E7855AD"/>
    <w:rsid w:val="6E7D42EE"/>
    <w:rsid w:val="6ECD3B4B"/>
    <w:rsid w:val="6ED24CBD"/>
    <w:rsid w:val="6ED26B2E"/>
    <w:rsid w:val="6EF70BC7"/>
    <w:rsid w:val="6F062BB9"/>
    <w:rsid w:val="6F0C1D3D"/>
    <w:rsid w:val="6F5558EE"/>
    <w:rsid w:val="6F751AEC"/>
    <w:rsid w:val="6F7B1AEF"/>
    <w:rsid w:val="6F7FF749"/>
    <w:rsid w:val="6F8C57B4"/>
    <w:rsid w:val="6F997ED1"/>
    <w:rsid w:val="6FBA7D43"/>
    <w:rsid w:val="703025E3"/>
    <w:rsid w:val="703379DD"/>
    <w:rsid w:val="707216B3"/>
    <w:rsid w:val="708C533F"/>
    <w:rsid w:val="709A7A5C"/>
    <w:rsid w:val="70A64653"/>
    <w:rsid w:val="70B52AE8"/>
    <w:rsid w:val="70B7060E"/>
    <w:rsid w:val="70BC3E77"/>
    <w:rsid w:val="70F3716D"/>
    <w:rsid w:val="70F829D5"/>
    <w:rsid w:val="711C7DEE"/>
    <w:rsid w:val="715A543E"/>
    <w:rsid w:val="71A87053"/>
    <w:rsid w:val="71B132B0"/>
    <w:rsid w:val="71BB5EDC"/>
    <w:rsid w:val="71CA611F"/>
    <w:rsid w:val="71CB5851"/>
    <w:rsid w:val="71DE4E50"/>
    <w:rsid w:val="72101EA0"/>
    <w:rsid w:val="7218332F"/>
    <w:rsid w:val="72322114"/>
    <w:rsid w:val="7232489D"/>
    <w:rsid w:val="724F1FEB"/>
    <w:rsid w:val="72757DB1"/>
    <w:rsid w:val="72783DCD"/>
    <w:rsid w:val="727E484F"/>
    <w:rsid w:val="728F462D"/>
    <w:rsid w:val="729B7F48"/>
    <w:rsid w:val="72AE77EF"/>
    <w:rsid w:val="72B017B9"/>
    <w:rsid w:val="72BB1F0C"/>
    <w:rsid w:val="72D1172F"/>
    <w:rsid w:val="72F316A6"/>
    <w:rsid w:val="73020FF3"/>
    <w:rsid w:val="731E2BC7"/>
    <w:rsid w:val="73267CCD"/>
    <w:rsid w:val="73685BF0"/>
    <w:rsid w:val="739048A5"/>
    <w:rsid w:val="73B21B10"/>
    <w:rsid w:val="73B40E35"/>
    <w:rsid w:val="73B862A1"/>
    <w:rsid w:val="73BC5F3C"/>
    <w:rsid w:val="74080C44"/>
    <w:rsid w:val="745F28C4"/>
    <w:rsid w:val="747C78F7"/>
    <w:rsid w:val="747F7695"/>
    <w:rsid w:val="7483115A"/>
    <w:rsid w:val="749B0247"/>
    <w:rsid w:val="74AB5D69"/>
    <w:rsid w:val="74CE5F27"/>
    <w:rsid w:val="74DF6386"/>
    <w:rsid w:val="750A2372"/>
    <w:rsid w:val="750E6C6B"/>
    <w:rsid w:val="753D283B"/>
    <w:rsid w:val="75610B49"/>
    <w:rsid w:val="756E14B8"/>
    <w:rsid w:val="75864A53"/>
    <w:rsid w:val="75CF06D9"/>
    <w:rsid w:val="75D1787A"/>
    <w:rsid w:val="75DF032D"/>
    <w:rsid w:val="75FC2F67"/>
    <w:rsid w:val="760140DA"/>
    <w:rsid w:val="76045978"/>
    <w:rsid w:val="760F4A49"/>
    <w:rsid w:val="76133B2A"/>
    <w:rsid w:val="76530DD9"/>
    <w:rsid w:val="767A350B"/>
    <w:rsid w:val="76A038F3"/>
    <w:rsid w:val="76A77C3C"/>
    <w:rsid w:val="77083846"/>
    <w:rsid w:val="775A6197"/>
    <w:rsid w:val="7789082B"/>
    <w:rsid w:val="779A2861"/>
    <w:rsid w:val="77AE0C6B"/>
    <w:rsid w:val="77BD0907"/>
    <w:rsid w:val="77DE0B76"/>
    <w:rsid w:val="77F205C7"/>
    <w:rsid w:val="78120820"/>
    <w:rsid w:val="78126A72"/>
    <w:rsid w:val="781400F4"/>
    <w:rsid w:val="78144598"/>
    <w:rsid w:val="783B1B25"/>
    <w:rsid w:val="783E6762"/>
    <w:rsid w:val="785610A2"/>
    <w:rsid w:val="78615304"/>
    <w:rsid w:val="789B25C4"/>
    <w:rsid w:val="78D17B63"/>
    <w:rsid w:val="78D65BEF"/>
    <w:rsid w:val="78D76F87"/>
    <w:rsid w:val="78E21FA1"/>
    <w:rsid w:val="78F148D9"/>
    <w:rsid w:val="78F357D1"/>
    <w:rsid w:val="78FF6FF6"/>
    <w:rsid w:val="79226841"/>
    <w:rsid w:val="793F73F3"/>
    <w:rsid w:val="794B223C"/>
    <w:rsid w:val="79752E15"/>
    <w:rsid w:val="7999158E"/>
    <w:rsid w:val="79C75A4A"/>
    <w:rsid w:val="79D51B05"/>
    <w:rsid w:val="79F71A7C"/>
    <w:rsid w:val="79F91C98"/>
    <w:rsid w:val="7A08012D"/>
    <w:rsid w:val="7A0F3269"/>
    <w:rsid w:val="7A1B6D05"/>
    <w:rsid w:val="7A1E0906"/>
    <w:rsid w:val="7A2F56B9"/>
    <w:rsid w:val="7A41719B"/>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3D416D"/>
    <w:rsid w:val="7B475882"/>
    <w:rsid w:val="7B7F6999"/>
    <w:rsid w:val="7B8B5094"/>
    <w:rsid w:val="7B8E2477"/>
    <w:rsid w:val="7BB4552D"/>
    <w:rsid w:val="7BB5399C"/>
    <w:rsid w:val="7C044924"/>
    <w:rsid w:val="7C1D11E6"/>
    <w:rsid w:val="7C233619"/>
    <w:rsid w:val="7C5238E1"/>
    <w:rsid w:val="7C547659"/>
    <w:rsid w:val="7CB63E70"/>
    <w:rsid w:val="7CC43D31"/>
    <w:rsid w:val="7CE7399F"/>
    <w:rsid w:val="7D226E2B"/>
    <w:rsid w:val="7D6452D1"/>
    <w:rsid w:val="7D781125"/>
    <w:rsid w:val="7D8628FA"/>
    <w:rsid w:val="7D943A85"/>
    <w:rsid w:val="7D965A4F"/>
    <w:rsid w:val="7DA41F1A"/>
    <w:rsid w:val="7DA57A41"/>
    <w:rsid w:val="7DAF266D"/>
    <w:rsid w:val="7DB05310"/>
    <w:rsid w:val="7DC77AC8"/>
    <w:rsid w:val="7DE42E8D"/>
    <w:rsid w:val="7DF12C86"/>
    <w:rsid w:val="7E0712F2"/>
    <w:rsid w:val="7E292420"/>
    <w:rsid w:val="7E355268"/>
    <w:rsid w:val="7E546F05"/>
    <w:rsid w:val="7E786F03"/>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8B2ADE"/>
    <w:rsid w:val="7FA2248A"/>
    <w:rsid w:val="7FDD39BD"/>
    <w:rsid w:val="7FF627D5"/>
    <w:rsid w:val="F4DF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spacing w:before="260" w:after="260"/>
      <w:outlineLvl w:val="2"/>
    </w:pPr>
    <w:rPr>
      <w:rFonts w:ascii="宋体" w:hAnsi="宋体" w:eastAsia="宋体" w:cs="Times New Roman"/>
      <w:szCs w:val="32"/>
    </w:rPr>
  </w:style>
  <w:style w:type="paragraph" w:styleId="7">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4"/>
    </w:rPr>
  </w:style>
  <w:style w:type="paragraph" w:styleId="3">
    <w:name w:val="Title"/>
    <w:basedOn w:val="1"/>
    <w:next w:val="1"/>
    <w:qFormat/>
    <w:uiPriority w:val="0"/>
    <w:pPr>
      <w:spacing w:before="240" w:after="60"/>
      <w:jc w:val="center"/>
      <w:outlineLvl w:val="0"/>
    </w:pPr>
    <w:rPr>
      <w:rFonts w:ascii="Arial" w:hAnsi="Arial" w:eastAsia="隶书"/>
      <w:b/>
      <w:bCs/>
      <w:sz w:val="32"/>
      <w:szCs w:val="32"/>
    </w:rPr>
  </w:style>
  <w:style w:type="paragraph" w:styleId="8">
    <w:name w:val="index 8"/>
    <w:basedOn w:val="1"/>
    <w:next w:val="1"/>
    <w:qFormat/>
    <w:uiPriority w:val="0"/>
    <w:pPr>
      <w:ind w:left="2940"/>
    </w:pPr>
  </w:style>
  <w:style w:type="paragraph" w:styleId="9">
    <w:name w:val="Normal Indent"/>
    <w:basedOn w:val="1"/>
    <w:next w:val="10"/>
    <w:qFormat/>
    <w:uiPriority w:val="0"/>
    <w:pPr>
      <w:ind w:firstLine="420" w:firstLineChars="200"/>
    </w:pPr>
    <w:rPr>
      <w:szCs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annotation text"/>
    <w:basedOn w:val="1"/>
    <w:link w:val="38"/>
    <w:unhideWhenUsed/>
    <w:qFormat/>
    <w:uiPriority w:val="0"/>
    <w:pPr>
      <w:jc w:val="left"/>
    </w:pPr>
    <w:rPr>
      <w:kern w:val="0"/>
      <w:sz w:val="20"/>
    </w:r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qFormat/>
    <w:uiPriority w:val="0"/>
    <w:rPr>
      <w:rFonts w:ascii="宋体" w:hAnsi="Courier New"/>
    </w:rPr>
  </w:style>
  <w:style w:type="paragraph" w:styleId="14">
    <w:name w:val="header"/>
    <w:basedOn w:val="1"/>
    <w:link w:val="37"/>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99"/>
    <w:pPr>
      <w:spacing w:before="240"/>
    </w:pPr>
    <w:rPr>
      <w:rFonts w:ascii="Calibri" w:hAnsi="Calibri"/>
      <w:color w:val="FF000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1"/>
    <w:next w:val="11"/>
    <w:link w:val="39"/>
    <w:qFormat/>
    <w:uiPriority w:val="0"/>
    <w:rPr>
      <w:b/>
      <w:bCs/>
      <w:kern w:val="2"/>
      <w:sz w:val="21"/>
    </w:rPr>
  </w:style>
  <w:style w:type="paragraph" w:styleId="19">
    <w:name w:val="Body Text First Indent"/>
    <w:basedOn w:val="2"/>
    <w:qFormat/>
    <w:uiPriority w:val="0"/>
    <w:pPr>
      <w:snapToGrid w:val="0"/>
      <w:spacing w:line="560" w:lineRule="exact"/>
      <w:ind w:firstLine="200" w:firstLineChars="200"/>
    </w:pPr>
    <w:rPr>
      <w:rFonts w:ascii="仿宋" w:hAnsi="仿宋" w:cs="仿宋"/>
    </w:rPr>
  </w:style>
  <w:style w:type="paragraph" w:styleId="20">
    <w:name w:val="Body Text First Indent 2"/>
    <w:basedOn w:val="12"/>
    <w:semiHidden/>
    <w:qFormat/>
    <w:uiPriority w:val="0"/>
    <w:pPr>
      <w:spacing w:after="120"/>
      <w:ind w:left="420" w:leftChars="200" w:firstLine="420" w:firstLineChars="200"/>
    </w:pPr>
    <w:rPr>
      <w:kern w:val="0"/>
      <w:sz w:val="20"/>
      <w:szCs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9">
    <w:name w:val="List Paragraph"/>
    <w:basedOn w:val="1"/>
    <w:qFormat/>
    <w:uiPriority w:val="34"/>
    <w:pPr>
      <w:ind w:firstLine="420" w:firstLineChars="200"/>
    </w:pPr>
  </w:style>
  <w:style w:type="character" w:customStyle="1" w:styleId="30">
    <w:name w:val="NormalCharacter"/>
    <w:qFormat/>
    <w:uiPriority w:val="0"/>
    <w:rPr>
      <w:kern w:val="2"/>
      <w:sz w:val="21"/>
      <w:szCs w:val="24"/>
      <w:lang w:val="en-US" w:eastAsia="zh-CN" w:bidi="ar-SA"/>
    </w:r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paragraph" w:customStyle="1" w:styleId="34">
    <w:name w:val="正文格式"/>
    <w:basedOn w:val="12"/>
    <w:qFormat/>
    <w:uiPriority w:val="99"/>
    <w:pPr>
      <w:spacing w:after="0" w:line="360" w:lineRule="auto"/>
      <w:ind w:left="0" w:leftChars="0" w:firstLine="600"/>
    </w:pPr>
    <w:rPr>
      <w:rFonts w:eastAsia="仿宋_GB2312"/>
      <w:sz w:val="30"/>
      <w:szCs w:val="30"/>
    </w:rPr>
  </w:style>
  <w:style w:type="paragraph" w:customStyle="1" w:styleId="35">
    <w:name w:val="msolistparagraph"/>
    <w:basedOn w:val="1"/>
    <w:qFormat/>
    <w:uiPriority w:val="0"/>
    <w:pPr>
      <w:ind w:firstLine="420" w:firstLineChars="200"/>
    </w:p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页眉 字符"/>
    <w:basedOn w:val="23"/>
    <w:link w:val="14"/>
    <w:qFormat/>
    <w:uiPriority w:val="0"/>
    <w:rPr>
      <w:kern w:val="2"/>
      <w:sz w:val="18"/>
      <w:szCs w:val="18"/>
    </w:rPr>
  </w:style>
  <w:style w:type="character" w:customStyle="1" w:styleId="38">
    <w:name w:val="批注文字 字符"/>
    <w:basedOn w:val="23"/>
    <w:link w:val="11"/>
    <w:qFormat/>
    <w:uiPriority w:val="0"/>
    <w:rPr>
      <w:szCs w:val="24"/>
    </w:rPr>
  </w:style>
  <w:style w:type="character" w:customStyle="1" w:styleId="39">
    <w:name w:val="批注主题 字符"/>
    <w:basedOn w:val="38"/>
    <w:link w:val="18"/>
    <w:qFormat/>
    <w:uiPriority w:val="0"/>
    <w:rPr>
      <w:b/>
      <w:bCs/>
      <w:kern w:val="2"/>
      <w:sz w:val="21"/>
      <w:szCs w:val="24"/>
    </w:rPr>
  </w:style>
  <w:style w:type="paragraph" w:customStyle="1" w:styleId="40">
    <w:name w:val="9前海 正文"/>
    <w:basedOn w:val="41"/>
    <w:qFormat/>
    <w:uiPriority w:val="0"/>
    <w:pPr>
      <w:ind w:firstLine="640"/>
    </w:pPr>
    <w:rPr>
      <w:rFonts w:ascii="仿宋_GB2312" w:eastAsia="仿宋_GB2312"/>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列出段落2"/>
    <w:basedOn w:val="1"/>
    <w:qFormat/>
    <w:uiPriority w:val="34"/>
    <w:pPr>
      <w:ind w:firstLine="420" w:firstLineChars="200"/>
    </w:pPr>
  </w:style>
  <w:style w:type="paragraph" w:customStyle="1" w:styleId="4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44">
    <w:name w:val="No Spacing"/>
    <w:qFormat/>
    <w:uiPriority w:val="1"/>
    <w:pPr>
      <w:adjustRightInd w:val="0"/>
      <w:snapToGrid w:val="0"/>
      <w:jc w:val="center"/>
    </w:pPr>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2385</Words>
  <Characters>2415</Characters>
  <Lines>5243</Lines>
  <Paragraphs>2645</Paragraphs>
  <TotalTime>74</TotalTime>
  <ScaleCrop>false</ScaleCrop>
  <LinksUpToDate>false</LinksUpToDate>
  <CharactersWithSpaces>2443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2025-02-13T01:50:00Z</dcterms:created>
  <dc:creator>黎俊</dc:creator>
  <cp:lastModifiedBy>黎俊</cp:lastModifiedBy>
  <cp:lastPrinted>2025-09-27T00:37:00Z</cp:lastPrinted>
  <dcterms:modified xsi:type="dcterms:W3CDTF">2026-03-06T03:12:13Z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