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both"/>
        <w:textAlignment w:val="auto"/>
        <w:rPr>
          <w:rFonts w:ascii="宋体"/>
          <w:sz w:val="32"/>
          <w:szCs w:val="32"/>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深圳市前海合作区2026年预算（草案）</w:t>
      </w:r>
    </w:p>
    <w:p>
      <w:pPr>
        <w:pStyle w:val="11"/>
        <w:keepNext w:val="0"/>
        <w:keepLines w:val="0"/>
        <w:pageBreakBefore w:val="0"/>
        <w:widowControl w:val="0"/>
        <w:kinsoku/>
        <w:wordWrap/>
        <w:overflowPunct w:val="0"/>
        <w:topLinePunct w:val="0"/>
        <w:autoSpaceDE/>
        <w:autoSpaceDN/>
        <w:bidi w:val="0"/>
        <w:adjustRightInd/>
        <w:snapToGrid/>
        <w:spacing w:after="0" w:line="570" w:lineRule="exact"/>
        <w:ind w:left="0" w:leftChars="0" w:firstLine="210"/>
        <w:textAlignment w:val="auto"/>
      </w:pPr>
    </w:p>
    <w:p>
      <w:pPr>
        <w:keepNext w:val="0"/>
        <w:keepLines w:val="0"/>
        <w:pageBreakBefore w:val="0"/>
        <w:widowControl w:val="0"/>
        <w:kinsoku/>
        <w:wordWrap/>
        <w:overflowPunct w:val="0"/>
        <w:topLinePunct w:val="0"/>
        <w:autoSpaceDE/>
        <w:autoSpaceDN/>
        <w:bidi w:val="0"/>
        <w:adjustRightInd/>
        <w:snapToGrid/>
        <w:spacing w:line="570" w:lineRule="exact"/>
        <w:ind w:left="0" w:leftChars="0"/>
        <w:jc w:val="center"/>
        <w:textAlignment w:val="auto"/>
        <w:outlineLvl w:val="0"/>
        <w:rPr>
          <w:rFonts w:hint="eastAsia" w:ascii="黑体" w:hAnsi="黑体" w:eastAsia="黑体" w:cs="仿宋_GB2312"/>
          <w:sz w:val="32"/>
          <w:szCs w:val="32"/>
        </w:rPr>
      </w:pPr>
      <w:r>
        <w:rPr>
          <w:rFonts w:hint="eastAsia" w:ascii="黑体" w:hAnsi="黑体" w:eastAsia="黑体" w:cs="仿宋_GB2312"/>
          <w:sz w:val="32"/>
          <w:szCs w:val="32"/>
        </w:rPr>
        <w:t xml:space="preserve">第一部分 </w:t>
      </w:r>
      <w:r>
        <w:rPr>
          <w:rFonts w:ascii="黑体" w:hAnsi="黑体" w:eastAsia="黑体" w:cs="仿宋_GB2312"/>
          <w:sz w:val="32"/>
          <w:szCs w:val="32"/>
        </w:rPr>
        <w:t xml:space="preserve"> 2026</w:t>
      </w:r>
      <w:r>
        <w:rPr>
          <w:rFonts w:hint="eastAsia" w:ascii="黑体" w:hAnsi="黑体" w:eastAsia="黑体" w:cs="仿宋_GB2312"/>
          <w:sz w:val="32"/>
          <w:szCs w:val="32"/>
        </w:rPr>
        <w:t>年财政综合预算（草案）</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720"/>
        <w:textAlignment w:val="auto"/>
        <w:outlineLvl w:val="1"/>
        <w:rPr>
          <w:rFonts w:hint="eastAsia" w:ascii="黑体" w:hAnsi="黑体" w:eastAsia="黑体" w:cs="黑体"/>
          <w:sz w:val="32"/>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rPr>
      </w:pPr>
      <w:r>
        <w:rPr>
          <w:rFonts w:hint="eastAsia" w:ascii="黑体" w:hAnsi="黑体" w:eastAsia="黑体" w:cs="黑体"/>
          <w:sz w:val="32"/>
        </w:rPr>
        <w:t>一、预算编制指导思想</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rPr>
          <w:rFonts w:hint="eastAsia"/>
        </w:rPr>
      </w:pPr>
      <w:r>
        <w:rPr>
          <w:rFonts w:hint="eastAsia"/>
        </w:rPr>
        <w:t>坚持以习近平新时代中国特色社会主义思想为指导，全面贯彻落实党的二十大和二十届历次全会及中央经济工作会议精神，深入落实党中央重大决策部署</w:t>
      </w:r>
      <w:r>
        <w:rPr>
          <w:rFonts w:hint="eastAsia"/>
          <w:lang w:eastAsia="zh-CN"/>
        </w:rPr>
        <w:t>以及</w:t>
      </w:r>
      <w:r>
        <w:rPr>
          <w:rFonts w:hint="eastAsia"/>
        </w:rPr>
        <w:t>省委省政府、市委市政府</w:t>
      </w:r>
      <w:r>
        <w:rPr>
          <w:rFonts w:hint="eastAsia"/>
          <w:lang w:eastAsia="zh-CN"/>
        </w:rPr>
        <w:t>部署</w:t>
      </w:r>
      <w:r>
        <w:rPr>
          <w:rFonts w:hint="eastAsia"/>
        </w:rPr>
        <w:t>安排，坚持“依托香港、服务内地、面向世界”，紧紧围绕《前海方案》《前海规划》赋予的使命任务，聚焦改革</w:t>
      </w:r>
      <w:r>
        <w:rPr>
          <w:rFonts w:hint="eastAsia"/>
          <w:lang w:eastAsia="zh-CN"/>
        </w:rPr>
        <w:t>开放</w:t>
      </w:r>
      <w:r>
        <w:rPr>
          <w:rFonts w:hint="eastAsia"/>
        </w:rPr>
        <w:t>创新主责、现代服务业主业、深港合作主线，</w:t>
      </w:r>
      <w:r>
        <w:rPr>
          <w:rFonts w:hint="eastAsia"/>
          <w:lang w:eastAsia="zh-CN"/>
        </w:rPr>
        <w:t>继续</w:t>
      </w:r>
      <w:r>
        <w:rPr>
          <w:rFonts w:hint="eastAsia"/>
        </w:rPr>
        <w:t>实施</w:t>
      </w:r>
      <w:r>
        <w:rPr>
          <w:rFonts w:hint="eastAsia"/>
          <w:lang w:val="en-US" w:eastAsia="zh-CN"/>
        </w:rPr>
        <w:t>更加</w:t>
      </w:r>
      <w:r>
        <w:rPr>
          <w:rFonts w:hint="eastAsia"/>
        </w:rPr>
        <w:t>积极的财政政策，科学开展预算编报，为加快打造全面深化改革创新试验平台、高水平对外开放门户枢纽、深港深度融合发展引领区、现代服务业高质量发展高地，支持香港经济社会发展、提升粤港澳合作水平、构建对外开放新格局等重点任务做好财力保障，努力为全省、全市发展大局作出前海更大贡献。</w:t>
      </w:r>
    </w:p>
    <w:p>
      <w:pPr>
        <w:pStyle w:val="19"/>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rPr>
          <w:rFonts w:hint="eastAsia" w:ascii="黑体" w:hAnsi="黑体" w:eastAsia="黑体" w:cs="黑体"/>
        </w:rPr>
      </w:pPr>
      <w:r>
        <w:rPr>
          <w:rFonts w:hint="eastAsia" w:ascii="黑体" w:hAnsi="黑体" w:eastAsia="黑体" w:cs="黑体"/>
        </w:rPr>
        <w:t>二、预算编制总体考虑</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（一）强化财政资源统筹，增强资金合</w:t>
      </w:r>
      <w:bookmarkStart w:id="5" w:name="_GoBack"/>
      <w:bookmarkEnd w:id="5"/>
      <w:r>
        <w:rPr>
          <w:rFonts w:hint="eastAsia" w:ascii="楷体_GB2312" w:hAnsi="楷体_GB2312" w:eastAsia="楷体_GB2312" w:cs="楷体_GB2312"/>
        </w:rPr>
        <w:t>力与配置效率</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hAnsi="仿宋_GB2312" w:cs="仿宋_GB2312"/>
        </w:rPr>
      </w:pPr>
      <w:r>
        <w:rPr>
          <w:rFonts w:hint="eastAsia" w:hAnsi="仿宋_GB2312" w:cs="仿宋_GB2312"/>
        </w:rPr>
        <w:t>强化财政资金统筹整合，多措并举拓宽财政收入渠道，依法依规组织收入并全部纳入预算管理，加强政府性基金预算、国有资本经营预算与一般公共预算统筹衔接，培育涵养优质税源，稳定国土出让收入，有序动用往年结余，用好超长期特别国债、地方政府专项债券等政策工具，增强各类预算资金使用合力。</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（二）</w:t>
      </w:r>
      <w:r>
        <w:rPr>
          <w:rFonts w:hint="eastAsia" w:ascii="楷体_GB2312" w:hAnsi="楷体_GB2312" w:eastAsia="楷体_GB2312" w:cs="楷体_GB2312"/>
          <w:lang w:val="en-US" w:eastAsia="zh-CN"/>
        </w:rPr>
        <w:t>实施更加</w:t>
      </w:r>
      <w:r>
        <w:rPr>
          <w:rFonts w:hint="eastAsia" w:ascii="楷体_GB2312" w:hAnsi="楷体_GB2312" w:eastAsia="楷体_GB2312" w:cs="楷体_GB2312"/>
        </w:rPr>
        <w:t>积极财政政策，促进政府投资提质增效</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hAnsi="仿宋_GB2312" w:cs="仿宋_GB2312"/>
        </w:rPr>
      </w:pPr>
      <w:r>
        <w:rPr>
          <w:rFonts w:hint="eastAsia" w:hAnsi="仿宋_GB2312" w:cs="仿宋_GB2312"/>
        </w:rPr>
        <w:t>继续实施更加积极的财政政策，结合“十五五”规划谋划的重大项目，按照保续建、保基本、保发展、保民生原则，调整政府投资结构，加大新型基础设施、重大产业设施、城市功能设施、产业平台等项目投资建设。</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（三）优化财政资金投入，加快构建现代化产业体系</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hAnsi="仿宋_GB2312" w:cs="仿宋_GB2312"/>
          <w:lang w:eastAsia="zh-CN"/>
        </w:rPr>
      </w:pPr>
      <w:r>
        <w:rPr>
          <w:rFonts w:hint="eastAsia" w:hAnsi="仿宋_GB2312" w:cs="仿宋_GB2312"/>
        </w:rPr>
        <w:t>加快构建具有国际竞争力的现代化产业体系。巩固提升信息服务、金融服务、</w:t>
      </w:r>
      <w:r>
        <w:rPr>
          <w:rFonts w:hint="eastAsia" w:hAnsi="仿宋_GB2312" w:cs="仿宋_GB2312"/>
          <w:lang w:val="en-US" w:eastAsia="zh-CN"/>
        </w:rPr>
        <w:t>贸易</w:t>
      </w:r>
      <w:r>
        <w:rPr>
          <w:rFonts w:hint="eastAsia" w:hAnsi="仿宋_GB2312" w:cs="仿宋_GB2312"/>
        </w:rPr>
        <w:t>物流、专业服务、科技服务、文体旅商等优势产业，培育壮大人工智能与具身</w:t>
      </w:r>
      <w:r>
        <w:rPr>
          <w:rFonts w:hint="eastAsia" w:hAnsi="仿宋_GB2312" w:cs="仿宋_GB2312"/>
          <w:lang w:eastAsia="zh-CN"/>
        </w:rPr>
        <w:t>智能</w:t>
      </w:r>
      <w:r>
        <w:rPr>
          <w:rFonts w:hint="eastAsia" w:hAnsi="仿宋_GB2312" w:cs="仿宋_GB2312"/>
        </w:rPr>
        <w:t>机器人、</w:t>
      </w:r>
      <w:r>
        <w:rPr>
          <w:rFonts w:hint="eastAsia" w:hAnsi="仿宋_GB2312" w:cs="仿宋_GB2312"/>
          <w:lang w:eastAsia="zh-CN"/>
        </w:rPr>
        <w:t>海洋产业</w:t>
      </w:r>
      <w:r>
        <w:rPr>
          <w:rFonts w:hint="eastAsia" w:hAnsi="仿宋_GB2312" w:cs="仿宋_GB2312"/>
        </w:rPr>
        <w:t>、智能终端</w:t>
      </w:r>
      <w:r>
        <w:rPr>
          <w:rFonts w:hint="eastAsia" w:hAnsi="仿宋_GB2312" w:cs="仿宋_GB2312"/>
          <w:lang w:eastAsia="zh-CN"/>
        </w:rPr>
        <w:t>、</w:t>
      </w:r>
      <w:r>
        <w:rPr>
          <w:rFonts w:hint="eastAsia" w:hAnsi="仿宋_GB2312" w:cs="仿宋_GB2312"/>
        </w:rPr>
        <w:t>低空经济等新兴产业，加快布局细胞与基因、数据等重点产业，围绕新技术新产品新业态发布一批应用场景，加快培育新质生产力</w:t>
      </w:r>
      <w:r>
        <w:rPr>
          <w:rFonts w:hint="eastAsia" w:hAnsi="仿宋_GB2312" w:cs="仿宋_GB2312"/>
          <w:lang w:eastAsia="zh-CN"/>
        </w:rPr>
        <w:t>。</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rPr>
        <w:t>（四）深化零基预算改革，坚持习惯过紧日子</w:t>
      </w:r>
    </w:p>
    <w:p>
      <w:pPr>
        <w:pStyle w:val="20"/>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hAnsi="仿宋_GB2312" w:cs="仿宋_GB2312"/>
        </w:rPr>
      </w:pPr>
      <w:r>
        <w:rPr>
          <w:rFonts w:hint="eastAsia" w:hAnsi="仿宋_GB2312" w:cs="仿宋_GB2312"/>
        </w:rPr>
        <w:t>严肃财经纪律，深入落实</w:t>
      </w:r>
      <w:r>
        <w:rPr>
          <w:rFonts w:hint="eastAsia" w:hAnsi="仿宋_GB2312" w:cs="仿宋_GB2312"/>
          <w:lang w:val="en-US" w:eastAsia="zh-CN"/>
        </w:rPr>
        <w:t>党政机关</w:t>
      </w:r>
      <w:r>
        <w:rPr>
          <w:rFonts w:hint="eastAsia" w:hAnsi="仿宋_GB2312" w:cs="仿宋_GB2312"/>
        </w:rPr>
        <w:t>“习惯过紧日子”要求，深化零基预算改革，大幅压减一般性支出，集中财力支持重大战略、重大部署、重大项目、重大外事会议实施。强化绩效管理，将绩效评价结果与预算安排直接挂钩，坚决压减低效无效支出，提升财政资源配置的科学性和有效性，坚决杜绝“小钱不在乎，大钱不舍得”。</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outlineLvl w:val="1"/>
        <w:rPr>
          <w:rFonts w:hint="eastAsia" w:ascii="黑体" w:hAnsi="黑体" w:eastAsia="黑体" w:cs="仿宋_GB2312"/>
        </w:rPr>
      </w:pPr>
      <w:r>
        <w:rPr>
          <w:rFonts w:hint="eastAsia" w:ascii="黑体" w:hAnsi="黑体" w:eastAsia="黑体" w:cs="仿宋_GB2312"/>
        </w:rPr>
        <w:t>三、</w:t>
      </w:r>
      <w:r>
        <w:rPr>
          <w:rFonts w:ascii="黑体" w:hAnsi="黑体" w:eastAsia="黑体" w:cs="仿宋_GB2312"/>
        </w:rPr>
        <w:t>202</w:t>
      </w:r>
      <w:r>
        <w:rPr>
          <w:rFonts w:hint="eastAsia" w:ascii="黑体" w:hAnsi="黑体" w:eastAsia="黑体" w:cs="仿宋_GB2312"/>
        </w:rPr>
        <w:t>6年财政综合预算收支情况</w:t>
      </w:r>
    </w:p>
    <w:p>
      <w:pPr>
        <w:pStyle w:val="20"/>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Cs/>
        </w:rPr>
      </w:pPr>
      <w:r>
        <w:rPr>
          <w:rFonts w:hint="eastAsia" w:ascii="楷体_GB2312" w:hAnsi="楷体_GB2312" w:eastAsia="楷体_GB2312" w:cs="楷体_GB2312"/>
          <w:bCs/>
          <w:kern w:val="2"/>
          <w:sz w:val="32"/>
          <w:szCs w:val="32"/>
          <w:lang w:val="en-US" w:eastAsia="zh-CN" w:bidi="ar-SA"/>
        </w:rPr>
        <w:t>（一）</w:t>
      </w:r>
      <w:r>
        <w:rPr>
          <w:rFonts w:hint="eastAsia" w:ascii="楷体_GB2312" w:hAnsi="楷体_GB2312" w:eastAsia="楷体_GB2312" w:cs="楷体_GB2312"/>
          <w:bCs/>
        </w:rPr>
        <w:t>一般公共预算收支情况</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rPr>
          <w:rFonts w:hint="eastAsia" w:hAnsi="仿宋_GB2312" w:cs="仿宋_GB2312"/>
        </w:rPr>
      </w:pPr>
      <w:bookmarkStart w:id="0" w:name="OLE_LINK1"/>
      <w:r>
        <w:rPr>
          <w:rFonts w:hint="eastAsia" w:hAnsi="仿宋_GB2312" w:cs="仿宋_GB2312"/>
        </w:rPr>
        <w:t>一般公共预算总收入为50.14亿元。其中：一般公共预算收入43.75亿元</w:t>
      </w:r>
      <w:r>
        <w:rPr>
          <w:rFonts w:hint="eastAsia" w:hAnsi="仿宋_GB2312" w:cs="仿宋_GB2312"/>
          <w:lang w:eastAsia="zh-CN"/>
        </w:rPr>
        <w:t>、</w:t>
      </w:r>
      <w:r>
        <w:rPr>
          <w:rFonts w:hint="eastAsia" w:hAnsi="仿宋_GB2312" w:cs="仿宋_GB2312"/>
        </w:rPr>
        <w:t>从政府性基金预算调入4.59亿元</w:t>
      </w:r>
      <w:r>
        <w:rPr>
          <w:rFonts w:hint="eastAsia" w:hAnsi="仿宋_GB2312" w:cs="仿宋_GB2312"/>
          <w:lang w:eastAsia="zh-CN"/>
        </w:rPr>
        <w:t>、</w:t>
      </w:r>
      <w:r>
        <w:rPr>
          <w:rFonts w:hint="eastAsia" w:hAnsi="仿宋_GB2312" w:cs="仿宋_GB2312"/>
        </w:rPr>
        <w:t>从国有资本经营预算调入0.60亿元</w:t>
      </w:r>
      <w:r>
        <w:rPr>
          <w:rFonts w:hint="eastAsia" w:hAnsi="仿宋_GB2312" w:cs="仿宋_GB2312"/>
          <w:lang w:eastAsia="zh-CN"/>
        </w:rPr>
        <w:t>、</w:t>
      </w:r>
      <w:r>
        <w:rPr>
          <w:rFonts w:hint="eastAsia" w:hAnsi="仿宋_GB2312" w:cs="仿宋_GB2312"/>
        </w:rPr>
        <w:t>上年结转收入1.20亿元。按照收支平衡原则，安排一般公共预算总支出50.14亿元。</w:t>
      </w:r>
    </w:p>
    <w:bookmarkEnd w:id="0"/>
    <w:p>
      <w:pPr>
        <w:pStyle w:val="20"/>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Cs/>
        </w:rPr>
      </w:pPr>
      <w:r>
        <w:rPr>
          <w:rFonts w:hint="eastAsia" w:ascii="楷体_GB2312" w:hAnsi="楷体_GB2312" w:eastAsia="楷体_GB2312" w:cs="楷体_GB2312"/>
          <w:bCs/>
          <w:kern w:val="2"/>
          <w:sz w:val="32"/>
          <w:szCs w:val="32"/>
          <w:lang w:val="en-US" w:eastAsia="zh-CN" w:bidi="ar-SA"/>
        </w:rPr>
        <w:t>（二）</w:t>
      </w:r>
      <w:r>
        <w:rPr>
          <w:rFonts w:hint="eastAsia" w:ascii="楷体_GB2312" w:hAnsi="楷体_GB2312" w:eastAsia="楷体_GB2312" w:cs="楷体_GB2312"/>
          <w:bCs/>
        </w:rPr>
        <w:t>政府性基金预算收支情况</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rPr>
          <w:rFonts w:hint="eastAsia" w:hAnsi="仿宋_GB2312" w:cs="仿宋_GB2312"/>
        </w:rPr>
      </w:pPr>
      <w:r>
        <w:rPr>
          <w:rFonts w:hint="eastAsia" w:hAnsi="仿宋_GB2312" w:cs="仿宋_GB2312"/>
        </w:rPr>
        <w:t>政府性基金</w:t>
      </w:r>
      <w:r>
        <w:rPr>
          <w:rFonts w:hint="eastAsia" w:hAnsi="仿宋_GB2312" w:cs="仿宋_GB2312"/>
          <w:lang w:eastAsia="zh-CN"/>
        </w:rPr>
        <w:t>预算</w:t>
      </w:r>
      <w:r>
        <w:rPr>
          <w:rFonts w:hint="eastAsia" w:hAnsi="仿宋_GB2312" w:cs="仿宋_GB2312"/>
        </w:rPr>
        <w:t>总收入为48.94亿元。其中，政府性基金转移收入41.39亿元、调入</w:t>
      </w:r>
      <w:r>
        <w:rPr>
          <w:rFonts w:hint="eastAsia" w:hAnsi="仿宋_GB2312" w:cs="仿宋_GB2312"/>
          <w:lang w:val="en-US" w:eastAsia="zh-CN"/>
        </w:rPr>
        <w:t>往</w:t>
      </w:r>
      <w:r>
        <w:rPr>
          <w:rFonts w:hint="eastAsia" w:hAnsi="仿宋_GB2312" w:cs="仿宋_GB2312"/>
        </w:rPr>
        <w:t>年结余4.62亿元、专项债券对应项目专项收入1.94亿元、地方政府专项债务转贷收入1.00亿元。按照</w:t>
      </w:r>
      <w:bookmarkStart w:id="1" w:name="_Hlk218875597"/>
      <w:r>
        <w:rPr>
          <w:rFonts w:hint="eastAsia" w:hAnsi="仿宋_GB2312" w:cs="仿宋_GB2312"/>
        </w:rPr>
        <w:t>收支平衡</w:t>
      </w:r>
      <w:bookmarkEnd w:id="1"/>
      <w:r>
        <w:rPr>
          <w:rFonts w:hint="eastAsia" w:hAnsi="仿宋_GB2312" w:cs="仿宋_GB2312"/>
        </w:rPr>
        <w:t>的原则，安排政府性基金</w:t>
      </w:r>
      <w:r>
        <w:rPr>
          <w:rFonts w:hint="eastAsia" w:hAnsi="仿宋_GB2312" w:cs="仿宋_GB2312"/>
          <w:lang w:eastAsia="zh-CN"/>
        </w:rPr>
        <w:t>预算</w:t>
      </w:r>
      <w:r>
        <w:rPr>
          <w:rFonts w:hint="eastAsia" w:hAnsi="仿宋_GB2312" w:cs="仿宋_GB2312"/>
        </w:rPr>
        <w:t>总支出48.94亿元，其中调出至一般公共预算4.59亿元。</w:t>
      </w:r>
    </w:p>
    <w:p>
      <w:pPr>
        <w:pStyle w:val="20"/>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bCs/>
        </w:rPr>
      </w:pPr>
      <w:r>
        <w:rPr>
          <w:rFonts w:hint="eastAsia" w:ascii="楷体_GB2312" w:hAnsi="楷体_GB2312" w:eastAsia="楷体_GB2312" w:cs="楷体_GB2312"/>
          <w:bCs/>
          <w:kern w:val="2"/>
          <w:sz w:val="32"/>
          <w:szCs w:val="32"/>
          <w:lang w:val="en-US" w:eastAsia="zh-CN" w:bidi="ar-SA"/>
        </w:rPr>
        <w:t>（三）</w:t>
      </w:r>
      <w:r>
        <w:rPr>
          <w:rFonts w:hint="eastAsia" w:ascii="楷体_GB2312" w:hAnsi="楷体_GB2312" w:eastAsia="楷体_GB2312" w:cs="楷体_GB2312"/>
          <w:bCs/>
        </w:rPr>
        <w:t>国有资本经营预算收支情况</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jc w:val="both"/>
        <w:textAlignment w:val="auto"/>
        <w:rPr>
          <w:rFonts w:hint="eastAsia" w:hAnsi="仿宋_GB2312" w:cs="仿宋_GB2312"/>
        </w:rPr>
      </w:pPr>
      <w:r>
        <w:rPr>
          <w:rFonts w:hint="eastAsia" w:hAnsi="仿宋_GB2312" w:cs="仿宋_GB2312"/>
        </w:rPr>
        <w:t>国有资本经营预算总收入为0.78亿元。其中</w:t>
      </w:r>
      <w:bookmarkStart w:id="2" w:name="_Hlk152927840"/>
      <w:r>
        <w:rPr>
          <w:rFonts w:hint="eastAsia" w:hAnsi="仿宋_GB2312" w:cs="仿宋_GB2312"/>
        </w:rPr>
        <w:t>：国企上缴利润收入0.78亿元。</w:t>
      </w:r>
      <w:bookmarkEnd w:id="2"/>
      <w:r>
        <w:rPr>
          <w:rFonts w:hint="eastAsia" w:hAnsi="仿宋_GB2312" w:cs="仿宋_GB2312"/>
        </w:rPr>
        <w:t>按照收支平衡的原则，安排国有资本经营预算总支出0.78亿元，其中调出至一般公共预算0.60亿元。</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jc w:val="left"/>
        <w:textAlignment w:val="auto"/>
        <w:outlineLvl w:val="0"/>
        <w:rPr>
          <w:rFonts w:ascii="仿宋" w:eastAsia="仿宋" w:cs="仿宋"/>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jc w:val="center"/>
        <w:textAlignment w:val="auto"/>
        <w:outlineLvl w:val="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 xml:space="preserve">第二部分 </w:t>
      </w:r>
      <w:r>
        <w:rPr>
          <w:rFonts w:hint="eastAsia" w:ascii="黑体" w:hAnsi="黑体" w:eastAsia="黑体" w:cs="仿宋_GB2312"/>
          <w:sz w:val="32"/>
          <w:szCs w:val="32"/>
        </w:rPr>
        <w:t xml:space="preserve"> 前海合作区</w:t>
      </w:r>
      <w:r>
        <w:rPr>
          <w:rFonts w:ascii="黑体" w:hAnsi="黑体" w:eastAsia="黑体" w:cs="仿宋_GB2312"/>
          <w:sz w:val="32"/>
          <w:szCs w:val="32"/>
        </w:rPr>
        <w:t>202</w:t>
      </w:r>
      <w:r>
        <w:rPr>
          <w:rFonts w:hint="eastAsia" w:ascii="黑体" w:hAnsi="黑体" w:eastAsia="黑体" w:cs="仿宋_GB2312"/>
          <w:sz w:val="32"/>
          <w:szCs w:val="32"/>
        </w:rPr>
        <w:t>6年一般公共预算（草案）</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textAlignment w:val="auto"/>
        <w:outlineLvl w:val="0"/>
        <w:rPr>
          <w:rFonts w:hint="eastAsia" w:ascii="黑体" w:hAnsi="黑体" w:eastAsia="黑体" w:cs="仿宋_GB2312"/>
          <w:sz w:val="32"/>
          <w:szCs w:val="32"/>
        </w:rPr>
      </w:pP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outlineLvl w:val="1"/>
        <w:rPr>
          <w:rFonts w:hint="eastAsia" w:ascii="黑体" w:hAnsi="黑体" w:eastAsia="黑体" w:cs="仿宋_GB2312"/>
          <w:sz w:val="32"/>
          <w:szCs w:val="32"/>
        </w:rPr>
      </w:pPr>
      <w:r>
        <w:rPr>
          <w:rFonts w:hint="eastAsia" w:ascii="黑体" w:hAnsi="黑体" w:eastAsia="黑体" w:cs="仿宋_GB2312"/>
          <w:sz w:val="32"/>
          <w:szCs w:val="32"/>
        </w:rPr>
        <w:t>一、2026年一般公共预算收入预算</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一般公共预算总收入</w:t>
      </w:r>
      <w:r>
        <w:rPr>
          <w:rFonts w:hint="eastAsia" w:hAnsi="仿宋_GB2312" w:cs="仿宋_GB2312"/>
          <w:sz w:val="32"/>
          <w:szCs w:val="32"/>
          <w:lang w:val="en-US" w:eastAsia="zh-CN"/>
        </w:rPr>
        <w:t>预算</w:t>
      </w:r>
      <w:r>
        <w:rPr>
          <w:rFonts w:hint="eastAsia" w:hAnsi="仿宋_GB2312" w:cs="仿宋_GB2312"/>
          <w:sz w:val="32"/>
          <w:szCs w:val="32"/>
        </w:rPr>
        <w:t>50.14亿元，比2025年预计完成数减少6.47亿元。其中：一般公共预算收入43.75亿元，</w:t>
      </w:r>
      <w:r>
        <w:rPr>
          <w:rFonts w:hint="eastAsia" w:hAnsi="仿宋_GB2312" w:cs="仿宋_GB2312"/>
          <w:sz w:val="32"/>
          <w:szCs w:val="32"/>
          <w:lang w:val="en-US" w:eastAsia="zh-CN"/>
        </w:rPr>
        <w:t>从</w:t>
      </w:r>
      <w:r>
        <w:rPr>
          <w:rFonts w:hint="eastAsia" w:hAnsi="仿宋_GB2312" w:cs="仿宋_GB2312"/>
          <w:sz w:val="32"/>
          <w:szCs w:val="32"/>
        </w:rPr>
        <w:t>政府性基金预算调入4.59亿元，</w:t>
      </w:r>
      <w:r>
        <w:rPr>
          <w:rFonts w:hint="eastAsia" w:hAnsi="仿宋_GB2312" w:cs="仿宋_GB2312"/>
          <w:sz w:val="32"/>
          <w:szCs w:val="32"/>
          <w:lang w:val="en-US" w:eastAsia="zh-CN"/>
        </w:rPr>
        <w:t>从</w:t>
      </w:r>
      <w:r>
        <w:rPr>
          <w:rFonts w:hint="eastAsia" w:hAnsi="仿宋_GB2312" w:cs="仿宋_GB2312"/>
          <w:sz w:val="32"/>
          <w:szCs w:val="32"/>
        </w:rPr>
        <w:t>国有资本经营预算调入0.60亿元，上年结转收入1.20亿元。各项收入预</w:t>
      </w:r>
      <w:r>
        <w:rPr>
          <w:rFonts w:hint="eastAsia" w:hAnsi="仿宋_GB2312" w:cs="仿宋_GB2312"/>
          <w:sz w:val="32"/>
          <w:szCs w:val="32"/>
          <w:lang w:val="en-US" w:eastAsia="zh-CN"/>
        </w:rPr>
        <w:t>算</w:t>
      </w:r>
      <w:r>
        <w:rPr>
          <w:rFonts w:hint="eastAsia" w:hAnsi="仿宋_GB2312" w:cs="仿宋_GB2312"/>
          <w:sz w:val="32"/>
          <w:szCs w:val="32"/>
        </w:rPr>
        <w:t>如下</w:t>
      </w:r>
      <w:r>
        <w:rPr>
          <w:rFonts w:hint="eastAsia" w:hAnsi="仿宋_GB2312" w:cs="仿宋_GB2312"/>
          <w:sz w:val="32"/>
          <w:szCs w:val="32"/>
          <w:lang w:eastAsia="zh-CN"/>
        </w:rPr>
        <w:t>。</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（一）税收收入</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2026年税收收入预</w:t>
      </w:r>
      <w:r>
        <w:rPr>
          <w:rFonts w:hint="eastAsia" w:hAnsi="仿宋_GB2312" w:cs="仿宋_GB2312"/>
          <w:sz w:val="32"/>
          <w:szCs w:val="32"/>
          <w:lang w:val="en-US" w:eastAsia="zh-CN"/>
        </w:rPr>
        <w:t>算</w:t>
      </w:r>
      <w:r>
        <w:rPr>
          <w:rFonts w:hint="eastAsia" w:hAnsi="仿宋_GB2312" w:cs="仿宋_GB2312"/>
          <w:sz w:val="32"/>
          <w:szCs w:val="32"/>
        </w:rPr>
        <w:t>40.63亿元，比2025年预计完成数增加0.40亿元，上升1.0%。具体如下：</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1.增值税为17.53亿元，</w:t>
      </w:r>
      <w:bookmarkStart w:id="3" w:name="_Hlk154514684"/>
      <w:r>
        <w:rPr>
          <w:rFonts w:hint="eastAsia" w:hAnsi="仿宋_GB2312" w:cs="仿宋_GB2312"/>
          <w:sz w:val="32"/>
          <w:szCs w:val="32"/>
        </w:rPr>
        <w:t>比2025年预计完成数减少0.19亿元，下降1.1%。</w:t>
      </w:r>
      <w:bookmarkEnd w:id="3"/>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2.企业所得税为13.27亿元，比2025年预计完成数增加0.72亿元，上升5.7%。</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3.个人所得税为6.61亿元，比2025年预计完成数增加0.15亿元，上升2.4%。</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4.土地增值税为1.99亿元，比2025年预计完成数增加0.10亿元，上升5.1%。</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5.其他税种为1.23亿元，比2025年预计完成数减少0.38亿元，下降23.7%。</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（二）非税收入</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2026年非税收入预</w:t>
      </w:r>
      <w:r>
        <w:rPr>
          <w:rFonts w:hint="eastAsia" w:hAnsi="仿宋_GB2312" w:cs="仿宋_GB2312"/>
          <w:sz w:val="32"/>
          <w:szCs w:val="32"/>
          <w:lang w:val="en-US" w:eastAsia="zh-CN"/>
        </w:rPr>
        <w:t>算</w:t>
      </w:r>
      <w:r>
        <w:rPr>
          <w:rFonts w:hint="eastAsia" w:hAnsi="仿宋_GB2312" w:cs="仿宋_GB2312"/>
          <w:sz w:val="32"/>
          <w:szCs w:val="32"/>
        </w:rPr>
        <w:t>3.11亿元，主要是人才住房、配建物业、公共设施有偿使用收入。比2025年预计完成数增加0.86亿元，上升38.3%。</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（三）转移性收入</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2026年转移性收入预</w:t>
      </w:r>
      <w:r>
        <w:rPr>
          <w:rFonts w:hint="eastAsia" w:hAnsi="仿宋_GB2312" w:cs="仿宋_GB2312"/>
          <w:sz w:val="32"/>
          <w:szCs w:val="32"/>
          <w:lang w:val="en-US" w:eastAsia="zh-CN"/>
        </w:rPr>
        <w:t>算</w:t>
      </w:r>
      <w:r>
        <w:rPr>
          <w:rFonts w:hint="eastAsia" w:hAnsi="仿宋_GB2312" w:cs="仿宋_GB2312"/>
          <w:sz w:val="32"/>
          <w:szCs w:val="32"/>
        </w:rPr>
        <w:t>6.39亿元，主要是从政府性基金预算调入4.59亿元，从国有资本经营预算调入0.60亿元，上年结转收入1.20亿元。比2025年预计完成数减少7.73亿元，下降54.7%。</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outlineLvl w:val="1"/>
        <w:rPr>
          <w:rFonts w:hint="eastAsia" w:ascii="黑体" w:hAnsi="黑体" w:eastAsia="黑体" w:cs="仿宋_GB2312"/>
          <w:sz w:val="32"/>
          <w:szCs w:val="32"/>
        </w:rPr>
      </w:pPr>
      <w:r>
        <w:rPr>
          <w:rFonts w:hint="eastAsia" w:ascii="黑体" w:hAnsi="黑体" w:eastAsia="黑体" w:cs="仿宋_GB2312"/>
          <w:sz w:val="32"/>
          <w:szCs w:val="32"/>
        </w:rPr>
        <w:t>二、2026年一般公共预算支出预算</w:t>
      </w:r>
    </w:p>
    <w:p>
      <w:pPr>
        <w:pStyle w:val="20"/>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hAnsi="仿宋_GB2312" w:cs="仿宋_GB2312"/>
          <w:sz w:val="32"/>
          <w:szCs w:val="32"/>
        </w:rPr>
      </w:pPr>
      <w:r>
        <w:rPr>
          <w:rFonts w:hint="eastAsia" w:hAnsi="仿宋_GB2312" w:cs="仿宋_GB2312"/>
          <w:sz w:val="32"/>
          <w:szCs w:val="32"/>
        </w:rPr>
        <w:t>按照收支平衡的原则，</w:t>
      </w:r>
      <w:r>
        <w:rPr>
          <w:rFonts w:hint="eastAsia" w:hAnsi="仿宋_GB2312" w:cs="仿宋_GB2312"/>
          <w:sz w:val="32"/>
          <w:szCs w:val="32"/>
          <w:lang w:val="en-US" w:eastAsia="zh-CN"/>
        </w:rPr>
        <w:t>安排</w:t>
      </w:r>
      <w:r>
        <w:rPr>
          <w:rFonts w:hint="eastAsia" w:hAnsi="仿宋_GB2312" w:cs="仿宋_GB2312"/>
          <w:sz w:val="32"/>
          <w:szCs w:val="32"/>
        </w:rPr>
        <w:t>一般公共预算总支出50.14亿元。其中一般公共预算支出48.14亿元、上解支出2.00亿元。2026年一般公共预算支出科目的具体安排如下</w:t>
      </w:r>
      <w:r>
        <w:rPr>
          <w:rFonts w:hint="eastAsia" w:hAnsi="仿宋_GB2312" w:cs="仿宋_GB2312"/>
          <w:sz w:val="32"/>
          <w:szCs w:val="32"/>
          <w:lang w:eastAsia="zh-CN"/>
        </w:rPr>
        <w:t>。</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eastAsia="楷体_GB2312"/>
          <w:sz w:val="32"/>
          <w:szCs w:val="32"/>
        </w:rPr>
        <w:t>（一）</w:t>
      </w:r>
      <w:r>
        <w:rPr>
          <w:rFonts w:hint="eastAsia" w:ascii="楷体_GB2312" w:hAnsi="仿宋_GB2312" w:eastAsia="楷体_GB2312" w:cs="仿宋_GB2312"/>
          <w:kern w:val="0"/>
          <w:sz w:val="32"/>
          <w:szCs w:val="32"/>
        </w:rPr>
        <w:t>一般公共服务支出。</w:t>
      </w:r>
      <w:r>
        <w:rPr>
          <w:rFonts w:hint="eastAsia" w:ascii="仿宋_GB2312" w:hAnsi="仿宋_GB2312" w:eastAsia="仿宋_GB2312" w:cs="仿宋_GB2312"/>
          <w:sz w:val="32"/>
          <w:szCs w:val="32"/>
        </w:rPr>
        <w:t>反映政府提供的一般公共服务的支出，主要用于保障前海合作区基本运转、对外经贸合作综合服务、宏观经济规划、营商环境优化、制度创新事务、法治环境与法治建设、合作区发展与投资、国际交流与港澳事务、e站通服务中心、城市管理与社会建设产业发展规划、国有企业监管、数字政府发展等事务。2026年度计划安排1</w:t>
      </w:r>
      <w:r>
        <w:rPr>
          <w:rFonts w:hint="eastAsia" w:ascii="仿宋_GB2312" w:hAnsi="仿宋_GB2312" w:eastAsia="仿宋_GB2312" w:cs="仿宋_GB2312"/>
          <w:sz w:val="32"/>
          <w:szCs w:val="32"/>
          <w:lang w:val="en-US" w:eastAsia="zh-CN"/>
        </w:rPr>
        <w:t>3.24</w:t>
      </w:r>
      <w:r>
        <w:rPr>
          <w:rFonts w:hint="eastAsia" w:ascii="仿宋_GB2312" w:hAnsi="仿宋_GB2312" w:eastAsia="仿宋_GB2312" w:cs="仿宋_GB2312"/>
          <w:sz w:val="32"/>
          <w:szCs w:val="32"/>
        </w:rPr>
        <w:t>亿元，比2025年预算增加</w:t>
      </w:r>
      <w:r>
        <w:rPr>
          <w:rFonts w:hint="eastAsia" w:ascii="仿宋_GB2312" w:hAnsi="仿宋_GB2312" w:eastAsia="仿宋_GB2312" w:cs="仿宋_GB2312"/>
          <w:sz w:val="32"/>
          <w:szCs w:val="32"/>
          <w:lang w:val="en-US" w:eastAsia="zh-CN"/>
        </w:rPr>
        <w:t>0.67</w:t>
      </w:r>
      <w:r>
        <w:rPr>
          <w:rFonts w:hint="eastAsia" w:ascii="仿宋_GB2312" w:hAnsi="仿宋_GB2312" w:eastAsia="仿宋_GB2312" w:cs="仿宋_GB2312"/>
          <w:sz w:val="32"/>
          <w:szCs w:val="32"/>
        </w:rPr>
        <w:t>亿元，上升</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%，主要原因是加强重点任务财力保障，加大深港及国际合作经费保障力度。</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kern w:val="0"/>
          <w:sz w:val="32"/>
          <w:szCs w:val="32"/>
        </w:rPr>
        <w:t>（二）教育支出</w:t>
      </w:r>
      <w:r>
        <w:rPr>
          <w:rFonts w:hint="eastAsia" w:ascii="仿宋_GB2312" w:hAnsi="仿宋_GB2312" w:eastAsia="仿宋_GB2312" w:cs="仿宋_GB2312"/>
          <w:sz w:val="32"/>
          <w:szCs w:val="32"/>
        </w:rPr>
        <w:t>。反映政府教育事务支出，主要用于区域学校建设事务。2026年度计划安排0.</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亿元，比2025年预算减少1.8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亿元，下降</w:t>
      </w:r>
      <w:r>
        <w:rPr>
          <w:rFonts w:hint="eastAsia" w:ascii="仿宋_GB2312" w:hAnsi="仿宋_GB2312" w:eastAsia="仿宋_GB2312" w:cs="仿宋_GB2312"/>
          <w:sz w:val="32"/>
          <w:szCs w:val="32"/>
          <w:lang w:val="en-US" w:eastAsia="zh-CN"/>
        </w:rPr>
        <w:t>73.1</w:t>
      </w:r>
      <w:r>
        <w:rPr>
          <w:rFonts w:hint="eastAsia" w:ascii="仿宋_GB2312" w:hAnsi="仿宋_GB2312" w:eastAsia="仿宋_GB2312" w:cs="仿宋_GB2312"/>
          <w:sz w:val="32"/>
          <w:szCs w:val="32"/>
        </w:rPr>
        <w:t>%，主要原因是部分区域学校建设进入结算阶段，支出需求减少。</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sz w:val="32"/>
          <w:szCs w:val="32"/>
          <w:highlight w:val="none"/>
        </w:rPr>
      </w:pPr>
      <w:r>
        <w:rPr>
          <w:rFonts w:hint="eastAsia" w:ascii="楷体_GB2312" w:hAnsi="仿宋_GB2312" w:eastAsia="楷体_GB2312" w:cs="仿宋_GB2312"/>
          <w:kern w:val="0"/>
          <w:sz w:val="32"/>
          <w:szCs w:val="32"/>
          <w:highlight w:val="none"/>
        </w:rPr>
        <w:t>（</w:t>
      </w:r>
      <w:r>
        <w:rPr>
          <w:rFonts w:hint="eastAsia" w:ascii="楷体_GB2312" w:hAnsi="仿宋_GB2312" w:eastAsia="楷体_GB2312" w:cs="仿宋_GB2312"/>
          <w:kern w:val="0"/>
          <w:sz w:val="32"/>
          <w:szCs w:val="32"/>
          <w:highlight w:val="none"/>
          <w:lang w:val="en-US" w:eastAsia="zh-CN"/>
        </w:rPr>
        <w:t>三</w:t>
      </w:r>
      <w:r>
        <w:rPr>
          <w:rFonts w:hint="eastAsia" w:ascii="楷体_GB2312" w:hAnsi="仿宋_GB2312" w:eastAsia="楷体_GB2312" w:cs="仿宋_GB2312"/>
          <w:kern w:val="0"/>
          <w:sz w:val="32"/>
          <w:szCs w:val="32"/>
          <w:highlight w:val="none"/>
        </w:rPr>
        <w:t>）文化旅游体育与传媒支出。</w:t>
      </w:r>
      <w:r>
        <w:rPr>
          <w:rFonts w:hint="eastAsia" w:ascii="仿宋_GB2312" w:hAnsi="仿宋_GB2312" w:eastAsia="仿宋_GB2312" w:cs="仿宋_GB2312"/>
          <w:sz w:val="32"/>
          <w:szCs w:val="32"/>
          <w:highlight w:val="none"/>
        </w:rPr>
        <w:t>反映政府在文化旅游体育与传媒方面的支出，主要用于</w:t>
      </w:r>
      <w:r>
        <w:rPr>
          <w:rFonts w:hint="eastAsia" w:ascii="仿宋_GB2312" w:hAnsi="仿宋_GB2312" w:eastAsia="仿宋_GB2312" w:cs="仿宋_GB2312"/>
          <w:sz w:val="32"/>
          <w:szCs w:val="32"/>
          <w:highlight w:val="none"/>
          <w:lang w:eastAsia="zh-CN"/>
        </w:rPr>
        <w:t>文化</w:t>
      </w:r>
      <w:r>
        <w:rPr>
          <w:rFonts w:hint="eastAsia" w:ascii="仿宋_GB2312" w:hAnsi="仿宋_GB2312" w:eastAsia="仿宋_GB2312" w:cs="仿宋_GB2312"/>
          <w:sz w:val="32"/>
          <w:szCs w:val="32"/>
          <w:highlight w:val="none"/>
          <w:lang w:val="en-US" w:eastAsia="zh-CN"/>
        </w:rPr>
        <w:t>场馆建设</w:t>
      </w:r>
      <w:r>
        <w:rPr>
          <w:rFonts w:hint="eastAsia" w:ascii="仿宋_GB2312" w:hAnsi="仿宋_GB2312" w:eastAsia="仿宋_GB2312" w:cs="仿宋_GB2312"/>
          <w:sz w:val="32"/>
          <w:szCs w:val="32"/>
          <w:highlight w:val="none"/>
        </w:rPr>
        <w:t>。2026年度计划安排</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亿元，比2025年预算</w:t>
      </w:r>
      <w:r>
        <w:rPr>
          <w:rFonts w:hint="eastAsia" w:ascii="仿宋_GB2312" w:hAnsi="仿宋_GB2312" w:eastAsia="仿宋_GB2312" w:cs="仿宋_GB2312"/>
          <w:sz w:val="32"/>
          <w:szCs w:val="32"/>
          <w:highlight w:val="none"/>
          <w:lang w:val="en-US" w:eastAsia="zh-CN"/>
        </w:rPr>
        <w:t>增加2.496亿元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上升62500.0%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进一步</w:t>
      </w:r>
      <w:r>
        <w:rPr>
          <w:rFonts w:hint="eastAsia" w:ascii="仿宋_GB2312" w:hAnsi="仿宋_GB2312" w:eastAsia="仿宋_GB2312" w:cs="仿宋_GB2312"/>
          <w:sz w:val="32"/>
          <w:szCs w:val="32"/>
          <w:highlight w:val="none"/>
        </w:rPr>
        <w:t>丰富文化设施供给。</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四</w:t>
      </w:r>
      <w:r>
        <w:rPr>
          <w:rFonts w:hint="eastAsia" w:ascii="楷体_GB2312" w:hAnsi="仿宋_GB2312" w:eastAsia="楷体_GB2312" w:cs="仿宋_GB2312"/>
          <w:kern w:val="0"/>
          <w:sz w:val="32"/>
          <w:szCs w:val="32"/>
        </w:rPr>
        <w:t>）社会保障和就业支出。</w:t>
      </w:r>
      <w:r>
        <w:rPr>
          <w:rFonts w:hint="eastAsia" w:ascii="仿宋_GB2312" w:hAnsi="仿宋_GB2312" w:eastAsia="仿宋_GB2312" w:cs="仿宋_GB2312"/>
          <w:sz w:val="32"/>
          <w:szCs w:val="32"/>
        </w:rPr>
        <w:t>反映政府在社会保障与就业方面的支出，主要用于在职人员基本养老保险缴费、职业年金缴费等相关支出。2026年度计划安排0.28亿元，与2025年预算持平。</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五</w:t>
      </w:r>
      <w:r>
        <w:rPr>
          <w:rFonts w:hint="eastAsia" w:ascii="楷体_GB2312" w:hAnsi="仿宋_GB2312" w:eastAsia="楷体_GB2312" w:cs="仿宋_GB2312"/>
          <w:kern w:val="0"/>
          <w:sz w:val="32"/>
          <w:szCs w:val="32"/>
        </w:rPr>
        <w:t>）卫生健康支出。</w:t>
      </w:r>
      <w:r>
        <w:rPr>
          <w:rFonts w:hint="eastAsia" w:ascii="仿宋_GB2312" w:hAnsi="仿宋_GB2312" w:eastAsia="仿宋_GB2312" w:cs="仿宋_GB2312"/>
          <w:kern w:val="0"/>
          <w:sz w:val="32"/>
          <w:szCs w:val="32"/>
        </w:rPr>
        <w:t>反映政府卫生健康方面的支出，主要用于前海合作区医疗保障相关支出。2026年度计划安排0.08亿元</w:t>
      </w:r>
      <w:r>
        <w:rPr>
          <w:rFonts w:hint="eastAsia" w:ascii="仿宋_GB2312" w:hAnsi="仿宋_GB2312" w:eastAsia="仿宋_GB2312" w:cs="仿宋_GB2312"/>
          <w:sz w:val="32"/>
          <w:szCs w:val="32"/>
        </w:rPr>
        <w:t>，与2025年预算持平。</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sz w:val="32"/>
          <w:szCs w:val="32"/>
        </w:rPr>
      </w:pPr>
      <w:r>
        <w:rPr>
          <w:rFonts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六</w:t>
      </w:r>
      <w:r>
        <w:rPr>
          <w:rFonts w:ascii="楷体_GB2312" w:hAnsi="仿宋_GB2312" w:eastAsia="楷体_GB2312" w:cs="仿宋_GB2312"/>
          <w:kern w:val="0"/>
          <w:sz w:val="32"/>
          <w:szCs w:val="32"/>
        </w:rPr>
        <w:t>）城乡社区支出。</w:t>
      </w:r>
      <w:r>
        <w:rPr>
          <w:rFonts w:ascii="仿宋_GB2312" w:hAnsi="仿宋_GB2312" w:eastAsia="仿宋_GB2312" w:cs="仿宋_GB2312"/>
          <w:kern w:val="0"/>
          <w:sz w:val="32"/>
          <w:szCs w:val="32"/>
        </w:rPr>
        <w:t>反映政府城乡社区事务支出，主要用于开展城市规划综合管理、工程质量安全管理、国土空间规划、合作区住房管理、</w:t>
      </w:r>
      <w:r>
        <w:rPr>
          <w:rFonts w:hint="eastAsia" w:ascii="仿宋_GB2312" w:hAnsi="仿宋_GB2312" w:eastAsia="仿宋_GB2312" w:cs="仿宋_GB2312"/>
          <w:kern w:val="0"/>
          <w:sz w:val="32"/>
          <w:szCs w:val="32"/>
        </w:rPr>
        <w:t>城市环境与设施管理</w:t>
      </w:r>
      <w:r>
        <w:rPr>
          <w:rFonts w:ascii="仿宋_GB2312" w:hAnsi="仿宋_GB2312" w:eastAsia="仿宋_GB2312" w:cs="仿宋_GB2312"/>
          <w:kern w:val="0"/>
          <w:sz w:val="32"/>
          <w:szCs w:val="32"/>
        </w:rPr>
        <w:t>。2026年度计划安排</w:t>
      </w:r>
      <w:r>
        <w:rPr>
          <w:rFonts w:hint="eastAsia" w:ascii="仿宋_GB2312" w:hAnsi="仿宋_GB2312" w:eastAsia="仿宋_GB2312" w:cs="仿宋_GB2312"/>
          <w:kern w:val="0"/>
          <w:sz w:val="32"/>
          <w:szCs w:val="32"/>
        </w:rPr>
        <w:t>5</w:t>
      </w:r>
      <w:r>
        <w:rPr>
          <w:rFonts w:ascii="仿宋_GB2312" w:hAnsi="仿宋_GB2312" w:eastAsia="仿宋_GB2312" w:cs="仿宋_GB2312"/>
          <w:kern w:val="0"/>
          <w:sz w:val="32"/>
          <w:szCs w:val="32"/>
        </w:rPr>
        <w:t>.76亿元，比2025年预算</w:t>
      </w:r>
      <w:r>
        <w:rPr>
          <w:rFonts w:hint="eastAsia" w:ascii="仿宋_GB2312" w:hAnsi="仿宋_GB2312" w:eastAsia="仿宋_GB2312" w:cs="仿宋_GB2312"/>
          <w:kern w:val="0"/>
          <w:sz w:val="32"/>
          <w:szCs w:val="32"/>
        </w:rPr>
        <w:t>增加2.91亿元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上升101.9%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主要原因一是增加重点区域发展相关经费；二是负责管养的园区面积规模增大，相应增加相关支出；三是部分支出由其他科目转至本科目保障。</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七</w:t>
      </w:r>
      <w:r>
        <w:rPr>
          <w:rFonts w:ascii="楷体_GB2312" w:hAnsi="仿宋_GB2312" w:eastAsia="楷体_GB2312" w:cs="仿宋_GB2312"/>
          <w:kern w:val="0"/>
          <w:sz w:val="32"/>
          <w:szCs w:val="32"/>
        </w:rPr>
        <w:t>）农林水支出。</w:t>
      </w:r>
      <w:r>
        <w:rPr>
          <w:rFonts w:ascii="仿宋_GB2312" w:hAnsi="仿宋_GB2312" w:eastAsia="仿宋_GB2312" w:cs="仿宋_GB2312"/>
          <w:kern w:val="0"/>
          <w:sz w:val="32"/>
          <w:szCs w:val="32"/>
        </w:rPr>
        <w:t>反映政府农林水事务支出，主要用于清淤工程</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2026年度计划安排0.</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5亿元，比2025年预算减少0.</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4亿元，下降</w:t>
      </w:r>
      <w:r>
        <w:rPr>
          <w:rFonts w:hint="eastAsia" w:ascii="仿宋_GB2312" w:hAnsi="仿宋_GB2312" w:eastAsia="仿宋_GB2312" w:cs="仿宋_GB2312"/>
          <w:kern w:val="0"/>
          <w:sz w:val="32"/>
          <w:szCs w:val="32"/>
        </w:rPr>
        <w:t>36.8</w:t>
      </w:r>
      <w:r>
        <w:rPr>
          <w:rFonts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rPr>
        <w:t>根据项目建设时序相应安排支出</w:t>
      </w:r>
      <w:r>
        <w:rPr>
          <w:rFonts w:ascii="仿宋_GB2312" w:hAnsi="仿宋_GB2312" w:eastAsia="仿宋_GB2312" w:cs="仿宋_GB2312"/>
          <w:kern w:val="0"/>
          <w:sz w:val="32"/>
          <w:szCs w:val="32"/>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eastAsia="仿宋_GB2312"/>
          <w:sz w:val="32"/>
          <w:szCs w:val="32"/>
        </w:rPr>
      </w:pPr>
      <w:r>
        <w:rPr>
          <w:rFonts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八</w:t>
      </w:r>
      <w:r>
        <w:rPr>
          <w:rFonts w:ascii="楷体_GB2312" w:hAnsi="仿宋_GB2312" w:eastAsia="楷体_GB2312" w:cs="仿宋_GB2312"/>
          <w:kern w:val="0"/>
          <w:sz w:val="32"/>
          <w:szCs w:val="32"/>
        </w:rPr>
        <w:t>）商业服务业等支出。</w:t>
      </w:r>
      <w:r>
        <w:rPr>
          <w:rFonts w:ascii="仿宋_GB2312" w:hAnsi="仿宋_GB2312" w:eastAsia="仿宋_GB2312" w:cs="仿宋_GB2312"/>
          <w:kern w:val="0"/>
          <w:sz w:val="32"/>
          <w:szCs w:val="32"/>
        </w:rPr>
        <w:t>反映商业服务业事务支出，主要用于</w:t>
      </w:r>
      <w:r>
        <w:rPr>
          <w:rFonts w:hint="eastAsia" w:ascii="仿宋_GB2312" w:hAnsi="仿宋_GB2312" w:eastAsia="仿宋_GB2312" w:cs="仿宋_GB2312"/>
          <w:kern w:val="0"/>
          <w:sz w:val="32"/>
          <w:szCs w:val="32"/>
          <w:lang w:eastAsia="zh-CN"/>
        </w:rPr>
        <w:t>科技生态打造及</w:t>
      </w:r>
      <w:r>
        <w:rPr>
          <w:rFonts w:hint="eastAsia" w:ascii="仿宋_GB2312" w:hAnsi="仿宋_GB2312" w:eastAsia="仿宋_GB2312" w:cs="仿宋_GB2312"/>
          <w:kern w:val="0"/>
          <w:sz w:val="32"/>
          <w:szCs w:val="32"/>
          <w:lang w:val="en-US" w:eastAsia="zh-CN"/>
        </w:rPr>
        <w:t>产业发展相关支出</w:t>
      </w:r>
      <w:r>
        <w:rPr>
          <w:rFonts w:ascii="仿宋_GB2312" w:hAnsi="仿宋_GB2312" w:eastAsia="仿宋_GB2312" w:cs="仿宋_GB2312"/>
          <w:kern w:val="0"/>
          <w:sz w:val="32"/>
          <w:szCs w:val="32"/>
        </w:rPr>
        <w:t>。2026年度计划安排</w:t>
      </w:r>
      <w:r>
        <w:rPr>
          <w:rFonts w:hint="eastAsia" w:ascii="仿宋_GB2312" w:hAnsi="仿宋_GB2312" w:eastAsia="仿宋_GB2312" w:cs="仿宋_GB2312"/>
          <w:kern w:val="0"/>
          <w:sz w:val="32"/>
          <w:szCs w:val="32"/>
        </w:rPr>
        <w:t>25.12</w:t>
      </w:r>
      <w:r>
        <w:rPr>
          <w:rFonts w:ascii="仿宋_GB2312" w:hAnsi="仿宋_GB2312" w:eastAsia="仿宋_GB2312" w:cs="仿宋_GB2312"/>
          <w:kern w:val="0"/>
          <w:sz w:val="32"/>
          <w:szCs w:val="32"/>
        </w:rPr>
        <w:t>亿元，比2025年预算</w:t>
      </w:r>
      <w:r>
        <w:rPr>
          <w:rFonts w:hint="eastAsia" w:ascii="仿宋_GB2312" w:hAnsi="仿宋_GB2312" w:eastAsia="仿宋_GB2312" w:cs="仿宋_GB2312"/>
          <w:kern w:val="0"/>
          <w:sz w:val="32"/>
          <w:szCs w:val="32"/>
        </w:rPr>
        <w:t>增加4.12</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rPr>
        <w:t>上升19.6</w:t>
      </w:r>
      <w:r>
        <w:rPr>
          <w:rFonts w:ascii="仿宋_GB2312" w:hAnsi="仿宋_GB2312" w:eastAsia="仿宋_GB2312" w:cs="仿宋_GB2312"/>
          <w:kern w:val="0"/>
          <w:sz w:val="32"/>
          <w:szCs w:val="32"/>
        </w:rPr>
        <w:t>%，主要是</w:t>
      </w:r>
      <w:r>
        <w:rPr>
          <w:rFonts w:hint="eastAsia" w:ascii="仿宋_GB2312" w:hAnsi="仿宋_GB2312" w:eastAsia="仿宋_GB2312" w:cs="仿宋_GB2312"/>
          <w:kern w:val="0"/>
          <w:sz w:val="32"/>
          <w:szCs w:val="32"/>
        </w:rPr>
        <w:t>加大对科技创新及人才发展领域的投入，引领新质生产力发展。</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九</w:t>
      </w:r>
      <w:r>
        <w:rPr>
          <w:rFonts w:ascii="楷体_GB2312" w:hAnsi="仿宋_GB2312" w:eastAsia="楷体_GB2312" w:cs="仿宋_GB2312"/>
          <w:kern w:val="0"/>
          <w:sz w:val="32"/>
          <w:szCs w:val="32"/>
        </w:rPr>
        <w:t>）金融支出。</w:t>
      </w:r>
      <w:r>
        <w:rPr>
          <w:rFonts w:ascii="仿宋_GB2312" w:hAnsi="仿宋_GB2312" w:eastAsia="仿宋_GB2312" w:cs="仿宋_GB2312"/>
          <w:kern w:val="0"/>
          <w:sz w:val="32"/>
          <w:szCs w:val="32"/>
        </w:rPr>
        <w:t>反映金融方面的支出，主要用于促进前海金融行业创新及规范管理事务。2026年度计划安排0.0</w:t>
      </w:r>
      <w:r>
        <w:rPr>
          <w:rFonts w:hint="eastAsia" w:ascii="仿宋_GB2312" w:hAnsi="仿宋_GB2312" w:eastAsia="仿宋_GB2312" w:cs="仿宋_GB2312"/>
          <w:kern w:val="0"/>
          <w:sz w:val="32"/>
          <w:szCs w:val="32"/>
          <w:lang w:val="en-US" w:eastAsia="zh-CN"/>
        </w:rPr>
        <w:t>6</w:t>
      </w:r>
      <w:r>
        <w:rPr>
          <w:rFonts w:ascii="仿宋_GB2312" w:hAnsi="仿宋_GB2312" w:eastAsia="仿宋_GB2312" w:cs="仿宋_GB2312"/>
          <w:kern w:val="0"/>
          <w:sz w:val="32"/>
          <w:szCs w:val="32"/>
        </w:rPr>
        <w:t>亿元，比2025年预算减少0.</w:t>
      </w:r>
      <w:r>
        <w:rPr>
          <w:rFonts w:hint="eastAsia" w:ascii="仿宋_GB2312" w:hAnsi="仿宋_GB2312" w:eastAsia="仿宋_GB2312" w:cs="仿宋_GB2312"/>
          <w:kern w:val="0"/>
          <w:sz w:val="32"/>
          <w:szCs w:val="32"/>
          <w:lang w:val="en-US" w:eastAsia="zh-CN"/>
        </w:rPr>
        <w:t>01</w:t>
      </w:r>
      <w:r>
        <w:rPr>
          <w:rFonts w:ascii="仿宋_GB2312" w:hAnsi="仿宋_GB2312" w:eastAsia="仿宋_GB2312" w:cs="仿宋_GB2312"/>
          <w:kern w:val="0"/>
          <w:sz w:val="32"/>
          <w:szCs w:val="32"/>
        </w:rPr>
        <w:t>亿元，下降</w:t>
      </w:r>
      <w:r>
        <w:rPr>
          <w:rFonts w:hint="eastAsia" w:ascii="仿宋_GB2312" w:hAnsi="仿宋_GB2312" w:eastAsia="仿宋_GB2312" w:cs="仿宋_GB2312"/>
          <w:kern w:val="0"/>
          <w:sz w:val="32"/>
          <w:szCs w:val="32"/>
          <w:lang w:val="en-US" w:eastAsia="zh-CN"/>
        </w:rPr>
        <w:t>9.9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主要是</w:t>
      </w:r>
      <w:r>
        <w:rPr>
          <w:rFonts w:hint="eastAsia" w:ascii="仿宋_GB2312" w:hAnsi="仿宋_GB2312" w:eastAsia="仿宋_GB2312" w:cs="仿宋_GB2312"/>
          <w:kern w:val="0"/>
          <w:sz w:val="32"/>
          <w:szCs w:val="32"/>
        </w:rPr>
        <w:t>落实习惯过紧日子要求，压减相关支出</w:t>
      </w:r>
      <w:r>
        <w:rPr>
          <w:rFonts w:ascii="仿宋_GB2312" w:hAnsi="仿宋_GB2312" w:eastAsia="仿宋_GB2312" w:cs="仿宋_GB2312"/>
          <w:kern w:val="0"/>
          <w:sz w:val="32"/>
          <w:szCs w:val="32"/>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楷体_GB2312" w:hAnsi="仿宋_GB2312" w:eastAsia="楷体_GB2312" w:cs="仿宋_GB2312"/>
          <w:kern w:val="0"/>
          <w:sz w:val="32"/>
          <w:szCs w:val="32"/>
        </w:rPr>
        <w:t>（</w:t>
      </w:r>
      <w:r>
        <w:rPr>
          <w:rFonts w:hint="eastAsia" w:ascii="楷体_GB2312" w:hAnsi="仿宋_GB2312" w:eastAsia="楷体_GB2312" w:cs="仿宋_GB2312"/>
          <w:kern w:val="0"/>
          <w:sz w:val="32"/>
          <w:szCs w:val="32"/>
          <w:lang w:val="en-US" w:eastAsia="zh-CN"/>
        </w:rPr>
        <w:t>十</w:t>
      </w:r>
      <w:r>
        <w:rPr>
          <w:rFonts w:ascii="楷体_GB2312" w:hAnsi="仿宋_GB2312" w:eastAsia="楷体_GB2312" w:cs="仿宋_GB2312"/>
          <w:kern w:val="0"/>
          <w:sz w:val="32"/>
          <w:szCs w:val="32"/>
        </w:rPr>
        <w:t>）住房保障支出。</w:t>
      </w:r>
      <w:r>
        <w:rPr>
          <w:rFonts w:ascii="仿宋_GB2312" w:hAnsi="仿宋_GB2312" w:eastAsia="仿宋_GB2312" w:cs="仿宋_GB2312"/>
          <w:kern w:val="0"/>
          <w:sz w:val="32"/>
          <w:szCs w:val="32"/>
        </w:rPr>
        <w:t>反映政府用于住房方面的支出，主要用于前海合作区住房保障相关支出。2026年度计划安排0.1</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亿元，与2025年预算持平。</w:t>
      </w:r>
    </w:p>
    <w:p>
      <w:pPr>
        <w:keepNext w:val="0"/>
        <w:keepLines w:val="0"/>
        <w:pageBreakBefore w:val="0"/>
        <w:widowControl w:val="0"/>
        <w:kinsoku/>
        <w:wordWrap/>
        <w:overflowPunct w:val="0"/>
        <w:topLinePunct w:val="0"/>
        <w:autoSpaceDE/>
        <w:autoSpaceDN/>
        <w:bidi w:val="0"/>
        <w:adjustRightInd/>
        <w:snapToGrid/>
        <w:spacing w:line="570" w:lineRule="exact"/>
        <w:ind w:left="0" w:leftChars="0"/>
        <w:textAlignment w:val="auto"/>
      </w:pPr>
    </w:p>
    <w:p>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line="570" w:lineRule="exact"/>
        <w:ind w:left="0" w:leftChars="0"/>
        <w:jc w:val="center"/>
        <w:textAlignment w:val="auto"/>
        <w:outlineLvl w:val="0"/>
        <w:rPr>
          <w:rFonts w:hint="eastAsia" w:ascii="黑体" w:hAnsi="黑体" w:eastAsia="黑体" w:cs="仿宋_GB2312"/>
        </w:rPr>
      </w:pPr>
      <w:r>
        <w:rPr>
          <w:rFonts w:hint="eastAsia" w:ascii="黑体" w:hAnsi="黑体" w:eastAsia="黑体" w:cs="仿宋_GB2312"/>
          <w:kern w:val="2"/>
          <w:sz w:val="32"/>
          <w:szCs w:val="32"/>
          <w:lang w:val="en-US" w:eastAsia="zh-CN" w:bidi="ar-SA"/>
        </w:rPr>
        <w:t xml:space="preserve">第三部分 </w:t>
      </w:r>
      <w:r>
        <w:rPr>
          <w:rFonts w:hint="eastAsia" w:ascii="黑体" w:hAnsi="黑体" w:eastAsia="黑体" w:cs="仿宋_GB2312"/>
        </w:rPr>
        <w:t xml:space="preserve"> 前海合作区政府性基金预算（草案）</w:t>
      </w:r>
    </w:p>
    <w:p>
      <w:pPr>
        <w:pStyle w:val="4"/>
        <w:keepNext w:val="0"/>
        <w:keepLines w:val="0"/>
        <w:pageBreakBefore w:val="0"/>
        <w:widowControl w:val="0"/>
        <w:numPr>
          <w:ilvl w:val="255"/>
          <w:numId w:val="0"/>
        </w:numPr>
        <w:kinsoku/>
        <w:wordWrap/>
        <w:overflowPunct w:val="0"/>
        <w:topLinePunct w:val="0"/>
        <w:autoSpaceDE/>
        <w:autoSpaceDN/>
        <w:bidi w:val="0"/>
        <w:adjustRightInd/>
        <w:snapToGrid/>
        <w:spacing w:before="0" w:line="570" w:lineRule="exact"/>
        <w:ind w:left="0" w:leftChars="0"/>
        <w:textAlignment w:val="auto"/>
        <w:outlineLvl w:val="0"/>
        <w:rPr>
          <w:rFonts w:hint="eastAsia" w:ascii="黑体" w:hAnsi="黑体" w:eastAsia="黑体" w:cs="仿宋_GB2312"/>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ascii="黑体" w:hAnsi="黑体" w:eastAsia="黑体" w:cs="黑体"/>
          <w:kern w:val="0"/>
          <w:sz w:val="32"/>
          <w:szCs w:val="32"/>
        </w:rPr>
        <w:t>202</w:t>
      </w:r>
      <w:r>
        <w:rPr>
          <w:rFonts w:hint="eastAsia" w:ascii="黑体" w:hAnsi="黑体" w:eastAsia="黑体" w:cs="黑体"/>
          <w:kern w:val="0"/>
          <w:sz w:val="32"/>
          <w:szCs w:val="32"/>
        </w:rPr>
        <w:t>6年政府性基金收入预算</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政府性基金</w:t>
      </w:r>
      <w:r>
        <w:rPr>
          <w:rFonts w:hint="eastAsia" w:ascii="仿宋_GB2312" w:hAnsi="仿宋_GB2312" w:eastAsia="仿宋_GB2312" w:cs="仿宋_GB2312"/>
          <w:kern w:val="0"/>
          <w:sz w:val="32"/>
          <w:szCs w:val="32"/>
          <w:lang w:eastAsia="zh-CN"/>
        </w:rPr>
        <w:t>预算总</w:t>
      </w:r>
      <w:r>
        <w:rPr>
          <w:rFonts w:ascii="仿宋_GB2312" w:hAnsi="仿宋_GB2312" w:eastAsia="仿宋_GB2312" w:cs="仿宋_GB2312"/>
          <w:kern w:val="0"/>
          <w:sz w:val="32"/>
          <w:szCs w:val="32"/>
        </w:rPr>
        <w:t>收入预算</w:t>
      </w:r>
      <w:r>
        <w:rPr>
          <w:rFonts w:hint="eastAsia" w:ascii="仿宋_GB2312" w:hAnsi="仿宋_GB2312" w:eastAsia="仿宋_GB2312" w:cs="仿宋_GB2312"/>
          <w:kern w:val="0"/>
          <w:sz w:val="32"/>
          <w:szCs w:val="32"/>
        </w:rPr>
        <w:t>48.94</w:t>
      </w:r>
      <w:r>
        <w:rPr>
          <w:rFonts w:ascii="仿宋_GB2312" w:hAnsi="仿宋_GB2312" w:eastAsia="仿宋_GB2312" w:cs="仿宋_GB2312"/>
          <w:kern w:val="0"/>
          <w:sz w:val="32"/>
          <w:szCs w:val="32"/>
        </w:rPr>
        <w:t>亿元，比2025年预计完成数</w:t>
      </w:r>
      <w:r>
        <w:rPr>
          <w:rFonts w:hint="eastAsia" w:ascii="仿宋_GB2312" w:hAnsi="仿宋_GB2312" w:eastAsia="仿宋_GB2312" w:cs="仿宋_GB2312"/>
          <w:kern w:val="0"/>
          <w:sz w:val="32"/>
          <w:szCs w:val="32"/>
        </w:rPr>
        <w:t>减少10.79</w:t>
      </w:r>
      <w:r>
        <w:rPr>
          <w:rFonts w:ascii="仿宋_GB2312" w:hAnsi="仿宋_GB2312" w:eastAsia="仿宋_GB2312" w:cs="仿宋_GB2312"/>
          <w:kern w:val="0"/>
          <w:sz w:val="32"/>
          <w:szCs w:val="32"/>
        </w:rPr>
        <w:t>亿元。其中：转移性收入</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.00</w:t>
      </w:r>
      <w:r>
        <w:rPr>
          <w:rFonts w:ascii="仿宋_GB2312" w:hAnsi="仿宋_GB2312" w:eastAsia="仿宋_GB2312" w:cs="仿宋_GB2312"/>
          <w:kern w:val="0"/>
          <w:sz w:val="32"/>
          <w:szCs w:val="32"/>
        </w:rPr>
        <w:t>亿元、专项债券对应专项收入</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.94</w:t>
      </w:r>
      <w:r>
        <w:rPr>
          <w:rFonts w:ascii="仿宋_GB2312" w:hAnsi="仿宋_GB2312" w:eastAsia="仿宋_GB2312" w:cs="仿宋_GB2312"/>
          <w:kern w:val="0"/>
          <w:sz w:val="32"/>
          <w:szCs w:val="32"/>
        </w:rPr>
        <w:t>亿元。各项收入预计如下</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（一）</w:t>
      </w:r>
      <w:r>
        <w:rPr>
          <w:rFonts w:ascii="楷体_GB2312" w:hAnsi="仿宋_GB2312" w:eastAsia="楷体_GB2312" w:cs="仿宋_GB2312"/>
          <w:kern w:val="0"/>
          <w:sz w:val="32"/>
          <w:szCs w:val="32"/>
        </w:rPr>
        <w:t>转移性收入</w:t>
      </w:r>
      <w:r>
        <w:rPr>
          <w:rFonts w:hint="eastAsia" w:ascii="楷体_GB2312" w:hAnsi="仿宋_GB2312" w:eastAsia="楷体_GB2312" w:cs="仿宋_GB2312"/>
          <w:kern w:val="0"/>
          <w:sz w:val="32"/>
          <w:szCs w:val="32"/>
        </w:rPr>
        <w:t>47.00</w:t>
      </w:r>
      <w:r>
        <w:rPr>
          <w:rFonts w:ascii="楷体_GB2312" w:hAnsi="仿宋_GB2312" w:eastAsia="楷体_GB2312" w:cs="仿宋_GB2312"/>
          <w:kern w:val="0"/>
          <w:sz w:val="32"/>
          <w:szCs w:val="32"/>
        </w:rPr>
        <w:t>亿元。</w:t>
      </w:r>
      <w:r>
        <w:rPr>
          <w:rFonts w:ascii="仿宋_GB2312" w:hAnsi="仿宋_GB2312" w:eastAsia="仿宋_GB2312" w:cs="仿宋_GB2312"/>
          <w:kern w:val="0"/>
          <w:sz w:val="32"/>
          <w:szCs w:val="32"/>
        </w:rPr>
        <w:t>其中：政府性基金</w:t>
      </w:r>
      <w:r>
        <w:rPr>
          <w:rFonts w:hint="eastAsia" w:ascii="仿宋_GB2312" w:hAnsi="仿宋_GB2312" w:eastAsia="仿宋_GB2312" w:cs="仿宋_GB2312"/>
          <w:kern w:val="0"/>
          <w:sz w:val="32"/>
          <w:szCs w:val="32"/>
          <w:lang w:val="en-US" w:eastAsia="zh-CN"/>
        </w:rPr>
        <w:t>转移</w:t>
      </w:r>
      <w:r>
        <w:rPr>
          <w:rFonts w:ascii="仿宋_GB2312" w:hAnsi="仿宋_GB2312" w:eastAsia="仿宋_GB2312" w:cs="仿宋_GB2312"/>
          <w:kern w:val="0"/>
          <w:sz w:val="32"/>
          <w:szCs w:val="32"/>
        </w:rPr>
        <w:t>收入</w:t>
      </w:r>
      <w:r>
        <w:rPr>
          <w:rFonts w:hint="eastAsia" w:ascii="仿宋_GB2312" w:hAnsi="仿宋_GB2312" w:eastAsia="仿宋_GB2312" w:cs="仿宋_GB2312"/>
          <w:kern w:val="0"/>
          <w:sz w:val="32"/>
          <w:szCs w:val="32"/>
        </w:rPr>
        <w:t>41.39</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上年结余收入</w:t>
      </w:r>
      <w:r>
        <w:rPr>
          <w:rFonts w:hint="eastAsia" w:ascii="仿宋_GB2312" w:hAnsi="仿宋_GB2312" w:eastAsia="仿宋_GB2312" w:cs="仿宋_GB2312"/>
          <w:kern w:val="0"/>
          <w:sz w:val="32"/>
          <w:szCs w:val="32"/>
        </w:rPr>
        <w:t>4.62</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rPr>
        <w:t>；地方政府专项债务转贷收入1.00亿元</w:t>
      </w:r>
      <w:r>
        <w:rPr>
          <w:rFonts w:ascii="仿宋_GB2312" w:hAnsi="仿宋_GB2312" w:eastAsia="仿宋_GB2312" w:cs="仿宋_GB2312"/>
          <w:kern w:val="0"/>
          <w:sz w:val="32"/>
          <w:szCs w:val="32"/>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pPr>
      <w:r>
        <w:rPr>
          <w:rFonts w:ascii="楷体_GB2312" w:hAnsi="仿宋_GB2312" w:eastAsia="楷体_GB2312" w:cs="仿宋_GB2312"/>
          <w:kern w:val="0"/>
          <w:sz w:val="32"/>
          <w:szCs w:val="32"/>
        </w:rPr>
        <w:t>（二）专项债券对应项目专项收入</w:t>
      </w:r>
      <w:r>
        <w:rPr>
          <w:rFonts w:hint="eastAsia" w:ascii="楷体_GB2312" w:hAnsi="仿宋_GB2312" w:eastAsia="楷体_GB2312" w:cs="仿宋_GB2312"/>
          <w:kern w:val="0"/>
          <w:sz w:val="32"/>
          <w:szCs w:val="32"/>
        </w:rPr>
        <w:t>1.94</w:t>
      </w:r>
      <w:r>
        <w:rPr>
          <w:rFonts w:ascii="楷体_GB2312" w:hAnsi="仿宋_GB2312" w:eastAsia="楷体_GB2312" w:cs="仿宋_GB2312"/>
          <w:kern w:val="0"/>
          <w:sz w:val="32"/>
          <w:szCs w:val="32"/>
        </w:rPr>
        <w:t>亿元。</w:t>
      </w:r>
      <w:r>
        <w:rPr>
          <w:rFonts w:ascii="仿宋_GB2312" w:hAnsi="仿宋_GB2312" w:eastAsia="仿宋_GB2312" w:cs="仿宋_GB2312"/>
          <w:kern w:val="0"/>
          <w:sz w:val="32"/>
          <w:szCs w:val="32"/>
        </w:rPr>
        <w:t>主要是从项目收取的专项债还本付息资金</w:t>
      </w:r>
      <w: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202</w:t>
      </w:r>
      <w:r>
        <w:rPr>
          <w:rFonts w:hint="eastAsia" w:ascii="黑体" w:hAnsi="黑体" w:eastAsia="黑体" w:cs="黑体"/>
          <w:kern w:val="0"/>
          <w:sz w:val="32"/>
          <w:szCs w:val="32"/>
        </w:rPr>
        <w:t>6年政府性基金支出预算</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按</w:t>
      </w:r>
      <w:r>
        <w:rPr>
          <w:rFonts w:hint="eastAsia" w:ascii="仿宋_GB2312" w:hAnsi="仿宋_GB2312" w:eastAsia="仿宋_GB2312" w:cs="仿宋_GB2312"/>
          <w:kern w:val="0"/>
          <w:sz w:val="32"/>
          <w:szCs w:val="32"/>
        </w:rPr>
        <w:t>照</w:t>
      </w:r>
      <w:r>
        <w:rPr>
          <w:rFonts w:hint="eastAsia" w:ascii="仿宋_GB2312" w:hAnsi="仿宋_GB2312" w:eastAsia="仿宋_GB2312" w:cs="仿宋_GB2312"/>
          <w:kern w:val="0"/>
          <w:sz w:val="32"/>
          <w:szCs w:val="32"/>
          <w:lang w:val="en-US" w:eastAsia="zh-CN"/>
        </w:rPr>
        <w:t>收支平衡</w:t>
      </w:r>
      <w:r>
        <w:rPr>
          <w:rFonts w:hint="eastAsia" w:ascii="仿宋_GB2312" w:hAnsi="仿宋_GB2312" w:eastAsia="仿宋_GB2312" w:cs="仿宋_GB2312"/>
          <w:kern w:val="0"/>
          <w:sz w:val="32"/>
          <w:szCs w:val="32"/>
        </w:rPr>
        <w:t>的原则，安排政府性基金预算总支出48.94亿元。主要包括：</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（一）城乡社区支出39.91亿元。</w:t>
      </w:r>
      <w:r>
        <w:rPr>
          <w:rFonts w:hint="eastAsia" w:ascii="仿宋_GB2312" w:hAnsi="仿宋_GB2312" w:eastAsia="仿宋_GB2312" w:cs="仿宋_GB2312"/>
          <w:kern w:val="0"/>
          <w:sz w:val="32"/>
          <w:szCs w:val="32"/>
        </w:rPr>
        <w:t>其中征地和拆迁补偿支出</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.00亿元，城市建设支出28.82</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rPr>
        <w:t>，土地出让业务支出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40亿元，超长期特别国债安排的支出0.69亿元</w:t>
      </w:r>
      <w:r>
        <w:rPr>
          <w:rFonts w:ascii="仿宋_GB2312" w:hAnsi="仿宋_GB2312" w:eastAsia="仿宋_GB2312" w:cs="仿宋_GB2312"/>
          <w:kern w:val="0"/>
          <w:sz w:val="32"/>
          <w:szCs w:val="32"/>
        </w:rPr>
        <w:t>。</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w:t>
      </w:r>
      <w:r>
        <w:rPr>
          <w:rFonts w:ascii="楷体_GB2312" w:hAnsi="楷体_GB2312" w:eastAsia="楷体_GB2312" w:cs="楷体_GB2312"/>
          <w:kern w:val="0"/>
          <w:sz w:val="32"/>
          <w:szCs w:val="32"/>
        </w:rPr>
        <w:t>转移性支出</w:t>
      </w:r>
      <w:r>
        <w:rPr>
          <w:rFonts w:hint="eastAsia" w:ascii="楷体_GB2312" w:hAnsi="楷体_GB2312" w:eastAsia="楷体_GB2312" w:cs="楷体_GB2312"/>
          <w:kern w:val="0"/>
          <w:sz w:val="32"/>
          <w:szCs w:val="32"/>
        </w:rPr>
        <w:t>6.09</w:t>
      </w:r>
      <w:r>
        <w:rPr>
          <w:rFonts w:ascii="楷体_GB2312" w:hAnsi="楷体_GB2312" w:eastAsia="楷体_GB2312" w:cs="楷体_GB2312"/>
          <w:kern w:val="0"/>
          <w:sz w:val="32"/>
          <w:szCs w:val="32"/>
        </w:rPr>
        <w:t>亿元。</w:t>
      </w:r>
      <w:r>
        <w:rPr>
          <w:rFonts w:hint="eastAsia" w:ascii="仿宋_GB2312" w:hAnsi="仿宋_GB2312" w:eastAsia="仿宋_GB2312" w:cs="仿宋_GB2312"/>
          <w:sz w:val="32"/>
          <w:szCs w:val="32"/>
        </w:rPr>
        <w:t>其中调出至一般公共预算4.59亿元，</w:t>
      </w:r>
      <w:r>
        <w:rPr>
          <w:rFonts w:ascii="仿宋_GB2312" w:hAnsi="仿宋_GB2312" w:eastAsia="仿宋_GB2312" w:cs="仿宋_GB2312"/>
          <w:kern w:val="0"/>
          <w:sz w:val="32"/>
          <w:szCs w:val="32"/>
        </w:rPr>
        <w:t>上解支出1.5</w:t>
      </w:r>
      <w:r>
        <w:rPr>
          <w:rFonts w:hint="eastAsia" w:ascii="仿宋_GB2312" w:hAnsi="仿宋_GB2312" w:eastAsia="仿宋_GB2312" w:cs="仿宋_GB2312"/>
          <w:kern w:val="0"/>
          <w:sz w:val="32"/>
          <w:szCs w:val="32"/>
        </w:rPr>
        <w:t>0</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rPr>
        <w:t>。</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ascii="仿宋_GB2312" w:hAnsi="仿宋_GB2312" w:eastAsia="仿宋_GB2312" w:cs="仿宋_GB2312"/>
          <w:kern w:val="2"/>
          <w:sz w:val="32"/>
          <w:szCs w:val="32"/>
        </w:rPr>
      </w:pPr>
      <w:bookmarkStart w:id="4" w:name="OLE_LINK3"/>
      <w:r>
        <w:rPr>
          <w:rFonts w:hint="eastAsia" w:ascii="楷体_GB2312" w:hAnsi="楷体_GB2312" w:eastAsia="楷体_GB2312" w:cs="楷体_GB2312"/>
          <w:kern w:val="0"/>
          <w:sz w:val="32"/>
          <w:szCs w:val="32"/>
        </w:rPr>
        <w:t>（三）专项债收入安排的支出1.00亿元。</w:t>
      </w:r>
      <w:r>
        <w:rPr>
          <w:rFonts w:hint="eastAsia" w:ascii="仿宋_GB2312" w:hAnsi="仿宋_GB2312" w:eastAsia="仿宋_GB2312" w:cs="仿宋_GB2312"/>
          <w:kern w:val="2"/>
          <w:sz w:val="32"/>
          <w:szCs w:val="32"/>
        </w:rPr>
        <w:t>主要投向产业园区基础设施领域等。</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（四）专项债还本付息及发行费用支出1.94亿元。</w:t>
      </w:r>
      <w:r>
        <w:rPr>
          <w:rFonts w:hint="eastAsia" w:ascii="仿宋_GB2312" w:hAnsi="仿宋_GB2312" w:eastAsia="仿宋_GB2312" w:cs="仿宋_GB2312"/>
          <w:kern w:val="0"/>
          <w:sz w:val="32"/>
          <w:szCs w:val="32"/>
        </w:rPr>
        <w:t>其中：偿还本金费用1.28亿元，付息及发行费用0.66亿元。</w:t>
      </w:r>
    </w:p>
    <w:bookmarkEnd w:id="4"/>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textAlignment w:val="auto"/>
        <w:outlineLvl w:val="0"/>
        <w:rPr>
          <w:rFonts w:ascii="仿宋_GB2312" w:hAnsi="Times New Roman" w:eastAsia="仿宋_GB2312"/>
          <w:spacing w:val="-3"/>
          <w:kern w:val="21"/>
          <w:sz w:val="32"/>
          <w:szCs w:val="20"/>
        </w:rPr>
      </w:pP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jc w:val="center"/>
        <w:textAlignment w:val="auto"/>
        <w:outlineLvl w:val="0"/>
        <w:rPr>
          <w:rFonts w:ascii="仿宋_GB2312" w:hAnsi="Times New Roman" w:eastAsia="仿宋_GB2312"/>
          <w:spacing w:val="-3"/>
          <w:kern w:val="21"/>
          <w:sz w:val="32"/>
          <w:szCs w:val="20"/>
        </w:rPr>
      </w:pPr>
      <w:r>
        <w:rPr>
          <w:rFonts w:hint="eastAsia" w:ascii="黑体" w:hAnsi="黑体" w:eastAsia="黑体" w:cs="Times New Roman"/>
          <w:spacing w:val="-3"/>
          <w:kern w:val="21"/>
          <w:sz w:val="32"/>
          <w:szCs w:val="20"/>
          <w:lang w:val="en-US" w:eastAsia="zh-CN" w:bidi="ar-SA"/>
        </w:rPr>
        <w:t xml:space="preserve">第四部分 </w:t>
      </w:r>
      <w:r>
        <w:rPr>
          <w:rFonts w:hint="eastAsia" w:ascii="黑体" w:hAnsi="黑体" w:eastAsia="黑体" w:cs="黑体"/>
          <w:bCs/>
          <w:spacing w:val="-6"/>
          <w:kern w:val="21"/>
          <w:sz w:val="32"/>
          <w:szCs w:val="32"/>
        </w:rPr>
        <w:t xml:space="preserve"> 前海合作区国有资本经营预算（草案）</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textAlignment w:val="auto"/>
        <w:outlineLvl w:val="0"/>
        <w:rPr>
          <w:rFonts w:ascii="仿宋_GB2312" w:hAnsi="Times New Roman" w:eastAsia="仿宋_GB2312"/>
          <w:spacing w:val="-3"/>
          <w:kern w:val="21"/>
          <w:sz w:val="32"/>
          <w:szCs w:val="20"/>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楷体_GB2312" w:eastAsia="楷体_GB2312" w:cs="楷体_GB2312"/>
          <w:bCs/>
          <w:sz w:val="32"/>
          <w:szCs w:val="32"/>
        </w:rPr>
      </w:pPr>
      <w:r>
        <w:rPr>
          <w:rFonts w:hint="eastAsia" w:ascii="黑体" w:eastAsia="黑体" w:cs="黑体"/>
          <w:sz w:val="32"/>
          <w:szCs w:val="32"/>
        </w:rPr>
        <w:t>一、编制说明</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仿宋_GB2312" w:eastAsia="仿宋_GB2312" w:cs="仿宋_GB2312"/>
          <w:bCs/>
          <w:sz w:val="32"/>
          <w:szCs w:val="32"/>
        </w:rPr>
      </w:pPr>
      <w:r>
        <w:rPr>
          <w:rFonts w:hint="eastAsia" w:ascii="楷体_GB2312" w:eastAsia="楷体_GB2312" w:cs="楷体_GB2312"/>
          <w:bCs/>
          <w:sz w:val="32"/>
          <w:szCs w:val="32"/>
        </w:rPr>
        <w:t>（一）编制范围</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仿宋_GB2312" w:eastAsia="仿宋_GB2312" w:cs="仿宋_GB2312"/>
          <w:sz w:val="32"/>
          <w:szCs w:val="32"/>
        </w:rPr>
      </w:pPr>
      <w:r>
        <w:rPr>
          <w:rFonts w:ascii="仿宋_GB2312" w:hAnsi="仿宋_GB2312" w:eastAsia="仿宋_GB2312" w:cs="仿宋_GB2312"/>
          <w:kern w:val="0"/>
          <w:sz w:val="32"/>
          <w:szCs w:val="32"/>
        </w:rPr>
        <w:t>前海管理局下设四家局属企业（均为国有独资企业），分别为深圳市前海建设投资控股集团有限公司（以下简称建投集团）、前海金融控股有限公司（以下简称金控公司）、深圳市前海产业发展集团有限公司（以下简称产发集团）、前海科技创新集团有限公司（以下简称科创集团），全部纳入2026年国有资本经营预算收缴范围。</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楷体_GB2312" w:eastAsia="楷体_GB2312" w:cs="楷体_GB2312"/>
          <w:bCs/>
          <w:sz w:val="32"/>
          <w:szCs w:val="32"/>
        </w:rPr>
      </w:pPr>
      <w:r>
        <w:rPr>
          <w:rFonts w:ascii="楷体_GB2312" w:eastAsia="楷体_GB2312" w:cs="楷体_GB2312"/>
          <w:bCs/>
          <w:sz w:val="32"/>
          <w:szCs w:val="32"/>
        </w:rPr>
        <w:t>（二）分配比例</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sz w:val="32"/>
          <w:szCs w:val="32"/>
        </w:rPr>
      </w:pPr>
      <w:r>
        <w:rPr>
          <w:rFonts w:ascii="仿宋_GB2312" w:hAnsi="仿宋_GB2312" w:eastAsia="仿宋_GB2312" w:cs="仿宋_GB2312"/>
          <w:kern w:val="0"/>
          <w:sz w:val="32"/>
          <w:szCs w:val="32"/>
        </w:rPr>
        <w:t>按照国家、省、市关于国有企业功能界定与分类的有关要求</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前海管理局将建投集团、金控公司、产发集团、科创集团全部划分为公益类企业</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并结合前海实际</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进一步细分为公益功能类和公益保障类等两类企业。公益功能类为金控公司和科创集团，公益保障类为建投集团和产发集团，其中：公益功能类上缴国有资本利润比例为30</w:t>
      </w:r>
      <w:r>
        <w:rPr>
          <w:rFonts w:hint="eastAsia" w:ascii="仿宋_GB2312" w:hAnsi="仿宋_GB2312" w:eastAsia="仿宋_GB2312" w:cs="仿宋_GB2312"/>
          <w:kern w:val="0"/>
          <w:sz w:val="32"/>
          <w:szCs w:val="32"/>
        </w:rPr>
        <w:t>.0</w:t>
      </w:r>
      <w:r>
        <w:rPr>
          <w:rFonts w:ascii="仿宋_GB2312" w:hAnsi="仿宋_GB2312" w:eastAsia="仿宋_GB2312" w:cs="仿宋_GB2312"/>
          <w:kern w:val="0"/>
          <w:sz w:val="32"/>
          <w:szCs w:val="32"/>
        </w:rPr>
        <w:t>%，公益保障类上缴国有资本利润比例为15</w:t>
      </w:r>
      <w:r>
        <w:rPr>
          <w:rFonts w:hint="eastAsia" w:ascii="仿宋_GB2312" w:hAnsi="仿宋_GB2312" w:eastAsia="仿宋_GB2312" w:cs="仿宋_GB2312"/>
          <w:kern w:val="0"/>
          <w:sz w:val="32"/>
          <w:szCs w:val="32"/>
        </w:rPr>
        <w:t>.0</w:t>
      </w:r>
      <w:r>
        <w:rPr>
          <w:rFonts w:ascii="仿宋_GB2312" w:hAnsi="仿宋_GB2312" w:eastAsia="仿宋_GB2312" w:cs="仿宋_GB2312"/>
          <w:kern w:val="0"/>
          <w:sz w:val="32"/>
          <w:szCs w:val="32"/>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黑体" w:eastAsia="黑体" w:cs="黑体"/>
          <w:sz w:val="32"/>
          <w:szCs w:val="32"/>
        </w:rPr>
      </w:pPr>
      <w:r>
        <w:rPr>
          <w:rFonts w:ascii="黑体" w:eastAsia="黑体" w:cs="黑体"/>
          <w:sz w:val="32"/>
          <w:szCs w:val="32"/>
        </w:rPr>
        <w:t>二、</w:t>
      </w:r>
      <w:r>
        <w:rPr>
          <w:rFonts w:hint="eastAsia" w:ascii="黑体" w:eastAsia="黑体" w:cs="黑体"/>
          <w:sz w:val="32"/>
          <w:szCs w:val="32"/>
        </w:rPr>
        <w:t>202</w:t>
      </w:r>
      <w:r>
        <w:rPr>
          <w:rFonts w:hint="eastAsia" w:ascii="黑体" w:eastAsia="黑体" w:cs="黑体"/>
          <w:sz w:val="32"/>
          <w:szCs w:val="32"/>
          <w:lang w:val="en-US" w:eastAsia="zh-CN"/>
        </w:rPr>
        <w:t>6</w:t>
      </w:r>
      <w:r>
        <w:rPr>
          <w:rFonts w:ascii="黑体" w:eastAsia="黑体" w:cs="黑体"/>
          <w:sz w:val="32"/>
          <w:szCs w:val="32"/>
        </w:rPr>
        <w:t>年国有资本经营预算收入预算</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按照《中华人民共和国公司法》等相关规定，根据局属企业2025年度利润实现情况测算，预计2026年可组织国有资本经营预算收入0.78亿元。</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rFonts w:ascii="黑体" w:eastAsia="黑体" w:cs="黑体"/>
          <w:sz w:val="32"/>
          <w:szCs w:val="32"/>
        </w:rPr>
      </w:pPr>
      <w:r>
        <w:rPr>
          <w:rFonts w:ascii="黑体" w:eastAsia="黑体" w:cs="黑体"/>
          <w:sz w:val="32"/>
          <w:szCs w:val="32"/>
        </w:rPr>
        <w:t>三、2026年国有资本经营预算支出预算</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textAlignment w:val="auto"/>
        <w:rPr>
          <w:sz w:val="32"/>
          <w:szCs w:val="32"/>
        </w:rPr>
      </w:pPr>
      <w:r>
        <w:rPr>
          <w:rFonts w:hint="eastAsia" w:ascii="仿宋_GB2312" w:hAnsi="仿宋_GB2312" w:eastAsia="仿宋_GB2312" w:cs="仿宋_GB2312"/>
          <w:kern w:val="0"/>
          <w:sz w:val="32"/>
          <w:szCs w:val="32"/>
          <w:lang w:val="en-US" w:eastAsia="zh-CN"/>
        </w:rPr>
        <w:t>按照</w:t>
      </w:r>
      <w:r>
        <w:rPr>
          <w:rFonts w:ascii="仿宋_GB2312" w:hAnsi="仿宋_GB2312" w:eastAsia="仿宋_GB2312" w:cs="仿宋_GB2312"/>
          <w:kern w:val="0"/>
          <w:sz w:val="32"/>
          <w:szCs w:val="32"/>
        </w:rPr>
        <w:t>收支平衡</w:t>
      </w:r>
      <w:r>
        <w:rPr>
          <w:rFonts w:hint="eastAsia" w:ascii="仿宋_GB2312" w:hAnsi="仿宋_GB2312" w:eastAsia="仿宋_GB2312" w:cs="仿宋_GB2312"/>
          <w:kern w:val="0"/>
          <w:sz w:val="32"/>
          <w:szCs w:val="32"/>
          <w:lang w:eastAsia="zh-CN"/>
        </w:rPr>
        <w:t>的</w:t>
      </w:r>
      <w:r>
        <w:rPr>
          <w:rFonts w:ascii="仿宋_GB2312" w:hAnsi="仿宋_GB2312" w:eastAsia="仿宋_GB2312" w:cs="仿宋_GB2312"/>
          <w:kern w:val="0"/>
          <w:sz w:val="32"/>
          <w:szCs w:val="32"/>
        </w:rPr>
        <w:t>原则，</w:t>
      </w:r>
      <w:r>
        <w:rPr>
          <w:rFonts w:hint="eastAsia" w:ascii="仿宋_GB2312" w:hAnsi="仿宋_GB2312" w:eastAsia="仿宋_GB2312" w:cs="仿宋_GB2312"/>
          <w:kern w:val="0"/>
          <w:sz w:val="32"/>
          <w:szCs w:val="32"/>
          <w:lang w:val="en-US" w:eastAsia="zh-CN"/>
        </w:rPr>
        <w:t>安排</w:t>
      </w:r>
      <w:r>
        <w:rPr>
          <w:rFonts w:ascii="仿宋_GB2312" w:hAnsi="仿宋_GB2312" w:eastAsia="仿宋_GB2312" w:cs="仿宋_GB2312"/>
          <w:kern w:val="0"/>
          <w:sz w:val="32"/>
          <w:szCs w:val="32"/>
        </w:rPr>
        <w:t>国有资本经营预算支出0.78亿元。主要包括</w:t>
      </w:r>
      <w:r>
        <w:rPr>
          <w:rFonts w:hint="eastAsia"/>
          <w:sz w:val="32"/>
          <w:szCs w:val="32"/>
        </w:rPr>
        <w:t>：</w:t>
      </w:r>
    </w:p>
    <w:p>
      <w:pPr>
        <w:pStyle w:val="11"/>
        <w:keepNext w:val="0"/>
        <w:keepLines w:val="0"/>
        <w:pageBreakBefore w:val="0"/>
        <w:widowControl w:val="0"/>
        <w:kinsoku/>
        <w:wordWrap/>
        <w:overflowPunct w:val="0"/>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（一）国有资本经营预算支出0.18亿元。</w:t>
      </w:r>
      <w:r>
        <w:rPr>
          <w:rFonts w:hint="eastAsia" w:ascii="仿宋_GB2312" w:hAnsi="仿宋_GB2312" w:eastAsia="仿宋_GB2312" w:cs="仿宋_GB2312"/>
          <w:kern w:val="0"/>
          <w:sz w:val="32"/>
          <w:szCs w:val="32"/>
        </w:rPr>
        <w:t>为落实《前海方案》《前海规划》，加快国有资本运营公司改革试点，提升国有资本市场化、专业化运作能力，增强前海合作区国有经济竞争力，安排国有资本经营预算支出0.18亿元。包括：外派监管人员及其他相关人员薪酬0.16亿元；国资国企改革深化提升项目0.02亿元。</w:t>
      </w:r>
    </w:p>
    <w:p>
      <w:pPr>
        <w:pStyle w:val="11"/>
        <w:keepNext w:val="0"/>
        <w:keepLines w:val="0"/>
        <w:pageBreakBefore w:val="0"/>
        <w:widowControl w:val="0"/>
        <w:numPr>
          <w:ilvl w:val="255"/>
          <w:numId w:val="0"/>
        </w:numPr>
        <w:kinsoku/>
        <w:wordWrap/>
        <w:overflowPunct w:val="0"/>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（二）转移性支出0.60亿元。</w:t>
      </w:r>
      <w:r>
        <w:rPr>
          <w:rFonts w:hint="eastAsia" w:ascii="仿宋_GB2312" w:hAnsi="仿宋_GB2312" w:eastAsia="仿宋_GB2312" w:cs="仿宋_GB2312"/>
          <w:kern w:val="0"/>
          <w:sz w:val="32"/>
          <w:szCs w:val="32"/>
        </w:rPr>
        <w:t>助力打造优质均衡的公共服务体系，安排0.60亿元调出至一般公共预算统筹使用，调出比例76.9%，符合国有资本经营预算调入至一般公共预算的比例不低于30.0%的要求。</w:t>
      </w:r>
    </w:p>
    <w:p>
      <w:pPr>
        <w:pStyle w:val="11"/>
        <w:keepNext w:val="0"/>
        <w:keepLines w:val="0"/>
        <w:pageBreakBefore w:val="0"/>
        <w:widowControl w:val="0"/>
        <w:numPr>
          <w:ilvl w:val="255"/>
          <w:numId w:val="0"/>
        </w:numPr>
        <w:kinsoku/>
        <w:wordWrap/>
        <w:overflowPunct w:val="0"/>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kern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left="0" w:leftChars="0"/>
        <w:jc w:val="center"/>
        <w:textAlignment w:val="auto"/>
        <w:outlineLvl w:val="0"/>
        <w:rPr>
          <w:rFonts w:hint="eastAsia" w:ascii="黑体" w:hAnsi="黑体" w:eastAsia="黑体" w:cs="黑体"/>
          <w:bCs/>
          <w:spacing w:val="-6"/>
          <w:kern w:val="21"/>
          <w:sz w:val="32"/>
          <w:szCs w:val="32"/>
        </w:rPr>
      </w:pPr>
      <w:r>
        <w:rPr>
          <w:rFonts w:hint="eastAsia" w:ascii="黑体" w:hAnsi="黑体" w:eastAsia="黑体" w:cs="黑体"/>
          <w:bCs/>
          <w:spacing w:val="-6"/>
          <w:kern w:val="21"/>
          <w:sz w:val="32"/>
          <w:szCs w:val="32"/>
          <w:lang w:val="en-US" w:eastAsia="zh-CN" w:bidi="ar-SA"/>
        </w:rPr>
        <w:t xml:space="preserve">第五部分 </w:t>
      </w:r>
      <w:r>
        <w:rPr>
          <w:rFonts w:hint="eastAsia" w:ascii="黑体" w:hAnsi="黑体" w:eastAsia="黑体" w:cs="黑体"/>
          <w:bCs/>
          <w:spacing w:val="-6"/>
          <w:kern w:val="21"/>
          <w:sz w:val="32"/>
          <w:szCs w:val="32"/>
        </w:rPr>
        <w:t xml:space="preserve"> 说明事项</w:t>
      </w:r>
    </w:p>
    <w:p>
      <w:pPr>
        <w:keepNext w:val="0"/>
        <w:keepLines w:val="0"/>
        <w:pageBreakBefore w:val="0"/>
        <w:widowControl w:val="0"/>
        <w:numPr>
          <w:ilvl w:val="255"/>
          <w:numId w:val="0"/>
        </w:numPr>
        <w:kinsoku/>
        <w:wordWrap/>
        <w:overflowPunct w:val="0"/>
        <w:topLinePunct w:val="0"/>
        <w:autoSpaceDE/>
        <w:autoSpaceDN/>
        <w:bidi w:val="0"/>
        <w:adjustRightInd/>
        <w:snapToGrid/>
        <w:spacing w:line="570" w:lineRule="exact"/>
        <w:ind w:left="0" w:leftChars="0"/>
        <w:textAlignment w:val="auto"/>
        <w:outlineLvl w:val="0"/>
        <w:rPr>
          <w:rFonts w:hint="eastAsia" w:ascii="黑体" w:hAnsi="黑体" w:eastAsia="黑体" w:cs="黑体"/>
          <w:bCs/>
          <w:spacing w:val="-6"/>
          <w:kern w:val="21"/>
          <w:sz w:val="32"/>
          <w:szCs w:val="32"/>
        </w:rPr>
      </w:pP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一、财政管理体制情况</w:t>
      </w:r>
    </w:p>
    <w:p>
      <w:pPr>
        <w:pStyle w:val="11"/>
        <w:keepNext w:val="0"/>
        <w:keepLines w:val="0"/>
        <w:pageBreakBefore w:val="0"/>
        <w:widowControl w:val="0"/>
        <w:kinsoku/>
        <w:wordWrap/>
        <w:overflowPunct w:val="0"/>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经市委、市政府审议通过，《前海深港现代服务业合作区财政管理体制方案》</w:t>
      </w:r>
      <w:r>
        <w:rPr>
          <w:rFonts w:hint="eastAsia" w:ascii="仿宋_GB2312" w:hAnsi="仿宋_GB2312" w:eastAsia="仿宋_GB2312" w:cs="仿宋_GB2312"/>
          <w:kern w:val="0"/>
          <w:sz w:val="32"/>
          <w:szCs w:val="32"/>
        </w:rPr>
        <w:t>（以下简称《前海财政体制方案》）</w:t>
      </w:r>
      <w:r>
        <w:rPr>
          <w:rFonts w:ascii="仿宋_GB2312" w:hAnsi="仿宋_GB2312" w:eastAsia="仿宋_GB2312" w:cs="仿宋_GB2312"/>
          <w:kern w:val="0"/>
          <w:sz w:val="32"/>
          <w:szCs w:val="32"/>
        </w:rPr>
        <w:t>赋予前海合作区一级财政管理权限。通过统筹税收分成、国土收入返还、国有资本经营收入、设立专项发展资金、财政专项转移支付等方式，为前海合作区全面深化改革开放提供充足财力支持。按照财权与事权相统一的原则，前海合作区承担前海管理局运行支出，前海合作区内的</w:t>
      </w:r>
      <w:r>
        <w:rPr>
          <w:rFonts w:hint="eastAsia" w:ascii="仿宋_GB2312" w:hAnsi="仿宋_GB2312" w:eastAsia="仿宋_GB2312" w:cs="仿宋_GB2312"/>
          <w:kern w:val="0"/>
          <w:sz w:val="32"/>
          <w:szCs w:val="32"/>
        </w:rPr>
        <w:t>固定资产投资项目</w:t>
      </w:r>
      <w:r>
        <w:rPr>
          <w:rFonts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rPr>
        <w:t>土地整备支出</w:t>
      </w:r>
      <w:r>
        <w:rPr>
          <w:rFonts w:ascii="仿宋_GB2312" w:hAnsi="仿宋_GB2312" w:eastAsia="仿宋_GB2312" w:cs="仿宋_GB2312"/>
          <w:kern w:val="0"/>
          <w:sz w:val="32"/>
          <w:szCs w:val="32"/>
        </w:rPr>
        <w:t>、招商引资和产业发展等支出、债务偿还本金和利息支出、港人港企和重点人才的住房保障支出等。</w:t>
      </w:r>
      <w:r>
        <w:rPr>
          <w:rFonts w:hint="eastAsia" w:ascii="仿宋_GB2312" w:hAnsi="仿宋_GB2312" w:eastAsia="仿宋_GB2312" w:cs="仿宋_GB2312"/>
          <w:kern w:val="0"/>
          <w:sz w:val="32"/>
          <w:szCs w:val="32"/>
        </w:rPr>
        <w:t>《前海财政体制方案》有效期暂定到深圳市第六轮财政体制结束，到期后根据实际执行情况适时调整。</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二、财政转移支付安排情况</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default" w:ascii="仿宋_GB2312" w:hAnsi="仿宋_GB2312" w:eastAsia="仿宋_GB2312" w:cs="仿宋_GB2312"/>
          <w:kern w:val="0"/>
          <w:sz w:val="32"/>
          <w:szCs w:val="32"/>
          <w:lang w:val="en-US" w:eastAsia="zh-CN"/>
        </w:rPr>
      </w:pPr>
      <w:r>
        <w:rPr>
          <w:rFonts w:ascii="仿宋_GB2312" w:hAnsi="仿宋_GB2312" w:eastAsia="仿宋_GB2312" w:cs="仿宋_GB2312"/>
          <w:kern w:val="0"/>
          <w:sz w:val="32"/>
          <w:szCs w:val="32"/>
        </w:rPr>
        <w:t>2026年转移性收入</w:t>
      </w:r>
      <w:r>
        <w:rPr>
          <w:rFonts w:hint="eastAsia" w:ascii="仿宋_GB2312" w:hAnsi="仿宋_GB2312" w:eastAsia="仿宋_GB2312" w:cs="仿宋_GB2312"/>
          <w:kern w:val="0"/>
          <w:sz w:val="32"/>
          <w:szCs w:val="32"/>
          <w:lang w:val="en-US" w:eastAsia="zh-CN"/>
        </w:rPr>
        <w:t>47.00亿元，</w:t>
      </w:r>
      <w:r>
        <w:rPr>
          <w:rFonts w:ascii="仿宋_GB2312" w:hAnsi="仿宋_GB2312" w:eastAsia="仿宋_GB2312" w:cs="仿宋_GB2312"/>
          <w:kern w:val="0"/>
          <w:sz w:val="32"/>
          <w:szCs w:val="32"/>
        </w:rPr>
        <w:t>主要是：政府性基金转移支付收入4</w:t>
      </w:r>
      <w:r>
        <w:rPr>
          <w:rFonts w:hint="default" w:ascii="仿宋_GB2312" w:hAnsi="仿宋_GB2312" w:eastAsia="仿宋_GB2312" w:cs="仿宋_GB2312"/>
          <w:kern w:val="0"/>
          <w:sz w:val="32"/>
          <w:szCs w:val="32"/>
        </w:rPr>
        <w:t>5.31</w:t>
      </w:r>
      <w:r>
        <w:rPr>
          <w:rFonts w:ascii="仿宋_GB2312" w:hAnsi="仿宋_GB2312" w:eastAsia="仿宋_GB2312" w:cs="仿宋_GB2312"/>
          <w:kern w:val="0"/>
          <w:sz w:val="32"/>
          <w:szCs w:val="32"/>
        </w:rPr>
        <w:t>亿元，</w:t>
      </w:r>
      <w:r>
        <w:rPr>
          <w:rFonts w:hint="eastAsia" w:ascii="仿宋_GB2312" w:hAnsi="仿宋_GB2312" w:eastAsia="仿宋_GB2312" w:cs="仿宋_GB2312"/>
          <w:kern w:val="0"/>
          <w:sz w:val="32"/>
          <w:szCs w:val="32"/>
          <w:lang w:val="en-US" w:eastAsia="zh-CN"/>
        </w:rPr>
        <w:t>为</w:t>
      </w:r>
      <w:r>
        <w:rPr>
          <w:rFonts w:ascii="仿宋_GB2312" w:hAnsi="仿宋_GB2312" w:eastAsia="仿宋_GB2312" w:cs="仿宋_GB2312"/>
          <w:kern w:val="0"/>
          <w:sz w:val="32"/>
          <w:szCs w:val="32"/>
        </w:rPr>
        <w:t>国有土地使用权出让分成收入及结余收入</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上级财政部门下达提前批专项债券限额1.00亿元、超长期特别国债预算0.69亿元。</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前海合作区无向下级安排财政转移支付资金</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三、关于“三公”经费预算控制情况</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color w:val="000000"/>
          <w:sz w:val="32"/>
          <w:szCs w:val="32"/>
        </w:rPr>
      </w:pPr>
      <w:r>
        <w:rPr>
          <w:rFonts w:hint="eastAsia" w:ascii="仿宋_GB2312" w:hAnsi="仿宋_GB2312" w:eastAsia="仿宋_GB2312" w:cs="仿宋_GB2312"/>
          <w:kern w:val="0"/>
          <w:sz w:val="32"/>
          <w:szCs w:val="32"/>
        </w:rPr>
        <w:t>前海合作区2026年“三公”经费预算数为</w:t>
      </w:r>
      <w:r>
        <w:rPr>
          <w:rFonts w:hint="eastAsia" w:ascii="仿宋_GB2312" w:hAnsi="仿宋_GB2312" w:eastAsia="仿宋_GB2312" w:cs="仿宋_GB2312"/>
          <w:kern w:val="0"/>
          <w:sz w:val="32"/>
          <w:szCs w:val="32"/>
          <w:lang w:val="en-US" w:eastAsia="zh-CN"/>
        </w:rPr>
        <w:t>47</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万元，比2025年预算</w:t>
      </w:r>
      <w:r>
        <w:rPr>
          <w:rFonts w:hint="eastAsia" w:ascii="仿宋_GB2312" w:hAnsi="仿宋_GB2312" w:eastAsia="仿宋_GB2312" w:cs="仿宋_GB2312"/>
          <w:kern w:val="0"/>
          <w:sz w:val="32"/>
          <w:szCs w:val="32"/>
          <w:lang w:val="en-US" w:eastAsia="zh-CN"/>
        </w:rPr>
        <w:t>调整数</w:t>
      </w:r>
      <w:r>
        <w:rPr>
          <w:rFonts w:hint="eastAsia" w:ascii="仿宋_GB2312" w:hAnsi="仿宋_GB2312" w:eastAsia="仿宋_GB2312" w:cs="仿宋_GB2312"/>
          <w:kern w:val="0"/>
          <w:sz w:val="32"/>
          <w:szCs w:val="32"/>
        </w:rPr>
        <w:t>增加20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万元。其中：因公出国（境）费</w:t>
      </w:r>
      <w:r>
        <w:rPr>
          <w:rFonts w:hint="eastAsia" w:ascii="仿宋_GB2312" w:hAnsi="仿宋_GB2312" w:eastAsia="仿宋_GB2312" w:cs="仿宋_GB2312"/>
          <w:kern w:val="0"/>
          <w:sz w:val="32"/>
          <w:szCs w:val="32"/>
          <w:lang w:val="en-US" w:eastAsia="zh-CN"/>
        </w:rPr>
        <w:t>43</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万元，与2025年预算</w:t>
      </w:r>
      <w:r>
        <w:rPr>
          <w:rFonts w:hint="eastAsia" w:ascii="仿宋_GB2312" w:hAnsi="仿宋_GB2312" w:eastAsia="仿宋_GB2312" w:cs="仿宋_GB2312"/>
          <w:kern w:val="0"/>
          <w:sz w:val="32"/>
          <w:szCs w:val="32"/>
          <w:lang w:val="en-US" w:eastAsia="zh-CN"/>
        </w:rPr>
        <w:t>调整数</w:t>
      </w:r>
      <w:r>
        <w:rPr>
          <w:rFonts w:hint="eastAsia" w:ascii="仿宋_GB2312" w:hAnsi="仿宋_GB2312" w:eastAsia="仿宋_GB2312" w:cs="仿宋_GB2312"/>
          <w:kern w:val="0"/>
          <w:sz w:val="32"/>
          <w:szCs w:val="32"/>
        </w:rPr>
        <w:t>持平；公务接待费4.5</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万元，与2025年预算</w:t>
      </w:r>
      <w:r>
        <w:rPr>
          <w:rFonts w:hint="eastAsia" w:ascii="仿宋_GB2312" w:hAnsi="仿宋_GB2312" w:eastAsia="仿宋_GB2312" w:cs="仿宋_GB2312"/>
          <w:kern w:val="0"/>
          <w:sz w:val="32"/>
          <w:szCs w:val="32"/>
          <w:lang w:val="en-US" w:eastAsia="zh-CN"/>
        </w:rPr>
        <w:t>调整数</w:t>
      </w:r>
      <w:r>
        <w:rPr>
          <w:rFonts w:hint="eastAsia" w:ascii="仿宋_GB2312" w:hAnsi="仿宋_GB2312" w:eastAsia="仿宋_GB2312" w:cs="仿宋_GB2312"/>
          <w:kern w:val="0"/>
          <w:sz w:val="32"/>
          <w:szCs w:val="32"/>
        </w:rPr>
        <w:t>持平；公务用车购置及运行维护费37.5</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万元，比2025年预算</w:t>
      </w:r>
      <w:r>
        <w:rPr>
          <w:rFonts w:hint="eastAsia" w:ascii="仿宋_GB2312" w:hAnsi="仿宋_GB2312" w:eastAsia="仿宋_GB2312" w:cs="仿宋_GB2312"/>
          <w:kern w:val="0"/>
          <w:sz w:val="32"/>
          <w:szCs w:val="32"/>
          <w:lang w:val="en-US" w:eastAsia="zh-CN"/>
        </w:rPr>
        <w:t>调整数</w:t>
      </w:r>
      <w:r>
        <w:rPr>
          <w:rFonts w:hint="eastAsia" w:ascii="仿宋_GB2312" w:hAnsi="仿宋_GB2312" w:eastAsia="仿宋_GB2312" w:cs="仿宋_GB2312"/>
          <w:kern w:val="0"/>
          <w:sz w:val="32"/>
          <w:szCs w:val="32"/>
        </w:rPr>
        <w:t>增加20</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万元，主要原因是本单位1辆公务用车达到报废年限，拟在2026年按标准更新，且本单位2025年未安排经费</w:t>
      </w:r>
      <w:r>
        <w:rPr>
          <w:rFonts w:hint="eastAsia" w:ascii="仿宋_GB2312" w:hAnsi="仿宋_GB2312" w:eastAsia="仿宋_GB2312" w:cs="仿宋_GB2312"/>
          <w:kern w:val="0"/>
          <w:sz w:val="32"/>
          <w:szCs w:val="32"/>
          <w:lang w:val="en-US" w:eastAsia="zh-CN"/>
        </w:rPr>
        <w:t>用</w:t>
      </w:r>
      <w:r>
        <w:rPr>
          <w:rFonts w:hint="eastAsia" w:ascii="仿宋_GB2312" w:hAnsi="仿宋_GB2312" w:eastAsia="仿宋_GB2312" w:cs="仿宋_GB2312"/>
          <w:kern w:val="0"/>
          <w:sz w:val="32"/>
          <w:szCs w:val="32"/>
        </w:rPr>
        <w:t>于公务用车购置。</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color w:val="000000"/>
          <w:sz w:val="32"/>
          <w:szCs w:val="32"/>
        </w:rPr>
        <w:t>四、</w:t>
      </w:r>
      <w:r>
        <w:rPr>
          <w:rFonts w:hint="eastAsia" w:ascii="黑体" w:hAnsi="黑体" w:eastAsia="黑体"/>
          <w:sz w:val="32"/>
          <w:szCs w:val="32"/>
        </w:rPr>
        <w:t>关于社会保险基金预算的说明</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社会保险基金预算由市财政局统一编制，前海合作区按规定</w:t>
      </w:r>
      <w:r>
        <w:rPr>
          <w:rFonts w:hint="eastAsia" w:ascii="仿宋_GB2312" w:hAnsi="仿宋_GB2312" w:eastAsia="仿宋_GB2312" w:cs="仿宋_GB2312"/>
          <w:kern w:val="0"/>
          <w:sz w:val="32"/>
          <w:szCs w:val="32"/>
          <w:lang w:val="en-US" w:eastAsia="zh-CN"/>
        </w:rPr>
        <w:t>无需</w:t>
      </w:r>
      <w:r>
        <w:rPr>
          <w:rFonts w:hint="eastAsia" w:ascii="仿宋_GB2312" w:hAnsi="仿宋_GB2312" w:eastAsia="仿宋_GB2312" w:cs="仿宋_GB2312"/>
          <w:kern w:val="0"/>
          <w:sz w:val="32"/>
          <w:szCs w:val="32"/>
        </w:rPr>
        <w:t>另行编制社会保险基金预算。</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五、关于举借债务情况的说明</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前海合作区2020年首次发行地方政府专项债券，2020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2025年累计发行34.71亿元，其中投向产业园区基础设施领域26.71亿元，政府投资基金领域8</w:t>
      </w:r>
      <w:r>
        <w:rPr>
          <w:rFonts w:hint="eastAsia" w:ascii="仿宋_GB2312" w:hAnsi="仿宋_GB2312" w:eastAsia="仿宋_GB2312" w:cs="仿宋_GB2312"/>
          <w:kern w:val="0"/>
          <w:sz w:val="32"/>
          <w:szCs w:val="32"/>
          <w:lang w:val="en-US" w:eastAsia="zh-CN"/>
        </w:rPr>
        <w:t>.00</w:t>
      </w:r>
      <w:r>
        <w:rPr>
          <w:rFonts w:ascii="仿宋_GB2312" w:hAnsi="仿宋_GB2312" w:eastAsia="仿宋_GB2312" w:cs="仿宋_GB2312"/>
          <w:kern w:val="0"/>
          <w:sz w:val="32"/>
          <w:szCs w:val="32"/>
        </w:rPr>
        <w:t>亿元。截至2025年底，专项债券本金余额为31.67亿元。后续根据实际下达情况据实安排。</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六、预算绩效工作开展情况说明</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强化全周期绩效管理</w:t>
      </w:r>
      <w:r>
        <w:rPr>
          <w:rFonts w:hint="eastAsia" w:ascii="仿宋_GB2312" w:hAnsi="仿宋_GB2312" w:eastAsia="仿宋_GB2312" w:cs="仿宋_GB2312"/>
          <w:kern w:val="0"/>
          <w:sz w:val="32"/>
          <w:szCs w:val="32"/>
          <w:lang w:eastAsia="zh-CN"/>
        </w:rPr>
        <w:t>，提升财政资源配置的科学性和有效性</w:t>
      </w:r>
      <w:r>
        <w:rPr>
          <w:rFonts w:hint="eastAsia" w:ascii="仿宋_GB2312" w:hAnsi="仿宋_GB2312" w:eastAsia="仿宋_GB2312" w:cs="仿宋_GB2312"/>
          <w:kern w:val="0"/>
          <w:sz w:val="32"/>
          <w:szCs w:val="32"/>
        </w:rPr>
        <w:t>。一是开展绩效目标编报工作，将绩效目标作为预算安排的前置条件，未设置或审核未通过的项目不安排预算，所有项目支出均纳入项目绩效目标管理。二是开展绩效运行监控工作，要求项目单位对偏离绩效目标、预期无效目标和预算执行进度较差项目及时整改。三是开展绩效自评工作，实现绩效自评全覆盖。四是开展重点项目绩效评价工作。完善结果应用机制，做到“花钱必问效、无效必问责”。</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七、其他事项说明</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为保障正常开展工作，根据《中华人民共和国预算法》第五十四条规定，预算年度开始后，预算草案在人民代表大会批准前，可以安排下列支出：</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（一）上一年度结转的支出；</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（二）参照上一年同期的预算支出数额安排必须支付的本年度部门基本支出、项目支出；</w:t>
      </w:r>
    </w:p>
    <w:p>
      <w:pPr>
        <w:keepNext w:val="0"/>
        <w:keepLines w:val="0"/>
        <w:pageBreakBefore w:val="0"/>
        <w:widowControl w:val="0"/>
        <w:kinsoku/>
        <w:wordWrap/>
        <w:overflowPunct w:val="0"/>
        <w:topLinePunct w:val="0"/>
        <w:autoSpaceDE/>
        <w:autoSpaceDN/>
        <w:bidi w:val="0"/>
        <w:adjustRightInd/>
        <w:snapToGrid/>
        <w:spacing w:line="570" w:lineRule="exact"/>
        <w:ind w:left="0" w:leftChars="0" w:firstLine="640" w:firstLineChars="200"/>
        <w:jc w:val="both"/>
        <w:textAlignment w:val="auto"/>
        <w:outlineLvl w:val="1"/>
        <w:rPr>
          <w:sz w:val="32"/>
          <w:szCs w:val="32"/>
        </w:rPr>
      </w:pPr>
      <w:r>
        <w:rPr>
          <w:rFonts w:ascii="仿宋_GB2312" w:hAnsi="仿宋_GB2312" w:eastAsia="仿宋_GB2312" w:cs="仿宋_GB2312"/>
          <w:kern w:val="0"/>
          <w:sz w:val="32"/>
          <w:szCs w:val="32"/>
        </w:rPr>
        <w:t>（三）法律规定必须履行支付义务的支出，以及用于自然灾害等突发事件处理的支出。</w:t>
      </w:r>
    </w:p>
    <w:sectPr>
      <w:headerReference r:id="rId4" w:type="first"/>
      <w:footerReference r:id="rId5" w:type="default"/>
      <w:head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6"/>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1" o:spid="_x0000_s4101"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廖常清20260121" style="font-family:&amp;quot;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0" o:spid="_x0000_s4100"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廖常清20260121"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WUxYzRiMTZkZjcwOGQ2YWEzMWViODk3ZmE0ODAifQ=="/>
  </w:docVars>
  <w:rsids>
    <w:rsidRoot w:val="00000000"/>
    <w:rsid w:val="05B97088"/>
    <w:rsid w:val="0B5D7672"/>
    <w:rsid w:val="0CF76CE9"/>
    <w:rsid w:val="0D991D81"/>
    <w:rsid w:val="22394274"/>
    <w:rsid w:val="26DEC8FC"/>
    <w:rsid w:val="37FD6F59"/>
    <w:rsid w:val="4026189B"/>
    <w:rsid w:val="48941357"/>
    <w:rsid w:val="4BFD0A06"/>
    <w:rsid w:val="4D4CD366"/>
    <w:rsid w:val="57910DA6"/>
    <w:rsid w:val="5EFD7036"/>
    <w:rsid w:val="5FFED896"/>
    <w:rsid w:val="6577CF40"/>
    <w:rsid w:val="6EFFE25D"/>
    <w:rsid w:val="71244644"/>
    <w:rsid w:val="7CD9D4E1"/>
    <w:rsid w:val="7D7FF9FC"/>
    <w:rsid w:val="7F6D691D"/>
    <w:rsid w:val="7FDFBFFF"/>
    <w:rsid w:val="7FE76FCC"/>
    <w:rsid w:val="89FBEB69"/>
    <w:rsid w:val="9F79B3AD"/>
    <w:rsid w:val="A7FF15C3"/>
    <w:rsid w:val="BDEE6D25"/>
    <w:rsid w:val="C3CDEF16"/>
    <w:rsid w:val="C7E65E99"/>
    <w:rsid w:val="D7FDCCCB"/>
    <w:rsid w:val="EBFE3110"/>
    <w:rsid w:val="EF5B43AC"/>
    <w:rsid w:val="EF8A65F5"/>
    <w:rsid w:val="EFB7D688"/>
    <w:rsid w:val="F3CF4F89"/>
    <w:rsid w:val="F91F3AF3"/>
    <w:rsid w:val="FDA9F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28"/>
    <w:qFormat/>
    <w:uiPriority w:val="0"/>
    <w:pPr>
      <w:jc w:val="left"/>
    </w:pPr>
  </w:style>
  <w:style w:type="paragraph" w:styleId="4">
    <w:name w:val="Body Text"/>
    <w:basedOn w:val="1"/>
    <w:next w:val="5"/>
    <w:link w:val="17"/>
    <w:qFormat/>
    <w:uiPriority w:val="0"/>
    <w:pPr>
      <w:spacing w:before="140"/>
      <w:ind w:left="100"/>
    </w:pPr>
    <w:rPr>
      <w:rFonts w:ascii="仿宋_GB2312" w:hAnsi="仿宋_GB2312" w:eastAsia="仿宋_GB2312"/>
      <w:sz w:val="32"/>
      <w:szCs w:val="32"/>
    </w:rPr>
  </w:style>
  <w:style w:type="paragraph" w:styleId="5">
    <w:name w:val="Title"/>
    <w:basedOn w:val="1"/>
    <w:next w:val="1"/>
    <w:qFormat/>
    <w:uiPriority w:val="0"/>
    <w:pPr>
      <w:spacing w:before="240" w:after="60"/>
      <w:jc w:val="center"/>
      <w:outlineLvl w:val="0"/>
    </w:pPr>
    <w:rPr>
      <w:rFonts w:ascii="Calibri Light" w:hAnsi="Calibri Light" w:cs="宋体"/>
      <w:b/>
      <w:bCs/>
      <w:szCs w:val="32"/>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qFormat/>
    <w:uiPriority w:val="0"/>
    <w:pPr>
      <w:widowControl w:val="0"/>
      <w:spacing w:before="240"/>
      <w:jc w:val="both"/>
    </w:pPr>
    <w:rPr>
      <w:rFonts w:ascii="Times New Roman" w:hAnsi="Times New Roman" w:eastAsia="宋体" w:cs="Times New Roman"/>
      <w:color w:val="FF0000"/>
      <w:sz w:val="32"/>
      <w:szCs w:val="22"/>
      <w:lang w:val="en-US" w:eastAsia="zh-CN" w:bidi="ar-SA"/>
    </w:rPr>
  </w:style>
  <w:style w:type="paragraph" w:styleId="9">
    <w:name w:val="Normal (Web)"/>
    <w:basedOn w:val="1"/>
    <w:qFormat/>
    <w:uiPriority w:val="0"/>
    <w:pPr>
      <w:spacing w:line="560" w:lineRule="exact"/>
      <w:jc w:val="left"/>
    </w:pPr>
    <w:rPr>
      <w:kern w:val="0"/>
      <w:sz w:val="24"/>
    </w:rPr>
  </w:style>
  <w:style w:type="paragraph" w:styleId="10">
    <w:name w:val="annotation subject"/>
    <w:basedOn w:val="3"/>
    <w:next w:val="3"/>
    <w:link w:val="29"/>
    <w:qFormat/>
    <w:uiPriority w:val="0"/>
    <w:rPr>
      <w:b/>
      <w:bCs/>
    </w:rPr>
  </w:style>
  <w:style w:type="paragraph" w:styleId="11">
    <w:name w:val="Body Text First Indent"/>
    <w:basedOn w:val="4"/>
    <w:link w:val="18"/>
    <w:qFormat/>
    <w:uiPriority w:val="0"/>
    <w:pPr>
      <w:spacing w:before="0" w:after="120"/>
      <w:ind w:left="0" w:firstLine="420" w:firstLineChars="100"/>
    </w:pPr>
    <w:rPr>
      <w:rFonts w:ascii="Calibri" w:hAnsi="Calibri" w:eastAsia="宋体"/>
      <w:sz w:val="21"/>
      <w:szCs w:val="24"/>
    </w:rPr>
  </w:style>
  <w:style w:type="character" w:styleId="14">
    <w:name w:val="annotation reference"/>
    <w:basedOn w:val="13"/>
    <w:qFormat/>
    <w:uiPriority w:val="0"/>
    <w:rPr>
      <w:sz w:val="21"/>
      <w:szCs w:val="21"/>
    </w:rPr>
  </w:style>
  <w:style w:type="character" w:customStyle="1" w:styleId="15">
    <w:name w:val="页眉 字符"/>
    <w:basedOn w:val="13"/>
    <w:link w:val="7"/>
    <w:qFormat/>
    <w:uiPriority w:val="0"/>
    <w:rPr>
      <w:rFonts w:ascii="Calibri" w:hAnsi="Calibri" w:eastAsia="宋体" w:cs="Times New Roman"/>
      <w:kern w:val="2"/>
      <w:sz w:val="18"/>
      <w:szCs w:val="18"/>
    </w:rPr>
  </w:style>
  <w:style w:type="character" w:customStyle="1" w:styleId="16">
    <w:name w:val="页脚 字符"/>
    <w:basedOn w:val="13"/>
    <w:link w:val="6"/>
    <w:qFormat/>
    <w:uiPriority w:val="0"/>
    <w:rPr>
      <w:rFonts w:ascii="Calibri" w:hAnsi="Calibri" w:eastAsia="宋体" w:cs="Times New Roman"/>
      <w:kern w:val="2"/>
      <w:sz w:val="18"/>
      <w:szCs w:val="18"/>
    </w:rPr>
  </w:style>
  <w:style w:type="character" w:customStyle="1" w:styleId="17">
    <w:name w:val="正文文本 字符"/>
    <w:basedOn w:val="13"/>
    <w:link w:val="4"/>
    <w:qFormat/>
    <w:uiPriority w:val="0"/>
    <w:rPr>
      <w:rFonts w:ascii="仿宋_GB2312" w:hAnsi="仿宋_GB2312" w:eastAsia="仿宋_GB2312" w:cs="Times New Roman"/>
      <w:kern w:val="2"/>
      <w:sz w:val="32"/>
      <w:szCs w:val="32"/>
    </w:rPr>
  </w:style>
  <w:style w:type="character" w:customStyle="1" w:styleId="18">
    <w:name w:val="正文文本首行缩进 字符"/>
    <w:basedOn w:val="17"/>
    <w:link w:val="11"/>
    <w:qFormat/>
    <w:uiPriority w:val="0"/>
    <w:rPr>
      <w:rFonts w:ascii="仿宋_GB2312" w:hAnsi="仿宋_GB2312" w:eastAsia="仿宋_GB2312" w:cs="Times New Roman"/>
      <w:kern w:val="2"/>
      <w:sz w:val="32"/>
      <w:szCs w:val="32"/>
    </w:rPr>
  </w:style>
  <w:style w:type="paragraph" w:customStyle="1" w:styleId="19">
    <w:name w:val="2级标题"/>
    <w:basedOn w:val="20"/>
    <w:next w:val="20"/>
    <w:qFormat/>
    <w:uiPriority w:val="0"/>
    <w:pPr>
      <w:outlineLvl w:val="1"/>
    </w:pPr>
    <w:rPr>
      <w:rFonts w:ascii="楷体_GB2312" w:hAnsi="楷体" w:eastAsia="楷体_GB2312"/>
      <w:bCs/>
    </w:rPr>
  </w:style>
  <w:style w:type="paragraph" w:customStyle="1" w:styleId="20">
    <w:name w:val="9前海 正文"/>
    <w:basedOn w:val="21"/>
    <w:qFormat/>
    <w:uiPriority w:val="0"/>
    <w:pPr>
      <w:ind w:firstLine="640"/>
    </w:pPr>
    <w:rPr>
      <w:rFonts w:ascii="仿宋_GB2312" w:eastAsia="仿宋_GB2312"/>
    </w:rPr>
  </w:style>
  <w:style w:type="paragraph" w:customStyle="1" w:styleId="2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22">
    <w:name w:val="3级标题"/>
    <w:basedOn w:val="20"/>
    <w:next w:val="20"/>
    <w:qFormat/>
    <w:uiPriority w:val="0"/>
    <w:pPr>
      <w:outlineLvl w:val="2"/>
    </w:pPr>
    <w:rPr>
      <w:bCs/>
    </w:rPr>
  </w:style>
  <w:style w:type="paragraph" w:styleId="23">
    <w:name w:val="List Paragraph"/>
    <w:basedOn w:val="1"/>
    <w:qFormat/>
    <w:uiPriority w:val="99"/>
    <w:pPr>
      <w:ind w:firstLine="420" w:firstLineChars="200"/>
    </w:pPr>
  </w:style>
  <w:style w:type="paragraph" w:customStyle="1" w:styleId="24">
    <w:name w:val="修订1"/>
    <w:qFormat/>
    <w:uiPriority w:val="99"/>
    <w:rPr>
      <w:rFonts w:ascii="Calibri" w:hAnsi="Calibri" w:eastAsia="宋体" w:cs="Times New Roman"/>
      <w:kern w:val="2"/>
      <w:sz w:val="21"/>
      <w:szCs w:val="24"/>
      <w:lang w:val="en-US" w:eastAsia="zh-CN" w:bidi="ar-SA"/>
    </w:rPr>
  </w:style>
  <w:style w:type="paragraph" w:customStyle="1" w:styleId="25">
    <w:name w:val="修订2"/>
    <w:qFormat/>
    <w:uiPriority w:val="99"/>
    <w:rPr>
      <w:rFonts w:ascii="Calibri" w:hAnsi="Calibri" w:eastAsia="宋体" w:cs="Times New Roman"/>
      <w:kern w:val="2"/>
      <w:sz w:val="21"/>
      <w:szCs w:val="24"/>
      <w:lang w:val="en-US" w:eastAsia="zh-CN" w:bidi="ar-SA"/>
    </w:rPr>
  </w:style>
  <w:style w:type="paragraph" w:customStyle="1" w:styleId="26">
    <w:name w:val="修订3"/>
    <w:qFormat/>
    <w:uiPriority w:val="99"/>
    <w:rPr>
      <w:rFonts w:ascii="Calibri" w:hAnsi="Calibri" w:eastAsia="宋体" w:cs="Times New Roman"/>
      <w:kern w:val="2"/>
      <w:sz w:val="21"/>
      <w:szCs w:val="24"/>
      <w:lang w:val="en-US" w:eastAsia="zh-CN" w:bidi="ar-SA"/>
    </w:rPr>
  </w:style>
  <w:style w:type="paragraph" w:customStyle="1" w:styleId="27">
    <w:name w:val="修订4"/>
    <w:qFormat/>
    <w:uiPriority w:val="99"/>
    <w:rPr>
      <w:rFonts w:ascii="Calibri" w:hAnsi="Calibri" w:eastAsia="宋体" w:cs="Times New Roman"/>
      <w:kern w:val="2"/>
      <w:sz w:val="21"/>
      <w:szCs w:val="24"/>
      <w:lang w:val="en-US" w:eastAsia="zh-CN" w:bidi="ar-SA"/>
    </w:rPr>
  </w:style>
  <w:style w:type="character" w:customStyle="1" w:styleId="28">
    <w:name w:val="批注文字 字符"/>
    <w:basedOn w:val="13"/>
    <w:link w:val="3"/>
    <w:qFormat/>
    <w:uiPriority w:val="0"/>
    <w:rPr>
      <w:rFonts w:ascii="Calibri" w:hAnsi="Calibri"/>
      <w:kern w:val="2"/>
      <w:sz w:val="21"/>
      <w:szCs w:val="24"/>
    </w:rPr>
  </w:style>
  <w:style w:type="character" w:customStyle="1" w:styleId="29">
    <w:name w:val="批注主题 字符"/>
    <w:basedOn w:val="28"/>
    <w:link w:val="10"/>
    <w:qFormat/>
    <w:uiPriority w:val="0"/>
    <w:rPr>
      <w:rFonts w:ascii="Calibri" w:hAnsi="Calibri"/>
      <w:b/>
      <w:bCs/>
      <w:kern w:val="2"/>
      <w:sz w:val="21"/>
      <w:szCs w:val="24"/>
    </w:rPr>
  </w:style>
  <w:style w:type="paragraph" w:customStyle="1" w:styleId="30">
    <w:name w:val="修订5"/>
    <w:qFormat/>
    <w:uiPriority w:val="99"/>
    <w:rPr>
      <w:rFonts w:ascii="Calibri" w:hAnsi="Calibri" w:eastAsia="宋体" w:cs="Times New Roman"/>
      <w:kern w:val="2"/>
      <w:sz w:val="21"/>
      <w:szCs w:val="24"/>
      <w:lang w:val="en-US" w:eastAsia="zh-CN" w:bidi="ar-SA"/>
    </w:rPr>
  </w:style>
  <w:style w:type="paragraph" w:customStyle="1" w:styleId="31">
    <w:name w:val="Revision_63945afc-a883-4f1f-8af1-91da9d8c2409"/>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1"/>
    <customShpInfo spid="_x0000_s410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5060</Words>
  <Characters>5672</Characters>
  <Paragraphs>112</Paragraphs>
  <TotalTime>133</TotalTime>
  <ScaleCrop>false</ScaleCrop>
  <LinksUpToDate>false</LinksUpToDate>
  <CharactersWithSpaces>5682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2022-12-21T11:13:00Z</dcterms:created>
  <dc:creator>johnsonlongus</dc:creator>
  <cp:lastModifiedBy>林颂声</cp:lastModifiedBy>
  <cp:lastPrinted>2025-12-21T06:34:00Z</cp:lastPrinted>
  <dcterms:modified xsi:type="dcterms:W3CDTF">2026-02-28T15:19:29Z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CA8FF4E3AC968612131777690CEB3285</vt:lpwstr>
  </property>
  <property fmtid="{D5CDD505-2E9C-101B-9397-08002B2CF9AE}" pid="4" name="KSOTemplateDocerSaveRecord">
    <vt:lpwstr>eyJoZGlkIjoiZWI2ZWZmYWM1NmM4MTk0MzdkMmI3OGJhNWJiNTc3M2QiLCJ1c2VySWQiOiIxNjMyMDk2NzEwIn0=</vt:lpwstr>
  </property>
</Properties>
</file>