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color w:val="auto"/>
          <w:highlight w:val="none"/>
        </w:rPr>
      </w:pPr>
    </w:p>
    <w:p>
      <w:pPr>
        <w:rPr>
          <w:color w:val="auto"/>
          <w:highlight w:val="none"/>
        </w:rPr>
      </w:pPr>
    </w:p>
    <w:p>
      <w:pPr>
        <w:rPr>
          <w:color w:val="auto"/>
          <w:highlight w:val="none"/>
        </w:rPr>
      </w:pPr>
    </w:p>
    <w:p>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hint="eastAsia" w:ascii="宋体" w:hAnsi="宋体" w:cs="宋体"/>
          <w:color w:val="auto"/>
          <w:highlight w:val="none"/>
        </w:rPr>
      </w:pPr>
    </w:p>
    <w:p>
      <w:pPr>
        <w:rPr>
          <w:rFonts w:hint="eastAsia" w:ascii="宋体" w:hAnsi="宋体" w:cs="宋体"/>
          <w:color w:val="auto"/>
          <w:highlight w:val="none"/>
        </w:rPr>
      </w:pPr>
    </w:p>
    <w:p>
      <w:pPr>
        <w:pStyle w:val="34"/>
        <w:ind w:firstLine="420"/>
        <w:rPr>
          <w:rFonts w:hint="eastAsia" w:ascii="宋体" w:hAnsi="宋体" w:cs="宋体"/>
          <w:color w:val="auto"/>
          <w:highlight w:val="none"/>
        </w:rPr>
      </w:pPr>
    </w:p>
    <w:p>
      <w:pPr>
        <w:pStyle w:val="34"/>
        <w:ind w:firstLine="420"/>
        <w:rPr>
          <w:rFonts w:hint="eastAsia" w:ascii="宋体" w:hAnsi="宋体" w:cs="宋体"/>
          <w:color w:val="auto"/>
          <w:highlight w:val="none"/>
        </w:rPr>
      </w:pPr>
    </w:p>
    <w:p>
      <w:pPr>
        <w:rPr>
          <w:rFonts w:hint="eastAsia" w:ascii="宋体" w:hAnsi="宋体" w:cs="宋体"/>
          <w:b/>
          <w:color w:val="auto"/>
          <w:sz w:val="44"/>
          <w:highlight w:val="none"/>
        </w:rPr>
      </w:pPr>
    </w:p>
    <w:p>
      <w:pPr>
        <w:ind w:left="2326" w:leftChars="247" w:right="-319" w:rightChars="-152" w:hanging="1807" w:hangingChars="500"/>
        <w:rPr>
          <w:rFonts w:hint="eastAsia" w:ascii="宋体" w:hAnsi="宋体" w:cs="宋体"/>
          <w:b/>
          <w:color w:val="auto"/>
          <w:sz w:val="36"/>
          <w:szCs w:val="36"/>
          <w:highlight w:val="none"/>
        </w:rPr>
      </w:pPr>
      <w:r>
        <w:rPr>
          <w:rFonts w:hint="eastAsia" w:ascii="宋体" w:hAnsi="宋体" w:cs="宋体"/>
          <w:b/>
          <w:color w:val="auto"/>
          <w:sz w:val="36"/>
          <w:szCs w:val="36"/>
          <w:highlight w:val="none"/>
        </w:rPr>
        <w:t>招标编号：</w:t>
      </w:r>
      <w:r>
        <w:rPr>
          <w:rFonts w:ascii="宋体" w:hAnsi="宋体" w:cs="宋体"/>
          <w:b/>
          <w:color w:val="auto"/>
          <w:sz w:val="36"/>
          <w:szCs w:val="36"/>
          <w:highlight w:val="none"/>
        </w:rPr>
        <w:t>QH2025166</w:t>
      </w:r>
    </w:p>
    <w:p>
      <w:pPr>
        <w:pStyle w:val="34"/>
        <w:ind w:firstLine="420"/>
        <w:rPr>
          <w:rFonts w:hint="eastAsia" w:ascii="宋体" w:hAnsi="宋体" w:cs="宋体"/>
          <w:color w:val="auto"/>
          <w:highlight w:val="none"/>
        </w:rPr>
      </w:pPr>
    </w:p>
    <w:p>
      <w:pPr>
        <w:pStyle w:val="34"/>
        <w:ind w:firstLine="420"/>
        <w:rPr>
          <w:rFonts w:hint="eastAsia" w:ascii="宋体" w:hAnsi="宋体" w:cs="宋体"/>
          <w:color w:val="auto"/>
          <w:highlight w:val="none"/>
        </w:rPr>
      </w:pPr>
    </w:p>
    <w:p>
      <w:pPr>
        <w:pStyle w:val="34"/>
        <w:ind w:firstLine="420"/>
        <w:rPr>
          <w:rFonts w:hint="eastAsia" w:ascii="宋体" w:hAnsi="宋体" w:cs="宋体"/>
          <w:color w:val="auto"/>
          <w:highlight w:val="none"/>
        </w:rPr>
      </w:pPr>
    </w:p>
    <w:p>
      <w:pPr>
        <w:ind w:left="2326" w:leftChars="247" w:right="-319" w:rightChars="-152" w:hanging="1807" w:hangingChars="500"/>
        <w:rPr>
          <w:rFonts w:hint="eastAsia" w:ascii="宋体" w:hAnsi="宋体" w:cs="宋体"/>
          <w:b/>
          <w:color w:val="auto"/>
          <w:sz w:val="36"/>
          <w:szCs w:val="36"/>
          <w:highlight w:val="none"/>
        </w:rPr>
      </w:pPr>
      <w:r>
        <w:rPr>
          <w:rFonts w:hint="eastAsia" w:ascii="宋体" w:hAnsi="宋体" w:cs="宋体"/>
          <w:b/>
          <w:color w:val="auto"/>
          <w:sz w:val="36"/>
          <w:szCs w:val="36"/>
          <w:highlight w:val="none"/>
        </w:rPr>
        <w:t>招标项目：前海海洋经济统计及分析服务</w:t>
      </w:r>
    </w:p>
    <w:p>
      <w:pPr>
        <w:ind w:firstLine="3264" w:firstLineChars="739"/>
        <w:rPr>
          <w:rFonts w:hint="eastAsia" w:ascii="宋体" w:hAnsi="宋体" w:cs="宋体"/>
          <w:b/>
          <w:color w:val="auto"/>
          <w:sz w:val="44"/>
          <w:highlight w:val="none"/>
        </w:rPr>
      </w:pPr>
    </w:p>
    <w:p>
      <w:pPr>
        <w:ind w:left="1260" w:leftChars="600" w:firstLine="1855" w:firstLineChars="420"/>
        <w:rPr>
          <w:rFonts w:hint="eastAsia" w:ascii="宋体" w:hAnsi="宋体" w:cs="宋体"/>
          <w:b/>
          <w:color w:val="auto"/>
          <w:sz w:val="44"/>
          <w:highlight w:val="none"/>
        </w:rPr>
      </w:pPr>
    </w:p>
    <w:p>
      <w:pPr>
        <w:rPr>
          <w:rFonts w:hint="eastAsia" w:ascii="宋体" w:hAnsi="宋体" w:cs="宋体"/>
          <w:b/>
          <w:color w:val="auto"/>
          <w:sz w:val="44"/>
          <w:highlight w:val="none"/>
        </w:rPr>
      </w:pPr>
    </w:p>
    <w:p>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2025年12月</w:t>
      </w:r>
    </w:p>
    <w:p>
      <w:pPr>
        <w:autoSpaceDE w:val="0"/>
        <w:autoSpaceDN w:val="0"/>
        <w:adjustRightInd w:val="0"/>
        <w:spacing w:line="360" w:lineRule="auto"/>
        <w:jc w:val="center"/>
        <w:rPr>
          <w:rFonts w:hint="eastAsia" w:ascii="宋体" w:hAnsi="宋体" w:cs="仿宋_GB2312"/>
          <w:b/>
          <w:bCs/>
          <w:color w:val="auto"/>
          <w:kern w:val="0"/>
          <w:sz w:val="22"/>
          <w:szCs w:val="22"/>
          <w:highlight w:val="none"/>
        </w:rPr>
      </w:pPr>
      <w:bookmarkStart w:id="0" w:name="_Toc12932"/>
      <w:r>
        <w:rPr>
          <w:rFonts w:ascii="宋体" w:hAnsi="宋体"/>
          <w:b/>
          <w:bCs/>
          <w:color w:val="auto"/>
          <w:sz w:val="32"/>
          <w:szCs w:val="40"/>
          <w:highlight w:val="none"/>
          <w:u w:val="single"/>
        </w:rPr>
        <w:br w:type="page"/>
      </w:r>
    </w:p>
    <w:p>
      <w:pPr>
        <w:autoSpaceDE w:val="0"/>
        <w:autoSpaceDN w:val="0"/>
        <w:adjustRightInd w:val="0"/>
        <w:spacing w:line="360" w:lineRule="auto"/>
        <w:jc w:val="center"/>
        <w:rPr>
          <w:color w:val="auto"/>
          <w:highlight w:val="none"/>
        </w:rPr>
      </w:pPr>
      <w:r>
        <w:rPr>
          <w:rFonts w:hint="eastAsia" w:ascii="宋体" w:hAnsi="宋体" w:cs="宋体"/>
          <w:b/>
          <w:bCs/>
          <w:color w:val="auto"/>
          <w:kern w:val="0"/>
          <w:sz w:val="36"/>
          <w:szCs w:val="36"/>
          <w:highlight w:val="none"/>
        </w:rPr>
        <w:t>特别警示条款</w:t>
      </w:r>
    </w:p>
    <w:p>
      <w:pPr>
        <w:ind w:firstLine="420" w:firstLineChars="200"/>
        <w:rPr>
          <w:rFonts w:hint="eastAsia" w:ascii="宋体" w:hAnsi="宋体" w:cs="宋体"/>
          <w:color w:val="auto"/>
          <w:szCs w:val="21"/>
          <w:highlight w:val="none"/>
        </w:rPr>
      </w:pPr>
      <w:bookmarkStart w:id="1" w:name="OLE_LINK38"/>
      <w:r>
        <w:rPr>
          <w:rFonts w:hint="eastAsia" w:ascii="宋体" w:hAnsi="宋体" w:cs="宋体"/>
          <w:color w:val="auto"/>
          <w:szCs w:val="21"/>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482" w:type="pct"/>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与其他投标供应商的法定代表人、主要经营负责人、投标授权代表人、项目负责人、主要技术人员为</w:t>
            </w:r>
            <w:r>
              <w:rPr>
                <w:rFonts w:hint="eastAsia" w:ascii="宋体" w:hAnsi="宋体" w:cs="宋体"/>
                <w:b/>
                <w:bCs/>
                <w:color w:val="auto"/>
                <w:szCs w:val="21"/>
                <w:highlight w:val="none"/>
              </w:rPr>
              <w:t>同一人、属同一单位或者在同一单位缴纳社会保险</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参与本项目政府采购活动时，与其他投标供应商存在单位负责人为</w:t>
            </w:r>
            <w:r>
              <w:rPr>
                <w:rFonts w:hint="eastAsia" w:ascii="宋体" w:hAnsi="宋体" w:cs="宋体"/>
                <w:b/>
                <w:bCs/>
                <w:color w:val="auto"/>
                <w:szCs w:val="21"/>
                <w:highlight w:val="none"/>
              </w:rPr>
              <w:t>同一人或直接控股、管理关系</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与其他投标供应商的投标文件或部分投标文件</w:t>
            </w:r>
            <w:r>
              <w:rPr>
                <w:rFonts w:hint="eastAsia" w:ascii="宋体" w:hAnsi="宋体" w:cs="宋体"/>
                <w:b/>
                <w:bCs/>
                <w:color w:val="auto"/>
                <w:szCs w:val="21"/>
                <w:highlight w:val="none"/>
              </w:rPr>
              <w:t>相互混装或存在非正常一致</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与其他投标供应商的投标文件由</w:t>
            </w:r>
            <w:r>
              <w:rPr>
                <w:rFonts w:hint="eastAsia" w:ascii="宋体" w:hAnsi="宋体" w:cs="宋体"/>
                <w:b/>
                <w:bCs/>
                <w:color w:val="auto"/>
                <w:szCs w:val="21"/>
                <w:highlight w:val="none"/>
              </w:rPr>
              <w:t>同一单位或者同一人编制</w:t>
            </w:r>
            <w:r>
              <w:rPr>
                <w:rFonts w:hint="eastAsia" w:ascii="宋体" w:hAnsi="宋体" w:cs="宋体"/>
                <w:color w:val="auto"/>
                <w:szCs w:val="21"/>
                <w:highlight w:val="none"/>
              </w:rPr>
              <w:t>，或者使用</w:t>
            </w:r>
            <w:r>
              <w:rPr>
                <w:rFonts w:hint="eastAsia" w:ascii="宋体" w:hAnsi="宋体" w:cs="宋体"/>
                <w:b/>
                <w:bCs/>
                <w:color w:val="auto"/>
                <w:szCs w:val="21"/>
                <w:highlight w:val="none"/>
              </w:rPr>
              <w:t>同一设备编制</w:t>
            </w:r>
            <w:r>
              <w:rPr>
                <w:rFonts w:hint="eastAsia" w:ascii="宋体" w:hAnsi="宋体" w:cs="宋体"/>
                <w:color w:val="auto"/>
                <w:szCs w:val="21"/>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4482" w:type="pct"/>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b/>
                <w:bCs/>
                <w:color w:val="auto"/>
                <w:szCs w:val="21"/>
                <w:highlight w:val="none"/>
              </w:rPr>
              <w:t>未经出具机构核实</w:t>
            </w:r>
            <w:r>
              <w:rPr>
                <w:rFonts w:hint="eastAsia" w:ascii="宋体" w:hAnsi="宋体" w:cs="宋体"/>
                <w:color w:val="auto"/>
                <w:szCs w:val="21"/>
                <w:highlight w:val="none"/>
              </w:rPr>
              <w:t>的虚假的检验检测报告、业绩材料、社保缴纳证明、学历学位证书、职称认证证书等材料。</w:t>
            </w:r>
          </w:p>
        </w:tc>
      </w:tr>
      <w:bookmarkEnd w:id="1"/>
    </w:tbl>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360" w:lineRule="auto"/>
        <w:ind w:firstLine="482" w:firstLineChars="200"/>
        <w:jc w:val="left"/>
        <w:rPr>
          <w:rFonts w:hint="eastAsia" w:ascii="宋体" w:hAnsi="宋体" w:cs="宋体"/>
          <w:color w:val="auto"/>
          <w:sz w:val="24"/>
          <w:highlight w:val="none"/>
        </w:rPr>
      </w:pPr>
      <w:r>
        <w:rPr>
          <w:rStyle w:val="23"/>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fill="FFFFFF"/>
        <w:spacing w:before="0" w:beforeAutospacing="0" w:after="0" w:afterAutospacing="0" w:line="360" w:lineRule="auto"/>
        <w:ind w:firstLine="480" w:firstLineChars="200"/>
        <w:rPr>
          <w:rFonts w:hint="eastAsia"/>
          <w:color w:val="auto"/>
          <w:highlight w:val="none"/>
        </w:rPr>
      </w:pPr>
      <w:bookmarkStart w:id="2" w:name="_Toc2750"/>
      <w:r>
        <w:rPr>
          <w:rFonts w:hint="eastAsia"/>
          <w:color w:val="auto"/>
          <w:highlight w:val="none"/>
        </w:rPr>
        <w:t>（一）在采购活动中应当回避而未回避的；</w:t>
      </w:r>
      <w:bookmarkEnd w:id="2"/>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（二）未按照本条例规定签订、履行采购合同，造成严重后果的；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（三）隐瞒真实情况，提供虚假资料的；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（四）以非法手段排斥其他供应商参与竞争的；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（五）与其他采购参加人串通投标的；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（六）恶意投诉的；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（七）向采购项目相关人行贿或者提供其他不当利益的；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（八）阻碍、抗拒主管部门监督检查的；</w:t>
      </w:r>
    </w:p>
    <w:p>
      <w:pPr>
        <w:pStyle w:val="16"/>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highlight w:val="none"/>
        </w:rPr>
      </w:pPr>
      <w:bookmarkStart w:id="3" w:name="_Toc6281"/>
      <w:r>
        <w:rPr>
          <w:rFonts w:hint="eastAsia" w:ascii="宋体" w:hAnsi="宋体" w:cs="宋体"/>
          <w:color w:val="auto"/>
          <w:sz w:val="24"/>
          <w:highlight w:val="none"/>
        </w:rPr>
        <w:t>（一）投标供应商之间相互约定给予未中标的供应商利益补偿；</w:t>
      </w:r>
      <w:bookmarkEnd w:id="3"/>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highlight w:val="none"/>
        </w:rPr>
      </w:pPr>
      <w:bookmarkStart w:id="4" w:name="_Toc31089"/>
      <w:r>
        <w:rPr>
          <w:rFonts w:hint="eastAsia" w:ascii="宋体" w:hAnsi="宋体" w:cs="宋体"/>
          <w:color w:val="auto"/>
          <w:sz w:val="24"/>
          <w:highlight w:val="none"/>
        </w:rPr>
        <w:t>（七）主管部门依照法律、法规认定的其他情形。</w:t>
      </w:r>
      <w:bookmarkEnd w:id="4"/>
    </w:p>
    <w:p>
      <w:pPr>
        <w:keepLines/>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pStyle w:val="8"/>
        <w:tabs>
          <w:tab w:val="left" w:pos="562"/>
          <w:tab w:val="left" w:pos="3372"/>
          <w:tab w:val="left" w:pos="3653"/>
        </w:tabs>
        <w:spacing w:line="360" w:lineRule="auto"/>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360" w:lineRule="auto"/>
        <w:ind w:firstLine="482" w:firstLineChars="200"/>
        <w:jc w:val="left"/>
        <w:rPr>
          <w:rFonts w:hint="eastAsia" w:ascii="宋体" w:hAnsi="宋体" w:cs="宋体"/>
          <w:color w:val="auto"/>
          <w:sz w:val="24"/>
          <w:highlight w:val="none"/>
        </w:rPr>
      </w:pPr>
      <w:bookmarkStart w:id="5"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5"/>
    </w:p>
    <w:p>
      <w:pPr>
        <w:spacing w:line="360" w:lineRule="auto"/>
        <w:ind w:firstLine="480" w:firstLineChars="200"/>
        <w:jc w:val="left"/>
        <w:rPr>
          <w:rFonts w:hint="eastAsia" w:ascii="宋体" w:hAnsi="宋体" w:cs="宋体"/>
          <w:color w:val="auto"/>
          <w:sz w:val="24"/>
          <w:highlight w:val="none"/>
        </w:rPr>
      </w:pPr>
      <w:bookmarkStart w:id="6"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6"/>
    </w:p>
    <w:p>
      <w:pPr>
        <w:pStyle w:val="8"/>
        <w:tabs>
          <w:tab w:val="left" w:pos="562"/>
          <w:tab w:val="left" w:pos="3372"/>
          <w:tab w:val="left" w:pos="3653"/>
        </w:tabs>
        <w:spacing w:line="360" w:lineRule="auto"/>
        <w:rPr>
          <w:rFonts w:hint="eastAsia" w:ascii="宋体" w:hAnsi="宋体" w:cs="宋体"/>
          <w:color w:val="auto"/>
          <w:highlight w:val="none"/>
        </w:rPr>
      </w:pPr>
    </w:p>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pStyle w:val="8"/>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《关于在相关自由贸易试验区和自由贸易港开展推动解决政府采购异常低价问题试点工作的通知》</w:t>
      </w:r>
    </w:p>
    <w:p>
      <w:pPr>
        <w:pStyle w:val="8"/>
        <w:tabs>
          <w:tab w:val="left" w:pos="562"/>
          <w:tab w:val="left" w:pos="3372"/>
          <w:tab w:val="left" w:pos="3653"/>
        </w:tabs>
        <w:spacing w:after="0"/>
        <w:rPr>
          <w:rFonts w:hint="eastAsia" w:ascii="宋体" w:hAnsi="宋体" w:cs="宋体"/>
          <w:b/>
          <w:bCs/>
          <w:color w:val="auto"/>
          <w:highlight w:val="none"/>
        </w:rPr>
      </w:pPr>
      <w:r>
        <w:rPr>
          <w:rFonts w:hint="eastAsia" w:ascii="宋体" w:hAnsi="宋体" w:cs="宋体"/>
          <w:b/>
          <w:bCs/>
          <w:color w:val="auto"/>
          <w:highlight w:val="none"/>
        </w:rPr>
        <w:t>强化政府采购异常低价审查：</w:t>
      </w:r>
    </w:p>
    <w:p>
      <w:pPr>
        <w:pStyle w:val="8"/>
        <w:tabs>
          <w:tab w:val="left" w:pos="562"/>
          <w:tab w:val="left" w:pos="3372"/>
          <w:tab w:val="left" w:pos="3653"/>
        </w:tabs>
        <w:spacing w:after="0"/>
        <w:ind w:firstLine="480" w:firstLineChars="200"/>
        <w:rPr>
          <w:rFonts w:hint="eastAsia" w:ascii="宋体" w:hAnsi="宋体" w:cs="宋体"/>
          <w:color w:val="auto"/>
          <w:highlight w:val="none"/>
        </w:rPr>
      </w:pPr>
      <w:r>
        <w:rPr>
          <w:rFonts w:hint="eastAsia" w:ascii="宋体" w:hAnsi="宋体" w:cs="宋体"/>
          <w:color w:val="auto"/>
          <w:highlight w:val="none"/>
        </w:rPr>
        <w:t>试点地区采购人应当在采购文件中明确异常低价投标（响应）审查的有关内容，主要包括：</w:t>
      </w:r>
    </w:p>
    <w:p>
      <w:pPr>
        <w:pStyle w:val="8"/>
        <w:tabs>
          <w:tab w:val="left" w:pos="562"/>
          <w:tab w:val="left" w:pos="3372"/>
          <w:tab w:val="left" w:pos="3653"/>
        </w:tabs>
        <w:spacing w:after="0"/>
        <w:ind w:firstLine="480" w:firstLineChars="200"/>
        <w:rPr>
          <w:rFonts w:hint="eastAsia" w:ascii="宋体" w:hAnsi="宋体" w:cs="宋体"/>
          <w:color w:val="auto"/>
          <w:highlight w:val="none"/>
        </w:rPr>
      </w:pPr>
      <w:r>
        <w:rPr>
          <w:rFonts w:hint="eastAsia" w:ascii="宋体" w:hAnsi="宋体" w:cs="宋体"/>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8"/>
        <w:tabs>
          <w:tab w:val="left" w:pos="562"/>
          <w:tab w:val="left" w:pos="3372"/>
          <w:tab w:val="left" w:pos="3653"/>
        </w:tabs>
        <w:spacing w:after="0"/>
        <w:ind w:firstLine="480" w:firstLineChars="200"/>
        <w:rPr>
          <w:rFonts w:hint="eastAsia" w:ascii="宋体" w:hAnsi="宋体" w:cs="宋体"/>
          <w:color w:val="auto"/>
          <w:highlight w:val="none"/>
        </w:rPr>
      </w:pPr>
      <w:r>
        <w:rPr>
          <w:rFonts w:hint="eastAsia" w:ascii="宋体" w:hAnsi="宋体" w:cs="宋体"/>
          <w:color w:val="auto"/>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8"/>
        <w:tabs>
          <w:tab w:val="left" w:pos="562"/>
          <w:tab w:val="left" w:pos="3372"/>
          <w:tab w:val="left" w:pos="3653"/>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8"/>
        <w:tabs>
          <w:tab w:val="left" w:pos="562"/>
          <w:tab w:val="left" w:pos="3372"/>
          <w:tab w:val="left" w:pos="3653"/>
        </w:tabs>
        <w:spacing w:line="360" w:lineRule="auto"/>
        <w:ind w:firstLine="480" w:firstLineChars="200"/>
        <w:rPr>
          <w:rFonts w:hint="eastAsia" w:ascii="宋体" w:hAnsi="宋体" w:cs="宋体"/>
          <w:color w:val="auto"/>
          <w:highlight w:val="none"/>
        </w:rPr>
      </w:pPr>
    </w:p>
    <w:p>
      <w:pPr>
        <w:pStyle w:val="8"/>
        <w:tabs>
          <w:tab w:val="left" w:pos="562"/>
          <w:tab w:val="left" w:pos="3372"/>
          <w:tab w:val="left" w:pos="3653"/>
        </w:tabs>
        <w:spacing w:line="360" w:lineRule="auto"/>
        <w:ind w:firstLine="480" w:firstLineChars="200"/>
        <w:rPr>
          <w:rFonts w:hint="eastAsia" w:ascii="宋体" w:hAnsi="宋体" w:cs="宋体"/>
          <w:color w:val="auto"/>
          <w:highlight w:val="none"/>
        </w:rPr>
      </w:pPr>
    </w:p>
    <w:p>
      <w:pPr>
        <w:pStyle w:val="8"/>
        <w:tabs>
          <w:tab w:val="left" w:pos="562"/>
          <w:tab w:val="left" w:pos="3372"/>
          <w:tab w:val="left" w:pos="3653"/>
        </w:tabs>
        <w:spacing w:line="360" w:lineRule="auto"/>
        <w:ind w:firstLine="480" w:firstLineChars="200"/>
        <w:rPr>
          <w:rFonts w:hint="eastAsia" w:ascii="宋体" w:hAnsi="宋体" w:cs="宋体"/>
          <w:color w:val="auto"/>
          <w:highlight w:val="none"/>
        </w:rPr>
      </w:pPr>
    </w:p>
    <w:p>
      <w:pPr>
        <w:jc w:val="center"/>
        <w:outlineLvl w:val="0"/>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bookmarkStart w:id="7" w:name="_Toc20243"/>
      <w:bookmarkStart w:id="8" w:name="_Toc20808"/>
      <w:r>
        <w:rPr>
          <w:rFonts w:hint="eastAsia" w:ascii="宋体" w:hAnsi="宋体" w:cs="宋体"/>
          <w:b/>
          <w:bCs/>
          <w:color w:val="auto"/>
          <w:sz w:val="36"/>
          <w:szCs w:val="36"/>
          <w:highlight w:val="none"/>
          <w:lang w:val="zh-CN"/>
        </w:rPr>
        <w:t>目录</w:t>
      </w:r>
      <w:bookmarkEnd w:id="0"/>
      <w:bookmarkEnd w:id="7"/>
      <w:bookmarkEnd w:id="8"/>
    </w:p>
    <w:p>
      <w:pPr>
        <w:pStyle w:val="14"/>
        <w:tabs>
          <w:tab w:val="right" w:leader="dot" w:pos="8306"/>
        </w:tabs>
        <w:spacing w:line="480" w:lineRule="auto"/>
        <w:rPr>
          <w:b/>
          <w:bCs/>
          <w:color w:val="auto"/>
          <w:sz w:val="24"/>
          <w:szCs w:val="32"/>
          <w:highlight w:val="none"/>
        </w:rPr>
      </w:pPr>
    </w:p>
    <w:p>
      <w:pPr>
        <w:pStyle w:val="14"/>
        <w:tabs>
          <w:tab w:val="right" w:leader="dot" w:pos="8306"/>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"_Toc15219"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_Toc15219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"_Toc30172"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_Toc30172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10</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"_Toc25974"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_Toc25974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"_Toc8663"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_Toc8663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"_Toc11333"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_Toc11333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"_Toc10061"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_Toc10061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"_Toc31322"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_Toc31322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43</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bCs/>
          <w:color w:val="auto"/>
          <w:sz w:val="24"/>
          <w:highlight w:val="none"/>
        </w:rPr>
      </w:pPr>
      <w:r>
        <w:rPr>
          <w:color w:val="auto"/>
          <w:highlight w:val="none"/>
        </w:rPr>
        <w:fldChar w:fldCharType="begin"/>
      </w:r>
      <w:r>
        <w:rPr>
          <w:color w:val="auto"/>
          <w:highlight w:val="none"/>
        </w:rPr>
        <w:instrText xml:space="preserve"> HYPERLINK \l "_Toc2231"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_Toc2231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75</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fldChar w:fldCharType="end"/>
      </w:r>
    </w:p>
    <w:p>
      <w:pPr>
        <w:spacing w:line="360" w:lineRule="auto"/>
        <w:rPr>
          <w:color w:val="auto"/>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9" w:name="_Toc15219"/>
      <w:bookmarkStart w:id="10" w:name="_Toc17273"/>
      <w:r>
        <w:rPr>
          <w:rFonts w:hint="eastAsia" w:ascii="宋体" w:hAnsi="宋体" w:cs="宋体"/>
          <w:b/>
          <w:bCs/>
          <w:color w:val="auto"/>
          <w:sz w:val="24"/>
          <w:highlight w:val="none"/>
        </w:rPr>
        <w:t>招标邀请书（招标公告）</w:t>
      </w:r>
      <w:bookmarkEnd w:id="9"/>
      <w:bookmarkEnd w:id="10"/>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北京国际招标有限公司（以下简称采购代理机构）受深圳市前海深港现代服务业合作区管理局委托就</w:t>
      </w:r>
      <w:r>
        <w:rPr>
          <w:rFonts w:hint="eastAsia" w:ascii="宋体" w:hAnsi="宋体" w:cs="宋体"/>
          <w:color w:val="auto"/>
          <w:sz w:val="24"/>
          <w:highlight w:val="none"/>
          <w:u w:val="single"/>
        </w:rPr>
        <w:t>前海海洋经济统计及分析服务</w:t>
      </w:r>
      <w:r>
        <w:rPr>
          <w:rFonts w:hint="eastAsia" w:ascii="宋体" w:hAnsi="宋体" w:cs="宋体"/>
          <w:color w:val="auto"/>
          <w:sz w:val="24"/>
          <w:highlight w:val="none"/>
        </w:rPr>
        <w:t>采购项目（招标编号：</w:t>
      </w:r>
      <w:r>
        <w:rPr>
          <w:rFonts w:hint="eastAsia" w:ascii="宋体" w:hAnsi="宋体" w:cs="宋体"/>
          <w:color w:val="auto"/>
          <w:sz w:val="24"/>
          <w:highlight w:val="none"/>
          <w:u w:val="single"/>
          <w:lang w:eastAsia="zh-CN"/>
        </w:rPr>
        <w:t>QH2025166</w:t>
      </w:r>
      <w:r>
        <w:rPr>
          <w:rFonts w:hint="eastAsia" w:ascii="宋体" w:hAnsi="宋体" w:cs="宋体"/>
          <w:color w:val="auto"/>
          <w:sz w:val="24"/>
          <w:highlight w:val="none"/>
          <w:u w:val="single"/>
        </w:rPr>
        <w:t>）</w:t>
      </w:r>
      <w:r>
        <w:rPr>
          <w:rFonts w:hint="eastAsia" w:ascii="宋体" w:hAnsi="宋体" w:cs="宋体"/>
          <w:color w:val="auto"/>
          <w:sz w:val="24"/>
          <w:highlight w:val="none"/>
        </w:rPr>
        <w:t>采用简易招标方式采购，欢迎符合投标人资格要求的专业供应商积极参加投标。</w:t>
      </w:r>
    </w:p>
    <w:tbl>
      <w:tblPr>
        <w:tblStyle w:val="20"/>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招标编号</w:t>
            </w:r>
          </w:p>
        </w:tc>
        <w:tc>
          <w:tcPr>
            <w:tcW w:w="7015" w:type="dxa"/>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QH2025166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前海海洋经济统计及分析服务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spacing w:line="360" w:lineRule="auto"/>
              <w:rPr>
                <w:color w:val="auto"/>
                <w:highlight w:val="none"/>
              </w:rPr>
            </w:pPr>
            <w:r>
              <w:rPr>
                <w:rFonts w:hint="eastAsia" w:ascii="宋体" w:hAnsi="宋体" w:cs="宋体"/>
                <w:color w:val="auto"/>
                <w:sz w:val="24"/>
                <w:highlight w:val="none"/>
              </w:rPr>
              <w:t>为做好前海海洋经济统计监测与产业服务工作，摸清前海海洋经济发展现状，解决涉海数据口径不统一、与市级统计体系衔接不畅等问题，拟采购第三方数据服务机构协助提供前海海洋经济统计及分析服务，统一涉海企业界定及统计口径，精准挖掘产业潜力，全面构建动态涉海企业名录库和海洋经济统计体系，形成系统的数据分析成果，为前海海洋经济高质量发展提供坚实数据支撑。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01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¥509</w:t>
            </w:r>
            <w:bookmarkStart w:id="82" w:name="_GoBack"/>
            <w:bookmarkEnd w:id="82"/>
            <w:r>
              <w:rPr>
                <w:rFonts w:hint="eastAsia" w:ascii="宋体" w:hAnsi="宋体" w:cs="宋体"/>
                <w:color w:val="auto"/>
                <w:sz w:val="24"/>
                <w:highlight w:val="none"/>
              </w:rPr>
              <w:t>,000.00（人民币伍拾万零玖仟元整）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招标文件为电子版，投标人可在前海管理局官网（政务公开-采购信息-招标公告栏目）(</w:t>
            </w:r>
            <w:bookmarkStart w:id="11" w:name="OLE_LINK46"/>
            <w:r>
              <w:rPr>
                <w:rFonts w:hint="eastAsia" w:ascii="宋体" w:hAnsi="宋体" w:cs="宋体"/>
                <w:color w:val="auto"/>
                <w:kern w:val="0"/>
                <w:sz w:val="24"/>
                <w:highlight w:val="none"/>
              </w:rPr>
              <w:t>http://qh.sz.gov.cn/</w:t>
            </w:r>
            <w:bookmarkEnd w:id="11"/>
            <w:r>
              <w:rPr>
                <w:rFonts w:hint="eastAsia" w:ascii="宋体" w:hAnsi="宋体" w:cs="宋体"/>
                <w:color w:val="auto"/>
                <w:kern w:val="0"/>
                <w:sz w:val="24"/>
                <w:highlight w:val="none"/>
              </w:rPr>
              <w:t>)免费下载。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将投标文件密封并在</w:t>
            </w:r>
            <w:r>
              <w:rPr>
                <w:rFonts w:hint="eastAsia" w:ascii="宋体" w:hAnsi="宋体" w:cs="宋体"/>
                <w:b/>
                <w:bCs/>
                <w:color w:val="auto"/>
                <w:kern w:val="0"/>
                <w:sz w:val="24"/>
                <w:highlight w:val="none"/>
              </w:rPr>
              <w:t>2025年</w:t>
            </w:r>
            <w:r>
              <w:rPr>
                <w:rFonts w:hint="eastAsia" w:ascii="宋体" w:hAnsi="宋体" w:cs="宋体"/>
                <w:b/>
                <w:bCs/>
                <w:color w:val="auto"/>
                <w:kern w:val="0"/>
                <w:sz w:val="24"/>
                <w:highlight w:val="none"/>
                <w:lang w:val="en-US" w:eastAsia="zh-CN"/>
              </w:rPr>
              <w:t>12</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30</w:t>
            </w:r>
            <w:r>
              <w:rPr>
                <w:rFonts w:hint="eastAsia" w:ascii="宋体" w:hAnsi="宋体" w:cs="宋体"/>
                <w:b/>
                <w:bCs/>
                <w:color w:val="auto"/>
                <w:kern w:val="0"/>
                <w:sz w:val="24"/>
                <w:highlight w:val="none"/>
              </w:rPr>
              <w:t>日10：00时（北京时间）</w:t>
            </w:r>
            <w:r>
              <w:rPr>
                <w:rFonts w:hint="eastAsia" w:ascii="宋体" w:hAnsi="宋体" w:cs="宋体"/>
                <w:color w:val="auto"/>
                <w:kern w:val="0"/>
                <w:sz w:val="24"/>
                <w:highlight w:val="none"/>
              </w:rPr>
              <w:t>前送达（现场递交或邮寄）至深圳市南山区前海深港合作区桂湾五路123号前海管理局前海大厦T1栋2303室</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  系  人：钟先生</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电      话：0755-88105497</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在中华人民共和国境内注册的具有独立法人资格或具有独立承担民事责任的能力的其他组织</w:t>
            </w:r>
            <w:r>
              <w:rPr>
                <w:rFonts w:hint="eastAsia" w:ascii="宋体" w:hAnsi="宋体" w:cs="宋体"/>
                <w:b/>
                <w:bCs/>
                <w:color w:val="auto"/>
                <w:kern w:val="0"/>
                <w:sz w:val="24"/>
                <w:highlight w:val="none"/>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参与政府采购项目投标的供应商近三年内无行贿犯罪记录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color w:val="auto"/>
                <w:kern w:val="0"/>
                <w:sz w:val="24"/>
                <w:highlight w:val="none"/>
              </w:rPr>
              <w:t>；</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highlight w:val="none"/>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为此项目提供整体设计、规范编制或者项目管理、监理、检测等服务的供应商，不得再参加此项目的其他招标采购活动</w:t>
            </w:r>
            <w:r>
              <w:rPr>
                <w:rFonts w:hint="eastAsia" w:ascii="宋体" w:hAnsi="宋体" w:cs="宋体"/>
                <w:b/>
                <w:bCs/>
                <w:color w:val="auto"/>
                <w:kern w:val="0"/>
                <w:sz w:val="24"/>
                <w:highlight w:val="none"/>
              </w:rPr>
              <w:t>（由投标人在《政府采购投标及履约承诺函》中作出声明）；</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highlight w:val="none"/>
                <w:u w:val="single"/>
              </w:rPr>
              <w:t>租赁和商务服务业。</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numPr>
                <w:ilvl w:val="0"/>
                <w:numId w:val="3"/>
              </w:numPr>
              <w:spacing w:line="360" w:lineRule="auto"/>
              <w:rPr>
                <w:rFonts w:hint="eastAsia" w:ascii="宋体" w:hAnsi="宋体" w:cs="宋体"/>
                <w:color w:val="auto"/>
                <w:sz w:val="24"/>
                <w:highlight w:val="none"/>
              </w:rPr>
            </w:pPr>
            <w:bookmarkStart w:id="12" w:name="OLE_LINK11"/>
            <w:r>
              <w:rPr>
                <w:rFonts w:hint="eastAsia" w:ascii="宋体" w:hAnsi="宋体" w:cs="宋体"/>
                <w:color w:val="auto"/>
                <w:sz w:val="24"/>
                <w:highlight w:val="none"/>
              </w:rPr>
              <w:t>本次投标为总价包干，投标报价总价作为中标人与采购人签订的合同金额。投标人的报价不可高于</w:t>
            </w:r>
            <w:r>
              <w:rPr>
                <w:rFonts w:hint="eastAsia" w:ascii="宋体" w:hAnsi="宋体" w:cs="宋体"/>
                <w:color w:val="auto"/>
                <w:kern w:val="0"/>
                <w:sz w:val="24"/>
                <w:highlight w:val="none"/>
              </w:rPr>
              <w:t>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人员费用及成果制作费、管理费、税费等</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bookmarkEnd w:id="12"/>
            <w:r>
              <w:rPr>
                <w:rFonts w:hint="eastAsia" w:ascii="宋体" w:hAnsi="宋体" w:cs="宋体"/>
                <w:color w:val="auto"/>
                <w:sz w:val="24"/>
                <w:highlight w:val="none"/>
              </w:rPr>
              <w:t>。</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hint="eastAsia" w:ascii="宋体" w:hAnsi="宋体" w:cs="宋体"/>
                <w:color w:val="auto"/>
                <w:kern w:val="0"/>
                <w:sz w:val="24"/>
                <w:highlight w:val="none"/>
              </w:rPr>
            </w:pPr>
            <w:bookmarkStart w:id="13" w:name="_Toc28359009"/>
            <w:bookmarkStart w:id="14" w:name="_Toc28359086"/>
            <w:r>
              <w:rPr>
                <w:rFonts w:hint="eastAsia" w:ascii="宋体" w:hAnsi="宋体" w:cs="宋体"/>
                <w:color w:val="auto"/>
                <w:kern w:val="0"/>
                <w:sz w:val="24"/>
                <w:highlight w:val="none"/>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址：深圳市南山区前海深港合作区桂湾五路123号前海管理局前海大厦T1栋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联系人：钟先生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话：0755-88105497</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13"/>
            <w:bookmarkEnd w:id="14"/>
          </w:p>
          <w:p>
            <w:pPr>
              <w:spacing w:line="360" w:lineRule="auto"/>
              <w:rPr>
                <w:rFonts w:hint="eastAsia" w:ascii="宋体" w:hAnsi="宋体" w:cs="宋体"/>
                <w:color w:val="auto"/>
                <w:kern w:val="0"/>
                <w:sz w:val="24"/>
                <w:highlight w:val="none"/>
              </w:rPr>
            </w:pPr>
            <w:bookmarkStart w:id="15" w:name="_Toc28359010"/>
            <w:bookmarkStart w:id="16" w:name="_Toc28359087"/>
            <w:r>
              <w:rPr>
                <w:rFonts w:hint="eastAsia" w:ascii="宋体" w:hAnsi="宋体" w:cs="宋体"/>
                <w:color w:val="auto"/>
                <w:kern w:val="0"/>
                <w:sz w:val="24"/>
                <w:highlight w:val="none"/>
              </w:rPr>
              <w:t>名  称：北京国际招标有限公司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址：深圳市南山区卓越前海壹号大厦A座1403B</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联系人：张先生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话：0755-83629963</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邮  箱：759017044@qq.com</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3.项目联系方式</w:t>
            </w:r>
            <w:bookmarkEnd w:id="15"/>
            <w:bookmarkEnd w:id="16"/>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项目联系人：张先生</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电　话：0755-83629963</w:t>
            </w:r>
          </w:p>
        </w:tc>
      </w:tr>
    </w:tbl>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北京国际招标有限公司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17" w:name="_Toc10214"/>
      <w:bookmarkStart w:id="18" w:name="_Toc30172"/>
      <w:r>
        <w:rPr>
          <w:rFonts w:hint="eastAsia" w:ascii="宋体" w:hAnsi="宋体" w:cs="宋体"/>
          <w:b/>
          <w:bCs/>
          <w:color w:val="auto"/>
          <w:sz w:val="24"/>
          <w:highlight w:val="none"/>
        </w:rPr>
        <w:t>投标须知</w:t>
      </w:r>
      <w:bookmarkEnd w:id="17"/>
      <w:bookmarkEnd w:id="18"/>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1、本项目是深圳市前海深港现代服务业合作区管理局的前海海洋经济统计及分析服务。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北京国际招标有限公司受深圳市前海深港现代服务业合作区管理局委托组织采购。</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2.2、对于重新组织简易招标(公开征集)，仍出现有效投标供应商不足3家的情形，按以下流程执行：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a.有效投标人为2家的，可在2家有效投标人中取得分最高者为中标供应商；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b.如参与投标且符合招标文件要求的供应商仅有1家，评审委员会应与投标供应商进行谈判，原则上成交价不超过最初报价的95%。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w:t>
      </w:r>
      <w:bookmarkStart w:id="19" w:name="OLE_LINK1"/>
      <w:r>
        <w:rPr>
          <w:rFonts w:hint="eastAsia" w:ascii="宋体" w:hAnsi="宋体" w:cs="宋体"/>
          <w:b/>
          <w:bCs/>
          <w:color w:val="auto"/>
          <w:sz w:val="24"/>
          <w:highlight w:val="none"/>
        </w:rPr>
        <w:t>，</w:t>
      </w:r>
      <w:bookmarkStart w:id="20" w:name="OLE_LINK3"/>
      <w:r>
        <w:rPr>
          <w:rFonts w:hint="eastAsia" w:ascii="宋体" w:hAnsi="宋体" w:cs="宋体"/>
          <w:b/>
          <w:color w:val="auto"/>
          <w:sz w:val="24"/>
          <w:highlight w:val="none"/>
        </w:rPr>
        <w:t>1份</w:t>
      </w:r>
      <w:bookmarkEnd w:id="19"/>
      <w:bookmarkEnd w:id="20"/>
      <w:r>
        <w:rPr>
          <w:rFonts w:hint="eastAsia" w:ascii="宋体" w:hAnsi="宋体" w:cs="宋体"/>
          <w:b/>
          <w:color w:val="auto"/>
          <w:sz w:val="24"/>
          <w:highlight w:val="none"/>
        </w:rPr>
        <w:t>电子文档【电子文档包括：PDF格式的正本投标文件扫描件、与正本一致的word文档格式的投标文件】</w:t>
      </w:r>
      <w:r>
        <w:rPr>
          <w:rFonts w:hint="eastAsia" w:ascii="宋体" w:hAnsi="宋体" w:cs="宋体"/>
          <w:b/>
          <w:bCs/>
          <w:color w:val="auto"/>
          <w:sz w:val="24"/>
          <w:highlight w:val="none"/>
        </w:rPr>
        <w:t>）</w:t>
      </w:r>
      <w:r>
        <w:rPr>
          <w:rFonts w:hint="eastAsia" w:ascii="宋体" w:hAnsi="宋体" w:cs="宋体"/>
          <w:color w:val="auto"/>
          <w:sz w:val="24"/>
          <w:highlight w:val="none"/>
        </w:rPr>
        <w:t>完备的资料进行投标。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9、本次采购凡涉及知识产权问题，由项目供应商负责。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10、采购人将组成评审委员会，评审工作由评审委员会独立负责。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（1）供应商在谈判时由项目负责人与评审委员会进行谈判；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（2）原则上成交价不超过最初报价的95%。</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14、所有的评审/谈判内容都必须保密。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15、招标代理服务收费：</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20"/>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开户名称：北京国际招标有限公司深圳分公司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银行账号：15063366666619</w:t>
      </w:r>
    </w:p>
    <w:p>
      <w:pPr>
        <w:spacing w:line="360" w:lineRule="auto"/>
        <w:rPr>
          <w:rFonts w:hint="eastAsia"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开户银行：平安银行深圳分行营业部</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bookmarkStart w:id="21" w:name="_Toc25974"/>
      <w:bookmarkStart w:id="22" w:name="_Toc20176"/>
      <w:r>
        <w:rPr>
          <w:rFonts w:hint="eastAsia" w:ascii="宋体" w:hAnsi="宋体" w:cs="宋体"/>
          <w:b/>
          <w:bCs/>
          <w:color w:val="auto"/>
          <w:sz w:val="24"/>
          <w:highlight w:val="none"/>
        </w:rPr>
        <w:t>评标程序</w:t>
      </w:r>
      <w:bookmarkEnd w:id="21"/>
      <w:bookmarkEnd w:id="22"/>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三、会议主持人：北京国际招标有限公司工作人员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四、开标时间：2025年12月30日10：00时（北京时间）。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五、会议开始：2025年12月30日10：00时（北京时间）由会议主持人宣布定标会议开始。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七、由采购代理机构代表现场拆封投标文件，并分发给评审委员会成员。</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5.2 原则上成交价不超过最初报价的95%。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十、根据本次采购的结果，1</w:t>
      </w:r>
      <w:r>
        <w:rPr>
          <w:rFonts w:ascii="宋体" w:hAnsi="宋体" w:cs="宋体"/>
          <w:color w:val="auto"/>
          <w:sz w:val="24"/>
          <w:highlight w:val="none"/>
        </w:rPr>
        <w:t>0</w:t>
      </w:r>
      <w:r>
        <w:rPr>
          <w:rFonts w:hint="eastAsia" w:ascii="宋体" w:hAnsi="宋体" w:cs="宋体"/>
          <w:color w:val="auto"/>
          <w:sz w:val="24"/>
          <w:highlight w:val="none"/>
        </w:rPr>
        <w:t>个工作日内与中标供应商签订合同。</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8"/>
        <w:rPr>
          <w:rFonts w:hint="eastAsia" w:ascii="宋体" w:hAnsi="宋体" w:cs="宋体"/>
          <w:color w:val="auto"/>
          <w:highlight w:val="none"/>
        </w:rPr>
      </w:pPr>
      <w:r>
        <w:rPr>
          <w:rFonts w:hint="eastAsia"/>
          <w:color w:val="auto"/>
          <w:highlight w:val="none"/>
        </w:rPr>
        <w:br w:type="page"/>
      </w:r>
    </w:p>
    <w:p>
      <w:pPr>
        <w:numPr>
          <w:ilvl w:val="0"/>
          <w:numId w:val="1"/>
        </w:numPr>
        <w:spacing w:line="360" w:lineRule="auto"/>
        <w:jc w:val="center"/>
        <w:outlineLvl w:val="0"/>
        <w:rPr>
          <w:rFonts w:hint="eastAsia" w:ascii="宋体" w:hAnsi="宋体" w:cs="宋体"/>
          <w:b/>
          <w:bCs/>
          <w:color w:val="auto"/>
          <w:sz w:val="24"/>
          <w:highlight w:val="none"/>
        </w:rPr>
      </w:pPr>
      <w:bookmarkStart w:id="23" w:name="_Toc8663"/>
      <w:bookmarkStart w:id="24" w:name="_Toc3567"/>
      <w:r>
        <w:rPr>
          <w:rFonts w:hint="eastAsia" w:ascii="宋体" w:hAnsi="宋体" w:cs="宋体"/>
          <w:b/>
          <w:bCs/>
          <w:color w:val="auto"/>
          <w:sz w:val="24"/>
          <w:highlight w:val="none"/>
        </w:rPr>
        <w:t xml:space="preserve"> 合同格式及合同条款</w:t>
      </w:r>
      <w:bookmarkEnd w:id="23"/>
      <w:bookmarkEnd w:id="24"/>
    </w:p>
    <w:p>
      <w:pPr>
        <w:spacing w:line="360" w:lineRule="auto"/>
        <w:ind w:firstLine="470" w:firstLineChars="196"/>
        <w:jc w:val="center"/>
        <w:rPr>
          <w:rFonts w:hint="eastAsia" w:ascii="宋体" w:hAnsi="宋体" w:cs="宋体"/>
          <w:color w:val="auto"/>
          <w:sz w:val="24"/>
          <w:highlight w:val="none"/>
        </w:rPr>
      </w:pPr>
      <w:bookmarkStart w:id="25" w:name="_Toc73517685"/>
      <w:bookmarkStart w:id="26" w:name="_Toc73521592"/>
      <w:bookmarkStart w:id="27" w:name="_Toc101074886"/>
      <w:bookmarkStart w:id="28" w:name="_Toc100052414"/>
      <w:bookmarkStart w:id="29" w:name="_Toc73521680"/>
      <w:bookmarkStart w:id="30" w:name="_Toc73518163"/>
      <w:bookmarkStart w:id="31" w:name="_Toc84303603"/>
    </w:p>
    <w:bookmarkEnd w:id="25"/>
    <w:bookmarkEnd w:id="26"/>
    <w:bookmarkEnd w:id="27"/>
    <w:bookmarkEnd w:id="28"/>
    <w:bookmarkEnd w:id="29"/>
    <w:bookmarkEnd w:id="30"/>
    <w:bookmarkEnd w:id="31"/>
    <w:p>
      <w:pPr>
        <w:pStyle w:val="34"/>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34"/>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34"/>
        <w:spacing w:line="360" w:lineRule="auto"/>
        <w:ind w:left="1470" w:right="1470" w:firstLine="482"/>
        <w:jc w:val="center"/>
        <w:rPr>
          <w:rFonts w:hint="eastAsia" w:ascii="宋体" w:hAnsi="宋体" w:cs="宋体"/>
          <w:b/>
          <w:color w:val="auto"/>
          <w:sz w:val="24"/>
          <w:szCs w:val="24"/>
          <w:highlight w:val="none"/>
        </w:rPr>
      </w:pPr>
    </w:p>
    <w:p>
      <w:pPr>
        <w:pStyle w:val="34"/>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34"/>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前海海洋经济统计及分析服务</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委托合同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34"/>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34"/>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前海海洋经济统计及分析服务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项目类型：</w:t>
      </w:r>
      <w:r>
        <w:rPr>
          <w:rFonts w:hint="eastAsia" w:ascii="宋体" w:hAnsi="宋体" w:cs="宋体"/>
          <w:color w:val="auto"/>
          <w:sz w:val="24"/>
          <w:highlight w:val="none"/>
          <w:u w:val="single"/>
        </w:rPr>
        <w:t xml:space="preserve">           服务类       </w:t>
      </w:r>
      <w:r>
        <w:rPr>
          <w:rFonts w:ascii="宋体" w:hAnsi="宋体" w:cs="宋体"/>
          <w:color w:val="auto"/>
          <w:sz w:val="24"/>
          <w:highlight w:val="none"/>
          <w:u w:val="single"/>
        </w:rPr>
        <w:t xml:space="preserve">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720" w:firstLineChars="300"/>
        <w:rPr>
          <w:rFonts w:hint="eastAsia"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二〇二五年  月</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本合同共    页（不含封面）</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深圳市前海深港合作区</w:t>
      </w:r>
      <w:r>
        <w:rPr>
          <w:rFonts w:ascii="宋体" w:hAnsi="宋体" w:cs="宋体"/>
          <w:color w:val="auto"/>
          <w:sz w:val="24"/>
          <w:highlight w:val="none"/>
          <w:u w:val="single"/>
        </w:rPr>
        <w:t>桂湾五路123号前海大厦T1栋前海管理局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u w:val="single"/>
          <w:lang w:eastAsia="zh-CN"/>
        </w:rPr>
        <w:t>QH2025166</w:t>
      </w:r>
      <w:r>
        <w:rPr>
          <w:rFonts w:hint="eastAsia" w:ascii="宋体" w:hAnsi="宋体" w:cs="宋体"/>
          <w:color w:val="auto"/>
          <w:sz w:val="24"/>
          <w:highlight w:val="none"/>
        </w:rPr>
        <w:t>】招标项目的中标结果，由【***】单位（以下简称乙方）为中标人。按照《中华人民共和国民法典》和《深圳经济特区政府采购条例》，经甲乙双方协商，就甲方委托</w:t>
      </w:r>
      <w:r>
        <w:rPr>
          <w:rFonts w:hint="eastAsia" w:ascii="宋体" w:hAnsi="宋体" w:cs="宋体"/>
          <w:b/>
          <w:bCs/>
          <w:color w:val="auto"/>
          <w:sz w:val="24"/>
          <w:highlight w:val="none"/>
          <w:u w:val="single"/>
        </w:rPr>
        <w:t>乙方开展</w:t>
      </w:r>
      <w:r>
        <w:rPr>
          <w:rFonts w:hint="eastAsia" w:ascii="宋体" w:hAnsi="宋体" w:cs="宋体"/>
          <w:color w:val="auto"/>
          <w:sz w:val="24"/>
          <w:highlight w:val="none"/>
          <w:u w:val="single"/>
        </w:rPr>
        <w:t>前海海洋经济统计及分析服务</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numPr>
          <w:ilvl w:val="0"/>
          <w:numId w:val="5"/>
        </w:numPr>
        <w:spacing w:line="360" w:lineRule="auto"/>
        <w:ind w:left="11" w:firstLine="420"/>
        <w:rPr>
          <w:rFonts w:hint="eastAsia" w:ascii="宋体" w:hAnsi="宋体" w:cs="宋体"/>
          <w:b/>
          <w:bCs/>
          <w:color w:val="auto"/>
          <w:sz w:val="24"/>
          <w:highlight w:val="none"/>
        </w:rPr>
      </w:pPr>
      <w:r>
        <w:rPr>
          <w:rFonts w:hint="eastAsia" w:ascii="宋体" w:hAnsi="宋体" w:cs="宋体"/>
          <w:b/>
          <w:bCs/>
          <w:color w:val="auto"/>
          <w:sz w:val="24"/>
          <w:highlight w:val="none"/>
        </w:rPr>
        <w:t>项目内容</w:t>
      </w:r>
    </w:p>
    <w:p>
      <w:pPr>
        <w:adjustRightInd w:val="0"/>
        <w:spacing w:line="360" w:lineRule="auto"/>
        <w:ind w:left="11" w:firstLine="480" w:firstLineChars="200"/>
        <w:rPr>
          <w:rFonts w:hint="eastAsia" w:ascii="宋体" w:hAnsi="宋体" w:cs="宋体"/>
          <w:color w:val="auto"/>
          <w:sz w:val="24"/>
          <w:highlight w:val="none"/>
        </w:rPr>
      </w:pPr>
      <w:bookmarkStart w:id="32" w:name="_Toc23975"/>
      <w:r>
        <w:rPr>
          <w:rFonts w:hint="eastAsia" w:ascii="宋体" w:hAnsi="宋体" w:cs="宋体"/>
          <w:color w:val="auto"/>
          <w:sz w:val="24"/>
          <w:highlight w:val="none"/>
        </w:rPr>
        <w:t>1.构建全域涉海数据体系</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整合市海洋局、发改、第三方等数据，明确海洋产业各细分领域的分类标准，建立涵盖企业基本信息、区划位置、港资/外资属性、四上/准四上等多维度标签的主题数据库，实现数据按月度动态更新，按季度复盘校验，夯实统计核算基础，支撑后续统计核算工作。</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2.筑牢存量企业稳定基础</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建立涉海企业外地购地、跨区域经营动态监测机制，及时捕捉企业外迁或业务转移迹象，支撑处室精准开展企业服务，降低核心企业流失风险，确保存量企业扎根发展。</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3.挖掘产业增量发展潜力</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聚焦准四上涉海企业挖潜，精准识别纳统潜力企业，推动应统尽统；梳理新增四上企业经营情况，挖掘高成长企业，为政策扶持和招商引智提供靶向目标，助力海洋经济总量提升。</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4.提供高效数据支撑服务</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按时完成月报、季报、年报编制，为未来提出切实可行的次年纳统和招商建议；快速响应临时数据筛选、企业画像分析等需求，保障日常工作及专项任务顺利推进。</w:t>
      </w:r>
    </w:p>
    <w:p>
      <w:pPr>
        <w:numPr>
          <w:ilvl w:val="0"/>
          <w:numId w:val="5"/>
        </w:numPr>
        <w:spacing w:line="360" w:lineRule="auto"/>
        <w:ind w:left="11" w:firstLine="420"/>
        <w:rPr>
          <w:rFonts w:hint="eastAsia" w:ascii="宋体" w:hAnsi="宋体" w:cs="宋体"/>
          <w:b/>
          <w:bCs/>
          <w:color w:val="auto"/>
          <w:sz w:val="24"/>
          <w:highlight w:val="none"/>
        </w:rPr>
      </w:pPr>
      <w:r>
        <w:rPr>
          <w:rFonts w:hint="eastAsia" w:ascii="宋体" w:hAnsi="宋体" w:cs="宋体"/>
          <w:b/>
          <w:bCs/>
          <w:color w:val="auto"/>
          <w:sz w:val="24"/>
          <w:highlight w:val="none"/>
        </w:rPr>
        <w:t>合同含税总价</w:t>
      </w:r>
      <w:bookmarkEnd w:id="32"/>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本项目合同含税总价为（大写）：_______元（￥____元）人民币。</w:t>
      </w:r>
    </w:p>
    <w:p>
      <w:pPr>
        <w:adjustRightIn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合同金额应包括本项目研究、成果报告编制、法定税费和企业的利润等为完成本项目服务所发生的全部相关费用。服务费包含</w:t>
      </w:r>
      <w:r>
        <w:rPr>
          <w:rFonts w:hint="eastAsia" w:ascii="宋体" w:hAnsi="宋体" w:cs="宋体"/>
          <w:color w:val="auto"/>
          <w:sz w:val="24"/>
          <w:highlight w:val="none"/>
          <w:lang w:eastAsia="zh-Hans"/>
        </w:rPr>
        <w:t>但不限于</w:t>
      </w:r>
      <w:r>
        <w:rPr>
          <w:rFonts w:hint="eastAsia" w:ascii="宋体" w:hAnsi="宋体" w:cs="宋体"/>
          <w:color w:val="auto"/>
          <w:sz w:val="24"/>
          <w:highlight w:val="none"/>
        </w:rPr>
        <w:t>：人员费用及成果制作费、管理费、税费等；在合同实施期间，除另签补充合同外，甲方不接受乙方以任何理由、任何名目提出增加费用的要求。</w:t>
      </w:r>
    </w:p>
    <w:p>
      <w:pPr>
        <w:spacing w:line="360" w:lineRule="auto"/>
        <w:ind w:left="11" w:firstLine="420"/>
        <w:rPr>
          <w:rFonts w:hint="eastAsia" w:ascii="宋体" w:hAnsi="宋体" w:cs="宋体"/>
          <w:b/>
          <w:bCs/>
          <w:color w:val="auto"/>
          <w:sz w:val="24"/>
          <w:highlight w:val="none"/>
        </w:rPr>
      </w:pPr>
      <w:bookmarkStart w:id="33" w:name="_Toc30786"/>
      <w:r>
        <w:rPr>
          <w:rFonts w:hint="eastAsia" w:ascii="宋体" w:hAnsi="宋体" w:cs="宋体"/>
          <w:b/>
          <w:bCs/>
          <w:color w:val="auto"/>
          <w:sz w:val="24"/>
          <w:highlight w:val="none"/>
        </w:rPr>
        <w:t>三、技术资料</w:t>
      </w:r>
      <w:bookmarkEnd w:id="33"/>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1.乙方应按本合同规定的时间向甲方提供有关技术资料。</w:t>
      </w:r>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3.合同履行完毕，未经甲方的书面同意，乙方不得保存在履行合同过程中所获得或接触到的任何内部数据资料。</w:t>
      </w:r>
    </w:p>
    <w:p>
      <w:pPr>
        <w:spacing w:line="360" w:lineRule="auto"/>
        <w:ind w:left="11" w:firstLine="420"/>
        <w:rPr>
          <w:rFonts w:hint="eastAsia" w:ascii="宋体" w:hAnsi="宋体" w:cs="宋体"/>
          <w:b/>
          <w:bCs/>
          <w:color w:val="auto"/>
          <w:sz w:val="24"/>
          <w:highlight w:val="none"/>
        </w:rPr>
      </w:pPr>
      <w:bookmarkStart w:id="34" w:name="_Toc9742"/>
      <w:r>
        <w:rPr>
          <w:rFonts w:hint="eastAsia" w:ascii="宋体" w:hAnsi="宋体" w:cs="宋体"/>
          <w:b/>
          <w:bCs/>
          <w:color w:val="auto"/>
          <w:sz w:val="24"/>
          <w:highlight w:val="none"/>
        </w:rPr>
        <w:t>四、知识产权</w:t>
      </w:r>
      <w:bookmarkEnd w:id="34"/>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1.本项目全部阶段性成果和最终成果的所有权、知识产权以及与之相关的所有权利归甲方所有。</w:t>
      </w:r>
      <w:r>
        <w:rPr>
          <w:rFonts w:hint="eastAsia" w:ascii="宋体" w:hAnsi="宋体" w:cs="宋体"/>
          <w:color w:val="auto"/>
          <w:sz w:val="24"/>
          <w:highlight w:val="none"/>
        </w:rPr>
        <w:t>本合同签署前双方已经拥有的知识产权权利，仍归各自所有。</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2.双方确定，甲方有权利用乙方按照本合同约定提供的成果，进行后续改进。由此产生的具有实质性或创造性技术进步特征的新的成果及其权利归属，全部由甲方享有。具体相关利益的分配办法如下：甲方100%。</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未经甲方书面在先同意，乙方不得将本项目的阶段性成果和最终成果文件及任何数据、资料、软件向任何第三方转让、授权任何第三方使用或用于本合同项目外的其他项目。如发生以上情况，乙方应向甲方支付本合同总价款10%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snapToGrid w:val="0"/>
        <w:spacing w:line="360" w:lineRule="auto"/>
        <w:ind w:left="1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5.乙方完成本合同项目的统计服务人员享有在有关成果文件上写明成果完成者的权利和与甲方共同获得有关荣誉证书、奖励的权利。</w:t>
      </w:r>
    </w:p>
    <w:p>
      <w:pPr>
        <w:spacing w:line="360" w:lineRule="auto"/>
        <w:ind w:left="11" w:firstLine="420"/>
        <w:rPr>
          <w:rFonts w:hint="eastAsia" w:ascii="宋体" w:hAnsi="宋体" w:cs="宋体"/>
          <w:b/>
          <w:bCs/>
          <w:color w:val="auto"/>
          <w:sz w:val="24"/>
          <w:highlight w:val="none"/>
        </w:rPr>
      </w:pPr>
      <w:bookmarkStart w:id="35" w:name="_Toc16452"/>
      <w:r>
        <w:rPr>
          <w:rFonts w:hint="eastAsia" w:ascii="宋体" w:hAnsi="宋体" w:cs="宋体"/>
          <w:b/>
          <w:bCs/>
          <w:color w:val="auto"/>
          <w:sz w:val="24"/>
          <w:highlight w:val="none"/>
        </w:rPr>
        <w:t>五、甲方的权利与义务</w:t>
      </w:r>
      <w:bookmarkEnd w:id="35"/>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1.甲方的权利</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1.1甲方对项目统计服务过程的决策、控制、实施等环节实行全面管理，协调和监督项目工作开展，控制项目工作过程，进行项目成果验收。</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1.2检查乙方项目人员到位情况，如因人力、能力不足致使项目工作不能按计划完成时，可要求乙方增加或替换相应的技术人员，直至甲方认可，乙方不得拒绝。</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1.3甲方有权向乙方询问项目工作进展及相关情况，并要求乙方在指定时间内做出答复。</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1.4甲方有权对乙方提交的阶段性成果、最终成果等相关工作文件进行审核并提出修改意见，有权根据实际需要对成果进行综合优化、调整和修改。</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1.5如乙方所提供的用以说明和描述技术方案、统计服务成果、实施方案及步骤等项目成果文件，不具备实操性或实操性过低，影响最终方案、服务成果文件的质量，甲方有权要求乙方重新执行相应的工作服务，由此产生的全部费用由乙方自行承担。</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1.6甲方有权要求乙方全面履行合同。甲方不接受部分履行，如本合同项下部分成果文件未能按时交付则视为整体延误。</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1.7如甲方确认乙方工作人员未按照本合同要求履行职责，甲方有权要求乙方限期更换人员，直至终止合同并要求乙方承担相应赔偿责任。</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1.8甲方对乙方在委托权限范围内完成委托事项有指导、监督权利。</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2.甲方的义务</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2.1甲方应将项目所需相关档案资料、信息数据等移交给乙方，并要求乙方签收甲方提供的材料清单。</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2.2甲方对乙方按照合同约定所履行的服务提供必要的支持与协助。</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2.3根据合同约定的相关条款，按时支付乙方服务费用。</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2.4甲方指定项目联系人：</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 xml:space="preserve">姓名： </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联系方式：</w:t>
      </w:r>
    </w:p>
    <w:p>
      <w:pPr>
        <w:spacing w:line="360" w:lineRule="auto"/>
        <w:ind w:left="11" w:firstLine="420"/>
        <w:rPr>
          <w:rFonts w:hint="eastAsia" w:ascii="宋体" w:hAnsi="宋体" w:cs="宋体"/>
          <w:b/>
          <w:bCs/>
          <w:color w:val="auto"/>
          <w:sz w:val="24"/>
          <w:highlight w:val="none"/>
        </w:rPr>
      </w:pPr>
      <w:bookmarkStart w:id="36" w:name="_Toc29058"/>
      <w:r>
        <w:rPr>
          <w:rFonts w:hint="eastAsia" w:ascii="宋体" w:hAnsi="宋体" w:cs="宋体"/>
          <w:b/>
          <w:bCs/>
          <w:color w:val="auto"/>
          <w:sz w:val="24"/>
          <w:highlight w:val="none"/>
        </w:rPr>
        <w:t>六、乙方的权利与义务</w:t>
      </w:r>
      <w:bookmarkEnd w:id="36"/>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1.乙方的权利</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1.1根据项目工作的需要，可要求甲方提供或协助乙方收集相关资料。</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1.2参与本项目服务相关的工作会议及技术会议。</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1.3根据合同约定收取相应的服务费。</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2.乙方的义务</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2.1乙方应按国家及深圳的有关法律法规、技术规范以及本合同约定的工作内容、工作进度等要求提供项目服务，并对其提交的统计服务成果负责。对于与本项目工作内容相关的其他相关项目，乙方应进行充分了解并做好协调与衔接工作。</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2.2如乙方提供的项目意见等成果文件不符合本合同要求，必须在甲方提出要求七个日历日内无条件修改，其费用由乙方自行承担。修改期间，甲方付款时间相应顺延。</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2.3乙方不得将本合同项下权利义务</w:t>
      </w:r>
      <w:r>
        <w:rPr>
          <w:rFonts w:hint="eastAsia" w:hAnsi="宋体" w:cs="宋体"/>
          <w:color w:val="auto"/>
          <w:sz w:val="24"/>
          <w:highlight w:val="none"/>
          <w:lang w:eastAsia="zh-Hans"/>
        </w:rPr>
        <w:t>部分或全部</w:t>
      </w:r>
      <w:r>
        <w:rPr>
          <w:rFonts w:hint="eastAsia" w:hAnsi="宋体" w:cs="宋体"/>
          <w:color w:val="auto"/>
          <w:sz w:val="24"/>
          <w:highlight w:val="none"/>
        </w:rPr>
        <w:t>转让给任何第三方。</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2.4乙方对其工作人员在合同履行期间的一切行为负责，因乙方造成期间发生的一切安全事故责任、其他人身损害以外及因此发生的人身损害赔偿和其他费用由乙方自行承担，概与甲方无关。若因此导致甲方支付赔偿及其他费用，乙方应全部偿还给甲方。</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2.5为保证项目成果的质量，乙方在合同履行期间，应按照要求成立专门的项目小组，并保障项目团队成员到位。项目负责人负责对项目实施全过程进行组织和指导，并承担项目的实质性工作。乙方应保证本合同的主要核心成员在项目实施期间全程参与项目实质性工作。如确需更换项目团队成员（含项目负责人），乙方应事先征得甲方书面同意，且接替人员的职位、资历应与原定成员相当。</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2.6合同履行期间，乙方应按甲方的要求进行现场调研、阶段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2.8乙方有维护甲方声誉的义务，乙方不能以甲方名义从事与本项目无关的任何事务。</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2.9本合同期满或提前解除、终止后，乙方应将甲方的档案资料、信息数据等交还甲方，并应销毁或删除所有备份。</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2.10乙方在完成本项目过程中，不得损害其他任何第三方的知识产权等合法权益，否则由此造成的相关责任应当由乙方自行承担，与甲方无关。</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2.11乙方应采取必要措施配合甲方验收人员的工作</w:t>
      </w:r>
      <w:r>
        <w:rPr>
          <w:rFonts w:hint="eastAsia" w:hAnsi="宋体" w:cs="宋体"/>
          <w:color w:val="auto"/>
          <w:sz w:val="24"/>
          <w:highlight w:val="none"/>
          <w:lang w:eastAsia="zh-CN"/>
        </w:rPr>
        <w:t>，</w:t>
      </w:r>
      <w:r>
        <w:rPr>
          <w:rFonts w:hint="eastAsia" w:hAnsi="宋体" w:cs="宋体"/>
          <w:color w:val="auto"/>
          <w:sz w:val="24"/>
          <w:highlight w:val="none"/>
        </w:rPr>
        <w:t>对于验收过程中发现的问题，乙方应在发现问题之日起3天内进行改正，以符合甲方的需要。</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2.12乙方指定项目联系人：</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 xml:space="preserve">姓名： </w:t>
      </w:r>
    </w:p>
    <w:p>
      <w:pPr>
        <w:pStyle w:val="11"/>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联系方式：</w:t>
      </w:r>
    </w:p>
    <w:p>
      <w:pPr>
        <w:spacing w:line="360" w:lineRule="auto"/>
        <w:ind w:left="11" w:firstLine="420"/>
        <w:rPr>
          <w:rFonts w:hint="eastAsia" w:ascii="宋体" w:hAnsi="宋体" w:cs="宋体"/>
          <w:b/>
          <w:bCs/>
          <w:color w:val="auto"/>
          <w:sz w:val="24"/>
          <w:highlight w:val="none"/>
        </w:rPr>
      </w:pPr>
      <w:bookmarkStart w:id="37" w:name="_Toc24089"/>
      <w:r>
        <w:rPr>
          <w:rFonts w:hint="eastAsia" w:ascii="宋体" w:hAnsi="宋体" w:cs="宋体"/>
          <w:b/>
          <w:bCs/>
          <w:color w:val="auto"/>
          <w:sz w:val="24"/>
          <w:highlight w:val="none"/>
        </w:rPr>
        <w:t>七、合同履行时间</w:t>
      </w:r>
      <w:bookmarkEnd w:id="37"/>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履行时间：自合同签订之日起1年。本项目为长期服务项目，经履约考核优秀的可以续签，最多可以续签两次，最长不超过36个月。</w:t>
      </w:r>
    </w:p>
    <w:p>
      <w:pPr>
        <w:snapToGrid w:val="0"/>
        <w:spacing w:line="360" w:lineRule="auto"/>
        <w:ind w:left="11" w:firstLine="420"/>
        <w:rPr>
          <w:rFonts w:hint="eastAsia" w:ascii="宋体" w:hAnsi="宋体" w:cs="宋体"/>
          <w:color w:val="auto"/>
          <w:sz w:val="24"/>
          <w:highlight w:val="none"/>
        </w:rPr>
      </w:pPr>
      <w:bookmarkStart w:id="38" w:name="_Toc22413"/>
      <w:r>
        <w:rPr>
          <w:rFonts w:hint="eastAsia" w:ascii="宋体" w:hAnsi="宋体" w:cs="宋体"/>
          <w:b/>
          <w:bCs/>
          <w:color w:val="auto"/>
          <w:sz w:val="24"/>
          <w:highlight w:val="none"/>
        </w:rPr>
        <w:t>八、成果内容及验收</w:t>
      </w:r>
    </w:p>
    <w:bookmarkEnd w:id="38"/>
    <w:p>
      <w:pPr>
        <w:snapToGrid w:val="0"/>
        <w:spacing w:line="360" w:lineRule="auto"/>
        <w:ind w:left="11" w:firstLine="480" w:firstLineChars="200"/>
        <w:rPr>
          <w:rFonts w:hint="eastAsia" w:ascii="宋体" w:hAnsi="宋体" w:cs="宋体"/>
          <w:color w:val="auto"/>
          <w:sz w:val="24"/>
          <w:highlight w:val="none"/>
        </w:rPr>
      </w:pPr>
      <w:bookmarkStart w:id="39" w:name="_Toc11509"/>
      <w:r>
        <w:rPr>
          <w:rFonts w:hint="eastAsia" w:ascii="宋体" w:hAnsi="宋体" w:cs="宋体"/>
          <w:color w:val="auto"/>
          <w:sz w:val="24"/>
          <w:highlight w:val="none"/>
        </w:rPr>
        <w:t>1.成果内容</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本项目交付成果主要包括数据清单、分析报告。主要成果构成如下：</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82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工作成果</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前海涉海企业名录库</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excel形式，月度更新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前海涉海准四上、四上企业清单</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excel形式，月度更新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前海外迁涉海企业监测清单</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excel形式，月度更新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前海海洋经济月度分析报告（12份）</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word形式，月度输出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前海海洋经济季度统计分析报告（4份）</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word形式，季度输出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6</w:t>
            </w:r>
          </w:p>
        </w:tc>
        <w:tc>
          <w:tcPr>
            <w:tcW w:w="4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前海海洋经济年度分析报告（1份）</w:t>
            </w:r>
          </w:p>
        </w:tc>
        <w:tc>
          <w:tcPr>
            <w:tcW w:w="2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宋体" w:hAnsi="宋体" w:cs="宋体"/>
                <w:bCs/>
                <w:color w:val="auto"/>
                <w:sz w:val="24"/>
                <w:highlight w:val="none"/>
              </w:rPr>
            </w:pPr>
            <w:r>
              <w:rPr>
                <w:rFonts w:hint="eastAsia" w:ascii="宋体" w:hAnsi="宋体" w:cs="宋体"/>
                <w:color w:val="auto"/>
                <w:kern w:val="0"/>
                <w:sz w:val="24"/>
                <w:highlight w:val="none"/>
              </w:rPr>
              <w:t>word形式，年度输出</w:t>
            </w:r>
          </w:p>
        </w:tc>
      </w:tr>
    </w:tbl>
    <w:p>
      <w:pPr>
        <w:snapToGrid w:val="0"/>
        <w:spacing w:line="360" w:lineRule="auto"/>
        <w:ind w:left="11" w:firstLine="480" w:firstLineChars="200"/>
        <w:rPr>
          <w:rFonts w:hint="eastAsia" w:ascii="宋体" w:hAnsi="宋体" w:cs="宋体"/>
          <w:color w:val="auto"/>
          <w:sz w:val="24"/>
          <w:highlight w:val="none"/>
        </w:rPr>
      </w:pPr>
    </w:p>
    <w:p>
      <w:pPr>
        <w:snapToGrid w:val="0"/>
        <w:spacing w:line="360" w:lineRule="auto"/>
        <w:ind w:left="11"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成果验收合格的标志为：甲方审查通过。</w:t>
      </w:r>
    </w:p>
    <w:p>
      <w:pPr>
        <w:spacing w:line="360" w:lineRule="auto"/>
        <w:ind w:left="11" w:firstLine="420"/>
        <w:rPr>
          <w:rFonts w:hint="eastAsia" w:ascii="宋体" w:hAnsi="宋体" w:cs="宋体"/>
          <w:b/>
          <w:bCs/>
          <w:color w:val="auto"/>
          <w:sz w:val="24"/>
          <w:highlight w:val="none"/>
        </w:rPr>
      </w:pPr>
      <w:r>
        <w:rPr>
          <w:rFonts w:hint="eastAsia" w:ascii="宋体" w:hAnsi="宋体" w:cs="宋体"/>
          <w:b/>
          <w:bCs/>
          <w:color w:val="auto"/>
          <w:sz w:val="24"/>
          <w:highlight w:val="none"/>
        </w:rPr>
        <w:t>九、费用支付</w:t>
      </w:r>
      <w:bookmarkEnd w:id="39"/>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1.合同金额由甲方分3期支付至乙方指定银行账户：</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1.1.第一期：合同签订后，根据乙方提出的付款申请，甲方在1</w:t>
      </w:r>
      <w:r>
        <w:rPr>
          <w:rFonts w:ascii="宋体" w:hAnsi="宋体" w:cs="宋体"/>
          <w:color w:val="auto"/>
          <w:sz w:val="24"/>
          <w:highlight w:val="none"/>
        </w:rPr>
        <w:t>5</w:t>
      </w:r>
      <w:r>
        <w:rPr>
          <w:rFonts w:hint="eastAsia" w:ascii="宋体" w:hAnsi="宋体" w:cs="宋体"/>
          <w:color w:val="auto"/>
          <w:sz w:val="24"/>
          <w:highlight w:val="none"/>
        </w:rPr>
        <w:t>个工作日内支付合同总额的30%</w:t>
      </w:r>
      <w:r>
        <w:rPr>
          <w:rFonts w:hint="eastAsia" w:ascii="宋体" w:hAnsi="宋体" w:cs="宋体"/>
          <w:color w:val="auto"/>
          <w:sz w:val="24"/>
          <w:highlight w:val="none"/>
          <w:lang w:eastAsia="zh-CN"/>
        </w:rPr>
        <w:t>。</w:t>
      </w:r>
      <w:r>
        <w:rPr>
          <w:rFonts w:hint="eastAsia" w:ascii="宋体" w:hAnsi="宋体" w:cs="宋体"/>
          <w:color w:val="auto"/>
          <w:sz w:val="24"/>
          <w:highlight w:val="none"/>
        </w:rPr>
        <w:t>即人民币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pPr>
        <w:pStyle w:val="16"/>
        <w:spacing w:before="0" w:beforeAutospacing="0" w:after="0" w:afterAutospacing="0" w:line="360" w:lineRule="auto"/>
        <w:ind w:left="11" w:firstLine="480" w:firstLineChars="200"/>
        <w:rPr>
          <w:rFonts w:hint="eastAsia"/>
          <w:color w:val="auto"/>
          <w:highlight w:val="none"/>
        </w:rPr>
      </w:pPr>
      <w:r>
        <w:rPr>
          <w:rFonts w:hint="eastAsia"/>
          <w:color w:val="auto"/>
          <w:highlight w:val="none"/>
        </w:rPr>
        <w:t>1.2.第二期：项目合同执行6个月后，乙方提交半年度数据、报告成果，且甲方审查通过后，根据乙方提出的付款申请，甲方在15个工作日内支付合同总额的40%。即人民币</w:t>
      </w:r>
      <w:r>
        <w:rPr>
          <w:rFonts w:hint="eastAsia"/>
          <w:color w:val="auto"/>
          <w:highlight w:val="none"/>
          <w:u w:val="single"/>
        </w:rPr>
        <w:t xml:space="preserve">      </w:t>
      </w:r>
      <w:r>
        <w:rPr>
          <w:rFonts w:hint="eastAsia"/>
          <w:color w:val="auto"/>
          <w:highlight w:val="none"/>
        </w:rPr>
        <w:t>整（¥</w:t>
      </w:r>
      <w:r>
        <w:rPr>
          <w:rFonts w:hint="eastAsia"/>
          <w:color w:val="auto"/>
          <w:highlight w:val="none"/>
          <w:u w:val="single"/>
        </w:rPr>
        <w:t xml:space="preserve">      </w:t>
      </w:r>
      <w:r>
        <w:rPr>
          <w:rFonts w:hint="eastAsia"/>
          <w:color w:val="auto"/>
          <w:highlight w:val="none"/>
        </w:rPr>
        <w:t>元）</w:t>
      </w:r>
    </w:p>
    <w:p>
      <w:pPr>
        <w:pStyle w:val="16"/>
        <w:spacing w:before="0" w:beforeAutospacing="0" w:after="0" w:afterAutospacing="0" w:line="360" w:lineRule="auto"/>
        <w:ind w:left="11" w:firstLine="480" w:firstLineChars="200"/>
        <w:rPr>
          <w:rFonts w:hint="eastAsia"/>
          <w:color w:val="auto"/>
          <w:highlight w:val="none"/>
        </w:rPr>
      </w:pPr>
      <w:r>
        <w:rPr>
          <w:rFonts w:hint="eastAsia"/>
          <w:color w:val="auto"/>
          <w:highlight w:val="none"/>
        </w:rPr>
        <w:t>1.3.第三期：项目合同期满，乙方完成所有合同约定工作任务，且甲方审查通过后，根据乙方提出的付款申请，甲方在15个工作日内支付合同总额的30%。即人民币</w:t>
      </w:r>
      <w:r>
        <w:rPr>
          <w:rFonts w:hint="eastAsia"/>
          <w:color w:val="auto"/>
          <w:highlight w:val="none"/>
          <w:u w:val="single"/>
        </w:rPr>
        <w:t xml:space="preserve">      </w:t>
      </w:r>
      <w:r>
        <w:rPr>
          <w:rFonts w:hint="eastAsia"/>
          <w:color w:val="auto"/>
          <w:highlight w:val="none"/>
        </w:rPr>
        <w:t>整（¥</w:t>
      </w:r>
      <w:r>
        <w:rPr>
          <w:rFonts w:hint="eastAsia"/>
          <w:color w:val="auto"/>
          <w:highlight w:val="none"/>
          <w:u w:val="single"/>
        </w:rPr>
        <w:t xml:space="preserve">      </w:t>
      </w:r>
      <w:r>
        <w:rPr>
          <w:rFonts w:hint="eastAsia"/>
          <w:color w:val="auto"/>
          <w:highlight w:val="none"/>
        </w:rPr>
        <w:t>元）</w:t>
      </w:r>
    </w:p>
    <w:p>
      <w:pPr>
        <w:pStyle w:val="16"/>
        <w:spacing w:before="0" w:beforeAutospacing="0" w:after="0" w:afterAutospacing="0" w:line="360" w:lineRule="auto"/>
        <w:ind w:left="11" w:firstLine="480" w:firstLineChars="200"/>
        <w:rPr>
          <w:rFonts w:hint="eastAsia"/>
          <w:color w:val="auto"/>
          <w:kern w:val="2"/>
          <w:highlight w:val="none"/>
        </w:rPr>
      </w:pPr>
      <w:r>
        <w:rPr>
          <w:rFonts w:hint="eastAsia"/>
          <w:color w:val="auto"/>
          <w:kern w:val="2"/>
          <w:highlight w:val="none"/>
        </w:rPr>
        <w:t>1.4.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pacing w:line="360" w:lineRule="auto"/>
        <w:ind w:left="11"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本合同执行中相关的一切税费均由乙方负担。</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3.合同价款由甲方分期付至乙方指定银行账户</w:t>
      </w:r>
    </w:p>
    <w:p>
      <w:pPr>
        <w:spacing w:line="360" w:lineRule="auto"/>
        <w:ind w:left="11"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乙方银行账户信息：</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户名：       </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账号： </w:t>
      </w:r>
    </w:p>
    <w:p>
      <w:pPr>
        <w:pStyle w:val="16"/>
        <w:spacing w:before="0" w:beforeAutospacing="0" w:after="0" w:afterAutospacing="0" w:line="360" w:lineRule="auto"/>
        <w:ind w:left="11" w:firstLine="480" w:firstLineChars="200"/>
        <w:rPr>
          <w:rFonts w:hint="eastAsia"/>
          <w:color w:val="auto"/>
          <w:kern w:val="2"/>
          <w:highlight w:val="none"/>
        </w:rPr>
      </w:pPr>
      <w:r>
        <w:rPr>
          <w:rFonts w:hint="eastAsia"/>
          <w:color w:val="auto"/>
          <w:kern w:val="2"/>
          <w:highlight w:val="none"/>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left="11" w:firstLine="420"/>
        <w:rPr>
          <w:rFonts w:hint="eastAsia" w:ascii="宋体" w:hAnsi="宋体" w:cs="宋体"/>
          <w:b/>
          <w:bCs/>
          <w:color w:val="auto"/>
          <w:sz w:val="24"/>
          <w:highlight w:val="none"/>
        </w:rPr>
      </w:pPr>
      <w:r>
        <w:rPr>
          <w:rFonts w:hint="eastAsia" w:ascii="宋体" w:hAnsi="宋体" w:cs="宋体"/>
          <w:b/>
          <w:bCs/>
          <w:color w:val="auto"/>
          <w:sz w:val="24"/>
          <w:highlight w:val="none"/>
        </w:rPr>
        <w:t>十、合同提前终止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3.有下列情形之一的，本合同自甲方向乙方发出书面通知之日起终止：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（1）甲方的职能发生转变，不再具有委托职能。</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（2）本合同签订时适用的法律法规或政策发生变化，且对本合同的继续履行造成重大影响。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发生以上情形，甲方已向乙方支付的款项不退还，尚未支付的款项不再支付，同时乙方应向甲方提交在合同终止日前完成的所有项目文件和相关资料。</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4.如发生不可抗力或其他超出合同双方控制的事件，致使一方无法履行合同，本合同解除。</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（2）发生不可抗力，甲乙双方承担各自的损失。由于其中一方迟延履行合同义务后发生不可抗力的，其违约责任不能免除。</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360" w:lineRule="auto"/>
        <w:ind w:left="11" w:firstLine="420"/>
        <w:rPr>
          <w:rFonts w:hint="eastAsia" w:ascii="宋体" w:hAnsi="宋体" w:cs="宋体"/>
          <w:b/>
          <w:bCs/>
          <w:color w:val="auto"/>
          <w:sz w:val="24"/>
          <w:highlight w:val="none"/>
        </w:rPr>
      </w:pPr>
      <w:bookmarkStart w:id="40" w:name="_Toc10529"/>
      <w:r>
        <w:rPr>
          <w:rFonts w:hint="eastAsia" w:ascii="宋体" w:hAnsi="宋体" w:cs="宋体"/>
          <w:b/>
          <w:bCs/>
          <w:color w:val="auto"/>
          <w:sz w:val="24"/>
          <w:highlight w:val="none"/>
        </w:rPr>
        <w:t>十一、争议解决</w:t>
      </w:r>
      <w:bookmarkEnd w:id="40"/>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因本合同的履行发生的或与本合同有关的争议或纠纷，由双方协商解决，协商不成的，任意一方有权向深圳前海合作区人民法院提起诉讼。</w:t>
      </w:r>
    </w:p>
    <w:p>
      <w:pPr>
        <w:spacing w:line="360" w:lineRule="auto"/>
        <w:ind w:left="11" w:firstLine="420"/>
        <w:rPr>
          <w:rFonts w:hint="eastAsia" w:ascii="宋体" w:hAnsi="宋体" w:cs="宋体"/>
          <w:b/>
          <w:bCs/>
          <w:color w:val="auto"/>
          <w:sz w:val="24"/>
          <w:highlight w:val="none"/>
        </w:rPr>
      </w:pPr>
      <w:bookmarkStart w:id="41" w:name="_Toc14951"/>
      <w:r>
        <w:rPr>
          <w:rFonts w:hint="eastAsia" w:ascii="宋体" w:hAnsi="宋体" w:cs="宋体"/>
          <w:b/>
          <w:bCs/>
          <w:color w:val="auto"/>
          <w:sz w:val="24"/>
          <w:highlight w:val="none"/>
        </w:rPr>
        <w:t>十二、违约责任</w:t>
      </w:r>
      <w:bookmarkEnd w:id="41"/>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1.因乙方原因，未能按规定时间完成有关工作的，每延误一天，甲方有权自尚未支付的合同款项中扣除该阶段应付而未付合同价款的1‰的逾期违约金。</w:t>
      </w:r>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2.如乙方提供的服务或成果不符合质量要求，必须在甲方提出要求后7个日历日无条件修改，其费用由乙方承担。</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履行期间，发生下述情形时，甲方有权解除本合同，乙方应在合同解除通知发出之日起10日内向甲方支付合同总价款10%的违约金。乙方应同时将已完成的项目成果移交给甲方，并将全部有关资料退还甲方：</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3.1因乙方工作的错误或遗漏造成成果质量不符合本合同要求，且乙方未按甲方要求采取及时有效的补救措施的；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3.2乙方未能按合同约定的日期(含协商延缓的日期)提交工作成果，延误时间超过30个工作日；或乙方虽如期提交阶段性成果和最终成果，但最终成果连续二次未能通过验收的；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3.3发现乙方或乙方工作人员出现全部或部分丧失履行委托服务能力的情况，甲方有权通知乙方限期整改或更换工作人员，期限届满乙方并未进行改善的；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bidi="ar"/>
        </w:rPr>
        <w:t>未经甲方书面在先同意，乙方擅自将本合同项目与任何第三方合作，或将本合同标的的全部或部分擅自转包给任何第三方，且未按甲方的要求终止与第三方的合同的</w:t>
      </w:r>
      <w:r>
        <w:rPr>
          <w:rFonts w:hint="eastAsia" w:ascii="宋体" w:hAnsi="宋体" w:cs="宋体"/>
          <w:color w:val="auto"/>
          <w:sz w:val="24"/>
          <w:highlight w:val="none"/>
          <w:lang w:eastAsia="zh-Hans" w:bidi="ar"/>
        </w:rPr>
        <w:t>；</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3.5乙方明确表示或者以自己的行为表明不履行本合同的。</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left="11" w:firstLine="420"/>
        <w:rPr>
          <w:rFonts w:hint="eastAsia" w:ascii="宋体" w:hAnsi="宋体" w:cs="宋体"/>
          <w:b/>
          <w:bCs/>
          <w:color w:val="auto"/>
          <w:sz w:val="24"/>
          <w:highlight w:val="none"/>
        </w:rPr>
      </w:pPr>
      <w:bookmarkStart w:id="42" w:name="_Toc17510"/>
      <w:r>
        <w:rPr>
          <w:rFonts w:hint="eastAsia" w:ascii="宋体" w:hAnsi="宋体" w:cs="宋体"/>
          <w:b/>
          <w:bCs/>
          <w:color w:val="auto"/>
          <w:sz w:val="24"/>
          <w:highlight w:val="none"/>
        </w:rPr>
        <w:t>十三、项目变更</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遇到不能按期完成工作的情况，应及时以书面形式将不能按期完成工作的理由、延误时间通知甲方。甲方在收到乙方通知后，根据情况决定是否延长完成时间。如同意延长，则乙方责任期也相应延长。由此产生的全部费用由乙方自行承担。</w:t>
      </w:r>
    </w:p>
    <w:p>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因非乙方责任造成项目进度推迟或延误，无法按照本合同约定的日期完成相应工作，双方经过协商可以进一步约定完成的日期，乙方的责任期也随之顺延。</w:t>
      </w:r>
    </w:p>
    <w:p>
      <w:pPr>
        <w:spacing w:line="360" w:lineRule="auto"/>
        <w:ind w:left="11" w:firstLine="420"/>
        <w:rPr>
          <w:rFonts w:hint="eastAsia" w:ascii="宋体" w:hAnsi="宋体" w:cs="宋体"/>
          <w:b/>
          <w:bCs/>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在合同所约定的工作范畴内的服务，本合同价格不予变更。</w:t>
      </w:r>
    </w:p>
    <w:p>
      <w:pPr>
        <w:spacing w:line="360" w:lineRule="auto"/>
        <w:ind w:left="11" w:firstLine="420"/>
        <w:rPr>
          <w:rFonts w:hint="eastAsia" w:ascii="宋体" w:hAnsi="宋体" w:cs="宋体"/>
          <w:b/>
          <w:bCs/>
          <w:color w:val="auto"/>
          <w:sz w:val="24"/>
          <w:highlight w:val="none"/>
        </w:rPr>
      </w:pPr>
      <w:r>
        <w:rPr>
          <w:rFonts w:hint="eastAsia" w:ascii="宋体" w:hAnsi="宋体" w:cs="宋体"/>
          <w:b/>
          <w:bCs/>
          <w:color w:val="auto"/>
          <w:sz w:val="24"/>
          <w:highlight w:val="none"/>
        </w:rPr>
        <w:t>十四、保密条款</w:t>
      </w:r>
      <w:bookmarkEnd w:id="42"/>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以保密方式处理在编制本项目成果文件过程中自甲方、甲方工作人员或甲方关联机构获得的相关信息、资料、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3.乙方实施项目的程序应符合国家安全、保密的有关规定和标准。</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4.上述保密义务不适用以下情况：</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5.如乙方违反上述保密条款，甲方有权解除本合同，乙方应在合同解除通知发出之日起10日内向甲方支付本合同服务费总金额10%的违约金，如果违约金无法弥补甲方损失，甲方保留要求乙方赔偿全部损失的权利</w:t>
      </w:r>
      <w:r>
        <w:rPr>
          <w:rFonts w:hint="eastAsia" w:ascii="宋体" w:hAnsi="宋体" w:cs="宋体"/>
          <w:color w:val="auto"/>
          <w:kern w:val="0"/>
          <w:sz w:val="24"/>
          <w:highlight w:val="none"/>
        </w:rPr>
        <w:t>，包括但不限于上述索赔或责任所产生的诉讼费用、合理的律师费用、鉴定评估费用、调查费用、和解金额或生效法律文书中规定的赔偿金额。</w:t>
      </w:r>
    </w:p>
    <w:p>
      <w:pPr>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6.无论本合同或本合同其他条款是否有效，本保密条款始终约束双方。国家秘密的保密期限由国家有关部门确定，工作秘密的保密期限由甲方确定。</w:t>
      </w:r>
    </w:p>
    <w:p>
      <w:pPr>
        <w:spacing w:line="360" w:lineRule="auto"/>
        <w:ind w:left="11" w:firstLine="420"/>
        <w:rPr>
          <w:rFonts w:hint="eastAsia" w:ascii="宋体" w:hAnsi="宋体" w:cs="宋体"/>
          <w:b/>
          <w:bCs/>
          <w:color w:val="auto"/>
          <w:sz w:val="24"/>
          <w:highlight w:val="none"/>
        </w:rPr>
      </w:pPr>
      <w:bookmarkStart w:id="43" w:name="_Toc16227"/>
      <w:r>
        <w:rPr>
          <w:rFonts w:hint="eastAsia" w:ascii="宋体" w:hAnsi="宋体" w:cs="宋体"/>
          <w:b/>
          <w:bCs/>
          <w:color w:val="auto"/>
          <w:sz w:val="24"/>
          <w:highlight w:val="none"/>
        </w:rPr>
        <w:t>十五、其他</w:t>
      </w:r>
      <w:bookmarkEnd w:id="43"/>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（1）合同书及补充协议；</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（2）中标通知书；</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（3）招标文件（编号：    ）及其澄清、补正公告；</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（4）投标书。</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2.本合同替代此前双方所有关于本合同事项的口头或书面的纪要、备忘录、合同、协议。</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3.本合同附件（如有）为合同不可分割的组成部分，与本合同一并加盖骑缝章后具有同等法律效力。若附件与合同正文有任何冲突，以合同正文为准。</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4.本合同各条标题仅为提示之用，应以条文内容确定各方的权利义务。</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5.本合同未尽事宜，由双方协商签订补充协议进行约定。补充协议应以书面形式作成，经双方盖章后与本合同具有同等法律效力。</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7.如果本合同的任何条款在任何时候变成不合法、无效或不可强制执行而不从根本上影响本合同的效力时，本合同的其他条款不受影响。</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8.本合同的任何内容不应被视为或解释为双方之间具有合资、合伙、代理关系。</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9.任何一方未经另一方同意不得向任何第三方透露本合同的签订及其内容。甲方向其关联公司透露前述内容的，不受此限。</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11.本合同自双方盖章之日起生效，有效期至本合同全部权利义务履行完毕之日止。</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12.本合同一式六份正本，甲方与乙方各执三份，均具同等法律效力。（以下无正文）</w:t>
      </w:r>
    </w:p>
    <w:p>
      <w:pPr>
        <w:snapToGrid w:val="0"/>
        <w:spacing w:line="360" w:lineRule="auto"/>
        <w:ind w:left="11" w:firstLine="480" w:firstLineChars="200"/>
        <w:rPr>
          <w:rFonts w:hint="eastAsia" w:ascii="宋体" w:hAnsi="宋体" w:cs="宋体"/>
          <w:color w:val="auto"/>
          <w:sz w:val="24"/>
          <w:highlight w:val="none"/>
        </w:rPr>
      </w:pPr>
    </w:p>
    <w:p>
      <w:pPr>
        <w:pStyle w:val="11"/>
        <w:snapToGrid w:val="0"/>
        <w:spacing w:line="360" w:lineRule="auto"/>
        <w:ind w:left="11" w:firstLine="480" w:firstLineChars="200"/>
        <w:rPr>
          <w:rFonts w:hint="eastAsia" w:hAnsi="宋体" w:cs="宋体"/>
          <w:color w:val="auto"/>
          <w:sz w:val="24"/>
          <w:highlight w:val="none"/>
        </w:rPr>
      </w:pPr>
      <w:r>
        <w:rPr>
          <w:rFonts w:hint="eastAsia" w:hAnsi="宋体" w:cs="宋体"/>
          <w:color w:val="auto"/>
          <w:sz w:val="24"/>
          <w:highlight w:val="none"/>
        </w:rPr>
        <w:t>附件：</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1.《中标通知书》；</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2.《招标文件》；</w:t>
      </w:r>
    </w:p>
    <w:p>
      <w:pPr>
        <w:snapToGrid w:val="0"/>
        <w:spacing w:line="360" w:lineRule="auto"/>
        <w:ind w:left="11" w:firstLine="480" w:firstLineChars="200"/>
        <w:rPr>
          <w:rFonts w:ascii="宋体" w:hAnsi="宋体" w:cs="宋体"/>
          <w:color w:val="auto"/>
          <w:sz w:val="24"/>
          <w:highlight w:val="none"/>
        </w:rPr>
      </w:pPr>
      <w:r>
        <w:rPr>
          <w:rFonts w:hint="eastAsia" w:ascii="宋体" w:hAnsi="宋体" w:cs="宋体"/>
          <w:color w:val="auto"/>
          <w:sz w:val="24"/>
          <w:highlight w:val="none"/>
        </w:rPr>
        <w:t>3.《投标文件》；</w:t>
      </w:r>
    </w:p>
    <w:p>
      <w:pPr>
        <w:snapToGrid w:val="0"/>
        <w:spacing w:line="360" w:lineRule="auto"/>
        <w:ind w:left="11" w:firstLine="480" w:firstLineChars="200"/>
        <w:rPr>
          <w:rFonts w:hint="eastAsia" w:ascii="宋体" w:hAnsi="宋体" w:cs="宋体"/>
          <w:color w:val="auto"/>
          <w:sz w:val="24"/>
          <w:highlight w:val="none"/>
        </w:rPr>
      </w:pPr>
      <w:r>
        <w:rPr>
          <w:rFonts w:hint="eastAsia" w:ascii="宋体" w:hAnsi="宋体" w:cs="宋体"/>
          <w:color w:val="auto"/>
          <w:sz w:val="24"/>
          <w:highlight w:val="none"/>
        </w:rPr>
        <w:t>4.项目团队成员（含项目负责人）名单。</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甲方：                                    乙方：</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地址：                                    地址：</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法定代表人：                              法定代表人：</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委托代理人：                              委托代理人：</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电话：                                    电话：</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开户银行：                                开户银行：</w:t>
      </w:r>
    </w:p>
    <w:p>
      <w:pPr>
        <w:snapToGrid w:val="0"/>
        <w:spacing w:line="360" w:lineRule="auto"/>
        <w:ind w:left="11" w:firstLine="422"/>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 xml:space="preserve">号：                                    </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p>
    <w:p>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签约地址：                           签约时间：     年   月   日</w:t>
      </w:r>
    </w:p>
    <w:p>
      <w:pPr>
        <w:spacing w:line="360" w:lineRule="auto"/>
        <w:ind w:firstLine="720" w:firstLineChars="300"/>
        <w:rPr>
          <w:rFonts w:hint="eastAsia" w:ascii="宋体" w:hAnsi="宋体" w:cs="宋体"/>
          <w:color w:val="auto"/>
          <w:sz w:val="24"/>
          <w:highlight w:val="none"/>
        </w:rPr>
      </w:pPr>
    </w:p>
    <w:p>
      <w:pPr>
        <w:rPr>
          <w:rFonts w:hint="eastAsia" w:ascii="仿宋" w:hAnsi="仿宋" w:eastAsia="仿宋" w:cs="仿宋"/>
          <w:color w:val="auto"/>
          <w:szCs w:val="21"/>
          <w:highlight w:val="none"/>
        </w:rPr>
      </w:pPr>
    </w:p>
    <w:p>
      <w:pPr>
        <w:ind w:left="11" w:firstLine="630" w:firstLineChars="300"/>
        <w:rPr>
          <w:rFonts w:hint="eastAsia" w:ascii="仿宋" w:hAnsi="仿宋" w:eastAsia="仿宋" w:cs="仿宋"/>
          <w:color w:val="auto"/>
          <w:szCs w:val="21"/>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b/>
          <w:bCs/>
          <w:color w:val="auto"/>
          <w:szCs w:val="21"/>
          <w:highlight w:val="none"/>
        </w:rPr>
        <w:t>注：本合同样本仅供参考，具体条款内容采购人和中标人按前海管理局合同样本签订。实际合同样本不改变本招标文件的实质条件</w:t>
      </w:r>
      <w:r>
        <w:rPr>
          <w:rFonts w:hint="eastAsia" w:ascii="宋体" w:hAnsi="宋体" w:cs="宋体"/>
          <w:b/>
          <w:bCs/>
          <w:color w:val="auto"/>
          <w:sz w:val="24"/>
          <w:highlight w:val="none"/>
        </w:rPr>
        <w:t>。</w:t>
      </w:r>
    </w:p>
    <w:p>
      <w:pPr>
        <w:snapToGrid w:val="0"/>
        <w:spacing w:line="360" w:lineRule="auto"/>
        <w:rPr>
          <w:rFonts w:hint="eastAsia" w:ascii="宋体" w:hAnsi="宋体" w:cs="宋体"/>
          <w:color w:val="auto"/>
          <w:sz w:val="24"/>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44" w:name="_Toc11333"/>
      <w:bookmarkStart w:id="45" w:name="_Toc25518"/>
      <w:r>
        <w:rPr>
          <w:rFonts w:hint="eastAsia" w:ascii="宋体" w:hAnsi="宋体" w:cs="宋体"/>
          <w:b/>
          <w:bCs/>
          <w:color w:val="auto"/>
          <w:sz w:val="24"/>
          <w:highlight w:val="none"/>
        </w:rPr>
        <w:t>用户需求书</w:t>
      </w:r>
      <w:bookmarkEnd w:id="44"/>
      <w:bookmarkEnd w:id="45"/>
    </w:p>
    <w:p>
      <w:pPr>
        <w:pStyle w:val="35"/>
        <w:tabs>
          <w:tab w:val="left" w:pos="720"/>
        </w:tabs>
        <w:autoSpaceDE w:val="0"/>
        <w:autoSpaceDN w:val="0"/>
        <w:adjustRightInd w:val="0"/>
        <w:spacing w:line="360" w:lineRule="auto"/>
        <w:ind w:right="17" w:firstLine="482"/>
        <w:jc w:val="left"/>
        <w:rPr>
          <w:rFonts w:hint="eastAsia" w:ascii="宋体" w:hAnsi="宋体" w:cs="宋体"/>
          <w:b/>
          <w:color w:val="auto"/>
          <w:sz w:val="24"/>
          <w:highlight w:val="none"/>
        </w:rPr>
      </w:pPr>
      <w:bookmarkStart w:id="46" w:name="_Toc11045"/>
      <w:bookmarkStart w:id="47" w:name="_Toc23726"/>
      <w:r>
        <w:rPr>
          <w:rFonts w:hint="eastAsia" w:ascii="宋体" w:hAnsi="宋体" w:cs="宋体"/>
          <w:b/>
          <w:color w:val="auto"/>
          <w:sz w:val="24"/>
          <w:highlight w:val="none"/>
        </w:rPr>
        <w:t>说明：本章“用户需求书”的全部内容为本项目正常开展的基本要求，投标人必须完全响应，否则将导致投标无效。</w:t>
      </w:r>
    </w:p>
    <w:bookmarkEnd w:id="46"/>
    <w:bookmarkEnd w:id="47"/>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一、</w:t>
      </w:r>
      <w:bookmarkStart w:id="48" w:name="_Toc51746099"/>
      <w:r>
        <w:rPr>
          <w:rFonts w:hint="eastAsia" w:ascii="宋体" w:hAnsi="宋体" w:cs="宋体"/>
          <w:b/>
          <w:color w:val="auto"/>
          <w:sz w:val="24"/>
          <w:highlight w:val="none"/>
          <w:lang w:val="zh-CN"/>
        </w:rPr>
        <w:t>项目概况</w:t>
      </w:r>
    </w:p>
    <w:bookmarkEnd w:id="48"/>
    <w:p>
      <w:pPr>
        <w:pStyle w:val="8"/>
        <w:spacing w:after="0" w:line="360" w:lineRule="auto"/>
        <w:ind w:firstLine="480" w:firstLineChars="200"/>
        <w:rPr>
          <w:color w:val="auto"/>
          <w:highlight w:val="none"/>
        </w:rPr>
      </w:pPr>
      <w:bookmarkStart w:id="49" w:name="OLE_LINK19"/>
      <w:r>
        <w:rPr>
          <w:rFonts w:hint="eastAsia" w:ascii="宋体" w:hAnsi="宋体" w:cs="宋体"/>
          <w:color w:val="auto"/>
          <w:highlight w:val="none"/>
        </w:rPr>
        <w:t>为做好前海海洋经济统计监测与产业服务工作，摸清前海海洋经济发展现状，解决涉海数据口径不统一、与市级统计体系衔接不畅等问题，拟采购第三方数据服务机构协助提供前海海洋经济统计及分析服务，统一涉海企业界定及统计口径，精准挖掘产业潜力，全面构建动态涉海企业名录库和海洋经济统计体系，形成系统的数据分析成果，为前海海洋经济高质量发展提供坚实数据支撑。</w:t>
      </w:r>
      <w:bookmarkEnd w:id="49"/>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bookmarkStart w:id="50" w:name="OLE_LINK16"/>
      <w:r>
        <w:rPr>
          <w:rFonts w:hint="eastAsia" w:ascii="宋体" w:hAnsi="宋体" w:cs="宋体"/>
          <w:b/>
          <w:color w:val="auto"/>
          <w:sz w:val="24"/>
          <w:highlight w:val="none"/>
        </w:rPr>
        <w:t>二、工作内容</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（一）构建全域涉海数据体系</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整合市海洋局、发改、第三方等数据，明确海洋产业各细分领域的分类标准，建立涵盖企业基本信息、区划位置、港资/外资属性、四上/准四上等多维度标签的主题数据库，实现数据按月度动态更新，按季度复盘校验，夯实统计核算基础，支撑后续统计核算工作。</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（二）筑牢存量企业稳定基础</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建立涉海企业外地购地、跨区域经营动态监测机制，及时捕捉企业外迁或业务转移迹象，支撑处室精准开展企业服务，降低核心企业流失风险，确保存量企业扎根发展。</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（三）挖掘产业增量发展潜力</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聚焦准四上涉海企业挖潜，精准识别纳统潜力企业，推动应统尽统；梳理新增四上企业经营情况，挖掘高成长企业，为政策扶持和招商引智提供靶向目标，助力海洋经济总量提升。</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（四）提供高效数据支撑服务</w:t>
      </w:r>
    </w:p>
    <w:p>
      <w:pPr>
        <w:pStyle w:val="35"/>
        <w:tabs>
          <w:tab w:val="left" w:pos="720"/>
        </w:tabs>
        <w:autoSpaceDE w:val="0"/>
        <w:autoSpaceDN w:val="0"/>
        <w:adjustRightInd w:val="0"/>
        <w:spacing w:line="360" w:lineRule="auto"/>
        <w:ind w:right="17" w:firstLine="480"/>
        <w:jc w:val="left"/>
        <w:rPr>
          <w:rFonts w:hint="eastAsia" w:ascii="宋体" w:hAnsi="宋体" w:cs="宋体"/>
          <w:b/>
          <w:color w:val="auto"/>
          <w:sz w:val="24"/>
          <w:highlight w:val="none"/>
        </w:rPr>
      </w:pPr>
      <w:r>
        <w:rPr>
          <w:rFonts w:hint="eastAsia" w:ascii="宋体" w:hAnsi="宋体" w:cs="宋体"/>
          <w:color w:val="auto"/>
          <w:sz w:val="24"/>
          <w:highlight w:val="none"/>
        </w:rPr>
        <w:t>按时完成月报、季报、年报编制，为未来提出切实可行的次年纳统和招商建议；快速响应临时数据筛选、企业画像分析等需求，保障日常工作及专项任务顺利推进。</w:t>
      </w:r>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成果内容及验收方式</w:t>
      </w:r>
    </w:p>
    <w:p>
      <w:pPr>
        <w:pStyle w:val="35"/>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bookmarkStart w:id="51" w:name="OLE_LINK5"/>
      <w:r>
        <w:rPr>
          <w:rFonts w:hint="eastAsia" w:ascii="宋体" w:hAnsi="宋体" w:cs="宋体"/>
          <w:bCs/>
          <w:color w:val="auto"/>
          <w:sz w:val="24"/>
          <w:highlight w:val="none"/>
        </w:rPr>
        <w:t>（一）</w:t>
      </w:r>
      <w:bookmarkEnd w:id="51"/>
      <w:r>
        <w:rPr>
          <w:rFonts w:hint="eastAsia" w:ascii="宋体" w:hAnsi="宋体" w:cs="宋体"/>
          <w:bCs/>
          <w:color w:val="auto"/>
          <w:sz w:val="24"/>
          <w:highlight w:val="none"/>
        </w:rPr>
        <w:t>成果内容</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本项目交付成果主要包括数据清单、分析报告。主要成果构成如下：</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1.前海涉海企业名录库，excel形式，月度更新；</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2.前海涉海准四上、四上企业清单，excel形式，月度更新；</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3.前海外迁涉海企业监测清单，excel形式，月度更新；</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4.前海海洋经济月度分析报告（12份），word形式，月度输出；</w:t>
      </w:r>
    </w:p>
    <w:p>
      <w:pPr>
        <w:pStyle w:val="35"/>
        <w:tabs>
          <w:tab w:val="left" w:pos="720"/>
        </w:tabs>
        <w:autoSpaceDE w:val="0"/>
        <w:autoSpaceDN w:val="0"/>
        <w:adjustRightInd w:val="0"/>
        <w:spacing w:line="360" w:lineRule="auto"/>
        <w:ind w:right="17" w:firstLine="480"/>
        <w:jc w:val="left"/>
        <w:rPr>
          <w:rFonts w:hint="eastAsia" w:ascii="宋体" w:hAnsi="宋体" w:cs="宋体"/>
          <w:color w:val="auto"/>
          <w:sz w:val="24"/>
          <w:highlight w:val="none"/>
        </w:rPr>
      </w:pPr>
      <w:r>
        <w:rPr>
          <w:rFonts w:hint="eastAsia" w:ascii="宋体" w:hAnsi="宋体" w:cs="宋体"/>
          <w:color w:val="auto"/>
          <w:sz w:val="24"/>
          <w:highlight w:val="none"/>
        </w:rPr>
        <w:t>5.前海海洋经济季度统计分析报告（4份），word形式，季度输出；</w:t>
      </w:r>
    </w:p>
    <w:p>
      <w:pPr>
        <w:pStyle w:val="35"/>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color w:val="auto"/>
          <w:sz w:val="24"/>
          <w:highlight w:val="none"/>
        </w:rPr>
        <w:t>6.前海海洋经济年度分析报告（1份），word形式，年度输出。</w:t>
      </w:r>
    </w:p>
    <w:p>
      <w:pPr>
        <w:pStyle w:val="35"/>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bCs/>
          <w:color w:val="auto"/>
          <w:sz w:val="24"/>
          <w:highlight w:val="none"/>
        </w:rPr>
        <w:t>（二）验收方式</w:t>
      </w:r>
    </w:p>
    <w:p>
      <w:pPr>
        <w:pStyle w:val="35"/>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bCs/>
          <w:color w:val="auto"/>
          <w:sz w:val="24"/>
          <w:highlight w:val="none"/>
        </w:rPr>
        <w:t>成果验收合格的标志为：采购人审查通过。</w:t>
      </w:r>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四、商务要求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highlight w:val="none"/>
        </w:rPr>
      </w:pPr>
      <w:r>
        <w:rPr>
          <w:rFonts w:hint="eastAsia" w:ascii="宋体" w:hAnsi="宋体" w:cs="宋体"/>
          <w:b/>
          <w:bCs/>
          <w:color w:val="auto"/>
          <w:kern w:val="0"/>
          <w:sz w:val="24"/>
          <w:highlight w:val="none"/>
        </w:rPr>
        <w:t>（一）服务期限</w:t>
      </w:r>
    </w:p>
    <w:p>
      <w:pPr>
        <w:pStyle w:val="35"/>
        <w:tabs>
          <w:tab w:val="left" w:pos="720"/>
        </w:tabs>
        <w:autoSpaceDE w:val="0"/>
        <w:autoSpaceDN w:val="0"/>
        <w:adjustRightInd w:val="0"/>
        <w:spacing w:line="360" w:lineRule="auto"/>
        <w:ind w:right="17" w:firstLine="480"/>
        <w:rPr>
          <w:rFonts w:hint="eastAsia" w:ascii="宋体" w:hAnsi="宋体" w:cs="宋体"/>
          <w:color w:val="auto"/>
          <w:sz w:val="24"/>
          <w:highlight w:val="none"/>
        </w:rPr>
      </w:pPr>
      <w:r>
        <w:rPr>
          <w:rFonts w:hint="eastAsia" w:ascii="宋体" w:hAnsi="宋体" w:cs="宋体"/>
          <w:color w:val="auto"/>
          <w:sz w:val="24"/>
          <w:highlight w:val="none"/>
        </w:rPr>
        <w:t>服务期限为合同签订之日起1年。本项目为长期服务项目，经履约考核优秀的可以续签，最多可以续签两次，最长不超过36个月。</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（二）报价要求</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次投标为总价包干，投标报价总价作为中标人与采购人签订的合同金额。投标人的报价不可高于预算（限价），否则投标人的投标文件视同无效。投标人的投标总价为完成项目及招标文件或合同条款所规定的工作内容的各项费用，应包括项目研究、成果报告编制、法定税费和企业的利润等为完成本项目服务所发生的全部相关费用。包含但不限于：</w:t>
      </w:r>
      <w:bookmarkStart w:id="52" w:name="OLE_LINK12"/>
      <w:r>
        <w:rPr>
          <w:rFonts w:hint="eastAsia" w:ascii="宋体" w:hAnsi="宋体" w:cs="宋体"/>
          <w:color w:val="auto"/>
          <w:sz w:val="24"/>
          <w:highlight w:val="none"/>
        </w:rPr>
        <w:t>人员费用及成果制作费、管理费、税费等</w:t>
      </w:r>
      <w:bookmarkEnd w:id="52"/>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（三）付款方式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1.合同金额由采购人分3期支付至中标人指定银行账户：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1.1.第一期：合同签订后，根据中标人提出的付款申请，采购人在15个工作日内支付合同总额的30%。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1.2.第二期：项目合同执行6个月后，中标人提交半年度数据、报告成果，且采购人审查通过后，根据中标人提出的付款申请，采购人在15个工作日内支付合同总额的40%。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1.3.第三期：项目合同期满，中标人完成所有合同约定工作任务，且采购人审查通过后，根据中标人提出的付款申请，采购人在15个工作日内支付合同总额的30%。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highlight w:val="none"/>
        </w:rPr>
        <w:t>采购人</w:t>
      </w:r>
      <w:r>
        <w:rPr>
          <w:rFonts w:hint="eastAsia" w:ascii="宋体" w:hAnsi="宋体" w:cs="宋体"/>
          <w:color w:val="auto"/>
          <w:sz w:val="24"/>
          <w:highlight w:val="none"/>
        </w:rPr>
        <w:t>付款审批影响支付进度，请</w:t>
      </w:r>
      <w:r>
        <w:rPr>
          <w:rFonts w:ascii="宋体" w:hAnsi="宋体" w:cs="宋体"/>
          <w:color w:val="auto"/>
          <w:sz w:val="24"/>
          <w:highlight w:val="none"/>
        </w:rPr>
        <w:t>中标人</w:t>
      </w:r>
      <w:r>
        <w:rPr>
          <w:rFonts w:hint="eastAsia" w:ascii="宋体" w:hAnsi="宋体" w:cs="宋体"/>
          <w:color w:val="auto"/>
          <w:sz w:val="24"/>
          <w:highlight w:val="none"/>
        </w:rPr>
        <w:t>予以谅解，并不得就此向</w:t>
      </w:r>
      <w:r>
        <w:rPr>
          <w:rFonts w:ascii="宋体" w:hAnsi="宋体" w:cs="宋体"/>
          <w:color w:val="auto"/>
          <w:sz w:val="24"/>
          <w:highlight w:val="none"/>
        </w:rPr>
        <w:t>采购人</w:t>
      </w:r>
      <w:r>
        <w:rPr>
          <w:rFonts w:hint="eastAsia" w:ascii="宋体" w:hAnsi="宋体" w:cs="宋体"/>
          <w:color w:val="auto"/>
          <w:sz w:val="24"/>
          <w:highlight w:val="none"/>
        </w:rPr>
        <w:t>索赔。</w:t>
      </w:r>
    </w:p>
    <w:bookmarkEnd w:id="50"/>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（四）知识产权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1.本项目全部阶段性成果和最终成果的所有权、知识产权以及与之相关的所有权利归采购方所有。本合同签署前双方已经拥有的知识产权权利，仍归各自所有。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双方确定，采购方有权利用中标单位按照本合同约定提供的成果，进行后续改进。由此产生的具有实质性或创造性技术进步特征的新的技术成果及其权利归属，全部由采购方享有。具体相关利益的分配办法如下：采购方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未经采购方书面在先同意，中标单位不得将本项目的阶段性成果和最终成果文件及任何数据、资料、软件向任何第三方转让、授权任何第三方使用或用于本合同项目外的其他项目。如发生以上情况，中标单位应向采购方支付本合同总价款10%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5.中标单位完成本合同项目的统计服务人员享有在有关成果文件上写明成果完成者的权利和与采购方共同获得有关荣誉证书、奖励的权利。</w:t>
      </w:r>
    </w:p>
    <w:p>
      <w:pPr>
        <w:widowControl/>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bCs/>
          <w:color w:val="auto"/>
          <w:kern w:val="0"/>
          <w:sz w:val="24"/>
          <w:highlight w:val="none"/>
        </w:rPr>
        <w:t>（五）</w:t>
      </w:r>
      <w:r>
        <w:rPr>
          <w:rFonts w:hint="eastAsia" w:ascii="宋体" w:hAnsi="宋体" w:cs="宋体"/>
          <w:b/>
          <w:bCs/>
          <w:color w:val="auto"/>
          <w:sz w:val="24"/>
          <w:highlight w:val="none"/>
        </w:rPr>
        <w:t>保密条款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单位应以保密方式处理在编制本项目成果文件过程中自采购方、采购方工作人员或采购方关联机构获得的相关信息、资料、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3.中标单位实施项目的程序应符合国家安全、保密的有关规定和标准。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4.上述保密义务不适用以下情况：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中标单位违反上述保密条款，采购方有权解除本合同，中标单位应在合同解除通知发出之日起10日内向采购方支付本合同服务费总金额10%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6.无论本项目其他条款是否有效，本保密条款始终约束双方。国家秘密的保密期限由国家有关部门确定，工作秘密的保密期限由采购人确定。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违约责任</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1.因中标单位原因，未能按规定时间完成有关工作的，每延误一天，采购方自尚未支付的合同款项中扣除该阶段应付而未付合同价款的1‰的逾期违约金。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2.如中标单位提供的服务或成果不符合质量要求，必须在采购方提出要求后7个日历日内无条件修改，其费用由中标单位承担。</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履行期间，发生下述情形时，采购方有权解除本合同，中标单位应在合同解除通知发出之日起10日内向采购方支付合同总价款10%的违约金。中标单位应同时将已完成的项目成果移交给采购方，并将全部有关资料退还采购方：</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(1)因中标单位工作的错误或遗漏造成成果质量不符合本合同要求，且中标单位未按采购方要求采取及时有效的补救措施的；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(2)中标单位未能按合同约定的日期(含协商延缓的日期)提交工作成果，延误时间超过30个工作日；或中标单位虽如期提交阶段性成果和最终成果，但最终成果连续二次未能通过验收的；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(3)发现中标单位或中标单位工作人员出现全部或部分丧失履行委托服务能力的情况，采购方有权通知中标单位限期整改或更换工作人员，期限届满中标单位并未进行改善的；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(4)未经采购单位书面在先同意，中标单位擅自将本合同项目与任何第三方合作，或将本合同标的的全部或部分擅自转包给任何第三方，且未按采购单位的要求终止与第三方的合同的；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（5）中标单位明确表示或者以自己的行为表明不履行本合同的。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2" w:firstLineChars="200"/>
        <w:outlineLvl w:val="2"/>
        <w:rPr>
          <w:rFonts w:hint="eastAsia" w:ascii="宋体" w:hAnsi="宋体" w:cs="宋体"/>
          <w:b/>
          <w:bCs/>
          <w:color w:val="auto"/>
          <w:sz w:val="24"/>
          <w:highlight w:val="none"/>
        </w:rPr>
      </w:pPr>
      <w:bookmarkStart w:id="53" w:name="OLE_LINK13"/>
      <w:r>
        <w:rPr>
          <w:rFonts w:hint="eastAsia" w:ascii="宋体" w:hAnsi="宋体" w:cs="宋体"/>
          <w:b/>
          <w:bCs/>
          <w:color w:val="auto"/>
          <w:sz w:val="24"/>
          <w:highlight w:val="none"/>
        </w:rPr>
        <w:t>（七）</w:t>
      </w:r>
      <w:bookmarkEnd w:id="53"/>
      <w:r>
        <w:rPr>
          <w:rFonts w:hint="eastAsia" w:ascii="宋体" w:hAnsi="宋体" w:cs="宋体"/>
          <w:b/>
          <w:bCs/>
          <w:color w:val="auto"/>
          <w:sz w:val="24"/>
          <w:highlight w:val="none"/>
        </w:rPr>
        <w:t>争议解决方式</w:t>
      </w:r>
    </w:p>
    <w:p>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因合同的履行发生的或与合同有关的争议或纠纷，由双方协商解决，协商不成的，任意一方有权向深圳前海合作区人民法院提起诉讼。</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color w:val="auto"/>
          <w:sz w:val="24"/>
          <w:highlight w:val="none"/>
        </w:rPr>
        <w:br w:type="page"/>
      </w:r>
      <w:bookmarkStart w:id="54" w:name="_Toc10061"/>
      <w:bookmarkStart w:id="55" w:name="_Toc23822"/>
      <w:r>
        <w:rPr>
          <w:rFonts w:hint="eastAsia" w:ascii="宋体" w:hAnsi="宋体" w:cs="宋体"/>
          <w:b/>
          <w:bCs/>
          <w:color w:val="auto"/>
          <w:sz w:val="24"/>
          <w:highlight w:val="none"/>
        </w:rPr>
        <w:t xml:space="preserve"> 投标文件初审及招标项目评分表</w:t>
      </w:r>
      <w:bookmarkEnd w:id="54"/>
      <w:bookmarkEnd w:id="55"/>
    </w:p>
    <w:p>
      <w:pPr>
        <w:spacing w:line="360" w:lineRule="auto"/>
        <w:jc w:val="center"/>
        <w:rPr>
          <w:rFonts w:hint="eastAsia" w:ascii="宋体" w:hAnsi="宋体" w:cs="宋体"/>
          <w:b/>
          <w:color w:val="auto"/>
          <w:sz w:val="24"/>
          <w:highlight w:val="none"/>
        </w:rPr>
      </w:pP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7108"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7108" w:type="dxa"/>
            <w:vAlign w:val="center"/>
          </w:tcPr>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7108" w:type="dxa"/>
            <w:vAlign w:val="center"/>
          </w:tcPr>
          <w:p>
            <w:pPr>
              <w:pStyle w:val="17"/>
              <w:spacing w:before="0" w:after="0"/>
              <w:jc w:val="left"/>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报价合理性审查</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（一）投标（响应）报价低于全部通过符合性审查供应商投标（响应）报价平均值50%的，即投标（响应）报价&lt;全部通过符合性审查供应商投标（响应）报价平均值×50%；</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（二）投标（响应）报价低于通过符合性审查且报价次低供应商投标（响应）报价50%的，即投标（响应）报价&lt;通过符合性审查且报价次低供应商投标（响应）报价×50%；</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（三）投标（响应）报价低于采购项目最高限价45%的，即投标（响应）报价&lt;采购项目最高限价×45%；</w:t>
            </w:r>
          </w:p>
          <w:p>
            <w:pPr>
              <w:pStyle w:val="17"/>
              <w:spacing w:before="0" w:after="0"/>
              <w:jc w:val="left"/>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（四）其他评审委员会认为供应商报价过低，有可能影响产品质量或者不能诚信履约的情形。</w:t>
            </w:r>
          </w:p>
          <w:p>
            <w:pPr>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7108"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hint="eastAsia" w:ascii="宋体" w:hAnsi="宋体" w:cs="宋体"/>
          <w:color w:val="auto"/>
          <w:sz w:val="24"/>
          <w:highlight w:val="none"/>
        </w:rPr>
      </w:pPr>
      <w:r>
        <w:rPr>
          <w:rFonts w:hint="eastAsia" w:ascii="宋体" w:hAnsi="宋体" w:cs="宋体"/>
          <w:b/>
          <w:bCs/>
          <w:color w:val="auto"/>
          <w:sz w:val="24"/>
          <w:highlight w:val="none"/>
        </w:rPr>
        <w:br w:type="page"/>
      </w:r>
      <w:bookmarkStart w:id="56" w:name="_Toc9548"/>
      <w:bookmarkStart w:id="57" w:name="_Hlk28269117"/>
      <w:r>
        <w:rPr>
          <w:rFonts w:hint="eastAsia" w:ascii="宋体" w:hAnsi="宋体" w:cs="宋体"/>
          <w:b/>
          <w:bCs/>
          <w:color w:val="auto"/>
          <w:sz w:val="24"/>
          <w:highlight w:val="none"/>
        </w:rPr>
        <w:t>招标项目评分表</w:t>
      </w:r>
    </w:p>
    <w:tbl>
      <w:tblPr>
        <w:tblStyle w:val="20"/>
        <w:tblW w:w="86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135"/>
        <w:gridCol w:w="750"/>
        <w:gridCol w:w="8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611"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bookmarkStart w:id="58" w:name="OLE_LINK24"/>
            <w:r>
              <w:rPr>
                <w:rFonts w:hint="eastAsia" w:ascii="宋体" w:hAnsi="宋体" w:cs="宋体"/>
                <w:b/>
                <w:color w:val="auto"/>
                <w:sz w:val="24"/>
                <w:highlight w:val="none"/>
                <w:lang w:val="zh-CN"/>
              </w:rPr>
              <w:t>一、价格部分（</w:t>
            </w:r>
            <w:r>
              <w:rPr>
                <w:rFonts w:hint="eastAsia" w:ascii="宋体" w:hAnsi="宋体" w:cs="宋体"/>
                <w:b/>
                <w:color w:val="auto"/>
                <w:sz w:val="24"/>
                <w:highlight w:val="none"/>
              </w:rPr>
              <w:t>10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135"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b/>
                <w:color w:val="auto"/>
                <w:sz w:val="24"/>
                <w:highlight w:val="none"/>
              </w:rPr>
              <w:t>投标报价</w:t>
            </w:r>
          </w:p>
        </w:tc>
        <w:tc>
          <w:tcPr>
            <w:tcW w:w="5135" w:type="dxa"/>
            <w:vAlign w:val="center"/>
          </w:tcPr>
          <w:p>
            <w:pPr>
              <w:pStyle w:val="7"/>
              <w:spacing w:line="360" w:lineRule="auto"/>
              <w:rPr>
                <w:rFonts w:hint="eastAsia" w:ascii="宋体" w:hAnsi="宋体" w:cs="宋体"/>
                <w:color w:val="auto"/>
                <w:sz w:val="24"/>
                <w:highlight w:val="none"/>
              </w:rPr>
            </w:pPr>
            <w:r>
              <w:rPr>
                <w:rFonts w:hint="eastAsia" w:ascii="宋体" w:hAnsi="宋体" w:cs="宋体"/>
                <w:color w:val="auto"/>
                <w:sz w:val="24"/>
                <w:highlight w:val="none"/>
              </w:rPr>
              <w:t>采用低价优先法计算，即满足招标文件要求且投标价格最低的投标报价为评标基准价，其价格分为满分。其他投标人的价格分统一按照下列公式计算：</w:t>
            </w:r>
          </w:p>
          <w:p>
            <w:pPr>
              <w:pStyle w:val="7"/>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投标报价得分=(评标基准价／投标报价)×10</w:t>
            </w:r>
          </w:p>
          <w:p>
            <w:pPr>
              <w:numPr>
                <w:ilvl w:val="0"/>
                <w:numId w:val="6"/>
              </w:numPr>
              <w:spacing w:line="360" w:lineRule="auto"/>
              <w:ind w:left="250" w:hanging="249" w:hangingChars="104"/>
              <w:jc w:val="left"/>
              <w:rPr>
                <w:rFonts w:hint="eastAsia" w:ascii="宋体" w:hAnsi="宋体" w:cs="宋体"/>
                <w:bCs/>
                <w:color w:val="auto"/>
                <w:sz w:val="24"/>
                <w:highlight w:val="none"/>
              </w:rPr>
            </w:pPr>
            <w:r>
              <w:rPr>
                <w:rFonts w:hint="eastAsia" w:ascii="宋体" w:hAnsi="宋体" w:cs="宋体"/>
                <w:bCs/>
                <w:color w:val="auto"/>
                <w:sz w:val="24"/>
                <w:highlight w:val="none"/>
              </w:rPr>
              <w:t>价格评分仅限于有效投标人，</w:t>
            </w:r>
            <w:r>
              <w:rPr>
                <w:rFonts w:hint="eastAsia" w:ascii="宋体" w:hAnsi="宋体" w:cs="宋体"/>
                <w:color w:val="auto"/>
                <w:sz w:val="24"/>
                <w:highlight w:val="none"/>
              </w:rPr>
              <w:t>当价格分&lt;0时，取0。</w:t>
            </w:r>
          </w:p>
          <w:p>
            <w:pPr>
              <w:numPr>
                <w:ilvl w:val="0"/>
                <w:numId w:val="6"/>
              </w:numPr>
              <w:spacing w:line="360" w:lineRule="auto"/>
              <w:ind w:left="0" w:hanging="9"/>
              <w:jc w:val="left"/>
              <w:rPr>
                <w:rFonts w:hint="eastAsia" w:ascii="宋体" w:hAnsi="宋体" w:cs="宋体"/>
                <w:b/>
                <w:color w:val="auto"/>
                <w:sz w:val="24"/>
                <w:highlight w:val="none"/>
              </w:rPr>
            </w:pPr>
            <w:r>
              <w:rPr>
                <w:rFonts w:hint="eastAsia" w:ascii="宋体" w:hAnsi="宋体" w:cs="宋体"/>
                <w:bCs/>
                <w:color w:val="auto"/>
                <w:sz w:val="24"/>
                <w:highlight w:val="none"/>
              </w:rPr>
              <w:t>根据财库〔2020〕46号、财库〔2014〕68号及财库〔2017〕141号及（深财购〔2022〕31号）文件规定：</w:t>
            </w:r>
            <w:r>
              <w:rPr>
                <w:rFonts w:hint="eastAsia" w:ascii="宋体" w:hAnsi="宋体" w:cs="宋体"/>
                <w:b/>
                <w:color w:val="auto"/>
                <w:sz w:val="24"/>
                <w:highlight w:val="none"/>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auto"/>
                <w:sz w:val="24"/>
                <w:highlight w:val="none"/>
              </w:rPr>
            </w:pPr>
            <w:r>
              <w:rPr>
                <w:rFonts w:hint="eastAsia" w:ascii="宋体" w:hAnsi="宋体" w:cs="宋体"/>
                <w:bCs/>
                <w:color w:val="auto"/>
                <w:sz w:val="24"/>
                <w:highlight w:val="none"/>
              </w:rPr>
              <w:t>监狱企业应当提供由省级以上监狱管理局、戒毒管理局（含新疆生产建设兵团）出具的属于监狱企业的证明文件，中小企业提供中小企业声明函，残疾人福利性企业提供残疾人福利性企业声明函。</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611"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二、商务部分（</w:t>
            </w:r>
            <w:r>
              <w:rPr>
                <w:rFonts w:hint="eastAsia" w:ascii="宋体" w:hAnsi="宋体" w:cs="宋体"/>
                <w:b/>
                <w:bCs/>
                <w:color w:val="auto"/>
                <w:kern w:val="0"/>
                <w:sz w:val="24"/>
                <w:highlight w:val="none"/>
                <w:lang w:bidi="ar"/>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135"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bookmarkStart w:id="59" w:name="OLE_LINK28" w:colFirst="1" w:colLast="1"/>
            <w:r>
              <w:rPr>
                <w:rFonts w:ascii="宋体" w:hAnsi="宋体" w:cs="宋体"/>
                <w:color w:val="auto"/>
                <w:sz w:val="24"/>
                <w:highlight w:val="none"/>
              </w:rPr>
              <w:t>1</w:t>
            </w:r>
          </w:p>
        </w:tc>
        <w:tc>
          <w:tcPr>
            <w:tcW w:w="1168" w:type="dxa"/>
            <w:vAlign w:val="center"/>
          </w:tcPr>
          <w:p>
            <w:pPr>
              <w:widowControl/>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lang w:val="zh-CN"/>
              </w:rPr>
              <w:t>资质情况</w:t>
            </w:r>
          </w:p>
        </w:tc>
        <w:tc>
          <w:tcPr>
            <w:tcW w:w="5135" w:type="dxa"/>
            <w:vAlign w:val="center"/>
          </w:tcPr>
          <w:p>
            <w:pPr>
              <w:widowControl/>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（一）评分内容：</w:t>
            </w:r>
          </w:p>
          <w:p>
            <w:pPr>
              <w:widowControl/>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投标人提供以下证书，且认证范围须包含数据采集或数据分析等相关描述的：</w:t>
            </w:r>
          </w:p>
          <w:p>
            <w:pPr>
              <w:widowControl/>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具有质量管理体系认证证书的；</w:t>
            </w:r>
          </w:p>
          <w:p>
            <w:pPr>
              <w:widowControl/>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具有环境管理体系认证证书的：</w:t>
            </w:r>
          </w:p>
          <w:p>
            <w:pPr>
              <w:widowControl/>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具有职业健康安全管理体系认证证书的：</w:t>
            </w:r>
          </w:p>
          <w:p>
            <w:pPr>
              <w:widowControl/>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每提供1个证书得1分，最高得3分。</w:t>
            </w:r>
          </w:p>
          <w:p>
            <w:pPr>
              <w:widowControl/>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二</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评分依据</w:t>
            </w:r>
            <w:r>
              <w:rPr>
                <w:rFonts w:hint="eastAsia" w:ascii="宋体" w:hAnsi="宋体" w:cs="宋体"/>
                <w:color w:val="auto"/>
                <w:sz w:val="22"/>
                <w:szCs w:val="22"/>
                <w:highlight w:val="none"/>
              </w:rPr>
              <w:t>：</w:t>
            </w:r>
          </w:p>
          <w:p>
            <w:pPr>
              <w:widowControl/>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1.提供（有效期内的）认证证书扫描件及全国认证认可信息公共服务平台（认e云）（http://cx.cnca.cn/）的认证信息截图，原件备查。</w:t>
            </w:r>
          </w:p>
          <w:p>
            <w:pPr>
              <w:widowControl/>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2.如投标人为新成立企业，且成立时间不足三个月；或投标人处于证书申请阶段，尚未过试运行的，提供情况说明或相关证明材料亦可得满分。</w:t>
            </w:r>
          </w:p>
          <w:p>
            <w:pPr>
              <w:widowControl/>
              <w:autoSpaceDE w:val="0"/>
              <w:autoSpaceDN w:val="0"/>
              <w:adjustRightInd w:val="0"/>
              <w:spacing w:line="360" w:lineRule="auto"/>
              <w:jc w:val="left"/>
              <w:rPr>
                <w:rFonts w:hint="eastAsia" w:ascii="宋体" w:hAnsi="宋体" w:cs="宋体"/>
                <w:color w:val="auto"/>
                <w:sz w:val="24"/>
                <w:highlight w:val="none"/>
              </w:rPr>
            </w:pPr>
            <w:r>
              <w:rPr>
                <w:rFonts w:hint="eastAsia" w:ascii="宋体" w:hAnsi="宋体" w:cs="宋体"/>
                <w:color w:val="auto"/>
                <w:sz w:val="22"/>
                <w:szCs w:val="22"/>
                <w:highlight w:val="none"/>
              </w:rPr>
              <w:t>3.上述认证证书不满足认证范围或认证范围不在此范围内或不在有效期内或未按要求提供或提供不清晰导致专家无法判断的，均不得分。</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2"/>
                <w:szCs w:val="22"/>
                <w:highlight w:val="none"/>
              </w:rPr>
              <w:t>3</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ascii="宋体" w:hAnsi="宋体" w:cs="宋体"/>
                <w:color w:val="auto"/>
                <w:sz w:val="24"/>
                <w:highlight w:val="none"/>
              </w:rPr>
              <w:t>2</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投标人业绩情况</w:t>
            </w:r>
          </w:p>
        </w:tc>
        <w:tc>
          <w:tcPr>
            <w:tcW w:w="5135" w:type="dxa"/>
            <w:vAlign w:val="center"/>
          </w:tcPr>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（一）评分内容：</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lang w:val="zh-CN"/>
              </w:rPr>
              <w:t>自2020年1月1日至</w:t>
            </w:r>
            <w:r>
              <w:rPr>
                <w:rFonts w:hint="eastAsia" w:ascii="宋体" w:hAnsi="宋体" w:cs="宋体"/>
                <w:color w:val="auto"/>
                <w:sz w:val="22"/>
                <w:szCs w:val="22"/>
                <w:highlight w:val="none"/>
              </w:rPr>
              <w:t>本项目</w:t>
            </w:r>
            <w:r>
              <w:rPr>
                <w:rFonts w:hint="eastAsia" w:ascii="宋体" w:hAnsi="宋体" w:cs="宋体"/>
                <w:color w:val="auto"/>
                <w:sz w:val="22"/>
                <w:szCs w:val="22"/>
                <w:highlight w:val="none"/>
                <w:lang w:val="zh-CN"/>
              </w:rPr>
              <w:t>投标截止之日（以合同签订时间为准）承接过</w:t>
            </w:r>
            <w:r>
              <w:rPr>
                <w:rFonts w:hint="eastAsia" w:ascii="宋体" w:hAnsi="宋体" w:cs="宋体"/>
                <w:color w:val="auto"/>
                <w:sz w:val="22"/>
                <w:szCs w:val="22"/>
                <w:highlight w:val="none"/>
              </w:rPr>
              <w:t>以下项目：</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承接过数据服务或统计服务类</w:t>
            </w:r>
            <w:r>
              <w:rPr>
                <w:rFonts w:hint="eastAsia" w:ascii="宋体" w:hAnsi="宋体" w:cs="宋体"/>
                <w:color w:val="auto"/>
                <w:sz w:val="22"/>
                <w:szCs w:val="22"/>
                <w:highlight w:val="none"/>
                <w:lang w:val="zh-CN"/>
              </w:rPr>
              <w:t>项目的，每提供</w:t>
            </w: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个业绩得</w:t>
            </w: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分，</w:t>
            </w:r>
            <w:r>
              <w:rPr>
                <w:rFonts w:hint="eastAsia" w:ascii="宋体" w:hAnsi="宋体" w:cs="宋体"/>
                <w:color w:val="auto"/>
                <w:sz w:val="22"/>
                <w:szCs w:val="22"/>
                <w:highlight w:val="none"/>
              </w:rPr>
              <w:t>最高得4分；在此基础上，服务内容包括港企数据服务或挖潜服务或企业监测服务的，每个业绩加1分，至多加4分。</w:t>
            </w:r>
            <w:r>
              <w:rPr>
                <w:rFonts w:hint="eastAsia" w:ascii="宋体" w:hAnsi="宋体" w:cs="宋体"/>
                <w:color w:val="auto"/>
                <w:sz w:val="22"/>
                <w:szCs w:val="22"/>
                <w:highlight w:val="none"/>
                <w:lang w:val="zh-CN"/>
              </w:rPr>
              <w:t>本项最高可得</w:t>
            </w:r>
            <w:r>
              <w:rPr>
                <w:rFonts w:hint="eastAsia" w:ascii="宋体" w:hAnsi="宋体" w:cs="宋体"/>
                <w:color w:val="auto"/>
                <w:sz w:val="22"/>
                <w:szCs w:val="22"/>
                <w:highlight w:val="none"/>
              </w:rPr>
              <w:t>8</w:t>
            </w:r>
            <w:r>
              <w:rPr>
                <w:rFonts w:hint="eastAsia" w:ascii="宋体" w:hAnsi="宋体" w:cs="宋体"/>
                <w:color w:val="auto"/>
                <w:sz w:val="22"/>
                <w:szCs w:val="22"/>
                <w:highlight w:val="none"/>
                <w:lang w:val="zh-CN"/>
              </w:rPr>
              <w:t>分。</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同一项目业绩</w:t>
            </w:r>
            <w:r>
              <w:rPr>
                <w:rFonts w:hint="eastAsia" w:ascii="宋体" w:hAnsi="宋体" w:cs="宋体"/>
                <w:color w:val="auto"/>
                <w:sz w:val="22"/>
                <w:szCs w:val="22"/>
                <w:highlight w:val="none"/>
              </w:rPr>
              <w:t>只记一次得分，</w:t>
            </w:r>
            <w:r>
              <w:rPr>
                <w:rFonts w:hint="eastAsia" w:ascii="宋体" w:hAnsi="宋体" w:cs="宋体"/>
                <w:color w:val="auto"/>
                <w:sz w:val="22"/>
                <w:szCs w:val="22"/>
                <w:highlight w:val="none"/>
                <w:lang w:val="zh-CN"/>
              </w:rPr>
              <w:t>不重复计分。</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（二）评分依据：</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提供合同关键页（包括但不限于</w:t>
            </w:r>
            <w:r>
              <w:rPr>
                <w:rFonts w:hint="eastAsia" w:ascii="宋体" w:hAnsi="宋体" w:cs="宋体"/>
                <w:color w:val="auto"/>
                <w:sz w:val="22"/>
                <w:szCs w:val="22"/>
                <w:highlight w:val="none"/>
              </w:rPr>
              <w:t>合同首页、服务</w:t>
            </w:r>
            <w:r>
              <w:rPr>
                <w:rFonts w:hint="eastAsia" w:ascii="宋体" w:hAnsi="宋体" w:cs="宋体"/>
                <w:color w:val="auto"/>
                <w:sz w:val="22"/>
                <w:szCs w:val="22"/>
                <w:highlight w:val="none"/>
                <w:lang w:val="zh-CN"/>
              </w:rPr>
              <w:t>内容、双方盖章页</w:t>
            </w:r>
            <w:r>
              <w:rPr>
                <w:rFonts w:hint="eastAsia" w:ascii="宋体" w:hAnsi="宋体" w:cs="宋体"/>
                <w:color w:val="auto"/>
                <w:sz w:val="22"/>
                <w:szCs w:val="22"/>
                <w:highlight w:val="none"/>
              </w:rPr>
              <w:t>和签订时间</w:t>
            </w:r>
            <w:r>
              <w:rPr>
                <w:rFonts w:hint="eastAsia" w:ascii="宋体" w:hAnsi="宋体" w:cs="宋体"/>
                <w:color w:val="auto"/>
                <w:sz w:val="22"/>
                <w:szCs w:val="22"/>
                <w:highlight w:val="none"/>
                <w:lang w:val="zh-CN"/>
              </w:rPr>
              <w:t>等）</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val="zh-CN"/>
              </w:rPr>
              <w:t>清晰扫描件加盖公章，原件备查。</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lang w:val="zh-CN"/>
              </w:rPr>
              <w:t>2.</w:t>
            </w:r>
            <w:r>
              <w:rPr>
                <w:rFonts w:hint="eastAsia" w:ascii="宋体" w:hAnsi="宋体" w:cs="宋体"/>
                <w:color w:val="auto"/>
                <w:sz w:val="22"/>
                <w:szCs w:val="22"/>
                <w:highlight w:val="none"/>
              </w:rPr>
              <w:t>评分中出现无证明资料或专家无法凭所提供资料判断是否得分的情况，一律作不得分处理。</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2"/>
                <w:szCs w:val="22"/>
                <w:highlight w:val="none"/>
              </w:rPr>
              <w:t>8</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ascii="宋体" w:hAnsi="宋体" w:cs="宋体"/>
                <w:color w:val="auto"/>
                <w:sz w:val="24"/>
                <w:highlight w:val="none"/>
              </w:rPr>
              <w:t>3</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拟派项目负责人情况（仅限一人）</w:t>
            </w:r>
          </w:p>
        </w:tc>
        <w:tc>
          <w:tcPr>
            <w:tcW w:w="5135" w:type="dxa"/>
            <w:vAlign w:val="center"/>
          </w:tcPr>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（一）评分内容：</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项目负责人须为投标人的自有员工（提供社保作为证明材料），否则本项不得分：</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1.具备</w:t>
            </w:r>
            <w:r>
              <w:rPr>
                <w:rFonts w:hint="eastAsia" w:ascii="宋体" w:hAnsi="宋体" w:cs="宋体"/>
                <w:color w:val="auto"/>
                <w:sz w:val="22"/>
                <w:szCs w:val="22"/>
                <w:highlight w:val="none"/>
                <w:lang w:val="en-US" w:eastAsia="zh-CN"/>
              </w:rPr>
              <w:t>经济学类或统计学类专业</w:t>
            </w:r>
            <w:r>
              <w:rPr>
                <w:rFonts w:hint="eastAsia" w:ascii="宋体" w:hAnsi="宋体" w:cs="宋体"/>
                <w:color w:val="auto"/>
                <w:sz w:val="22"/>
                <w:szCs w:val="22"/>
                <w:highlight w:val="none"/>
              </w:rPr>
              <w:t>本科学历的，得1分；具备</w:t>
            </w:r>
            <w:r>
              <w:rPr>
                <w:rFonts w:hint="eastAsia" w:ascii="宋体" w:hAnsi="宋体" w:cs="宋体"/>
                <w:color w:val="auto"/>
                <w:sz w:val="22"/>
                <w:szCs w:val="22"/>
                <w:highlight w:val="none"/>
                <w:lang w:val="en-US" w:eastAsia="zh-CN"/>
              </w:rPr>
              <w:t>经济学类或统计学类专业</w:t>
            </w:r>
            <w:r>
              <w:rPr>
                <w:rFonts w:hint="eastAsia" w:ascii="宋体" w:hAnsi="宋体" w:cs="宋体"/>
                <w:color w:val="auto"/>
                <w:sz w:val="22"/>
                <w:szCs w:val="22"/>
                <w:highlight w:val="none"/>
              </w:rPr>
              <w:t>硕士研究生（或以上）学历的，得2分。本项最高得2分。</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ascii="宋体" w:hAnsi="宋体" w:cs="宋体"/>
                <w:color w:val="auto"/>
                <w:sz w:val="22"/>
                <w:szCs w:val="22"/>
                <w:highlight w:val="none"/>
                <w:lang w:val="zh-CN"/>
              </w:rPr>
              <w:t>2.</w:t>
            </w:r>
            <w:r>
              <w:rPr>
                <w:rFonts w:hint="eastAsia" w:ascii="宋体" w:hAnsi="宋体" w:cs="宋体"/>
                <w:color w:val="auto"/>
                <w:sz w:val="22"/>
                <w:szCs w:val="22"/>
                <w:highlight w:val="none"/>
              </w:rPr>
              <w:t>具有高级大数据分析师</w:t>
            </w:r>
            <w:r>
              <w:rPr>
                <w:rFonts w:hint="eastAsia" w:ascii="宋体" w:hAnsi="宋体" w:cs="宋体"/>
                <w:color w:val="auto"/>
                <w:sz w:val="22"/>
                <w:szCs w:val="22"/>
                <w:highlight w:val="none"/>
                <w:lang w:val="en-US" w:eastAsia="zh-CN"/>
              </w:rPr>
              <w:t>及高级统计师</w:t>
            </w:r>
            <w:r>
              <w:rPr>
                <w:rFonts w:hint="eastAsia" w:ascii="宋体" w:hAnsi="宋体" w:cs="宋体"/>
                <w:color w:val="auto"/>
                <w:sz w:val="22"/>
                <w:szCs w:val="22"/>
                <w:highlight w:val="none"/>
              </w:rPr>
              <w:t>证书的，得2分。</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ascii="宋体" w:hAnsi="宋体" w:cs="宋体"/>
                <w:color w:val="auto"/>
                <w:sz w:val="22"/>
                <w:szCs w:val="22"/>
                <w:highlight w:val="none"/>
                <w:lang w:val="zh-CN"/>
              </w:rPr>
              <w:t>3.</w:t>
            </w:r>
            <w:r>
              <w:rPr>
                <w:rFonts w:hint="eastAsia" w:ascii="宋体" w:hAnsi="宋体" w:cs="宋体"/>
                <w:color w:val="auto"/>
                <w:sz w:val="22"/>
                <w:szCs w:val="22"/>
                <w:highlight w:val="none"/>
              </w:rPr>
              <w:t>具有数据服务类项目管理经验（担任项目负责人或</w:t>
            </w:r>
            <w:r>
              <w:rPr>
                <w:rFonts w:hint="eastAsia" w:ascii="宋体" w:hAnsi="宋体" w:cs="宋体"/>
                <w:color w:val="auto"/>
                <w:sz w:val="22"/>
                <w:szCs w:val="22"/>
                <w:highlight w:val="none"/>
                <w:lang w:val="en-US" w:eastAsia="zh-CN"/>
              </w:rPr>
              <w:t>项目统筹人</w:t>
            </w:r>
            <w:r>
              <w:rPr>
                <w:rFonts w:hint="eastAsia" w:ascii="宋体" w:hAnsi="宋体" w:cs="宋体"/>
                <w:color w:val="auto"/>
                <w:sz w:val="22"/>
                <w:szCs w:val="22"/>
                <w:highlight w:val="none"/>
              </w:rPr>
              <w:t>）的，每提供1个业绩得1分，同一项目不重复得分，本项最高得4分</w:t>
            </w:r>
            <w:r>
              <w:rPr>
                <w:rFonts w:hint="eastAsia" w:ascii="宋体" w:hAnsi="宋体" w:cs="宋体"/>
                <w:color w:val="auto"/>
                <w:sz w:val="22"/>
                <w:szCs w:val="22"/>
                <w:highlight w:val="none"/>
                <w:lang w:val="zh-CN"/>
              </w:rPr>
              <w:t>。</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以上3项累计最高得8分。</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（二）评分依据：</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提供通过投标人为其缴纳的载有社保部门或税务部门公章的近三个月内任意一个月的社保证明，如投标人为新成立企业且成立时间不足1个月可提供加盖公章的情况说明或者证明材料亦视为符合；不接受退休返聘人员。</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学历证明：提供学历证书，还需提供学历认证报告或学信网（https://www.chsi.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3.提供相关证书证明文件。</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提供业绩合同关键页（包括但不限于首页、服务内容、双方盖章页等，以及体现拟派项目负责人的名称）的清晰扫描件并加盖公章，通过合同关键信息无法判断是否得分的，还须同时提供合同甲方出具的证明文件，原件备查。</w:t>
            </w:r>
          </w:p>
          <w:p>
            <w:pPr>
              <w:autoSpaceDE w:val="0"/>
              <w:autoSpaceDN w:val="0"/>
              <w:adjustRightInd w:val="0"/>
              <w:spacing w:line="360" w:lineRule="auto"/>
              <w:jc w:val="left"/>
              <w:rPr>
                <w:rFonts w:hint="eastAsia" w:ascii="宋体" w:hAnsi="宋体" w:cs="宋体"/>
                <w:color w:val="auto"/>
                <w:sz w:val="24"/>
                <w:highlight w:val="none"/>
              </w:rPr>
            </w:pPr>
            <w:r>
              <w:rPr>
                <w:rFonts w:hint="eastAsia" w:ascii="宋体" w:hAnsi="宋体" w:cs="宋体"/>
                <w:color w:val="auto"/>
                <w:sz w:val="22"/>
                <w:szCs w:val="22"/>
                <w:highlight w:val="none"/>
              </w:rPr>
              <w:t>5.评分中出现无证明资料或专家无法凭所提供资料判断是否得分的情况，一律作不得分处理。</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2"/>
                <w:szCs w:val="22"/>
                <w:highlight w:val="none"/>
              </w:rPr>
              <w:t>8</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拟派的项目团队成员（项目负责除外）</w:t>
            </w:r>
          </w:p>
        </w:tc>
        <w:tc>
          <w:tcPr>
            <w:tcW w:w="5135" w:type="dxa"/>
            <w:vAlign w:val="center"/>
          </w:tcPr>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（一）评分内容：</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拟派的项目团队成员须为投标人自有员工，否则本项不得分：</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1.拟派项目团队成员参与过数据服务类项目的，每提供1人得1分，同一人员参与多个项目的不重复得分，同一项目多人参与均可计分，本项最高得3分。</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2.拟派项目团队成员具备以下证书的（同一人员同时具备多个证书的不重复得分，按最优计分），本项最高得9分：</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（1）具备</w:t>
            </w:r>
            <w:r>
              <w:rPr>
                <w:rFonts w:hint="eastAsia" w:ascii="宋体" w:hAnsi="宋体" w:cs="宋体"/>
                <w:color w:val="auto"/>
                <w:sz w:val="22"/>
                <w:szCs w:val="22"/>
                <w:highlight w:val="none"/>
                <w:lang w:val="zh-CN"/>
              </w:rPr>
              <w:t>中级（</w:t>
            </w:r>
            <w:r>
              <w:rPr>
                <w:rFonts w:hint="eastAsia" w:ascii="宋体" w:hAnsi="宋体" w:cs="宋体"/>
                <w:color w:val="auto"/>
                <w:sz w:val="22"/>
                <w:szCs w:val="22"/>
                <w:highlight w:val="none"/>
              </w:rPr>
              <w:t>或以上</w:t>
            </w:r>
            <w:r>
              <w:rPr>
                <w:rFonts w:hint="eastAsia" w:ascii="宋体" w:hAnsi="宋体" w:cs="宋体"/>
                <w:color w:val="auto"/>
                <w:sz w:val="22"/>
                <w:szCs w:val="22"/>
                <w:highlight w:val="none"/>
                <w:lang w:val="zh-CN"/>
              </w:rPr>
              <w:t>）统计师</w:t>
            </w:r>
            <w:r>
              <w:rPr>
                <w:rFonts w:hint="eastAsia" w:ascii="宋体" w:hAnsi="宋体" w:cs="宋体"/>
                <w:color w:val="auto"/>
                <w:sz w:val="22"/>
                <w:szCs w:val="22"/>
                <w:highlight w:val="none"/>
              </w:rPr>
              <w:t>职称</w:t>
            </w:r>
            <w:r>
              <w:rPr>
                <w:rFonts w:hint="eastAsia" w:ascii="宋体" w:hAnsi="宋体" w:cs="宋体"/>
                <w:color w:val="auto"/>
                <w:sz w:val="22"/>
                <w:szCs w:val="22"/>
                <w:highlight w:val="none"/>
                <w:lang w:val="zh-CN"/>
              </w:rPr>
              <w:t>的，</w:t>
            </w:r>
            <w:r>
              <w:rPr>
                <w:rFonts w:hint="eastAsia" w:ascii="宋体" w:hAnsi="宋体" w:cs="宋体"/>
                <w:color w:val="auto"/>
                <w:sz w:val="22"/>
                <w:szCs w:val="22"/>
                <w:highlight w:val="none"/>
              </w:rPr>
              <w:t>每1人得</w:t>
            </w:r>
            <w:r>
              <w:rPr>
                <w:rFonts w:ascii="宋体" w:hAnsi="宋体" w:cs="宋体"/>
                <w:color w:val="auto"/>
                <w:sz w:val="22"/>
                <w:szCs w:val="22"/>
                <w:highlight w:val="none"/>
              </w:rPr>
              <w:t>1.5</w:t>
            </w:r>
            <w:r>
              <w:rPr>
                <w:rFonts w:hint="eastAsia" w:ascii="宋体" w:hAnsi="宋体" w:cs="宋体"/>
                <w:color w:val="auto"/>
                <w:sz w:val="22"/>
                <w:szCs w:val="22"/>
                <w:highlight w:val="none"/>
              </w:rPr>
              <w:t>分，本小项</w:t>
            </w:r>
            <w:r>
              <w:rPr>
                <w:rFonts w:hint="eastAsia" w:ascii="宋体" w:hAnsi="宋体" w:cs="宋体"/>
                <w:color w:val="auto"/>
                <w:sz w:val="22"/>
                <w:szCs w:val="22"/>
                <w:highlight w:val="none"/>
                <w:lang w:val="zh-CN"/>
              </w:rPr>
              <w:t>最高得</w:t>
            </w: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分</w:t>
            </w:r>
            <w:r>
              <w:rPr>
                <w:rFonts w:hint="eastAsia" w:ascii="宋体" w:hAnsi="宋体" w:cs="宋体"/>
                <w:color w:val="auto"/>
                <w:sz w:val="22"/>
                <w:szCs w:val="22"/>
                <w:highlight w:val="none"/>
              </w:rPr>
              <w:t>。</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）具备</w:t>
            </w:r>
            <w:r>
              <w:rPr>
                <w:rFonts w:hint="eastAsia" w:ascii="宋体" w:hAnsi="宋体" w:cs="宋体"/>
                <w:color w:val="auto"/>
                <w:sz w:val="22"/>
                <w:szCs w:val="22"/>
                <w:highlight w:val="none"/>
              </w:rPr>
              <w:t>初级（或助理级）大数据分析师或大数据工程师证书的，每1人得1分，最高得3分；</w:t>
            </w:r>
            <w:r>
              <w:rPr>
                <w:rFonts w:hint="eastAsia" w:ascii="宋体" w:hAnsi="宋体" w:cs="宋体"/>
                <w:color w:val="auto"/>
                <w:sz w:val="22"/>
                <w:szCs w:val="22"/>
                <w:highlight w:val="none"/>
                <w:lang w:val="zh-CN"/>
              </w:rPr>
              <w:t>具备</w:t>
            </w:r>
            <w:r>
              <w:rPr>
                <w:rFonts w:hint="eastAsia" w:ascii="宋体" w:hAnsi="宋体" w:cs="宋体"/>
                <w:color w:val="auto"/>
                <w:sz w:val="22"/>
                <w:szCs w:val="22"/>
                <w:highlight w:val="none"/>
              </w:rPr>
              <w:t>中级</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或以上</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大数据分析师或大数据工程师证书的，每1人得1.5分。本小项最高得6分。</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以上2项累计最高得12分。</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（二）评分依据：</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提供通过投标人为团队成员缴纳的载有社保部门或税务部门公章的近三个月内任意一个月的社保证明，如投标人为新成立企业且成立时间不足1个月可提供加盖公章的情况说明或者证明材料亦视为符合；不接受退休返聘人员。</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2.提供团队成员的相关证书证明文件。</w:t>
            </w:r>
          </w:p>
          <w:p>
            <w:pPr>
              <w:autoSpaceDE w:val="0"/>
              <w:autoSpaceDN w:val="0"/>
              <w:adjustRightInd w:val="0"/>
              <w:spacing w:line="360" w:lineRule="auto"/>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提供业绩合同关键页（包括但不限于首页、服务内容、双方盖章页等，以及体现相关人员的名字）的清晰扫描件并加盖公章，通过合同关键信息无法判断是否得分的，还须同时提供合同甲方出具的证明文件，原件备查。</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rPr>
              <w:t>4.评分中出现无证明资料或专家无法凭所提供资料判断是否得分的情况，一律作不得分处理。</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2"/>
                <w:szCs w:val="22"/>
                <w:highlight w:val="none"/>
              </w:rPr>
              <w:t>12</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lang w:val="zh-CN"/>
              </w:rPr>
              <w:t>自主知识产权产品（创新、设计）情况</w:t>
            </w:r>
          </w:p>
        </w:tc>
        <w:tc>
          <w:tcPr>
            <w:tcW w:w="5135" w:type="dxa"/>
            <w:vAlign w:val="center"/>
          </w:tcPr>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（一）评分内容：</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投标人具有以下知识产权证明的：</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1.具有包含数据治理、数据采集分析、数据挖掘等相关内容的发明专利证书的，每提供1个类型得1分，同一类型不重复得分，最高得3分。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具有</w:t>
            </w:r>
            <w:r>
              <w:rPr>
                <w:rFonts w:hint="eastAsia" w:ascii="宋体" w:hAnsi="宋体" w:cs="宋体"/>
                <w:color w:val="auto"/>
                <w:sz w:val="22"/>
                <w:szCs w:val="22"/>
                <w:highlight w:val="none"/>
              </w:rPr>
              <w:t>包含数据采集</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挖潜分析、企业监测等相关内容的计算机</w:t>
            </w:r>
            <w:r>
              <w:rPr>
                <w:rFonts w:hint="eastAsia" w:ascii="宋体" w:hAnsi="宋体" w:cs="宋体"/>
                <w:color w:val="auto"/>
                <w:sz w:val="22"/>
                <w:szCs w:val="22"/>
                <w:highlight w:val="none"/>
                <w:lang w:val="zh-CN"/>
              </w:rPr>
              <w:t>软件著作权</w:t>
            </w:r>
            <w:r>
              <w:rPr>
                <w:rFonts w:hint="eastAsia" w:ascii="宋体" w:hAnsi="宋体" w:cs="宋体"/>
                <w:color w:val="auto"/>
                <w:sz w:val="22"/>
                <w:szCs w:val="22"/>
                <w:highlight w:val="none"/>
              </w:rPr>
              <w:t>证书</w:t>
            </w:r>
            <w:r>
              <w:rPr>
                <w:rFonts w:hint="eastAsia" w:ascii="宋体" w:hAnsi="宋体" w:cs="宋体"/>
                <w:color w:val="auto"/>
                <w:sz w:val="22"/>
                <w:szCs w:val="22"/>
                <w:highlight w:val="none"/>
                <w:lang w:val="zh-CN"/>
              </w:rPr>
              <w:t>的，</w:t>
            </w:r>
            <w:r>
              <w:rPr>
                <w:rFonts w:hint="eastAsia" w:ascii="宋体" w:hAnsi="宋体" w:cs="宋体"/>
                <w:color w:val="auto"/>
                <w:sz w:val="22"/>
                <w:szCs w:val="22"/>
                <w:highlight w:val="none"/>
              </w:rPr>
              <w:t>每提供1个类型</w:t>
            </w:r>
            <w:r>
              <w:rPr>
                <w:rFonts w:hint="eastAsia" w:ascii="宋体" w:hAnsi="宋体" w:cs="宋体"/>
                <w:color w:val="auto"/>
                <w:sz w:val="22"/>
                <w:szCs w:val="22"/>
                <w:highlight w:val="none"/>
                <w:lang w:val="zh-CN"/>
              </w:rPr>
              <w:t>得1分，</w:t>
            </w:r>
            <w:r>
              <w:rPr>
                <w:rFonts w:hint="eastAsia" w:ascii="宋体" w:hAnsi="宋体" w:cs="宋体"/>
                <w:color w:val="auto"/>
                <w:sz w:val="22"/>
                <w:szCs w:val="22"/>
                <w:highlight w:val="none"/>
              </w:rPr>
              <w:t>同一类型不重复得分，</w:t>
            </w:r>
            <w:r>
              <w:rPr>
                <w:rFonts w:hint="eastAsia" w:ascii="宋体" w:hAnsi="宋体" w:cs="宋体"/>
                <w:color w:val="auto"/>
                <w:sz w:val="22"/>
                <w:szCs w:val="22"/>
                <w:highlight w:val="none"/>
                <w:lang w:val="zh-CN"/>
              </w:rPr>
              <w:t>最高得3分</w:t>
            </w:r>
            <w:r>
              <w:rPr>
                <w:rFonts w:hint="eastAsia" w:ascii="宋体" w:hAnsi="宋体" w:cs="宋体"/>
                <w:color w:val="auto"/>
                <w:sz w:val="22"/>
                <w:szCs w:val="22"/>
                <w:highlight w:val="none"/>
              </w:rPr>
              <w:t>。</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3.具有包含企业挖掘、外迁预警、企业监测、画像分析等相关内容的数据知识产权登记证书的，每提供1个类型得1分，同一类型不重复得分，最高得4分。</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以上三项累计得10分。</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二</w:t>
            </w:r>
            <w:r>
              <w:rPr>
                <w:rFonts w:hint="eastAsia" w:ascii="宋体" w:hAnsi="宋体" w:cs="宋体"/>
                <w:color w:val="auto"/>
                <w:sz w:val="22"/>
                <w:szCs w:val="22"/>
                <w:highlight w:val="none"/>
                <w:lang w:val="zh-CN"/>
              </w:rPr>
              <w:t>）评分依据：</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1.上述证书若为</w:t>
            </w:r>
            <w:r>
              <w:rPr>
                <w:rFonts w:hint="eastAsia" w:ascii="宋体" w:hAnsi="宋体" w:cs="宋体"/>
                <w:color w:val="auto"/>
                <w:sz w:val="22"/>
                <w:szCs w:val="22"/>
                <w:highlight w:val="none"/>
                <w:lang w:val="zh-CN"/>
              </w:rPr>
              <w:t>投标人</w:t>
            </w:r>
            <w:r>
              <w:rPr>
                <w:rFonts w:hint="eastAsia" w:ascii="宋体" w:hAnsi="宋体" w:cs="宋体"/>
                <w:color w:val="auto"/>
                <w:sz w:val="22"/>
                <w:szCs w:val="22"/>
                <w:highlight w:val="none"/>
              </w:rPr>
              <w:t>自有的，需</w:t>
            </w:r>
            <w:r>
              <w:rPr>
                <w:rFonts w:hint="eastAsia" w:ascii="宋体" w:hAnsi="宋体" w:cs="宋体"/>
                <w:color w:val="auto"/>
                <w:sz w:val="22"/>
                <w:szCs w:val="22"/>
                <w:highlight w:val="none"/>
                <w:lang w:val="zh-CN"/>
              </w:rPr>
              <w:t>提供计算机软件著作权登记证书、专利证书和知识产权登记证书。</w:t>
            </w:r>
            <w:r>
              <w:rPr>
                <w:rFonts w:hint="eastAsia" w:ascii="宋体" w:hAnsi="宋体" w:cs="宋体"/>
                <w:color w:val="auto"/>
                <w:sz w:val="22"/>
                <w:szCs w:val="22"/>
                <w:highlight w:val="none"/>
              </w:rPr>
              <w:t>如购买或租赁的，除需提供上述证书（著作权人/专利权人/登记主体需为出售或出租方）外，还需提供购买合同或租赁合同。</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rPr>
              <w:t>2.上述资料提供</w:t>
            </w:r>
            <w:r>
              <w:rPr>
                <w:rFonts w:hint="eastAsia" w:ascii="宋体" w:hAnsi="宋体" w:cs="宋体"/>
                <w:color w:val="auto"/>
                <w:sz w:val="22"/>
                <w:szCs w:val="22"/>
                <w:highlight w:val="none"/>
                <w:lang w:val="zh-CN"/>
              </w:rPr>
              <w:t>扫描件</w:t>
            </w:r>
            <w:r>
              <w:rPr>
                <w:rFonts w:hint="eastAsia" w:ascii="宋体" w:hAnsi="宋体" w:cs="宋体"/>
                <w:color w:val="auto"/>
                <w:sz w:val="22"/>
                <w:szCs w:val="22"/>
                <w:highlight w:val="none"/>
              </w:rPr>
              <w:t>并</w:t>
            </w:r>
            <w:r>
              <w:rPr>
                <w:rFonts w:hint="eastAsia" w:ascii="宋体" w:hAnsi="宋体" w:cs="宋体"/>
                <w:color w:val="auto"/>
                <w:sz w:val="22"/>
                <w:szCs w:val="22"/>
                <w:highlight w:val="none"/>
                <w:lang w:val="zh-CN"/>
              </w:rPr>
              <w:t>加盖</w:t>
            </w:r>
            <w:r>
              <w:rPr>
                <w:rFonts w:hint="eastAsia" w:ascii="宋体" w:hAnsi="宋体" w:cs="宋体"/>
                <w:color w:val="auto"/>
                <w:sz w:val="22"/>
                <w:szCs w:val="22"/>
                <w:highlight w:val="none"/>
              </w:rPr>
              <w:t>投标人</w:t>
            </w:r>
            <w:r>
              <w:rPr>
                <w:rFonts w:hint="eastAsia" w:ascii="宋体" w:hAnsi="宋体" w:cs="宋体"/>
                <w:color w:val="auto"/>
                <w:sz w:val="22"/>
                <w:szCs w:val="22"/>
                <w:highlight w:val="none"/>
                <w:lang w:val="zh-CN"/>
              </w:rPr>
              <w:t>公章，原件备查</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zh-CN"/>
              </w:rPr>
              <w:t>评分中出现无证明资料或专家无法凭所提供资料判断是否得分的情况，</w:t>
            </w:r>
            <w:r>
              <w:rPr>
                <w:rFonts w:hint="eastAsia" w:ascii="宋体" w:hAnsi="宋体" w:cs="宋体"/>
                <w:color w:val="auto"/>
                <w:sz w:val="22"/>
                <w:szCs w:val="22"/>
                <w:highlight w:val="none"/>
              </w:rPr>
              <w:t>一律作不得分处理</w:t>
            </w:r>
            <w:r>
              <w:rPr>
                <w:rFonts w:hint="eastAsia" w:ascii="宋体" w:hAnsi="宋体" w:cs="宋体"/>
                <w:color w:val="auto"/>
                <w:sz w:val="22"/>
                <w:szCs w:val="22"/>
                <w:highlight w:val="none"/>
                <w:lang w:val="zh-CN"/>
              </w:rPr>
              <w:t>。</w:t>
            </w:r>
          </w:p>
        </w:tc>
        <w:tc>
          <w:tcPr>
            <w:tcW w:w="750" w:type="dxa"/>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sz w:val="22"/>
                <w:szCs w:val="22"/>
                <w:highlight w:val="none"/>
              </w:rPr>
              <w:t>10</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59"/>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诚信声明与承诺</w:t>
            </w:r>
          </w:p>
        </w:tc>
        <w:tc>
          <w:tcPr>
            <w:tcW w:w="5135" w:type="dxa"/>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（一）评分内容：</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（二）评分依据：</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1、投标人提供诚信声明与承诺加盖公章；</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highlight w:val="none"/>
              </w:rPr>
              <w:t>。</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36" w:type="dxa"/>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8611"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三、技术部分（</w:t>
            </w:r>
            <w:r>
              <w:rPr>
                <w:rFonts w:hint="eastAsia" w:ascii="宋体" w:hAnsi="宋体" w:cs="宋体"/>
                <w:b/>
                <w:color w:val="auto"/>
                <w:sz w:val="24"/>
                <w:highlight w:val="none"/>
              </w:rPr>
              <w:t>45</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135"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750"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2"/>
                <w:szCs w:val="22"/>
                <w:highlight w:val="none"/>
              </w:rPr>
              <w:t>服务</w:t>
            </w:r>
            <w:r>
              <w:rPr>
                <w:rFonts w:hint="eastAsia" w:ascii="宋体" w:hAnsi="宋体" w:cs="宋体"/>
                <w:color w:val="auto"/>
                <w:sz w:val="22"/>
                <w:szCs w:val="22"/>
                <w:highlight w:val="none"/>
                <w:lang w:val="zh-CN"/>
              </w:rPr>
              <w:t>方案</w:t>
            </w:r>
          </w:p>
        </w:tc>
        <w:tc>
          <w:tcPr>
            <w:tcW w:w="5135" w:type="dxa"/>
            <w:vAlign w:val="center"/>
          </w:tcPr>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（一）评审内容：</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根据投标人提供的项目实施方案的全面性、针对性、可操作性等进行分档评审。实施方案包含：</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1.项目背景及现状；</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2.服务内容；</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3.工作措施及流程。</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（二）评分标准：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每提供任意一项内容得4分，全部提供得12分，未提供不得分，在此基础上，专家根据各供应商的具体响应内容按照量化的评审因素指标进一步评审；</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1.评价为优，内容完整详细且符合项目实际，可行性强的，加8分；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2.评价为良，内容比较完整，可行性较好的，加5分；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3.评价为中，内容基本符合项目要求，较贴近项目实际的，加1分；</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rPr>
              <w:t>4.评价为差，内容严重缺项且不符合实际的，不加分。</w:t>
            </w:r>
          </w:p>
        </w:tc>
        <w:tc>
          <w:tcPr>
            <w:tcW w:w="750"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20</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2</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2"/>
                <w:szCs w:val="22"/>
                <w:highlight w:val="none"/>
                <w:lang w:val="zh-CN"/>
              </w:rPr>
              <w:t>重难点分析、相关的合理化建议</w:t>
            </w:r>
          </w:p>
        </w:tc>
        <w:tc>
          <w:tcPr>
            <w:tcW w:w="5135" w:type="dxa"/>
            <w:vAlign w:val="center"/>
          </w:tcPr>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（一）评审内容：</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根据投标人提供的</w:t>
            </w:r>
            <w:r>
              <w:rPr>
                <w:rFonts w:hint="eastAsia" w:ascii="宋体" w:hAnsi="宋体" w:cs="宋体"/>
                <w:color w:val="auto"/>
                <w:sz w:val="22"/>
                <w:szCs w:val="22"/>
                <w:highlight w:val="none"/>
                <w:lang w:val="zh-CN"/>
              </w:rPr>
              <w:t>重难点分析、相关的合理化</w:t>
            </w:r>
            <w:r>
              <w:rPr>
                <w:rFonts w:hint="eastAsia" w:ascii="宋体" w:hAnsi="宋体" w:cs="宋体"/>
                <w:color w:val="auto"/>
                <w:sz w:val="22"/>
                <w:szCs w:val="22"/>
                <w:highlight w:val="none"/>
              </w:rPr>
              <w:t>建议的全面性、针对性、可操作性等进行分档评审：</w:t>
            </w:r>
          </w:p>
          <w:p>
            <w:pPr>
              <w:numPr>
                <w:ilvl w:val="0"/>
                <w:numId w:val="7"/>
              </w:num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项目重难点分析；</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2.相关合理化措施及建议。</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（二）评分标准：</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每提供任意一项内容得3分，全部提供得6分，未提供不得分，在此基础上，专家根据各供应商的具体响应内容按照量化</w:t>
            </w:r>
            <w:r>
              <w:rPr>
                <w:rFonts w:hint="eastAsia" w:ascii="宋体" w:hAnsi="宋体" w:cs="宋体"/>
                <w:color w:val="auto"/>
                <w:sz w:val="22"/>
                <w:szCs w:val="22"/>
                <w:highlight w:val="none"/>
                <w:lang w:val="zh-CN"/>
              </w:rPr>
              <w:t>的评审因素指标进一步评审；</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1.评价为优，分析透彻、依据着实，内容全面、针对性强、科学合理且可行性强</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val="zh-CN"/>
              </w:rPr>
              <w:t>，加4分；</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2.评价为良，分析较为透彻、依据着实，内容较全面、针对性、合理性和可行性较强的，加2分；</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3.评价为中，分析一般透彻、依据一般，内容部分缺项、针对性、合理性和可行性一般的，加1分；</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lang w:val="zh-CN"/>
              </w:rPr>
              <w:t>4.评价为差，分析不透彻、内容缺项较多，不具有针对性和可行性的或未提供的，不加分。</w:t>
            </w:r>
          </w:p>
        </w:tc>
        <w:tc>
          <w:tcPr>
            <w:tcW w:w="750"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10</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2"/>
                <w:szCs w:val="22"/>
                <w:highlight w:val="none"/>
                <w:lang w:val="zh-CN"/>
              </w:rPr>
              <w:t>质量保障方案</w:t>
            </w:r>
          </w:p>
        </w:tc>
        <w:tc>
          <w:tcPr>
            <w:tcW w:w="5135" w:type="dxa"/>
            <w:vAlign w:val="center"/>
          </w:tcPr>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（一）评审内容：</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根据投标人提供的</w:t>
            </w:r>
            <w:r>
              <w:rPr>
                <w:rFonts w:hint="eastAsia" w:ascii="宋体" w:hAnsi="宋体" w:cs="宋体"/>
                <w:color w:val="auto"/>
                <w:sz w:val="22"/>
                <w:szCs w:val="22"/>
                <w:highlight w:val="none"/>
                <w:lang w:val="zh-CN"/>
              </w:rPr>
              <w:t>质量保障</w:t>
            </w:r>
            <w:r>
              <w:rPr>
                <w:rFonts w:hint="eastAsia" w:ascii="宋体" w:hAnsi="宋体" w:cs="宋体"/>
                <w:color w:val="auto"/>
                <w:sz w:val="22"/>
                <w:szCs w:val="22"/>
                <w:highlight w:val="none"/>
              </w:rPr>
              <w:t>方案的全面性、针对性、可操作性等进行分档评审：</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1.项目进度计划及进度保障措施；</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2.质量保障措施。</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（二）评分标准：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每提供任意一项内容得4分，全部提供得8分，未提供不得分，在此基础上，专家根据各供应商的具体响应内容按照量化的评审因素指标进一步评审；</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评分标准：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1.评价为优，</w:t>
            </w:r>
            <w:r>
              <w:rPr>
                <w:rFonts w:hint="eastAsia" w:ascii="宋体" w:hAnsi="宋体" w:cs="宋体"/>
                <w:color w:val="auto"/>
                <w:sz w:val="22"/>
                <w:szCs w:val="22"/>
                <w:highlight w:val="none"/>
                <w:lang w:val="zh-CN"/>
              </w:rPr>
              <w:t>内容完整详细，符合项目实际情况，可行性强的</w:t>
            </w:r>
            <w:r>
              <w:rPr>
                <w:rFonts w:hint="eastAsia" w:ascii="宋体" w:hAnsi="宋体" w:cs="宋体"/>
                <w:color w:val="auto"/>
                <w:sz w:val="22"/>
                <w:szCs w:val="22"/>
                <w:highlight w:val="none"/>
              </w:rPr>
              <w:t>，加4分；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2.评价为良，</w:t>
            </w:r>
            <w:r>
              <w:rPr>
                <w:rFonts w:hint="eastAsia" w:ascii="宋体" w:hAnsi="宋体" w:cs="宋体"/>
                <w:color w:val="auto"/>
                <w:sz w:val="22"/>
                <w:szCs w:val="22"/>
                <w:highlight w:val="none"/>
                <w:lang w:val="zh-CN"/>
              </w:rPr>
              <w:t>内容完整，基本符合项目实际情况，可行性较好的</w:t>
            </w:r>
            <w:r>
              <w:rPr>
                <w:rFonts w:hint="eastAsia" w:ascii="宋体" w:hAnsi="宋体" w:cs="宋体"/>
                <w:color w:val="auto"/>
                <w:sz w:val="22"/>
                <w:szCs w:val="22"/>
                <w:highlight w:val="none"/>
              </w:rPr>
              <w:t>，加2分；</w:t>
            </w:r>
          </w:p>
          <w:p>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3.评价为中，</w:t>
            </w:r>
            <w:r>
              <w:rPr>
                <w:rFonts w:hint="eastAsia" w:ascii="宋体" w:hAnsi="宋体" w:cs="宋体"/>
                <w:color w:val="auto"/>
                <w:sz w:val="22"/>
                <w:szCs w:val="22"/>
                <w:highlight w:val="none"/>
                <w:lang w:val="zh-CN"/>
              </w:rPr>
              <w:t>内容能符合项目部分要求，较符合项目实际情况的</w:t>
            </w:r>
            <w:r>
              <w:rPr>
                <w:rFonts w:hint="eastAsia" w:ascii="宋体" w:hAnsi="宋体" w:cs="宋体"/>
                <w:color w:val="auto"/>
                <w:sz w:val="22"/>
                <w:szCs w:val="22"/>
                <w:highlight w:val="none"/>
              </w:rPr>
              <w:t>，加1分；</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rPr>
              <w:t>4.评价为差，</w:t>
            </w:r>
            <w:r>
              <w:rPr>
                <w:rFonts w:hint="eastAsia" w:ascii="宋体" w:hAnsi="宋体" w:cs="宋体"/>
                <w:color w:val="auto"/>
                <w:sz w:val="22"/>
                <w:szCs w:val="22"/>
                <w:highlight w:val="none"/>
                <w:lang w:val="zh-CN"/>
              </w:rPr>
              <w:t>内容不符合项目要求，不符合项目实际情况的或未提供的</w:t>
            </w:r>
            <w:r>
              <w:rPr>
                <w:rFonts w:hint="eastAsia" w:ascii="宋体" w:hAnsi="宋体" w:cs="宋体"/>
                <w:color w:val="auto"/>
                <w:sz w:val="22"/>
                <w:szCs w:val="22"/>
                <w:highlight w:val="none"/>
              </w:rPr>
              <w:t>，不加分。</w:t>
            </w:r>
          </w:p>
        </w:tc>
        <w:tc>
          <w:tcPr>
            <w:tcW w:w="750"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12</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2"/>
                <w:szCs w:val="22"/>
                <w:highlight w:val="none"/>
              </w:rPr>
              <w:t>服务承诺</w:t>
            </w:r>
          </w:p>
        </w:tc>
        <w:tc>
          <w:tcPr>
            <w:tcW w:w="5135" w:type="dxa"/>
            <w:vAlign w:val="center"/>
          </w:tcPr>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（一）评审内容：</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1、在项目服务期间，未经</w:t>
            </w:r>
            <w:r>
              <w:rPr>
                <w:rFonts w:hint="eastAsia" w:ascii="宋体" w:hAnsi="宋体" w:cs="宋体"/>
                <w:color w:val="auto"/>
                <w:sz w:val="22"/>
                <w:szCs w:val="22"/>
                <w:highlight w:val="none"/>
              </w:rPr>
              <w:t>采购人</w:t>
            </w:r>
            <w:r>
              <w:rPr>
                <w:rFonts w:hint="eastAsia" w:ascii="宋体" w:hAnsi="宋体" w:cs="宋体"/>
                <w:color w:val="auto"/>
                <w:sz w:val="22"/>
                <w:szCs w:val="22"/>
                <w:highlight w:val="none"/>
                <w:lang w:val="zh-CN"/>
              </w:rPr>
              <w:t>同意，不得随意更换团队人员，确保服务连续性、稳定性；</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2、服务质量达到招标文件要求；</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3、服务期满后，严格遵守保密承诺的原则，不泄露与项目有关的任何信息。</w:t>
            </w:r>
          </w:p>
          <w:p>
            <w:pPr>
              <w:autoSpaceDE w:val="0"/>
              <w:autoSpaceDN w:val="0"/>
              <w:adjustRightInd w:val="0"/>
              <w:spacing w:line="360" w:lineRule="auto"/>
              <w:jc w:val="lef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承诺以上全部</w:t>
            </w: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项得</w:t>
            </w: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分，否则不得分。</w:t>
            </w:r>
          </w:p>
          <w:p>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（二）评分标准：</w:t>
            </w:r>
          </w:p>
          <w:p>
            <w:pPr>
              <w:spacing w:line="360" w:lineRule="auto"/>
              <w:rPr>
                <w:rFonts w:hint="eastAsia" w:ascii="宋体" w:hAnsi="宋体" w:cs="宋体"/>
                <w:color w:val="auto"/>
                <w:sz w:val="24"/>
                <w:highlight w:val="none"/>
              </w:rPr>
            </w:pPr>
            <w:r>
              <w:rPr>
                <w:rFonts w:hint="eastAsia" w:ascii="宋体" w:hAnsi="宋体" w:cs="宋体"/>
                <w:color w:val="auto"/>
                <w:sz w:val="22"/>
                <w:szCs w:val="22"/>
                <w:highlight w:val="none"/>
                <w:lang w:val="zh-CN"/>
              </w:rPr>
              <w:t>要求提供承诺函（格式自定）作为得分依据，未提供承诺或承诺内容不满足要求不得分。</w:t>
            </w:r>
          </w:p>
        </w:tc>
        <w:tc>
          <w:tcPr>
            <w:tcW w:w="750" w:type="dxa"/>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2"/>
                <w:szCs w:val="22"/>
                <w:highlight w:val="none"/>
              </w:rPr>
              <w:t>3</w:t>
            </w:r>
          </w:p>
        </w:tc>
        <w:tc>
          <w:tcPr>
            <w:tcW w:w="836" w:type="dxa"/>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bookmarkEnd w:id="58"/>
    </w:tbl>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sectPr>
          <w:pgSz w:w="11906" w:h="16838"/>
          <w:pgMar w:top="149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highlight w:val="none"/>
        </w:rPr>
      </w:pPr>
      <w:bookmarkStart w:id="60" w:name="_Toc31322"/>
      <w:r>
        <w:rPr>
          <w:rFonts w:hint="eastAsia" w:ascii="宋体" w:hAnsi="宋体" w:cs="宋体"/>
          <w:b/>
          <w:bCs/>
          <w:color w:val="auto"/>
          <w:sz w:val="24"/>
          <w:highlight w:val="none"/>
        </w:rPr>
        <w:t>第七章 附件（投标文件格式）</w:t>
      </w:r>
      <w:bookmarkEnd w:id="56"/>
      <w:bookmarkEnd w:id="60"/>
    </w:p>
    <w:p>
      <w:pPr>
        <w:keepNext/>
        <w:keepLines/>
        <w:spacing w:before="260" w:after="260" w:line="440" w:lineRule="exact"/>
        <w:jc w:val="center"/>
        <w:outlineLvl w:val="1"/>
        <w:rPr>
          <w:rFonts w:hint="eastAsia" w:ascii="宋体" w:hAnsi="宋体" w:cs="宋体"/>
          <w:b/>
          <w:bCs/>
          <w:color w:val="auto"/>
          <w:sz w:val="24"/>
          <w:highlight w:val="none"/>
        </w:rPr>
      </w:pPr>
      <w:bookmarkStart w:id="61" w:name="_Toc31827"/>
      <w:bookmarkStart w:id="62" w:name="_Toc6548"/>
      <w:bookmarkStart w:id="63" w:name="_Toc19494"/>
      <w:bookmarkStart w:id="64" w:name="_Toc5116"/>
      <w:r>
        <w:rPr>
          <w:rFonts w:hint="eastAsia" w:ascii="宋体" w:hAnsi="宋体" w:cs="宋体"/>
          <w:b/>
          <w:bCs/>
          <w:color w:val="auto"/>
          <w:sz w:val="24"/>
          <w:highlight w:val="none"/>
        </w:rPr>
        <w:t>1、投标文件密封袋/封面参考</w:t>
      </w:r>
      <w:bookmarkEnd w:id="61"/>
      <w:bookmarkEnd w:id="62"/>
      <w:bookmarkEnd w:id="63"/>
      <w:bookmarkEnd w:id="64"/>
    </w:p>
    <w:tbl>
      <w:tblPr>
        <w:tblStyle w:val="20"/>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8"/>
              <w:tabs>
                <w:tab w:val="left" w:pos="562"/>
                <w:tab w:val="left" w:pos="3372"/>
                <w:tab w:val="left" w:pos="3653"/>
              </w:tabs>
              <w:spacing w:line="360" w:lineRule="auto"/>
              <w:rPr>
                <w:rFonts w:ascii="仿宋_GB2312" w:eastAsia="仿宋_GB2312"/>
                <w:b/>
                <w:color w:val="auto"/>
                <w:sz w:val="32"/>
                <w:highlight w:val="none"/>
              </w:rPr>
            </w:pPr>
          </w:p>
          <w:p>
            <w:pPr>
              <w:pStyle w:val="8"/>
              <w:tabs>
                <w:tab w:val="left" w:pos="562"/>
                <w:tab w:val="left" w:pos="3372"/>
                <w:tab w:val="left" w:pos="3653"/>
              </w:tabs>
              <w:spacing w:line="360" w:lineRule="auto"/>
              <w:jc w:val="center"/>
              <w:rPr>
                <w:rFonts w:ascii="黑体" w:eastAsia="黑体"/>
                <w:b/>
                <w:color w:val="auto"/>
                <w:sz w:val="72"/>
                <w:szCs w:val="72"/>
                <w:highlight w:val="none"/>
              </w:rPr>
            </w:pPr>
          </w:p>
          <w:p>
            <w:pPr>
              <w:pStyle w:val="8"/>
              <w:tabs>
                <w:tab w:val="left" w:pos="562"/>
                <w:tab w:val="left" w:pos="3372"/>
                <w:tab w:val="left" w:pos="3653"/>
              </w:tabs>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投 标 文 件</w:t>
            </w:r>
          </w:p>
          <w:p>
            <w:pPr>
              <w:pStyle w:val="8"/>
              <w:tabs>
                <w:tab w:val="left" w:pos="562"/>
                <w:tab w:val="left" w:pos="3372"/>
                <w:tab w:val="left" w:pos="3653"/>
              </w:tabs>
              <w:spacing w:line="360" w:lineRule="auto"/>
              <w:jc w:val="center"/>
              <w:rPr>
                <w:rFonts w:ascii="黑体" w:eastAsia="黑体"/>
                <w:b/>
                <w:strike/>
                <w:color w:val="auto"/>
                <w:sz w:val="32"/>
                <w:highlight w:val="none"/>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8"/>
              <w:tabs>
                <w:tab w:val="left" w:pos="562"/>
                <w:tab w:val="left" w:pos="3372"/>
                <w:tab w:val="left" w:pos="3653"/>
              </w:tabs>
              <w:spacing w:line="360" w:lineRule="auto"/>
              <w:rPr>
                <w:rFonts w:ascii="仿宋_GB2312" w:eastAsia="仿宋_GB2312"/>
                <w:b/>
                <w:color w:val="auto"/>
                <w:sz w:val="32"/>
                <w:highlight w:val="none"/>
              </w:rPr>
            </w:pPr>
          </w:p>
          <w:p>
            <w:pPr>
              <w:rPr>
                <w:color w:val="auto"/>
                <w:highlight w:val="none"/>
              </w:rPr>
            </w:pPr>
          </w:p>
          <w:p>
            <w:pPr>
              <w:pStyle w:val="8"/>
              <w:tabs>
                <w:tab w:val="left" w:pos="562"/>
                <w:tab w:val="left" w:pos="3372"/>
                <w:tab w:val="left" w:pos="3653"/>
              </w:tabs>
              <w:spacing w:line="400" w:lineRule="exact"/>
              <w:ind w:firstLine="900" w:firstLineChars="320"/>
              <w:rPr>
                <w:rFonts w:ascii="仿宋_GB2312" w:eastAsia="仿宋_GB2312"/>
                <w:b/>
                <w:color w:val="auto"/>
                <w:sz w:val="28"/>
                <w:szCs w:val="28"/>
                <w:highlight w:val="none"/>
              </w:rPr>
            </w:pPr>
          </w:p>
          <w:p>
            <w:pPr>
              <w:pStyle w:val="8"/>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Arial"/>
                <w:b/>
                <w:bCs/>
                <w:color w:val="auto"/>
                <w:sz w:val="28"/>
                <w:szCs w:val="28"/>
                <w:highlight w:val="none"/>
                <w:u w:val="single"/>
              </w:rPr>
              <w:t xml:space="preserve">                                   </w:t>
            </w:r>
          </w:p>
          <w:p>
            <w:pPr>
              <w:pStyle w:val="8"/>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Arial"/>
                <w:b/>
                <w:bCs/>
                <w:color w:val="auto"/>
                <w:sz w:val="28"/>
                <w:szCs w:val="28"/>
                <w:highlight w:val="none"/>
                <w:u w:val="single"/>
              </w:rPr>
              <w:t xml:space="preserve">                                   </w:t>
            </w:r>
          </w:p>
          <w:p>
            <w:pPr>
              <w:pStyle w:val="8"/>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r>
              <w:rPr>
                <w:rFonts w:hint="eastAsia" w:ascii="宋体" w:hAnsi="宋体" w:cs="Arial"/>
                <w:b/>
                <w:bCs/>
                <w:color w:val="auto"/>
                <w:sz w:val="28"/>
                <w:szCs w:val="28"/>
                <w:highlight w:val="none"/>
                <w:u w:val="single"/>
              </w:rPr>
              <w:t xml:space="preserve">                     （加盖公章）</w:t>
            </w:r>
          </w:p>
          <w:p>
            <w:pPr>
              <w:pStyle w:val="8"/>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宋体"/>
                <w:b/>
                <w:color w:val="auto"/>
                <w:sz w:val="28"/>
                <w:szCs w:val="28"/>
                <w:highlight w:val="none"/>
              </w:rPr>
              <w:t>投标人地址：</w:t>
            </w:r>
            <w:r>
              <w:rPr>
                <w:rFonts w:hint="eastAsia" w:ascii="宋体" w:hAnsi="宋体" w:cs="Arial"/>
                <w:b/>
                <w:bCs/>
                <w:color w:val="auto"/>
                <w:sz w:val="28"/>
                <w:szCs w:val="28"/>
                <w:highlight w:val="none"/>
                <w:u w:val="single"/>
              </w:rPr>
              <w:t xml:space="preserve">                                 </w:t>
            </w:r>
          </w:p>
          <w:p>
            <w:pPr>
              <w:pStyle w:val="8"/>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Arial"/>
                <w:b/>
                <w:bCs/>
                <w:color w:val="auto"/>
                <w:sz w:val="28"/>
                <w:szCs w:val="28"/>
                <w:highlight w:val="none"/>
              </w:rPr>
              <w:t>法定代表人/被授权人：</w:t>
            </w:r>
            <w:r>
              <w:rPr>
                <w:rFonts w:hint="eastAsia" w:ascii="宋体" w:hAnsi="宋体" w:cs="Arial"/>
                <w:b/>
                <w:bCs/>
                <w:color w:val="auto"/>
                <w:sz w:val="28"/>
                <w:szCs w:val="28"/>
                <w:highlight w:val="none"/>
                <w:u w:val="single"/>
              </w:rPr>
              <w:t xml:space="preserve">                        </w:t>
            </w:r>
          </w:p>
          <w:p>
            <w:pPr>
              <w:pStyle w:val="8"/>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Arial"/>
                <w:b/>
                <w:bCs/>
                <w:color w:val="auto"/>
                <w:sz w:val="28"/>
                <w:szCs w:val="28"/>
                <w:highlight w:val="none"/>
              </w:rPr>
              <w:t>联系电话：</w:t>
            </w:r>
            <w:r>
              <w:rPr>
                <w:rFonts w:hint="eastAsia" w:ascii="宋体" w:hAnsi="宋体" w:cs="Arial"/>
                <w:b/>
                <w:bCs/>
                <w:color w:val="auto"/>
                <w:sz w:val="28"/>
                <w:szCs w:val="28"/>
                <w:highlight w:val="none"/>
                <w:u w:val="single"/>
              </w:rPr>
              <w:t xml:space="preserve">                                   </w:t>
            </w: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宋体" w:hAnsi="宋体" w:cs="Arial"/>
                <w:b/>
                <w:bCs/>
                <w:color w:val="auto"/>
                <w:sz w:val="28"/>
                <w:szCs w:val="28"/>
                <w:highlight w:val="none"/>
              </w:rPr>
            </w:pPr>
          </w:p>
          <w:p>
            <w:pPr>
              <w:spacing w:line="360" w:lineRule="auto"/>
              <w:jc w:val="center"/>
              <w:rPr>
                <w:rFonts w:ascii="仿宋_GB2312" w:eastAsia="仿宋_GB2312"/>
                <w:b/>
                <w:color w:val="auto"/>
                <w:sz w:val="32"/>
                <w:highlight w:val="none"/>
              </w:rPr>
            </w:pPr>
            <w:r>
              <w:rPr>
                <w:rFonts w:hint="eastAsia" w:ascii="宋体" w:hAnsi="宋体" w:cs="Arial"/>
                <w:b/>
                <w:bCs/>
                <w:color w:val="auto"/>
                <w:sz w:val="28"/>
                <w:szCs w:val="28"/>
                <w:highlight w:val="none"/>
              </w:rPr>
              <w:t>【年月日时分之前不得启封。】</w:t>
            </w:r>
          </w:p>
        </w:tc>
      </w:tr>
    </w:tbl>
    <w:p>
      <w:pPr>
        <w:spacing w:line="360" w:lineRule="auto"/>
        <w:jc w:val="center"/>
        <w:rPr>
          <w:rFonts w:hint="eastAsia" w:ascii="宋体" w:hAnsi="宋体" w:cs="宋体"/>
          <w:b/>
          <w:bCs/>
          <w:color w:val="auto"/>
          <w:sz w:val="24"/>
          <w:highlight w:val="none"/>
        </w:rPr>
      </w:pPr>
    </w:p>
    <w:p>
      <w:pPr>
        <w:spacing w:before="100" w:beforeAutospacing="1" w:after="100" w:afterAutospacing="1"/>
        <w:jc w:val="center"/>
        <w:outlineLvl w:val="1"/>
        <w:rPr>
          <w:rFonts w:hint="eastAsia" w:ascii="宋体" w:hAnsi="宋体" w:cs="宋体"/>
          <w:b/>
          <w:color w:val="auto"/>
          <w:sz w:val="24"/>
          <w:highlight w:val="none"/>
        </w:rPr>
      </w:pPr>
      <w:bookmarkStart w:id="65" w:name="_Toc16724"/>
      <w:r>
        <w:rPr>
          <w:rFonts w:hint="eastAsia" w:ascii="宋体" w:hAnsi="宋体" w:cs="宋体"/>
          <w:b/>
          <w:color w:val="auto"/>
          <w:sz w:val="24"/>
          <w:highlight w:val="none"/>
        </w:rPr>
        <w:t>2、投标文件—目录</w:t>
      </w:r>
      <w:bookmarkEnd w:id="65"/>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8"/>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numPr>
          <w:ilvl w:val="0"/>
          <w:numId w:val="8"/>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分类报价明细表；</w:t>
      </w:r>
    </w:p>
    <w:p>
      <w:pPr>
        <w:spacing w:line="360" w:lineRule="auto"/>
        <w:rPr>
          <w:rFonts w:hint="eastAsia" w:ascii="宋体" w:hAnsi="宋体" w:cs="宋体"/>
          <w:b/>
          <w:bCs/>
          <w:color w:val="auto"/>
          <w:sz w:val="24"/>
          <w:highlight w:val="none"/>
          <w:u w:val="wave"/>
        </w:rPr>
      </w:pPr>
      <w:r>
        <w:rPr>
          <w:rFonts w:hint="eastAsia" w:ascii="宋体" w:hAnsi="宋体" w:cs="宋体"/>
          <w:b/>
          <w:bCs/>
          <w:color w:val="auto"/>
          <w:sz w:val="24"/>
          <w:highlight w:val="none"/>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9"/>
        </w:numPr>
        <w:tabs>
          <w:tab w:val="left" w:pos="640"/>
          <w:tab w:val="left" w:pos="1260"/>
          <w:tab w:val="left" w:pos="1418"/>
        </w:tabs>
        <w:spacing w:line="360" w:lineRule="auto"/>
        <w:ind w:left="645" w:hanging="645"/>
        <w:rPr>
          <w:rFonts w:hint="eastAsia" w:ascii="宋体" w:hAnsi="宋体" w:cs="宋体"/>
          <w:b/>
          <w:bCs/>
          <w:color w:val="auto"/>
          <w:sz w:val="24"/>
          <w:highlight w:val="none"/>
          <w:lang w:val="fr-CH"/>
        </w:rPr>
      </w:pPr>
      <w:r>
        <w:rPr>
          <w:rFonts w:hint="eastAsia" w:ascii="宋体" w:hAnsi="宋体" w:cs="宋体"/>
          <w:color w:val="auto"/>
          <w:sz w:val="24"/>
          <w:highlight w:val="none"/>
          <w:lang w:val="fr-CH"/>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b/>
          <w:bCs/>
          <w:color w:val="auto"/>
          <w:sz w:val="24"/>
          <w:highlight w:val="none"/>
          <w:lang w:val="fr-CH"/>
        </w:rPr>
      </w:pPr>
      <w:r>
        <w:rPr>
          <w:rFonts w:hint="eastAsia" w:ascii="宋体" w:hAnsi="宋体" w:cs="宋体"/>
          <w:color w:val="auto"/>
          <w:sz w:val="24"/>
          <w:highlight w:val="none"/>
          <w:lang w:val="fr-CH"/>
        </w:rPr>
        <w:t>法人代表证明书及身份证明；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法定代表人授权书及身份证明；</w:t>
      </w:r>
    </w:p>
    <w:p>
      <w:pPr>
        <w:numPr>
          <w:ilvl w:val="0"/>
          <w:numId w:val="9"/>
        </w:numPr>
        <w:tabs>
          <w:tab w:val="left" w:pos="640"/>
          <w:tab w:val="left" w:pos="1260"/>
          <w:tab w:val="left" w:pos="1418"/>
        </w:tabs>
        <w:spacing w:line="360" w:lineRule="auto"/>
        <w:ind w:left="845" w:hanging="845"/>
        <w:rPr>
          <w:rFonts w:hint="eastAsia" w:ascii="宋体" w:hAnsi="宋体" w:cs="宋体"/>
          <w:b/>
          <w:bCs/>
          <w:color w:val="auto"/>
          <w:sz w:val="24"/>
          <w:highlight w:val="none"/>
          <w:lang w:val="fr-CH"/>
        </w:rPr>
      </w:pPr>
      <w:r>
        <w:rPr>
          <w:rFonts w:hint="eastAsia" w:ascii="宋体" w:hAnsi="宋体" w:cs="宋体"/>
          <w:color w:val="auto"/>
          <w:sz w:val="24"/>
          <w:highlight w:val="none"/>
          <w:lang w:val="fr-CH"/>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bookmarkStart w:id="66" w:name="OLE_LINK29"/>
      <w:r>
        <w:rPr>
          <w:rFonts w:hint="eastAsia" w:ascii="宋体" w:hAnsi="宋体" w:cs="宋体"/>
          <w:color w:val="auto"/>
          <w:sz w:val="24"/>
          <w:highlight w:val="none"/>
          <w:lang w:val="fr-CH"/>
        </w:rPr>
        <w:t>投标人资质情况；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投标人业绩情况；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拟派项目负责人情况（仅限一人）；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拟派的项目团队成员（项目负责除外）；</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自主知识产权产品（创新、设计）情况；</w:t>
      </w:r>
      <w:bookmarkEnd w:id="66"/>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政府采购违法行为风险知悉确认书；</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参与价格扣除的证明文件；</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bookmarkStart w:id="67" w:name="OLE_LINK45"/>
      <w:r>
        <w:rPr>
          <w:rFonts w:hint="eastAsia" w:ascii="宋体" w:hAnsi="宋体" w:cs="宋体"/>
          <w:color w:val="auto"/>
          <w:sz w:val="24"/>
          <w:highlight w:val="none"/>
        </w:rPr>
        <w:t>供应商基本情况表、社保证明及股权关系证明</w:t>
      </w:r>
      <w:bookmarkEnd w:id="67"/>
      <w:r>
        <w:rPr>
          <w:rFonts w:hint="eastAsia" w:ascii="宋体" w:hAnsi="宋体" w:cs="宋体"/>
          <w:color w:val="auto"/>
          <w:sz w:val="24"/>
          <w:highlight w:val="none"/>
        </w:rPr>
        <w:t>；</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bookmarkStart w:id="68" w:name="OLE_LINK30"/>
      <w:r>
        <w:rPr>
          <w:rFonts w:hint="eastAsia" w:ascii="宋体" w:hAnsi="宋体" w:cs="宋体"/>
          <w:color w:val="auto"/>
          <w:sz w:val="24"/>
          <w:highlight w:val="none"/>
          <w:lang w:val="fr-CH"/>
        </w:rPr>
        <w:t>服务方案；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重难点分析、相关的合理化建议；</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质量保障方案；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服务承诺；</w:t>
      </w:r>
      <w:bookmarkEnd w:id="68"/>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投标人认为有必要提供的其他材料。</w:t>
      </w:r>
    </w:p>
    <w:p>
      <w:pPr>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11"/>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投标一览表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20"/>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896" w:type="dxa"/>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投标价</w:t>
            </w:r>
          </w:p>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（人民币）</w:t>
            </w:r>
          </w:p>
        </w:tc>
        <w:tc>
          <w:tcPr>
            <w:tcW w:w="1318" w:type="dxa"/>
            <w:vAlign w:val="center"/>
          </w:tcPr>
          <w:p>
            <w:pPr>
              <w:spacing w:after="6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auto"/>
                <w:sz w:val="24"/>
                <w:highlight w:val="none"/>
                <w:u w:val="single"/>
              </w:rPr>
            </w:pPr>
          </w:p>
        </w:tc>
        <w:tc>
          <w:tcPr>
            <w:tcW w:w="2896" w:type="dxa"/>
            <w:vAlign w:val="center"/>
          </w:tcPr>
          <w:p>
            <w:pPr>
              <w:spacing w:line="360" w:lineRule="auto"/>
              <w:jc w:val="center"/>
              <w:rPr>
                <w:rFonts w:hint="eastAsia" w:ascii="宋体" w:hAnsi="宋体" w:cs="宋体"/>
                <w:color w:val="auto"/>
                <w:sz w:val="24"/>
                <w:highlight w:val="none"/>
                <w:u w:val="single"/>
              </w:rPr>
            </w:pPr>
          </w:p>
        </w:tc>
        <w:tc>
          <w:tcPr>
            <w:tcW w:w="1318" w:type="dxa"/>
            <w:vAlign w:val="center"/>
          </w:tcPr>
          <w:p>
            <w:pPr>
              <w:spacing w:line="360" w:lineRule="auto"/>
              <w:jc w:val="center"/>
              <w:rPr>
                <w:rFonts w:hint="eastAsia" w:ascii="宋体" w:hAnsi="宋体" w:cs="宋体"/>
                <w:color w:val="auto"/>
                <w:sz w:val="24"/>
                <w:highlight w:val="none"/>
                <w:u w:val="single"/>
              </w:rPr>
            </w:pP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8"/>
        <w:rPr>
          <w:color w:val="auto"/>
          <w:highlight w:val="none"/>
        </w:rPr>
      </w:pPr>
    </w:p>
    <w:p>
      <w:pPr>
        <w:numPr>
          <w:ilvl w:val="0"/>
          <w:numId w:val="11"/>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分项报价清单；</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分项报价清单</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序号</w:t>
            </w:r>
          </w:p>
        </w:tc>
        <w:tc>
          <w:tcPr>
            <w:tcW w:w="2212" w:type="dxa"/>
            <w:vAlign w:val="center"/>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项目名称、内容</w:t>
            </w:r>
          </w:p>
        </w:tc>
        <w:tc>
          <w:tcPr>
            <w:tcW w:w="720" w:type="dxa"/>
            <w:vAlign w:val="center"/>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单位</w:t>
            </w:r>
          </w:p>
        </w:tc>
        <w:tc>
          <w:tcPr>
            <w:tcW w:w="1800" w:type="dxa"/>
            <w:vAlign w:val="center"/>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数量（工作量）</w:t>
            </w:r>
          </w:p>
        </w:tc>
        <w:tc>
          <w:tcPr>
            <w:tcW w:w="1620" w:type="dxa"/>
            <w:vAlign w:val="center"/>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单价</w:t>
            </w:r>
          </w:p>
        </w:tc>
        <w:tc>
          <w:tcPr>
            <w:tcW w:w="1620" w:type="dxa"/>
            <w:vAlign w:val="center"/>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1</w:t>
            </w:r>
          </w:p>
        </w:tc>
        <w:tc>
          <w:tcPr>
            <w:tcW w:w="2212" w:type="dxa"/>
            <w:vAlign w:val="center"/>
          </w:tcPr>
          <w:p>
            <w:pPr>
              <w:pStyle w:val="11"/>
              <w:spacing w:line="360" w:lineRule="auto"/>
              <w:jc w:val="center"/>
              <w:rPr>
                <w:rFonts w:hint="eastAsia"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2</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3</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4</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5</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6</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7</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8</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9</w:t>
            </w:r>
          </w:p>
        </w:tc>
        <w:tc>
          <w:tcPr>
            <w:tcW w:w="2212" w:type="dxa"/>
            <w:vAlign w:val="center"/>
          </w:tcPr>
          <w:p>
            <w:pPr>
              <w:autoSpaceDE w:val="0"/>
              <w:autoSpaceDN w:val="0"/>
              <w:adjustRightInd w:val="0"/>
              <w:spacing w:line="360" w:lineRule="auto"/>
              <w:jc w:val="center"/>
              <w:rPr>
                <w:rFonts w:hint="eastAsia" w:ascii="宋体" w:hAnsi="宋体" w:cs="宋体"/>
                <w:color w:val="auto"/>
                <w:sz w:val="24"/>
                <w:highlight w:val="none"/>
              </w:rPr>
            </w:pP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w:t>
            </w:r>
          </w:p>
        </w:tc>
        <w:tc>
          <w:tcPr>
            <w:tcW w:w="2212" w:type="dxa"/>
            <w:vAlign w:val="center"/>
          </w:tcPr>
          <w:p>
            <w:pPr>
              <w:pStyle w:val="11"/>
              <w:spacing w:line="360" w:lineRule="auto"/>
              <w:jc w:val="center"/>
              <w:rPr>
                <w:rFonts w:hint="eastAsia" w:hAnsi="宋体" w:cs="宋体"/>
                <w:color w:val="auto"/>
                <w:sz w:val="24"/>
                <w:highlight w:val="none"/>
              </w:rPr>
            </w:pPr>
            <w:r>
              <w:rPr>
                <w:rFonts w:hint="eastAsia" w:hAnsi="宋体" w:cs="宋体"/>
                <w:color w:val="auto"/>
                <w:sz w:val="24"/>
                <w:highlight w:val="none"/>
              </w:rPr>
              <w:t>…</w:t>
            </w:r>
          </w:p>
        </w:tc>
        <w:tc>
          <w:tcPr>
            <w:tcW w:w="720" w:type="dxa"/>
            <w:vAlign w:val="center"/>
          </w:tcPr>
          <w:p>
            <w:pPr>
              <w:pStyle w:val="11"/>
              <w:spacing w:line="360" w:lineRule="auto"/>
              <w:jc w:val="center"/>
              <w:rPr>
                <w:rFonts w:hint="eastAsia" w:hAnsi="宋体" w:cs="宋体"/>
                <w:color w:val="auto"/>
                <w:sz w:val="24"/>
                <w:highlight w:val="none"/>
              </w:rPr>
            </w:pPr>
          </w:p>
        </w:tc>
        <w:tc>
          <w:tcPr>
            <w:tcW w:w="180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c>
          <w:tcPr>
            <w:tcW w:w="1620" w:type="dxa"/>
            <w:vAlign w:val="center"/>
          </w:tcPr>
          <w:p>
            <w:pPr>
              <w:pStyle w:val="11"/>
              <w:spacing w:line="360" w:lineRule="auto"/>
              <w:jc w:val="center"/>
              <w:rPr>
                <w:rFonts w:hint="eastAsia"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1"/>
              <w:spacing w:line="360" w:lineRule="auto"/>
              <w:rPr>
                <w:rFonts w:hint="eastAsia" w:hAnsi="宋体" w:cs="宋体"/>
                <w:color w:val="auto"/>
                <w:sz w:val="24"/>
                <w:highlight w:val="none"/>
              </w:rPr>
            </w:pPr>
            <w:r>
              <w:rPr>
                <w:rFonts w:hint="eastAsia" w:hAnsi="宋体" w:cs="宋体"/>
                <w:color w:val="auto"/>
                <w:sz w:val="24"/>
                <w:highlight w:val="none"/>
              </w:rPr>
              <w:t>报价合计</w:t>
            </w: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outlineLvl w:val="2"/>
        <w:rPr>
          <w:rFonts w:hint="eastAsia" w:ascii="宋体" w:hAnsi="宋体" w:cs="宋体"/>
          <w:b/>
          <w:bCs/>
          <w:color w:val="auto"/>
          <w:sz w:val="24"/>
          <w:highlight w:val="none"/>
          <w:u w:val="wav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投标响应书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一份正本四份副本以及</w:t>
      </w:r>
      <w:bookmarkStart w:id="69" w:name="OLE_LINK2"/>
      <w:r>
        <w:rPr>
          <w:rFonts w:hint="eastAsia" w:ascii="宋体" w:hAnsi="宋体" w:cs="宋体"/>
          <w:b/>
          <w:color w:val="auto"/>
          <w:sz w:val="24"/>
          <w:highlight w:val="none"/>
        </w:rPr>
        <w:t>一份PDF格式的正本投标文件扫描件的</w:t>
      </w:r>
      <w:bookmarkEnd w:id="69"/>
      <w:r>
        <w:rPr>
          <w:rFonts w:hint="eastAsia" w:ascii="宋体" w:hAnsi="宋体" w:cs="宋体"/>
          <w:color w:val="auto"/>
          <w:sz w:val="24"/>
          <w:highlight w:val="none"/>
        </w:rPr>
        <w:t>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邮箱：</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8"/>
        <w:rPr>
          <w:color w:val="auto"/>
          <w:highlight w:val="none"/>
        </w:rPr>
      </w:pP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highlight w:val="none"/>
          <w:lang w:val="fr-CH"/>
        </w:rPr>
        <w:br w:type="page"/>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spacing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政府采购投标及履约承诺函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highlight w:val="none"/>
        </w:rPr>
        <w:t>。</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highlight w:val="none"/>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hAnsi="宋体" w:cs="宋体"/>
          <w:color w:val="auto"/>
          <w:highlight w:val="none"/>
        </w:rPr>
        <w:br w:type="page"/>
      </w:r>
      <w:r>
        <w:rPr>
          <w:rFonts w:hint="eastAsia" w:ascii="宋体" w:hAnsi="宋体" w:cs="宋体"/>
          <w:color w:val="auto"/>
          <w:sz w:val="24"/>
          <w:highlight w:val="none"/>
        </w:rPr>
        <w:t>关于资格的声明函；</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关于资格的声明函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hint="eastAsia" w:ascii="宋体" w:hAnsi="宋体" w:cs="宋体"/>
          <w:color w:val="auto"/>
          <w:sz w:val="24"/>
          <w:highlight w:val="none"/>
        </w:rPr>
      </w:pPr>
    </w:p>
    <w:p>
      <w:pPr>
        <w:tabs>
          <w:tab w:val="left" w:pos="4860"/>
        </w:tabs>
        <w:adjustRightInd w:val="0"/>
        <w:snapToGrid w:val="0"/>
        <w:spacing w:line="360" w:lineRule="auto"/>
        <w:ind w:right="105" w:rightChars="5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法定代表人证明书及身份证明；</w:t>
      </w:r>
    </w:p>
    <w:p>
      <w:pPr>
        <w:spacing w:before="120" w:after="120" w:line="360" w:lineRule="auto"/>
        <w:jc w:val="center"/>
        <w:rPr>
          <w:rFonts w:hint="eastAsia" w:ascii="宋体" w:hAnsi="宋体" w:cs="宋体"/>
          <w:b/>
          <w:color w:val="auto"/>
          <w:sz w:val="24"/>
          <w:highlight w:val="none"/>
        </w:rPr>
      </w:pPr>
    </w:p>
    <w:p>
      <w:pPr>
        <w:spacing w:before="120" w:after="120" w:line="360" w:lineRule="auto"/>
        <w:jc w:val="center"/>
        <w:rPr>
          <w:rFonts w:hint="eastAsia" w:ascii="宋体" w:hAnsi="宋体" w:cs="宋体"/>
          <w:color w:val="auto"/>
          <w:sz w:val="24"/>
          <w:highlight w:val="none"/>
          <w:u w:val="single"/>
        </w:rPr>
      </w:pPr>
      <w:r>
        <w:rPr>
          <w:rFonts w:hint="eastAsia" w:ascii="宋体" w:hAnsi="宋体" w:cs="宋体"/>
          <w:b/>
          <w:color w:val="auto"/>
          <w:sz w:val="24"/>
          <w:highlight w:val="none"/>
        </w:rPr>
        <w:t>法定代表人证明书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说明：1、法定代表人为企业事业单位、国家机关、社会团体的主要行政负责人。</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spacing w:before="120" w:after="120"/>
        <w:jc w:val="left"/>
        <w:rPr>
          <w:rFonts w:hint="eastAsia" w:ascii="宋体" w:hAnsi="宋体" w:cs="宋体"/>
          <w:color w:val="auto"/>
          <w:szCs w:val="21"/>
          <w:highlight w:val="none"/>
        </w:rPr>
      </w:pPr>
    </w:p>
    <w:p>
      <w:pPr>
        <w:spacing w:before="120" w:after="12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1"/>
              <w:spacing w:line="360" w:lineRule="auto"/>
              <w:rPr>
                <w:rFonts w:ascii="Arial Narrow" w:hAnsi="Arial Narrow"/>
                <w:b/>
                <w:bCs/>
                <w:color w:val="auto"/>
                <w:szCs w:val="21"/>
                <w:highlight w:val="none"/>
              </w:rPr>
            </w:pPr>
          </w:p>
        </w:tc>
        <w:tc>
          <w:tcPr>
            <w:tcW w:w="4240" w:type="dxa"/>
          </w:tcPr>
          <w:p>
            <w:pPr>
              <w:pStyle w:val="11"/>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color w:val="auto"/>
          <w:szCs w:val="21"/>
          <w:highlight w:val="none"/>
        </w:rPr>
      </w:pPr>
    </w:p>
    <w:p>
      <w:pPr>
        <w:tabs>
          <w:tab w:val="left" w:pos="640"/>
          <w:tab w:val="left" w:pos="1260"/>
          <w:tab w:val="left" w:pos="1418"/>
        </w:tabs>
        <w:spacing w:line="360" w:lineRule="auto"/>
        <w:rPr>
          <w:color w:val="auto"/>
          <w:szCs w:val="21"/>
          <w:highlight w:val="none"/>
          <w:lang w:val="fr-CH"/>
        </w:rPr>
      </w:pPr>
      <w:bookmarkStart w:id="70" w:name="OLE_LINK4"/>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bookmarkEnd w:id="70"/>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法定代表人授权书及身份证明；</w:t>
      </w:r>
    </w:p>
    <w:p>
      <w:pPr>
        <w:pStyle w:val="11"/>
        <w:spacing w:line="360" w:lineRule="auto"/>
        <w:jc w:val="center"/>
        <w:rPr>
          <w:rFonts w:hint="eastAsia" w:hAnsi="宋体" w:cs="宋体"/>
          <w:b/>
          <w:color w:val="auto"/>
          <w:sz w:val="24"/>
          <w:highlight w:val="none"/>
        </w:rPr>
      </w:pPr>
    </w:p>
    <w:p>
      <w:pPr>
        <w:pStyle w:val="11"/>
        <w:spacing w:line="360" w:lineRule="auto"/>
        <w:jc w:val="center"/>
        <w:rPr>
          <w:rFonts w:hint="eastAsia" w:hAnsi="宋体" w:cs="宋体"/>
          <w:b/>
          <w:color w:val="auto"/>
          <w:sz w:val="24"/>
          <w:highlight w:val="none"/>
        </w:rPr>
      </w:pPr>
      <w:r>
        <w:rPr>
          <w:rFonts w:hint="eastAsia" w:hAnsi="宋体" w:cs="宋体"/>
          <w:b/>
          <w:color w:val="auto"/>
          <w:sz w:val="24"/>
          <w:highlight w:val="none"/>
        </w:rPr>
        <w:t>法定代表人授权书</w:t>
      </w:r>
    </w:p>
    <w:p>
      <w:pPr>
        <w:pStyle w:val="11"/>
        <w:spacing w:line="360" w:lineRule="auto"/>
        <w:rPr>
          <w:rFonts w:hint="eastAsia" w:hAnsi="宋体" w:cs="宋体"/>
          <w:color w:val="auto"/>
          <w:sz w:val="24"/>
          <w:highlight w:val="none"/>
        </w:rPr>
      </w:pPr>
    </w:p>
    <w:p>
      <w:pPr>
        <w:pStyle w:val="11"/>
        <w:spacing w:line="360" w:lineRule="auto"/>
        <w:rPr>
          <w:rFonts w:hint="eastAsia" w:hAnsi="宋体" w:cs="宋体"/>
          <w:color w:val="auto"/>
          <w:sz w:val="24"/>
          <w:highlight w:val="none"/>
        </w:rPr>
      </w:pPr>
      <w:r>
        <w:rPr>
          <w:rFonts w:hint="eastAsia" w:hAnsi="宋体" w:cs="宋体"/>
          <w:b/>
          <w:color w:val="auto"/>
          <w:sz w:val="24"/>
          <w:highlight w:val="none"/>
        </w:rPr>
        <w:t>深圳市前海深港现代服务业合作区管理局：</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1"/>
        <w:spacing w:line="360" w:lineRule="auto"/>
        <w:rPr>
          <w:rFonts w:hint="eastAsia" w:hAnsi="宋体" w:cs="宋体"/>
          <w:color w:val="auto"/>
          <w:sz w:val="24"/>
          <w:highlight w:val="none"/>
        </w:rPr>
      </w:pPr>
    </w:p>
    <w:p>
      <w:pPr>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被授权人代表（签字或签章）：</w:t>
      </w:r>
    </w:p>
    <w:p>
      <w:pPr>
        <w:tabs>
          <w:tab w:val="left" w:pos="640"/>
          <w:tab w:val="left" w:pos="1260"/>
          <w:tab w:val="left" w:pos="1418"/>
        </w:tabs>
        <w:spacing w:line="360" w:lineRule="auto"/>
        <w:rPr>
          <w:rFonts w:hint="eastAsia" w:ascii="宋体" w:hAnsi="宋体" w:cs="宋体"/>
          <w:b/>
          <w:color w:val="auto"/>
          <w:sz w:val="24"/>
          <w:highlight w:val="none"/>
        </w:rPr>
      </w:pPr>
    </w:p>
    <w:p>
      <w:pPr>
        <w:tabs>
          <w:tab w:val="left" w:pos="640"/>
          <w:tab w:val="left" w:pos="1260"/>
          <w:tab w:val="left" w:pos="1418"/>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color w:val="auto"/>
                <w:szCs w:val="21"/>
                <w:highlight w:val="none"/>
              </w:rPr>
            </w:pPr>
          </w:p>
        </w:tc>
        <w:tc>
          <w:tcPr>
            <w:tcW w:w="4677" w:type="dxa"/>
          </w:tcPr>
          <w:p>
            <w:pPr>
              <w:pStyle w:val="11"/>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color w:val="auto"/>
          <w:szCs w:val="21"/>
          <w:highlight w:val="none"/>
        </w:rPr>
      </w:pPr>
    </w:p>
    <w:p>
      <w:pPr>
        <w:tabs>
          <w:tab w:val="left" w:pos="640"/>
          <w:tab w:val="left" w:pos="1260"/>
          <w:tab w:val="left" w:pos="1418"/>
        </w:tabs>
        <w:spacing w:line="360" w:lineRule="auto"/>
        <w:rPr>
          <w:color w:val="auto"/>
          <w:szCs w:val="21"/>
          <w:highlight w:val="none"/>
        </w:rPr>
      </w:pPr>
      <w:r>
        <w:rPr>
          <w:rFonts w:hint="eastAsia"/>
          <w:color w:val="auto"/>
          <w:szCs w:val="21"/>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致：北京国际招标有限公司</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highlight w:val="none"/>
          <w:u w:val="single"/>
        </w:rPr>
        <w:t>招标文件中的规定</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特此承诺。</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8"/>
        <w:rPr>
          <w:color w:val="auto"/>
          <w:highlight w:val="none"/>
          <w:lang w:val="fr-CH"/>
        </w:rPr>
      </w:pPr>
    </w:p>
    <w:p>
      <w:pPr>
        <w:tabs>
          <w:tab w:val="left" w:pos="640"/>
          <w:tab w:val="left" w:pos="1260"/>
          <w:tab w:val="left" w:pos="1418"/>
        </w:tabs>
        <w:spacing w:line="360" w:lineRule="auto"/>
        <w:rPr>
          <w:rFonts w:hint="eastAsia" w:ascii="宋体" w:hAnsi="宋体" w:cs="宋体"/>
          <w:color w:val="auto"/>
          <w:sz w:val="24"/>
          <w:highlight w:val="none"/>
          <w:lang w:val="fr-CH"/>
        </w:rPr>
      </w:pP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rPr>
        <w:t>供应商</w:t>
      </w:r>
      <w:r>
        <w:rPr>
          <w:rFonts w:hint="eastAsia" w:ascii="宋体" w:hAnsi="宋体" w:cs="宋体"/>
          <w:color w:val="auto"/>
          <w:sz w:val="24"/>
          <w:highlight w:val="none"/>
          <w:lang w:val="fr-CH"/>
        </w:rPr>
        <w:t>简介；</w:t>
      </w:r>
    </w:p>
    <w:p>
      <w:pPr>
        <w:pStyle w:val="11"/>
        <w:spacing w:line="360" w:lineRule="auto"/>
        <w:jc w:val="center"/>
        <w:rPr>
          <w:rFonts w:hint="eastAsia" w:hAnsi="宋体" w:cs="宋体"/>
          <w:b/>
          <w:bCs/>
          <w:color w:val="auto"/>
          <w:sz w:val="24"/>
          <w:highlight w:val="none"/>
        </w:rPr>
      </w:pPr>
      <w:r>
        <w:rPr>
          <w:rFonts w:hint="eastAsia" w:hAnsi="宋体" w:cs="宋体"/>
          <w:b/>
          <w:bCs/>
          <w:color w:val="auto"/>
          <w:sz w:val="24"/>
          <w:highlight w:val="none"/>
        </w:rPr>
        <w:t>供应商基本情况一览表</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1．名称及概况：</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（1）供应商名称：_______________________________________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（2）地址：______________________________________________</w:t>
      </w:r>
    </w:p>
    <w:p>
      <w:pPr>
        <w:pStyle w:val="11"/>
        <w:spacing w:line="360" w:lineRule="auto"/>
        <w:ind w:firstLine="660" w:firstLineChars="275"/>
        <w:rPr>
          <w:rFonts w:hint="eastAsia" w:hAnsi="宋体" w:cs="宋体"/>
          <w:color w:val="auto"/>
          <w:sz w:val="24"/>
          <w:highlight w:val="none"/>
        </w:rPr>
      </w:pPr>
      <w:r>
        <w:rPr>
          <w:rFonts w:hint="eastAsia" w:hAnsi="宋体" w:cs="宋体"/>
          <w:color w:val="auto"/>
          <w:sz w:val="24"/>
          <w:highlight w:val="none"/>
        </w:rPr>
        <w:t xml:space="preserve">   邮政编码：___________________________________________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电话号码：___________________________________________ </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传真号码：___________________________________________ </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（3）成立和／或注册日期：_________________________________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（4）法人代表：___________________________________________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（5）开户银行：___________________________________________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（6）开户</w:t>
      </w:r>
      <w:r>
        <w:rPr>
          <w:rFonts w:hint="eastAsia" w:hAnsi="宋体" w:cs="宋体"/>
          <w:color w:val="auto"/>
          <w:sz w:val="24"/>
          <w:highlight w:val="none"/>
          <w:lang w:eastAsia="zh-CN"/>
        </w:rPr>
        <w:t>账</w:t>
      </w:r>
      <w:r>
        <w:rPr>
          <w:rFonts w:hint="eastAsia" w:hAnsi="宋体" w:cs="宋体"/>
          <w:color w:val="auto"/>
          <w:sz w:val="24"/>
          <w:highlight w:val="none"/>
        </w:rPr>
        <w:t>号：___________________________________________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（7）注册资金：___________________________________________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（8）近两年财务基本情况</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①货币资金期末数：_____________________________________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③年营业总额（值）：___________________________________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③资产负债率：_________________________________________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④销售利润率：_________________________________________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⑤资本收益率：_________________________________________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（9）项目主要联系人（姓名、职务、通讯）：</w:t>
      </w:r>
    </w:p>
    <w:p>
      <w:pPr>
        <w:pStyle w:val="11"/>
        <w:spacing w:line="360" w:lineRule="auto"/>
        <w:rPr>
          <w:rFonts w:hint="eastAsia" w:hAnsi="宋体" w:cs="宋体"/>
          <w:color w:val="auto"/>
          <w:sz w:val="24"/>
          <w:highlight w:val="none"/>
        </w:rPr>
      </w:pPr>
      <w:r>
        <w:rPr>
          <w:rFonts w:hint="eastAsia" w:hAnsi="宋体" w:cs="宋体"/>
          <w:color w:val="auto"/>
          <w:sz w:val="24"/>
          <w:highlight w:val="none"/>
        </w:rPr>
        <w:t>_____________________________________________________________________</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（10）公司概况；</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（11）公司组织机构；</w:t>
      </w:r>
    </w:p>
    <w:p>
      <w:pPr>
        <w:pStyle w:val="11"/>
        <w:spacing w:line="360" w:lineRule="auto"/>
        <w:ind w:firstLine="420"/>
        <w:rPr>
          <w:rFonts w:hint="eastAsia" w:hAnsi="宋体" w:cs="宋体"/>
          <w:color w:val="auto"/>
          <w:sz w:val="24"/>
          <w:highlight w:val="none"/>
        </w:rPr>
      </w:pPr>
      <w:r>
        <w:rPr>
          <w:rFonts w:hint="eastAsia" w:hAnsi="宋体" w:cs="宋体"/>
          <w:color w:val="auto"/>
          <w:sz w:val="24"/>
          <w:highlight w:val="none"/>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8"/>
        <w:rPr>
          <w:color w:val="auto"/>
          <w:highlight w:val="none"/>
          <w:lang w:val="fr-CH"/>
        </w:rPr>
      </w:pPr>
    </w:p>
    <w:p>
      <w:pPr>
        <w:tabs>
          <w:tab w:val="left" w:pos="640"/>
        </w:tabs>
        <w:spacing w:line="360" w:lineRule="auto"/>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p>
    <w:p>
      <w:pPr>
        <w:numPr>
          <w:ilvl w:val="0"/>
          <w:numId w:val="12"/>
        </w:numPr>
        <w:tabs>
          <w:tab w:val="left" w:pos="640"/>
        </w:tabs>
        <w:spacing w:line="360" w:lineRule="auto"/>
        <w:ind w:left="845" w:hanging="845"/>
        <w:rPr>
          <w:rFonts w:hint="eastAsia" w:ascii="宋体" w:hAnsi="宋体" w:cs="宋体"/>
          <w:color w:val="auto"/>
          <w:sz w:val="24"/>
          <w:highlight w:val="none"/>
        </w:rPr>
      </w:pPr>
      <w:bookmarkStart w:id="71" w:name="OLE_LINK31"/>
      <w:r>
        <w:rPr>
          <w:rFonts w:hint="eastAsia" w:ascii="宋体" w:hAnsi="宋体" w:cs="宋体"/>
          <w:color w:val="auto"/>
          <w:sz w:val="24"/>
          <w:highlight w:val="none"/>
        </w:rPr>
        <w:t>投标人资质情况；</w:t>
      </w:r>
    </w:p>
    <w:p>
      <w:pPr>
        <w:numPr>
          <w:ilvl w:val="0"/>
          <w:numId w:val="12"/>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投标人业绩情况；</w:t>
      </w:r>
    </w:p>
    <w:p>
      <w:pPr>
        <w:numPr>
          <w:ilvl w:val="0"/>
          <w:numId w:val="12"/>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拟派项目负责人情况（仅限一人）；</w:t>
      </w:r>
    </w:p>
    <w:p>
      <w:pPr>
        <w:numPr>
          <w:ilvl w:val="0"/>
          <w:numId w:val="12"/>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拟派的项目团队成员（项目负责除外）；</w:t>
      </w:r>
    </w:p>
    <w:p>
      <w:pPr>
        <w:numPr>
          <w:ilvl w:val="0"/>
          <w:numId w:val="12"/>
        </w:numPr>
        <w:tabs>
          <w:tab w:val="left" w:pos="640"/>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自主知识产权产品（创新、设计）情况；</w:t>
      </w:r>
      <w:bookmarkEnd w:id="71"/>
    </w:p>
    <w:p>
      <w:pPr>
        <w:tabs>
          <w:tab w:val="left" w:pos="640"/>
          <w:tab w:val="left" w:pos="1260"/>
          <w:tab w:val="left" w:pos="1418"/>
        </w:tabs>
        <w:jc w:val="center"/>
        <w:rPr>
          <w:rFonts w:hint="eastAsia" w:ascii="宋体" w:hAnsi="宋体" w:cs="宋体"/>
          <w:b/>
          <w:bCs/>
          <w:color w:val="auto"/>
          <w:szCs w:val="21"/>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诚信</w:t>
      </w:r>
      <w:r>
        <w:rPr>
          <w:rFonts w:hint="eastAsia" w:ascii="宋体" w:hAnsi="宋体" w:cs="宋体"/>
          <w:b/>
          <w:bCs/>
          <w:color w:val="auto"/>
          <w:sz w:val="24"/>
          <w:highlight w:val="none"/>
        </w:rPr>
        <w:t>声明与承诺</w:t>
      </w:r>
      <w:r>
        <w:rPr>
          <w:rFonts w:hint="eastAsia" w:ascii="宋体" w:hAnsi="宋体" w:cs="宋体"/>
          <w:b/>
          <w:bCs/>
          <w:color w:val="auto"/>
          <w:sz w:val="24"/>
          <w:highlight w:val="none"/>
          <w:lang w:val="fr-CH"/>
        </w:rPr>
        <w:t>；</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诚信声明与承诺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北京国际招标有限公司：</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11"/>
        <w:spacing w:line="360" w:lineRule="auto"/>
        <w:jc w:val="left"/>
        <w:rPr>
          <w:rFonts w:hint="eastAsia" w:hAnsi="宋体" w:cs="宋体"/>
          <w:color w:val="auto"/>
          <w:sz w:val="24"/>
          <w:highlight w:val="none"/>
        </w:rPr>
      </w:pPr>
    </w:p>
    <w:p>
      <w:pPr>
        <w:pStyle w:val="11"/>
        <w:spacing w:line="360" w:lineRule="auto"/>
        <w:jc w:val="left"/>
        <w:rPr>
          <w:rFonts w:hint="eastAsia" w:hAnsi="宋体" w:cs="宋体"/>
          <w:color w:val="auto"/>
          <w:sz w:val="24"/>
          <w:highlight w:val="none"/>
        </w:rPr>
      </w:pPr>
    </w:p>
    <w:p>
      <w:pPr>
        <w:spacing w:before="100" w:beforeAutospacing="1" w:after="100" w:afterAutospacing="1"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8"/>
        <w:rPr>
          <w:color w:val="auto"/>
          <w:highlight w:val="none"/>
          <w:lang w:val="fr-CH"/>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政府采购违法行为风险知悉确认书</w:t>
      </w:r>
    </w:p>
    <w:p>
      <w:pPr>
        <w:spacing w:line="360" w:lineRule="auto"/>
        <w:ind w:left="420"/>
        <w:jc w:val="center"/>
        <w:rPr>
          <w:rFonts w:ascii="宋体"/>
          <w:b/>
          <w:color w:val="auto"/>
          <w:sz w:val="24"/>
          <w:highlight w:val="none"/>
        </w:rPr>
      </w:pPr>
      <w:r>
        <w:rPr>
          <w:rFonts w:hint="eastAsia" w:ascii="宋体"/>
          <w:b/>
          <w:color w:val="auto"/>
          <w:sz w:val="24"/>
          <w:highlight w:val="none"/>
        </w:rPr>
        <w:t>政府采购违法行为风险知悉确认书</w:t>
      </w:r>
    </w:p>
    <w:p>
      <w:pPr>
        <w:autoSpaceDE w:val="0"/>
        <w:autoSpaceDN w:val="0"/>
        <w:adjustRightInd w:val="0"/>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auto"/>
                <w:sz w:val="24"/>
                <w:highlight w:val="none"/>
              </w:rPr>
            </w:pPr>
            <w:bookmarkStart w:id="72" w:name="OLE_LINK6"/>
            <w:r>
              <w:rPr>
                <w:rFonts w:hint="eastAsia" w:ascii="宋体" w:hAnsi="宋体" w:cs="宋体"/>
                <w:b/>
                <w:bCs/>
                <w:color w:val="auto"/>
                <w:sz w:val="24"/>
                <w:highlight w:val="none"/>
              </w:rPr>
              <w:t>序号</w:t>
            </w:r>
          </w:p>
        </w:tc>
        <w:tc>
          <w:tcPr>
            <w:tcW w:w="7607" w:type="dxa"/>
            <w:vAlign w:val="center"/>
          </w:tcPr>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与其他投标供应商的法定代表人、主要经营负责人、投标授权代表人、项目负责人、主要技术人员为</w:t>
            </w:r>
            <w:r>
              <w:rPr>
                <w:rFonts w:hint="eastAsia" w:ascii="宋体" w:hAnsi="宋体" w:cs="宋体"/>
                <w:b/>
                <w:bCs/>
                <w:color w:val="auto"/>
                <w:sz w:val="24"/>
                <w:highlight w:val="none"/>
              </w:rPr>
              <w:t>同一人、属同一单位或者在同一单位缴纳社会保险</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参与本项目政府采购活动时，与其他投标供应商存在单位负责人为</w:t>
            </w:r>
            <w:r>
              <w:rPr>
                <w:rFonts w:hint="eastAsia" w:ascii="宋体" w:hAnsi="宋体" w:cs="宋体"/>
                <w:b/>
                <w:bCs/>
                <w:color w:val="auto"/>
                <w:sz w:val="24"/>
                <w:highlight w:val="none"/>
              </w:rPr>
              <w:t>同一人或直接控股、管理关系</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与其他投标供应商的投标文件或部分投标文件</w:t>
            </w:r>
            <w:r>
              <w:rPr>
                <w:rFonts w:hint="eastAsia" w:ascii="宋体" w:hAnsi="宋体" w:cs="宋体"/>
                <w:b/>
                <w:bCs/>
                <w:color w:val="auto"/>
                <w:sz w:val="24"/>
                <w:highlight w:val="none"/>
              </w:rPr>
              <w:t>相互混装或存在非正常一致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与其他投标供应商的投标文件由</w:t>
            </w:r>
            <w:r>
              <w:rPr>
                <w:rFonts w:hint="eastAsia" w:ascii="宋体" w:hAnsi="宋体" w:cs="宋体"/>
                <w:b/>
                <w:bCs/>
                <w:color w:val="auto"/>
                <w:sz w:val="24"/>
                <w:highlight w:val="none"/>
              </w:rPr>
              <w:t>同一单位或者同一人编制</w:t>
            </w:r>
            <w:r>
              <w:rPr>
                <w:rFonts w:hint="eastAsia" w:ascii="宋体" w:hAnsi="宋体" w:cs="宋体"/>
                <w:color w:val="auto"/>
                <w:sz w:val="24"/>
                <w:highlight w:val="none"/>
              </w:rPr>
              <w:t>，或者使用</w:t>
            </w:r>
            <w:r>
              <w:rPr>
                <w:rFonts w:hint="eastAsia" w:ascii="宋体" w:hAnsi="宋体" w:cs="宋体"/>
                <w:b/>
                <w:bCs/>
                <w:color w:val="auto"/>
                <w:sz w:val="24"/>
                <w:highlight w:val="none"/>
              </w:rPr>
              <w:t>同一设备编制</w:t>
            </w:r>
            <w:r>
              <w:rPr>
                <w:rFonts w:hint="eastAsia" w:ascii="宋体" w:hAnsi="宋体" w:cs="宋体"/>
                <w:color w:val="auto"/>
                <w:sz w:val="24"/>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7607" w:type="dxa"/>
            <w:vAlign w:val="center"/>
          </w:tcPr>
          <w:p>
            <w:pPr>
              <w:jc w:val="left"/>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b/>
                <w:bCs/>
                <w:color w:val="auto"/>
                <w:sz w:val="24"/>
                <w:highlight w:val="none"/>
              </w:rPr>
              <w:t>未经出具机构核实</w:t>
            </w:r>
            <w:r>
              <w:rPr>
                <w:rFonts w:hint="eastAsia" w:ascii="宋体" w:hAnsi="宋体" w:cs="宋体"/>
                <w:color w:val="auto"/>
                <w:sz w:val="24"/>
                <w:highlight w:val="none"/>
              </w:rPr>
              <w:t>的虚假的检验检测报告、业绩材料、社保缴纳证明、学历学位证书、职称认证证书等材料。</w:t>
            </w:r>
          </w:p>
        </w:tc>
      </w:tr>
      <w:bookmarkEnd w:id="72"/>
    </w:tbl>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以下文字请投标供应商</w:t>
      </w:r>
      <w:r>
        <w:rPr>
          <w:rFonts w:hint="eastAsia" w:ascii="宋体" w:hAnsi="宋体" w:cs="仿宋_GB2312"/>
          <w:b/>
          <w:bCs/>
          <w:color w:val="auto"/>
          <w:kern w:val="0"/>
          <w:sz w:val="24"/>
          <w:highlight w:val="none"/>
        </w:rPr>
        <w:t>抄写并确认</w:t>
      </w:r>
      <w:r>
        <w:rPr>
          <w:rFonts w:hint="eastAsia" w:ascii="宋体" w:hAnsi="宋体" w:cs="仿宋_GB2312"/>
          <w:color w:val="auto"/>
          <w:kern w:val="0"/>
          <w:sz w:val="24"/>
          <w:highlight w:val="none"/>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480" w:firstLineChars="200"/>
        <w:jc w:val="left"/>
        <w:rPr>
          <w:rFonts w:hint="eastAsia" w:ascii="宋体" w:hAnsi="宋体" w:cs="仿宋_GB2312"/>
          <w:color w:val="auto"/>
          <w:kern w:val="0"/>
          <w:sz w:val="24"/>
          <w:highlight w:val="none"/>
        </w:rPr>
      </w:pPr>
    </w:p>
    <w:p>
      <w:pPr>
        <w:autoSpaceDE w:val="0"/>
        <w:autoSpaceDN w:val="0"/>
        <w:adjustRightInd w:val="0"/>
        <w:spacing w:line="360" w:lineRule="auto"/>
        <w:ind w:firstLine="3840" w:firstLineChars="1600"/>
        <w:jc w:val="left"/>
        <w:rPr>
          <w:rFonts w:hint="eastAsia" w:ascii="宋体" w:hAnsi="宋体" w:cs="仿宋_GB2312"/>
          <w:color w:val="auto"/>
          <w:kern w:val="0"/>
          <w:sz w:val="24"/>
          <w:highlight w:val="none"/>
          <w:u w:val="single"/>
        </w:rPr>
      </w:pPr>
      <w:r>
        <w:rPr>
          <w:rFonts w:hint="eastAsia" w:ascii="宋体" w:hAnsi="宋体" w:cs="仿宋_GB2312"/>
          <w:color w:val="auto"/>
          <w:kern w:val="0"/>
          <w:sz w:val="24"/>
          <w:highlight w:val="none"/>
        </w:rPr>
        <w:t>负责人</w:t>
      </w:r>
      <w:r>
        <w:rPr>
          <w:rFonts w:ascii="宋体" w:hAnsi="宋体" w:cs="仿宋_GB2312"/>
          <w:color w:val="auto"/>
          <w:kern w:val="0"/>
          <w:sz w:val="24"/>
          <w:highlight w:val="none"/>
        </w:rPr>
        <w:t>/</w:t>
      </w:r>
      <w:r>
        <w:rPr>
          <w:rFonts w:hint="eastAsia" w:ascii="宋体" w:hAnsi="宋体" w:cs="仿宋_GB2312"/>
          <w:color w:val="auto"/>
          <w:kern w:val="0"/>
          <w:sz w:val="24"/>
          <w:highlight w:val="none"/>
        </w:rPr>
        <w:t>投标授权代表签名：</w:t>
      </w:r>
      <w:r>
        <w:rPr>
          <w:rFonts w:hint="eastAsia" w:ascii="宋体" w:hAnsi="宋体" w:cs="仿宋_GB2312"/>
          <w:color w:val="auto"/>
          <w:kern w:val="0"/>
          <w:sz w:val="24"/>
          <w:highlight w:val="none"/>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知悉人（公章）：</w:t>
      </w:r>
    </w:p>
    <w:p>
      <w:pPr>
        <w:spacing w:line="360" w:lineRule="auto"/>
        <w:jc w:val="righ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日期： 202  年   月   日</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参与价格扣除的证明文件</w:t>
      </w:r>
    </w:p>
    <w:p>
      <w:pPr>
        <w:keepNext/>
        <w:keepLines/>
        <w:jc w:val="center"/>
        <w:rPr>
          <w:rFonts w:hint="eastAsia" w:ascii="宋体" w:hAnsi="宋体" w:cs="宋体"/>
          <w:bCs/>
          <w:color w:val="auto"/>
          <w:kern w:val="44"/>
          <w:sz w:val="24"/>
          <w:highlight w:val="none"/>
        </w:rPr>
      </w:pPr>
      <w:r>
        <w:rPr>
          <w:rFonts w:hint="eastAsia" w:ascii="宋体" w:hAnsi="宋体" w:cs="宋体"/>
          <w:b/>
          <w:bCs/>
          <w:color w:val="auto"/>
          <w:sz w:val="24"/>
          <w:highlight w:val="none"/>
        </w:rPr>
        <w:t>①中小企业声明函（工程、服务）</w:t>
      </w:r>
    </w:p>
    <w:p>
      <w:pPr>
        <w:widowControl/>
        <w:ind w:firstLine="480" w:firstLineChars="200"/>
        <w:textAlignment w:val="baseline"/>
        <w:rPr>
          <w:rFonts w:hint="eastAsia" w:ascii="宋体" w:hAnsi="宋体" w:cs="宋体"/>
          <w:color w:val="auto"/>
          <w:sz w:val="24"/>
          <w:highlight w:val="none"/>
        </w:rPr>
      </w:pP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ab/>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企业名称（盖章）</w:t>
      </w:r>
    </w:p>
    <w:p>
      <w:pPr>
        <w:widowControl/>
        <w:ind w:firstLine="482" w:firstLineChars="200"/>
        <w:jc w:val="righ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日期：</w:t>
      </w:r>
    </w:p>
    <w:p>
      <w:pPr>
        <w:widowControl/>
        <w:ind w:firstLine="480" w:firstLineChars="200"/>
        <w:textAlignment w:val="baseline"/>
        <w:rPr>
          <w:rFonts w:hint="eastAsia" w:ascii="宋体" w:hAnsi="宋体" w:cs="宋体"/>
          <w:color w:val="auto"/>
          <w:sz w:val="24"/>
          <w:highlight w:val="none"/>
        </w:rPr>
      </w:pPr>
    </w:p>
    <w:p>
      <w:pPr>
        <w:widowControl/>
        <w:ind w:firstLine="480" w:firstLineChars="200"/>
        <w:textAlignment w:val="baseline"/>
        <w:rPr>
          <w:rFonts w:hint="eastAsia" w:ascii="宋体" w:hAnsi="宋体" w:cs="宋体"/>
          <w:color w:val="auto"/>
          <w:sz w:val="24"/>
          <w:highlight w:val="none"/>
        </w:rPr>
      </w:pPr>
    </w:p>
    <w:p>
      <w:pPr>
        <w:jc w:val="left"/>
        <w:rPr>
          <w:rFonts w:hint="eastAsia" w:ascii="宋体" w:hAnsi="宋体" w:cs="宋体"/>
          <w:b/>
          <w:bCs/>
          <w:color w:val="auto"/>
          <w:sz w:val="24"/>
          <w:highlight w:val="none"/>
        </w:rPr>
      </w:pPr>
      <w:r>
        <w:rPr>
          <w:rFonts w:hint="eastAsia" w:ascii="宋体" w:hAnsi="宋体" w:cs="宋体"/>
          <w:b/>
          <w:bCs/>
          <w:color w:val="auto"/>
          <w:sz w:val="24"/>
          <w:highlight w:val="none"/>
        </w:rPr>
        <w:t>注意事项：</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4.相关承接/承建企业的所属行业应当与采购标的所属行业（采购文件中明确的行业）相一致。</w:t>
      </w:r>
    </w:p>
    <w:p>
      <w:pPr>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附：中小企业划型标准规定</w:t>
      </w:r>
    </w:p>
    <w:p>
      <w:pPr>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adjustRightInd w:val="0"/>
        <w:snapToGrid w:val="0"/>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②残疾人福利性单位声明函（样表）</w:t>
      </w:r>
    </w:p>
    <w:p>
      <w:pPr>
        <w:spacing w:line="620" w:lineRule="exact"/>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highlight w:val="none"/>
        </w:rPr>
        <w:t>单位参加</w:t>
      </w:r>
      <w:r>
        <w:rPr>
          <w:rFonts w:hint="eastAsia" w:ascii="宋体" w:hAnsi="宋体" w:cs="宋体"/>
          <w:color w:val="auto"/>
          <w:spacing w:val="6"/>
          <w:sz w:val="24"/>
          <w:highlight w:val="none"/>
          <w:u w:val="single"/>
        </w:rPr>
        <w:t xml:space="preserve"> （采购单位名称） </w:t>
      </w:r>
      <w:r>
        <w:rPr>
          <w:rFonts w:hint="eastAsia" w:ascii="宋体" w:hAnsi="宋体" w:cs="宋体"/>
          <w:color w:val="auto"/>
          <w:spacing w:val="6"/>
          <w:sz w:val="24"/>
          <w:highlight w:val="none"/>
        </w:rPr>
        <w:t>单位的</w:t>
      </w:r>
      <w:r>
        <w:rPr>
          <w:rFonts w:hint="eastAsia" w:ascii="宋体" w:hAnsi="宋体" w:cs="宋体"/>
          <w:color w:val="auto"/>
          <w:spacing w:val="6"/>
          <w:sz w:val="24"/>
          <w:highlight w:val="none"/>
          <w:u w:val="single"/>
        </w:rPr>
        <w:t xml:space="preserve"> （采购项目名称） </w:t>
      </w:r>
      <w:r>
        <w:rPr>
          <w:rFonts w:hint="eastAsia" w:ascii="宋体" w:hAnsi="宋体" w:cs="宋体"/>
          <w:color w:val="auto"/>
          <w:spacing w:val="6"/>
          <w:sz w:val="24"/>
          <w:highlight w:val="none"/>
        </w:rPr>
        <w:t>项目</w:t>
      </w:r>
      <w:r>
        <w:rPr>
          <w:rFonts w:hint="eastAsia" w:ascii="宋体" w:hAnsi="宋体" w:cs="宋体"/>
          <w:color w:val="auto"/>
          <w:kern w:val="0"/>
          <w:sz w:val="24"/>
          <w:highlight w:val="none"/>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highlight w:val="none"/>
        </w:rPr>
      </w:pPr>
    </w:p>
    <w:p>
      <w:pPr>
        <w:spacing w:line="620" w:lineRule="exact"/>
        <w:ind w:firstLine="504" w:firstLineChars="200"/>
        <w:rPr>
          <w:rFonts w:hint="eastAsia" w:ascii="宋体" w:hAnsi="宋体" w:cs="宋体"/>
          <w:color w:val="auto"/>
          <w:spacing w:val="6"/>
          <w:sz w:val="24"/>
          <w:highlight w:val="none"/>
        </w:rPr>
      </w:pPr>
    </w:p>
    <w:p>
      <w:pPr>
        <w:tabs>
          <w:tab w:val="left" w:pos="4860"/>
        </w:tabs>
        <w:spacing w:line="620" w:lineRule="exact"/>
        <w:ind w:right="1560" w:firstLine="504" w:firstLineChars="200"/>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p>
    <w:p>
      <w:pPr>
        <w:tabs>
          <w:tab w:val="left" w:pos="4860"/>
        </w:tabs>
        <w:spacing w:line="620" w:lineRule="exact"/>
        <w:ind w:right="1560" w:firstLine="504" w:firstLineChars="200"/>
        <w:jc w:val="center"/>
        <w:rPr>
          <w:rStyle w:val="44"/>
          <w:rFonts w:hint="eastAsia" w:ascii="宋体" w:hAnsi="宋体" w:cs="宋体"/>
          <w:color w:val="auto"/>
          <w:sz w:val="24"/>
          <w:highlight w:val="none"/>
        </w:rPr>
      </w:pPr>
      <w:r>
        <w:rPr>
          <w:rFonts w:hint="eastAsia" w:ascii="宋体" w:hAnsi="宋体" w:cs="宋体"/>
          <w:color w:val="auto"/>
          <w:spacing w:val="6"/>
          <w:sz w:val="24"/>
          <w:highlight w:val="none"/>
        </w:rPr>
        <w:t xml:space="preserve">                        日  期：</w:t>
      </w:r>
    </w:p>
    <w:p>
      <w:pPr>
        <w:snapToGrid w:val="0"/>
        <w:spacing w:line="360" w:lineRule="auto"/>
        <w:ind w:firstLine="480" w:firstLineChars="200"/>
        <w:jc w:val="left"/>
        <w:textAlignment w:val="baseline"/>
        <w:rPr>
          <w:rStyle w:val="44"/>
          <w:rFonts w:hint="eastAsia" w:ascii="宋体" w:hAnsi="宋体" w:cs="宋体"/>
          <w:color w:val="auto"/>
          <w:sz w:val="24"/>
          <w:highlight w:val="none"/>
        </w:rPr>
      </w:pPr>
    </w:p>
    <w:p>
      <w:pPr>
        <w:snapToGrid w:val="0"/>
        <w:spacing w:line="360" w:lineRule="auto"/>
        <w:ind w:firstLine="482" w:firstLineChars="200"/>
        <w:jc w:val="left"/>
        <w:textAlignment w:val="baseline"/>
        <w:rPr>
          <w:rStyle w:val="44"/>
          <w:rFonts w:hint="eastAsia" w:ascii="宋体" w:hAnsi="宋体" w:cs="宋体"/>
          <w:b/>
          <w:color w:val="auto"/>
          <w:sz w:val="24"/>
          <w:highlight w:val="none"/>
        </w:rPr>
      </w:pPr>
      <w:r>
        <w:rPr>
          <w:rStyle w:val="44"/>
          <w:rFonts w:hint="eastAsia" w:ascii="宋体" w:hAnsi="宋体" w:cs="宋体"/>
          <w:b/>
          <w:color w:val="auto"/>
          <w:sz w:val="24"/>
          <w:highlight w:val="none"/>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rPr>
          <w:rStyle w:val="44"/>
          <w:rFonts w:hint="eastAsia" w:ascii="宋体" w:hAnsi="宋体" w:cs="宋体"/>
          <w:b/>
          <w:color w:val="auto"/>
          <w:sz w:val="24"/>
          <w:highlight w:val="none"/>
        </w:rPr>
      </w:pPr>
      <w:r>
        <w:rPr>
          <w:rStyle w:val="44"/>
          <w:rFonts w:hint="eastAsia" w:ascii="宋体" w:hAnsi="宋体" w:cs="宋体"/>
          <w:b/>
          <w:color w:val="auto"/>
          <w:sz w:val="24"/>
          <w:highlight w:val="none"/>
        </w:rPr>
        <w:br w:type="page"/>
      </w:r>
      <w:r>
        <w:rPr>
          <w:rStyle w:val="44"/>
          <w:rFonts w:hint="eastAsia" w:ascii="宋体" w:hAnsi="宋体" w:cs="宋体"/>
          <w:b/>
          <w:color w:val="auto"/>
          <w:sz w:val="24"/>
          <w:highlight w:val="none"/>
        </w:rPr>
        <w:t>③监狱企业声明函</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本单位郑重声明，根据《财政部司法部关于政府采购支持监狱企业发展有关问题的通知》（财库〔2014〕68号）的规定，本单位为符合条件的监狱企业，且本单位参加</w:t>
      </w:r>
      <w:r>
        <w:rPr>
          <w:rStyle w:val="44"/>
          <w:rFonts w:hint="eastAsia" w:ascii="宋体" w:hAnsi="宋体" w:cs="宋体"/>
          <w:color w:val="auto"/>
          <w:spacing w:val="6"/>
          <w:sz w:val="24"/>
          <w:highlight w:val="none"/>
          <w:u w:val="single"/>
        </w:rPr>
        <w:t xml:space="preserve"> （采购单位名称） </w:t>
      </w:r>
      <w:r>
        <w:rPr>
          <w:rStyle w:val="44"/>
          <w:rFonts w:hint="eastAsia" w:ascii="宋体" w:hAnsi="宋体" w:cs="宋体"/>
          <w:color w:val="auto"/>
          <w:spacing w:val="6"/>
          <w:sz w:val="24"/>
          <w:highlight w:val="none"/>
        </w:rPr>
        <w:t>单位的</w:t>
      </w:r>
      <w:r>
        <w:rPr>
          <w:rStyle w:val="44"/>
          <w:rFonts w:hint="eastAsia" w:ascii="宋体" w:hAnsi="宋体" w:cs="宋体"/>
          <w:color w:val="auto"/>
          <w:spacing w:val="6"/>
          <w:sz w:val="24"/>
          <w:highlight w:val="none"/>
          <w:u w:val="single"/>
        </w:rPr>
        <w:t xml:space="preserve"> （采购项目名称） </w:t>
      </w:r>
      <w:r>
        <w:rPr>
          <w:rStyle w:val="44"/>
          <w:rFonts w:hint="eastAsia" w:ascii="宋体" w:hAnsi="宋体" w:cs="宋体"/>
          <w:color w:val="auto"/>
          <w:spacing w:val="6"/>
          <w:sz w:val="24"/>
          <w:highlight w:val="none"/>
        </w:rPr>
        <w:t>项目采购</w:t>
      </w:r>
      <w:r>
        <w:rPr>
          <w:rStyle w:val="44"/>
          <w:rFonts w:hint="eastAsia" w:ascii="宋体" w:hAnsi="宋体" w:cs="宋体"/>
          <w:color w:val="auto"/>
          <w:kern w:val="0"/>
          <w:sz w:val="24"/>
          <w:highlight w:val="none"/>
        </w:rPr>
        <w:t>活动，并提供：□本单位制造的货物；□由本单位承担的工程、提供服务；□提供其他监狱企业制造的货物（承诺人在□处打√）</w:t>
      </w:r>
      <w:r>
        <w:rPr>
          <w:rStyle w:val="44"/>
          <w:rFonts w:hint="eastAsia" w:ascii="宋体" w:hAnsi="宋体" w:cs="宋体"/>
          <w:color w:val="auto"/>
          <w:spacing w:val="6"/>
          <w:sz w:val="24"/>
          <w:highlight w:val="none"/>
        </w:rPr>
        <w:t>。</w:t>
      </w:r>
      <w:r>
        <w:rPr>
          <w:rStyle w:val="44"/>
          <w:rFonts w:hint="eastAsia" w:ascii="宋体" w:hAnsi="宋体" w:cs="宋体"/>
          <w:color w:val="auto"/>
          <w:kern w:val="0"/>
          <w:sz w:val="24"/>
          <w:highlight w:val="none"/>
        </w:rPr>
        <w:t>本条所称货物是指单一产品采购项目中的货物，或者非单一产品采购项目中的核心产品（货物）。</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本单位对上述声明的真实性负责。如有虚假，将依法承担相应责任。</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附：省级以上监狱管理局、戒毒管理局（含新疆生产建设兵团）出具的监狱企业证明文件。</w:t>
      </w: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p>
    <w:p>
      <w:pPr>
        <w:snapToGrid w:val="0"/>
        <w:spacing w:line="620" w:lineRule="exact"/>
        <w:ind w:firstLine="504" w:firstLineChars="200"/>
        <w:textAlignment w:val="baseline"/>
        <w:rPr>
          <w:rStyle w:val="44"/>
          <w:rFonts w:hint="eastAsia" w:ascii="宋体" w:hAnsi="宋体" w:cs="宋体"/>
          <w:color w:val="auto"/>
          <w:spacing w:val="6"/>
          <w:sz w:val="24"/>
          <w:highlight w:val="none"/>
        </w:rPr>
      </w:pPr>
    </w:p>
    <w:p>
      <w:pPr>
        <w:tabs>
          <w:tab w:val="left" w:pos="4860"/>
        </w:tabs>
        <w:snapToGrid w:val="0"/>
        <w:spacing w:line="620" w:lineRule="exact"/>
        <w:ind w:right="1560" w:firstLine="504" w:firstLineChars="200"/>
        <w:jc w:val="center"/>
        <w:textAlignment w:val="baseline"/>
        <w:rPr>
          <w:rStyle w:val="44"/>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 w:val="24"/>
          <w:highlight w:val="none"/>
        </w:rPr>
      </w:pPr>
      <w:r>
        <w:rPr>
          <w:rStyle w:val="44"/>
          <w:rFonts w:hint="eastAsia" w:ascii="宋体" w:hAnsi="宋体" w:cs="宋体"/>
          <w:color w:val="auto"/>
          <w:spacing w:val="6"/>
          <w:sz w:val="24"/>
          <w:highlight w:val="none"/>
        </w:rPr>
        <w:t xml:space="preserve">                          日  期</w:t>
      </w:r>
      <w:r>
        <w:rPr>
          <w:rFonts w:hint="eastAsia" w:ascii="宋体" w:hAnsi="宋体" w:cs="宋体"/>
          <w:color w:val="auto"/>
          <w:spacing w:val="6"/>
          <w:sz w:val="24"/>
          <w:highlight w:val="none"/>
        </w:rPr>
        <w:t>：</w:t>
      </w:r>
    </w:p>
    <w:p>
      <w:pPr>
        <w:rPr>
          <w:color w:val="auto"/>
          <w:highlight w:val="none"/>
        </w:rPr>
      </w:pPr>
      <w:r>
        <w:rPr>
          <w:rFonts w:hint="eastAsia" w:ascii="宋体" w:hAnsi="宋体" w:cs="宋体"/>
          <w:color w:val="auto"/>
          <w:spacing w:val="6"/>
          <w:sz w:val="24"/>
          <w:highlight w:val="none"/>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供应商基本情况表、社保证明及股权关系证明</w:t>
      </w:r>
    </w:p>
    <w:p>
      <w:pPr>
        <w:snapToGrid w:val="0"/>
        <w:rPr>
          <w:rFonts w:hint="eastAsia" w:ascii="宋体" w:hAnsi="宋体" w:cs="宋体"/>
          <w:b/>
          <w:color w:val="auto"/>
          <w:sz w:val="24"/>
          <w:highlight w:val="none"/>
        </w:rPr>
      </w:pPr>
      <w:bookmarkStart w:id="73" w:name="OLE_LINK18"/>
    </w:p>
    <w:p>
      <w:pPr>
        <w:snapToGrid w:val="0"/>
        <w:rPr>
          <w:rFonts w:hint="eastAsia" w:ascii="宋体" w:hAnsi="宋体" w:cs="宋体"/>
          <w:b/>
          <w:color w:val="auto"/>
          <w:sz w:val="24"/>
          <w:highlight w:val="none"/>
        </w:rPr>
      </w:pPr>
      <w:r>
        <w:rPr>
          <w:rFonts w:hint="eastAsia" w:ascii="宋体" w:hAnsi="宋体" w:cs="宋体"/>
          <w:b/>
          <w:color w:val="auto"/>
          <w:sz w:val="24"/>
          <w:highlight w:val="none"/>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1.《供应商基本情况表》</w:t>
      </w:r>
    </w:p>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填表单位（</w:t>
      </w:r>
      <w:r>
        <w:rPr>
          <w:rFonts w:hint="eastAsia" w:ascii="宋体" w:hAnsi="宋体" w:cs="宋体"/>
          <w:b/>
          <w:bCs/>
          <w:color w:val="auto"/>
          <w:sz w:val="24"/>
          <w:highlight w:val="none"/>
        </w:rPr>
        <w:t>加盖单位公章，必填项</w:t>
      </w:r>
      <w:r>
        <w:rPr>
          <w:rFonts w:hint="eastAsia" w:ascii="宋体" w:hAnsi="宋体" w:cs="宋体"/>
          <w:color w:val="auto"/>
          <w:sz w:val="24"/>
          <w:highlight w:val="none"/>
        </w:rPr>
        <w:t>）：</w:t>
      </w:r>
    </w:p>
    <w:p>
      <w:pPr>
        <w:adjustRightInd w:val="0"/>
        <w:snapToGrid w:val="0"/>
        <w:jc w:val="left"/>
        <w:rPr>
          <w:rFonts w:hint="eastAsia" w:ascii="宋体" w:hAnsi="宋体" w:cs="宋体"/>
          <w:color w:val="auto"/>
          <w:sz w:val="24"/>
          <w:highlight w:val="none"/>
        </w:rPr>
      </w:pPr>
      <w:r>
        <w:rPr>
          <w:rFonts w:hint="eastAsia" w:ascii="宋体" w:hAnsi="宋体" w:cs="宋体"/>
          <w:color w:val="auto"/>
          <w:sz w:val="24"/>
          <w:highlight w:val="none"/>
        </w:rPr>
        <w:t>填表日期（</w:t>
      </w:r>
      <w:r>
        <w:rPr>
          <w:rFonts w:hint="eastAsia" w:ascii="宋体" w:hAnsi="宋体" w:cs="宋体"/>
          <w:b/>
          <w:bCs/>
          <w:color w:val="auto"/>
          <w:sz w:val="24"/>
          <w:highlight w:val="none"/>
        </w:rPr>
        <w:t>必填项</w:t>
      </w:r>
      <w:r>
        <w:rPr>
          <w:rFonts w:hint="eastAsia" w:ascii="宋体" w:hAnsi="宋体" w:cs="宋体"/>
          <w:color w:val="auto"/>
          <w:sz w:val="24"/>
          <w:highlight w:val="none"/>
        </w:rPr>
        <w:t>）：        年     月      日</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采购人</w:t>
            </w:r>
          </w:p>
        </w:tc>
        <w:tc>
          <w:tcPr>
            <w:tcW w:w="1406" w:type="pct"/>
            <w:gridSpan w:val="2"/>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1656" w:type="pct"/>
            <w:gridSpan w:val="2"/>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投标（响应）供应商</w:t>
            </w:r>
          </w:p>
        </w:tc>
        <w:tc>
          <w:tcPr>
            <w:tcW w:w="1406" w:type="pct"/>
            <w:gridSpan w:val="2"/>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供应商统一社会信用代码</w:t>
            </w:r>
          </w:p>
        </w:tc>
        <w:tc>
          <w:tcPr>
            <w:tcW w:w="1656" w:type="pct"/>
            <w:gridSpan w:val="2"/>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劳动合同</w:t>
            </w:r>
          </w:p>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缴纳社会</w:t>
            </w:r>
          </w:p>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821"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c>
          <w:tcPr>
            <w:tcW w:w="835" w:type="pct"/>
            <w:tcBorders>
              <w:top w:val="single" w:color="auto" w:sz="4" w:space="0"/>
            </w:tcBorders>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23"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主要技术人员（如有）</w:t>
            </w:r>
          </w:p>
        </w:tc>
        <w:tc>
          <w:tcPr>
            <w:tcW w:w="543" w:type="pct"/>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p>
        </w:tc>
        <w:tc>
          <w:tcPr>
            <w:tcW w:w="821" w:type="pct"/>
            <w:vAlign w:val="center"/>
          </w:tcPr>
          <w:p>
            <w:pPr>
              <w:widowControl/>
              <w:snapToGrid w:val="0"/>
              <w:jc w:val="center"/>
              <w:rPr>
                <w:rFonts w:hint="eastAsia" w:ascii="宋体" w:hAnsi="宋体" w:cs="宋体"/>
                <w:bCs/>
                <w:color w:val="auto"/>
                <w:sz w:val="24"/>
                <w:highlight w:val="none"/>
              </w:rPr>
            </w:pPr>
          </w:p>
        </w:tc>
        <w:tc>
          <w:tcPr>
            <w:tcW w:w="835" w:type="pct"/>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23" w:type="pct"/>
            <w:gridSpan w:val="2"/>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投标文件编制人员（必填项）</w:t>
            </w:r>
          </w:p>
        </w:tc>
        <w:tc>
          <w:tcPr>
            <w:tcW w:w="543" w:type="pct"/>
            <w:vAlign w:val="center"/>
          </w:tcPr>
          <w:p>
            <w:pPr>
              <w:widowControl/>
              <w:snapToGrid w:val="0"/>
              <w:jc w:val="center"/>
              <w:rPr>
                <w:rFonts w:hint="eastAsia" w:ascii="宋体" w:hAnsi="宋体" w:cs="宋体"/>
                <w:bCs/>
                <w:color w:val="auto"/>
                <w:sz w:val="24"/>
                <w:highlight w:val="none"/>
              </w:rPr>
            </w:pPr>
          </w:p>
        </w:tc>
        <w:tc>
          <w:tcPr>
            <w:tcW w:w="1188" w:type="pct"/>
            <w:gridSpan w:val="2"/>
            <w:vAlign w:val="center"/>
          </w:tcPr>
          <w:p>
            <w:pPr>
              <w:widowControl/>
              <w:snapToGrid w:val="0"/>
              <w:jc w:val="center"/>
              <w:rPr>
                <w:rFonts w:hint="eastAsia" w:ascii="宋体" w:hAnsi="宋体" w:cs="宋体"/>
                <w:bCs/>
                <w:color w:val="auto"/>
                <w:sz w:val="24"/>
                <w:highlight w:val="none"/>
              </w:rPr>
            </w:pPr>
          </w:p>
        </w:tc>
        <w:tc>
          <w:tcPr>
            <w:tcW w:w="821" w:type="pct"/>
            <w:vAlign w:val="center"/>
          </w:tcPr>
          <w:p>
            <w:pPr>
              <w:widowControl/>
              <w:snapToGrid w:val="0"/>
              <w:jc w:val="center"/>
              <w:rPr>
                <w:rFonts w:hint="eastAsia" w:ascii="宋体" w:hAnsi="宋体" w:cs="宋体"/>
                <w:bCs/>
                <w:color w:val="auto"/>
                <w:sz w:val="24"/>
                <w:highlight w:val="none"/>
              </w:rPr>
            </w:pPr>
          </w:p>
        </w:tc>
        <w:tc>
          <w:tcPr>
            <w:tcW w:w="835" w:type="pct"/>
            <w:vAlign w:val="center"/>
          </w:tcPr>
          <w:p>
            <w:pPr>
              <w:widowControl/>
              <w:snapToGrid w:val="0"/>
              <w:jc w:val="center"/>
              <w:rPr>
                <w:rFonts w:hint="eastAsia"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说明：1.同一职务有多人担任（如主要技术人员），应分行填写。</w:t>
            </w:r>
          </w:p>
          <w:p>
            <w:pPr>
              <w:pStyle w:val="2"/>
              <w:ind w:firstLine="723" w:firstLineChars="300"/>
              <w:rPr>
                <w:rFonts w:hint="eastAsia" w:ascii="宋体" w:hAnsi="宋体" w:cs="宋体"/>
                <w:b/>
                <w:color w:val="auto"/>
                <w:sz w:val="24"/>
                <w:szCs w:val="24"/>
                <w:highlight w:val="none"/>
              </w:rPr>
            </w:pPr>
            <w:r>
              <w:rPr>
                <w:rFonts w:hint="eastAsia" w:ascii="宋体" w:hAnsi="宋体" w:cs="宋体"/>
                <w:b/>
                <w:color w:val="auto"/>
                <w:sz w:val="24"/>
                <w:szCs w:val="24"/>
                <w:highlight w:val="none"/>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
                <w:color w:val="auto"/>
                <w:sz w:val="24"/>
                <w:highlight w:val="none"/>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r>
              <w:rPr>
                <w:rFonts w:hint="eastAsia" w:ascii="宋体" w:hAnsi="宋体" w:cs="宋体"/>
                <w:bCs/>
                <w:color w:val="auto"/>
                <w:sz w:val="24"/>
                <w:highlight w:val="none"/>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highlight w:val="none"/>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highlight w:val="none"/>
              </w:rPr>
            </w:pPr>
            <w:r>
              <w:rPr>
                <w:rFonts w:hint="eastAsia" w:ascii="宋体" w:hAnsi="宋体" w:cs="宋体"/>
                <w:bCs/>
                <w:color w:val="auto"/>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说明：</w:t>
            </w:r>
          </w:p>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1.同一关联关系类型有多个主体的，应分行填写。</w:t>
            </w:r>
          </w:p>
          <w:p>
            <w:pPr>
              <w:pStyle w:val="2"/>
              <w:ind w:firstLine="0" w:firstLineChars="0"/>
              <w:rPr>
                <w:rFonts w:hint="eastAsia" w:ascii="宋体" w:hAnsi="宋体" w:cs="宋体"/>
                <w:color w:val="auto"/>
                <w:sz w:val="24"/>
                <w:szCs w:val="24"/>
                <w:highlight w:val="none"/>
              </w:rPr>
            </w:pPr>
            <w:r>
              <w:rPr>
                <w:rFonts w:hint="eastAsia" w:ascii="宋体" w:hAnsi="宋体" w:cs="宋体"/>
                <w:b/>
                <w:color w:val="auto"/>
                <w:sz w:val="24"/>
                <w:szCs w:val="24"/>
                <w:highlight w:val="none"/>
              </w:rPr>
              <w:t>2.上述规定的控股、管理关系仅限于直接控股、直接管理关系，不包括间接的控股或管理关系。</w:t>
            </w:r>
          </w:p>
        </w:tc>
      </w:tr>
    </w:tbl>
    <w:p>
      <w:pPr>
        <w:snapToGrid w:val="0"/>
        <w:rPr>
          <w:rFonts w:hint="eastAsia" w:ascii="宋体" w:hAnsi="宋体" w:cs="宋体"/>
          <w:b/>
          <w:color w:val="auto"/>
          <w:sz w:val="24"/>
          <w:highlight w:val="none"/>
        </w:rPr>
      </w:pPr>
      <w:r>
        <w:rPr>
          <w:rFonts w:hint="eastAsia" w:ascii="宋体" w:hAnsi="宋体" w:cs="宋体"/>
          <w:b/>
          <w:color w:val="auto"/>
          <w:sz w:val="24"/>
          <w:highlight w:val="none"/>
        </w:rPr>
        <w:t>备注：注明“必填项”的必须填写；未注明“必填项”的，如供应商未填写则视为未安排（或无）。</w:t>
      </w:r>
    </w:p>
    <w:p>
      <w:pPr>
        <w:widowControl/>
        <w:snapToGrid w:val="0"/>
        <w:rPr>
          <w:rFonts w:hint="eastAsia" w:ascii="宋体" w:hAnsi="宋体" w:cs="宋体"/>
          <w:b/>
          <w:color w:val="auto"/>
          <w:sz w:val="24"/>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t>2.社保</w:t>
      </w:r>
      <w:bookmarkStart w:id="74" w:name="OLE_LINK9"/>
      <w:r>
        <w:rPr>
          <w:rFonts w:hint="eastAsia" w:ascii="宋体" w:hAnsi="宋体" w:cs="宋体"/>
          <w:b/>
          <w:color w:val="auto"/>
          <w:sz w:val="28"/>
          <w:szCs w:val="28"/>
          <w:highlight w:val="none"/>
        </w:rPr>
        <w:t>证明</w:t>
      </w:r>
      <w:bookmarkEnd w:id="74"/>
      <w:r>
        <w:rPr>
          <w:rFonts w:hint="eastAsia" w:ascii="宋体" w:hAnsi="宋体" w:cs="宋体"/>
          <w:b/>
          <w:color w:val="auto"/>
          <w:sz w:val="28"/>
          <w:szCs w:val="28"/>
          <w:highlight w:val="none"/>
        </w:rPr>
        <w:t>材料：</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（1）法定代表人/单位负责人/主要经营负责人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2"/>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（2）投标授权代表人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2"/>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（3）项目负责人（如本项目未安排，可不提供）</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2"/>
        <w:widowControl/>
        <w:ind w:firstLine="480"/>
        <w:rPr>
          <w:rFonts w:hint="eastAsia" w:ascii="宋体" w:hAnsi="宋体" w:cs="宋体"/>
          <w:bCs/>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（4）主要技术人员（如本项目未安排，可不提供）</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2"/>
        <w:widowControl/>
        <w:ind w:firstLine="480"/>
        <w:rPr>
          <w:rFonts w:hint="eastAsia" w:ascii="宋体" w:hAnsi="宋体" w:cs="宋体"/>
          <w:bCs/>
          <w:color w:val="auto"/>
          <w:sz w:val="24"/>
          <w:szCs w:val="24"/>
          <w:highlight w:val="none"/>
        </w:rPr>
      </w:pPr>
    </w:p>
    <w:p>
      <w:pPr>
        <w:widowControl/>
        <w:numPr>
          <w:ilvl w:val="0"/>
          <w:numId w:val="14"/>
        </w:numPr>
        <w:snapToGrid w:val="0"/>
        <w:rPr>
          <w:rFonts w:hint="eastAsia" w:ascii="宋体" w:hAnsi="宋体" w:cs="宋体"/>
          <w:bCs/>
          <w:color w:val="auto"/>
          <w:sz w:val="24"/>
          <w:highlight w:val="none"/>
        </w:rPr>
      </w:pPr>
      <w:r>
        <w:rPr>
          <w:rFonts w:hint="eastAsia" w:ascii="宋体" w:hAnsi="宋体" w:cs="宋体"/>
          <w:bCs/>
          <w:color w:val="auto"/>
          <w:sz w:val="24"/>
          <w:highlight w:val="none"/>
        </w:rPr>
        <w:t>投标文件编制人员</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身份证复印件（正反面）：</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开标前一个月的社保缴纳凭证：</w:t>
      </w:r>
    </w:p>
    <w:p>
      <w:pPr>
        <w:pStyle w:val="2"/>
        <w:widowControl/>
        <w:ind w:firstLine="480"/>
        <w:rPr>
          <w:rFonts w:hint="eastAsia" w:ascii="宋体" w:hAnsi="宋体" w:cs="宋体"/>
          <w:color w:val="auto"/>
          <w:sz w:val="24"/>
          <w:szCs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注：</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3.如无法按上述要求提供人员社会保险证明材料的，提交以下材料亦视为符合：</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auto"/>
          <w:sz w:val="28"/>
          <w:szCs w:val="28"/>
          <w:highlight w:val="none"/>
        </w:rPr>
      </w:pPr>
    </w:p>
    <w:p>
      <w:pPr>
        <w:snapToGrid w:val="0"/>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3.</w:t>
      </w:r>
      <w:bookmarkStart w:id="75" w:name="OLE_LINK10"/>
      <w:r>
        <w:rPr>
          <w:rFonts w:hint="eastAsia" w:ascii="宋体" w:hAnsi="宋体" w:cs="宋体"/>
          <w:b/>
          <w:color w:val="auto"/>
          <w:sz w:val="28"/>
          <w:szCs w:val="28"/>
          <w:highlight w:val="none"/>
        </w:rPr>
        <w:t>股权关系证明</w:t>
      </w:r>
      <w:bookmarkEnd w:id="75"/>
      <w:r>
        <w:rPr>
          <w:rFonts w:hint="eastAsia" w:ascii="宋体" w:hAnsi="宋体" w:cs="宋体"/>
          <w:b/>
          <w:color w:val="auto"/>
          <w:sz w:val="28"/>
          <w:szCs w:val="28"/>
          <w:highlight w:val="none"/>
        </w:rPr>
        <w:t>材料：</w:t>
      </w:r>
    </w:p>
    <w:p>
      <w:pPr>
        <w:widowControl/>
        <w:snapToGrid w:val="0"/>
        <w:rPr>
          <w:rFonts w:hint="eastAsia" w:ascii="宋体" w:hAnsi="宋体" w:cs="宋体"/>
          <w:b/>
          <w:color w:val="auto"/>
          <w:sz w:val="24"/>
          <w:highlight w:val="none"/>
        </w:rPr>
      </w:pPr>
      <w:r>
        <w:rPr>
          <w:rFonts w:hint="eastAsia" w:ascii="宋体" w:hAnsi="宋体" w:cs="宋体"/>
          <w:b/>
          <w:color w:val="auto"/>
          <w:sz w:val="24"/>
          <w:highlight w:val="none"/>
        </w:rPr>
        <w:t>（1）股权（或管理）关系证明材料：</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auto"/>
          <w:sz w:val="24"/>
          <w:highlight w:val="none"/>
        </w:rPr>
      </w:pPr>
    </w:p>
    <w:p>
      <w:pPr>
        <w:widowControl/>
        <w:snapToGrid w:val="0"/>
        <w:jc w:val="left"/>
        <w:rPr>
          <w:rFonts w:hint="eastAsia" w:ascii="宋体" w:hAnsi="宋体" w:cs="宋体"/>
          <w:b/>
          <w:color w:val="auto"/>
          <w:sz w:val="24"/>
          <w:highlight w:val="none"/>
        </w:rPr>
      </w:pPr>
      <w:r>
        <w:rPr>
          <w:rFonts w:hint="eastAsia" w:ascii="宋体" w:hAnsi="宋体" w:cs="宋体"/>
          <w:b/>
          <w:color w:val="auto"/>
          <w:sz w:val="24"/>
          <w:highlight w:val="none"/>
        </w:rPr>
        <w:t>（2）股权关系情况承诺函</w:t>
      </w:r>
    </w:p>
    <w:p>
      <w:pPr>
        <w:widowControl/>
        <w:snapToGrid w:val="0"/>
        <w:ind w:firstLine="482" w:firstLineChars="200"/>
        <w:jc w:val="center"/>
        <w:rPr>
          <w:rFonts w:hint="eastAsia" w:ascii="宋体" w:hAnsi="宋体" w:cs="宋体"/>
          <w:bCs/>
          <w:color w:val="auto"/>
          <w:sz w:val="24"/>
          <w:highlight w:val="none"/>
        </w:rPr>
      </w:pPr>
      <w:r>
        <w:rPr>
          <w:rFonts w:hint="eastAsia" w:ascii="宋体" w:hAnsi="宋体" w:cs="宋体"/>
          <w:b/>
          <w:color w:val="auto"/>
          <w:sz w:val="24"/>
          <w:highlight w:val="none"/>
        </w:rPr>
        <w:t>《股权关系情况承诺函》</w:t>
      </w:r>
    </w:p>
    <w:p>
      <w:pPr>
        <w:widowControl/>
        <w:snapToGrid w:val="0"/>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我公司申请参加</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项目（项目编号为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）的投标，并作出如下承诺：</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我公司承诺所填的股权关系情况真实、准确、完整。</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特此承诺！</w:t>
      </w:r>
    </w:p>
    <w:p>
      <w:pPr>
        <w:widowControl/>
        <w:snapToGrid w:val="0"/>
        <w:rPr>
          <w:rFonts w:hint="eastAsia" w:ascii="宋体" w:hAnsi="宋体" w:cs="宋体"/>
          <w:bCs/>
          <w:color w:val="auto"/>
          <w:sz w:val="24"/>
          <w:highlight w:val="none"/>
        </w:rPr>
      </w:pPr>
    </w:p>
    <w:p>
      <w:pPr>
        <w:widowControl/>
        <w:snapToGrid w:val="0"/>
        <w:rPr>
          <w:rFonts w:hint="eastAsia" w:ascii="宋体" w:hAnsi="宋体" w:cs="宋体"/>
          <w:bCs/>
          <w:color w:val="auto"/>
          <w:sz w:val="24"/>
          <w:highlight w:val="none"/>
        </w:rPr>
      </w:pPr>
      <w:r>
        <w:rPr>
          <w:rFonts w:hint="eastAsia" w:ascii="宋体" w:hAnsi="宋体" w:cs="宋体"/>
          <w:bCs/>
          <w:color w:val="auto"/>
          <w:sz w:val="24"/>
          <w:highlight w:val="none"/>
        </w:rPr>
        <w:t xml:space="preserve">                                供应商名称（加盖公章</w:t>
      </w:r>
      <w:r>
        <w:rPr>
          <w:rFonts w:hint="eastAsia" w:ascii="宋体" w:hAnsi="宋体" w:cs="宋体"/>
          <w:bCs/>
          <w:color w:val="auto"/>
          <w:sz w:val="24"/>
          <w:highlight w:val="none"/>
        </w:rPr>
        <w:tab/>
      </w:r>
      <w:r>
        <w:rPr>
          <w:rFonts w:hint="eastAsia" w:ascii="宋体" w:hAnsi="宋体" w:cs="宋体"/>
          <w:bCs/>
          <w:color w:val="auto"/>
          <w:sz w:val="24"/>
          <w:highlight w:val="none"/>
        </w:rPr>
        <w:t xml:space="preserve">）： </w:t>
      </w:r>
    </w:p>
    <w:p>
      <w:pPr>
        <w:widowControl/>
        <w:snapToGrid w:val="0"/>
        <w:ind w:firstLine="3840" w:firstLineChars="1600"/>
        <w:rPr>
          <w:rFonts w:hint="eastAsia" w:ascii="宋体" w:hAnsi="宋体" w:cs="宋体"/>
          <w:bCs/>
          <w:color w:val="auto"/>
          <w:sz w:val="24"/>
          <w:highlight w:val="none"/>
        </w:rPr>
      </w:pPr>
      <w:r>
        <w:rPr>
          <w:rFonts w:hint="eastAsia" w:ascii="宋体" w:hAnsi="宋体" w:cs="宋体"/>
          <w:bCs/>
          <w:color w:val="auto"/>
          <w:sz w:val="24"/>
          <w:highlight w:val="none"/>
        </w:rPr>
        <w:t>日  期：       年    月   日</w:t>
      </w:r>
    </w:p>
    <w:p>
      <w:pPr>
        <w:widowControl/>
        <w:snapToGrid w:val="0"/>
        <w:rPr>
          <w:rFonts w:hint="eastAsia" w:ascii="宋体" w:hAnsi="宋体" w:cs="宋体"/>
          <w:bCs/>
          <w:color w:val="auto"/>
          <w:sz w:val="24"/>
          <w:highlight w:val="none"/>
        </w:rPr>
      </w:pPr>
    </w:p>
    <w:p>
      <w:pPr>
        <w:tabs>
          <w:tab w:val="left" w:pos="640"/>
          <w:tab w:val="left" w:pos="840"/>
          <w:tab w:val="left" w:pos="1260"/>
          <w:tab w:val="left" w:pos="1418"/>
        </w:tabs>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注：代理机构将于截标当日同步通过上述网站进行查询，查询结果与供应商填报信息不一致的，以代理机构于截标当日的查询结果为准。</w:t>
      </w:r>
      <w:bookmarkEnd w:id="73"/>
    </w:p>
    <w:p>
      <w:pPr>
        <w:tabs>
          <w:tab w:val="left" w:pos="840"/>
          <w:tab w:val="left" w:pos="1119"/>
          <w:tab w:val="left" w:pos="1418"/>
        </w:tabs>
        <w:spacing w:line="360" w:lineRule="auto"/>
        <w:rPr>
          <w:rFonts w:hint="eastAsia" w:ascii="宋体" w:hAnsi="宋体" w:cs="宋体"/>
          <w:color w:val="auto"/>
          <w:sz w:val="24"/>
          <w:highlight w:val="none"/>
        </w:rPr>
      </w:pPr>
    </w:p>
    <w:p>
      <w:pPr>
        <w:rPr>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rPr>
          <w:color w:val="auto"/>
          <w:highlight w:val="none"/>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color w:val="auto"/>
          <w:sz w:val="24"/>
          <w:highlight w:val="none"/>
        </w:rPr>
      </w:pPr>
    </w:p>
    <w:p>
      <w:pPr>
        <w:spacing w:line="360" w:lineRule="auto"/>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spacing w:after="78"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用户需求响应表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20"/>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招标文件要求</w:t>
            </w:r>
          </w:p>
        </w:tc>
        <w:tc>
          <w:tcPr>
            <w:tcW w:w="3052"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投标文件响应</w:t>
            </w:r>
          </w:p>
        </w:tc>
        <w:tc>
          <w:tcPr>
            <w:tcW w:w="2106" w:type="dxa"/>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spacing w:after="78" w:line="360" w:lineRule="auto"/>
              <w:rPr>
                <w:rFonts w:hint="eastAsia" w:ascii="宋体" w:hAnsi="宋体" w:cs="宋体"/>
                <w:bCs/>
                <w:color w:val="auto"/>
                <w:sz w:val="24"/>
                <w:highlight w:val="none"/>
              </w:rPr>
            </w:pPr>
            <w:r>
              <w:rPr>
                <w:rFonts w:hint="eastAsia" w:ascii="宋体" w:hAnsi="宋体" w:cs="宋体"/>
                <w:b/>
                <w:color w:val="auto"/>
                <w:sz w:val="24"/>
                <w:highlight w:val="none"/>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highlight w:val="none"/>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2106" w:type="dxa"/>
            <w:vAlign w:val="center"/>
          </w:tcPr>
          <w:p>
            <w:pPr>
              <w:spacing w:line="360" w:lineRule="auto"/>
              <w:jc w:val="center"/>
              <w:rPr>
                <w:rFonts w:hint="eastAsia" w:ascii="宋体" w:hAnsi="宋体" w:cs="宋体"/>
                <w:bCs/>
                <w:color w:val="auto"/>
                <w:sz w:val="24"/>
                <w:highlight w:val="none"/>
              </w:rPr>
            </w:pPr>
          </w:p>
        </w:tc>
      </w:tr>
    </w:tbl>
    <w:p>
      <w:pPr>
        <w:spacing w:after="78" w:line="360" w:lineRule="auto"/>
        <w:rPr>
          <w:rFonts w:hint="eastAsia" w:ascii="宋体" w:hAnsi="宋体" w:cs="宋体"/>
          <w:bCs/>
          <w:color w:val="auto"/>
          <w:sz w:val="24"/>
          <w:highlight w:val="none"/>
        </w:rPr>
      </w:pP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8"/>
        <w:spacing w:line="360" w:lineRule="auto"/>
        <w:rPr>
          <w:color w:val="auto"/>
          <w:highlight w:val="none"/>
          <w:lang w:val="fr-CH"/>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br w:type="page"/>
      </w:r>
      <w:bookmarkStart w:id="76" w:name="OLE_LINK32"/>
      <w:r>
        <w:rPr>
          <w:rFonts w:hint="eastAsia" w:ascii="宋体" w:hAnsi="宋体" w:cs="宋体"/>
          <w:color w:val="auto"/>
          <w:sz w:val="24"/>
          <w:highlight w:val="none"/>
          <w:lang w:val="sq-AL"/>
        </w:rPr>
        <w:t>服务方案；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重难点分析、相关的合理化建议；</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质量保障方案；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服务承诺；</w:t>
      </w:r>
      <w:bookmarkEnd w:id="76"/>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投标人认为有必要提供的其他材料。</w:t>
      </w:r>
      <w:bookmarkEnd w:id="57"/>
    </w:p>
    <w:p>
      <w:pPr>
        <w:tabs>
          <w:tab w:val="left" w:pos="360"/>
        </w:tabs>
        <w:spacing w:line="300" w:lineRule="auto"/>
        <w:outlineLvl w:val="0"/>
        <w:rPr>
          <w:rFonts w:hint="eastAsia" w:ascii="宋体" w:hAnsi="宋体" w:cs="宋体"/>
          <w:b/>
          <w:bCs/>
          <w:color w:val="auto"/>
          <w:sz w:val="24"/>
          <w:highlight w:val="none"/>
        </w:rPr>
      </w:pPr>
      <w:r>
        <w:rPr>
          <w:rFonts w:hint="eastAsia" w:ascii="宋体" w:hAnsi="宋体" w:cs="宋体"/>
          <w:color w:val="auto"/>
          <w:sz w:val="24"/>
          <w:highlight w:val="none"/>
          <w:lang w:val="fr-CH"/>
        </w:rPr>
        <w:br w:type="page"/>
      </w:r>
      <w:bookmarkStart w:id="77" w:name="_Toc2231"/>
      <w:bookmarkStart w:id="78" w:name="_Toc742"/>
      <w:bookmarkStart w:id="79" w:name="_Toc6251"/>
      <w:r>
        <w:rPr>
          <w:rFonts w:hint="eastAsia" w:ascii="宋体" w:hAnsi="宋体" w:cs="宋体"/>
          <w:b/>
          <w:bCs/>
          <w:color w:val="auto"/>
          <w:sz w:val="24"/>
          <w:highlight w:val="none"/>
        </w:rPr>
        <w:t>附件：相关政策</w:t>
      </w:r>
      <w:bookmarkEnd w:id="77"/>
      <w:bookmarkEnd w:id="78"/>
      <w:bookmarkEnd w:id="79"/>
    </w:p>
    <w:p>
      <w:pPr>
        <w:tabs>
          <w:tab w:val="left" w:pos="360"/>
        </w:tabs>
        <w:outlineLvl w:val="1"/>
        <w:rPr>
          <w:rFonts w:hint="eastAsia"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8"/>
        <w:tabs>
          <w:tab w:val="left" w:pos="562"/>
          <w:tab w:val="left" w:pos="3372"/>
          <w:tab w:val="left" w:pos="3653"/>
        </w:tabs>
        <w:rPr>
          <w:rFonts w:hint="eastAsia" w:ascii="宋体" w:hAnsi="宋体" w:cs="宋体"/>
          <w:color w:val="auto"/>
          <w:highlight w:val="none"/>
        </w:rPr>
      </w:pPr>
    </w:p>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jc w:val="left"/>
        <w:rPr>
          <w:rFonts w:hint="eastAsia" w:ascii="宋体" w:hAnsi="宋体" w:cs="宋体"/>
          <w:color w:val="auto"/>
          <w:kern w:val="0"/>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第一条 为了发挥政府采购的政策功能，促进中小企业健康发展，根据《中华人民共和国政府采购法》、《中华人民共和国中小企业促进法》等有关法律法规，制定本办法。</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第三条 采购人在政府采购活动中应当通过加强采购需求管理，落实预留采购份额、价格评审优惠、优先采购等 措施，提高中小企业在政府采购中的份额，支持中小企业发展。</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第四条 在政府采购活动中，供应商提供的货物、工程或者服务符合下列情形的，享受本办法规定的中小企业扶持政策：</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（一）在货物采购项目中，货物由中小企业制造，即货 物由中小企业生产且使用该中小企业商号或者注册商标；</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（二）在工程采购项目中，工程由中小企业承建，即工 程施工单位为中小企业；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（三）在服务采购项目中，服务由中小企业承接，即提供服务的人员为中小企业依照《中华人民共和国劳动合同法》订立劳动合同的从业人员。</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在货物采购项目中，供应商提供的货物既有中小企业制造货物，也有大型企业制造货物的，不享受本办法规定的中小企业扶持政策。</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以联合体形式参加政府采购活动，联合体各方均为中小企业的，联合体视同中小企业。其中，联合体各方均为小微企业的，联合体视同小微企业。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8"/>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kern w:val="0"/>
          <w:highlight w:val="none"/>
        </w:rPr>
        <w:t>符合下列情形之一的，可不专门面向中小企业预留采购</w:t>
      </w:r>
      <w:r>
        <w:rPr>
          <w:rFonts w:hint="eastAsia" w:ascii="宋体" w:hAnsi="宋体" w:cs="宋体"/>
          <w:color w:val="auto"/>
          <w:highlight w:val="none"/>
        </w:rPr>
        <w:t>份额：</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（一）法律法规和国家有关政策明确规定优先或者应当面向事业单位、社会组织等非企业主体采购的；</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（二）因确需使用不可替代的专利、专有技术，基础设施限制，或者提供特定公共服务等原因，只能从中小企业之外的供应商处采购的；</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（三）按照本办法规定预留采购份额无法确保充分供应、充分竞争，或者存在可能影响政府采购目标实现的情形；</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（四）框架协议采购项目；</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（五）省级以上人民政府财政部门规定的其他情形。 除上述情形外，其他均为适宜由中小企业提供的情形。</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第七条采购限额标准以上，200万元以下的货物和服务采购项目、400 万元以下的工程采购项目，适宜由中小企业提供的，采购人应当专门面向中小企业采购。</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（一）将采购项目整体或者设置采购包专门面向中小企业采购；</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（二）要求供应商以联合体形式参加采购活动，且联合体中中小企业承担的部分达到一定比例；</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（三）要求获得采购合同的供应商将采购项目中的一定比例分包给一家或者多家中小企业。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组成联合体或者接受分包合同的中小企业与联合体内 其他企业、分包企业之间不得存在直接控股、管理关系。</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第十二条 采购项目涉及中小企业采购的，采购文件应当明确以下内容：</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（一）预留份额的采购项目或者采购包，明确该项目或相关采购包专门面向中小企业采购，以及相关标的及预算金额；</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（二）要求以联合体形式参加或者合同分包的，明确联合协议或者分包意向协议中中小企业合同金额应当达到的 比例，并作为供应商资格条件；</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（三）非预留份额的采购项目或者采购包，明确有关价格扣除比例或者价格分加分比例；</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（四）规定依据本办法规定享受扶持政策获得政府采购合同的，小微企业不得将合同分包给大中型企业，中型企业不得将合同分包给大型企业；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（五）采购人认为具备相关条件的，明确对中小企业在资金支付期限、预付款比例等方面的优惠措施；</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（六）明确采购标的对应的中小企业划分标准所属行业；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（七）法律法规和省级以上人民政府财政部门规定的其他事项。</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第十三条 中标、成交供应商享受本办法规定的中小企业扶持政策的，采购人、采购代理机构应当随中标、成交结果公开中标、成交供应商的《中小企业声明函》。</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适用招标投标法的政府采购工程建设项目，应当在公示中标候选人时公开中标候选人的《中小企业声明函》。</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中小企业主管部门应当在收到财政部门或者有关招标 投标行政监督部门关于协助开展中小企业认定函后 10 个工作日内做出书面答复。</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第二十条 供应商按照本办法规定提供声明函内容不实的，属于提供虚假材料谋取中标、成交，依照《中华人民共和国政府采购法》等国家有关规定追究相应责任。</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第二十二条 对外援助项目、国家相关资格或者资质管理制度另有规定的项目，不适用本办法。</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第二十三条 关于视同中小企业的其他主体的政府采购扶持政策，由财政部会同有关部门另行规定。</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第二十四条 省级财政部门可以会同中小企业主管部门根据本办法的规定制定具体实施办法。</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第二十五条 本办法自 2021 年 1 月 1 日起施行。《财政部 工业和信息化部关于印发〈政府采购促进中小企业发展暂行办法〉的通知》（财库﹝2011﹞181 号）同时废止。</w:t>
      </w:r>
    </w:p>
    <w:p>
      <w:pPr>
        <w:pStyle w:val="8"/>
        <w:tabs>
          <w:tab w:val="left" w:pos="562"/>
          <w:tab w:val="left" w:pos="3372"/>
          <w:tab w:val="left" w:pos="3653"/>
        </w:tabs>
        <w:spacing w:before="5"/>
        <w:rPr>
          <w:rFonts w:hint="eastAsia" w:ascii="宋体" w:hAnsi="宋体" w:cs="宋体"/>
          <w:color w:val="auto"/>
          <w:highlight w:val="none"/>
        </w:rPr>
      </w:pP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附：1.中小企业声明函</w:t>
      </w:r>
    </w:p>
    <w:p>
      <w:pPr>
        <w:pStyle w:val="8"/>
        <w:tabs>
          <w:tab w:val="left" w:pos="562"/>
          <w:tab w:val="left" w:pos="3372"/>
          <w:tab w:val="left" w:pos="3653"/>
        </w:tabs>
        <w:ind w:firstLine="960" w:firstLineChars="400"/>
        <w:rPr>
          <w:rFonts w:hint="eastAsia" w:ascii="宋体" w:hAnsi="宋体" w:cs="宋体"/>
          <w:color w:val="auto"/>
          <w:kern w:val="0"/>
          <w:highlight w:val="none"/>
        </w:rPr>
      </w:pPr>
      <w:r>
        <w:rPr>
          <w:rFonts w:hint="eastAsia" w:ascii="宋体" w:hAnsi="宋体" w:cs="宋体"/>
          <w:color w:val="auto"/>
          <w:kern w:val="0"/>
          <w:highlight w:val="none"/>
        </w:rPr>
        <w:t>2.面向中小企业预留项目执行情况公告</w:t>
      </w:r>
    </w:p>
    <w:p>
      <w:pPr>
        <w:pStyle w:val="8"/>
        <w:tabs>
          <w:tab w:val="left" w:pos="562"/>
          <w:tab w:val="left" w:pos="3372"/>
          <w:tab w:val="left" w:pos="3653"/>
        </w:tabs>
        <w:spacing w:before="30"/>
        <w:rPr>
          <w:rFonts w:hint="eastAsia" w:ascii="宋体" w:hAnsi="宋体" w:cs="宋体"/>
          <w:b/>
          <w:bCs/>
          <w:color w:val="auto"/>
          <w:highlight w:val="none"/>
        </w:rPr>
      </w:pPr>
      <w:r>
        <w:rPr>
          <w:rFonts w:hint="eastAsia" w:ascii="宋体" w:hAnsi="宋体" w:cs="宋体"/>
          <w:b/>
          <w:bCs/>
          <w:color w:val="auto"/>
          <w:highlight w:val="none"/>
        </w:rPr>
        <w:br w:type="page"/>
      </w:r>
      <w:r>
        <w:rPr>
          <w:rFonts w:hint="eastAsia" w:ascii="宋体" w:hAnsi="宋体" w:cs="宋体"/>
          <w:b/>
          <w:bCs/>
          <w:color w:val="auto"/>
          <w:highlight w:val="none"/>
        </w:rPr>
        <w:t>附 1</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t>中小企业声明函（货物）</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）采购活动，提供的货物全部由符合政策要求的中小企业制造。相关企业（含联合体中的中小企业、签订分包意向协议的中小企业） 的具体情况如下：</w:t>
      </w:r>
    </w:p>
    <w:p>
      <w:pPr>
        <w:pStyle w:val="8"/>
        <w:tabs>
          <w:tab w:val="left" w:pos="562"/>
          <w:tab w:val="left" w:pos="3372"/>
          <w:tab w:val="left" w:pos="3653"/>
        </w:tabs>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标的名称</w:t>
      </w:r>
      <w:r>
        <w:rPr>
          <w:rFonts w:hint="eastAsia" w:ascii="宋体" w:hAnsi="宋体" w:cs="宋体"/>
          <w:color w:val="auto"/>
          <w:kern w:val="0"/>
          <w:highlight w:val="none"/>
        </w:rPr>
        <w:t>），属于（</w:t>
      </w:r>
      <w:r>
        <w:rPr>
          <w:rFonts w:hint="eastAsia" w:ascii="宋体" w:hAnsi="宋体" w:cs="宋体"/>
          <w:color w:val="auto"/>
          <w:kern w:val="0"/>
          <w:highlight w:val="none"/>
          <w:u w:val="single"/>
        </w:rPr>
        <w:t>采购文件中明确的所属行业</w:t>
      </w:r>
      <w:r>
        <w:rPr>
          <w:rFonts w:hint="eastAsia" w:ascii="宋体" w:hAnsi="宋体" w:cs="宋体"/>
          <w:color w:val="auto"/>
          <w:kern w:val="0"/>
          <w:highlight w:val="none"/>
        </w:rPr>
        <w:t>）；制造商为（</w:t>
      </w:r>
      <w:r>
        <w:rPr>
          <w:rFonts w:hint="eastAsia" w:ascii="宋体" w:hAnsi="宋体" w:cs="宋体"/>
          <w:color w:val="auto"/>
          <w:kern w:val="0"/>
          <w:highlight w:val="none"/>
          <w:u w:val="single"/>
        </w:rPr>
        <w:t>企业名称</w:t>
      </w:r>
      <w:r>
        <w:rPr>
          <w:rFonts w:hint="eastAsia" w:ascii="宋体" w:hAnsi="宋体" w:cs="宋体"/>
          <w:color w:val="auto"/>
          <w:kern w:val="0"/>
          <w:highlight w:val="none"/>
        </w:rPr>
        <w:t>），从业人员</w:t>
      </w:r>
      <w:r>
        <w:rPr>
          <w:rFonts w:hint="eastAsia" w:ascii="宋体" w:hAnsi="宋体" w:cs="宋体"/>
          <w:color w:val="auto"/>
          <w:kern w:val="0"/>
          <w:highlight w:val="none"/>
          <w:u w:val="single"/>
        </w:rPr>
        <w:tab/>
      </w:r>
      <w:r>
        <w:rPr>
          <w:rFonts w:hint="eastAsia" w:ascii="宋体" w:hAnsi="宋体" w:cs="宋体"/>
          <w:color w:val="auto"/>
          <w:kern w:val="0"/>
          <w:highlight w:val="none"/>
        </w:rPr>
        <w:t xml:space="preserve">人，营业收入为 </w:t>
      </w:r>
      <w:r>
        <w:rPr>
          <w:rFonts w:hint="eastAsia" w:ascii="宋体" w:hAnsi="宋体" w:cs="宋体"/>
          <w:color w:val="auto"/>
          <w:kern w:val="0"/>
          <w:highlight w:val="none"/>
          <w:u w:val="single"/>
        </w:rPr>
        <w:tab/>
      </w:r>
      <w:r>
        <w:rPr>
          <w:rFonts w:hint="eastAsia" w:ascii="宋体" w:hAnsi="宋体" w:cs="宋体"/>
          <w:color w:val="auto"/>
          <w:kern w:val="0"/>
          <w:highlight w:val="none"/>
        </w:rPr>
        <w:t>万元，资产总额为</w:t>
      </w:r>
      <w:r>
        <w:rPr>
          <w:rFonts w:hint="eastAsia" w:ascii="宋体" w:hAnsi="宋体" w:cs="宋体"/>
          <w:color w:val="auto"/>
          <w:kern w:val="0"/>
          <w:highlight w:val="none"/>
          <w:u w:val="single"/>
        </w:rPr>
        <w:tab/>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万元，属于（</w:t>
      </w:r>
      <w:r>
        <w:rPr>
          <w:rFonts w:hint="eastAsia" w:ascii="宋体" w:hAnsi="宋体" w:cs="宋体"/>
          <w:color w:val="auto"/>
          <w:kern w:val="0"/>
          <w:highlight w:val="none"/>
          <w:u w:val="single"/>
        </w:rPr>
        <w:t>中型企业、小型企业、微型企业</w:t>
      </w:r>
      <w:r>
        <w:rPr>
          <w:rFonts w:hint="eastAsia" w:ascii="宋体" w:hAnsi="宋体" w:cs="宋体"/>
          <w:color w:val="auto"/>
          <w:kern w:val="0"/>
          <w:highlight w:val="none"/>
        </w:rPr>
        <w:t>）；</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）；制造商为（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 xml:space="preserve">   </w:t>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ind w:left="4200" w:leftChars="2000"/>
        <w:rPr>
          <w:rFonts w:hint="eastAsia" w:ascii="宋体" w:hAnsi="宋体" w:cs="宋体"/>
          <w:color w:val="auto"/>
          <w:highlight w:val="none"/>
        </w:rPr>
      </w:pPr>
      <w:r>
        <w:rPr>
          <w:rFonts w:hint="eastAsia" w:ascii="宋体" w:hAnsi="宋体" w:cs="宋体"/>
          <w:color w:val="auto"/>
          <w:spacing w:val="-2"/>
          <w:highlight w:val="none"/>
        </w:rPr>
        <w:t>企业名称（盖章）日期：</w:t>
      </w:r>
    </w:p>
    <w:p>
      <w:pPr>
        <w:pStyle w:val="8"/>
        <w:tabs>
          <w:tab w:val="left" w:pos="562"/>
          <w:tab w:val="left" w:pos="3372"/>
          <w:tab w:val="left" w:pos="3653"/>
        </w:tabs>
        <w:jc w:val="center"/>
        <w:rPr>
          <w:rFonts w:hint="eastAsia" w:ascii="宋体" w:hAnsi="宋体" w:cs="宋体"/>
          <w:color w:val="auto"/>
          <w:spacing w:val="-2"/>
          <w:highlight w:val="none"/>
        </w:rPr>
      </w:pPr>
      <w:r>
        <w:rPr>
          <w:rFonts w:hint="eastAsia" w:ascii="宋体" w:hAnsi="宋体" w:cs="宋体"/>
          <w:color w:val="auto"/>
          <w:spacing w:val="-2"/>
          <w:highlight w:val="none"/>
        </w:rPr>
        <w:t>从业人员、营业收入、资产总额填报上一年度数据，无上一年度数据的新成立企业可不填报。</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本公司（联合体）郑重声明，根据《政府采购促进中小企业发展管理办法》（财库﹝2020﹞46 号）的规定，本公司（联合体）参加（</w:t>
      </w:r>
      <w:r>
        <w:rPr>
          <w:rFonts w:hint="eastAsia" w:ascii="宋体" w:hAnsi="宋体" w:cs="宋体"/>
          <w:color w:val="auto"/>
          <w:spacing w:val="-2"/>
          <w:highlight w:val="none"/>
          <w:u w:val="single"/>
        </w:rPr>
        <w:t>单位名称</w:t>
      </w:r>
      <w:r>
        <w:rPr>
          <w:rFonts w:hint="eastAsia" w:ascii="宋体" w:hAnsi="宋体" w:cs="宋体"/>
          <w:color w:val="auto"/>
          <w:spacing w:val="-2"/>
          <w:highlight w:val="none"/>
        </w:rPr>
        <w:t>）的（</w:t>
      </w:r>
      <w:r>
        <w:rPr>
          <w:rFonts w:hint="eastAsia" w:ascii="宋体" w:hAnsi="宋体" w:cs="宋体"/>
          <w:color w:val="auto"/>
          <w:spacing w:val="-2"/>
          <w:highlight w:val="none"/>
          <w:u w:val="single"/>
        </w:rPr>
        <w:t>项目名称</w:t>
      </w:r>
      <w:r>
        <w:rPr>
          <w:rFonts w:hint="eastAsia" w:ascii="宋体" w:hAnsi="宋体" w:cs="宋体"/>
          <w:color w:val="auto"/>
          <w:spacing w:val="-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w:t>
      </w:r>
      <w:r>
        <w:rPr>
          <w:rFonts w:hint="eastAsia" w:ascii="宋体" w:hAnsi="宋体" w:cs="宋体"/>
          <w:color w:val="auto"/>
          <w:spacing w:val="-2"/>
          <w:highlight w:val="none"/>
          <w:u w:val="single"/>
        </w:rPr>
        <w:t>标的名称</w:t>
      </w:r>
      <w:r>
        <w:rPr>
          <w:rFonts w:hint="eastAsia" w:ascii="宋体" w:hAnsi="宋体" w:cs="宋体"/>
          <w:color w:val="auto"/>
          <w:spacing w:val="-2"/>
          <w:highlight w:val="none"/>
        </w:rPr>
        <w:t>），属于（</w:t>
      </w:r>
      <w:r>
        <w:rPr>
          <w:rFonts w:hint="eastAsia" w:ascii="宋体" w:hAnsi="宋体" w:cs="宋体"/>
          <w:color w:val="auto"/>
          <w:spacing w:val="-2"/>
          <w:highlight w:val="none"/>
          <w:u w:val="single"/>
        </w:rPr>
        <w:t>采购文件中明确的所属行业</w:t>
      </w:r>
      <w:r>
        <w:rPr>
          <w:rFonts w:hint="eastAsia" w:ascii="宋体" w:hAnsi="宋体" w:cs="宋体"/>
          <w:color w:val="auto"/>
          <w:spacing w:val="-2"/>
          <w:highlight w:val="none"/>
        </w:rPr>
        <w:t>） ；承建（承接）企业为（</w:t>
      </w:r>
      <w:r>
        <w:rPr>
          <w:rFonts w:hint="eastAsia" w:ascii="宋体" w:hAnsi="宋体" w:cs="宋体"/>
          <w:color w:val="auto"/>
          <w:spacing w:val="-2"/>
          <w:highlight w:val="none"/>
          <w:u w:val="single"/>
        </w:rPr>
        <w:t>企业名称</w:t>
      </w:r>
      <w:r>
        <w:rPr>
          <w:rFonts w:hint="eastAsia" w:ascii="宋体" w:hAnsi="宋体" w:cs="宋体"/>
          <w:color w:val="auto"/>
          <w:spacing w:val="-2"/>
          <w:highlight w:val="none"/>
        </w:rPr>
        <w:t>），从业人员</w:t>
      </w:r>
      <w:r>
        <w:rPr>
          <w:rFonts w:hint="eastAsia" w:ascii="宋体" w:hAnsi="宋体" w:cs="宋体"/>
          <w:color w:val="auto"/>
          <w:spacing w:val="-2"/>
          <w:highlight w:val="none"/>
          <w:u w:val="single"/>
        </w:rPr>
        <w:tab/>
      </w:r>
      <w:r>
        <w:rPr>
          <w:rFonts w:hint="eastAsia" w:ascii="宋体" w:hAnsi="宋体" w:cs="宋体"/>
          <w:color w:val="auto"/>
          <w:spacing w:val="-2"/>
          <w:highlight w:val="none"/>
        </w:rPr>
        <w:t>人，营业收入为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万元，资产总额为</w:t>
      </w:r>
      <w:r>
        <w:rPr>
          <w:rFonts w:hint="eastAsia" w:ascii="宋体" w:hAnsi="宋体" w:cs="宋体"/>
          <w:color w:val="auto"/>
          <w:spacing w:val="-2"/>
          <w:highlight w:val="none"/>
          <w:u w:val="single"/>
        </w:rPr>
        <w:tab/>
      </w:r>
      <w:r>
        <w:rPr>
          <w:rFonts w:hint="eastAsia" w:ascii="宋体" w:hAnsi="宋体" w:cs="宋体"/>
          <w:color w:val="auto"/>
          <w:spacing w:val="-2"/>
          <w:highlight w:val="none"/>
        </w:rPr>
        <w:t>万元，属于（</w:t>
      </w:r>
      <w:r>
        <w:rPr>
          <w:rFonts w:hint="eastAsia" w:ascii="宋体" w:hAnsi="宋体" w:cs="宋体"/>
          <w:color w:val="auto"/>
          <w:spacing w:val="-2"/>
          <w:highlight w:val="none"/>
          <w:u w:val="single"/>
        </w:rPr>
        <w:t>中型企业、小型企业、微型企业</w:t>
      </w:r>
      <w:r>
        <w:rPr>
          <w:rFonts w:hint="eastAsia" w:ascii="宋体" w:hAnsi="宋体" w:cs="宋体"/>
          <w:color w:val="auto"/>
          <w:spacing w:val="-2"/>
          <w:highlight w:val="none"/>
        </w:rPr>
        <w:t>）；</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以上企业，不属于大企业的分支机构，不存在控股股东为大企业的情形，也不存在与大企业的负责人为同一人的情形。</w:t>
      </w: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本企业对上述声明内容的真实性负责。如有虚假，将依法承担相应责任。</w:t>
      </w:r>
    </w:p>
    <w:p>
      <w:pPr>
        <w:pStyle w:val="8"/>
        <w:tabs>
          <w:tab w:val="left" w:pos="562"/>
          <w:tab w:val="left" w:pos="3372"/>
          <w:tab w:val="left" w:pos="3653"/>
        </w:tabs>
        <w:ind w:firstLine="472" w:firstLineChars="200"/>
        <w:rPr>
          <w:rFonts w:hint="eastAsia" w:ascii="宋体" w:hAnsi="宋体" w:cs="宋体"/>
          <w:color w:val="auto"/>
          <w:spacing w:val="-2"/>
          <w:highlight w:val="none"/>
        </w:rPr>
      </w:pPr>
    </w:p>
    <w:p>
      <w:pPr>
        <w:pStyle w:val="8"/>
        <w:tabs>
          <w:tab w:val="left" w:pos="562"/>
          <w:tab w:val="left" w:pos="3372"/>
          <w:tab w:val="left" w:pos="3653"/>
        </w:tabs>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注意事项：</w:t>
      </w:r>
    </w:p>
    <w:p>
      <w:pPr>
        <w:pStyle w:val="8"/>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1.从业人员、营业收入、资产总额填报上一年度数据，无上一年度数据的新成立企业可不填报。</w:t>
      </w:r>
    </w:p>
    <w:p>
      <w:pPr>
        <w:pStyle w:val="8"/>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8"/>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3.事业单位、社会组织等非企业主体不享受中小企业扶持政策，但事业单位、社会组织等非企业主体提供全部由中小企业制造的货物参加货物采购项目的除外。</w:t>
      </w:r>
    </w:p>
    <w:p>
      <w:pPr>
        <w:pStyle w:val="8"/>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4.相关承接/承建企业的所属行业应当与采购标的所属行业（采购文件中明确的行业）相一致。</w:t>
      </w:r>
    </w:p>
    <w:p>
      <w:pPr>
        <w:pStyle w:val="8"/>
        <w:tabs>
          <w:tab w:val="left" w:pos="562"/>
          <w:tab w:val="left" w:pos="3372"/>
          <w:tab w:val="left" w:pos="3653"/>
        </w:tabs>
        <w:spacing w:after="0"/>
        <w:ind w:firstLine="472" w:firstLineChars="200"/>
        <w:rPr>
          <w:rFonts w:hint="eastAsia" w:ascii="宋体" w:hAnsi="宋体" w:cs="宋体"/>
          <w:color w:val="auto"/>
          <w:spacing w:val="-2"/>
          <w:highlight w:val="none"/>
        </w:rPr>
      </w:pPr>
      <w:r>
        <w:rPr>
          <w:rFonts w:hint="eastAsia" w:ascii="宋体" w:hAnsi="宋体" w:cs="宋体"/>
          <w:color w:val="auto"/>
          <w:spacing w:val="-2"/>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8"/>
        <w:tabs>
          <w:tab w:val="left" w:pos="562"/>
          <w:tab w:val="left" w:pos="3372"/>
          <w:tab w:val="left" w:pos="3653"/>
        </w:tabs>
        <w:ind w:left="4200" w:leftChars="2000"/>
        <w:rPr>
          <w:rFonts w:hint="eastAsia" w:ascii="宋体" w:hAnsi="宋体" w:cs="宋体"/>
          <w:color w:val="auto"/>
          <w:spacing w:val="-2"/>
          <w:highlight w:val="none"/>
        </w:rPr>
      </w:pPr>
    </w:p>
    <w:p>
      <w:pPr>
        <w:pStyle w:val="8"/>
        <w:tabs>
          <w:tab w:val="left" w:pos="562"/>
          <w:tab w:val="left" w:pos="3372"/>
          <w:tab w:val="left" w:pos="3653"/>
        </w:tabs>
        <w:ind w:left="4200" w:leftChars="2000"/>
        <w:rPr>
          <w:rFonts w:hint="eastAsia" w:ascii="宋体" w:hAnsi="宋体" w:cs="宋体"/>
          <w:color w:val="auto"/>
          <w:spacing w:val="-2"/>
          <w:highlight w:val="none"/>
        </w:rPr>
      </w:pPr>
      <w:r>
        <w:rPr>
          <w:rFonts w:hint="eastAsia" w:ascii="宋体" w:hAnsi="宋体" w:cs="宋体"/>
          <w:color w:val="auto"/>
          <w:spacing w:val="-2"/>
          <w:highlight w:val="none"/>
        </w:rPr>
        <w:t>企业名称（盖章）日期：</w:t>
      </w:r>
    </w:p>
    <w:p>
      <w:pPr>
        <w:pStyle w:val="8"/>
        <w:tabs>
          <w:tab w:val="left" w:pos="562"/>
          <w:tab w:val="left" w:pos="3372"/>
          <w:tab w:val="left" w:pos="3653"/>
        </w:tabs>
        <w:spacing w:before="30"/>
        <w:rPr>
          <w:rFonts w:hint="eastAsia" w:ascii="宋体" w:hAnsi="宋体" w:cs="宋体"/>
          <w:color w:val="auto"/>
          <w:highlight w:val="none"/>
        </w:rPr>
      </w:pPr>
      <w:r>
        <w:rPr>
          <w:rFonts w:hint="eastAsia" w:ascii="宋体" w:hAnsi="宋体" w:cs="宋体"/>
          <w:color w:val="auto"/>
          <w:spacing w:val="-2"/>
          <w:highlight w:val="none"/>
        </w:rPr>
        <w:t>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bCs/>
          <w:color w:val="auto"/>
          <w:highlight w:val="none"/>
        </w:rPr>
        <w:t>附 2</w:t>
      </w:r>
    </w:p>
    <w:p>
      <w:pPr>
        <w:jc w:val="center"/>
        <w:rPr>
          <w:rFonts w:hint="eastAsia"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8"/>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根据《政府采购促进中小企业发展管理办法》（财库﹝2020﹞46</w:t>
      </w:r>
      <w:r>
        <w:rPr>
          <w:rFonts w:hint="eastAsia" w:ascii="宋体" w:hAnsi="宋体" w:cs="宋体"/>
          <w:color w:val="auto"/>
          <w:spacing w:val="-47"/>
          <w:highlight w:val="none"/>
        </w:rPr>
        <w:t xml:space="preserve"> 号</w:t>
      </w:r>
      <w:r>
        <w:rPr>
          <w:rFonts w:hint="eastAsia" w:ascii="宋体" w:hAnsi="宋体" w:cs="宋体"/>
          <w:color w:val="auto"/>
          <w:spacing w:val="-22"/>
          <w:highlight w:val="none"/>
        </w:rPr>
        <w:t>）</w:t>
      </w:r>
      <w:r>
        <w:rPr>
          <w:rFonts w:hint="eastAsia" w:ascii="宋体" w:hAnsi="宋体" w:cs="宋体"/>
          <w:color w:val="auto"/>
          <w:spacing w:val="-7"/>
          <w:highlight w:val="none"/>
        </w:rPr>
        <w:t>要求，现对本部门</w:t>
      </w:r>
      <w:r>
        <w:rPr>
          <w:rFonts w:hint="eastAsia" w:ascii="宋体" w:hAnsi="宋体" w:cs="宋体"/>
          <w:color w:val="auto"/>
          <w:spacing w:val="-3"/>
          <w:highlight w:val="none"/>
        </w:rPr>
        <w:t>（</w:t>
      </w:r>
      <w:r>
        <w:rPr>
          <w:rFonts w:hint="eastAsia" w:ascii="宋体" w:hAnsi="宋体" w:cs="宋体"/>
          <w:color w:val="auto"/>
          <w:highlight w:val="none"/>
        </w:rPr>
        <w:t>单位</w:t>
      </w:r>
      <w:r>
        <w:rPr>
          <w:rFonts w:hint="eastAsia" w:ascii="宋体" w:hAnsi="宋体" w:cs="宋体"/>
          <w:color w:val="auto"/>
          <w:spacing w:val="-7"/>
          <w:highlight w:val="none"/>
        </w:rPr>
        <w:t>）</w:t>
      </w:r>
      <w:r>
        <w:rPr>
          <w:rFonts w:hint="eastAsia" w:ascii="宋体" w:hAnsi="宋体" w:cs="宋体"/>
          <w:color w:val="auto"/>
          <w:spacing w:val="-4"/>
          <w:highlight w:val="none"/>
        </w:rPr>
        <w:t>××年面向中小企业预留项目执行情况公告如下：</w:t>
      </w:r>
    </w:p>
    <w:p>
      <w:pPr>
        <w:pStyle w:val="8"/>
        <w:tabs>
          <w:tab w:val="left" w:pos="562"/>
          <w:tab w:val="left" w:pos="3372"/>
          <w:tab w:val="left" w:pos="3653"/>
        </w:tabs>
        <w:ind w:firstLine="480" w:firstLineChars="200"/>
        <w:rPr>
          <w:rFonts w:hint="eastAsia" w:ascii="宋体" w:hAnsi="宋体" w:cs="宋体"/>
          <w:color w:val="auto"/>
          <w:highlight w:val="none"/>
        </w:rPr>
      </w:pPr>
      <w:r>
        <w:rPr>
          <w:rFonts w:hint="eastAsia" w:ascii="宋体" w:hAnsi="宋体" w:cs="宋体"/>
          <w:color w:val="auto"/>
          <w:highlight w:val="none"/>
        </w:rPr>
        <w:t>本部门（单位）××年预留项目面向中小企业采购共计××万元，其中，面向小微企业采购××万元，占××%。</w:t>
      </w:r>
    </w:p>
    <w:p>
      <w:pPr>
        <w:pStyle w:val="8"/>
        <w:tabs>
          <w:tab w:val="left" w:pos="562"/>
          <w:tab w:val="left" w:pos="3372"/>
          <w:tab w:val="left" w:pos="3653"/>
        </w:tabs>
        <w:jc w:val="center"/>
        <w:rPr>
          <w:rFonts w:hint="eastAsia" w:ascii="宋体" w:hAnsi="宋体" w:cs="宋体"/>
          <w:b/>
          <w:bCs/>
          <w:color w:val="auto"/>
          <w:highlight w:val="none"/>
        </w:rPr>
      </w:pPr>
      <w:r>
        <w:rPr>
          <w:rFonts w:hint="eastAsia" w:ascii="宋体" w:hAnsi="宋体" w:cs="宋体"/>
          <w:b/>
          <w:bCs/>
          <w:color w:val="auto"/>
          <w:highlight w:val="none"/>
        </w:rPr>
        <w:t>面向中小企业预留项目明细</w:t>
      </w:r>
    </w:p>
    <w:tbl>
      <w:tblPr>
        <w:tblStyle w:val="20"/>
        <w:tblW w:w="88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b/>
                <w:color w:val="auto"/>
                <w:sz w:val="24"/>
                <w:szCs w:val="24"/>
                <w:highlight w:val="none"/>
              </w:rPr>
            </w:pPr>
            <w:r>
              <w:rPr>
                <w:rFonts w:hint="eastAsia"/>
                <w:b/>
                <w:color w:val="auto"/>
                <w:sz w:val="24"/>
                <w:szCs w:val="24"/>
                <w:highlight w:val="none"/>
              </w:rPr>
              <w:t>序号</w:t>
            </w:r>
          </w:p>
        </w:tc>
        <w:tc>
          <w:tcPr>
            <w:tcW w:w="1866" w:type="dxa"/>
            <w:vAlign w:val="center"/>
          </w:tcPr>
          <w:p>
            <w:pPr>
              <w:pStyle w:val="37"/>
              <w:jc w:val="center"/>
              <w:rPr>
                <w:rFonts w:hint="eastAsia"/>
                <w:b/>
                <w:color w:val="auto"/>
                <w:sz w:val="24"/>
                <w:szCs w:val="24"/>
                <w:highlight w:val="none"/>
              </w:rPr>
            </w:pPr>
            <w:r>
              <w:rPr>
                <w:rFonts w:hint="eastAsia"/>
                <w:b/>
                <w:color w:val="auto"/>
                <w:sz w:val="24"/>
                <w:szCs w:val="24"/>
                <w:highlight w:val="none"/>
              </w:rPr>
              <w:t>项目名称</w:t>
            </w:r>
          </w:p>
        </w:tc>
        <w:tc>
          <w:tcPr>
            <w:tcW w:w="2010" w:type="dxa"/>
            <w:vAlign w:val="center"/>
          </w:tcPr>
          <w:p>
            <w:pPr>
              <w:pStyle w:val="37"/>
              <w:jc w:val="center"/>
              <w:rPr>
                <w:rFonts w:hint="eastAsia"/>
                <w:b/>
                <w:color w:val="auto"/>
                <w:sz w:val="24"/>
                <w:szCs w:val="24"/>
                <w:highlight w:val="none"/>
              </w:rPr>
            </w:pPr>
            <w:r>
              <w:rPr>
                <w:rFonts w:hint="eastAsia"/>
                <w:b/>
                <w:color w:val="auto"/>
                <w:sz w:val="24"/>
                <w:szCs w:val="24"/>
                <w:highlight w:val="none"/>
              </w:rPr>
              <w:t>预留选项</w:t>
            </w:r>
          </w:p>
        </w:tc>
        <w:tc>
          <w:tcPr>
            <w:tcW w:w="2296" w:type="dxa"/>
            <w:vAlign w:val="center"/>
          </w:tcPr>
          <w:p>
            <w:pPr>
              <w:pStyle w:val="37"/>
              <w:jc w:val="center"/>
              <w:rPr>
                <w:rFonts w:hint="eastAsia"/>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7"/>
              <w:jc w:val="center"/>
              <w:rPr>
                <w:rFonts w:hint="eastAsia"/>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7"/>
              <w:jc w:val="center"/>
              <w:rPr>
                <w:rFonts w:hint="eastAsia"/>
                <w:color w:val="auto"/>
                <w:sz w:val="24"/>
                <w:szCs w:val="24"/>
                <w:highlight w:val="none"/>
              </w:rPr>
            </w:pPr>
          </w:p>
        </w:tc>
        <w:tc>
          <w:tcPr>
            <w:tcW w:w="1866" w:type="dxa"/>
            <w:tcBorders>
              <w:bottom w:val="nil"/>
            </w:tcBorders>
            <w:vAlign w:val="center"/>
          </w:tcPr>
          <w:p>
            <w:pPr>
              <w:pStyle w:val="37"/>
              <w:jc w:val="center"/>
              <w:rPr>
                <w:rFonts w:hint="eastAsia"/>
                <w:color w:val="auto"/>
                <w:sz w:val="24"/>
                <w:szCs w:val="24"/>
                <w:highlight w:val="none"/>
              </w:rPr>
            </w:pPr>
          </w:p>
        </w:tc>
        <w:tc>
          <w:tcPr>
            <w:tcW w:w="2010" w:type="dxa"/>
            <w:tcBorders>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7"/>
              <w:jc w:val="center"/>
              <w:rPr>
                <w:rFonts w:hint="eastAsia"/>
                <w:color w:val="auto"/>
                <w:sz w:val="24"/>
                <w:szCs w:val="24"/>
                <w:highlight w:val="none"/>
              </w:rPr>
            </w:pPr>
          </w:p>
        </w:tc>
        <w:tc>
          <w:tcPr>
            <w:tcW w:w="1784" w:type="dxa"/>
            <w:vMerge w:val="restart"/>
            <w:vAlign w:val="center"/>
          </w:tcPr>
          <w:p>
            <w:pPr>
              <w:pStyle w:val="37"/>
              <w:jc w:val="center"/>
              <w:rPr>
                <w:rFonts w:hint="eastAsia"/>
                <w:color w:val="auto"/>
                <w:sz w:val="24"/>
                <w:szCs w:val="24"/>
                <w:highlight w:val="none"/>
              </w:rPr>
            </w:pPr>
          </w:p>
          <w:p>
            <w:pPr>
              <w:pStyle w:val="37"/>
              <w:jc w:val="center"/>
              <w:rPr>
                <w:rFonts w:hint="eastAsia"/>
                <w:color w:val="auto"/>
                <w:sz w:val="24"/>
                <w:szCs w:val="24"/>
                <w:highlight w:val="none"/>
              </w:rPr>
            </w:pPr>
          </w:p>
          <w:p>
            <w:pPr>
              <w:pStyle w:val="37"/>
              <w:jc w:val="center"/>
              <w:rPr>
                <w:rFonts w:hint="eastAsia"/>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bottom w:val="nil"/>
            </w:tcBorders>
            <w:vAlign w:val="center"/>
          </w:tcPr>
          <w:p>
            <w:pPr>
              <w:pStyle w:val="37"/>
              <w:jc w:val="center"/>
              <w:rPr>
                <w:rFonts w:hint="eastAsia"/>
                <w:color w:val="auto"/>
                <w:sz w:val="24"/>
                <w:szCs w:val="24"/>
                <w:highlight w:val="none"/>
              </w:rPr>
            </w:pPr>
          </w:p>
        </w:tc>
        <w:tc>
          <w:tcPr>
            <w:tcW w:w="2010" w:type="dxa"/>
            <w:tcBorders>
              <w:top w:val="nil"/>
              <w:bottom w:val="nil"/>
            </w:tcBorders>
            <w:vAlign w:val="center"/>
          </w:tcPr>
          <w:p>
            <w:pPr>
              <w:pStyle w:val="37"/>
              <w:jc w:val="center"/>
              <w:rPr>
                <w:rFonts w:hint="eastAsia"/>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highlight w:val="none"/>
              </w:rPr>
            </w:pPr>
          </w:p>
        </w:tc>
        <w:tc>
          <w:tcPr>
            <w:tcW w:w="1866" w:type="dxa"/>
            <w:tcBorders>
              <w:top w:val="nil"/>
            </w:tcBorders>
            <w:vAlign w:val="center"/>
          </w:tcPr>
          <w:p>
            <w:pPr>
              <w:pStyle w:val="37"/>
              <w:jc w:val="center"/>
              <w:rPr>
                <w:rFonts w:hint="eastAsia"/>
                <w:color w:val="auto"/>
                <w:sz w:val="24"/>
                <w:szCs w:val="24"/>
                <w:highlight w:val="none"/>
              </w:rPr>
            </w:pPr>
          </w:p>
        </w:tc>
        <w:tc>
          <w:tcPr>
            <w:tcW w:w="2010" w:type="dxa"/>
            <w:tcBorders>
              <w:top w:val="nil"/>
            </w:tcBorders>
            <w:vAlign w:val="center"/>
          </w:tcPr>
          <w:p>
            <w:pPr>
              <w:pStyle w:val="37"/>
              <w:jc w:val="center"/>
              <w:rPr>
                <w:rFonts w:hint="eastAsia"/>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7"/>
              <w:jc w:val="center"/>
              <w:rPr>
                <w:rFonts w:hint="eastAsia"/>
                <w:color w:val="auto"/>
                <w:sz w:val="24"/>
                <w:szCs w:val="24"/>
                <w:highlight w:val="none"/>
              </w:rPr>
            </w:pPr>
          </w:p>
        </w:tc>
        <w:tc>
          <w:tcPr>
            <w:tcW w:w="1784" w:type="dxa"/>
            <w:vMerge w:val="continue"/>
            <w:tcBorders>
              <w:top w:val="nil"/>
            </w:tcBorders>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color w:val="auto"/>
                <w:sz w:val="24"/>
                <w:szCs w:val="24"/>
                <w:highlight w:val="none"/>
              </w:rPr>
            </w:pPr>
            <w:r>
              <w:rPr>
                <w:rFonts w:hint="eastAsia"/>
                <w:color w:val="auto"/>
                <w:sz w:val="24"/>
                <w:szCs w:val="24"/>
                <w:highlight w:val="none"/>
              </w:rPr>
              <w:t>……</w:t>
            </w:r>
          </w:p>
        </w:tc>
        <w:tc>
          <w:tcPr>
            <w:tcW w:w="1866" w:type="dxa"/>
            <w:vAlign w:val="center"/>
          </w:tcPr>
          <w:p>
            <w:pPr>
              <w:pStyle w:val="37"/>
              <w:jc w:val="center"/>
              <w:rPr>
                <w:rFonts w:hint="eastAsia"/>
                <w:color w:val="auto"/>
                <w:sz w:val="24"/>
                <w:szCs w:val="24"/>
                <w:highlight w:val="none"/>
              </w:rPr>
            </w:pPr>
            <w:r>
              <w:rPr>
                <w:rFonts w:hint="eastAsia"/>
                <w:color w:val="auto"/>
                <w:sz w:val="24"/>
                <w:szCs w:val="24"/>
                <w:highlight w:val="none"/>
              </w:rPr>
              <w:t>……</w:t>
            </w:r>
          </w:p>
        </w:tc>
        <w:tc>
          <w:tcPr>
            <w:tcW w:w="2010" w:type="dxa"/>
            <w:vAlign w:val="center"/>
          </w:tcPr>
          <w:p>
            <w:pPr>
              <w:pStyle w:val="37"/>
              <w:jc w:val="center"/>
              <w:rPr>
                <w:rFonts w:hint="eastAsia"/>
                <w:color w:val="auto"/>
                <w:sz w:val="24"/>
                <w:szCs w:val="24"/>
                <w:highlight w:val="none"/>
              </w:rPr>
            </w:pPr>
            <w:r>
              <w:rPr>
                <w:rFonts w:hint="eastAsia"/>
                <w:color w:val="auto"/>
                <w:sz w:val="24"/>
                <w:szCs w:val="24"/>
                <w:highlight w:val="none"/>
              </w:rPr>
              <w:t>……</w:t>
            </w:r>
          </w:p>
        </w:tc>
        <w:tc>
          <w:tcPr>
            <w:tcW w:w="2296" w:type="dxa"/>
            <w:vAlign w:val="center"/>
          </w:tcPr>
          <w:p>
            <w:pPr>
              <w:pStyle w:val="37"/>
              <w:jc w:val="center"/>
              <w:rPr>
                <w:rFonts w:hint="eastAsia"/>
                <w:color w:val="auto"/>
                <w:sz w:val="24"/>
                <w:szCs w:val="24"/>
                <w:highlight w:val="none"/>
              </w:rPr>
            </w:pPr>
            <w:r>
              <w:rPr>
                <w:rFonts w:hint="eastAsia"/>
                <w:color w:val="auto"/>
                <w:sz w:val="24"/>
                <w:szCs w:val="24"/>
                <w:highlight w:val="none"/>
              </w:rPr>
              <w:t>……</w:t>
            </w:r>
          </w:p>
        </w:tc>
        <w:tc>
          <w:tcPr>
            <w:tcW w:w="1784" w:type="dxa"/>
            <w:vAlign w:val="center"/>
          </w:tcPr>
          <w:p>
            <w:pPr>
              <w:pStyle w:val="37"/>
              <w:jc w:val="center"/>
              <w:rPr>
                <w:rFonts w:hint="eastAsia"/>
                <w:color w:val="auto"/>
                <w:sz w:val="24"/>
                <w:szCs w:val="24"/>
                <w:highlight w:val="none"/>
              </w:rPr>
            </w:pPr>
            <w:r>
              <w:rPr>
                <w:rFonts w:hint="eastAsia"/>
                <w:color w:val="auto"/>
                <w:sz w:val="24"/>
                <w:szCs w:val="24"/>
                <w:highlight w:val="none"/>
              </w:rPr>
              <w:t>……</w:t>
            </w:r>
          </w:p>
        </w:tc>
      </w:tr>
    </w:tbl>
    <w:p>
      <w:pPr>
        <w:pStyle w:val="8"/>
        <w:tabs>
          <w:tab w:val="left" w:pos="562"/>
          <w:tab w:val="left" w:pos="3372"/>
          <w:tab w:val="left" w:pos="3653"/>
        </w:tabs>
        <w:spacing w:before="128"/>
        <w:ind w:left="4220" w:right="1843"/>
        <w:rPr>
          <w:rFonts w:hint="eastAsia" w:ascii="宋体" w:hAnsi="宋体" w:cs="宋体"/>
          <w:color w:val="auto"/>
          <w:highlight w:val="none"/>
        </w:rPr>
      </w:pPr>
      <w:r>
        <w:rPr>
          <w:rFonts w:hint="eastAsia" w:ascii="宋体" w:hAnsi="宋体" w:cs="宋体"/>
          <w:color w:val="auto"/>
          <w:highlight w:val="none"/>
        </w:rPr>
        <w:t>部门（单位）名称： 日期：</w:t>
      </w:r>
    </w:p>
    <w:p>
      <w:pPr>
        <w:pStyle w:val="8"/>
        <w:tabs>
          <w:tab w:val="left" w:pos="562"/>
          <w:tab w:val="left" w:pos="3372"/>
          <w:tab w:val="left" w:pos="3653"/>
        </w:tabs>
        <w:rPr>
          <w:rFonts w:hint="eastAsia" w:ascii="宋体" w:hAnsi="宋体" w:cs="宋体"/>
          <w:color w:val="auto"/>
          <w:highlight w:val="none"/>
        </w:rPr>
      </w:pPr>
    </w:p>
    <w:p>
      <w:pPr>
        <w:pStyle w:val="17"/>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2、工业和信息化部、国家统计局、国家发展和改革委员会、财政部《关于印发〈中小企业划型标准规定〉的通知》（工信部联企〔2011〕300 号）</w:t>
      </w:r>
    </w:p>
    <w:p>
      <w:pPr>
        <w:pStyle w:val="8"/>
        <w:tabs>
          <w:tab w:val="left" w:pos="562"/>
          <w:tab w:val="left" w:pos="3372"/>
          <w:tab w:val="left" w:pos="3653"/>
        </w:tabs>
        <w:rPr>
          <w:rFonts w:hint="eastAsia" w:ascii="宋体" w:hAnsi="宋体" w:cs="宋体"/>
          <w:color w:val="auto"/>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jc w:val="center"/>
        <w:rPr>
          <w:rFonts w:hint="eastAsia" w:ascii="宋体" w:hAnsi="宋体" w:cs="宋体"/>
          <w:color w:val="auto"/>
          <w:sz w:val="24"/>
          <w:highlight w:val="none"/>
        </w:rPr>
      </w:pPr>
      <w:r>
        <w:rPr>
          <w:rFonts w:hint="eastAsia" w:ascii="宋体" w:hAnsi="宋体" w:cs="宋体"/>
          <w:color w:val="auto"/>
          <w:sz w:val="24"/>
          <w:highlight w:val="none"/>
        </w:rPr>
        <w:t>工信部联企业〔2011〕300号</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工业和信息化部 国家统计局</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国家发展和改革委员会 财政部</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二○一一年六月十八日</w:t>
      </w: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highlight w:val="none"/>
        </w:rPr>
      </w:pPr>
    </w:p>
    <w:p>
      <w:pPr>
        <w:pStyle w:val="17"/>
        <w:jc w:val="both"/>
        <w:outlineLvl w:val="9"/>
        <w:rPr>
          <w:rFonts w:hint="eastAsia" w:ascii="宋体" w:hAnsi="宋体" w:eastAsia="宋体" w:cs="宋体"/>
          <w:color w:val="auto"/>
          <w:sz w:val="24"/>
          <w:szCs w:val="24"/>
          <w:highlight w:val="none"/>
        </w:rPr>
      </w:pPr>
    </w:p>
    <w:p>
      <w:pPr>
        <w:pStyle w:val="17"/>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highlight w:val="none"/>
        </w:rPr>
      </w:pPr>
    </w:p>
    <w:p>
      <w:pPr>
        <w:widowControl/>
        <w:shd w:val="clear" w:color="auto" w:fill="FFFFFF"/>
        <w:jc w:val="center"/>
        <w:rPr>
          <w:rFonts w:hint="eastAsia"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jc w:val="left"/>
        <w:rPr>
          <w:rFonts w:hint="eastAsia" w:ascii="宋体" w:hAnsi="宋体" w:cs="宋体"/>
          <w:color w:val="auto"/>
          <w:kern w:val="0"/>
          <w:sz w:val="24"/>
          <w:highlight w:val="none"/>
        </w:rPr>
      </w:pPr>
    </w:p>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w:t>
      </w:r>
    </w:p>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highlight w:val="none"/>
              </w:rPr>
            </w:pP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8"/>
        <w:tabs>
          <w:tab w:val="left" w:pos="562"/>
          <w:tab w:val="left" w:pos="3372"/>
          <w:tab w:val="left" w:pos="3653"/>
        </w:tabs>
        <w:rPr>
          <w:rFonts w:hint="eastAsia" w:ascii="宋体" w:hAnsi="宋体" w:cs="宋体"/>
          <w:color w:val="auto"/>
          <w:highlight w:val="none"/>
        </w:rPr>
      </w:pPr>
    </w:p>
    <w:p>
      <w:pPr>
        <w:pStyle w:val="17"/>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rPr>
          <w:rFonts w:hint="eastAsia" w:ascii="宋体" w:hAnsi="宋体" w:cs="宋体"/>
          <w:bCs/>
          <w:color w:val="auto"/>
          <w:sz w:val="24"/>
          <w:highlight w:val="none"/>
        </w:rPr>
      </w:pPr>
    </w:p>
    <w:p>
      <w:pPr>
        <w:shd w:val="clear" w:color="auto" w:fill="FFFFFF"/>
        <w:rPr>
          <w:rFonts w:hint="eastAsia"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6"/>
        <w:shd w:val="clear" w:color="auto" w:fill="FFFFFF"/>
        <w:spacing w:before="0" w:beforeAutospacing="0" w:after="0" w:afterAutospacing="0"/>
        <w:jc w:val="center"/>
        <w:rPr>
          <w:rFonts w:hint="eastAsia"/>
          <w:color w:val="auto"/>
          <w:highlight w:val="none"/>
        </w:rPr>
      </w:pPr>
      <w:r>
        <w:rPr>
          <w:rFonts w:hint="eastAsia"/>
          <w:color w:val="auto"/>
          <w:highlight w:val="none"/>
        </w:rPr>
        <w:t>　　</w:t>
      </w:r>
      <w:bookmarkStart w:id="80" w:name="sendNo"/>
      <w:r>
        <w:rPr>
          <w:rFonts w:hint="eastAsia"/>
          <w:color w:val="auto"/>
          <w:highlight w:val="none"/>
        </w:rPr>
        <w:t>财库〔</w:t>
      </w:r>
      <w:bookmarkEnd w:id="80"/>
      <w:r>
        <w:rPr>
          <w:rFonts w:hint="eastAsia"/>
          <w:color w:val="auto"/>
          <w:highlight w:val="none"/>
        </w:rPr>
        <w:t>2017〕141号</w:t>
      </w:r>
    </w:p>
    <w:p>
      <w:pPr>
        <w:pStyle w:val="16"/>
        <w:shd w:val="clear" w:color="auto" w:fill="FFFFFF"/>
        <w:spacing w:before="0" w:beforeAutospacing="0" w:after="0" w:afterAutospacing="0"/>
        <w:ind w:firstLine="480" w:firstLineChars="200"/>
        <w:rPr>
          <w:rFonts w:hint="eastAsia"/>
          <w:color w:val="auto"/>
          <w:highlight w:val="none"/>
        </w:rPr>
      </w:pPr>
      <w:bookmarkStart w:id="81"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81"/>
      <w:r>
        <w:rPr>
          <w:rFonts w:hint="eastAsia"/>
          <w:color w:val="auto"/>
          <w:highlight w:val="none"/>
        </w:rPr>
        <w:t>：</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一、享受政府采购支持政策的残疾人福利性单位应当同时满足以下条件：</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（二）依法与安置的每位残疾人签订了一年以上（含一年）的劳动合同或服务协议；</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七、本通知自2017年10月1日起执行。</w:t>
      </w:r>
    </w:p>
    <w:p>
      <w:pPr>
        <w:pStyle w:val="16"/>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财政部 民政部 中国残疾人联合会</w:t>
      </w:r>
    </w:p>
    <w:p>
      <w:pPr>
        <w:pStyle w:val="16"/>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2017年8月22日</w:t>
      </w:r>
    </w:p>
    <w:p>
      <w:pPr>
        <w:pStyle w:val="38"/>
        <w:shd w:val="clear" w:color="auto" w:fill="FFFFFF"/>
        <w:spacing w:before="0" w:beforeAutospacing="0" w:after="0" w:afterAutospacing="0" w:line="560" w:lineRule="exact"/>
        <w:jc w:val="both"/>
        <w:rPr>
          <w:rFonts w:hint="eastAsia"/>
          <w:color w:val="auto"/>
          <w:highlight w:val="none"/>
        </w:rPr>
      </w:pPr>
      <w:r>
        <w:rPr>
          <w:rFonts w:hint="eastAsia"/>
          <w:color w:val="auto"/>
          <w:highlight w:val="none"/>
        </w:rPr>
        <w:t>附件：</w:t>
      </w:r>
    </w:p>
    <w:p>
      <w:pPr>
        <w:pStyle w:val="38"/>
        <w:shd w:val="clear" w:color="auto" w:fill="FFFFFF"/>
        <w:spacing w:before="0" w:beforeAutospacing="0" w:after="0" w:afterAutospacing="0" w:line="560" w:lineRule="exact"/>
        <w:ind w:firstLine="482" w:firstLineChars="200"/>
        <w:jc w:val="center"/>
        <w:rPr>
          <w:rFonts w:hint="eastAsia"/>
          <w:color w:val="auto"/>
          <w:highlight w:val="none"/>
        </w:rPr>
      </w:pPr>
      <w:r>
        <w:rPr>
          <w:rStyle w:val="39"/>
          <w:rFonts w:hint="eastAsia"/>
          <w:b/>
          <w:bCs/>
          <w:color w:val="auto"/>
          <w:highlight w:val="none"/>
        </w:rPr>
        <w:t>残疾人福利性单位声明函</w:t>
      </w:r>
    </w:p>
    <w:p>
      <w:pPr>
        <w:pStyle w:val="38"/>
        <w:shd w:val="clear" w:color="auto" w:fill="FFFFFF"/>
        <w:spacing w:before="0" w:beforeAutospacing="0" w:after="0" w:afterAutospacing="0" w:line="560" w:lineRule="exact"/>
        <w:ind w:firstLine="480" w:firstLineChars="200"/>
        <w:jc w:val="both"/>
        <w:rPr>
          <w:rFonts w:hint="eastAsia"/>
          <w:color w:val="auto"/>
          <w:highlight w:val="none"/>
        </w:rPr>
      </w:pPr>
      <w:r>
        <w:rPr>
          <w:rStyle w:val="39"/>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8"/>
        <w:shd w:val="clear" w:color="auto" w:fill="FFFFFF"/>
        <w:spacing w:before="0" w:beforeAutospacing="0" w:after="0" w:afterAutospacing="0" w:line="560" w:lineRule="exact"/>
        <w:ind w:firstLine="480" w:firstLineChars="200"/>
        <w:jc w:val="both"/>
        <w:rPr>
          <w:rFonts w:hint="eastAsia"/>
          <w:color w:val="auto"/>
          <w:highlight w:val="none"/>
        </w:rPr>
      </w:pPr>
      <w:r>
        <w:rPr>
          <w:rStyle w:val="39"/>
          <w:rFonts w:hint="eastAsia"/>
          <w:color w:val="auto"/>
          <w:highlight w:val="none"/>
        </w:rPr>
        <w:t>本单位对上述声明的真实性负责。如有虚假，将依法承担相应责任。</w:t>
      </w:r>
    </w:p>
    <w:p>
      <w:pPr>
        <w:pStyle w:val="38"/>
        <w:shd w:val="clear" w:color="auto" w:fill="FFFFFF"/>
        <w:spacing w:before="0" w:beforeAutospacing="0" w:after="0" w:afterAutospacing="0" w:line="560" w:lineRule="exact"/>
        <w:ind w:firstLine="480" w:firstLineChars="200"/>
        <w:jc w:val="both"/>
        <w:rPr>
          <w:rFonts w:hint="eastAsia"/>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8"/>
        <w:shd w:val="clear" w:color="auto" w:fill="FFFFFF"/>
        <w:spacing w:before="0" w:beforeAutospacing="0" w:after="0" w:afterAutospacing="0" w:line="560" w:lineRule="exact"/>
        <w:ind w:right="2100" w:rightChars="1000"/>
        <w:jc w:val="right"/>
        <w:rPr>
          <w:rFonts w:hint="eastAsia"/>
          <w:color w:val="auto"/>
          <w:highlight w:val="none"/>
        </w:rPr>
      </w:pPr>
      <w:r>
        <w:rPr>
          <w:rStyle w:val="39"/>
          <w:rFonts w:hint="eastAsia"/>
          <w:color w:val="auto"/>
          <w:highlight w:val="none"/>
        </w:rPr>
        <w:t>单位名称（盖章）：</w:t>
      </w:r>
    </w:p>
    <w:p>
      <w:pPr>
        <w:pStyle w:val="38"/>
        <w:shd w:val="clear" w:color="auto" w:fill="FFFFFF"/>
        <w:spacing w:before="0" w:beforeAutospacing="0" w:after="0" w:afterAutospacing="0" w:line="560" w:lineRule="exact"/>
        <w:ind w:right="2100" w:rightChars="1000"/>
        <w:jc w:val="right"/>
        <w:rPr>
          <w:rFonts w:hint="eastAsia"/>
          <w:color w:val="auto"/>
          <w:highlight w:val="none"/>
          <w:lang w:val="fr-CH"/>
        </w:rPr>
      </w:pPr>
      <w:r>
        <w:rPr>
          <w:rStyle w:val="39"/>
          <w:rFonts w:hint="eastAsia"/>
          <w:color w:val="auto"/>
          <w:highlight w:val="none"/>
        </w:rPr>
        <w:t>日 期：</w:t>
      </w:r>
    </w:p>
    <w:p>
      <w:pPr>
        <w:pStyle w:val="33"/>
        <w:rPr>
          <w:color w:val="auto"/>
          <w:highlight w:val="none"/>
          <w:lang w:val="fr-CH"/>
        </w:rPr>
      </w:pPr>
    </w:p>
    <w:p>
      <w:pPr>
        <w:rPr>
          <w:color w:val="auto"/>
          <w:highlight w:val="none"/>
        </w:rPr>
      </w:pPr>
    </w:p>
    <w:sectPr>
      <w:headerReference r:id="rId7" w:type="first"/>
      <w:headerReference r:id="rId5" w:type="default"/>
      <w:headerReference r:id="rId6" w:type="even"/>
      <w:pgSz w:w="11906" w:h="16838"/>
      <w:pgMar w:top="1270" w:right="1803" w:bottom="1288"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00000008"/>
    <w:multiLevelType w:val="singleLevel"/>
    <w:tmpl w:val="00000008"/>
    <w:lvl w:ilvl="0" w:tentative="0">
      <w:start w:val="1"/>
      <w:numFmt w:val="chineseCounting"/>
      <w:suff w:val="nothing"/>
      <w:lvlText w:val="%1、"/>
      <w:lvlJc w:val="left"/>
    </w:lvl>
  </w:abstractNum>
  <w:abstractNum w:abstractNumId="8">
    <w:nsid w:val="0000000A"/>
    <w:multiLevelType w:val="singleLevel"/>
    <w:tmpl w:val="0000000A"/>
    <w:lvl w:ilvl="0" w:tentative="0">
      <w:start w:val="1"/>
      <w:numFmt w:val="decimal"/>
      <w:lvlText w:val="%1."/>
      <w:lvlJc w:val="left"/>
      <w:pPr>
        <w:tabs>
          <w:tab w:val="left" w:pos="312"/>
        </w:tabs>
      </w:pPr>
    </w:lvl>
  </w:abstractNum>
  <w:abstractNum w:abstractNumId="9">
    <w:nsid w:val="200A2FAF"/>
    <w:multiLevelType w:val="singleLevel"/>
    <w:tmpl w:val="200A2FAF"/>
    <w:lvl w:ilvl="0" w:tentative="0">
      <w:start w:val="5"/>
      <w:numFmt w:val="decimal"/>
      <w:suff w:val="nothing"/>
      <w:lvlText w:val="（%1）"/>
      <w:lvlJc w:val="left"/>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4"/>
  </w:num>
  <w:num w:numId="3">
    <w:abstractNumId w:val="2"/>
  </w:num>
  <w:num w:numId="4">
    <w:abstractNumId w:val="10"/>
  </w:num>
  <w:num w:numId="5">
    <w:abstractNumId w:val="7"/>
  </w:num>
  <w:num w:numId="6">
    <w:abstractNumId w:val="11"/>
  </w:num>
  <w:num w:numId="7">
    <w:abstractNumId w:val="8"/>
  </w:num>
  <w:num w:numId="8">
    <w:abstractNumId w:val="3"/>
  </w:num>
  <w:num w:numId="9">
    <w:abstractNumId w:val="5"/>
  </w:num>
  <w:num w:numId="10">
    <w:abstractNumId w:val="1"/>
  </w:num>
  <w:num w:numId="11">
    <w:abstractNumId w:val="0"/>
  </w:num>
  <w:num w:numId="12">
    <w:abstractNumId w:val="6"/>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isplayBackgroundShape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 w:name="KSO_WPS_MARK_KEY" w:val="6c52a594-fa24-4eda-8bdf-1df5baad3362"/>
  </w:docVars>
  <w:rsids>
    <w:rsidRoot w:val="6F152D9A"/>
    <w:rsid w:val="00002384"/>
    <w:rsid w:val="000404DC"/>
    <w:rsid w:val="000821F1"/>
    <w:rsid w:val="001109FF"/>
    <w:rsid w:val="001F7F7E"/>
    <w:rsid w:val="00291AA1"/>
    <w:rsid w:val="002B3BC8"/>
    <w:rsid w:val="00304B53"/>
    <w:rsid w:val="003168D7"/>
    <w:rsid w:val="00350E7B"/>
    <w:rsid w:val="00384556"/>
    <w:rsid w:val="003E7116"/>
    <w:rsid w:val="0042729B"/>
    <w:rsid w:val="0046340A"/>
    <w:rsid w:val="004819BA"/>
    <w:rsid w:val="004B5B75"/>
    <w:rsid w:val="004D0EC0"/>
    <w:rsid w:val="004E616D"/>
    <w:rsid w:val="00576960"/>
    <w:rsid w:val="00591ED4"/>
    <w:rsid w:val="005B3EB6"/>
    <w:rsid w:val="006A5E20"/>
    <w:rsid w:val="00706AF6"/>
    <w:rsid w:val="007743C7"/>
    <w:rsid w:val="00785F49"/>
    <w:rsid w:val="007A5D6B"/>
    <w:rsid w:val="007F6682"/>
    <w:rsid w:val="00832935"/>
    <w:rsid w:val="00870BFD"/>
    <w:rsid w:val="008E095A"/>
    <w:rsid w:val="00924AE0"/>
    <w:rsid w:val="009C337D"/>
    <w:rsid w:val="009D033E"/>
    <w:rsid w:val="009E70F5"/>
    <w:rsid w:val="009F1B47"/>
    <w:rsid w:val="00A73F84"/>
    <w:rsid w:val="00A81D22"/>
    <w:rsid w:val="00A955D9"/>
    <w:rsid w:val="00AB466F"/>
    <w:rsid w:val="00AC7D6D"/>
    <w:rsid w:val="00BE0740"/>
    <w:rsid w:val="00BF1095"/>
    <w:rsid w:val="00C33D8C"/>
    <w:rsid w:val="00C7677C"/>
    <w:rsid w:val="00CA5316"/>
    <w:rsid w:val="00D14A5B"/>
    <w:rsid w:val="00D2452C"/>
    <w:rsid w:val="00DC1A8A"/>
    <w:rsid w:val="00DE5743"/>
    <w:rsid w:val="00DF15AF"/>
    <w:rsid w:val="00E6198E"/>
    <w:rsid w:val="00F3460E"/>
    <w:rsid w:val="00F52A8D"/>
    <w:rsid w:val="00F80C5D"/>
    <w:rsid w:val="00F87FEB"/>
    <w:rsid w:val="00FC1BE0"/>
    <w:rsid w:val="01070590"/>
    <w:rsid w:val="011D7606"/>
    <w:rsid w:val="01211AD4"/>
    <w:rsid w:val="012952B3"/>
    <w:rsid w:val="012B1DC1"/>
    <w:rsid w:val="013B4944"/>
    <w:rsid w:val="0140411C"/>
    <w:rsid w:val="01414A0F"/>
    <w:rsid w:val="014E4E03"/>
    <w:rsid w:val="0159301C"/>
    <w:rsid w:val="01623C7B"/>
    <w:rsid w:val="01683444"/>
    <w:rsid w:val="017E0CD4"/>
    <w:rsid w:val="018C0929"/>
    <w:rsid w:val="018F6A3E"/>
    <w:rsid w:val="019978BC"/>
    <w:rsid w:val="01AA3877"/>
    <w:rsid w:val="01AF6971"/>
    <w:rsid w:val="01B12E58"/>
    <w:rsid w:val="01B8192A"/>
    <w:rsid w:val="01BA0A50"/>
    <w:rsid w:val="01CC1A40"/>
    <w:rsid w:val="01E27A17"/>
    <w:rsid w:val="022618D2"/>
    <w:rsid w:val="02274EC8"/>
    <w:rsid w:val="02306473"/>
    <w:rsid w:val="023A5F04"/>
    <w:rsid w:val="02555717"/>
    <w:rsid w:val="026305F6"/>
    <w:rsid w:val="02685C0C"/>
    <w:rsid w:val="02881E0B"/>
    <w:rsid w:val="02947948"/>
    <w:rsid w:val="02A92B78"/>
    <w:rsid w:val="02AD5464"/>
    <w:rsid w:val="02CB7F49"/>
    <w:rsid w:val="02CC7BBA"/>
    <w:rsid w:val="02DC6BB1"/>
    <w:rsid w:val="02DE4536"/>
    <w:rsid w:val="02EB738D"/>
    <w:rsid w:val="031134B4"/>
    <w:rsid w:val="031C47EB"/>
    <w:rsid w:val="0334777F"/>
    <w:rsid w:val="0341645D"/>
    <w:rsid w:val="03634626"/>
    <w:rsid w:val="036D53D0"/>
    <w:rsid w:val="0375269E"/>
    <w:rsid w:val="0375603F"/>
    <w:rsid w:val="037A0E7B"/>
    <w:rsid w:val="038A0222"/>
    <w:rsid w:val="03990047"/>
    <w:rsid w:val="03A82039"/>
    <w:rsid w:val="03BE360A"/>
    <w:rsid w:val="03D96696"/>
    <w:rsid w:val="03DD6186"/>
    <w:rsid w:val="03DF1EFE"/>
    <w:rsid w:val="03E219EE"/>
    <w:rsid w:val="03EC2D32"/>
    <w:rsid w:val="03F5191B"/>
    <w:rsid w:val="040556DD"/>
    <w:rsid w:val="04137DFA"/>
    <w:rsid w:val="04152DE3"/>
    <w:rsid w:val="041A1188"/>
    <w:rsid w:val="04213AC4"/>
    <w:rsid w:val="042277B0"/>
    <w:rsid w:val="0433224A"/>
    <w:rsid w:val="043343BF"/>
    <w:rsid w:val="044004C3"/>
    <w:rsid w:val="0442248D"/>
    <w:rsid w:val="04474B37"/>
    <w:rsid w:val="04567CE7"/>
    <w:rsid w:val="04724631"/>
    <w:rsid w:val="049E5173"/>
    <w:rsid w:val="04A005CC"/>
    <w:rsid w:val="04A35474"/>
    <w:rsid w:val="04B50EB1"/>
    <w:rsid w:val="04C63705"/>
    <w:rsid w:val="04E377CC"/>
    <w:rsid w:val="04FF037E"/>
    <w:rsid w:val="05062697"/>
    <w:rsid w:val="051A4FE6"/>
    <w:rsid w:val="052E47BF"/>
    <w:rsid w:val="053973EC"/>
    <w:rsid w:val="054239F3"/>
    <w:rsid w:val="054B35C3"/>
    <w:rsid w:val="055E50A5"/>
    <w:rsid w:val="05695981"/>
    <w:rsid w:val="056D52E8"/>
    <w:rsid w:val="057C4BBE"/>
    <w:rsid w:val="057E6B51"/>
    <w:rsid w:val="05804BC2"/>
    <w:rsid w:val="058E7EB0"/>
    <w:rsid w:val="0594022D"/>
    <w:rsid w:val="05C80C71"/>
    <w:rsid w:val="05CD1439"/>
    <w:rsid w:val="05D74AE1"/>
    <w:rsid w:val="05D9775C"/>
    <w:rsid w:val="06336033"/>
    <w:rsid w:val="068A098C"/>
    <w:rsid w:val="069E458D"/>
    <w:rsid w:val="06A74AA2"/>
    <w:rsid w:val="06BC14B2"/>
    <w:rsid w:val="06BE2A9A"/>
    <w:rsid w:val="06C44D16"/>
    <w:rsid w:val="06C50397"/>
    <w:rsid w:val="06CC4290"/>
    <w:rsid w:val="06D00EEB"/>
    <w:rsid w:val="06D51397"/>
    <w:rsid w:val="06E23AB3"/>
    <w:rsid w:val="06E332E1"/>
    <w:rsid w:val="06F30D45"/>
    <w:rsid w:val="06F32700"/>
    <w:rsid w:val="07046BC9"/>
    <w:rsid w:val="070D6D82"/>
    <w:rsid w:val="070E3767"/>
    <w:rsid w:val="07235607"/>
    <w:rsid w:val="072A7934"/>
    <w:rsid w:val="072D6233"/>
    <w:rsid w:val="072F63A4"/>
    <w:rsid w:val="07397904"/>
    <w:rsid w:val="07521B5C"/>
    <w:rsid w:val="07593D76"/>
    <w:rsid w:val="0769037B"/>
    <w:rsid w:val="07787DB5"/>
    <w:rsid w:val="077961C6"/>
    <w:rsid w:val="079648D0"/>
    <w:rsid w:val="07994850"/>
    <w:rsid w:val="07AA45D1"/>
    <w:rsid w:val="07AC659B"/>
    <w:rsid w:val="07B13BB2"/>
    <w:rsid w:val="07CB4548"/>
    <w:rsid w:val="07E75482"/>
    <w:rsid w:val="07E8334B"/>
    <w:rsid w:val="07FD54F6"/>
    <w:rsid w:val="080A32D3"/>
    <w:rsid w:val="08206FE1"/>
    <w:rsid w:val="082A04D3"/>
    <w:rsid w:val="08497AA6"/>
    <w:rsid w:val="087C541A"/>
    <w:rsid w:val="088300A5"/>
    <w:rsid w:val="088F5575"/>
    <w:rsid w:val="08920DDF"/>
    <w:rsid w:val="08950582"/>
    <w:rsid w:val="08CA6A34"/>
    <w:rsid w:val="08CE609D"/>
    <w:rsid w:val="08D81251"/>
    <w:rsid w:val="08E57A87"/>
    <w:rsid w:val="08E92ED7"/>
    <w:rsid w:val="08F43C68"/>
    <w:rsid w:val="090306E4"/>
    <w:rsid w:val="090931C4"/>
    <w:rsid w:val="090A34E0"/>
    <w:rsid w:val="090C38B9"/>
    <w:rsid w:val="09300B06"/>
    <w:rsid w:val="093305F6"/>
    <w:rsid w:val="09336848"/>
    <w:rsid w:val="093822B1"/>
    <w:rsid w:val="09491BC8"/>
    <w:rsid w:val="09575898"/>
    <w:rsid w:val="09592469"/>
    <w:rsid w:val="09695D52"/>
    <w:rsid w:val="096F55F7"/>
    <w:rsid w:val="097B41C8"/>
    <w:rsid w:val="097D1872"/>
    <w:rsid w:val="09823515"/>
    <w:rsid w:val="09A42169"/>
    <w:rsid w:val="09AF2373"/>
    <w:rsid w:val="09C84ED3"/>
    <w:rsid w:val="09F33C46"/>
    <w:rsid w:val="09F77876"/>
    <w:rsid w:val="0A0C5A96"/>
    <w:rsid w:val="0A2A768E"/>
    <w:rsid w:val="0A3B3C06"/>
    <w:rsid w:val="0A466A41"/>
    <w:rsid w:val="0A570F70"/>
    <w:rsid w:val="0A5B7D15"/>
    <w:rsid w:val="0A5E16A3"/>
    <w:rsid w:val="0A602146"/>
    <w:rsid w:val="0A6A44EC"/>
    <w:rsid w:val="0A7809B7"/>
    <w:rsid w:val="0A896457"/>
    <w:rsid w:val="0A8A693C"/>
    <w:rsid w:val="0A97236A"/>
    <w:rsid w:val="0A99092D"/>
    <w:rsid w:val="0AA51080"/>
    <w:rsid w:val="0AA72E75"/>
    <w:rsid w:val="0AB80AEB"/>
    <w:rsid w:val="0AB85257"/>
    <w:rsid w:val="0ACC485F"/>
    <w:rsid w:val="0AD731CB"/>
    <w:rsid w:val="0AE20526"/>
    <w:rsid w:val="0B0C40B2"/>
    <w:rsid w:val="0B140280"/>
    <w:rsid w:val="0B1810EF"/>
    <w:rsid w:val="0B246449"/>
    <w:rsid w:val="0B260413"/>
    <w:rsid w:val="0B352F5D"/>
    <w:rsid w:val="0B445AA4"/>
    <w:rsid w:val="0B7B37EB"/>
    <w:rsid w:val="0B925AA8"/>
    <w:rsid w:val="0B984E94"/>
    <w:rsid w:val="0BAB25C9"/>
    <w:rsid w:val="0BAE21B6"/>
    <w:rsid w:val="0BAF665A"/>
    <w:rsid w:val="0BB275A6"/>
    <w:rsid w:val="0BB91DF1"/>
    <w:rsid w:val="0BCB4B16"/>
    <w:rsid w:val="0BD240F7"/>
    <w:rsid w:val="0BD31C1D"/>
    <w:rsid w:val="0BE62205"/>
    <w:rsid w:val="0BF92B66"/>
    <w:rsid w:val="0C115BEF"/>
    <w:rsid w:val="0C2B0B3A"/>
    <w:rsid w:val="0C3B4D0A"/>
    <w:rsid w:val="0C3E38D0"/>
    <w:rsid w:val="0C45359F"/>
    <w:rsid w:val="0C68338A"/>
    <w:rsid w:val="0C70493E"/>
    <w:rsid w:val="0C7A124E"/>
    <w:rsid w:val="0C822ACA"/>
    <w:rsid w:val="0C946488"/>
    <w:rsid w:val="0CAB21EE"/>
    <w:rsid w:val="0CAC4948"/>
    <w:rsid w:val="0CB0538F"/>
    <w:rsid w:val="0CB70393"/>
    <w:rsid w:val="0CBB0F79"/>
    <w:rsid w:val="0CBB2DDD"/>
    <w:rsid w:val="0CCE0642"/>
    <w:rsid w:val="0CE56A55"/>
    <w:rsid w:val="0CEF0CD8"/>
    <w:rsid w:val="0CF93490"/>
    <w:rsid w:val="0CF956B3"/>
    <w:rsid w:val="0CFA3905"/>
    <w:rsid w:val="0D0429D6"/>
    <w:rsid w:val="0D046532"/>
    <w:rsid w:val="0D1954AC"/>
    <w:rsid w:val="0D1F336B"/>
    <w:rsid w:val="0D200E92"/>
    <w:rsid w:val="0D2C7836"/>
    <w:rsid w:val="0D31309F"/>
    <w:rsid w:val="0D396D82"/>
    <w:rsid w:val="0D3F1CF7"/>
    <w:rsid w:val="0D4402D3"/>
    <w:rsid w:val="0D447276"/>
    <w:rsid w:val="0D466B4A"/>
    <w:rsid w:val="0D5374B9"/>
    <w:rsid w:val="0D5C54A5"/>
    <w:rsid w:val="0D624FA8"/>
    <w:rsid w:val="0D6E7E4F"/>
    <w:rsid w:val="0D7E4CC4"/>
    <w:rsid w:val="0D9B4B4C"/>
    <w:rsid w:val="0D9F3011"/>
    <w:rsid w:val="0DC34AA9"/>
    <w:rsid w:val="0DD46C7B"/>
    <w:rsid w:val="0DD67766"/>
    <w:rsid w:val="0DDA3736"/>
    <w:rsid w:val="0DDC6E3D"/>
    <w:rsid w:val="0DF052B3"/>
    <w:rsid w:val="0E01691E"/>
    <w:rsid w:val="0E303356"/>
    <w:rsid w:val="0E3C1CFB"/>
    <w:rsid w:val="0E430BBB"/>
    <w:rsid w:val="0E4B0853"/>
    <w:rsid w:val="0E59465B"/>
    <w:rsid w:val="0E6800DA"/>
    <w:rsid w:val="0E731448"/>
    <w:rsid w:val="0E745939"/>
    <w:rsid w:val="0E9953A0"/>
    <w:rsid w:val="0EA37FCC"/>
    <w:rsid w:val="0EA53D44"/>
    <w:rsid w:val="0EA77ABC"/>
    <w:rsid w:val="0EB6623E"/>
    <w:rsid w:val="0EB66783"/>
    <w:rsid w:val="0EB86C56"/>
    <w:rsid w:val="0EC73CBB"/>
    <w:rsid w:val="0ED40186"/>
    <w:rsid w:val="0EDC703A"/>
    <w:rsid w:val="0EDF7256"/>
    <w:rsid w:val="0EE83D6C"/>
    <w:rsid w:val="0EE85080"/>
    <w:rsid w:val="0EEE550D"/>
    <w:rsid w:val="0F18170A"/>
    <w:rsid w:val="0F274759"/>
    <w:rsid w:val="0F2A5DFB"/>
    <w:rsid w:val="0F3570A3"/>
    <w:rsid w:val="0F474BA3"/>
    <w:rsid w:val="0F601A19"/>
    <w:rsid w:val="0F6063AF"/>
    <w:rsid w:val="0F670FFA"/>
    <w:rsid w:val="0F7D081D"/>
    <w:rsid w:val="0F8605B0"/>
    <w:rsid w:val="0F932761"/>
    <w:rsid w:val="0FAC4C5F"/>
    <w:rsid w:val="0FB3724D"/>
    <w:rsid w:val="0FDF48E7"/>
    <w:rsid w:val="0FE254EF"/>
    <w:rsid w:val="0FE96BFE"/>
    <w:rsid w:val="0FF5D091"/>
    <w:rsid w:val="0FF73826"/>
    <w:rsid w:val="0FFF663B"/>
    <w:rsid w:val="10134CDE"/>
    <w:rsid w:val="102C5B1A"/>
    <w:rsid w:val="102D2243"/>
    <w:rsid w:val="10365E2E"/>
    <w:rsid w:val="10394744"/>
    <w:rsid w:val="105B0B5E"/>
    <w:rsid w:val="105B405A"/>
    <w:rsid w:val="105E064F"/>
    <w:rsid w:val="10634BF3"/>
    <w:rsid w:val="10655A74"/>
    <w:rsid w:val="10661611"/>
    <w:rsid w:val="10686DD7"/>
    <w:rsid w:val="10792762"/>
    <w:rsid w:val="10795E9B"/>
    <w:rsid w:val="10813049"/>
    <w:rsid w:val="10857989"/>
    <w:rsid w:val="108B0D18"/>
    <w:rsid w:val="108B4148"/>
    <w:rsid w:val="10B0301F"/>
    <w:rsid w:val="10B40C48"/>
    <w:rsid w:val="10DB1C9F"/>
    <w:rsid w:val="10EA0134"/>
    <w:rsid w:val="10FB7C09"/>
    <w:rsid w:val="111B2557"/>
    <w:rsid w:val="112A3AAF"/>
    <w:rsid w:val="1130036A"/>
    <w:rsid w:val="113F222E"/>
    <w:rsid w:val="116E61A6"/>
    <w:rsid w:val="117D68B3"/>
    <w:rsid w:val="11933975"/>
    <w:rsid w:val="119473B4"/>
    <w:rsid w:val="119F4A7B"/>
    <w:rsid w:val="11C113C0"/>
    <w:rsid w:val="11CF6607"/>
    <w:rsid w:val="11D42AA6"/>
    <w:rsid w:val="11DC5CCF"/>
    <w:rsid w:val="11E20E0C"/>
    <w:rsid w:val="11E60541"/>
    <w:rsid w:val="11E626AA"/>
    <w:rsid w:val="11E64EC6"/>
    <w:rsid w:val="11FE3E97"/>
    <w:rsid w:val="1209283C"/>
    <w:rsid w:val="12220029"/>
    <w:rsid w:val="123376EC"/>
    <w:rsid w:val="12431D83"/>
    <w:rsid w:val="12437AFC"/>
    <w:rsid w:val="12522CB6"/>
    <w:rsid w:val="125B755A"/>
    <w:rsid w:val="125C6E10"/>
    <w:rsid w:val="12723F3D"/>
    <w:rsid w:val="12771554"/>
    <w:rsid w:val="12820336"/>
    <w:rsid w:val="128B66A0"/>
    <w:rsid w:val="12AA7B7B"/>
    <w:rsid w:val="12D149BF"/>
    <w:rsid w:val="12D65CA8"/>
    <w:rsid w:val="12E0359D"/>
    <w:rsid w:val="12E91C37"/>
    <w:rsid w:val="12FC6E07"/>
    <w:rsid w:val="13000F86"/>
    <w:rsid w:val="13021765"/>
    <w:rsid w:val="130D18FD"/>
    <w:rsid w:val="130F4553"/>
    <w:rsid w:val="13160D6D"/>
    <w:rsid w:val="13242E4C"/>
    <w:rsid w:val="13426006"/>
    <w:rsid w:val="13441D7E"/>
    <w:rsid w:val="13623D17"/>
    <w:rsid w:val="1369544C"/>
    <w:rsid w:val="137139FA"/>
    <w:rsid w:val="1373154F"/>
    <w:rsid w:val="13732C15"/>
    <w:rsid w:val="137B2173"/>
    <w:rsid w:val="137FA8DD"/>
    <w:rsid w:val="138A5087"/>
    <w:rsid w:val="13951544"/>
    <w:rsid w:val="139B74C4"/>
    <w:rsid w:val="13A1291C"/>
    <w:rsid w:val="13CE1647"/>
    <w:rsid w:val="13D76995"/>
    <w:rsid w:val="13DA0C71"/>
    <w:rsid w:val="13E90B4A"/>
    <w:rsid w:val="13F57F6C"/>
    <w:rsid w:val="14096B23"/>
    <w:rsid w:val="140E7C96"/>
    <w:rsid w:val="14207760"/>
    <w:rsid w:val="14263231"/>
    <w:rsid w:val="142C0FF0"/>
    <w:rsid w:val="14362E80"/>
    <w:rsid w:val="144E5BAF"/>
    <w:rsid w:val="145911D3"/>
    <w:rsid w:val="145B077C"/>
    <w:rsid w:val="14691987"/>
    <w:rsid w:val="146A5583"/>
    <w:rsid w:val="146A69C0"/>
    <w:rsid w:val="14721A72"/>
    <w:rsid w:val="147D7C24"/>
    <w:rsid w:val="148E53CB"/>
    <w:rsid w:val="148F7029"/>
    <w:rsid w:val="14904B4F"/>
    <w:rsid w:val="149363ED"/>
    <w:rsid w:val="149A5B83"/>
    <w:rsid w:val="14BE346A"/>
    <w:rsid w:val="14C64A14"/>
    <w:rsid w:val="14CF4106"/>
    <w:rsid w:val="14D17C89"/>
    <w:rsid w:val="14D83808"/>
    <w:rsid w:val="14D94748"/>
    <w:rsid w:val="14FE7D0A"/>
    <w:rsid w:val="15153347"/>
    <w:rsid w:val="1528122B"/>
    <w:rsid w:val="15293404"/>
    <w:rsid w:val="152D2403"/>
    <w:rsid w:val="15334DC3"/>
    <w:rsid w:val="15347304"/>
    <w:rsid w:val="15392B59"/>
    <w:rsid w:val="153B4ABB"/>
    <w:rsid w:val="15567B46"/>
    <w:rsid w:val="15610299"/>
    <w:rsid w:val="1569013A"/>
    <w:rsid w:val="15897F1C"/>
    <w:rsid w:val="1597466A"/>
    <w:rsid w:val="15A52514"/>
    <w:rsid w:val="15BC1451"/>
    <w:rsid w:val="15C70A44"/>
    <w:rsid w:val="15E05662"/>
    <w:rsid w:val="15F12E86"/>
    <w:rsid w:val="16027A14"/>
    <w:rsid w:val="160C1181"/>
    <w:rsid w:val="162A366D"/>
    <w:rsid w:val="16322361"/>
    <w:rsid w:val="1633052E"/>
    <w:rsid w:val="163F247B"/>
    <w:rsid w:val="164B3423"/>
    <w:rsid w:val="16610551"/>
    <w:rsid w:val="167A7865"/>
    <w:rsid w:val="16817906"/>
    <w:rsid w:val="16B46578"/>
    <w:rsid w:val="16C3745D"/>
    <w:rsid w:val="16C52AF8"/>
    <w:rsid w:val="16CF7BB0"/>
    <w:rsid w:val="16D8450A"/>
    <w:rsid w:val="16E62092"/>
    <w:rsid w:val="17033CFE"/>
    <w:rsid w:val="171D5762"/>
    <w:rsid w:val="171F4A71"/>
    <w:rsid w:val="1732767F"/>
    <w:rsid w:val="17361B83"/>
    <w:rsid w:val="17396DCE"/>
    <w:rsid w:val="173F4503"/>
    <w:rsid w:val="174A0D2D"/>
    <w:rsid w:val="176431CF"/>
    <w:rsid w:val="178A03DE"/>
    <w:rsid w:val="17A322AC"/>
    <w:rsid w:val="17A4103D"/>
    <w:rsid w:val="17B01E78"/>
    <w:rsid w:val="17C70A77"/>
    <w:rsid w:val="17EC24A9"/>
    <w:rsid w:val="17EE22B8"/>
    <w:rsid w:val="17FD60AF"/>
    <w:rsid w:val="180C2F5C"/>
    <w:rsid w:val="180D7774"/>
    <w:rsid w:val="184B770B"/>
    <w:rsid w:val="184F0D8B"/>
    <w:rsid w:val="186A4456"/>
    <w:rsid w:val="18822A00"/>
    <w:rsid w:val="188D6BE7"/>
    <w:rsid w:val="18A72F8C"/>
    <w:rsid w:val="18B169F7"/>
    <w:rsid w:val="18C46036"/>
    <w:rsid w:val="18D25736"/>
    <w:rsid w:val="18E667DE"/>
    <w:rsid w:val="19045FB6"/>
    <w:rsid w:val="190B1AB7"/>
    <w:rsid w:val="190E1E92"/>
    <w:rsid w:val="190E4E8A"/>
    <w:rsid w:val="191E2C88"/>
    <w:rsid w:val="191E47AE"/>
    <w:rsid w:val="19213D00"/>
    <w:rsid w:val="192E19B5"/>
    <w:rsid w:val="193E2DCB"/>
    <w:rsid w:val="194A5C14"/>
    <w:rsid w:val="194B4539"/>
    <w:rsid w:val="19524450"/>
    <w:rsid w:val="195A7AB6"/>
    <w:rsid w:val="19677F5C"/>
    <w:rsid w:val="196D6F0D"/>
    <w:rsid w:val="198729C4"/>
    <w:rsid w:val="199367A5"/>
    <w:rsid w:val="199FA76B"/>
    <w:rsid w:val="19A15F01"/>
    <w:rsid w:val="19A170D7"/>
    <w:rsid w:val="19A8293B"/>
    <w:rsid w:val="19AA0461"/>
    <w:rsid w:val="19B1216E"/>
    <w:rsid w:val="19C137C8"/>
    <w:rsid w:val="19D63004"/>
    <w:rsid w:val="19ED121F"/>
    <w:rsid w:val="19EF3664"/>
    <w:rsid w:val="1A0256C7"/>
    <w:rsid w:val="1A0F6EBC"/>
    <w:rsid w:val="1A1D6E85"/>
    <w:rsid w:val="1A3C3E2A"/>
    <w:rsid w:val="1A3D12D5"/>
    <w:rsid w:val="1A571CAA"/>
    <w:rsid w:val="1A680537"/>
    <w:rsid w:val="1A8A3DEE"/>
    <w:rsid w:val="1A8E78C8"/>
    <w:rsid w:val="1A914D5C"/>
    <w:rsid w:val="1A9609E5"/>
    <w:rsid w:val="1A9A2283"/>
    <w:rsid w:val="1A9B5FFB"/>
    <w:rsid w:val="1AAE5E28"/>
    <w:rsid w:val="1AC27A2C"/>
    <w:rsid w:val="1AD46734"/>
    <w:rsid w:val="1AD87250"/>
    <w:rsid w:val="1ADF413A"/>
    <w:rsid w:val="1AED4941"/>
    <w:rsid w:val="1AED6666"/>
    <w:rsid w:val="1AF264E1"/>
    <w:rsid w:val="1AF745BC"/>
    <w:rsid w:val="1B155DAE"/>
    <w:rsid w:val="1B417F7A"/>
    <w:rsid w:val="1B5508A0"/>
    <w:rsid w:val="1B5E1503"/>
    <w:rsid w:val="1B5E3AB8"/>
    <w:rsid w:val="1B822B4E"/>
    <w:rsid w:val="1B826FFA"/>
    <w:rsid w:val="1B834AAE"/>
    <w:rsid w:val="1B9637E8"/>
    <w:rsid w:val="1BB235FD"/>
    <w:rsid w:val="1BB9498B"/>
    <w:rsid w:val="1BC947C4"/>
    <w:rsid w:val="1BCA47EE"/>
    <w:rsid w:val="1BD27C70"/>
    <w:rsid w:val="1BD96DDB"/>
    <w:rsid w:val="1BDB6FF7"/>
    <w:rsid w:val="1C00080C"/>
    <w:rsid w:val="1C0F6CA1"/>
    <w:rsid w:val="1C2344FA"/>
    <w:rsid w:val="1C2529FF"/>
    <w:rsid w:val="1C27223D"/>
    <w:rsid w:val="1C2C33AF"/>
    <w:rsid w:val="1C427076"/>
    <w:rsid w:val="1C522596"/>
    <w:rsid w:val="1C5648D0"/>
    <w:rsid w:val="1C5B5A42"/>
    <w:rsid w:val="1C6F14EE"/>
    <w:rsid w:val="1C735482"/>
    <w:rsid w:val="1C9211BE"/>
    <w:rsid w:val="1CA23671"/>
    <w:rsid w:val="1CA266AD"/>
    <w:rsid w:val="1CAA52F6"/>
    <w:rsid w:val="1CB425E3"/>
    <w:rsid w:val="1CB43DBF"/>
    <w:rsid w:val="1CC5619F"/>
    <w:rsid w:val="1CD31A7D"/>
    <w:rsid w:val="1CEF358F"/>
    <w:rsid w:val="1CF7709A"/>
    <w:rsid w:val="1D0B56BA"/>
    <w:rsid w:val="1D174D30"/>
    <w:rsid w:val="1D274825"/>
    <w:rsid w:val="1D2B18B9"/>
    <w:rsid w:val="1D2E12C2"/>
    <w:rsid w:val="1D44297A"/>
    <w:rsid w:val="1D552DD9"/>
    <w:rsid w:val="1D734FE3"/>
    <w:rsid w:val="1D7414B2"/>
    <w:rsid w:val="1D815FCC"/>
    <w:rsid w:val="1D927B8A"/>
    <w:rsid w:val="1D9D43F0"/>
    <w:rsid w:val="1DAF2AC9"/>
    <w:rsid w:val="1DB26E14"/>
    <w:rsid w:val="1DC42A0B"/>
    <w:rsid w:val="1DCA2E80"/>
    <w:rsid w:val="1DCF4116"/>
    <w:rsid w:val="1DEC593A"/>
    <w:rsid w:val="1DFB6F31"/>
    <w:rsid w:val="1E024641"/>
    <w:rsid w:val="1E03038B"/>
    <w:rsid w:val="1E25455A"/>
    <w:rsid w:val="1E2F362A"/>
    <w:rsid w:val="1E340C41"/>
    <w:rsid w:val="1E403142"/>
    <w:rsid w:val="1E533D63"/>
    <w:rsid w:val="1E6B7566"/>
    <w:rsid w:val="1E781388"/>
    <w:rsid w:val="1E851C27"/>
    <w:rsid w:val="1E923BA9"/>
    <w:rsid w:val="1E9B2886"/>
    <w:rsid w:val="1EA47B74"/>
    <w:rsid w:val="1EAE454F"/>
    <w:rsid w:val="1EB234A9"/>
    <w:rsid w:val="1EB25197"/>
    <w:rsid w:val="1EC51899"/>
    <w:rsid w:val="1ECC5479"/>
    <w:rsid w:val="1EEF7754"/>
    <w:rsid w:val="1EF46E21"/>
    <w:rsid w:val="1F18526B"/>
    <w:rsid w:val="1F237321"/>
    <w:rsid w:val="1F27593E"/>
    <w:rsid w:val="1F394761"/>
    <w:rsid w:val="1F4D21A9"/>
    <w:rsid w:val="1F4F2B8D"/>
    <w:rsid w:val="1F6A2B6C"/>
    <w:rsid w:val="1F902E99"/>
    <w:rsid w:val="1F9BB067"/>
    <w:rsid w:val="1FA31BDA"/>
    <w:rsid w:val="1FB47A5D"/>
    <w:rsid w:val="1FCF0C21"/>
    <w:rsid w:val="1FF42436"/>
    <w:rsid w:val="1FFF00F8"/>
    <w:rsid w:val="200655C0"/>
    <w:rsid w:val="200E78F3"/>
    <w:rsid w:val="20126D60"/>
    <w:rsid w:val="201C198C"/>
    <w:rsid w:val="20266068"/>
    <w:rsid w:val="20717F2A"/>
    <w:rsid w:val="207417C9"/>
    <w:rsid w:val="207A09B0"/>
    <w:rsid w:val="2094622D"/>
    <w:rsid w:val="209C776B"/>
    <w:rsid w:val="20AA3CDC"/>
    <w:rsid w:val="20B23D8A"/>
    <w:rsid w:val="20C56C00"/>
    <w:rsid w:val="20D54766"/>
    <w:rsid w:val="20D626D7"/>
    <w:rsid w:val="20DD55C0"/>
    <w:rsid w:val="20F546B7"/>
    <w:rsid w:val="20F86993"/>
    <w:rsid w:val="20FD531A"/>
    <w:rsid w:val="21037F10"/>
    <w:rsid w:val="213760C2"/>
    <w:rsid w:val="213D22F1"/>
    <w:rsid w:val="213F6706"/>
    <w:rsid w:val="2165078C"/>
    <w:rsid w:val="21667363"/>
    <w:rsid w:val="216A647F"/>
    <w:rsid w:val="217557F8"/>
    <w:rsid w:val="218B0B78"/>
    <w:rsid w:val="21A63C04"/>
    <w:rsid w:val="21A734D8"/>
    <w:rsid w:val="21C8784B"/>
    <w:rsid w:val="21CF315A"/>
    <w:rsid w:val="21D5680B"/>
    <w:rsid w:val="21F030D1"/>
    <w:rsid w:val="220646A2"/>
    <w:rsid w:val="22180E56"/>
    <w:rsid w:val="221C2372"/>
    <w:rsid w:val="2221328A"/>
    <w:rsid w:val="22235254"/>
    <w:rsid w:val="22266AF2"/>
    <w:rsid w:val="22274D44"/>
    <w:rsid w:val="222F3BF9"/>
    <w:rsid w:val="2245341D"/>
    <w:rsid w:val="22462A8A"/>
    <w:rsid w:val="22543B20"/>
    <w:rsid w:val="22574EFE"/>
    <w:rsid w:val="22631AF5"/>
    <w:rsid w:val="22696FF6"/>
    <w:rsid w:val="22916066"/>
    <w:rsid w:val="22993768"/>
    <w:rsid w:val="229B431D"/>
    <w:rsid w:val="229F2035"/>
    <w:rsid w:val="229F66F7"/>
    <w:rsid w:val="22B67E76"/>
    <w:rsid w:val="22B7264E"/>
    <w:rsid w:val="22B73217"/>
    <w:rsid w:val="22C87E82"/>
    <w:rsid w:val="22D03538"/>
    <w:rsid w:val="22D12F02"/>
    <w:rsid w:val="22E03145"/>
    <w:rsid w:val="22E83DA8"/>
    <w:rsid w:val="22E9024C"/>
    <w:rsid w:val="23006025"/>
    <w:rsid w:val="230102D9"/>
    <w:rsid w:val="23052BAC"/>
    <w:rsid w:val="230B7162"/>
    <w:rsid w:val="230C1C0F"/>
    <w:rsid w:val="231A1DBF"/>
    <w:rsid w:val="232748D0"/>
    <w:rsid w:val="23353491"/>
    <w:rsid w:val="23445482"/>
    <w:rsid w:val="23517B9F"/>
    <w:rsid w:val="23531B69"/>
    <w:rsid w:val="235F43F3"/>
    <w:rsid w:val="23664217"/>
    <w:rsid w:val="236B0C61"/>
    <w:rsid w:val="238E2BA1"/>
    <w:rsid w:val="23915FA1"/>
    <w:rsid w:val="23A14774"/>
    <w:rsid w:val="23A5639B"/>
    <w:rsid w:val="23A67435"/>
    <w:rsid w:val="23B61558"/>
    <w:rsid w:val="23BC770E"/>
    <w:rsid w:val="23C9141B"/>
    <w:rsid w:val="23FE3883"/>
    <w:rsid w:val="23FF75FB"/>
    <w:rsid w:val="240708CD"/>
    <w:rsid w:val="240F5A90"/>
    <w:rsid w:val="24106476"/>
    <w:rsid w:val="24162D28"/>
    <w:rsid w:val="24293F8F"/>
    <w:rsid w:val="243674C1"/>
    <w:rsid w:val="24380CC8"/>
    <w:rsid w:val="243A63CC"/>
    <w:rsid w:val="243C084F"/>
    <w:rsid w:val="246C10ED"/>
    <w:rsid w:val="247E49C4"/>
    <w:rsid w:val="24904744"/>
    <w:rsid w:val="249F3FA9"/>
    <w:rsid w:val="24C745BD"/>
    <w:rsid w:val="24D83DB6"/>
    <w:rsid w:val="2505221B"/>
    <w:rsid w:val="25066BAB"/>
    <w:rsid w:val="25181323"/>
    <w:rsid w:val="251913F0"/>
    <w:rsid w:val="251F222D"/>
    <w:rsid w:val="25235572"/>
    <w:rsid w:val="252F6C1F"/>
    <w:rsid w:val="25333A00"/>
    <w:rsid w:val="25457290"/>
    <w:rsid w:val="25561143"/>
    <w:rsid w:val="25676DE9"/>
    <w:rsid w:val="256F64AA"/>
    <w:rsid w:val="257B7047"/>
    <w:rsid w:val="2584600A"/>
    <w:rsid w:val="25AC5561"/>
    <w:rsid w:val="25B43E15"/>
    <w:rsid w:val="25B44CD6"/>
    <w:rsid w:val="25D53C59"/>
    <w:rsid w:val="25DF401E"/>
    <w:rsid w:val="25DF4AD8"/>
    <w:rsid w:val="25E75A1D"/>
    <w:rsid w:val="25E76599"/>
    <w:rsid w:val="25F07BA6"/>
    <w:rsid w:val="25FA2770"/>
    <w:rsid w:val="25FC2044"/>
    <w:rsid w:val="26025181"/>
    <w:rsid w:val="260F2A28"/>
    <w:rsid w:val="26176E7E"/>
    <w:rsid w:val="26201D24"/>
    <w:rsid w:val="263107B3"/>
    <w:rsid w:val="26322643"/>
    <w:rsid w:val="263631A5"/>
    <w:rsid w:val="2637667A"/>
    <w:rsid w:val="26655E3B"/>
    <w:rsid w:val="268C3FB5"/>
    <w:rsid w:val="26912233"/>
    <w:rsid w:val="269F15EB"/>
    <w:rsid w:val="26A26863"/>
    <w:rsid w:val="26AA7CF2"/>
    <w:rsid w:val="26BE19EF"/>
    <w:rsid w:val="26C143D2"/>
    <w:rsid w:val="26D7485F"/>
    <w:rsid w:val="26E24FAE"/>
    <w:rsid w:val="26EF739B"/>
    <w:rsid w:val="26F326F6"/>
    <w:rsid w:val="26F64CE5"/>
    <w:rsid w:val="26F7280B"/>
    <w:rsid w:val="26FD42C6"/>
    <w:rsid w:val="27167136"/>
    <w:rsid w:val="273048EF"/>
    <w:rsid w:val="274A5031"/>
    <w:rsid w:val="27545EB0"/>
    <w:rsid w:val="2769150F"/>
    <w:rsid w:val="27734588"/>
    <w:rsid w:val="27781B9E"/>
    <w:rsid w:val="277F4CDB"/>
    <w:rsid w:val="2780146B"/>
    <w:rsid w:val="2786250D"/>
    <w:rsid w:val="278B2E18"/>
    <w:rsid w:val="27914CC8"/>
    <w:rsid w:val="27985D9D"/>
    <w:rsid w:val="27A42993"/>
    <w:rsid w:val="27AA2337"/>
    <w:rsid w:val="27AC7A9A"/>
    <w:rsid w:val="27C923FA"/>
    <w:rsid w:val="27CF7A19"/>
    <w:rsid w:val="27D019DA"/>
    <w:rsid w:val="27D52687"/>
    <w:rsid w:val="27D6739B"/>
    <w:rsid w:val="27DA0163"/>
    <w:rsid w:val="27E45F94"/>
    <w:rsid w:val="27F373E3"/>
    <w:rsid w:val="28131C63"/>
    <w:rsid w:val="28150C75"/>
    <w:rsid w:val="282464EB"/>
    <w:rsid w:val="282F222C"/>
    <w:rsid w:val="28626D75"/>
    <w:rsid w:val="286F3F95"/>
    <w:rsid w:val="287B7F79"/>
    <w:rsid w:val="28821E43"/>
    <w:rsid w:val="28916BE7"/>
    <w:rsid w:val="28A4024E"/>
    <w:rsid w:val="28B135BA"/>
    <w:rsid w:val="28B9528A"/>
    <w:rsid w:val="28BC481A"/>
    <w:rsid w:val="28C01A4F"/>
    <w:rsid w:val="28C1259F"/>
    <w:rsid w:val="28D92B11"/>
    <w:rsid w:val="28F0032A"/>
    <w:rsid w:val="28F24E95"/>
    <w:rsid w:val="28F434A6"/>
    <w:rsid w:val="28F93763"/>
    <w:rsid w:val="28FC23EA"/>
    <w:rsid w:val="29053273"/>
    <w:rsid w:val="290C61FF"/>
    <w:rsid w:val="291458F7"/>
    <w:rsid w:val="291E2E7B"/>
    <w:rsid w:val="29290FE4"/>
    <w:rsid w:val="292F7188"/>
    <w:rsid w:val="29376315"/>
    <w:rsid w:val="29501633"/>
    <w:rsid w:val="29567BFF"/>
    <w:rsid w:val="295F5B00"/>
    <w:rsid w:val="2973086F"/>
    <w:rsid w:val="298249CF"/>
    <w:rsid w:val="29980BDA"/>
    <w:rsid w:val="29A0362E"/>
    <w:rsid w:val="29AA3515"/>
    <w:rsid w:val="29AC50CB"/>
    <w:rsid w:val="29C25353"/>
    <w:rsid w:val="29CD4DD1"/>
    <w:rsid w:val="29D62BAC"/>
    <w:rsid w:val="29D86924"/>
    <w:rsid w:val="29DA6B40"/>
    <w:rsid w:val="29ED6BDD"/>
    <w:rsid w:val="29EF3D8C"/>
    <w:rsid w:val="29FA073B"/>
    <w:rsid w:val="2A042187"/>
    <w:rsid w:val="2A133DC8"/>
    <w:rsid w:val="2A1A1E6D"/>
    <w:rsid w:val="2A200E38"/>
    <w:rsid w:val="2A350021"/>
    <w:rsid w:val="2A431C41"/>
    <w:rsid w:val="2A445BEE"/>
    <w:rsid w:val="2A5341FD"/>
    <w:rsid w:val="2A5A1A2F"/>
    <w:rsid w:val="2A602202"/>
    <w:rsid w:val="2A6237E6"/>
    <w:rsid w:val="2A777F01"/>
    <w:rsid w:val="2A7FF3BA"/>
    <w:rsid w:val="2A85159C"/>
    <w:rsid w:val="2A97058D"/>
    <w:rsid w:val="2AA1533C"/>
    <w:rsid w:val="2AAA7F7A"/>
    <w:rsid w:val="2ABE1FBE"/>
    <w:rsid w:val="2AC670C5"/>
    <w:rsid w:val="2ACB0237"/>
    <w:rsid w:val="2B004385"/>
    <w:rsid w:val="2B033E75"/>
    <w:rsid w:val="2B0674C1"/>
    <w:rsid w:val="2B1716CE"/>
    <w:rsid w:val="2B353322"/>
    <w:rsid w:val="2B37239C"/>
    <w:rsid w:val="2B3D7387"/>
    <w:rsid w:val="2B3E6C5B"/>
    <w:rsid w:val="2B5400F2"/>
    <w:rsid w:val="2B6A63EC"/>
    <w:rsid w:val="2B7348A5"/>
    <w:rsid w:val="2B94791E"/>
    <w:rsid w:val="2BB9468C"/>
    <w:rsid w:val="2BC2163A"/>
    <w:rsid w:val="2BC51EC5"/>
    <w:rsid w:val="2BD55811"/>
    <w:rsid w:val="2BD73CFD"/>
    <w:rsid w:val="2C155109"/>
    <w:rsid w:val="2C2422F5"/>
    <w:rsid w:val="2C2474F0"/>
    <w:rsid w:val="2C2A71DF"/>
    <w:rsid w:val="2C3562B0"/>
    <w:rsid w:val="2C372028"/>
    <w:rsid w:val="2C41042A"/>
    <w:rsid w:val="2C642FEA"/>
    <w:rsid w:val="2C6B0F62"/>
    <w:rsid w:val="2C6F14EE"/>
    <w:rsid w:val="2C7C04FF"/>
    <w:rsid w:val="2C882884"/>
    <w:rsid w:val="2C892158"/>
    <w:rsid w:val="2C8F2CCE"/>
    <w:rsid w:val="2C9C632F"/>
    <w:rsid w:val="2CB71165"/>
    <w:rsid w:val="2CC278F0"/>
    <w:rsid w:val="2CC7543A"/>
    <w:rsid w:val="2CCF5161"/>
    <w:rsid w:val="2CDA6E57"/>
    <w:rsid w:val="2D0D0C0E"/>
    <w:rsid w:val="2D546C0A"/>
    <w:rsid w:val="2D5B7F98"/>
    <w:rsid w:val="2D614E83"/>
    <w:rsid w:val="2D6D7CCB"/>
    <w:rsid w:val="2D6E5CBA"/>
    <w:rsid w:val="2D8017AD"/>
    <w:rsid w:val="2D9708A4"/>
    <w:rsid w:val="2DD077B2"/>
    <w:rsid w:val="2DF301D1"/>
    <w:rsid w:val="2DFC77E9"/>
    <w:rsid w:val="2E06340F"/>
    <w:rsid w:val="2E183793"/>
    <w:rsid w:val="2E1E4B22"/>
    <w:rsid w:val="2E220AB6"/>
    <w:rsid w:val="2E362C91"/>
    <w:rsid w:val="2E433D29"/>
    <w:rsid w:val="2E450CFC"/>
    <w:rsid w:val="2E615CCD"/>
    <w:rsid w:val="2E717347"/>
    <w:rsid w:val="2E9153AA"/>
    <w:rsid w:val="2EA35514"/>
    <w:rsid w:val="2EC01219"/>
    <w:rsid w:val="2EC34FDD"/>
    <w:rsid w:val="2EDFE9E8"/>
    <w:rsid w:val="2EF04710"/>
    <w:rsid w:val="2EF97A69"/>
    <w:rsid w:val="2F155F25"/>
    <w:rsid w:val="2F3445FD"/>
    <w:rsid w:val="2F37730B"/>
    <w:rsid w:val="2F4A02C4"/>
    <w:rsid w:val="2F4A1335"/>
    <w:rsid w:val="2F4D2835"/>
    <w:rsid w:val="2F7C41F6"/>
    <w:rsid w:val="2F827A5E"/>
    <w:rsid w:val="2F882261"/>
    <w:rsid w:val="2F8A6913"/>
    <w:rsid w:val="2F940B9B"/>
    <w:rsid w:val="2FAC3F69"/>
    <w:rsid w:val="2FAF6379"/>
    <w:rsid w:val="2FB83480"/>
    <w:rsid w:val="2FBE65BC"/>
    <w:rsid w:val="2FCE2B17"/>
    <w:rsid w:val="2FCF2577"/>
    <w:rsid w:val="2FE364D9"/>
    <w:rsid w:val="2FF11F73"/>
    <w:rsid w:val="2FF6EBD2"/>
    <w:rsid w:val="300761B5"/>
    <w:rsid w:val="30085A89"/>
    <w:rsid w:val="301E2414"/>
    <w:rsid w:val="302610FC"/>
    <w:rsid w:val="302E54F0"/>
    <w:rsid w:val="30403475"/>
    <w:rsid w:val="3043586B"/>
    <w:rsid w:val="30443CB5"/>
    <w:rsid w:val="304C5976"/>
    <w:rsid w:val="3058256D"/>
    <w:rsid w:val="305A38D0"/>
    <w:rsid w:val="306E648F"/>
    <w:rsid w:val="30766E97"/>
    <w:rsid w:val="308E41E1"/>
    <w:rsid w:val="309243C0"/>
    <w:rsid w:val="309511AA"/>
    <w:rsid w:val="309D2676"/>
    <w:rsid w:val="30A47610"/>
    <w:rsid w:val="30B33C47"/>
    <w:rsid w:val="30B71989"/>
    <w:rsid w:val="30C46588"/>
    <w:rsid w:val="30E33504"/>
    <w:rsid w:val="30F4201C"/>
    <w:rsid w:val="30F524B2"/>
    <w:rsid w:val="30FF4B22"/>
    <w:rsid w:val="310B6BF3"/>
    <w:rsid w:val="312B3FDA"/>
    <w:rsid w:val="3138414C"/>
    <w:rsid w:val="31501496"/>
    <w:rsid w:val="31532D34"/>
    <w:rsid w:val="315C727B"/>
    <w:rsid w:val="31666F0B"/>
    <w:rsid w:val="316B4522"/>
    <w:rsid w:val="316D0BA9"/>
    <w:rsid w:val="31A627B9"/>
    <w:rsid w:val="31A62D61"/>
    <w:rsid w:val="31BE28A4"/>
    <w:rsid w:val="31C630A7"/>
    <w:rsid w:val="31C9211B"/>
    <w:rsid w:val="31CC628B"/>
    <w:rsid w:val="31EB31CE"/>
    <w:rsid w:val="31F60A7B"/>
    <w:rsid w:val="31FC517A"/>
    <w:rsid w:val="32024E86"/>
    <w:rsid w:val="32075FF9"/>
    <w:rsid w:val="321A7A9C"/>
    <w:rsid w:val="32236C2E"/>
    <w:rsid w:val="32496611"/>
    <w:rsid w:val="32607DFF"/>
    <w:rsid w:val="3281224F"/>
    <w:rsid w:val="328F502D"/>
    <w:rsid w:val="329B2BE5"/>
    <w:rsid w:val="329E6B50"/>
    <w:rsid w:val="329F256E"/>
    <w:rsid w:val="329F32EA"/>
    <w:rsid w:val="32BB5035"/>
    <w:rsid w:val="32C43EEA"/>
    <w:rsid w:val="32C65EB4"/>
    <w:rsid w:val="32EB0B99"/>
    <w:rsid w:val="32EE540A"/>
    <w:rsid w:val="33154745"/>
    <w:rsid w:val="331704BD"/>
    <w:rsid w:val="33237E07"/>
    <w:rsid w:val="33265EB1"/>
    <w:rsid w:val="3330332D"/>
    <w:rsid w:val="3332198B"/>
    <w:rsid w:val="333D443C"/>
    <w:rsid w:val="335A65FC"/>
    <w:rsid w:val="335A7075"/>
    <w:rsid w:val="335D7410"/>
    <w:rsid w:val="336D3EA4"/>
    <w:rsid w:val="33835B53"/>
    <w:rsid w:val="3384586B"/>
    <w:rsid w:val="33951EF8"/>
    <w:rsid w:val="339A10EE"/>
    <w:rsid w:val="339C1E4B"/>
    <w:rsid w:val="33A342A9"/>
    <w:rsid w:val="33AC6E70"/>
    <w:rsid w:val="33B66E47"/>
    <w:rsid w:val="33C64EB5"/>
    <w:rsid w:val="33D44600"/>
    <w:rsid w:val="33DB629F"/>
    <w:rsid w:val="33DC674E"/>
    <w:rsid w:val="33E74334"/>
    <w:rsid w:val="33EC6C5A"/>
    <w:rsid w:val="33EE1BA0"/>
    <w:rsid w:val="33F22CD8"/>
    <w:rsid w:val="33F9299F"/>
    <w:rsid w:val="33FE78CF"/>
    <w:rsid w:val="340622E0"/>
    <w:rsid w:val="34306838"/>
    <w:rsid w:val="34316ACF"/>
    <w:rsid w:val="343E641F"/>
    <w:rsid w:val="344468FB"/>
    <w:rsid w:val="344D4C35"/>
    <w:rsid w:val="34526541"/>
    <w:rsid w:val="3464195E"/>
    <w:rsid w:val="348854D0"/>
    <w:rsid w:val="34897199"/>
    <w:rsid w:val="34924BC9"/>
    <w:rsid w:val="349873DC"/>
    <w:rsid w:val="349879D5"/>
    <w:rsid w:val="34C3106B"/>
    <w:rsid w:val="34C74165"/>
    <w:rsid w:val="34E00D83"/>
    <w:rsid w:val="34E751DD"/>
    <w:rsid w:val="34E924AB"/>
    <w:rsid w:val="34EB5A9A"/>
    <w:rsid w:val="34F1756F"/>
    <w:rsid w:val="35066A3B"/>
    <w:rsid w:val="35270760"/>
    <w:rsid w:val="352F64C7"/>
    <w:rsid w:val="3532618A"/>
    <w:rsid w:val="35351167"/>
    <w:rsid w:val="353C7D87"/>
    <w:rsid w:val="355552CD"/>
    <w:rsid w:val="35615866"/>
    <w:rsid w:val="35703BE5"/>
    <w:rsid w:val="358A409C"/>
    <w:rsid w:val="35A57EBA"/>
    <w:rsid w:val="35BF6BEA"/>
    <w:rsid w:val="35C012AA"/>
    <w:rsid w:val="35C249F4"/>
    <w:rsid w:val="35D17237"/>
    <w:rsid w:val="35F30AB5"/>
    <w:rsid w:val="35FC3D7E"/>
    <w:rsid w:val="36145188"/>
    <w:rsid w:val="362058DB"/>
    <w:rsid w:val="36246BDF"/>
    <w:rsid w:val="36370634"/>
    <w:rsid w:val="363932F5"/>
    <w:rsid w:val="363D4FB8"/>
    <w:rsid w:val="363D6170"/>
    <w:rsid w:val="3642677E"/>
    <w:rsid w:val="36525CB0"/>
    <w:rsid w:val="3654343F"/>
    <w:rsid w:val="36570DD6"/>
    <w:rsid w:val="36590DED"/>
    <w:rsid w:val="367125DA"/>
    <w:rsid w:val="36760F87"/>
    <w:rsid w:val="36AF6603"/>
    <w:rsid w:val="36B87D9D"/>
    <w:rsid w:val="36C4095C"/>
    <w:rsid w:val="36C546D4"/>
    <w:rsid w:val="36D528EF"/>
    <w:rsid w:val="36F32FEF"/>
    <w:rsid w:val="37205FF6"/>
    <w:rsid w:val="372633C5"/>
    <w:rsid w:val="374E46CA"/>
    <w:rsid w:val="37602480"/>
    <w:rsid w:val="376676D7"/>
    <w:rsid w:val="3769770F"/>
    <w:rsid w:val="37865C12"/>
    <w:rsid w:val="379876F3"/>
    <w:rsid w:val="379A16BD"/>
    <w:rsid w:val="379F45EE"/>
    <w:rsid w:val="37CD1A92"/>
    <w:rsid w:val="37CE6DD4"/>
    <w:rsid w:val="37E06FFE"/>
    <w:rsid w:val="37E152F6"/>
    <w:rsid w:val="38233460"/>
    <w:rsid w:val="38287C31"/>
    <w:rsid w:val="3832770C"/>
    <w:rsid w:val="38387EA9"/>
    <w:rsid w:val="383907FA"/>
    <w:rsid w:val="383B1F8D"/>
    <w:rsid w:val="384855BD"/>
    <w:rsid w:val="386027CC"/>
    <w:rsid w:val="38624A88"/>
    <w:rsid w:val="38664899"/>
    <w:rsid w:val="386C12AB"/>
    <w:rsid w:val="38960E58"/>
    <w:rsid w:val="38A670D3"/>
    <w:rsid w:val="38AE714C"/>
    <w:rsid w:val="38B1729A"/>
    <w:rsid w:val="38B60778"/>
    <w:rsid w:val="38BC5693"/>
    <w:rsid w:val="38DC3EDC"/>
    <w:rsid w:val="38E5695C"/>
    <w:rsid w:val="38E92202"/>
    <w:rsid w:val="38F8669B"/>
    <w:rsid w:val="38FA68B7"/>
    <w:rsid w:val="38FB98C4"/>
    <w:rsid w:val="38FF20BA"/>
    <w:rsid w:val="39096AFA"/>
    <w:rsid w:val="391B4A7F"/>
    <w:rsid w:val="39202096"/>
    <w:rsid w:val="39236141"/>
    <w:rsid w:val="39394B01"/>
    <w:rsid w:val="39403675"/>
    <w:rsid w:val="39561E39"/>
    <w:rsid w:val="396E2E01"/>
    <w:rsid w:val="39777F08"/>
    <w:rsid w:val="39874323"/>
    <w:rsid w:val="398B661E"/>
    <w:rsid w:val="3999642E"/>
    <w:rsid w:val="399A1E48"/>
    <w:rsid w:val="399B57E9"/>
    <w:rsid w:val="39A10E34"/>
    <w:rsid w:val="39A64349"/>
    <w:rsid w:val="39B62C55"/>
    <w:rsid w:val="39C03AB0"/>
    <w:rsid w:val="39CD5D7A"/>
    <w:rsid w:val="39D62E7E"/>
    <w:rsid w:val="39F50E2C"/>
    <w:rsid w:val="39F63BBE"/>
    <w:rsid w:val="3A241712"/>
    <w:rsid w:val="3A335905"/>
    <w:rsid w:val="3A47599D"/>
    <w:rsid w:val="3A6477A9"/>
    <w:rsid w:val="3A7E52C6"/>
    <w:rsid w:val="3A8E4BF9"/>
    <w:rsid w:val="3A950543"/>
    <w:rsid w:val="3A9E7716"/>
    <w:rsid w:val="3AA23F47"/>
    <w:rsid w:val="3AAA1C17"/>
    <w:rsid w:val="3ABE2449"/>
    <w:rsid w:val="3ADA56C8"/>
    <w:rsid w:val="3AE35129"/>
    <w:rsid w:val="3AF37A62"/>
    <w:rsid w:val="3B00217F"/>
    <w:rsid w:val="3B082DE1"/>
    <w:rsid w:val="3B20012B"/>
    <w:rsid w:val="3B2A60E9"/>
    <w:rsid w:val="3B3360B0"/>
    <w:rsid w:val="3B4007CD"/>
    <w:rsid w:val="3B506A3A"/>
    <w:rsid w:val="3B561D9F"/>
    <w:rsid w:val="3B5B2B94"/>
    <w:rsid w:val="3B7566C9"/>
    <w:rsid w:val="3B7641EF"/>
    <w:rsid w:val="3B792ECF"/>
    <w:rsid w:val="3B827166"/>
    <w:rsid w:val="3B855DC3"/>
    <w:rsid w:val="3B9052B1"/>
    <w:rsid w:val="3B974891"/>
    <w:rsid w:val="3B9D279F"/>
    <w:rsid w:val="3BB16FD5"/>
    <w:rsid w:val="3BD056AD"/>
    <w:rsid w:val="3BD21711"/>
    <w:rsid w:val="3BD54987"/>
    <w:rsid w:val="3BD80F0D"/>
    <w:rsid w:val="3BDA2944"/>
    <w:rsid w:val="3BDB85C8"/>
    <w:rsid w:val="3BE467D1"/>
    <w:rsid w:val="3BFE66BE"/>
    <w:rsid w:val="3BFF8581"/>
    <w:rsid w:val="3C1C38AF"/>
    <w:rsid w:val="3C1C4D96"/>
    <w:rsid w:val="3C215F09"/>
    <w:rsid w:val="3C256A70"/>
    <w:rsid w:val="3C31001D"/>
    <w:rsid w:val="3C3A6AB5"/>
    <w:rsid w:val="3C4165AB"/>
    <w:rsid w:val="3C4B11D8"/>
    <w:rsid w:val="3C5D6EFF"/>
    <w:rsid w:val="3C6605CE"/>
    <w:rsid w:val="3C676D43"/>
    <w:rsid w:val="3C6F5B2F"/>
    <w:rsid w:val="3C7249B6"/>
    <w:rsid w:val="3C881B0B"/>
    <w:rsid w:val="3C926E07"/>
    <w:rsid w:val="3CAD59EE"/>
    <w:rsid w:val="3CB26F41"/>
    <w:rsid w:val="3CC17DD4"/>
    <w:rsid w:val="3CDC4526"/>
    <w:rsid w:val="3CDD2778"/>
    <w:rsid w:val="3CDE204C"/>
    <w:rsid w:val="3CE277AA"/>
    <w:rsid w:val="3CE8111C"/>
    <w:rsid w:val="3CEA279F"/>
    <w:rsid w:val="3CEC177B"/>
    <w:rsid w:val="3CF46FDB"/>
    <w:rsid w:val="3D0A1E56"/>
    <w:rsid w:val="3D1B6DFC"/>
    <w:rsid w:val="3D2A2A77"/>
    <w:rsid w:val="3D42082D"/>
    <w:rsid w:val="3D5F3C0A"/>
    <w:rsid w:val="3D7164EB"/>
    <w:rsid w:val="3D7737D1"/>
    <w:rsid w:val="3D7F382F"/>
    <w:rsid w:val="3D8F31BA"/>
    <w:rsid w:val="3D9B4E64"/>
    <w:rsid w:val="3D9F76BF"/>
    <w:rsid w:val="3DA70690"/>
    <w:rsid w:val="3DC54FBA"/>
    <w:rsid w:val="3DFB09DB"/>
    <w:rsid w:val="3E0205C4"/>
    <w:rsid w:val="3E0C3BB5"/>
    <w:rsid w:val="3E12336F"/>
    <w:rsid w:val="3E154BCF"/>
    <w:rsid w:val="3E342BCE"/>
    <w:rsid w:val="3E3A37E1"/>
    <w:rsid w:val="3E6432A1"/>
    <w:rsid w:val="3E6842C3"/>
    <w:rsid w:val="3E6B3DB3"/>
    <w:rsid w:val="3E90273A"/>
    <w:rsid w:val="3E955132"/>
    <w:rsid w:val="3EA352FB"/>
    <w:rsid w:val="3EA846BF"/>
    <w:rsid w:val="3EAD6F0F"/>
    <w:rsid w:val="3EBE3EE3"/>
    <w:rsid w:val="3EC62D97"/>
    <w:rsid w:val="3ED16F9D"/>
    <w:rsid w:val="3ED835C0"/>
    <w:rsid w:val="3EE14075"/>
    <w:rsid w:val="3EE22D6A"/>
    <w:rsid w:val="3EE33949"/>
    <w:rsid w:val="3EF7239A"/>
    <w:rsid w:val="3EF97772"/>
    <w:rsid w:val="3EFF671D"/>
    <w:rsid w:val="3F033FEC"/>
    <w:rsid w:val="3F165ACD"/>
    <w:rsid w:val="3F1A33BE"/>
    <w:rsid w:val="3F2859A4"/>
    <w:rsid w:val="3F2F48E2"/>
    <w:rsid w:val="3F3C7CCF"/>
    <w:rsid w:val="3F5D194E"/>
    <w:rsid w:val="3F6031EC"/>
    <w:rsid w:val="3F6251B6"/>
    <w:rsid w:val="3F7722E4"/>
    <w:rsid w:val="3F7B6278"/>
    <w:rsid w:val="3F8C5D8F"/>
    <w:rsid w:val="3FBBF901"/>
    <w:rsid w:val="3FC4377B"/>
    <w:rsid w:val="3FCC669D"/>
    <w:rsid w:val="3FD00372"/>
    <w:rsid w:val="3FD753EE"/>
    <w:rsid w:val="3FD80FD4"/>
    <w:rsid w:val="3FDD241B"/>
    <w:rsid w:val="3FDD483D"/>
    <w:rsid w:val="3FE07E89"/>
    <w:rsid w:val="3FE69656"/>
    <w:rsid w:val="3FEE56A1"/>
    <w:rsid w:val="3FF77793"/>
    <w:rsid w:val="3FFA12B7"/>
    <w:rsid w:val="3FFF2802"/>
    <w:rsid w:val="402F22B4"/>
    <w:rsid w:val="404405EC"/>
    <w:rsid w:val="405110D6"/>
    <w:rsid w:val="406D6805"/>
    <w:rsid w:val="407A652F"/>
    <w:rsid w:val="407D110C"/>
    <w:rsid w:val="40827192"/>
    <w:rsid w:val="40864ED4"/>
    <w:rsid w:val="40890F7C"/>
    <w:rsid w:val="408C3992"/>
    <w:rsid w:val="40915918"/>
    <w:rsid w:val="40A05314"/>
    <w:rsid w:val="40B51B55"/>
    <w:rsid w:val="40B732E0"/>
    <w:rsid w:val="40E61FE6"/>
    <w:rsid w:val="40F71321"/>
    <w:rsid w:val="41140064"/>
    <w:rsid w:val="411B561D"/>
    <w:rsid w:val="41200E85"/>
    <w:rsid w:val="412519DB"/>
    <w:rsid w:val="41326E0A"/>
    <w:rsid w:val="41361B95"/>
    <w:rsid w:val="41515EEF"/>
    <w:rsid w:val="41526B64"/>
    <w:rsid w:val="41546D80"/>
    <w:rsid w:val="418A09F4"/>
    <w:rsid w:val="418A27A2"/>
    <w:rsid w:val="418D4040"/>
    <w:rsid w:val="418E2292"/>
    <w:rsid w:val="41970AE1"/>
    <w:rsid w:val="419E624E"/>
    <w:rsid w:val="41A35612"/>
    <w:rsid w:val="41AE7C60"/>
    <w:rsid w:val="41B617E9"/>
    <w:rsid w:val="41C37A62"/>
    <w:rsid w:val="41CC6917"/>
    <w:rsid w:val="41CE08E1"/>
    <w:rsid w:val="41D35EF7"/>
    <w:rsid w:val="41DD0B24"/>
    <w:rsid w:val="41E87DEF"/>
    <w:rsid w:val="41F1637D"/>
    <w:rsid w:val="420A5691"/>
    <w:rsid w:val="421C7965"/>
    <w:rsid w:val="422619BB"/>
    <w:rsid w:val="422C150A"/>
    <w:rsid w:val="423773F7"/>
    <w:rsid w:val="423A7D24"/>
    <w:rsid w:val="42436F8A"/>
    <w:rsid w:val="425410BD"/>
    <w:rsid w:val="425F778B"/>
    <w:rsid w:val="426009C5"/>
    <w:rsid w:val="426221F8"/>
    <w:rsid w:val="426D63FE"/>
    <w:rsid w:val="42724A9B"/>
    <w:rsid w:val="428F6994"/>
    <w:rsid w:val="42957651"/>
    <w:rsid w:val="4297632A"/>
    <w:rsid w:val="429E4757"/>
    <w:rsid w:val="42A15FF5"/>
    <w:rsid w:val="42B21705"/>
    <w:rsid w:val="42B32E08"/>
    <w:rsid w:val="42D31F27"/>
    <w:rsid w:val="42D55690"/>
    <w:rsid w:val="42DE3E28"/>
    <w:rsid w:val="42DF22D8"/>
    <w:rsid w:val="42E3216A"/>
    <w:rsid w:val="431C567C"/>
    <w:rsid w:val="43266677"/>
    <w:rsid w:val="432D2509"/>
    <w:rsid w:val="434075BC"/>
    <w:rsid w:val="43421586"/>
    <w:rsid w:val="434370AD"/>
    <w:rsid w:val="43470AA6"/>
    <w:rsid w:val="436E5EB8"/>
    <w:rsid w:val="43900783"/>
    <w:rsid w:val="43947392"/>
    <w:rsid w:val="439971FA"/>
    <w:rsid w:val="43A833B4"/>
    <w:rsid w:val="43AC4C52"/>
    <w:rsid w:val="43B42418"/>
    <w:rsid w:val="43BD6E5F"/>
    <w:rsid w:val="43D16909"/>
    <w:rsid w:val="43D42766"/>
    <w:rsid w:val="43F213F1"/>
    <w:rsid w:val="43F41FD8"/>
    <w:rsid w:val="43FD1DA6"/>
    <w:rsid w:val="44006D4C"/>
    <w:rsid w:val="440209A9"/>
    <w:rsid w:val="441B3B85"/>
    <w:rsid w:val="443C7F5E"/>
    <w:rsid w:val="444B19C8"/>
    <w:rsid w:val="446C30C9"/>
    <w:rsid w:val="44774926"/>
    <w:rsid w:val="448B0BED"/>
    <w:rsid w:val="449B01B0"/>
    <w:rsid w:val="44D65FFB"/>
    <w:rsid w:val="44DE708D"/>
    <w:rsid w:val="44F06447"/>
    <w:rsid w:val="44F833E9"/>
    <w:rsid w:val="44FF34A7"/>
    <w:rsid w:val="45061A4C"/>
    <w:rsid w:val="45120AE5"/>
    <w:rsid w:val="451C7579"/>
    <w:rsid w:val="45237196"/>
    <w:rsid w:val="45244CBC"/>
    <w:rsid w:val="452541DF"/>
    <w:rsid w:val="452B268D"/>
    <w:rsid w:val="4535500F"/>
    <w:rsid w:val="457271D8"/>
    <w:rsid w:val="457F1EF2"/>
    <w:rsid w:val="45857508"/>
    <w:rsid w:val="458D79D2"/>
    <w:rsid w:val="459E4D98"/>
    <w:rsid w:val="45DE28D0"/>
    <w:rsid w:val="45F66658"/>
    <w:rsid w:val="46115240"/>
    <w:rsid w:val="461A0599"/>
    <w:rsid w:val="461B60BF"/>
    <w:rsid w:val="462C3E28"/>
    <w:rsid w:val="46362EF9"/>
    <w:rsid w:val="4649255C"/>
    <w:rsid w:val="467265C4"/>
    <w:rsid w:val="46765CB1"/>
    <w:rsid w:val="467965F9"/>
    <w:rsid w:val="467E27F8"/>
    <w:rsid w:val="46841EBD"/>
    <w:rsid w:val="46843C64"/>
    <w:rsid w:val="46974134"/>
    <w:rsid w:val="469C746C"/>
    <w:rsid w:val="46A92635"/>
    <w:rsid w:val="46B10E38"/>
    <w:rsid w:val="46B651A1"/>
    <w:rsid w:val="46BC33FE"/>
    <w:rsid w:val="46C03289"/>
    <w:rsid w:val="46C978C9"/>
    <w:rsid w:val="46F245F5"/>
    <w:rsid w:val="470114A9"/>
    <w:rsid w:val="470703F1"/>
    <w:rsid w:val="47113E40"/>
    <w:rsid w:val="47120309"/>
    <w:rsid w:val="472015A9"/>
    <w:rsid w:val="47234906"/>
    <w:rsid w:val="47354BD4"/>
    <w:rsid w:val="474C3E81"/>
    <w:rsid w:val="474E4E09"/>
    <w:rsid w:val="47867568"/>
    <w:rsid w:val="479A733C"/>
    <w:rsid w:val="479D7445"/>
    <w:rsid w:val="47A00374"/>
    <w:rsid w:val="47CB7C64"/>
    <w:rsid w:val="47E57A30"/>
    <w:rsid w:val="47E66258"/>
    <w:rsid w:val="480014B3"/>
    <w:rsid w:val="48083249"/>
    <w:rsid w:val="480E7A25"/>
    <w:rsid w:val="48180B08"/>
    <w:rsid w:val="48483421"/>
    <w:rsid w:val="484E4529"/>
    <w:rsid w:val="485D6071"/>
    <w:rsid w:val="48614BFD"/>
    <w:rsid w:val="487B4BF3"/>
    <w:rsid w:val="48B1532F"/>
    <w:rsid w:val="48C26B67"/>
    <w:rsid w:val="48C81442"/>
    <w:rsid w:val="48E23D57"/>
    <w:rsid w:val="48E350EB"/>
    <w:rsid w:val="48E85B1A"/>
    <w:rsid w:val="48F051D0"/>
    <w:rsid w:val="490168B9"/>
    <w:rsid w:val="49080B7C"/>
    <w:rsid w:val="49296384"/>
    <w:rsid w:val="49465201"/>
    <w:rsid w:val="49523359"/>
    <w:rsid w:val="496E7D41"/>
    <w:rsid w:val="4989333F"/>
    <w:rsid w:val="498A4BF8"/>
    <w:rsid w:val="49964EEA"/>
    <w:rsid w:val="49997A26"/>
    <w:rsid w:val="49A62143"/>
    <w:rsid w:val="49C2499C"/>
    <w:rsid w:val="49C36851"/>
    <w:rsid w:val="49D36A87"/>
    <w:rsid w:val="49DA72EC"/>
    <w:rsid w:val="49DE06CA"/>
    <w:rsid w:val="49EF3AEA"/>
    <w:rsid w:val="49EF5898"/>
    <w:rsid w:val="4A034605"/>
    <w:rsid w:val="4A050411"/>
    <w:rsid w:val="4A182C5B"/>
    <w:rsid w:val="4A1B40A3"/>
    <w:rsid w:val="4A301681"/>
    <w:rsid w:val="4A314103"/>
    <w:rsid w:val="4A396B13"/>
    <w:rsid w:val="4A496D91"/>
    <w:rsid w:val="4A5E4C5F"/>
    <w:rsid w:val="4A6022F2"/>
    <w:rsid w:val="4A6F3D98"/>
    <w:rsid w:val="4A8D2E6D"/>
    <w:rsid w:val="4A8F7FB7"/>
    <w:rsid w:val="4A9560CC"/>
    <w:rsid w:val="4AA04DE4"/>
    <w:rsid w:val="4AB8212E"/>
    <w:rsid w:val="4ABD14F2"/>
    <w:rsid w:val="4AC408E4"/>
    <w:rsid w:val="4ACC3E2B"/>
    <w:rsid w:val="4ADD3943"/>
    <w:rsid w:val="4AE5022F"/>
    <w:rsid w:val="4AE7656F"/>
    <w:rsid w:val="4AF313B8"/>
    <w:rsid w:val="4AFE15E2"/>
    <w:rsid w:val="4B0C4228"/>
    <w:rsid w:val="4B1B2C46"/>
    <w:rsid w:val="4B2279C7"/>
    <w:rsid w:val="4B272E10"/>
    <w:rsid w:val="4B417485"/>
    <w:rsid w:val="4B470B88"/>
    <w:rsid w:val="4B4E4840"/>
    <w:rsid w:val="4B582E12"/>
    <w:rsid w:val="4B713354"/>
    <w:rsid w:val="4B74348F"/>
    <w:rsid w:val="4B7778F3"/>
    <w:rsid w:val="4B79502C"/>
    <w:rsid w:val="4B7D6ED4"/>
    <w:rsid w:val="4BA60AB1"/>
    <w:rsid w:val="4BA95231"/>
    <w:rsid w:val="4BAF1783"/>
    <w:rsid w:val="4BB078CC"/>
    <w:rsid w:val="4BB2670B"/>
    <w:rsid w:val="4BB365B5"/>
    <w:rsid w:val="4BC114B6"/>
    <w:rsid w:val="4BCB7C3F"/>
    <w:rsid w:val="4BE34546"/>
    <w:rsid w:val="4BE76F02"/>
    <w:rsid w:val="4BEB02E1"/>
    <w:rsid w:val="4BED22AB"/>
    <w:rsid w:val="4BF37AF5"/>
    <w:rsid w:val="4BF60521"/>
    <w:rsid w:val="4BF74ED8"/>
    <w:rsid w:val="4BF94C2F"/>
    <w:rsid w:val="4C0C0983"/>
    <w:rsid w:val="4C0E7ECE"/>
    <w:rsid w:val="4C110CD4"/>
    <w:rsid w:val="4C121D12"/>
    <w:rsid w:val="4C2832E3"/>
    <w:rsid w:val="4C40062D"/>
    <w:rsid w:val="4C545E87"/>
    <w:rsid w:val="4C5A0B23"/>
    <w:rsid w:val="4C6A56AA"/>
    <w:rsid w:val="4C906769"/>
    <w:rsid w:val="4C942D3E"/>
    <w:rsid w:val="4CA666C3"/>
    <w:rsid w:val="4CA80573"/>
    <w:rsid w:val="4CA961D2"/>
    <w:rsid w:val="4CB61515"/>
    <w:rsid w:val="4CBD7ED0"/>
    <w:rsid w:val="4CCA439B"/>
    <w:rsid w:val="4CD929E2"/>
    <w:rsid w:val="4CE40E7D"/>
    <w:rsid w:val="4CE74F4D"/>
    <w:rsid w:val="4CF07945"/>
    <w:rsid w:val="4D1473C4"/>
    <w:rsid w:val="4D1A2C2C"/>
    <w:rsid w:val="4D2E2B7B"/>
    <w:rsid w:val="4D346504"/>
    <w:rsid w:val="4D3B0DF4"/>
    <w:rsid w:val="4D61085B"/>
    <w:rsid w:val="4D6D0FAB"/>
    <w:rsid w:val="4D882DB8"/>
    <w:rsid w:val="4DB35167"/>
    <w:rsid w:val="4DBC0187"/>
    <w:rsid w:val="4DDF102B"/>
    <w:rsid w:val="4DE33966"/>
    <w:rsid w:val="4DE96C85"/>
    <w:rsid w:val="4DEB6377"/>
    <w:rsid w:val="4E077171"/>
    <w:rsid w:val="4E1844A1"/>
    <w:rsid w:val="4E376C89"/>
    <w:rsid w:val="4E4179C0"/>
    <w:rsid w:val="4E4468A4"/>
    <w:rsid w:val="4E5B75AC"/>
    <w:rsid w:val="4E5E1120"/>
    <w:rsid w:val="4E5E5A81"/>
    <w:rsid w:val="4E6B6CEB"/>
    <w:rsid w:val="4E847155"/>
    <w:rsid w:val="4E9208C3"/>
    <w:rsid w:val="4EA62829"/>
    <w:rsid w:val="4ED35F6C"/>
    <w:rsid w:val="4ED46B7B"/>
    <w:rsid w:val="4ED60DD5"/>
    <w:rsid w:val="4EDE6657"/>
    <w:rsid w:val="4EE22FDD"/>
    <w:rsid w:val="4EFB6C2C"/>
    <w:rsid w:val="4EFE20DA"/>
    <w:rsid w:val="4F082F58"/>
    <w:rsid w:val="4F0A0AD1"/>
    <w:rsid w:val="4F0C76FA"/>
    <w:rsid w:val="4F165675"/>
    <w:rsid w:val="4F212F50"/>
    <w:rsid w:val="4F226DC8"/>
    <w:rsid w:val="4F234ACC"/>
    <w:rsid w:val="4F2A7373"/>
    <w:rsid w:val="4F3B36A9"/>
    <w:rsid w:val="4F3E697A"/>
    <w:rsid w:val="4F493C9D"/>
    <w:rsid w:val="4F5C1026"/>
    <w:rsid w:val="4F5E53C7"/>
    <w:rsid w:val="4F6351A5"/>
    <w:rsid w:val="4F7702AB"/>
    <w:rsid w:val="4F7EFCB4"/>
    <w:rsid w:val="4F7F44DF"/>
    <w:rsid w:val="4F854876"/>
    <w:rsid w:val="4F912F4E"/>
    <w:rsid w:val="4FA71C3F"/>
    <w:rsid w:val="4FAE5BAC"/>
    <w:rsid w:val="4FB01626"/>
    <w:rsid w:val="4FB11910"/>
    <w:rsid w:val="4FB84E80"/>
    <w:rsid w:val="4FB854F8"/>
    <w:rsid w:val="4FBA3692"/>
    <w:rsid w:val="4FDC1ACA"/>
    <w:rsid w:val="4FE985C7"/>
    <w:rsid w:val="500C08AC"/>
    <w:rsid w:val="500E56FC"/>
    <w:rsid w:val="501C6CBB"/>
    <w:rsid w:val="501F0559"/>
    <w:rsid w:val="502703FE"/>
    <w:rsid w:val="502768E9"/>
    <w:rsid w:val="505C668F"/>
    <w:rsid w:val="50601F36"/>
    <w:rsid w:val="507329BF"/>
    <w:rsid w:val="507E7976"/>
    <w:rsid w:val="50811214"/>
    <w:rsid w:val="50964CC0"/>
    <w:rsid w:val="50966A6E"/>
    <w:rsid w:val="50AB003F"/>
    <w:rsid w:val="50B36711"/>
    <w:rsid w:val="50CF4561"/>
    <w:rsid w:val="50D25854"/>
    <w:rsid w:val="50D852D8"/>
    <w:rsid w:val="50FE0AB7"/>
    <w:rsid w:val="51042AC7"/>
    <w:rsid w:val="51085492"/>
    <w:rsid w:val="512978E2"/>
    <w:rsid w:val="51346847"/>
    <w:rsid w:val="51475669"/>
    <w:rsid w:val="515D758B"/>
    <w:rsid w:val="5161537B"/>
    <w:rsid w:val="51655FC2"/>
    <w:rsid w:val="516A5418"/>
    <w:rsid w:val="516C5CF7"/>
    <w:rsid w:val="517174DB"/>
    <w:rsid w:val="517B1124"/>
    <w:rsid w:val="51866C59"/>
    <w:rsid w:val="51867B3E"/>
    <w:rsid w:val="51987112"/>
    <w:rsid w:val="519D3E2C"/>
    <w:rsid w:val="519D660F"/>
    <w:rsid w:val="51A56BA3"/>
    <w:rsid w:val="51A575B0"/>
    <w:rsid w:val="51C25FE7"/>
    <w:rsid w:val="51C969CF"/>
    <w:rsid w:val="51D33CF1"/>
    <w:rsid w:val="51FF4AE6"/>
    <w:rsid w:val="51FF6894"/>
    <w:rsid w:val="520677CB"/>
    <w:rsid w:val="520774F7"/>
    <w:rsid w:val="520C5A74"/>
    <w:rsid w:val="52555BF0"/>
    <w:rsid w:val="525564B4"/>
    <w:rsid w:val="525B75EF"/>
    <w:rsid w:val="526341EB"/>
    <w:rsid w:val="52666914"/>
    <w:rsid w:val="5267529D"/>
    <w:rsid w:val="5272350A"/>
    <w:rsid w:val="52732285"/>
    <w:rsid w:val="52741F4D"/>
    <w:rsid w:val="52902DFA"/>
    <w:rsid w:val="529B480F"/>
    <w:rsid w:val="52CC1C82"/>
    <w:rsid w:val="52DB2E5E"/>
    <w:rsid w:val="52DC2732"/>
    <w:rsid w:val="530E3233"/>
    <w:rsid w:val="53135B7C"/>
    <w:rsid w:val="5314011E"/>
    <w:rsid w:val="53146A66"/>
    <w:rsid w:val="531C0F71"/>
    <w:rsid w:val="53360094"/>
    <w:rsid w:val="5339302E"/>
    <w:rsid w:val="53490BB0"/>
    <w:rsid w:val="534F55FA"/>
    <w:rsid w:val="535521B1"/>
    <w:rsid w:val="536B200F"/>
    <w:rsid w:val="536B319B"/>
    <w:rsid w:val="536E11E4"/>
    <w:rsid w:val="53755060"/>
    <w:rsid w:val="537D2167"/>
    <w:rsid w:val="53A6051D"/>
    <w:rsid w:val="53AF2171"/>
    <w:rsid w:val="53B37937"/>
    <w:rsid w:val="53B60FA0"/>
    <w:rsid w:val="53B611D5"/>
    <w:rsid w:val="53B92BD0"/>
    <w:rsid w:val="53C27B7A"/>
    <w:rsid w:val="53C300EE"/>
    <w:rsid w:val="53D0016A"/>
    <w:rsid w:val="53E61F03"/>
    <w:rsid w:val="53E81EA7"/>
    <w:rsid w:val="53ED0769"/>
    <w:rsid w:val="53FB0263"/>
    <w:rsid w:val="5406215C"/>
    <w:rsid w:val="5429289E"/>
    <w:rsid w:val="542E6C2A"/>
    <w:rsid w:val="54413194"/>
    <w:rsid w:val="546315F6"/>
    <w:rsid w:val="54640C31"/>
    <w:rsid w:val="547215A0"/>
    <w:rsid w:val="547C0308"/>
    <w:rsid w:val="549C03CB"/>
    <w:rsid w:val="54A71B6F"/>
    <w:rsid w:val="54BE47E5"/>
    <w:rsid w:val="54BE5581"/>
    <w:rsid w:val="54C3413E"/>
    <w:rsid w:val="54C343AC"/>
    <w:rsid w:val="54E202BD"/>
    <w:rsid w:val="54E3424B"/>
    <w:rsid w:val="54E67898"/>
    <w:rsid w:val="54FA66E5"/>
    <w:rsid w:val="5507618C"/>
    <w:rsid w:val="550C37A2"/>
    <w:rsid w:val="55120B89"/>
    <w:rsid w:val="55124B31"/>
    <w:rsid w:val="55195ED1"/>
    <w:rsid w:val="55356592"/>
    <w:rsid w:val="5536081F"/>
    <w:rsid w:val="55363B79"/>
    <w:rsid w:val="553757FC"/>
    <w:rsid w:val="553920BD"/>
    <w:rsid w:val="553B086B"/>
    <w:rsid w:val="55523CC0"/>
    <w:rsid w:val="55561A9C"/>
    <w:rsid w:val="55683C90"/>
    <w:rsid w:val="55690BF5"/>
    <w:rsid w:val="556E259A"/>
    <w:rsid w:val="55807CEC"/>
    <w:rsid w:val="5587547F"/>
    <w:rsid w:val="55886BA1"/>
    <w:rsid w:val="55893CEF"/>
    <w:rsid w:val="55A0038E"/>
    <w:rsid w:val="55A531BA"/>
    <w:rsid w:val="55AD7ACE"/>
    <w:rsid w:val="55B00149"/>
    <w:rsid w:val="55CC3275"/>
    <w:rsid w:val="55D37310"/>
    <w:rsid w:val="55E4027B"/>
    <w:rsid w:val="55F12998"/>
    <w:rsid w:val="55F85AD5"/>
    <w:rsid w:val="56102E1E"/>
    <w:rsid w:val="56113BC9"/>
    <w:rsid w:val="561F12B3"/>
    <w:rsid w:val="562C774E"/>
    <w:rsid w:val="56323B98"/>
    <w:rsid w:val="563A60ED"/>
    <w:rsid w:val="563F6BD5"/>
    <w:rsid w:val="56466E93"/>
    <w:rsid w:val="56567054"/>
    <w:rsid w:val="565E627F"/>
    <w:rsid w:val="56621F53"/>
    <w:rsid w:val="56625644"/>
    <w:rsid w:val="566500E3"/>
    <w:rsid w:val="566D4FAA"/>
    <w:rsid w:val="566D64C3"/>
    <w:rsid w:val="5677F382"/>
    <w:rsid w:val="568052DE"/>
    <w:rsid w:val="568245C0"/>
    <w:rsid w:val="56867584"/>
    <w:rsid w:val="56AC60A3"/>
    <w:rsid w:val="56AD68BF"/>
    <w:rsid w:val="56AF6ADB"/>
    <w:rsid w:val="56B2576C"/>
    <w:rsid w:val="56B9194B"/>
    <w:rsid w:val="56C33BDD"/>
    <w:rsid w:val="56C553EB"/>
    <w:rsid w:val="56CD6678"/>
    <w:rsid w:val="56DA167E"/>
    <w:rsid w:val="56E40324"/>
    <w:rsid w:val="56EFBCE7"/>
    <w:rsid w:val="56F269C8"/>
    <w:rsid w:val="56F79C35"/>
    <w:rsid w:val="56FF5614"/>
    <w:rsid w:val="571006E4"/>
    <w:rsid w:val="57191362"/>
    <w:rsid w:val="57785D2A"/>
    <w:rsid w:val="579F5351"/>
    <w:rsid w:val="57AA1051"/>
    <w:rsid w:val="57D32355"/>
    <w:rsid w:val="57E502DB"/>
    <w:rsid w:val="581B1F4E"/>
    <w:rsid w:val="581F559B"/>
    <w:rsid w:val="583D01CF"/>
    <w:rsid w:val="5844151B"/>
    <w:rsid w:val="586475A6"/>
    <w:rsid w:val="5866141B"/>
    <w:rsid w:val="58810003"/>
    <w:rsid w:val="588A3598"/>
    <w:rsid w:val="58C61EBA"/>
    <w:rsid w:val="58C63C68"/>
    <w:rsid w:val="58D50A2B"/>
    <w:rsid w:val="58DE5456"/>
    <w:rsid w:val="58E56A80"/>
    <w:rsid w:val="58EB286B"/>
    <w:rsid w:val="58EB36CF"/>
    <w:rsid w:val="58EC0D07"/>
    <w:rsid w:val="58F702C5"/>
    <w:rsid w:val="58FA1B64"/>
    <w:rsid w:val="59034EBC"/>
    <w:rsid w:val="591A2160"/>
    <w:rsid w:val="5928031A"/>
    <w:rsid w:val="59367040"/>
    <w:rsid w:val="593F501F"/>
    <w:rsid w:val="59401C6C"/>
    <w:rsid w:val="59487733"/>
    <w:rsid w:val="594B23BF"/>
    <w:rsid w:val="59524CDB"/>
    <w:rsid w:val="596949DD"/>
    <w:rsid w:val="59707498"/>
    <w:rsid w:val="597F1167"/>
    <w:rsid w:val="59AC3549"/>
    <w:rsid w:val="59BD3A9E"/>
    <w:rsid w:val="59C363FA"/>
    <w:rsid w:val="59C74AA1"/>
    <w:rsid w:val="59D66164"/>
    <w:rsid w:val="59E25784"/>
    <w:rsid w:val="59E60318"/>
    <w:rsid w:val="59F111B9"/>
    <w:rsid w:val="5A0013FC"/>
    <w:rsid w:val="5A096502"/>
    <w:rsid w:val="5A407A4A"/>
    <w:rsid w:val="5A4E09B0"/>
    <w:rsid w:val="5A56B2A4"/>
    <w:rsid w:val="5A6A4308"/>
    <w:rsid w:val="5A736072"/>
    <w:rsid w:val="5A7B0A82"/>
    <w:rsid w:val="5A876EE7"/>
    <w:rsid w:val="5A8E633F"/>
    <w:rsid w:val="5A975B2D"/>
    <w:rsid w:val="5AA13369"/>
    <w:rsid w:val="5AA44386"/>
    <w:rsid w:val="5AA94A6E"/>
    <w:rsid w:val="5AB05047"/>
    <w:rsid w:val="5AB10D5E"/>
    <w:rsid w:val="5ABA15AB"/>
    <w:rsid w:val="5AE26D53"/>
    <w:rsid w:val="5AE34FA5"/>
    <w:rsid w:val="5AE723C6"/>
    <w:rsid w:val="5AEA041D"/>
    <w:rsid w:val="5AED3131"/>
    <w:rsid w:val="5AF01470"/>
    <w:rsid w:val="5AF53A87"/>
    <w:rsid w:val="5B116199"/>
    <w:rsid w:val="5B176FD5"/>
    <w:rsid w:val="5B1834F7"/>
    <w:rsid w:val="5B264E92"/>
    <w:rsid w:val="5B2F7039"/>
    <w:rsid w:val="5B3F76D1"/>
    <w:rsid w:val="5B500161"/>
    <w:rsid w:val="5B505E97"/>
    <w:rsid w:val="5B985858"/>
    <w:rsid w:val="5BD743DE"/>
    <w:rsid w:val="5BE10428"/>
    <w:rsid w:val="5BF07EDE"/>
    <w:rsid w:val="5BF24C58"/>
    <w:rsid w:val="5BF60D08"/>
    <w:rsid w:val="5C0C052C"/>
    <w:rsid w:val="5C237623"/>
    <w:rsid w:val="5C2631A6"/>
    <w:rsid w:val="5C2740AC"/>
    <w:rsid w:val="5C276FB7"/>
    <w:rsid w:val="5C4D4754"/>
    <w:rsid w:val="5C4E644E"/>
    <w:rsid w:val="5C5C78A5"/>
    <w:rsid w:val="5C614DF7"/>
    <w:rsid w:val="5C6F429B"/>
    <w:rsid w:val="5C700ABB"/>
    <w:rsid w:val="5C7D6D34"/>
    <w:rsid w:val="5C966047"/>
    <w:rsid w:val="5C9C6B0B"/>
    <w:rsid w:val="5C9D3DA7"/>
    <w:rsid w:val="5CA249EC"/>
    <w:rsid w:val="5CA644DC"/>
    <w:rsid w:val="5CA7449A"/>
    <w:rsid w:val="5CB31B05"/>
    <w:rsid w:val="5CB9526D"/>
    <w:rsid w:val="5CBD35D4"/>
    <w:rsid w:val="5CC44962"/>
    <w:rsid w:val="5CC81D5B"/>
    <w:rsid w:val="5CCE6402"/>
    <w:rsid w:val="5CCE7ECF"/>
    <w:rsid w:val="5CDC6150"/>
    <w:rsid w:val="5CEC486A"/>
    <w:rsid w:val="5D071D68"/>
    <w:rsid w:val="5D131446"/>
    <w:rsid w:val="5D17158A"/>
    <w:rsid w:val="5D192F00"/>
    <w:rsid w:val="5D1A517B"/>
    <w:rsid w:val="5D1D4002"/>
    <w:rsid w:val="5D4476A0"/>
    <w:rsid w:val="5D605600"/>
    <w:rsid w:val="5D635829"/>
    <w:rsid w:val="5D6D3B91"/>
    <w:rsid w:val="5D801B4F"/>
    <w:rsid w:val="5DA9371D"/>
    <w:rsid w:val="5DB03139"/>
    <w:rsid w:val="5DB94316"/>
    <w:rsid w:val="5DBB5D65"/>
    <w:rsid w:val="5DBC1009"/>
    <w:rsid w:val="5DD230AF"/>
    <w:rsid w:val="5DE13D96"/>
    <w:rsid w:val="5DE80B25"/>
    <w:rsid w:val="5DEA6951"/>
    <w:rsid w:val="5DFC408A"/>
    <w:rsid w:val="5E162F9C"/>
    <w:rsid w:val="5E2D1AE3"/>
    <w:rsid w:val="5E316028"/>
    <w:rsid w:val="5E343D6A"/>
    <w:rsid w:val="5E436EA1"/>
    <w:rsid w:val="5E473A9D"/>
    <w:rsid w:val="5E5426EE"/>
    <w:rsid w:val="5E6737F7"/>
    <w:rsid w:val="5E6B6806"/>
    <w:rsid w:val="5E6E5F24"/>
    <w:rsid w:val="5E9C4600"/>
    <w:rsid w:val="5EA06D09"/>
    <w:rsid w:val="5EAA5DDA"/>
    <w:rsid w:val="5EAB4A36"/>
    <w:rsid w:val="5EAC3900"/>
    <w:rsid w:val="5EAF0CFE"/>
    <w:rsid w:val="5EB21B8E"/>
    <w:rsid w:val="5EB729BA"/>
    <w:rsid w:val="5EEC0726"/>
    <w:rsid w:val="5EF07C91"/>
    <w:rsid w:val="5EFB2E92"/>
    <w:rsid w:val="5F105C3D"/>
    <w:rsid w:val="5F132FF0"/>
    <w:rsid w:val="5F1A6ABC"/>
    <w:rsid w:val="5F1E0A25"/>
    <w:rsid w:val="5F272D1C"/>
    <w:rsid w:val="5F2A371A"/>
    <w:rsid w:val="5F335DCF"/>
    <w:rsid w:val="5F337B7D"/>
    <w:rsid w:val="5F544336"/>
    <w:rsid w:val="5F5572F2"/>
    <w:rsid w:val="5F6103B4"/>
    <w:rsid w:val="5F6661A5"/>
    <w:rsid w:val="5F6CADD2"/>
    <w:rsid w:val="5F710660"/>
    <w:rsid w:val="5F820FCF"/>
    <w:rsid w:val="5FBD0C74"/>
    <w:rsid w:val="5FCA3AC6"/>
    <w:rsid w:val="5FD01870"/>
    <w:rsid w:val="5FE77D07"/>
    <w:rsid w:val="5FEFCB6A"/>
    <w:rsid w:val="5FF90DC7"/>
    <w:rsid w:val="60043CF7"/>
    <w:rsid w:val="60152F95"/>
    <w:rsid w:val="60204437"/>
    <w:rsid w:val="60211516"/>
    <w:rsid w:val="602D143E"/>
    <w:rsid w:val="60301004"/>
    <w:rsid w:val="60382473"/>
    <w:rsid w:val="603B26DF"/>
    <w:rsid w:val="603E67DA"/>
    <w:rsid w:val="604403A8"/>
    <w:rsid w:val="605E3790"/>
    <w:rsid w:val="606E0145"/>
    <w:rsid w:val="606F1089"/>
    <w:rsid w:val="607C3983"/>
    <w:rsid w:val="607E751E"/>
    <w:rsid w:val="60820DBC"/>
    <w:rsid w:val="60961758"/>
    <w:rsid w:val="609B1E7E"/>
    <w:rsid w:val="60CA5C5B"/>
    <w:rsid w:val="60D447D9"/>
    <w:rsid w:val="60E45417"/>
    <w:rsid w:val="60F87F99"/>
    <w:rsid w:val="61161505"/>
    <w:rsid w:val="613227E3"/>
    <w:rsid w:val="61333E65"/>
    <w:rsid w:val="613876CD"/>
    <w:rsid w:val="613E7BD6"/>
    <w:rsid w:val="614C5210"/>
    <w:rsid w:val="616404C2"/>
    <w:rsid w:val="616A6E87"/>
    <w:rsid w:val="618F2C11"/>
    <w:rsid w:val="61936344"/>
    <w:rsid w:val="619E1C26"/>
    <w:rsid w:val="61C97E28"/>
    <w:rsid w:val="61D3163F"/>
    <w:rsid w:val="61D94A0C"/>
    <w:rsid w:val="61E45BE1"/>
    <w:rsid w:val="61EF2482"/>
    <w:rsid w:val="61F25ACE"/>
    <w:rsid w:val="61FC06FB"/>
    <w:rsid w:val="6201191B"/>
    <w:rsid w:val="62052C58"/>
    <w:rsid w:val="620E7C5F"/>
    <w:rsid w:val="62136500"/>
    <w:rsid w:val="62143C96"/>
    <w:rsid w:val="62161BC7"/>
    <w:rsid w:val="623B56C7"/>
    <w:rsid w:val="62403290"/>
    <w:rsid w:val="624F2F20"/>
    <w:rsid w:val="627209BD"/>
    <w:rsid w:val="627A1670"/>
    <w:rsid w:val="62944DD7"/>
    <w:rsid w:val="62966DA1"/>
    <w:rsid w:val="62991FE0"/>
    <w:rsid w:val="62AF39BF"/>
    <w:rsid w:val="62BD4C1D"/>
    <w:rsid w:val="62C162DF"/>
    <w:rsid w:val="62C31218"/>
    <w:rsid w:val="62C52604"/>
    <w:rsid w:val="62C54F90"/>
    <w:rsid w:val="62F56060"/>
    <w:rsid w:val="630E2E70"/>
    <w:rsid w:val="633F11E7"/>
    <w:rsid w:val="6341070D"/>
    <w:rsid w:val="63493E13"/>
    <w:rsid w:val="634C56B2"/>
    <w:rsid w:val="635D78BF"/>
    <w:rsid w:val="63770981"/>
    <w:rsid w:val="637901FC"/>
    <w:rsid w:val="638304BF"/>
    <w:rsid w:val="63882ED5"/>
    <w:rsid w:val="638C3E3F"/>
    <w:rsid w:val="63A075C4"/>
    <w:rsid w:val="63A53E53"/>
    <w:rsid w:val="63A92582"/>
    <w:rsid w:val="63BB361B"/>
    <w:rsid w:val="63C27722"/>
    <w:rsid w:val="63C52A41"/>
    <w:rsid w:val="63C60FC0"/>
    <w:rsid w:val="63CA33E7"/>
    <w:rsid w:val="63D20A4A"/>
    <w:rsid w:val="63DD455C"/>
    <w:rsid w:val="63E40472"/>
    <w:rsid w:val="63EE0517"/>
    <w:rsid w:val="642C2FFF"/>
    <w:rsid w:val="64427DEE"/>
    <w:rsid w:val="644B139F"/>
    <w:rsid w:val="644E24FB"/>
    <w:rsid w:val="644F5459"/>
    <w:rsid w:val="64653612"/>
    <w:rsid w:val="64760C38"/>
    <w:rsid w:val="64793B97"/>
    <w:rsid w:val="649176F3"/>
    <w:rsid w:val="64C64FF0"/>
    <w:rsid w:val="64E421D7"/>
    <w:rsid w:val="64E536C8"/>
    <w:rsid w:val="64EF27FA"/>
    <w:rsid w:val="64FF0793"/>
    <w:rsid w:val="65000502"/>
    <w:rsid w:val="651A6FFA"/>
    <w:rsid w:val="653603C7"/>
    <w:rsid w:val="654900FB"/>
    <w:rsid w:val="65662D40"/>
    <w:rsid w:val="657611B4"/>
    <w:rsid w:val="658E3D60"/>
    <w:rsid w:val="65905D2A"/>
    <w:rsid w:val="65975ABE"/>
    <w:rsid w:val="65980C88"/>
    <w:rsid w:val="659A31F0"/>
    <w:rsid w:val="65E358B9"/>
    <w:rsid w:val="65FC3B45"/>
    <w:rsid w:val="65FE0EE5"/>
    <w:rsid w:val="66094559"/>
    <w:rsid w:val="660B1854"/>
    <w:rsid w:val="662B1179"/>
    <w:rsid w:val="66486604"/>
    <w:rsid w:val="66490BF1"/>
    <w:rsid w:val="664D59C9"/>
    <w:rsid w:val="665065E3"/>
    <w:rsid w:val="66542793"/>
    <w:rsid w:val="6677416F"/>
    <w:rsid w:val="667E2026"/>
    <w:rsid w:val="66903B07"/>
    <w:rsid w:val="66A5036A"/>
    <w:rsid w:val="66AD6C48"/>
    <w:rsid w:val="66CB066F"/>
    <w:rsid w:val="66D41C46"/>
    <w:rsid w:val="66D45B3F"/>
    <w:rsid w:val="66EA3BE6"/>
    <w:rsid w:val="66FE6CC3"/>
    <w:rsid w:val="671E3D39"/>
    <w:rsid w:val="6721001D"/>
    <w:rsid w:val="67334BBF"/>
    <w:rsid w:val="6739419F"/>
    <w:rsid w:val="674768BC"/>
    <w:rsid w:val="67584625"/>
    <w:rsid w:val="67591E9E"/>
    <w:rsid w:val="67696832"/>
    <w:rsid w:val="678629DB"/>
    <w:rsid w:val="679259FF"/>
    <w:rsid w:val="679744DF"/>
    <w:rsid w:val="67980EC5"/>
    <w:rsid w:val="679F2254"/>
    <w:rsid w:val="67A27F96"/>
    <w:rsid w:val="67A413F1"/>
    <w:rsid w:val="67A45ABC"/>
    <w:rsid w:val="67B51A77"/>
    <w:rsid w:val="67C47140"/>
    <w:rsid w:val="67CF572D"/>
    <w:rsid w:val="67E4410B"/>
    <w:rsid w:val="67FA392E"/>
    <w:rsid w:val="68014955"/>
    <w:rsid w:val="68117613"/>
    <w:rsid w:val="68282344"/>
    <w:rsid w:val="682E5386"/>
    <w:rsid w:val="68354427"/>
    <w:rsid w:val="6839704A"/>
    <w:rsid w:val="684352D5"/>
    <w:rsid w:val="686F41A0"/>
    <w:rsid w:val="6873723D"/>
    <w:rsid w:val="687C5E53"/>
    <w:rsid w:val="687E455F"/>
    <w:rsid w:val="68831B76"/>
    <w:rsid w:val="689C6793"/>
    <w:rsid w:val="68B25AF9"/>
    <w:rsid w:val="68B7625C"/>
    <w:rsid w:val="68CA77A4"/>
    <w:rsid w:val="68D12617"/>
    <w:rsid w:val="68DE6DAC"/>
    <w:rsid w:val="68E7003B"/>
    <w:rsid w:val="68F14D31"/>
    <w:rsid w:val="68F16ADF"/>
    <w:rsid w:val="68F55EA4"/>
    <w:rsid w:val="68FA02C2"/>
    <w:rsid w:val="68FB170C"/>
    <w:rsid w:val="68FB795E"/>
    <w:rsid w:val="68FC7232"/>
    <w:rsid w:val="68FE744E"/>
    <w:rsid w:val="69001CCB"/>
    <w:rsid w:val="69064ECD"/>
    <w:rsid w:val="69117181"/>
    <w:rsid w:val="69180510"/>
    <w:rsid w:val="691B590A"/>
    <w:rsid w:val="692D4B35"/>
    <w:rsid w:val="69344C1E"/>
    <w:rsid w:val="6944742F"/>
    <w:rsid w:val="694F07A9"/>
    <w:rsid w:val="69613711"/>
    <w:rsid w:val="696C6E31"/>
    <w:rsid w:val="69746CC5"/>
    <w:rsid w:val="699A38B2"/>
    <w:rsid w:val="69B018C1"/>
    <w:rsid w:val="69C2047C"/>
    <w:rsid w:val="69DA3A17"/>
    <w:rsid w:val="69F85C4B"/>
    <w:rsid w:val="69FF1A78"/>
    <w:rsid w:val="6A010FA4"/>
    <w:rsid w:val="6A22006E"/>
    <w:rsid w:val="6A2A7525"/>
    <w:rsid w:val="6A436FC0"/>
    <w:rsid w:val="6A446A13"/>
    <w:rsid w:val="6A4E6E83"/>
    <w:rsid w:val="6A5F4F63"/>
    <w:rsid w:val="6A5F748C"/>
    <w:rsid w:val="6A745963"/>
    <w:rsid w:val="6A7C062B"/>
    <w:rsid w:val="6A841D70"/>
    <w:rsid w:val="6A850FAD"/>
    <w:rsid w:val="6A933BC6"/>
    <w:rsid w:val="6ADC37BF"/>
    <w:rsid w:val="6AE85CC0"/>
    <w:rsid w:val="6AF61265"/>
    <w:rsid w:val="6B083125"/>
    <w:rsid w:val="6B0A032C"/>
    <w:rsid w:val="6B0A3E88"/>
    <w:rsid w:val="6B0B007F"/>
    <w:rsid w:val="6B122D3D"/>
    <w:rsid w:val="6B1271E1"/>
    <w:rsid w:val="6B297183"/>
    <w:rsid w:val="6B8A321B"/>
    <w:rsid w:val="6BA53BB1"/>
    <w:rsid w:val="6BA66FDA"/>
    <w:rsid w:val="6BB549C4"/>
    <w:rsid w:val="6BB6110A"/>
    <w:rsid w:val="6BBA12EE"/>
    <w:rsid w:val="6BC57F00"/>
    <w:rsid w:val="6BC97EFC"/>
    <w:rsid w:val="6BCA6420"/>
    <w:rsid w:val="6BE02E3B"/>
    <w:rsid w:val="6BE26BB3"/>
    <w:rsid w:val="6BE741CA"/>
    <w:rsid w:val="6BEC4DD2"/>
    <w:rsid w:val="6C0C1E82"/>
    <w:rsid w:val="6C134FBF"/>
    <w:rsid w:val="6C1C3133"/>
    <w:rsid w:val="6C2A31AE"/>
    <w:rsid w:val="6C330ED2"/>
    <w:rsid w:val="6C3527D4"/>
    <w:rsid w:val="6C5B0466"/>
    <w:rsid w:val="6C643B3D"/>
    <w:rsid w:val="6C674CA3"/>
    <w:rsid w:val="6C7C7008"/>
    <w:rsid w:val="6C845EBC"/>
    <w:rsid w:val="6C847C6A"/>
    <w:rsid w:val="6C855934"/>
    <w:rsid w:val="6CA9147F"/>
    <w:rsid w:val="6CB85337"/>
    <w:rsid w:val="6CC369E5"/>
    <w:rsid w:val="6CC47E5A"/>
    <w:rsid w:val="6CD26C28"/>
    <w:rsid w:val="6CD96208"/>
    <w:rsid w:val="6CDE737B"/>
    <w:rsid w:val="6CED272F"/>
    <w:rsid w:val="6CF13C81"/>
    <w:rsid w:val="6CFE7A1D"/>
    <w:rsid w:val="6D055865"/>
    <w:rsid w:val="6D082649"/>
    <w:rsid w:val="6D152C7A"/>
    <w:rsid w:val="6D196605"/>
    <w:rsid w:val="6D1D512E"/>
    <w:rsid w:val="6D2154B9"/>
    <w:rsid w:val="6D3276C6"/>
    <w:rsid w:val="6D3708FB"/>
    <w:rsid w:val="6D3E250F"/>
    <w:rsid w:val="6D401DE3"/>
    <w:rsid w:val="6D5835D1"/>
    <w:rsid w:val="6D5C5AB8"/>
    <w:rsid w:val="6D632B13"/>
    <w:rsid w:val="6D8A305E"/>
    <w:rsid w:val="6D8C6AB1"/>
    <w:rsid w:val="6D8D2B4F"/>
    <w:rsid w:val="6D9050BE"/>
    <w:rsid w:val="6D964261"/>
    <w:rsid w:val="6DB36A59"/>
    <w:rsid w:val="6DB41A6A"/>
    <w:rsid w:val="6DC63DA8"/>
    <w:rsid w:val="6DD75C35"/>
    <w:rsid w:val="6DEA7FA1"/>
    <w:rsid w:val="6E0E0133"/>
    <w:rsid w:val="6E11327E"/>
    <w:rsid w:val="6E386F5E"/>
    <w:rsid w:val="6E4A456A"/>
    <w:rsid w:val="6E4E0530"/>
    <w:rsid w:val="6E5518BE"/>
    <w:rsid w:val="6E777A87"/>
    <w:rsid w:val="6E8333A7"/>
    <w:rsid w:val="6E847712"/>
    <w:rsid w:val="6E9835C9"/>
    <w:rsid w:val="6E9A4D7A"/>
    <w:rsid w:val="6E9B56B7"/>
    <w:rsid w:val="6E9D0F19"/>
    <w:rsid w:val="6EA13F6B"/>
    <w:rsid w:val="6EB81E4D"/>
    <w:rsid w:val="6ED94E10"/>
    <w:rsid w:val="6EE71039"/>
    <w:rsid w:val="6EEA46FD"/>
    <w:rsid w:val="6F101C89"/>
    <w:rsid w:val="6F152D9A"/>
    <w:rsid w:val="6F3C2A7E"/>
    <w:rsid w:val="6F5B1846"/>
    <w:rsid w:val="6F600666"/>
    <w:rsid w:val="6F6766E2"/>
    <w:rsid w:val="6F692830"/>
    <w:rsid w:val="6F7F3C85"/>
    <w:rsid w:val="6F852BA1"/>
    <w:rsid w:val="6F87083E"/>
    <w:rsid w:val="6FA526CF"/>
    <w:rsid w:val="6FA64098"/>
    <w:rsid w:val="6FB865A9"/>
    <w:rsid w:val="6FD107B4"/>
    <w:rsid w:val="6FE4739E"/>
    <w:rsid w:val="6FEF5D43"/>
    <w:rsid w:val="6FF3138F"/>
    <w:rsid w:val="6FFA135B"/>
    <w:rsid w:val="6FFF7C0E"/>
    <w:rsid w:val="700D06A2"/>
    <w:rsid w:val="70311EB7"/>
    <w:rsid w:val="70357BF9"/>
    <w:rsid w:val="70384FF4"/>
    <w:rsid w:val="7049709F"/>
    <w:rsid w:val="704C4F43"/>
    <w:rsid w:val="70607750"/>
    <w:rsid w:val="706B361B"/>
    <w:rsid w:val="7073599E"/>
    <w:rsid w:val="70736AC3"/>
    <w:rsid w:val="707515C1"/>
    <w:rsid w:val="707FDCA3"/>
    <w:rsid w:val="70865C9C"/>
    <w:rsid w:val="708A4D58"/>
    <w:rsid w:val="708F6BDE"/>
    <w:rsid w:val="70A37239"/>
    <w:rsid w:val="70A42689"/>
    <w:rsid w:val="70AE6A31"/>
    <w:rsid w:val="70B52AE8"/>
    <w:rsid w:val="70C5742E"/>
    <w:rsid w:val="70CB04E6"/>
    <w:rsid w:val="70D27294"/>
    <w:rsid w:val="71286E22"/>
    <w:rsid w:val="71431EA2"/>
    <w:rsid w:val="7143236C"/>
    <w:rsid w:val="71434477"/>
    <w:rsid w:val="71544FA7"/>
    <w:rsid w:val="716F0EE9"/>
    <w:rsid w:val="717D5BC9"/>
    <w:rsid w:val="718F06FD"/>
    <w:rsid w:val="71A566B9"/>
    <w:rsid w:val="71B2527A"/>
    <w:rsid w:val="71CA25C3"/>
    <w:rsid w:val="71D376CA"/>
    <w:rsid w:val="71DB20DB"/>
    <w:rsid w:val="71DB657E"/>
    <w:rsid w:val="71DC5974"/>
    <w:rsid w:val="71F15DA2"/>
    <w:rsid w:val="72231699"/>
    <w:rsid w:val="722568D7"/>
    <w:rsid w:val="72273572"/>
    <w:rsid w:val="722C6DDA"/>
    <w:rsid w:val="722F7D75"/>
    <w:rsid w:val="723D0FE7"/>
    <w:rsid w:val="72552B3F"/>
    <w:rsid w:val="72583E79"/>
    <w:rsid w:val="725A654C"/>
    <w:rsid w:val="725B4947"/>
    <w:rsid w:val="72602357"/>
    <w:rsid w:val="727F7783"/>
    <w:rsid w:val="72872262"/>
    <w:rsid w:val="728A3B01"/>
    <w:rsid w:val="72C45265"/>
    <w:rsid w:val="72D134DE"/>
    <w:rsid w:val="72D60AF4"/>
    <w:rsid w:val="72DD425C"/>
    <w:rsid w:val="72EB459F"/>
    <w:rsid w:val="72F85FEB"/>
    <w:rsid w:val="73013DC3"/>
    <w:rsid w:val="73153BB6"/>
    <w:rsid w:val="731C29AB"/>
    <w:rsid w:val="731E31D8"/>
    <w:rsid w:val="73243F55"/>
    <w:rsid w:val="73305DFD"/>
    <w:rsid w:val="734D5117"/>
    <w:rsid w:val="734F61F6"/>
    <w:rsid w:val="735E0EFB"/>
    <w:rsid w:val="735F61C1"/>
    <w:rsid w:val="7365121C"/>
    <w:rsid w:val="736B508C"/>
    <w:rsid w:val="737547B1"/>
    <w:rsid w:val="737650A4"/>
    <w:rsid w:val="738531BD"/>
    <w:rsid w:val="738A2DD7"/>
    <w:rsid w:val="73905147"/>
    <w:rsid w:val="73915B78"/>
    <w:rsid w:val="73941CCC"/>
    <w:rsid w:val="739447BA"/>
    <w:rsid w:val="73993FFB"/>
    <w:rsid w:val="73AA26AC"/>
    <w:rsid w:val="73AC4C26"/>
    <w:rsid w:val="73AE12EC"/>
    <w:rsid w:val="73AF3118"/>
    <w:rsid w:val="73B272DC"/>
    <w:rsid w:val="73B452D9"/>
    <w:rsid w:val="73BBD34C"/>
    <w:rsid w:val="73D46F1E"/>
    <w:rsid w:val="73D830DC"/>
    <w:rsid w:val="73F277FB"/>
    <w:rsid w:val="73F751C6"/>
    <w:rsid w:val="74035F8D"/>
    <w:rsid w:val="7416389E"/>
    <w:rsid w:val="74222C41"/>
    <w:rsid w:val="743467DF"/>
    <w:rsid w:val="74394BA4"/>
    <w:rsid w:val="743B1556"/>
    <w:rsid w:val="744213FF"/>
    <w:rsid w:val="744A1799"/>
    <w:rsid w:val="74714F78"/>
    <w:rsid w:val="74722479"/>
    <w:rsid w:val="74884070"/>
    <w:rsid w:val="7491607B"/>
    <w:rsid w:val="74962DDE"/>
    <w:rsid w:val="74B15F95"/>
    <w:rsid w:val="74B457E6"/>
    <w:rsid w:val="74DB6895"/>
    <w:rsid w:val="74DEE34C"/>
    <w:rsid w:val="74E0413E"/>
    <w:rsid w:val="74E670BC"/>
    <w:rsid w:val="74F31E31"/>
    <w:rsid w:val="74FE3011"/>
    <w:rsid w:val="74FE7FE0"/>
    <w:rsid w:val="751029E3"/>
    <w:rsid w:val="75322959"/>
    <w:rsid w:val="754B3A1B"/>
    <w:rsid w:val="755201BF"/>
    <w:rsid w:val="75521133"/>
    <w:rsid w:val="75532CC9"/>
    <w:rsid w:val="75640639"/>
    <w:rsid w:val="75672928"/>
    <w:rsid w:val="757F36C5"/>
    <w:rsid w:val="75A44F33"/>
    <w:rsid w:val="75AE7D3B"/>
    <w:rsid w:val="75B01F58"/>
    <w:rsid w:val="75B9544D"/>
    <w:rsid w:val="75BF1D13"/>
    <w:rsid w:val="75CB7DAE"/>
    <w:rsid w:val="75CE4A51"/>
    <w:rsid w:val="75D27C98"/>
    <w:rsid w:val="75DF5F11"/>
    <w:rsid w:val="75E901FC"/>
    <w:rsid w:val="75FD7964"/>
    <w:rsid w:val="75FF7042"/>
    <w:rsid w:val="7603295D"/>
    <w:rsid w:val="7607070F"/>
    <w:rsid w:val="760905A3"/>
    <w:rsid w:val="760925E8"/>
    <w:rsid w:val="76164217"/>
    <w:rsid w:val="76191423"/>
    <w:rsid w:val="76272F4D"/>
    <w:rsid w:val="763C3364"/>
    <w:rsid w:val="76407334"/>
    <w:rsid w:val="76487F5B"/>
    <w:rsid w:val="764B6161"/>
    <w:rsid w:val="768F354A"/>
    <w:rsid w:val="76934ECB"/>
    <w:rsid w:val="7696746C"/>
    <w:rsid w:val="76A814B1"/>
    <w:rsid w:val="76B85B6F"/>
    <w:rsid w:val="76BD3B8F"/>
    <w:rsid w:val="76D57A40"/>
    <w:rsid w:val="76EF79DF"/>
    <w:rsid w:val="76F0340D"/>
    <w:rsid w:val="76F58E6F"/>
    <w:rsid w:val="76FD6F97"/>
    <w:rsid w:val="770164D0"/>
    <w:rsid w:val="77076AA4"/>
    <w:rsid w:val="770C0F88"/>
    <w:rsid w:val="77107490"/>
    <w:rsid w:val="771A4CBB"/>
    <w:rsid w:val="772269FE"/>
    <w:rsid w:val="77424D1F"/>
    <w:rsid w:val="7754671E"/>
    <w:rsid w:val="77597EB6"/>
    <w:rsid w:val="777233CA"/>
    <w:rsid w:val="77807586"/>
    <w:rsid w:val="77851A69"/>
    <w:rsid w:val="779C230C"/>
    <w:rsid w:val="77BC650A"/>
    <w:rsid w:val="77BD7388"/>
    <w:rsid w:val="77C11D73"/>
    <w:rsid w:val="77C61FA0"/>
    <w:rsid w:val="77CB0E43"/>
    <w:rsid w:val="77CD4BBB"/>
    <w:rsid w:val="77D17A45"/>
    <w:rsid w:val="77D744B6"/>
    <w:rsid w:val="77DA638B"/>
    <w:rsid w:val="77ED294E"/>
    <w:rsid w:val="77F543A4"/>
    <w:rsid w:val="77FE2FC7"/>
    <w:rsid w:val="7800397B"/>
    <w:rsid w:val="78055809"/>
    <w:rsid w:val="78125870"/>
    <w:rsid w:val="78267E28"/>
    <w:rsid w:val="78303C92"/>
    <w:rsid w:val="78336E8F"/>
    <w:rsid w:val="7836450F"/>
    <w:rsid w:val="783F195D"/>
    <w:rsid w:val="78454752"/>
    <w:rsid w:val="78485FF0"/>
    <w:rsid w:val="785A48DB"/>
    <w:rsid w:val="78623556"/>
    <w:rsid w:val="786728C9"/>
    <w:rsid w:val="786C7F30"/>
    <w:rsid w:val="78811502"/>
    <w:rsid w:val="788162CE"/>
    <w:rsid w:val="78827687"/>
    <w:rsid w:val="78833532"/>
    <w:rsid w:val="78867F50"/>
    <w:rsid w:val="78905C76"/>
    <w:rsid w:val="789574EF"/>
    <w:rsid w:val="78A7540C"/>
    <w:rsid w:val="78C22246"/>
    <w:rsid w:val="78E82ECC"/>
    <w:rsid w:val="78EB7C2E"/>
    <w:rsid w:val="78F74CE4"/>
    <w:rsid w:val="79061938"/>
    <w:rsid w:val="790F6B0E"/>
    <w:rsid w:val="79135078"/>
    <w:rsid w:val="79157058"/>
    <w:rsid w:val="7917664A"/>
    <w:rsid w:val="791B1604"/>
    <w:rsid w:val="79277E07"/>
    <w:rsid w:val="792D0CF6"/>
    <w:rsid w:val="793D4922"/>
    <w:rsid w:val="795471DE"/>
    <w:rsid w:val="795D5ACB"/>
    <w:rsid w:val="796B15F6"/>
    <w:rsid w:val="797362B4"/>
    <w:rsid w:val="797572B9"/>
    <w:rsid w:val="797D43BF"/>
    <w:rsid w:val="798153CC"/>
    <w:rsid w:val="79960FDD"/>
    <w:rsid w:val="799D3B64"/>
    <w:rsid w:val="79A26A4A"/>
    <w:rsid w:val="79A82AF9"/>
    <w:rsid w:val="79A90D10"/>
    <w:rsid w:val="79B0209F"/>
    <w:rsid w:val="79BF480D"/>
    <w:rsid w:val="79C67B14"/>
    <w:rsid w:val="79CE4C1B"/>
    <w:rsid w:val="79CF5E40"/>
    <w:rsid w:val="79D32B34"/>
    <w:rsid w:val="79E66321"/>
    <w:rsid w:val="7A0643B5"/>
    <w:rsid w:val="7A293F92"/>
    <w:rsid w:val="7A2F1E3C"/>
    <w:rsid w:val="7A2F7FBA"/>
    <w:rsid w:val="7A344A7E"/>
    <w:rsid w:val="7A4455AE"/>
    <w:rsid w:val="7A4D6A17"/>
    <w:rsid w:val="7A5F5873"/>
    <w:rsid w:val="7A613399"/>
    <w:rsid w:val="7A886B78"/>
    <w:rsid w:val="7A8C079F"/>
    <w:rsid w:val="7A9A7EC7"/>
    <w:rsid w:val="7AD048D5"/>
    <w:rsid w:val="7AF97A75"/>
    <w:rsid w:val="7B2C02B9"/>
    <w:rsid w:val="7B2C1BF9"/>
    <w:rsid w:val="7B315461"/>
    <w:rsid w:val="7B3B25D2"/>
    <w:rsid w:val="7B452056"/>
    <w:rsid w:val="7B4D23D0"/>
    <w:rsid w:val="7B5178B1"/>
    <w:rsid w:val="7B606A67"/>
    <w:rsid w:val="7B62561B"/>
    <w:rsid w:val="7B6A2721"/>
    <w:rsid w:val="7B707D38"/>
    <w:rsid w:val="7B7E4AEF"/>
    <w:rsid w:val="7B7F7F7B"/>
    <w:rsid w:val="7B9854E0"/>
    <w:rsid w:val="7B9D74A9"/>
    <w:rsid w:val="7BA615A2"/>
    <w:rsid w:val="7BAD2EC7"/>
    <w:rsid w:val="7BB8348D"/>
    <w:rsid w:val="7BBD1C97"/>
    <w:rsid w:val="7BBF715B"/>
    <w:rsid w:val="7BC23097"/>
    <w:rsid w:val="7BDE554C"/>
    <w:rsid w:val="7BDF6C6B"/>
    <w:rsid w:val="7BE14DA1"/>
    <w:rsid w:val="7BF54622"/>
    <w:rsid w:val="7BF546E1"/>
    <w:rsid w:val="7BF71835"/>
    <w:rsid w:val="7BFF585B"/>
    <w:rsid w:val="7C031C34"/>
    <w:rsid w:val="7C1459E2"/>
    <w:rsid w:val="7C1F175E"/>
    <w:rsid w:val="7C4756E9"/>
    <w:rsid w:val="7C5D696C"/>
    <w:rsid w:val="7C6F6241"/>
    <w:rsid w:val="7C7B014B"/>
    <w:rsid w:val="7C8616B1"/>
    <w:rsid w:val="7C883B40"/>
    <w:rsid w:val="7C8A5143"/>
    <w:rsid w:val="7C907F65"/>
    <w:rsid w:val="7CA0464C"/>
    <w:rsid w:val="7CA52CCA"/>
    <w:rsid w:val="7CAE2D60"/>
    <w:rsid w:val="7CBA4FE2"/>
    <w:rsid w:val="7CBB1486"/>
    <w:rsid w:val="7CCD2F68"/>
    <w:rsid w:val="7CD267D0"/>
    <w:rsid w:val="7CDFA69B"/>
    <w:rsid w:val="7CF209C2"/>
    <w:rsid w:val="7D07111F"/>
    <w:rsid w:val="7D0D15B6"/>
    <w:rsid w:val="7D171AF4"/>
    <w:rsid w:val="7D23036F"/>
    <w:rsid w:val="7D2A03BA"/>
    <w:rsid w:val="7D337C34"/>
    <w:rsid w:val="7D344D95"/>
    <w:rsid w:val="7D366D5F"/>
    <w:rsid w:val="7D382AD7"/>
    <w:rsid w:val="7D40373A"/>
    <w:rsid w:val="7D4A0A5C"/>
    <w:rsid w:val="7D580E3B"/>
    <w:rsid w:val="7D60202E"/>
    <w:rsid w:val="7D607334"/>
    <w:rsid w:val="7D7E6B8B"/>
    <w:rsid w:val="7D864FB5"/>
    <w:rsid w:val="7D9046C1"/>
    <w:rsid w:val="7DA168CE"/>
    <w:rsid w:val="7DBFAEB0"/>
    <w:rsid w:val="7DC23DC2"/>
    <w:rsid w:val="7DCD02A0"/>
    <w:rsid w:val="7DD563A4"/>
    <w:rsid w:val="7DEB3451"/>
    <w:rsid w:val="7DF12C86"/>
    <w:rsid w:val="7DFD08B0"/>
    <w:rsid w:val="7DFF5852"/>
    <w:rsid w:val="7E144772"/>
    <w:rsid w:val="7E2748F9"/>
    <w:rsid w:val="7E3257BC"/>
    <w:rsid w:val="7E3D5ECB"/>
    <w:rsid w:val="7E4E1E86"/>
    <w:rsid w:val="7E584026"/>
    <w:rsid w:val="7E5F4093"/>
    <w:rsid w:val="7E641BD4"/>
    <w:rsid w:val="7E6B34F5"/>
    <w:rsid w:val="7E7B1E6F"/>
    <w:rsid w:val="7E7B3A3F"/>
    <w:rsid w:val="7E807A39"/>
    <w:rsid w:val="7E8B30DA"/>
    <w:rsid w:val="7E8C2368"/>
    <w:rsid w:val="7E9C6F9B"/>
    <w:rsid w:val="7EAB72D9"/>
    <w:rsid w:val="7EAF501B"/>
    <w:rsid w:val="7EB37063"/>
    <w:rsid w:val="7EBF4B32"/>
    <w:rsid w:val="7EC100EC"/>
    <w:rsid w:val="7EC5039A"/>
    <w:rsid w:val="7EC562F5"/>
    <w:rsid w:val="7EC91358"/>
    <w:rsid w:val="7ED7DDCE"/>
    <w:rsid w:val="7EEB3B79"/>
    <w:rsid w:val="7EED1546"/>
    <w:rsid w:val="7EF70770"/>
    <w:rsid w:val="7F07550C"/>
    <w:rsid w:val="7F0D1D41"/>
    <w:rsid w:val="7F141322"/>
    <w:rsid w:val="7F1453DB"/>
    <w:rsid w:val="7F1475B9"/>
    <w:rsid w:val="7F1629A4"/>
    <w:rsid w:val="7F1E1CCB"/>
    <w:rsid w:val="7F2876AC"/>
    <w:rsid w:val="7F341DFF"/>
    <w:rsid w:val="7F590AE3"/>
    <w:rsid w:val="7F5931D8"/>
    <w:rsid w:val="7F6F7026"/>
    <w:rsid w:val="7F7F184C"/>
    <w:rsid w:val="7F7FE64A"/>
    <w:rsid w:val="7F956761"/>
    <w:rsid w:val="7F9B49B0"/>
    <w:rsid w:val="7FB422C4"/>
    <w:rsid w:val="7FDC3989"/>
    <w:rsid w:val="7FEA09E2"/>
    <w:rsid w:val="7FEC1957"/>
    <w:rsid w:val="7FF37189"/>
    <w:rsid w:val="8DDC2330"/>
    <w:rsid w:val="9FBD6E3A"/>
    <w:rsid w:val="ABB51C1B"/>
    <w:rsid w:val="AFBBF067"/>
    <w:rsid w:val="B5FF2DC1"/>
    <w:rsid w:val="B7D75C42"/>
    <w:rsid w:val="B9F775B7"/>
    <w:rsid w:val="BC936312"/>
    <w:rsid w:val="BDFF1568"/>
    <w:rsid w:val="BDFFED4C"/>
    <w:rsid w:val="BEDF50DF"/>
    <w:rsid w:val="BF7F7A46"/>
    <w:rsid w:val="BFD75EF3"/>
    <w:rsid w:val="BFEA60F3"/>
    <w:rsid w:val="BFF4EE88"/>
    <w:rsid w:val="C6DF4D2C"/>
    <w:rsid w:val="CDDF8D29"/>
    <w:rsid w:val="CF7B6F3E"/>
    <w:rsid w:val="D2B781E6"/>
    <w:rsid w:val="D47FFD19"/>
    <w:rsid w:val="D6C7FF08"/>
    <w:rsid w:val="D8FF9E66"/>
    <w:rsid w:val="DB2EA37C"/>
    <w:rsid w:val="DEFAD7D8"/>
    <w:rsid w:val="DFB72C70"/>
    <w:rsid w:val="DFFA7DB7"/>
    <w:rsid w:val="E4EB1C6E"/>
    <w:rsid w:val="E75F9682"/>
    <w:rsid w:val="E7BBB46B"/>
    <w:rsid w:val="EA0B12A9"/>
    <w:rsid w:val="EBF68805"/>
    <w:rsid w:val="EEE7E7A4"/>
    <w:rsid w:val="EFF60C47"/>
    <w:rsid w:val="F1F511E9"/>
    <w:rsid w:val="F2CDE67B"/>
    <w:rsid w:val="F68F70A5"/>
    <w:rsid w:val="F7BBF211"/>
    <w:rsid w:val="F7DEF1EE"/>
    <w:rsid w:val="F7F38D57"/>
    <w:rsid w:val="F7FF55DE"/>
    <w:rsid w:val="F98567CE"/>
    <w:rsid w:val="F9BEFF0E"/>
    <w:rsid w:val="F9EFC684"/>
    <w:rsid w:val="FADDB4F8"/>
    <w:rsid w:val="FAE9CD5D"/>
    <w:rsid w:val="FB5F9FE3"/>
    <w:rsid w:val="FB692196"/>
    <w:rsid w:val="FBCF5740"/>
    <w:rsid w:val="FD7DC39C"/>
    <w:rsid w:val="FDAD4A42"/>
    <w:rsid w:val="FDEC5532"/>
    <w:rsid w:val="FDFDD994"/>
    <w:rsid w:val="FDFE196F"/>
    <w:rsid w:val="FDFFA531"/>
    <w:rsid w:val="FEBDE989"/>
    <w:rsid w:val="FEBF0BE3"/>
    <w:rsid w:val="FEF5BAD6"/>
    <w:rsid w:val="FF572B2E"/>
    <w:rsid w:val="FF7B3FA7"/>
    <w:rsid w:val="FFDF63B8"/>
    <w:rsid w:val="FFE70018"/>
    <w:rsid w:val="FFFAA7B2"/>
    <w:rsid w:val="FFFD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7">
    <w:name w:val="annotation text"/>
    <w:basedOn w:val="1"/>
    <w:link w:val="28"/>
    <w:unhideWhenUsed/>
    <w:qFormat/>
    <w:uiPriority w:val="0"/>
    <w:pPr>
      <w:jc w:val="left"/>
    </w:pPr>
    <w:rPr>
      <w:kern w:val="0"/>
      <w:sz w:val="20"/>
    </w:rPr>
  </w:style>
  <w:style w:type="paragraph" w:styleId="8">
    <w:name w:val="Body Text"/>
    <w:basedOn w:val="1"/>
    <w:next w:val="9"/>
    <w:unhideWhenUsed/>
    <w:qFormat/>
    <w:uiPriority w:val="0"/>
    <w:pPr>
      <w:spacing w:after="120"/>
    </w:pPr>
    <w:rPr>
      <w:sz w:val="24"/>
    </w:rPr>
  </w:style>
  <w:style w:type="paragraph" w:styleId="9">
    <w:name w:val="Body Text 2"/>
    <w:basedOn w:val="1"/>
    <w:qFormat/>
    <w:uiPriority w:val="0"/>
    <w:pPr>
      <w:spacing w:before="240"/>
    </w:pPr>
    <w:rPr>
      <w:rFonts w:ascii="Calibri" w:hAnsi="Calibri"/>
      <w:color w:val="FF0000"/>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qFormat/>
    <w:uiPriority w:val="0"/>
    <w:rPr>
      <w:rFonts w:ascii="宋体" w:hAnsi="Courier New"/>
    </w:rPr>
  </w:style>
  <w:style w:type="paragraph" w:styleId="12">
    <w:name w:val="Balloon Text"/>
    <w:basedOn w:val="1"/>
    <w:link w:val="29"/>
    <w:qFormat/>
    <w:uiPriority w:val="0"/>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toc 2"/>
    <w:basedOn w:val="1"/>
    <w:next w:val="1"/>
    <w:qFormat/>
    <w:uiPriority w:val="0"/>
    <w:pPr>
      <w:spacing w:line="600" w:lineRule="exact"/>
      <w:ind w:firstLine="880" w:firstLineChars="200"/>
    </w:pPr>
    <w:rPr>
      <w:rFonts w:eastAsia="仿宋_GB2312"/>
      <w:sz w:val="3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annotation subject"/>
    <w:basedOn w:val="7"/>
    <w:next w:val="7"/>
    <w:link w:val="30"/>
    <w:qFormat/>
    <w:uiPriority w:val="0"/>
    <w:rPr>
      <w:b/>
      <w:bCs/>
      <w:kern w:val="2"/>
      <w:sz w:val="21"/>
    </w:rPr>
  </w:style>
  <w:style w:type="paragraph" w:styleId="19">
    <w:name w:val="Body Text First Indent"/>
    <w:basedOn w:val="8"/>
    <w:qFormat/>
    <w:uiPriority w:val="0"/>
    <w:pPr>
      <w:snapToGrid w:val="0"/>
      <w:spacing w:line="560" w:lineRule="exact"/>
      <w:ind w:firstLine="200" w:firstLineChars="200"/>
    </w:pPr>
    <w:rPr>
      <w:rFonts w:ascii="仿宋" w:hAnsi="仿宋" w:cs="仿宋"/>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FollowedHyperlink"/>
    <w:basedOn w:val="22"/>
    <w:qFormat/>
    <w:uiPriority w:val="0"/>
    <w:rPr>
      <w:color w:val="800080"/>
      <w:u w:val="none"/>
    </w:rPr>
  </w:style>
  <w:style w:type="character" w:styleId="26">
    <w:name w:val="Hyperlink"/>
    <w:basedOn w:val="22"/>
    <w:qFormat/>
    <w:uiPriority w:val="0"/>
    <w:rPr>
      <w:color w:val="0000FF"/>
      <w:u w:val="none"/>
    </w:rPr>
  </w:style>
  <w:style w:type="character" w:styleId="27">
    <w:name w:val="annotation reference"/>
    <w:basedOn w:val="22"/>
    <w:qFormat/>
    <w:uiPriority w:val="0"/>
    <w:rPr>
      <w:sz w:val="21"/>
      <w:szCs w:val="21"/>
    </w:rPr>
  </w:style>
  <w:style w:type="character" w:customStyle="1" w:styleId="28">
    <w:name w:val="批注文字 字符"/>
    <w:basedOn w:val="22"/>
    <w:link w:val="7"/>
    <w:qFormat/>
    <w:uiPriority w:val="0"/>
    <w:rPr>
      <w:szCs w:val="24"/>
    </w:rPr>
  </w:style>
  <w:style w:type="character" w:customStyle="1" w:styleId="29">
    <w:name w:val="批注框文本 字符"/>
    <w:basedOn w:val="22"/>
    <w:link w:val="12"/>
    <w:qFormat/>
    <w:uiPriority w:val="0"/>
    <w:rPr>
      <w:kern w:val="2"/>
      <w:sz w:val="18"/>
      <w:szCs w:val="18"/>
    </w:rPr>
  </w:style>
  <w:style w:type="character" w:customStyle="1" w:styleId="30">
    <w:name w:val="批注主题 字符"/>
    <w:basedOn w:val="28"/>
    <w:link w:val="18"/>
    <w:qFormat/>
    <w:uiPriority w:val="0"/>
    <w:rPr>
      <w:b/>
      <w:bCs/>
      <w:kern w:val="2"/>
      <w:sz w:val="21"/>
      <w:szCs w:val="24"/>
    </w:rPr>
  </w:style>
  <w:style w:type="paragraph" w:styleId="31">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正文格式"/>
    <w:basedOn w:val="10"/>
    <w:qFormat/>
    <w:uiPriority w:val="99"/>
    <w:pPr>
      <w:spacing w:after="0" w:line="360" w:lineRule="auto"/>
      <w:ind w:left="0" w:leftChars="0" w:firstLine="600"/>
    </w:pPr>
    <w:rPr>
      <w:rFonts w:eastAsia="仿宋_GB2312"/>
      <w:sz w:val="30"/>
      <w:szCs w:val="30"/>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5">
    <w:name w:val="List Paragraph"/>
    <w:basedOn w:val="1"/>
    <w:qFormat/>
    <w:uiPriority w:val="34"/>
    <w:pPr>
      <w:ind w:firstLine="420" w:firstLineChars="200"/>
    </w:pPr>
  </w:style>
  <w:style w:type="paragraph" w:customStyle="1" w:styleId="36">
    <w:name w:val="（）列表模式"/>
    <w:basedOn w:val="1"/>
    <w:qFormat/>
    <w:uiPriority w:val="0"/>
    <w:pPr>
      <w:tabs>
        <w:tab w:val="left" w:pos="960"/>
        <w:tab w:val="left" w:pos="1470"/>
      </w:tabs>
      <w:spacing w:line="360" w:lineRule="auto"/>
      <w:ind w:left="1470" w:hanging="420"/>
    </w:pPr>
    <w:rPr>
      <w:sz w:val="24"/>
      <w:szCs w:val="20"/>
    </w:rPr>
  </w:style>
  <w:style w:type="paragraph" w:customStyle="1" w:styleId="37">
    <w:name w:val="Table Paragraph"/>
    <w:basedOn w:val="1"/>
    <w:qFormat/>
    <w:uiPriority w:val="0"/>
    <w:pPr>
      <w:autoSpaceDE w:val="0"/>
      <w:autoSpaceDN w:val="0"/>
      <w:jc w:val="left"/>
    </w:pPr>
    <w:rPr>
      <w:rFonts w:ascii="宋体" w:hAnsi="宋体" w:cs="宋体"/>
      <w:kern w:val="0"/>
      <w:sz w:val="22"/>
      <w:szCs w:val="22"/>
    </w:rPr>
  </w:style>
  <w:style w:type="paragraph" w:customStyle="1" w:styleId="3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qowt-font5-gb2312"/>
    <w:qFormat/>
    <w:uiPriority w:val="0"/>
  </w:style>
  <w:style w:type="paragraph" w:customStyle="1" w:styleId="40">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1">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3">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4">
    <w:name w:val="NormalCharacter"/>
    <w:qFormat/>
    <w:uiPriority w:val="0"/>
    <w:rPr>
      <w:kern w:val="2"/>
      <w:sz w:val="21"/>
      <w:szCs w:val="24"/>
      <w:lang w:val="en-US" w:eastAsia="zh-CN" w:bidi="ar-SA"/>
    </w:rPr>
  </w:style>
  <w:style w:type="paragraph" w:customStyle="1" w:styleId="45">
    <w:name w:val="Table Text"/>
    <w:basedOn w:val="1"/>
    <w:semiHidden/>
    <w:qFormat/>
    <w:uiPriority w:val="0"/>
    <w:rPr>
      <w:rFonts w:ascii="宋体" w:hAnsi="宋体" w:cs="宋体"/>
      <w:sz w:val="20"/>
      <w:szCs w:val="20"/>
    </w:r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2729</Words>
  <Characters>2786</Characters>
  <Lines>409</Lines>
  <Paragraphs>115</Paragraphs>
  <TotalTime>6</TotalTime>
  <ScaleCrop>false</ScaleCrop>
  <LinksUpToDate>false</LinksUpToDate>
  <CharactersWithSpaces>2815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2025-12-08T13:07:00Z</dcterms:created>
  <dcterms:modified xsi:type="dcterms:W3CDTF">2025-12-24T08:27:17Z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C801E23572EB40809726A15E76B4EDDF_13</vt:lpwstr>
  </property>
  <property fmtid="{D5CDD505-2E9C-101B-9397-08002B2CF9AE}" pid="4" name="KSOTemplateDocerSaveRecord">
    <vt:lpwstr>eyJoZGlkIjoiMjg4YTgwZWNlYzllODgyY2ZiMzc5OWI4YzIzOTI0NWYiLCJ1c2VySWQiOiI1NDE3NDk4ODMifQ==</vt:lpwstr>
  </property>
</Properties>
</file>