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招标编号：QH2025123</w:t>
      </w: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pStyle w:val="24"/>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深圳市前海深港现代服务业合作区非税收入代理银行项目</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default" w:ascii="宋体" w:hAnsi="宋体" w:cs="宋体"/>
          <w:b/>
          <w:bCs/>
          <w:color w:val="000000" w:themeColor="text1"/>
          <w:sz w:val="36"/>
          <w:szCs w:val="36"/>
          <w:lang w:val="en-US"/>
          <w14:textFill>
            <w14:solidFill>
              <w14:schemeClr w14:val="tx1"/>
            </w14:solidFill>
          </w14:textFill>
        </w:rPr>
        <w:t>12</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0"/>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3"/>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1"/>
        <w:tabs>
          <w:tab w:val="right" w:leader="dot" w:pos="8306"/>
        </w:tabs>
        <w:spacing w:line="480" w:lineRule="auto"/>
        <w:rPr>
          <w:b/>
          <w:bCs/>
          <w:color w:val="000000" w:themeColor="text1"/>
          <w:sz w:val="24"/>
          <w:szCs w:val="32"/>
          <w14:textFill>
            <w14:solidFill>
              <w14:schemeClr w14:val="tx1"/>
            </w14:solidFill>
          </w14:textFill>
        </w:rPr>
      </w:pPr>
    </w:p>
    <w:p>
      <w:pPr>
        <w:pStyle w:val="11"/>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1"/>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1"/>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w:t>
      </w:r>
      <w:r>
        <w:rPr>
          <w:rFonts w:hint="eastAsia" w:ascii="宋体" w:hAnsi="宋体" w:cs="宋体"/>
          <w:color w:val="000000" w:themeColor="text1"/>
          <w:kern w:val="0"/>
          <w:sz w:val="24"/>
          <w14:textFill>
            <w14:solidFill>
              <w14:schemeClr w14:val="tx1"/>
            </w14:solidFill>
          </w14:textFill>
        </w:rPr>
        <w:t>0722-2025FE6176SZF-1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深圳市前海深港现代服务业合作区非税收入代理银行项目</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QH2025123</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7"/>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深圳市前海深港现代服务业合作区非税收入代理银行项目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非税收入财政专户是由财政部门按照规定程序在代收银行设立，用于执收单位非税收入的收入收缴，按要求将代收银行内款项于规定的时间内划转至金库或财政其他专户中，并承担会计核算、分成、退付、报表、监控、统计分析、对外接口等功能</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（支付上限）</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r>
              <w:rPr>
                <w:rFonts w:hint="eastAsia" w:ascii="宋体" w:hAnsi="宋体" w:cs="宋体"/>
                <w:color w:val="000000" w:themeColor="text1"/>
                <w:sz w:val="24"/>
                <w:lang w:val="en-US" w:eastAsia="zh-CN"/>
                <w14:textFill>
                  <w14:solidFill>
                    <w14:schemeClr w14:val="tx1"/>
                  </w14:solidFill>
                </w14:textFill>
              </w:rPr>
              <w:t>肆仟</w:t>
            </w:r>
            <w:r>
              <w:rPr>
                <w:rFonts w:hint="eastAsia" w:ascii="宋体" w:hAnsi="宋体" w:cs="宋体"/>
                <w:color w:val="000000" w:themeColor="text1"/>
                <w:sz w:val="24"/>
                <w14:textFill>
                  <w14:solidFill>
                    <w14:schemeClr w14:val="tx1"/>
                  </w14:solidFill>
                </w14:textFill>
              </w:rPr>
              <w:t>元整（¥</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676" w:type="dxa"/>
            <w:vAlign w:val="center"/>
          </w:tcPr>
          <w:p>
            <w:pPr>
              <w:spacing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服务属性</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w:t>
            </w:r>
            <w:r>
              <w:rPr>
                <w:rFonts w:hint="eastAsia" w:ascii="宋体" w:hAnsi="宋体" w:cs="宋体"/>
                <w:color w:val="000000" w:themeColor="text1"/>
                <w:sz w:val="24"/>
                <w:lang w:val="en-US" w:eastAsia="zh-CN"/>
                <w14:textFill>
                  <w14:solidFill>
                    <w14:schemeClr w14:val="tx1"/>
                  </w14:solidFill>
                </w14:textFill>
              </w:rPr>
              <w:t>非</w:t>
            </w:r>
            <w:r>
              <w:rPr>
                <w:rFonts w:hint="eastAsia" w:ascii="宋体" w:hAnsi="宋体" w:cs="宋体"/>
                <w:color w:val="000000" w:themeColor="text1"/>
                <w:sz w:val="24"/>
                <w14:textFill>
                  <w14:solidFill>
                    <w14:schemeClr w14:val="tx1"/>
                  </w14:solidFill>
                </w14:textFill>
              </w:rPr>
              <w:t>长期服务项目</w:t>
            </w:r>
            <w:r>
              <w:rPr>
                <w:rFonts w:hint="eastAsia" w:ascii="宋体" w:hAnsi="宋体" w:cs="宋体"/>
                <w:color w:val="000000" w:themeColor="text1"/>
                <w:kern w:val="0"/>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12</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19</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kern w:val="0"/>
                <w:sz w:val="24"/>
                <w:lang w:val="en-US" w:eastAsia="zh-CN"/>
                <w14:textFill>
                  <w14:solidFill>
                    <w14:schemeClr w14:val="tx1"/>
                  </w14:solidFill>
                </w14:textFill>
              </w:rPr>
              <w:t>2513</w:t>
            </w:r>
            <w:r>
              <w:rPr>
                <w:rFonts w:hint="eastAsia" w:ascii="宋体" w:hAnsi="宋体" w:cs="宋体"/>
                <w:color w:val="000000" w:themeColor="text1"/>
                <w:kern w:val="0"/>
                <w:sz w:val="24"/>
                <w14:textFill>
                  <w14:solidFill>
                    <w14:schemeClr w14:val="tx1"/>
                  </w14:solidFill>
                </w14:textFill>
              </w:rPr>
              <w:t>室（截标后不再接收任何投标文件）</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w:t>
            </w:r>
            <w:r>
              <w:rPr>
                <w:rFonts w:hint="eastAsia" w:ascii="宋体" w:hAnsi="宋体" w:cs="宋体"/>
                <w:color w:val="000000" w:themeColor="text1"/>
                <w:kern w:val="0"/>
                <w:sz w:val="24"/>
                <w:lang w:eastAsia="zh-CN"/>
                <w14:textFill>
                  <w14:solidFill>
                    <w14:schemeClr w14:val="tx1"/>
                  </w14:solidFill>
                </w14:textFill>
              </w:rPr>
              <w:t>郭</w:t>
            </w:r>
            <w:r>
              <w:rPr>
                <w:rFonts w:hint="eastAsia" w:ascii="宋体" w:hAnsi="宋体" w:cs="宋体"/>
                <w:color w:val="000000" w:themeColor="text1"/>
                <w:sz w:val="24"/>
                <w:lang w:eastAsia="zh-CN"/>
                <w14:textFill>
                  <w14:solidFill>
                    <w14:schemeClr w14:val="tx1"/>
                  </w14:solidFill>
                </w14:textFill>
              </w:rPr>
              <w:t>女士</w:t>
            </w:r>
          </w:p>
          <w:p>
            <w:pPr>
              <w:adjustRightInd w:val="0"/>
              <w:snapToGrid w:val="0"/>
              <w:spacing w:line="360" w:lineRule="auto"/>
              <w:jc w:val="left"/>
              <w:rPr>
                <w:rFonts w:hint="default"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r>
              <w:rPr>
                <w:rFonts w:hint="eastAsia" w:ascii="宋体" w:hAnsi="宋体" w:cs="宋体"/>
                <w:color w:val="000000" w:themeColor="text1"/>
                <w:sz w:val="24"/>
                <w14:textFill>
                  <w14:solidFill>
                    <w14:schemeClr w14:val="tx1"/>
                  </w14:solidFill>
                </w14:textFill>
              </w:rPr>
              <w:t>0755-8810</w:t>
            </w:r>
            <w:r>
              <w:rPr>
                <w:rFonts w:hint="eastAsia" w:ascii="宋体" w:hAnsi="宋体" w:cs="宋体"/>
                <w:color w:val="000000" w:themeColor="text1"/>
                <w:sz w:val="24"/>
                <w:lang w:val="en-US" w:eastAsia="zh-CN"/>
                <w14:textFill>
                  <w14:solidFill>
                    <w14:schemeClr w14:val="tx1"/>
                  </w14:solidFill>
                </w14:textFill>
              </w:rPr>
              <w:t>5026</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在中华人民共和国内注册登记的机构，具有独立承担民事责任的能力（提供《营业执照》或《事业单位法人证书》等独立承担民事责任能力的登记证明文件复印件加盖公章；</w:t>
            </w:r>
            <w:r>
              <w:rPr>
                <w:rFonts w:hint="eastAsia" w:ascii="宋体" w:hAnsi="宋体" w:cs="宋体"/>
                <w:b/>
                <w:bCs/>
                <w:color w:val="000000" w:themeColor="text1"/>
                <w:kern w:val="0"/>
                <w:sz w:val="24"/>
                <w:lang w:eastAsia="zh-CN"/>
                <w14:textFill>
                  <w14:solidFill>
                    <w14:schemeClr w14:val="tx1"/>
                  </w14:solidFill>
                </w14:textFill>
              </w:rPr>
              <w:t>分支机构投标须提供总公司(总行)出具的愿为其承担民事责任的相关函件【函件形式不限，体现相关内容即可】。且同一家总公司(总行)若有两家或两家以上的分支机构，总公司(总行)只能授权一家参与投标）；</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本项目的特定资格要求：具备人民银行颁发的</w:t>
            </w:r>
            <w:bookmarkStart w:id="8" w:name="OLE_LINK1"/>
            <w:r>
              <w:rPr>
                <w:rFonts w:hint="eastAsia" w:ascii="宋体" w:hAnsi="宋体" w:eastAsia="宋体" w:cs="宋体"/>
                <w:b/>
                <w:bCs/>
                <w:color w:val="000000" w:themeColor="text1"/>
                <w:kern w:val="0"/>
                <w:sz w:val="24"/>
                <w14:textFill>
                  <w14:solidFill>
                    <w14:schemeClr w14:val="tx1"/>
                  </w14:solidFill>
                </w14:textFill>
              </w:rPr>
              <w:t>深圳市本级</w:t>
            </w:r>
            <w:r>
              <w:rPr>
                <w:rFonts w:hint="eastAsia" w:ascii="宋体" w:hAnsi="宋体" w:eastAsia="宋体" w:cs="宋体"/>
                <w:b/>
                <w:bCs/>
                <w:color w:val="000000" w:themeColor="text1"/>
                <w:kern w:val="0"/>
                <w:sz w:val="24"/>
                <w:lang w:val="en-US" w:eastAsia="zh-CN"/>
                <w14:textFill>
                  <w14:solidFill>
                    <w14:schemeClr w14:val="tx1"/>
                  </w14:solidFill>
                </w14:textFill>
              </w:rPr>
              <w:t>或南</w:t>
            </w:r>
            <w:r>
              <w:rPr>
                <w:rFonts w:hint="eastAsia" w:ascii="宋体" w:hAnsi="宋体" w:cs="宋体"/>
                <w:b/>
                <w:bCs/>
                <w:color w:val="000000" w:themeColor="text1"/>
                <w:kern w:val="0"/>
                <w:sz w:val="24"/>
                <w:lang w:val="en-US" w:eastAsia="zh-CN"/>
                <w14:textFill>
                  <w14:solidFill>
                    <w14:schemeClr w14:val="tx1"/>
                  </w14:solidFill>
                </w14:textFill>
              </w:rPr>
              <w:t>山区、宝安区</w:t>
            </w:r>
            <w:r>
              <w:rPr>
                <w:rFonts w:hint="eastAsia" w:ascii="宋体" w:hAnsi="宋体" w:eastAsia="宋体" w:cs="宋体"/>
                <w:b/>
                <w:bCs/>
                <w:color w:val="000000" w:themeColor="text1"/>
                <w:kern w:val="0"/>
                <w:sz w:val="24"/>
                <w14:textFill>
                  <w14:solidFill>
                    <w14:schemeClr w14:val="tx1"/>
                  </w14:solidFill>
                </w14:textFill>
              </w:rPr>
              <w:t>非税收入收缴代理银行资格</w:t>
            </w:r>
            <w:bookmarkEnd w:id="8"/>
            <w:r>
              <w:rPr>
                <w:rFonts w:hint="eastAsia" w:ascii="宋体" w:hAnsi="宋体" w:eastAsia="宋体" w:cs="宋体"/>
                <w:b/>
                <w:bCs/>
                <w:color w:val="000000" w:themeColor="text1"/>
                <w:kern w:val="0"/>
                <w:sz w:val="24"/>
                <w14:textFill>
                  <w14:solidFill>
                    <w14:schemeClr w14:val="tx1"/>
                  </w14:solidFill>
                </w14:textFill>
              </w:rPr>
              <w:t>（由供应商提供相应证明文件或承诺函）。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投标报价</w:t>
            </w:r>
            <w:r>
              <w:rPr>
                <w:rFonts w:hint="eastAsia" w:ascii="宋体" w:hAnsi="宋体" w:cs="宋体"/>
                <w:color w:val="000000" w:themeColor="text1"/>
                <w:sz w:val="24"/>
                <w:szCs w:val="24"/>
                <w:lang w:val="en-US" w:eastAsia="zh-CN"/>
                <w14:textFill>
                  <w14:solidFill>
                    <w14:schemeClr w14:val="tx1"/>
                  </w14:solidFill>
                </w14:textFill>
              </w:rPr>
              <w:t>单价（</w:t>
            </w:r>
            <w:r>
              <w:rPr>
                <w:rFonts w:hint="eastAsia" w:ascii="宋体" w:hAnsi="宋体" w:eastAsia="宋体" w:cs="宋体"/>
                <w:color w:val="000000" w:themeColor="text1"/>
                <w:kern w:val="2"/>
                <w:sz w:val="24"/>
                <w:szCs w:val="24"/>
                <w14:textFill>
                  <w14:solidFill>
                    <w14:schemeClr w14:val="tx1"/>
                  </w14:solidFill>
                </w14:textFill>
              </w:rPr>
              <w:t>手续费</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作为中标人与采购人</w:t>
            </w:r>
            <w:r>
              <w:rPr>
                <w:rFonts w:hint="eastAsia" w:ascii="宋体" w:hAnsi="宋体" w:cs="宋体"/>
                <w:color w:val="000000" w:themeColor="text1"/>
                <w:sz w:val="24"/>
                <w:szCs w:val="24"/>
                <w:lang w:eastAsia="zh-CN"/>
                <w14:textFill>
                  <w14:solidFill>
                    <w14:schemeClr w14:val="tx1"/>
                  </w14:solidFill>
                </w14:textFill>
              </w:rPr>
              <w:t>签订</w:t>
            </w:r>
            <w:r>
              <w:rPr>
                <w:rFonts w:hint="eastAsia" w:ascii="宋体" w:hAnsi="宋体" w:eastAsia="宋体" w:cs="宋体"/>
                <w:color w:val="000000" w:themeColor="text1"/>
                <w:sz w:val="24"/>
                <w:szCs w:val="24"/>
                <w14:textFill>
                  <w14:solidFill>
                    <w14:schemeClr w14:val="tx1"/>
                  </w14:solidFill>
                </w14:textFill>
              </w:rPr>
              <w:t>的合同金额。</w:t>
            </w:r>
            <w:r>
              <w:rPr>
                <w:rFonts w:hint="eastAsia" w:ascii="宋体" w:hAnsi="宋体" w:cs="宋体"/>
                <w:b/>
                <w:bCs/>
                <w:color w:val="000000" w:themeColor="text1"/>
                <w:sz w:val="24"/>
                <w:szCs w:val="24"/>
                <w:lang w:val="en-US" w:eastAsia="zh-CN"/>
                <w14:textFill>
                  <w14:solidFill>
                    <w14:schemeClr w14:val="tx1"/>
                  </w14:solidFill>
                </w14:textFill>
              </w:rPr>
              <w:t>手续费报价</w:t>
            </w:r>
            <w:r>
              <w:rPr>
                <w:rFonts w:hint="eastAsia" w:ascii="宋体" w:hAnsi="宋体" w:eastAsia="宋体" w:cs="宋体"/>
                <w:b/>
                <w:bCs/>
                <w:color w:val="000000" w:themeColor="text1"/>
                <w:sz w:val="24"/>
                <w:szCs w:val="24"/>
                <w14:textFill>
                  <w14:solidFill>
                    <w14:schemeClr w14:val="tx1"/>
                  </w14:solidFill>
                </w14:textFill>
              </w:rPr>
              <w:t>每笔</w:t>
            </w:r>
            <w:r>
              <w:rPr>
                <w:rFonts w:hint="eastAsia" w:ascii="宋体" w:hAnsi="宋体" w:cs="宋体"/>
                <w:b/>
                <w:bCs/>
                <w:color w:val="000000" w:themeColor="text1"/>
                <w:sz w:val="24"/>
                <w:szCs w:val="24"/>
                <w:lang w:val="en-US" w:eastAsia="zh-CN"/>
                <w14:textFill>
                  <w14:solidFill>
                    <w14:schemeClr w14:val="tx1"/>
                  </w14:solidFill>
                </w14:textFill>
              </w:rPr>
              <w:t>不超</w:t>
            </w:r>
            <w:r>
              <w:rPr>
                <w:rFonts w:hint="eastAsia" w:ascii="宋体" w:hAnsi="宋体" w:eastAsia="宋体" w:cs="宋体"/>
                <w:b/>
                <w:bCs/>
                <w:color w:val="000000" w:themeColor="text1"/>
                <w:sz w:val="24"/>
                <w:szCs w:val="24"/>
                <w14:textFill>
                  <w14:solidFill>
                    <w14:schemeClr w14:val="tx1"/>
                  </w14:solidFill>
                </w14:textFill>
              </w:rPr>
              <w:t>0.4元</w:t>
            </w:r>
            <w:r>
              <w:rPr>
                <w:rFonts w:hint="eastAsia" w:ascii="宋体" w:hAnsi="宋体" w:cs="宋体"/>
                <w:b/>
                <w:bCs/>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否则投标人的投标文件视同无效。本项目服务费应包括服务成本、法定税费和企业的利润，项目服务费包括但不限于成果制作费、人员劳务费、资料费、印刷费、税费等为完成服务所需的费用</w:t>
            </w:r>
            <w:r>
              <w:rPr>
                <w:rFonts w:hint="eastAsia" w:ascii="宋体" w:hAnsi="宋体" w:eastAsia="宋体" w:cs="宋体"/>
                <w:color w:val="000000" w:themeColor="text1"/>
                <w:sz w:val="24"/>
                <w:highlight w:val="none"/>
                <w:lang w:eastAsia="zh-CN"/>
                <w14:textFill>
                  <w14:solidFill>
                    <w14:schemeClr w14:val="tx1"/>
                  </w14:solidFill>
                </w14:textFill>
              </w:rPr>
              <w:t>。</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0"/>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9" w:name="_Toc28359086"/>
            <w:bookmarkStart w:id="10" w:name="_Toc28359009"/>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hint="eastAsia" w:ascii="宋体" w:hAnsi="宋体" w:cs="宋体"/>
                <w:color w:val="000000" w:themeColor="text1"/>
                <w:sz w:val="24"/>
                <w:lang w:eastAsia="zh-CN"/>
                <w14:textFill>
                  <w14:solidFill>
                    <w14:schemeClr w14:val="tx1"/>
                  </w14:solidFill>
                </w14:textFill>
              </w:rPr>
              <w:t>郭女士</w:t>
            </w:r>
          </w:p>
          <w:p>
            <w:pPr>
              <w:spacing w:line="360" w:lineRule="auto"/>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w:t>
            </w:r>
            <w:r>
              <w:rPr>
                <w:rFonts w:hint="eastAsia" w:ascii="宋体" w:hAnsi="宋体" w:cs="宋体"/>
                <w:color w:val="000000" w:themeColor="text1"/>
                <w:sz w:val="24"/>
                <w14:textFill>
                  <w14:solidFill>
                    <w14:schemeClr w14:val="tx1"/>
                  </w14:solidFill>
                </w14:textFill>
              </w:rPr>
              <w:t>88105</w:t>
            </w:r>
            <w:r>
              <w:rPr>
                <w:rFonts w:hint="eastAsia" w:ascii="宋体" w:hAnsi="宋体" w:cs="宋体"/>
                <w:color w:val="000000" w:themeColor="text1"/>
                <w:sz w:val="24"/>
                <w:lang w:val="en-US" w:eastAsia="zh-CN"/>
                <w14:textFill>
                  <w14:solidFill>
                    <w14:schemeClr w14:val="tx1"/>
                  </w14:solidFill>
                </w14:textFill>
              </w:rPr>
              <w:t>026</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9"/>
            <w:bookmarkEnd w:id="10"/>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87"/>
            <w:bookmarkStart w:id="12"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3" w:name="_Toc10214"/>
      <w:r>
        <w:rPr>
          <w:rFonts w:hint="eastAsia" w:ascii="宋体" w:hAnsi="宋体" w:cs="宋体"/>
          <w:b/>
          <w:bCs/>
          <w:color w:val="000000" w:themeColor="text1"/>
          <w:sz w:val="24"/>
          <w14:textFill>
            <w14:solidFill>
              <w14:schemeClr w14:val="tx1"/>
            </w14:solidFill>
          </w14:textFill>
        </w:rPr>
        <w:t>投标须知</w:t>
      </w:r>
      <w:bookmarkEnd w:id="13"/>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深圳市前海深港现代服务业合作区非税收入代理银行项目</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4"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4"/>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w:t>
      </w:r>
      <w:r>
        <w:rPr>
          <w:rFonts w:hint="eastAsia" w:ascii="宋体" w:hAnsi="宋体" w:cs="宋体"/>
          <w:color w:val="000000" w:themeColor="text1"/>
          <w:sz w:val="24"/>
          <w:lang w:val="en-US" w:eastAsia="zh-CN"/>
          <w14:textFill>
            <w14:solidFill>
              <w14:schemeClr w14:val="tx1"/>
            </w14:solidFill>
          </w14:textFill>
        </w:rPr>
        <w:t>按预算金额计算，由中标人支付，</w:t>
      </w:r>
      <w:r>
        <w:rPr>
          <w:rFonts w:hint="eastAsia" w:ascii="宋体" w:hAnsi="宋体" w:cs="宋体"/>
          <w:color w:val="000000" w:themeColor="text1"/>
          <w:sz w:val="24"/>
          <w14:textFill>
            <w14:solidFill>
              <w14:schemeClr w14:val="tx1"/>
            </w14:solidFill>
          </w14:textFill>
        </w:rPr>
        <w:t>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7"/>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5" w:name="_Toc20176"/>
      <w:r>
        <w:rPr>
          <w:rFonts w:hint="eastAsia" w:ascii="宋体" w:hAnsi="宋体" w:cs="宋体"/>
          <w:b/>
          <w:bCs/>
          <w:color w:val="000000" w:themeColor="text1"/>
          <w:sz w:val="24"/>
          <w14:textFill>
            <w14:solidFill>
              <w14:schemeClr w14:val="tx1"/>
            </w14:solidFill>
          </w14:textFill>
        </w:rPr>
        <w:t>评标程序</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12</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val="en-US"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6" w:name="_Toc3567"/>
      <w:r>
        <w:rPr>
          <w:rFonts w:hint="eastAsia" w:ascii="宋体" w:hAnsi="宋体" w:cs="宋体"/>
          <w:b/>
          <w:bCs/>
          <w:color w:val="000000" w:themeColor="text1"/>
          <w:sz w:val="24"/>
          <w14:textFill>
            <w14:solidFill>
              <w14:schemeClr w14:val="tx1"/>
            </w14:solidFill>
          </w14:textFill>
        </w:rPr>
        <w:t>合同格式及合同条款</w:t>
      </w:r>
      <w:bookmarkEnd w:id="16"/>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7" w:name="_Toc73518163"/>
      <w:bookmarkStart w:id="18" w:name="_Toc84303603"/>
      <w:bookmarkStart w:id="19" w:name="_Toc73521680"/>
      <w:bookmarkStart w:id="20" w:name="_Toc73517685"/>
      <w:bookmarkStart w:id="21" w:name="_Toc100052414"/>
      <w:bookmarkStart w:id="22" w:name="_Toc73521592"/>
      <w:bookmarkStart w:id="23" w:name="_Toc101074886"/>
    </w:p>
    <w:bookmarkEnd w:id="17"/>
    <w:bookmarkEnd w:id="18"/>
    <w:bookmarkEnd w:id="19"/>
    <w:bookmarkEnd w:id="20"/>
    <w:bookmarkEnd w:id="21"/>
    <w:bookmarkEnd w:id="22"/>
    <w:bookmarkEnd w:id="23"/>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4"/>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4"/>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深圳市前海深港现代服务业合作区非税收入代理银行项目</w:t>
      </w:r>
      <w:r>
        <w:rPr>
          <w:rFonts w:hint="eastAsia" w:ascii="宋体" w:hAnsi="宋体" w:cs="宋体"/>
          <w:b/>
          <w:color w:val="000000" w:themeColor="text1"/>
          <w:sz w:val="32"/>
          <w:szCs w:val="32"/>
          <w14:textFill>
            <w14:solidFill>
              <w14:schemeClr w14:val="tx1"/>
            </w14:solidFill>
          </w14:textFill>
        </w:rPr>
        <w:t>委托合同</w:t>
      </w:r>
    </w:p>
    <w:p>
      <w:pPr>
        <w:spacing w:line="300" w:lineRule="auto"/>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（仅供参考，项目具体要求以招标项目需求为准）</w:t>
      </w:r>
    </w:p>
    <w:p>
      <w:pPr>
        <w:spacing w:line="360" w:lineRule="auto"/>
        <w:rPr>
          <w:rFonts w:hint="eastAsia" w:ascii="宋体" w:hAnsi="宋体" w:cs="宋体"/>
          <w:color w:val="000000" w:themeColor="text1"/>
          <w:sz w:val="24"/>
          <w14:textFill>
            <w14:solidFill>
              <w14:schemeClr w14:val="tx1"/>
            </w14:solidFill>
          </w14:textFill>
        </w:rPr>
      </w:pPr>
    </w:p>
    <w:p>
      <w:pPr>
        <w:pStyle w:val="24"/>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深圳市前海深港现代服务业合作区非税收入代理银行项目</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项目类型：</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本合同共    页（不含封面）</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eastAsia="宋体" w:cs="宋体"/>
          <w:color w:val="000000" w:themeColor="text1"/>
          <w:sz w:val="24"/>
          <w:szCs w:val="24"/>
          <w14:textFill>
            <w14:solidFill>
              <w14:schemeClr w14:val="tx1"/>
            </w14:solidFill>
          </w14:textFill>
        </w:rPr>
        <w:t>甲方（采购单位）：</w:t>
      </w:r>
      <w:r>
        <w:rPr>
          <w:rFonts w:hint="eastAsia" w:ascii="宋体" w:hAnsi="宋体" w:eastAsia="宋体" w:cs="宋体"/>
          <w:color w:val="000000" w:themeColor="text1"/>
          <w:sz w:val="24"/>
          <w:szCs w:val="24"/>
          <w:u w:val="single"/>
          <w14:textFill>
            <w14:solidFill>
              <w14:schemeClr w14:val="tx1"/>
            </w14:solidFill>
          </w14:textFill>
        </w:rPr>
        <w:t>深圳市前海深港现代服务业合作区管理局</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地址：</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乙方（服务单位）：</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法定代表人：</w:t>
      </w: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u w:val="single"/>
          <w14:textFill>
            <w14:solidFill>
              <w14:schemeClr w14:val="tx1"/>
            </w14:solidFill>
          </w14:textFill>
        </w:rPr>
        <w:t>地址：</w:t>
      </w:r>
    </w:p>
    <w:p>
      <w:pPr>
        <w:widowControl/>
        <w:spacing w:line="360" w:lineRule="auto"/>
        <w:jc w:val="left"/>
        <w:rPr>
          <w:rFonts w:hint="eastAsia" w:ascii="宋体" w:hAnsi="宋体" w:eastAsia="宋体" w:cs="宋体"/>
          <w:color w:val="000000" w:themeColor="text1"/>
          <w:sz w:val="24"/>
          <w:szCs w:val="24"/>
          <w14:textFill>
            <w14:solidFill>
              <w14:schemeClr w14:val="tx1"/>
            </w14:solidFill>
          </w14:textFill>
        </w:rPr>
      </w:pP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根据《中华人民共和国民法典》等法律、法规的相关规定、</w:t>
      </w:r>
      <w:r>
        <w:rPr>
          <w:rFonts w:hint="eastAsia" w:ascii="宋体" w:hAnsi="宋体" w:eastAsia="宋体" w:cs="宋体"/>
          <w:color w:val="000000" w:themeColor="text1"/>
          <w:kern w:val="0"/>
          <w:sz w:val="24"/>
          <w:szCs w:val="24"/>
          <w:lang w:val="zh-CN" w:bidi="zh-CN"/>
          <w14:textFill>
            <w14:solidFill>
              <w14:schemeClr w14:val="tx1"/>
            </w14:solidFill>
          </w14:textFill>
        </w:rPr>
        <w:t>深圳市非税收入征管改革的有关精神和要求</w:t>
      </w:r>
      <w:r>
        <w:rPr>
          <w:rFonts w:hint="eastAsia" w:ascii="宋体" w:hAnsi="宋体" w:eastAsia="宋体" w:cs="宋体"/>
          <w:color w:val="000000" w:themeColor="text1"/>
          <w:sz w:val="24"/>
          <w:szCs w:val="24"/>
          <w14:textFill>
            <w14:solidFill>
              <w14:schemeClr w14:val="tx1"/>
            </w14:solidFill>
          </w14:textFill>
        </w:rPr>
        <w:t>和编号__________________招标项目的中标结果，甲、乙双方经友好协商，就甲方委托乙方承担深圳市前海深港现代服务业合作区</w:t>
      </w:r>
      <w:r>
        <w:rPr>
          <w:rFonts w:hint="eastAsia" w:ascii="宋体" w:hAnsi="宋体" w:cs="宋体"/>
          <w:color w:val="000000" w:themeColor="text1"/>
          <w:sz w:val="24"/>
          <w:szCs w:val="24"/>
          <w:lang w:val="en-US" w:eastAsia="zh-CN"/>
          <w14:textFill>
            <w14:solidFill>
              <w14:schemeClr w14:val="tx1"/>
            </w14:solidFill>
          </w14:textFill>
        </w:rPr>
        <w:t>非税收入</w:t>
      </w:r>
      <w:r>
        <w:rPr>
          <w:rFonts w:hint="eastAsia" w:ascii="宋体" w:hAnsi="宋体" w:eastAsia="宋体" w:cs="宋体"/>
          <w:color w:val="000000" w:themeColor="text1"/>
          <w:sz w:val="24"/>
          <w:szCs w:val="24"/>
          <w14:textFill>
            <w14:solidFill>
              <w14:schemeClr w14:val="tx1"/>
            </w14:solidFill>
          </w14:textFill>
        </w:rPr>
        <w:t>代理银行项目（以下简称本项目），达成以下合同条款：</w:t>
      </w:r>
    </w:p>
    <w:p>
      <w:pPr>
        <w:numPr>
          <w:ilvl w:val="0"/>
          <w:numId w:val="5"/>
        </w:num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24" w:name="_Toc16131"/>
      <w:r>
        <w:rPr>
          <w:rFonts w:hint="eastAsia" w:ascii="宋体" w:hAnsi="宋体" w:eastAsia="宋体" w:cs="宋体"/>
          <w:b/>
          <w:bCs/>
          <w:color w:val="000000" w:themeColor="text1"/>
          <w:sz w:val="24"/>
          <w:szCs w:val="24"/>
          <w14:textFill>
            <w14:solidFill>
              <w14:schemeClr w14:val="tx1"/>
            </w14:solidFill>
          </w14:textFill>
        </w:rPr>
        <w:t>服务内容</w:t>
      </w:r>
      <w:bookmarkEnd w:id="24"/>
    </w:p>
    <w:p>
      <w:pPr>
        <w:numPr>
          <w:ilvl w:val="0"/>
          <w:numId w:val="0"/>
        </w:numPr>
        <w:spacing w:line="360" w:lineRule="auto"/>
        <w:ind w:firstLine="240" w:firstLineChars="100"/>
        <w:rPr>
          <w:rFonts w:hint="default" w:ascii="宋体" w:hAnsi="宋体" w:eastAsia="宋体" w:cs="宋体"/>
          <w:color w:val="000000" w:themeColor="text1"/>
          <w:sz w:val="24"/>
          <w:szCs w:val="24"/>
          <w:lang w:val="en-US" w:eastAsia="zh-CN"/>
          <w14:textFill>
            <w14:solidFill>
              <w14:schemeClr w14:val="tx1"/>
            </w14:solidFill>
          </w14:textFill>
        </w:rPr>
      </w:pPr>
      <w:bookmarkStart w:id="25" w:name="_Toc23975"/>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选择有实力、服务良好的市内商业银行，接受</w:t>
      </w:r>
      <w:r>
        <w:rPr>
          <w:rFonts w:hint="eastAsia" w:ascii="宋体" w:hAnsi="宋体" w:eastAsia="宋体" w:cs="宋体"/>
          <w:color w:val="000000" w:themeColor="text1"/>
          <w:sz w:val="24"/>
          <w:szCs w:val="24"/>
          <w:lang w:val="en-US" w:eastAsia="zh-CN"/>
          <w14:textFill>
            <w14:solidFill>
              <w14:schemeClr w14:val="tx1"/>
            </w14:solidFill>
          </w14:textFill>
        </w:rPr>
        <w:t>前海</w:t>
      </w:r>
      <w:r>
        <w:rPr>
          <w:rFonts w:hint="eastAsia" w:ascii="宋体" w:hAnsi="宋体" w:cs="宋体"/>
          <w:color w:val="000000" w:themeColor="text1"/>
          <w:sz w:val="24"/>
          <w:szCs w:val="24"/>
          <w:lang w:val="en-US" w:eastAsia="zh-CN"/>
          <w14:textFill>
            <w14:solidFill>
              <w14:schemeClr w14:val="tx1"/>
            </w14:solidFill>
          </w14:textFill>
        </w:rPr>
        <w:t>合作区</w:t>
      </w:r>
      <w:r>
        <w:rPr>
          <w:rFonts w:hint="eastAsia" w:ascii="宋体" w:hAnsi="宋体" w:eastAsia="宋体" w:cs="宋体"/>
          <w:color w:val="000000" w:themeColor="text1"/>
          <w:sz w:val="24"/>
          <w:szCs w:val="24"/>
          <w14:textFill>
            <w14:solidFill>
              <w14:schemeClr w14:val="tx1"/>
            </w14:solidFill>
          </w14:textFill>
        </w:rPr>
        <w:t>财政部门的委托，作为</w:t>
      </w:r>
      <w:r>
        <w:rPr>
          <w:rFonts w:hint="eastAsia" w:ascii="宋体" w:hAnsi="宋体" w:eastAsia="宋体" w:cs="宋体"/>
          <w:color w:val="000000" w:themeColor="text1"/>
          <w:sz w:val="24"/>
          <w:szCs w:val="24"/>
          <w:lang w:val="en-US" w:eastAsia="zh-CN"/>
          <w14:textFill>
            <w14:solidFill>
              <w14:schemeClr w14:val="tx1"/>
            </w14:solidFill>
          </w14:textFill>
        </w:rPr>
        <w:t>前海合作区</w:t>
      </w:r>
      <w:r>
        <w:rPr>
          <w:rFonts w:hint="eastAsia" w:ascii="宋体" w:hAnsi="宋体" w:eastAsia="宋体" w:cs="宋体"/>
          <w:color w:val="000000" w:themeColor="text1"/>
          <w:sz w:val="24"/>
          <w:szCs w:val="24"/>
          <w14:textFill>
            <w14:solidFill>
              <w14:schemeClr w14:val="tx1"/>
            </w14:solidFill>
          </w14:textFill>
        </w:rPr>
        <w:t>非税收入代理银行（代收银行），代理非税收入财政汇缴相关业务。</w:t>
      </w:r>
      <w:r>
        <w:rPr>
          <w:rFonts w:hint="eastAsia" w:ascii="宋体" w:hAnsi="宋体" w:eastAsia="宋体" w:cs="宋体"/>
          <w:color w:val="000000" w:themeColor="text1"/>
          <w:sz w:val="24"/>
          <w:szCs w:val="24"/>
          <w:lang w:val="en-US" w:eastAsia="zh-CN"/>
          <w14:textFill>
            <w14:solidFill>
              <w14:schemeClr w14:val="tx1"/>
            </w14:solidFill>
          </w14:textFill>
        </w:rPr>
        <w:t>包括但不限于财政部门、其它商业银行的业务，具体涵盖内容为：建立非税收入代收银行管理信息系统，提供相关服务人力保障。</w:t>
      </w:r>
    </w:p>
    <w:p>
      <w:pPr>
        <w:numPr>
          <w:ilvl w:val="0"/>
          <w:numId w:val="0"/>
        </w:numPr>
        <w:spacing w:line="360" w:lineRule="auto"/>
        <w:ind w:firstLine="240" w:firstLineChars="1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（二）根据深圳市智慧财政非税收入征管系统建设思路，需要实现非税收入征管代 </w:t>
      </w:r>
      <w:r>
        <w:rPr>
          <w:rFonts w:hint="default" w:ascii="宋体" w:hAnsi="宋体" w:eastAsia="宋体" w:cs="宋体"/>
          <w:color w:val="000000" w:themeColor="text1"/>
          <w:sz w:val="24"/>
          <w:szCs w:val="24"/>
          <w:lang w:val="en-US" w:eastAsia="zh-CN"/>
          <w14:textFill>
            <w14:solidFill>
              <w14:schemeClr w14:val="tx1"/>
            </w14:solidFill>
          </w14:textFill>
        </w:rPr>
        <w:t xml:space="preserve">理银行信息系统的建设。非税收入财政专户是由财政部门按照规定程序在代收银行设立，用于执收单位非税收入的收入收缴，按要求将代收银行内款项于规定的时间内划转至金库或财政其他专户中，并承担会计核算、分成、退付、报表、监控、统计分析、对外接口等功能。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（三）</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项目工作内容详述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 业务术语说明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1.1.非税收入：是指政府在税收、债务以外取得的财政资金，是政府收入的重要组成部分，管理范围包括：行政事业性收费、政府性基金、罚没收入（含交通罚没收入）、彩票公益金和发行费、国有资产（资源）有偿使用收入、国有资产经营收益、主管部门集中收入、转移和赠与收入、利息收入、其他收入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1.2.主管部门：是指负责管理本部门以及执收单位的部门，具有对部门所属执收单位的收入收缴工作实行管理和监督的职责。主管部门可以通过非税收入征 管系统查询执收单位的收缴信息，督促收入及时、足额缴入国库或财政专户。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1.3.执收单位：是指依据国家法律、行政法规或部门规章的规定，依法行使非税收入征收权的单位，具有法人资格并独立进行财务核算。执收单位的派出机构称为执收点。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1.4.资金性质：分为一般公共预算资金、政府性基金和国有资本经营预算资金等。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1.5.预算科目：指财政部发布的政府预算收支分类科目。分为“类、款、项、目”。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1.6.收入项目：是指按规定程序由财政和相关部门审批确认后，可用于执收单位 执收的项目。按收入的不同归属，可分为中央项目、地方项目、中央和地方分成 项目、地方代收中央项目等，具体包括项目名称、收缴标准、分成比例、调整情况、文件依据等。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1.7.收入类别：包括行政事业性收费、政府性基金、罚没收入、彩票公益金和发 行费、国有资产（资源）有偿使用收入、国有资产经营收益、主管部门集中收入、转移和赠与收入、政府非税收入产生的利息收入、其他收入等。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1.8.代收银行：是指代理财政非税收入收缴、汇划清算业务、向财政报送收入和清算信息的商业银行，实现银行柜台缴款、跨行协议划款、现金缴款、转账缴款、批量代扣、刷卡、网上缴款、POS 机缴款、第三方支付平台缴款等缴款方式，方便缴款人。代收银行由财政部门征集确定。本文件中的“代理银行”等同于“代收银行”。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.缴款方式：分为直接缴款和集中汇缴两种方式，以及在此基础上衍生出的批量代扣和现场执收执罚等。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val="en-US" w:eastAsia="zh-CN" w:bidi="ar"/>
          <w14:textFill>
            <w14:solidFill>
              <w14:schemeClr w14:val="tx1"/>
            </w14:solidFill>
          </w14:textFill>
        </w:rPr>
        <w:t>.直接缴款是由缴款人按照有关规定，持执收单位开具的《非税收入缴款通知书》到代收银行网点缴款，直接将应缴款项缴入财政专户。</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.集中汇缴是由执收单位按照有关规定，将所收款项按日汇总开具《非税收入缴款通知书》，集中缴入财政专户。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.批量代扣是指由代收银行在固定缴款人提供银行账户上进行批量扣款的模式；批量代扣主要适用于需定期定额缴纳的收费。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中央与地方的分成收入：是指按照预算管理需要，收入按比例或一定标准分成，分别归属于中央财政和地方财政的收入。中央与地方分成项目有关分成比例等政策由中央财政制定，包括项目名称、分成比例、定额标准、生效时间、调整时间等事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.地方代收中央的收入：是指由地方财政代为收取而归属于中央财政的收入，中央财政设定代收项目的控制信息。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.收入退付：是指因缴款人预缴款、工作疏忽和其他原因造成多缴、重缴、错缴的各项财政非税收入，需从国库或专户退回缴款人的业务。票据种类：包括通用票据、专用票据、罚没票据等。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2.业务需求分析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全面调研前海</w:t>
      </w:r>
      <w:r>
        <w:rPr>
          <w:rFonts w:hint="eastAsia" w:ascii="宋体" w:hAnsi="宋体" w:cs="宋体"/>
          <w:color w:val="000000" w:themeColor="text1"/>
          <w:kern w:val="0"/>
          <w:sz w:val="24"/>
          <w:szCs w:val="24"/>
          <w:lang w:val="en-US" w:eastAsia="zh-CN" w:bidi="ar"/>
          <w14:textFill>
            <w14:solidFill>
              <w14:schemeClr w14:val="tx1"/>
            </w14:solidFill>
          </w14:textFill>
        </w:rPr>
        <w:t>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非税收入代收银行和人民银行相关业务，对相关系统功能边界进行确定，以基于用户视图规范化的数据流分析为主线，整理并规范表达前海</w:t>
      </w:r>
      <w:r>
        <w:rPr>
          <w:rFonts w:hint="eastAsia" w:ascii="宋体" w:hAnsi="宋体" w:cs="宋体"/>
          <w:color w:val="000000" w:themeColor="text1"/>
          <w:kern w:val="0"/>
          <w:sz w:val="24"/>
          <w:szCs w:val="24"/>
          <w:lang w:val="en-US" w:eastAsia="zh-CN" w:bidi="ar"/>
          <w14:textFill>
            <w14:solidFill>
              <w14:schemeClr w14:val="tx1"/>
            </w14:solidFill>
          </w14:textFill>
        </w:rPr>
        <w:t>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非税收入代理银行管理的相关业务，准确把握业务需求和数据需求的内在联系。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.相关系统功能开发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.1.自行建立与深圳市智慧财政非税收入征管系统相适应的非税收入征管代理银行管理软件系统，该系统由中标方自行使用，其相关功能需满足非税收入征管改革的业务需要。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代收银行端系统：受理缴款业务、处理财政票据、与财政缴款对账、接受财政缴款指令缴库、缴库对账，提供收款、缴库资金流水明细，提供缴款人便捷缴款渠道（包含第三方支付平台等渠道），保证数据的安全性和规范性。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系统功能流程如下：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4150" cy="1438910"/>
            <wp:effectExtent l="0" t="0" r="8890" b="889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0"/>
                    <a:stretch>
                      <a:fillRect/>
                    </a:stretch>
                  </pic:blipFill>
                  <pic:spPr>
                    <a:xfrm>
                      <a:off x="0" y="0"/>
                      <a:ext cx="5264150" cy="1438910"/>
                    </a:xfrm>
                    <a:prstGeom prst="rect">
                      <a:avLst/>
                    </a:prstGeom>
                    <a:noFill/>
                    <a:ln>
                      <a:noFill/>
                    </a:ln>
                  </pic:spPr>
                </pic:pic>
              </a:graphicData>
            </a:graphic>
          </wp:inline>
        </w:drawing>
      </w:r>
    </w:p>
    <w:p>
      <w:pPr>
        <w:keepNext w:val="0"/>
        <w:keepLines w:val="0"/>
        <w:widowControl/>
        <w:suppressLineNumbers w:val="0"/>
        <w:spacing w:line="360" w:lineRule="auto"/>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图一</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（1）缴款人持缴款通知书缴款：代收银行提供柜面端、移动端、网络端等多种缴款渠道提供给缴款人缴款。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（2）代收银行依据缴款通知书收款：代收银行根据缴款人提供的缴款通知书号码、金额，与非税系统确认无误后进行收款。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（3）按批扣指令收款：代理银行接收批扣指令进行收款，并将收款结果发送至非税系统。代收银行必须在系统建成后支持非税收入的跨行批扣功能。</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（4）收款对账：代收银行需按天将收款明细与非税系统进行对账，并处理对账的异常流水。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（5）按财政缴库指令缴库：非税系统按照财政的缴库规则，发送缴库指令给代收银行，代收银行按照缴库指令将资金在规定的时间内划拨至指定的账户，并向非税系统提供划拨的资金流水信息。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（6）缴库对账：代收银行需按天将资金划拨信息与非税系统对账，并处理对账的异常流水。 </w:t>
      </w:r>
    </w:p>
    <w:p>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.建设内容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.1.银行收款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提供方便、便捷的缴款渠道提供给缴款人缴款。要求缴款人持缴款通知书缴款，代收银行提供的各收款终端需控制缴款通知书号码、缴款金额为必须提供的信息。代收银行提交缴款通知书号码、金额至非税系统进行验证，验证通过后，进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已经收款而无法验证通过的款项，必须进行实时退款处理，不能直接入财政代收户（转账缴款方式除外，已通过转账方式缴入财政代收的资金需按财政部门要求在规定的时间内原路退回）。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收款流程如下：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非税资金的缴库时间要求主要依据法律法规和财政部门的有关文件确定，目前一般不超过 5 个工作日。</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（1）缴款端收款：缴款人在代收银行各缴款终端，提供缴款通知书，代收银行收集缴款通知书的必须内容：金额、缴款通知书号码、缴款人信息。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（2）调财政非税接口检查票款是否正确：代收银行将收集到的信息发送非税系统检查票款信息是否满足条件，检查完毕后进行收款业务。检查异常的不能直接收款。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（3）资金入账：代收银行收款完毕后，将资金存储代收户，并记录必要信息：缴款通知书号码、金额、缴款人基本信息、缴款时间、资金流水信息。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（4）根据财政非税系统返回的错误内容处理：在代收银行收款完毕后，发生的异常，比如：收款后缴款通知书到期，需进行实时退款处理；票款不一致，不允许收款；票据无效，不允许收款。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（5）调财政非税接口发送资金入账明细：代收银行资金入账完毕后，调非税接口告知财政该笔业务收款完毕。需要提供必要信息：缴款通知书号码、金额、缴款时间、资金流水等。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非税系统按照批次，提供明细账户信息给代收银行，代收银行按照批次的内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容，按明细进行批量收款入账，并及时将批扣结果按批次附明细告知财政。批扣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的结果包括：扣款成功，扣款失败、失败原因。针对一个明细账户，不允许部分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扣款。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批扣流程如下：</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4221480" cy="102870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1"/>
                    <a:stretch>
                      <a:fillRect/>
                    </a:stretch>
                  </pic:blipFill>
                  <pic:spPr>
                    <a:xfrm>
                      <a:off x="0" y="0"/>
                      <a:ext cx="4221480" cy="102870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（1）接收非税系统的批扣指令收款：代收银行提供接口，接收非税系 统的批扣指令，内容包括：批扣内容，批扣明细账户清单。代收银行做必要的数据检查后，进行批扣操作，并记录每一个明细账户的批扣结果，主要内容有：批扣时间、批扣状态，异常原因。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（2）资金入账：代收银行针对一个批次批扣完毕后，将正常批扣的账户资金做收款入账。并记录必要信息：入账时间、入账资金流水、缴款人基本信息、批扣批次、批扣金额。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调财政非税接口按批次发送资金入账明细：按照非税系统发送给代收银行的批次、批扣明细向非税系统发送批扣结果。批扣成功的内容：入账时间、入账资金流水、缴款人基本信息、批扣批次、批扣金额；批扣失败的内容：批扣时间、批扣状态，异常原因。非税系统会根据代收银行返回的结果提交业务人员进行处理，判断是否对异常内容进行再次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.4.收款对账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代收银行按天按照财政规定的时间向非税系统发送日对账清单，为满足第三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方支付平台入账和对账时间，即时入账资金和第三方支付平台入账资金暂定 T+1 天 8:00 发送。发送的内容包括：资金流水、缴款通知书号码（批扣批次号码）、 金额。非税系统返回资金对账明细结果，包括长短款问题，由代收银行处理完毕后，即时发送对账。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收款对账流程图如下：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9230" cy="1437640"/>
            <wp:effectExtent l="0" t="0" r="3810" b="1016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2"/>
                    <a:stretch>
                      <a:fillRect/>
                    </a:stretch>
                  </pic:blipFill>
                  <pic:spPr>
                    <a:xfrm>
                      <a:off x="0" y="0"/>
                      <a:ext cx="5269230" cy="143764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流程说明：</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 资金入账日报：代收银行按日将资金入账日报发送非税系统。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 接收日报对账结果：代收银行提供接口获取非税系统日对账结果。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（3）异常数据处理：代收银行处理异常的对账数据，并将处理后的数据再次发送资金入账日报（未对账成功部分）。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.5.缴库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代收银行接收财政非税系统的缴库指令，按照指令内指定的收款账户及金额等进行划款缴库。收款账户信息由缴库指令提供，包括但不局限于：人行金库账户，教育收费专户、财政专户。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缴库流程图如下：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4351020" cy="1432560"/>
            <wp:effectExtent l="0" t="0" r="762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3"/>
                    <a:stretch>
                      <a:fillRect/>
                    </a:stretch>
                  </pic:blipFill>
                  <pic:spPr>
                    <a:xfrm>
                      <a:off x="0" y="0"/>
                      <a:ext cx="4351020" cy="143256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 接收非税系统缴库指令：代收银行接口非税系统的缴库指令，按照财政约定的时间，按照指令内指定的收款账户及金额进行划款缴库操作。收款账户信息由指令指定，但事前必须约定好规则，针对未约定的账户指令，代收银行不允许直接划款，需提出异议，待确认后再操作。缴库指令包括自动缴库指令、手工缴库指令。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（2）向非税系统发送缴库指令结果：代收银行划款完毕后，向非税系统发送缴库结果，内容包括：指令信息、收款账户信息、金额、资金流水信息等。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.6.缴库对账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代收银行提供缴库日报表，与非税系统进行缴库对账，内容包括：缴库指令</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ID，缴库金额、资金流水信息。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对账流程图如下：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1463040"/>
            <wp:effectExtent l="0" t="0" r="762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4"/>
                    <a:stretch>
                      <a:fillRect/>
                    </a:stretch>
                  </pic:blipFill>
                  <pic:spPr>
                    <a:xfrm>
                      <a:off x="0" y="0"/>
                      <a:ext cx="5265420" cy="146304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（1）缴库日报表：代收银行按照约定时间（暂定 T+1 14：00）向非税系统发送缴库日报表，内容包括：缴库指令 ID，缴库时间、缴库金额、缴库资金流水。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（2）接收日报对账结果：代收银行按照约定时间接收日报对账结果。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（3）异常数据处理：代收银行处理对账异常数据。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.7.报送报表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系统按月自动生成收入报表、清算报表、暂存款报表、非税收入信息核对单、收入分成缴库报表等，与</w:t>
      </w:r>
      <w:r>
        <w:rPr>
          <w:rFonts w:hint="eastAsia" w:ascii="宋体" w:hAnsi="宋体" w:cs="宋体"/>
          <w:color w:val="000000" w:themeColor="text1"/>
          <w:kern w:val="0"/>
          <w:sz w:val="24"/>
          <w:szCs w:val="24"/>
          <w:lang w:val="en-US" w:eastAsia="zh-CN" w:bidi="ar"/>
          <w14:textFill>
            <w14:solidFill>
              <w14:schemeClr w14:val="tx1"/>
            </w14:solidFill>
          </w14:textFill>
        </w:rPr>
        <w:t>前海合作区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财政专户会计进行对账，并报送有关报表。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.8.其它方面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系统能提供“暂存款”查询功能。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系统实施及培训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系统的实施及培训过程如下：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1）建立项目管理规范，包括项目组织架构、文档标准、变更流程和沟通机制、项目管理平台等；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2）进行任务及项目分解，定义各子任务的目标和范围、资源需求和实施策略；</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3）对项目进行阶段划分，确定各阶段任务、时间、所需资源、组织方式、里程碑标志、评价标准等；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4）对实施计划进行可行性分析，制定实施阶段项目质量的控制方案；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5）制定调研、分析、管理及业务负责人、业务代表、系统分析人员等培训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计划。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项目需提交技术成果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应在投标响应书中明确列出在本项目中拟提交的成果，甲方建议</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所提交的成果包括但不限于：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非税收入代收银行管理建议方案；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非税收入代收银行管理系统业务分析；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非税收入代收银行管理系统整体解决方案；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非税收入代收银行管理系统研发及实施文档；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非税收入代收银行管理系统开发过程文档；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非税收入代收银行管理系统风险及效益分析；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项目过程中所产生的所有源代码；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项目过程中所产生的其他文档；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项目遗留问题清单和改进建议等。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7</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需承担的主要任务及要求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1）按甲方要求开设非税收入代收银行财政专户。妥善保管甲方提供的财政支付的各种单据、资料，并负有保密义务；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2）按要求开发与财政部门相衔接的非税收入代理银行管理软件系统并与甲方联网，向甲方提供资金实时动态监测系统与信息查询系统；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3）向甲方反馈非税资金收入和支出信息，定期向甲方和执收单位报送报表；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4）配合甲方进行非税收入电子化管理改革，对有关业务管理流程和管理信息系统进行适应性改造；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5）接受甲方的管理监督。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8</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技术方案要求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需以改革整体技术架构为背景描述代收银行核心技术路线，这些路线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应包括但不限于：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1）具备先进的信息反馈系统，能及时、全面、准确地反映其账户收支信息；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2）具有可靠的技术保障系统，并能根据甲方要求开发相应的银行端软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件系统，实现与财政非税收入管理系统的衔接，并对财政非税系统的建设、推广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和运行提供支持；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3）银行代收网络应与财政非税系统实现连接，并指派专门的业务和技术人员负责双方网络的互联互通工作，并确保银行端网络的畅通；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4）能够保证资金汇划系统和内部网络的安全，并承担自身网络安全问题方面的有关责任；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5）提供代理银行账户资金收支实时动态监测系统与信息查询系统；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6）及时解决技术故障和用户投诉。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业务要求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1）内部管理规范，内控制度健全，具有严格的操作规程，并设置相应的业务部门和配备专业工作人员；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2）按财政部门要求及时将汇集的资金全额划缴财政指定的账户；加强对“非税收入（电子）票据”的管理，建立健全票据保管、领用、作废等各个环节的内部管理制度；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3）妥善保管财政部门提供的各种单据和资料，严格遵守保密规定；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4）按规定向财政部门和执收单位报送相应报表；协助做好对账工作；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银行应开放深圳境内下属所有对公营业点为代收网点，办理非税收入代收业务，各代收网点应设有非税收入代收业务的专门指引，并指派对非税收入代收业务熟悉的人员负责柜台收款工作，接受现金、转账、刷卡等方式缴款。在缴费高峰期，应采取加开窗口等有效措施，积极疏导最大程度方便缴款人缴费；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6）银行应加强对下属代收网点的非税收入代收业务培训工作，加强与下属代收网点的沟通协调，确保柜台人员熟悉非税收入代收业务程序，杜绝代收网点拒收非税收入情况的出现；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7）在网络断开的情况下，银行应确保下属各代收网点使用应急方案收取非税收入，并对使用应急方案收取非税收入造成的挂账信息及时进行处理；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8）满足财政非税收入管理和国库集中收付制度改革发展的需求，加强与深圳市”智慧财政”系统开发商的沟通与协调，共同建立相关数据交换中心，承担相应的研发与运维费用。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.信息安全要求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严格遵守甲方关于信息安全方面的规定，自觉保守甲方的商业秘密。由甲方为方便项目实施所提供给供应商的工作流程、管理模式、试验数据、规程、程序等相关资料文档，发过程中所产生的资料、文档、数据、相关附属品均属于采购人信息资产，供应商应保证这些信息在项目期间及项目后规定时间内的安全。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应建立并实际运行项目进展期间的信息安全管理规范，强化用户访问权限管理，严格数据库备份，防止黑客、病毒攻击，能应付各种突发事件，具有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很强的应急处理能力，以确保项目启动、实施及实施后的信息安全管理。同时系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统应能完备记录收入信息，保证信息的完整性、一致性、真实性和可追溯性。非经采购人书面许可，</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不得以任何形式泄漏以上材料。因</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原因导致上述资料、文档、数据或采购人商业秘密泄露的，采购人有权要求</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采取措施消除影响，并赔偿采购人损失。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.网络要求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人员连接深圳市智慧财政非税收入征管系统的网络由</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自行负责；</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人员使用的服务器、客户端机器由</w:t>
      </w:r>
      <w:r>
        <w:rPr>
          <w:rFonts w:hint="eastAsia" w:ascii="宋体" w:hAnsi="宋体" w:cs="宋体"/>
          <w:color w:val="000000" w:themeColor="text1"/>
          <w:kern w:val="0"/>
          <w:sz w:val="24"/>
          <w:szCs w:val="24"/>
          <w:lang w:val="en-US" w:eastAsia="zh-CN" w:bidi="ar"/>
          <w14:textFill>
            <w14:solidFill>
              <w14:schemeClr w14:val="tx1"/>
            </w14:solidFill>
          </w14:textFill>
        </w:rPr>
        <w:t>乙方</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自行负责，这些机器在连接到采购人网络时，必须遵守采购人相关规定。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.性能要求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银行系统以及与深</w:t>
      </w:r>
      <w:r>
        <w:rPr>
          <w:rFonts w:hint="eastAsia" w:ascii="宋体" w:hAnsi="宋体" w:eastAsia="宋体" w:cs="宋体"/>
          <w:color w:val="000000" w:themeColor="text1"/>
          <w:sz w:val="24"/>
          <w:szCs w:val="24"/>
          <w:lang w:val="en-US" w:eastAsia="zh-CN"/>
          <w14:textFill>
            <w14:solidFill>
              <w14:schemeClr w14:val="tx1"/>
            </w14:solidFill>
          </w14:textFill>
        </w:rPr>
        <w:t xml:space="preserve">圳市智慧财政非税收入征管系统对接的网络环境应保证 </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满足非税征缴业务的性能要求，当上述环节不能满足智慧财政非税收入征管系统 </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的业务需求时，应自行通过软硬件升级改造保证智慧财政非税收入征管系统的性 能需求</w:t>
      </w:r>
      <w:r>
        <w:rPr>
          <w:rFonts w:hint="eastAsia" w:ascii="宋体" w:hAnsi="宋体" w:eastAsia="宋体" w:cs="宋体"/>
          <w:color w:val="000000" w:themeColor="text1"/>
          <w:sz w:val="24"/>
          <w:szCs w:val="24"/>
          <w14:textFill>
            <w14:solidFill>
              <w14:schemeClr w14:val="tx1"/>
            </w14:solidFill>
          </w14:textFill>
        </w:rPr>
        <w:t>。</w:t>
      </w:r>
    </w:p>
    <w:p>
      <w:pPr>
        <w:pStyle w:val="2"/>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四</w:t>
      </w:r>
      <w:r>
        <w:rPr>
          <w:rFonts w:hint="eastAsia" w:ascii="宋体" w:hAnsi="宋体" w:cs="宋体"/>
          <w:color w:val="000000" w:themeColor="text1"/>
          <w:sz w:val="24"/>
          <w:szCs w:val="24"/>
          <w:lang w:eastAsia="zh-CN"/>
          <w14:textFill>
            <w14:solidFill>
              <w14:schemeClr w14:val="tx1"/>
            </w14:solidFill>
          </w14:textFill>
        </w:rPr>
        <w:t>）项目实施要求</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项目实施分为系统开发（改造）阶段和代理服务提供阶段；</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lang w:val="en-US" w:eastAsia="zh-CN"/>
          <w14:textFill>
            <w14:solidFill>
              <w14:schemeClr w14:val="tx1"/>
            </w14:solidFill>
          </w14:textFill>
        </w:rPr>
        <w:t xml:space="preserve">应在投标 </w:t>
      </w:r>
      <w:r>
        <w:rPr>
          <w:rFonts w:hint="default" w:ascii="宋体" w:hAnsi="宋体" w:eastAsia="宋体" w:cs="宋体"/>
          <w:color w:val="000000" w:themeColor="text1"/>
          <w:sz w:val="24"/>
          <w:szCs w:val="24"/>
          <w:lang w:val="en-US" w:eastAsia="zh-CN"/>
          <w14:textFill>
            <w14:solidFill>
              <w14:schemeClr w14:val="tx1"/>
            </w14:solidFill>
          </w14:textFill>
        </w:rPr>
        <w:t>响应文件中提出详细的项目实施计划、系统开发（改造）阶段还需按时间先后顺序提交系统开发（改造）阶段中各步骤的成果清单建议。</w:t>
      </w:r>
      <w:r>
        <w:rPr>
          <w:rFonts w:hint="eastAsia" w:ascii="宋体" w:hAnsi="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000000" w:themeColor="text1"/>
          <w:sz w:val="24"/>
          <w:szCs w:val="24"/>
          <w:lang w:val="en-US" w:eastAsia="zh-CN"/>
          <w14:textFill>
            <w14:solidFill>
              <w14:schemeClr w14:val="tx1"/>
            </w14:solidFill>
          </w14:textFill>
        </w:rPr>
        <w:t>必须针对本项目建立项目管理规范，并在项目开展过程中落实。</w:t>
      </w:r>
      <w:r>
        <w:rPr>
          <w:rFonts w:hint="eastAsia" w:ascii="宋体" w:hAnsi="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000000" w:themeColor="text1"/>
          <w:sz w:val="24"/>
          <w:szCs w:val="24"/>
          <w:lang w:val="en-US" w:eastAsia="zh-CN"/>
          <w14:textFill>
            <w14:solidFill>
              <w14:schemeClr w14:val="tx1"/>
            </w14:solidFill>
          </w14:textFill>
        </w:rPr>
        <w:t>必须建立并实施一套确保项目规范开展的质量管理体系</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p>
    <w:p>
      <w:pPr>
        <w:numPr>
          <w:ilvl w:val="0"/>
          <w:numId w:val="5"/>
        </w:num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合同含税总价</w:t>
      </w:r>
      <w:bookmarkEnd w:id="25"/>
    </w:p>
    <w:p>
      <w:pPr>
        <w:pStyle w:val="8"/>
        <w:snapToGrid w:val="0"/>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本项目合同含税</w:t>
      </w:r>
      <w:r>
        <w:rPr>
          <w:rFonts w:hint="eastAsia" w:hAnsi="宋体" w:cs="宋体"/>
          <w:color w:val="000000" w:themeColor="text1"/>
          <w:sz w:val="24"/>
          <w:szCs w:val="24"/>
          <w:lang w:val="en-US" w:eastAsia="zh-CN"/>
          <w14:textFill>
            <w14:solidFill>
              <w14:schemeClr w14:val="tx1"/>
            </w14:solidFill>
          </w14:textFill>
        </w:rPr>
        <w:t>单价</w:t>
      </w:r>
      <w:r>
        <w:rPr>
          <w:rFonts w:hint="eastAsia" w:ascii="宋体" w:hAnsi="宋体" w:eastAsia="宋体" w:cs="宋体"/>
          <w:color w:val="000000" w:themeColor="text1"/>
          <w:sz w:val="24"/>
          <w:szCs w:val="24"/>
          <w14:textFill>
            <w14:solidFill>
              <w14:schemeClr w14:val="tx1"/>
            </w14:solidFill>
          </w14:textFill>
        </w:rPr>
        <w:t>为：_________________。</w:t>
      </w:r>
      <w:r>
        <w:rPr>
          <w:rFonts w:hint="eastAsia" w:ascii="宋体" w:hAnsi="宋体" w:eastAsia="宋体" w:cs="宋体"/>
          <w:color w:val="000000" w:themeColor="text1"/>
          <w:sz w:val="24"/>
          <w:szCs w:val="24"/>
          <w:lang w:val="en-US" w:eastAsia="zh-CN"/>
          <w14:textFill>
            <w14:solidFill>
              <w14:schemeClr w14:val="tx1"/>
            </w14:solidFill>
          </w14:textFill>
        </w:rPr>
        <w:t>支付上限为：</w:t>
      </w:r>
      <w:r>
        <w:rPr>
          <w:rFonts w:hint="eastAsia" w:ascii="宋体" w:hAnsi="宋体" w:eastAsia="宋体" w:cs="宋体"/>
          <w:color w:val="000000" w:themeColor="text1"/>
          <w:sz w:val="24"/>
          <w:szCs w:val="24"/>
          <w14:textFill>
            <w14:solidFill>
              <w14:schemeClr w14:val="tx1"/>
            </w14:solidFill>
          </w14:textFill>
        </w:rPr>
        <w:t>____________</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 xml:space="preserve">大写：人民币   </w:t>
      </w:r>
      <w:r>
        <w:rPr>
          <w:rFonts w:hint="eastAsia" w:ascii="宋体" w:hAnsi="宋体" w:eastAsia="宋体" w:cs="宋体"/>
          <w:color w:val="000000" w:themeColor="text1"/>
          <w:sz w:val="24"/>
          <w:szCs w:val="24"/>
          <w:lang w:eastAsia="zh-CN"/>
          <w14:textFill>
            <w14:solidFill>
              <w14:schemeClr w14:val="tx1"/>
            </w14:solidFill>
          </w14:textFill>
        </w:rPr>
        <w:t>）</w:t>
      </w:r>
    </w:p>
    <w:p>
      <w:pPr>
        <w:adjustRightIn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应包括服务成本、法定税费和企业的利润，项目服务费包括但不限于成果制作费、人员劳务费、资料费、印刷费、税费等为完成服务所需的费用。在合同实施期间，除另签补充合同外，甲方不接受乙方以任何理由、任何名目提出增加费用的要求。</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26" w:name="_Toc30786"/>
      <w:r>
        <w:rPr>
          <w:rFonts w:hint="eastAsia" w:ascii="宋体" w:hAnsi="宋体" w:eastAsia="宋体" w:cs="宋体"/>
          <w:b/>
          <w:bCs/>
          <w:color w:val="000000" w:themeColor="text1"/>
          <w:sz w:val="24"/>
          <w:szCs w:val="24"/>
          <w14:textFill>
            <w14:solidFill>
              <w14:schemeClr w14:val="tx1"/>
            </w14:solidFill>
          </w14:textFill>
        </w:rPr>
        <w:t>三、技术资料</w:t>
      </w:r>
      <w:bookmarkEnd w:id="26"/>
    </w:p>
    <w:p>
      <w:pPr>
        <w:pStyle w:val="8"/>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1.乙方应按本合同规定的时间向甲方提供有关技术资料。</w:t>
      </w:r>
    </w:p>
    <w:p>
      <w:pPr>
        <w:pStyle w:val="8"/>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pPr>
        <w:pStyle w:val="8"/>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3.合同履行完毕，未经甲方的书面同意，乙方不得保存在履行合同过程中所获得或接触到的任何内部数据资料。</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27" w:name="_Toc9742"/>
      <w:r>
        <w:rPr>
          <w:rFonts w:hint="eastAsia" w:ascii="宋体" w:hAnsi="宋体" w:eastAsia="宋体" w:cs="宋体"/>
          <w:b/>
          <w:bCs/>
          <w:color w:val="000000" w:themeColor="text1"/>
          <w:sz w:val="24"/>
          <w:szCs w:val="24"/>
          <w14:textFill>
            <w14:solidFill>
              <w14:schemeClr w14:val="tx1"/>
            </w14:solidFill>
          </w14:textFill>
        </w:rPr>
        <w:t>四、知识产权</w:t>
      </w:r>
      <w:bookmarkEnd w:id="27"/>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1.本项目全部阶段性成果和最终成果（包括为后续服务范围所编制的文件）的所有权、知识产权以及与之相关的所有权利归甲方所有。</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所提交的全部阶段性成果和最终成果文件及任何数据、资料、软件等不得侵犯任何第三方的知识产权或其他权利，由于该等文件、数据、资料、软件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pStyle w:val="2"/>
        <w:tabs>
          <w:tab w:val="left" w:pos="562"/>
          <w:tab w:val="left" w:pos="3372"/>
          <w:tab w:val="left" w:pos="3653"/>
        </w:tabs>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spacing w:line="360" w:lineRule="auto"/>
        <w:rPr>
          <w:rFonts w:hint="eastAsia" w:ascii="宋体" w:hAnsi="宋体" w:eastAsia="宋体" w:cs="宋体"/>
          <w:b/>
          <w:bCs/>
          <w:color w:val="000000" w:themeColor="text1"/>
          <w:sz w:val="24"/>
          <w:szCs w:val="24"/>
          <w:lang w:val="zh-CN"/>
          <w14:textFill>
            <w14:solidFill>
              <w14:schemeClr w14:val="tx1"/>
            </w14:solidFill>
          </w14:textFill>
        </w:rPr>
      </w:pPr>
      <w:bookmarkStart w:id="28" w:name="_Toc16452"/>
      <w:r>
        <w:rPr>
          <w:rFonts w:hint="eastAsia" w:ascii="宋体" w:hAnsi="宋体" w:eastAsia="宋体" w:cs="宋体"/>
          <w:b/>
          <w:bCs/>
          <w:color w:val="000000" w:themeColor="text1"/>
          <w:sz w:val="24"/>
          <w:szCs w:val="24"/>
          <w14:textFill>
            <w14:solidFill>
              <w14:schemeClr w14:val="tx1"/>
            </w14:solidFill>
          </w14:textFill>
        </w:rPr>
        <w:t>五、</w:t>
      </w:r>
      <w:bookmarkEnd w:id="28"/>
      <w:r>
        <w:rPr>
          <w:rFonts w:hint="eastAsia" w:ascii="宋体" w:hAnsi="宋体" w:eastAsia="宋体" w:cs="宋体"/>
          <w:b/>
          <w:bCs/>
          <w:color w:val="000000" w:themeColor="text1"/>
          <w:sz w:val="24"/>
          <w:szCs w:val="24"/>
          <w:lang w:val="zh-CN"/>
          <w14:textFill>
            <w14:solidFill>
              <w14:schemeClr w14:val="tx1"/>
            </w14:solidFill>
          </w14:textFill>
        </w:rPr>
        <w:t>乙方责任条款</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（一）网络要求</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1.乙方代收网络应与甲方的非税系统实现连接，并指派专门的业务和技术人员负责双方网络的互联互通工作，确保银行端网络的畅通。</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2.甲方将根据非税系统的推广进度，将市级非税收入逐步纳入非税系统收缴，并委托乙方代收。乙方应对非税系统的建设、推广和运行提供支持和帮助。</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（二）乙方责任条款</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1. 甲方在乙方开设非税收入财政账户，账号</w:t>
      </w:r>
      <w:r>
        <w:rPr>
          <w:rFonts w:hint="eastAsia" w:ascii="宋体" w:hAnsi="宋体" w:cs="宋体"/>
          <w:color w:val="000000" w:themeColor="text1"/>
          <w:kern w:val="0"/>
          <w:sz w:val="24"/>
          <w:szCs w:val="24"/>
          <w:lang w:val="zh-CN" w:bidi="zh-CN"/>
          <w14:textFill>
            <w14:solidFill>
              <w14:schemeClr w14:val="tx1"/>
            </w14:solidFill>
          </w14:textFill>
        </w:rPr>
        <w:t>：</w:t>
      </w:r>
      <w:r>
        <w:rPr>
          <w:rFonts w:hint="eastAsia" w:ascii="宋体" w:hAnsi="宋体" w:eastAsia="宋体" w:cs="宋体"/>
          <w:color w:val="000000" w:themeColor="text1"/>
          <w:kern w:val="0"/>
          <w:sz w:val="24"/>
          <w:szCs w:val="24"/>
          <w:lang w:val="zh-CN" w:bidi="zh-CN"/>
          <w14:textFill>
            <w14:solidFill>
              <w14:schemeClr w14:val="tx1"/>
            </w14:solidFill>
          </w14:textFill>
        </w:rPr>
        <w:t xml:space="preserve">         ，户名：</w:t>
      </w:r>
      <w:r>
        <w:rPr>
          <w:rFonts w:hint="eastAsia" w:ascii="宋体" w:hAnsi="宋体" w:eastAsia="宋体" w:cs="宋体"/>
          <w:color w:val="000000" w:themeColor="text1"/>
          <w:kern w:val="0"/>
          <w:sz w:val="24"/>
          <w:szCs w:val="24"/>
          <w:lang w:val="en-US" w:bidi="zh-CN"/>
          <w14:textFill>
            <w14:solidFill>
              <w14:schemeClr w14:val="tx1"/>
            </w14:solidFill>
          </w14:textFill>
        </w:rPr>
        <w:t>深圳市前海财政中心</w:t>
      </w:r>
      <w:r>
        <w:rPr>
          <w:rFonts w:hint="eastAsia" w:ascii="宋体" w:hAnsi="宋体" w:eastAsia="宋体" w:cs="宋体"/>
          <w:color w:val="000000" w:themeColor="text1"/>
          <w:kern w:val="0"/>
          <w:sz w:val="24"/>
          <w:szCs w:val="24"/>
          <w:lang w:val="zh-CN" w:bidi="zh-CN"/>
          <w14:textFill>
            <w14:solidFill>
              <w14:schemeClr w14:val="tx1"/>
            </w14:solidFill>
          </w14:textFill>
        </w:rPr>
        <w:t>，开户银行：         。该账户主要用于非税系统</w:t>
      </w:r>
      <w:r>
        <w:rPr>
          <w:rFonts w:hint="eastAsia" w:ascii="宋体" w:hAnsi="宋体" w:eastAsia="宋体" w:cs="宋体"/>
          <w:color w:val="000000" w:themeColor="text1"/>
          <w:kern w:val="0"/>
          <w:sz w:val="24"/>
          <w:szCs w:val="24"/>
          <w:lang w:val="en-US" w:bidi="zh-CN"/>
          <w14:textFill>
            <w14:solidFill>
              <w14:schemeClr w14:val="tx1"/>
            </w14:solidFill>
          </w14:textFill>
        </w:rPr>
        <w:t>前海合作区区</w:t>
      </w:r>
      <w:r>
        <w:rPr>
          <w:rFonts w:hint="eastAsia" w:ascii="宋体" w:hAnsi="宋体" w:eastAsia="宋体" w:cs="宋体"/>
          <w:color w:val="000000" w:themeColor="text1"/>
          <w:kern w:val="0"/>
          <w:sz w:val="24"/>
          <w:szCs w:val="24"/>
          <w:lang w:val="zh-CN" w:bidi="zh-CN"/>
          <w14:textFill>
            <w14:solidFill>
              <w14:schemeClr w14:val="tx1"/>
            </w14:solidFill>
          </w14:textFill>
        </w:rPr>
        <w:t>级收入的收缴。乙方须每月初向甲方提交该账户的余额情况及报表。</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2．乙方应开放深圳地区下属所有综合性营业点为代收网点，办理</w:t>
      </w:r>
      <w:r>
        <w:rPr>
          <w:rFonts w:hint="eastAsia" w:ascii="宋体" w:hAnsi="宋体" w:eastAsia="宋体" w:cs="宋体"/>
          <w:color w:val="000000" w:themeColor="text1"/>
          <w:kern w:val="0"/>
          <w:sz w:val="24"/>
          <w:szCs w:val="24"/>
          <w:lang w:val="en-US" w:bidi="zh-CN"/>
          <w14:textFill>
            <w14:solidFill>
              <w14:schemeClr w14:val="tx1"/>
            </w14:solidFill>
          </w14:textFill>
        </w:rPr>
        <w:t>前海合作区</w:t>
      </w:r>
      <w:r>
        <w:rPr>
          <w:rFonts w:hint="eastAsia" w:ascii="宋体" w:hAnsi="宋体" w:eastAsia="宋体" w:cs="宋体"/>
          <w:color w:val="000000" w:themeColor="text1"/>
          <w:kern w:val="0"/>
          <w:sz w:val="24"/>
          <w:szCs w:val="24"/>
          <w:lang w:val="zh-CN" w:bidi="zh-CN"/>
          <w14:textFill>
            <w14:solidFill>
              <w14:schemeClr w14:val="tx1"/>
            </w14:solidFill>
          </w14:textFill>
        </w:rPr>
        <w:t>非税收入代收业务。</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3.乙方为主办行，负责对口甲方并按照甲方的要求开展</w:t>
      </w:r>
      <w:r>
        <w:rPr>
          <w:rFonts w:hint="eastAsia" w:ascii="宋体" w:hAnsi="宋体" w:eastAsia="宋体" w:cs="宋体"/>
          <w:color w:val="000000" w:themeColor="text1"/>
          <w:kern w:val="0"/>
          <w:sz w:val="24"/>
          <w:szCs w:val="24"/>
          <w:lang w:val="en-US" w:bidi="zh-CN"/>
          <w14:textFill>
            <w14:solidFill>
              <w14:schemeClr w14:val="tx1"/>
            </w14:solidFill>
          </w14:textFill>
        </w:rPr>
        <w:t>前海合作区</w:t>
      </w:r>
      <w:r>
        <w:rPr>
          <w:rFonts w:hint="eastAsia" w:ascii="宋体" w:hAnsi="宋体" w:eastAsia="宋体" w:cs="宋体"/>
          <w:color w:val="000000" w:themeColor="text1"/>
          <w:kern w:val="0"/>
          <w:sz w:val="24"/>
          <w:szCs w:val="24"/>
          <w:lang w:val="zh-CN" w:bidi="zh-CN"/>
          <w14:textFill>
            <w14:solidFill>
              <w14:schemeClr w14:val="tx1"/>
            </w14:solidFill>
          </w14:textFill>
        </w:rPr>
        <w:t>非税收入的收缴、划缴甲方金库或财政专户及对账等有关工作。</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4.乙方每天对账完毕后，于次日（遇节假日顺延）将收缴的资金按甲方清算文件划入甲方清算账户（智慧财政非税系统上线后划拨到甲方金库或财政专户）</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5.乙方应积极推广刷卡缴款、网上银行缴款、转账缴款、批量代扣、自助终端缴款、网上支付等便利缴款方式，积极协助甲方推动非税收入收缴的便民利民工作。</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6.乙方应加强对下属代收网点的非税收入代收业务培训工作，加强与下属代收网点的沟通协调，确保柜台人员熟悉非税收入代收业务流程，杜绝代收网点拒收非税收入情况的出现。</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7.乙方应进一步完善银行代收管理制度以及内部控制、审计制度，加强对下属网点的业务指导和监督检查，确保市级非税收入资金的安全和及时上缴，避免非税收入资金被延压、占用和挪用等情况的发生。</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8.乙方应加强对下属各代收网点财政票据的管理，建立健全票据保管、领用、作废等各个环节的内部管理制度，合理测算票据用量避免票据浪费或票据数量不足引起的代收工作停顿。</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9.在甲乙双方网络断开的情况下，乙方根据双方规定，使用应急方案收取市级非税收入，因使用应急方案收取市级非税收入造成的挂账信息由非税系统协助乙方及时进行处理。</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（三）乙方下属各代收网点责任条款</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1.乙方下属各代收网点应严格按照市级非税收入代收业务的操作指引或相关要求办理代收业务，并指派对非税收入代收业务熟悉的人员负责柜台收款工作，接受现金、转账等方式缴款。在缴费高峰期，应采取有效措施积极疏导，最大程度方便缴款人缴费。</w:t>
      </w:r>
    </w:p>
    <w:p>
      <w:pPr>
        <w:autoSpaceDE w:val="0"/>
        <w:autoSpaceDN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2.乙方各代收网点应积极做好缴款方式、缴款流程的宣传工作。</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29" w:name="_Toc24089"/>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、合同履行时间、售后服务要求及履行地点</w:t>
      </w:r>
      <w:bookmarkEnd w:id="29"/>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履行时间</w:t>
      </w:r>
      <w:r>
        <w:rPr>
          <w:rFonts w:hint="eastAsia" w:ascii="宋体" w:hAnsi="宋体" w:eastAsia="宋体" w:cs="宋体"/>
          <w:color w:val="000000" w:themeColor="text1"/>
          <w:kern w:val="0"/>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自合同签订之日起</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个月。</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2.售后服务要求：</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 xml:space="preserve">的售后服务和技术支持内容包括但不限于：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1.系统安装部署和衔接；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2.数据迁移；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3.系统试运行及上线跟踪；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4.系统缺陷修复及完善；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 xml:space="preserve">5.服务保障体系；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6.按照</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国库</w:t>
      </w:r>
      <w:r>
        <w:rPr>
          <w:rFonts w:hint="eastAsia" w:ascii="宋体" w:hAnsi="宋体" w:cs="宋体"/>
          <w:color w:val="000000" w:themeColor="text1"/>
          <w:sz w:val="24"/>
          <w:szCs w:val="24"/>
          <w:lang w:eastAsia="zh-CN"/>
          <w14:textFill>
            <w14:solidFill>
              <w14:schemeClr w14:val="tx1"/>
            </w14:solidFill>
          </w14:textFill>
        </w:rPr>
        <w:t>非税收入</w:t>
      </w:r>
      <w:r>
        <w:rPr>
          <w:rFonts w:hint="eastAsia" w:ascii="宋体" w:hAnsi="宋体" w:eastAsia="宋体" w:cs="宋体"/>
          <w:color w:val="000000" w:themeColor="text1"/>
          <w:sz w:val="24"/>
          <w:szCs w:val="24"/>
          <w14:textFill>
            <w14:solidFill>
              <w14:schemeClr w14:val="tx1"/>
            </w14:solidFill>
          </w14:textFill>
        </w:rPr>
        <w:t>业务及“智慧财政”建设的要求进行升级改造；年底保障，即：年底期间，成立专门的年底保障小组，及时对财政部门年底的业务处理和业务保障进行详细调研，做出详细、科学的工作计划，提供现场支持和远程支持两种服务保障；解答用户提出的相关问题。</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应开通多部服务热线，提供 7X24 小时电话支持服务；</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通过电话、传真、或电子邮件等方式将系统相关问题通知</w:t>
      </w:r>
      <w:r>
        <w:rPr>
          <w:rFonts w:hint="eastAsia" w:ascii="宋体" w:hAnsi="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在得到</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的通知或要求后，参照</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的相关管理规定，对问题做出响应。</w:t>
      </w:r>
      <w:r>
        <w:rPr>
          <w:rFonts w:hint="eastAsia" w:ascii="宋体" w:hAnsi="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要在接到通知起3小时内对问题做出明确答复，一般问题要求在当天解决，最长不得超出3天；采购单位可以指派相关专家每年一次到</w:t>
      </w:r>
      <w:r>
        <w:rPr>
          <w:rFonts w:hint="eastAsia" w:ascii="宋体" w:hAnsi="宋体" w:cs="宋体"/>
          <w:color w:val="000000" w:themeColor="text1"/>
          <w:sz w:val="24"/>
          <w:szCs w:val="24"/>
          <w:lang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进行现场巡检，及时发现问题，防患于未然。年检的内容包括信息系统运行状况、业务办理水平、用户意见反馈等。</w:t>
      </w:r>
      <w:r>
        <w:rPr>
          <w:rFonts w:hint="eastAsia" w:ascii="宋体" w:hAnsi="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应详细记录年检的内容、过程，提交《非税收入代理银行年检报告》给</w:t>
      </w:r>
      <w:r>
        <w:rPr>
          <w:rFonts w:hint="eastAsia" w:ascii="宋体" w:hAnsi="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审核。</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3.履行地点：深圳市前海深港现代服务业合作区。</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bookmarkStart w:id="30" w:name="_Toc22413"/>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w:t>
      </w:r>
      <w:bookmarkEnd w:id="30"/>
      <w:r>
        <w:rPr>
          <w:rFonts w:hint="eastAsia" w:ascii="宋体" w:hAnsi="宋体" w:eastAsia="宋体" w:cs="宋体"/>
          <w:b/>
          <w:bCs/>
          <w:color w:val="000000" w:themeColor="text1"/>
          <w:sz w:val="24"/>
          <w:szCs w:val="24"/>
          <w14:textFill>
            <w14:solidFill>
              <w14:schemeClr w14:val="tx1"/>
            </w14:solidFill>
          </w14:textFill>
        </w:rPr>
        <w:t>验收和鉴定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bookmarkStart w:id="31" w:name="_Toc11509"/>
      <w:r>
        <w:rPr>
          <w:rFonts w:hint="eastAsia" w:ascii="宋体" w:hAnsi="宋体" w:eastAsia="宋体" w:cs="宋体"/>
          <w:color w:val="000000" w:themeColor="text1"/>
          <w:sz w:val="24"/>
          <w:szCs w:val="24"/>
          <w14:textFill>
            <w14:solidFill>
              <w14:schemeClr w14:val="tx1"/>
            </w14:solidFill>
          </w14:textFill>
        </w:rPr>
        <w:t>项目完成后，</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须通过书面方式向</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提出验收申请，由</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组织验收小组对本项目的成果进行验收和鉴定，验收和鉴定通过则由验收小组出具验收和鉴定证明。</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鉴定内容包括但不限于：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（1）本项目成果是否满足规范及格式要求；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（2）本项目成果的准确性、先进性及全面性；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（3）本项目成果对</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国库</w:t>
      </w:r>
      <w:r>
        <w:rPr>
          <w:rFonts w:hint="eastAsia" w:ascii="宋体" w:hAnsi="宋体" w:cs="宋体"/>
          <w:color w:val="000000" w:themeColor="text1"/>
          <w:sz w:val="24"/>
          <w:szCs w:val="24"/>
          <w:lang w:eastAsia="zh-CN"/>
          <w14:textFill>
            <w14:solidFill>
              <w14:schemeClr w14:val="tx1"/>
            </w14:solidFill>
          </w14:textFill>
        </w:rPr>
        <w:t>非税收入</w:t>
      </w:r>
      <w:r>
        <w:rPr>
          <w:rFonts w:hint="eastAsia" w:ascii="宋体" w:hAnsi="宋体" w:eastAsia="宋体" w:cs="宋体"/>
          <w:color w:val="000000" w:themeColor="text1"/>
          <w:sz w:val="24"/>
          <w:szCs w:val="24"/>
          <w14:textFill>
            <w14:solidFill>
              <w14:schemeClr w14:val="tx1"/>
            </w14:solidFill>
          </w14:textFill>
        </w:rPr>
        <w:t xml:space="preserve">业务和“智慧财政工程”建设的指导作用；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（4）其他</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 xml:space="preserve">要求验收鉴定的内容。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如果双方对质量、完成情况有意见分歧，</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可委托权威机构对产品进行重新鉴定，该权威机构出具的鉴定证明即作为</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eastAsia" w:ascii="宋体" w:hAnsi="宋体" w:eastAsia="宋体" w:cs="宋体"/>
          <w:color w:val="000000" w:themeColor="text1"/>
          <w:sz w:val="24"/>
          <w:szCs w:val="24"/>
          <w14:textFill>
            <w14:solidFill>
              <w14:schemeClr w14:val="tx1"/>
            </w14:solidFill>
          </w14:textFill>
        </w:rPr>
        <w:t>向</w:t>
      </w: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 xml:space="preserve">提出修改和索赔的有效证据。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乙方</w:t>
      </w:r>
      <w:r>
        <w:rPr>
          <w:rFonts w:hint="eastAsia" w:ascii="宋体" w:hAnsi="宋体" w:eastAsia="宋体" w:cs="宋体"/>
          <w:color w:val="000000" w:themeColor="text1"/>
          <w:sz w:val="24"/>
          <w:szCs w:val="24"/>
          <w14:textFill>
            <w14:solidFill>
              <w14:schemeClr w14:val="tx1"/>
            </w14:solidFill>
          </w14:textFill>
        </w:rPr>
        <w:t>除承担修改费用之外，还需承担重新鉴定费用。</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八</w:t>
      </w:r>
      <w:r>
        <w:rPr>
          <w:rFonts w:hint="eastAsia" w:ascii="宋体" w:hAnsi="宋体" w:eastAsia="宋体" w:cs="宋体"/>
          <w:b/>
          <w:bCs/>
          <w:color w:val="000000" w:themeColor="text1"/>
          <w:sz w:val="24"/>
          <w:szCs w:val="24"/>
          <w14:textFill>
            <w14:solidFill>
              <w14:schemeClr w14:val="tx1"/>
            </w14:solidFill>
          </w14:textFill>
        </w:rPr>
        <w:t>、费用支付</w:t>
      </w:r>
      <w:bookmarkEnd w:id="31"/>
    </w:p>
    <w:p>
      <w:pPr>
        <w:pStyle w:val="13"/>
        <w:numPr>
          <w:ilvl w:val="0"/>
          <w:numId w:val="0"/>
        </w:numPr>
        <w:spacing w:before="0" w:beforeAutospacing="0" w:after="0" w:afterAutospacing="0"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付款方式：</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1.1</w:t>
      </w:r>
      <w:r>
        <w:rPr>
          <w:rFonts w:hint="eastAsia" w:ascii="宋体" w:hAnsi="宋体" w:eastAsia="宋体" w:cs="宋体"/>
          <w:color w:val="000000" w:themeColor="text1"/>
          <w:kern w:val="2"/>
          <w:sz w:val="24"/>
          <w:szCs w:val="24"/>
          <w:lang w:val="en-US" w:eastAsia="zh-CN"/>
          <w14:textFill>
            <w14:solidFill>
              <w14:schemeClr w14:val="tx1"/>
            </w14:solidFill>
          </w14:textFill>
        </w:rPr>
        <w:t>.每年</w:t>
      </w:r>
      <w:r>
        <w:rPr>
          <w:rFonts w:hint="eastAsia" w:ascii="宋体" w:hAnsi="宋体" w:eastAsia="宋体" w:cs="宋体"/>
          <w:color w:val="000000" w:themeColor="text1"/>
          <w:kern w:val="2"/>
          <w:sz w:val="24"/>
          <w:szCs w:val="24"/>
          <w14:textFill>
            <w14:solidFill>
              <w14:schemeClr w14:val="tx1"/>
            </w14:solidFill>
          </w14:textFill>
        </w:rPr>
        <w:t>根据实际支付笔数、金额结算上年手续费。</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1.2.上述款项在满足付款条件，且甲方收到乙方开具的载明相应金额的合格发票后15个工作日内付至乙方指定银行账户。如未及时收到发票，则甲方相应付款时间顺延。因甲方付款审批影响支付进度，请乙方予以谅解，并不得就此向甲方索赔。</w:t>
      </w:r>
    </w:p>
    <w:p>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zh-CN"/>
          <w14:textFill>
            <w14:solidFill>
              <w14:schemeClr w14:val="tx1"/>
            </w14:solidFill>
          </w14:textFill>
        </w:rPr>
        <w:t>本合同执行中相关的一切税费均由乙方负担。</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3.合同价款由甲方分期付至乙方指定银行账户</w:t>
      </w:r>
    </w:p>
    <w:p>
      <w:pPr>
        <w:spacing w:line="360" w:lineRule="auto"/>
        <w:ind w:firstLine="480" w:firstLineChars="200"/>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乙方银行账户信息：</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开户银行：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户名：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账号： </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九</w:t>
      </w:r>
      <w:r>
        <w:rPr>
          <w:rFonts w:hint="eastAsia" w:ascii="宋体" w:hAnsi="宋体" w:eastAsia="宋体" w:cs="宋体"/>
          <w:b/>
          <w:bCs/>
          <w:color w:val="000000" w:themeColor="text1"/>
          <w:sz w:val="24"/>
          <w:szCs w:val="24"/>
          <w14:textFill>
            <w14:solidFill>
              <w14:schemeClr w14:val="tx1"/>
            </w14:solidFill>
          </w14:textFill>
        </w:rPr>
        <w:t>、业务代理手续费</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基于乙方在设备、网络、系统维护、清算对账、人员等方面的投入，甲方承诺在合作期间向乙方支付代收手续费，乙方收到甲方代理手续费的同时，向甲方出具银行手续费收费凭证。手续费的费率及计算原则如下：</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cs="宋体"/>
          <w:color w:val="000000" w:themeColor="text1"/>
          <w:kern w:val="2"/>
          <w:sz w:val="24"/>
          <w:szCs w:val="24"/>
          <w:lang w:val="en-US" w:eastAsia="zh-CN"/>
          <w14:textFill>
            <w14:solidFill>
              <w14:schemeClr w14:val="tx1"/>
            </w14:solidFill>
          </w14:textFill>
        </w:rPr>
        <w:t>1.</w:t>
      </w:r>
      <w:r>
        <w:rPr>
          <w:rFonts w:hint="eastAsia" w:ascii="宋体" w:hAnsi="宋体" w:eastAsia="宋体" w:cs="宋体"/>
          <w:color w:val="000000" w:themeColor="text1"/>
          <w:kern w:val="2"/>
          <w:sz w:val="24"/>
          <w:szCs w:val="24"/>
          <w14:textFill>
            <w14:solidFill>
              <w14:schemeClr w14:val="tx1"/>
            </w14:solidFill>
          </w14:textFill>
        </w:rPr>
        <w:t>根据不同的代收方式计算手续费</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非税收入代收手续费统一以</w:t>
      </w:r>
      <w:r>
        <w:rPr>
          <w:rFonts w:hint="eastAsia" w:cs="宋体"/>
          <w:color w:val="000000" w:themeColor="text1"/>
          <w:kern w:val="2"/>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元/笔的标准支付。</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十、技术培训要求</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default" w:ascii="宋体" w:hAnsi="宋体" w:eastAsia="宋体" w:cs="宋体"/>
          <w:color w:val="000000" w:themeColor="text1"/>
          <w:sz w:val="24"/>
          <w:szCs w:val="24"/>
          <w:lang w:val="en-US" w:eastAsia="zh-CN"/>
          <w14:textFill>
            <w14:solidFill>
              <w14:schemeClr w14:val="tx1"/>
            </w14:solidFill>
          </w14:textFill>
        </w:rPr>
        <w:t>希望通过本项目，达到提高</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default" w:ascii="宋体" w:hAnsi="宋体" w:eastAsia="宋体" w:cs="宋体"/>
          <w:color w:val="000000" w:themeColor="text1"/>
          <w:sz w:val="24"/>
          <w:szCs w:val="24"/>
          <w:lang w:val="en-US" w:eastAsia="zh-CN"/>
          <w14:textFill>
            <w14:solidFill>
              <w14:schemeClr w14:val="tx1"/>
            </w14:solidFill>
          </w14:textFill>
        </w:rPr>
        <w:t>智慧财政建设管理和运行维护水平的目的。为此，</w:t>
      </w:r>
      <w:r>
        <w:rPr>
          <w:rFonts w:hint="eastAsia" w:ascii="宋体" w:hAnsi="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000000" w:themeColor="text1"/>
          <w:sz w:val="24"/>
          <w:szCs w:val="24"/>
          <w:lang w:val="en-US" w:eastAsia="zh-CN"/>
          <w14:textFill>
            <w14:solidFill>
              <w14:schemeClr w14:val="tx1"/>
            </w14:solidFill>
          </w14:textFill>
        </w:rPr>
        <w:t>应为项目的实施提供包括但不限于下列几个方面的培训</w:t>
      </w:r>
      <w:r>
        <w:rPr>
          <w:rFonts w:hint="eastAsia" w:ascii="宋体" w:hAnsi="宋体" w:cs="宋体"/>
          <w:color w:val="000000" w:themeColor="text1"/>
          <w:sz w:val="24"/>
          <w:szCs w:val="24"/>
          <w:lang w:val="en-US" w:eastAsia="zh-CN"/>
          <w14:textFill>
            <w14:solidFill>
              <w14:schemeClr w14:val="tx1"/>
            </w14:solidFill>
          </w14:textFill>
        </w:rPr>
        <w:t>：</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default" w:ascii="宋体" w:hAnsi="宋体" w:eastAsia="宋体" w:cs="宋体"/>
          <w:color w:val="000000" w:themeColor="text1"/>
          <w:sz w:val="24"/>
          <w:szCs w:val="24"/>
          <w:lang w:val="en-US" w:eastAsia="zh-CN"/>
          <w14:textFill>
            <w14:solidFill>
              <w14:schemeClr w14:val="tx1"/>
            </w14:solidFill>
          </w14:textFill>
        </w:rPr>
        <w:t>本项目有关技术、标准规范和软件工具使用的培训；</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 xml:space="preserve">本项目实施技巧和实施步骤、方法的培训； </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default" w:ascii="宋体" w:hAnsi="宋体" w:eastAsia="宋体" w:cs="宋体"/>
          <w:color w:val="000000" w:themeColor="text1"/>
          <w:sz w:val="24"/>
          <w:szCs w:val="24"/>
          <w:lang w:val="en-US" w:eastAsia="zh-CN"/>
          <w14:textFill>
            <w14:solidFill>
              <w14:schemeClr w14:val="tx1"/>
            </w14:solidFill>
          </w14:textFill>
        </w:rPr>
        <w:t xml:space="preserve">系统功能建模、数据建模和系统体系结构建模方法的培训； </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乙方</w:t>
      </w:r>
      <w:r>
        <w:rPr>
          <w:rFonts w:hint="default" w:ascii="宋体" w:hAnsi="宋体" w:eastAsia="宋体" w:cs="宋体"/>
          <w:color w:val="000000" w:themeColor="text1"/>
          <w:sz w:val="24"/>
          <w:szCs w:val="24"/>
          <w:lang w:val="en-US" w:eastAsia="zh-CN"/>
          <w14:textFill>
            <w14:solidFill>
              <w14:schemeClr w14:val="tx1"/>
            </w14:solidFill>
          </w14:textFill>
        </w:rPr>
        <w:t xml:space="preserve">认为必要的其他培训； </w:t>
      </w:r>
    </w:p>
    <w:p>
      <w:pPr>
        <w:snapToGrid w:val="0"/>
        <w:spacing w:line="360" w:lineRule="auto"/>
        <w:ind w:firstLine="480" w:firstLineChars="20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default" w:ascii="宋体" w:hAnsi="宋体" w:eastAsia="宋体" w:cs="宋体"/>
          <w:color w:val="000000" w:themeColor="text1"/>
          <w:sz w:val="24"/>
          <w:szCs w:val="24"/>
          <w:lang w:val="en-US" w:eastAsia="zh-CN"/>
          <w14:textFill>
            <w14:solidFill>
              <w14:schemeClr w14:val="tx1"/>
            </w14:solidFill>
          </w14:textFill>
        </w:rPr>
        <w:t xml:space="preserve">认为必要的其他培训。 </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6.乙方</w:t>
      </w:r>
      <w:r>
        <w:rPr>
          <w:rFonts w:hint="default" w:ascii="宋体" w:hAnsi="宋体" w:eastAsia="宋体" w:cs="宋体"/>
          <w:color w:val="000000" w:themeColor="text1"/>
          <w:sz w:val="24"/>
          <w:szCs w:val="24"/>
          <w:lang w:val="en-US" w:eastAsia="zh-CN"/>
          <w14:textFill>
            <w14:solidFill>
              <w14:schemeClr w14:val="tx1"/>
            </w14:solidFill>
          </w14:textFill>
        </w:rPr>
        <w:t>应提出上述培训的具体建议和详细方案，需要时，协助</w:t>
      </w:r>
      <w:r>
        <w:rPr>
          <w:rFonts w:hint="eastAsia" w:ascii="宋体" w:hAnsi="宋体" w:eastAsia="宋体" w:cs="宋体"/>
          <w:color w:val="000000" w:themeColor="text1"/>
          <w:sz w:val="24"/>
          <w:szCs w:val="24"/>
          <w:lang w:val="en-US" w:eastAsia="zh-CN"/>
          <w14:textFill>
            <w14:solidFill>
              <w14:schemeClr w14:val="tx1"/>
            </w14:solidFill>
          </w14:textFill>
        </w:rPr>
        <w:t>甲方</w:t>
      </w:r>
      <w:r>
        <w:rPr>
          <w:rFonts w:hint="default" w:ascii="宋体" w:hAnsi="宋体" w:eastAsia="宋体" w:cs="宋体"/>
          <w:color w:val="000000" w:themeColor="text1"/>
          <w:sz w:val="24"/>
          <w:szCs w:val="24"/>
          <w:lang w:val="en-US" w:eastAsia="zh-CN"/>
          <w14:textFill>
            <w14:solidFill>
              <w14:schemeClr w14:val="tx1"/>
            </w14:solidFill>
          </w14:textFill>
        </w:rPr>
        <w:t>参加培训人员办理有关手续，包括邀请函、联系和安排住宿及往返交通等</w:t>
      </w:r>
      <w:r>
        <w:rPr>
          <w:rFonts w:hint="eastAsia" w:ascii="宋体" w:hAnsi="宋体" w:eastAsia="宋体" w:cs="宋体"/>
          <w:color w:val="000000" w:themeColor="text1"/>
          <w:kern w:val="2"/>
          <w:sz w:val="24"/>
          <w:szCs w:val="24"/>
          <w14:textFill>
            <w14:solidFill>
              <w14:schemeClr w14:val="tx1"/>
            </w14:solidFill>
          </w14:textFill>
        </w:rPr>
        <w:t>。</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一</w:t>
      </w:r>
      <w:r>
        <w:rPr>
          <w:rFonts w:hint="eastAsia" w:ascii="宋体" w:hAnsi="宋体" w:eastAsia="宋体" w:cs="宋体"/>
          <w:b/>
          <w:bCs/>
          <w:color w:val="000000" w:themeColor="text1"/>
          <w:sz w:val="24"/>
          <w:szCs w:val="24"/>
          <w14:textFill>
            <w14:solidFill>
              <w14:schemeClr w14:val="tx1"/>
            </w14:solidFill>
          </w14:textFill>
        </w:rPr>
        <w:t>、合同提前终止</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1.双方协商同意提前终止本合同的，按双方协商约定的方式进行清算执行。</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3.有下列情形之一的，本合同自甲方向乙方发出书面通知之日起终止：</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3.1.甲方的职能发生转变，不再具有委托职能。</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3.2.本合同签订时适用的法律法规或政策发生变化，且对本合同的继续履行造成重大影响。</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4.如发生不可抗力或其他超出合同双方控制的事件，致使一方无法履行合同，本合同解除。</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4.2.发生不可抗力，甲乙双方承担各自的损失。由于其中一方迟延履行合同义务后发生不可抗力的，其违约责任不能免除。</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不可抗力事件导致一方无法履行合同义务或继续履行已无意义，由双方协商终止本合同并进行清算，甲方应按照乙方已完成的工作量支付款项，同时乙方应向甲方提交在合同终止日前完成的所有项目文件和相关资料。 本协议终止后，甲乙双方应对委托代理期间发生的应尽未尽委托代理事项负责结清；有关保密义务的条款对双方仍继续有效。</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32" w:name="_Toc10529"/>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二</w:t>
      </w:r>
      <w:r>
        <w:rPr>
          <w:rFonts w:hint="eastAsia" w:ascii="宋体" w:hAnsi="宋体" w:eastAsia="宋体" w:cs="宋体"/>
          <w:b/>
          <w:bCs/>
          <w:color w:val="000000" w:themeColor="text1"/>
          <w:sz w:val="24"/>
          <w:szCs w:val="24"/>
          <w14:textFill>
            <w14:solidFill>
              <w14:schemeClr w14:val="tx1"/>
            </w14:solidFill>
          </w14:textFill>
        </w:rPr>
        <w:t>、争议解决</w:t>
      </w:r>
      <w:bookmarkEnd w:id="32"/>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1.甲乙双方如遇纠纷，应本着互相信任的原则，共同协商解决；协商不成的，可以调解；调解不成的，可以提起诉讼。双方若提起诉讼，应由甲方所在地人民法院管辖。</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2.如任何一方违约，守约方为维护权益向违约方追偿的一切费用(包括但不限于律师费、诉讼费、保全费、交通费、差旅费、鉴定费等)均由违约方承担。</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33" w:name="_Toc14951"/>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三</w:t>
      </w:r>
      <w:r>
        <w:rPr>
          <w:rFonts w:hint="eastAsia" w:ascii="宋体" w:hAnsi="宋体" w:eastAsia="宋体" w:cs="宋体"/>
          <w:b/>
          <w:bCs/>
          <w:color w:val="000000" w:themeColor="text1"/>
          <w:sz w:val="24"/>
          <w:szCs w:val="24"/>
          <w14:textFill>
            <w14:solidFill>
              <w14:schemeClr w14:val="tx1"/>
            </w14:solidFill>
          </w14:textFill>
        </w:rPr>
        <w:t>、违约责任</w:t>
      </w:r>
      <w:bookmarkEnd w:id="33"/>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本协议执行期间，乙方有如下违约行为时，甲方有权根据情节和所造成影响程度的不同，追究相应的责任，扣减代收手续费，直至暂停乙方的银行代收款资格，并赔偿甲方的损失。</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（1）乙方违反本合同约定，经甲方通告仍没有改正或改正</w:t>
      </w:r>
      <w:r>
        <w:rPr>
          <w:rFonts w:hint="eastAsia" w:ascii="宋体" w:hAnsi="宋体" w:cs="宋体"/>
          <w:color w:val="000000" w:themeColor="text1"/>
          <w:sz w:val="24"/>
          <w:szCs w:val="24"/>
          <w:lang w:eastAsia="zh-CN"/>
          <w14:textFill>
            <w14:solidFill>
              <w14:schemeClr w14:val="tx1"/>
            </w14:solidFill>
          </w14:textFill>
        </w:rPr>
        <w:t>不符合甲方要求</w:t>
      </w:r>
      <w:r>
        <w:rPr>
          <w:rFonts w:hint="eastAsia" w:ascii="宋体" w:hAnsi="宋体" w:eastAsia="宋体" w:cs="宋体"/>
          <w:color w:val="000000" w:themeColor="text1"/>
          <w:sz w:val="24"/>
          <w:szCs w:val="24"/>
          <w14:textFill>
            <w14:solidFill>
              <w14:schemeClr w14:val="tx1"/>
            </w14:solidFill>
          </w14:textFill>
        </w:rPr>
        <w:t>的。</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（2）乙方所提供的服务多次被缴款人提出投诉并经证实的，经甲方通告仍没有改正或改正</w:t>
      </w:r>
      <w:r>
        <w:rPr>
          <w:rFonts w:hint="eastAsia" w:ascii="宋体" w:hAnsi="宋体" w:cs="宋体"/>
          <w:color w:val="000000" w:themeColor="text1"/>
          <w:sz w:val="24"/>
          <w:szCs w:val="24"/>
          <w:lang w:eastAsia="zh-CN"/>
          <w14:textFill>
            <w14:solidFill>
              <w14:schemeClr w14:val="tx1"/>
            </w14:solidFill>
          </w14:textFill>
        </w:rPr>
        <w:t>不符合甲方要求</w:t>
      </w:r>
      <w:r>
        <w:rPr>
          <w:rFonts w:hint="eastAsia" w:ascii="宋体" w:hAnsi="宋体" w:eastAsia="宋体" w:cs="宋体"/>
          <w:color w:val="000000" w:themeColor="text1"/>
          <w:sz w:val="24"/>
          <w:szCs w:val="24"/>
          <w14:textFill>
            <w14:solidFill>
              <w14:schemeClr w14:val="tx1"/>
            </w14:solidFill>
          </w14:textFill>
        </w:rPr>
        <w:t>的。</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2.本协议执行期间，如甲方有如下违约行为时应承担相应的责任：</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在乙方未违约的情况下，甲方单方面终止乙方代理业务资格。</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（2）甲方违反合同约定不支付乙方手续费。</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34" w:name="_Toc17510"/>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四</w:t>
      </w:r>
      <w:r>
        <w:rPr>
          <w:rFonts w:hint="eastAsia" w:ascii="宋体" w:hAnsi="宋体" w:eastAsia="宋体" w:cs="宋体"/>
          <w:b/>
          <w:bCs/>
          <w:color w:val="000000" w:themeColor="text1"/>
          <w:sz w:val="24"/>
          <w:szCs w:val="24"/>
          <w14:textFill>
            <w14:solidFill>
              <w14:schemeClr w14:val="tx1"/>
            </w14:solidFill>
          </w14:textFill>
        </w:rPr>
        <w:t>、保密条款</w:t>
      </w:r>
      <w:bookmarkEnd w:id="34"/>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3.乙方实施项目的程序应符合国家安全、保密的有关规定和标准。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4.1.获取的信息已被合法公开；</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4.2.获得信息拥有方书面许可并在该许可范围内披露；</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4.3.国家法律、法规规定的情形。</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6.无论本合同或本合同其他条款是否有效，本保密条款始终约束双方。国家秘密的保密期限由国家有关部门确定，工作秘密的保密期限由甲方确定。</w:t>
      </w:r>
    </w:p>
    <w:p>
      <w:pPr>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35" w:name="_Toc16227"/>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五</w:t>
      </w:r>
      <w:r>
        <w:rPr>
          <w:rFonts w:hint="eastAsia" w:ascii="宋体" w:hAnsi="宋体" w:eastAsia="宋体" w:cs="宋体"/>
          <w:b/>
          <w:bCs/>
          <w:color w:val="000000" w:themeColor="text1"/>
          <w:sz w:val="24"/>
          <w:szCs w:val="24"/>
          <w14:textFill>
            <w14:solidFill>
              <w14:schemeClr w14:val="tx1"/>
            </w14:solidFill>
          </w14:textFill>
        </w:rPr>
        <w:t>、项目变更</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2.协议履行期间，如遇与协议生效后颁布的有关法律、法规、政策规定不符的情况，甲乙双方应按新的法律、法规、政策规定执行。</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3.本协议生效后，协议的基础条件发生了协议一方在订立协议时无法预见的、不属 于商业风险的重大变化，继续履行协议对于协议一方明显不公平的，受不利影响的协议一方可以与对方重新协商；在合理期限内协商不成的，协议双方应变更或者解除合同。</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4.在合同所约定的工作范畴内的服务，本合同价格不予变更。</w:t>
      </w:r>
    </w:p>
    <w:p>
      <w:pPr>
        <w:autoSpaceDE w:val="0"/>
        <w:autoSpaceDN w:val="0"/>
        <w:spacing w:line="360" w:lineRule="auto"/>
        <w:ind w:firstLine="0" w:firstLineChars="0"/>
        <w:jc w:val="left"/>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六</w:t>
      </w:r>
      <w:r>
        <w:rPr>
          <w:rFonts w:hint="eastAsia" w:ascii="宋体" w:hAnsi="宋体" w:eastAsia="宋体" w:cs="宋体"/>
          <w:b/>
          <w:bCs/>
          <w:color w:val="000000" w:themeColor="text1"/>
          <w:sz w:val="24"/>
          <w:szCs w:val="24"/>
          <w14:textFill>
            <w14:solidFill>
              <w14:schemeClr w14:val="tx1"/>
            </w14:solidFill>
          </w14:textFill>
        </w:rPr>
        <w:t>、</w:t>
      </w:r>
      <w:r>
        <w:rPr>
          <w:rFonts w:hint="eastAsia" w:ascii="宋体" w:hAnsi="宋体" w:eastAsia="宋体" w:cs="宋体"/>
          <w:color w:val="000000" w:themeColor="text1"/>
          <w:kern w:val="0"/>
          <w:sz w:val="24"/>
          <w:szCs w:val="24"/>
          <w:lang w:val="zh-CN" w:bidi="zh-CN"/>
          <w14:textFill>
            <w14:solidFill>
              <w14:schemeClr w14:val="tx1"/>
            </w14:solidFill>
          </w14:textFill>
        </w:rPr>
        <w:t>执行本合同发生争议，由当事人双方协商解决，协商不成，可按国家有关法律规定向甲方所在地人民法院提出诉讼。</w:t>
      </w:r>
    </w:p>
    <w:p>
      <w:pPr>
        <w:spacing w:line="360" w:lineRule="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十</w:t>
      </w:r>
      <w:r>
        <w:rPr>
          <w:rFonts w:hint="eastAsia" w:ascii="宋体" w:hAnsi="宋体" w:cs="宋体"/>
          <w:b/>
          <w:bCs/>
          <w:color w:val="000000" w:themeColor="text1"/>
          <w:sz w:val="24"/>
          <w:szCs w:val="24"/>
          <w:lang w:val="en-US" w:eastAsia="zh-CN"/>
          <w14:textFill>
            <w14:solidFill>
              <w14:schemeClr w14:val="tx1"/>
            </w14:solidFill>
          </w14:textFill>
        </w:rPr>
        <w:t>七</w:t>
      </w:r>
      <w:r>
        <w:rPr>
          <w:rFonts w:hint="eastAsia" w:ascii="宋体" w:hAnsi="宋体" w:eastAsia="宋体" w:cs="宋体"/>
          <w:b/>
          <w:bCs/>
          <w:color w:val="000000" w:themeColor="text1"/>
          <w:sz w:val="24"/>
          <w:szCs w:val="24"/>
          <w14:textFill>
            <w14:solidFill>
              <w14:schemeClr w14:val="tx1"/>
            </w14:solidFill>
          </w14:textFill>
        </w:rPr>
        <w:t>、其他</w:t>
      </w:r>
      <w:bookmarkEnd w:id="35"/>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（1）合同书及补充协议；</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（2）中标通知书；</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（3）招标文件（编号：    ）及其澄清、补正公告；</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（4）投标书。</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2.本合同替代此前双方所有关于本合同事项的口头或书面的纪要、备忘录、合同、协议。</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3.本合同附件（如有）为合同不可分割的组成部分，与本合同一并加盖骑缝章后具有同等法律效力。若附件与合同正文有任何冲突，以合同正文为准。</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4.本合同各条标题仅为提示之用，应以条文内容确定各方的权利义务。</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5.本合同未尽事宜，由双方协商签订补充协议进行约定。补充协议应以书面形式作成，经双方法定代表人或其授权代表签字、盖章后与本合同具有同等法律效力。</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7.如果本合同的任何条款在任何时候变成不合法、无效或不可强制执行而不从根本上影响本合同的效力时，本合同的其他条款不受影响。</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8.本合同的任何内容不应被视为或解释为双方之间具有合资、合伙、代理关系。</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9.任何一方未经另一方同意不得向任何第三方透露本合同的签订及其内容。甲方向其关联公司透露前述内容的，不受此限。</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11.本合同自双方法定代表人或其授权代表签字、盖章之日起生效。</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12.本合同一式六份正本，甲方与乙方各执三份，均具同等法律效力。（以下无正文）</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p>
    <w:p>
      <w:pPr>
        <w:pStyle w:val="8"/>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附件：</w:t>
      </w:r>
    </w:p>
    <w:p>
      <w:pPr>
        <w:numPr>
          <w:ilvl w:val="0"/>
          <w:numId w:val="6"/>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服务团队名单；</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《中标通知书》；</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.《招标文件》；</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.《投标文件》。</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甲方：                                    乙方：</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地址：                                    地址：</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法定代表人：                              法定代表人：</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委托代理人：                              委托代理人：</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电话：                                    电话：</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开户银行：                                开户银行：</w:t>
      </w:r>
    </w:p>
    <w:p>
      <w:pPr>
        <w:snapToGrid w:val="0"/>
        <w:spacing w:line="360" w:lineRule="auto"/>
        <w:ind w:firstLine="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 xml:space="preserve">号：                                    </w:t>
      </w:r>
      <w:r>
        <w:rPr>
          <w:rFonts w:hint="eastAsia" w:ascii="宋体" w:hAnsi="宋体" w:cs="宋体"/>
          <w:color w:val="000000" w:themeColor="text1"/>
          <w:sz w:val="24"/>
          <w:szCs w:val="24"/>
          <w:lang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号：</w:t>
      </w:r>
    </w:p>
    <w:p>
      <w:pPr>
        <w:spacing w:line="360" w:lineRule="auto"/>
        <w:ind w:firstLine="720" w:firstLineChars="300"/>
        <w:rPr>
          <w:rFonts w:hint="eastAsia" w:ascii="仿宋" w:hAnsi="仿宋" w:eastAsia="仿宋" w:cs="仿宋"/>
          <w:color w:val="000000" w:themeColor="text1"/>
          <w:szCs w:val="2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签约地址：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签约时间：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月  日</w:t>
      </w:r>
    </w:p>
    <w:p>
      <w:pPr>
        <w:pStyle w:val="2"/>
        <w:tabs>
          <w:tab w:val="left" w:pos="562"/>
          <w:tab w:val="left" w:pos="3372"/>
          <w:tab w:val="left" w:pos="3653"/>
        </w:tabs>
        <w:rPr>
          <w:b/>
          <w:bCs/>
          <w:color w:val="000000" w:themeColor="text1"/>
          <w:sz w:val="21"/>
          <w:szCs w:val="21"/>
          <w14:textFill>
            <w14:solidFill>
              <w14:schemeClr w14:val="tx1"/>
            </w14:solidFill>
          </w14:textFill>
        </w:rPr>
      </w:pPr>
      <w:r>
        <w:rPr>
          <w:rFonts w:hint="eastAsia" w:ascii="Calibri" w:hAnsi="Calibri"/>
          <w:b/>
          <w:bCs/>
          <w:color w:val="000000" w:themeColor="text1"/>
          <w:szCs w:val="28"/>
          <w14:textFill>
            <w14:solidFill>
              <w14:schemeClr w14:val="tx1"/>
            </w14:solidFill>
          </w14:textFill>
        </w:rPr>
        <w:br w:type="page"/>
      </w:r>
      <w:r>
        <w:rPr>
          <w:rFonts w:hint="eastAsia"/>
          <w:b/>
          <w:bCs/>
          <w:color w:val="000000" w:themeColor="text1"/>
          <w:sz w:val="21"/>
          <w:szCs w:val="21"/>
          <w14:textFill>
            <w14:solidFill>
              <w14:schemeClr w14:val="tx1"/>
            </w14:solidFill>
          </w14:textFill>
        </w:rPr>
        <w:t>附件1：服务团队名单</w:t>
      </w:r>
    </w:p>
    <w:p>
      <w:pPr>
        <w:jc w:val="center"/>
        <w:outlineLvl w:val="0"/>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服务团队名单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
        <w:gridCol w:w="1650"/>
        <w:gridCol w:w="1481"/>
        <w:gridCol w:w="2644"/>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序号</w:t>
            </w:r>
          </w:p>
        </w:tc>
        <w:tc>
          <w:tcPr>
            <w:tcW w:w="1650" w:type="dxa"/>
          </w:tcPr>
          <w:p>
            <w:pPr>
              <w:pStyle w:val="2"/>
              <w:tabs>
                <w:tab w:val="left" w:pos="562"/>
                <w:tab w:val="left" w:pos="3372"/>
                <w:tab w:val="left" w:pos="3653"/>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姓名</w:t>
            </w:r>
          </w:p>
        </w:tc>
        <w:tc>
          <w:tcPr>
            <w:tcW w:w="1481" w:type="dxa"/>
          </w:tcPr>
          <w:p>
            <w:pPr>
              <w:pStyle w:val="2"/>
              <w:tabs>
                <w:tab w:val="left" w:pos="562"/>
                <w:tab w:val="left" w:pos="3372"/>
                <w:tab w:val="left" w:pos="3653"/>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岗位</w:t>
            </w:r>
          </w:p>
        </w:tc>
        <w:tc>
          <w:tcPr>
            <w:tcW w:w="2645" w:type="dxa"/>
          </w:tcPr>
          <w:p>
            <w:pPr>
              <w:pStyle w:val="2"/>
              <w:tabs>
                <w:tab w:val="left" w:pos="562"/>
                <w:tab w:val="left" w:pos="3372"/>
                <w:tab w:val="left" w:pos="3653"/>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联系方式</w:t>
            </w:r>
          </w:p>
        </w:tc>
        <w:tc>
          <w:tcPr>
            <w:tcW w:w="1704" w:type="dxa"/>
          </w:tcPr>
          <w:p>
            <w:pPr>
              <w:pStyle w:val="2"/>
              <w:tabs>
                <w:tab w:val="left" w:pos="562"/>
                <w:tab w:val="left" w:pos="3372"/>
                <w:tab w:val="left" w:pos="3653"/>
              </w:tabs>
              <w:jc w:val="center"/>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650"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481"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2645"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704" w:type="dxa"/>
          </w:tcPr>
          <w:p>
            <w:pPr>
              <w:pStyle w:val="2"/>
              <w:tabs>
                <w:tab w:val="left" w:pos="562"/>
                <w:tab w:val="left" w:pos="3372"/>
                <w:tab w:val="left" w:pos="3653"/>
              </w:tabs>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650"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481"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2645"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704" w:type="dxa"/>
          </w:tcPr>
          <w:p>
            <w:pPr>
              <w:pStyle w:val="2"/>
              <w:tabs>
                <w:tab w:val="left" w:pos="562"/>
                <w:tab w:val="left" w:pos="3372"/>
                <w:tab w:val="left" w:pos="3653"/>
              </w:tabs>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650"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481"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2645"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704" w:type="dxa"/>
          </w:tcPr>
          <w:p>
            <w:pPr>
              <w:pStyle w:val="2"/>
              <w:tabs>
                <w:tab w:val="left" w:pos="562"/>
                <w:tab w:val="left" w:pos="3372"/>
                <w:tab w:val="left" w:pos="3653"/>
              </w:tabs>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650"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481"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2645"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704" w:type="dxa"/>
          </w:tcPr>
          <w:p>
            <w:pPr>
              <w:pStyle w:val="2"/>
              <w:tabs>
                <w:tab w:val="left" w:pos="562"/>
                <w:tab w:val="left" w:pos="3372"/>
                <w:tab w:val="left" w:pos="3653"/>
              </w:tabs>
              <w:rPr>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650"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481"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2645" w:type="dxa"/>
          </w:tcPr>
          <w:p>
            <w:pPr>
              <w:pStyle w:val="2"/>
              <w:tabs>
                <w:tab w:val="left" w:pos="562"/>
                <w:tab w:val="left" w:pos="3372"/>
                <w:tab w:val="left" w:pos="3653"/>
              </w:tabs>
              <w:rPr>
                <w:color w:val="000000" w:themeColor="text1"/>
                <w:sz w:val="21"/>
                <w:szCs w:val="21"/>
                <w14:textFill>
                  <w14:solidFill>
                    <w14:schemeClr w14:val="tx1"/>
                  </w14:solidFill>
                </w14:textFill>
              </w:rPr>
            </w:pPr>
          </w:p>
        </w:tc>
        <w:tc>
          <w:tcPr>
            <w:tcW w:w="1704" w:type="dxa"/>
          </w:tcPr>
          <w:p>
            <w:pPr>
              <w:pStyle w:val="2"/>
              <w:tabs>
                <w:tab w:val="left" w:pos="562"/>
                <w:tab w:val="left" w:pos="3372"/>
                <w:tab w:val="left" w:pos="3653"/>
              </w:tabs>
              <w:rPr>
                <w:color w:val="000000" w:themeColor="text1"/>
                <w:sz w:val="21"/>
                <w:szCs w:val="21"/>
                <w14:textFill>
                  <w14:solidFill>
                    <w14:schemeClr w14:val="tx1"/>
                  </w14:solidFill>
                </w14:textFill>
              </w:rPr>
            </w:pPr>
          </w:p>
        </w:tc>
      </w:tr>
    </w:tbl>
    <w:p>
      <w:pPr>
        <w:ind w:firstLine="420" w:firstLineChars="200"/>
        <w:jc w:val="left"/>
        <w:rPr>
          <w:rFonts w:hint="eastAsia" w:ascii="仿宋" w:hAnsi="仿宋" w:eastAsia="仿宋" w:cs="仿宋"/>
          <w:color w:val="000000" w:themeColor="text1"/>
          <w:szCs w:val="21"/>
          <w14:textFill>
            <w14:solidFill>
              <w14:schemeClr w14:val="tx1"/>
            </w14:solidFill>
          </w14:textFill>
        </w:rPr>
      </w:pPr>
    </w:p>
    <w:p>
      <w:pPr>
        <w:ind w:firstLine="630" w:firstLineChars="300"/>
        <w:rPr>
          <w:rFonts w:hint="eastAsia" w:ascii="仿宋" w:hAnsi="仿宋" w:eastAsia="仿宋" w:cs="仿宋"/>
          <w:color w:val="000000" w:themeColor="text1"/>
          <w:szCs w:val="21"/>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注：本合同样本仅供参考，具体条款内容采购人和中标人按前海管理局合同样本签订。实际合同样本不改变本招标文件的实质条件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36" w:name="_Toc25518"/>
      <w:r>
        <w:rPr>
          <w:rFonts w:hint="eastAsia" w:ascii="宋体" w:hAnsi="宋体" w:cs="宋体"/>
          <w:b/>
          <w:bCs/>
          <w:color w:val="000000" w:themeColor="text1"/>
          <w:sz w:val="24"/>
          <w14:textFill>
            <w14:solidFill>
              <w14:schemeClr w14:val="tx1"/>
            </w14:solidFill>
          </w14:textFill>
        </w:rPr>
        <w:t>用户需求书</w:t>
      </w:r>
      <w:bookmarkEnd w:id="36"/>
    </w:p>
    <w:p>
      <w:pPr>
        <w:pStyle w:val="25"/>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7" w:name="_Toc11045"/>
      <w:bookmarkStart w:id="38"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37"/>
    <w:bookmarkEnd w:id="38"/>
    <w:p>
      <w:pPr>
        <w:numPr>
          <w:ilvl w:val="0"/>
          <w:numId w:val="7"/>
        </w:numPr>
        <w:tabs>
          <w:tab w:val="left" w:pos="900"/>
        </w:tabs>
        <w:spacing w:before="156" w:beforeLines="50" w:after="156" w:afterLines="50"/>
        <w:ind w:firstLine="0"/>
        <w:outlineLvl w:val="1"/>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项目背景</w:t>
      </w:r>
    </w:p>
    <w:p>
      <w:pPr>
        <w:pStyle w:val="36"/>
        <w:spacing w:line="360" w:lineRule="auto"/>
        <w:rPr>
          <w:rFonts w:hint="eastAsia" w:ascii="宋体" w:hAnsi="宋体" w:eastAsia="宋体" w:cs="宋体"/>
          <w:color w:val="000000" w:themeColor="text1"/>
          <w:sz w:val="24"/>
          <w:szCs w:val="24"/>
          <w14:textFill>
            <w14:solidFill>
              <w14:schemeClr w14:val="tx1"/>
            </w14:solidFill>
          </w14:textFill>
        </w:rPr>
      </w:pPr>
      <w:bookmarkStart w:id="39" w:name="_Toc21000"/>
      <w:r>
        <w:rPr>
          <w:rFonts w:hint="eastAsia" w:ascii="宋体" w:hAnsi="宋体" w:eastAsia="宋体" w:cs="宋体"/>
          <w:color w:val="000000" w:themeColor="text1"/>
          <w:sz w:val="24"/>
          <w:szCs w:val="24"/>
          <w14:textFill>
            <w14:solidFill>
              <w14:schemeClr w14:val="tx1"/>
            </w14:solidFill>
          </w14:textFill>
        </w:rPr>
        <w:t>深圳市智慧财政非税收入征管系统（以下简称“非税收入征管系统”、“非</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税系统”）是我市“智慧财政”建设总体规划中的一部分，与深圳市”智慧财政”</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系统中的部门预算、国库</w:t>
      </w:r>
      <w:r>
        <w:rPr>
          <w:rFonts w:hint="eastAsia" w:ascii="宋体" w:hAnsi="宋体" w:cs="宋体"/>
          <w:color w:val="000000" w:themeColor="text1"/>
          <w:sz w:val="24"/>
          <w:szCs w:val="24"/>
          <w:lang w:eastAsia="zh-CN"/>
          <w14:textFill>
            <w14:solidFill>
              <w14:schemeClr w14:val="tx1"/>
            </w14:solidFill>
          </w14:textFill>
        </w:rPr>
        <w:t>非税收入</w:t>
      </w:r>
      <w:r>
        <w:rPr>
          <w:rFonts w:hint="eastAsia" w:ascii="宋体" w:hAnsi="宋体" w:eastAsia="宋体" w:cs="宋体"/>
          <w:color w:val="000000" w:themeColor="text1"/>
          <w:sz w:val="24"/>
          <w:szCs w:val="24"/>
          <w14:textFill>
            <w14:solidFill>
              <w14:schemeClr w14:val="tx1"/>
            </w14:solidFill>
          </w14:textFill>
        </w:rPr>
        <w:t>、账务管理等业务模块相衔接，实现从执收单</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位开单到代收银行开票和代收再到财政统管监督的流程自动化，同时通过建立规</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范的政府非税收入收缴管理制度，进一步规范政府分配秩序，促进执收单位依法</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履行职责，增强政府宏观调控能力，加强财政监督管理，提高资金使用效益，由</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此而形成智慧财政非税收入征管系统业务流与信息流的动态管理。我市各级、各</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类行政事业单位的非税收入全面进入管理系统后，可为进一步汇总分析财政收入</w:t>
      </w:r>
    </w:p>
    <w:p>
      <w:pPr>
        <w:pStyle w:val="36"/>
        <w:spacing w:line="360" w:lineRule="auto"/>
        <w:ind w:left="0" w:leftChars="0" w:firstLine="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尤其是非税收入的总量结构、分布情况、变动情况等信息，为政府决策提供准确、</w:t>
      </w:r>
    </w:p>
    <w:p>
      <w:pPr>
        <w:pStyle w:val="36"/>
        <w:spacing w:line="360" w:lineRule="auto"/>
        <w:ind w:left="0" w:leftChars="0" w:firstLine="0" w:firstLineChars="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有效的数据</w:t>
      </w:r>
      <w:r>
        <w:rPr>
          <w:rFonts w:hint="eastAsia" w:ascii="宋体" w:hAnsi="宋体" w:cs="宋体"/>
          <w:color w:val="000000" w:themeColor="text1"/>
          <w:sz w:val="24"/>
          <w:szCs w:val="24"/>
          <w:lang w:eastAsia="zh-CN"/>
          <w14:textFill>
            <w14:solidFill>
              <w14:schemeClr w14:val="tx1"/>
            </w14:solidFill>
          </w14:textFill>
        </w:rPr>
        <w:t>。</w:t>
      </w:r>
    </w:p>
    <w:bookmarkEnd w:id="39"/>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项目内容</w:t>
      </w:r>
    </w:p>
    <w:p>
      <w:pPr>
        <w:pStyle w:val="36"/>
        <w:spacing w:line="360" w:lineRule="auto"/>
        <w:ind w:left="0" w:leftChars="0" w:firstLine="0" w:firstLineChars="0"/>
        <w:rPr>
          <w:rFonts w:hint="default" w:ascii="宋体" w:hAnsi="宋体" w:eastAsia="宋体" w:cs="宋体"/>
          <w:color w:val="000000" w:themeColor="text1"/>
          <w:sz w:val="24"/>
          <w:szCs w:val="24"/>
          <w:lang w:val="en-US" w:eastAsia="zh-CN"/>
          <w14:textFill>
            <w14:solidFill>
              <w14:schemeClr w14:val="tx1"/>
            </w14:solidFill>
          </w14:textFill>
        </w:rPr>
      </w:pPr>
      <w:bookmarkStart w:id="40" w:name="_Toc27600"/>
      <w:r>
        <w:rPr>
          <w:rFonts w:hint="eastAsia" w:ascii="宋体" w:hAnsi="宋体" w:eastAsia="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选择有实力、服务良好的市内商业银行，接受</w:t>
      </w:r>
      <w:r>
        <w:rPr>
          <w:rFonts w:hint="eastAsia" w:ascii="宋体" w:hAnsi="宋体" w:eastAsia="宋体" w:cs="宋体"/>
          <w:color w:val="000000" w:themeColor="text1"/>
          <w:sz w:val="24"/>
          <w:szCs w:val="24"/>
          <w:lang w:val="en-US" w:eastAsia="zh-CN"/>
          <w14:textFill>
            <w14:solidFill>
              <w14:schemeClr w14:val="tx1"/>
            </w14:solidFill>
          </w14:textFill>
        </w:rPr>
        <w:t>前海合作区</w:t>
      </w:r>
      <w:r>
        <w:rPr>
          <w:rFonts w:hint="eastAsia" w:ascii="宋体" w:hAnsi="宋体" w:eastAsia="宋体" w:cs="宋体"/>
          <w:color w:val="000000" w:themeColor="text1"/>
          <w:sz w:val="24"/>
          <w:szCs w:val="24"/>
          <w14:textFill>
            <w14:solidFill>
              <w14:schemeClr w14:val="tx1"/>
            </w14:solidFill>
          </w14:textFill>
        </w:rPr>
        <w:t>财政部门的委托，作为</w:t>
      </w:r>
      <w:r>
        <w:rPr>
          <w:rFonts w:hint="eastAsia" w:ascii="宋体" w:hAnsi="宋体" w:eastAsia="宋体" w:cs="宋体"/>
          <w:color w:val="000000" w:themeColor="text1"/>
          <w:sz w:val="24"/>
          <w:szCs w:val="24"/>
          <w:lang w:val="en-US" w:eastAsia="zh-CN"/>
          <w14:textFill>
            <w14:solidFill>
              <w14:schemeClr w14:val="tx1"/>
            </w14:solidFill>
          </w14:textFill>
        </w:rPr>
        <w:t>前海合作区</w:t>
      </w:r>
      <w:r>
        <w:rPr>
          <w:rFonts w:hint="eastAsia" w:ascii="宋体" w:hAnsi="宋体" w:eastAsia="宋体" w:cs="宋体"/>
          <w:color w:val="000000" w:themeColor="text1"/>
          <w:sz w:val="24"/>
          <w:szCs w:val="24"/>
          <w14:textFill>
            <w14:solidFill>
              <w14:schemeClr w14:val="tx1"/>
            </w14:solidFill>
          </w14:textFill>
        </w:rPr>
        <w:t>非税收入代理银行（代收银行），代理非税收入财政汇缴相关业务。</w:t>
      </w:r>
      <w:r>
        <w:rPr>
          <w:rFonts w:hint="eastAsia" w:ascii="宋体" w:hAnsi="宋体" w:eastAsia="宋体" w:cs="宋体"/>
          <w:color w:val="000000" w:themeColor="text1"/>
          <w:sz w:val="24"/>
          <w:szCs w:val="24"/>
          <w:lang w:val="en-US" w:eastAsia="zh-CN"/>
          <w14:textFill>
            <w14:solidFill>
              <w14:schemeClr w14:val="tx1"/>
            </w14:solidFill>
          </w14:textFill>
        </w:rPr>
        <w:t>包括但不限于财政部门、其它商业银行的业务，具体涵盖内容为：建立非税收入代收银行管理信息系统，提供相关服务人力保障。</w:t>
      </w:r>
    </w:p>
    <w:p>
      <w:pPr>
        <w:pStyle w:val="36"/>
        <w:spacing w:line="360" w:lineRule="auto"/>
        <w:ind w:left="0" w:leftChars="0" w:firstLine="0" w:firstLineChars="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（二）根据深圳市智慧财政非税收入征管系统建设思路，需要实现非税收入征管代 </w:t>
      </w:r>
      <w:r>
        <w:rPr>
          <w:rFonts w:hint="default" w:ascii="宋体" w:hAnsi="宋体" w:eastAsia="宋体" w:cs="宋体"/>
          <w:color w:val="000000" w:themeColor="text1"/>
          <w:sz w:val="24"/>
          <w:szCs w:val="24"/>
          <w:lang w:val="en-US" w:eastAsia="zh-CN"/>
          <w14:textFill>
            <w14:solidFill>
              <w14:schemeClr w14:val="tx1"/>
            </w14:solidFill>
          </w14:textFill>
        </w:rPr>
        <w:t>理银行信息系统的建设。非税收入财政专户是由财政部门按照规定程序在代收银行设立，用于执收单位非税收入的收入收缴，按要求将代收银行内款项于规定的时间内划转至金库或财政其他专户中，并承担会计核算、分成、退付、报表、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控、统计分析、对外接口等功能。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 xml:space="preserve">（三）项目工作内容详述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 xml:space="preserve">1. 业务术语说明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bidi="ar"/>
          <w14:textFill>
            <w14:solidFill>
              <w14:schemeClr w14:val="tx1"/>
            </w14:solidFill>
          </w14:textFill>
        </w:rPr>
        <w:t>1.1.非税收入：是指政府在税收</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债务以外取得的财政资金，是政府收入的重要组成部分，管理范围包括：行政事业性收费、政府性基金、罚没收入（含交通罚没收入）、彩票公益金和发行费、国有资产（资源）有偿使用收入、国有资产经营收益、主管部门集中收入、转移和赠与收入、利息收入、其他收入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1.2.主管部门：是指负责管理本部门以及执收单位的部门，具有对部门所属执收单位的收入收缴工作实行管理和监督的职责。主管部门可以通过非税收入征 管系统查询执收单位的收缴信息，督促收入及时、足额缴入国库或财政专户。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1.3.执收单位：是指依据国家法律、行政法规或部门规章的规定，依法行使非税收入征收权的单位，具有法人资格并独立进行财务核算。执收单位的派出机构称为执收点。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1.4.资金性质：分为一般公共预算资金、政府性基金和国有资本经营预算资金等。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1.5.预算科目：指财政部发布的政府预算收支分类科目。分为“类、款、项、目”。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1.6.收入项目：是指按规定程序由财政和相关部门审批确认后，可用于执收单位 执收的项目。按收入的不同归属，可分为中央项目、地方项目、中央和地方分成 项目、地方代收中央项目等，具体包括项目名称、收缴标准、分成比例、调整情况、文件依据等。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1.7.收入类别：包括行政事业性收费、政府性基金、罚没收入、彩票公益金和发 行费、国有资产（资源）有偿使用收入、国有资产经营收益、主管部门集中收入、转移和赠与收入、政府非税收入产生的利息收入、其他收入等。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1.8.代收银行：是指代理财政非税收入收缴、汇划清算业务、向财政报送收入和清算信息的商业银行，实现银行柜台缴款、跨行协议划款、现金缴款、转账缴款、批量代扣、刷卡、网上缴款、POS 机缴款、第三方支付平台缴款等缴款方式，方便缴款人。代收银行由财政部门征集确定。本文件中的“代理银行”等同于“代收银行”。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.缴款方式：分为直接缴款和集中汇缴两种方式，以及在此基础上衍生出的批量代扣和现场执收执罚等。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val="en-US" w:eastAsia="zh-CN" w:bidi="ar"/>
          <w14:textFill>
            <w14:solidFill>
              <w14:schemeClr w14:val="tx1"/>
            </w14:solidFill>
          </w14:textFill>
        </w:rPr>
        <w:t>.直接缴款是由缴款人按照有关规定，持执收单位开具的《非税收入缴款通知书》到代收银行网点缴款，直接将应缴款项缴入财政专户。</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.集中汇缴是由执收单位按照有关规定，将所收款项按日汇总开具《非税收入缴款通知书》，集中缴入财政专户。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.批量代扣是指由代收银行在固定缴款人提供银行账户上进行批量扣款的模式；批量代扣主要适用于需定期定额缴纳的收费。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中央与地方的分成收入：是指按照预算管理需要，收入按比例或一定标准分成，分别归属于中央财政和地方财政的收入。中央与地方分成项目有关分成比例等政策由中央财政制定，包括项目名称、分成比例、定额标准、生效时间、调整时间等事项。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.地方代收中央的收入：是指由地方财政代为收取而归属于中央财政的收入，中央财政设定代收项目的控制信息。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1.1</w:t>
      </w: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.收入退付：是指因缴款人预缴款、工作疏忽和其他原因造成多缴、重缴、错缴的各项财政非税收入，需从国库或专户退回缴款人的业务。票据种类：包括通用票据、专用票据、罚没票据等。</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2.业务需求分析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全面调研前海</w:t>
      </w:r>
      <w:r>
        <w:rPr>
          <w:rFonts w:hint="eastAsia" w:ascii="宋体" w:hAnsi="宋体" w:cs="宋体"/>
          <w:color w:val="000000" w:themeColor="text1"/>
          <w:kern w:val="0"/>
          <w:sz w:val="24"/>
          <w:szCs w:val="24"/>
          <w:lang w:val="en-US" w:eastAsia="zh-CN" w:bidi="ar"/>
          <w14:textFill>
            <w14:solidFill>
              <w14:schemeClr w14:val="tx1"/>
            </w14:solidFill>
          </w14:textFill>
        </w:rPr>
        <w:t>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非税收入代收银行和人民银行相关业务，对相关系统功能边界进行确定，以基于用户视图规范化的数据流分析为主线，整理并规范表达前海</w:t>
      </w:r>
      <w:r>
        <w:rPr>
          <w:rFonts w:hint="eastAsia" w:ascii="宋体" w:hAnsi="宋体" w:cs="宋体"/>
          <w:color w:val="000000" w:themeColor="text1"/>
          <w:kern w:val="0"/>
          <w:sz w:val="24"/>
          <w:szCs w:val="24"/>
          <w:lang w:val="en-US" w:eastAsia="zh-CN" w:bidi="ar"/>
          <w14:textFill>
            <w14:solidFill>
              <w14:schemeClr w14:val="tx1"/>
            </w14:solidFill>
          </w14:textFill>
        </w:rPr>
        <w:t>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非税收入代理银行管理的相关业务，准确把握业务需求和数据需求的内在联系。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.相关系统功能开发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.1.自行建立与深圳市智慧财政非税收入征管系统相适应的非税收入征管代理银行管理软件系统，该系统由中标方自行使用，其相关功能需满足非税收入征管改革的业务需要。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代收银行端系统：受理缴款业务、处理财政票据、与财政缴款对账、接受财政缴款指令缴库、缴库对账，提供收款、缴库资金流水明细，提供缴款人便捷缴款渠道（包含第三方支付平台等渠道），保证数据的安全性和规范性。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系统功能流程如下：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4150" cy="1438910"/>
            <wp:effectExtent l="0" t="0" r="12700" b="889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a:stretch>
                      <a:fillRect/>
                    </a:stretch>
                  </pic:blipFill>
                  <pic:spPr>
                    <a:xfrm>
                      <a:off x="0" y="0"/>
                      <a:ext cx="5264150" cy="1438910"/>
                    </a:xfrm>
                    <a:prstGeom prst="rect">
                      <a:avLst/>
                    </a:prstGeom>
                    <a:noFill/>
                    <a:ln>
                      <a:noFill/>
                    </a:ln>
                  </pic:spPr>
                </pic:pic>
              </a:graphicData>
            </a:graphic>
          </wp:inline>
        </w:drawing>
      </w:r>
    </w:p>
    <w:p>
      <w:pPr>
        <w:keepNext w:val="0"/>
        <w:keepLines w:val="0"/>
        <w:widowControl/>
        <w:suppressLineNumbers w:val="0"/>
        <w:spacing w:line="360" w:lineRule="auto"/>
        <w:jc w:val="center"/>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图一</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3</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（1）缴款人持缴款通知书缴款：代收银行提供柜面端、移动端、网络端等多种缴款渠道提供给缴款人缴款。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（2）代收银行依据缴款通知书收款：代收银行根据缴款人提供的缴款通知书号码、金额，与非税系统确认无误后进行收款。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（3）按批扣指令收款：代理银行接收批扣指令进行收款，并将收款结果发送至非税系统。代收银行必须在系统建成后支持非税收入的跨行批扣功能。</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（4）收款对账：代收银行需按天将收款明细与非税系统进行对账，并处理对账的异常流水。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（5）按财政缴库指令缴库：非税系统按照财政的缴库规则，发送缴库指令给代收银行，代收银行按照缴库指令将资金在规定的时间内划拨至指定的账户，并向非税系统提供划拨的资金流水信息。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（6）缴库对账：代收银行需按天将资金划拨信息与非税系统对账，并处理对账的异常流水。 </w:t>
      </w:r>
    </w:p>
    <w:p>
      <w:pPr>
        <w:keepNext w:val="0"/>
        <w:keepLines w:val="0"/>
        <w:widowControl/>
        <w:suppressLineNumbers w:val="0"/>
        <w:spacing w:line="360" w:lineRule="auto"/>
        <w:jc w:val="left"/>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4</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 xml:space="preserve">.建设内容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.1.银行收款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提供方便、便捷的缴款渠道提供给缴款人缴款。要求缴款人持缴款通知书缴款，代收银行提供的各收款终端需控制缴款通知书号码、缴款金额为必须提供的信息。代收银行提交缴款通知书号码、金额至非税系统进行验证，验证通过后，进行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已经收款而无法验证通过的款项，必须进行实时退款处理，不能直接入财政代收户（转账缴款方式除外，已通过转账方式缴入财政代收的资金需按财政部门要求在规定的时间内原路退回）。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收款流程如下：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非税资金的缴库时间要求主要依据法律法规和财政部门的有关文件确定，目前一般不超过 5 个工作日。</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（1）缴款端收款：缴款人在代收银行各缴款终端，提供缴款通知书，代收银行收集缴款通知书的必须内容：金额、缴款通知书号码、缴款人信息。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（2）调财政非税接口检查票款是否正确：代收银行将收集到的信息发送非税系统检查票款信息是否满足条件，检查完毕后进行收款业务。检查异常的不能直接收款。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（3）资金入账：代收银行收款完毕后，将资金存储代收户，并记录必要信息：缴款通知书号码、金额、缴款人基本信息、缴款时间、资金流水信息。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（4）根据财政非税系统返回的错误内容处理：在代收银行收款完毕后，发生的异常，比如：收款后缴款通知书到期，需进行实时退款处理；票款不一致，不允许收款；票据无效，不允许收款。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（5）调财政非税接口发送资金入账明细：代收银行资金入账完毕后，调非税接口告知财政该笔业务收款完毕。需要提供必要信息：缴款通知书号码、金额、缴款时间、资金流水等。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非税系统按照批次，提供明细账户信息给代收银行，代收银行按照批次的内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容，按明细进行批量收款入账，并及时将批扣结果按批次附明细告知财政。批扣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的结果包括：扣款成功，扣款失败、失败原因。针对一个明细账户，不允许部分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扣款。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批扣流程如下：</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4221480" cy="1028700"/>
            <wp:effectExtent l="0" t="0" r="762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4221480" cy="102870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（1）接收非税系统的批扣指令收款：代收银行提供接口，接收非税系 统的批扣指令，内容包括：批扣内容，批扣明细账户清单。代收银行做必要的数据检查后，进行批扣操作，并记录每一个明细账户的批扣结果，主要内容有：批扣时间、批扣状态，异常原因。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（2）资金入账：代收银行针对一个批次批扣完毕后，将正常批扣的账户资金做收款入账。并记录必要信息：入账时间、入账资金流水、缴款人基本信息、批扣批次、批扣金额。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调财政非税接口按批次发送资金入账明细：按照非税系统发送给代收银行的批次、批扣明细向非税系统发送批扣结果。批扣成功的内容：入账时间、入账资金流水、缴款人基本信息、批扣批次、批扣金额；批扣失败的内容：批扣时间、批扣状态，异常原因。非税系统会根据代收银行返回的结果提交业务人员进行处理，判断是否对异常内容进行再次批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.4.收款对账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代收银行按天按照财政规定的时间向非税系统发送日对账清单，为满足第三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方支付平台入账和对账时间，即时入账资金和第三方支付平台入账资金暂定 T+1 天 8:00 发送。发送的内容包括：资金流水、缴款通知书号码（批扣批次号码）、 金额。非税系统返回资金对账明细结果，包括长短款问题，由代收银行处理完毕后，即时发送对账。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收款对账流程图如下：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9230" cy="1437640"/>
            <wp:effectExtent l="0" t="0" r="7620" b="1016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9230" cy="143764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流程说明：</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 资金入账日报：代收银行按日将资金入账日报发送非税系统。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 接收日报对账结果：代收银行提供接口获取非税系统日对账结果。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（3）异常数据处理：代收银行处理异常的对账数据，并将处理后的数据再次发送资金入账日报（未对账成功部分）。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.5.缴库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代收银行接收财政非税系统的缴库指令，按照指令内指定的收款账户及金额等进行划款缴库。收款账户信息由缴库指令提供，包括但不局限于：人行金库账户，教育收费专户、财政专户。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缴库流程图如下：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4351020" cy="1432560"/>
            <wp:effectExtent l="0" t="0" r="11430" b="152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4351020" cy="143256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 接收非税系统缴库指令：代收银行接口非税系统的缴库指令，按照财政约定的时间，按照指令内指定的收款账户及金额进行划款缴库操作。收款账户信息由指令指定，但事前必须约定好规则，针对未约定的账户指令，代收银行不允许直接划款，需提出异议，待确认后再操作。缴库指令包括自动缴库指令、手工缴库指令。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（2）向非税系统发送缴库指令结果：代收银行划款完毕后，向非税系统发送缴库结果，内容包括：指令信息、收款账户信息、金额、资金流水信息等。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.6.缴库对账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代收银行提供缴库日报表，与非税系统进行缴库对账，内容包括：缴库指令</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ID，缴库金额、资金流水信息。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对账流程图如下：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color w:val="000000" w:themeColor="text1"/>
          <w14:textFill>
            <w14:solidFill>
              <w14:schemeClr w14:val="tx1"/>
            </w14:solidFill>
          </w14:textFill>
        </w:rPr>
        <w:drawing>
          <wp:inline distT="0" distB="0" distL="114300" distR="114300">
            <wp:extent cx="5265420" cy="1463040"/>
            <wp:effectExtent l="0" t="0" r="11430" b="381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65420" cy="1463040"/>
                    </a:xfrm>
                    <a:prstGeom prst="rect">
                      <a:avLst/>
                    </a:prstGeom>
                    <a:noFill/>
                    <a:ln>
                      <a:noFill/>
                    </a:ln>
                  </pic:spPr>
                </pic:pic>
              </a:graphicData>
            </a:graphic>
          </wp:inline>
        </w:drawing>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流程说明：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（1）缴库日报表：代收银行按照约定时间（暂定 T+1 14：00）向非税系统发送缴库日报表，内容包括：缴库指令 ID，缴库时间、缴库金额、缴库资金流水。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（2）接收日报对账结果：代收银行按照约定时间接收日报对账结果。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（3）异常数据处理：代收银行处理对账异常数据。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.7.报送报表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系统按月自动生成收入报表、清算报表、暂存款报表、非税收入信息核对单、收入分成缴库报表等，与</w:t>
      </w:r>
      <w:r>
        <w:rPr>
          <w:rFonts w:hint="eastAsia" w:ascii="宋体" w:hAnsi="宋体" w:cs="宋体"/>
          <w:color w:val="000000" w:themeColor="text1"/>
          <w:kern w:val="0"/>
          <w:sz w:val="24"/>
          <w:szCs w:val="24"/>
          <w:lang w:val="en-US" w:eastAsia="zh-CN" w:bidi="ar"/>
          <w14:textFill>
            <w14:solidFill>
              <w14:schemeClr w14:val="tx1"/>
            </w14:solidFill>
          </w14:textFill>
        </w:rPr>
        <w:t>前海合作区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财政专户会计进行对账，并报送有关报表。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4</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.8.其它方面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系统能提供“暂存款”查询功能。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系统实施及培训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系统的实施及培训过程如下：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1）建立项目管理规范，包括项目组织架构、文档标准、变更流程和沟通机制、项目管理平台等；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2）进行任务及项目分解，定义各子任务的目标和范围、资源需求和实施策略；</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3）对项目进行阶段划分，确定各阶段任务、时间、所需资源、组织方式、里程碑标志、评价标准等；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4）对实施计划进行可行性分析，制定实施阶段项目质量的控制方案；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5）制定调研、分析、管理及业务负责人、业务代表、系统分析人员等培训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计划。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6</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项目需提交技术成果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应在投标响应书中明确列出在本项目中拟提交的成果，</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建议供应商所提交的成果包括但不限于：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非税收入代收银行管理建议方案；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非税收入代收银行管理系统业务分析；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非税收入代收银行管理系统整体解决方案；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非税收入代收银行管理系统研发及实施文档；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非税收入代收银行管理系统开发过程文档；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非税收入代收银行管理系统风险及效益分析；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项目过程中所产生的所有源代码；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项目过程中所产生的其他文档；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项目遗留问题清单和改进建议等。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7</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需承担的主要任务及要求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1）按</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要求开设非税收入代收银行财政专户。妥善保管</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提供的财政支付的各种单据、资料，并负有保密义务；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2）按要求开发与财政部门相衔接的非税收入代理银行管理软件系统并与</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联网，向</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提供资金实时动态监测系统与信息查询系统；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3）向</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反馈非税资金收入和支出信息，定期向</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和执收单位报送报表；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4）配合</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进行非税收入电子化管理改革，对有关业务管理流程和管理信息系统进行适应性改造；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5）接受</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的管理监督。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8</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技术方案要求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需以改革整体技术架构为背景描述代收银行核心技术路线，这些路线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应包括但不限于：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1）具备先进的信息反馈系统，能及时、全面、准确地反映其账户收支信息；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2）具有可靠的技术保障系统，并能根据</w:t>
      </w:r>
      <w:r>
        <w:rPr>
          <w:rFonts w:hint="eastAsia" w:ascii="宋体" w:hAnsi="宋体" w:cs="宋体"/>
          <w:color w:val="000000" w:themeColor="text1"/>
          <w:kern w:val="0"/>
          <w:sz w:val="24"/>
          <w:szCs w:val="24"/>
          <w:lang w:val="en-US" w:eastAsia="zh-CN"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要求开发相应的银行端软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件系统，实现与财政非税收入管理系统的衔接，并对财政非税系统的建设、推广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和运行提供支持；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3）银行代收网络应与财政非税系统实现连接，并指派专门的业务和技术人员负责双方网络的互联互通工作，并确保银行端网络的畅通；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4）能够保证资金汇划系统和内部网络的安全，并承担自身网络安全问题方面的有关责任；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5）提供代理银行账户资金收支实时动态监测系统与信息查询系统；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6）及时解决技术故障和用户投诉。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9</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业务要求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1）内部管理规范，内控制度健全，具有严格的操作规程，并设置相应的业务部门和配备专业工作人员；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2）按财政部门要求及时将汇集的资金全额划缴财政指定的账户；加强对“非税收入（电子）票据”的管理，建立健全票据保管、领用、作废等各个环节的内部管理制度；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3）妥善保管财政部门提供的各种单据和资料，严格遵守保密规定；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4）按规定向财政部门和执收单位报送相应报表；协助做好对账工作；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5）银行应开放深圳境内下属所有对公营业点为代收网点，办理非税收入代收业务，各代收网点应设有非税收入代收业务的专门指引，并指派对非税收入代收业务熟悉的人员负责柜台收款工作，接受现金、转账、刷卡等方式缴款。在缴费高峰期，应采取加开窗口等有效措施，积极疏导最大程度方便缴款人缴费；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6）银行应加强对下属代收网点的非税收入代收业务培训工作，加强与下属代收网点的沟通协调，确保柜台人员熟悉非税收入代收业务程序，杜绝代收网点拒收非税收入情况的出现；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7）在网络断开的情况下，银行应确保下属各代收网点使用应急方案收取非税收入，并对使用应急方案收取非税收入造成的挂账信息及时进行处理；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8）满足财政非税收入管理和国库集中收付制度改革发展的需求，加强与深圳市”智慧财政”系统开发商的沟通与协调，共同建立相关数据交换中心，承担相应的研发与运维费用。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0</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.信息安全要求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应严格遵守</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关于信息安全方面的规定，自觉保守</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的商业秘密。由</w:t>
      </w:r>
      <w:r>
        <w:rPr>
          <w:rFonts w:hint="eastAsia" w:ascii="宋体" w:hAnsi="宋体" w:cs="宋体"/>
          <w:color w:val="000000" w:themeColor="text1"/>
          <w:kern w:val="0"/>
          <w:sz w:val="24"/>
          <w:lang w:bidi="ar"/>
          <w14:textFill>
            <w14:solidFill>
              <w14:schemeClr w14:val="tx1"/>
            </w14:solidFill>
          </w14:textFill>
        </w:rPr>
        <w:t>采购人</w:t>
      </w:r>
      <w:r>
        <w:rPr>
          <w:rFonts w:hint="eastAsia" w:ascii="宋体" w:hAnsi="宋体" w:eastAsia="宋体" w:cs="宋体"/>
          <w:color w:val="000000" w:themeColor="text1"/>
          <w:kern w:val="0"/>
          <w:sz w:val="24"/>
          <w:szCs w:val="24"/>
          <w:lang w:val="en-US" w:eastAsia="zh-CN" w:bidi="ar"/>
          <w14:textFill>
            <w14:solidFill>
              <w14:schemeClr w14:val="tx1"/>
            </w14:solidFill>
          </w14:textFill>
        </w:rPr>
        <w:t>为方便项目实施所提供给</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的工作流程、管理模式、试验数据、规程、程序等相关资料文档，发过程中所产生的资料、文档、数据、相关附属品均属于采购人信息资产，</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应保证这些信息在项目期间及项目后规定时间内的安全。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应建立并实际运行项目进展期间的信息安全管理规范，强化用户访问权限管理，严格数据库备份，防止黑客、病毒攻击，能应付各种突发事件，具有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很强的应急处理能力，以确保项目启动、实施及实施后的信息安全管理。同时系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统应能完备记录收入信息，保证信息的完整性、一致性、真实性和可追溯性。非经采购人书面许可，</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不得以任何形式泄漏以上材料。因</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原因导致上述资料、文档、数据或采购人商业秘密泄露的，采购人有权要求</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采取措施消除影响，并赔偿采购人损失。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1</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.网络要求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人员连接深圳市智慧财政非税收入征管系统的网络由</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自行负责；</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人员使用的服务器、客户端机器由</w:t>
      </w:r>
      <w:r>
        <w:rPr>
          <w:rFonts w:hint="eastAsia" w:ascii="宋体" w:hAnsi="宋体" w:cs="宋体"/>
          <w:color w:val="000000" w:themeColor="text1"/>
          <w:kern w:val="0"/>
          <w:sz w:val="24"/>
          <w:szCs w:val="24"/>
          <w:lang w:val="en-US" w:eastAsia="zh-CN" w:bidi="ar"/>
          <w14:textFill>
            <w14:solidFill>
              <w14:schemeClr w14:val="tx1"/>
            </w14:solidFill>
          </w14:textFill>
        </w:rPr>
        <w:t>供应商</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自行负责，这些机器在连接到采购人网络时，必须遵守采购人相关规定。 </w:t>
      </w:r>
    </w:p>
    <w:p>
      <w:pPr>
        <w:keepNext w:val="0"/>
        <w:keepLines w:val="0"/>
        <w:widowControl/>
        <w:suppressLineNumbers w:val="0"/>
        <w:spacing w:line="360" w:lineRule="auto"/>
        <w:jc w:val="left"/>
        <w:rPr>
          <w:rFonts w:hint="eastAsia"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1</w:t>
      </w:r>
      <w:r>
        <w:rPr>
          <w:rFonts w:hint="eastAsia" w:ascii="宋体" w:hAnsi="宋体" w:cs="宋体"/>
          <w:color w:val="000000" w:themeColor="text1"/>
          <w:kern w:val="0"/>
          <w:sz w:val="24"/>
          <w:szCs w:val="24"/>
          <w:lang w:val="en-US" w:eastAsia="zh-CN" w:bidi="ar"/>
          <w14:textFill>
            <w14:solidFill>
              <w14:schemeClr w14:val="tx1"/>
            </w14:solidFill>
          </w14:textFill>
        </w:rPr>
        <w:t>2</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.性能要求 </w:t>
      </w:r>
    </w:p>
    <w:p>
      <w:pPr>
        <w:keepNext w:val="0"/>
        <w:keepLines w:val="0"/>
        <w:widowControl/>
        <w:suppressLineNumbers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银行系统以及与深</w:t>
      </w:r>
      <w:r>
        <w:rPr>
          <w:rFonts w:hint="eastAsia" w:ascii="宋体" w:hAnsi="宋体" w:eastAsia="宋体" w:cs="宋体"/>
          <w:color w:val="000000" w:themeColor="text1"/>
          <w:sz w:val="24"/>
          <w:szCs w:val="24"/>
          <w:lang w:val="en-US" w:eastAsia="zh-CN"/>
          <w14:textFill>
            <w14:solidFill>
              <w14:schemeClr w14:val="tx1"/>
            </w14:solidFill>
          </w14:textFill>
        </w:rPr>
        <w:t xml:space="preserve">圳市智慧财政非税收入征管系统对接的网络环境应保证 </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满足非税征缴业务的性能要求，当上述环节不能满足智慧财政非税收入征管系统 </w:t>
      </w:r>
    </w:p>
    <w:p>
      <w:pPr>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的业务需求时，应自行通过软硬件升级改造保证智慧财政非税收入征管系统的性 能需求</w:t>
      </w:r>
      <w:r>
        <w:rPr>
          <w:rFonts w:hint="eastAsia" w:ascii="宋体" w:hAnsi="宋体" w:eastAsia="宋体" w:cs="宋体"/>
          <w:color w:val="000000" w:themeColor="text1"/>
          <w:sz w:val="24"/>
          <w:szCs w:val="24"/>
          <w14:textFill>
            <w14:solidFill>
              <w14:schemeClr w14:val="tx1"/>
            </w14:solidFill>
          </w14:textFill>
        </w:rPr>
        <w:t>。</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验收和鉴定</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一</w:t>
      </w:r>
      <w:r>
        <w:rPr>
          <w:rFonts w:hint="eastAsia" w:ascii="宋体" w:hAnsi="宋体" w:eastAsia="宋体" w:cs="宋体"/>
          <w:color w:val="000000" w:themeColor="text1"/>
          <w:sz w:val="24"/>
          <w:szCs w:val="24"/>
          <w14:textFill>
            <w14:solidFill>
              <w14:schemeClr w14:val="tx1"/>
            </w14:solidFill>
          </w14:textFill>
        </w:rPr>
        <w:t>）项目完成后，</w:t>
      </w:r>
      <w:r>
        <w:rPr>
          <w:rFonts w:hint="eastAsia" w:ascii="宋体" w:hAnsi="宋体" w:cs="宋体"/>
          <w:color w:val="000000" w:themeColor="text1"/>
          <w:sz w:val="24"/>
          <w:szCs w:val="24"/>
          <w:lang w:eastAsia="zh-CN"/>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须通过书面方式向采购单位提出验收申请，由采购单位组织验收小组对本项目的成果进行验收和鉴定，验收和鉴定通过则由验收小组出具验收和鉴定证明。</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鉴定内容包括但不限于：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（1）本项目成果是否满足规范及格式要求；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（2）本项目成果的准确性、先进性及全面性；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（3）本项目成果对采购单位国库</w:t>
      </w:r>
      <w:r>
        <w:rPr>
          <w:rFonts w:hint="eastAsia" w:ascii="宋体" w:hAnsi="宋体" w:cs="宋体"/>
          <w:color w:val="000000" w:themeColor="text1"/>
          <w:sz w:val="24"/>
          <w:szCs w:val="24"/>
          <w:lang w:eastAsia="zh-CN"/>
          <w14:textFill>
            <w14:solidFill>
              <w14:schemeClr w14:val="tx1"/>
            </w14:solidFill>
          </w14:textFill>
        </w:rPr>
        <w:t>非税收入</w:t>
      </w:r>
      <w:r>
        <w:rPr>
          <w:rFonts w:hint="eastAsia" w:ascii="宋体" w:hAnsi="宋体" w:eastAsia="宋体" w:cs="宋体"/>
          <w:color w:val="000000" w:themeColor="text1"/>
          <w:sz w:val="24"/>
          <w:szCs w:val="24"/>
          <w14:textFill>
            <w14:solidFill>
              <w14:schemeClr w14:val="tx1"/>
            </w14:solidFill>
          </w14:textFill>
        </w:rPr>
        <w:t xml:space="preserve">业务和“智慧财政工程”建设的指导作用；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（4）其他采购单位要求验收鉴定的内容。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如果双方对质量、完成情况有意见分歧，采购单位可委托权威机构对产品进行重新鉴定，该权威机构出具的鉴定证明即作为采购单位向</w:t>
      </w:r>
      <w:r>
        <w:rPr>
          <w:rFonts w:hint="eastAsia" w:ascii="宋体" w:hAnsi="宋体" w:cs="宋体"/>
          <w:color w:val="000000" w:themeColor="text1"/>
          <w:sz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 xml:space="preserve">提出修改和索赔的有效证据。 </w:t>
      </w:r>
    </w:p>
    <w:p>
      <w:p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w:t>
      </w:r>
      <w:r>
        <w:rPr>
          <w:rFonts w:hint="eastAsia" w:ascii="宋体" w:hAnsi="宋体" w:eastAsia="宋体" w:cs="宋体"/>
          <w:color w:val="000000" w:themeColor="text1"/>
          <w:sz w:val="24"/>
          <w:szCs w:val="24"/>
          <w14:textFill>
            <w14:solidFill>
              <w14:schemeClr w14:val="tx1"/>
            </w14:solidFill>
          </w14:textFill>
        </w:rPr>
        <w:t>除承担修改费用之外，还需承担重新鉴定费用。</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项目实施要求</w:t>
      </w:r>
    </w:p>
    <w:p>
      <w:pPr>
        <w:autoSpaceDE w:val="0"/>
        <w:autoSpaceDN w:val="0"/>
        <w:adjustRightInd w:val="0"/>
        <w:spacing w:line="360" w:lineRule="auto"/>
        <w:ind w:firstLine="480" w:firstLineChars="200"/>
        <w:jc w:val="left"/>
        <w:rPr>
          <w:rFonts w:hint="default" w:ascii="宋体" w:hAnsi="宋体" w:eastAsia="宋体" w:cs="宋体"/>
          <w:b/>
          <w:bCs/>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项目实施分为系统开发（改造）阶段和代理服务提供阶段；</w:t>
      </w:r>
      <w:r>
        <w:rPr>
          <w:rFonts w:hint="eastAsia" w:ascii="宋体" w:hAnsi="宋体" w:cs="宋体"/>
          <w:color w:val="000000" w:themeColor="text1"/>
          <w:sz w:val="24"/>
          <w:szCs w:val="24"/>
          <w:lang w:val="en-US" w:eastAsia="zh-CN"/>
          <w14:textFill>
            <w14:solidFill>
              <w14:schemeClr w14:val="tx1"/>
            </w14:solidFill>
          </w14:textFill>
        </w:rPr>
        <w:t>中标人</w:t>
      </w:r>
      <w:r>
        <w:rPr>
          <w:rFonts w:hint="eastAsia" w:ascii="宋体" w:hAnsi="宋体" w:eastAsia="宋体" w:cs="宋体"/>
          <w:color w:val="000000" w:themeColor="text1"/>
          <w:sz w:val="24"/>
          <w:szCs w:val="24"/>
          <w:lang w:val="en-US" w:eastAsia="zh-CN"/>
          <w14:textFill>
            <w14:solidFill>
              <w14:schemeClr w14:val="tx1"/>
            </w14:solidFill>
          </w14:textFill>
        </w:rPr>
        <w:t xml:space="preserve">应在投标 </w:t>
      </w:r>
      <w:r>
        <w:rPr>
          <w:rFonts w:hint="default" w:ascii="宋体" w:hAnsi="宋体" w:eastAsia="宋体" w:cs="宋体"/>
          <w:color w:val="000000" w:themeColor="text1"/>
          <w:sz w:val="24"/>
          <w:szCs w:val="24"/>
          <w:lang w:val="en-US" w:eastAsia="zh-CN"/>
          <w14:textFill>
            <w14:solidFill>
              <w14:schemeClr w14:val="tx1"/>
            </w14:solidFill>
          </w14:textFill>
        </w:rPr>
        <w:t>响应文件中提出详细的项目实施计划、系统开发（改造）阶段还需按时间先后顺序提交系统开发（改造）阶段中各步骤的成果清单建议。</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必须针对本项目建立项目管理规范，并在项目开展过程中落实。</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必须建立并实施一套确保项目规范开展的质量管理体系</w:t>
      </w:r>
      <w:r>
        <w:rPr>
          <w:rFonts w:hint="eastAsia" w:ascii="宋体" w:hAnsi="宋体" w:eastAsia="宋体" w:cs="宋体"/>
          <w:color w:val="000000" w:themeColor="text1"/>
          <w:sz w:val="24"/>
          <w:szCs w:val="24"/>
          <w:lang w:val="en-US" w:eastAsia="zh-CN"/>
          <w14:textFill>
            <w14:solidFill>
              <w14:schemeClr w14:val="tx1"/>
            </w14:solidFill>
          </w14:textFill>
        </w:rPr>
        <w:t>。</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技术培训要求</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 xml:space="preserve">采购单位希望通过本项目，达到提高采购单位智慧财政建设管理和运行维护 </w:t>
      </w:r>
    </w:p>
    <w:p>
      <w:pPr>
        <w:autoSpaceDE w:val="0"/>
        <w:autoSpaceDN w:val="0"/>
        <w:adjustRightInd w:val="0"/>
        <w:spacing w:line="360" w:lineRule="auto"/>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default" w:ascii="宋体" w:hAnsi="宋体" w:eastAsia="宋体" w:cs="宋体"/>
          <w:color w:val="000000" w:themeColor="text1"/>
          <w:sz w:val="24"/>
          <w:szCs w:val="24"/>
          <w:lang w:val="en-US" w:eastAsia="zh-CN"/>
          <w14:textFill>
            <w14:solidFill>
              <w14:schemeClr w14:val="tx1"/>
            </w14:solidFill>
          </w14:textFill>
        </w:rPr>
        <w:t>水平的目的。为此，</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应为项目的实施提供包括但不限于下列几个方面的培 训</w:t>
      </w:r>
      <w:r>
        <w:rPr>
          <w:rFonts w:hint="eastAsia" w:ascii="宋体" w:hAnsi="宋体" w:cs="宋体"/>
          <w:color w:val="000000" w:themeColor="text1"/>
          <w:sz w:val="24"/>
          <w:szCs w:val="24"/>
          <w:lang w:val="en-US" w:eastAsia="zh-CN"/>
          <w14:textFill>
            <w14:solidFill>
              <w14:schemeClr w14:val="tx1"/>
            </w14:solidFill>
          </w14:textFill>
        </w:rPr>
        <w:t>：</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default" w:ascii="宋体" w:hAnsi="宋体" w:eastAsia="宋体" w:cs="宋体"/>
          <w:color w:val="000000" w:themeColor="text1"/>
          <w:sz w:val="24"/>
          <w:szCs w:val="24"/>
          <w:lang w:val="en-US" w:eastAsia="zh-CN"/>
          <w14:textFill>
            <w14:solidFill>
              <w14:schemeClr w14:val="tx1"/>
            </w14:solidFill>
          </w14:textFill>
        </w:rPr>
        <w:t>本项目有关技术、标准规范和软件工具使用的培训；</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 xml:space="preserve">本项目实施技巧和实施步骤、方法的培训； </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default" w:ascii="宋体" w:hAnsi="宋体" w:eastAsia="宋体" w:cs="宋体"/>
          <w:color w:val="000000" w:themeColor="text1"/>
          <w:sz w:val="24"/>
          <w:szCs w:val="24"/>
          <w:lang w:val="en-US" w:eastAsia="zh-CN"/>
          <w14:textFill>
            <w14:solidFill>
              <w14:schemeClr w14:val="tx1"/>
            </w14:solidFill>
          </w14:textFill>
        </w:rPr>
        <w:t xml:space="preserve">系统功能建模、数据建模和系统体系结构建模方法的培训； </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 xml:space="preserve">认为必要的其他培训； </w:t>
      </w:r>
    </w:p>
    <w:p>
      <w:pPr>
        <w:autoSpaceDE w:val="0"/>
        <w:autoSpaceDN w:val="0"/>
        <w:adjustRightInd w:val="0"/>
        <w:spacing w:line="360" w:lineRule="auto"/>
        <w:ind w:firstLine="480" w:firstLineChars="200"/>
        <w:jc w:val="lef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default" w:ascii="宋体" w:hAnsi="宋体" w:eastAsia="宋体" w:cs="宋体"/>
          <w:color w:val="000000" w:themeColor="text1"/>
          <w:sz w:val="24"/>
          <w:szCs w:val="24"/>
          <w:lang w:val="en-US" w:eastAsia="zh-CN"/>
          <w14:textFill>
            <w14:solidFill>
              <w14:schemeClr w14:val="tx1"/>
            </w14:solidFill>
          </w14:textFill>
        </w:rPr>
        <w:t xml:space="preserve">采购单位认为必要的其他培训。 </w:t>
      </w:r>
    </w:p>
    <w:p>
      <w:pPr>
        <w:autoSpaceDE w:val="0"/>
        <w:autoSpaceDN w:val="0"/>
        <w:adjustRightInd w:val="0"/>
        <w:spacing w:line="360" w:lineRule="auto"/>
        <w:ind w:firstLine="480" w:firstLineChars="200"/>
        <w:jc w:val="left"/>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应提出上述培训的具体建议和详细方案，需要时，协助采购单位参加培训人员办理有关手续，包括邀请函、联系和安排住宿及往返交通等。</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售后服务内容、要求和期限</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中标人</w:t>
      </w:r>
      <w:r>
        <w:rPr>
          <w:rFonts w:hint="eastAsia" w:ascii="宋体" w:hAnsi="宋体" w:eastAsia="宋体" w:cs="宋体"/>
          <w:color w:val="000000" w:themeColor="text1"/>
          <w:sz w:val="24"/>
          <w:szCs w:val="24"/>
          <w:lang w:val="en-US" w:eastAsia="zh-CN"/>
          <w14:textFill>
            <w14:solidFill>
              <w14:schemeClr w14:val="tx1"/>
            </w14:solidFill>
          </w14:textFill>
        </w:rPr>
        <w:t xml:space="preserve">的售后服务和技术支持内容包括但不限于：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default" w:ascii="宋体" w:hAnsi="宋体" w:eastAsia="宋体" w:cs="宋体"/>
          <w:color w:val="000000" w:themeColor="text1"/>
          <w:sz w:val="24"/>
          <w:szCs w:val="24"/>
          <w:lang w:val="en-US" w:eastAsia="zh-CN"/>
          <w14:textFill>
            <w14:solidFill>
              <w14:schemeClr w14:val="tx1"/>
            </w14:solidFill>
          </w14:textFill>
        </w:rPr>
        <w:t xml:space="preserve">系统安装部署和衔接；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default" w:ascii="宋体" w:hAnsi="宋体" w:eastAsia="宋体" w:cs="宋体"/>
          <w:color w:val="000000" w:themeColor="text1"/>
          <w:sz w:val="24"/>
          <w:szCs w:val="24"/>
          <w:lang w:val="en-US" w:eastAsia="zh-CN"/>
          <w14:textFill>
            <w14:solidFill>
              <w14:schemeClr w14:val="tx1"/>
            </w14:solidFill>
          </w14:textFill>
        </w:rPr>
        <w:t xml:space="preserve">数据迁移；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default" w:ascii="宋体" w:hAnsi="宋体" w:eastAsia="宋体" w:cs="宋体"/>
          <w:color w:val="000000" w:themeColor="text1"/>
          <w:sz w:val="24"/>
          <w:szCs w:val="24"/>
          <w:lang w:val="en-US" w:eastAsia="zh-CN"/>
          <w14:textFill>
            <w14:solidFill>
              <w14:schemeClr w14:val="tx1"/>
            </w14:solidFill>
          </w14:textFill>
        </w:rPr>
        <w:t xml:space="preserve">系统试运行及上线跟踪；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default" w:ascii="宋体" w:hAnsi="宋体" w:eastAsia="宋体" w:cs="宋体"/>
          <w:color w:val="000000" w:themeColor="text1"/>
          <w:sz w:val="24"/>
          <w:szCs w:val="24"/>
          <w:lang w:val="en-US" w:eastAsia="zh-CN"/>
          <w14:textFill>
            <w14:solidFill>
              <w14:schemeClr w14:val="tx1"/>
            </w14:solidFill>
          </w14:textFill>
        </w:rPr>
        <w:t xml:space="preserve">系统缺陷修复及完善； </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default" w:ascii="宋体" w:hAnsi="宋体" w:eastAsia="宋体" w:cs="宋体"/>
          <w:color w:val="000000" w:themeColor="text1"/>
          <w:sz w:val="24"/>
          <w:szCs w:val="24"/>
          <w:lang w:val="en-US" w:eastAsia="zh-CN"/>
          <w14:textFill>
            <w14:solidFill>
              <w14:schemeClr w14:val="tx1"/>
            </w14:solidFill>
          </w14:textFill>
        </w:rPr>
        <w:t xml:space="preserve">服务保障体系； </w:t>
      </w:r>
    </w:p>
    <w:p>
      <w:pPr>
        <w:spacing w:line="360" w:lineRule="auto"/>
        <w:ind w:firstLine="480" w:firstLineChars="200"/>
        <w:rPr>
          <w:rFonts w:hint="eastAsia"/>
          <w:color w:val="000000" w:themeColor="text1"/>
          <w:lang w:val="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default" w:ascii="宋体" w:hAnsi="宋体" w:eastAsia="宋体" w:cs="宋体"/>
          <w:color w:val="000000" w:themeColor="text1"/>
          <w:sz w:val="24"/>
          <w:szCs w:val="24"/>
          <w:lang w:val="en-US" w:eastAsia="zh-CN"/>
          <w14:textFill>
            <w14:solidFill>
              <w14:schemeClr w14:val="tx1"/>
            </w14:solidFill>
          </w14:textFill>
        </w:rPr>
        <w:t>按照采购单位国库</w:t>
      </w:r>
      <w:r>
        <w:rPr>
          <w:rFonts w:hint="eastAsia" w:ascii="宋体" w:hAnsi="宋体" w:cs="宋体"/>
          <w:color w:val="000000" w:themeColor="text1"/>
          <w:sz w:val="24"/>
          <w:szCs w:val="24"/>
          <w:lang w:val="en-US" w:eastAsia="zh-CN"/>
          <w14:textFill>
            <w14:solidFill>
              <w14:schemeClr w14:val="tx1"/>
            </w14:solidFill>
          </w14:textFill>
        </w:rPr>
        <w:t>非税收入</w:t>
      </w:r>
      <w:r>
        <w:rPr>
          <w:rFonts w:hint="default" w:ascii="宋体" w:hAnsi="宋体" w:eastAsia="宋体" w:cs="宋体"/>
          <w:color w:val="000000" w:themeColor="text1"/>
          <w:sz w:val="24"/>
          <w:szCs w:val="24"/>
          <w:lang w:val="en-US" w:eastAsia="zh-CN"/>
          <w14:textFill>
            <w14:solidFill>
              <w14:schemeClr w14:val="tx1"/>
            </w14:solidFill>
          </w14:textFill>
        </w:rPr>
        <w:t>业务及“智慧财政”建设的要求进行升级改造；年底保障，即：年底期间，成立专门的年底保障小组，及时对财政部门年底的业务处理和业务保障进行详细调研，做出详细、科学的工作计划，提供现场支持和远程支持两种服务保障；解答用户提出的相关问题。</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应开通多部服务热线，提供 7X24 小时电话支持服务；采购单位通过电话、传真、或电子邮件等方式将系统相关问题通知</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在得到采购单位的通知或要求后，参照采购单位的相关管理规定，对问题做出响应。</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要在接到通知起3小时内对问题做出明确答复，一般问题要求在当天解决，最长不得超出3天；采购单位可以指派相关专家每年一次到</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进行现场巡检，及时发现问题，防患于未然。年检的内容包括信息系统运行状况、业务办理水平、用户意见反馈等。</w:t>
      </w:r>
      <w:r>
        <w:rPr>
          <w:rFonts w:hint="eastAsia" w:ascii="宋体" w:hAnsi="宋体" w:cs="宋体"/>
          <w:color w:val="000000" w:themeColor="text1"/>
          <w:sz w:val="24"/>
          <w:szCs w:val="24"/>
          <w:lang w:val="en-US" w:eastAsia="zh-CN"/>
          <w14:textFill>
            <w14:solidFill>
              <w14:schemeClr w14:val="tx1"/>
            </w14:solidFill>
          </w14:textFill>
        </w:rPr>
        <w:t>中标人</w:t>
      </w:r>
      <w:r>
        <w:rPr>
          <w:rFonts w:hint="default" w:ascii="宋体" w:hAnsi="宋体" w:eastAsia="宋体" w:cs="宋体"/>
          <w:color w:val="000000" w:themeColor="text1"/>
          <w:sz w:val="24"/>
          <w:szCs w:val="24"/>
          <w:lang w:val="en-US" w:eastAsia="zh-CN"/>
          <w14:textFill>
            <w14:solidFill>
              <w14:schemeClr w14:val="tx1"/>
            </w14:solidFill>
          </w14:textFill>
        </w:rPr>
        <w:t>应详细记录年检的内容、过程，提交《非税收入代理银行年检报告》给采购单位审核。</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lang w:val="zh-CN"/>
          <w14:textFill>
            <w14:solidFill>
              <w14:schemeClr w14:val="tx1"/>
            </w14:solidFill>
          </w14:textFill>
        </w:rPr>
        <w:t>服务人员要求</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zh-CN" w:eastAsia="zh-CN"/>
          <w14:textFill>
            <w14:solidFill>
              <w14:schemeClr w14:val="tx1"/>
            </w14:solidFill>
          </w14:textFill>
        </w:rPr>
        <w:t>项目组人员数量要求。中标方应成立专门的服务团队并设置相应的岗位，至少安排</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zh-CN" w:eastAsia="zh-CN"/>
          <w14:textFill>
            <w14:solidFill>
              <w14:schemeClr w14:val="tx1"/>
            </w14:solidFill>
          </w14:textFill>
        </w:rPr>
        <w:t>人专项负责此项工作，</w:t>
      </w:r>
      <w:r>
        <w:rPr>
          <w:rFonts w:hint="eastAsia" w:ascii="宋体" w:hAnsi="宋体" w:eastAsia="宋体" w:cs="宋体"/>
          <w:color w:val="000000" w:themeColor="text1"/>
          <w:sz w:val="24"/>
          <w:szCs w:val="24"/>
          <w:lang w:val="en-US" w:eastAsia="zh-CN"/>
          <w14:textFill>
            <w14:solidFill>
              <w14:schemeClr w14:val="tx1"/>
            </w14:solidFill>
          </w14:textFill>
        </w:rPr>
        <w:t>其中应配备1名驻点人员</w:t>
      </w:r>
      <w:r>
        <w:rPr>
          <w:rFonts w:hint="eastAsia" w:ascii="宋体" w:hAnsi="宋体" w:eastAsia="宋体" w:cs="宋体"/>
          <w:color w:val="000000" w:themeColor="text1"/>
          <w:sz w:val="24"/>
          <w:szCs w:val="24"/>
          <w:lang w:val="zh-CN" w:eastAsia="zh-CN"/>
          <w14:textFill>
            <w14:solidFill>
              <w14:schemeClr w14:val="tx1"/>
            </w14:solidFill>
          </w14:textFill>
        </w:rPr>
        <w:t>。</w:t>
      </w:r>
    </w:p>
    <w:p>
      <w:pPr>
        <w:numPr>
          <w:ilvl w:val="0"/>
          <w:numId w:val="7"/>
        </w:numPr>
        <w:tabs>
          <w:tab w:val="left" w:pos="900"/>
        </w:tabs>
        <w:spacing w:before="156" w:beforeLines="50" w:after="156" w:afterLines="50" w:line="360" w:lineRule="auto"/>
        <w:ind w:firstLine="0"/>
        <w:outlineLvl w:val="1"/>
        <w:rPr>
          <w:rFonts w:hint="eastAsia" w:ascii="宋体" w:hAnsi="宋体" w:eastAsia="宋体" w:cs="宋体"/>
          <w:b/>
          <w:bCs/>
          <w:color w:val="000000" w:themeColor="text1"/>
          <w:sz w:val="24"/>
          <w:szCs w:val="24"/>
          <w:lang w:val="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商务要求</w:t>
      </w:r>
      <w:bookmarkEnd w:id="40"/>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1" w:name="_Toc6017"/>
      <w:bookmarkStart w:id="42" w:name="_Toc16195"/>
      <w:r>
        <w:rPr>
          <w:rFonts w:hint="eastAsia" w:ascii="宋体" w:hAnsi="宋体" w:eastAsia="宋体" w:cs="宋体"/>
          <w:b/>
          <w:bCs/>
          <w:color w:val="000000" w:themeColor="text1"/>
          <w:sz w:val="24"/>
          <w:szCs w:val="24"/>
          <w14:textFill>
            <w14:solidFill>
              <w14:schemeClr w14:val="tx1"/>
            </w14:solidFill>
          </w14:textFill>
        </w:rPr>
        <w:t>（一）服务期限</w:t>
      </w:r>
      <w:bookmarkEnd w:id="41"/>
      <w:bookmarkEnd w:id="42"/>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自合同签订之日起</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个月。</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3" w:name="_Toc15471"/>
      <w:bookmarkStart w:id="44" w:name="_Toc10463"/>
      <w:r>
        <w:rPr>
          <w:rFonts w:hint="eastAsia" w:ascii="宋体" w:hAnsi="宋体" w:eastAsia="宋体" w:cs="宋体"/>
          <w:b/>
          <w:bCs/>
          <w:color w:val="000000" w:themeColor="text1"/>
          <w:sz w:val="24"/>
          <w:szCs w:val="24"/>
          <w14:textFill>
            <w14:solidFill>
              <w14:schemeClr w14:val="tx1"/>
            </w14:solidFill>
          </w14:textFill>
        </w:rPr>
        <w:t>（二）服务地点</w:t>
      </w:r>
      <w:bookmarkEnd w:id="43"/>
      <w:bookmarkEnd w:id="44"/>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深圳市前海深港现代服务业合作区。</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45" w:name="_Toc368"/>
      <w:bookmarkStart w:id="46" w:name="_Toc32196"/>
      <w:r>
        <w:rPr>
          <w:rFonts w:hint="eastAsia" w:ascii="宋体" w:hAnsi="宋体" w:eastAsia="宋体" w:cs="宋体"/>
          <w:b/>
          <w:bCs/>
          <w:color w:val="000000" w:themeColor="text1"/>
          <w:sz w:val="24"/>
          <w:szCs w:val="24"/>
          <w14:textFill>
            <w14:solidFill>
              <w14:schemeClr w14:val="tx1"/>
            </w14:solidFill>
          </w14:textFill>
        </w:rPr>
        <w:t>（三）业务代理手续费</w:t>
      </w: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基于</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在设备、网络、系统维护、清算对账、人员等方面的投入，</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承诺在合作期间向</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支付代收手续费，</w:t>
      </w:r>
      <w:r>
        <w:rPr>
          <w:rFonts w:hint="eastAsia" w:ascii="宋体" w:hAnsi="宋体" w:cs="宋体"/>
          <w:color w:val="000000" w:themeColor="text1"/>
          <w:sz w:val="24"/>
          <w:szCs w:val="24"/>
          <w:highlight w:val="non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14:textFill>
            <w14:solidFill>
              <w14:schemeClr w14:val="tx1"/>
            </w14:solidFill>
          </w14:textFill>
        </w:rPr>
        <w:t>收到</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承代理手续费的同时，向</w:t>
      </w:r>
      <w:r>
        <w:rPr>
          <w:rFonts w:hint="eastAsia" w:ascii="宋体" w:hAnsi="宋体" w:cs="宋体"/>
          <w:color w:val="000000" w:themeColor="text1"/>
          <w:sz w:val="24"/>
          <w:szCs w:val="24"/>
          <w:highlight w:val="none"/>
          <w:lang w:val="en-US" w:eastAsia="zh-CN"/>
          <w14:textFill>
            <w14:solidFill>
              <w14:schemeClr w14:val="tx1"/>
            </w14:solidFill>
          </w14:textFill>
        </w:rPr>
        <w:t>采购人</w:t>
      </w:r>
      <w:r>
        <w:rPr>
          <w:rFonts w:hint="eastAsia" w:ascii="宋体" w:hAnsi="宋体" w:eastAsia="宋体" w:cs="宋体"/>
          <w:color w:val="000000" w:themeColor="text1"/>
          <w:sz w:val="24"/>
          <w:szCs w:val="24"/>
          <w:highlight w:val="none"/>
          <w14:textFill>
            <w14:solidFill>
              <w14:schemeClr w14:val="tx1"/>
            </w14:solidFill>
          </w14:textFill>
        </w:rPr>
        <w:t>承出具银行手续费收费凭证。手续费的费率及计算原则如下：</w:t>
      </w: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1.根据不同的代收方式计算手续费</w:t>
      </w:r>
    </w:p>
    <w:p>
      <w:pPr>
        <w:pStyle w:val="5"/>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非税收入代收手续费统一</w:t>
      </w:r>
      <w:r>
        <w:rPr>
          <w:rFonts w:hint="eastAsia" w:ascii="宋体" w:hAnsi="宋体" w:cs="宋体"/>
          <w:color w:val="000000" w:themeColor="text1"/>
          <w:sz w:val="24"/>
          <w:szCs w:val="24"/>
          <w:highlight w:val="none"/>
          <w:lang w:val="en-US" w:eastAsia="zh-CN"/>
          <w14:textFill>
            <w14:solidFill>
              <w14:schemeClr w14:val="tx1"/>
            </w14:solidFill>
          </w14:textFill>
        </w:rPr>
        <w:t>不超0.4元</w:t>
      </w:r>
      <w:r>
        <w:rPr>
          <w:rFonts w:hint="eastAsia" w:ascii="宋体" w:hAnsi="宋体" w:eastAsia="宋体" w:cs="宋体"/>
          <w:color w:val="000000" w:themeColor="text1"/>
          <w:sz w:val="24"/>
          <w:szCs w:val="24"/>
          <w:highlight w:val="none"/>
          <w14:textFill>
            <w14:solidFill>
              <w14:schemeClr w14:val="tx1"/>
            </w14:solidFill>
          </w14:textFill>
        </w:rPr>
        <w:t>/笔的标准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以中标人报价计算</w:t>
      </w:r>
      <w:r>
        <w:rPr>
          <w:rFonts w:hint="eastAsia" w:ascii="宋体" w:hAnsi="宋体" w:eastAsia="宋体" w:cs="宋体"/>
          <w:color w:val="000000" w:themeColor="text1"/>
          <w:sz w:val="24"/>
          <w:szCs w:val="24"/>
          <w:highlight w:val="none"/>
          <w14:textFill>
            <w14:solidFill>
              <w14:schemeClr w14:val="tx1"/>
            </w14:solidFill>
          </w14:textFill>
        </w:rPr>
        <w:t>。</w:t>
      </w:r>
    </w:p>
    <w:p>
      <w:pPr>
        <w:spacing w:line="360" w:lineRule="auto"/>
        <w:ind w:firstLine="480" w:firstLineChars="200"/>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（四）付款方式</w:t>
      </w:r>
      <w:bookmarkEnd w:id="45"/>
      <w:bookmarkEnd w:id="46"/>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1.每年根据实际支付笔数、金额结算上年手续费。</w:t>
      </w:r>
    </w:p>
    <w:p>
      <w:pPr>
        <w:pStyle w:val="13"/>
        <w:spacing w:before="0" w:beforeAutospacing="0" w:after="0" w:afterAutospacing="0" w:line="360" w:lineRule="auto"/>
        <w:ind w:firstLine="480" w:firstLineChars="200"/>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2.在满足付款的条件下，</w:t>
      </w:r>
      <w:bookmarkStart w:id="47" w:name="_Toc16091"/>
      <w:bookmarkStart w:id="48" w:name="_Toc16130"/>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spacing w:line="360" w:lineRule="auto"/>
        <w:ind w:firstLine="480" w:firstLineChars="200"/>
        <w:outlineLvl w:val="2"/>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（五）投标报价</w:t>
      </w:r>
      <w:bookmarkEnd w:id="47"/>
      <w:bookmarkEnd w:id="48"/>
    </w:p>
    <w:p>
      <w:pPr>
        <w:pStyle w:val="5"/>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1.投标报价单价（手续费）作为中标人与采购人</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签订</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的合同金额。手续费报价每笔不超0.4元，否则投标人的投标文件视同无效。本项目服务费应包括服务成本、法定税费和企业的利润，项目服务费包括但不限于成果制作费、人员劳务费、资料费、印刷费、税费等为完成服务所需的费用。</w:t>
      </w:r>
    </w:p>
    <w:p>
      <w:pPr>
        <w:pStyle w:val="5"/>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5"/>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pStyle w:val="5"/>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pStyle w:val="5"/>
        <w:spacing w:line="360" w:lineRule="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pStyle w:val="5"/>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49" w:name="_Toc10430"/>
      <w:bookmarkStart w:id="50" w:name="_Toc7539"/>
      <w:r>
        <w:rPr>
          <w:rFonts w:hint="eastAsia" w:ascii="宋体" w:hAnsi="宋体" w:eastAsia="宋体" w:cs="宋体"/>
          <w:b/>
          <w:bCs/>
          <w:color w:val="000000" w:themeColor="text1"/>
          <w:sz w:val="24"/>
          <w:szCs w:val="24"/>
          <w14:textFill>
            <w14:solidFill>
              <w14:schemeClr w14:val="tx1"/>
            </w14:solidFill>
          </w14:textFill>
        </w:rPr>
        <w:t>（六）知识产权</w:t>
      </w:r>
      <w:bookmarkEnd w:id="49"/>
      <w:bookmarkEnd w:id="50"/>
    </w:p>
    <w:p>
      <w:pPr>
        <w:autoSpaceDE w:val="0"/>
        <w:autoSpaceDN w:val="0"/>
        <w:spacing w:line="360" w:lineRule="auto"/>
        <w:ind w:firstLine="480" w:firstLineChars="20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1.本项目全部阶段性成果和最终成果（包括为后续服务范围所编制的文件）的所有权、知识产权以及与之相关的所有权利归采购单位所有。</w:t>
      </w:r>
    </w:p>
    <w:p>
      <w:pPr>
        <w:autoSpaceDE w:val="0"/>
        <w:autoSpaceDN w:val="0"/>
        <w:spacing w:line="360" w:lineRule="auto"/>
        <w:ind w:firstLine="480" w:firstLineChars="20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2.双方确定，采购单位有权对</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标人按照本合同约定提供的成果进行后续改进。由此产生的具有实质性或创造性技术进步特征的新的技术成果及其权利全部由采购单位享有。</w:t>
      </w:r>
    </w:p>
    <w:p>
      <w:pPr>
        <w:autoSpaceDE w:val="0"/>
        <w:autoSpaceDN w:val="0"/>
        <w:spacing w:line="360" w:lineRule="auto"/>
        <w:ind w:firstLine="480" w:firstLineChars="200"/>
        <w:jc w:val="left"/>
        <w:rPr>
          <w:rFonts w:hint="eastAsia"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3.</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标人所提交的全部阶段性成果和最终成果文件及任何数据、资料、软件等不得侵犯任何第三方的知识产权或其他权利，由于该等文件、数据、资料、软件所导致的任何索赔或责任均由</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标人承担。同时，采购单位有权要求</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标人修改成果至不侵权或解除合同，并保留要求</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标人赔偿全部损失的权利，包括但不限于上述索赔或责任所产生的诉讼费用、合理的律师费用、鉴定评估费用、调查费用、和解金额或生效法律文书中规定的赔偿金额。</w:t>
      </w:r>
    </w:p>
    <w:p>
      <w:pPr>
        <w:autoSpaceDE w:val="0"/>
        <w:autoSpaceDN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4.未经采购单位书面在先同意，</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标人不得将本项目的阶段性成果和/或最终成果文件及任何数据、资料、软件向任何第三方转让、授权任何第三方使用或用于本合同项目外的其他项目。如发生以上情况，</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标人应向采购单位支付本合同总价款20%的违约金，如果违约金无法弥补采购单位的损失，采购单位有权要求</w:t>
      </w:r>
      <w:r>
        <w:rPr>
          <w:rFonts w:hint="eastAsia" w:ascii="宋体" w:hAnsi="宋体" w:eastAsia="宋体" w:cs="宋体"/>
          <w:color w:val="000000" w:themeColor="text1"/>
          <w:kern w:val="0"/>
          <w:sz w:val="24"/>
          <w:szCs w:val="24"/>
          <w:lang w:val="zh-CN" w:eastAsia="zh-CN" w:bidi="zh-CN"/>
          <w14:textFill>
            <w14:solidFill>
              <w14:schemeClr w14:val="tx1"/>
            </w14:solidFill>
          </w14:textFill>
        </w:rPr>
        <w:t>中</w:t>
      </w:r>
      <w:r>
        <w:rPr>
          <w:rFonts w:hint="eastAsia" w:ascii="宋体" w:hAnsi="宋体" w:eastAsia="宋体" w:cs="宋体"/>
          <w:color w:val="000000" w:themeColor="text1"/>
          <w:kern w:val="0"/>
          <w:sz w:val="24"/>
          <w:szCs w:val="24"/>
          <w:lang w:val="zh-CN" w:bidi="zh-CN"/>
          <w14:textFill>
            <w14:solidFill>
              <w14:schemeClr w14:val="tx1"/>
            </w14:solidFill>
          </w14:textFill>
        </w:rPr>
        <w:t>标人赔偿全部损失，包括但不限于上述索赔或责任所产生的诉讼费用、合理的律师费用</w:t>
      </w:r>
      <w:r>
        <w:rPr>
          <w:rFonts w:hint="eastAsia" w:ascii="宋体" w:hAnsi="宋体" w:eastAsia="宋体" w:cs="宋体"/>
          <w:color w:val="000000" w:themeColor="text1"/>
          <w:sz w:val="24"/>
          <w:szCs w:val="24"/>
          <w14:textFill>
            <w14:solidFill>
              <w14:schemeClr w14:val="tx1"/>
            </w14:solidFill>
          </w14:textFill>
        </w:rPr>
        <w:t>、鉴定评估费用、调查费用、和解金额或生效法律文书中规定的赔偿金额。</w:t>
      </w:r>
    </w:p>
    <w:p>
      <w:pPr>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1" w:name="_Toc14469"/>
      <w:bookmarkStart w:id="52" w:name="_Toc27553"/>
      <w:r>
        <w:rPr>
          <w:rFonts w:hint="eastAsia" w:ascii="宋体" w:hAnsi="宋体" w:eastAsia="宋体" w:cs="宋体"/>
          <w:b/>
          <w:bCs/>
          <w:color w:val="000000" w:themeColor="text1"/>
          <w:sz w:val="24"/>
          <w:szCs w:val="24"/>
          <w14:textFill>
            <w14:solidFill>
              <w14:schemeClr w14:val="tx1"/>
            </w14:solidFill>
          </w14:textFill>
        </w:rPr>
        <w:t>（七）违约责任</w:t>
      </w:r>
      <w:bookmarkEnd w:id="51"/>
      <w:bookmarkEnd w:id="52"/>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en-US" w:bidi="zh-CN"/>
          <w14:textFill>
            <w14:solidFill>
              <w14:schemeClr w14:val="tx1"/>
            </w14:solidFill>
          </w14:textFill>
        </w:rPr>
        <w:t>1.</w:t>
      </w:r>
      <w:r>
        <w:rPr>
          <w:rFonts w:hint="eastAsia" w:ascii="宋体" w:hAnsi="宋体" w:eastAsia="宋体" w:cs="宋体"/>
          <w:color w:val="000000" w:themeColor="text1"/>
          <w:kern w:val="0"/>
          <w:sz w:val="24"/>
          <w:szCs w:val="24"/>
          <w:lang w:val="zh-CN" w:bidi="zh-CN"/>
          <w14:textFill>
            <w14:solidFill>
              <w14:schemeClr w14:val="tx1"/>
            </w14:solidFill>
          </w14:textFill>
        </w:rPr>
        <w:t>本协议执行期间，</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有如下违约行为时，</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有权根据情节和所造成影响程度的不同，追究相应的责任，扣减代收手续费，直至暂停</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的银行代收款资格，并赔偿</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的损失。</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eastAsia="宋体" w:cs="宋体"/>
          <w:color w:val="000000" w:themeColor="text1"/>
          <w:kern w:val="0"/>
          <w:sz w:val="24"/>
          <w:szCs w:val="24"/>
          <w:lang w:val="en-US" w:bidi="zh-CN"/>
          <w14:textFill>
            <w14:solidFill>
              <w14:schemeClr w14:val="tx1"/>
            </w14:solidFill>
          </w14:textFill>
        </w:rPr>
        <w:t>1</w:t>
      </w: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违反本合同约定，经</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通告仍没有改正或改正</w:t>
      </w:r>
      <w:r>
        <w:rPr>
          <w:rFonts w:hint="eastAsia" w:ascii="宋体" w:hAnsi="宋体" w:cs="宋体"/>
          <w:color w:val="000000" w:themeColor="text1"/>
          <w:sz w:val="24"/>
          <w:szCs w:val="24"/>
          <w:lang w:eastAsia="zh-CN"/>
          <w14:textFill>
            <w14:solidFill>
              <w14:schemeClr w14:val="tx1"/>
            </w14:solidFill>
          </w14:textFill>
        </w:rPr>
        <w:t>不符合</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cs="宋体"/>
          <w:color w:val="000000" w:themeColor="text1"/>
          <w:sz w:val="24"/>
          <w:szCs w:val="24"/>
          <w:lang w:eastAsia="zh-CN"/>
          <w14:textFill>
            <w14:solidFill>
              <w14:schemeClr w14:val="tx1"/>
            </w14:solidFill>
          </w14:textFill>
        </w:rPr>
        <w:t>要求</w:t>
      </w:r>
      <w:r>
        <w:rPr>
          <w:rFonts w:hint="eastAsia" w:ascii="宋体" w:hAnsi="宋体" w:eastAsia="宋体" w:cs="宋体"/>
          <w:color w:val="000000" w:themeColor="text1"/>
          <w:kern w:val="0"/>
          <w:sz w:val="24"/>
          <w:szCs w:val="24"/>
          <w:lang w:val="zh-CN" w:bidi="zh-CN"/>
          <w14:textFill>
            <w14:solidFill>
              <w14:schemeClr w14:val="tx1"/>
            </w14:solidFill>
          </w14:textFill>
        </w:rPr>
        <w:t>的。</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eastAsia="宋体" w:cs="宋体"/>
          <w:color w:val="000000" w:themeColor="text1"/>
          <w:kern w:val="0"/>
          <w:sz w:val="24"/>
          <w:szCs w:val="24"/>
          <w:lang w:val="en-US" w:bidi="zh-CN"/>
          <w14:textFill>
            <w14:solidFill>
              <w14:schemeClr w14:val="tx1"/>
            </w14:solidFill>
          </w14:textFill>
        </w:rPr>
        <w:t>2</w:t>
      </w: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所提供的服务多次被缴款人提出投诉并经证实的，经</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通告仍没有改正或改正</w:t>
      </w:r>
      <w:r>
        <w:rPr>
          <w:rFonts w:hint="eastAsia" w:ascii="宋体" w:hAnsi="宋体" w:cs="宋体"/>
          <w:color w:val="000000" w:themeColor="text1"/>
          <w:sz w:val="24"/>
          <w:szCs w:val="24"/>
          <w:lang w:eastAsia="zh-CN"/>
          <w14:textFill>
            <w14:solidFill>
              <w14:schemeClr w14:val="tx1"/>
            </w14:solidFill>
          </w14:textFill>
        </w:rPr>
        <w:t>不符合</w:t>
      </w:r>
      <w:r>
        <w:rPr>
          <w:rFonts w:hint="eastAsia" w:ascii="宋体" w:hAnsi="宋体" w:cs="宋体"/>
          <w:color w:val="000000" w:themeColor="text1"/>
          <w:sz w:val="24"/>
          <w:szCs w:val="24"/>
          <w:lang w:val="en-US" w:eastAsia="zh-CN"/>
          <w14:textFill>
            <w14:solidFill>
              <w14:schemeClr w14:val="tx1"/>
            </w14:solidFill>
          </w14:textFill>
        </w:rPr>
        <w:t>采购人</w:t>
      </w:r>
      <w:r>
        <w:rPr>
          <w:rFonts w:hint="eastAsia" w:ascii="宋体" w:hAnsi="宋体" w:cs="宋体"/>
          <w:color w:val="000000" w:themeColor="text1"/>
          <w:sz w:val="24"/>
          <w:szCs w:val="24"/>
          <w:lang w:eastAsia="zh-CN"/>
          <w14:textFill>
            <w14:solidFill>
              <w14:schemeClr w14:val="tx1"/>
            </w14:solidFill>
          </w14:textFill>
        </w:rPr>
        <w:t>要求</w:t>
      </w:r>
      <w:r>
        <w:rPr>
          <w:rFonts w:hint="eastAsia" w:ascii="宋体" w:hAnsi="宋体" w:eastAsia="宋体" w:cs="宋体"/>
          <w:color w:val="000000" w:themeColor="text1"/>
          <w:kern w:val="0"/>
          <w:sz w:val="24"/>
          <w:szCs w:val="24"/>
          <w:lang w:val="zh-CN" w:bidi="zh-CN"/>
          <w14:textFill>
            <w14:solidFill>
              <w14:schemeClr w14:val="tx1"/>
            </w14:solidFill>
          </w14:textFill>
        </w:rPr>
        <w:t>的。</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en-US" w:bidi="zh-CN"/>
          <w14:textFill>
            <w14:solidFill>
              <w14:schemeClr w14:val="tx1"/>
            </w14:solidFill>
          </w14:textFill>
        </w:rPr>
        <w:t>2.</w:t>
      </w:r>
      <w:r>
        <w:rPr>
          <w:rFonts w:hint="eastAsia" w:ascii="宋体" w:hAnsi="宋体" w:eastAsia="宋体" w:cs="宋体"/>
          <w:color w:val="000000" w:themeColor="text1"/>
          <w:kern w:val="0"/>
          <w:sz w:val="24"/>
          <w:szCs w:val="24"/>
          <w:lang w:val="zh-CN" w:bidi="zh-CN"/>
          <w14:textFill>
            <w14:solidFill>
              <w14:schemeClr w14:val="tx1"/>
            </w14:solidFill>
          </w14:textFill>
        </w:rPr>
        <w:t>本协议执行期间，如</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有如下违约行为时应承担相应的责任：</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eastAsia="宋体" w:cs="宋体"/>
          <w:color w:val="000000" w:themeColor="text1"/>
          <w:kern w:val="0"/>
          <w:sz w:val="24"/>
          <w:szCs w:val="24"/>
          <w:lang w:val="en-US" w:bidi="zh-CN"/>
          <w14:textFill>
            <w14:solidFill>
              <w14:schemeClr w14:val="tx1"/>
            </w14:solidFill>
          </w14:textFill>
        </w:rPr>
        <w:t>1</w:t>
      </w:r>
      <w:r>
        <w:rPr>
          <w:rFonts w:hint="eastAsia" w:ascii="宋体" w:hAnsi="宋体" w:eastAsia="宋体" w:cs="宋体"/>
          <w:color w:val="000000" w:themeColor="text1"/>
          <w:kern w:val="0"/>
          <w:sz w:val="24"/>
          <w:szCs w:val="24"/>
          <w:lang w:val="zh-CN" w:bidi="zh-CN"/>
          <w14:textFill>
            <w14:solidFill>
              <w14:schemeClr w14:val="tx1"/>
            </w14:solidFill>
          </w14:textFill>
        </w:rPr>
        <w:t>）在</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未违约的情况下，</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单方面终止</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代理业务资格。</w:t>
      </w:r>
    </w:p>
    <w:p>
      <w:pPr>
        <w:autoSpaceDE w:val="0"/>
        <w:autoSpaceDN w:val="0"/>
        <w:spacing w:line="360" w:lineRule="auto"/>
        <w:ind w:firstLine="480" w:firstLineChars="200"/>
        <w:jc w:val="left"/>
        <w:rPr>
          <w:rFonts w:ascii="宋体" w:hAnsi="宋体" w:eastAsia="宋体" w:cs="宋体"/>
          <w:color w:val="000000" w:themeColor="text1"/>
          <w:kern w:val="0"/>
          <w:sz w:val="24"/>
          <w:szCs w:val="24"/>
          <w:lang w:val="zh-CN" w:bidi="zh-CN"/>
          <w14:textFill>
            <w14:solidFill>
              <w14:schemeClr w14:val="tx1"/>
            </w14:solidFill>
          </w14:textFill>
        </w:rPr>
      </w:pP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eastAsia="宋体" w:cs="宋体"/>
          <w:color w:val="000000" w:themeColor="text1"/>
          <w:kern w:val="0"/>
          <w:sz w:val="24"/>
          <w:szCs w:val="24"/>
          <w:lang w:val="en-US" w:bidi="zh-CN"/>
          <w14:textFill>
            <w14:solidFill>
              <w14:schemeClr w14:val="tx1"/>
            </w14:solidFill>
          </w14:textFill>
        </w:rPr>
        <w:t>2</w:t>
      </w:r>
      <w:r>
        <w:rPr>
          <w:rFonts w:hint="eastAsia" w:ascii="宋体" w:hAnsi="宋体" w:eastAsia="宋体" w:cs="宋体"/>
          <w:color w:val="000000" w:themeColor="text1"/>
          <w:kern w:val="0"/>
          <w:sz w:val="24"/>
          <w:szCs w:val="24"/>
          <w:lang w:val="zh-CN" w:bidi="zh-CN"/>
          <w14:textFill>
            <w14:solidFill>
              <w14:schemeClr w14:val="tx1"/>
            </w14:solidFill>
          </w14:textFill>
        </w:rPr>
        <w:t>）</w:t>
      </w:r>
      <w:r>
        <w:rPr>
          <w:rFonts w:hint="eastAsia" w:ascii="宋体" w:hAnsi="宋体" w:cs="宋体"/>
          <w:color w:val="000000" w:themeColor="text1"/>
          <w:kern w:val="0"/>
          <w:sz w:val="24"/>
          <w:szCs w:val="24"/>
          <w:lang w:val="en-US" w:bidi="zh-CN"/>
          <w14:textFill>
            <w14:solidFill>
              <w14:schemeClr w14:val="tx1"/>
            </w14:solidFill>
          </w14:textFill>
        </w:rPr>
        <w:t>采购人</w:t>
      </w:r>
      <w:r>
        <w:rPr>
          <w:rFonts w:hint="eastAsia" w:ascii="宋体" w:hAnsi="宋体" w:eastAsia="宋体" w:cs="宋体"/>
          <w:color w:val="000000" w:themeColor="text1"/>
          <w:kern w:val="0"/>
          <w:sz w:val="24"/>
          <w:szCs w:val="24"/>
          <w:lang w:val="zh-CN" w:bidi="zh-CN"/>
          <w14:textFill>
            <w14:solidFill>
              <w14:schemeClr w14:val="tx1"/>
            </w14:solidFill>
          </w14:textFill>
        </w:rPr>
        <w:t>违反合同约定不支付</w:t>
      </w:r>
      <w:r>
        <w:rPr>
          <w:rFonts w:hint="eastAsia" w:ascii="宋体" w:hAnsi="宋体" w:cs="宋体"/>
          <w:color w:val="000000" w:themeColor="text1"/>
          <w:kern w:val="0"/>
          <w:sz w:val="24"/>
          <w:szCs w:val="24"/>
          <w:lang w:val="en-US" w:bidi="zh-CN"/>
          <w14:textFill>
            <w14:solidFill>
              <w14:schemeClr w14:val="tx1"/>
            </w14:solidFill>
          </w14:textFill>
        </w:rPr>
        <w:t>中标人</w:t>
      </w:r>
      <w:r>
        <w:rPr>
          <w:rFonts w:hint="eastAsia" w:ascii="宋体" w:hAnsi="宋体" w:eastAsia="宋体" w:cs="宋体"/>
          <w:color w:val="000000" w:themeColor="text1"/>
          <w:kern w:val="0"/>
          <w:sz w:val="24"/>
          <w:szCs w:val="24"/>
          <w:lang w:val="zh-CN" w:bidi="zh-CN"/>
          <w14:textFill>
            <w14:solidFill>
              <w14:schemeClr w14:val="tx1"/>
            </w14:solidFill>
          </w14:textFill>
        </w:rPr>
        <w:t>手续费。</w:t>
      </w:r>
    </w:p>
    <w:p>
      <w:pPr>
        <w:pStyle w:val="2"/>
        <w:tabs>
          <w:tab w:val="left" w:pos="562"/>
          <w:tab w:val="left" w:pos="3372"/>
          <w:tab w:val="left" w:pos="3653"/>
        </w:tabs>
        <w:spacing w:line="360" w:lineRule="auto"/>
        <w:ind w:firstLine="482" w:firstLineChars="200"/>
        <w:outlineLvl w:val="2"/>
        <w:rPr>
          <w:rFonts w:hint="eastAsia" w:ascii="宋体" w:hAnsi="宋体" w:eastAsia="宋体" w:cs="宋体"/>
          <w:b/>
          <w:bCs/>
          <w:color w:val="000000" w:themeColor="text1"/>
          <w:sz w:val="24"/>
          <w:szCs w:val="24"/>
          <w14:textFill>
            <w14:solidFill>
              <w14:schemeClr w14:val="tx1"/>
            </w14:solidFill>
          </w14:textFill>
        </w:rPr>
      </w:pPr>
      <w:bookmarkStart w:id="53" w:name="_Toc31814"/>
      <w:bookmarkStart w:id="54" w:name="_Toc11364"/>
      <w:r>
        <w:rPr>
          <w:rFonts w:hint="eastAsia" w:ascii="宋体" w:hAnsi="宋体" w:eastAsia="宋体" w:cs="宋体"/>
          <w:b/>
          <w:bCs/>
          <w:color w:val="000000" w:themeColor="text1"/>
          <w:sz w:val="24"/>
          <w:szCs w:val="24"/>
          <w14:textFill>
            <w14:solidFill>
              <w14:schemeClr w14:val="tx1"/>
            </w14:solidFill>
          </w14:textFill>
        </w:rPr>
        <w:t>（八）保密条款</w:t>
      </w:r>
      <w:bookmarkEnd w:id="53"/>
      <w:bookmarkEnd w:id="54"/>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应以保密方式处理在编制本项目成果文件过程中自采购单位、采购单位工作人员或采购单位关联机构获得的相关信息、资料、图纸、数据等，或由采购单位在履行本合同过程中明确指明为秘密的任何信息，以及</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标人因本项目工作内容所直接或间接取得、处理或接触的任何其他资料。</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应保守国家秘密，不得泄露采购方所提供的属国家秘密的信息和数据；未经采购单位允许，不得使用或者以其他方式给任何第三方提供本项目的相关信息或数据，或公开本项目的阶段性成果或最终成果内容。即使向与履行本合同有关的人员提供前述保密信息，也应限于履行合同的必需范围，且这些人员应接受至少与本条款同等严格的保密条款的约束。</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标人实施项目的程序应符合国家安全、保密的有关规定和标准。</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4.上述保密义务不适用以下情况：</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4.1.获取的信息已被合法公开；</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4.2.获得信息拥有方书面许可并在该许可范围内披露；</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4.3.国家法律、法规规定的情形。</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5.如</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标人违反上述保密条款，采购单位有权解除本合同，</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标人应在合同解除通知发出之日起10日内向采购单位支付本合同服务费总金额20%的违约金，如果违约金无法弥补采购单位损失，采购单位保留要求</w:t>
      </w:r>
      <w:r>
        <w:rPr>
          <w:rFonts w:hint="eastAsia" w:ascii="宋体" w:hAnsi="宋体" w:eastAsia="宋体" w:cs="宋体"/>
          <w:color w:val="000000" w:themeColor="text1"/>
          <w:sz w:val="24"/>
          <w:szCs w:val="24"/>
          <w:lang w:eastAsia="zh-CN"/>
          <w14:textFill>
            <w14:solidFill>
              <w14:schemeClr w14:val="tx1"/>
            </w14:solidFill>
          </w14:textFill>
        </w:rPr>
        <w:t>中</w:t>
      </w:r>
      <w:r>
        <w:rPr>
          <w:rFonts w:hint="eastAsia" w:ascii="宋体" w:hAnsi="宋体" w:eastAsia="宋体" w:cs="宋体"/>
          <w:color w:val="000000" w:themeColor="text1"/>
          <w:sz w:val="24"/>
          <w:szCs w:val="24"/>
          <w14:textFill>
            <w14:solidFill>
              <w14:schemeClr w14:val="tx1"/>
            </w14:solidFill>
          </w14:textFill>
        </w:rPr>
        <w:t>标人赔偿全部损失的权利，包括但不限于上述索赔或责任所产生的诉讼费用、合理的律师费用、鉴定评估费用、调查费用、和解金额或生效法律文书中规定的赔偿金额。</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6.无论本合同或本合同其他条款是否有效，本保密条款始终约束双方。国家秘密的保密期限由国家有关部门确定，工作秘密的保密期限由采购单位确定。</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55" w:name="_Toc23822"/>
      <w:r>
        <w:rPr>
          <w:rFonts w:hint="eastAsia" w:ascii="宋体" w:cs="宋体"/>
          <w:b/>
          <w:bCs/>
          <w:color w:val="000000" w:themeColor="text1"/>
          <w:sz w:val="24"/>
          <w14:textFill>
            <w14:solidFill>
              <w14:schemeClr w14:val="tx1"/>
            </w14:solidFill>
          </w14:textFill>
        </w:rPr>
        <w:t>第六章 投标文件初审及招标项目评分表</w:t>
      </w:r>
      <w:bookmarkEnd w:id="55"/>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7"/>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w:t>
            </w:r>
            <w:r>
              <w:rPr>
                <w:rFonts w:hint="eastAsia" w:ascii="宋体" w:hAnsi="宋体" w:cs="宋体"/>
                <w:color w:val="000000" w:themeColor="text1"/>
                <w:sz w:val="24"/>
                <w:lang w:val="en-US" w:eastAsia="zh-CN"/>
                <w14:textFill>
                  <w14:solidFill>
                    <w14:schemeClr w14:val="tx1"/>
                  </w14:solidFill>
                </w14:textFill>
              </w:rPr>
              <w:t>投标报价</w:t>
            </w:r>
            <w:r>
              <w:rPr>
                <w:rFonts w:hint="eastAsia" w:ascii="宋体" w:hAnsi="宋体" w:cs="宋体"/>
                <w:color w:val="000000" w:themeColor="text1"/>
                <w:sz w:val="24"/>
                <w14:textFill>
                  <w14:solidFill>
                    <w14:schemeClr w14:val="tx1"/>
                  </w14:solidFill>
                </w14:textFill>
              </w:rPr>
              <w:t>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highlight w:val="none"/>
          <w14:textFill>
            <w14:solidFill>
              <w14:schemeClr w14:val="tx1"/>
            </w14:solidFill>
          </w14:textFill>
        </w:rPr>
        <w:t>招标项目评分表</w:t>
      </w:r>
    </w:p>
    <w:p>
      <w:pPr>
        <w:tabs>
          <w:tab w:val="left" w:pos="640"/>
          <w:tab w:val="left" w:pos="1260"/>
          <w:tab w:val="left" w:pos="1418"/>
        </w:tabs>
        <w:spacing w:line="360" w:lineRule="auto"/>
        <w:ind w:right="-420" w:rightChars="-200"/>
        <w:rPr>
          <w:rFonts w:hint="eastAsia" w:ascii="宋体" w:hAnsi="宋体" w:cs="宋体"/>
          <w:color w:val="000000" w:themeColor="text1"/>
          <w:sz w:val="24"/>
          <w:highlight w:val="none"/>
          <w:lang w:val="fr-CH"/>
          <w14:textFill>
            <w14:solidFill>
              <w14:schemeClr w14:val="tx1"/>
            </w14:solidFill>
          </w14:textFill>
        </w:rPr>
      </w:pPr>
    </w:p>
    <w:tbl>
      <w:tblPr>
        <w:tblStyle w:val="17"/>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一、价格部分（</w:t>
            </w:r>
            <w:r>
              <w:rPr>
                <w:rFonts w:hint="eastAsia" w:ascii="宋体" w:hAnsi="宋体" w:cs="宋体"/>
                <w:b/>
                <w:color w:val="000000" w:themeColor="text1"/>
                <w:sz w:val="24"/>
                <w:highlight w:val="none"/>
                <w:lang w:val="en-US" w:eastAsia="zh-CN"/>
                <w14:textFill>
                  <w14:solidFill>
                    <w14:schemeClr w14:val="tx1"/>
                  </w14:solidFill>
                </w14:textFill>
              </w:rPr>
              <w:t>10</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07"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1</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投标报价</w:t>
            </w:r>
          </w:p>
        </w:tc>
        <w:tc>
          <w:tcPr>
            <w:tcW w:w="5907" w:type="dxa"/>
            <w:vAlign w:val="center"/>
          </w:tcPr>
          <w:p>
            <w:pPr>
              <w:pStyle w:val="6"/>
              <w:keepNext w:val="0"/>
              <w:keepLines w:val="0"/>
              <w:pageBreakBefore w:val="0"/>
              <w:widowControl w:val="0"/>
              <w:kinsoku/>
              <w:overflowPunct/>
              <w:topLinePunct w:val="0"/>
              <w:bidi w:val="0"/>
              <w:spacing w:line="360" w:lineRule="auto"/>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keepNext w:val="0"/>
              <w:keepLines w:val="0"/>
              <w:pageBreakBefore w:val="0"/>
              <w:widowControl w:val="0"/>
              <w:kinsoku/>
              <w:overflowPunct/>
              <w:topLinePunct w:val="0"/>
              <w:bidi w:val="0"/>
              <w:spacing w:line="360" w:lineRule="auto"/>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投标报价得分=(评标基准价／投标报价)×</w:t>
            </w:r>
            <w:r>
              <w:rPr>
                <w:rFonts w:hint="eastAsia" w:ascii="宋体" w:hAnsi="宋体" w:cs="宋体"/>
                <w:b/>
                <w:bCs/>
                <w:color w:val="000000" w:themeColor="text1"/>
                <w:sz w:val="24"/>
                <w:highlight w:val="none"/>
                <w:lang w:val="en-US" w:eastAsia="zh-CN"/>
                <w14:textFill>
                  <w14:solidFill>
                    <w14:schemeClr w14:val="tx1"/>
                  </w14:solidFill>
                </w14:textFill>
              </w:rPr>
              <w:t>10</w:t>
            </w:r>
          </w:p>
          <w:p>
            <w:pPr>
              <w:keepNext w:val="0"/>
              <w:keepLines w:val="0"/>
              <w:pageBreakBefore w:val="0"/>
              <w:widowControl w:val="0"/>
              <w:numPr>
                <w:ilvl w:val="0"/>
                <w:numId w:val="8"/>
              </w:numPr>
              <w:kinsoku/>
              <w:overflowPunct/>
              <w:topLinePunct w:val="0"/>
              <w:bidi w:val="0"/>
              <w:spacing w:line="360" w:lineRule="auto"/>
              <w:ind w:left="250" w:hanging="249" w:hangingChars="104"/>
              <w:jc w:val="left"/>
              <w:textAlignment w:val="auto"/>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价格评分仅限于有效投标人，</w:t>
            </w:r>
            <w:r>
              <w:rPr>
                <w:rFonts w:hint="eastAsia" w:ascii="宋体" w:hAnsi="宋体" w:cs="宋体"/>
                <w:color w:val="000000" w:themeColor="text1"/>
                <w:sz w:val="24"/>
                <w:highlight w:val="none"/>
                <w14:textFill>
                  <w14:solidFill>
                    <w14:schemeClr w14:val="tx1"/>
                  </w14:solidFill>
                </w14:textFill>
              </w:rPr>
              <w:t>当价格分&lt;0时，取0。</w:t>
            </w:r>
          </w:p>
          <w:p>
            <w:pPr>
              <w:keepNext w:val="0"/>
              <w:keepLines w:val="0"/>
              <w:pageBreakBefore w:val="0"/>
              <w:widowControl w:val="0"/>
              <w:numPr>
                <w:ilvl w:val="0"/>
                <w:numId w:val="8"/>
              </w:numPr>
              <w:kinsoku/>
              <w:overflowPunct/>
              <w:topLinePunct w:val="0"/>
              <w:bidi w:val="0"/>
              <w:spacing w:line="360" w:lineRule="auto"/>
              <w:ind w:left="0" w:hanging="9"/>
              <w:jc w:val="left"/>
              <w:textAlignment w:val="auto"/>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highlight w:val="none"/>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keepNext w:val="0"/>
              <w:keepLines w:val="0"/>
              <w:pageBreakBefore w:val="0"/>
              <w:widowControl w:val="0"/>
              <w:kinsoku/>
              <w:overflowPunct/>
              <w:topLinePunct w:val="0"/>
              <w:bidi w:val="0"/>
              <w:spacing w:line="360" w:lineRule="auto"/>
              <w:jc w:val="left"/>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二、</w:t>
            </w:r>
            <w:r>
              <w:rPr>
                <w:rFonts w:hint="eastAsia" w:ascii="宋体" w:hAnsi="宋体" w:cs="宋体"/>
                <w:b/>
                <w:color w:val="000000" w:themeColor="text1"/>
                <w:sz w:val="24"/>
                <w:lang w:val="zh-CN"/>
                <w14:textFill>
                  <w14:solidFill>
                    <w14:schemeClr w14:val="tx1"/>
                  </w14:solidFill>
                </w14:textFill>
              </w:rPr>
              <w:t>商务部分</w:t>
            </w:r>
            <w:r>
              <w:rPr>
                <w:rFonts w:hint="eastAsia" w:ascii="宋体" w:hAnsi="宋体" w:cs="宋体"/>
                <w:b/>
                <w:color w:val="000000" w:themeColor="text1"/>
                <w:sz w:val="24"/>
                <w:highlight w:val="none"/>
                <w:lang w:val="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40</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07"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偿付能力</w:t>
            </w:r>
          </w:p>
        </w:tc>
        <w:tc>
          <w:tcPr>
            <w:tcW w:w="5907" w:type="dxa"/>
            <w:vAlign w:val="center"/>
          </w:tcPr>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（一）评审标准：根据投标人2024年度总行不良贷款率进行评分。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很好（n≤1%）：得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较好（1%＜n≤2%）：得</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一般（2%＜n≤3%）：得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差（n＞3%）：得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numPr>
                <w:ilvl w:val="-1"/>
                <w:numId w:val="0"/>
              </w:numPr>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）评审标准：根据投标人2024年度总行拨备覆盖率进行评分。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很好（n≥180%）：得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较好（150%≤n＜180%）：得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一般（120%≤n＜150%）：得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较差（100%≤n＜120%）：得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wordWrap w:val="0"/>
              <w:overflowPunct/>
              <w:topLinePunct w:val="0"/>
              <w:bidi w:val="0"/>
              <w:adjustRightInd w:val="0"/>
              <w:snapToGrid w:val="0"/>
              <w:spacing w:line="360" w:lineRule="auto"/>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很差（n＜100%）或不提供：不得分。</w:t>
            </w:r>
          </w:p>
          <w:p>
            <w:pPr>
              <w:pStyle w:val="2"/>
              <w:keepNext w:val="0"/>
              <w:keepLines w:val="0"/>
              <w:pageBreakBefore w:val="0"/>
              <w:widowControl w:val="0"/>
              <w:numPr>
                <w:ilvl w:val="0"/>
                <w:numId w:val="0"/>
              </w:numPr>
              <w:kinsoku/>
              <w:overflowPunct/>
              <w:topLinePunct w:val="0"/>
              <w:bidi w:val="0"/>
              <w:spacing w:line="360" w:lineRule="auto"/>
              <w:textAlignment w:val="auto"/>
              <w:rPr>
                <w:rFonts w:hint="eastAsia"/>
                <w:color w:val="000000" w:themeColor="text1"/>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）证明文件：投标人须提供2024年度年报摘要复印件或扫描件，原件备查，不提供或不能显示总行拨备覆盖率的不得分。</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资产质量</w:t>
            </w:r>
          </w:p>
        </w:tc>
        <w:tc>
          <w:tcPr>
            <w:tcW w:w="5907" w:type="dxa"/>
            <w:vAlign w:val="center"/>
          </w:tcPr>
          <w:p>
            <w:pPr>
              <w:keepNext w:val="0"/>
              <w:keepLines w:val="0"/>
              <w:pageBreakBefore w:val="0"/>
              <w:widowControl w:val="0"/>
              <w:numPr>
                <w:ilvl w:val="-1"/>
                <w:numId w:val="0"/>
              </w:numPr>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（一）评审标准：根据投标人2024年度总行一级资本充足率进行评分。</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很好（n≥18%）：得</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较好（12%≤n＜18%）：得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一般（10%≤n＜12%）：得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差（n＜10%）：得</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14:textFill>
                  <w14:solidFill>
                    <w14:schemeClr w14:val="tx1"/>
                  </w14:solidFill>
                </w14:textFill>
              </w:rPr>
              <w:t>）证明文件：投标人须提供2024年度年报摘要复印件或扫描件，原件备查，不提供或不能显示总行资本一级充足率的不得分。</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bookmarkStart w:id="56" w:name="OLE_LINK2"/>
            <w:r>
              <w:rPr>
                <w:rFonts w:hint="eastAsia" w:ascii="宋体" w:hAnsi="宋体" w:cs="宋体"/>
                <w:color w:val="000000" w:themeColor="text1"/>
                <w:sz w:val="24"/>
                <w:highlight w:val="none"/>
                <w:lang w:val="zh-CN"/>
                <w14:textFill>
                  <w14:solidFill>
                    <w14:schemeClr w14:val="tx1"/>
                  </w14:solidFill>
                </w14:textFill>
              </w:rPr>
              <w:t>评审委员打分</w:t>
            </w:r>
            <w:bookmarkEnd w:id="5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运营能力</w:t>
            </w:r>
          </w:p>
        </w:tc>
        <w:tc>
          <w:tcPr>
            <w:tcW w:w="5907" w:type="dxa"/>
            <w:vAlign w:val="center"/>
          </w:tcPr>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评审标准：</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本项目投标截止之日前，投标人在</w:t>
            </w:r>
            <w:r>
              <w:rPr>
                <w:rFonts w:hint="eastAsia" w:ascii="宋体" w:hAnsi="宋体" w:eastAsia="宋体" w:cs="宋体"/>
                <w:color w:val="000000" w:themeColor="text1"/>
                <w:sz w:val="24"/>
                <w:szCs w:val="24"/>
                <w:highlight w:val="none"/>
                <w:lang w:eastAsia="zh-CN"/>
                <w14:textFill>
                  <w14:solidFill>
                    <w14:schemeClr w14:val="tx1"/>
                  </w14:solidFill>
                </w14:textFill>
              </w:rPr>
              <w:t>前海合作</w:t>
            </w:r>
            <w:r>
              <w:rPr>
                <w:rFonts w:hint="eastAsia" w:ascii="宋体" w:hAnsi="宋体" w:eastAsia="宋体" w:cs="宋体"/>
                <w:color w:val="000000" w:themeColor="text1"/>
                <w:sz w:val="24"/>
                <w:szCs w:val="24"/>
                <w:highlight w:val="none"/>
                <w14:textFill>
                  <w14:solidFill>
                    <w14:schemeClr w14:val="tx1"/>
                  </w14:solidFill>
                </w14:textFill>
              </w:rPr>
              <w:t>区</w:t>
            </w:r>
            <w:r>
              <w:rPr>
                <w:rFonts w:hint="eastAsia" w:ascii="宋体" w:hAnsi="宋体" w:eastAsia="宋体" w:cs="宋体"/>
                <w:color w:val="000000" w:themeColor="text1"/>
                <w:sz w:val="24"/>
                <w:szCs w:val="24"/>
                <w:highlight w:val="none"/>
                <w:lang w:val="en-US" w:eastAsia="zh-CN"/>
                <w14:textFill>
                  <w14:solidFill>
                    <w14:schemeClr w14:val="tx1"/>
                  </w14:solidFill>
                </w14:textFill>
              </w:rPr>
              <w:t>为项目授信情况，</w:t>
            </w:r>
            <w:r>
              <w:rPr>
                <w:rFonts w:hint="eastAsia" w:ascii="宋体" w:hAnsi="宋体" w:eastAsia="宋体" w:cs="宋体"/>
                <w:color w:val="000000" w:themeColor="text1"/>
                <w:sz w:val="24"/>
                <w:szCs w:val="24"/>
                <w:highlight w:val="none"/>
                <w14:textFill>
                  <w14:solidFill>
                    <w14:schemeClr w14:val="tx1"/>
                  </w14:solidFill>
                </w14:textFill>
              </w:rPr>
              <w:t>按以下规则评分：</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银行在前海合作区内开具项目银行授信的数量，</w:t>
            </w:r>
            <w:r>
              <w:rPr>
                <w:rFonts w:hint="eastAsia" w:ascii="宋体" w:hAnsi="宋体" w:eastAsia="宋体" w:cs="宋体"/>
                <w:color w:val="000000" w:themeColor="text1"/>
                <w:sz w:val="24"/>
                <w:szCs w:val="24"/>
                <w:highlight w:val="none"/>
                <w:lang w:eastAsia="zh-CN"/>
                <w14:textFill>
                  <w14:solidFill>
                    <w14:schemeClr w14:val="tx1"/>
                  </w14:solidFill>
                </w14:textFill>
              </w:rPr>
              <w:t>开</w:t>
            </w:r>
            <w:r>
              <w:rPr>
                <w:rFonts w:hint="eastAsia" w:ascii="宋体" w:hAnsi="宋体" w:eastAsia="宋体" w:cs="宋体"/>
                <w:color w:val="000000" w:themeColor="text1"/>
                <w:sz w:val="24"/>
                <w:szCs w:val="24"/>
                <w:highlight w:val="none"/>
                <w:lang w:val="en-US" w:eastAsia="zh-CN"/>
                <w14:textFill>
                  <w14:solidFill>
                    <w14:schemeClr w14:val="tx1"/>
                  </w14:solidFill>
                </w14:textFill>
              </w:rPr>
              <w:t>具</w:t>
            </w:r>
            <w:r>
              <w:rPr>
                <w:rFonts w:hint="eastAsia" w:ascii="宋体" w:hAnsi="宋体" w:cs="宋体"/>
                <w:color w:val="000000" w:themeColor="text1"/>
                <w:sz w:val="24"/>
                <w:szCs w:val="24"/>
                <w:highlight w:val="none"/>
                <w:lang w:val="en-US" w:eastAsia="zh-CN"/>
                <w14:textFill>
                  <w14:solidFill>
                    <w14:schemeClr w14:val="tx1"/>
                  </w14:solidFill>
                </w14:textFill>
              </w:rPr>
              <w:t>一个</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本项目最多得5分</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评审标准： </w:t>
            </w:r>
          </w:p>
          <w:p>
            <w:pPr>
              <w:keepNext w:val="0"/>
              <w:keepLines w:val="0"/>
              <w:pageBreakBefore w:val="0"/>
              <w:widowControl w:val="0"/>
              <w:kinsoku/>
              <w:wordWrap w:val="0"/>
              <w:overflowPunct/>
              <w:topLinePunct w:val="0"/>
              <w:bidi w:val="0"/>
              <w:spacing w:line="360" w:lineRule="auto"/>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本项目投标截止之日前，投标人在</w:t>
            </w:r>
            <w:r>
              <w:rPr>
                <w:rFonts w:hint="eastAsia" w:ascii="宋体" w:hAnsi="宋体" w:eastAsia="宋体" w:cs="宋体"/>
                <w:color w:val="000000" w:themeColor="text1"/>
                <w:sz w:val="24"/>
                <w:szCs w:val="24"/>
                <w:highlight w:val="none"/>
                <w:lang w:eastAsia="zh-CN"/>
                <w14:textFill>
                  <w14:solidFill>
                    <w14:schemeClr w14:val="tx1"/>
                  </w14:solidFill>
                </w14:textFill>
              </w:rPr>
              <w:t>前海合作</w:t>
            </w:r>
            <w:r>
              <w:rPr>
                <w:rFonts w:hint="eastAsia" w:ascii="宋体" w:hAnsi="宋体" w:eastAsia="宋体" w:cs="宋体"/>
                <w:color w:val="000000" w:themeColor="text1"/>
                <w:sz w:val="24"/>
                <w:szCs w:val="24"/>
                <w:highlight w:val="none"/>
                <w14:textFill>
                  <w14:solidFill>
                    <w14:schemeClr w14:val="tx1"/>
                  </w14:solidFill>
                </w14:textFill>
              </w:rPr>
              <w:t>区有合法注册的营业网点（不含社区银行网点和自助柜员机网点）</w:t>
            </w:r>
            <w:r>
              <w:rPr>
                <w:rFonts w:hint="eastAsia" w:ascii="宋体" w:hAnsi="宋体" w:eastAsia="宋体" w:cs="宋体"/>
                <w:color w:val="000000" w:themeColor="text1"/>
                <w:sz w:val="24"/>
                <w:szCs w:val="24"/>
                <w:highlight w:val="none"/>
                <w:lang w:eastAsia="zh-CN"/>
                <w14:textFill>
                  <w14:solidFill>
                    <w14:schemeClr w14:val="tx1"/>
                  </w14:solidFill>
                </w14:textFill>
              </w:rPr>
              <w:t>，且承诺在接到采购人通知后</w:t>
            </w:r>
            <w:r>
              <w:rPr>
                <w:rFonts w:hint="eastAsia" w:ascii="宋体" w:hAnsi="宋体" w:eastAsia="宋体" w:cs="宋体"/>
                <w:color w:val="000000" w:themeColor="text1"/>
                <w:sz w:val="24"/>
                <w:szCs w:val="24"/>
                <w:highlight w:val="none"/>
                <w:lang w:val="en-US" w:eastAsia="zh-CN"/>
                <w14:textFill>
                  <w14:solidFill>
                    <w14:schemeClr w14:val="tx1"/>
                  </w14:solidFill>
                </w14:textFill>
              </w:rPr>
              <w:t>20</w:t>
            </w:r>
            <w:r>
              <w:rPr>
                <w:rFonts w:hint="eastAsia" w:ascii="宋体" w:hAnsi="宋体" w:eastAsia="宋体" w:cs="宋体"/>
                <w:color w:val="000000" w:themeColor="text1"/>
                <w:sz w:val="24"/>
                <w:szCs w:val="24"/>
                <w:highlight w:val="none"/>
                <w:lang w:eastAsia="zh-CN"/>
                <w14:textFill>
                  <w14:solidFill>
                    <w14:schemeClr w14:val="tx1"/>
                  </w14:solidFill>
                </w14:textFill>
              </w:rPr>
              <w:t>分钟(含)内到深圳市前海深港现代服务业合作区管理局响应采购人服务需求</w:t>
            </w:r>
            <w:r>
              <w:rPr>
                <w:rFonts w:hint="eastAsia" w:ascii="宋体" w:hAnsi="宋体" w:eastAsia="宋体" w:cs="宋体"/>
                <w:color w:val="000000" w:themeColor="text1"/>
                <w:sz w:val="24"/>
                <w:szCs w:val="24"/>
                <w:highlight w:val="none"/>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分</w:t>
            </w:r>
            <w:r>
              <w:rPr>
                <w:rFonts w:hint="eastAsia" w:ascii="宋体" w:hAnsi="宋体" w:eastAsia="宋体" w:cs="宋体"/>
                <w:color w:val="000000" w:themeColor="text1"/>
                <w:sz w:val="24"/>
                <w:szCs w:val="24"/>
                <w:highlight w:val="none"/>
                <w14:textFill>
                  <w14:solidFill>
                    <w14:schemeClr w14:val="tx1"/>
                  </w14:solidFill>
                </w14:textFill>
              </w:rPr>
              <w:t>，其它情况不得分。</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cs="宋体"/>
                <w:b w:val="0"/>
                <w:bCs/>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证明文件：</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证明文件：投标人须提供本项目投标截止之日前</w:t>
            </w:r>
            <w:r>
              <w:rPr>
                <w:rFonts w:hint="eastAsia" w:ascii="宋体" w:hAnsi="宋体" w:eastAsia="宋体" w:cs="宋体"/>
                <w:color w:val="000000" w:themeColor="text1"/>
                <w:sz w:val="24"/>
                <w:szCs w:val="24"/>
                <w:highlight w:val="none"/>
                <w:lang w:val="en-US" w:eastAsia="zh-CN"/>
                <w14:textFill>
                  <w14:solidFill>
                    <w14:schemeClr w14:val="tx1"/>
                  </w14:solidFill>
                </w14:textFill>
              </w:rPr>
              <w:t>银行授信证明</w:t>
            </w:r>
            <w:r>
              <w:rPr>
                <w:rFonts w:hint="eastAsia" w:ascii="宋体" w:hAnsi="宋体" w:eastAsia="宋体" w:cs="宋体"/>
                <w:color w:val="000000" w:themeColor="text1"/>
                <w:sz w:val="24"/>
                <w:szCs w:val="24"/>
                <w:highlight w:val="none"/>
                <w14:textFill>
                  <w14:solidFill>
                    <w14:schemeClr w14:val="tx1"/>
                  </w14:solidFill>
                </w14:textFill>
              </w:rPr>
              <w:t>摘要复印件或扫描件，不提供或不能显示</w:t>
            </w:r>
            <w:r>
              <w:rPr>
                <w:rFonts w:hint="eastAsia" w:ascii="宋体" w:hAnsi="宋体" w:eastAsia="宋体" w:cs="宋体"/>
                <w:color w:val="000000" w:themeColor="text1"/>
                <w:sz w:val="24"/>
                <w:szCs w:val="24"/>
                <w:highlight w:val="none"/>
                <w:lang w:val="en-US" w:eastAsia="zh-CN"/>
                <w14:textFill>
                  <w14:solidFill>
                    <w14:schemeClr w14:val="tx1"/>
                  </w14:solidFill>
                </w14:textFill>
              </w:rPr>
              <w:t>授信情况</w:t>
            </w:r>
            <w:r>
              <w:rPr>
                <w:rFonts w:hint="eastAsia" w:ascii="宋体" w:hAnsi="宋体" w:eastAsia="宋体" w:cs="宋体"/>
                <w:color w:val="000000" w:themeColor="text1"/>
                <w:sz w:val="24"/>
                <w:szCs w:val="24"/>
                <w:highlight w:val="none"/>
                <w14:textFill>
                  <w14:solidFill>
                    <w14:schemeClr w14:val="tx1"/>
                  </w14:solidFill>
                </w14:textFill>
              </w:rPr>
              <w:t>的不得分。投标人须在投标文件中就</w:t>
            </w:r>
            <w:r>
              <w:rPr>
                <w:rFonts w:hint="eastAsia" w:ascii="宋体" w:hAnsi="宋体" w:eastAsia="宋体" w:cs="宋体"/>
                <w:color w:val="000000" w:themeColor="text1"/>
                <w:sz w:val="24"/>
                <w:szCs w:val="24"/>
                <w:highlight w:val="none"/>
                <w:lang w:eastAsia="zh-CN"/>
                <w14:textFill>
                  <w14:solidFill>
                    <w14:schemeClr w14:val="tx1"/>
                  </w14:solidFill>
                </w14:textFill>
              </w:rPr>
              <w:t>前海合作区</w:t>
            </w:r>
            <w:r>
              <w:rPr>
                <w:rFonts w:hint="eastAsia" w:ascii="宋体" w:hAnsi="宋体" w:eastAsia="宋体" w:cs="宋体"/>
                <w:color w:val="000000" w:themeColor="text1"/>
                <w:sz w:val="24"/>
                <w:szCs w:val="24"/>
                <w:highlight w:val="none"/>
                <w14:textFill>
                  <w14:solidFill>
                    <w14:schemeClr w14:val="tx1"/>
                  </w14:solidFill>
                </w14:textFill>
              </w:rPr>
              <w:t>内</w:t>
            </w:r>
            <w:r>
              <w:rPr>
                <w:rFonts w:hint="eastAsia" w:ascii="宋体" w:hAnsi="宋体" w:eastAsia="宋体" w:cs="宋体"/>
                <w:color w:val="000000" w:themeColor="text1"/>
                <w:sz w:val="24"/>
                <w:szCs w:val="24"/>
                <w:highlight w:val="none"/>
                <w:lang w:eastAsia="zh-CN"/>
                <w14:textFill>
                  <w14:solidFill>
                    <w14:schemeClr w14:val="tx1"/>
                  </w14:solidFill>
                </w14:textFill>
              </w:rPr>
              <w:t>有</w:t>
            </w:r>
            <w:r>
              <w:rPr>
                <w:rFonts w:hint="eastAsia" w:ascii="宋体" w:hAnsi="宋体" w:eastAsia="宋体" w:cs="宋体"/>
                <w:color w:val="000000" w:themeColor="text1"/>
                <w:sz w:val="24"/>
                <w:szCs w:val="24"/>
                <w:highlight w:val="none"/>
                <w14:textFill>
                  <w14:solidFill>
                    <w14:schemeClr w14:val="tx1"/>
                  </w14:solidFill>
                </w14:textFill>
              </w:rPr>
              <w:t>营业网点进行说明，提供营业网点列表</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或出具中标后提供</w:t>
            </w:r>
            <w:r>
              <w:rPr>
                <w:rFonts w:hint="eastAsia" w:ascii="宋体" w:hAnsi="宋体" w:eastAsia="宋体" w:cs="宋体"/>
                <w:color w:val="000000" w:themeColor="text1"/>
                <w:sz w:val="24"/>
                <w:szCs w:val="24"/>
                <w:highlight w:val="none"/>
                <w14:textFill>
                  <w14:solidFill>
                    <w14:schemeClr w14:val="tx1"/>
                  </w14:solidFill>
                </w14:textFill>
              </w:rPr>
              <w:t>营业网点</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的承诺函，格式自定</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扫描件，原件备查。</w:t>
            </w:r>
            <w:r>
              <w:rPr>
                <w:rFonts w:hint="eastAsia" w:ascii="宋体" w:hAnsi="宋体" w:eastAsia="宋体" w:cs="宋体"/>
                <w:color w:val="000000" w:themeColor="text1"/>
                <w:sz w:val="24"/>
                <w:szCs w:val="24"/>
                <w14:textFill>
                  <w14:solidFill>
                    <w14:schemeClr w14:val="tx1"/>
                  </w14:solidFill>
                </w14:textFill>
              </w:rPr>
              <w:t>服务响应时间提供服务响应时间承诺</w:t>
            </w:r>
            <w:r>
              <w:rPr>
                <w:rFonts w:hint="eastAsia" w:ascii="宋体" w:hAnsi="宋体" w:eastAsia="宋体" w:cs="宋体"/>
                <w:color w:val="000000" w:themeColor="text1"/>
                <w:sz w:val="24"/>
                <w:szCs w:val="24"/>
                <w:lang w:val="en-US" w:eastAsia="zh-CN"/>
                <w14:textFill>
                  <w14:solidFill>
                    <w14:schemeClr w14:val="tx1"/>
                  </w14:solidFill>
                </w14:textFill>
              </w:rPr>
              <w:t>函</w:t>
            </w:r>
            <w:r>
              <w:rPr>
                <w:rFonts w:hint="eastAsia" w:ascii="宋体" w:hAnsi="宋体" w:eastAsia="宋体" w:cs="宋体"/>
                <w:color w:val="000000" w:themeColor="text1"/>
                <w:sz w:val="24"/>
                <w:szCs w:val="24"/>
                <w14:textFill>
                  <w14:solidFill>
                    <w14:schemeClr w14:val="tx1"/>
                  </w14:solidFill>
                </w14:textFill>
              </w:rPr>
              <w:t>(格式自定)</w:t>
            </w:r>
            <w:r>
              <w:rPr>
                <w:rFonts w:hint="eastAsia" w:ascii="宋体" w:hAnsi="宋体" w:eastAsia="宋体" w:cs="宋体"/>
                <w:color w:val="000000" w:themeColor="text1"/>
                <w:sz w:val="24"/>
                <w:szCs w:val="24"/>
                <w:lang w:val="en-US"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备注：评分中出现无证明资料或专家无法凭所提供资料判断是否得分的情况，一律作不得分处理。</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10</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内部控制水平</w:t>
            </w:r>
          </w:p>
        </w:tc>
        <w:tc>
          <w:tcPr>
            <w:tcW w:w="5907" w:type="dxa"/>
            <w:vAlign w:val="center"/>
          </w:tcPr>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评审标准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提供服务方案包括以下内容：</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1.建立健全内部控制制度；</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2.对营业网点的业务指导和管理监督；</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3.代理银行的服务体系；</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4.保密管理规定</w:t>
            </w:r>
            <w:r>
              <w:rPr>
                <w:rFonts w:hint="eastAsia" w:ascii="宋体" w:hAnsi="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证明文件</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1.考察以上方案，每满足一个方面内容得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分，全部满足得</w:t>
            </w:r>
            <w:r>
              <w:rPr>
                <w:rFonts w:hint="eastAsia" w:ascii="宋体" w:hAnsi="宋体" w:cs="宋体"/>
                <w:color w:val="000000" w:themeColor="text1"/>
                <w:sz w:val="24"/>
                <w:szCs w:val="24"/>
                <w:highlight w:val="none"/>
                <w:lang w:val="en-US" w:eastAsia="zh-CN"/>
                <w14:textFill>
                  <w14:solidFill>
                    <w14:schemeClr w14:val="tx1"/>
                  </w14:solidFill>
                </w14:textFill>
              </w:rPr>
              <w:t>8</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2.在此基础上，专家根据各供应商的具体响应内容按照量化的评审因素指标进一步评审：</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①评审为优（提供完整服务方案的）的，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②评审为良（提供较为完整的服务方案）的，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③评审为中（提供的服务方案一般）的，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④评审为差（未提供服务方案或提供的方案不合理）的，不加分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⑤如评审为差，评审专家须书面说明理由，并记录在档。</w:t>
            </w:r>
          </w:p>
        </w:tc>
        <w:tc>
          <w:tcPr>
            <w:tcW w:w="901" w:type="dxa"/>
            <w:vAlign w:val="center"/>
          </w:tcPr>
          <w:p>
            <w:pPr>
              <w:keepNext w:val="0"/>
              <w:keepLines w:val="0"/>
              <w:pageBreakBefore w:val="0"/>
              <w:widowControl w:val="0"/>
              <w:kinsoku/>
              <w:overflowPunct/>
              <w:topLinePunct w:val="0"/>
              <w:bidi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14</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ins w:id="0" w:author="YDZB" w:date="2025-12-08T17:17:09Z"/>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5</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b/>
                <w:color w:val="000000" w:themeColor="text1"/>
                <w:sz w:val="24"/>
                <w:highlight w:val="none"/>
                <w:lang w:val="zh-CN"/>
                <w14:textFill>
                  <w14:solidFill>
                    <w14:schemeClr w14:val="tx1"/>
                  </w14:solidFill>
                </w14:textFill>
              </w:rPr>
            </w:pPr>
            <w:r>
              <w:rPr>
                <w:rFonts w:hint="eastAsia" w:ascii="宋体" w:hAnsi="宋体" w:cs="宋体"/>
                <w:b/>
                <w:color w:val="000000" w:themeColor="text1"/>
                <w:sz w:val="24"/>
                <w:highlight w:val="none"/>
                <w:lang w:val="zh-CN"/>
                <w14:textFill>
                  <w14:solidFill>
                    <w14:schemeClr w14:val="tx1"/>
                  </w14:solidFill>
                </w14:textFill>
              </w:rPr>
              <w:t>三、</w:t>
            </w:r>
            <w:r>
              <w:rPr>
                <w:rFonts w:hint="eastAsia" w:ascii="宋体" w:hAnsi="宋体" w:cs="宋体"/>
                <w:b/>
                <w:color w:val="000000" w:themeColor="text1"/>
                <w:sz w:val="24"/>
                <w:lang w:val="zh-CN"/>
                <w14:textFill>
                  <w14:solidFill>
                    <w14:schemeClr w14:val="tx1"/>
                  </w14:solidFill>
                </w14:textFill>
              </w:rPr>
              <w:t>技术部分</w:t>
            </w:r>
            <w:r>
              <w:rPr>
                <w:rFonts w:hint="eastAsia" w:ascii="宋体" w:hAnsi="宋体" w:cs="宋体"/>
                <w:b/>
                <w:color w:val="000000" w:themeColor="text1"/>
                <w:sz w:val="24"/>
                <w:highlight w:val="none"/>
                <w:lang w:val="zh-CN"/>
                <w14:textFill>
                  <w14:solidFill>
                    <w14:schemeClr w14:val="tx1"/>
                  </w14:solidFill>
                </w14:textFill>
              </w:rPr>
              <w:t>（</w:t>
            </w:r>
            <w:r>
              <w:rPr>
                <w:rFonts w:hint="eastAsia" w:ascii="宋体" w:hAnsi="宋体" w:cs="宋体"/>
                <w:b/>
                <w:color w:val="000000" w:themeColor="text1"/>
                <w:sz w:val="24"/>
                <w:highlight w:val="none"/>
                <w:lang w:val="en-US" w:eastAsia="zh-CN"/>
                <w14:textFill>
                  <w14:solidFill>
                    <w14:schemeClr w14:val="tx1"/>
                  </w14:solidFill>
                </w14:textFill>
              </w:rPr>
              <w:t>50</w:t>
            </w:r>
            <w:r>
              <w:rPr>
                <w:rFonts w:hint="eastAsia" w:ascii="宋体" w:hAnsi="宋体" w:cs="宋体"/>
                <w:b/>
                <w:color w:val="000000" w:themeColor="text1"/>
                <w:sz w:val="24"/>
                <w:highlight w:val="none"/>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序号</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内容</w:t>
            </w:r>
          </w:p>
        </w:tc>
        <w:tc>
          <w:tcPr>
            <w:tcW w:w="5907"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评分规则</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权重</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系统建设投入方案</w:t>
            </w:r>
          </w:p>
        </w:tc>
        <w:tc>
          <w:tcPr>
            <w:tcW w:w="5907" w:type="dxa"/>
            <w:vAlign w:val="center"/>
          </w:tcPr>
          <w:p>
            <w:pPr>
              <w:keepNext w:val="0"/>
              <w:keepLines w:val="0"/>
              <w:pageBreakBefore w:val="0"/>
              <w:widowControl w:val="0"/>
              <w:kinsoku/>
              <w:overflowPunct/>
              <w:topLinePunct w:val="0"/>
              <w:bidi w:val="0"/>
              <w:spacing w:line="360" w:lineRule="auto"/>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（一）评审标准</w:t>
            </w:r>
          </w:p>
          <w:p>
            <w:pPr>
              <w:keepNext w:val="0"/>
              <w:keepLines w:val="0"/>
              <w:pageBreakBefore w:val="0"/>
              <w:widowControl w:val="0"/>
              <w:kinsoku/>
              <w:overflowPunct/>
              <w:topLinePunct w:val="0"/>
              <w:bidi w:val="0"/>
              <w:spacing w:line="360" w:lineRule="auto"/>
              <w:ind w:firstLine="0" w:firstLineChars="0"/>
              <w:jc w:val="left"/>
              <w:textAlignment w:val="auto"/>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建立与深圳市智慧财政非税收入征管系统相适应的非税收入征管代理银行管理软件系统，其相关功能需满足非税收入征管改革的业务需要。</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提供系统建设投入方案包括以下内容：</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1.相关系统功能开发（包括基础数据管理、接收支付额度信息、财政零余额支付、预算单位零余额支付、对账要求、异常处理）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2.技术要求（包括与智慧财政系统互联互通、零余额账户资金动态监测功能、资金汇划系统、异常处理）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3.系统、网络异常和安全应急方案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b w:val="0"/>
                <w:bCs/>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（二）证明文件</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1.考察以上方案，每满足一个方面内容得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分，全部满足得</w:t>
            </w:r>
            <w:r>
              <w:rPr>
                <w:rFonts w:hint="eastAsia" w:ascii="宋体" w:hAnsi="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2.在此基础上，专家根据各供应商的具体响应内容按照量化的评审因素指标进一步评审：</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①评审为优（提供完整系统建设投入方案的）的，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②评审为良（提供较为完整系统建设投入方案）的，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③评审为中（提供的系统建设投入方案一般）的，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④评审为差（未提供系统建设投入方案或投入方案不合理）的，不</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⑤如评审为差，评审专家须书面说明理由，并记录在档。</w:t>
            </w:r>
          </w:p>
        </w:tc>
        <w:tc>
          <w:tcPr>
            <w:tcW w:w="901" w:type="dxa"/>
            <w:vAlign w:val="center"/>
          </w:tcPr>
          <w:p>
            <w:pPr>
              <w:keepNext w:val="0"/>
              <w:keepLines w:val="0"/>
              <w:pageBreakBefore w:val="0"/>
              <w:widowControl w:val="0"/>
              <w:kinsoku/>
              <w:overflowPunct/>
              <w:topLinePunct w:val="0"/>
              <w:bidi w:val="0"/>
              <w:spacing w:line="360" w:lineRule="auto"/>
              <w:jc w:val="center"/>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15</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2</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eastAsia="zh-CN"/>
                <w14:textFill>
                  <w14:solidFill>
                    <w14:schemeClr w14:val="tx1"/>
                  </w14:solidFill>
                </w14:textFill>
              </w:rPr>
              <w:t>财政服务履约</w:t>
            </w:r>
            <w:r>
              <w:rPr>
                <w:rFonts w:hint="eastAsia" w:ascii="宋体" w:hAnsi="宋体" w:eastAsia="宋体" w:cs="宋体"/>
                <w:color w:val="000000" w:themeColor="text1"/>
                <w:sz w:val="24"/>
                <w:highlight w:val="none"/>
                <w:lang w:val="zh-CN"/>
                <w14:textFill>
                  <w14:solidFill>
                    <w14:schemeClr w14:val="tx1"/>
                  </w14:solidFill>
                </w14:textFill>
              </w:rPr>
              <w:t>情况</w:t>
            </w:r>
          </w:p>
        </w:tc>
        <w:tc>
          <w:tcPr>
            <w:tcW w:w="5907" w:type="dxa"/>
            <w:vAlign w:val="top"/>
          </w:tcPr>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（一）评分内容：</w:t>
            </w:r>
          </w:p>
          <w:p>
            <w:pPr>
              <w:keepNext w:val="0"/>
              <w:keepLines w:val="0"/>
              <w:pageBreakBefore w:val="0"/>
              <w:widowControl w:val="0"/>
              <w:kinsoku/>
              <w:overflowPunct/>
              <w:topLinePunct w:val="0"/>
              <w:bidi w:val="0"/>
              <w:spacing w:line="360" w:lineRule="auto"/>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投标人在本项目开标之日前与副省级以上城市（含计划单列市）签订</w:t>
            </w:r>
            <w:r>
              <w:rPr>
                <w:rFonts w:hint="eastAsia" w:ascii="宋体" w:hAnsi="宋体" w:eastAsia="宋体" w:cs="宋体"/>
                <w:color w:val="000000" w:themeColor="text1"/>
                <w:sz w:val="24"/>
                <w:szCs w:val="24"/>
                <w:highlight w:val="none"/>
                <w:lang w:val="en-US" w:eastAsia="zh-CN"/>
                <w14:textFill>
                  <w14:solidFill>
                    <w14:schemeClr w14:val="tx1"/>
                  </w14:solidFill>
                </w14:textFill>
              </w:rPr>
              <w:t>区级</w:t>
            </w:r>
            <w:r>
              <w:rPr>
                <w:rFonts w:hint="eastAsia" w:ascii="宋体" w:hAnsi="宋体" w:eastAsia="宋体" w:cs="宋体"/>
                <w:color w:val="000000" w:themeColor="text1"/>
                <w:sz w:val="24"/>
                <w:szCs w:val="24"/>
                <w:highlight w:val="none"/>
                <w14:textFill>
                  <w14:solidFill>
                    <w14:schemeClr w14:val="tx1"/>
                  </w14:solidFill>
                </w14:textFill>
              </w:rPr>
              <w:t>或以上国库</w:t>
            </w:r>
            <w:r>
              <w:rPr>
                <w:rFonts w:hint="eastAsia" w:ascii="宋体" w:hAnsi="宋体" w:cs="宋体"/>
                <w:color w:val="000000" w:themeColor="text1"/>
                <w:sz w:val="24"/>
                <w:szCs w:val="24"/>
                <w:highlight w:val="none"/>
                <w:lang w:val="en-US" w:eastAsia="zh-CN"/>
                <w14:textFill>
                  <w14:solidFill>
                    <w14:schemeClr w14:val="tx1"/>
                  </w14:solidFill>
                </w14:textFill>
              </w:rPr>
              <w:t>非税收入</w:t>
            </w:r>
            <w:r>
              <w:rPr>
                <w:rFonts w:hint="eastAsia" w:ascii="宋体" w:hAnsi="宋体" w:eastAsia="宋体" w:cs="宋体"/>
                <w:color w:val="000000" w:themeColor="text1"/>
                <w:sz w:val="24"/>
                <w:szCs w:val="24"/>
                <w:highlight w:val="none"/>
                <w14:textFill>
                  <w14:solidFill>
                    <w14:schemeClr w14:val="tx1"/>
                  </w14:solidFill>
                </w14:textFill>
              </w:rPr>
              <w:t>代理银行协议的得</w:t>
            </w:r>
            <w:r>
              <w:rPr>
                <w:rFonts w:hint="eastAsia" w:ascii="宋体" w:hAnsi="宋体" w:cs="宋体"/>
                <w:color w:val="000000" w:themeColor="text1"/>
                <w:sz w:val="24"/>
                <w:szCs w:val="24"/>
                <w:highlight w:val="non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14:textFill>
                  <w14:solidFill>
                    <w14:schemeClr w14:val="tx1"/>
                  </w14:solidFill>
                </w14:textFill>
              </w:rPr>
              <w:t>分，该项满分为</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（二）评分依据：</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要求投标人提供相关证明资料加盖公章（如财政部门出具的证明书或政府采购实施机构出具的中标通知书或与财政部门签订的服务协议等）扫描件（原件备查）作为得分依据，协议涉及保密问题的，可以提供含协议名称、签署方、有效期等信息的关键页即可。评分中出现无证明资料或专家无法凭所提供资料判断是否得分的情况，一律作不得分处理。</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cs="宋体"/>
                <w:color w:val="000000" w:themeColor="text1"/>
                <w:sz w:val="24"/>
                <w:highlight w:val="none"/>
                <w:lang w:val="en-US" w:eastAsia="zh-CN"/>
                <w14:textFill>
                  <w14:solidFill>
                    <w14:schemeClr w14:val="tx1"/>
                  </w14:solidFill>
                </w14:textFill>
              </w:rPr>
              <w:t>5</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3</w:t>
            </w:r>
          </w:p>
        </w:tc>
        <w:tc>
          <w:tcPr>
            <w:tcW w:w="1168" w:type="dxa"/>
            <w:vAlign w:val="center"/>
          </w:tcPr>
          <w:p>
            <w:pPr>
              <w:keepNext w:val="0"/>
              <w:keepLines w:val="0"/>
              <w:pageBreakBefore w:val="0"/>
              <w:widowControl w:val="0"/>
              <w:kinsoku/>
              <w:overflowPunct/>
              <w:topLinePunct w:val="0"/>
              <w:bidi w:val="0"/>
              <w:spacing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对账、分账核算服务</w:t>
            </w:r>
          </w:p>
        </w:tc>
        <w:tc>
          <w:tcPr>
            <w:tcW w:w="5907" w:type="dxa"/>
            <w:vAlign w:val="center"/>
          </w:tcPr>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评审标准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提供服务方案包括以下内容：</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对账服务</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方案</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分账核算</w:t>
            </w:r>
            <w:r>
              <w:rPr>
                <w:rFonts w:hint="eastAsia" w:ascii="宋体" w:hAnsi="宋体" w:cs="宋体"/>
                <w:color w:val="000000" w:themeColor="text1"/>
                <w:kern w:val="2"/>
                <w:sz w:val="24"/>
                <w:szCs w:val="24"/>
                <w:highlight w:val="none"/>
                <w:lang w:val="en-US" w:eastAsia="zh-CN" w:bidi="ar-SA"/>
                <w14:textFill>
                  <w14:solidFill>
                    <w14:schemeClr w14:val="tx1"/>
                  </w14:solidFill>
                </w14:textFill>
              </w:rPr>
              <w:t>服务方案；</w:t>
            </w:r>
          </w:p>
          <w:p>
            <w:pPr>
              <w:keepNext w:val="0"/>
              <w:keepLines w:val="0"/>
              <w:pageBreakBefore w:val="0"/>
              <w:widowControl w:val="0"/>
              <w:kinsoku/>
              <w:overflowPunct/>
              <w:topLinePunct w:val="0"/>
              <w:bidi w:val="0"/>
              <w:spacing w:line="360" w:lineRule="auto"/>
              <w:jc w:val="left"/>
              <w:textAlignment w:val="auto"/>
              <w:rPr>
                <w:rFonts w:hint="eastAsia" w:ascii="宋体" w:hAnsi="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对账单和报表送达服务时间；</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服务本项目的人员管理（包括人员配置、职责、交接等）</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证明文件</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1.考察以上方案，每满足一个方面内容得</w:t>
            </w:r>
            <w:r>
              <w:rPr>
                <w:rFonts w:hint="eastAsia" w:ascii="宋体" w:hAnsi="宋体" w:cs="宋体"/>
                <w:color w:val="000000" w:themeColor="text1"/>
                <w:sz w:val="24"/>
                <w:szCs w:val="24"/>
                <w:highlight w:val="none"/>
                <w:lang w:val="en-US" w:eastAsia="zh-CN"/>
                <w14:textFill>
                  <w14:solidFill>
                    <w14:schemeClr w14:val="tx1"/>
                  </w14:solidFill>
                </w14:textFill>
              </w:rPr>
              <w:t>2.5</w:t>
            </w:r>
            <w:r>
              <w:rPr>
                <w:rFonts w:hint="eastAsia" w:ascii="宋体" w:hAnsi="宋体" w:eastAsia="宋体" w:cs="宋体"/>
                <w:color w:val="000000" w:themeColor="text1"/>
                <w:sz w:val="24"/>
                <w:szCs w:val="24"/>
                <w:highlight w:val="none"/>
                <w14:textFill>
                  <w14:solidFill>
                    <w14:schemeClr w14:val="tx1"/>
                  </w14:solidFill>
                </w14:textFill>
              </w:rPr>
              <w:t>分，全部满足得</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14:textFill>
                  <w14:solidFill>
                    <w14:schemeClr w14:val="tx1"/>
                  </w14:solidFill>
                </w14:textFill>
              </w:rPr>
              <w:t>分。</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2.在此基础上，专家根据各供应商的具体响应内容按照量化的评审因素指标进一步评审：</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①评审为优（提供完整服务方案的）的，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②评审为良（提供较为完整的服务方案）的，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③评审为中（提供的服务方案一般）的，</w:t>
            </w:r>
            <w:r>
              <w:rPr>
                <w:rFonts w:hint="eastAsia" w:ascii="宋体" w:hAnsi="宋体" w:eastAsia="宋体" w:cs="宋体"/>
                <w:color w:val="000000" w:themeColor="text1"/>
                <w:sz w:val="24"/>
                <w:szCs w:val="24"/>
                <w:highlight w:val="none"/>
                <w:lang w:eastAsia="zh-CN"/>
                <w14:textFill>
                  <w14:solidFill>
                    <w14:schemeClr w14:val="tx1"/>
                  </w14:solidFill>
                </w14:textFill>
              </w:rPr>
              <w:t>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overflowPunct/>
              <w:topLinePunct w:val="0"/>
              <w:bidi w:val="0"/>
              <w:spacing w:line="360" w:lineRule="auto"/>
              <w:jc w:val="left"/>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④评审为差（未提供服务方案或提供的方案不合理）的，不加分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val="0"/>
              <w:overflowPunct/>
              <w:topLinePunct w:val="0"/>
              <w:bidi w:val="0"/>
              <w:spacing w:line="360" w:lineRule="auto"/>
              <w:jc w:val="center"/>
              <w:textAlignment w:val="auto"/>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⑤如评审为差，评审专家须书面说明理由，并记录在档。</w:t>
            </w:r>
          </w:p>
        </w:tc>
        <w:tc>
          <w:tcPr>
            <w:tcW w:w="901"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kern w:val="2"/>
                <w:sz w:val="24"/>
                <w:szCs w:val="24"/>
                <w:highlight w:val="none"/>
                <w:lang w:val="en-US" w:eastAsia="zh-CN" w:bidi="ar-SA"/>
                <w14:textFill>
                  <w14:solidFill>
                    <w14:schemeClr w14:val="tx1"/>
                  </w14:solidFill>
                </w14:textFill>
              </w:rPr>
              <w:t>14</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default"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4</w:t>
            </w:r>
          </w:p>
        </w:tc>
        <w:tc>
          <w:tcPr>
            <w:tcW w:w="1168"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拟派项目团队成员情况</w:t>
            </w:r>
          </w:p>
        </w:tc>
        <w:tc>
          <w:tcPr>
            <w:tcW w:w="5907" w:type="dxa"/>
            <w:vAlign w:val="center"/>
          </w:tcPr>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（一）</w:t>
            </w:r>
            <w:r>
              <w:rPr>
                <w:rFonts w:hint="eastAsia" w:ascii="宋体" w:hAnsi="宋体" w:eastAsia="宋体" w:cs="宋体"/>
                <w:color w:val="000000" w:themeColor="text1"/>
                <w:sz w:val="24"/>
                <w:szCs w:val="24"/>
                <w:highlight w:val="none"/>
                <w14:textFill>
                  <w14:solidFill>
                    <w14:schemeClr w14:val="tx1"/>
                  </w14:solidFill>
                </w14:textFill>
              </w:rPr>
              <w:t>评审标准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 xml:space="preserve">需为本项目安排 </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名（含）以上项目团队成员。在满足上述条件的基础上，</w:t>
            </w:r>
            <w:r>
              <w:rPr>
                <w:rFonts w:hint="eastAsia" w:ascii="宋体" w:hAnsi="宋体" w:eastAsia="宋体" w:cs="宋体"/>
                <w:b/>
                <w:bCs/>
                <w:color w:val="000000" w:themeColor="text1"/>
                <w:sz w:val="24"/>
                <w:szCs w:val="24"/>
                <w:highlight w:val="none"/>
                <w:lang w:eastAsia="zh-CN"/>
                <w14:textFill>
                  <w14:solidFill>
                    <w14:schemeClr w14:val="tx1"/>
                  </w14:solidFill>
                </w14:textFill>
              </w:rPr>
              <w:t>选派</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1人</w:t>
            </w:r>
            <w:r>
              <w:rPr>
                <w:rFonts w:hint="eastAsia" w:ascii="宋体" w:hAnsi="宋体" w:cs="宋体"/>
                <w:b/>
                <w:bCs/>
                <w:color w:val="000000" w:themeColor="text1"/>
                <w:sz w:val="24"/>
                <w:szCs w:val="24"/>
                <w:highlight w:val="none"/>
                <w:lang w:val="en-US" w:eastAsia="zh-CN"/>
                <w14:textFill>
                  <w14:solidFill>
                    <w14:schemeClr w14:val="tx1"/>
                  </w14:solidFill>
                </w14:textFill>
              </w:rPr>
              <w:t>驻场</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提供服务。</w:t>
            </w:r>
            <w:r>
              <w:rPr>
                <w:rFonts w:hint="eastAsia" w:ascii="宋体" w:hAnsi="宋体" w:eastAsia="宋体" w:cs="宋体"/>
                <w:color w:val="000000" w:themeColor="text1"/>
                <w:sz w:val="24"/>
                <w:szCs w:val="24"/>
                <w:highlight w:val="none"/>
                <w14:textFill>
                  <w14:solidFill>
                    <w14:schemeClr w14:val="tx1"/>
                  </w14:solidFill>
                </w14:textFill>
              </w:rPr>
              <w:t>按以下规则评分：</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团队中每具有一个本科（或以上）学历且专业为经济（或金融或计算机或会计专业类别）的成员得</w:t>
            </w:r>
            <w:r>
              <w:rPr>
                <w:rFonts w:hint="eastAsia" w:ascii="宋体" w:hAnsi="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分，本项最高得</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选派</w:t>
            </w:r>
            <w:r>
              <w:rPr>
                <w:rFonts w:hint="eastAsia" w:ascii="宋体" w:hAnsi="宋体" w:cs="宋体"/>
                <w:color w:val="000000" w:themeColor="text1"/>
                <w:sz w:val="24"/>
                <w:szCs w:val="24"/>
                <w:lang w:val="en-US" w:eastAsia="zh-CN"/>
                <w14:textFill>
                  <w14:solidFill>
                    <w14:schemeClr w14:val="tx1"/>
                  </w14:solidFill>
                </w14:textFill>
              </w:rPr>
              <w:t>其中</w:t>
            </w:r>
            <w:r>
              <w:rPr>
                <w:rFonts w:hint="eastAsia" w:ascii="宋体" w:hAnsi="宋体" w:eastAsia="宋体" w:cs="宋体"/>
                <w:color w:val="000000" w:themeColor="text1"/>
                <w:sz w:val="24"/>
                <w:szCs w:val="24"/>
                <w:lang w:val="en-US" w:eastAsia="zh-CN"/>
                <w14:textFill>
                  <w14:solidFill>
                    <w14:schemeClr w14:val="tx1"/>
                  </w14:solidFill>
                </w14:textFill>
              </w:rPr>
              <w:t>1人</w:t>
            </w:r>
            <w:r>
              <w:rPr>
                <w:rFonts w:hint="eastAsia" w:ascii="宋体" w:hAnsi="宋体" w:cs="宋体"/>
                <w:color w:val="000000" w:themeColor="text1"/>
                <w:sz w:val="24"/>
                <w:szCs w:val="24"/>
                <w:lang w:val="en-US" w:eastAsia="zh-CN"/>
                <w14:textFill>
                  <w14:solidFill>
                    <w14:schemeClr w14:val="tx1"/>
                  </w14:solidFill>
                </w14:textFill>
              </w:rPr>
              <w:t>驻场</w:t>
            </w:r>
            <w:r>
              <w:rPr>
                <w:rFonts w:hint="eastAsia" w:ascii="宋体" w:hAnsi="宋体" w:eastAsia="宋体" w:cs="宋体"/>
                <w:color w:val="000000" w:themeColor="text1"/>
                <w:sz w:val="24"/>
                <w:szCs w:val="24"/>
                <w:lang w:val="en-US" w:eastAsia="zh-CN"/>
                <w14:textFill>
                  <w14:solidFill>
                    <w14:schemeClr w14:val="tx1"/>
                  </w14:solidFill>
                </w14:textFill>
              </w:rPr>
              <w:t>驻点</w:t>
            </w:r>
            <w:r>
              <w:rPr>
                <w:rFonts w:hint="eastAsia" w:ascii="宋体" w:hAnsi="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3分，最高</w:t>
            </w:r>
            <w:r>
              <w:rPr>
                <w:rFonts w:hint="eastAsia" w:ascii="宋体" w:hAnsi="宋体" w:cs="宋体"/>
                <w:color w:val="000000" w:themeColor="text1"/>
                <w:sz w:val="24"/>
                <w:szCs w:val="24"/>
                <w:lang w:val="en-US" w:eastAsia="zh-CN"/>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3分</w:t>
            </w:r>
            <w:r>
              <w:rPr>
                <w:rFonts w:hint="eastAsia" w:ascii="宋体" w:hAnsi="宋体" w:eastAsia="宋体" w:cs="宋体"/>
                <w:color w:val="000000" w:themeColor="text1"/>
                <w:sz w:val="24"/>
                <w:szCs w:val="24"/>
                <w:highlight w:val="none"/>
                <w14:textFill>
                  <w14:solidFill>
                    <w14:schemeClr w14:val="tx1"/>
                  </w14:solidFill>
                </w14:textFill>
              </w:rPr>
              <w:t>。</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二</w:t>
            </w:r>
            <w:r>
              <w:rPr>
                <w:rFonts w:hint="eastAsia" w:ascii="宋体" w:hAnsi="宋体" w:eastAsia="宋体" w:cs="宋体"/>
                <w:b w:val="0"/>
                <w:bCs/>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证明文件：</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项目团队人员均须为</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自有员工，</w:t>
            </w:r>
            <w:r>
              <w:rPr>
                <w:rFonts w:hint="eastAsia" w:ascii="宋体" w:hAnsi="宋体" w:cs="宋体"/>
                <w:color w:val="000000" w:themeColor="text1"/>
                <w:sz w:val="24"/>
                <w:szCs w:val="24"/>
                <w:highlight w:val="none"/>
                <w:lang w:eastAsia="zh-CN"/>
                <w14:textFill>
                  <w14:solidFill>
                    <w14:schemeClr w14:val="tx1"/>
                  </w14:solidFill>
                </w14:textFill>
              </w:rPr>
              <w:t>响应</w:t>
            </w:r>
            <w:r>
              <w:rPr>
                <w:rFonts w:hint="eastAsia" w:ascii="宋体" w:hAnsi="宋体" w:eastAsia="宋体" w:cs="宋体"/>
                <w:color w:val="000000" w:themeColor="text1"/>
                <w:sz w:val="24"/>
                <w:szCs w:val="24"/>
                <w:highlight w:val="none"/>
                <w14:textFill>
                  <w14:solidFill>
                    <w14:schemeClr w14:val="tx1"/>
                  </w14:solidFill>
                </w14:textFill>
              </w:rPr>
              <w:t>时须提供</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近三个月任意一个月为拟投入的项目团队人员缴交的社保证明</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及劳动合同</w:t>
            </w:r>
            <w:r>
              <w:rPr>
                <w:rFonts w:hint="eastAsia" w:ascii="宋体" w:hAnsi="宋体" w:eastAsia="宋体" w:cs="宋体"/>
                <w:color w:val="000000" w:themeColor="text1"/>
                <w:sz w:val="24"/>
                <w:szCs w:val="24"/>
                <w:highlight w:val="none"/>
                <w14:textFill>
                  <w14:solidFill>
                    <w14:schemeClr w14:val="tx1"/>
                  </w14:solidFill>
                </w14:textFill>
              </w:rPr>
              <w:t>，如</w:t>
            </w:r>
            <w:r>
              <w:rPr>
                <w:rFonts w:hint="eastAsia" w:ascii="宋体" w:hAnsi="宋体" w:cs="宋体"/>
                <w:color w:val="000000" w:themeColor="text1"/>
                <w:sz w:val="24"/>
                <w:szCs w:val="24"/>
                <w:highlight w:val="none"/>
                <w:lang w:eastAsia="zh-CN"/>
                <w14:textFill>
                  <w14:solidFill>
                    <w14:schemeClr w14:val="tx1"/>
                  </w14:solidFill>
                </w14:textFill>
              </w:rPr>
              <w:t>响应人</w:t>
            </w:r>
            <w:r>
              <w:rPr>
                <w:rFonts w:hint="eastAsia" w:ascii="宋体" w:hAnsi="宋体" w:eastAsia="宋体" w:cs="宋体"/>
                <w:color w:val="000000" w:themeColor="text1"/>
                <w:sz w:val="24"/>
                <w:szCs w:val="24"/>
                <w:highlight w:val="none"/>
                <w14:textFill>
                  <w14:solidFill>
                    <w14:schemeClr w14:val="tx1"/>
                  </w14:solidFill>
                </w14:textFill>
              </w:rPr>
              <w:t>注册成立时间不足1个月的，可提供承诺函证明拟投入的项目团队人员为其自有员工（格式自拟），否则投入的该人员作不得分处理。本项目不接受退休返聘人员。</w:t>
            </w:r>
          </w:p>
          <w:p>
            <w:pPr>
              <w:keepNext w:val="0"/>
              <w:keepLines w:val="0"/>
              <w:pageBreakBefore w:val="0"/>
              <w:widowControl w:val="0"/>
              <w:kinsoku/>
              <w:wordWrap w:val="0"/>
              <w:overflowPunct/>
              <w:topLinePunct w:val="0"/>
              <w:bidi w:val="0"/>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学历证明：学历证明需提供毕业证书复印件或扫描件及学信网查询截图，原件备查。对于较早颁发的毕业证书，学信网无法查询的，除要求提供证书复印件或扫描件，需要提供其他佐证材料（如毕业院校、人社部门等颁发机构或监管机构等单位出具的证明）作为可以得分的依据。（若为境外留学学历，无需提供学信网查询记录，需提供教育部留学服务中心出具的学历学位认证书）。</w:t>
            </w:r>
          </w:p>
          <w:p>
            <w:pPr>
              <w:keepNext w:val="0"/>
              <w:keepLines w:val="0"/>
              <w:pageBreakBefore w:val="0"/>
              <w:widowControl w:val="0"/>
              <w:kinsoku/>
              <w:wordWrap w:val="0"/>
              <w:overflowPunct/>
              <w:topLinePunct w:val="0"/>
              <w:bidi w:val="0"/>
              <w:spacing w:line="360" w:lineRule="auto"/>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以上资料均要求提供复印件或扫描件，原件备查。评分中出现无证明资料或专家无法凭所提供资料判断是否得分的情况，一律作不得分处理。</w:t>
            </w:r>
          </w:p>
        </w:tc>
        <w:tc>
          <w:tcPr>
            <w:tcW w:w="901" w:type="dxa"/>
            <w:vAlign w:val="center"/>
          </w:tcPr>
          <w:p>
            <w:pPr>
              <w:keepNext w:val="0"/>
              <w:keepLines w:val="0"/>
              <w:pageBreakBefore w:val="0"/>
              <w:widowControl w:val="0"/>
              <w:kinsoku/>
              <w:overflowPunct/>
              <w:topLinePunct w:val="0"/>
              <w:bidi w:val="0"/>
              <w:spacing w:line="360" w:lineRule="auto"/>
              <w:jc w:val="center"/>
              <w:textAlignment w:val="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1079" w:type="dxa"/>
            <w:vAlign w:val="center"/>
          </w:tcPr>
          <w:p>
            <w:pPr>
              <w:keepNext w:val="0"/>
              <w:keepLines w:val="0"/>
              <w:pageBreakBefore w:val="0"/>
              <w:widowControl w:val="0"/>
              <w:kinsoku/>
              <w:overflowPunct/>
              <w:topLinePunct w:val="0"/>
              <w:autoSpaceDE w:val="0"/>
              <w:autoSpaceDN w:val="0"/>
              <w:bidi w:val="0"/>
              <w:adjustRightInd w:val="0"/>
              <w:spacing w:line="360" w:lineRule="auto"/>
              <w:jc w:val="center"/>
              <w:textAlignment w:val="auto"/>
              <w:rPr>
                <w:rFonts w:hint="eastAsia" w:ascii="宋体" w:hAnsi="宋体" w:cs="宋体"/>
                <w:color w:val="000000" w:themeColor="text1"/>
                <w:sz w:val="24"/>
                <w:highlight w:val="none"/>
                <w:lang w:val="zh-CN"/>
                <w14:textFill>
                  <w14:solidFill>
                    <w14:schemeClr w14:val="tx1"/>
                  </w14:solidFill>
                </w14:textFill>
              </w:rPr>
            </w:pPr>
            <w:r>
              <w:rPr>
                <w:rFonts w:hint="eastAsia" w:ascii="宋体" w:hAnsi="宋体" w:cs="宋体"/>
                <w:color w:val="000000" w:themeColor="text1"/>
                <w:sz w:val="24"/>
                <w:highlight w:val="none"/>
                <w:lang w:val="zh-CN"/>
                <w14:textFill>
                  <w14:solidFill>
                    <w14:schemeClr w14:val="tx1"/>
                  </w14:solidFill>
                </w14:textFill>
              </w:rPr>
              <w:t>评审委员打分</w:t>
            </w:r>
          </w:p>
        </w:tc>
      </w:tr>
    </w:tbl>
    <w:p>
      <w:pPr>
        <w:pStyle w:val="3"/>
        <w:rPr>
          <w:color w:val="000000" w:themeColor="text1"/>
          <w:highlight w:val="yellow"/>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57" w:name="_Toc9548"/>
      <w:bookmarkStart w:id="58" w:name="_Hlk28269117"/>
      <w:r>
        <w:rPr>
          <w:rFonts w:hint="eastAsia" w:ascii="宋体" w:hAnsi="宋体" w:cs="宋体"/>
          <w:b/>
          <w:bCs/>
          <w:color w:val="000000" w:themeColor="text1"/>
          <w:sz w:val="24"/>
          <w14:textFill>
            <w14:solidFill>
              <w14:schemeClr w14:val="tx1"/>
            </w14:solidFill>
          </w14:textFill>
        </w:rPr>
        <w:t>第七章 附件（投标文件格式）</w:t>
      </w:r>
      <w:bookmarkEnd w:id="57"/>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59" w:name="_Toc6548"/>
      <w:bookmarkStart w:id="60" w:name="_Toc19494"/>
      <w:bookmarkStart w:id="61" w:name="_Toc31827"/>
      <w:bookmarkStart w:id="62" w:name="_Toc5116"/>
      <w:r>
        <w:rPr>
          <w:rFonts w:hint="eastAsia" w:ascii="宋体" w:hAnsi="宋体" w:cs="宋体"/>
          <w:b/>
          <w:bCs/>
          <w:color w:val="000000" w:themeColor="text1"/>
          <w:sz w:val="24"/>
          <w14:textFill>
            <w14:solidFill>
              <w14:schemeClr w14:val="tx1"/>
            </w14:solidFill>
          </w14:textFill>
        </w:rPr>
        <w:t>1、投标文件密封袋/封面参考</w:t>
      </w:r>
      <w:bookmarkEnd w:id="59"/>
      <w:bookmarkEnd w:id="60"/>
      <w:bookmarkEnd w:id="61"/>
      <w:bookmarkEnd w:id="62"/>
    </w:p>
    <w:tbl>
      <w:tblPr>
        <w:tblStyle w:val="17"/>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63" w:name="_Toc16724"/>
      <w:r>
        <w:rPr>
          <w:rFonts w:hint="eastAsia" w:ascii="宋体" w:hAnsi="宋体" w:cs="宋体"/>
          <w:b/>
          <w:color w:val="000000" w:themeColor="text1"/>
          <w:sz w:val="24"/>
          <w14:textFill>
            <w14:solidFill>
              <w14:schemeClr w14:val="tx1"/>
            </w14:solidFill>
          </w14:textFill>
        </w:rPr>
        <w:t>2、投标文件—目录</w:t>
      </w:r>
      <w:bookmarkEnd w:id="63"/>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9"/>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r>
        <w:rPr>
          <w:rFonts w:hint="eastAsia" w:ascii="宋体" w:hAnsi="宋体" w:cs="宋体"/>
          <w:b/>
          <w:bCs/>
          <w:color w:val="000000" w:themeColor="text1"/>
          <w:kern w:val="0"/>
          <w:sz w:val="24"/>
          <w:lang w:eastAsia="zh-CN"/>
          <w14:textFill>
            <w14:solidFill>
              <w14:schemeClr w14:val="tx1"/>
            </w14:solidFill>
          </w14:textFill>
        </w:rPr>
        <w:t>分支机构投标须提供总公司(总行)出具的愿为其承担民事责任的相关函件【函件形式不限，体现相关内容即可】。且同一家总公司(总行)若有两家或两家以上的分支机构，总公司(总行)只能授权一家参与投标）；</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10"/>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10"/>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偿付能力；</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资产质量；</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运营能力；</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内部控制水平；</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10"/>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系统建设投入方案；</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财政服务履约情况；</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对账、分账核算服务；</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拟派项目团队成员情况；</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2"/>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01"/>
        <w:gridCol w:w="2327"/>
        <w:gridCol w:w="2327"/>
        <w:gridCol w:w="1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1645"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1366" w:type="pct"/>
            <w:vAlign w:val="center"/>
          </w:tcPr>
          <w:p>
            <w:pPr>
              <w:spacing w:after="60"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单价（手续费）限价</w:t>
            </w:r>
            <w:r>
              <w:rPr>
                <w:rFonts w:hint="eastAsia" w:ascii="宋体" w:hAnsi="宋体" w:cs="宋体"/>
                <w:color w:val="000000" w:themeColor="text1"/>
                <w:sz w:val="24"/>
                <w:u w:val="none"/>
                <w:lang w:val="en-US" w:eastAsia="zh-CN"/>
                <w14:textFill>
                  <w14:solidFill>
                    <w14:schemeClr w14:val="tx1"/>
                  </w14:solidFill>
                </w14:textFill>
              </w:rPr>
              <w:t>(元/笔)</w:t>
            </w:r>
          </w:p>
        </w:tc>
        <w:tc>
          <w:tcPr>
            <w:tcW w:w="1366" w:type="pct"/>
            <w:vAlign w:val="center"/>
          </w:tcPr>
          <w:p>
            <w:pPr>
              <w:spacing w:after="60" w:line="360" w:lineRule="auto"/>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投标单价（手续费）</w:t>
            </w:r>
            <w:r>
              <w:rPr>
                <w:rFonts w:hint="eastAsia" w:ascii="宋体" w:hAnsi="宋体" w:cs="宋体"/>
                <w:color w:val="000000" w:themeColor="text1"/>
                <w:sz w:val="24"/>
                <w:u w:val="none"/>
                <w:lang w:val="en-US" w:eastAsia="zh-CN"/>
                <w14:textFill>
                  <w14:solidFill>
                    <w14:schemeClr w14:val="tx1"/>
                  </w14:solidFill>
                </w14:textFill>
              </w:rPr>
              <w:t>(元/笔)</w:t>
            </w:r>
          </w:p>
        </w:tc>
        <w:tc>
          <w:tcPr>
            <w:tcW w:w="621" w:type="pct"/>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1645" w:type="pct"/>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66" w:type="pct"/>
            <w:vAlign w:val="center"/>
          </w:tcPr>
          <w:p>
            <w:pPr>
              <w:spacing w:line="360" w:lineRule="auto"/>
              <w:jc w:val="center"/>
              <w:rPr>
                <w:rFonts w:hint="default" w:ascii="宋体" w:hAnsi="宋体" w:eastAsia="宋体" w:cs="宋体"/>
                <w:color w:val="000000" w:themeColor="text1"/>
                <w:sz w:val="24"/>
                <w:u w:val="single"/>
                <w:lang w:val="en-US" w:eastAsia="zh-CN"/>
                <w14:textFill>
                  <w14:solidFill>
                    <w14:schemeClr w14:val="tx1"/>
                  </w14:solidFill>
                </w14:textFill>
              </w:rPr>
            </w:pPr>
            <w:r>
              <w:rPr>
                <w:rFonts w:hint="eastAsia" w:ascii="宋体" w:hAnsi="宋体" w:cs="宋体"/>
                <w:color w:val="000000" w:themeColor="text1"/>
                <w:sz w:val="24"/>
                <w:u w:val="single"/>
                <w:lang w:val="en-US" w:eastAsia="zh-CN"/>
                <w14:textFill>
                  <w14:solidFill>
                    <w14:schemeClr w14:val="tx1"/>
                  </w14:solidFill>
                </w14:textFill>
              </w:rPr>
              <w:t>0.4</w:t>
            </w:r>
          </w:p>
        </w:tc>
        <w:tc>
          <w:tcPr>
            <w:tcW w:w="1366" w:type="pct"/>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621" w:type="pct"/>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pStyle w:val="8"/>
        <w:spacing w:line="30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pPr>
        <w:pStyle w:val="8"/>
        <w:spacing w:line="30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报价均应包含所有需中标人交纳的税费。</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中国远东国际招标有限公司</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lang w:eastAsia="zh-CN"/>
          <w14:textFill>
            <w14:solidFill>
              <w14:schemeClr w14:val="tx1"/>
            </w14:solidFill>
          </w14:textFill>
        </w:rPr>
        <w:t>深圳市前海深港现代服务业合作区非税收入代理银行项目</w:t>
      </w:r>
      <w:r>
        <w:rPr>
          <w:rFonts w:hint="eastAsia" w:ascii="宋体" w:hAnsi="宋体" w:cs="宋体"/>
          <w:color w:val="000000" w:themeColor="text1"/>
          <w:sz w:val="24"/>
          <w14:textFill>
            <w14:solidFill>
              <w14:schemeClr w14:val="tx1"/>
            </w14:solidFill>
          </w14:textFill>
        </w:rPr>
        <w:t>（招标文件编号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kern w:val="0"/>
          <w:sz w:val="24"/>
          <w:lang w:eastAsia="zh-CN"/>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w:t>
      </w:r>
      <w:r>
        <w:rPr>
          <w:rFonts w:hint="eastAsia" w:ascii="宋体" w:hAnsi="宋体" w:cs="宋体"/>
          <w:b/>
          <w:bCs/>
          <w:color w:val="000000" w:themeColor="text1"/>
          <w:kern w:val="0"/>
          <w:sz w:val="24"/>
          <w:lang w:eastAsia="zh-CN"/>
          <w14:textFill>
            <w14:solidFill>
              <w14:schemeClr w14:val="tx1"/>
            </w14:solidFill>
          </w14:textFill>
        </w:rPr>
        <w:t>分支机构投标须提供总公司(总行)出具的愿为其承担民事责任的相关函件【函件形式不限，体现相关内容即可】。且同一家总公司(总行)若有两家或两家以上的分支机构，总公司(总行)只能授权一家参与投标）；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4"/>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w:t>
      </w:r>
      <w:bookmarkStart w:id="70" w:name="_GoBack"/>
      <w:bookmarkEnd w:id="70"/>
      <w:r>
        <w:rPr>
          <w:rFonts w:hint="eastAsia" w:ascii="宋体" w:hAnsi="宋体" w:cs="宋体"/>
          <w:color w:val="000000" w:themeColor="text1"/>
          <w:kern w:val="0"/>
          <w:sz w:val="24"/>
          <w14:textFill>
            <w14:solidFill>
              <w14:schemeClr w14:val="tx1"/>
            </w14:solidFill>
          </w14:textFill>
        </w:rPr>
        <w:t>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4"/>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3"/>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8"/>
        <w:spacing w:line="360" w:lineRule="auto"/>
        <w:jc w:val="center"/>
        <w:rPr>
          <w:rFonts w:hint="eastAsia" w:hAnsi="宋体" w:cs="宋体"/>
          <w:b/>
          <w:color w:val="000000" w:themeColor="text1"/>
          <w:sz w:val="24"/>
          <w14:textFill>
            <w14:solidFill>
              <w14:schemeClr w14:val="tx1"/>
            </w14:solidFill>
          </w14:textFill>
        </w:rPr>
      </w:pPr>
    </w:p>
    <w:p>
      <w:pPr>
        <w:pStyle w:val="8"/>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8"/>
        <w:spacing w:line="360" w:lineRule="auto"/>
        <w:rPr>
          <w:rFonts w:hint="eastAsia" w:hAnsi="宋体" w:cs="宋体"/>
          <w:color w:val="000000" w:themeColor="text1"/>
          <w:sz w:val="24"/>
          <w14:textFill>
            <w14:solidFill>
              <w14:schemeClr w14:val="tx1"/>
            </w14:solidFill>
          </w14:textFill>
        </w:rPr>
      </w:pP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8"/>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8"/>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3"/>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8"/>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8"/>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8"/>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8"/>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偿付能力；</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资产质量；</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运营能力；</w:t>
      </w:r>
    </w:p>
    <w:p>
      <w:pPr>
        <w:numPr>
          <w:ilvl w:val="0"/>
          <w:numId w:val="13"/>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内部控制水平；</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8"/>
        <w:spacing w:line="360" w:lineRule="auto"/>
        <w:jc w:val="left"/>
        <w:rPr>
          <w:rFonts w:hint="eastAsia" w:hAnsi="宋体" w:cs="宋体"/>
          <w:color w:val="000000" w:themeColor="text1"/>
          <w:sz w:val="24"/>
          <w14:textFill>
            <w14:solidFill>
              <w14:schemeClr w14:val="tx1"/>
            </w14:solidFill>
          </w14:textFill>
        </w:rPr>
      </w:pPr>
    </w:p>
    <w:p>
      <w:pPr>
        <w:pStyle w:val="8"/>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6"/>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6"/>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6"/>
          <w:rFonts w:hint="eastAsia" w:ascii="宋体" w:hAnsi="宋体" w:cs="宋体"/>
          <w:b/>
          <w:color w:val="000000" w:themeColor="text1"/>
          <w:sz w:val="24"/>
          <w14:textFill>
            <w14:solidFill>
              <w14:schemeClr w14:val="tx1"/>
            </w14:solidFill>
          </w14:textFill>
        </w:rPr>
      </w:pPr>
      <w:r>
        <w:rPr>
          <w:rStyle w:val="26"/>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6"/>
          <w:rFonts w:hint="eastAsia" w:ascii="宋体" w:hAnsi="宋体" w:cs="宋体"/>
          <w:b/>
          <w:color w:val="000000" w:themeColor="text1"/>
          <w:sz w:val="24"/>
          <w14:textFill>
            <w14:solidFill>
              <w14:schemeClr w14:val="tx1"/>
            </w14:solidFill>
          </w14:textFill>
        </w:rPr>
      </w:pPr>
      <w:r>
        <w:rPr>
          <w:rStyle w:val="26"/>
          <w:rFonts w:hint="eastAsia" w:ascii="宋体" w:hAnsi="宋体" w:cs="宋体"/>
          <w:b/>
          <w:color w:val="000000" w:themeColor="text1"/>
          <w:sz w:val="24"/>
          <w14:textFill>
            <w14:solidFill>
              <w14:schemeClr w14:val="tx1"/>
            </w14:solidFill>
          </w14:textFill>
        </w:rPr>
        <w:br w:type="page"/>
      </w:r>
      <w:r>
        <w:rPr>
          <w:rStyle w:val="26"/>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6"/>
          <w:rFonts w:hint="eastAsia" w:ascii="宋体" w:hAnsi="宋体" w:cs="宋体"/>
          <w:color w:val="000000" w:themeColor="text1"/>
          <w:spacing w:val="6"/>
          <w:sz w:val="24"/>
          <w14:textFill>
            <w14:solidFill>
              <w14:schemeClr w14:val="tx1"/>
            </w14:solidFill>
          </w14:textFill>
        </w:rPr>
      </w:pPr>
      <w:r>
        <w:rPr>
          <w:rStyle w:val="26"/>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6"/>
          <w:rFonts w:hint="eastAsia" w:ascii="宋体" w:hAnsi="宋体" w:cs="宋体"/>
          <w:color w:val="000000" w:themeColor="text1"/>
          <w:spacing w:val="6"/>
          <w:sz w:val="24"/>
          <w:u w:val="single"/>
          <w14:textFill>
            <w14:solidFill>
              <w14:schemeClr w14:val="tx1"/>
            </w14:solidFill>
          </w14:textFill>
        </w:rPr>
        <w:t xml:space="preserve"> （采购单位名称） </w:t>
      </w:r>
      <w:r>
        <w:rPr>
          <w:rStyle w:val="26"/>
          <w:rFonts w:hint="eastAsia" w:ascii="宋体" w:hAnsi="宋体" w:cs="宋体"/>
          <w:color w:val="000000" w:themeColor="text1"/>
          <w:spacing w:val="6"/>
          <w:sz w:val="24"/>
          <w14:textFill>
            <w14:solidFill>
              <w14:schemeClr w14:val="tx1"/>
            </w14:solidFill>
          </w14:textFill>
        </w:rPr>
        <w:t>单位的</w:t>
      </w:r>
      <w:r>
        <w:rPr>
          <w:rStyle w:val="26"/>
          <w:rFonts w:hint="eastAsia" w:ascii="宋体" w:hAnsi="宋体" w:cs="宋体"/>
          <w:color w:val="000000" w:themeColor="text1"/>
          <w:spacing w:val="6"/>
          <w:sz w:val="24"/>
          <w:u w:val="single"/>
          <w14:textFill>
            <w14:solidFill>
              <w14:schemeClr w14:val="tx1"/>
            </w14:solidFill>
          </w14:textFill>
        </w:rPr>
        <w:t xml:space="preserve"> （采购项目名称） </w:t>
      </w:r>
      <w:r>
        <w:rPr>
          <w:rStyle w:val="26"/>
          <w:rFonts w:hint="eastAsia" w:ascii="宋体" w:hAnsi="宋体" w:cs="宋体"/>
          <w:color w:val="000000" w:themeColor="text1"/>
          <w:spacing w:val="6"/>
          <w:sz w:val="24"/>
          <w14:textFill>
            <w14:solidFill>
              <w14:schemeClr w14:val="tx1"/>
            </w14:solidFill>
          </w14:textFill>
        </w:rPr>
        <w:t>项目采购</w:t>
      </w:r>
      <w:r>
        <w:rPr>
          <w:rStyle w:val="26"/>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6"/>
          <w:rFonts w:hint="eastAsia" w:ascii="宋体" w:hAnsi="宋体" w:cs="宋体"/>
          <w:color w:val="000000" w:themeColor="text1"/>
          <w:spacing w:val="6"/>
          <w:sz w:val="24"/>
          <w14:textFill>
            <w14:solidFill>
              <w14:schemeClr w14:val="tx1"/>
            </w14:solidFill>
          </w14:textFill>
        </w:rPr>
        <w:t>。</w:t>
      </w:r>
      <w:r>
        <w:rPr>
          <w:rStyle w:val="26"/>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6"/>
          <w:rFonts w:hint="eastAsia" w:ascii="宋体" w:hAnsi="宋体" w:cs="宋体"/>
          <w:color w:val="000000" w:themeColor="text1"/>
          <w:spacing w:val="6"/>
          <w:sz w:val="24"/>
          <w14:textFill>
            <w14:solidFill>
              <w14:schemeClr w14:val="tx1"/>
            </w14:solidFill>
          </w14:textFill>
        </w:rPr>
      </w:pPr>
      <w:r>
        <w:rPr>
          <w:rStyle w:val="26"/>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6"/>
          <w:rFonts w:hint="eastAsia" w:ascii="宋体" w:hAnsi="宋体" w:cs="宋体"/>
          <w:color w:val="000000" w:themeColor="text1"/>
          <w:spacing w:val="6"/>
          <w:sz w:val="24"/>
          <w14:textFill>
            <w14:solidFill>
              <w14:schemeClr w14:val="tx1"/>
            </w14:solidFill>
          </w14:textFill>
        </w:rPr>
      </w:pPr>
      <w:r>
        <w:rPr>
          <w:rStyle w:val="26"/>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6"/>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6"/>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6"/>
          <w:rFonts w:hint="eastAsia" w:ascii="宋体" w:hAnsi="宋体" w:cs="宋体"/>
          <w:color w:val="000000" w:themeColor="text1"/>
          <w:spacing w:val="6"/>
          <w:sz w:val="24"/>
          <w14:textFill>
            <w14:solidFill>
              <w14:schemeClr w14:val="tx1"/>
            </w14:solidFill>
          </w14:textFill>
        </w:rPr>
      </w:pPr>
      <w:r>
        <w:rPr>
          <w:rStyle w:val="26"/>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6"/>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5"/>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5"/>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64" w:name="OLE_LINK9"/>
      <w:r>
        <w:rPr>
          <w:rFonts w:hint="eastAsia" w:ascii="宋体" w:hAnsi="宋体" w:cs="宋体"/>
          <w:b/>
          <w:color w:val="000000" w:themeColor="text1"/>
          <w:sz w:val="28"/>
          <w:szCs w:val="28"/>
          <w14:textFill>
            <w14:solidFill>
              <w14:schemeClr w14:val="tx1"/>
            </w14:solidFill>
          </w14:textFill>
        </w:rPr>
        <w:t>证明</w:t>
      </w:r>
      <w:bookmarkEnd w:id="64"/>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5"/>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65" w:name="OLE_LINK10"/>
      <w:r>
        <w:rPr>
          <w:rFonts w:hint="eastAsia" w:ascii="宋体" w:hAnsi="宋体" w:cs="宋体"/>
          <w:b/>
          <w:color w:val="000000" w:themeColor="text1"/>
          <w:sz w:val="28"/>
          <w:szCs w:val="28"/>
          <w14:textFill>
            <w14:solidFill>
              <w14:schemeClr w14:val="tx1"/>
            </w14:solidFill>
          </w14:textFill>
        </w:rPr>
        <w:t>股权关系证明</w:t>
      </w:r>
      <w:bookmarkEnd w:id="65"/>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3"/>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7"/>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系统建设投入方案；</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财政服务履约情况；</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对账、分账核算服务；</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拟派项目团队成员情况；</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6"/>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58"/>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66" w:name="_Toc742"/>
      <w:bookmarkStart w:id="67" w:name="_Toc6251"/>
      <w:r>
        <w:rPr>
          <w:rFonts w:hint="eastAsia" w:ascii="宋体" w:hAnsi="宋体" w:cs="宋体"/>
          <w:b/>
          <w:bCs/>
          <w:color w:val="000000" w:themeColor="text1"/>
          <w:sz w:val="24"/>
          <w14:textFill>
            <w14:solidFill>
              <w14:schemeClr w14:val="tx1"/>
            </w14:solidFill>
          </w14:textFill>
        </w:rPr>
        <w:t>附件：相关政策</w:t>
      </w:r>
      <w:bookmarkEnd w:id="66"/>
      <w:bookmarkEnd w:id="67"/>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7"/>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7"/>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7"/>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7"/>
              <w:jc w:val="center"/>
              <w:rPr>
                <w:rFonts w:hint="eastAsia"/>
                <w:color w:val="000000" w:themeColor="text1"/>
                <w:sz w:val="24"/>
                <w:szCs w:val="24"/>
                <w14:textFill>
                  <w14:solidFill>
                    <w14:schemeClr w14:val="tx1"/>
                  </w14:solidFill>
                </w14:textFill>
              </w:rPr>
            </w:pPr>
          </w:p>
          <w:p>
            <w:pPr>
              <w:pStyle w:val="27"/>
              <w:jc w:val="center"/>
              <w:rPr>
                <w:rFonts w:hint="eastAsia"/>
                <w:color w:val="000000" w:themeColor="text1"/>
                <w:sz w:val="24"/>
                <w:szCs w:val="24"/>
                <w14:textFill>
                  <w14:solidFill>
                    <w14:schemeClr w14:val="tx1"/>
                  </w14:solidFill>
                </w14:textFill>
              </w:rPr>
            </w:pPr>
          </w:p>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7"/>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7"/>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7"/>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4"/>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4"/>
        <w:jc w:val="both"/>
        <w:outlineLvl w:val="9"/>
        <w:rPr>
          <w:rFonts w:hint="eastAsia" w:ascii="宋体" w:hAnsi="宋体" w:eastAsia="宋体" w:cs="宋体"/>
          <w:color w:val="000000" w:themeColor="text1"/>
          <w:sz w:val="24"/>
          <w:szCs w:val="24"/>
          <w14:textFill>
            <w14:solidFill>
              <w14:schemeClr w14:val="tx1"/>
            </w14:solidFill>
          </w14:textFill>
        </w:rPr>
      </w:pPr>
    </w:p>
    <w:p>
      <w:pPr>
        <w:pStyle w:val="14"/>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7"/>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4"/>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3"/>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68" w:name="sendNo"/>
      <w:r>
        <w:rPr>
          <w:rFonts w:hint="eastAsia"/>
          <w:color w:val="000000" w:themeColor="text1"/>
          <w14:textFill>
            <w14:solidFill>
              <w14:schemeClr w14:val="tx1"/>
            </w14:solidFill>
          </w14:textFill>
        </w:rPr>
        <w:t>财库〔</w:t>
      </w:r>
      <w:bookmarkEnd w:id="68"/>
      <w:r>
        <w:rPr>
          <w:rFonts w:hint="eastAsia"/>
          <w:color w:val="000000" w:themeColor="text1"/>
          <w14:textFill>
            <w14:solidFill>
              <w14:schemeClr w14:val="tx1"/>
            </w14:solidFill>
          </w14:textFill>
        </w:rPr>
        <w:t>2017〕141号</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69"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69"/>
      <w:r>
        <w:rPr>
          <w:rFonts w:hint="eastAsia"/>
          <w:color w:val="000000" w:themeColor="text1"/>
          <w14:textFill>
            <w14:solidFill>
              <w14:schemeClr w14:val="tx1"/>
            </w14:solidFill>
          </w14:textFill>
        </w:rPr>
        <w:t>：</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3"/>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3"/>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3"/>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3"/>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3"/>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3"/>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8"/>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8"/>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29"/>
          <w:rFonts w:hint="eastAsia"/>
          <w:b/>
          <w:bCs/>
          <w:color w:val="000000" w:themeColor="text1"/>
          <w14:textFill>
            <w14:solidFill>
              <w14:schemeClr w14:val="tx1"/>
            </w14:solidFill>
          </w14:textFill>
        </w:rPr>
        <w:t>残疾人福利性单位声明函</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本单位对上述声明的真实性负责。如有虚假，将依法承担相应责任。</w:t>
      </w:r>
    </w:p>
    <w:p>
      <w:pPr>
        <w:pStyle w:val="28"/>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8"/>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29"/>
          <w:rFonts w:hint="eastAsia"/>
          <w:color w:val="000000" w:themeColor="text1"/>
          <w14:textFill>
            <w14:solidFill>
              <w14:schemeClr w14:val="tx1"/>
            </w14:solidFill>
          </w14:textFill>
        </w:rPr>
        <w:t>单位名称（盖章）：</w:t>
      </w:r>
    </w:p>
    <w:p>
      <w:pPr>
        <w:pStyle w:val="28"/>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29"/>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1"/>
        <w:rFonts w:ascii="宋体" w:hAnsi="宋体"/>
        <w:sz w:val="28"/>
        <w:szCs w:val="28"/>
      </w:rPr>
      <w:instrText xml:space="preserve">PAGE  </w:instrText>
    </w:r>
    <w:r>
      <w:rPr>
        <w:rFonts w:ascii="宋体" w:hAnsi="宋体"/>
        <w:sz w:val="28"/>
        <w:szCs w:val="28"/>
      </w:rPr>
      <w:fldChar w:fldCharType="separate"/>
    </w:r>
    <w:r>
      <w:rPr>
        <w:rStyle w:val="21"/>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7" o:spid="_x0000_s102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50716"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1026" o:spid="_x0000_s1026"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50716"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EAE13B7A"/>
    <w:multiLevelType w:val="singleLevel"/>
    <w:tmpl w:val="EAE13B7A"/>
    <w:lvl w:ilvl="0" w:tentative="0">
      <w:start w:val="1"/>
      <w:numFmt w:val="chineseCounting"/>
      <w:suff w:val="nothing"/>
      <w:lvlText w:val="%1、"/>
      <w:lvlJc w:val="left"/>
      <w:pPr>
        <w:ind w:left="0" w:firstLine="420"/>
      </w:pPr>
      <w:rPr>
        <w:rFonts w:hint="eastAsia"/>
      </w:rPr>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00000009"/>
    <w:multiLevelType w:val="singleLevel"/>
    <w:tmpl w:val="00000009"/>
    <w:lvl w:ilvl="0" w:tentative="0">
      <w:start w:val="1"/>
      <w:numFmt w:val="chineseCounting"/>
      <w:suff w:val="nothing"/>
      <w:lvlText w:val="%1、"/>
      <w:lvlJc w:val="left"/>
    </w:lvl>
  </w:abstractNum>
  <w:abstractNum w:abstractNumId="9">
    <w:nsid w:val="200A2FAF"/>
    <w:multiLevelType w:val="singleLevel"/>
    <w:tmpl w:val="200A2FAF"/>
    <w:lvl w:ilvl="0" w:tentative="0">
      <w:start w:val="5"/>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abstractNum w:abstractNumId="15">
    <w:nsid w:val="7DDE7250"/>
    <w:multiLevelType w:val="singleLevel"/>
    <w:tmpl w:val="7DDE7250"/>
    <w:lvl w:ilvl="0" w:tentative="0">
      <w:start w:val="1"/>
      <w:numFmt w:val="decimal"/>
      <w:suff w:val="space"/>
      <w:lvlText w:val="%1."/>
      <w:lvlJc w:val="left"/>
    </w:lvl>
  </w:abstractNum>
  <w:num w:numId="1">
    <w:abstractNumId w:val="14"/>
  </w:num>
  <w:num w:numId="2">
    <w:abstractNumId w:val="4"/>
  </w:num>
  <w:num w:numId="3">
    <w:abstractNumId w:val="2"/>
  </w:num>
  <w:num w:numId="4">
    <w:abstractNumId w:val="10"/>
  </w:num>
  <w:num w:numId="5">
    <w:abstractNumId w:val="8"/>
  </w:num>
  <w:num w:numId="6">
    <w:abstractNumId w:val="15"/>
  </w:num>
  <w:num w:numId="7">
    <w:abstractNumId w:val="5"/>
  </w:num>
  <w:num w:numId="8">
    <w:abstractNumId w:val="11"/>
  </w:num>
  <w:num w:numId="9">
    <w:abstractNumId w:val="3"/>
  </w:num>
  <w:num w:numId="10">
    <w:abstractNumId w:val="6"/>
  </w:num>
  <w:num w:numId="11">
    <w:abstractNumId w:val="1"/>
  </w:num>
  <w:num w:numId="12">
    <w:abstractNumId w:val="0"/>
  </w:num>
  <w:num w:numId="13">
    <w:abstractNumId w:val="7"/>
  </w:num>
  <w:num w:numId="14">
    <w:abstractNumId w:val="12"/>
  </w:num>
  <w:num w:numId="15">
    <w:abstractNumId w:val="9"/>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DZB">
    <w15:presenceInfo w15:providerId="None" w15:userId="YD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54471"/>
    <w:rsid w:val="001C60B0"/>
    <w:rsid w:val="003A4DB8"/>
    <w:rsid w:val="00C93875"/>
    <w:rsid w:val="00DE5743"/>
    <w:rsid w:val="00E747E3"/>
    <w:rsid w:val="00F46D15"/>
    <w:rsid w:val="00F72CA9"/>
    <w:rsid w:val="00FF40AC"/>
    <w:rsid w:val="01145951"/>
    <w:rsid w:val="01536D2A"/>
    <w:rsid w:val="01EF572E"/>
    <w:rsid w:val="02176B4D"/>
    <w:rsid w:val="02477318"/>
    <w:rsid w:val="028B18FB"/>
    <w:rsid w:val="028D3650"/>
    <w:rsid w:val="02B81FC4"/>
    <w:rsid w:val="03261624"/>
    <w:rsid w:val="035717DD"/>
    <w:rsid w:val="036D7252"/>
    <w:rsid w:val="03BB1D6C"/>
    <w:rsid w:val="03E5503B"/>
    <w:rsid w:val="03F434D0"/>
    <w:rsid w:val="040C3CF2"/>
    <w:rsid w:val="04663B1B"/>
    <w:rsid w:val="049A4077"/>
    <w:rsid w:val="04AC3B33"/>
    <w:rsid w:val="053E4130"/>
    <w:rsid w:val="05525F81"/>
    <w:rsid w:val="05D438B9"/>
    <w:rsid w:val="06456265"/>
    <w:rsid w:val="06C76316"/>
    <w:rsid w:val="06EE4206"/>
    <w:rsid w:val="076B39F3"/>
    <w:rsid w:val="084F5179"/>
    <w:rsid w:val="08AA7C09"/>
    <w:rsid w:val="08EF6AC2"/>
    <w:rsid w:val="08FF094D"/>
    <w:rsid w:val="09185F2E"/>
    <w:rsid w:val="095D5673"/>
    <w:rsid w:val="097815DF"/>
    <w:rsid w:val="097A4477"/>
    <w:rsid w:val="098E31D7"/>
    <w:rsid w:val="099B5BB2"/>
    <w:rsid w:val="09D57431"/>
    <w:rsid w:val="09D9508C"/>
    <w:rsid w:val="0A116B8A"/>
    <w:rsid w:val="0A3D797F"/>
    <w:rsid w:val="0A3E54A5"/>
    <w:rsid w:val="0A7F6940"/>
    <w:rsid w:val="0A8E1F88"/>
    <w:rsid w:val="0AB77B8E"/>
    <w:rsid w:val="0ABB644B"/>
    <w:rsid w:val="0ACB31DC"/>
    <w:rsid w:val="0B1D330C"/>
    <w:rsid w:val="0B4D3BF1"/>
    <w:rsid w:val="0BA12829"/>
    <w:rsid w:val="0BC77592"/>
    <w:rsid w:val="0BCB720C"/>
    <w:rsid w:val="0BE85AA6"/>
    <w:rsid w:val="0C23344D"/>
    <w:rsid w:val="0C2506CA"/>
    <w:rsid w:val="0C3B7EEE"/>
    <w:rsid w:val="0CA03970"/>
    <w:rsid w:val="0D0B2017"/>
    <w:rsid w:val="0D2210AE"/>
    <w:rsid w:val="0D2C5A88"/>
    <w:rsid w:val="0D9F44AC"/>
    <w:rsid w:val="0DAF6CC4"/>
    <w:rsid w:val="0DC42165"/>
    <w:rsid w:val="0DD2616E"/>
    <w:rsid w:val="0DEB3271"/>
    <w:rsid w:val="0DFE5677"/>
    <w:rsid w:val="0E2624D8"/>
    <w:rsid w:val="0E4219DB"/>
    <w:rsid w:val="0E56100F"/>
    <w:rsid w:val="0E6331E7"/>
    <w:rsid w:val="0EB75826"/>
    <w:rsid w:val="0EC56195"/>
    <w:rsid w:val="0F543075"/>
    <w:rsid w:val="0F6B6D3C"/>
    <w:rsid w:val="0FC46FEB"/>
    <w:rsid w:val="0FD414B9"/>
    <w:rsid w:val="0FDC3796"/>
    <w:rsid w:val="104E0165"/>
    <w:rsid w:val="106F0166"/>
    <w:rsid w:val="10947BCD"/>
    <w:rsid w:val="11286567"/>
    <w:rsid w:val="11CF76DE"/>
    <w:rsid w:val="11E20D72"/>
    <w:rsid w:val="11E86E62"/>
    <w:rsid w:val="122447BE"/>
    <w:rsid w:val="124318AA"/>
    <w:rsid w:val="12AA36D7"/>
    <w:rsid w:val="12B409FA"/>
    <w:rsid w:val="12F9640D"/>
    <w:rsid w:val="130D1EB8"/>
    <w:rsid w:val="13631AD8"/>
    <w:rsid w:val="13702B73"/>
    <w:rsid w:val="137B7981"/>
    <w:rsid w:val="138F7287"/>
    <w:rsid w:val="13F05A62"/>
    <w:rsid w:val="13F600B9"/>
    <w:rsid w:val="14321BD6"/>
    <w:rsid w:val="148443FC"/>
    <w:rsid w:val="149F2FE4"/>
    <w:rsid w:val="14D709D0"/>
    <w:rsid w:val="15932B49"/>
    <w:rsid w:val="15D849FF"/>
    <w:rsid w:val="15FD3709"/>
    <w:rsid w:val="160E5887"/>
    <w:rsid w:val="16302145"/>
    <w:rsid w:val="163A7E23"/>
    <w:rsid w:val="167A7865"/>
    <w:rsid w:val="168B1A72"/>
    <w:rsid w:val="16C358AF"/>
    <w:rsid w:val="16D637FC"/>
    <w:rsid w:val="16F76FA7"/>
    <w:rsid w:val="172A3039"/>
    <w:rsid w:val="1733381F"/>
    <w:rsid w:val="1773288D"/>
    <w:rsid w:val="178D1D96"/>
    <w:rsid w:val="17966920"/>
    <w:rsid w:val="17A41D79"/>
    <w:rsid w:val="17F65611"/>
    <w:rsid w:val="180B1483"/>
    <w:rsid w:val="18225C3E"/>
    <w:rsid w:val="18972950"/>
    <w:rsid w:val="18975246"/>
    <w:rsid w:val="18B43502"/>
    <w:rsid w:val="18DE20F8"/>
    <w:rsid w:val="18E37943"/>
    <w:rsid w:val="191C4C03"/>
    <w:rsid w:val="19355CC5"/>
    <w:rsid w:val="19946E8F"/>
    <w:rsid w:val="1A7F3E24"/>
    <w:rsid w:val="1A82318C"/>
    <w:rsid w:val="1B701236"/>
    <w:rsid w:val="1B982FF3"/>
    <w:rsid w:val="1B9A4716"/>
    <w:rsid w:val="1C0F0A4F"/>
    <w:rsid w:val="1C224C26"/>
    <w:rsid w:val="1CD13F56"/>
    <w:rsid w:val="1CD7615D"/>
    <w:rsid w:val="1D2F75FB"/>
    <w:rsid w:val="1D3E032A"/>
    <w:rsid w:val="1D5F1562"/>
    <w:rsid w:val="1D864D41"/>
    <w:rsid w:val="1D946A63"/>
    <w:rsid w:val="1DD84EE2"/>
    <w:rsid w:val="1E6E5F01"/>
    <w:rsid w:val="1EC575F3"/>
    <w:rsid w:val="1FA31BDA"/>
    <w:rsid w:val="208A0FEC"/>
    <w:rsid w:val="209F2A54"/>
    <w:rsid w:val="20AD05D0"/>
    <w:rsid w:val="20BA367F"/>
    <w:rsid w:val="20D73ACA"/>
    <w:rsid w:val="211A411E"/>
    <w:rsid w:val="21350F58"/>
    <w:rsid w:val="21671CF6"/>
    <w:rsid w:val="223B434C"/>
    <w:rsid w:val="22787170"/>
    <w:rsid w:val="228D764F"/>
    <w:rsid w:val="23CD1D77"/>
    <w:rsid w:val="23D1119D"/>
    <w:rsid w:val="24281889"/>
    <w:rsid w:val="2429042B"/>
    <w:rsid w:val="24961D0D"/>
    <w:rsid w:val="24B403E6"/>
    <w:rsid w:val="24C90A33"/>
    <w:rsid w:val="25733DFD"/>
    <w:rsid w:val="25EC437E"/>
    <w:rsid w:val="269E134D"/>
    <w:rsid w:val="26D7660D"/>
    <w:rsid w:val="26E054C2"/>
    <w:rsid w:val="27787DF0"/>
    <w:rsid w:val="2781787A"/>
    <w:rsid w:val="27CE5C62"/>
    <w:rsid w:val="28033B5E"/>
    <w:rsid w:val="28355CE1"/>
    <w:rsid w:val="28425755"/>
    <w:rsid w:val="28440A5B"/>
    <w:rsid w:val="284C045D"/>
    <w:rsid w:val="28846049"/>
    <w:rsid w:val="28CB3F50"/>
    <w:rsid w:val="28E50522"/>
    <w:rsid w:val="28EF7C3E"/>
    <w:rsid w:val="29540304"/>
    <w:rsid w:val="29A5570A"/>
    <w:rsid w:val="29A63C37"/>
    <w:rsid w:val="2A0A1F9E"/>
    <w:rsid w:val="2A2614BF"/>
    <w:rsid w:val="2AED5F82"/>
    <w:rsid w:val="2B746B21"/>
    <w:rsid w:val="2B794137"/>
    <w:rsid w:val="2BA30FD0"/>
    <w:rsid w:val="2BFA5278"/>
    <w:rsid w:val="2C17011F"/>
    <w:rsid w:val="2C2B3086"/>
    <w:rsid w:val="2C525562"/>
    <w:rsid w:val="2C610E53"/>
    <w:rsid w:val="2C9A08D9"/>
    <w:rsid w:val="2CA13945"/>
    <w:rsid w:val="2CC24314"/>
    <w:rsid w:val="2D2B3ABD"/>
    <w:rsid w:val="2D5F3C3C"/>
    <w:rsid w:val="2D9B2143"/>
    <w:rsid w:val="2D9E319D"/>
    <w:rsid w:val="2DFE6E37"/>
    <w:rsid w:val="2EC15BD9"/>
    <w:rsid w:val="2ECB2EFB"/>
    <w:rsid w:val="2EEB4374"/>
    <w:rsid w:val="2F25260C"/>
    <w:rsid w:val="2F6B1FE9"/>
    <w:rsid w:val="2F762E67"/>
    <w:rsid w:val="3075313F"/>
    <w:rsid w:val="309D14D3"/>
    <w:rsid w:val="30B94663"/>
    <w:rsid w:val="30C3032E"/>
    <w:rsid w:val="30F46739"/>
    <w:rsid w:val="312E5FEB"/>
    <w:rsid w:val="31C76D4C"/>
    <w:rsid w:val="31D356B0"/>
    <w:rsid w:val="3244724D"/>
    <w:rsid w:val="324A23F5"/>
    <w:rsid w:val="328A6C2A"/>
    <w:rsid w:val="32B85545"/>
    <w:rsid w:val="33107F03"/>
    <w:rsid w:val="33323549"/>
    <w:rsid w:val="33813B89"/>
    <w:rsid w:val="339C4E66"/>
    <w:rsid w:val="344E0E81"/>
    <w:rsid w:val="349A75F8"/>
    <w:rsid w:val="34EB7E53"/>
    <w:rsid w:val="35156C7E"/>
    <w:rsid w:val="35213875"/>
    <w:rsid w:val="353F5AA9"/>
    <w:rsid w:val="35586B6B"/>
    <w:rsid w:val="355C0AD5"/>
    <w:rsid w:val="35985A6C"/>
    <w:rsid w:val="35A3428A"/>
    <w:rsid w:val="35E11256"/>
    <w:rsid w:val="36034D29"/>
    <w:rsid w:val="36315D3A"/>
    <w:rsid w:val="365E5169"/>
    <w:rsid w:val="36B843E2"/>
    <w:rsid w:val="37305FF2"/>
    <w:rsid w:val="38082ACA"/>
    <w:rsid w:val="38163439"/>
    <w:rsid w:val="38314519"/>
    <w:rsid w:val="38336D98"/>
    <w:rsid w:val="3902576C"/>
    <w:rsid w:val="394A3E0E"/>
    <w:rsid w:val="394B1EE3"/>
    <w:rsid w:val="3A190FBF"/>
    <w:rsid w:val="3A257964"/>
    <w:rsid w:val="3A3A5061"/>
    <w:rsid w:val="3A571AE7"/>
    <w:rsid w:val="3A650E1E"/>
    <w:rsid w:val="3A8D375B"/>
    <w:rsid w:val="3A947B69"/>
    <w:rsid w:val="3AAA60BB"/>
    <w:rsid w:val="3B2E16B6"/>
    <w:rsid w:val="3B3224BA"/>
    <w:rsid w:val="3B530501"/>
    <w:rsid w:val="3BCB0097"/>
    <w:rsid w:val="3C1F267C"/>
    <w:rsid w:val="3C3A47FE"/>
    <w:rsid w:val="3C4B567C"/>
    <w:rsid w:val="3C5B18D3"/>
    <w:rsid w:val="3C6C6886"/>
    <w:rsid w:val="3C813743"/>
    <w:rsid w:val="3CAB3899"/>
    <w:rsid w:val="3D1367F7"/>
    <w:rsid w:val="3D4B05F7"/>
    <w:rsid w:val="3D536F54"/>
    <w:rsid w:val="3D739DAF"/>
    <w:rsid w:val="3D842BF3"/>
    <w:rsid w:val="3D995F73"/>
    <w:rsid w:val="3DAE5EC2"/>
    <w:rsid w:val="3DB01C3A"/>
    <w:rsid w:val="3DC868CB"/>
    <w:rsid w:val="3E396CAE"/>
    <w:rsid w:val="3E78202C"/>
    <w:rsid w:val="3F0F473E"/>
    <w:rsid w:val="3FB457A2"/>
    <w:rsid w:val="3FB65AD9"/>
    <w:rsid w:val="3FB82092"/>
    <w:rsid w:val="3FE05723"/>
    <w:rsid w:val="4024421A"/>
    <w:rsid w:val="40371ECC"/>
    <w:rsid w:val="40452C81"/>
    <w:rsid w:val="42312C1E"/>
    <w:rsid w:val="424B0183"/>
    <w:rsid w:val="42750D5C"/>
    <w:rsid w:val="42B12EA9"/>
    <w:rsid w:val="42EB4309"/>
    <w:rsid w:val="42FB3958"/>
    <w:rsid w:val="43AE09CA"/>
    <w:rsid w:val="441421E2"/>
    <w:rsid w:val="445826D6"/>
    <w:rsid w:val="44711C60"/>
    <w:rsid w:val="44CD30D2"/>
    <w:rsid w:val="452F78E8"/>
    <w:rsid w:val="454964D0"/>
    <w:rsid w:val="45AC0F39"/>
    <w:rsid w:val="46AD506D"/>
    <w:rsid w:val="46B502C1"/>
    <w:rsid w:val="46B81CA9"/>
    <w:rsid w:val="470C6541"/>
    <w:rsid w:val="473A07C7"/>
    <w:rsid w:val="476354E9"/>
    <w:rsid w:val="47EA3F9B"/>
    <w:rsid w:val="48054931"/>
    <w:rsid w:val="483D231C"/>
    <w:rsid w:val="484C53E5"/>
    <w:rsid w:val="486C0E54"/>
    <w:rsid w:val="487C41DD"/>
    <w:rsid w:val="48C055EC"/>
    <w:rsid w:val="49351245"/>
    <w:rsid w:val="495B760C"/>
    <w:rsid w:val="49871D8D"/>
    <w:rsid w:val="498B5C77"/>
    <w:rsid w:val="49AE1F3E"/>
    <w:rsid w:val="49DF0B35"/>
    <w:rsid w:val="4A0D488A"/>
    <w:rsid w:val="4A126B89"/>
    <w:rsid w:val="4A161077"/>
    <w:rsid w:val="4A233794"/>
    <w:rsid w:val="4A3A0869"/>
    <w:rsid w:val="4A4A2ACF"/>
    <w:rsid w:val="4A8750CE"/>
    <w:rsid w:val="4ABB65DC"/>
    <w:rsid w:val="4B1F5D09"/>
    <w:rsid w:val="4B232DA2"/>
    <w:rsid w:val="4BE01CBF"/>
    <w:rsid w:val="4BF935DC"/>
    <w:rsid w:val="4C63431C"/>
    <w:rsid w:val="4C637F6F"/>
    <w:rsid w:val="4D453A21"/>
    <w:rsid w:val="4D562C80"/>
    <w:rsid w:val="4D930C30"/>
    <w:rsid w:val="4D9E721C"/>
    <w:rsid w:val="4DCF05E3"/>
    <w:rsid w:val="4DEB45C9"/>
    <w:rsid w:val="4E2979E5"/>
    <w:rsid w:val="4E600B13"/>
    <w:rsid w:val="4EF86F9D"/>
    <w:rsid w:val="4EFB6A8D"/>
    <w:rsid w:val="4F6208BA"/>
    <w:rsid w:val="4F8D1A22"/>
    <w:rsid w:val="4F910B3F"/>
    <w:rsid w:val="4F936CC6"/>
    <w:rsid w:val="4F9812E6"/>
    <w:rsid w:val="501C6CBB"/>
    <w:rsid w:val="501D6F9B"/>
    <w:rsid w:val="50402E5B"/>
    <w:rsid w:val="510D292B"/>
    <w:rsid w:val="511356C3"/>
    <w:rsid w:val="511676E7"/>
    <w:rsid w:val="51625CF9"/>
    <w:rsid w:val="51932FAD"/>
    <w:rsid w:val="51E46FDF"/>
    <w:rsid w:val="522602C5"/>
    <w:rsid w:val="523227C6"/>
    <w:rsid w:val="52376968"/>
    <w:rsid w:val="525766D1"/>
    <w:rsid w:val="5268268C"/>
    <w:rsid w:val="52754DA9"/>
    <w:rsid w:val="52FB705C"/>
    <w:rsid w:val="530A3743"/>
    <w:rsid w:val="53452D12"/>
    <w:rsid w:val="536852EA"/>
    <w:rsid w:val="53990A5B"/>
    <w:rsid w:val="53A45945"/>
    <w:rsid w:val="53A6324B"/>
    <w:rsid w:val="54297BF9"/>
    <w:rsid w:val="548B315E"/>
    <w:rsid w:val="549F7EBB"/>
    <w:rsid w:val="54BB7C66"/>
    <w:rsid w:val="54C618EB"/>
    <w:rsid w:val="55272665"/>
    <w:rsid w:val="558E2409"/>
    <w:rsid w:val="559D62AC"/>
    <w:rsid w:val="55A27C63"/>
    <w:rsid w:val="55B160F8"/>
    <w:rsid w:val="55EC5382"/>
    <w:rsid w:val="560721BC"/>
    <w:rsid w:val="568F1225"/>
    <w:rsid w:val="56E322E1"/>
    <w:rsid w:val="56FB1D20"/>
    <w:rsid w:val="571701DC"/>
    <w:rsid w:val="57465EFE"/>
    <w:rsid w:val="576176AA"/>
    <w:rsid w:val="57822B16"/>
    <w:rsid w:val="579B7990"/>
    <w:rsid w:val="57A53A3A"/>
    <w:rsid w:val="57D141F5"/>
    <w:rsid w:val="57EC78E5"/>
    <w:rsid w:val="581E3FA7"/>
    <w:rsid w:val="583D33C0"/>
    <w:rsid w:val="587D279C"/>
    <w:rsid w:val="58F5454D"/>
    <w:rsid w:val="590B5B1F"/>
    <w:rsid w:val="590D1897"/>
    <w:rsid w:val="5932754F"/>
    <w:rsid w:val="59691FED"/>
    <w:rsid w:val="597638E0"/>
    <w:rsid w:val="59D46859"/>
    <w:rsid w:val="59E7658C"/>
    <w:rsid w:val="5A1A070F"/>
    <w:rsid w:val="5A276988"/>
    <w:rsid w:val="5A5A6003"/>
    <w:rsid w:val="5B2D7FCE"/>
    <w:rsid w:val="5B9F2500"/>
    <w:rsid w:val="5BF757A2"/>
    <w:rsid w:val="5C125416"/>
    <w:rsid w:val="5C2C4F2D"/>
    <w:rsid w:val="5C451348"/>
    <w:rsid w:val="5C7120A1"/>
    <w:rsid w:val="5C7A0D57"/>
    <w:rsid w:val="5C7D6D34"/>
    <w:rsid w:val="5CB52971"/>
    <w:rsid w:val="5CBA2318"/>
    <w:rsid w:val="5D8F4F70"/>
    <w:rsid w:val="5D9A56C3"/>
    <w:rsid w:val="5DC310BE"/>
    <w:rsid w:val="5DD30284"/>
    <w:rsid w:val="5DDEEC23"/>
    <w:rsid w:val="5E563CE0"/>
    <w:rsid w:val="5E5B30A5"/>
    <w:rsid w:val="5E5D0BCB"/>
    <w:rsid w:val="5E7F3237"/>
    <w:rsid w:val="5E8545C5"/>
    <w:rsid w:val="5EABFCE6"/>
    <w:rsid w:val="5EE70977"/>
    <w:rsid w:val="5F015114"/>
    <w:rsid w:val="5F6B89A8"/>
    <w:rsid w:val="5FCC24AC"/>
    <w:rsid w:val="602045A6"/>
    <w:rsid w:val="608B78E2"/>
    <w:rsid w:val="60975E85"/>
    <w:rsid w:val="60D158A0"/>
    <w:rsid w:val="60DB227B"/>
    <w:rsid w:val="60DC361E"/>
    <w:rsid w:val="612238AF"/>
    <w:rsid w:val="616933C9"/>
    <w:rsid w:val="61734BA9"/>
    <w:rsid w:val="618D1DCC"/>
    <w:rsid w:val="61A15272"/>
    <w:rsid w:val="61C4171F"/>
    <w:rsid w:val="61F93300"/>
    <w:rsid w:val="624A77E6"/>
    <w:rsid w:val="62854B94"/>
    <w:rsid w:val="62B15989"/>
    <w:rsid w:val="62D43425"/>
    <w:rsid w:val="631E435E"/>
    <w:rsid w:val="63213CF4"/>
    <w:rsid w:val="633234DD"/>
    <w:rsid w:val="636D5D54"/>
    <w:rsid w:val="63D86F45"/>
    <w:rsid w:val="6497FC87"/>
    <w:rsid w:val="64CA31F0"/>
    <w:rsid w:val="64D82091"/>
    <w:rsid w:val="64E14962"/>
    <w:rsid w:val="65077AE2"/>
    <w:rsid w:val="65282833"/>
    <w:rsid w:val="652E26F9"/>
    <w:rsid w:val="65366619"/>
    <w:rsid w:val="65711400"/>
    <w:rsid w:val="65727C4B"/>
    <w:rsid w:val="658554FB"/>
    <w:rsid w:val="658B6DC7"/>
    <w:rsid w:val="66083B12"/>
    <w:rsid w:val="660B3602"/>
    <w:rsid w:val="66263F98"/>
    <w:rsid w:val="662E1715"/>
    <w:rsid w:val="664C2BA5"/>
    <w:rsid w:val="667C62AE"/>
    <w:rsid w:val="66AD4998"/>
    <w:rsid w:val="66BA7997"/>
    <w:rsid w:val="66CC2D91"/>
    <w:rsid w:val="676A395C"/>
    <w:rsid w:val="67CD5013"/>
    <w:rsid w:val="6809591F"/>
    <w:rsid w:val="684921C0"/>
    <w:rsid w:val="68662D72"/>
    <w:rsid w:val="68C5715C"/>
    <w:rsid w:val="68CD4B9F"/>
    <w:rsid w:val="698060B5"/>
    <w:rsid w:val="69862BE9"/>
    <w:rsid w:val="6A0B1E23"/>
    <w:rsid w:val="6A250690"/>
    <w:rsid w:val="6A3C6480"/>
    <w:rsid w:val="6A3D5D54"/>
    <w:rsid w:val="6A5938E3"/>
    <w:rsid w:val="6A764478"/>
    <w:rsid w:val="6A86217D"/>
    <w:rsid w:val="6B2947D1"/>
    <w:rsid w:val="6B730FCE"/>
    <w:rsid w:val="6BB87D88"/>
    <w:rsid w:val="6BE26BB3"/>
    <w:rsid w:val="6BFD1C3F"/>
    <w:rsid w:val="6BFF0DBE"/>
    <w:rsid w:val="6C1C0317"/>
    <w:rsid w:val="6C7C2B64"/>
    <w:rsid w:val="6CA10D6E"/>
    <w:rsid w:val="6CDA59FA"/>
    <w:rsid w:val="6CDC3602"/>
    <w:rsid w:val="6D746AAD"/>
    <w:rsid w:val="6D7C62D1"/>
    <w:rsid w:val="6D905609"/>
    <w:rsid w:val="6D943EDD"/>
    <w:rsid w:val="6E315BD0"/>
    <w:rsid w:val="6E495542"/>
    <w:rsid w:val="6E507D6B"/>
    <w:rsid w:val="6E573888"/>
    <w:rsid w:val="6E7D42EE"/>
    <w:rsid w:val="6E9323E7"/>
    <w:rsid w:val="6EA14B04"/>
    <w:rsid w:val="6ECD3B4B"/>
    <w:rsid w:val="6ED96590"/>
    <w:rsid w:val="6EF70BC7"/>
    <w:rsid w:val="6EFA5BAB"/>
    <w:rsid w:val="6F8C57B4"/>
    <w:rsid w:val="6FAB3A9D"/>
    <w:rsid w:val="6FB5053F"/>
    <w:rsid w:val="6FBB07D5"/>
    <w:rsid w:val="6FEB37AA"/>
    <w:rsid w:val="703379DD"/>
    <w:rsid w:val="707A560C"/>
    <w:rsid w:val="711C7DEE"/>
    <w:rsid w:val="715A543E"/>
    <w:rsid w:val="71A87053"/>
    <w:rsid w:val="71B132B0"/>
    <w:rsid w:val="723B6198"/>
    <w:rsid w:val="724F1FEB"/>
    <w:rsid w:val="72575AC4"/>
    <w:rsid w:val="72834520"/>
    <w:rsid w:val="72AE77EF"/>
    <w:rsid w:val="72BB1F0C"/>
    <w:rsid w:val="72D621F5"/>
    <w:rsid w:val="73020FF3"/>
    <w:rsid w:val="739048A5"/>
    <w:rsid w:val="73B07597"/>
    <w:rsid w:val="74096F68"/>
    <w:rsid w:val="74351337"/>
    <w:rsid w:val="74393A30"/>
    <w:rsid w:val="74640AAD"/>
    <w:rsid w:val="747F7695"/>
    <w:rsid w:val="7483115A"/>
    <w:rsid w:val="74896327"/>
    <w:rsid w:val="74B033BE"/>
    <w:rsid w:val="74D91F88"/>
    <w:rsid w:val="750E6C6B"/>
    <w:rsid w:val="756E14B8"/>
    <w:rsid w:val="75954C96"/>
    <w:rsid w:val="75973D58"/>
    <w:rsid w:val="75CF06D9"/>
    <w:rsid w:val="75D1787A"/>
    <w:rsid w:val="75FF4971"/>
    <w:rsid w:val="76045978"/>
    <w:rsid w:val="76133B2A"/>
    <w:rsid w:val="762677D8"/>
    <w:rsid w:val="76724FD8"/>
    <w:rsid w:val="767A350B"/>
    <w:rsid w:val="76A77C3C"/>
    <w:rsid w:val="76C92E49"/>
    <w:rsid w:val="77764653"/>
    <w:rsid w:val="77F205C7"/>
    <w:rsid w:val="783E6762"/>
    <w:rsid w:val="78615304"/>
    <w:rsid w:val="78D76F87"/>
    <w:rsid w:val="78F36455"/>
    <w:rsid w:val="78FD3C75"/>
    <w:rsid w:val="78FD6DDA"/>
    <w:rsid w:val="79075EAB"/>
    <w:rsid w:val="79206F6D"/>
    <w:rsid w:val="79752E15"/>
    <w:rsid w:val="79815C5D"/>
    <w:rsid w:val="79955265"/>
    <w:rsid w:val="7999158E"/>
    <w:rsid w:val="799A6D1F"/>
    <w:rsid w:val="799C57DD"/>
    <w:rsid w:val="79B7167F"/>
    <w:rsid w:val="79FC1788"/>
    <w:rsid w:val="79FC7092"/>
    <w:rsid w:val="79FF4DF3"/>
    <w:rsid w:val="79FF6B82"/>
    <w:rsid w:val="7A08012D"/>
    <w:rsid w:val="7A1940E8"/>
    <w:rsid w:val="7A61783D"/>
    <w:rsid w:val="7A856043"/>
    <w:rsid w:val="7AA716F4"/>
    <w:rsid w:val="7AD44E97"/>
    <w:rsid w:val="7AD61758"/>
    <w:rsid w:val="7AF83CFD"/>
    <w:rsid w:val="7B475882"/>
    <w:rsid w:val="7B6B917E"/>
    <w:rsid w:val="7B7E39DE"/>
    <w:rsid w:val="7B8B5094"/>
    <w:rsid w:val="7B8C08E9"/>
    <w:rsid w:val="7BB4552D"/>
    <w:rsid w:val="7C3F3CD9"/>
    <w:rsid w:val="7C547659"/>
    <w:rsid w:val="7C61572E"/>
    <w:rsid w:val="7CAD0B17"/>
    <w:rsid w:val="7D8628FA"/>
    <w:rsid w:val="7DC2443F"/>
    <w:rsid w:val="7E292420"/>
    <w:rsid w:val="7E525E1A"/>
    <w:rsid w:val="7E65594B"/>
    <w:rsid w:val="7E9F2923"/>
    <w:rsid w:val="7EAA7A04"/>
    <w:rsid w:val="7EC42148"/>
    <w:rsid w:val="7EE33B7E"/>
    <w:rsid w:val="7EEF3F71"/>
    <w:rsid w:val="7F160BF6"/>
    <w:rsid w:val="7F4B5B17"/>
    <w:rsid w:val="7F721BA4"/>
    <w:rsid w:val="7F7F7EC5"/>
    <w:rsid w:val="7FA2248A"/>
    <w:rsid w:val="7FA93818"/>
    <w:rsid w:val="7FB7A371"/>
    <w:rsid w:val="7FDD39BD"/>
    <w:rsid w:val="7FF627D5"/>
    <w:rsid w:val="8FFDC7FF"/>
    <w:rsid w:val="93CF6874"/>
    <w:rsid w:val="BDF76AC6"/>
    <w:rsid w:val="C5EEFA9F"/>
    <w:rsid w:val="DDDB9F7D"/>
    <w:rsid w:val="EFBCB522"/>
    <w:rsid w:val="EFFEC1B5"/>
    <w:rsid w:val="F5B3A934"/>
    <w:rsid w:val="F73B4D63"/>
    <w:rsid w:val="F7AFF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5">
    <w:name w:val="Normal Indent"/>
    <w:basedOn w:val="1"/>
    <w:qFormat/>
    <w:uiPriority w:val="0"/>
    <w:pPr>
      <w:ind w:firstLine="420" w:firstLineChars="200"/>
    </w:pPr>
    <w:rPr>
      <w:szCs w:val="20"/>
    </w:rPr>
  </w:style>
  <w:style w:type="paragraph" w:styleId="6">
    <w:name w:val="annotation text"/>
    <w:basedOn w:val="1"/>
    <w:link w:val="34"/>
    <w:unhideWhenUsed/>
    <w:qFormat/>
    <w:uiPriority w:val="0"/>
    <w:pPr>
      <w:jc w:val="left"/>
    </w:pPr>
    <w:rPr>
      <w:kern w:val="0"/>
      <w:sz w:val="20"/>
    </w:rPr>
  </w:style>
  <w:style w:type="paragraph" w:styleId="7">
    <w:name w:val="Body Text Indent"/>
    <w:basedOn w:val="1"/>
    <w:unhideWhenUsed/>
    <w:qFormat/>
    <w:uiPriority w:val="99"/>
    <w:pPr>
      <w:spacing w:after="120"/>
      <w:ind w:left="420" w:leftChars="200"/>
    </w:pPr>
    <w:rPr>
      <w:kern w:val="0"/>
      <w:sz w:val="20"/>
      <w:szCs w:val="20"/>
    </w:rPr>
  </w:style>
  <w:style w:type="paragraph" w:styleId="8">
    <w:name w:val="Plain Text"/>
    <w:basedOn w:val="1"/>
    <w:qFormat/>
    <w:uiPriority w:val="0"/>
    <w:rPr>
      <w:rFonts w:ascii="宋体" w:hAnsi="Courier New"/>
    </w:rPr>
  </w:style>
  <w:style w:type="paragraph" w:styleId="9">
    <w:name w:val="footer"/>
    <w:basedOn w:val="1"/>
    <w:unhideWhenUsed/>
    <w:qFormat/>
    <w:uiPriority w:val="99"/>
    <w:pPr>
      <w:tabs>
        <w:tab w:val="center" w:pos="4153"/>
        <w:tab w:val="right" w:pos="8306"/>
      </w:tabs>
      <w:snapToGrid w:val="0"/>
      <w:jc w:val="left"/>
    </w:pPr>
    <w:rPr>
      <w:kern w:val="0"/>
      <w:sz w:val="18"/>
      <w:szCs w:val="18"/>
    </w:rPr>
  </w:style>
  <w:style w:type="paragraph" w:styleId="10">
    <w:name w:val="header"/>
    <w:basedOn w:val="1"/>
    <w:link w:val="33"/>
    <w:qFormat/>
    <w:uiPriority w:val="0"/>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Body Text 2"/>
    <w:basedOn w:val="1"/>
    <w:qFormat/>
    <w:uiPriority w:val="99"/>
    <w:pPr>
      <w:spacing w:before="240"/>
    </w:pPr>
    <w:rPr>
      <w:rFonts w:ascii="Calibri" w:hAnsi="Calibri"/>
      <w:color w:val="FF0000"/>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qFormat/>
    <w:uiPriority w:val="0"/>
    <w:pPr>
      <w:spacing w:before="240" w:after="60"/>
      <w:jc w:val="center"/>
      <w:outlineLvl w:val="0"/>
    </w:pPr>
    <w:rPr>
      <w:rFonts w:ascii="Arial" w:hAnsi="Arial" w:eastAsia="隶书"/>
      <w:b/>
      <w:bCs/>
      <w:sz w:val="32"/>
      <w:szCs w:val="32"/>
    </w:rPr>
  </w:style>
  <w:style w:type="paragraph" w:styleId="15">
    <w:name w:val="annotation subject"/>
    <w:basedOn w:val="6"/>
    <w:next w:val="6"/>
    <w:link w:val="35"/>
    <w:qFormat/>
    <w:uiPriority w:val="0"/>
    <w:rPr>
      <w:b/>
      <w:bCs/>
      <w:kern w:val="2"/>
      <w:sz w:val="21"/>
    </w:rPr>
  </w:style>
  <w:style w:type="paragraph" w:styleId="16">
    <w:name w:val="Body Text First Indent"/>
    <w:basedOn w:val="2"/>
    <w:qFormat/>
    <w:uiPriority w:val="0"/>
    <w:pPr>
      <w:snapToGrid w:val="0"/>
      <w:spacing w:line="560" w:lineRule="exact"/>
      <w:ind w:firstLine="200" w:firstLineChars="200"/>
    </w:pPr>
    <w:rPr>
      <w:rFonts w:ascii="仿宋" w:hAnsi="仿宋" w:cs="仿宋"/>
    </w:rPr>
  </w:style>
  <w:style w:type="table" w:styleId="18">
    <w:name w:val="Table Grid"/>
    <w:basedOn w:val="1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qFormat/>
    <w:uiPriority w:val="0"/>
  </w:style>
  <w:style w:type="character" w:styleId="22">
    <w:name w:val="annotation reference"/>
    <w:basedOn w:val="19"/>
    <w:qFormat/>
    <w:uiPriority w:val="0"/>
    <w:rPr>
      <w:sz w:val="21"/>
      <w:szCs w:val="21"/>
    </w:rPr>
  </w:style>
  <w:style w:type="paragraph" w:styleId="23">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5">
    <w:name w:val="List Paragraph"/>
    <w:basedOn w:val="1"/>
    <w:qFormat/>
    <w:uiPriority w:val="34"/>
    <w:pPr>
      <w:ind w:firstLine="420" w:firstLineChars="200"/>
    </w:pPr>
  </w:style>
  <w:style w:type="character" w:customStyle="1" w:styleId="26">
    <w:name w:val="NormalCharacter"/>
    <w:qFormat/>
    <w:uiPriority w:val="0"/>
    <w:rPr>
      <w:kern w:val="2"/>
      <w:sz w:val="21"/>
      <w:szCs w:val="24"/>
      <w:lang w:val="en-US" w:eastAsia="zh-CN" w:bidi="ar-SA"/>
    </w:rPr>
  </w:style>
  <w:style w:type="paragraph" w:customStyle="1" w:styleId="27">
    <w:name w:val="Table Paragraph"/>
    <w:basedOn w:val="1"/>
    <w:qFormat/>
    <w:uiPriority w:val="0"/>
    <w:pPr>
      <w:autoSpaceDE w:val="0"/>
      <w:autoSpaceDN w:val="0"/>
      <w:jc w:val="left"/>
    </w:pPr>
    <w:rPr>
      <w:rFonts w:ascii="宋体" w:hAnsi="宋体" w:cs="宋体"/>
      <w:kern w:val="0"/>
      <w:sz w:val="22"/>
      <w:szCs w:val="22"/>
    </w:rPr>
  </w:style>
  <w:style w:type="paragraph" w:customStyle="1" w:styleId="28">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qowt-font5-gb2312"/>
    <w:qFormat/>
    <w:uiPriority w:val="0"/>
  </w:style>
  <w:style w:type="paragraph" w:customStyle="1" w:styleId="30">
    <w:name w:val="正文格式"/>
    <w:basedOn w:val="7"/>
    <w:qFormat/>
    <w:uiPriority w:val="99"/>
    <w:pPr>
      <w:spacing w:after="0" w:line="360" w:lineRule="auto"/>
      <w:ind w:left="0" w:leftChars="0" w:firstLine="600"/>
    </w:pPr>
    <w:rPr>
      <w:rFonts w:eastAsia="仿宋_GB2312"/>
      <w:sz w:val="30"/>
      <w:szCs w:val="30"/>
    </w:rPr>
  </w:style>
  <w:style w:type="paragraph" w:customStyle="1" w:styleId="31">
    <w:name w:val="msolistparagraph"/>
    <w:basedOn w:val="1"/>
    <w:qFormat/>
    <w:uiPriority w:val="0"/>
    <w:pPr>
      <w:ind w:firstLine="420" w:firstLineChars="200"/>
    </w:pPr>
  </w:style>
  <w:style w:type="paragraph" w:customStyle="1" w:styleId="3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页眉 字符"/>
    <w:basedOn w:val="19"/>
    <w:link w:val="10"/>
    <w:qFormat/>
    <w:uiPriority w:val="0"/>
    <w:rPr>
      <w:kern w:val="2"/>
      <w:sz w:val="18"/>
      <w:szCs w:val="18"/>
    </w:rPr>
  </w:style>
  <w:style w:type="character" w:customStyle="1" w:styleId="34">
    <w:name w:val="批注文字 字符"/>
    <w:basedOn w:val="19"/>
    <w:link w:val="6"/>
    <w:qFormat/>
    <w:uiPriority w:val="0"/>
    <w:rPr>
      <w:szCs w:val="24"/>
    </w:rPr>
  </w:style>
  <w:style w:type="character" w:customStyle="1" w:styleId="35">
    <w:name w:val="批注主题 字符"/>
    <w:basedOn w:val="34"/>
    <w:link w:val="15"/>
    <w:qFormat/>
    <w:uiPriority w:val="0"/>
    <w:rPr>
      <w:b/>
      <w:bCs/>
      <w:kern w:val="2"/>
      <w:sz w:val="21"/>
      <w:szCs w:val="24"/>
    </w:rPr>
  </w:style>
  <w:style w:type="paragraph" w:customStyle="1" w:styleId="36">
    <w:name w:val="List Paragraph1"/>
    <w:qFormat/>
    <w:uiPriority w:val="99"/>
    <w:pPr>
      <w:widowControl w:val="0"/>
      <w:ind w:firstLine="420" w:firstLineChars="20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16797</Words>
  <Characters>17460</Characters>
  <Lines>412</Lines>
  <Paragraphs>116</Paragraphs>
  <TotalTime>1</TotalTime>
  <ScaleCrop>false</ScaleCrop>
  <LinksUpToDate>false</LinksUpToDate>
  <CharactersWithSpaces>17889</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2025-02-13T17:50:00Z</dcterms:created>
  <dc:creator>黎俊</dc:creator>
  <cp:lastModifiedBy>黎俊</cp:lastModifiedBy>
  <dcterms:modified xsi:type="dcterms:W3CDTF">2025-12-12T09:36:30Z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eyJoZGlkIjoiMmVhYjIwYTFkMDUyN2RmOGI2OTNiMWRjYmY5MjBlYTUiLCJ1c2VySWQiOiIzOTQyODIxNTkifQ==</vt:lpwstr>
  </property>
  <property fmtid="{D5CDD505-2E9C-101B-9397-08002B2CF9AE}" pid="4" name="ICV">
    <vt:lpwstr>1EAFB7D673B44A61A7F06AF27FA7B1DA_13</vt:lpwstr>
  </property>
</Properties>
</file>