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highlight w:val="none"/>
          <w14:textFill>
            <w14:solidFill>
              <w14:schemeClr w14:val="tx1"/>
            </w14:solidFill>
          </w14:textFill>
        </w:rPr>
      </w:pPr>
    </w:p>
    <w:p>
      <w:pPr>
        <w:jc w:val="center"/>
        <w:rPr>
          <w:rFonts w:hint="eastAsia" w:ascii="宋体" w:hAnsi="宋体" w:cs="宋体"/>
          <w:b/>
          <w:color w:val="000000" w:themeColor="text1"/>
          <w:sz w:val="72"/>
          <w:szCs w:val="72"/>
          <w:highlight w:val="none"/>
          <w14:textFill>
            <w14:solidFill>
              <w14:schemeClr w14:val="tx1"/>
            </w14:solidFill>
          </w14:textFill>
        </w:rPr>
      </w:pPr>
      <w:r>
        <w:rPr>
          <w:rFonts w:hint="eastAsia" w:ascii="宋体" w:hAnsi="宋体" w:cs="宋体"/>
          <w:b/>
          <w:color w:val="000000" w:themeColor="text1"/>
          <w:sz w:val="72"/>
          <w:szCs w:val="72"/>
          <w:highlight w:val="none"/>
          <w14:textFill>
            <w14:solidFill>
              <w14:schemeClr w14:val="tx1"/>
            </w14:solidFill>
          </w14:textFill>
        </w:rPr>
        <w:t>简易招标文件</w:t>
      </w:r>
    </w:p>
    <w:p>
      <w:pPr>
        <w:jc w:val="center"/>
        <w:rPr>
          <w:rFonts w:hint="eastAsia" w:ascii="宋体" w:hAnsi="宋体" w:cs="宋体"/>
          <w:color w:val="000000" w:themeColor="text1"/>
          <w:highlight w:val="none"/>
          <w14:textFill>
            <w14:solidFill>
              <w14:schemeClr w14:val="tx1"/>
            </w14:solidFill>
          </w14:textFill>
        </w:rPr>
      </w:pPr>
    </w:p>
    <w:p>
      <w:pPr>
        <w:rPr>
          <w:rFonts w:hint="eastAsia" w:ascii="宋体" w:hAnsi="宋体" w:cs="宋体"/>
          <w:color w:val="000000" w:themeColor="text1"/>
          <w:highlight w:val="none"/>
          <w14:textFill>
            <w14:solidFill>
              <w14:schemeClr w14:val="tx1"/>
            </w14:solidFill>
          </w14:textFill>
        </w:rPr>
      </w:pPr>
    </w:p>
    <w:p>
      <w:pPr>
        <w:pStyle w:val="27"/>
        <w:ind w:firstLine="420"/>
        <w:rPr>
          <w:rFonts w:hint="eastAsia" w:ascii="宋体" w:hAnsi="宋体" w:cs="宋体"/>
          <w:color w:val="000000" w:themeColor="text1"/>
          <w:highlight w:val="none"/>
          <w14:textFill>
            <w14:solidFill>
              <w14:schemeClr w14:val="tx1"/>
            </w14:solidFill>
          </w14:textFill>
        </w:rPr>
      </w:pPr>
    </w:p>
    <w:p>
      <w:pPr>
        <w:pStyle w:val="27"/>
        <w:ind w:firstLine="420"/>
        <w:rPr>
          <w:rFonts w:hint="eastAsia" w:ascii="宋体" w:hAnsi="宋体" w:cs="宋体"/>
          <w:color w:val="000000" w:themeColor="text1"/>
          <w:highlight w:val="none"/>
          <w14:textFill>
            <w14:solidFill>
              <w14:schemeClr w14:val="tx1"/>
            </w14:solidFill>
          </w14:textFill>
        </w:rPr>
      </w:pPr>
    </w:p>
    <w:p>
      <w:pPr>
        <w:rPr>
          <w:rFonts w:hint="eastAsia" w:ascii="宋体" w:hAnsi="宋体" w:cs="宋体"/>
          <w:b/>
          <w:color w:val="000000" w:themeColor="text1"/>
          <w:sz w:val="44"/>
          <w:highlight w:val="none"/>
          <w14:textFill>
            <w14:solidFill>
              <w14:schemeClr w14:val="tx1"/>
            </w14:solidFill>
          </w14:textFill>
        </w:rPr>
      </w:pPr>
    </w:p>
    <w:p>
      <w:pPr>
        <w:ind w:left="2326" w:leftChars="247" w:right="-319" w:rightChars="-152" w:hanging="1807" w:hangingChars="500"/>
        <w:rPr>
          <w:rFonts w:hint="eastAsia"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招标编号：QH2025153</w:t>
      </w:r>
    </w:p>
    <w:p>
      <w:pPr>
        <w:pStyle w:val="27"/>
        <w:ind w:firstLine="420"/>
        <w:rPr>
          <w:rFonts w:hint="eastAsia" w:ascii="宋体" w:hAnsi="宋体" w:cs="宋体"/>
          <w:color w:val="000000" w:themeColor="text1"/>
          <w:highlight w:val="none"/>
          <w14:textFill>
            <w14:solidFill>
              <w14:schemeClr w14:val="tx1"/>
            </w14:solidFill>
          </w14:textFill>
        </w:rPr>
      </w:pPr>
    </w:p>
    <w:p>
      <w:pPr>
        <w:pStyle w:val="27"/>
        <w:ind w:firstLine="420"/>
        <w:rPr>
          <w:rFonts w:hint="eastAsia" w:ascii="宋体" w:hAnsi="宋体" w:cs="宋体"/>
          <w:color w:val="000000" w:themeColor="text1"/>
          <w:highlight w:val="none"/>
          <w14:textFill>
            <w14:solidFill>
              <w14:schemeClr w14:val="tx1"/>
            </w14:solidFill>
          </w14:textFill>
        </w:rPr>
      </w:pPr>
    </w:p>
    <w:p>
      <w:pPr>
        <w:pStyle w:val="27"/>
        <w:ind w:firstLine="420"/>
        <w:rPr>
          <w:rFonts w:hint="eastAsia" w:ascii="宋体" w:hAnsi="宋体" w:cs="宋体"/>
          <w:color w:val="000000" w:themeColor="text1"/>
          <w:highlight w:val="none"/>
          <w14:textFill>
            <w14:solidFill>
              <w14:schemeClr w14:val="tx1"/>
            </w14:solidFill>
          </w14:textFill>
        </w:rPr>
      </w:pPr>
    </w:p>
    <w:p>
      <w:pPr>
        <w:ind w:left="2304" w:leftChars="247" w:right="-319" w:rightChars="-152" w:hanging="1785" w:hangingChars="494"/>
        <w:rPr>
          <w:rFonts w:hint="eastAsia"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招标项目：深圳市前海深港现代服务业合作区管理局企业年金基金受托管理服务采购项目</w:t>
      </w:r>
    </w:p>
    <w:p>
      <w:pPr>
        <w:ind w:firstLine="3264" w:firstLineChars="739"/>
        <w:rPr>
          <w:rFonts w:hint="eastAsia" w:ascii="宋体" w:hAnsi="宋体" w:cs="宋体"/>
          <w:b/>
          <w:color w:val="000000" w:themeColor="text1"/>
          <w:sz w:val="44"/>
          <w:highlight w:val="none"/>
          <w14:textFill>
            <w14:solidFill>
              <w14:schemeClr w14:val="tx1"/>
            </w14:solidFill>
          </w14:textFill>
        </w:rPr>
      </w:pPr>
    </w:p>
    <w:p>
      <w:pPr>
        <w:ind w:left="1260" w:leftChars="600" w:firstLine="1855" w:firstLineChars="420"/>
        <w:rPr>
          <w:rFonts w:hint="eastAsia" w:ascii="宋体" w:hAnsi="宋体" w:cs="宋体"/>
          <w:b/>
          <w:color w:val="000000" w:themeColor="text1"/>
          <w:sz w:val="44"/>
          <w:highlight w:val="none"/>
          <w14:textFill>
            <w14:solidFill>
              <w14:schemeClr w14:val="tx1"/>
            </w14:solidFill>
          </w14:textFill>
        </w:rPr>
      </w:pPr>
    </w:p>
    <w:p>
      <w:pPr>
        <w:rPr>
          <w:rFonts w:hint="eastAsia" w:ascii="宋体" w:hAnsi="宋体" w:cs="宋体"/>
          <w:b/>
          <w:color w:val="000000" w:themeColor="text1"/>
          <w:sz w:val="44"/>
          <w:highlight w:val="none"/>
          <w14:textFill>
            <w14:solidFill>
              <w14:schemeClr w14:val="tx1"/>
            </w14:solidFill>
          </w14:textFill>
        </w:rPr>
      </w:pPr>
    </w:p>
    <w:p>
      <w:pPr>
        <w:jc w:val="center"/>
        <w:rPr>
          <w:rFonts w:hint="eastAsia" w:ascii="宋体" w:hAnsi="宋体" w:cs="宋体"/>
          <w:b/>
          <w:bCs/>
          <w:color w:val="000000" w:themeColor="text1"/>
          <w:sz w:val="36"/>
          <w:szCs w:val="36"/>
          <w:highlight w:val="none"/>
          <w:lang w:val="zh-CN"/>
          <w14:textFill>
            <w14:solidFill>
              <w14:schemeClr w14:val="tx1"/>
            </w14:solidFill>
          </w14:textFill>
        </w:rPr>
      </w:pPr>
      <w:r>
        <w:rPr>
          <w:rFonts w:hint="eastAsia" w:ascii="宋体" w:hAnsi="宋体" w:cs="宋体"/>
          <w:b/>
          <w:bCs/>
          <w:color w:val="000000" w:themeColor="text1"/>
          <w:sz w:val="36"/>
          <w:szCs w:val="36"/>
          <w:highlight w:val="none"/>
          <w:lang w:val="zh-CN"/>
          <w14:textFill>
            <w14:solidFill>
              <w14:schemeClr w14:val="tx1"/>
            </w14:solidFill>
          </w14:textFill>
        </w:rPr>
        <w:t>深圳市前海深港现代服务业合作区管理局</w:t>
      </w:r>
    </w:p>
    <w:p>
      <w:pPr>
        <w:jc w:val="center"/>
        <w:rPr>
          <w:rFonts w:hint="eastAsia" w:ascii="宋体" w:hAnsi="宋体" w:cs="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2025年11月</w:t>
      </w:r>
    </w:p>
    <w:p>
      <w:pPr>
        <w:autoSpaceDE w:val="0"/>
        <w:autoSpaceDN w:val="0"/>
        <w:adjustRightInd w:val="0"/>
        <w:spacing w:line="360" w:lineRule="auto"/>
        <w:jc w:val="center"/>
        <w:rPr>
          <w:rFonts w:hint="eastAsia" w:ascii="宋体" w:hAnsi="宋体" w:cs="宋体"/>
          <w:b/>
          <w:bCs/>
          <w:color w:val="000000" w:themeColor="text1"/>
          <w:kern w:val="0"/>
          <w:sz w:val="36"/>
          <w:szCs w:val="36"/>
          <w:highlight w:val="none"/>
          <w14:textFill>
            <w14:solidFill>
              <w14:schemeClr w14:val="tx1"/>
            </w14:solidFill>
          </w14:textFill>
        </w:rPr>
      </w:pPr>
      <w:bookmarkStart w:id="0" w:name="_Toc12932"/>
      <w:r>
        <w:rPr>
          <w:rFonts w:ascii="宋体" w:hAnsi="宋体"/>
          <w:b/>
          <w:bCs/>
          <w:color w:val="000000" w:themeColor="text1"/>
          <w:sz w:val="32"/>
          <w:szCs w:val="40"/>
          <w:highlight w:val="none"/>
          <w:u w:val="single"/>
          <w14:textFill>
            <w14:solidFill>
              <w14:schemeClr w14:val="tx1"/>
            </w14:solidFill>
          </w14:textFill>
        </w:rPr>
        <w:br w:type="page"/>
      </w:r>
      <w:r>
        <w:rPr>
          <w:rFonts w:hint="eastAsia" w:ascii="宋体" w:hAnsi="宋体" w:cs="宋体"/>
          <w:b/>
          <w:bCs/>
          <w:color w:val="000000" w:themeColor="text1"/>
          <w:kern w:val="0"/>
          <w:sz w:val="36"/>
          <w:szCs w:val="36"/>
          <w:highlight w:val="none"/>
          <w14:textFill>
            <w14:solidFill>
              <w14:schemeClr w14:val="tx1"/>
            </w14:solidFill>
          </w14:textFill>
        </w:rPr>
        <w:t>特别警示条款</w:t>
      </w: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7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序号</w:t>
            </w:r>
          </w:p>
        </w:tc>
        <w:tc>
          <w:tcPr>
            <w:tcW w:w="4482" w:type="pct"/>
            <w:vAlign w:val="center"/>
          </w:tcPr>
          <w:p>
            <w:pPr>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4482" w:type="pct"/>
            <w:vAlign w:val="center"/>
          </w:tcPr>
          <w:p>
            <w:pPr>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与其他投标供应商的法定代表人、主要经营负责人、投标授权代表人、项目负责人、主要技术人员为</w:t>
            </w:r>
            <w:r>
              <w:rPr>
                <w:rFonts w:hint="eastAsia" w:ascii="宋体" w:hAnsi="宋体" w:cs="宋体"/>
                <w:b/>
                <w:bCs/>
                <w:color w:val="000000" w:themeColor="text1"/>
                <w:sz w:val="24"/>
                <w:highlight w:val="none"/>
                <w14:textFill>
                  <w14:solidFill>
                    <w14:schemeClr w14:val="tx1"/>
                  </w14:solidFill>
                </w14:textFill>
              </w:rPr>
              <w:t>同一人、属同一单位或者在同一单位缴纳社会保险</w:t>
            </w:r>
            <w:r>
              <w:rPr>
                <w:rFonts w:hint="eastAsia" w:ascii="宋体" w:hAnsi="宋体" w:cs="宋体"/>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4482" w:type="pct"/>
            <w:vAlign w:val="center"/>
          </w:tcPr>
          <w:p>
            <w:pPr>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参与本项目政府采购活动时，与其他投标供应商存在单位负责人为</w:t>
            </w:r>
            <w:r>
              <w:rPr>
                <w:rFonts w:hint="eastAsia" w:ascii="宋体" w:hAnsi="宋体" w:cs="宋体"/>
                <w:b/>
                <w:bCs/>
                <w:color w:val="000000" w:themeColor="text1"/>
                <w:sz w:val="24"/>
                <w:highlight w:val="none"/>
                <w14:textFill>
                  <w14:solidFill>
                    <w14:schemeClr w14:val="tx1"/>
                  </w14:solidFill>
                </w14:textFill>
              </w:rPr>
              <w:t>同一人或直接控股、管理关系</w:t>
            </w:r>
            <w:r>
              <w:rPr>
                <w:rFonts w:hint="eastAsia" w:ascii="宋体" w:hAnsi="宋体" w:cs="宋体"/>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4482" w:type="pct"/>
            <w:vAlign w:val="center"/>
          </w:tcPr>
          <w:p>
            <w:pPr>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与其他投标供应商的投标文件或部分投标文件</w:t>
            </w:r>
            <w:r>
              <w:rPr>
                <w:rFonts w:hint="eastAsia" w:ascii="宋体" w:hAnsi="宋体" w:cs="宋体"/>
                <w:b/>
                <w:bCs/>
                <w:color w:val="000000" w:themeColor="text1"/>
                <w:sz w:val="24"/>
                <w:highlight w:val="none"/>
                <w14:textFill>
                  <w14:solidFill>
                    <w14:schemeClr w14:val="tx1"/>
                  </w14:solidFill>
                </w14:textFill>
              </w:rPr>
              <w:t>相互混装或存在非正常一致</w:t>
            </w:r>
            <w:r>
              <w:rPr>
                <w:rFonts w:hint="eastAsia" w:ascii="宋体" w:hAnsi="宋体" w:cs="宋体"/>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4482" w:type="pct"/>
            <w:vAlign w:val="center"/>
          </w:tcPr>
          <w:p>
            <w:pPr>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与其他投标供应商的投标文件由</w:t>
            </w:r>
            <w:r>
              <w:rPr>
                <w:rFonts w:hint="eastAsia" w:ascii="宋体" w:hAnsi="宋体" w:cs="宋体"/>
                <w:b/>
                <w:bCs/>
                <w:color w:val="000000" w:themeColor="text1"/>
                <w:sz w:val="24"/>
                <w:highlight w:val="none"/>
                <w14:textFill>
                  <w14:solidFill>
                    <w14:schemeClr w14:val="tx1"/>
                  </w14:solidFill>
                </w14:textFill>
              </w:rPr>
              <w:t>同一单位或者同一人编制</w:t>
            </w:r>
            <w:r>
              <w:rPr>
                <w:rFonts w:hint="eastAsia" w:ascii="宋体" w:hAnsi="宋体" w:cs="宋体"/>
                <w:color w:val="000000" w:themeColor="text1"/>
                <w:sz w:val="24"/>
                <w:highlight w:val="none"/>
                <w14:textFill>
                  <w14:solidFill>
                    <w14:schemeClr w14:val="tx1"/>
                  </w14:solidFill>
                </w14:textFill>
              </w:rPr>
              <w:t>，或者使用</w:t>
            </w:r>
            <w:r>
              <w:rPr>
                <w:rFonts w:hint="eastAsia" w:ascii="宋体" w:hAnsi="宋体" w:cs="宋体"/>
                <w:b/>
                <w:bCs/>
                <w:color w:val="000000" w:themeColor="text1"/>
                <w:sz w:val="24"/>
                <w:highlight w:val="none"/>
                <w14:textFill>
                  <w14:solidFill>
                    <w14:schemeClr w14:val="tx1"/>
                  </w14:solidFill>
                </w14:textFill>
              </w:rPr>
              <w:t>同一设备编制</w:t>
            </w:r>
            <w:r>
              <w:rPr>
                <w:rFonts w:hint="eastAsia" w:ascii="宋体" w:hAnsi="宋体" w:cs="宋体"/>
                <w:color w:val="000000" w:themeColor="text1"/>
                <w:sz w:val="24"/>
                <w:highlight w:val="none"/>
                <w14:textFill>
                  <w14:solidFill>
                    <w14:schemeClr w14:val="tx1"/>
                  </w14:solidFill>
                </w14:textFill>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4482" w:type="pct"/>
            <w:vAlign w:val="center"/>
          </w:tcPr>
          <w:p>
            <w:pPr>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提供</w:t>
            </w:r>
            <w:r>
              <w:rPr>
                <w:rFonts w:hint="eastAsia" w:ascii="宋体" w:hAnsi="宋体" w:cs="宋体"/>
                <w:b/>
                <w:bCs/>
                <w:color w:val="000000" w:themeColor="text1"/>
                <w:sz w:val="24"/>
                <w:highlight w:val="none"/>
                <w14:textFill>
                  <w14:solidFill>
                    <w14:schemeClr w14:val="tx1"/>
                  </w14:solidFill>
                </w14:textFill>
              </w:rPr>
              <w:t>未经出具机构核实</w:t>
            </w:r>
            <w:r>
              <w:rPr>
                <w:rFonts w:hint="eastAsia" w:ascii="宋体" w:hAnsi="宋体" w:cs="宋体"/>
                <w:color w:val="000000" w:themeColor="text1"/>
                <w:sz w:val="24"/>
                <w:highlight w:val="none"/>
                <w14:textFill>
                  <w14:solidFill>
                    <w14:schemeClr w14:val="tx1"/>
                  </w14:solidFill>
                </w14:textFill>
              </w:rPr>
              <w:t>的虚假的检验检测报告、业绩材料、社保缴纳证明、学历学位证书、职称认证证书等材料。</w:t>
            </w:r>
          </w:p>
        </w:tc>
      </w:tr>
    </w:tbl>
    <w:p>
      <w:pPr>
        <w:autoSpaceDE w:val="0"/>
        <w:autoSpaceDN w:val="0"/>
        <w:adjustRightInd w:val="0"/>
        <w:spacing w:line="360" w:lineRule="auto"/>
        <w:jc w:val="center"/>
        <w:rPr>
          <w:rFonts w:hint="eastAsia"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《深圳经济特区政府采购条例》</w:t>
      </w:r>
    </w:p>
    <w:p>
      <w:pPr>
        <w:autoSpaceDE w:val="0"/>
        <w:autoSpaceDN w:val="0"/>
        <w:adjustRightInd w:val="0"/>
        <w:spacing w:line="360" w:lineRule="auto"/>
        <w:ind w:left="239" w:leftChars="114" w:firstLine="241" w:firstLineChars="100"/>
        <w:jc w:val="left"/>
        <w:rPr>
          <w:rFonts w:hint="eastAsia" w:ascii="宋体" w:hAnsi="宋体" w:cs="宋体"/>
          <w:color w:val="000000" w:themeColor="text1"/>
          <w:sz w:val="24"/>
          <w:highlight w:val="none"/>
          <w14:textFill>
            <w14:solidFill>
              <w14:schemeClr w14:val="tx1"/>
            </w14:solidFill>
          </w14:textFill>
        </w:rPr>
      </w:pPr>
      <w:r>
        <w:rPr>
          <w:rStyle w:val="23"/>
          <w:rFonts w:hint="eastAsia" w:ascii="宋体" w:hAnsi="宋体" w:cs="宋体"/>
          <w:color w:val="000000" w:themeColor="text1"/>
          <w:sz w:val="24"/>
          <w:highlight w:val="none"/>
          <w14:textFill>
            <w14:solidFill>
              <w14:schemeClr w14:val="tx1"/>
            </w14:solidFill>
          </w14:textFill>
        </w:rPr>
        <w:t>第五十七条</w:t>
      </w:r>
      <w:r>
        <w:rPr>
          <w:rFonts w:hint="eastAsia" w:ascii="宋体" w:hAnsi="宋体" w:cs="宋体"/>
          <w:color w:val="000000" w:themeColor="text1"/>
          <w:sz w:val="24"/>
          <w:highlight w:val="none"/>
          <w14:textFill>
            <w14:solidFill>
              <w14:schemeClr w14:val="tx1"/>
            </w14:solidFill>
          </w14:textFill>
        </w:rPr>
        <w:t>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6"/>
        <w:shd w:val="clear" w:color="auto" w:fill="FFFFFF"/>
        <w:spacing w:before="0" w:beforeAutospacing="0" w:after="0" w:afterAutospacing="0" w:line="360" w:lineRule="auto"/>
        <w:ind w:firstLine="480" w:firstLineChars="200"/>
        <w:rPr>
          <w:rFonts w:hint="eastAsia"/>
          <w:color w:val="000000" w:themeColor="text1"/>
          <w:highlight w:val="none"/>
          <w14:textFill>
            <w14:solidFill>
              <w14:schemeClr w14:val="tx1"/>
            </w14:solidFill>
          </w14:textFill>
        </w:rPr>
      </w:pPr>
      <w:bookmarkStart w:id="1" w:name="_Toc2750"/>
      <w:r>
        <w:rPr>
          <w:rFonts w:hint="eastAsia"/>
          <w:color w:val="000000" w:themeColor="text1"/>
          <w:highlight w:val="none"/>
          <w14:textFill>
            <w14:solidFill>
              <w14:schemeClr w14:val="tx1"/>
            </w14:solidFill>
          </w14:textFill>
        </w:rPr>
        <w:t>（一）在采购活动中应当回避而未回避的；</w:t>
      </w:r>
      <w:bookmarkEnd w:id="1"/>
    </w:p>
    <w:p>
      <w:pPr>
        <w:pStyle w:val="16"/>
        <w:shd w:val="clear" w:color="auto" w:fill="FFFFFF"/>
        <w:spacing w:before="0" w:beforeAutospacing="0" w:after="0" w:afterAutospacing="0"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（二）未按照本条例规定签订、履行采购合同，造成严重后果的；</w:t>
      </w:r>
    </w:p>
    <w:p>
      <w:pPr>
        <w:pStyle w:val="16"/>
        <w:shd w:val="clear" w:color="auto" w:fill="FFFFFF"/>
        <w:spacing w:before="0" w:beforeAutospacing="0" w:after="0" w:afterAutospacing="0"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（三）隐瞒真实情况，提供虚假资料的；</w:t>
      </w:r>
    </w:p>
    <w:p>
      <w:pPr>
        <w:pStyle w:val="16"/>
        <w:shd w:val="clear" w:color="auto" w:fill="FFFFFF"/>
        <w:spacing w:before="0" w:beforeAutospacing="0" w:after="0" w:afterAutospacing="0"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（四）以非法手段排斥其他供应商参与竞争的；</w:t>
      </w:r>
    </w:p>
    <w:p>
      <w:pPr>
        <w:pStyle w:val="16"/>
        <w:shd w:val="clear" w:color="auto" w:fill="FFFFFF"/>
        <w:spacing w:before="0" w:beforeAutospacing="0" w:after="0" w:afterAutospacing="0"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（五）与其他采购参加人串通投标的；</w:t>
      </w:r>
    </w:p>
    <w:p>
      <w:pPr>
        <w:pStyle w:val="16"/>
        <w:shd w:val="clear" w:color="auto" w:fill="FFFFFF"/>
        <w:spacing w:before="0" w:beforeAutospacing="0" w:after="0" w:afterAutospacing="0"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（六）恶意投诉的；</w:t>
      </w:r>
    </w:p>
    <w:p>
      <w:pPr>
        <w:pStyle w:val="16"/>
        <w:shd w:val="clear" w:color="auto" w:fill="FFFFFF"/>
        <w:spacing w:before="0" w:beforeAutospacing="0" w:after="0" w:afterAutospacing="0"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（七）向采购项目相关人行贿或者提供其他不当利益的；</w:t>
      </w:r>
    </w:p>
    <w:p>
      <w:pPr>
        <w:pStyle w:val="16"/>
        <w:shd w:val="clear" w:color="auto" w:fill="FFFFFF"/>
        <w:spacing w:before="0" w:beforeAutospacing="0" w:after="0" w:afterAutospacing="0"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（八）阻碍、抗拒主管部门监督检查的；</w:t>
      </w:r>
    </w:p>
    <w:p>
      <w:pPr>
        <w:pStyle w:val="16"/>
        <w:shd w:val="clear" w:color="auto" w:fill="FFFFFF"/>
        <w:spacing w:before="0" w:beforeAutospacing="0" w:after="0" w:afterAutospacing="0"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（九）其他违反本条例规定的行为。</w:t>
      </w:r>
    </w:p>
    <w:p>
      <w:pPr>
        <w:autoSpaceDE w:val="0"/>
        <w:autoSpaceDN w:val="0"/>
        <w:adjustRightInd w:val="0"/>
        <w:spacing w:line="360" w:lineRule="auto"/>
        <w:ind w:firstLine="360" w:firstLineChars="150"/>
        <w:jc w:val="left"/>
        <w:rPr>
          <w:rFonts w:hint="eastAsia" w:ascii="宋体" w:hAnsi="宋体" w:cs="宋体"/>
          <w:color w:val="000000" w:themeColor="text1"/>
          <w:kern w:val="0"/>
          <w:sz w:val="24"/>
          <w:highlight w:val="none"/>
          <w14:textFill>
            <w14:solidFill>
              <w14:schemeClr w14:val="tx1"/>
            </w14:solidFill>
          </w14:textFill>
        </w:rPr>
      </w:pPr>
    </w:p>
    <w:p>
      <w:pPr>
        <w:autoSpaceDE w:val="0"/>
        <w:autoSpaceDN w:val="0"/>
        <w:adjustRightInd w:val="0"/>
        <w:spacing w:line="360" w:lineRule="auto"/>
        <w:jc w:val="center"/>
        <w:rPr>
          <w:rFonts w:hint="eastAsia" w:ascii="宋体" w:hAnsi="宋体" w:cs="宋体"/>
          <w:b/>
          <w:color w:val="000000" w:themeColor="text1"/>
          <w:kern w:val="0"/>
          <w:sz w:val="24"/>
          <w:highlight w:val="none"/>
          <w14:textFill>
            <w14:solidFill>
              <w14:schemeClr w14:val="tx1"/>
            </w14:solidFill>
          </w14:textFill>
        </w:rPr>
      </w:pPr>
    </w:p>
    <w:p>
      <w:pPr>
        <w:autoSpaceDE w:val="0"/>
        <w:autoSpaceDN w:val="0"/>
        <w:adjustRightInd w:val="0"/>
        <w:spacing w:line="360" w:lineRule="auto"/>
        <w:jc w:val="center"/>
        <w:rPr>
          <w:rFonts w:hint="eastAsia"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《深圳经济特区政府采购条例实施细则》</w:t>
      </w:r>
    </w:p>
    <w:p>
      <w:pPr>
        <w:keepLines/>
        <w:spacing w:line="360" w:lineRule="auto"/>
        <w:ind w:firstLine="482"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第七十五条</w:t>
      </w:r>
      <w:r>
        <w:rPr>
          <w:rFonts w:hint="eastAsia" w:ascii="宋体" w:hAnsi="宋体" w:cs="宋体"/>
          <w:color w:val="000000" w:themeColor="text1"/>
          <w:sz w:val="24"/>
          <w:highlight w:val="none"/>
          <w14:textFill>
            <w14:solidFill>
              <w14:schemeClr w14:val="tx1"/>
            </w14:solidFill>
          </w14:textFill>
        </w:rPr>
        <w:t> 供应商有下列情形的，属于采购条例所称的串通投标行为，按照采购条例第五十七条有关规定处理：</w:t>
      </w:r>
    </w:p>
    <w:p>
      <w:pPr>
        <w:keepLines/>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bookmarkStart w:id="2" w:name="_Toc6281"/>
      <w:r>
        <w:rPr>
          <w:rFonts w:hint="eastAsia" w:ascii="宋体" w:hAnsi="宋体" w:cs="宋体"/>
          <w:color w:val="000000" w:themeColor="text1"/>
          <w:sz w:val="24"/>
          <w:highlight w:val="none"/>
          <w14:textFill>
            <w14:solidFill>
              <w14:schemeClr w14:val="tx1"/>
            </w14:solidFill>
          </w14:textFill>
        </w:rPr>
        <w:t>（一）投标供应商之间相互约定给予未中标的供应商利益补偿；</w:t>
      </w:r>
      <w:bookmarkEnd w:id="2"/>
    </w:p>
    <w:p>
      <w:pPr>
        <w:keepLines/>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（二）不同投标供应商的法定代表人、主要经营负责人、项目投标授权代表人、项目负责人、主要技术人员为同一人、属同一单位或者在同一单位缴纳社会保险；　　　　 </w:t>
      </w:r>
    </w:p>
    <w:p>
      <w:pPr>
        <w:keepLines/>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（三）不同投标供应商的投标文件由同一单位或者同一人编制，或者由同一人分阶段参与编制的；</w:t>
      </w:r>
    </w:p>
    <w:p>
      <w:pPr>
        <w:keepLines/>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（四）不同投标供应商的投标文件或部分投标文件相互混装；</w:t>
      </w:r>
    </w:p>
    <w:p>
      <w:pPr>
        <w:keepLines/>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（五）不同投标供应商的投标文件内容存在非正常一致；</w:t>
      </w:r>
    </w:p>
    <w:p>
      <w:pPr>
        <w:keepLines/>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（六）由同一单位工作人员为两家以上（含两家）供应商进行同一项投标活动的；</w:t>
      </w:r>
    </w:p>
    <w:p>
      <w:pPr>
        <w:keepLines/>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bookmarkStart w:id="3" w:name="_Toc31089"/>
      <w:r>
        <w:rPr>
          <w:rFonts w:hint="eastAsia" w:ascii="宋体" w:hAnsi="宋体" w:cs="宋体"/>
          <w:color w:val="000000" w:themeColor="text1"/>
          <w:sz w:val="24"/>
          <w:highlight w:val="none"/>
          <w14:textFill>
            <w14:solidFill>
              <w14:schemeClr w14:val="tx1"/>
            </w14:solidFill>
          </w14:textFill>
        </w:rPr>
        <w:t>（七）主管部门依照法律、法规认定的其他情形。</w:t>
      </w:r>
      <w:bookmarkEnd w:id="3"/>
    </w:p>
    <w:p>
      <w:pPr>
        <w:keepLines/>
        <w:spacing w:line="360" w:lineRule="auto"/>
        <w:ind w:firstLine="482"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第七十七条</w:t>
      </w:r>
      <w:r>
        <w:rPr>
          <w:rFonts w:hint="eastAsia" w:ascii="宋体" w:hAnsi="宋体" w:cs="宋体"/>
          <w:color w:val="000000" w:themeColor="text1"/>
          <w:sz w:val="24"/>
          <w:highlight w:val="none"/>
          <w14:textFill>
            <w14:solidFill>
              <w14:schemeClr w14:val="tx1"/>
            </w14:solidFill>
          </w14:textFill>
        </w:rPr>
        <w:t> 供应商有下列情形之一的，属于隐瞒真实情况，提供虚假资料，按照采购条例第五十七条的有关规定处理：</w:t>
      </w:r>
    </w:p>
    <w:p>
      <w:pPr>
        <w:keepLines/>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（一）通过转让或者租借等方式从其他单位获取资格或者资质证书投标的；</w:t>
      </w:r>
    </w:p>
    <w:p>
      <w:pPr>
        <w:keepLines/>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（二）由其他单位或者其他单位负责人在投标供应商编制的投标文件上加盖印章或者签字的；</w:t>
      </w:r>
    </w:p>
    <w:p>
      <w:pPr>
        <w:keepLines/>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（三）项目负责人或者主要技术人员不是本单位人员的；</w:t>
      </w:r>
    </w:p>
    <w:p>
      <w:pPr>
        <w:keepLines/>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（四）投标保证金不是从投标供应商基本账户转出的；</w:t>
      </w:r>
    </w:p>
    <w:p>
      <w:pPr>
        <w:keepLines/>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（五）其他隐瞒真实情况、提供虚假资料的行为。</w:t>
      </w:r>
    </w:p>
    <w:p>
      <w:pPr>
        <w:keepLines/>
        <w:spacing w:line="360" w:lineRule="auto"/>
        <w:ind w:firstLine="480" w:firstLineChars="200"/>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投标供应商不能提供项目负责人或者主要技术人员的劳动合同、社会保险等劳动关系证明材料的，视为存在前款第（三）项规定的情形。</w:t>
      </w:r>
    </w:p>
    <w:p>
      <w:pPr>
        <w:autoSpaceDE w:val="0"/>
        <w:autoSpaceDN w:val="0"/>
        <w:adjustRightInd w:val="0"/>
        <w:spacing w:line="360" w:lineRule="auto"/>
        <w:jc w:val="center"/>
        <w:rPr>
          <w:rFonts w:hint="eastAsia"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 xml:space="preserve">《中华人民共和国政府采购法实施条例》 </w:t>
      </w:r>
    </w:p>
    <w:p>
      <w:pPr>
        <w:spacing w:line="360" w:lineRule="auto"/>
        <w:ind w:firstLine="482" w:firstLineChars="200"/>
        <w:jc w:val="left"/>
        <w:rPr>
          <w:rFonts w:hint="eastAsia" w:ascii="宋体" w:hAnsi="宋体" w:cs="宋体"/>
          <w:color w:val="000000" w:themeColor="text1"/>
          <w:sz w:val="24"/>
          <w:highlight w:val="none"/>
          <w14:textFill>
            <w14:solidFill>
              <w14:schemeClr w14:val="tx1"/>
            </w14:solidFill>
          </w14:textFill>
        </w:rPr>
      </w:pPr>
      <w:bookmarkStart w:id="4" w:name="_Toc10451"/>
      <w:r>
        <w:rPr>
          <w:rFonts w:hint="eastAsia" w:ascii="宋体" w:hAnsi="宋体" w:cs="宋体"/>
          <w:b/>
          <w:bCs/>
          <w:color w:val="000000" w:themeColor="text1"/>
          <w:sz w:val="24"/>
          <w:highlight w:val="none"/>
          <w14:textFill>
            <w14:solidFill>
              <w14:schemeClr w14:val="tx1"/>
            </w14:solidFill>
          </w14:textFill>
        </w:rPr>
        <w:t>第十八条</w:t>
      </w:r>
      <w:r>
        <w:rPr>
          <w:rFonts w:hint="eastAsia" w:ascii="宋体" w:hAnsi="宋体" w:cs="宋体"/>
          <w:color w:val="000000" w:themeColor="text1"/>
          <w:sz w:val="24"/>
          <w:highlight w:val="none"/>
          <w14:textFill>
            <w14:solidFill>
              <w14:schemeClr w14:val="tx1"/>
            </w14:solidFill>
          </w14:textFill>
        </w:rPr>
        <w:t xml:space="preserve"> 单位负责人为同一人或者存在直接控股、管理关系的不同供应商，不得参加同一合同项下的政府采购活动。</w:t>
      </w:r>
      <w:bookmarkEnd w:id="4"/>
    </w:p>
    <w:p>
      <w:pPr>
        <w:spacing w:line="360" w:lineRule="auto"/>
        <w:ind w:firstLine="480" w:firstLineChars="200"/>
        <w:jc w:val="left"/>
        <w:rPr>
          <w:rFonts w:hint="eastAsia" w:ascii="宋体" w:hAnsi="宋体" w:cs="宋体"/>
          <w:color w:val="000000" w:themeColor="text1"/>
          <w:highlight w:val="none"/>
          <w14:textFill>
            <w14:solidFill>
              <w14:schemeClr w14:val="tx1"/>
            </w14:solidFill>
          </w14:textFill>
        </w:rPr>
      </w:pPr>
      <w:bookmarkStart w:id="5" w:name="_Toc4495"/>
      <w:r>
        <w:rPr>
          <w:rFonts w:hint="eastAsia" w:ascii="宋体" w:hAnsi="宋体" w:cs="宋体"/>
          <w:color w:val="000000" w:themeColor="text1"/>
          <w:sz w:val="24"/>
          <w:highlight w:val="none"/>
          <w14:textFill>
            <w14:solidFill>
              <w14:schemeClr w14:val="tx1"/>
            </w14:solidFill>
          </w14:textFill>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 xml:space="preserve">《深圳市财政局关于采购文件增加风险告知有关事项的通知》 </w:t>
      </w:r>
    </w:p>
    <w:p>
      <w:pPr>
        <w:pStyle w:val="9"/>
        <w:tabs>
          <w:tab w:val="left" w:pos="562"/>
          <w:tab w:val="left" w:pos="3372"/>
          <w:tab w:val="left" w:pos="3653"/>
        </w:tabs>
        <w:spacing w:line="360" w:lineRule="auto"/>
        <w:ind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autoSpaceDE w:val="0"/>
        <w:autoSpaceDN w:val="0"/>
        <w:adjustRightInd w:val="0"/>
        <w:spacing w:line="360" w:lineRule="auto"/>
        <w:jc w:val="center"/>
        <w:rPr>
          <w:rFonts w:hint="eastAsia"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《关于在相关自由贸易试验区和自由贸易港开展推动解决政府采购异常低价问题试点工作的通知》</w:t>
      </w:r>
    </w:p>
    <w:p>
      <w:pPr>
        <w:pStyle w:val="9"/>
        <w:tabs>
          <w:tab w:val="left" w:pos="562"/>
          <w:tab w:val="left" w:pos="3372"/>
          <w:tab w:val="left" w:pos="3653"/>
        </w:tabs>
        <w:spacing w:line="360" w:lineRule="auto"/>
        <w:ind w:firstLine="482" w:firstLineChars="200"/>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强化政府采购异常低价审查：</w:t>
      </w:r>
    </w:p>
    <w:p>
      <w:pPr>
        <w:pStyle w:val="9"/>
        <w:tabs>
          <w:tab w:val="left" w:pos="562"/>
          <w:tab w:val="left" w:pos="3372"/>
          <w:tab w:val="left" w:pos="3653"/>
        </w:tabs>
        <w:spacing w:line="360" w:lineRule="auto"/>
        <w:ind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试点地区采购人应当在采购文件中明确异常低价投标（响应）审查的有关内容，主要包括：</w:t>
      </w:r>
    </w:p>
    <w:p>
      <w:pPr>
        <w:pStyle w:val="9"/>
        <w:tabs>
          <w:tab w:val="left" w:pos="562"/>
          <w:tab w:val="left" w:pos="3372"/>
          <w:tab w:val="left" w:pos="3653"/>
        </w:tabs>
        <w:spacing w:line="360" w:lineRule="auto"/>
        <w:ind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pStyle w:val="9"/>
        <w:tabs>
          <w:tab w:val="left" w:pos="562"/>
          <w:tab w:val="left" w:pos="3372"/>
          <w:tab w:val="left" w:pos="3653"/>
        </w:tabs>
        <w:spacing w:line="360" w:lineRule="auto"/>
        <w:ind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pStyle w:val="9"/>
        <w:tabs>
          <w:tab w:val="left" w:pos="562"/>
          <w:tab w:val="left" w:pos="3372"/>
          <w:tab w:val="left" w:pos="3653"/>
        </w:tabs>
        <w:spacing w:line="360" w:lineRule="auto"/>
        <w:ind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jc w:val="center"/>
        <w:outlineLvl w:val="0"/>
        <w:rPr>
          <w:rFonts w:hint="eastAsia" w:ascii="宋体" w:hAnsi="宋体" w:cs="宋体"/>
          <w:b/>
          <w:bCs/>
          <w:color w:val="000000" w:themeColor="text1"/>
          <w:sz w:val="36"/>
          <w:szCs w:val="36"/>
          <w:highlight w:val="none"/>
          <w:lang w:val="zh-CN"/>
          <w14:textFill>
            <w14:solidFill>
              <w14:schemeClr w14:val="tx1"/>
            </w14:solidFill>
          </w14:textFill>
        </w:rPr>
      </w:pPr>
      <w:bookmarkStart w:id="6" w:name="_Toc20808"/>
      <w:r>
        <w:rPr>
          <w:rFonts w:hint="eastAsia" w:ascii="宋体" w:hAnsi="宋体" w:cs="宋体"/>
          <w:b/>
          <w:bCs/>
          <w:color w:val="000000" w:themeColor="text1"/>
          <w:sz w:val="36"/>
          <w:szCs w:val="36"/>
          <w:highlight w:val="none"/>
          <w:lang w:val="zh-CN"/>
          <w14:textFill>
            <w14:solidFill>
              <w14:schemeClr w14:val="tx1"/>
            </w14:solidFill>
          </w14:textFill>
        </w:rPr>
        <w:t>目录</w:t>
      </w:r>
      <w:bookmarkEnd w:id="0"/>
      <w:bookmarkEnd w:id="6"/>
    </w:p>
    <w:p>
      <w:pPr>
        <w:pStyle w:val="14"/>
        <w:tabs>
          <w:tab w:val="right" w:leader="dot" w:pos="8306"/>
        </w:tabs>
        <w:spacing w:line="480" w:lineRule="auto"/>
        <w:rPr>
          <w:b/>
          <w:bCs/>
          <w:color w:val="000000" w:themeColor="text1"/>
          <w:sz w:val="24"/>
          <w:szCs w:val="32"/>
          <w:highlight w:val="none"/>
          <w14:textFill>
            <w14:solidFill>
              <w14:schemeClr w14:val="tx1"/>
            </w14:solidFill>
          </w14:textFill>
        </w:rPr>
      </w:pPr>
    </w:p>
    <w:p>
      <w:pPr>
        <w:pStyle w:val="14"/>
        <w:tabs>
          <w:tab w:val="right" w:leader="dot" w:pos="8306"/>
        </w:tabs>
        <w:spacing w:line="360" w:lineRule="auto"/>
        <w:rPr>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fldChar w:fldCharType="begin"/>
      </w:r>
      <w:r>
        <w:rPr>
          <w:rFonts w:hint="eastAsia" w:ascii="宋体" w:hAnsi="宋体" w:cs="宋体"/>
          <w:b/>
          <w:bCs/>
          <w:color w:val="000000" w:themeColor="text1"/>
          <w:sz w:val="24"/>
          <w:highlight w:val="none"/>
          <w14:textFill>
            <w14:solidFill>
              <w14:schemeClr w14:val="tx1"/>
            </w14:solidFill>
          </w14:textFill>
        </w:rPr>
        <w:instrText xml:space="preserve">TOC \o "1-1" \h \u </w:instrText>
      </w:r>
      <w:r>
        <w:rPr>
          <w:rFonts w:hint="eastAsia" w:ascii="宋体" w:hAnsi="宋体" w:cs="宋体"/>
          <w:b/>
          <w:bCs/>
          <w:color w:val="000000" w:themeColor="text1"/>
          <w:sz w:val="24"/>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"_Toc17273" </w:instrText>
      </w:r>
      <w:r>
        <w:rPr>
          <w:color w:val="000000" w:themeColor="text1"/>
          <w:highlight w:val="none"/>
          <w14:textFill>
            <w14:solidFill>
              <w14:schemeClr w14:val="tx1"/>
            </w14:solidFill>
          </w14:textFill>
        </w:rPr>
        <w:fldChar w:fldCharType="separate"/>
      </w:r>
      <w:r>
        <w:rPr>
          <w:rFonts w:hint="eastAsia" w:ascii="宋体" w:hAnsi="宋体" w:cs="宋体"/>
          <w:b/>
          <w:bCs/>
          <w:color w:val="000000" w:themeColor="text1"/>
          <w:sz w:val="24"/>
          <w:highlight w:val="none"/>
          <w14:textFill>
            <w14:solidFill>
              <w14:schemeClr w14:val="tx1"/>
            </w14:solidFill>
          </w14:textFill>
        </w:rPr>
        <w:t>第一章 招标邀请书（招标公告）</w:t>
      </w:r>
      <w:r>
        <w:rPr>
          <w:b/>
          <w:bCs/>
          <w:color w:val="000000" w:themeColor="text1"/>
          <w:sz w:val="24"/>
          <w:highlight w:val="none"/>
          <w14:textFill>
            <w14:solidFill>
              <w14:schemeClr w14:val="tx1"/>
            </w14:solidFill>
          </w14:textFill>
        </w:rPr>
        <w:tab/>
      </w:r>
      <w:r>
        <w:rPr>
          <w:b/>
          <w:bCs/>
          <w:color w:val="000000" w:themeColor="text1"/>
          <w:sz w:val="24"/>
          <w:highlight w:val="none"/>
          <w14:textFill>
            <w14:solidFill>
              <w14:schemeClr w14:val="tx1"/>
            </w14:solidFill>
          </w14:textFill>
        </w:rPr>
        <w:fldChar w:fldCharType="begin"/>
      </w:r>
      <w:r>
        <w:rPr>
          <w:b/>
          <w:bCs/>
          <w:color w:val="000000" w:themeColor="text1"/>
          <w:sz w:val="24"/>
          <w:highlight w:val="none"/>
          <w14:textFill>
            <w14:solidFill>
              <w14:schemeClr w14:val="tx1"/>
            </w14:solidFill>
          </w14:textFill>
        </w:rPr>
        <w:instrText xml:space="preserve"> PAGEREF _Toc17273 \h </w:instrText>
      </w:r>
      <w:r>
        <w:rPr>
          <w:b/>
          <w:bCs/>
          <w:color w:val="000000" w:themeColor="text1"/>
          <w:sz w:val="24"/>
          <w:highlight w:val="none"/>
          <w14:textFill>
            <w14:solidFill>
              <w14:schemeClr w14:val="tx1"/>
            </w14:solidFill>
          </w14:textFill>
        </w:rPr>
        <w:fldChar w:fldCharType="separate"/>
      </w:r>
      <w:r>
        <w:rPr>
          <w:b/>
          <w:bCs/>
          <w:color w:val="000000" w:themeColor="text1"/>
          <w:sz w:val="24"/>
          <w:highlight w:val="none"/>
          <w14:textFill>
            <w14:solidFill>
              <w14:schemeClr w14:val="tx1"/>
            </w14:solidFill>
          </w14:textFill>
        </w:rPr>
        <w:t>6</w:t>
      </w:r>
      <w:r>
        <w:rPr>
          <w:b/>
          <w:bCs/>
          <w:color w:val="000000" w:themeColor="text1"/>
          <w:sz w:val="24"/>
          <w:highlight w:val="none"/>
          <w14:textFill>
            <w14:solidFill>
              <w14:schemeClr w14:val="tx1"/>
            </w14:solidFill>
          </w14:textFill>
        </w:rPr>
        <w:fldChar w:fldCharType="end"/>
      </w:r>
      <w:r>
        <w:rPr>
          <w:b/>
          <w:bCs/>
          <w:color w:val="000000" w:themeColor="text1"/>
          <w:sz w:val="24"/>
          <w:highlight w:val="none"/>
          <w14:textFill>
            <w14:solidFill>
              <w14:schemeClr w14:val="tx1"/>
            </w14:solidFill>
          </w14:textFill>
        </w:rPr>
        <w:fldChar w:fldCharType="end"/>
      </w:r>
    </w:p>
    <w:p>
      <w:pPr>
        <w:pStyle w:val="14"/>
        <w:tabs>
          <w:tab w:val="right" w:leader="dot" w:pos="8306"/>
        </w:tabs>
        <w:spacing w:line="360" w:lineRule="auto"/>
        <w:rPr>
          <w:b/>
          <w:bCs/>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"_Toc10214" </w:instrText>
      </w:r>
      <w:r>
        <w:rPr>
          <w:color w:val="000000" w:themeColor="text1"/>
          <w:highlight w:val="none"/>
          <w14:textFill>
            <w14:solidFill>
              <w14:schemeClr w14:val="tx1"/>
            </w14:solidFill>
          </w14:textFill>
        </w:rPr>
        <w:fldChar w:fldCharType="separate"/>
      </w:r>
      <w:r>
        <w:rPr>
          <w:rFonts w:hint="eastAsia" w:ascii="宋体" w:hAnsi="宋体" w:cs="宋体"/>
          <w:b/>
          <w:bCs/>
          <w:color w:val="000000" w:themeColor="text1"/>
          <w:sz w:val="24"/>
          <w:highlight w:val="none"/>
          <w14:textFill>
            <w14:solidFill>
              <w14:schemeClr w14:val="tx1"/>
            </w14:solidFill>
          </w14:textFill>
        </w:rPr>
        <w:t>第二章 投标须知</w:t>
      </w:r>
      <w:r>
        <w:rPr>
          <w:b/>
          <w:bCs/>
          <w:color w:val="000000" w:themeColor="text1"/>
          <w:sz w:val="24"/>
          <w:highlight w:val="none"/>
          <w14:textFill>
            <w14:solidFill>
              <w14:schemeClr w14:val="tx1"/>
            </w14:solidFill>
          </w14:textFill>
        </w:rPr>
        <w:tab/>
      </w:r>
      <w:r>
        <w:rPr>
          <w:b/>
          <w:bCs/>
          <w:color w:val="000000" w:themeColor="text1"/>
          <w:sz w:val="24"/>
          <w:highlight w:val="none"/>
          <w14:textFill>
            <w14:solidFill>
              <w14:schemeClr w14:val="tx1"/>
            </w14:solidFill>
          </w14:textFill>
        </w:rPr>
        <w:fldChar w:fldCharType="begin"/>
      </w:r>
      <w:r>
        <w:rPr>
          <w:b/>
          <w:bCs/>
          <w:color w:val="000000" w:themeColor="text1"/>
          <w:sz w:val="24"/>
          <w:highlight w:val="none"/>
          <w14:textFill>
            <w14:solidFill>
              <w14:schemeClr w14:val="tx1"/>
            </w14:solidFill>
          </w14:textFill>
        </w:rPr>
        <w:instrText xml:space="preserve"> PAGEREF _Toc10214 \h </w:instrText>
      </w:r>
      <w:r>
        <w:rPr>
          <w:b/>
          <w:bCs/>
          <w:color w:val="000000" w:themeColor="text1"/>
          <w:sz w:val="24"/>
          <w:highlight w:val="none"/>
          <w14:textFill>
            <w14:solidFill>
              <w14:schemeClr w14:val="tx1"/>
            </w14:solidFill>
          </w14:textFill>
        </w:rPr>
        <w:fldChar w:fldCharType="separate"/>
      </w:r>
      <w:r>
        <w:rPr>
          <w:b/>
          <w:bCs/>
          <w:color w:val="000000" w:themeColor="text1"/>
          <w:sz w:val="24"/>
          <w:highlight w:val="none"/>
          <w14:textFill>
            <w14:solidFill>
              <w14:schemeClr w14:val="tx1"/>
            </w14:solidFill>
          </w14:textFill>
        </w:rPr>
        <w:t>10</w:t>
      </w:r>
      <w:r>
        <w:rPr>
          <w:b/>
          <w:bCs/>
          <w:color w:val="000000" w:themeColor="text1"/>
          <w:sz w:val="24"/>
          <w:highlight w:val="none"/>
          <w14:textFill>
            <w14:solidFill>
              <w14:schemeClr w14:val="tx1"/>
            </w14:solidFill>
          </w14:textFill>
        </w:rPr>
        <w:fldChar w:fldCharType="end"/>
      </w:r>
      <w:r>
        <w:rPr>
          <w:b/>
          <w:bCs/>
          <w:color w:val="000000" w:themeColor="text1"/>
          <w:sz w:val="24"/>
          <w:highlight w:val="none"/>
          <w14:textFill>
            <w14:solidFill>
              <w14:schemeClr w14:val="tx1"/>
            </w14:solidFill>
          </w14:textFill>
        </w:rPr>
        <w:fldChar w:fldCharType="end"/>
      </w:r>
    </w:p>
    <w:p>
      <w:pPr>
        <w:pStyle w:val="14"/>
        <w:tabs>
          <w:tab w:val="right" w:leader="dot" w:pos="8306"/>
        </w:tabs>
        <w:spacing w:line="360" w:lineRule="auto"/>
        <w:rPr>
          <w:b/>
          <w:bCs/>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"_Toc20176" </w:instrText>
      </w:r>
      <w:r>
        <w:rPr>
          <w:color w:val="000000" w:themeColor="text1"/>
          <w:highlight w:val="none"/>
          <w14:textFill>
            <w14:solidFill>
              <w14:schemeClr w14:val="tx1"/>
            </w14:solidFill>
          </w14:textFill>
        </w:rPr>
        <w:fldChar w:fldCharType="separate"/>
      </w:r>
      <w:r>
        <w:rPr>
          <w:rFonts w:hint="eastAsia" w:ascii="宋体" w:hAnsi="宋体" w:cs="宋体"/>
          <w:b/>
          <w:bCs/>
          <w:color w:val="000000" w:themeColor="text1"/>
          <w:sz w:val="24"/>
          <w:highlight w:val="none"/>
          <w14:textFill>
            <w14:solidFill>
              <w14:schemeClr w14:val="tx1"/>
            </w14:solidFill>
          </w14:textFill>
        </w:rPr>
        <w:t>第三章 评标程序</w:t>
      </w:r>
      <w:r>
        <w:rPr>
          <w:b/>
          <w:bCs/>
          <w:color w:val="000000" w:themeColor="text1"/>
          <w:sz w:val="24"/>
          <w:highlight w:val="none"/>
          <w14:textFill>
            <w14:solidFill>
              <w14:schemeClr w14:val="tx1"/>
            </w14:solidFill>
          </w14:textFill>
        </w:rPr>
        <w:tab/>
      </w:r>
      <w:r>
        <w:rPr>
          <w:b/>
          <w:bCs/>
          <w:color w:val="000000" w:themeColor="text1"/>
          <w:sz w:val="24"/>
          <w:highlight w:val="none"/>
          <w14:textFill>
            <w14:solidFill>
              <w14:schemeClr w14:val="tx1"/>
            </w14:solidFill>
          </w14:textFill>
        </w:rPr>
        <w:fldChar w:fldCharType="begin"/>
      </w:r>
      <w:r>
        <w:rPr>
          <w:b/>
          <w:bCs/>
          <w:color w:val="000000" w:themeColor="text1"/>
          <w:sz w:val="24"/>
          <w:highlight w:val="none"/>
          <w14:textFill>
            <w14:solidFill>
              <w14:schemeClr w14:val="tx1"/>
            </w14:solidFill>
          </w14:textFill>
        </w:rPr>
        <w:instrText xml:space="preserve"> PAGEREF _Toc20176 \h </w:instrText>
      </w:r>
      <w:r>
        <w:rPr>
          <w:b/>
          <w:bCs/>
          <w:color w:val="000000" w:themeColor="text1"/>
          <w:sz w:val="24"/>
          <w:highlight w:val="none"/>
          <w14:textFill>
            <w14:solidFill>
              <w14:schemeClr w14:val="tx1"/>
            </w14:solidFill>
          </w14:textFill>
        </w:rPr>
        <w:fldChar w:fldCharType="separate"/>
      </w:r>
      <w:r>
        <w:rPr>
          <w:b/>
          <w:bCs/>
          <w:color w:val="000000" w:themeColor="text1"/>
          <w:sz w:val="24"/>
          <w:highlight w:val="none"/>
          <w14:textFill>
            <w14:solidFill>
              <w14:schemeClr w14:val="tx1"/>
            </w14:solidFill>
          </w14:textFill>
        </w:rPr>
        <w:t>12</w:t>
      </w:r>
      <w:r>
        <w:rPr>
          <w:b/>
          <w:bCs/>
          <w:color w:val="000000" w:themeColor="text1"/>
          <w:sz w:val="24"/>
          <w:highlight w:val="none"/>
          <w14:textFill>
            <w14:solidFill>
              <w14:schemeClr w14:val="tx1"/>
            </w14:solidFill>
          </w14:textFill>
        </w:rPr>
        <w:fldChar w:fldCharType="end"/>
      </w:r>
      <w:r>
        <w:rPr>
          <w:b/>
          <w:bCs/>
          <w:color w:val="000000" w:themeColor="text1"/>
          <w:sz w:val="24"/>
          <w:highlight w:val="none"/>
          <w14:textFill>
            <w14:solidFill>
              <w14:schemeClr w14:val="tx1"/>
            </w14:solidFill>
          </w14:textFill>
        </w:rPr>
        <w:fldChar w:fldCharType="end"/>
      </w:r>
    </w:p>
    <w:p>
      <w:pPr>
        <w:pStyle w:val="14"/>
        <w:tabs>
          <w:tab w:val="right" w:leader="dot" w:pos="8306"/>
        </w:tabs>
        <w:spacing w:line="360" w:lineRule="auto"/>
        <w:rPr>
          <w:b/>
          <w:bCs/>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"_Toc3567" </w:instrText>
      </w:r>
      <w:r>
        <w:rPr>
          <w:color w:val="000000" w:themeColor="text1"/>
          <w:highlight w:val="none"/>
          <w14:textFill>
            <w14:solidFill>
              <w14:schemeClr w14:val="tx1"/>
            </w14:solidFill>
          </w14:textFill>
        </w:rPr>
        <w:fldChar w:fldCharType="separate"/>
      </w:r>
      <w:r>
        <w:rPr>
          <w:rFonts w:hint="eastAsia" w:ascii="宋体" w:hAnsi="宋体" w:cs="宋体"/>
          <w:b/>
          <w:bCs/>
          <w:color w:val="000000" w:themeColor="text1"/>
          <w:sz w:val="24"/>
          <w:highlight w:val="none"/>
          <w14:textFill>
            <w14:solidFill>
              <w14:schemeClr w14:val="tx1"/>
            </w14:solidFill>
          </w14:textFill>
        </w:rPr>
        <w:t>第四章 合同格式及合同条款</w:t>
      </w:r>
      <w:r>
        <w:rPr>
          <w:b/>
          <w:bCs/>
          <w:color w:val="000000" w:themeColor="text1"/>
          <w:sz w:val="24"/>
          <w:highlight w:val="none"/>
          <w14:textFill>
            <w14:solidFill>
              <w14:schemeClr w14:val="tx1"/>
            </w14:solidFill>
          </w14:textFill>
        </w:rPr>
        <w:tab/>
      </w:r>
      <w:r>
        <w:rPr>
          <w:b/>
          <w:bCs/>
          <w:color w:val="000000" w:themeColor="text1"/>
          <w:sz w:val="24"/>
          <w:highlight w:val="none"/>
          <w14:textFill>
            <w14:solidFill>
              <w14:schemeClr w14:val="tx1"/>
            </w14:solidFill>
          </w14:textFill>
        </w:rPr>
        <w:fldChar w:fldCharType="begin"/>
      </w:r>
      <w:r>
        <w:rPr>
          <w:b/>
          <w:bCs/>
          <w:color w:val="000000" w:themeColor="text1"/>
          <w:sz w:val="24"/>
          <w:highlight w:val="none"/>
          <w14:textFill>
            <w14:solidFill>
              <w14:schemeClr w14:val="tx1"/>
            </w14:solidFill>
          </w14:textFill>
        </w:rPr>
        <w:instrText xml:space="preserve"> PAGEREF _Toc3567 \h </w:instrText>
      </w:r>
      <w:r>
        <w:rPr>
          <w:b/>
          <w:bCs/>
          <w:color w:val="000000" w:themeColor="text1"/>
          <w:sz w:val="24"/>
          <w:highlight w:val="none"/>
          <w14:textFill>
            <w14:solidFill>
              <w14:schemeClr w14:val="tx1"/>
            </w14:solidFill>
          </w14:textFill>
        </w:rPr>
        <w:fldChar w:fldCharType="separate"/>
      </w:r>
      <w:r>
        <w:rPr>
          <w:b/>
          <w:bCs/>
          <w:color w:val="000000" w:themeColor="text1"/>
          <w:sz w:val="24"/>
          <w:highlight w:val="none"/>
          <w14:textFill>
            <w14:solidFill>
              <w14:schemeClr w14:val="tx1"/>
            </w14:solidFill>
          </w14:textFill>
        </w:rPr>
        <w:t>14</w:t>
      </w:r>
      <w:r>
        <w:rPr>
          <w:b/>
          <w:bCs/>
          <w:color w:val="000000" w:themeColor="text1"/>
          <w:sz w:val="24"/>
          <w:highlight w:val="none"/>
          <w14:textFill>
            <w14:solidFill>
              <w14:schemeClr w14:val="tx1"/>
            </w14:solidFill>
          </w14:textFill>
        </w:rPr>
        <w:fldChar w:fldCharType="end"/>
      </w:r>
      <w:r>
        <w:rPr>
          <w:b/>
          <w:bCs/>
          <w:color w:val="000000" w:themeColor="text1"/>
          <w:sz w:val="24"/>
          <w:highlight w:val="none"/>
          <w14:textFill>
            <w14:solidFill>
              <w14:schemeClr w14:val="tx1"/>
            </w14:solidFill>
          </w14:textFill>
        </w:rPr>
        <w:fldChar w:fldCharType="end"/>
      </w:r>
    </w:p>
    <w:p>
      <w:pPr>
        <w:pStyle w:val="14"/>
        <w:tabs>
          <w:tab w:val="right" w:leader="dot" w:pos="8306"/>
        </w:tabs>
        <w:spacing w:line="360" w:lineRule="auto"/>
        <w:rPr>
          <w:b/>
          <w:bCs/>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"_Toc25518" </w:instrText>
      </w:r>
      <w:r>
        <w:rPr>
          <w:color w:val="000000" w:themeColor="text1"/>
          <w:highlight w:val="none"/>
          <w14:textFill>
            <w14:solidFill>
              <w14:schemeClr w14:val="tx1"/>
            </w14:solidFill>
          </w14:textFill>
        </w:rPr>
        <w:fldChar w:fldCharType="separate"/>
      </w:r>
      <w:r>
        <w:rPr>
          <w:rFonts w:hint="eastAsia" w:ascii="宋体" w:hAnsi="宋体" w:cs="宋体"/>
          <w:b/>
          <w:bCs/>
          <w:color w:val="000000" w:themeColor="text1"/>
          <w:sz w:val="24"/>
          <w:highlight w:val="none"/>
          <w14:textFill>
            <w14:solidFill>
              <w14:schemeClr w14:val="tx1"/>
            </w14:solidFill>
          </w14:textFill>
        </w:rPr>
        <w:t>第五章 用户需求书</w:t>
      </w:r>
      <w:r>
        <w:rPr>
          <w:b/>
          <w:bCs/>
          <w:color w:val="000000" w:themeColor="text1"/>
          <w:sz w:val="24"/>
          <w:highlight w:val="none"/>
          <w14:textFill>
            <w14:solidFill>
              <w14:schemeClr w14:val="tx1"/>
            </w14:solidFill>
          </w14:textFill>
        </w:rPr>
        <w:tab/>
      </w:r>
      <w:r>
        <w:rPr>
          <w:b/>
          <w:bCs/>
          <w:color w:val="000000" w:themeColor="text1"/>
          <w:sz w:val="24"/>
          <w:highlight w:val="none"/>
          <w14:textFill>
            <w14:solidFill>
              <w14:schemeClr w14:val="tx1"/>
            </w14:solidFill>
          </w14:textFill>
        </w:rPr>
        <w:fldChar w:fldCharType="end"/>
      </w:r>
      <w:r>
        <w:rPr>
          <w:rFonts w:hint="eastAsia"/>
          <w:b/>
          <w:bCs/>
          <w:color w:val="000000" w:themeColor="text1"/>
          <w:sz w:val="24"/>
          <w:highlight w:val="none"/>
          <w14:textFill>
            <w14:solidFill>
              <w14:schemeClr w14:val="tx1"/>
            </w14:solidFill>
          </w14:textFill>
        </w:rPr>
        <w:t>26</w:t>
      </w:r>
    </w:p>
    <w:p>
      <w:pPr>
        <w:pStyle w:val="14"/>
        <w:tabs>
          <w:tab w:val="right" w:leader="dot" w:pos="8306"/>
        </w:tabs>
        <w:spacing w:line="360" w:lineRule="auto"/>
        <w:rPr>
          <w:b/>
          <w:bCs/>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"_Toc23822" </w:instrText>
      </w:r>
      <w:r>
        <w:rPr>
          <w:color w:val="000000" w:themeColor="text1"/>
          <w:highlight w:val="none"/>
          <w14:textFill>
            <w14:solidFill>
              <w14:schemeClr w14:val="tx1"/>
            </w14:solidFill>
          </w14:textFill>
        </w:rPr>
        <w:fldChar w:fldCharType="separate"/>
      </w:r>
      <w:r>
        <w:rPr>
          <w:rFonts w:hint="eastAsia" w:ascii="宋体" w:cs="宋体"/>
          <w:b/>
          <w:bCs/>
          <w:color w:val="000000" w:themeColor="text1"/>
          <w:sz w:val="24"/>
          <w:highlight w:val="none"/>
          <w14:textFill>
            <w14:solidFill>
              <w14:schemeClr w14:val="tx1"/>
            </w14:solidFill>
          </w14:textFill>
        </w:rPr>
        <w:t>第六章 投标文件初审及招标项目评分表</w:t>
      </w:r>
      <w:r>
        <w:rPr>
          <w:b/>
          <w:bCs/>
          <w:color w:val="000000" w:themeColor="text1"/>
          <w:sz w:val="24"/>
          <w:highlight w:val="none"/>
          <w14:textFill>
            <w14:solidFill>
              <w14:schemeClr w14:val="tx1"/>
            </w14:solidFill>
          </w14:textFill>
        </w:rPr>
        <w:tab/>
      </w:r>
      <w:r>
        <w:rPr>
          <w:b/>
          <w:bCs/>
          <w:color w:val="000000" w:themeColor="text1"/>
          <w:sz w:val="24"/>
          <w:highlight w:val="none"/>
          <w14:textFill>
            <w14:solidFill>
              <w14:schemeClr w14:val="tx1"/>
            </w14:solidFill>
          </w14:textFill>
        </w:rPr>
        <w:fldChar w:fldCharType="end"/>
      </w:r>
      <w:r>
        <w:rPr>
          <w:rFonts w:hint="eastAsia"/>
          <w:b/>
          <w:bCs/>
          <w:color w:val="000000" w:themeColor="text1"/>
          <w:sz w:val="24"/>
          <w:highlight w:val="none"/>
          <w14:textFill>
            <w14:solidFill>
              <w14:schemeClr w14:val="tx1"/>
            </w14:solidFill>
          </w14:textFill>
        </w:rPr>
        <w:t>32</w:t>
      </w:r>
    </w:p>
    <w:p>
      <w:pPr>
        <w:pStyle w:val="14"/>
        <w:tabs>
          <w:tab w:val="right" w:leader="dot" w:pos="8306"/>
        </w:tabs>
        <w:spacing w:line="360" w:lineRule="auto"/>
        <w:rPr>
          <w:b/>
          <w:bCs/>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"_Toc9548" </w:instrText>
      </w:r>
      <w:r>
        <w:rPr>
          <w:color w:val="000000" w:themeColor="text1"/>
          <w:highlight w:val="none"/>
          <w14:textFill>
            <w14:solidFill>
              <w14:schemeClr w14:val="tx1"/>
            </w14:solidFill>
          </w14:textFill>
        </w:rPr>
        <w:fldChar w:fldCharType="separate"/>
      </w:r>
      <w:r>
        <w:rPr>
          <w:rFonts w:hint="eastAsia" w:ascii="宋体" w:hAnsi="宋体" w:cs="宋体"/>
          <w:b/>
          <w:bCs/>
          <w:color w:val="000000" w:themeColor="text1"/>
          <w:sz w:val="24"/>
          <w:highlight w:val="none"/>
          <w14:textFill>
            <w14:solidFill>
              <w14:schemeClr w14:val="tx1"/>
            </w14:solidFill>
          </w14:textFill>
        </w:rPr>
        <w:t>第七章 附件（投标文件格式）</w:t>
      </w:r>
      <w:r>
        <w:rPr>
          <w:b/>
          <w:bCs/>
          <w:color w:val="000000" w:themeColor="text1"/>
          <w:sz w:val="24"/>
          <w:highlight w:val="none"/>
          <w14:textFill>
            <w14:solidFill>
              <w14:schemeClr w14:val="tx1"/>
            </w14:solidFill>
          </w14:textFill>
        </w:rPr>
        <w:tab/>
      </w:r>
      <w:r>
        <w:rPr>
          <w:b/>
          <w:bCs/>
          <w:color w:val="000000" w:themeColor="text1"/>
          <w:sz w:val="24"/>
          <w:highlight w:val="none"/>
          <w14:textFill>
            <w14:solidFill>
              <w14:schemeClr w14:val="tx1"/>
            </w14:solidFill>
          </w14:textFill>
        </w:rPr>
        <w:fldChar w:fldCharType="end"/>
      </w:r>
      <w:r>
        <w:rPr>
          <w:rFonts w:hint="eastAsia"/>
          <w:b/>
          <w:bCs/>
          <w:color w:val="000000" w:themeColor="text1"/>
          <w:sz w:val="24"/>
          <w:highlight w:val="none"/>
          <w14:textFill>
            <w14:solidFill>
              <w14:schemeClr w14:val="tx1"/>
            </w14:solidFill>
          </w14:textFill>
        </w:rPr>
        <w:t>38</w:t>
      </w:r>
    </w:p>
    <w:p>
      <w:pPr>
        <w:pStyle w:val="14"/>
        <w:tabs>
          <w:tab w:val="right" w:leader="dot" w:pos="8306"/>
        </w:tabs>
        <w:spacing w:line="360" w:lineRule="auto"/>
        <w:rPr>
          <w:b/>
          <w:bCs/>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"_Toc742" </w:instrText>
      </w:r>
      <w:r>
        <w:rPr>
          <w:color w:val="000000" w:themeColor="text1"/>
          <w:highlight w:val="none"/>
          <w14:textFill>
            <w14:solidFill>
              <w14:schemeClr w14:val="tx1"/>
            </w14:solidFill>
          </w14:textFill>
        </w:rPr>
        <w:fldChar w:fldCharType="separate"/>
      </w:r>
      <w:r>
        <w:rPr>
          <w:rFonts w:hint="eastAsia" w:ascii="宋体" w:hAnsi="宋体" w:cs="宋体"/>
          <w:b/>
          <w:bCs/>
          <w:color w:val="000000" w:themeColor="text1"/>
          <w:sz w:val="24"/>
          <w:highlight w:val="none"/>
          <w14:textFill>
            <w14:solidFill>
              <w14:schemeClr w14:val="tx1"/>
            </w14:solidFill>
          </w14:textFill>
        </w:rPr>
        <w:t>附件：相关政策</w:t>
      </w:r>
      <w:r>
        <w:rPr>
          <w:b/>
          <w:bCs/>
          <w:color w:val="000000" w:themeColor="text1"/>
          <w:sz w:val="24"/>
          <w:highlight w:val="none"/>
          <w14:textFill>
            <w14:solidFill>
              <w14:schemeClr w14:val="tx1"/>
            </w14:solidFill>
          </w14:textFill>
        </w:rPr>
        <w:tab/>
      </w:r>
      <w:r>
        <w:rPr>
          <w:b/>
          <w:bCs/>
          <w:color w:val="000000" w:themeColor="text1"/>
          <w:sz w:val="24"/>
          <w:highlight w:val="none"/>
          <w14:textFill>
            <w14:solidFill>
              <w14:schemeClr w14:val="tx1"/>
            </w14:solidFill>
          </w14:textFill>
        </w:rPr>
        <w:fldChar w:fldCharType="end"/>
      </w:r>
      <w:r>
        <w:rPr>
          <w:rFonts w:hint="eastAsia"/>
          <w:b/>
          <w:bCs/>
          <w:color w:val="000000" w:themeColor="text1"/>
          <w:sz w:val="24"/>
          <w:highlight w:val="none"/>
          <w14:textFill>
            <w14:solidFill>
              <w14:schemeClr w14:val="tx1"/>
            </w14:solidFill>
          </w14:textFill>
        </w:rPr>
        <w:t>57</w:t>
      </w:r>
    </w:p>
    <w:p>
      <w:pPr>
        <w:pStyle w:val="14"/>
        <w:tabs>
          <w:tab w:val="right" w:leader="dot" w:pos="8306"/>
        </w:tabs>
        <w:spacing w:line="360" w:lineRule="auto"/>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fldChar w:fldCharType="end"/>
      </w:r>
    </w:p>
    <w:p>
      <w:pPr>
        <w:spacing w:line="360" w:lineRule="auto"/>
        <w:rPr>
          <w:color w:val="000000" w:themeColor="text1"/>
          <w:highlight w:val="none"/>
          <w14:textFill>
            <w14:solidFill>
              <w14:schemeClr w14:val="tx1"/>
            </w14:solidFill>
          </w14:textFill>
        </w:rPr>
      </w:pPr>
    </w:p>
    <w:p>
      <w:pPr>
        <w:numPr>
          <w:ilvl w:val="0"/>
          <w:numId w:val="1"/>
        </w:numPr>
        <w:spacing w:line="360" w:lineRule="auto"/>
        <w:jc w:val="center"/>
        <w:outlineLvl w:val="0"/>
        <w:rPr>
          <w:rFonts w:hint="eastAsia" w:ascii="宋体" w:hAnsi="宋体" w:cs="宋体"/>
          <w:b/>
          <w:bCs/>
          <w:color w:val="000000" w:themeColor="text1"/>
          <w:sz w:val="24"/>
          <w:highlight w:val="none"/>
          <w14:textFill>
            <w14:solidFill>
              <w14:schemeClr w14:val="tx1"/>
            </w14:solidFill>
          </w14:textFill>
        </w:rPr>
      </w:pPr>
      <w:r>
        <w:rPr>
          <w:rFonts w:ascii="宋体"/>
          <w:b/>
          <w:bCs/>
          <w:color w:val="000000" w:themeColor="text1"/>
          <w:sz w:val="32"/>
          <w:szCs w:val="28"/>
          <w:highlight w:val="none"/>
          <w14:textFill>
            <w14:solidFill>
              <w14:schemeClr w14:val="tx1"/>
            </w14:solidFill>
          </w14:textFill>
        </w:rPr>
        <w:br w:type="page"/>
      </w:r>
      <w:r>
        <w:rPr>
          <w:rFonts w:hint="eastAsia" w:ascii="宋体"/>
          <w:b/>
          <w:bCs/>
          <w:color w:val="000000" w:themeColor="text1"/>
          <w:sz w:val="32"/>
          <w:szCs w:val="28"/>
          <w:highlight w:val="none"/>
          <w14:textFill>
            <w14:solidFill>
              <w14:schemeClr w14:val="tx1"/>
            </w14:solidFill>
          </w14:textFill>
        </w:rPr>
        <w:t xml:space="preserve"> </w:t>
      </w:r>
      <w:bookmarkStart w:id="7" w:name="_Toc17273"/>
      <w:r>
        <w:rPr>
          <w:rFonts w:hint="eastAsia" w:ascii="宋体" w:hAnsi="宋体" w:cs="宋体"/>
          <w:b/>
          <w:bCs/>
          <w:color w:val="000000" w:themeColor="text1"/>
          <w:sz w:val="24"/>
          <w:highlight w:val="none"/>
          <w14:textFill>
            <w14:solidFill>
              <w14:schemeClr w14:val="tx1"/>
            </w14:solidFill>
          </w14:textFill>
        </w:rPr>
        <w:t>招标邀请书（招标公告）</w:t>
      </w:r>
      <w:bookmarkEnd w:id="7"/>
    </w:p>
    <w:p>
      <w:pPr>
        <w:spacing w:line="360" w:lineRule="auto"/>
        <w:ind w:firstLine="480" w:firstLineChars="200"/>
        <w:jc w:val="righ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文件编码：0722-2025FE8149SZF-1</w:t>
      </w:r>
    </w:p>
    <w:p>
      <w:pPr>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中国远东国际招标有限公司（以下简称采购代理机构）受深圳市前海深港现代服务业合作区管理局委托就</w:t>
      </w:r>
      <w:r>
        <w:rPr>
          <w:rFonts w:hint="eastAsia" w:ascii="宋体" w:hAnsi="宋体" w:cs="宋体"/>
          <w:color w:val="000000" w:themeColor="text1"/>
          <w:sz w:val="24"/>
          <w:highlight w:val="none"/>
          <w:u w:val="single"/>
          <w14:textFill>
            <w14:solidFill>
              <w14:schemeClr w14:val="tx1"/>
            </w14:solidFill>
          </w14:textFill>
        </w:rPr>
        <w:t>深圳市前海深港现代服务业合作区管理局企业年金基金受托管理服务采购项目</w:t>
      </w:r>
      <w:r>
        <w:rPr>
          <w:rFonts w:hint="eastAsia" w:ascii="宋体" w:hAnsi="宋体" w:cs="宋体"/>
          <w:color w:val="000000" w:themeColor="text1"/>
          <w:sz w:val="24"/>
          <w:highlight w:val="none"/>
          <w14:textFill>
            <w14:solidFill>
              <w14:schemeClr w14:val="tx1"/>
            </w14:solidFill>
          </w14:textFill>
        </w:rPr>
        <w:t>（招标编号：</w:t>
      </w:r>
      <w:r>
        <w:rPr>
          <w:rFonts w:hint="eastAsia" w:ascii="宋体" w:hAnsi="宋体" w:cs="宋体"/>
          <w:color w:val="000000" w:themeColor="text1"/>
          <w:sz w:val="24"/>
          <w:highlight w:val="none"/>
          <w:u w:val="single"/>
          <w14:textFill>
            <w14:solidFill>
              <w14:schemeClr w14:val="tx1"/>
            </w14:solidFill>
          </w14:textFill>
        </w:rPr>
        <w:t>QH2025153</w:t>
      </w:r>
      <w:r>
        <w:rPr>
          <w:rFonts w:hint="eastAsia" w:ascii="宋体" w:hAnsi="宋体" w:cs="宋体"/>
          <w:color w:val="000000" w:themeColor="text1"/>
          <w:sz w:val="24"/>
          <w:highlight w:val="none"/>
          <w14:textFill>
            <w14:solidFill>
              <w14:schemeClr w14:val="tx1"/>
            </w14:solidFill>
          </w14:textFill>
        </w:rPr>
        <w:t>）采用简易招标方式采购，欢迎符合投标人资格要求的专业供应商积极参加投标。</w:t>
      </w:r>
    </w:p>
    <w:tbl>
      <w:tblPr>
        <w:tblStyle w:val="20"/>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招标编号</w:t>
            </w:r>
          </w:p>
        </w:tc>
        <w:tc>
          <w:tcPr>
            <w:tcW w:w="7015" w:type="dxa"/>
            <w:vAlign w:val="center"/>
          </w:tcPr>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QH2025153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招标项目名称</w:t>
            </w:r>
          </w:p>
        </w:tc>
        <w:tc>
          <w:tcPr>
            <w:tcW w:w="7015" w:type="dxa"/>
            <w:vAlign w:val="center"/>
          </w:tcPr>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深圳市前海深港现代服务业合作区管理局企业年金基金受托管理服务采购项目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标的内容</w:t>
            </w:r>
          </w:p>
        </w:tc>
        <w:tc>
          <w:tcPr>
            <w:tcW w:w="7015" w:type="dxa"/>
            <w:vAlign w:val="center"/>
          </w:tcPr>
          <w:p>
            <w:pPr>
              <w:spacing w:line="360" w:lineRule="auto"/>
              <w:rPr>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企业年金受托人及相关管理服务采购。具体详见用户需求书。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项目预算</w:t>
            </w:r>
          </w:p>
          <w:p>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（支付上限）</w:t>
            </w:r>
          </w:p>
        </w:tc>
        <w:tc>
          <w:tcPr>
            <w:tcW w:w="7015" w:type="dxa"/>
            <w:vAlign w:val="center"/>
          </w:tcPr>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¥95</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cs="宋体"/>
                <w:color w:val="000000" w:themeColor="text1"/>
                <w:sz w:val="24"/>
                <w:highlight w:val="none"/>
                <w14:textFill>
                  <w14:solidFill>
                    <w14:schemeClr w14:val="tx1"/>
                  </w14:solidFill>
                </w14:textFill>
              </w:rPr>
              <w:t>00.00（人民币</w:t>
            </w:r>
            <w:r>
              <w:rPr>
                <w:rFonts w:hint="eastAsia" w:ascii="宋体" w:hAnsi="宋体" w:cs="宋体"/>
                <w:color w:val="000000" w:themeColor="text1"/>
                <w:sz w:val="24"/>
                <w:highlight w:val="none"/>
                <w:lang w:val="en-US" w:eastAsia="zh-CN"/>
                <w14:textFill>
                  <w14:solidFill>
                    <w14:schemeClr w14:val="tx1"/>
                  </w14:solidFill>
                </w14:textFill>
              </w:rPr>
              <w:t>玖拾伍万叁仟玖佰</w:t>
            </w:r>
            <w:r>
              <w:rPr>
                <w:rFonts w:hint="eastAsia" w:ascii="宋体" w:hAnsi="宋体" w:cs="宋体"/>
                <w:color w:val="000000" w:themeColor="text1"/>
                <w:sz w:val="24"/>
                <w:highlight w:val="none"/>
                <w14:textFill>
                  <w14:solidFill>
                    <w14:schemeClr w14:val="tx1"/>
                  </w14:solidFill>
                </w14:textFill>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标书获得办法</w:t>
            </w:r>
          </w:p>
        </w:tc>
        <w:tc>
          <w:tcPr>
            <w:tcW w:w="7015" w:type="dxa"/>
            <w:vAlign w:val="center"/>
          </w:tcPr>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服务属性</w:t>
            </w:r>
          </w:p>
        </w:tc>
        <w:tc>
          <w:tcPr>
            <w:tcW w:w="7015" w:type="dxa"/>
            <w:vAlign w:val="center"/>
          </w:tcPr>
          <w:p>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本项目为非长期服务类项目。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报名方式</w:t>
            </w:r>
          </w:p>
        </w:tc>
        <w:tc>
          <w:tcPr>
            <w:tcW w:w="7015" w:type="dxa"/>
            <w:vAlign w:val="center"/>
          </w:tcPr>
          <w:p>
            <w:pPr>
              <w:adjustRightInd w:val="0"/>
              <w:snapToGrid w:val="0"/>
              <w:spacing w:line="360" w:lineRule="auto"/>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将投标文件密封并在</w:t>
            </w:r>
            <w:r>
              <w:rPr>
                <w:rFonts w:hint="eastAsia" w:ascii="宋体" w:hAnsi="宋体" w:cs="宋体"/>
                <w:b/>
                <w:bCs/>
                <w:color w:val="000000" w:themeColor="text1"/>
                <w:kern w:val="0"/>
                <w:sz w:val="24"/>
                <w:highlight w:val="none"/>
                <w14:textFill>
                  <w14:solidFill>
                    <w14:schemeClr w14:val="tx1"/>
                  </w14:solidFill>
                </w14:textFill>
              </w:rPr>
              <w:t>2025年</w:t>
            </w:r>
            <w:r>
              <w:rPr>
                <w:rFonts w:hint="eastAsia" w:ascii="宋体" w:hAnsi="宋体" w:cs="宋体"/>
                <w:b/>
                <w:bCs/>
                <w:color w:val="000000" w:themeColor="text1"/>
                <w:kern w:val="0"/>
                <w:sz w:val="24"/>
                <w:highlight w:val="none"/>
                <w:lang w:val="en-US" w:eastAsia="zh-CN"/>
                <w14:textFill>
                  <w14:solidFill>
                    <w14:schemeClr w14:val="tx1"/>
                  </w14:solidFill>
                </w14:textFill>
              </w:rPr>
              <w:t>12</w:t>
            </w:r>
            <w:r>
              <w:rPr>
                <w:rFonts w:hint="eastAsia" w:ascii="宋体" w:hAnsi="宋体" w:cs="宋体"/>
                <w:b/>
                <w:bCs/>
                <w:color w:val="000000" w:themeColor="text1"/>
                <w:kern w:val="0"/>
                <w:sz w:val="24"/>
                <w:highlight w:val="none"/>
                <w14:textFill>
                  <w14:solidFill>
                    <w14:schemeClr w14:val="tx1"/>
                  </w14:solidFill>
                </w14:textFill>
              </w:rPr>
              <w:t>月</w:t>
            </w:r>
            <w:r>
              <w:rPr>
                <w:rFonts w:hint="eastAsia" w:ascii="宋体" w:hAnsi="宋体" w:cs="宋体"/>
                <w:b/>
                <w:bCs/>
                <w:color w:val="000000" w:themeColor="text1"/>
                <w:kern w:val="0"/>
                <w:sz w:val="24"/>
                <w:highlight w:val="none"/>
                <w:lang w:val="en-US" w:eastAsia="zh-CN"/>
                <w14:textFill>
                  <w14:solidFill>
                    <w14:schemeClr w14:val="tx1"/>
                  </w14:solidFill>
                </w14:textFill>
              </w:rPr>
              <w:t>3</w:t>
            </w:r>
            <w:r>
              <w:rPr>
                <w:rFonts w:hint="eastAsia" w:ascii="宋体" w:hAnsi="宋体" w:cs="宋体"/>
                <w:b/>
                <w:bCs/>
                <w:color w:val="000000" w:themeColor="text1"/>
                <w:kern w:val="0"/>
                <w:sz w:val="24"/>
                <w:highlight w:val="none"/>
                <w14:textFill>
                  <w14:solidFill>
                    <w14:schemeClr w14:val="tx1"/>
                  </w14:solidFill>
                </w14:textFill>
              </w:rPr>
              <w:t>日14：30时（北京时间）</w:t>
            </w:r>
            <w:r>
              <w:rPr>
                <w:rFonts w:hint="eastAsia" w:ascii="宋体" w:hAnsi="宋体" w:cs="宋体"/>
                <w:color w:val="000000" w:themeColor="text1"/>
                <w:kern w:val="0"/>
                <w:sz w:val="24"/>
                <w:highlight w:val="none"/>
                <w14:textFill>
                  <w14:solidFill>
                    <w14:schemeClr w14:val="tx1"/>
                  </w14:solidFill>
                </w14:textFill>
              </w:rPr>
              <w:t>前送达（现场递交或邮寄）至深圳市南山区前海深港合作区桂湾五路123号前海管理局前海大厦T1栋</w:t>
            </w:r>
            <w:r>
              <w:rPr>
                <w:rFonts w:hint="eastAsia" w:ascii="宋体" w:hAnsi="宋体" w:cs="宋体"/>
                <w:color w:val="000000" w:themeColor="text1"/>
                <w:kern w:val="0"/>
                <w:sz w:val="24"/>
                <w:highlight w:val="none"/>
                <w:lang w:val="en-US" w:eastAsia="zh-CN"/>
                <w14:textFill>
                  <w14:solidFill>
                    <w14:schemeClr w14:val="tx1"/>
                  </w14:solidFill>
                </w14:textFill>
              </w:rPr>
              <w:t>2511</w:t>
            </w:r>
            <w:r>
              <w:rPr>
                <w:rFonts w:hint="eastAsia" w:ascii="宋体" w:hAnsi="宋体" w:cs="宋体"/>
                <w:color w:val="000000" w:themeColor="text1"/>
                <w:kern w:val="0"/>
                <w:sz w:val="24"/>
                <w:highlight w:val="none"/>
                <w14:textFill>
                  <w14:solidFill>
                    <w14:schemeClr w14:val="tx1"/>
                  </w14:solidFill>
                </w14:textFill>
              </w:rPr>
              <w:t>室</w:t>
            </w:r>
          </w:p>
          <w:p>
            <w:pPr>
              <w:adjustRightInd w:val="0"/>
              <w:snapToGrid w:val="0"/>
              <w:spacing w:line="360" w:lineRule="auto"/>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  系  人：廖女士</w:t>
            </w:r>
          </w:p>
          <w:p>
            <w:pPr>
              <w:adjustRightInd w:val="0"/>
              <w:snapToGrid w:val="0"/>
              <w:spacing w:line="360" w:lineRule="auto"/>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电      话：0755-88105096</w:t>
            </w:r>
          </w:p>
          <w:p>
            <w:pPr>
              <w:adjustRightInd w:val="0"/>
              <w:snapToGrid w:val="0"/>
              <w:spacing w:line="360" w:lineRule="auto"/>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注：如需现场谈判，投标人需在评标半小时内到达评标现场。若因特殊原因，可进行视频会议谈判。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76" w:type="dxa"/>
            <w:vAlign w:val="center"/>
          </w:tcPr>
          <w:p>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投标人资格要求</w:t>
            </w:r>
          </w:p>
        </w:tc>
        <w:tc>
          <w:tcPr>
            <w:tcW w:w="7015" w:type="dxa"/>
            <w:vAlign w:val="center"/>
          </w:tcPr>
          <w:p>
            <w:pPr>
              <w:numPr>
                <w:ilvl w:val="0"/>
                <w:numId w:val="2"/>
              </w:num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在中华人民共和国境内注册的具有独立法人资格或具有独立承担民事责任的能力的其他组织</w:t>
            </w:r>
            <w:r>
              <w:rPr>
                <w:rFonts w:hint="eastAsia" w:ascii="宋体" w:hAnsi="宋体" w:cs="宋体"/>
                <w:b/>
                <w:bCs/>
                <w:color w:val="000000" w:themeColor="text1"/>
                <w:kern w:val="0"/>
                <w:sz w:val="24"/>
                <w:highlight w:val="none"/>
                <w14:textFill>
                  <w14:solidFill>
                    <w14:schemeClr w14:val="tx1"/>
                  </w14:solidFill>
                </w14:textFill>
              </w:rPr>
              <w:t>（提供营业执照或事业单位法人证等法人证明复印件加盖投标人公章，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hint="eastAsia"/>
                <w:b/>
                <w:bCs/>
                <w:color w:val="000000" w:themeColor="text1"/>
                <w:sz w:val="24"/>
                <w:highlight w:val="none"/>
                <w14:textFill>
                  <w14:solidFill>
                    <w14:schemeClr w14:val="tx1"/>
                  </w14:solidFill>
                </w14:textFill>
              </w:rPr>
              <w:t>如以独立法人资格参与投标，但在投标材料中以分支机构公章代替总公司公章的，需提供总公司出具的公章授权书。</w:t>
            </w:r>
            <w:r>
              <w:rPr>
                <w:rFonts w:hint="eastAsia" w:ascii="宋体" w:hAnsi="宋体" w:cs="宋体"/>
                <w:b/>
                <w:bCs/>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w:t>
            </w:r>
          </w:p>
          <w:p>
            <w:pPr>
              <w:numPr>
                <w:ilvl w:val="0"/>
                <w:numId w:val="2"/>
              </w:num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参与政府采购项目投标的供应商近三年内无行贿犯罪记录（由投标人在《政府采购投标及履约承诺函》中作出声明）；</w:t>
            </w:r>
          </w:p>
          <w:p>
            <w:pPr>
              <w:numPr>
                <w:ilvl w:val="0"/>
                <w:numId w:val="2"/>
              </w:num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参与本项目投标前三年内，在经营活动中没有重大违法记录以及不存在被有关部门禁止参与政府采购活动且在有效期内的情况（由投标人在《政府采购投标及履约承诺函》中作出声明）；</w:t>
            </w:r>
          </w:p>
          <w:p>
            <w:pPr>
              <w:numPr>
                <w:ilvl w:val="0"/>
                <w:numId w:val="2"/>
              </w:num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投标人承诺“本单位（公司）不存在《深圳市财政局政府采购供应商信用信息管理办法》（深财规〔2023〕3号）列明的严重违法失信行为”（由投标人在《政府采购投标及履约承诺函》中作出声明）；</w:t>
            </w:r>
          </w:p>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numPr>
                <w:ilvl w:val="0"/>
                <w:numId w:val="2"/>
              </w:num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w:t>
            </w:r>
            <w:r>
              <w:rPr>
                <w:rFonts w:hint="eastAsia" w:ascii="宋体" w:hAnsi="宋体" w:cs="宋体"/>
                <w:b/>
                <w:bCs/>
                <w:color w:val="000000" w:themeColor="text1"/>
                <w:kern w:val="0"/>
                <w:sz w:val="24"/>
                <w:highlight w:val="none"/>
                <w14:textFill>
                  <w14:solidFill>
                    <w14:schemeClr w14:val="tx1"/>
                  </w14:solidFill>
                </w14:textFill>
              </w:rPr>
              <w:t>投标人提供《供应商基本情况表》并加盖公章，同时提供投标人的社保缴纳证明材料及股权关系证明材料，格式见-投标文件格式）；</w:t>
            </w:r>
          </w:p>
          <w:p>
            <w:pPr>
              <w:numPr>
                <w:ilvl w:val="0"/>
                <w:numId w:val="2"/>
              </w:num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为此项目提供整体设计、规范编制或者项目管理、监理、检测等服务的供应商，不得再参加此项目的其他招标采购活动（由投标人在《政府采购投标及履约承诺函》中作出声明）；</w:t>
            </w:r>
          </w:p>
          <w:p>
            <w:pPr>
              <w:numPr>
                <w:ilvl w:val="0"/>
                <w:numId w:val="2"/>
              </w:num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落实政府采购政策需满足的资格要求：本项目不属于专门面向特定企业（单位）的采购项目，本项目采购标的对应的中小企业划分标准所属行业为：</w:t>
            </w:r>
            <w:r>
              <w:rPr>
                <w:rFonts w:hint="eastAsia"/>
                <w:color w:val="000000" w:themeColor="text1"/>
                <w:sz w:val="24"/>
                <w:highlight w:val="none"/>
                <w:u w:val="single"/>
                <w14:textFill>
                  <w14:solidFill>
                    <w14:schemeClr w14:val="tx1"/>
                  </w14:solidFill>
                </w14:textFill>
              </w:rPr>
              <w:t>租赁和商务服务业</w:t>
            </w:r>
            <w:r>
              <w:rPr>
                <w:rFonts w:hint="eastAsia" w:ascii="宋体" w:hAnsi="宋体" w:cs="宋体"/>
                <w:color w:val="000000" w:themeColor="text1"/>
                <w:kern w:val="0"/>
                <w:sz w:val="24"/>
                <w:highlight w:val="none"/>
                <w14:textFill>
                  <w14:solidFill>
                    <w14:schemeClr w14:val="tx1"/>
                  </w14:solidFill>
                </w14:textFill>
              </w:rPr>
              <w:t>。</w:t>
            </w:r>
          </w:p>
          <w:p>
            <w:pPr>
              <w:numPr>
                <w:ilvl w:val="0"/>
                <w:numId w:val="2"/>
              </w:num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本项目不接受联合体投标、不允许非法分包、转包。</w:t>
            </w:r>
          </w:p>
          <w:p>
            <w:pPr>
              <w:pStyle w:val="9"/>
              <w:spacing w:line="360" w:lineRule="auto"/>
              <w:rPr>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（10）本项目的特定资格要求：供应商需具备企业年金法人受托管理资质，须提供由中华人民共和国人力资源和社会保障部颁发的企业年金基金管理机构资格证书（资格类型：法人受托机构）。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报价要求</w:t>
            </w:r>
          </w:p>
        </w:tc>
        <w:tc>
          <w:tcPr>
            <w:tcW w:w="7015" w:type="dxa"/>
            <w:vAlign w:val="center"/>
          </w:tcPr>
          <w:p>
            <w:pPr>
              <w:numPr>
                <w:ilvl w:val="0"/>
                <w:numId w:val="3"/>
              </w:num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供应商不得期望通过索赔等方式获取补偿，否则，除可能遭到拒绝外，还可能将被作为不良行为记录在案，并可能影响其以后参加政府采购的项目投标。</w:t>
            </w:r>
          </w:p>
          <w:p>
            <w:pPr>
              <w:numPr>
                <w:ilvl w:val="0"/>
                <w:numId w:val="3"/>
              </w:num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企业年金基金管理费用主要包括受托管理费、托管费、账户管理费、投资管理费，供应商需对以上四项管理费分别进行报价。</w:t>
            </w:r>
          </w:p>
          <w:p>
            <w:pPr>
              <w:numPr>
                <w:ilvl w:val="0"/>
                <w:numId w:val="3"/>
              </w:num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各项管理费须按照固定费率模式收取，不得增收绩效管理费，各项费率不得低于2011年《企业年金基金管理机构基本服务和收费标准行业自律公约》中最低收费标准的要求。</w:t>
            </w:r>
          </w:p>
          <w:p>
            <w:pPr>
              <w:numPr>
                <w:ilvl w:val="0"/>
                <w:numId w:val="3"/>
              </w:num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不得以折扣、折让、管理费返还或通过设立受托计划直投组合等形式变相降低报价标准。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联系方式</w:t>
            </w:r>
          </w:p>
        </w:tc>
        <w:tc>
          <w:tcPr>
            <w:tcW w:w="7015" w:type="dxa"/>
            <w:vAlign w:val="center"/>
          </w:tcPr>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1.采购人信息</w:t>
            </w:r>
          </w:p>
          <w:p>
            <w:pPr>
              <w:spacing w:line="360" w:lineRule="auto"/>
              <w:rPr>
                <w:rFonts w:hint="eastAsia" w:ascii="宋体" w:hAnsi="宋体" w:cs="宋体"/>
                <w:color w:val="000000" w:themeColor="text1"/>
                <w:kern w:val="0"/>
                <w:sz w:val="24"/>
                <w:highlight w:val="none"/>
                <w14:textFill>
                  <w14:solidFill>
                    <w14:schemeClr w14:val="tx1"/>
                  </w14:solidFill>
                </w14:textFill>
              </w:rPr>
            </w:pPr>
            <w:bookmarkStart w:id="8" w:name="_Toc28359009"/>
            <w:bookmarkStart w:id="9" w:name="_Toc28359086"/>
            <w:r>
              <w:rPr>
                <w:rFonts w:hint="eastAsia" w:ascii="宋体" w:hAnsi="宋体" w:cs="宋体"/>
                <w:color w:val="000000" w:themeColor="text1"/>
                <w:kern w:val="0"/>
                <w:sz w:val="24"/>
                <w:highlight w:val="none"/>
                <w14:textFill>
                  <w14:solidFill>
                    <w14:schemeClr w14:val="tx1"/>
                  </w14:solidFill>
                </w14:textFill>
              </w:rPr>
              <w:t>名  称：深圳市前海深港现代服务业合作区管理局</w:t>
            </w:r>
          </w:p>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  址：深圳市南山区前海深港合作区桂湾五路123号前海管理局前海大厦T1栋</w:t>
            </w:r>
          </w:p>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联系人：廖女士</w:t>
            </w:r>
          </w:p>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电  话：0755-88105096</w:t>
            </w:r>
          </w:p>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2.采购代理机构信息</w:t>
            </w:r>
            <w:bookmarkEnd w:id="8"/>
            <w:bookmarkEnd w:id="9"/>
          </w:p>
          <w:p>
            <w:pPr>
              <w:spacing w:line="360" w:lineRule="auto"/>
              <w:rPr>
                <w:rFonts w:hint="eastAsia" w:ascii="宋体" w:hAnsi="宋体" w:cs="宋体"/>
                <w:color w:val="000000" w:themeColor="text1"/>
                <w:kern w:val="0"/>
                <w:sz w:val="24"/>
                <w:highlight w:val="none"/>
                <w14:textFill>
                  <w14:solidFill>
                    <w14:schemeClr w14:val="tx1"/>
                  </w14:solidFill>
                </w14:textFill>
              </w:rPr>
            </w:pPr>
            <w:bookmarkStart w:id="10" w:name="_Toc28359087"/>
            <w:bookmarkStart w:id="11" w:name="_Toc28359010"/>
            <w:r>
              <w:rPr>
                <w:rFonts w:hint="eastAsia" w:ascii="宋体" w:hAnsi="宋体" w:cs="宋体"/>
                <w:color w:val="000000" w:themeColor="text1"/>
                <w:kern w:val="0"/>
                <w:sz w:val="24"/>
                <w:highlight w:val="none"/>
                <w14:textFill>
                  <w14:solidFill>
                    <w14:schemeClr w14:val="tx1"/>
                  </w14:solidFill>
                </w14:textFill>
              </w:rPr>
              <w:t>名  称：中国远东国际招标有限公司</w:t>
            </w:r>
          </w:p>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  址：深圳市福田区上步南路1001号锦峰大厦22楼</w:t>
            </w:r>
          </w:p>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联系人：凌女士、伍先生</w:t>
            </w:r>
          </w:p>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电  话：0755-82078919、82077364转108</w:t>
            </w:r>
          </w:p>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传  真：0755-82077519</w:t>
            </w:r>
          </w:p>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3.项目联系方式</w:t>
            </w:r>
            <w:bookmarkEnd w:id="10"/>
            <w:bookmarkEnd w:id="11"/>
          </w:p>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项目联系人：凌女士、伍先生</w:t>
            </w:r>
          </w:p>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电　话：0755-82078919、82077364转108</w:t>
            </w:r>
          </w:p>
        </w:tc>
      </w:tr>
    </w:tbl>
    <w:p>
      <w:pPr>
        <w:adjustRightInd w:val="0"/>
        <w:snapToGrid w:val="0"/>
        <w:spacing w:line="360" w:lineRule="auto"/>
        <w:ind w:firstLine="480" w:firstLineChars="200"/>
        <w:jc w:val="righ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中国远东国际招标有限公司</w:t>
      </w:r>
    </w:p>
    <w:p>
      <w:pPr>
        <w:adjustRightInd w:val="0"/>
        <w:snapToGrid w:val="0"/>
        <w:spacing w:line="360" w:lineRule="auto"/>
        <w:ind w:firstLine="480" w:firstLineChars="200"/>
        <w:jc w:val="righ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 xml:space="preserve"> 2025年</w:t>
      </w: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26</w:t>
      </w:r>
      <w:r>
        <w:rPr>
          <w:rFonts w:hint="eastAsia" w:ascii="宋体" w:hAnsi="宋体" w:cs="宋体"/>
          <w:color w:val="000000" w:themeColor="text1"/>
          <w:sz w:val="24"/>
          <w:highlight w:val="none"/>
          <w14:textFill>
            <w14:solidFill>
              <w14:schemeClr w14:val="tx1"/>
            </w14:solidFill>
          </w14:textFill>
        </w:rPr>
        <w:t>日</w:t>
      </w:r>
    </w:p>
    <w:p>
      <w:pPr>
        <w:numPr>
          <w:ilvl w:val="0"/>
          <w:numId w:val="1"/>
        </w:numPr>
        <w:spacing w:line="360" w:lineRule="auto"/>
        <w:jc w:val="center"/>
        <w:outlineLvl w:val="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br w:type="page"/>
      </w:r>
      <w:r>
        <w:rPr>
          <w:rFonts w:hint="eastAsia" w:ascii="宋体" w:hAnsi="宋体" w:cs="宋体"/>
          <w:b/>
          <w:bCs/>
          <w:color w:val="000000" w:themeColor="text1"/>
          <w:sz w:val="24"/>
          <w:highlight w:val="none"/>
          <w14:textFill>
            <w14:solidFill>
              <w14:schemeClr w14:val="tx1"/>
            </w14:solidFill>
          </w14:textFill>
        </w:rPr>
        <w:t xml:space="preserve"> </w:t>
      </w:r>
      <w:bookmarkStart w:id="12" w:name="_Toc10214"/>
      <w:r>
        <w:rPr>
          <w:rFonts w:hint="eastAsia" w:ascii="宋体" w:hAnsi="宋体" w:cs="宋体"/>
          <w:b/>
          <w:bCs/>
          <w:color w:val="000000" w:themeColor="text1"/>
          <w:sz w:val="24"/>
          <w:highlight w:val="none"/>
          <w14:textFill>
            <w14:solidFill>
              <w14:schemeClr w14:val="tx1"/>
            </w14:solidFill>
          </w14:textFill>
        </w:rPr>
        <w:t>投标须知</w:t>
      </w:r>
      <w:bookmarkEnd w:id="12"/>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1、本项目是深圳市前海深港现代服务业合作区管理局的深圳市前海深港现代服务业合作区管理局企业年金基金受托管理服务采购项目。</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项目不属于《深圳市2025-2026年政府集中采购目录及限额标准》规定应集中采购项目，根据《中华人民共和国政府采购法》、《深圳经济特区政府采购条例》的有关规定，中国远东国际招标有限公司受深圳市前海深港现代服务业合作区管理局委托组织采购。</w:t>
      </w:r>
    </w:p>
    <w:p>
      <w:pPr>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2.1、本次采购公开征集供应商，报名且符合招标文件初审的供应商满足3家或3家以上的，采用综合评分法的方式进行。</w:t>
      </w:r>
      <w:r>
        <w:rPr>
          <w:rFonts w:hint="eastAsia" w:ascii="宋体" w:hAnsi="宋体" w:cs="宋体"/>
          <w:b/>
          <w:bCs/>
          <w:color w:val="000000" w:themeColor="text1"/>
          <w:sz w:val="24"/>
          <w:highlight w:val="none"/>
          <w:u w:val="single"/>
          <w14:textFill>
            <w14:solidFill>
              <w14:schemeClr w14:val="tx1"/>
            </w14:solidFill>
          </w14:textFill>
        </w:rPr>
        <w:t>报名且符合招标文件初审的供应商不足3家而导致招标失败的，应重新组织简易招标(公开征集)或转为其他采购方式采购。</w:t>
      </w:r>
    </w:p>
    <w:p>
      <w:pPr>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2.2、对于重新组织简易招标(公开征集)，仍出现有效投标供应商不足3家的情形，按以下流程执行：</w:t>
      </w:r>
    </w:p>
    <w:p>
      <w:pPr>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a.有效投标人为2家的，可在2家有效投标人中取得分最高者为中标供应商；</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b.如参与投标且符合招标文件要求的供应商仅有1家，评审委员会应与投标供应商进行谈判，</w:t>
      </w:r>
      <w:r>
        <w:rPr>
          <w:rFonts w:hint="eastAsia" w:ascii="宋体" w:hAnsi="宋体" w:cs="宋体"/>
          <w:b/>
          <w:bCs/>
          <w:color w:val="000000" w:themeColor="text1"/>
          <w:sz w:val="24"/>
          <w:highlight w:val="none"/>
          <w:u w:val="single"/>
          <w14:textFill>
            <w14:solidFill>
              <w14:schemeClr w14:val="tx1"/>
            </w14:solidFill>
          </w14:textFill>
        </w:rPr>
        <w:t>原则上成交价不超过最初报价的95%。</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3、本项目根据项目的实际情况，公开征集符合投标人资格的供应商。请各供应商根据本文件的要求，准备</w:t>
      </w:r>
      <w:r>
        <w:rPr>
          <w:rFonts w:hint="eastAsia" w:ascii="宋体" w:hAnsi="宋体" w:cs="宋体"/>
          <w:b/>
          <w:bCs/>
          <w:color w:val="000000" w:themeColor="text1"/>
          <w:sz w:val="24"/>
          <w:highlight w:val="none"/>
          <w14:textFill>
            <w14:solidFill>
              <w14:schemeClr w14:val="tx1"/>
            </w14:solidFill>
          </w14:textFill>
        </w:rPr>
        <w:t>5套（1套正本，4套副本，</w:t>
      </w:r>
      <w:bookmarkStart w:id="13" w:name="OLE_LINK6"/>
      <w:r>
        <w:rPr>
          <w:rFonts w:hint="eastAsia" w:ascii="宋体" w:hAnsi="宋体" w:cs="宋体"/>
          <w:b/>
          <w:color w:val="000000" w:themeColor="text1"/>
          <w:sz w:val="24"/>
          <w:highlight w:val="none"/>
          <w14:textFill>
            <w14:solidFill>
              <w14:schemeClr w14:val="tx1"/>
            </w14:solidFill>
          </w14:textFill>
        </w:rPr>
        <w:t>1份电子文档：PDF格式的正本投标文件扫描件、与正本一致的word文档格式的投标文件</w:t>
      </w:r>
      <w:bookmarkEnd w:id="13"/>
      <w:r>
        <w:rPr>
          <w:rFonts w:hint="eastAsia" w:ascii="宋体" w:hAnsi="宋体" w:cs="宋体"/>
          <w:b/>
          <w:bCs/>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完备的资料进行投标。</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4、本招标文件已对本次采购项目的商务条件和货物或服务的质量、技术要求、成果要求、交货要求、售后服务作出了明确的规定。</w:t>
      </w:r>
    </w:p>
    <w:p>
      <w:pPr>
        <w:snapToGrid w:val="0"/>
        <w:spacing w:after="78" w:afterLines="25"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5、响应文件要包括如下内容：</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价格部分；</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商务部分；</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技术部分。</w:t>
      </w:r>
    </w:p>
    <w:p>
      <w:pPr>
        <w:snapToGrid w:val="0"/>
        <w:spacing w:line="360" w:lineRule="auto"/>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r>
        <w:rPr>
          <w:rFonts w:hint="eastAsia" w:ascii="宋体" w:hAnsi="宋体" w:cs="宋体"/>
          <w:bCs/>
          <w:color w:val="000000" w:themeColor="text1"/>
          <w:sz w:val="24"/>
          <w:highlight w:val="none"/>
          <w14:textFill>
            <w14:solidFill>
              <w14:schemeClr w14:val="tx1"/>
            </w14:solidFill>
          </w14:textFill>
        </w:rPr>
        <w:t>采购人会对本次招标的项目确定一个最高限价，最终成交价格超出最高限价将会被当作投标无效处理。</w:t>
      </w:r>
    </w:p>
    <w:p>
      <w:pPr>
        <w:snapToGrid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7、如采购人要求参加投标的供应商需在现场述标时，要派出熟悉本项目情况的项目负责人和对报价有决策权的代表参加，供应商代表要有法人代表的授权，同时要提供法人代表证明。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8、采购人有权根据项目的实际情况提出质量标准、服务标准、交货标准、交货时间、验收方式、付款方式、履约保证、价格等方面的要求，并就这些内容进行评审，所有供应商都在同一标准下进行评审。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9、本次采购凡涉及知识产权问题，由项目供应商负责。</w:t>
      </w:r>
    </w:p>
    <w:p>
      <w:pPr>
        <w:snapToGrid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10、采购人将组成评审委员会，评审工作由评审委员会独立负责。</w:t>
      </w:r>
    </w:p>
    <w:p>
      <w:pPr>
        <w:snapToGrid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11、供应商应在规定的时间内提交投标文件，如需供应商代表到达现场，采购人或采购代理机构将至少在开标前一个工作日发出通知，供应商代表必须在规定的时间到达现场。</w:t>
      </w:r>
    </w:p>
    <w:p>
      <w:pPr>
        <w:snapToGrid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12、采用综合评分法的情况：评审委员会将分别对供应商递交的投标文件进行评审。</w:t>
      </w:r>
    </w:p>
    <w:p>
      <w:pPr>
        <w:snapToGrid w:val="0"/>
        <w:spacing w:line="360" w:lineRule="auto"/>
        <w:ind w:firstLine="360" w:firstLineChars="1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（1）评审委员会将根据供应商的供货能力、服务能力、货物的质量、是否满足本次采购的商务条件、报价等方面的情况进行综合评审，评标委员会依据得分情况，取综合得分最高的供应商为第一中标候选人。</w:t>
      </w:r>
    </w:p>
    <w:p>
      <w:pPr>
        <w:snapToGrid w:val="0"/>
        <w:spacing w:line="360" w:lineRule="auto"/>
        <w:ind w:firstLine="360" w:firstLineChars="1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（2）如果二个及以上供应商的综合评分相同时，取投标价格低者为第一中标候选人。</w:t>
      </w:r>
    </w:p>
    <w:p>
      <w:pPr>
        <w:snapToGrid w:val="0"/>
        <w:spacing w:line="360" w:lineRule="auto"/>
        <w:ind w:firstLine="360" w:firstLineChars="1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（3）如果二个及以上供应商的综合评分相同，且投标价格也相同时，取技术部分得分高者为第一中标候选人。</w:t>
      </w:r>
    </w:p>
    <w:p>
      <w:pPr>
        <w:snapToGrid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13、采用谈判的情况：参与投标且符合招标文件要求的供应商仅有一家，评审委员会将与投标供应商进行谈判。</w:t>
      </w:r>
    </w:p>
    <w:p>
      <w:pPr>
        <w:snapToGrid w:val="0"/>
        <w:spacing w:line="360" w:lineRule="auto"/>
        <w:ind w:firstLine="360" w:firstLineChars="1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（1）供应商在谈判时由项目负责人与评审委员会进行谈判；</w:t>
      </w:r>
    </w:p>
    <w:p>
      <w:pPr>
        <w:snapToGrid w:val="0"/>
        <w:spacing w:line="360" w:lineRule="auto"/>
        <w:ind w:firstLine="360" w:firstLineChars="1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（2）原则上成交价不超过最初报价的95%。</w:t>
      </w:r>
    </w:p>
    <w:p>
      <w:pPr>
        <w:snapToGrid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14、所有的评审/谈判内容都必须保密。</w:t>
      </w:r>
    </w:p>
    <w:p>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p>
    <w:p>
      <w:pPr>
        <w:pStyle w:val="2"/>
        <w:rPr>
          <w:color w:val="000000" w:themeColor="text1"/>
          <w:highlight w:val="none"/>
          <w14:textFill>
            <w14:solidFill>
              <w14:schemeClr w14:val="tx1"/>
            </w14:solidFill>
          </w14:textFill>
        </w:rPr>
      </w:pPr>
    </w:p>
    <w:p>
      <w:pPr>
        <w:numPr>
          <w:ilvl w:val="0"/>
          <w:numId w:val="1"/>
        </w:numPr>
        <w:spacing w:line="360" w:lineRule="auto"/>
        <w:jc w:val="center"/>
        <w:outlineLvl w:val="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 </w:t>
      </w:r>
      <w:bookmarkStart w:id="14" w:name="_Toc20176"/>
      <w:r>
        <w:rPr>
          <w:rFonts w:hint="eastAsia" w:ascii="宋体" w:hAnsi="宋体" w:cs="宋体"/>
          <w:b/>
          <w:bCs/>
          <w:color w:val="000000" w:themeColor="text1"/>
          <w:sz w:val="24"/>
          <w:highlight w:val="none"/>
          <w14:textFill>
            <w14:solidFill>
              <w14:schemeClr w14:val="tx1"/>
            </w14:solidFill>
          </w14:textFill>
        </w:rPr>
        <w:t>评标程序</w:t>
      </w:r>
      <w:bookmarkEnd w:id="14"/>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依法成立评审委员会。在投标截止日前由前海管理局授权招标代理机构在深圳市政府采购评审专家库中抽取专家，组建不少于3人（单数）的评审委员会，其中专家人数为1人，其他专家由采购主办部门委派，评审委员会在投标截止日前一天组成。</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二、参加会议人员：投标人代表（如需）、项目负责代表、评审委员会成员、监督部门代表（如需）、采购代理机构代表。</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三、会议主持人：中国远东国际招标有限公司工作人员 。</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四、开标时间：2025年</w:t>
      </w: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日14:30时（北京时间）。</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五、会议开始：2025年</w:t>
      </w: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日14:30时（北京时间）由会议主持人宣布定标会议开始。</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六、项目负责代表向采购代理机构代表送交投标文件，监督部门代表（如有）确认投标文件密封完整，未密封投标文件将作为投标无效处理。</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七、由采购代理机构代表现场拆封投标文件，并分发给评审委员会成员。</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八、评审委员会审查供应商的投标文件，工作人员记录审查的情况。</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九、评审委员会按以下工作程序进行：</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1、评标委员会对各供应商的投标文件进行初审，对未能通过初审的投标文件作投标无效处理。</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2、对通过初审的供应商的投标文件进行详细的比较和评价。如需要，进行必要的澄清/说明工作。</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3、根据参与投标且符合招标文件要求的供应商数量情况，确定本项目的评审方法。</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4、采用综合评分法的情况：评审委员会将分别对供应商递交的投标文件进行评审。</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4.2如果二个及以上供应商的综合评分相同时，取投标价格低者为第一中标候选人。</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4.3如果二个及以上供应商的综合评分相同，且投标价格也相同时，取技术部分得分高者为第一中标候选人。</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5、采用谈判的情况：参与投标且符合招标文件要求的供应商仅有一家，评审委员会将与投标供应商进行谈判。</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5.1 供应商在谈判时由项目负责人与评审委员会进行谈判；</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5.2 原则上成交价不超过最初报价的95%。</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5.3 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6、评审委员会按照本项目招标文件中规定的评标方法确定中标供应商。</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十、根据本次采购的结果，1</w:t>
      </w:r>
      <w:r>
        <w:rPr>
          <w:rFonts w:ascii="宋体" w:hAnsi="宋体" w:cs="宋体"/>
          <w:color w:val="000000" w:themeColor="text1"/>
          <w:sz w:val="24"/>
          <w:highlight w:val="none"/>
          <w14:textFill>
            <w14:solidFill>
              <w14:schemeClr w14:val="tx1"/>
            </w14:solidFill>
          </w14:textFill>
        </w:rPr>
        <w:t>0</w:t>
      </w:r>
      <w:r>
        <w:rPr>
          <w:rFonts w:hint="eastAsia" w:ascii="宋体" w:hAnsi="宋体" w:cs="宋体"/>
          <w:color w:val="000000" w:themeColor="text1"/>
          <w:sz w:val="24"/>
          <w:highlight w:val="none"/>
          <w14:textFill>
            <w14:solidFill>
              <w14:schemeClr w14:val="tx1"/>
            </w14:solidFill>
          </w14:textFill>
        </w:rPr>
        <w:t>个工作日内与中标供应商签订合同。</w:t>
      </w:r>
    </w:p>
    <w:p>
      <w:pPr>
        <w:spacing w:line="360" w:lineRule="auto"/>
        <w:rPr>
          <w:rFonts w:hint="eastAsia" w:ascii="宋体" w:hAnsi="宋体" w:cs="宋体"/>
          <w:color w:val="000000" w:themeColor="text1"/>
          <w:sz w:val="24"/>
          <w:highlight w:val="none"/>
          <w14:textFill>
            <w14:solidFill>
              <w14:schemeClr w14:val="tx1"/>
            </w14:solidFill>
          </w14:textFill>
        </w:rPr>
      </w:pPr>
    </w:p>
    <w:p>
      <w:pPr>
        <w:spacing w:line="360" w:lineRule="auto"/>
        <w:rPr>
          <w:rFonts w:hint="eastAsia" w:ascii="宋体" w:hAnsi="宋体" w:cs="宋体"/>
          <w:color w:val="000000" w:themeColor="text1"/>
          <w:sz w:val="24"/>
          <w:highlight w:val="none"/>
          <w14:textFill>
            <w14:solidFill>
              <w14:schemeClr w14:val="tx1"/>
            </w14:solidFill>
          </w14:textFill>
        </w:rPr>
      </w:pPr>
    </w:p>
    <w:p>
      <w:pPr>
        <w:spacing w:line="360" w:lineRule="auto"/>
        <w:rPr>
          <w:rFonts w:hint="eastAsia" w:ascii="宋体" w:hAnsi="宋体" w:cs="宋体"/>
          <w:color w:val="000000" w:themeColor="text1"/>
          <w:sz w:val="24"/>
          <w:highlight w:val="none"/>
          <w14:textFill>
            <w14:solidFill>
              <w14:schemeClr w14:val="tx1"/>
            </w14:solidFill>
          </w14:textFill>
        </w:rPr>
      </w:pPr>
    </w:p>
    <w:p>
      <w:pPr>
        <w:spacing w:line="360" w:lineRule="auto"/>
        <w:rPr>
          <w:rFonts w:hint="eastAsia" w:ascii="宋体" w:hAnsi="宋体" w:cs="宋体"/>
          <w:color w:val="000000" w:themeColor="text1"/>
          <w:sz w:val="24"/>
          <w:highlight w:val="none"/>
          <w14:textFill>
            <w14:solidFill>
              <w14:schemeClr w14:val="tx1"/>
            </w14:solidFill>
          </w14:textFill>
        </w:rPr>
      </w:pPr>
    </w:p>
    <w:p>
      <w:pPr>
        <w:pStyle w:val="9"/>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numPr>
          <w:ilvl w:val="0"/>
          <w:numId w:val="1"/>
        </w:numPr>
        <w:spacing w:line="360" w:lineRule="auto"/>
        <w:jc w:val="center"/>
        <w:outlineLvl w:val="0"/>
        <w:rPr>
          <w:rFonts w:hint="eastAsia" w:ascii="宋体" w:hAnsi="宋体" w:cs="宋体"/>
          <w:b/>
          <w:bCs/>
          <w:color w:val="000000" w:themeColor="text1"/>
          <w:sz w:val="24"/>
          <w:highlight w:val="none"/>
          <w14:textFill>
            <w14:solidFill>
              <w14:schemeClr w14:val="tx1"/>
            </w14:solidFill>
          </w14:textFill>
        </w:rPr>
      </w:pPr>
      <w:bookmarkStart w:id="15" w:name="_Toc3567"/>
      <w:r>
        <w:rPr>
          <w:rFonts w:hint="eastAsia" w:ascii="宋体" w:hAnsi="宋体" w:cs="宋体"/>
          <w:b/>
          <w:bCs/>
          <w:color w:val="000000" w:themeColor="text1"/>
          <w:sz w:val="24"/>
          <w:highlight w:val="none"/>
          <w14:textFill>
            <w14:solidFill>
              <w14:schemeClr w14:val="tx1"/>
            </w14:solidFill>
          </w14:textFill>
        </w:rPr>
        <w:t>合同格式及合同条款</w:t>
      </w:r>
      <w:bookmarkEnd w:id="15"/>
    </w:p>
    <w:p>
      <w:pPr>
        <w:spacing w:line="360" w:lineRule="auto"/>
        <w:ind w:firstLine="470" w:firstLineChars="196"/>
        <w:jc w:val="center"/>
        <w:rPr>
          <w:rFonts w:hint="eastAsia" w:ascii="宋体" w:hAnsi="宋体" w:cs="宋体"/>
          <w:color w:val="000000" w:themeColor="text1"/>
          <w:sz w:val="24"/>
          <w:highlight w:val="none"/>
          <w14:textFill>
            <w14:solidFill>
              <w14:schemeClr w14:val="tx1"/>
            </w14:solidFill>
          </w14:textFill>
        </w:rPr>
      </w:pPr>
      <w:bookmarkStart w:id="16" w:name="_Toc73517685"/>
      <w:bookmarkStart w:id="17" w:name="_Toc73518163"/>
      <w:bookmarkStart w:id="18" w:name="_Toc101074886"/>
      <w:bookmarkStart w:id="19" w:name="_Toc73521680"/>
      <w:bookmarkStart w:id="20" w:name="_Toc100052414"/>
      <w:bookmarkStart w:id="21" w:name="_Toc84303603"/>
      <w:bookmarkStart w:id="22" w:name="_Toc73521592"/>
    </w:p>
    <w:bookmarkEnd w:id="16"/>
    <w:bookmarkEnd w:id="17"/>
    <w:bookmarkEnd w:id="18"/>
    <w:bookmarkEnd w:id="19"/>
    <w:bookmarkEnd w:id="20"/>
    <w:bookmarkEnd w:id="21"/>
    <w:bookmarkEnd w:id="22"/>
    <w:p>
      <w:pPr>
        <w:pStyle w:val="27"/>
        <w:spacing w:line="360" w:lineRule="auto"/>
        <w:ind w:left="1470" w:right="1470" w:firstLine="482"/>
        <w:jc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xml:space="preserve">                      </w:t>
      </w:r>
    </w:p>
    <w:p>
      <w:pPr>
        <w:pStyle w:val="27"/>
        <w:spacing w:line="360" w:lineRule="auto"/>
        <w:ind w:left="1470" w:right="1470" w:firstLine="482"/>
        <w:jc w:val="center"/>
        <w:rPr>
          <w:rFonts w:hint="eastAsia" w:ascii="宋体" w:hAnsi="宋体" w:cs="宋体"/>
          <w:b/>
          <w:color w:val="000000" w:themeColor="text1"/>
          <w:sz w:val="24"/>
          <w:szCs w:val="24"/>
          <w:highlight w:val="none"/>
          <w14:textFill>
            <w14:solidFill>
              <w14:schemeClr w14:val="tx1"/>
            </w14:solidFill>
          </w14:textFill>
        </w:rPr>
      </w:pPr>
    </w:p>
    <w:p>
      <w:pPr>
        <w:pStyle w:val="27"/>
        <w:spacing w:line="360" w:lineRule="auto"/>
        <w:ind w:left="1470" w:right="1470" w:firstLine="482"/>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xml:space="preserve"> </w:t>
      </w:r>
    </w:p>
    <w:p>
      <w:pPr>
        <w:pStyle w:val="27"/>
        <w:spacing w:line="360" w:lineRule="auto"/>
        <w:ind w:left="1470" w:right="1470" w:firstLine="482"/>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xml:space="preserve"> </w:t>
      </w:r>
    </w:p>
    <w:p>
      <w:pPr>
        <w:spacing w:line="360" w:lineRule="auto"/>
        <w:jc w:val="center"/>
        <w:outlineLvl w:val="1"/>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深圳市前海深港现代服务业合作区管理局企业年金基金受托管理服务采购项目委托合同</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pPr>
        <w:pStyle w:val="27"/>
        <w:spacing w:line="360" w:lineRule="auto"/>
        <w:ind w:left="1470" w:right="1470" w:firstLine="4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p>
    <w:p>
      <w:pPr>
        <w:pStyle w:val="27"/>
        <w:spacing w:line="360" w:lineRule="auto"/>
        <w:ind w:left="1470" w:right="1470" w:firstLine="4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p>
    <w:p>
      <w:pPr>
        <w:spacing w:line="360" w:lineRule="auto"/>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  </w:t>
      </w:r>
    </w:p>
    <w:p>
      <w:pPr>
        <w:spacing w:line="360" w:lineRule="auto"/>
        <w:ind w:firstLine="720" w:firstLineChars="3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r>
        <w:rPr>
          <w:rFonts w:hint="eastAsia" w:ascii="宋体" w:hAnsi="宋体" w:cs="宋体"/>
          <w:color w:val="000000" w:themeColor="text1"/>
          <w:sz w:val="24"/>
          <w:highlight w:val="none"/>
          <w:u w:val="single"/>
          <w14:textFill>
            <w14:solidFill>
              <w14:schemeClr w14:val="tx1"/>
            </w14:solidFill>
          </w14:textFill>
        </w:rPr>
        <w:t>：深圳市前海深港现代服务业合作区管理局企业年金基金受托管理服务采购项目</w:t>
      </w:r>
    </w:p>
    <w:p>
      <w:pPr>
        <w:spacing w:line="360" w:lineRule="auto"/>
        <w:ind w:firstLine="720" w:firstLineChars="3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项目类型：</w:t>
      </w:r>
      <w:r>
        <w:rPr>
          <w:rFonts w:hint="eastAsia" w:ascii="宋体" w:hAnsi="宋体" w:cs="宋体"/>
          <w:color w:val="000000" w:themeColor="text1"/>
          <w:sz w:val="24"/>
          <w:highlight w:val="none"/>
          <w:u w:val="single"/>
          <w14:textFill>
            <w14:solidFill>
              <w14:schemeClr w14:val="tx1"/>
            </w14:solidFill>
          </w14:textFill>
        </w:rPr>
        <w:t xml:space="preserve">                 服务类                       </w:t>
      </w:r>
    </w:p>
    <w:p>
      <w:pPr>
        <w:spacing w:line="360" w:lineRule="auto"/>
        <w:ind w:firstLine="720" w:firstLineChars="3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委托方（甲方）：</w:t>
      </w:r>
      <w:r>
        <w:rPr>
          <w:rFonts w:hint="eastAsia" w:ascii="宋体" w:hAnsi="宋体" w:cs="宋体"/>
          <w:color w:val="000000" w:themeColor="text1"/>
          <w:sz w:val="24"/>
          <w:highlight w:val="none"/>
          <w:u w:val="single"/>
          <w14:textFill>
            <w14:solidFill>
              <w14:schemeClr w14:val="tx1"/>
            </w14:solidFill>
          </w14:textFill>
        </w:rPr>
        <w:t xml:space="preserve">  深圳市前海深港现代服务业合作区管理局  </w:t>
      </w:r>
    </w:p>
    <w:p>
      <w:pPr>
        <w:spacing w:line="360" w:lineRule="auto"/>
        <w:ind w:firstLine="720" w:firstLineChars="3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承接方（乙方）：</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 </w:t>
      </w:r>
    </w:p>
    <w:p>
      <w:pPr>
        <w:spacing w:line="360" w:lineRule="auto"/>
        <w:jc w:val="center"/>
        <w:rPr>
          <w:rFonts w:hint="eastAsia" w:ascii="宋体" w:hAnsi="宋体" w:cs="宋体"/>
          <w:color w:val="000000" w:themeColor="text1"/>
          <w:sz w:val="24"/>
          <w:highlight w:val="none"/>
          <w14:textFill>
            <w14:solidFill>
              <w14:schemeClr w14:val="tx1"/>
            </w14:solidFill>
          </w14:textFill>
        </w:rPr>
      </w:pPr>
    </w:p>
    <w:p>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二〇二五年  月</w:t>
      </w:r>
    </w:p>
    <w:p>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本合同共    页（不含封面）</w:t>
      </w:r>
    </w:p>
    <w:p>
      <w:pPr>
        <w:spacing w:line="360" w:lineRule="auto"/>
        <w:ind w:firstLine="482" w:firstLineChars="200"/>
        <w:rPr>
          <w:rFonts w:hint="eastAsia" w:ascii="宋体" w:hAnsi="宋体" w:cs="宋体"/>
          <w:color w:val="000000" w:themeColor="text1"/>
          <w:sz w:val="24"/>
          <w:highlight w:val="none"/>
          <w:lang w:bidi="ar"/>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br w:type="page"/>
      </w:r>
      <w:r>
        <w:rPr>
          <w:rFonts w:hint="eastAsia" w:ascii="宋体" w:hAnsi="宋体" w:cs="宋体"/>
          <w:color w:val="000000" w:themeColor="text1"/>
          <w:sz w:val="24"/>
          <w:highlight w:val="none"/>
          <w:lang w:bidi="ar"/>
          <w14:textFill>
            <w14:solidFill>
              <w14:schemeClr w14:val="tx1"/>
            </w14:solidFill>
          </w14:textFill>
        </w:rPr>
        <w:t>合同编号：</w:t>
      </w:r>
    </w:p>
    <w:p>
      <w:pPr>
        <w:spacing w:line="360" w:lineRule="auto"/>
        <w:ind w:firstLine="480" w:firstLineChars="200"/>
        <w:rPr>
          <w:rFonts w:hint="eastAsia" w:ascii="宋体" w:hAnsi="宋体" w:cs="宋体"/>
          <w:color w:val="000000" w:themeColor="text1"/>
          <w:sz w:val="24"/>
          <w:highlight w:val="none"/>
          <w:lang w:bidi="ar"/>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合同编号：</w:t>
      </w:r>
    </w:p>
    <w:p>
      <w:pPr>
        <w:spacing w:line="360" w:lineRule="auto"/>
        <w:ind w:firstLine="480" w:firstLineChars="200"/>
        <w:rPr>
          <w:rFonts w:hint="eastAsia" w:ascii="宋体" w:hAnsi="宋体" w:cs="宋体"/>
          <w:color w:val="000000" w:themeColor="text1"/>
          <w:sz w:val="24"/>
          <w:highlight w:val="none"/>
          <w:lang w:bidi="ar"/>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委 托 人：深圳市前海深港现代服务业合作区管理局</w:t>
      </w:r>
    </w:p>
    <w:p>
      <w:pPr>
        <w:spacing w:line="360" w:lineRule="auto"/>
        <w:ind w:firstLine="480" w:firstLineChars="200"/>
        <w:rPr>
          <w:rFonts w:hint="eastAsia" w:ascii="宋体" w:hAnsi="宋体" w:cs="宋体"/>
          <w:color w:val="000000" w:themeColor="text1"/>
          <w:sz w:val="24"/>
          <w:highlight w:val="none"/>
          <w:lang w:bidi="ar"/>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受 托 人：</w:t>
      </w:r>
    </w:p>
    <w:p>
      <w:pPr>
        <w:spacing w:line="360" w:lineRule="auto"/>
        <w:ind w:firstLine="480" w:firstLineChars="200"/>
        <w:rPr>
          <w:rFonts w:hint="eastAsia" w:ascii="宋体" w:hAnsi="宋体" w:cs="宋体"/>
          <w:color w:val="000000" w:themeColor="text1"/>
          <w:sz w:val="24"/>
          <w:highlight w:val="none"/>
          <w:lang w:bidi="ar"/>
          <w14:textFill>
            <w14:solidFill>
              <w14:schemeClr w14:val="tx1"/>
            </w14:solidFill>
          </w14:textFill>
        </w:rPr>
        <w:sectPr>
          <w:footerReference r:id="rId3" w:type="default"/>
          <w:pgSz w:w="11906" w:h="16838"/>
          <w:pgMar w:top="1440" w:right="1800" w:bottom="1440" w:left="1800" w:header="851" w:footer="992" w:gutter="0"/>
          <w:cols w:space="720" w:num="1"/>
          <w:docGrid w:type="lines" w:linePitch="312" w:charSpace="0"/>
        </w:sectPr>
      </w:pPr>
      <w:r>
        <w:rPr>
          <w:rFonts w:hint="eastAsia" w:ascii="宋体" w:hAnsi="宋体" w:cs="宋体"/>
          <w:color w:val="000000" w:themeColor="text1"/>
          <w:sz w:val="24"/>
          <w:highlight w:val="none"/>
          <w:lang w:bidi="ar"/>
          <w14:textFill>
            <w14:solidFill>
              <w14:schemeClr w14:val="tx1"/>
            </w14:solidFill>
          </w14:textFill>
        </w:rPr>
        <w:t>签署时间：</w:t>
      </w:r>
    </w:p>
    <w:p>
      <w:pPr>
        <w:spacing w:line="360" w:lineRule="auto"/>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甲　　方：深圳市前海深港现代服务业合作区管理局</w:t>
      </w:r>
    </w:p>
    <w:p>
      <w:pPr>
        <w:spacing w:line="360" w:lineRule="auto"/>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联系地址：</w:t>
      </w:r>
    </w:p>
    <w:p>
      <w:pPr>
        <w:spacing w:line="360" w:lineRule="auto"/>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邮政编码：</w:t>
      </w:r>
    </w:p>
    <w:p>
      <w:pPr>
        <w:spacing w:line="360" w:lineRule="auto"/>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电　　话：</w:t>
      </w:r>
    </w:p>
    <w:p>
      <w:pPr>
        <w:spacing w:line="360" w:lineRule="auto"/>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传　　真：</w:t>
      </w:r>
    </w:p>
    <w:p>
      <w:pPr>
        <w:spacing w:line="360" w:lineRule="auto"/>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法定代表人：</w:t>
      </w:r>
    </w:p>
    <w:p>
      <w:pPr>
        <w:spacing w:line="360" w:lineRule="auto"/>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企业年金方案备案文号：</w:t>
      </w:r>
    </w:p>
    <w:p>
      <w:pPr>
        <w:spacing w:line="360" w:lineRule="auto"/>
        <w:rPr>
          <w:rFonts w:ascii="仿宋_GB2312" w:eastAsia="仿宋_GB2312"/>
          <w:color w:val="000000" w:themeColor="text1"/>
          <w:sz w:val="28"/>
          <w:szCs w:val="28"/>
          <w:highlight w:val="none"/>
          <w14:textFill>
            <w14:solidFill>
              <w14:schemeClr w14:val="tx1"/>
            </w14:solidFill>
          </w14:textFill>
        </w:rPr>
      </w:pPr>
    </w:p>
    <w:p>
      <w:pPr>
        <w:spacing w:line="360" w:lineRule="auto"/>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乙    方：</w:t>
      </w:r>
    </w:p>
    <w:p>
      <w:pPr>
        <w:spacing w:line="360" w:lineRule="auto"/>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联系地址：</w:t>
      </w:r>
    </w:p>
    <w:p>
      <w:pPr>
        <w:spacing w:line="360" w:lineRule="auto"/>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邮政编码：</w:t>
      </w:r>
    </w:p>
    <w:p>
      <w:pPr>
        <w:spacing w:line="360" w:lineRule="auto"/>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电    话：</w:t>
      </w:r>
    </w:p>
    <w:p>
      <w:pPr>
        <w:spacing w:line="360" w:lineRule="auto"/>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传    真：</w:t>
      </w:r>
    </w:p>
    <w:p>
      <w:pPr>
        <w:spacing w:line="360" w:lineRule="auto"/>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法定代表人：</w:t>
      </w:r>
    </w:p>
    <w:p>
      <w:pPr>
        <w:spacing w:line="360" w:lineRule="auto"/>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企业年金基金管理机构资格证书编号：</w:t>
      </w:r>
    </w:p>
    <w:p>
      <w:pPr>
        <w:spacing w:line="360" w:lineRule="auto"/>
        <w:jc w:val="center"/>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br w:type="page"/>
      </w:r>
    </w:p>
    <w:p>
      <w:pPr>
        <w:pStyle w:val="3"/>
        <w:jc w:val="center"/>
        <w:rPr>
          <w:rFonts w:ascii="黑体" w:eastAsia="黑体"/>
          <w:b w:val="0"/>
          <w:color w:val="000000" w:themeColor="text1"/>
          <w:sz w:val="28"/>
          <w:szCs w:val="28"/>
          <w:highlight w:val="none"/>
          <w14:textFill>
            <w14:solidFill>
              <w14:schemeClr w14:val="tx1"/>
            </w14:solidFill>
          </w14:textFill>
        </w:rPr>
      </w:pPr>
      <w:bookmarkStart w:id="23" w:name="_Toc311040980"/>
      <w:bookmarkStart w:id="24" w:name="_Toc21983"/>
      <w:bookmarkStart w:id="25" w:name="_Toc196484062"/>
      <w:bookmarkStart w:id="26" w:name="_Toc178058115"/>
      <w:bookmarkStart w:id="27" w:name="_Toc196398438"/>
      <w:r>
        <w:rPr>
          <w:rFonts w:hint="eastAsia" w:ascii="黑体" w:eastAsia="黑体"/>
          <w:b w:val="0"/>
          <w:color w:val="000000" w:themeColor="text1"/>
          <w:sz w:val="28"/>
          <w:szCs w:val="28"/>
          <w:highlight w:val="none"/>
          <w14:textFill>
            <w14:solidFill>
              <w14:schemeClr w14:val="tx1"/>
            </w14:solidFill>
          </w14:textFill>
        </w:rPr>
        <w:t>前  言</w:t>
      </w:r>
      <w:bookmarkEnd w:id="23"/>
      <w:bookmarkEnd w:id="24"/>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为规范企业年金基金的运作，维护甲乙双方及受益人的合法权益，明确甲乙双方的权利义务，依据《中华人民共和国信托法》、《中华人民共和国民法典》、《企业年金办法》（人社部财政部第36号令）、《企业年金基金管理办法》（人力资源和社会保障部令第11号）、《关于企业年金养老金产品有关问题的通知》（人社部发[2013]24号）、《关于调整年金基金投资范围的通知》（人社部发[2020]95号）等法律法规规定及甲方企业年金方案，在平等自愿和诚实信用的基础上，甲乙双方签订《</w:t>
      </w:r>
      <w:r>
        <w:rPr>
          <w:rFonts w:hint="eastAsia" w:ascii="仿宋_GB2312" w:hAnsi="宋体" w:eastAsia="仿宋_GB2312"/>
          <w:color w:val="000000" w:themeColor="text1"/>
          <w:sz w:val="28"/>
          <w:szCs w:val="28"/>
          <w:highlight w:val="none"/>
          <w:u w:val="single"/>
          <w14:textFill>
            <w14:solidFill>
              <w14:schemeClr w14:val="tx1"/>
            </w14:solidFill>
          </w14:textFill>
        </w:rPr>
        <w:t>深圳市前海深港现代服务业合作区管理局</w:t>
      </w:r>
      <w:r>
        <w:rPr>
          <w:rFonts w:hint="eastAsia" w:ascii="仿宋_GB2312" w:hAnsi="宋体" w:eastAsia="仿宋_GB2312"/>
          <w:color w:val="000000" w:themeColor="text1"/>
          <w:sz w:val="28"/>
          <w:szCs w:val="28"/>
          <w:highlight w:val="none"/>
          <w14:textFill>
            <w14:solidFill>
              <w14:schemeClr w14:val="tx1"/>
            </w14:solidFill>
          </w14:textFill>
        </w:rPr>
        <w:t>企业年金计划受托管理合同</w:t>
      </w:r>
      <w:r>
        <w:rPr>
          <w:rFonts w:hint="eastAsia" w:ascii="仿宋_GB2312" w:eastAsia="仿宋_GB2312"/>
          <w:color w:val="000000" w:themeColor="text1"/>
          <w:sz w:val="28"/>
          <w:szCs w:val="28"/>
          <w:highlight w:val="none"/>
          <w14:textFill>
            <w14:solidFill>
              <w14:schemeClr w14:val="tx1"/>
            </w14:solidFill>
          </w14:textFill>
        </w:rPr>
        <w:t>》（以下简称“本合同”）。</w:t>
      </w:r>
    </w:p>
    <w:p>
      <w:pPr>
        <w:pStyle w:val="3"/>
        <w:jc w:val="center"/>
        <w:rPr>
          <w:rFonts w:ascii="黑体" w:eastAsia="黑体"/>
          <w:b w:val="0"/>
          <w:color w:val="000000" w:themeColor="text1"/>
          <w:sz w:val="28"/>
          <w:szCs w:val="28"/>
          <w:highlight w:val="none"/>
          <w14:textFill>
            <w14:solidFill>
              <w14:schemeClr w14:val="tx1"/>
            </w14:solidFill>
          </w14:textFill>
        </w:rPr>
      </w:pPr>
      <w:bookmarkStart w:id="28" w:name="_Toc311040981"/>
      <w:bookmarkStart w:id="29" w:name="_Toc30933"/>
      <w:r>
        <w:rPr>
          <w:rFonts w:hint="eastAsia" w:ascii="黑体" w:eastAsia="黑体"/>
          <w:b w:val="0"/>
          <w:color w:val="000000" w:themeColor="text1"/>
          <w:sz w:val="28"/>
          <w:szCs w:val="28"/>
          <w:highlight w:val="none"/>
          <w14:textFill>
            <w14:solidFill>
              <w14:schemeClr w14:val="tx1"/>
            </w14:solidFill>
          </w14:textFill>
        </w:rPr>
        <w:t>第一章　定义</w:t>
      </w:r>
      <w:bookmarkEnd w:id="28"/>
      <w:bookmarkEnd w:id="29"/>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在本合同中，除上下文另有解释外，下列词语应当具有如下含义：</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1.1  企业年金：指甲方及其职工在依法参加基本养老保险的基础上，自主建立的补充养老保险制度。</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1.2  企业年金方案：指由甲方发起、甲方职工参与、经过甲方和甲方职工的集体协商，并经人力资源社会保障行政部门审核备案的具有法律效力的文件，内容包括甲方参加人员，资金筹集与分配的比例和办法，账户管理，权益归属，基金管理，待遇计发和支付方式，方案的变更和终止，组织管理和监督方式，及双方约定的其他事项等。</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1.3  企业年金计划：由企业年金方案和企业年金基金管理合同等法律文件组成。</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1.4  企业年金单一计划：指受托人将单个委托人交付的企业年金基金，单独进行受托管理的企业年金计划。</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1.5  企业年金集合计划：指同一受托人将多个委托人交付的企业年金基金，集中进行受托管理的企业年金计划。</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1.6  企业年金基金财产：指甲方及其职工根据企业年金方案归集的资金及其投资运营收益形成的企业补充养老保险基金。</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1.7  委托投资资产：指企业年金基金财产中已委托给投资管理人的资产。</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1.8  委托人：指建立企业年金计划的甲方及其职工。本合同中甲方代表委托人行使委托人的权利义务。</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1.9  受益人：指按照企业年金方案规定，参加企业年金计划的甲方职工及其他享有企业年金计划受益权的自然人。</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1.10  受托人：指受托管理企业年金基金的符合国家规定的养老金管理公司等法人受托机构，本合同中特指乙方。</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1.11  账户管理人：指接受受托人委托管理企业年金基金账户的符合国家规定的专业机构。</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1.12  托管人：指接受受托人委托保管企业年金基金财产的符合国家规定的商业银行。</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1.13  投资管理人：指接受受托人委托投资管理企业年金基金财产的符合国家规定的专业机构。</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1.14  账户管理合同：指乙方与账户管理人签订的《深圳市前海深港现代服务业合作区管理局企业年金计划账户管理合同》及其附件，以及乙方和账户管理人对该合同及附件做出的任何有效变更及补充。</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1.15  托管合同：指乙方与托管人签订的《深圳市前海深港现代服务业合作区管理局企业年金计划托管合同》及其附件，以及乙方和托管人对该合同及附件做出的任何有效变更及补充。</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1.16  投资管理合同：指乙方与投资管理人签订的《深圳市前海深港现代服务业合作区管理局企业年金计划投资管理合同》及其附件，以及乙方和投资管理人对该合同及附件做出的任何有效变更及补充。</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1.17  受托财产托管账户：指托管人开立的、专门用于归集企业年金缴费、向投资资产托管账户划拨资金、向受益人支付企业年金待遇、依据法律法规规定支付企业年金管理费用或转移企业年金基金财产的专用存款账户。</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1.18  投资资产托管账户：指托管人开立的、专门用于所托管的企业年金基金因投资运作而发生的资金清算交收的专用存款账户。</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1.19  企业账户：指用于记录企业基本信息及企业年金计划权益信息的账户。企业基本信息至少应当包括企业编码、企业名称、</w:t>
      </w:r>
      <w:r>
        <w:rPr>
          <w:rFonts w:ascii="仿宋_GB2312" w:eastAsia="仿宋_GB2312"/>
          <w:color w:val="000000" w:themeColor="text1"/>
          <w:sz w:val="28"/>
          <w:szCs w:val="28"/>
          <w:highlight w:val="none"/>
          <w14:textFill>
            <w14:solidFill>
              <w14:schemeClr w14:val="tx1"/>
            </w14:solidFill>
          </w14:textFill>
        </w:rPr>
        <w:t>统一社会信用代码</w:t>
      </w:r>
      <w:r>
        <w:rPr>
          <w:rFonts w:hint="eastAsia" w:ascii="仿宋_GB2312" w:eastAsia="仿宋_GB2312"/>
          <w:color w:val="000000" w:themeColor="text1"/>
          <w:sz w:val="28"/>
          <w:szCs w:val="28"/>
          <w:highlight w:val="none"/>
          <w14:textFill>
            <w14:solidFill>
              <w14:schemeClr w14:val="tx1"/>
            </w14:solidFill>
          </w14:textFill>
        </w:rPr>
        <w:t>、通讯地址、联系人姓名及电话；企业年金计划权益信息至少应当包括缴费、支付、投资收益、权益余额、未归属权益等信息。</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1.20  个人账户：指用于记录职工个人基本信息、企业缴费信息、个人缴费信息、投资收益、已归属权益等信息的账户。</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1.21  保留账户：指职工因变动工作、升学、参军、失业等法律法规规定的原因离职或者企业年金计划终止且没有加入其他受托人管理的企业年金计划时，用于记录职工个人基本信息、投资收益、权益余额等信息的账户。</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1.22  退休账户：指职工退休选择分期领取企业年金待遇时，用于记录职工个人基本信息、企业年金待遇支付、投资收益、权益余额等信息的账户。</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1.23  已归属权益：指甲方职工符合企业年金方案规定的归属条件时，确定该职工企业年金个人账户中企业缴费及其投资运营收益中应当取得的权益。</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1.24  未归属权益：</w:t>
      </w:r>
      <w:r>
        <w:rPr>
          <w:rFonts w:ascii="仿宋_GB2312" w:eastAsia="仿宋_GB2312"/>
          <w:color w:val="000000" w:themeColor="text1"/>
          <w:sz w:val="28"/>
          <w:szCs w:val="28"/>
          <w:highlight w:val="none"/>
          <w14:textFill>
            <w14:solidFill>
              <w14:schemeClr w14:val="tx1"/>
            </w14:solidFill>
          </w14:textFill>
        </w:rPr>
        <w:t>指甲方职工离开甲方时，按照企业年金方案规定的归属条件，职工个人账户中未能归属于职工的企业缴费及其投资运营收益。</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1.25  个人账户权益：指企业年金个人账户中个人缴费及其投资运营收益以及受益人享有的已归属权益。</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1.26  企业年金待遇：指按照相关法律法规和企业年金方案应当支付给受益人的个人账户权益。</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1.27  投资组合：指为分散风险而将企业年金基金分成的若干投资单元。</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1.28  投资管理风险准备金：指投资管理人从当期收取的投资管理费中提取的专项用于弥补合同终止时所管理投资组合的企业年金基金当期投资亏损的资金。</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1.29  投资管理风险准备金账户：指投资管理人开立的、专门用于存放从投资管理人投资管理费中提取的投资管理风险准备金的专用存款账户。</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1.30  养老金产品</w:t>
      </w:r>
      <w:r>
        <w:rPr>
          <w:rFonts w:hint="eastAsia" w:ascii="仿宋_GB2312" w:eastAsia="仿宋_GB2312"/>
          <w:color w:val="000000" w:themeColor="text1"/>
          <w:sz w:val="28"/>
          <w:szCs w:val="28"/>
          <w:highlight w:val="none"/>
          <w:lang w:eastAsia="zh-CN"/>
          <w14:textFill>
            <w14:solidFill>
              <w14:schemeClr w14:val="tx1"/>
            </w14:solidFill>
          </w14:textFill>
        </w:rPr>
        <w:t>：</w:t>
      </w:r>
      <w:r>
        <w:rPr>
          <w:rFonts w:hint="eastAsia" w:ascii="仿宋_GB2312" w:eastAsia="仿宋_GB2312"/>
          <w:color w:val="000000" w:themeColor="text1"/>
          <w:sz w:val="28"/>
          <w:szCs w:val="28"/>
          <w:highlight w:val="none"/>
          <w14:textFill>
            <w14:solidFill>
              <w14:schemeClr w14:val="tx1"/>
            </w14:solidFill>
          </w14:textFill>
        </w:rPr>
        <w:t>指由企业年金基金投资管理人发行的、面向企业年金基金等法律法规规定的主体定向销售的标准投资组合。</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1.31  交易日：指上海证券交易所、深圳证券交易所等交易所正常的营业日。</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1.32  审计费用：指对企业年金计划进行审计所发生的费用。</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1.33  交易费用：指因证券买卖所产生的印花税、手续费、过户费、证管费、交易单元佣金及账户维护费等费用。</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1.34  资金划拨费用：指因受托财产托管账户与投资资产托管账户之间的资金划拨、投资资产托管账户与证券市场、银行间债券市场、开放式基金等登记清算机构的资金账户之间的资金划拨、企业年金待遇领取的资金划拨以及支付有关费用等产生的汇划费用以及由此产生的银行票据购买等费用。</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1.35  开户费用：指托管人为企业年金计划及投资组合开设资金类和投资交易类等账户时所发生的费用。</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1.36  清算费用：指企业年金计划终止时对企业年金基金财产进行清算时发生的费用。</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1.37  超缴：指委托人实际缴费金额大于缴费收账通知的应收缴费金额。</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1.38  短缴：指委托人实际缴费金额小于缴费收账通知的应收缴费金额。</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1.39  管理职责终止日：指企业年金计划的受托人、账户管理人、托管人或投资管理人职责终止，新旧管理人业务移交手续办理完毕之日，具体日期由受托人与新旧管理人协商确定。</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1.40  法律法规</w:t>
      </w:r>
      <w:r>
        <w:rPr>
          <w:rFonts w:hint="eastAsia" w:ascii="仿宋_GB2312" w:eastAsia="仿宋_GB2312"/>
          <w:color w:val="000000" w:themeColor="text1"/>
          <w:sz w:val="28"/>
          <w:szCs w:val="28"/>
          <w:highlight w:val="none"/>
          <w:lang w:eastAsia="zh-CN"/>
          <w14:textFill>
            <w14:solidFill>
              <w14:schemeClr w14:val="tx1"/>
            </w14:solidFill>
          </w14:textFill>
        </w:rPr>
        <w:t>：</w:t>
      </w:r>
      <w:r>
        <w:rPr>
          <w:rFonts w:hint="eastAsia" w:ascii="仿宋_GB2312" w:eastAsia="仿宋_GB2312"/>
          <w:color w:val="000000" w:themeColor="text1"/>
          <w:sz w:val="28"/>
          <w:szCs w:val="28"/>
          <w:highlight w:val="none"/>
          <w14:textFill>
            <w14:solidFill>
              <w14:schemeClr w14:val="tx1"/>
            </w14:solidFill>
          </w14:textFill>
        </w:rPr>
        <w:t>本合同所称法律法规指国家现行有效并公布实施的法律、行政法规、司法解释、部门规章及规范性文件等。</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1.41  不可抗力：指甲乙双方不能预见、不能避免且不能克服的客观情况，包括但不限于自然灾害、社会政治动乱和战争</w:t>
      </w:r>
      <w:bookmarkStart w:id="156" w:name="_GoBack"/>
      <w:bookmarkEnd w:id="156"/>
      <w:r>
        <w:rPr>
          <w:rFonts w:hint="eastAsia" w:ascii="仿宋_GB2312" w:eastAsia="仿宋_GB2312"/>
          <w:color w:val="000000" w:themeColor="text1"/>
          <w:sz w:val="28"/>
          <w:szCs w:val="28"/>
          <w:highlight w:val="none"/>
          <w14:textFill>
            <w14:solidFill>
              <w14:schemeClr w14:val="tx1"/>
            </w14:solidFill>
          </w14:textFill>
        </w:rPr>
        <w:t>以及证券交易所、中国证券登记结算有限责任公司、中央国债登记结算有限责任公司、银行间市场清算所股份有限公司等证券交易和结算机构的交易系统故障。</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1.42  损失：本合同、附件以及后续签订的补充协议中所指的损失均指直接损失。</w:t>
      </w:r>
    </w:p>
    <w:p>
      <w:pPr>
        <w:pStyle w:val="3"/>
        <w:jc w:val="center"/>
        <w:rPr>
          <w:rFonts w:ascii="黑体" w:eastAsia="黑体"/>
          <w:b w:val="0"/>
          <w:color w:val="000000" w:themeColor="text1"/>
          <w:sz w:val="28"/>
          <w:szCs w:val="28"/>
          <w:highlight w:val="none"/>
          <w14:textFill>
            <w14:solidFill>
              <w14:schemeClr w14:val="tx1"/>
            </w14:solidFill>
          </w14:textFill>
        </w:rPr>
      </w:pPr>
      <w:bookmarkStart w:id="30" w:name="_Toc26005"/>
      <w:bookmarkStart w:id="31" w:name="_Toc311040982"/>
      <w:r>
        <w:rPr>
          <w:rFonts w:hint="eastAsia" w:ascii="黑体" w:eastAsia="黑体"/>
          <w:b w:val="0"/>
          <w:color w:val="000000" w:themeColor="text1"/>
          <w:sz w:val="28"/>
          <w:szCs w:val="28"/>
          <w:highlight w:val="none"/>
          <w14:textFill>
            <w14:solidFill>
              <w14:schemeClr w14:val="tx1"/>
            </w14:solidFill>
          </w14:textFill>
        </w:rPr>
        <w:t>第二章  声明与承诺</w:t>
      </w:r>
      <w:bookmarkEnd w:id="30"/>
      <w:bookmarkEnd w:id="31"/>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2.1  甲方声明与承诺。</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2.1.1  甲方声明已通过职工大会(或者职工代表大会)讨论确定，</w:t>
      </w:r>
      <w:r>
        <w:rPr>
          <w:rFonts w:ascii="仿宋_GB2312" w:eastAsia="仿宋_GB2312"/>
          <w:color w:val="000000" w:themeColor="text1"/>
          <w:sz w:val="28"/>
          <w:szCs w:val="28"/>
          <w:highlight w:val="none"/>
          <w14:textFill>
            <w14:solidFill>
              <w14:schemeClr w14:val="tx1"/>
            </w14:solidFill>
          </w14:textFill>
        </w:rPr>
        <w:t>取得</w:t>
      </w:r>
      <w:r>
        <w:rPr>
          <w:rFonts w:hint="eastAsia" w:ascii="仿宋_GB2312" w:eastAsia="仿宋_GB2312"/>
          <w:color w:val="000000" w:themeColor="text1"/>
          <w:sz w:val="28"/>
          <w:szCs w:val="28"/>
          <w:highlight w:val="none"/>
          <w14:textFill>
            <w14:solidFill>
              <w14:schemeClr w14:val="tx1"/>
            </w14:solidFill>
          </w14:textFill>
        </w:rPr>
        <w:t>职工</w:t>
      </w:r>
      <w:r>
        <w:rPr>
          <w:rFonts w:ascii="仿宋_GB2312" w:eastAsia="仿宋_GB2312"/>
          <w:color w:val="000000" w:themeColor="text1"/>
          <w:sz w:val="28"/>
          <w:szCs w:val="28"/>
          <w:highlight w:val="none"/>
          <w14:textFill>
            <w14:solidFill>
              <w14:schemeClr w14:val="tx1"/>
            </w14:solidFill>
          </w14:textFill>
        </w:rPr>
        <w:t>的合法授权，代表</w:t>
      </w:r>
      <w:r>
        <w:rPr>
          <w:rFonts w:hint="eastAsia" w:ascii="仿宋_GB2312" w:eastAsia="仿宋_GB2312"/>
          <w:color w:val="000000" w:themeColor="text1"/>
          <w:sz w:val="28"/>
          <w:szCs w:val="28"/>
          <w:highlight w:val="none"/>
          <w14:textFill>
            <w14:solidFill>
              <w14:schemeClr w14:val="tx1"/>
            </w14:solidFill>
          </w14:textFill>
        </w:rPr>
        <w:t>委托人</w:t>
      </w:r>
      <w:r>
        <w:rPr>
          <w:rFonts w:ascii="仿宋_GB2312" w:eastAsia="仿宋_GB2312"/>
          <w:color w:val="000000" w:themeColor="text1"/>
          <w:sz w:val="28"/>
          <w:szCs w:val="28"/>
          <w:highlight w:val="none"/>
          <w14:textFill>
            <w14:solidFill>
              <w14:schemeClr w14:val="tx1"/>
            </w14:solidFill>
          </w14:textFill>
        </w:rPr>
        <w:t>签署</w:t>
      </w:r>
      <w:r>
        <w:rPr>
          <w:rFonts w:hint="eastAsia" w:ascii="仿宋_GB2312" w:eastAsia="仿宋_GB2312"/>
          <w:color w:val="000000" w:themeColor="text1"/>
          <w:sz w:val="28"/>
          <w:szCs w:val="28"/>
          <w:highlight w:val="none"/>
          <w14:textFill>
            <w14:solidFill>
              <w14:schemeClr w14:val="tx1"/>
            </w14:solidFill>
          </w14:textFill>
        </w:rPr>
        <w:t>本合同</w:t>
      </w:r>
      <w:r>
        <w:rPr>
          <w:rFonts w:ascii="仿宋_GB2312" w:eastAsia="仿宋_GB2312"/>
          <w:color w:val="000000" w:themeColor="text1"/>
          <w:sz w:val="28"/>
          <w:szCs w:val="28"/>
          <w:highlight w:val="none"/>
          <w14:textFill>
            <w14:solidFill>
              <w14:schemeClr w14:val="tx1"/>
            </w14:solidFill>
          </w14:textFill>
        </w:rPr>
        <w:t>，并可代为处理与受益人相关的事项</w:t>
      </w:r>
      <w:r>
        <w:rPr>
          <w:rFonts w:hint="eastAsia" w:ascii="仿宋_GB2312" w:eastAsia="仿宋_GB2312"/>
          <w:color w:val="000000" w:themeColor="text1"/>
          <w:sz w:val="28"/>
          <w:szCs w:val="28"/>
          <w:highlight w:val="none"/>
          <w14:textFill>
            <w14:solidFill>
              <w14:schemeClr w14:val="tx1"/>
            </w14:solidFill>
          </w14:textFill>
        </w:rPr>
        <w:t>，</w:t>
      </w:r>
      <w:r>
        <w:rPr>
          <w:rFonts w:ascii="仿宋_GB2312" w:eastAsia="仿宋_GB2312"/>
          <w:color w:val="000000" w:themeColor="text1"/>
          <w:sz w:val="28"/>
          <w:szCs w:val="28"/>
          <w:highlight w:val="none"/>
          <w14:textFill>
            <w14:solidFill>
              <w14:schemeClr w14:val="tx1"/>
            </w14:solidFill>
          </w14:textFill>
        </w:rPr>
        <w:t>但法律法规</w:t>
      </w:r>
      <w:r>
        <w:rPr>
          <w:rFonts w:hint="eastAsia" w:ascii="仿宋_GB2312" w:eastAsia="仿宋_GB2312"/>
          <w:color w:val="000000" w:themeColor="text1"/>
          <w:sz w:val="28"/>
          <w:szCs w:val="28"/>
          <w:highlight w:val="none"/>
          <w14:textFill>
            <w14:solidFill>
              <w14:schemeClr w14:val="tx1"/>
            </w14:solidFill>
          </w14:textFill>
        </w:rPr>
        <w:t>规定</w:t>
      </w:r>
      <w:r>
        <w:rPr>
          <w:rFonts w:ascii="仿宋_GB2312" w:eastAsia="仿宋_GB2312"/>
          <w:color w:val="000000" w:themeColor="text1"/>
          <w:sz w:val="28"/>
          <w:szCs w:val="28"/>
          <w:highlight w:val="none"/>
          <w14:textFill>
            <w14:solidFill>
              <w14:schemeClr w14:val="tx1"/>
            </w14:solidFill>
          </w14:textFill>
        </w:rPr>
        <w:t>、本合同约定及根据行为性质只能由受益人自己处理的事项除外</w:t>
      </w:r>
      <w:r>
        <w:rPr>
          <w:rFonts w:hint="eastAsia" w:ascii="仿宋_GB2312" w:eastAsia="仿宋_GB2312"/>
          <w:color w:val="000000" w:themeColor="text1"/>
          <w:sz w:val="28"/>
          <w:szCs w:val="28"/>
          <w:highlight w:val="none"/>
          <w14:textFill>
            <w14:solidFill>
              <w14:schemeClr w14:val="tx1"/>
            </w14:solidFill>
          </w14:textFill>
        </w:rPr>
        <w:t>。</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2.1.2  甲方声明已了解国家关于企业年金的法律法规规定及本合同约定，充分认识到企业年金基金财产运作过程中可能存在的风险，自愿按照法律法规规定及本合同约定将其合法拥有的按照其企业年金方案所归集的企业年金基金财产委托给乙方管理运用、处分。</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2.1.3  甲方声明甲方依据企业年金计划设立的相关文件和资料，签署本合同并履行本合同约定的义务，行使本合同项下的权利，不违反甲方章程和适用于甲方的任何生效判决、裁定、授权及协议，不会为其他任何第三方所质疑，并为合同有效执行负有责任。</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2.1.4  甲方承诺企业年金基金财产来源及用途符合法律法规规定，并保证企业年金基金财产没有用于任何担保和抵押，亦无其他任何限制性条件妨碍乙方对企业年金基金财产进行受托管理。</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2.1.5  甲方承诺提供给乙方的所有信息资料均合法、真实、准确、完整，没有任何虚假陈述、重大遗漏和误导。</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2.2  乙方声明与承诺。</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2.2.1  乙方声明本公司为根据法律法规合法设立并有效存续、依法取得企业年金基金受托管理业务资格、受托管理企业年金基金财产的法人受托机构。</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2.2.2  乙方声明签署本合同、履行其在本合同项下的义务、行使其在本合同项下的权利，不违反乙方章程和适用于乙方的任何生效判决、裁定、授权及协议。</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2.2.3  乙方声明市场存在风险，不保证企业年金基金财产管理过程中本金不受损失，亦不保证一定盈利。</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2.2.4  乙方承诺严格遵守法律法规规定、企业年金管理机构行业自律公约和本合同约定，恪尽职守，按照诚实、信用、谨慎、勤勉的原则，履行受托管理职责，为受益人最大利益管理和处分企业年金基金财产。</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2.2.5  乙方承诺提供给甲方的所有信息资料均合法、真实、准确、完整，没有任何虚假陈述、重大遗漏和误导。</w:t>
      </w:r>
    </w:p>
    <w:bookmarkEnd w:id="25"/>
    <w:bookmarkEnd w:id="26"/>
    <w:bookmarkEnd w:id="27"/>
    <w:p>
      <w:pPr>
        <w:pStyle w:val="3"/>
        <w:jc w:val="center"/>
        <w:rPr>
          <w:rFonts w:ascii="黑体" w:eastAsia="黑体"/>
          <w:b w:val="0"/>
          <w:color w:val="000000" w:themeColor="text1"/>
          <w:sz w:val="28"/>
          <w:szCs w:val="28"/>
          <w:highlight w:val="none"/>
          <w14:textFill>
            <w14:solidFill>
              <w14:schemeClr w14:val="tx1"/>
            </w14:solidFill>
          </w14:textFill>
        </w:rPr>
      </w:pPr>
      <w:bookmarkStart w:id="32" w:name="_Toc1823"/>
      <w:bookmarkStart w:id="33" w:name="_Toc311040983"/>
      <w:bookmarkStart w:id="34" w:name="_Toc196484064"/>
      <w:r>
        <w:rPr>
          <w:rFonts w:hint="eastAsia" w:ascii="黑体" w:eastAsia="黑体"/>
          <w:b w:val="0"/>
          <w:color w:val="000000" w:themeColor="text1"/>
          <w:sz w:val="28"/>
          <w:szCs w:val="28"/>
          <w:highlight w:val="none"/>
          <w14:textFill>
            <w14:solidFill>
              <w14:schemeClr w14:val="tx1"/>
            </w14:solidFill>
          </w14:textFill>
        </w:rPr>
        <w:t>第三章  受托的设立</w:t>
      </w:r>
      <w:bookmarkEnd w:id="32"/>
      <w:bookmarkEnd w:id="33"/>
      <w:bookmarkEnd w:id="34"/>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3.1  设立的条件。</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甲方企业年金方案已经过人力资源社会保障行政部门备案，方案备案文号为</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3.2  设立的目的。</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保障企业年金基金财产的独立性，争取实现企业年金基金保值增值，提高受益人退休后的收入水平。</w:t>
      </w:r>
    </w:p>
    <w:p>
      <w:pPr>
        <w:tabs>
          <w:tab w:val="left" w:pos="2700"/>
        </w:tabs>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3.3  受托财产。</w:t>
      </w:r>
    </w:p>
    <w:p>
      <w:pPr>
        <w:tabs>
          <w:tab w:val="left" w:pos="2700"/>
        </w:tabs>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甲方委托乙方按本合同约定进行受托管理的企业年金基金财产。</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3.4  受托的成立。</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甲方与乙方签订的受托管理合同以及乙方与其他管理人分别签订的委托管理合同，经人力资源社会保障行政部门备案后，受托成立。</w:t>
      </w:r>
    </w:p>
    <w:p>
      <w:pPr>
        <w:pStyle w:val="3"/>
        <w:jc w:val="center"/>
        <w:rPr>
          <w:rFonts w:ascii="黑体" w:eastAsia="黑体"/>
          <w:b w:val="0"/>
          <w:color w:val="000000" w:themeColor="text1"/>
          <w:sz w:val="28"/>
          <w:szCs w:val="28"/>
          <w:highlight w:val="none"/>
          <w14:textFill>
            <w14:solidFill>
              <w14:schemeClr w14:val="tx1"/>
            </w14:solidFill>
          </w14:textFill>
        </w:rPr>
      </w:pPr>
      <w:bookmarkStart w:id="35" w:name="_Toc28950"/>
      <w:bookmarkStart w:id="36" w:name="_Toc311040984"/>
      <w:r>
        <w:rPr>
          <w:rFonts w:hint="eastAsia" w:ascii="黑体" w:eastAsia="黑体"/>
          <w:b w:val="0"/>
          <w:color w:val="000000" w:themeColor="text1"/>
          <w:sz w:val="28"/>
          <w:szCs w:val="28"/>
          <w:highlight w:val="none"/>
          <w14:textFill>
            <w14:solidFill>
              <w14:schemeClr w14:val="tx1"/>
            </w14:solidFill>
          </w14:textFill>
        </w:rPr>
        <w:t>第四章  受托当事人的权利与义务</w:t>
      </w:r>
      <w:bookmarkEnd w:id="35"/>
      <w:bookmarkEnd w:id="36"/>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4.1  受托当事人。</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受托当事人为甲方、乙方和受益人。</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bookmarkStart w:id="37" w:name="_Toc200853037"/>
      <w:bookmarkStart w:id="38" w:name="_Toc200433616"/>
      <w:bookmarkStart w:id="39" w:name="_Toc200433424"/>
      <w:bookmarkStart w:id="40" w:name="_Toc196484069"/>
      <w:r>
        <w:rPr>
          <w:rFonts w:hint="eastAsia" w:ascii="仿宋_GB2312" w:eastAsia="仿宋_GB2312"/>
          <w:color w:val="000000" w:themeColor="text1"/>
          <w:sz w:val="28"/>
          <w:szCs w:val="28"/>
          <w:highlight w:val="none"/>
          <w14:textFill>
            <w14:solidFill>
              <w14:schemeClr w14:val="tx1"/>
            </w14:solidFill>
          </w14:textFill>
        </w:rPr>
        <w:t>4.2  甲方的权利与义务</w:t>
      </w:r>
      <w:bookmarkEnd w:id="37"/>
      <w:bookmarkEnd w:id="38"/>
      <w:bookmarkEnd w:id="39"/>
      <w:bookmarkEnd w:id="40"/>
      <w:r>
        <w:rPr>
          <w:rFonts w:hint="eastAsia" w:ascii="仿宋_GB2312" w:eastAsia="仿宋_GB2312"/>
          <w:color w:val="000000" w:themeColor="text1"/>
          <w:sz w:val="28"/>
          <w:szCs w:val="28"/>
          <w:highlight w:val="none"/>
          <w14:textFill>
            <w14:solidFill>
              <w14:schemeClr w14:val="tx1"/>
            </w14:solidFill>
          </w14:textFill>
        </w:rPr>
        <w:t>。</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4.2.1  甲方的权利。</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4.2.1.1  监督乙方的受托管理行为。</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4.2.1.2  向乙方了解企业年金基金财产管理、处分及收支情况，并有权要求乙方做出说明。</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4.2.1.3  依据法律法规规定，查阅、抄录或者复制与企业年金基金财产有关的财务资料以及与企业年金基金管理有关的其他资料。</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4.2.1.4  按本合同约定终止本合同。</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4.2.1.5  向乙方查阅企业年金计划的委托管理合同。</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4.2.1.6  行使法律法规规定及本合同约定的其他权利。</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4.2.2  甲方的义务。</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4.2.2.1  遵守法律法规规定及本合同约定，不损害国家、社会公众和受益人的合法权益，如法律法规调整，应当及时与乙方协商，相应调整本合同相关内容。</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4.2.2.2  按企业年金方案规定缴费，并于企业年金基金缴费归集到受托财产托管账户后配合乙方在</w:t>
      </w:r>
      <w:r>
        <w:rPr>
          <w:rFonts w:ascii="仿宋_GB2312" w:eastAsia="仿宋_GB2312"/>
          <w:color w:val="000000" w:themeColor="text1"/>
          <w:sz w:val="28"/>
          <w:szCs w:val="28"/>
          <w:highlight w:val="none"/>
          <w14:textFill>
            <w14:solidFill>
              <w14:schemeClr w14:val="tx1"/>
            </w14:solidFill>
          </w14:textFill>
        </w:rPr>
        <w:t>45</w:t>
      </w:r>
      <w:r>
        <w:rPr>
          <w:rFonts w:hint="eastAsia" w:ascii="仿宋_GB2312" w:eastAsia="仿宋_GB2312"/>
          <w:color w:val="000000" w:themeColor="text1"/>
          <w:sz w:val="28"/>
          <w:szCs w:val="28"/>
          <w:highlight w:val="none"/>
          <w14:textFill>
            <w14:solidFill>
              <w14:schemeClr w14:val="tx1"/>
            </w14:solidFill>
          </w14:textFill>
        </w:rPr>
        <w:t>日内将缴费划入投资资产托管账户。</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4.2.2.3  及时足额支付账户管理费；同意乙方按本合同约定从企业年金基金财产中列支受托管理费、托管费、投资管理费和其他有关费用。</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4.2.2.4  及时向乙方提供企业年金方案建立和运作所必需的相关资料和信息，包括企业基本信息、职工个人基本信息、缴费信息、支付年金待遇的相关证明等，并承担本合同和企业年金方案约定的管理流程中确认数据等各项职责。其中，</w:t>
      </w:r>
      <w:r>
        <w:rPr>
          <w:rFonts w:ascii="仿宋_GB2312" w:eastAsia="仿宋_GB2312"/>
          <w:color w:val="000000" w:themeColor="text1"/>
          <w:sz w:val="28"/>
          <w:szCs w:val="28"/>
          <w:highlight w:val="none"/>
          <w14:textFill>
            <w14:solidFill>
              <w14:schemeClr w14:val="tx1"/>
            </w14:solidFill>
          </w14:textFill>
        </w:rPr>
        <w:t>企业基本信息应当包括企业编码、企业名称、统一社会信用代码、通讯地址、联系人姓名及电话等</w:t>
      </w:r>
      <w:r>
        <w:rPr>
          <w:rFonts w:hint="eastAsia" w:ascii="仿宋_GB2312" w:eastAsia="仿宋_GB2312"/>
          <w:color w:val="000000" w:themeColor="text1"/>
          <w:sz w:val="28"/>
          <w:szCs w:val="28"/>
          <w:highlight w:val="none"/>
          <w14:textFill>
            <w14:solidFill>
              <w14:schemeClr w14:val="tx1"/>
            </w14:solidFill>
          </w14:textFill>
        </w:rPr>
        <w:t>信息，</w:t>
      </w:r>
      <w:r>
        <w:rPr>
          <w:rFonts w:ascii="仿宋_GB2312" w:eastAsia="仿宋_GB2312"/>
          <w:color w:val="000000" w:themeColor="text1"/>
          <w:sz w:val="28"/>
          <w:szCs w:val="28"/>
          <w:highlight w:val="none"/>
          <w14:textFill>
            <w14:solidFill>
              <w14:schemeClr w14:val="tx1"/>
            </w14:solidFill>
          </w14:textFill>
        </w:rPr>
        <w:t>个人基本信息应当包括企业年金计划编码、姓名、性别、出生日期、公民身份证号码或其他有效身份证件号码、通信地址、联系电话、参加工作日期、参加计划日期等信息。</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4.2.2.5  向受益人披露企业年金基金管理相关信息，包括但不限于：本合同内容、受益人个人账户状态变更情况、企业年金计划的定期报告、临时报告、审计报告及清算报告等。</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4.2.2.6  如变更企业年金方案，变更内容涉及受托管理职责的，应当提前与乙方协商。甲方应当及时向人力资源社会保障行政部门报备变更后的企业年金方案，并及时书面告知乙方。</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4.2.2.7  如甲方终止企业年金计划，应当向乙方提出申请将受益人的个人账户权益转至保留账户管理。</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4.2.2.8  甲方无正当理由不得干预乙方行使法律法规赋予的受托人职责、不得干预乙方选择其他企业年金基金管理机构。如因甲方无故干预，导致企业年金基金财产受到损失的，该损失由甲方承担。</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4.2.2.9  完整保存与本合同有关的凭证、合同及协议等资料，自合同终止之日起至少15年。</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4.2.2.10  履行法律法规规定及本合同约定的其他义务。</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bookmarkStart w:id="41" w:name="_Toc200433425"/>
      <w:bookmarkStart w:id="42" w:name="_Toc196484070"/>
      <w:bookmarkStart w:id="43" w:name="_Toc200433617"/>
      <w:bookmarkStart w:id="44" w:name="_Toc200853038"/>
      <w:r>
        <w:rPr>
          <w:rFonts w:hint="eastAsia" w:ascii="仿宋_GB2312" w:eastAsia="仿宋_GB2312"/>
          <w:color w:val="000000" w:themeColor="text1"/>
          <w:sz w:val="28"/>
          <w:szCs w:val="28"/>
          <w:highlight w:val="none"/>
          <w14:textFill>
            <w14:solidFill>
              <w14:schemeClr w14:val="tx1"/>
            </w14:solidFill>
          </w14:textFill>
        </w:rPr>
        <w:t>4.3  乙方的权利与义务</w:t>
      </w:r>
      <w:bookmarkEnd w:id="41"/>
      <w:bookmarkEnd w:id="42"/>
      <w:bookmarkEnd w:id="43"/>
      <w:bookmarkEnd w:id="44"/>
      <w:r>
        <w:rPr>
          <w:rFonts w:hint="eastAsia" w:ascii="仿宋_GB2312" w:eastAsia="仿宋_GB2312"/>
          <w:color w:val="000000" w:themeColor="text1"/>
          <w:sz w:val="28"/>
          <w:szCs w:val="28"/>
          <w:highlight w:val="none"/>
          <w14:textFill>
            <w14:solidFill>
              <w14:schemeClr w14:val="tx1"/>
            </w14:solidFill>
          </w14:textFill>
        </w:rPr>
        <w:t>。</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4.3.1  乙方的权利。</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4.3.1.1  自本合同生效之日起，有权依据法律法规规定及本合同约定，管理运用、处分企业年金基金财产。</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4.3.1.2  依据本合同约定及时从甲方获得与企业年金计划管理有关的业务资料及信息。</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4.3.1.3  选择、监督、更换账户管理人、托管人和投资管理人。</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4.3.1.4  依据本合同约定从受托财产中收取受托管理费；要求甲方按照账户管理合同约定及时、足额支付账户管理费；依据托管合同、投资管理合同（投资管理补充条款）约定从企业年金基金财产中列支托管费和投资管理费。</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4.3.1.5  甲方依法解散、被依法撤销、被依法宣告破产或者被依法接管无法继续履行本合同时，甲方未及时办理受益人的个人账户权益转至保留账户相关手续的，乙方有权将受益人的个人账户权益转至乙方发起设立的企业年金集合计划下的保留账户管理。</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4.3.1.6  当甲方的指令同有关法律法规相抵触时，乙方有权拒绝执行。</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4.3.1.7  行使法律法规规定及本合同约定的其他权利。</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4.3.2  乙方的义务。</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4.3.2.1  遵守法律法规规定及本合同约定，不损害国家、社会公众和受益人的合法权益，如法律法规调整，应当及时与甲方协商，相应调整本合同相关内容。</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4.3.2.2  遵守本合同约定，本着受益人长期利益最大化原则履行受托职责。</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4.3.2.3  建立健全内部风险控制、监察与稽核、财务管理及人事管理等制度，设置相应部门，并配备足够专业人员，严格控制企业年金基金运作风险。</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4.3.2.4  除依照法律法规规定及本合同约定取得报酬外，不得利用企业年金基金财产谋取不正当利益。</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4.3.2.5  将企业年金基金财产与乙方的固有财产及乙方管理的其他财产分别管理、分别记账。</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4.3.2.6  管理、处分企业年金基金财产所产生的债权债务，不得与乙方的固有财产及乙方管理的其他财产所产生的债权债务相</w:t>
      </w:r>
      <w:r>
        <w:rPr>
          <w:rFonts w:hint="eastAsia" w:ascii="仿宋_GB2312" w:eastAsia="仿宋_GB2312"/>
          <w:color w:val="000000" w:themeColor="text1"/>
          <w:sz w:val="28"/>
          <w:szCs w:val="28"/>
          <w:highlight w:val="none"/>
          <w:lang w:eastAsia="zh-CN"/>
          <w14:textFill>
            <w14:solidFill>
              <w14:schemeClr w14:val="tx1"/>
            </w14:solidFill>
          </w14:textFill>
        </w:rPr>
        <w:t>抵消</w:t>
      </w:r>
      <w:r>
        <w:rPr>
          <w:rFonts w:hint="eastAsia" w:ascii="仿宋_GB2312" w:eastAsia="仿宋_GB2312"/>
          <w:color w:val="000000" w:themeColor="text1"/>
          <w:sz w:val="28"/>
          <w:szCs w:val="28"/>
          <w:highlight w:val="none"/>
          <w14:textFill>
            <w14:solidFill>
              <w14:schemeClr w14:val="tx1"/>
            </w14:solidFill>
          </w14:textFill>
        </w:rPr>
        <w:t>。</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4.3.2.7  监督账户管理人、托管人以及投资管理人的行为，如发现账户管理人、托管人以及投资管理人违反本合同及法律法规，应当采取必要措施保护甲方及受益人的利益，并及时向甲方及人力资源社会保障行政部门报告。</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4.3.2.8  按照法律法规规定，接受和配合人力资源社会保障行政部门的监管，积极履行相关备案和报告的义务。</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4.3.2.9  按照法律法规规定，聘请会计师事务所对企业年金计划进行审计。 企业年金计划终止时，组织清算组对企业年金基金财产进行清算。</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4.3.2.10  乙方职责终止的，甲方选任新的受托人后，乙方应当与新的受托人及时妥善进行交接工作，乙方完成与新的受托人交接工作之前，应当继续履行受托人职责和义务，并按本合同约定收取相关费用。</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4.3.2.11  完整保存与本合同有关的企业年金基金管理记录，包括各类纸质和电子文件，保存期限为在本合同终止后至少15年，并要求其他管理人完整保存相关资料。</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4.3.2.12  履行法律法规规定及本合同约定的其他义务。</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4.4  受益人权利和义务。</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4.4.1  受益人权利。</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4.4.1.1  按照</w:t>
      </w:r>
      <w:r>
        <w:rPr>
          <w:rFonts w:ascii="仿宋_GB2312" w:eastAsia="仿宋_GB2312"/>
          <w:color w:val="000000" w:themeColor="text1"/>
          <w:sz w:val="28"/>
          <w:szCs w:val="28"/>
          <w:highlight w:val="none"/>
          <w14:textFill>
            <w14:solidFill>
              <w14:schemeClr w14:val="tx1"/>
            </w14:solidFill>
          </w14:textFill>
        </w:rPr>
        <w:t>企业年金方案</w:t>
      </w:r>
      <w:r>
        <w:rPr>
          <w:rFonts w:hint="eastAsia" w:ascii="仿宋_GB2312" w:eastAsia="仿宋_GB2312"/>
          <w:color w:val="000000" w:themeColor="text1"/>
          <w:sz w:val="28"/>
          <w:szCs w:val="28"/>
          <w:highlight w:val="none"/>
          <w14:textFill>
            <w14:solidFill>
              <w14:schemeClr w14:val="tx1"/>
            </w14:solidFill>
          </w14:textFill>
        </w:rPr>
        <w:t>约定的</w:t>
      </w:r>
      <w:r>
        <w:rPr>
          <w:rFonts w:ascii="仿宋_GB2312" w:eastAsia="仿宋_GB2312"/>
          <w:color w:val="000000" w:themeColor="text1"/>
          <w:sz w:val="28"/>
          <w:szCs w:val="28"/>
          <w:highlight w:val="none"/>
          <w14:textFill>
            <w14:solidFill>
              <w14:schemeClr w14:val="tx1"/>
            </w14:solidFill>
          </w14:textFill>
        </w:rPr>
        <w:t>个人账户权益归属规则</w:t>
      </w:r>
      <w:r>
        <w:rPr>
          <w:rFonts w:hint="eastAsia" w:ascii="仿宋_GB2312" w:eastAsia="仿宋_GB2312"/>
          <w:color w:val="000000" w:themeColor="text1"/>
          <w:sz w:val="28"/>
          <w:szCs w:val="28"/>
          <w:highlight w:val="none"/>
          <w14:textFill>
            <w14:solidFill>
              <w14:schemeClr w14:val="tx1"/>
            </w14:solidFill>
          </w14:textFill>
        </w:rPr>
        <w:t>享有归属权益。</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 xml:space="preserve">4.4.1.2  </w:t>
      </w:r>
      <w:r>
        <w:rPr>
          <w:rFonts w:ascii="仿宋_GB2312" w:eastAsia="仿宋_GB2312"/>
          <w:color w:val="000000" w:themeColor="text1"/>
          <w:sz w:val="28"/>
          <w:szCs w:val="28"/>
          <w:highlight w:val="none"/>
          <w14:textFill>
            <w14:solidFill>
              <w14:schemeClr w14:val="tx1"/>
            </w14:solidFill>
          </w14:textFill>
        </w:rPr>
        <w:t>根据</w:t>
      </w:r>
      <w:r>
        <w:rPr>
          <w:rFonts w:hint="eastAsia" w:ascii="仿宋_GB2312" w:eastAsia="仿宋_GB2312"/>
          <w:color w:val="000000" w:themeColor="text1"/>
          <w:sz w:val="28"/>
          <w:szCs w:val="28"/>
          <w:highlight w:val="none"/>
          <w14:textFill>
            <w14:solidFill>
              <w14:schemeClr w14:val="tx1"/>
            </w14:solidFill>
          </w14:textFill>
        </w:rPr>
        <w:t>法律法规规定及本合同约定，</w:t>
      </w:r>
      <w:r>
        <w:rPr>
          <w:rFonts w:ascii="仿宋_GB2312" w:eastAsia="仿宋_GB2312"/>
          <w:color w:val="000000" w:themeColor="text1"/>
          <w:sz w:val="28"/>
          <w:szCs w:val="28"/>
          <w:highlight w:val="none"/>
          <w14:textFill>
            <w14:solidFill>
              <w14:schemeClr w14:val="tx1"/>
            </w14:solidFill>
          </w14:textFill>
        </w:rPr>
        <w:t>了解、查询企业年金基金个人账户基本情况</w:t>
      </w:r>
      <w:r>
        <w:rPr>
          <w:rFonts w:hint="eastAsia" w:ascii="仿宋_GB2312" w:eastAsia="仿宋_GB2312"/>
          <w:color w:val="000000" w:themeColor="text1"/>
          <w:sz w:val="28"/>
          <w:szCs w:val="28"/>
          <w:highlight w:val="none"/>
          <w14:textFill>
            <w14:solidFill>
              <w14:schemeClr w14:val="tx1"/>
            </w14:solidFill>
          </w14:textFill>
        </w:rPr>
        <w:t>。</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 xml:space="preserve">4.4.1.3  </w:t>
      </w:r>
      <w:r>
        <w:rPr>
          <w:rFonts w:ascii="仿宋_GB2312" w:eastAsia="仿宋_GB2312"/>
          <w:color w:val="000000" w:themeColor="text1"/>
          <w:sz w:val="28"/>
          <w:szCs w:val="28"/>
          <w:highlight w:val="none"/>
          <w14:textFill>
            <w14:solidFill>
              <w14:schemeClr w14:val="tx1"/>
            </w14:solidFill>
          </w14:textFill>
        </w:rPr>
        <w:t>根据</w:t>
      </w:r>
      <w:r>
        <w:rPr>
          <w:rFonts w:hint="eastAsia" w:ascii="仿宋_GB2312" w:eastAsia="仿宋_GB2312"/>
          <w:color w:val="000000" w:themeColor="text1"/>
          <w:sz w:val="28"/>
          <w:szCs w:val="28"/>
          <w:highlight w:val="none"/>
          <w14:textFill>
            <w14:solidFill>
              <w14:schemeClr w14:val="tx1"/>
            </w14:solidFill>
          </w14:textFill>
        </w:rPr>
        <w:t>法律法规规定及本合同约定，</w:t>
      </w:r>
      <w:r>
        <w:rPr>
          <w:rFonts w:ascii="仿宋_GB2312" w:eastAsia="仿宋_GB2312"/>
          <w:color w:val="000000" w:themeColor="text1"/>
          <w:sz w:val="28"/>
          <w:szCs w:val="28"/>
          <w:highlight w:val="none"/>
          <w14:textFill>
            <w14:solidFill>
              <w14:schemeClr w14:val="tx1"/>
            </w14:solidFill>
          </w14:textFill>
        </w:rPr>
        <w:t>申请领取企业年金待遇</w:t>
      </w:r>
      <w:r>
        <w:rPr>
          <w:rFonts w:hint="eastAsia" w:ascii="仿宋_GB2312" w:eastAsia="仿宋_GB2312"/>
          <w:color w:val="000000" w:themeColor="text1"/>
          <w:sz w:val="28"/>
          <w:szCs w:val="28"/>
          <w:highlight w:val="none"/>
          <w14:textFill>
            <w14:solidFill>
              <w14:schemeClr w14:val="tx1"/>
            </w14:solidFill>
          </w14:textFill>
        </w:rPr>
        <w:t>。</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 xml:space="preserve">4.4.1.4  </w:t>
      </w:r>
      <w:r>
        <w:rPr>
          <w:rFonts w:ascii="仿宋_GB2312" w:eastAsia="仿宋_GB2312"/>
          <w:color w:val="000000" w:themeColor="text1"/>
          <w:sz w:val="28"/>
          <w:szCs w:val="28"/>
          <w:highlight w:val="none"/>
          <w14:textFill>
            <w14:solidFill>
              <w14:schemeClr w14:val="tx1"/>
            </w14:solidFill>
          </w14:textFill>
        </w:rPr>
        <w:t>受益人离职的，如新工作单位已经建立企业年金计划</w:t>
      </w:r>
      <w:r>
        <w:rPr>
          <w:rFonts w:hint="eastAsia" w:ascii="仿宋_GB2312" w:eastAsia="仿宋_GB2312"/>
          <w:color w:val="000000" w:themeColor="text1"/>
          <w:sz w:val="28"/>
          <w:szCs w:val="28"/>
          <w:highlight w:val="none"/>
          <w14:textFill>
            <w14:solidFill>
              <w14:schemeClr w14:val="tx1"/>
            </w14:solidFill>
          </w14:textFill>
        </w:rPr>
        <w:t>或职业年金计划</w:t>
      </w:r>
      <w:r>
        <w:rPr>
          <w:rFonts w:ascii="仿宋_GB2312" w:eastAsia="仿宋_GB2312"/>
          <w:color w:val="000000" w:themeColor="text1"/>
          <w:sz w:val="28"/>
          <w:szCs w:val="28"/>
          <w:highlight w:val="none"/>
          <w14:textFill>
            <w14:solidFill>
              <w14:schemeClr w14:val="tx1"/>
            </w14:solidFill>
          </w14:textFill>
        </w:rPr>
        <w:t>的，</w:t>
      </w:r>
      <w:r>
        <w:rPr>
          <w:rFonts w:hint="eastAsia" w:ascii="仿宋_GB2312" w:eastAsia="仿宋_GB2312"/>
          <w:color w:val="000000" w:themeColor="text1"/>
          <w:sz w:val="28"/>
          <w:szCs w:val="28"/>
          <w:highlight w:val="none"/>
          <w14:textFill>
            <w14:solidFill>
              <w14:schemeClr w14:val="tx1"/>
            </w14:solidFill>
          </w14:textFill>
        </w:rPr>
        <w:t>个人账户</w:t>
      </w:r>
      <w:r>
        <w:rPr>
          <w:rFonts w:ascii="仿宋_GB2312" w:eastAsia="仿宋_GB2312"/>
          <w:color w:val="000000" w:themeColor="text1"/>
          <w:sz w:val="28"/>
          <w:szCs w:val="28"/>
          <w:highlight w:val="none"/>
          <w14:textFill>
            <w14:solidFill>
              <w14:schemeClr w14:val="tx1"/>
            </w14:solidFill>
          </w14:textFill>
        </w:rPr>
        <w:t>权益转至新的企业年金计划</w:t>
      </w:r>
      <w:r>
        <w:rPr>
          <w:rFonts w:hint="eastAsia" w:ascii="仿宋_GB2312" w:eastAsia="仿宋_GB2312"/>
          <w:color w:val="000000" w:themeColor="text1"/>
          <w:sz w:val="28"/>
          <w:szCs w:val="28"/>
          <w:highlight w:val="none"/>
          <w14:textFill>
            <w14:solidFill>
              <w14:schemeClr w14:val="tx1"/>
            </w14:solidFill>
          </w14:textFill>
        </w:rPr>
        <w:t>或职业年金计划</w:t>
      </w:r>
      <w:r>
        <w:rPr>
          <w:rFonts w:ascii="仿宋_GB2312" w:eastAsia="仿宋_GB2312"/>
          <w:color w:val="000000" w:themeColor="text1"/>
          <w:sz w:val="28"/>
          <w:szCs w:val="28"/>
          <w:highlight w:val="none"/>
          <w14:textFill>
            <w14:solidFill>
              <w14:schemeClr w14:val="tx1"/>
            </w14:solidFill>
          </w14:textFill>
        </w:rPr>
        <w:t>；如新工作单位尚未建立企业年金计划</w:t>
      </w:r>
      <w:r>
        <w:rPr>
          <w:rFonts w:hint="eastAsia" w:ascii="仿宋_GB2312" w:eastAsia="仿宋_GB2312"/>
          <w:color w:val="000000" w:themeColor="text1"/>
          <w:sz w:val="28"/>
          <w:szCs w:val="28"/>
          <w:highlight w:val="none"/>
          <w14:textFill>
            <w14:solidFill>
              <w14:schemeClr w14:val="tx1"/>
            </w14:solidFill>
          </w14:textFill>
        </w:rPr>
        <w:t>或职业年金计划</w:t>
      </w:r>
      <w:r>
        <w:rPr>
          <w:rFonts w:ascii="仿宋_GB2312" w:eastAsia="仿宋_GB2312"/>
          <w:color w:val="000000" w:themeColor="text1"/>
          <w:sz w:val="28"/>
          <w:szCs w:val="28"/>
          <w:highlight w:val="none"/>
          <w14:textFill>
            <w14:solidFill>
              <w14:schemeClr w14:val="tx1"/>
            </w14:solidFill>
          </w14:textFill>
        </w:rPr>
        <w:t>的，</w:t>
      </w:r>
      <w:r>
        <w:rPr>
          <w:rFonts w:hint="eastAsia" w:ascii="仿宋_GB2312" w:eastAsia="仿宋_GB2312"/>
          <w:color w:val="000000" w:themeColor="text1"/>
          <w:sz w:val="28"/>
          <w:szCs w:val="28"/>
          <w:highlight w:val="none"/>
          <w14:textFill>
            <w14:solidFill>
              <w14:schemeClr w14:val="tx1"/>
            </w14:solidFill>
          </w14:textFill>
        </w:rPr>
        <w:t>个人账户</w:t>
      </w:r>
      <w:r>
        <w:rPr>
          <w:rFonts w:ascii="仿宋_GB2312" w:eastAsia="仿宋_GB2312"/>
          <w:color w:val="000000" w:themeColor="text1"/>
          <w:sz w:val="28"/>
          <w:szCs w:val="28"/>
          <w:highlight w:val="none"/>
          <w14:textFill>
            <w14:solidFill>
              <w14:schemeClr w14:val="tx1"/>
            </w14:solidFill>
          </w14:textFill>
        </w:rPr>
        <w:t>权益</w:t>
      </w:r>
      <w:r>
        <w:rPr>
          <w:rFonts w:hint="eastAsia" w:ascii="仿宋_GB2312" w:eastAsia="仿宋_GB2312"/>
          <w:color w:val="000000" w:themeColor="text1"/>
          <w:sz w:val="28"/>
          <w:szCs w:val="28"/>
          <w:highlight w:val="none"/>
          <w14:textFill>
            <w14:solidFill>
              <w14:schemeClr w14:val="tx1"/>
            </w14:solidFill>
          </w14:textFill>
        </w:rPr>
        <w:t>可在企业年金计划下建立保留账户管理，或</w:t>
      </w:r>
      <w:r>
        <w:rPr>
          <w:rFonts w:ascii="仿宋_GB2312" w:eastAsia="仿宋_GB2312"/>
          <w:color w:val="000000" w:themeColor="text1"/>
          <w:sz w:val="28"/>
          <w:szCs w:val="28"/>
          <w:highlight w:val="none"/>
          <w14:textFill>
            <w14:solidFill>
              <w14:schemeClr w14:val="tx1"/>
            </w14:solidFill>
          </w14:textFill>
        </w:rPr>
        <w:t>转至</w:t>
      </w:r>
      <w:r>
        <w:rPr>
          <w:rFonts w:hint="eastAsia" w:ascii="仿宋_GB2312" w:eastAsia="仿宋_GB2312"/>
          <w:color w:val="000000" w:themeColor="text1"/>
          <w:sz w:val="28"/>
          <w:szCs w:val="28"/>
          <w:highlight w:val="none"/>
          <w14:textFill>
            <w14:solidFill>
              <w14:schemeClr w14:val="tx1"/>
            </w14:solidFill>
          </w14:textFill>
        </w:rPr>
        <w:t>乙方发起设立的企业年金集合计划</w:t>
      </w:r>
      <w:r>
        <w:rPr>
          <w:rFonts w:ascii="仿宋_GB2312" w:eastAsia="仿宋_GB2312"/>
          <w:color w:val="000000" w:themeColor="text1"/>
          <w:sz w:val="28"/>
          <w:szCs w:val="28"/>
          <w:highlight w:val="none"/>
          <w14:textFill>
            <w14:solidFill>
              <w14:schemeClr w14:val="tx1"/>
            </w14:solidFill>
          </w14:textFill>
        </w:rPr>
        <w:t>下的保留账户进行管理</w:t>
      </w:r>
      <w:r>
        <w:rPr>
          <w:rFonts w:hint="eastAsia" w:ascii="仿宋_GB2312" w:eastAsia="仿宋_GB2312"/>
          <w:color w:val="000000" w:themeColor="text1"/>
          <w:sz w:val="28"/>
          <w:szCs w:val="28"/>
          <w:highlight w:val="none"/>
          <w14:textFill>
            <w14:solidFill>
              <w14:schemeClr w14:val="tx1"/>
            </w14:solidFill>
          </w14:textFill>
        </w:rPr>
        <w:t>。</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 xml:space="preserve">4.4.1.5  </w:t>
      </w:r>
      <w:r>
        <w:rPr>
          <w:rFonts w:ascii="仿宋_GB2312" w:eastAsia="仿宋_GB2312"/>
          <w:color w:val="000000" w:themeColor="text1"/>
          <w:sz w:val="28"/>
          <w:szCs w:val="28"/>
          <w:highlight w:val="none"/>
          <w14:textFill>
            <w14:solidFill>
              <w14:schemeClr w14:val="tx1"/>
            </w14:solidFill>
          </w14:textFill>
        </w:rPr>
        <w:t>如受益人身故，由其指定的</w:t>
      </w:r>
      <w:r>
        <w:rPr>
          <w:rFonts w:hint="eastAsia" w:ascii="仿宋_GB2312" w:eastAsia="仿宋_GB2312"/>
          <w:color w:val="000000" w:themeColor="text1"/>
          <w:sz w:val="28"/>
          <w:szCs w:val="28"/>
          <w:highlight w:val="none"/>
          <w14:textFill>
            <w14:solidFill>
              <w14:schemeClr w14:val="tx1"/>
            </w14:solidFill>
          </w14:textFill>
        </w:rPr>
        <w:t>身故</w:t>
      </w:r>
      <w:r>
        <w:rPr>
          <w:rFonts w:ascii="仿宋_GB2312" w:eastAsia="仿宋_GB2312"/>
          <w:color w:val="000000" w:themeColor="text1"/>
          <w:sz w:val="28"/>
          <w:szCs w:val="28"/>
          <w:highlight w:val="none"/>
          <w14:textFill>
            <w14:solidFill>
              <w14:schemeClr w14:val="tx1"/>
            </w14:solidFill>
          </w14:textFill>
        </w:rPr>
        <w:t>受益人</w:t>
      </w:r>
      <w:r>
        <w:rPr>
          <w:rFonts w:hint="eastAsia" w:ascii="仿宋_GB2312" w:eastAsia="仿宋_GB2312"/>
          <w:color w:val="000000" w:themeColor="text1"/>
          <w:sz w:val="28"/>
          <w:szCs w:val="28"/>
          <w:highlight w:val="none"/>
          <w14:textFill>
            <w14:solidFill>
              <w14:schemeClr w14:val="tx1"/>
            </w14:solidFill>
          </w14:textFill>
        </w:rPr>
        <w:t>或其</w:t>
      </w:r>
      <w:r>
        <w:rPr>
          <w:rFonts w:ascii="仿宋_GB2312" w:eastAsia="仿宋_GB2312"/>
          <w:color w:val="000000" w:themeColor="text1"/>
          <w:sz w:val="28"/>
          <w:szCs w:val="28"/>
          <w:highlight w:val="none"/>
          <w14:textFill>
            <w14:solidFill>
              <w14:schemeClr w14:val="tx1"/>
            </w14:solidFill>
          </w14:textFill>
        </w:rPr>
        <w:t>法定继承人一次性领取</w:t>
      </w:r>
      <w:r>
        <w:rPr>
          <w:rFonts w:hint="eastAsia" w:ascii="仿宋_GB2312" w:eastAsia="仿宋_GB2312"/>
          <w:color w:val="000000" w:themeColor="text1"/>
          <w:sz w:val="28"/>
          <w:szCs w:val="28"/>
          <w:highlight w:val="none"/>
          <w14:textFill>
            <w14:solidFill>
              <w14:schemeClr w14:val="tx1"/>
            </w14:solidFill>
          </w14:textFill>
        </w:rPr>
        <w:t>个人账户权益</w:t>
      </w:r>
      <w:r>
        <w:rPr>
          <w:rFonts w:ascii="仿宋_GB2312" w:eastAsia="仿宋_GB2312"/>
          <w:color w:val="000000" w:themeColor="text1"/>
          <w:sz w:val="28"/>
          <w:szCs w:val="28"/>
          <w:highlight w:val="none"/>
          <w14:textFill>
            <w14:solidFill>
              <w14:schemeClr w14:val="tx1"/>
            </w14:solidFill>
          </w14:textFill>
        </w:rPr>
        <w:t>，</w:t>
      </w:r>
      <w:r>
        <w:rPr>
          <w:rFonts w:hint="eastAsia" w:ascii="仿宋_GB2312" w:eastAsia="仿宋_GB2312"/>
          <w:color w:val="000000" w:themeColor="text1"/>
          <w:sz w:val="28"/>
          <w:szCs w:val="28"/>
          <w:highlight w:val="none"/>
          <w14:textFill>
            <w14:solidFill>
              <w14:schemeClr w14:val="tx1"/>
            </w14:solidFill>
          </w14:textFill>
        </w:rPr>
        <w:t>法定继承人的认定以有权机关出具的司法文书为准。对法定继承人未经认定但要求支付企业年金待遇的，乙方有权拒绝执行。</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4.4.1.6  行使</w:t>
      </w:r>
      <w:r>
        <w:rPr>
          <w:rFonts w:ascii="仿宋_GB2312" w:eastAsia="仿宋_GB2312"/>
          <w:color w:val="000000" w:themeColor="text1"/>
          <w:sz w:val="28"/>
          <w:szCs w:val="28"/>
          <w:highlight w:val="none"/>
          <w14:textFill>
            <w14:solidFill>
              <w14:schemeClr w14:val="tx1"/>
            </w14:solidFill>
          </w14:textFill>
        </w:rPr>
        <w:t>法律法规规定及本合同约定的其他权利。</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4.4.2  受益人</w:t>
      </w:r>
      <w:r>
        <w:rPr>
          <w:rFonts w:ascii="仿宋_GB2312" w:eastAsia="仿宋_GB2312"/>
          <w:color w:val="000000" w:themeColor="text1"/>
          <w:sz w:val="28"/>
          <w:szCs w:val="28"/>
          <w:highlight w:val="none"/>
          <w14:textFill>
            <w14:solidFill>
              <w14:schemeClr w14:val="tx1"/>
            </w14:solidFill>
          </w14:textFill>
        </w:rPr>
        <w:t>义务</w:t>
      </w:r>
      <w:r>
        <w:rPr>
          <w:rFonts w:hint="eastAsia" w:ascii="仿宋_GB2312" w:eastAsia="仿宋_GB2312"/>
          <w:color w:val="000000" w:themeColor="text1"/>
          <w:sz w:val="28"/>
          <w:szCs w:val="28"/>
          <w:highlight w:val="none"/>
          <w14:textFill>
            <w14:solidFill>
              <w14:schemeClr w14:val="tx1"/>
            </w14:solidFill>
          </w14:textFill>
        </w:rPr>
        <w:t>。</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 xml:space="preserve">4.4.2.1  </w:t>
      </w:r>
      <w:r>
        <w:rPr>
          <w:rFonts w:ascii="仿宋_GB2312" w:eastAsia="仿宋_GB2312"/>
          <w:color w:val="000000" w:themeColor="text1"/>
          <w:sz w:val="28"/>
          <w:szCs w:val="28"/>
          <w:highlight w:val="none"/>
          <w14:textFill>
            <w14:solidFill>
              <w14:schemeClr w14:val="tx1"/>
            </w14:solidFill>
          </w14:textFill>
        </w:rPr>
        <w:t>按企业年金方案规定和本合同约定进行缴费</w:t>
      </w:r>
      <w:r>
        <w:rPr>
          <w:rFonts w:hint="eastAsia" w:ascii="仿宋_GB2312" w:eastAsia="仿宋_GB2312"/>
          <w:color w:val="000000" w:themeColor="text1"/>
          <w:sz w:val="28"/>
          <w:szCs w:val="28"/>
          <w:highlight w:val="none"/>
          <w14:textFill>
            <w14:solidFill>
              <w14:schemeClr w14:val="tx1"/>
            </w14:solidFill>
          </w14:textFill>
        </w:rPr>
        <w:t>。</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 xml:space="preserve">4.4.2.2  </w:t>
      </w:r>
      <w:r>
        <w:rPr>
          <w:rFonts w:ascii="仿宋_GB2312" w:eastAsia="仿宋_GB2312"/>
          <w:color w:val="000000" w:themeColor="text1"/>
          <w:sz w:val="28"/>
          <w:szCs w:val="28"/>
          <w:highlight w:val="none"/>
          <w14:textFill>
            <w14:solidFill>
              <w14:schemeClr w14:val="tx1"/>
            </w14:solidFill>
          </w14:textFill>
        </w:rPr>
        <w:t>不得转让企业年金基金受益权，不得将企业年金基金受益权用于偿还债务或担保</w:t>
      </w:r>
      <w:r>
        <w:rPr>
          <w:rFonts w:hint="eastAsia" w:ascii="仿宋_GB2312" w:eastAsia="仿宋_GB2312"/>
          <w:color w:val="000000" w:themeColor="text1"/>
          <w:sz w:val="28"/>
          <w:szCs w:val="28"/>
          <w:highlight w:val="none"/>
          <w14:textFill>
            <w14:solidFill>
              <w14:schemeClr w14:val="tx1"/>
            </w14:solidFill>
          </w14:textFill>
        </w:rPr>
        <w:t>。</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 xml:space="preserve">4.4.2.3  </w:t>
      </w:r>
      <w:r>
        <w:rPr>
          <w:rFonts w:ascii="仿宋_GB2312" w:eastAsia="仿宋_GB2312"/>
          <w:color w:val="000000" w:themeColor="text1"/>
          <w:sz w:val="28"/>
          <w:szCs w:val="28"/>
          <w:highlight w:val="none"/>
          <w14:textFill>
            <w14:solidFill>
              <w14:schemeClr w14:val="tx1"/>
            </w14:solidFill>
          </w14:textFill>
        </w:rPr>
        <w:t>提供企业年金基金管理运作所需的相关资料和信息</w:t>
      </w:r>
      <w:r>
        <w:rPr>
          <w:rFonts w:hint="eastAsia" w:ascii="仿宋_GB2312" w:eastAsia="仿宋_GB2312"/>
          <w:color w:val="000000" w:themeColor="text1"/>
          <w:sz w:val="28"/>
          <w:szCs w:val="28"/>
          <w:highlight w:val="none"/>
          <w14:textFill>
            <w14:solidFill>
              <w14:schemeClr w14:val="tx1"/>
            </w14:solidFill>
          </w14:textFill>
        </w:rPr>
        <w:t>。</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4.4.2.4  按照本合同约定承担保留账户和退休账户的账户管理费。</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 xml:space="preserve">4.4.2.5  </w:t>
      </w:r>
      <w:r>
        <w:rPr>
          <w:rFonts w:ascii="仿宋_GB2312" w:eastAsia="仿宋_GB2312"/>
          <w:color w:val="000000" w:themeColor="text1"/>
          <w:sz w:val="28"/>
          <w:szCs w:val="28"/>
          <w:highlight w:val="none"/>
          <w14:textFill>
            <w14:solidFill>
              <w14:schemeClr w14:val="tx1"/>
            </w14:solidFill>
          </w14:textFill>
        </w:rPr>
        <w:t>当受益人离职且新工作单位没有建立企业年金计划</w:t>
      </w:r>
      <w:r>
        <w:rPr>
          <w:rFonts w:hint="eastAsia" w:ascii="仿宋_GB2312" w:eastAsia="仿宋_GB2312"/>
          <w:color w:val="000000" w:themeColor="text1"/>
          <w:sz w:val="28"/>
          <w:szCs w:val="28"/>
          <w:highlight w:val="none"/>
          <w14:textFill>
            <w14:solidFill>
              <w14:schemeClr w14:val="tx1"/>
            </w14:solidFill>
          </w14:textFill>
        </w:rPr>
        <w:t>或职业年金计划，甲方要求受益人的个人账户权益转移</w:t>
      </w:r>
      <w:r>
        <w:rPr>
          <w:rFonts w:ascii="仿宋_GB2312" w:eastAsia="仿宋_GB2312"/>
          <w:color w:val="000000" w:themeColor="text1"/>
          <w:sz w:val="28"/>
          <w:szCs w:val="28"/>
          <w:highlight w:val="none"/>
          <w14:textFill>
            <w14:solidFill>
              <w14:schemeClr w14:val="tx1"/>
            </w14:solidFill>
          </w14:textFill>
        </w:rPr>
        <w:t>至</w:t>
      </w:r>
      <w:r>
        <w:rPr>
          <w:rFonts w:hint="eastAsia" w:ascii="仿宋_GB2312" w:eastAsia="仿宋_GB2312"/>
          <w:color w:val="000000" w:themeColor="text1"/>
          <w:sz w:val="28"/>
          <w:szCs w:val="28"/>
          <w:highlight w:val="none"/>
          <w14:textFill>
            <w14:solidFill>
              <w14:schemeClr w14:val="tx1"/>
            </w14:solidFill>
          </w14:textFill>
        </w:rPr>
        <w:t>乙方发起设立的企业年金集合计划</w:t>
      </w:r>
      <w:r>
        <w:rPr>
          <w:rFonts w:ascii="仿宋_GB2312" w:eastAsia="仿宋_GB2312"/>
          <w:color w:val="000000" w:themeColor="text1"/>
          <w:sz w:val="28"/>
          <w:szCs w:val="28"/>
          <w:highlight w:val="none"/>
          <w14:textFill>
            <w14:solidFill>
              <w14:schemeClr w14:val="tx1"/>
            </w14:solidFill>
          </w14:textFill>
        </w:rPr>
        <w:t>下的保留账户</w:t>
      </w:r>
      <w:r>
        <w:rPr>
          <w:rFonts w:hint="eastAsia" w:ascii="仿宋_GB2312" w:eastAsia="仿宋_GB2312"/>
          <w:color w:val="000000" w:themeColor="text1"/>
          <w:sz w:val="28"/>
          <w:szCs w:val="28"/>
          <w:highlight w:val="none"/>
          <w14:textFill>
            <w14:solidFill>
              <w14:schemeClr w14:val="tx1"/>
            </w14:solidFill>
          </w14:textFill>
        </w:rPr>
        <w:t>管理的，受益人应当</w:t>
      </w:r>
      <w:r>
        <w:rPr>
          <w:rFonts w:ascii="仿宋_GB2312" w:eastAsia="仿宋_GB2312"/>
          <w:color w:val="000000" w:themeColor="text1"/>
          <w:sz w:val="28"/>
          <w:szCs w:val="28"/>
          <w:highlight w:val="none"/>
          <w14:textFill>
            <w14:solidFill>
              <w14:schemeClr w14:val="tx1"/>
            </w14:solidFill>
          </w14:textFill>
        </w:rPr>
        <w:t>同意</w:t>
      </w:r>
      <w:r>
        <w:rPr>
          <w:rFonts w:hint="eastAsia" w:ascii="仿宋_GB2312" w:eastAsia="仿宋_GB2312"/>
          <w:color w:val="000000" w:themeColor="text1"/>
          <w:sz w:val="28"/>
          <w:szCs w:val="28"/>
          <w:highlight w:val="none"/>
          <w14:textFill>
            <w14:solidFill>
              <w14:schemeClr w14:val="tx1"/>
            </w14:solidFill>
          </w14:textFill>
        </w:rPr>
        <w:t>并履行相关手续。</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4.4.2.6  履行</w:t>
      </w:r>
      <w:r>
        <w:rPr>
          <w:rFonts w:ascii="仿宋_GB2312" w:eastAsia="仿宋_GB2312"/>
          <w:color w:val="000000" w:themeColor="text1"/>
          <w:sz w:val="28"/>
          <w:szCs w:val="28"/>
          <w:highlight w:val="none"/>
          <w14:textFill>
            <w14:solidFill>
              <w14:schemeClr w14:val="tx1"/>
            </w14:solidFill>
          </w14:textFill>
        </w:rPr>
        <w:t>法律法规规定及本合同约定的其他义务。</w:t>
      </w:r>
    </w:p>
    <w:p>
      <w:pPr>
        <w:pStyle w:val="3"/>
        <w:jc w:val="center"/>
        <w:rPr>
          <w:rFonts w:hint="eastAsia" w:ascii="黑体" w:hAnsi="黑体" w:eastAsia="黑体"/>
          <w:b w:val="0"/>
          <w:bCs w:val="0"/>
          <w:color w:val="000000" w:themeColor="text1"/>
          <w:sz w:val="28"/>
          <w:szCs w:val="28"/>
          <w:highlight w:val="none"/>
          <w14:textFill>
            <w14:solidFill>
              <w14:schemeClr w14:val="tx1"/>
            </w14:solidFill>
          </w14:textFill>
        </w:rPr>
      </w:pPr>
      <w:bookmarkStart w:id="45" w:name="_Toc30111"/>
      <w:bookmarkStart w:id="46" w:name="_Toc196484073"/>
      <w:bookmarkStart w:id="47" w:name="_Toc311040985"/>
      <w:r>
        <w:rPr>
          <w:rFonts w:hint="eastAsia" w:ascii="黑体" w:hAnsi="黑体" w:eastAsia="黑体"/>
          <w:b w:val="0"/>
          <w:bCs w:val="0"/>
          <w:color w:val="000000" w:themeColor="text1"/>
          <w:sz w:val="28"/>
          <w:szCs w:val="28"/>
          <w:highlight w:val="none"/>
          <w14:textFill>
            <w14:solidFill>
              <w14:schemeClr w14:val="tx1"/>
            </w14:solidFill>
          </w14:textFill>
        </w:rPr>
        <w:t>第五章　企业年金基金的管理</w:t>
      </w:r>
      <w:bookmarkEnd w:id="45"/>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5.1  受托人的管理职责。</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5.1.1  按照法律法规规定及本合同约定监督企业年金基金管理，督促账户管理人、托管人及投资管理人诚实、信用、勤勉、尽责地履行企业年金基金管理职责。</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5.1.2  制定企业年金基金资产配置策略，遵循高度安全、稳健收益原则，采取分散风险和专业化管理的方式，实现企业年金保值增值。</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5.1.3  与托管人、投资管理人共同协商确定投资监督事项表，督促托管人按照投资监督事项表监督投资管理人的运作。</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5.1.4  依据企业年金方案和本合同的约定审核企业缴费、职工缴费和企业年金待遇支付，及时收取企业和职工缴费，及时、足额向受益人支付企业年金待遇。</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5.1.5  要求账户管理人向委托人和受益人提供企业年金基金查询服务。</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5.1.6  发生重大事项时，及时向委托人和有关监管部门报告。</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5.1.7  受托人选择的账户管理人、托管人及投资管理人未诚实、信用、勤勉、尽责地履行企业年金基金管理职责，由此给企业年金基金财产造成损失的，由账户管理人、托管人及投资管理人负责赔偿相关损失，受托人依法承担相关法律责任。</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5.1.8  按照法律法规规定及本合同约定，及时向委托人和有关监管部门提供企业年金基金管理报告，并提供相关查询内容，对报告内容的真实性、完整性、准确性负责。</w:t>
      </w:r>
    </w:p>
    <w:p>
      <w:pPr>
        <w:spacing w:line="360" w:lineRule="auto"/>
        <w:ind w:left="559" w:leftChars="266"/>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5.1.9  承担</w:t>
      </w:r>
      <w:r>
        <w:rPr>
          <w:rFonts w:ascii="仿宋_GB2312" w:eastAsia="仿宋_GB2312"/>
          <w:color w:val="000000" w:themeColor="text1"/>
          <w:sz w:val="28"/>
          <w:szCs w:val="28"/>
          <w:highlight w:val="none"/>
          <w14:textFill>
            <w14:solidFill>
              <w14:schemeClr w14:val="tx1"/>
            </w14:solidFill>
          </w14:textFill>
        </w:rPr>
        <w:t>法律法规规定及本合同约定的其他</w:t>
      </w:r>
      <w:r>
        <w:rPr>
          <w:rFonts w:hint="eastAsia" w:ascii="仿宋_GB2312" w:eastAsia="仿宋_GB2312"/>
          <w:color w:val="000000" w:themeColor="text1"/>
          <w:sz w:val="28"/>
          <w:szCs w:val="28"/>
          <w:highlight w:val="none"/>
          <w14:textFill>
            <w14:solidFill>
              <w14:schemeClr w14:val="tx1"/>
            </w14:solidFill>
          </w14:textFill>
        </w:rPr>
        <w:t>职责</w:t>
      </w:r>
      <w:r>
        <w:rPr>
          <w:rFonts w:ascii="仿宋_GB2312" w:eastAsia="仿宋_GB2312"/>
          <w:color w:val="000000" w:themeColor="text1"/>
          <w:sz w:val="28"/>
          <w:szCs w:val="28"/>
          <w:highlight w:val="none"/>
          <w14:textFill>
            <w14:solidFill>
              <w14:schemeClr w14:val="tx1"/>
            </w14:solidFill>
          </w14:textFill>
        </w:rPr>
        <w:t>。</w:t>
      </w:r>
      <w:r>
        <w:rPr>
          <w:rFonts w:hint="eastAsia" w:ascii="仿宋_GB2312" w:eastAsia="仿宋_GB2312"/>
          <w:color w:val="000000" w:themeColor="text1"/>
          <w:sz w:val="28"/>
          <w:szCs w:val="28"/>
          <w:highlight w:val="none"/>
          <w14:textFill>
            <w14:solidFill>
              <w14:schemeClr w14:val="tx1"/>
            </w14:solidFill>
          </w14:textFill>
        </w:rPr>
        <w:cr/>
      </w:r>
      <w:r>
        <w:rPr>
          <w:rFonts w:hint="eastAsia" w:ascii="仿宋_GB2312" w:eastAsia="仿宋_GB2312"/>
          <w:color w:val="000000" w:themeColor="text1"/>
          <w:sz w:val="28"/>
          <w:szCs w:val="28"/>
          <w:highlight w:val="none"/>
          <w14:textFill>
            <w14:solidFill>
              <w14:schemeClr w14:val="tx1"/>
            </w14:solidFill>
          </w14:textFill>
        </w:rPr>
        <w:t>5.2  账户管理人的管理职责</w:t>
      </w:r>
      <w:bookmarkEnd w:id="46"/>
      <w:bookmarkEnd w:id="47"/>
      <w:r>
        <w:rPr>
          <w:rFonts w:hint="eastAsia" w:ascii="仿宋_GB2312" w:eastAsia="仿宋_GB2312"/>
          <w:color w:val="000000" w:themeColor="text1"/>
          <w:sz w:val="28"/>
          <w:szCs w:val="28"/>
          <w:highlight w:val="none"/>
          <w14:textFill>
            <w14:solidFill>
              <w14:schemeClr w14:val="tx1"/>
            </w14:solidFill>
          </w14:textFill>
        </w:rPr>
        <w:t>。</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5.2.1  受托人如委托具备账户管理人资格的企业年金账户管理机构负责企业年金基金账户管理事务，</w:t>
      </w:r>
      <w:r>
        <w:rPr>
          <w:rFonts w:hint="eastAsia" w:ascii="仿宋_GB2312" w:hAnsi="宋体" w:eastAsia="仿宋_GB2312"/>
          <w:bCs/>
          <w:color w:val="000000" w:themeColor="text1"/>
          <w:sz w:val="28"/>
          <w:szCs w:val="28"/>
          <w:highlight w:val="none"/>
          <w14:textFill>
            <w14:solidFill>
              <w14:schemeClr w14:val="tx1"/>
            </w14:solidFill>
          </w14:textFill>
        </w:rPr>
        <w:t>应当签订账户管理合同。</w:t>
      </w:r>
      <w:r>
        <w:rPr>
          <w:rFonts w:hint="eastAsia" w:ascii="仿宋_GB2312" w:eastAsia="仿宋_GB2312"/>
          <w:color w:val="000000" w:themeColor="text1"/>
          <w:sz w:val="28"/>
          <w:szCs w:val="28"/>
          <w:highlight w:val="none"/>
          <w14:textFill>
            <w14:solidFill>
              <w14:schemeClr w14:val="tx1"/>
            </w14:solidFill>
          </w14:textFill>
        </w:rPr>
        <w:t>账户管理人违反法律法规规定及本合同约定，并由此给企业年金基金财产造成损失的，账户管理人应当依法承担相关法律责任。</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 xml:space="preserve">5.2.2  账户管理人承担的账户管理职责包括： </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5.2.2.1  建立企业年金基金的企业账户和个人账户；</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5.2.2.2  记录企业、职工缴费基本信息，记录企业年金基金投资收益，记录企业年金基金企业账户与个人账户信息及财产变化状况，计算应领取的企业年金待遇；</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5.2.2.3  定期向受托人提交账户管理数据等信息以及企业年金基金账户管理报告，定期向有关监管部门提交开展企业年金基金账户管理业务情况报告；</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5.2.2.4  向委托人及受益人提供企业年金基金企业账户和个人账户信息查询服务，并向受益人提供年度权益报告；</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5.2.2.5  及时与托管人核对缴费数据以及企业年金基金账户财产变化状况，及时将核对结果提交受托人；</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5.2.2.6  按照国家规定保存企业年金基金账户管理档案自账户管理合同终止之日起至少15年；</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5.2.2.7  承担法律法规规定及账户管理合同约定的其他职责。</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5.3  托管人的管理职责。</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5.3.1  受托人应当委托具备托管人资格的商业银行负责企业年金基金托管事务，并签订托管合同。托管人违反法律法规规定及本合同约定，并由此给企业年金基金财产造成损失的，托管人应当依法承担相关法律责任。</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5.3.2  托管人承担的托管职责包括：</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5.3.2.1  安全保管企业年金基金财产；</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5.3.2.2  为企业年金基金财产开立资金账户及证券账户，用于企业年金基金的资金划拨及证券投资；</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5.3.2.3  根据受托人的指令，接受委托人的企业年金缴费，向投资管理人划拨企业年金基金财产，向受益人支付企业年金待遇；</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5.3.2.4  依据受托人对投资管理人的授权，根据投资管理人投资指令，及时办理清算、交割等事宜；</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5.3.2.5  定期对企业年金基金财产进行会计核算和估值，监督投资管理人的投资运作；</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5.3.2.6  定期与账户管理人、投资管理人核对有关数据；</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5.3.2.7  配合投资管理人完成投资管理风险准备金的提取和使用；</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5.3.2.8  按照规定监督投资管理人的投资运作</w:t>
      </w:r>
      <w:r>
        <w:rPr>
          <w:rFonts w:ascii="仿宋_GB2312" w:eastAsia="仿宋_GB2312"/>
          <w:color w:val="000000" w:themeColor="text1"/>
          <w:sz w:val="28"/>
          <w:szCs w:val="28"/>
          <w:highlight w:val="none"/>
          <w14:textFill>
            <w14:solidFill>
              <w14:schemeClr w14:val="tx1"/>
            </w14:solidFill>
          </w14:textFill>
        </w:rPr>
        <w:t>，</w:t>
      </w:r>
      <w:r>
        <w:rPr>
          <w:rFonts w:hint="eastAsia" w:ascii="仿宋_GB2312" w:eastAsia="仿宋_GB2312"/>
          <w:color w:val="000000" w:themeColor="text1"/>
          <w:sz w:val="28"/>
          <w:szCs w:val="28"/>
          <w:highlight w:val="none"/>
          <w14:textFill>
            <w14:solidFill>
              <w14:schemeClr w14:val="tx1"/>
            </w14:solidFill>
          </w14:textFill>
        </w:rPr>
        <w:t>并定期向受托人报告投资监督情况；</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5.3.2.9  定期向受托人提交企业年金基金托管和财务报告，定期向有关监管部门提交开展企业年金基金托管业务情况的报告；</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5.3.2.10  按照国家规定保存企业年金基金托管业务活动记录、账册、报表和其他相关资料自托管合同终止之日起至少</w:t>
      </w:r>
      <w:r>
        <w:rPr>
          <w:rFonts w:ascii="仿宋_GB2312" w:eastAsia="仿宋_GB2312"/>
          <w:color w:val="000000" w:themeColor="text1"/>
          <w:sz w:val="28"/>
          <w:szCs w:val="28"/>
          <w:highlight w:val="none"/>
          <w14:textFill>
            <w14:solidFill>
              <w14:schemeClr w14:val="tx1"/>
            </w14:solidFill>
          </w14:textFill>
        </w:rPr>
        <w:t>15</w:t>
      </w:r>
      <w:r>
        <w:rPr>
          <w:rFonts w:hint="eastAsia" w:ascii="仿宋_GB2312" w:eastAsia="仿宋_GB2312"/>
          <w:color w:val="000000" w:themeColor="text1"/>
          <w:sz w:val="28"/>
          <w:szCs w:val="28"/>
          <w:highlight w:val="none"/>
          <w14:textFill>
            <w14:solidFill>
              <w14:schemeClr w14:val="tx1"/>
            </w14:solidFill>
          </w14:textFill>
        </w:rPr>
        <w:t>年；</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5.3.2.11  承担法律法规规定及托管合同约定的其他事务。</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bookmarkStart w:id="48" w:name="_Toc311040990"/>
      <w:bookmarkStart w:id="49" w:name="_Toc196484079"/>
      <w:r>
        <w:rPr>
          <w:rFonts w:hint="eastAsia" w:ascii="仿宋_GB2312" w:eastAsia="仿宋_GB2312"/>
          <w:color w:val="000000" w:themeColor="text1"/>
          <w:sz w:val="28"/>
          <w:szCs w:val="28"/>
          <w:highlight w:val="none"/>
          <w14:textFill>
            <w14:solidFill>
              <w14:schemeClr w14:val="tx1"/>
            </w14:solidFill>
          </w14:textFill>
        </w:rPr>
        <w:t>5.4  投资管理人的管理职责。</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5.4</w:t>
      </w:r>
      <w:bookmarkEnd w:id="48"/>
      <w:bookmarkEnd w:id="49"/>
      <w:r>
        <w:rPr>
          <w:rFonts w:hint="eastAsia" w:ascii="仿宋_GB2312" w:eastAsia="仿宋_GB2312"/>
          <w:color w:val="000000" w:themeColor="text1"/>
          <w:sz w:val="28"/>
          <w:szCs w:val="28"/>
          <w:highlight w:val="none"/>
          <w14:textFill>
            <w14:solidFill>
              <w14:schemeClr w14:val="tx1"/>
            </w14:solidFill>
          </w14:textFill>
        </w:rPr>
        <w:t>.1  受托人如委托具备投资管理人资格的金融机构负责企业年金基金投资管理事务，应当签订投资管理合同。投资管理人违反法律法规规定及本合同约定，并由此给企业年金基金财产造成损失的，投资管理人应当依法承担相关法律责任。</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5.4.2  投资管理人承担的投资管理职责包括：</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5.4.2.1  企业年金基金投资管理应当遵循谨慎、分散风险的原则</w:t>
      </w:r>
      <w:r>
        <w:rPr>
          <w:rFonts w:ascii="仿宋_GB2312" w:eastAsia="仿宋_GB2312"/>
          <w:color w:val="000000" w:themeColor="text1"/>
          <w:sz w:val="28"/>
          <w:szCs w:val="28"/>
          <w:highlight w:val="none"/>
          <w14:textFill>
            <w14:solidFill>
              <w14:schemeClr w14:val="tx1"/>
            </w14:solidFill>
          </w14:textFill>
        </w:rPr>
        <w:t>，</w:t>
      </w:r>
      <w:r>
        <w:rPr>
          <w:rFonts w:hint="eastAsia" w:ascii="仿宋_GB2312" w:eastAsia="仿宋_GB2312"/>
          <w:color w:val="000000" w:themeColor="text1"/>
          <w:sz w:val="28"/>
          <w:szCs w:val="28"/>
          <w:highlight w:val="none"/>
          <w14:textFill>
            <w14:solidFill>
              <w14:schemeClr w14:val="tx1"/>
            </w14:solidFill>
          </w14:textFill>
        </w:rPr>
        <w:t>充分考虑企业年金基金财产的安全性、收益性和流动性</w:t>
      </w:r>
      <w:r>
        <w:rPr>
          <w:rFonts w:ascii="仿宋_GB2312" w:eastAsia="仿宋_GB2312"/>
          <w:color w:val="000000" w:themeColor="text1"/>
          <w:sz w:val="28"/>
          <w:szCs w:val="28"/>
          <w:highlight w:val="none"/>
          <w14:textFill>
            <w14:solidFill>
              <w14:schemeClr w14:val="tx1"/>
            </w14:solidFill>
          </w14:textFill>
        </w:rPr>
        <w:t>，</w:t>
      </w:r>
      <w:r>
        <w:rPr>
          <w:rFonts w:hint="eastAsia" w:ascii="仿宋_GB2312" w:eastAsia="仿宋_GB2312"/>
          <w:color w:val="000000" w:themeColor="text1"/>
          <w:sz w:val="28"/>
          <w:szCs w:val="28"/>
          <w:highlight w:val="none"/>
          <w14:textFill>
            <w14:solidFill>
              <w14:schemeClr w14:val="tx1"/>
            </w14:solidFill>
          </w14:textFill>
        </w:rPr>
        <w:t>实行专业化管理；</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5.4.2.2  执行受托人制定的战略资产配置策略，接受受托人对投资管理人履职情况的监督以及投资管理业绩的考核和评估；</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5.4.2.3  保证企业年金基金财产独立于其固有财产及其管理的其他财产；</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5.4.2.4  及时与托管人核对企业年金基金会计核算和估值结果；</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5.4.2.5  建立企业年金基金投资管理风险准备金；</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5.4.2.6  定期向受托人提交企业年金基金投资管理报告；定期向有关监管部门提交开展企业年金基金投资管理业务情况的报告；</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5.4.2.7  按照法律法规规定，代表委托投资资产行使委托投资资产所享有的股东权利、债券持有人权利、基金份额持有人权利等；</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5.4.2.8  按照国家规定保存企业年金基金财产会计凭证、会计账簿、年度财务会计报告和投资记录自投资管理合同（投资管理补充条款）终止之日起至少15年；</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5.4.2.9  承担法律法规规定及投资管理合同（投资管理补充条款）约定的其他职责。</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5.4.3  受托人如兼任企业年金计划投资管理人，其承担投资管理职责详见《&lt;</w:t>
      </w:r>
      <w:r>
        <w:rPr>
          <w:rFonts w:hint="eastAsia" w:ascii="仿宋_GB2312" w:hAnsi="宋体" w:eastAsia="仿宋_GB2312"/>
          <w:color w:val="000000" w:themeColor="text1"/>
          <w:sz w:val="28"/>
          <w:szCs w:val="28"/>
          <w:highlight w:val="none"/>
          <w:u w:val="single"/>
          <w14:textFill>
            <w14:solidFill>
              <w14:schemeClr w14:val="tx1"/>
            </w14:solidFill>
          </w14:textFill>
        </w:rPr>
        <w:t>深圳市前海深港现代服务业合作区管理局</w:t>
      </w:r>
      <w:r>
        <w:rPr>
          <w:rFonts w:hint="eastAsia" w:ascii="仿宋_GB2312" w:hAnsi="宋体" w:eastAsia="仿宋_GB2312"/>
          <w:color w:val="000000" w:themeColor="text1"/>
          <w:sz w:val="28"/>
          <w:szCs w:val="28"/>
          <w:highlight w:val="none"/>
          <w14:textFill>
            <w14:solidFill>
              <w14:schemeClr w14:val="tx1"/>
            </w14:solidFill>
          </w14:textFill>
        </w:rPr>
        <w:t>企业年金计划</w:t>
      </w:r>
      <w:r>
        <w:rPr>
          <w:rFonts w:hint="eastAsia" w:ascii="仿宋_GB2312" w:eastAsia="仿宋_GB2312"/>
          <w:color w:val="000000" w:themeColor="text1"/>
          <w:sz w:val="28"/>
          <w:szCs w:val="28"/>
          <w:highlight w:val="none"/>
          <w14:textFill>
            <w14:solidFill>
              <w14:schemeClr w14:val="tx1"/>
            </w14:solidFill>
          </w14:textFill>
        </w:rPr>
        <w:t>受托管理合同&gt;投资管理补充条款》。</w:t>
      </w:r>
    </w:p>
    <w:p>
      <w:pPr>
        <w:pStyle w:val="3"/>
        <w:jc w:val="center"/>
        <w:rPr>
          <w:rFonts w:ascii="黑体" w:eastAsia="黑体"/>
          <w:b w:val="0"/>
          <w:color w:val="000000" w:themeColor="text1"/>
          <w:sz w:val="28"/>
          <w:szCs w:val="28"/>
          <w:highlight w:val="none"/>
          <w14:textFill>
            <w14:solidFill>
              <w14:schemeClr w14:val="tx1"/>
            </w14:solidFill>
          </w14:textFill>
        </w:rPr>
      </w:pPr>
      <w:bookmarkStart w:id="50" w:name="_Toc22056"/>
      <w:bookmarkStart w:id="51" w:name="_Toc311040991"/>
      <w:r>
        <w:rPr>
          <w:rFonts w:hint="eastAsia" w:ascii="黑体" w:eastAsia="黑体"/>
          <w:b w:val="0"/>
          <w:color w:val="000000" w:themeColor="text1"/>
          <w:sz w:val="28"/>
          <w:szCs w:val="28"/>
          <w:highlight w:val="none"/>
          <w14:textFill>
            <w14:solidFill>
              <w14:schemeClr w14:val="tx1"/>
            </w14:solidFill>
          </w14:textFill>
        </w:rPr>
        <w:t>第六章  企业年金的缴费、领取、转移与保留</w:t>
      </w:r>
      <w:bookmarkEnd w:id="50"/>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6.1  企业年金的缴费。</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6.1.1  委托人应当按法律法规和企业年金方案规定的缴费来源、缴费比例、缴费方式进行缴费。</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6.1.2  委托人应当向受托人提供缴费信息，经受托人确认后提交账户管理人。</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6.1.3  账户管理人依据缴费信息生成的缴费账单和缴费明细提交受托人。</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6.1.4  委托人根据缴费账单，将企业年金缴费汇入受托财产托管账户。</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6.1.5  受托人根据</w:t>
      </w:r>
      <w:r>
        <w:rPr>
          <w:rFonts w:ascii="仿宋_GB2312" w:eastAsia="仿宋_GB2312"/>
          <w:color w:val="000000" w:themeColor="text1"/>
          <w:sz w:val="28"/>
          <w:szCs w:val="28"/>
          <w:highlight w:val="none"/>
          <w14:textFill>
            <w14:solidFill>
              <w14:schemeClr w14:val="tx1"/>
            </w14:solidFill>
          </w14:textFill>
        </w:rPr>
        <w:t>托管人</w:t>
      </w:r>
      <w:r>
        <w:rPr>
          <w:rFonts w:hint="eastAsia" w:ascii="仿宋_GB2312" w:eastAsia="仿宋_GB2312"/>
          <w:color w:val="000000" w:themeColor="text1"/>
          <w:sz w:val="28"/>
          <w:szCs w:val="28"/>
          <w:highlight w:val="none"/>
          <w14:textFill>
            <w14:solidFill>
              <w14:schemeClr w14:val="tx1"/>
            </w14:solidFill>
          </w14:textFill>
        </w:rPr>
        <w:t>网银流水信息生成缴费到账匹配确认单同时发送账管人和托管人。</w:t>
      </w:r>
    </w:p>
    <w:p>
      <w:pPr>
        <w:pStyle w:val="44"/>
        <w:spacing w:line="360" w:lineRule="auto"/>
        <w:ind w:firstLine="560" w:firstLineChars="200"/>
        <w:rPr>
          <w:rFonts w:ascii="仿宋_GB2312" w:eastAsia="仿宋_GB2312"/>
          <w:color w:val="000000" w:themeColor="text1"/>
          <w:kern w:val="2"/>
          <w:sz w:val="28"/>
          <w:szCs w:val="28"/>
          <w:highlight w:val="none"/>
          <w14:textFill>
            <w14:solidFill>
              <w14:schemeClr w14:val="tx1"/>
            </w14:solidFill>
          </w14:textFill>
        </w:rPr>
      </w:pPr>
      <w:r>
        <w:rPr>
          <w:rFonts w:hint="eastAsia" w:ascii="仿宋_GB2312" w:eastAsia="仿宋_GB2312"/>
          <w:color w:val="000000" w:themeColor="text1"/>
          <w:kern w:val="2"/>
          <w:sz w:val="28"/>
          <w:szCs w:val="28"/>
          <w:highlight w:val="none"/>
          <w14:textFill>
            <w14:solidFill>
              <w14:schemeClr w14:val="tx1"/>
            </w14:solidFill>
          </w14:textFill>
        </w:rPr>
        <w:t xml:space="preserve">6.1.6  </w:t>
      </w:r>
      <w:r>
        <w:rPr>
          <w:rFonts w:ascii="仿宋_GB2312" w:eastAsia="仿宋_GB2312"/>
          <w:color w:val="000000" w:themeColor="text1"/>
          <w:kern w:val="2"/>
          <w:sz w:val="28"/>
          <w:szCs w:val="28"/>
          <w:highlight w:val="none"/>
          <w14:textFill>
            <w14:solidFill>
              <w14:schemeClr w14:val="tx1"/>
            </w14:solidFill>
          </w14:textFill>
        </w:rPr>
        <w:t>托管人按</w:t>
      </w:r>
      <w:r>
        <w:rPr>
          <w:rFonts w:hint="eastAsia" w:ascii="仿宋_GB2312" w:eastAsia="仿宋_GB2312"/>
          <w:color w:val="000000" w:themeColor="text1"/>
          <w:kern w:val="2"/>
          <w:sz w:val="28"/>
          <w:szCs w:val="28"/>
          <w:highlight w:val="none"/>
          <w14:textFill>
            <w14:solidFill>
              <w14:schemeClr w14:val="tx1"/>
            </w14:solidFill>
          </w14:textFill>
        </w:rPr>
        <w:t>缴费到账匹配确认单</w:t>
      </w:r>
      <w:r>
        <w:rPr>
          <w:rFonts w:ascii="仿宋_GB2312" w:eastAsia="仿宋_GB2312"/>
          <w:color w:val="000000" w:themeColor="text1"/>
          <w:kern w:val="2"/>
          <w:sz w:val="28"/>
          <w:szCs w:val="28"/>
          <w:highlight w:val="none"/>
          <w14:textFill>
            <w14:solidFill>
              <w14:schemeClr w14:val="tx1"/>
            </w14:solidFill>
          </w14:textFill>
        </w:rPr>
        <w:t>核对实收缴费金额，</w:t>
      </w:r>
      <w:r>
        <w:rPr>
          <w:rFonts w:hint="eastAsia" w:ascii="仿宋_GB2312" w:eastAsia="仿宋_GB2312"/>
          <w:color w:val="000000" w:themeColor="text1"/>
          <w:kern w:val="2"/>
          <w:sz w:val="28"/>
          <w:szCs w:val="28"/>
          <w:highlight w:val="none"/>
          <w14:textFill>
            <w14:solidFill>
              <w14:schemeClr w14:val="tx1"/>
            </w14:solidFill>
          </w14:textFill>
        </w:rPr>
        <w:t>如</w:t>
      </w:r>
      <w:r>
        <w:rPr>
          <w:rFonts w:ascii="仿宋_GB2312" w:eastAsia="仿宋_GB2312"/>
          <w:color w:val="000000" w:themeColor="text1"/>
          <w:kern w:val="2"/>
          <w:sz w:val="28"/>
          <w:szCs w:val="28"/>
          <w:highlight w:val="none"/>
          <w14:textFill>
            <w14:solidFill>
              <w14:schemeClr w14:val="tx1"/>
            </w14:solidFill>
          </w14:textFill>
        </w:rPr>
        <w:t>核对</w:t>
      </w:r>
      <w:r>
        <w:rPr>
          <w:rFonts w:hint="eastAsia" w:ascii="仿宋_GB2312" w:eastAsia="仿宋_GB2312"/>
          <w:color w:val="000000" w:themeColor="text1"/>
          <w:kern w:val="2"/>
          <w:sz w:val="28"/>
          <w:szCs w:val="28"/>
          <w:highlight w:val="none"/>
          <w14:textFill>
            <w14:solidFill>
              <w14:schemeClr w14:val="tx1"/>
            </w14:solidFill>
          </w14:textFill>
        </w:rPr>
        <w:t>不</w:t>
      </w:r>
      <w:r>
        <w:rPr>
          <w:rFonts w:ascii="仿宋_GB2312" w:eastAsia="仿宋_GB2312"/>
          <w:color w:val="000000" w:themeColor="text1"/>
          <w:kern w:val="2"/>
          <w:sz w:val="28"/>
          <w:szCs w:val="28"/>
          <w:highlight w:val="none"/>
          <w14:textFill>
            <w14:solidFill>
              <w14:schemeClr w14:val="tx1"/>
            </w14:solidFill>
          </w14:textFill>
        </w:rPr>
        <w:t>一致，</w:t>
      </w:r>
      <w:r>
        <w:rPr>
          <w:rFonts w:hint="eastAsia" w:ascii="仿宋_GB2312" w:eastAsia="仿宋_GB2312"/>
          <w:color w:val="000000" w:themeColor="text1"/>
          <w:kern w:val="2"/>
          <w:sz w:val="28"/>
          <w:szCs w:val="28"/>
          <w:highlight w:val="none"/>
          <w14:textFill>
            <w14:solidFill>
              <w14:schemeClr w14:val="tx1"/>
            </w14:solidFill>
          </w14:textFill>
        </w:rPr>
        <w:t>及时</w:t>
      </w:r>
      <w:r>
        <w:rPr>
          <w:rFonts w:ascii="仿宋_GB2312" w:eastAsia="仿宋_GB2312"/>
          <w:color w:val="000000" w:themeColor="text1"/>
          <w:kern w:val="2"/>
          <w:sz w:val="28"/>
          <w:szCs w:val="28"/>
          <w:highlight w:val="none"/>
          <w14:textFill>
            <w14:solidFill>
              <w14:schemeClr w14:val="tx1"/>
            </w14:solidFill>
          </w14:textFill>
        </w:rPr>
        <w:t>通知</w:t>
      </w:r>
      <w:r>
        <w:rPr>
          <w:rFonts w:hint="eastAsia" w:ascii="仿宋_GB2312" w:eastAsia="仿宋_GB2312"/>
          <w:color w:val="000000" w:themeColor="text1"/>
          <w:kern w:val="2"/>
          <w:sz w:val="28"/>
          <w:szCs w:val="28"/>
          <w:highlight w:val="none"/>
          <w14:textFill>
            <w14:solidFill>
              <w14:schemeClr w14:val="tx1"/>
            </w14:solidFill>
          </w14:textFill>
        </w:rPr>
        <w:t>受托人。</w:t>
      </w:r>
    </w:p>
    <w:p>
      <w:pPr>
        <w:pStyle w:val="44"/>
        <w:spacing w:line="360" w:lineRule="auto"/>
        <w:ind w:firstLine="560" w:firstLineChars="200"/>
        <w:rPr>
          <w:rFonts w:ascii="仿宋_GB2312" w:eastAsia="仿宋_GB2312"/>
          <w:color w:val="000000" w:themeColor="text1"/>
          <w:kern w:val="2"/>
          <w:sz w:val="28"/>
          <w:szCs w:val="28"/>
          <w:highlight w:val="none"/>
          <w14:textFill>
            <w14:solidFill>
              <w14:schemeClr w14:val="tx1"/>
            </w14:solidFill>
          </w14:textFill>
        </w:rPr>
      </w:pPr>
      <w:r>
        <w:rPr>
          <w:rFonts w:hint="eastAsia" w:ascii="仿宋_GB2312" w:eastAsia="仿宋_GB2312"/>
          <w:color w:val="000000" w:themeColor="text1"/>
          <w:kern w:val="2"/>
          <w:sz w:val="28"/>
          <w:szCs w:val="28"/>
          <w:highlight w:val="none"/>
          <w14:textFill>
            <w14:solidFill>
              <w14:schemeClr w14:val="tx1"/>
            </w14:solidFill>
          </w14:textFill>
        </w:rPr>
        <w:t>6.1.7  账户管理人根据缴费到账匹配确认单</w:t>
      </w:r>
      <w:r>
        <w:rPr>
          <w:rFonts w:ascii="仿宋_GB2312" w:eastAsia="仿宋_GB2312"/>
          <w:color w:val="000000" w:themeColor="text1"/>
          <w:kern w:val="2"/>
          <w:sz w:val="28"/>
          <w:szCs w:val="28"/>
          <w:highlight w:val="none"/>
          <w14:textFill>
            <w14:solidFill>
              <w14:schemeClr w14:val="tx1"/>
            </w14:solidFill>
          </w14:textFill>
        </w:rPr>
        <w:t>及时进行</w:t>
      </w:r>
      <w:r>
        <w:rPr>
          <w:rFonts w:hint="eastAsia" w:ascii="仿宋_GB2312" w:eastAsia="仿宋_GB2312"/>
          <w:color w:val="000000" w:themeColor="text1"/>
          <w:kern w:val="2"/>
          <w:sz w:val="28"/>
          <w:szCs w:val="28"/>
          <w:highlight w:val="none"/>
          <w14:textFill>
            <w14:solidFill>
              <w14:schemeClr w14:val="tx1"/>
            </w14:solidFill>
          </w14:textFill>
        </w:rPr>
        <w:t>缴费入账</w:t>
      </w:r>
      <w:r>
        <w:rPr>
          <w:rFonts w:ascii="仿宋_GB2312" w:eastAsia="仿宋_GB2312"/>
          <w:color w:val="000000" w:themeColor="text1"/>
          <w:kern w:val="2"/>
          <w:sz w:val="28"/>
          <w:szCs w:val="28"/>
          <w:highlight w:val="none"/>
          <w14:textFill>
            <w14:solidFill>
              <w14:schemeClr w14:val="tx1"/>
            </w14:solidFill>
          </w14:textFill>
        </w:rPr>
        <w:t>处理</w:t>
      </w:r>
      <w:r>
        <w:rPr>
          <w:rFonts w:hint="eastAsia" w:ascii="仿宋_GB2312" w:eastAsia="仿宋_GB2312"/>
          <w:color w:val="000000" w:themeColor="text1"/>
          <w:kern w:val="2"/>
          <w:sz w:val="28"/>
          <w:szCs w:val="28"/>
          <w:highlight w:val="none"/>
          <w14:textFill>
            <w14:solidFill>
              <w14:schemeClr w14:val="tx1"/>
            </w14:solidFill>
          </w14:textFill>
        </w:rPr>
        <w:t>，并向受托人提供缴费入账确认书</w:t>
      </w:r>
      <w:r>
        <w:rPr>
          <w:rFonts w:ascii="仿宋_GB2312" w:eastAsia="仿宋_GB2312"/>
          <w:color w:val="000000" w:themeColor="text1"/>
          <w:kern w:val="2"/>
          <w:sz w:val="28"/>
          <w:szCs w:val="28"/>
          <w:highlight w:val="none"/>
          <w14:textFill>
            <w14:solidFill>
              <w14:schemeClr w14:val="tx1"/>
            </w14:solidFill>
          </w14:textFill>
        </w:rPr>
        <w:t>。</w:t>
      </w:r>
    </w:p>
    <w:p>
      <w:pPr>
        <w:spacing w:line="360" w:lineRule="auto"/>
        <w:ind w:left="561" w:leftChars="267"/>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 xml:space="preserve">6.1.8  </w:t>
      </w:r>
      <w:r>
        <w:rPr>
          <w:rFonts w:ascii="仿宋_GB2312" w:eastAsia="仿宋_GB2312"/>
          <w:color w:val="000000" w:themeColor="text1"/>
          <w:sz w:val="28"/>
          <w:szCs w:val="28"/>
          <w:highlight w:val="none"/>
          <w14:textFill>
            <w14:solidFill>
              <w14:schemeClr w14:val="tx1"/>
            </w14:solidFill>
          </w14:textFill>
        </w:rPr>
        <w:t>若出现超缴或短缴，</w:t>
      </w:r>
      <w:r>
        <w:rPr>
          <w:rFonts w:hint="eastAsia" w:ascii="仿宋_GB2312" w:eastAsia="仿宋_GB2312"/>
          <w:color w:val="000000" w:themeColor="text1"/>
          <w:sz w:val="28"/>
          <w:szCs w:val="28"/>
          <w:highlight w:val="none"/>
          <w14:textFill>
            <w14:solidFill>
              <w14:schemeClr w14:val="tx1"/>
            </w14:solidFill>
          </w14:textFill>
        </w:rPr>
        <w:t>受托人</w:t>
      </w:r>
      <w:r>
        <w:rPr>
          <w:rFonts w:ascii="仿宋_GB2312" w:eastAsia="仿宋_GB2312"/>
          <w:color w:val="000000" w:themeColor="text1"/>
          <w:sz w:val="28"/>
          <w:szCs w:val="28"/>
          <w:highlight w:val="none"/>
          <w14:textFill>
            <w14:solidFill>
              <w14:schemeClr w14:val="tx1"/>
            </w14:solidFill>
          </w14:textFill>
        </w:rPr>
        <w:t>及时通知委托人做相应处理。</w:t>
      </w:r>
      <w:r>
        <w:rPr>
          <w:rFonts w:hint="eastAsia" w:ascii="仿宋_GB2312" w:eastAsia="仿宋_GB2312"/>
          <w:color w:val="000000" w:themeColor="text1"/>
          <w:sz w:val="28"/>
          <w:szCs w:val="28"/>
          <w:highlight w:val="none"/>
          <w14:textFill>
            <w14:solidFill>
              <w14:schemeClr w14:val="tx1"/>
            </w14:solidFill>
          </w14:textFill>
        </w:rPr>
        <w:t>6.2  企业年金待遇的领取。</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6.2.1  当受益人符合下列条件之一的，可以领取企业年金待遇：</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6.2.1.1  受益人在达到国家规定的退休年龄或者完全丧失劳动能力时，可以从本人企业年金个人账户中按月、分次或者一次性领取企业年金，也可以将本人企业年金个人账户资金全部或者部分购买商业养老保险产品，依据保险合同领取待遇并享受相应的继承权；</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6.2.1.2  受益人</w:t>
      </w:r>
      <w:r>
        <w:rPr>
          <w:rFonts w:hint="eastAsia" w:ascii="仿宋_GB2312" w:hAnsi="仿宋_GB2312" w:eastAsia="仿宋_GB2312" w:cs="仿宋_GB2312"/>
          <w:color w:val="000000" w:themeColor="text1"/>
          <w:sz w:val="28"/>
          <w:szCs w:val="28"/>
          <w:highlight w:val="none"/>
          <w14:textFill>
            <w14:solidFill>
              <w14:schemeClr w14:val="tx1"/>
            </w14:solidFill>
          </w14:textFill>
        </w:rPr>
        <w:t>出国（境）定居，可以根据本人要求一次性领取企业年金个人账户资金</w:t>
      </w:r>
      <w:r>
        <w:rPr>
          <w:rFonts w:hint="eastAsia" w:ascii="仿宋_GB2312" w:eastAsia="仿宋_GB2312"/>
          <w:color w:val="000000" w:themeColor="text1"/>
          <w:sz w:val="28"/>
          <w:szCs w:val="28"/>
          <w:highlight w:val="none"/>
          <w14:textFill>
            <w14:solidFill>
              <w14:schemeClr w14:val="tx1"/>
            </w14:solidFill>
          </w14:textFill>
        </w:rPr>
        <w:t>；</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6.2.1.3  受益人身故，</w:t>
      </w:r>
      <w:r>
        <w:rPr>
          <w:rFonts w:hint="eastAsia" w:ascii="仿宋_GB2312" w:hAnsi="仿宋_GB2312" w:eastAsia="仿宋_GB2312" w:cs="仿宋_GB2312"/>
          <w:color w:val="000000" w:themeColor="text1"/>
          <w:sz w:val="28"/>
          <w:szCs w:val="28"/>
          <w:highlight w:val="none"/>
          <w14:textFill>
            <w14:solidFill>
              <w14:schemeClr w14:val="tx1"/>
            </w14:solidFill>
          </w14:textFill>
        </w:rPr>
        <w:t>其企业年金个人账户余额可以继承</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eastAsia="仿宋_GB2312"/>
          <w:color w:val="000000" w:themeColor="text1"/>
          <w:sz w:val="28"/>
          <w:szCs w:val="28"/>
          <w:highlight w:val="none"/>
          <w14:textFill>
            <w14:solidFill>
              <w14:schemeClr w14:val="tx1"/>
            </w14:solidFill>
          </w14:textFill>
        </w:rPr>
        <w:t>由其指定的身故受益人或法定继承人一次性领取；</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6.2.1.4  法律法规规定的其他可以领取的情形，其领取方式按照法律法规规定执行。</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6.2.2  企业年金待遇领取的程序。</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6.2.2.1  受益人向委托人提出领取企业年金待遇的申请。</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6.2.2.2  委托人审核同意受益人的领取申请后，向受托人提交领取企业年金待遇申请。</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6.2.2.3  受托人审核同意委托人的领取申请后，通知账户管理人。</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6.2.2.4  账户管理人计算个人账户权益，生成个人账户权益支付表，发送受托人。</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6.2.2.5  受托人根据个人账户权益支付表向托管人下达待遇支付指令，由托管人向受益人支付企业年金待遇。</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6.3  个人账户权益的转移。</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olor w:val="000000" w:themeColor="text1"/>
          <w:sz w:val="28"/>
          <w:szCs w:val="28"/>
          <w:highlight w:val="none"/>
          <w14:textFill>
            <w14:solidFill>
              <w14:schemeClr w14:val="tx1"/>
            </w14:solidFill>
          </w14:textFill>
        </w:rPr>
        <w:t>受益人离职的，如新工作单位已经建立企业年金计划的，</w:t>
      </w:r>
      <w:r>
        <w:rPr>
          <w:rFonts w:hint="eastAsia" w:ascii="仿宋_GB2312" w:eastAsia="仿宋_GB2312"/>
          <w:color w:val="000000" w:themeColor="text1"/>
          <w:sz w:val="28"/>
          <w:szCs w:val="28"/>
          <w:highlight w:val="none"/>
          <w14:textFill>
            <w14:solidFill>
              <w14:schemeClr w14:val="tx1"/>
            </w14:solidFill>
          </w14:textFill>
        </w:rPr>
        <w:t>委托人应当向受托人提出申请将受益人个人账户权益转至</w:t>
      </w:r>
      <w:r>
        <w:rPr>
          <w:rFonts w:ascii="仿宋_GB2312" w:eastAsia="仿宋_GB2312"/>
          <w:color w:val="000000" w:themeColor="text1"/>
          <w:sz w:val="28"/>
          <w:szCs w:val="28"/>
          <w:highlight w:val="none"/>
          <w14:textFill>
            <w14:solidFill>
              <w14:schemeClr w14:val="tx1"/>
            </w14:solidFill>
          </w14:textFill>
        </w:rPr>
        <w:t>新的</w:t>
      </w:r>
      <w:r>
        <w:rPr>
          <w:rFonts w:hint="eastAsia" w:ascii="仿宋_GB2312" w:eastAsia="仿宋_GB2312"/>
          <w:color w:val="000000" w:themeColor="text1"/>
          <w:sz w:val="28"/>
          <w:szCs w:val="28"/>
          <w:highlight w:val="none"/>
          <w14:textFill>
            <w14:solidFill>
              <w14:schemeClr w14:val="tx1"/>
            </w14:solidFill>
          </w14:textFill>
        </w:rPr>
        <w:t>企业年金计划。</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6.4  个人账户权益的保留。</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6</w:t>
      </w:r>
      <w:r>
        <w:rPr>
          <w:rFonts w:ascii="仿宋_GB2312" w:eastAsia="仿宋_GB2312"/>
          <w:color w:val="000000" w:themeColor="text1"/>
          <w:sz w:val="28"/>
          <w:szCs w:val="28"/>
          <w:highlight w:val="none"/>
          <w14:textFill>
            <w14:solidFill>
              <w14:schemeClr w14:val="tx1"/>
            </w14:solidFill>
          </w14:textFill>
        </w:rPr>
        <w:t>.</w:t>
      </w:r>
      <w:r>
        <w:rPr>
          <w:rFonts w:hint="eastAsia" w:ascii="仿宋_GB2312" w:eastAsia="仿宋_GB2312"/>
          <w:color w:val="000000" w:themeColor="text1"/>
          <w:sz w:val="28"/>
          <w:szCs w:val="28"/>
          <w:highlight w:val="none"/>
          <w14:textFill>
            <w14:solidFill>
              <w14:schemeClr w14:val="tx1"/>
            </w14:solidFill>
          </w14:textFill>
        </w:rPr>
        <w:t>4</w:t>
      </w:r>
      <w:r>
        <w:rPr>
          <w:rFonts w:ascii="仿宋_GB2312" w:eastAsia="仿宋_GB2312"/>
          <w:color w:val="000000" w:themeColor="text1"/>
          <w:sz w:val="28"/>
          <w:szCs w:val="28"/>
          <w:highlight w:val="none"/>
          <w14:textFill>
            <w14:solidFill>
              <w14:schemeClr w14:val="tx1"/>
            </w14:solidFill>
          </w14:textFill>
        </w:rPr>
        <w:t>.1</w:t>
      </w:r>
      <w:r>
        <w:rPr>
          <w:rFonts w:hint="eastAsia" w:ascii="仿宋_GB2312" w:eastAsia="仿宋_GB2312"/>
          <w:color w:val="000000" w:themeColor="text1"/>
          <w:sz w:val="28"/>
          <w:szCs w:val="28"/>
          <w:highlight w:val="none"/>
          <w14:textFill>
            <w14:solidFill>
              <w14:schemeClr w14:val="tx1"/>
            </w14:solidFill>
          </w14:textFill>
        </w:rPr>
        <w:t xml:space="preserve">  </w:t>
      </w:r>
      <w:r>
        <w:rPr>
          <w:rFonts w:ascii="仿宋_GB2312" w:eastAsia="仿宋_GB2312"/>
          <w:color w:val="000000" w:themeColor="text1"/>
          <w:sz w:val="28"/>
          <w:szCs w:val="28"/>
          <w:highlight w:val="none"/>
          <w14:textFill>
            <w14:solidFill>
              <w14:schemeClr w14:val="tx1"/>
            </w14:solidFill>
          </w14:textFill>
        </w:rPr>
        <w:t>受益人离职的，如新工作单位尚未建立企业年金计划的</w:t>
      </w:r>
      <w:r>
        <w:rPr>
          <w:rFonts w:hint="eastAsia" w:ascii="仿宋_GB2312" w:eastAsia="仿宋_GB2312"/>
          <w:color w:val="000000" w:themeColor="text1"/>
          <w:sz w:val="28"/>
          <w:szCs w:val="28"/>
          <w:highlight w:val="none"/>
          <w14:textFill>
            <w14:solidFill>
              <w14:schemeClr w14:val="tx1"/>
            </w14:solidFill>
          </w14:textFill>
        </w:rPr>
        <w:t>，委托人应当按下列</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方式可将受益人个人账户权益转至保留账户管理。</w:t>
      </w:r>
    </w:p>
    <w:p>
      <w:pPr>
        <w:pStyle w:val="44"/>
        <w:spacing w:line="360" w:lineRule="auto"/>
        <w:ind w:firstLine="618" w:firstLineChars="221"/>
        <w:rPr>
          <w:rFonts w:hint="eastAsia"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6</w:t>
      </w:r>
      <w:r>
        <w:rPr>
          <w:rFonts w:ascii="仿宋_GB2312" w:hAnsi="宋体" w:eastAsia="仿宋_GB2312"/>
          <w:color w:val="000000" w:themeColor="text1"/>
          <w:sz w:val="28"/>
          <w:szCs w:val="28"/>
          <w:highlight w:val="none"/>
          <w14:textFill>
            <w14:solidFill>
              <w14:schemeClr w14:val="tx1"/>
            </w14:solidFill>
          </w14:textFill>
        </w:rPr>
        <w:t>.</w:t>
      </w:r>
      <w:r>
        <w:rPr>
          <w:rFonts w:hint="eastAsia" w:ascii="仿宋_GB2312" w:hAnsi="宋体" w:eastAsia="仿宋_GB2312"/>
          <w:color w:val="000000" w:themeColor="text1"/>
          <w:sz w:val="28"/>
          <w:szCs w:val="28"/>
          <w:highlight w:val="none"/>
          <w14:textFill>
            <w14:solidFill>
              <w14:schemeClr w14:val="tx1"/>
            </w14:solidFill>
          </w14:textFill>
        </w:rPr>
        <w:t>4</w:t>
      </w:r>
      <w:r>
        <w:rPr>
          <w:rFonts w:ascii="仿宋_GB2312" w:hAnsi="宋体" w:eastAsia="仿宋_GB2312"/>
          <w:color w:val="000000" w:themeColor="text1"/>
          <w:sz w:val="28"/>
          <w:szCs w:val="28"/>
          <w:highlight w:val="none"/>
          <w14:textFill>
            <w14:solidFill>
              <w14:schemeClr w14:val="tx1"/>
            </w14:solidFill>
          </w14:textFill>
        </w:rPr>
        <w:t>.1</w:t>
      </w:r>
      <w:r>
        <w:rPr>
          <w:rFonts w:hint="eastAsia" w:ascii="仿宋_GB2312" w:hAnsi="宋体" w:eastAsia="仿宋_GB2312"/>
          <w:color w:val="000000" w:themeColor="text1"/>
          <w:sz w:val="28"/>
          <w:szCs w:val="28"/>
          <w:highlight w:val="none"/>
          <w14:textFill>
            <w14:solidFill>
              <w14:schemeClr w14:val="tx1"/>
            </w14:solidFill>
          </w14:textFill>
        </w:rPr>
        <w:t>.1</w:t>
      </w:r>
      <w:r>
        <w:rPr>
          <w:rFonts w:ascii="仿宋_GB2312" w:hAnsi="宋体" w:eastAsia="仿宋_GB2312"/>
          <w:color w:val="000000" w:themeColor="text1"/>
          <w:sz w:val="28"/>
          <w:szCs w:val="28"/>
          <w:highlight w:val="non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 xml:space="preserve"> </w:t>
      </w:r>
      <w:r>
        <w:rPr>
          <w:rFonts w:ascii="仿宋_GB2312" w:eastAsia="仿宋_GB2312"/>
          <w:color w:val="000000" w:themeColor="text1"/>
          <w:sz w:val="28"/>
          <w:szCs w:val="28"/>
          <w:highlight w:val="none"/>
          <w14:textFill>
            <w14:solidFill>
              <w14:schemeClr w14:val="tx1"/>
            </w14:solidFill>
          </w14:textFill>
        </w:rPr>
        <w:t>委托人向</w:t>
      </w:r>
      <w:r>
        <w:rPr>
          <w:rFonts w:hint="eastAsia" w:ascii="仿宋_GB2312" w:eastAsia="仿宋_GB2312"/>
          <w:color w:val="000000" w:themeColor="text1"/>
          <w:sz w:val="28"/>
          <w:szCs w:val="28"/>
          <w:highlight w:val="none"/>
          <w14:textFill>
            <w14:solidFill>
              <w14:schemeClr w14:val="tx1"/>
            </w14:solidFill>
          </w14:textFill>
        </w:rPr>
        <w:t>受托人</w:t>
      </w:r>
      <w:r>
        <w:rPr>
          <w:rFonts w:ascii="仿宋_GB2312" w:eastAsia="仿宋_GB2312"/>
          <w:color w:val="000000" w:themeColor="text1"/>
          <w:sz w:val="28"/>
          <w:szCs w:val="28"/>
          <w:highlight w:val="none"/>
          <w14:textFill>
            <w14:solidFill>
              <w14:schemeClr w14:val="tx1"/>
            </w14:solidFill>
          </w14:textFill>
        </w:rPr>
        <w:t>提出申请将受益人个人账户权益在企业年金计划下建立保留账户管理</w:t>
      </w:r>
      <w:r>
        <w:rPr>
          <w:rFonts w:hint="eastAsia" w:ascii="仿宋_GB2312" w:eastAsia="仿宋_GB2312"/>
          <w:color w:val="000000" w:themeColor="text1"/>
          <w:sz w:val="28"/>
          <w:szCs w:val="28"/>
          <w:highlight w:val="none"/>
          <w14:textFill>
            <w14:solidFill>
              <w14:schemeClr w14:val="tx1"/>
            </w14:solidFill>
          </w14:textFill>
        </w:rPr>
        <w:t>；</w:t>
      </w:r>
    </w:p>
    <w:p>
      <w:pPr>
        <w:pStyle w:val="44"/>
        <w:spacing w:line="360" w:lineRule="auto"/>
        <w:ind w:firstLine="618" w:firstLineChars="221"/>
        <w:rPr>
          <w:rFonts w:ascii="仿宋_GB2312"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6</w:t>
      </w:r>
      <w:r>
        <w:rPr>
          <w:rFonts w:ascii="仿宋_GB2312" w:hAnsi="宋体" w:eastAsia="仿宋_GB2312"/>
          <w:color w:val="000000" w:themeColor="text1"/>
          <w:sz w:val="28"/>
          <w:szCs w:val="28"/>
          <w:highlight w:val="none"/>
          <w14:textFill>
            <w14:solidFill>
              <w14:schemeClr w14:val="tx1"/>
            </w14:solidFill>
          </w14:textFill>
        </w:rPr>
        <w:t>.</w:t>
      </w:r>
      <w:r>
        <w:rPr>
          <w:rFonts w:hint="eastAsia" w:ascii="仿宋_GB2312" w:hAnsi="宋体" w:eastAsia="仿宋_GB2312"/>
          <w:color w:val="000000" w:themeColor="text1"/>
          <w:sz w:val="28"/>
          <w:szCs w:val="28"/>
          <w:highlight w:val="none"/>
          <w14:textFill>
            <w14:solidFill>
              <w14:schemeClr w14:val="tx1"/>
            </w14:solidFill>
          </w14:textFill>
        </w:rPr>
        <w:t>4</w:t>
      </w:r>
      <w:r>
        <w:rPr>
          <w:rFonts w:ascii="仿宋_GB2312" w:hAnsi="宋体" w:eastAsia="仿宋_GB2312"/>
          <w:color w:val="000000" w:themeColor="text1"/>
          <w:sz w:val="28"/>
          <w:szCs w:val="28"/>
          <w:highlight w:val="none"/>
          <w14:textFill>
            <w14:solidFill>
              <w14:schemeClr w14:val="tx1"/>
            </w14:solidFill>
          </w14:textFill>
        </w:rPr>
        <w:t>.1</w:t>
      </w:r>
      <w:r>
        <w:rPr>
          <w:rFonts w:hint="eastAsia" w:ascii="仿宋_GB2312" w:hAnsi="宋体" w:eastAsia="仿宋_GB2312"/>
          <w:color w:val="000000" w:themeColor="text1"/>
          <w:sz w:val="28"/>
          <w:szCs w:val="28"/>
          <w:highlight w:val="none"/>
          <w14:textFill>
            <w14:solidFill>
              <w14:schemeClr w14:val="tx1"/>
            </w14:solidFill>
          </w14:textFill>
        </w:rPr>
        <w:t>.</w:t>
      </w:r>
      <w:r>
        <w:rPr>
          <w:rFonts w:ascii="仿宋_GB2312" w:eastAsia="仿宋_GB2312"/>
          <w:color w:val="000000" w:themeColor="text1"/>
          <w:sz w:val="28"/>
          <w:szCs w:val="28"/>
          <w:highlight w:val="none"/>
          <w14:textFill>
            <w14:solidFill>
              <w14:schemeClr w14:val="tx1"/>
            </w14:solidFill>
          </w14:textFill>
        </w:rPr>
        <w:t>2</w:t>
      </w:r>
      <w:r>
        <w:rPr>
          <w:rFonts w:hint="eastAsia" w:ascii="仿宋_GB2312" w:eastAsia="仿宋_GB2312"/>
          <w:color w:val="000000" w:themeColor="text1"/>
          <w:sz w:val="28"/>
          <w:szCs w:val="28"/>
          <w:highlight w:val="none"/>
          <w14:textFill>
            <w14:solidFill>
              <w14:schemeClr w14:val="tx1"/>
            </w14:solidFill>
          </w14:textFill>
        </w:rPr>
        <w:t xml:space="preserve">  </w:t>
      </w:r>
      <w:r>
        <w:rPr>
          <w:rFonts w:ascii="仿宋_GB2312" w:eastAsia="仿宋_GB2312"/>
          <w:color w:val="000000" w:themeColor="text1"/>
          <w:sz w:val="28"/>
          <w:szCs w:val="28"/>
          <w:highlight w:val="none"/>
          <w14:textFill>
            <w14:solidFill>
              <w14:schemeClr w14:val="tx1"/>
            </w14:solidFill>
          </w14:textFill>
        </w:rPr>
        <w:t>委托人向</w:t>
      </w:r>
      <w:r>
        <w:rPr>
          <w:rFonts w:hint="eastAsia" w:ascii="仿宋_GB2312" w:eastAsia="仿宋_GB2312"/>
          <w:color w:val="000000" w:themeColor="text1"/>
          <w:sz w:val="28"/>
          <w:szCs w:val="28"/>
          <w:highlight w:val="none"/>
          <w14:textFill>
            <w14:solidFill>
              <w14:schemeClr w14:val="tx1"/>
            </w14:solidFill>
          </w14:textFill>
        </w:rPr>
        <w:t>受托人</w:t>
      </w:r>
      <w:r>
        <w:rPr>
          <w:rFonts w:ascii="仿宋_GB2312" w:eastAsia="仿宋_GB2312"/>
          <w:color w:val="000000" w:themeColor="text1"/>
          <w:sz w:val="28"/>
          <w:szCs w:val="28"/>
          <w:highlight w:val="none"/>
          <w14:textFill>
            <w14:solidFill>
              <w14:schemeClr w14:val="tx1"/>
            </w14:solidFill>
          </w14:textFill>
        </w:rPr>
        <w:t>提出申请将受益人个人账户权益转</w:t>
      </w:r>
      <w:r>
        <w:rPr>
          <w:rFonts w:hint="eastAsia" w:ascii="仿宋_GB2312" w:eastAsia="仿宋_GB2312"/>
          <w:color w:val="000000" w:themeColor="text1"/>
          <w:sz w:val="28"/>
          <w:szCs w:val="28"/>
          <w:highlight w:val="none"/>
          <w14:textFill>
            <w14:solidFill>
              <w14:schemeClr w14:val="tx1"/>
            </w14:solidFill>
          </w14:textFill>
        </w:rPr>
        <w:t>至受托人</w:t>
      </w:r>
      <w:r>
        <w:rPr>
          <w:rFonts w:ascii="仿宋_GB2312" w:eastAsia="仿宋_GB2312"/>
          <w:color w:val="000000" w:themeColor="text1"/>
          <w:sz w:val="28"/>
          <w:szCs w:val="28"/>
          <w:highlight w:val="none"/>
          <w14:textFill>
            <w14:solidFill>
              <w14:schemeClr w14:val="tx1"/>
            </w14:solidFill>
          </w14:textFill>
        </w:rPr>
        <w:t>发起的企业年金集合计划下的保留账户统一管理。</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6.4.2  企业年金计划终止时，受益人个人账户权益转入受托人发起的企业年金集合计划</w:t>
      </w:r>
      <w:r>
        <w:rPr>
          <w:rFonts w:ascii="仿宋_GB2312" w:eastAsia="仿宋_GB2312"/>
          <w:color w:val="000000" w:themeColor="text1"/>
          <w:sz w:val="28"/>
          <w:szCs w:val="28"/>
          <w:highlight w:val="none"/>
          <w14:textFill>
            <w14:solidFill>
              <w14:schemeClr w14:val="tx1"/>
            </w14:solidFill>
          </w14:textFill>
        </w:rPr>
        <w:t>下的</w:t>
      </w:r>
      <w:r>
        <w:rPr>
          <w:rFonts w:hint="eastAsia" w:ascii="仿宋_GB2312" w:eastAsia="仿宋_GB2312"/>
          <w:color w:val="000000" w:themeColor="text1"/>
          <w:sz w:val="28"/>
          <w:szCs w:val="28"/>
          <w:highlight w:val="none"/>
          <w14:textFill>
            <w14:solidFill>
              <w14:schemeClr w14:val="tx1"/>
            </w14:solidFill>
          </w14:textFill>
        </w:rPr>
        <w:t>保留账户统一管理。</w:t>
      </w:r>
    </w:p>
    <w:p>
      <w:pPr>
        <w:pStyle w:val="3"/>
        <w:jc w:val="center"/>
        <w:rPr>
          <w:rFonts w:ascii="黑体" w:eastAsia="黑体"/>
          <w:b w:val="0"/>
          <w:color w:val="000000" w:themeColor="text1"/>
          <w:sz w:val="28"/>
          <w:szCs w:val="28"/>
          <w:highlight w:val="none"/>
          <w14:textFill>
            <w14:solidFill>
              <w14:schemeClr w14:val="tx1"/>
            </w14:solidFill>
          </w14:textFill>
        </w:rPr>
      </w:pPr>
      <w:bookmarkStart w:id="52" w:name="_Toc2512"/>
      <w:r>
        <w:rPr>
          <w:rFonts w:hint="eastAsia" w:ascii="黑体" w:eastAsia="黑体"/>
          <w:b w:val="0"/>
          <w:color w:val="000000" w:themeColor="text1"/>
          <w:sz w:val="28"/>
          <w:szCs w:val="28"/>
          <w:highlight w:val="none"/>
          <w14:textFill>
            <w14:solidFill>
              <w14:schemeClr w14:val="tx1"/>
            </w14:solidFill>
          </w14:textFill>
        </w:rPr>
        <w:t>第七章  投资政策</w:t>
      </w:r>
      <w:bookmarkEnd w:id="52"/>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7.1  受托人根据法律法规规定制定企业年金基金投资政策。</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7.1.1  企业年金基金财产限于境内投资和香港市场投资。境内投资范围包括银行存款，标准化债权类资产，债券回购，信托产品，债权投资计划，公开募集证券投资基金，股票，股指期货，国债期货，养老金产品；年金基金可投资的标准化债权类资产指依法发行的固定收益证券，包括国债，中央银行票据，同业存单，政策性、开发性银行债券，以及信用等级在投资级以上的金融债、企业债、公司债、可转换债、可交换债、（超）短期融资券、中期票据、非公开定向债务融资工具、信贷资产支持证券、资产支持票据、证券交易所挂牌交易的资产支持证券。上述资产发行方式包括公开发行和非公开发行。香港市场投资指年金基金通过股票型养老金产品或公开募集证券投资基金，投资内地与香港股票市场交易互联互通机制下允许买卖的香港联合交易所上市股票（简称“港股通标的股票”）。</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7.1.2  企业年金基金财产以投资组合为单位按照公允价值计算应当符合下列规定：</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7.1.2.1  投资一年期以内（含一年）的银行存款、中央银行票据，同业存单，剩余期限在一年期以内（含一年）的国债，剩余期限在一年期以内（含一年）的政策性、开发性银行债券，债券回购，货币市场基金，货币型养老金产品等流动性资产的比例，合计不得低于投资组合委托投资资产净值的5%。清算备付金、证券清算款以及一级市场证券申购资金视为流动性资产。</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7.1.2.2  投资一年期以上的银行存款，标准化债权类资产，信托产品，债权投资计划，债券基金，固定收益型养老金产品，混合型养老金产品等固定收益类资产的比例，合计不得高于投资组合委托投资资产净值的135%。债券正回购的资金余额在每个交易日均不得高于投资组合委托投资资产净值的40%。已计入流动性资产的不再重复计入固定收益类资产。</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7.1.2.3  投资股票、股票基金、混合基金、股票型养老金产品（含股票专项型养老金产品）等权益类资产的比例，合计不得高于投资组合委托投资资产净值的40%。其中，投资港股通标的产品的比例，不得高于投资组合委托投资资产净值的20%；投资单只股票专项型养老金产品的比例，不得高于投资组合委托投资资产净值的10%。年金基金不得直接投资于权证，但因投资股票、分离交易可转换债等投资品种而衍生获得的权证，应当在权证上市交易之日起10个交易日内卖出。</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olor w:val="000000" w:themeColor="text1"/>
          <w:sz w:val="28"/>
          <w:szCs w:val="28"/>
          <w:highlight w:val="none"/>
          <w14:textFill>
            <w14:solidFill>
              <w14:schemeClr w14:val="tx1"/>
            </w14:solidFill>
          </w14:textFill>
        </w:rPr>
        <w:t>7.1.2.4</w:t>
      </w:r>
      <w:r>
        <w:rPr>
          <w:rFonts w:hint="eastAsia" w:ascii="仿宋_GB2312" w:eastAsia="仿宋_GB2312"/>
          <w:color w:val="000000" w:themeColor="text1"/>
          <w:sz w:val="28"/>
          <w:szCs w:val="28"/>
          <w:highlight w:val="none"/>
          <w14:textFill>
            <w14:solidFill>
              <w14:schemeClr w14:val="tx1"/>
            </w14:solidFill>
          </w14:textFill>
        </w:rPr>
        <w:t xml:space="preserve">  投资信托产品、债权投资计划，以及信托产品型、债权投资计划型养老金产品的比例，合计不得高于投资组合委托投资资产净值的30%。其中，投资信托产品以及信托产品型养老金产品的比例，合计不得高于投资组合委托投资资产净值的10%。</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olor w:val="000000" w:themeColor="text1"/>
          <w:sz w:val="28"/>
          <w:szCs w:val="28"/>
          <w:highlight w:val="none"/>
          <w14:textFill>
            <w14:solidFill>
              <w14:schemeClr w14:val="tx1"/>
            </w14:solidFill>
          </w14:textFill>
        </w:rPr>
        <w:t>7.1.2.5</w:t>
      </w:r>
      <w:r>
        <w:rPr>
          <w:rFonts w:hint="eastAsia" w:ascii="仿宋_GB2312" w:eastAsia="仿宋_GB2312"/>
          <w:color w:val="000000" w:themeColor="text1"/>
          <w:sz w:val="28"/>
          <w:szCs w:val="28"/>
          <w:highlight w:val="none"/>
          <w14:textFill>
            <w14:solidFill>
              <w14:schemeClr w14:val="tx1"/>
            </w14:solidFill>
          </w14:textFill>
        </w:rPr>
        <w:t xml:space="preserve">  专门投资组合是指将80%以上非现金资产投资于银行存款、信托产品、债权投资计划或者存款型、信托产品型、债权投资计划型养老金产品中的一类产品而专门设立的投资组合。专门投资组合可以不受第7</w:t>
      </w:r>
      <w:r>
        <w:rPr>
          <w:rFonts w:ascii="仿宋_GB2312" w:eastAsia="仿宋_GB2312"/>
          <w:color w:val="000000" w:themeColor="text1"/>
          <w:sz w:val="28"/>
          <w:szCs w:val="28"/>
          <w:highlight w:val="none"/>
          <w14:textFill>
            <w14:solidFill>
              <w14:schemeClr w14:val="tx1"/>
            </w14:solidFill>
          </w14:textFill>
        </w:rPr>
        <w:t>.1.2.1</w:t>
      </w:r>
      <w:r>
        <w:rPr>
          <w:rFonts w:hint="eastAsia" w:ascii="仿宋_GB2312" w:eastAsia="仿宋_GB2312"/>
          <w:color w:val="000000" w:themeColor="text1"/>
          <w:sz w:val="28"/>
          <w:szCs w:val="28"/>
          <w:highlight w:val="none"/>
          <w14:textFill>
            <w14:solidFill>
              <w14:schemeClr w14:val="tx1"/>
            </w14:solidFill>
          </w14:textFill>
        </w:rPr>
        <w:t>款5%流动性限制。投资信托产品、债权投资计划或信托产品型、债权投资计划型养老金产品的专门投资组合，可以不受第7</w:t>
      </w:r>
      <w:r>
        <w:rPr>
          <w:rFonts w:ascii="仿宋_GB2312" w:eastAsia="仿宋_GB2312"/>
          <w:color w:val="000000" w:themeColor="text1"/>
          <w:sz w:val="28"/>
          <w:szCs w:val="28"/>
          <w:highlight w:val="none"/>
          <w14:textFill>
            <w14:solidFill>
              <w14:schemeClr w14:val="tx1"/>
            </w14:solidFill>
          </w14:textFill>
        </w:rPr>
        <w:t>.1.2.4</w:t>
      </w:r>
      <w:r>
        <w:rPr>
          <w:rFonts w:hint="eastAsia" w:ascii="仿宋_GB2312" w:eastAsia="仿宋_GB2312"/>
          <w:color w:val="000000" w:themeColor="text1"/>
          <w:sz w:val="28"/>
          <w:szCs w:val="28"/>
          <w:highlight w:val="none"/>
          <w14:textFill>
            <w14:solidFill>
              <w14:schemeClr w14:val="tx1"/>
            </w14:solidFill>
          </w14:textFill>
        </w:rPr>
        <w:t>款30%和10%规定的限制。</w:t>
      </w:r>
    </w:p>
    <w:p>
      <w:pPr>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7.1.3  单个投资组合的年金基金财产，按照公允价值计算应当符合下列规定：</w:t>
      </w:r>
    </w:p>
    <w:p>
      <w:pPr>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olor w:val="000000" w:themeColor="text1"/>
          <w:sz w:val="28"/>
          <w:szCs w:val="28"/>
          <w:highlight w:val="none"/>
          <w14:textFill>
            <w14:solidFill>
              <w14:schemeClr w14:val="tx1"/>
            </w14:solidFill>
          </w14:textFill>
        </w:rPr>
        <w:t>7.1.3.1</w:t>
      </w:r>
      <w:r>
        <w:rPr>
          <w:rFonts w:hint="eastAsia" w:ascii="仿宋_GB2312" w:eastAsia="仿宋_GB2312"/>
          <w:color w:val="000000" w:themeColor="text1"/>
          <w:sz w:val="28"/>
          <w:szCs w:val="28"/>
          <w:highlight w:val="none"/>
          <w14:textFill>
            <w14:solidFill>
              <w14:schemeClr w14:val="tx1"/>
            </w14:solidFill>
          </w14:textFill>
        </w:rPr>
        <w:t xml:space="preserve">  投资一家企业所发行的股票，单期发行的同一品种标准化债权类资产，单只证券投资基金，分别不得超过上述证券发行量、该基金份额（基金产品份额数以最近一次公告或者发行人正式说明为准）的5%，也分别不得超过该投资组合委托投资资产净值的10%。其中，投资资产支持证券或资产支持票据的比例不得超过该只证券发行量的10%。</w:t>
      </w:r>
    </w:p>
    <w:p>
      <w:pPr>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olor w:val="000000" w:themeColor="text1"/>
          <w:sz w:val="28"/>
          <w:szCs w:val="28"/>
          <w:highlight w:val="none"/>
          <w14:textFill>
            <w14:solidFill>
              <w14:schemeClr w14:val="tx1"/>
            </w14:solidFill>
          </w14:textFill>
        </w:rPr>
        <w:t>7.1.3.2</w:t>
      </w:r>
      <w:r>
        <w:rPr>
          <w:rFonts w:hint="eastAsia" w:ascii="仿宋_GB2312" w:eastAsia="仿宋_GB2312"/>
          <w:color w:val="000000" w:themeColor="text1"/>
          <w:sz w:val="28"/>
          <w:szCs w:val="28"/>
          <w:highlight w:val="none"/>
          <w14:textFill>
            <w14:solidFill>
              <w14:schemeClr w14:val="tx1"/>
            </w14:solidFill>
          </w14:textFill>
        </w:rPr>
        <w:t xml:space="preserve">  投资单期信托产品、债权投资计划，分别不得超过该期信托产品、债权投资计划资产管理规模的20%。投资信托产品、债权投资计划的专门投资组合，可以不受此规定的限制。</w:t>
      </w:r>
    </w:p>
    <w:p>
      <w:pPr>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7.1.4  单个计划的年金基金财产按照公允价值计算，应当符合投资流动性资产、固定收益类资产、权益类资产、信托产品、债权投资计划，以及信托产品型、债权投资计划型养老金产品的比例限制，参照第7.1.2款管理。</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7.2  在法律法规规定范围内，委托人与受托人协商一致，可以修订企业年金基金投资政策，但必须考虑受托人、托管人和投资管理人调整投资政策及投资监督所需必要时间。</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7.3  企业年金计划投资组合详见投资管理合同（投资管理补充条款）。</w:t>
      </w:r>
    </w:p>
    <w:p>
      <w:pPr>
        <w:pStyle w:val="3"/>
        <w:ind w:firstLine="643"/>
        <w:jc w:val="center"/>
        <w:rPr>
          <w:rFonts w:ascii="仿宋_GB2312" w:eastAsia="仿宋_GB2312"/>
          <w:b w:val="0"/>
          <w:color w:val="000000" w:themeColor="text1"/>
          <w:sz w:val="28"/>
          <w:szCs w:val="28"/>
          <w:highlight w:val="none"/>
          <w14:textFill>
            <w14:solidFill>
              <w14:schemeClr w14:val="tx1"/>
            </w14:solidFill>
          </w14:textFill>
        </w:rPr>
      </w:pPr>
      <w:bookmarkStart w:id="53" w:name="_Toc20477"/>
      <w:r>
        <w:rPr>
          <w:rFonts w:hint="eastAsia" w:ascii="黑体" w:hAnsi="黑体" w:eastAsia="黑体"/>
          <w:b w:val="0"/>
          <w:bCs w:val="0"/>
          <w:color w:val="000000" w:themeColor="text1"/>
          <w:sz w:val="28"/>
          <w:szCs w:val="28"/>
          <w:highlight w:val="none"/>
          <w14:textFill>
            <w14:solidFill>
              <w14:schemeClr w14:val="tx1"/>
            </w14:solidFill>
          </w14:textFill>
        </w:rPr>
        <w:t>第八章　投资管理风险准备金</w:t>
      </w:r>
      <w:bookmarkEnd w:id="51"/>
      <w:bookmarkEnd w:id="53"/>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8.1  投资管理人按照法律法规规定在托管人处开立投资管理风险准备金账户，并为每个投资组合建立子账户。除法律法规规定或投资管理合同（投资管理补充条款）约定外，投资管理人在投资管理合同（投资管理补充条款）终止前不得动用或支取投资管理风险准备金。</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8.2  投资管理人从投资管理当期收取的投资管理费中，提取20%作为投资管理风险准备金存入投资管理风险准备金账户，专项用于弥补投资管理合同（投资管理补充条款）终止时所管理投资组合的企业年金基金资产的当期投资亏损。单个投资组合的投资管理风险准备金余额达到投资组合基金财产净值的10%时可不再提取。</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8.3  投资管理合同（投资管理补充条款）终止时，如所管理投资组合基金财产净值低于当期委托投资资产的，投资管理人应当用风险准备金弥补该时点的当期委托投资资产亏损，直至该投资组合风险准备金使用完毕；如所管理投资组合的企业年金基金当期委托投资资产没有发生投资亏损或者风险准备金弥补后有剩余的，风险准备金划归投资管理人。受托人在投资管理合同（投资管理补充条款）期限结束后的一个季度内，将风险准备金划归投资管理人。</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8.4  投资管理合同（投资管理补充条款）到期顺延或者到期续签的，按照第8.3款的约定将风险准备金划归投资管理人。</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8.5  投资管理风险准备金由投资管理人进行管理，可以投资于银行存款、国债等高流动性、低风险金融产品。风险准备金投资产生的收益，应当纳入投资管理风险准备金管理。</w:t>
      </w:r>
    </w:p>
    <w:p>
      <w:pPr>
        <w:pStyle w:val="3"/>
        <w:jc w:val="center"/>
        <w:rPr>
          <w:rFonts w:hint="eastAsia" w:ascii="黑体" w:hAnsi="黑体" w:eastAsia="黑体"/>
          <w:b w:val="0"/>
          <w:bCs w:val="0"/>
          <w:color w:val="000000" w:themeColor="text1"/>
          <w:sz w:val="28"/>
          <w:szCs w:val="28"/>
          <w:highlight w:val="none"/>
          <w14:textFill>
            <w14:solidFill>
              <w14:schemeClr w14:val="tx1"/>
            </w14:solidFill>
          </w14:textFill>
        </w:rPr>
      </w:pPr>
      <w:bookmarkStart w:id="54" w:name="_Toc196484080"/>
      <w:bookmarkStart w:id="55" w:name="_Toc196398442"/>
      <w:bookmarkStart w:id="56" w:name="_Toc178058133"/>
      <w:bookmarkStart w:id="57" w:name="_Toc311040992"/>
      <w:bookmarkStart w:id="58" w:name="_Toc30517"/>
      <w:r>
        <w:rPr>
          <w:rFonts w:hint="eastAsia" w:ascii="黑体" w:hAnsi="黑体" w:eastAsia="黑体"/>
          <w:b w:val="0"/>
          <w:bCs w:val="0"/>
          <w:color w:val="000000" w:themeColor="text1"/>
          <w:sz w:val="28"/>
          <w:szCs w:val="28"/>
          <w:highlight w:val="none"/>
          <w14:textFill>
            <w14:solidFill>
              <w14:schemeClr w14:val="tx1"/>
            </w14:solidFill>
          </w14:textFill>
        </w:rPr>
        <w:t>第九章  企业年金</w:t>
      </w:r>
      <w:bookmarkEnd w:id="54"/>
      <w:bookmarkEnd w:id="55"/>
      <w:bookmarkEnd w:id="56"/>
      <w:r>
        <w:rPr>
          <w:rFonts w:hint="eastAsia" w:ascii="黑体" w:hAnsi="黑体" w:eastAsia="黑体"/>
          <w:b w:val="0"/>
          <w:bCs w:val="0"/>
          <w:color w:val="000000" w:themeColor="text1"/>
          <w:sz w:val="28"/>
          <w:szCs w:val="28"/>
          <w:highlight w:val="none"/>
          <w14:textFill>
            <w14:solidFill>
              <w14:schemeClr w14:val="tx1"/>
            </w14:solidFill>
          </w14:textFill>
        </w:rPr>
        <w:t>基金财产</w:t>
      </w:r>
      <w:bookmarkEnd w:id="57"/>
      <w:r>
        <w:rPr>
          <w:rFonts w:hint="eastAsia" w:ascii="黑体" w:hAnsi="黑体" w:eastAsia="黑体"/>
          <w:b w:val="0"/>
          <w:bCs w:val="0"/>
          <w:color w:val="000000" w:themeColor="text1"/>
          <w:sz w:val="28"/>
          <w:szCs w:val="28"/>
          <w:highlight w:val="none"/>
          <w14:textFill>
            <w14:solidFill>
              <w14:schemeClr w14:val="tx1"/>
            </w14:solidFill>
          </w14:textFill>
        </w:rPr>
        <w:t>的核算</w:t>
      </w:r>
      <w:bookmarkEnd w:id="58"/>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9.1  企业年金基金财产。</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9.1.1  企业年金基金资产。</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指企业年金缴费及运营形成的各项资产，包括：货币资金及其应计利息、应收证券清算款、应收股利、买入返售证券交易资产、其他应收款、债券投资及其应计利息、基金投资、股票投资、养老金产品投资、其他投资、其他资产等。</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9.1.2  企业年金基金负债。</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指</w:t>
      </w:r>
      <w:r>
        <w:rPr>
          <w:rFonts w:ascii="仿宋_GB2312" w:eastAsia="仿宋_GB2312"/>
          <w:color w:val="000000" w:themeColor="text1"/>
          <w:sz w:val="28"/>
          <w:szCs w:val="28"/>
          <w:highlight w:val="none"/>
          <w14:textFill>
            <w14:solidFill>
              <w14:schemeClr w14:val="tx1"/>
            </w14:solidFill>
          </w14:textFill>
        </w:rPr>
        <w:t>企业年金基金运营形成的各项负债</w:t>
      </w:r>
      <w:r>
        <w:rPr>
          <w:rFonts w:hint="eastAsia" w:ascii="仿宋_GB2312" w:eastAsia="仿宋_GB2312"/>
          <w:color w:val="000000" w:themeColor="text1"/>
          <w:sz w:val="28"/>
          <w:szCs w:val="28"/>
          <w:highlight w:val="none"/>
          <w14:textFill>
            <w14:solidFill>
              <w14:schemeClr w14:val="tx1"/>
            </w14:solidFill>
          </w14:textFill>
        </w:rPr>
        <w:t>，</w:t>
      </w:r>
      <w:r>
        <w:rPr>
          <w:rFonts w:ascii="仿宋_GB2312" w:eastAsia="仿宋_GB2312"/>
          <w:color w:val="000000" w:themeColor="text1"/>
          <w:sz w:val="28"/>
          <w:szCs w:val="28"/>
          <w:highlight w:val="none"/>
          <w14:textFill>
            <w14:solidFill>
              <w14:schemeClr w14:val="tx1"/>
            </w14:solidFill>
          </w14:textFill>
        </w:rPr>
        <w:t>包括</w:t>
      </w:r>
      <w:r>
        <w:rPr>
          <w:rFonts w:hint="eastAsia" w:ascii="仿宋_GB2312" w:eastAsia="仿宋_GB2312"/>
          <w:color w:val="000000" w:themeColor="text1"/>
          <w:sz w:val="28"/>
          <w:szCs w:val="28"/>
          <w:highlight w:val="none"/>
          <w14:textFill>
            <w14:solidFill>
              <w14:schemeClr w14:val="tx1"/>
            </w14:solidFill>
          </w14:textFill>
        </w:rPr>
        <w:t>：</w:t>
      </w:r>
      <w:r>
        <w:rPr>
          <w:rFonts w:ascii="仿宋_GB2312" w:eastAsia="仿宋_GB2312"/>
          <w:color w:val="000000" w:themeColor="text1"/>
          <w:sz w:val="28"/>
          <w:szCs w:val="28"/>
          <w:highlight w:val="none"/>
          <w14:textFill>
            <w14:solidFill>
              <w14:schemeClr w14:val="tx1"/>
            </w14:solidFill>
          </w14:textFill>
        </w:rPr>
        <w:t>应付证券清算款、应付受益人待遇、应付受托人管理费、应付托管人管理费、应付投资管理人管理费、应交税金、卖出回购证券款、应付利息、应付佣金和其他应付款等。</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9.1.3  企业年金基金财产净值。</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指企业年金基金资产减去负债后的余额。</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9.1.4  企业年金基金财产的收益分配。</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企业年金基金投资净收益，全部归属于企业年金基金。账户管理人采用份额计量方式进行账户管理，依据企业年金基金财产净值计算基金份额净值，按日或按周足额记入企业账户和个人账户。</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bookmarkStart w:id="59" w:name="_Toc196484082"/>
      <w:r>
        <w:rPr>
          <w:rFonts w:hint="eastAsia" w:ascii="仿宋_GB2312" w:eastAsia="仿宋_GB2312"/>
          <w:color w:val="000000" w:themeColor="text1"/>
          <w:sz w:val="28"/>
          <w:szCs w:val="28"/>
          <w:highlight w:val="none"/>
          <w14:textFill>
            <w14:solidFill>
              <w14:schemeClr w14:val="tx1"/>
            </w14:solidFill>
          </w14:textFill>
        </w:rPr>
        <w:t>9.2  企业年金基金会计。</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9.2.1  会计年度为公历每年1月1日至12月31日。</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9.2.2  企业年金基金核算以人民币为记账本位币，以人民币元为记账单位。</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9.2.3  会计制度按照《</w:t>
      </w:r>
      <w:r>
        <w:rPr>
          <w:rFonts w:ascii="仿宋_GB2312" w:eastAsia="仿宋_GB2312"/>
          <w:color w:val="000000" w:themeColor="text1"/>
          <w:sz w:val="28"/>
          <w:szCs w:val="28"/>
          <w:highlight w:val="none"/>
          <w14:textFill>
            <w14:solidFill>
              <w14:schemeClr w14:val="tx1"/>
            </w14:solidFill>
          </w14:textFill>
        </w:rPr>
        <w:t>企业会计准则第10号</w:t>
      </w:r>
      <w:r>
        <w:rPr>
          <w:rFonts w:hint="eastAsia" w:ascii="仿宋_GB2312" w:eastAsia="仿宋_GB2312"/>
          <w:color w:val="000000" w:themeColor="text1"/>
          <w:sz w:val="28"/>
          <w:szCs w:val="28"/>
          <w:highlight w:val="none"/>
          <w14:textFill>
            <w14:solidFill>
              <w14:schemeClr w14:val="tx1"/>
            </w14:solidFill>
          </w14:textFill>
        </w:rPr>
        <w:t>-</w:t>
      </w:r>
      <w:r>
        <w:rPr>
          <w:rFonts w:ascii="仿宋_GB2312" w:eastAsia="仿宋_GB2312"/>
          <w:color w:val="000000" w:themeColor="text1"/>
          <w:sz w:val="28"/>
          <w:szCs w:val="28"/>
          <w:highlight w:val="none"/>
          <w14:textFill>
            <w14:solidFill>
              <w14:schemeClr w14:val="tx1"/>
            </w14:solidFill>
          </w14:textFill>
        </w:rPr>
        <w:t>企业年金基金》</w:t>
      </w:r>
      <w:r>
        <w:rPr>
          <w:rFonts w:hint="eastAsia" w:ascii="仿宋_GB2312" w:eastAsia="仿宋_GB2312"/>
          <w:color w:val="000000" w:themeColor="text1"/>
          <w:sz w:val="28"/>
          <w:szCs w:val="28"/>
          <w:highlight w:val="none"/>
          <w14:textFill>
            <w14:solidFill>
              <w14:schemeClr w14:val="tx1"/>
            </w14:solidFill>
          </w14:textFill>
        </w:rPr>
        <w:t>和《企业会计准则第22号-金融工具确认和计量》及修订后的相关会计准则，并参照《证券投资基金会计核算业务指引》、《关于扩大投资范围后新增投资产品估值核算的指导意见（试行）》等规定执行。</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9.2.4  企业年金基金独立建账、独立核算。</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9.2.5  受托人委托托管人、投资管理人分别进行企业年金基金会计核算，并由托管人按照有关规定编制企业年金基金会计报表。</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9.3  企业年金基金财产估值。</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9.3.1  估值目的。</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 xml:space="preserve">客观、准确地反映企业年金基金财产的价值。 </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9.3.2  估值日。</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估值日为交易日。</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9.3.3  估值对象。</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企业年金基金在法律法规规定的投资范围内运营取得的</w:t>
      </w:r>
      <w:r>
        <w:rPr>
          <w:rFonts w:hint="eastAsia" w:ascii="仿宋_GB2312" w:eastAsia="仿宋_GB2312"/>
          <w:color w:val="000000" w:themeColor="text1"/>
          <w:sz w:val="28"/>
          <w:szCs w:val="28"/>
          <w:highlight w:val="none"/>
          <w:shd w:val="clear" w:color="auto" w:fill="FFFFFF"/>
          <w14:textFill>
            <w14:solidFill>
              <w14:schemeClr w14:val="tx1"/>
            </w14:solidFill>
          </w14:textFill>
        </w:rPr>
        <w:t>银行存款，标准化债权类资产，债券回购，信托产品，债权投资计划，公开募集证券投资基金，股票，股指期货，国债期货，养老金产品等金融产品</w:t>
      </w:r>
      <w:r>
        <w:rPr>
          <w:rFonts w:hint="eastAsia" w:ascii="仿宋_GB2312" w:eastAsia="仿宋_GB2312"/>
          <w:color w:val="000000" w:themeColor="text1"/>
          <w:sz w:val="28"/>
          <w:szCs w:val="28"/>
          <w:highlight w:val="none"/>
          <w14:textFill>
            <w14:solidFill>
              <w14:schemeClr w14:val="tx1"/>
            </w14:solidFill>
          </w14:textFill>
        </w:rPr>
        <w:t>。</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 xml:space="preserve">9.3.4  估值方法。 </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企业年金基金财产的估值适用《</w:t>
      </w:r>
      <w:r>
        <w:rPr>
          <w:rFonts w:ascii="仿宋_GB2312" w:eastAsia="仿宋_GB2312"/>
          <w:color w:val="000000" w:themeColor="text1"/>
          <w:sz w:val="28"/>
          <w:szCs w:val="28"/>
          <w:highlight w:val="none"/>
          <w14:textFill>
            <w14:solidFill>
              <w14:schemeClr w14:val="tx1"/>
            </w14:solidFill>
          </w14:textFill>
        </w:rPr>
        <w:t>企业会计准则第10号</w:t>
      </w:r>
      <w:r>
        <w:rPr>
          <w:rFonts w:hint="eastAsia" w:ascii="仿宋_GB2312" w:eastAsia="仿宋_GB2312"/>
          <w:color w:val="000000" w:themeColor="text1"/>
          <w:sz w:val="28"/>
          <w:szCs w:val="28"/>
          <w:highlight w:val="none"/>
          <w14:textFill>
            <w14:solidFill>
              <w14:schemeClr w14:val="tx1"/>
            </w14:solidFill>
          </w14:textFill>
        </w:rPr>
        <w:t>-</w:t>
      </w:r>
      <w:r>
        <w:rPr>
          <w:rFonts w:ascii="仿宋_GB2312" w:eastAsia="仿宋_GB2312"/>
          <w:color w:val="000000" w:themeColor="text1"/>
          <w:sz w:val="28"/>
          <w:szCs w:val="28"/>
          <w:highlight w:val="none"/>
          <w14:textFill>
            <w14:solidFill>
              <w14:schemeClr w14:val="tx1"/>
            </w14:solidFill>
          </w14:textFill>
        </w:rPr>
        <w:t>企业年金基金》</w:t>
      </w:r>
      <w:r>
        <w:rPr>
          <w:rFonts w:hint="eastAsia" w:ascii="仿宋_GB2312" w:eastAsia="仿宋_GB2312"/>
          <w:color w:val="000000" w:themeColor="text1"/>
          <w:sz w:val="28"/>
          <w:szCs w:val="28"/>
          <w:highlight w:val="none"/>
          <w14:textFill>
            <w14:solidFill>
              <w14:schemeClr w14:val="tx1"/>
            </w14:solidFill>
          </w14:textFill>
        </w:rPr>
        <w:t>、《企业会计准则第22号-金融工具确认和计量》及修订后的相关会计准则，并参照《证券投资基金会计核算业务指引》、《关于扩大投资范围后新增投资产品估值核算的指导意见（试行）》等规定执行。</w:t>
      </w:r>
    </w:p>
    <w:p>
      <w:pPr>
        <w:pStyle w:val="3"/>
        <w:jc w:val="center"/>
        <w:rPr>
          <w:rFonts w:hint="eastAsia" w:ascii="黑体" w:hAnsi="黑体" w:eastAsia="黑体"/>
          <w:b w:val="0"/>
          <w:bCs w:val="0"/>
          <w:color w:val="000000" w:themeColor="text1"/>
          <w:sz w:val="28"/>
          <w:szCs w:val="28"/>
          <w:highlight w:val="none"/>
          <w14:textFill>
            <w14:solidFill>
              <w14:schemeClr w14:val="tx1"/>
            </w14:solidFill>
          </w14:textFill>
        </w:rPr>
      </w:pPr>
      <w:bookmarkStart w:id="60" w:name="_Toc31937"/>
      <w:bookmarkStart w:id="61" w:name="_Toc311040995"/>
      <w:r>
        <w:rPr>
          <w:rFonts w:hint="eastAsia" w:ascii="黑体" w:hAnsi="黑体" w:eastAsia="黑体"/>
          <w:b w:val="0"/>
          <w:bCs w:val="0"/>
          <w:color w:val="000000" w:themeColor="text1"/>
          <w:sz w:val="28"/>
          <w:szCs w:val="28"/>
          <w:highlight w:val="none"/>
          <w14:textFill>
            <w14:solidFill>
              <w14:schemeClr w14:val="tx1"/>
            </w14:solidFill>
          </w14:textFill>
        </w:rPr>
        <w:t>第十章  企业年金基金的费用</w:t>
      </w:r>
      <w:bookmarkEnd w:id="59"/>
      <w:bookmarkEnd w:id="60"/>
      <w:bookmarkEnd w:id="61"/>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10.1  企业年金基金费用包括受托管理费、托管费、账户管理费、投资管理费、交易费用、资金划拨费用、开户费用、审计费、清算费用以及法律法规规定的其他费用。</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10.2  企业年金基金费用的计提方法、计提标准和支付方式</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10.2.1  受托管理费。</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10.2.1.1  受托管理费按受托管理的企业年金基金财产净值的</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%年费率计提。</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10.2.1.2  受托管理费计算方法：</w:t>
      </w:r>
    </w:p>
    <w:p>
      <w:pPr>
        <w:spacing w:line="360" w:lineRule="auto"/>
        <w:ind w:firstLine="1960" w:firstLineChars="700"/>
        <w:rPr>
          <w:rFonts w:eastAsia="仿宋_GB2312"/>
          <w:color w:val="000000" w:themeColor="text1"/>
          <w:sz w:val="28"/>
          <w:szCs w:val="28"/>
          <w:highlight w:val="none"/>
          <w14:textFill>
            <w14:solidFill>
              <w14:schemeClr w14:val="tx1"/>
            </w14:solidFill>
          </w14:textFill>
        </w:rPr>
      </w:pPr>
      <w:r>
        <w:rPr>
          <w:rFonts w:eastAsia="仿宋_GB2312"/>
          <w:color w:val="000000" w:themeColor="text1"/>
          <w:sz w:val="28"/>
          <w:szCs w:val="28"/>
          <w:highlight w:val="none"/>
          <w14:textFill>
            <w14:solidFill>
              <w14:schemeClr w14:val="tx1"/>
            </w14:solidFill>
          </w14:textFill>
        </w:rPr>
        <w:t>T= E</w:t>
      </w:r>
      <w:r>
        <w:rPr>
          <w:rFonts w:hint="eastAsia" w:eastAsia="仿宋_GB2312"/>
          <w:color w:val="000000" w:themeColor="text1"/>
          <w:sz w:val="28"/>
          <w:szCs w:val="28"/>
          <w:highlight w:val="none"/>
          <w:vertAlign w:val="subscript"/>
          <w14:textFill>
            <w14:solidFill>
              <w14:schemeClr w14:val="tx1"/>
            </w14:solidFill>
          </w14:textFill>
        </w:rPr>
        <w:t>1</w:t>
      </w:r>
      <w:r>
        <w:rPr>
          <w:rFonts w:hint="eastAsia" w:ascii="仿宋_GB2312" w:eastAsia="仿宋_GB2312"/>
          <w:color w:val="000000" w:themeColor="text1"/>
          <w:sz w:val="28"/>
          <w:szCs w:val="28"/>
          <w:highlight w:val="none"/>
          <w14:textFill>
            <w14:solidFill>
              <w14:schemeClr w14:val="tx1"/>
            </w14:solidFill>
          </w14:textFill>
        </w:rPr>
        <w:t>×</w:t>
      </w:r>
      <w:r>
        <w:rPr>
          <w:rFonts w:eastAsia="仿宋_GB2312"/>
          <w:color w:val="000000" w:themeColor="text1"/>
          <w:sz w:val="28"/>
          <w:szCs w:val="28"/>
          <w:highlight w:val="none"/>
          <w14:textFill>
            <w14:solidFill>
              <w14:schemeClr w14:val="tx1"/>
            </w14:solidFill>
          </w14:textFill>
        </w:rPr>
        <w:t>R/</w:t>
      </w:r>
      <w:r>
        <w:rPr>
          <w:rFonts w:hint="eastAsia" w:eastAsia="仿宋_GB2312"/>
          <w:color w:val="000000" w:themeColor="text1"/>
          <w:sz w:val="28"/>
          <w:szCs w:val="28"/>
          <w:highlight w:val="none"/>
          <w14:textFill>
            <w14:solidFill>
              <w14:schemeClr w14:val="tx1"/>
            </w14:solidFill>
          </w14:textFill>
        </w:rPr>
        <w:t>当年实际天数</w:t>
      </w:r>
    </w:p>
    <w:p>
      <w:pPr>
        <w:spacing w:line="360" w:lineRule="auto"/>
        <w:ind w:firstLine="1960" w:firstLineChars="700"/>
        <w:rPr>
          <w:rFonts w:eastAsia="仿宋_GB2312"/>
          <w:color w:val="000000" w:themeColor="text1"/>
          <w:sz w:val="28"/>
          <w:szCs w:val="28"/>
          <w:highlight w:val="none"/>
          <w14:textFill>
            <w14:solidFill>
              <w14:schemeClr w14:val="tx1"/>
            </w14:solidFill>
          </w14:textFill>
        </w:rPr>
      </w:pPr>
      <w:r>
        <w:rPr>
          <w:rFonts w:eastAsia="仿宋_GB2312"/>
          <w:color w:val="000000" w:themeColor="text1"/>
          <w:sz w:val="28"/>
          <w:szCs w:val="28"/>
          <w:highlight w:val="none"/>
          <w14:textFill>
            <w14:solidFill>
              <w14:schemeClr w14:val="tx1"/>
            </w14:solidFill>
          </w14:textFill>
        </w:rPr>
        <w:t>T：每日应计提的受托管理费；</w:t>
      </w:r>
    </w:p>
    <w:p>
      <w:pPr>
        <w:spacing w:line="360" w:lineRule="auto"/>
        <w:ind w:firstLine="1960" w:firstLineChars="700"/>
        <w:rPr>
          <w:rFonts w:eastAsia="仿宋_GB2312"/>
          <w:color w:val="000000" w:themeColor="text1"/>
          <w:sz w:val="28"/>
          <w:szCs w:val="28"/>
          <w:highlight w:val="none"/>
          <w14:textFill>
            <w14:solidFill>
              <w14:schemeClr w14:val="tx1"/>
            </w14:solidFill>
          </w14:textFill>
        </w:rPr>
      </w:pPr>
      <w:r>
        <w:rPr>
          <w:rFonts w:eastAsia="仿宋_GB2312"/>
          <w:color w:val="000000" w:themeColor="text1"/>
          <w:sz w:val="28"/>
          <w:szCs w:val="28"/>
          <w:highlight w:val="none"/>
          <w14:textFill>
            <w14:solidFill>
              <w14:schemeClr w14:val="tx1"/>
            </w14:solidFill>
          </w14:textFill>
        </w:rPr>
        <w:t>E</w:t>
      </w:r>
      <w:r>
        <w:rPr>
          <w:rFonts w:hint="eastAsia" w:eastAsia="仿宋_GB2312"/>
          <w:color w:val="000000" w:themeColor="text1"/>
          <w:sz w:val="28"/>
          <w:szCs w:val="28"/>
          <w:highlight w:val="none"/>
          <w:vertAlign w:val="subscript"/>
          <w14:textFill>
            <w14:solidFill>
              <w14:schemeClr w14:val="tx1"/>
            </w14:solidFill>
          </w14:textFill>
        </w:rPr>
        <w:t>1</w:t>
      </w:r>
      <w:r>
        <w:rPr>
          <w:rFonts w:eastAsia="仿宋_GB2312"/>
          <w:color w:val="000000" w:themeColor="text1"/>
          <w:sz w:val="28"/>
          <w:szCs w:val="28"/>
          <w:highlight w:val="none"/>
          <w14:textFill>
            <w14:solidFill>
              <w14:schemeClr w14:val="tx1"/>
            </w14:solidFill>
          </w14:textFill>
        </w:rPr>
        <w:t>：前一日</w:t>
      </w:r>
      <w:r>
        <w:rPr>
          <w:rFonts w:hint="eastAsia" w:eastAsia="仿宋_GB2312"/>
          <w:color w:val="000000" w:themeColor="text1"/>
          <w:sz w:val="28"/>
          <w:szCs w:val="28"/>
          <w:highlight w:val="none"/>
          <w14:textFill>
            <w14:solidFill>
              <w14:schemeClr w14:val="tx1"/>
            </w14:solidFill>
          </w14:textFill>
        </w:rPr>
        <w:t>受托管理的</w:t>
      </w:r>
      <w:r>
        <w:rPr>
          <w:rFonts w:eastAsia="仿宋_GB2312"/>
          <w:color w:val="000000" w:themeColor="text1"/>
          <w:sz w:val="28"/>
          <w:szCs w:val="28"/>
          <w:highlight w:val="none"/>
          <w14:textFill>
            <w14:solidFill>
              <w14:schemeClr w14:val="tx1"/>
            </w14:solidFill>
          </w14:textFill>
        </w:rPr>
        <w:t>企业年金基金财产净值</w:t>
      </w:r>
      <w:r>
        <w:rPr>
          <w:rFonts w:hint="eastAsia" w:eastAsia="仿宋_GB2312"/>
          <w:color w:val="000000" w:themeColor="text1"/>
          <w:sz w:val="28"/>
          <w:szCs w:val="28"/>
          <w:highlight w:val="none"/>
          <w14:textFill>
            <w14:solidFill>
              <w14:schemeClr w14:val="tx1"/>
            </w14:solidFill>
          </w14:textFill>
        </w:rPr>
        <w:t>（首日不计提）</w:t>
      </w:r>
      <w:r>
        <w:rPr>
          <w:rFonts w:eastAsia="仿宋_GB2312"/>
          <w:color w:val="000000" w:themeColor="text1"/>
          <w:sz w:val="28"/>
          <w:szCs w:val="28"/>
          <w:highlight w:val="none"/>
          <w14:textFill>
            <w14:solidFill>
              <w14:schemeClr w14:val="tx1"/>
            </w14:solidFill>
          </w14:textFill>
        </w:rPr>
        <w:t>；</w:t>
      </w:r>
    </w:p>
    <w:p>
      <w:pPr>
        <w:spacing w:line="360" w:lineRule="auto"/>
        <w:ind w:firstLine="1960" w:firstLineChars="700"/>
        <w:rPr>
          <w:rFonts w:eastAsia="仿宋_GB2312"/>
          <w:color w:val="000000" w:themeColor="text1"/>
          <w:sz w:val="28"/>
          <w:szCs w:val="28"/>
          <w:highlight w:val="none"/>
          <w14:textFill>
            <w14:solidFill>
              <w14:schemeClr w14:val="tx1"/>
            </w14:solidFill>
          </w14:textFill>
        </w:rPr>
      </w:pPr>
      <w:r>
        <w:rPr>
          <w:rFonts w:eastAsia="仿宋_GB2312"/>
          <w:color w:val="000000" w:themeColor="text1"/>
          <w:sz w:val="28"/>
          <w:szCs w:val="28"/>
          <w:highlight w:val="none"/>
          <w14:textFill>
            <w14:solidFill>
              <w14:schemeClr w14:val="tx1"/>
            </w14:solidFill>
          </w14:textFill>
        </w:rPr>
        <w:t>R：本合同</w:t>
      </w:r>
      <w:r>
        <w:rPr>
          <w:rFonts w:hint="eastAsia" w:eastAsia="仿宋_GB2312"/>
          <w:color w:val="000000" w:themeColor="text1"/>
          <w:sz w:val="28"/>
          <w:szCs w:val="28"/>
          <w:highlight w:val="none"/>
          <w14:textFill>
            <w14:solidFill>
              <w14:schemeClr w14:val="tx1"/>
            </w14:solidFill>
          </w14:textFill>
        </w:rPr>
        <w:t>约</w:t>
      </w:r>
      <w:r>
        <w:rPr>
          <w:rFonts w:eastAsia="仿宋_GB2312"/>
          <w:color w:val="000000" w:themeColor="text1"/>
          <w:sz w:val="28"/>
          <w:szCs w:val="28"/>
          <w:highlight w:val="none"/>
          <w14:textFill>
            <w14:solidFill>
              <w14:schemeClr w14:val="tx1"/>
            </w14:solidFill>
          </w14:textFill>
        </w:rPr>
        <w:t>定的受托管理费年费率</w:t>
      </w:r>
      <w:r>
        <w:rPr>
          <w:rFonts w:hint="eastAsia" w:eastAsia="仿宋_GB2312"/>
          <w:color w:val="000000" w:themeColor="text1"/>
          <w:sz w:val="28"/>
          <w:szCs w:val="28"/>
          <w:highlight w:val="none"/>
          <w14:textFill>
            <w14:solidFill>
              <w14:schemeClr w14:val="tx1"/>
            </w14:solidFill>
          </w14:textFill>
        </w:rPr>
        <w:t>。</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10.2.1.3  受托管理费每日计提，逐日累计，按季支付。</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10.2.2  账户管理费。</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10.2.2.1  委托人在职职工的个人账户的账户管理费按照每人的个人账户每月</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元，由委托人支付给账户管理人。每期企业年金基金账户管理费＝∑月个人账户数×账户管理费收费标准，其中“月个人账户数</w:t>
      </w:r>
      <w:r>
        <w:rPr>
          <w:rFonts w:ascii="仿宋_GB2312" w:eastAsia="仿宋_GB2312"/>
          <w:color w:val="000000" w:themeColor="text1"/>
          <w:sz w:val="28"/>
          <w:szCs w:val="28"/>
          <w:highlight w:val="none"/>
          <w14:textFill>
            <w14:solidFill>
              <w14:schemeClr w14:val="tx1"/>
            </w14:solidFill>
          </w14:textFill>
        </w:rPr>
        <w:t>”</w:t>
      </w:r>
      <w:r>
        <w:rPr>
          <w:rFonts w:hint="eastAsia" w:ascii="仿宋_GB2312" w:eastAsia="仿宋_GB2312"/>
          <w:color w:val="000000" w:themeColor="text1"/>
          <w:sz w:val="28"/>
          <w:szCs w:val="28"/>
          <w:highlight w:val="none"/>
          <w14:textFill>
            <w14:solidFill>
              <w14:schemeClr w14:val="tx1"/>
            </w14:solidFill>
          </w14:textFill>
        </w:rPr>
        <w:t>以月末个人账户户数为准，自个人账户生效当月开始计算并收取账户管理费。</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10.2.2.2  委托人退休职工的退休账户的账户管理费按照每人的个人账户每月</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元，应当按下列</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方式支付：</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10.2.2.2.1  由委托人支付给账户管理人。</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10.2.2.2.2  由职工本人承担，从其个人账户中扣除。</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10.2.2.3  委托人离职职工的保留账户的账户管理费按照每人的个人账户每月</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元，应当按下列</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方式支付：</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10.2.2.3.1  由委托人支付给账户管理人。</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10.2.2.3.2  由职工本人承担，从其个人账户中扣除。</w:t>
      </w:r>
    </w:p>
    <w:p>
      <w:pPr>
        <w:spacing w:line="360" w:lineRule="auto"/>
        <w:ind w:firstLine="560" w:firstLineChars="200"/>
        <w:rPr>
          <w:rFonts w:hint="eastAsia"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10.2.2.4  委托人按</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（季/年）支付账户管理费。账户管理人将账户管理费通知单发送给</w:t>
      </w:r>
      <w:r>
        <w:rPr>
          <w:rFonts w:hint="eastAsia" w:ascii="仿宋_GB2312" w:eastAsia="仿宋_GB2312"/>
          <w:color w:val="000000" w:themeColor="text1"/>
          <w:sz w:val="28"/>
          <w:szCs w:val="28"/>
          <w:highlight w:val="none"/>
          <w14:textFill>
            <w14:solidFill>
              <w14:schemeClr w14:val="tx1"/>
            </w14:solidFill>
          </w14:textFill>
        </w:rPr>
        <w:t>委托人</w:t>
      </w:r>
      <w:r>
        <w:rPr>
          <w:rFonts w:hint="eastAsia" w:ascii="仿宋_GB2312" w:hAnsi="宋体" w:eastAsia="仿宋_GB2312"/>
          <w:color w:val="000000" w:themeColor="text1"/>
          <w:sz w:val="28"/>
          <w:szCs w:val="28"/>
          <w:highlight w:val="none"/>
          <w14:textFill>
            <w14:solidFill>
              <w14:schemeClr w14:val="tx1"/>
            </w14:solidFill>
          </w14:textFill>
        </w:rPr>
        <w:t>，</w:t>
      </w:r>
      <w:r>
        <w:rPr>
          <w:rFonts w:hint="eastAsia" w:ascii="仿宋_GB2312" w:eastAsia="仿宋_GB2312"/>
          <w:color w:val="000000" w:themeColor="text1"/>
          <w:sz w:val="28"/>
          <w:szCs w:val="28"/>
          <w:highlight w:val="none"/>
          <w14:textFill>
            <w14:solidFill>
              <w14:schemeClr w14:val="tx1"/>
            </w14:solidFill>
          </w14:textFill>
        </w:rPr>
        <w:t>委托人</w:t>
      </w:r>
      <w:r>
        <w:rPr>
          <w:rFonts w:hint="eastAsia" w:ascii="仿宋_GB2312" w:hAnsi="宋体" w:eastAsia="仿宋_GB2312"/>
          <w:color w:val="000000" w:themeColor="text1"/>
          <w:sz w:val="28"/>
          <w:szCs w:val="28"/>
          <w:highlight w:val="none"/>
          <w14:textFill>
            <w14:solidFill>
              <w14:schemeClr w14:val="tx1"/>
            </w14:solidFill>
          </w14:textFill>
        </w:rPr>
        <w:t>应当在收到账户管理费通知单后</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个工作日内，将账户管理费足额付至账户管理人指定的银行账户。</w:t>
      </w:r>
    </w:p>
    <w:p>
      <w:pPr>
        <w:spacing w:line="360" w:lineRule="auto"/>
        <w:ind w:firstLine="560" w:firstLineChars="200"/>
        <w:rPr>
          <w:rFonts w:hint="eastAsia"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10.2.2.5  职工本人承担的账户管理费，从其个人账户中扣除，扣除的具体方式可在操作备忘录等补充协议中约定。</w:t>
      </w:r>
    </w:p>
    <w:p>
      <w:pPr>
        <w:spacing w:line="360" w:lineRule="auto"/>
        <w:ind w:firstLine="560" w:firstLineChars="200"/>
        <w:rPr>
          <w:rFonts w:hint="eastAsia"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10.2.2.6  委托人违反本合同约定，逾期30日仍未足额支付账户管理费，账户管理人有权停止向委托人及受益人提供企业年金计划信息披露及信息查询服务。</w:t>
      </w:r>
      <w:r>
        <w:rPr>
          <w:rFonts w:ascii="仿宋_GB2312" w:hAnsi="宋体" w:eastAsia="仿宋_GB2312"/>
          <w:color w:val="000000" w:themeColor="text1"/>
          <w:sz w:val="28"/>
          <w:szCs w:val="28"/>
          <w:highlight w:val="none"/>
          <w14:textFill>
            <w14:solidFill>
              <w14:schemeClr w14:val="tx1"/>
            </w14:solidFill>
          </w14:textFill>
        </w:rPr>
        <w:t>逾期时间</w:t>
      </w:r>
      <w:r>
        <w:rPr>
          <w:rFonts w:hint="eastAsia" w:ascii="仿宋_GB2312" w:hAnsi="宋体" w:eastAsia="仿宋_GB2312"/>
          <w:color w:val="000000" w:themeColor="text1"/>
          <w:sz w:val="28"/>
          <w:szCs w:val="28"/>
          <w:highlight w:val="none"/>
          <w14:textFill>
            <w14:solidFill>
              <w14:schemeClr w14:val="tx1"/>
            </w14:solidFill>
          </w14:textFill>
        </w:rPr>
        <w:t>自账户管理费</w:t>
      </w:r>
      <w:r>
        <w:rPr>
          <w:rFonts w:ascii="仿宋_GB2312" w:hAnsi="宋体" w:eastAsia="仿宋_GB2312"/>
          <w:color w:val="000000" w:themeColor="text1"/>
          <w:sz w:val="28"/>
          <w:szCs w:val="28"/>
          <w:highlight w:val="none"/>
          <w14:textFill>
            <w14:solidFill>
              <w14:schemeClr w14:val="tx1"/>
            </w14:solidFill>
          </w14:textFill>
        </w:rPr>
        <w:t>最后</w:t>
      </w:r>
      <w:r>
        <w:rPr>
          <w:rFonts w:hint="eastAsia" w:ascii="仿宋_GB2312" w:hAnsi="宋体" w:eastAsia="仿宋_GB2312"/>
          <w:color w:val="000000" w:themeColor="text1"/>
          <w:sz w:val="28"/>
          <w:szCs w:val="28"/>
          <w:highlight w:val="none"/>
          <w14:textFill>
            <w14:solidFill>
              <w14:schemeClr w14:val="tx1"/>
            </w14:solidFill>
          </w14:textFill>
        </w:rPr>
        <w:t>支付</w:t>
      </w:r>
      <w:r>
        <w:rPr>
          <w:rFonts w:ascii="仿宋_GB2312" w:hAnsi="宋体" w:eastAsia="仿宋_GB2312"/>
          <w:color w:val="000000" w:themeColor="text1"/>
          <w:sz w:val="28"/>
          <w:szCs w:val="28"/>
          <w:highlight w:val="none"/>
          <w14:textFill>
            <w14:solidFill>
              <w14:schemeClr w14:val="tx1"/>
            </w14:solidFill>
          </w14:textFill>
        </w:rPr>
        <w:t>时限届满次日起算。</w:t>
      </w:r>
    </w:p>
    <w:p>
      <w:pPr>
        <w:spacing w:line="360" w:lineRule="auto"/>
        <w:ind w:firstLine="560" w:firstLineChars="200"/>
        <w:rPr>
          <w:rFonts w:hint="eastAsia" w:ascii="仿宋_GB2312" w:hAnsi="宋体"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w:t>
      </w:r>
      <w:r>
        <w:rPr>
          <w:rFonts w:hint="eastAsia" w:ascii="仿宋_GB2312" w:hAnsi="宋体" w:eastAsia="仿宋_GB2312"/>
          <w:color w:val="000000" w:themeColor="text1"/>
          <w:sz w:val="28"/>
          <w:szCs w:val="28"/>
          <w:highlight w:val="none"/>
          <w14:textFill>
            <w14:solidFill>
              <w14:schemeClr w14:val="tx1"/>
            </w14:solidFill>
          </w14:textFill>
        </w:rPr>
        <w:t>0.2.3  托管费。</w:t>
      </w:r>
    </w:p>
    <w:p>
      <w:pPr>
        <w:spacing w:line="360" w:lineRule="auto"/>
        <w:ind w:firstLine="560" w:firstLineChars="200"/>
        <w:rPr>
          <w:rFonts w:hint="eastAsia"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10.2.3.1  托管费按托管的企业年金基金财产净值的</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w:t>
      </w:r>
      <w:r>
        <w:rPr>
          <w:rFonts w:hint="eastAsia" w:ascii="仿宋_GB2312" w:hAnsi="宋体" w:eastAsia="仿宋_GB2312"/>
          <w:color w:val="000000" w:themeColor="text1"/>
          <w:sz w:val="28"/>
          <w:szCs w:val="28"/>
          <w:highlight w:val="none"/>
          <w14:textFill>
            <w14:solidFill>
              <w14:schemeClr w14:val="tx1"/>
            </w14:solidFill>
          </w14:textFill>
        </w:rPr>
        <w:t>年费率计提。</w:t>
      </w:r>
    </w:p>
    <w:p>
      <w:pPr>
        <w:spacing w:line="360" w:lineRule="auto"/>
        <w:ind w:firstLine="560" w:firstLineChars="200"/>
        <w:rPr>
          <w:rFonts w:hint="eastAsia"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10.2.3.2  托管费计算方式：</w:t>
      </w:r>
    </w:p>
    <w:p>
      <w:pPr>
        <w:spacing w:line="360" w:lineRule="auto"/>
        <w:ind w:firstLine="1960" w:firstLineChars="700"/>
        <w:rPr>
          <w:rFonts w:eastAsia="仿宋_GB2312"/>
          <w:color w:val="000000" w:themeColor="text1"/>
          <w:sz w:val="28"/>
          <w:szCs w:val="28"/>
          <w:highlight w:val="none"/>
          <w14:textFill>
            <w14:solidFill>
              <w14:schemeClr w14:val="tx1"/>
            </w14:solidFill>
          </w14:textFill>
        </w:rPr>
      </w:pPr>
      <w:r>
        <w:rPr>
          <w:rFonts w:eastAsia="仿宋_GB2312"/>
          <w:color w:val="000000" w:themeColor="text1"/>
          <w:sz w:val="28"/>
          <w:szCs w:val="28"/>
          <w:highlight w:val="none"/>
          <w14:textFill>
            <w14:solidFill>
              <w14:schemeClr w14:val="tx1"/>
            </w14:solidFill>
          </w14:textFill>
        </w:rPr>
        <w:t>C=E</w:t>
      </w:r>
      <w:r>
        <w:rPr>
          <w:rFonts w:hint="eastAsia" w:eastAsia="仿宋_GB2312"/>
          <w:color w:val="000000" w:themeColor="text1"/>
          <w:sz w:val="28"/>
          <w:szCs w:val="28"/>
          <w:highlight w:val="none"/>
          <w:vertAlign w:val="subscript"/>
          <w14:textFill>
            <w14:solidFill>
              <w14:schemeClr w14:val="tx1"/>
            </w14:solidFill>
          </w14:textFill>
        </w:rPr>
        <w:t>2</w:t>
      </w:r>
      <w:r>
        <w:rPr>
          <w:rFonts w:eastAsia="仿宋_GB2312"/>
          <w:color w:val="000000" w:themeColor="text1"/>
          <w:sz w:val="28"/>
          <w:szCs w:val="28"/>
          <w:highlight w:val="none"/>
          <w14:textFill>
            <w14:solidFill>
              <w14:schemeClr w14:val="tx1"/>
            </w14:solidFill>
          </w14:textFill>
        </w:rPr>
        <w:t>×S/</w:t>
      </w:r>
      <w:r>
        <w:rPr>
          <w:rFonts w:hint="eastAsia" w:eastAsia="仿宋_GB2312"/>
          <w:color w:val="000000" w:themeColor="text1"/>
          <w:sz w:val="28"/>
          <w:szCs w:val="28"/>
          <w:highlight w:val="none"/>
          <w14:textFill>
            <w14:solidFill>
              <w14:schemeClr w14:val="tx1"/>
            </w14:solidFill>
          </w14:textFill>
        </w:rPr>
        <w:t>当年实际天数</w:t>
      </w:r>
    </w:p>
    <w:p>
      <w:pPr>
        <w:spacing w:line="360" w:lineRule="auto"/>
        <w:ind w:firstLine="1960" w:firstLineChars="700"/>
        <w:rPr>
          <w:rFonts w:eastAsia="仿宋_GB2312"/>
          <w:color w:val="000000" w:themeColor="text1"/>
          <w:sz w:val="28"/>
          <w:szCs w:val="28"/>
          <w:highlight w:val="none"/>
          <w14:textFill>
            <w14:solidFill>
              <w14:schemeClr w14:val="tx1"/>
            </w14:solidFill>
          </w14:textFill>
        </w:rPr>
      </w:pPr>
      <w:r>
        <w:rPr>
          <w:rFonts w:eastAsia="仿宋_GB2312"/>
          <w:color w:val="000000" w:themeColor="text1"/>
          <w:sz w:val="28"/>
          <w:szCs w:val="28"/>
          <w:highlight w:val="none"/>
          <w14:textFill>
            <w14:solidFill>
              <w14:schemeClr w14:val="tx1"/>
            </w14:solidFill>
          </w14:textFill>
        </w:rPr>
        <w:t>C：每日应计提的托管费；</w:t>
      </w:r>
    </w:p>
    <w:p>
      <w:pPr>
        <w:spacing w:line="360" w:lineRule="auto"/>
        <w:ind w:firstLine="1960" w:firstLineChars="700"/>
        <w:rPr>
          <w:rFonts w:eastAsia="仿宋_GB2312"/>
          <w:color w:val="000000" w:themeColor="text1"/>
          <w:sz w:val="28"/>
          <w:szCs w:val="28"/>
          <w:highlight w:val="none"/>
          <w14:textFill>
            <w14:solidFill>
              <w14:schemeClr w14:val="tx1"/>
            </w14:solidFill>
          </w14:textFill>
        </w:rPr>
      </w:pPr>
      <w:r>
        <w:rPr>
          <w:rFonts w:eastAsia="仿宋_GB2312"/>
          <w:color w:val="000000" w:themeColor="text1"/>
          <w:sz w:val="28"/>
          <w:szCs w:val="28"/>
          <w:highlight w:val="none"/>
          <w14:textFill>
            <w14:solidFill>
              <w14:schemeClr w14:val="tx1"/>
            </w14:solidFill>
          </w14:textFill>
        </w:rPr>
        <w:t>E</w:t>
      </w:r>
      <w:r>
        <w:rPr>
          <w:rFonts w:hint="eastAsia" w:eastAsia="仿宋_GB2312"/>
          <w:color w:val="000000" w:themeColor="text1"/>
          <w:sz w:val="28"/>
          <w:szCs w:val="28"/>
          <w:highlight w:val="none"/>
          <w:vertAlign w:val="subscript"/>
          <w14:textFill>
            <w14:solidFill>
              <w14:schemeClr w14:val="tx1"/>
            </w14:solidFill>
          </w14:textFill>
        </w:rPr>
        <w:t>2</w:t>
      </w:r>
      <w:r>
        <w:rPr>
          <w:rFonts w:eastAsia="仿宋_GB2312"/>
          <w:color w:val="000000" w:themeColor="text1"/>
          <w:sz w:val="28"/>
          <w:szCs w:val="28"/>
          <w:highlight w:val="none"/>
          <w14:textFill>
            <w14:solidFill>
              <w14:schemeClr w14:val="tx1"/>
            </w14:solidFill>
          </w14:textFill>
        </w:rPr>
        <w:t>：前一日</w:t>
      </w:r>
      <w:r>
        <w:rPr>
          <w:rFonts w:hint="eastAsia" w:eastAsia="仿宋_GB2312"/>
          <w:color w:val="000000" w:themeColor="text1"/>
          <w:sz w:val="28"/>
          <w:szCs w:val="28"/>
          <w:highlight w:val="none"/>
          <w14:textFill>
            <w14:solidFill>
              <w14:schemeClr w14:val="tx1"/>
            </w14:solidFill>
          </w14:textFill>
        </w:rPr>
        <w:t>托管的企业</w:t>
      </w:r>
      <w:r>
        <w:rPr>
          <w:rFonts w:eastAsia="仿宋_GB2312"/>
          <w:color w:val="000000" w:themeColor="text1"/>
          <w:sz w:val="28"/>
          <w:szCs w:val="28"/>
          <w:highlight w:val="none"/>
          <w14:textFill>
            <w14:solidFill>
              <w14:schemeClr w14:val="tx1"/>
            </w14:solidFill>
          </w14:textFill>
        </w:rPr>
        <w:t>年金基金财产净值</w:t>
      </w:r>
      <w:r>
        <w:rPr>
          <w:rFonts w:hint="eastAsia" w:eastAsia="仿宋_GB2312"/>
          <w:color w:val="000000" w:themeColor="text1"/>
          <w:sz w:val="28"/>
          <w:szCs w:val="28"/>
          <w:highlight w:val="none"/>
          <w14:textFill>
            <w14:solidFill>
              <w14:schemeClr w14:val="tx1"/>
            </w14:solidFill>
          </w14:textFill>
        </w:rPr>
        <w:t>（首日不计提）</w:t>
      </w:r>
      <w:r>
        <w:rPr>
          <w:rFonts w:eastAsia="仿宋_GB2312"/>
          <w:color w:val="000000" w:themeColor="text1"/>
          <w:sz w:val="28"/>
          <w:szCs w:val="28"/>
          <w:highlight w:val="none"/>
          <w14:textFill>
            <w14:solidFill>
              <w14:schemeClr w14:val="tx1"/>
            </w14:solidFill>
          </w14:textFill>
        </w:rPr>
        <w:t>；</w:t>
      </w:r>
    </w:p>
    <w:p>
      <w:pPr>
        <w:spacing w:line="360" w:lineRule="auto"/>
        <w:ind w:firstLine="1960" w:firstLineChars="700"/>
        <w:rPr>
          <w:rFonts w:eastAsia="仿宋_GB2312"/>
          <w:color w:val="000000" w:themeColor="text1"/>
          <w:sz w:val="28"/>
          <w:szCs w:val="28"/>
          <w:highlight w:val="none"/>
          <w14:textFill>
            <w14:solidFill>
              <w14:schemeClr w14:val="tx1"/>
            </w14:solidFill>
          </w14:textFill>
        </w:rPr>
      </w:pPr>
      <w:r>
        <w:rPr>
          <w:rFonts w:eastAsia="仿宋_GB2312"/>
          <w:color w:val="000000" w:themeColor="text1"/>
          <w:sz w:val="28"/>
          <w:szCs w:val="28"/>
          <w:highlight w:val="none"/>
          <w14:textFill>
            <w14:solidFill>
              <w14:schemeClr w14:val="tx1"/>
            </w14:solidFill>
          </w14:textFill>
        </w:rPr>
        <w:t>S：本合同</w:t>
      </w:r>
      <w:r>
        <w:rPr>
          <w:rFonts w:hint="eastAsia" w:eastAsia="仿宋_GB2312"/>
          <w:color w:val="000000" w:themeColor="text1"/>
          <w:sz w:val="28"/>
          <w:szCs w:val="28"/>
          <w:highlight w:val="none"/>
          <w14:textFill>
            <w14:solidFill>
              <w14:schemeClr w14:val="tx1"/>
            </w14:solidFill>
          </w14:textFill>
        </w:rPr>
        <w:t>约</w:t>
      </w:r>
      <w:r>
        <w:rPr>
          <w:rFonts w:eastAsia="仿宋_GB2312"/>
          <w:color w:val="000000" w:themeColor="text1"/>
          <w:sz w:val="28"/>
          <w:szCs w:val="28"/>
          <w:highlight w:val="none"/>
          <w14:textFill>
            <w14:solidFill>
              <w14:schemeClr w14:val="tx1"/>
            </w14:solidFill>
          </w14:textFill>
        </w:rPr>
        <w:t>定的托管费年费率。</w:t>
      </w:r>
    </w:p>
    <w:p>
      <w:pPr>
        <w:spacing w:line="360" w:lineRule="auto"/>
        <w:ind w:firstLine="560" w:firstLineChars="200"/>
        <w:rPr>
          <w:rFonts w:hint="eastAsia"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10.2.3.3  托管费每日计提，逐日累计，按季支付。</w:t>
      </w:r>
    </w:p>
    <w:p>
      <w:pPr>
        <w:spacing w:line="360" w:lineRule="auto"/>
        <w:ind w:firstLine="560" w:firstLineChars="200"/>
        <w:rPr>
          <w:rFonts w:hint="eastAsia"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10.2.4  投资管理费。</w:t>
      </w:r>
    </w:p>
    <w:p>
      <w:pPr>
        <w:spacing w:line="360" w:lineRule="auto"/>
        <w:ind w:left="1123" w:leftChars="268" w:hanging="560" w:hanging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10.2.4.1  XXXX</w:t>
      </w:r>
      <w:r>
        <w:rPr>
          <w:rFonts w:hint="eastAsia" w:ascii="仿宋_GB2312" w:hAnsi="宋体" w:eastAsia="仿宋_GB2312"/>
          <w:color w:val="000000" w:themeColor="text1"/>
          <w:sz w:val="28"/>
          <w:szCs w:val="28"/>
          <w:highlight w:val="none"/>
          <w14:textFill>
            <w14:solidFill>
              <w14:schemeClr w14:val="tx1"/>
            </w14:solidFill>
          </w14:textFill>
        </w:rPr>
        <w:t>公司所管理组合为</w:t>
      </w:r>
      <w:r>
        <w:rPr>
          <w:rFonts w:hint="eastAsia" w:ascii="仿宋_GB2312" w:eastAsia="仿宋_GB2312"/>
          <w:color w:val="000000" w:themeColor="text1"/>
          <w:sz w:val="28"/>
          <w:szCs w:val="28"/>
          <w:highlight w:val="none"/>
          <w:shd w:val="clear" w:color="auto" w:fill="FFFFFF"/>
          <w14:textFill>
            <w14:solidFill>
              <w14:schemeClr w14:val="tx1"/>
            </w14:solidFill>
          </w14:textFill>
        </w:rPr>
        <w:t>固收组合。</w:t>
      </w:r>
    </w:p>
    <w:p>
      <w:pPr>
        <w:spacing w:line="360" w:lineRule="auto"/>
        <w:ind w:left="1123" w:leftChars="268" w:hanging="560" w:hangingChars="200"/>
        <w:rPr>
          <w:rFonts w:hint="eastAsia" w:ascii="仿宋_GB2312" w:hAnsi="宋体"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10.2.4.1.1  投资管理费为</w:t>
      </w:r>
      <w:r>
        <w:rPr>
          <w:rFonts w:hint="eastAsia" w:ascii="仿宋_GB2312" w:hAnsi="宋体" w:eastAsia="仿宋_GB2312"/>
          <w:color w:val="000000" w:themeColor="text1"/>
          <w:sz w:val="28"/>
          <w:szCs w:val="28"/>
          <w:highlight w:val="none"/>
          <w14:textFill>
            <w14:solidFill>
              <w14:schemeClr w14:val="tx1"/>
            </w14:solidFill>
          </w14:textFill>
        </w:rPr>
        <w:t>固定</w:t>
      </w:r>
      <w:r>
        <w:rPr>
          <w:rFonts w:hint="eastAsia" w:ascii="仿宋_GB2312" w:eastAsia="仿宋_GB2312"/>
          <w:color w:val="000000" w:themeColor="text1"/>
          <w:sz w:val="28"/>
          <w:szCs w:val="28"/>
          <w:highlight w:val="none"/>
          <w:shd w:val="clear" w:color="auto" w:fill="FFFFFF"/>
          <w14:textFill>
            <w14:solidFill>
              <w14:schemeClr w14:val="tx1"/>
            </w14:solidFill>
          </w14:textFill>
        </w:rPr>
        <w:t>投资</w:t>
      </w:r>
      <w:r>
        <w:rPr>
          <w:rFonts w:hint="eastAsia" w:ascii="仿宋_GB2312" w:hAnsi="宋体" w:eastAsia="仿宋_GB2312"/>
          <w:color w:val="000000" w:themeColor="text1"/>
          <w:sz w:val="28"/>
          <w:szCs w:val="28"/>
          <w:highlight w:val="none"/>
          <w14:textFill>
            <w14:solidFill>
              <w14:schemeClr w14:val="tx1"/>
            </w14:solidFill>
          </w14:textFill>
        </w:rPr>
        <w:t>管理费</w:t>
      </w:r>
      <w:r>
        <w:rPr>
          <w:rFonts w:hint="eastAsia" w:ascii="仿宋_GB2312" w:eastAsia="仿宋_GB2312"/>
          <w:bCs/>
          <w:color w:val="000000" w:themeColor="text1"/>
          <w:sz w:val="28"/>
          <w:szCs w:val="28"/>
          <w:highlight w:val="none"/>
          <w:shd w:val="clear" w:color="auto" w:fill="FFFFFF"/>
          <w14:textFill>
            <w14:solidFill>
              <w14:schemeClr w14:val="tx1"/>
            </w14:solidFill>
          </w14:textFill>
        </w:rPr>
        <w:t>模式</w:t>
      </w:r>
      <w:r>
        <w:rPr>
          <w:rFonts w:hint="eastAsia" w:ascii="仿宋_GB2312" w:hAnsi="宋体" w:eastAsia="仿宋_GB2312"/>
          <w:color w:val="000000" w:themeColor="text1"/>
          <w:sz w:val="28"/>
          <w:szCs w:val="28"/>
          <w:highlight w:val="none"/>
          <w14:textFill>
            <w14:solidFill>
              <w14:schemeClr w14:val="tx1"/>
            </w14:solidFill>
          </w14:textFill>
        </w:rPr>
        <w:t>。</w:t>
      </w:r>
    </w:p>
    <w:p>
      <w:pPr>
        <w:spacing w:line="360" w:lineRule="auto"/>
        <w:ind w:left="420" w:leftChars="200" w:right="206" w:rightChars="98" w:firstLine="140" w:firstLineChars="5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10.2.4.1.2  投资管理费按投资管理的企业年金基金财产净</w:t>
      </w:r>
    </w:p>
    <w:p>
      <w:pPr>
        <w:spacing w:line="360" w:lineRule="auto"/>
        <w:ind w:right="206" w:rightChars="98"/>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值的</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%年费率计提。</w:t>
      </w:r>
    </w:p>
    <w:p>
      <w:pPr>
        <w:spacing w:line="360" w:lineRule="auto"/>
        <w:ind w:firstLine="560" w:firstLineChars="200"/>
        <w:rPr>
          <w:rFonts w:hint="eastAsia"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10.2.4.1.3  投资管理费计算方式：</w:t>
      </w:r>
    </w:p>
    <w:p>
      <w:pPr>
        <w:spacing w:line="360" w:lineRule="auto"/>
        <w:ind w:firstLine="1960" w:firstLineChars="700"/>
        <w:rPr>
          <w:rFonts w:eastAsia="仿宋_GB2312"/>
          <w:color w:val="000000" w:themeColor="text1"/>
          <w:sz w:val="28"/>
          <w:szCs w:val="28"/>
          <w:highlight w:val="none"/>
          <w14:textFill>
            <w14:solidFill>
              <w14:schemeClr w14:val="tx1"/>
            </w14:solidFill>
          </w14:textFill>
        </w:rPr>
      </w:pPr>
      <w:r>
        <w:rPr>
          <w:rFonts w:eastAsia="仿宋_GB2312"/>
          <w:color w:val="000000" w:themeColor="text1"/>
          <w:sz w:val="28"/>
          <w:szCs w:val="28"/>
          <w:highlight w:val="none"/>
          <w14:textFill>
            <w14:solidFill>
              <w14:schemeClr w14:val="tx1"/>
            </w14:solidFill>
          </w14:textFill>
        </w:rPr>
        <w:t>I=E</w:t>
      </w:r>
      <w:r>
        <w:rPr>
          <w:rFonts w:hint="eastAsia" w:eastAsia="仿宋_GB2312"/>
          <w:color w:val="000000" w:themeColor="text1"/>
          <w:sz w:val="28"/>
          <w:szCs w:val="28"/>
          <w:highlight w:val="none"/>
          <w:vertAlign w:val="subscript"/>
          <w14:textFill>
            <w14:solidFill>
              <w14:schemeClr w14:val="tx1"/>
            </w14:solidFill>
          </w14:textFill>
        </w:rPr>
        <w:t>3</w:t>
      </w:r>
      <w:r>
        <w:rPr>
          <w:rFonts w:eastAsia="仿宋_GB2312"/>
          <w:color w:val="000000" w:themeColor="text1"/>
          <w:sz w:val="28"/>
          <w:szCs w:val="28"/>
          <w:highlight w:val="none"/>
          <w14:textFill>
            <w14:solidFill>
              <w14:schemeClr w14:val="tx1"/>
            </w14:solidFill>
          </w14:textFill>
        </w:rPr>
        <w:t>×U/</w:t>
      </w:r>
      <w:r>
        <w:rPr>
          <w:rFonts w:hint="eastAsia" w:eastAsia="仿宋_GB2312"/>
          <w:color w:val="000000" w:themeColor="text1"/>
          <w:sz w:val="28"/>
          <w:szCs w:val="28"/>
          <w:highlight w:val="none"/>
          <w14:textFill>
            <w14:solidFill>
              <w14:schemeClr w14:val="tx1"/>
            </w14:solidFill>
          </w14:textFill>
        </w:rPr>
        <w:t>当年实际天数</w:t>
      </w:r>
    </w:p>
    <w:p>
      <w:pPr>
        <w:spacing w:line="360" w:lineRule="auto"/>
        <w:ind w:firstLine="1960" w:firstLineChars="700"/>
        <w:rPr>
          <w:rFonts w:eastAsia="仿宋_GB2312"/>
          <w:color w:val="000000" w:themeColor="text1"/>
          <w:sz w:val="28"/>
          <w:szCs w:val="28"/>
          <w:highlight w:val="none"/>
          <w14:textFill>
            <w14:solidFill>
              <w14:schemeClr w14:val="tx1"/>
            </w14:solidFill>
          </w14:textFill>
        </w:rPr>
      </w:pPr>
      <w:r>
        <w:rPr>
          <w:rFonts w:eastAsia="仿宋_GB2312"/>
          <w:color w:val="000000" w:themeColor="text1"/>
          <w:sz w:val="28"/>
          <w:szCs w:val="28"/>
          <w:highlight w:val="none"/>
          <w14:textFill>
            <w14:solidFill>
              <w14:schemeClr w14:val="tx1"/>
            </w14:solidFill>
          </w14:textFill>
        </w:rPr>
        <w:t>I：每日应计提的投资管理费；</w:t>
      </w:r>
    </w:p>
    <w:p>
      <w:pPr>
        <w:spacing w:line="360" w:lineRule="auto"/>
        <w:ind w:firstLine="1960" w:firstLineChars="700"/>
        <w:rPr>
          <w:rFonts w:eastAsia="仿宋_GB2312"/>
          <w:color w:val="000000" w:themeColor="text1"/>
          <w:sz w:val="28"/>
          <w:szCs w:val="28"/>
          <w:highlight w:val="none"/>
          <w14:textFill>
            <w14:solidFill>
              <w14:schemeClr w14:val="tx1"/>
            </w14:solidFill>
          </w14:textFill>
        </w:rPr>
      </w:pPr>
      <w:r>
        <w:rPr>
          <w:rFonts w:eastAsia="仿宋_GB2312"/>
          <w:color w:val="000000" w:themeColor="text1"/>
          <w:sz w:val="28"/>
          <w:szCs w:val="28"/>
          <w:highlight w:val="none"/>
          <w14:textFill>
            <w14:solidFill>
              <w14:schemeClr w14:val="tx1"/>
            </w14:solidFill>
          </w14:textFill>
        </w:rPr>
        <w:t>E</w:t>
      </w:r>
      <w:r>
        <w:rPr>
          <w:rFonts w:hint="eastAsia" w:eastAsia="仿宋_GB2312"/>
          <w:color w:val="000000" w:themeColor="text1"/>
          <w:sz w:val="28"/>
          <w:szCs w:val="28"/>
          <w:highlight w:val="none"/>
          <w:vertAlign w:val="subscript"/>
          <w14:textFill>
            <w14:solidFill>
              <w14:schemeClr w14:val="tx1"/>
            </w14:solidFill>
          </w14:textFill>
        </w:rPr>
        <w:t>3</w:t>
      </w:r>
      <w:r>
        <w:rPr>
          <w:rFonts w:eastAsia="仿宋_GB2312"/>
          <w:color w:val="000000" w:themeColor="text1"/>
          <w:sz w:val="28"/>
          <w:szCs w:val="28"/>
          <w:highlight w:val="none"/>
          <w14:textFill>
            <w14:solidFill>
              <w14:schemeClr w14:val="tx1"/>
            </w14:solidFill>
          </w14:textFill>
        </w:rPr>
        <w:t>：前一日</w:t>
      </w:r>
      <w:r>
        <w:rPr>
          <w:rFonts w:hint="eastAsia" w:eastAsia="仿宋_GB2312"/>
          <w:color w:val="000000" w:themeColor="text1"/>
          <w:sz w:val="28"/>
          <w:szCs w:val="28"/>
          <w:highlight w:val="none"/>
          <w14:textFill>
            <w14:solidFill>
              <w14:schemeClr w14:val="tx1"/>
            </w14:solidFill>
          </w14:textFill>
        </w:rPr>
        <w:t>投资管理的</w:t>
      </w:r>
      <w:r>
        <w:rPr>
          <w:rFonts w:eastAsia="仿宋_GB2312"/>
          <w:color w:val="000000" w:themeColor="text1"/>
          <w:sz w:val="28"/>
          <w:szCs w:val="28"/>
          <w:highlight w:val="none"/>
          <w14:textFill>
            <w14:solidFill>
              <w14:schemeClr w14:val="tx1"/>
            </w14:solidFill>
          </w14:textFill>
        </w:rPr>
        <w:t>企业年金基金财产净值</w:t>
      </w:r>
      <w:r>
        <w:rPr>
          <w:rFonts w:hint="eastAsia" w:eastAsia="仿宋_GB2312"/>
          <w:color w:val="000000" w:themeColor="text1"/>
          <w:sz w:val="28"/>
          <w:szCs w:val="28"/>
          <w:highlight w:val="none"/>
          <w14:textFill>
            <w14:solidFill>
              <w14:schemeClr w14:val="tx1"/>
            </w14:solidFill>
          </w14:textFill>
        </w:rPr>
        <w:t>（首日不计提）</w:t>
      </w:r>
      <w:r>
        <w:rPr>
          <w:rFonts w:eastAsia="仿宋_GB2312"/>
          <w:color w:val="000000" w:themeColor="text1"/>
          <w:sz w:val="28"/>
          <w:szCs w:val="28"/>
          <w:highlight w:val="none"/>
          <w14:textFill>
            <w14:solidFill>
              <w14:schemeClr w14:val="tx1"/>
            </w14:solidFill>
          </w14:textFill>
        </w:rPr>
        <w:t>；</w:t>
      </w:r>
    </w:p>
    <w:p>
      <w:pPr>
        <w:spacing w:line="360" w:lineRule="auto"/>
        <w:ind w:firstLine="1960" w:firstLineChars="700"/>
        <w:rPr>
          <w:rFonts w:eastAsia="仿宋_GB2312"/>
          <w:color w:val="000000" w:themeColor="text1"/>
          <w:sz w:val="28"/>
          <w:szCs w:val="28"/>
          <w:highlight w:val="none"/>
          <w14:textFill>
            <w14:solidFill>
              <w14:schemeClr w14:val="tx1"/>
            </w14:solidFill>
          </w14:textFill>
        </w:rPr>
      </w:pPr>
      <w:r>
        <w:rPr>
          <w:rFonts w:eastAsia="仿宋_GB2312"/>
          <w:color w:val="000000" w:themeColor="text1"/>
          <w:sz w:val="28"/>
          <w:szCs w:val="28"/>
          <w:highlight w:val="none"/>
          <w14:textFill>
            <w14:solidFill>
              <w14:schemeClr w14:val="tx1"/>
            </w14:solidFill>
          </w14:textFill>
        </w:rPr>
        <w:t>U：本合同</w:t>
      </w:r>
      <w:r>
        <w:rPr>
          <w:rFonts w:hint="eastAsia" w:eastAsia="仿宋_GB2312"/>
          <w:color w:val="000000" w:themeColor="text1"/>
          <w:sz w:val="28"/>
          <w:szCs w:val="28"/>
          <w:highlight w:val="none"/>
          <w14:textFill>
            <w14:solidFill>
              <w14:schemeClr w14:val="tx1"/>
            </w14:solidFill>
          </w14:textFill>
        </w:rPr>
        <w:t>约</w:t>
      </w:r>
      <w:r>
        <w:rPr>
          <w:rFonts w:eastAsia="仿宋_GB2312"/>
          <w:color w:val="000000" w:themeColor="text1"/>
          <w:sz w:val="28"/>
          <w:szCs w:val="28"/>
          <w:highlight w:val="none"/>
          <w14:textFill>
            <w14:solidFill>
              <w14:schemeClr w14:val="tx1"/>
            </w14:solidFill>
          </w14:textFill>
        </w:rPr>
        <w:t>定的投资管理费年费率。</w:t>
      </w:r>
    </w:p>
    <w:p>
      <w:pPr>
        <w:spacing w:line="360" w:lineRule="auto"/>
        <w:ind w:firstLine="560" w:firstLineChars="200"/>
        <w:rPr>
          <w:rFonts w:hint="eastAsia" w:ascii="仿宋_GB2312" w:hAnsi="宋体"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10.2.4.1.4  投资管理费每日计提，逐日累计，按季支付。</w:t>
      </w:r>
    </w:p>
    <w:p>
      <w:pPr>
        <w:spacing w:line="360" w:lineRule="auto"/>
        <w:ind w:left="1255" w:leftChars="267" w:hanging="694" w:hangingChars="248"/>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 xml:space="preserve">10.2.4.2  </w:t>
      </w:r>
      <w:r>
        <w:rPr>
          <w:rFonts w:hint="eastAsia" w:ascii="仿宋_GB2312" w:hAnsi="宋体" w:eastAsia="仿宋_GB2312"/>
          <w:color w:val="000000" w:themeColor="text1"/>
          <w:sz w:val="28"/>
          <w:szCs w:val="28"/>
          <w:highlight w:val="none"/>
          <w14:textFill>
            <w14:solidFill>
              <w14:schemeClr w14:val="tx1"/>
            </w14:solidFill>
          </w14:textFill>
        </w:rPr>
        <w:t>XXXX公司所管理组合为</w:t>
      </w:r>
      <w:r>
        <w:rPr>
          <w:rFonts w:hint="eastAsia" w:ascii="仿宋_GB2312" w:eastAsia="仿宋_GB2312"/>
          <w:color w:val="000000" w:themeColor="text1"/>
          <w:sz w:val="28"/>
          <w:szCs w:val="28"/>
          <w:highlight w:val="none"/>
          <w:shd w:val="clear" w:color="auto" w:fill="FFFFFF"/>
          <w14:textFill>
            <w14:solidFill>
              <w14:schemeClr w14:val="tx1"/>
            </w14:solidFill>
          </w14:textFill>
        </w:rPr>
        <w:t>固收组合。</w:t>
      </w:r>
    </w:p>
    <w:p>
      <w:pPr>
        <w:spacing w:line="360" w:lineRule="auto"/>
        <w:ind w:left="1255" w:leftChars="267" w:hanging="694" w:hangingChars="248"/>
        <w:rPr>
          <w:rFonts w:hint="eastAsia" w:ascii="仿宋_GB2312" w:hAnsi="宋体"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10.2.4.2.1  投资管理费为</w:t>
      </w:r>
      <w:r>
        <w:rPr>
          <w:rFonts w:hint="eastAsia" w:ascii="仿宋_GB2312" w:hAnsi="宋体" w:eastAsia="仿宋_GB2312"/>
          <w:color w:val="000000" w:themeColor="text1"/>
          <w:sz w:val="28"/>
          <w:szCs w:val="28"/>
          <w:highlight w:val="none"/>
          <w14:textFill>
            <w14:solidFill>
              <w14:schemeClr w14:val="tx1"/>
            </w14:solidFill>
          </w14:textFill>
        </w:rPr>
        <w:t>固定</w:t>
      </w:r>
      <w:r>
        <w:rPr>
          <w:rFonts w:hint="eastAsia" w:ascii="仿宋_GB2312" w:eastAsia="仿宋_GB2312"/>
          <w:color w:val="000000" w:themeColor="text1"/>
          <w:sz w:val="28"/>
          <w:szCs w:val="28"/>
          <w:highlight w:val="none"/>
          <w:shd w:val="clear" w:color="auto" w:fill="FFFFFF"/>
          <w14:textFill>
            <w14:solidFill>
              <w14:schemeClr w14:val="tx1"/>
            </w14:solidFill>
          </w14:textFill>
        </w:rPr>
        <w:t>投资</w:t>
      </w:r>
      <w:r>
        <w:rPr>
          <w:rFonts w:hint="eastAsia" w:ascii="仿宋_GB2312" w:hAnsi="宋体" w:eastAsia="仿宋_GB2312"/>
          <w:color w:val="000000" w:themeColor="text1"/>
          <w:sz w:val="28"/>
          <w:szCs w:val="28"/>
          <w:highlight w:val="none"/>
          <w14:textFill>
            <w14:solidFill>
              <w14:schemeClr w14:val="tx1"/>
            </w14:solidFill>
          </w14:textFill>
        </w:rPr>
        <w:t>管理费</w:t>
      </w:r>
      <w:r>
        <w:rPr>
          <w:rFonts w:hint="eastAsia" w:ascii="仿宋_GB2312" w:eastAsia="仿宋_GB2312"/>
          <w:bCs/>
          <w:color w:val="000000" w:themeColor="text1"/>
          <w:sz w:val="28"/>
          <w:szCs w:val="28"/>
          <w:highlight w:val="none"/>
          <w:shd w:val="clear" w:color="auto" w:fill="FFFFFF"/>
          <w14:textFill>
            <w14:solidFill>
              <w14:schemeClr w14:val="tx1"/>
            </w14:solidFill>
          </w14:textFill>
        </w:rPr>
        <w:t>模式</w:t>
      </w:r>
      <w:r>
        <w:rPr>
          <w:rFonts w:hint="eastAsia" w:ascii="仿宋_GB2312" w:hAnsi="宋体" w:eastAsia="仿宋_GB2312"/>
          <w:color w:val="000000" w:themeColor="text1"/>
          <w:sz w:val="28"/>
          <w:szCs w:val="28"/>
          <w:highlight w:val="none"/>
          <w14:textFill>
            <w14:solidFill>
              <w14:schemeClr w14:val="tx1"/>
            </w14:solidFill>
          </w14:textFill>
        </w:rPr>
        <w:t>。</w:t>
      </w:r>
    </w:p>
    <w:p>
      <w:pPr>
        <w:spacing w:line="360" w:lineRule="auto"/>
        <w:ind w:left="420" w:leftChars="200" w:right="206" w:rightChars="98" w:firstLine="140" w:firstLineChars="5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10.2.4.2.2  投资管理费按投资管理的企业年金基金财产净</w:t>
      </w:r>
    </w:p>
    <w:p>
      <w:pPr>
        <w:spacing w:line="360" w:lineRule="auto"/>
        <w:ind w:right="206" w:rightChars="98"/>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值的</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%年费率计提。</w:t>
      </w:r>
    </w:p>
    <w:p>
      <w:pPr>
        <w:spacing w:line="360" w:lineRule="auto"/>
        <w:ind w:firstLine="560" w:firstLineChars="200"/>
        <w:rPr>
          <w:rFonts w:hint="eastAsia"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10.2.4.2.3  投资管理费计算方式：</w:t>
      </w:r>
    </w:p>
    <w:p>
      <w:pPr>
        <w:spacing w:line="360" w:lineRule="auto"/>
        <w:ind w:firstLine="1960" w:firstLineChars="700"/>
        <w:rPr>
          <w:rFonts w:eastAsia="仿宋_GB2312"/>
          <w:color w:val="000000" w:themeColor="text1"/>
          <w:sz w:val="28"/>
          <w:szCs w:val="28"/>
          <w:highlight w:val="none"/>
          <w14:textFill>
            <w14:solidFill>
              <w14:schemeClr w14:val="tx1"/>
            </w14:solidFill>
          </w14:textFill>
        </w:rPr>
      </w:pPr>
      <w:r>
        <w:rPr>
          <w:rFonts w:eastAsia="仿宋_GB2312"/>
          <w:color w:val="000000" w:themeColor="text1"/>
          <w:sz w:val="28"/>
          <w:szCs w:val="28"/>
          <w:highlight w:val="none"/>
          <w14:textFill>
            <w14:solidFill>
              <w14:schemeClr w14:val="tx1"/>
            </w14:solidFill>
          </w14:textFill>
        </w:rPr>
        <w:t>I=E</w:t>
      </w:r>
      <w:r>
        <w:rPr>
          <w:rFonts w:hint="eastAsia" w:eastAsia="仿宋_GB2312"/>
          <w:color w:val="000000" w:themeColor="text1"/>
          <w:sz w:val="28"/>
          <w:szCs w:val="28"/>
          <w:highlight w:val="none"/>
          <w:vertAlign w:val="subscript"/>
          <w14:textFill>
            <w14:solidFill>
              <w14:schemeClr w14:val="tx1"/>
            </w14:solidFill>
          </w14:textFill>
        </w:rPr>
        <w:t>3</w:t>
      </w:r>
      <w:r>
        <w:rPr>
          <w:rFonts w:eastAsia="仿宋_GB2312"/>
          <w:color w:val="000000" w:themeColor="text1"/>
          <w:sz w:val="28"/>
          <w:szCs w:val="28"/>
          <w:highlight w:val="none"/>
          <w14:textFill>
            <w14:solidFill>
              <w14:schemeClr w14:val="tx1"/>
            </w14:solidFill>
          </w14:textFill>
        </w:rPr>
        <w:t>×U/</w:t>
      </w:r>
      <w:r>
        <w:rPr>
          <w:rFonts w:hint="eastAsia" w:eastAsia="仿宋_GB2312"/>
          <w:color w:val="000000" w:themeColor="text1"/>
          <w:sz w:val="28"/>
          <w:szCs w:val="28"/>
          <w:highlight w:val="none"/>
          <w14:textFill>
            <w14:solidFill>
              <w14:schemeClr w14:val="tx1"/>
            </w14:solidFill>
          </w14:textFill>
        </w:rPr>
        <w:t>当年实际天数</w:t>
      </w:r>
    </w:p>
    <w:p>
      <w:pPr>
        <w:spacing w:line="360" w:lineRule="auto"/>
        <w:ind w:firstLine="1960" w:firstLineChars="700"/>
        <w:rPr>
          <w:rFonts w:eastAsia="仿宋_GB2312"/>
          <w:color w:val="000000" w:themeColor="text1"/>
          <w:sz w:val="28"/>
          <w:szCs w:val="28"/>
          <w:highlight w:val="none"/>
          <w14:textFill>
            <w14:solidFill>
              <w14:schemeClr w14:val="tx1"/>
            </w14:solidFill>
          </w14:textFill>
        </w:rPr>
      </w:pPr>
      <w:r>
        <w:rPr>
          <w:rFonts w:eastAsia="仿宋_GB2312"/>
          <w:color w:val="000000" w:themeColor="text1"/>
          <w:sz w:val="28"/>
          <w:szCs w:val="28"/>
          <w:highlight w:val="none"/>
          <w14:textFill>
            <w14:solidFill>
              <w14:schemeClr w14:val="tx1"/>
            </w14:solidFill>
          </w14:textFill>
        </w:rPr>
        <w:t>I：每日应计提的投资管理费；</w:t>
      </w:r>
    </w:p>
    <w:p>
      <w:pPr>
        <w:spacing w:line="360" w:lineRule="auto"/>
        <w:ind w:firstLine="1960" w:firstLineChars="700"/>
        <w:rPr>
          <w:rFonts w:eastAsia="仿宋_GB2312"/>
          <w:color w:val="000000" w:themeColor="text1"/>
          <w:sz w:val="28"/>
          <w:szCs w:val="28"/>
          <w:highlight w:val="none"/>
          <w14:textFill>
            <w14:solidFill>
              <w14:schemeClr w14:val="tx1"/>
            </w14:solidFill>
          </w14:textFill>
        </w:rPr>
      </w:pPr>
      <w:r>
        <w:rPr>
          <w:rFonts w:eastAsia="仿宋_GB2312"/>
          <w:color w:val="000000" w:themeColor="text1"/>
          <w:sz w:val="28"/>
          <w:szCs w:val="28"/>
          <w:highlight w:val="none"/>
          <w14:textFill>
            <w14:solidFill>
              <w14:schemeClr w14:val="tx1"/>
            </w14:solidFill>
          </w14:textFill>
        </w:rPr>
        <w:t>E</w:t>
      </w:r>
      <w:r>
        <w:rPr>
          <w:rFonts w:hint="eastAsia" w:eastAsia="仿宋_GB2312"/>
          <w:color w:val="000000" w:themeColor="text1"/>
          <w:sz w:val="28"/>
          <w:szCs w:val="28"/>
          <w:highlight w:val="none"/>
          <w:vertAlign w:val="subscript"/>
          <w14:textFill>
            <w14:solidFill>
              <w14:schemeClr w14:val="tx1"/>
            </w14:solidFill>
          </w14:textFill>
        </w:rPr>
        <w:t>3</w:t>
      </w:r>
      <w:r>
        <w:rPr>
          <w:rFonts w:eastAsia="仿宋_GB2312"/>
          <w:color w:val="000000" w:themeColor="text1"/>
          <w:sz w:val="28"/>
          <w:szCs w:val="28"/>
          <w:highlight w:val="none"/>
          <w14:textFill>
            <w14:solidFill>
              <w14:schemeClr w14:val="tx1"/>
            </w14:solidFill>
          </w14:textFill>
        </w:rPr>
        <w:t>：前一日</w:t>
      </w:r>
      <w:r>
        <w:rPr>
          <w:rFonts w:hint="eastAsia" w:eastAsia="仿宋_GB2312"/>
          <w:color w:val="000000" w:themeColor="text1"/>
          <w:sz w:val="28"/>
          <w:szCs w:val="28"/>
          <w:highlight w:val="none"/>
          <w14:textFill>
            <w14:solidFill>
              <w14:schemeClr w14:val="tx1"/>
            </w14:solidFill>
          </w14:textFill>
        </w:rPr>
        <w:t>投资管理的</w:t>
      </w:r>
      <w:r>
        <w:rPr>
          <w:rFonts w:eastAsia="仿宋_GB2312"/>
          <w:color w:val="000000" w:themeColor="text1"/>
          <w:sz w:val="28"/>
          <w:szCs w:val="28"/>
          <w:highlight w:val="none"/>
          <w14:textFill>
            <w14:solidFill>
              <w14:schemeClr w14:val="tx1"/>
            </w14:solidFill>
          </w14:textFill>
        </w:rPr>
        <w:t>企业年金基金财产净值</w:t>
      </w:r>
      <w:r>
        <w:rPr>
          <w:rFonts w:hint="eastAsia" w:eastAsia="仿宋_GB2312"/>
          <w:color w:val="000000" w:themeColor="text1"/>
          <w:sz w:val="28"/>
          <w:szCs w:val="28"/>
          <w:highlight w:val="none"/>
          <w14:textFill>
            <w14:solidFill>
              <w14:schemeClr w14:val="tx1"/>
            </w14:solidFill>
          </w14:textFill>
        </w:rPr>
        <w:t>（首日不计提）</w:t>
      </w:r>
      <w:r>
        <w:rPr>
          <w:rFonts w:eastAsia="仿宋_GB2312"/>
          <w:color w:val="000000" w:themeColor="text1"/>
          <w:sz w:val="28"/>
          <w:szCs w:val="28"/>
          <w:highlight w:val="none"/>
          <w14:textFill>
            <w14:solidFill>
              <w14:schemeClr w14:val="tx1"/>
            </w14:solidFill>
          </w14:textFill>
        </w:rPr>
        <w:t>；</w:t>
      </w:r>
    </w:p>
    <w:p>
      <w:pPr>
        <w:spacing w:line="360" w:lineRule="auto"/>
        <w:ind w:firstLine="1960" w:firstLineChars="700"/>
        <w:rPr>
          <w:rFonts w:eastAsia="仿宋_GB2312"/>
          <w:color w:val="000000" w:themeColor="text1"/>
          <w:sz w:val="28"/>
          <w:szCs w:val="28"/>
          <w:highlight w:val="none"/>
          <w14:textFill>
            <w14:solidFill>
              <w14:schemeClr w14:val="tx1"/>
            </w14:solidFill>
          </w14:textFill>
        </w:rPr>
      </w:pPr>
      <w:r>
        <w:rPr>
          <w:rFonts w:eastAsia="仿宋_GB2312"/>
          <w:color w:val="000000" w:themeColor="text1"/>
          <w:sz w:val="28"/>
          <w:szCs w:val="28"/>
          <w:highlight w:val="none"/>
          <w14:textFill>
            <w14:solidFill>
              <w14:schemeClr w14:val="tx1"/>
            </w14:solidFill>
          </w14:textFill>
        </w:rPr>
        <w:t>U：本合同</w:t>
      </w:r>
      <w:r>
        <w:rPr>
          <w:rFonts w:hint="eastAsia" w:eastAsia="仿宋_GB2312"/>
          <w:color w:val="000000" w:themeColor="text1"/>
          <w:sz w:val="28"/>
          <w:szCs w:val="28"/>
          <w:highlight w:val="none"/>
          <w14:textFill>
            <w14:solidFill>
              <w14:schemeClr w14:val="tx1"/>
            </w14:solidFill>
          </w14:textFill>
        </w:rPr>
        <w:t>约</w:t>
      </w:r>
      <w:r>
        <w:rPr>
          <w:rFonts w:eastAsia="仿宋_GB2312"/>
          <w:color w:val="000000" w:themeColor="text1"/>
          <w:sz w:val="28"/>
          <w:szCs w:val="28"/>
          <w:highlight w:val="none"/>
          <w14:textFill>
            <w14:solidFill>
              <w14:schemeClr w14:val="tx1"/>
            </w14:solidFill>
          </w14:textFill>
        </w:rPr>
        <w:t>定的投资管理费年费率。</w:t>
      </w:r>
    </w:p>
    <w:p>
      <w:pPr>
        <w:spacing w:line="360" w:lineRule="auto"/>
        <w:ind w:firstLine="560" w:firstLineChars="200"/>
        <w:rPr>
          <w:rFonts w:hint="eastAsia" w:ascii="仿宋_GB2312" w:hAnsi="宋体"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10.2.4.2.4  投资管理费每日计提，逐日累计，按季支付。</w:t>
      </w:r>
    </w:p>
    <w:p>
      <w:pPr>
        <w:spacing w:line="360" w:lineRule="auto"/>
        <w:ind w:left="1255" w:leftChars="267" w:hanging="694" w:hangingChars="248"/>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10.2.4.3  XXXX公司</w:t>
      </w:r>
      <w:r>
        <w:rPr>
          <w:rFonts w:hint="eastAsia" w:ascii="仿宋_GB2312" w:hAnsi="宋体" w:eastAsia="仿宋_GB2312"/>
          <w:color w:val="000000" w:themeColor="text1"/>
          <w:sz w:val="28"/>
          <w:szCs w:val="28"/>
          <w:highlight w:val="none"/>
          <w14:textFill>
            <w14:solidFill>
              <w14:schemeClr w14:val="tx1"/>
            </w14:solidFill>
          </w14:textFill>
        </w:rPr>
        <w:t>所管理组合为</w:t>
      </w:r>
      <w:r>
        <w:rPr>
          <w:rFonts w:hint="eastAsia" w:ascii="仿宋_GB2312" w:eastAsia="仿宋_GB2312"/>
          <w:color w:val="000000" w:themeColor="text1"/>
          <w:sz w:val="28"/>
          <w:szCs w:val="28"/>
          <w:highlight w:val="none"/>
          <w:shd w:val="clear" w:color="auto" w:fill="FFFFFF"/>
          <w14:textFill>
            <w14:solidFill>
              <w14:schemeClr w14:val="tx1"/>
            </w14:solidFill>
          </w14:textFill>
        </w:rPr>
        <w:t>含权组合。</w:t>
      </w:r>
    </w:p>
    <w:p>
      <w:pPr>
        <w:spacing w:line="360" w:lineRule="auto"/>
        <w:ind w:left="1255" w:leftChars="267" w:hanging="694" w:hangingChars="248"/>
        <w:rPr>
          <w:rFonts w:hint="eastAsia" w:ascii="仿宋_GB2312" w:hAnsi="宋体"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10.2.4.3.1  投资管理费为</w:t>
      </w:r>
      <w:r>
        <w:rPr>
          <w:rFonts w:hint="eastAsia" w:ascii="仿宋_GB2312" w:hAnsi="宋体" w:eastAsia="仿宋_GB2312"/>
          <w:color w:val="000000" w:themeColor="text1"/>
          <w:sz w:val="28"/>
          <w:szCs w:val="28"/>
          <w:highlight w:val="none"/>
          <w14:textFill>
            <w14:solidFill>
              <w14:schemeClr w14:val="tx1"/>
            </w14:solidFill>
          </w14:textFill>
        </w:rPr>
        <w:t>固定</w:t>
      </w:r>
      <w:r>
        <w:rPr>
          <w:rFonts w:hint="eastAsia" w:ascii="仿宋_GB2312" w:eastAsia="仿宋_GB2312"/>
          <w:color w:val="000000" w:themeColor="text1"/>
          <w:sz w:val="28"/>
          <w:szCs w:val="28"/>
          <w:highlight w:val="none"/>
          <w:shd w:val="clear" w:color="auto" w:fill="FFFFFF"/>
          <w14:textFill>
            <w14:solidFill>
              <w14:schemeClr w14:val="tx1"/>
            </w14:solidFill>
          </w14:textFill>
        </w:rPr>
        <w:t>投资</w:t>
      </w:r>
      <w:r>
        <w:rPr>
          <w:rFonts w:hint="eastAsia" w:ascii="仿宋_GB2312" w:hAnsi="宋体" w:eastAsia="仿宋_GB2312"/>
          <w:color w:val="000000" w:themeColor="text1"/>
          <w:sz w:val="28"/>
          <w:szCs w:val="28"/>
          <w:highlight w:val="none"/>
          <w14:textFill>
            <w14:solidFill>
              <w14:schemeClr w14:val="tx1"/>
            </w14:solidFill>
          </w14:textFill>
        </w:rPr>
        <w:t>管理费</w:t>
      </w:r>
      <w:r>
        <w:rPr>
          <w:rFonts w:hint="eastAsia" w:ascii="仿宋_GB2312" w:eastAsia="仿宋_GB2312"/>
          <w:bCs/>
          <w:color w:val="000000" w:themeColor="text1"/>
          <w:sz w:val="28"/>
          <w:szCs w:val="28"/>
          <w:highlight w:val="none"/>
          <w:shd w:val="clear" w:color="auto" w:fill="FFFFFF"/>
          <w14:textFill>
            <w14:solidFill>
              <w14:schemeClr w14:val="tx1"/>
            </w14:solidFill>
          </w14:textFill>
        </w:rPr>
        <w:t>模式</w:t>
      </w:r>
      <w:r>
        <w:rPr>
          <w:rFonts w:hint="eastAsia" w:ascii="仿宋_GB2312" w:hAnsi="宋体" w:eastAsia="仿宋_GB2312"/>
          <w:color w:val="000000" w:themeColor="text1"/>
          <w:sz w:val="28"/>
          <w:szCs w:val="28"/>
          <w:highlight w:val="none"/>
          <w14:textFill>
            <w14:solidFill>
              <w14:schemeClr w14:val="tx1"/>
            </w14:solidFill>
          </w14:textFill>
        </w:rPr>
        <w:t>。</w:t>
      </w:r>
    </w:p>
    <w:p>
      <w:pPr>
        <w:spacing w:line="360" w:lineRule="auto"/>
        <w:ind w:left="420" w:leftChars="200" w:right="206" w:rightChars="98" w:firstLine="140" w:firstLineChars="5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10.2.4.3.2  投资管理费按投资管理的企业年金基金财产净</w:t>
      </w:r>
    </w:p>
    <w:p>
      <w:pPr>
        <w:spacing w:line="360" w:lineRule="auto"/>
        <w:ind w:right="206" w:rightChars="98"/>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值的</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%年费率计提。</w:t>
      </w:r>
    </w:p>
    <w:p>
      <w:pPr>
        <w:spacing w:line="360" w:lineRule="auto"/>
        <w:ind w:firstLine="560" w:firstLineChars="200"/>
        <w:rPr>
          <w:rFonts w:hint="eastAsia"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10.2.4.3.3  投资管理费计算方式：</w:t>
      </w:r>
    </w:p>
    <w:p>
      <w:pPr>
        <w:spacing w:line="360" w:lineRule="auto"/>
        <w:ind w:firstLine="1960" w:firstLineChars="700"/>
        <w:rPr>
          <w:rFonts w:eastAsia="仿宋_GB2312"/>
          <w:color w:val="000000" w:themeColor="text1"/>
          <w:sz w:val="28"/>
          <w:szCs w:val="28"/>
          <w:highlight w:val="none"/>
          <w14:textFill>
            <w14:solidFill>
              <w14:schemeClr w14:val="tx1"/>
            </w14:solidFill>
          </w14:textFill>
        </w:rPr>
      </w:pPr>
      <w:r>
        <w:rPr>
          <w:rFonts w:eastAsia="仿宋_GB2312"/>
          <w:color w:val="000000" w:themeColor="text1"/>
          <w:sz w:val="28"/>
          <w:szCs w:val="28"/>
          <w:highlight w:val="none"/>
          <w14:textFill>
            <w14:solidFill>
              <w14:schemeClr w14:val="tx1"/>
            </w14:solidFill>
          </w14:textFill>
        </w:rPr>
        <w:t>I=E</w:t>
      </w:r>
      <w:r>
        <w:rPr>
          <w:rFonts w:hint="eastAsia" w:eastAsia="仿宋_GB2312"/>
          <w:color w:val="000000" w:themeColor="text1"/>
          <w:sz w:val="28"/>
          <w:szCs w:val="28"/>
          <w:highlight w:val="none"/>
          <w:vertAlign w:val="subscript"/>
          <w14:textFill>
            <w14:solidFill>
              <w14:schemeClr w14:val="tx1"/>
            </w14:solidFill>
          </w14:textFill>
        </w:rPr>
        <w:t>3</w:t>
      </w:r>
      <w:r>
        <w:rPr>
          <w:rFonts w:eastAsia="仿宋_GB2312"/>
          <w:color w:val="000000" w:themeColor="text1"/>
          <w:sz w:val="28"/>
          <w:szCs w:val="28"/>
          <w:highlight w:val="none"/>
          <w14:textFill>
            <w14:solidFill>
              <w14:schemeClr w14:val="tx1"/>
            </w14:solidFill>
          </w14:textFill>
        </w:rPr>
        <w:t>×U/</w:t>
      </w:r>
      <w:r>
        <w:rPr>
          <w:rFonts w:hint="eastAsia" w:eastAsia="仿宋_GB2312"/>
          <w:color w:val="000000" w:themeColor="text1"/>
          <w:sz w:val="28"/>
          <w:szCs w:val="28"/>
          <w:highlight w:val="none"/>
          <w14:textFill>
            <w14:solidFill>
              <w14:schemeClr w14:val="tx1"/>
            </w14:solidFill>
          </w14:textFill>
        </w:rPr>
        <w:t>当年实际天数</w:t>
      </w:r>
    </w:p>
    <w:p>
      <w:pPr>
        <w:spacing w:line="360" w:lineRule="auto"/>
        <w:ind w:firstLine="1960" w:firstLineChars="700"/>
        <w:rPr>
          <w:rFonts w:eastAsia="仿宋_GB2312"/>
          <w:color w:val="000000" w:themeColor="text1"/>
          <w:sz w:val="28"/>
          <w:szCs w:val="28"/>
          <w:highlight w:val="none"/>
          <w14:textFill>
            <w14:solidFill>
              <w14:schemeClr w14:val="tx1"/>
            </w14:solidFill>
          </w14:textFill>
        </w:rPr>
      </w:pPr>
      <w:r>
        <w:rPr>
          <w:rFonts w:eastAsia="仿宋_GB2312"/>
          <w:color w:val="000000" w:themeColor="text1"/>
          <w:sz w:val="28"/>
          <w:szCs w:val="28"/>
          <w:highlight w:val="none"/>
          <w14:textFill>
            <w14:solidFill>
              <w14:schemeClr w14:val="tx1"/>
            </w14:solidFill>
          </w14:textFill>
        </w:rPr>
        <w:t>I：每日应计提的投资管理费；</w:t>
      </w:r>
    </w:p>
    <w:p>
      <w:pPr>
        <w:spacing w:line="360" w:lineRule="auto"/>
        <w:ind w:firstLine="1960" w:firstLineChars="700"/>
        <w:rPr>
          <w:rFonts w:eastAsia="仿宋_GB2312"/>
          <w:color w:val="000000" w:themeColor="text1"/>
          <w:sz w:val="28"/>
          <w:szCs w:val="28"/>
          <w:highlight w:val="none"/>
          <w14:textFill>
            <w14:solidFill>
              <w14:schemeClr w14:val="tx1"/>
            </w14:solidFill>
          </w14:textFill>
        </w:rPr>
      </w:pPr>
      <w:r>
        <w:rPr>
          <w:rFonts w:eastAsia="仿宋_GB2312"/>
          <w:color w:val="000000" w:themeColor="text1"/>
          <w:sz w:val="28"/>
          <w:szCs w:val="28"/>
          <w:highlight w:val="none"/>
          <w14:textFill>
            <w14:solidFill>
              <w14:schemeClr w14:val="tx1"/>
            </w14:solidFill>
          </w14:textFill>
        </w:rPr>
        <w:t>E</w:t>
      </w:r>
      <w:r>
        <w:rPr>
          <w:rFonts w:hint="eastAsia" w:eastAsia="仿宋_GB2312"/>
          <w:color w:val="000000" w:themeColor="text1"/>
          <w:sz w:val="28"/>
          <w:szCs w:val="28"/>
          <w:highlight w:val="none"/>
          <w:vertAlign w:val="subscript"/>
          <w14:textFill>
            <w14:solidFill>
              <w14:schemeClr w14:val="tx1"/>
            </w14:solidFill>
          </w14:textFill>
        </w:rPr>
        <w:t>3</w:t>
      </w:r>
      <w:r>
        <w:rPr>
          <w:rFonts w:eastAsia="仿宋_GB2312"/>
          <w:color w:val="000000" w:themeColor="text1"/>
          <w:sz w:val="28"/>
          <w:szCs w:val="28"/>
          <w:highlight w:val="none"/>
          <w14:textFill>
            <w14:solidFill>
              <w14:schemeClr w14:val="tx1"/>
            </w14:solidFill>
          </w14:textFill>
        </w:rPr>
        <w:t>：前一日</w:t>
      </w:r>
      <w:r>
        <w:rPr>
          <w:rFonts w:hint="eastAsia" w:eastAsia="仿宋_GB2312"/>
          <w:color w:val="000000" w:themeColor="text1"/>
          <w:sz w:val="28"/>
          <w:szCs w:val="28"/>
          <w:highlight w:val="none"/>
          <w14:textFill>
            <w14:solidFill>
              <w14:schemeClr w14:val="tx1"/>
            </w14:solidFill>
          </w14:textFill>
        </w:rPr>
        <w:t>投资管理的</w:t>
      </w:r>
      <w:r>
        <w:rPr>
          <w:rFonts w:eastAsia="仿宋_GB2312"/>
          <w:color w:val="000000" w:themeColor="text1"/>
          <w:sz w:val="28"/>
          <w:szCs w:val="28"/>
          <w:highlight w:val="none"/>
          <w14:textFill>
            <w14:solidFill>
              <w14:schemeClr w14:val="tx1"/>
            </w14:solidFill>
          </w14:textFill>
        </w:rPr>
        <w:t>企业年金基金财产净值</w:t>
      </w:r>
      <w:r>
        <w:rPr>
          <w:rFonts w:hint="eastAsia" w:eastAsia="仿宋_GB2312"/>
          <w:color w:val="000000" w:themeColor="text1"/>
          <w:sz w:val="28"/>
          <w:szCs w:val="28"/>
          <w:highlight w:val="none"/>
          <w14:textFill>
            <w14:solidFill>
              <w14:schemeClr w14:val="tx1"/>
            </w14:solidFill>
          </w14:textFill>
        </w:rPr>
        <w:t>（首日不计提）</w:t>
      </w:r>
      <w:r>
        <w:rPr>
          <w:rFonts w:eastAsia="仿宋_GB2312"/>
          <w:color w:val="000000" w:themeColor="text1"/>
          <w:sz w:val="28"/>
          <w:szCs w:val="28"/>
          <w:highlight w:val="none"/>
          <w14:textFill>
            <w14:solidFill>
              <w14:schemeClr w14:val="tx1"/>
            </w14:solidFill>
          </w14:textFill>
        </w:rPr>
        <w:t>；</w:t>
      </w:r>
    </w:p>
    <w:p>
      <w:pPr>
        <w:spacing w:line="360" w:lineRule="auto"/>
        <w:ind w:firstLine="1960" w:firstLineChars="700"/>
        <w:rPr>
          <w:rFonts w:eastAsia="仿宋_GB2312"/>
          <w:color w:val="000000" w:themeColor="text1"/>
          <w:sz w:val="28"/>
          <w:szCs w:val="28"/>
          <w:highlight w:val="none"/>
          <w14:textFill>
            <w14:solidFill>
              <w14:schemeClr w14:val="tx1"/>
            </w14:solidFill>
          </w14:textFill>
        </w:rPr>
      </w:pPr>
      <w:r>
        <w:rPr>
          <w:rFonts w:eastAsia="仿宋_GB2312"/>
          <w:color w:val="000000" w:themeColor="text1"/>
          <w:sz w:val="28"/>
          <w:szCs w:val="28"/>
          <w:highlight w:val="none"/>
          <w14:textFill>
            <w14:solidFill>
              <w14:schemeClr w14:val="tx1"/>
            </w14:solidFill>
          </w14:textFill>
        </w:rPr>
        <w:t>U：本合同</w:t>
      </w:r>
      <w:r>
        <w:rPr>
          <w:rFonts w:hint="eastAsia" w:eastAsia="仿宋_GB2312"/>
          <w:color w:val="000000" w:themeColor="text1"/>
          <w:sz w:val="28"/>
          <w:szCs w:val="28"/>
          <w:highlight w:val="none"/>
          <w14:textFill>
            <w14:solidFill>
              <w14:schemeClr w14:val="tx1"/>
            </w14:solidFill>
          </w14:textFill>
        </w:rPr>
        <w:t>约</w:t>
      </w:r>
      <w:r>
        <w:rPr>
          <w:rFonts w:eastAsia="仿宋_GB2312"/>
          <w:color w:val="000000" w:themeColor="text1"/>
          <w:sz w:val="28"/>
          <w:szCs w:val="28"/>
          <w:highlight w:val="none"/>
          <w14:textFill>
            <w14:solidFill>
              <w14:schemeClr w14:val="tx1"/>
            </w14:solidFill>
          </w14:textFill>
        </w:rPr>
        <w:t>定的投资管理费年费率。</w:t>
      </w:r>
    </w:p>
    <w:p>
      <w:pPr>
        <w:spacing w:line="360" w:lineRule="auto"/>
        <w:ind w:left="1255" w:leftChars="267" w:hanging="694" w:hangingChars="248"/>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10.2.4.3.4  投资管理费每日计提，逐日累计，按季支付。</w:t>
      </w:r>
    </w:p>
    <w:p>
      <w:pPr>
        <w:spacing w:line="360" w:lineRule="auto"/>
        <w:ind w:left="1255" w:leftChars="267" w:hanging="694" w:hangingChars="248"/>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10.2.4.4  XXXX公司</w:t>
      </w:r>
      <w:r>
        <w:rPr>
          <w:rFonts w:hint="eastAsia" w:ascii="仿宋_GB2312" w:hAnsi="宋体" w:eastAsia="仿宋_GB2312"/>
          <w:color w:val="000000" w:themeColor="text1"/>
          <w:sz w:val="28"/>
          <w:szCs w:val="28"/>
          <w:highlight w:val="none"/>
          <w14:textFill>
            <w14:solidFill>
              <w14:schemeClr w14:val="tx1"/>
            </w14:solidFill>
          </w14:textFill>
        </w:rPr>
        <w:t>所管理组合为</w:t>
      </w:r>
      <w:r>
        <w:rPr>
          <w:rFonts w:hint="eastAsia" w:ascii="仿宋_GB2312" w:eastAsia="仿宋_GB2312"/>
          <w:color w:val="000000" w:themeColor="text1"/>
          <w:sz w:val="28"/>
          <w:szCs w:val="28"/>
          <w:highlight w:val="none"/>
          <w:shd w:val="clear" w:color="auto" w:fill="FFFFFF"/>
          <w14:textFill>
            <w14:solidFill>
              <w14:schemeClr w14:val="tx1"/>
            </w14:solidFill>
          </w14:textFill>
        </w:rPr>
        <w:t>含权组合。</w:t>
      </w:r>
    </w:p>
    <w:p>
      <w:pPr>
        <w:spacing w:line="360" w:lineRule="auto"/>
        <w:ind w:left="1255" w:leftChars="267" w:hanging="694" w:hangingChars="248"/>
        <w:rPr>
          <w:rFonts w:hint="eastAsia" w:ascii="仿宋_GB2312" w:hAnsi="宋体"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10.2.4.4.1  投资管理费为</w:t>
      </w:r>
      <w:r>
        <w:rPr>
          <w:rFonts w:hint="eastAsia" w:ascii="仿宋_GB2312" w:hAnsi="宋体" w:eastAsia="仿宋_GB2312"/>
          <w:color w:val="000000" w:themeColor="text1"/>
          <w:sz w:val="28"/>
          <w:szCs w:val="28"/>
          <w:highlight w:val="none"/>
          <w14:textFill>
            <w14:solidFill>
              <w14:schemeClr w14:val="tx1"/>
            </w14:solidFill>
          </w14:textFill>
        </w:rPr>
        <w:t>固定</w:t>
      </w:r>
      <w:r>
        <w:rPr>
          <w:rFonts w:hint="eastAsia" w:ascii="仿宋_GB2312" w:eastAsia="仿宋_GB2312"/>
          <w:color w:val="000000" w:themeColor="text1"/>
          <w:sz w:val="28"/>
          <w:szCs w:val="28"/>
          <w:highlight w:val="none"/>
          <w:shd w:val="clear" w:color="auto" w:fill="FFFFFF"/>
          <w14:textFill>
            <w14:solidFill>
              <w14:schemeClr w14:val="tx1"/>
            </w14:solidFill>
          </w14:textFill>
        </w:rPr>
        <w:t>投资</w:t>
      </w:r>
      <w:r>
        <w:rPr>
          <w:rFonts w:hint="eastAsia" w:ascii="仿宋_GB2312" w:hAnsi="宋体" w:eastAsia="仿宋_GB2312"/>
          <w:color w:val="000000" w:themeColor="text1"/>
          <w:sz w:val="28"/>
          <w:szCs w:val="28"/>
          <w:highlight w:val="none"/>
          <w14:textFill>
            <w14:solidFill>
              <w14:schemeClr w14:val="tx1"/>
            </w14:solidFill>
          </w14:textFill>
        </w:rPr>
        <w:t>管理费</w:t>
      </w:r>
      <w:r>
        <w:rPr>
          <w:rFonts w:hint="eastAsia" w:ascii="仿宋_GB2312" w:eastAsia="仿宋_GB2312"/>
          <w:bCs/>
          <w:color w:val="000000" w:themeColor="text1"/>
          <w:sz w:val="28"/>
          <w:szCs w:val="28"/>
          <w:highlight w:val="none"/>
          <w:shd w:val="clear" w:color="auto" w:fill="FFFFFF"/>
          <w14:textFill>
            <w14:solidFill>
              <w14:schemeClr w14:val="tx1"/>
            </w14:solidFill>
          </w14:textFill>
        </w:rPr>
        <w:t>模式</w:t>
      </w:r>
      <w:r>
        <w:rPr>
          <w:rFonts w:hint="eastAsia" w:ascii="仿宋_GB2312" w:hAnsi="宋体" w:eastAsia="仿宋_GB2312"/>
          <w:color w:val="000000" w:themeColor="text1"/>
          <w:sz w:val="28"/>
          <w:szCs w:val="28"/>
          <w:highlight w:val="none"/>
          <w14:textFill>
            <w14:solidFill>
              <w14:schemeClr w14:val="tx1"/>
            </w14:solidFill>
          </w14:textFill>
        </w:rPr>
        <w:t>。</w:t>
      </w:r>
    </w:p>
    <w:p>
      <w:pPr>
        <w:spacing w:line="360" w:lineRule="auto"/>
        <w:ind w:left="420" w:leftChars="200" w:right="206" w:rightChars="98" w:firstLine="140" w:firstLineChars="5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10.2.4.4.2  投资管理费按投资管理的企业年金基金财产净</w:t>
      </w:r>
    </w:p>
    <w:p>
      <w:pPr>
        <w:spacing w:line="360" w:lineRule="auto"/>
        <w:ind w:right="206" w:rightChars="98"/>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值的</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%年费率计提。</w:t>
      </w:r>
    </w:p>
    <w:p>
      <w:pPr>
        <w:spacing w:line="360" w:lineRule="auto"/>
        <w:ind w:firstLine="560" w:firstLineChars="200"/>
        <w:rPr>
          <w:rFonts w:hint="eastAsia"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10.2.4.4.3  投资管理费计算方式：</w:t>
      </w:r>
    </w:p>
    <w:p>
      <w:pPr>
        <w:spacing w:line="360" w:lineRule="auto"/>
        <w:ind w:firstLine="1960" w:firstLineChars="700"/>
        <w:rPr>
          <w:rFonts w:eastAsia="仿宋_GB2312"/>
          <w:color w:val="000000" w:themeColor="text1"/>
          <w:sz w:val="28"/>
          <w:szCs w:val="28"/>
          <w:highlight w:val="none"/>
          <w14:textFill>
            <w14:solidFill>
              <w14:schemeClr w14:val="tx1"/>
            </w14:solidFill>
          </w14:textFill>
        </w:rPr>
      </w:pPr>
      <w:r>
        <w:rPr>
          <w:rFonts w:eastAsia="仿宋_GB2312"/>
          <w:color w:val="000000" w:themeColor="text1"/>
          <w:sz w:val="28"/>
          <w:szCs w:val="28"/>
          <w:highlight w:val="none"/>
          <w14:textFill>
            <w14:solidFill>
              <w14:schemeClr w14:val="tx1"/>
            </w14:solidFill>
          </w14:textFill>
        </w:rPr>
        <w:t>I=E</w:t>
      </w:r>
      <w:r>
        <w:rPr>
          <w:rFonts w:hint="eastAsia" w:eastAsia="仿宋_GB2312"/>
          <w:color w:val="000000" w:themeColor="text1"/>
          <w:sz w:val="28"/>
          <w:szCs w:val="28"/>
          <w:highlight w:val="none"/>
          <w:vertAlign w:val="subscript"/>
          <w14:textFill>
            <w14:solidFill>
              <w14:schemeClr w14:val="tx1"/>
            </w14:solidFill>
          </w14:textFill>
        </w:rPr>
        <w:t>3</w:t>
      </w:r>
      <w:r>
        <w:rPr>
          <w:rFonts w:eastAsia="仿宋_GB2312"/>
          <w:color w:val="000000" w:themeColor="text1"/>
          <w:sz w:val="28"/>
          <w:szCs w:val="28"/>
          <w:highlight w:val="none"/>
          <w14:textFill>
            <w14:solidFill>
              <w14:schemeClr w14:val="tx1"/>
            </w14:solidFill>
          </w14:textFill>
        </w:rPr>
        <w:t>×U/</w:t>
      </w:r>
      <w:r>
        <w:rPr>
          <w:rFonts w:hint="eastAsia" w:eastAsia="仿宋_GB2312"/>
          <w:color w:val="000000" w:themeColor="text1"/>
          <w:sz w:val="28"/>
          <w:szCs w:val="28"/>
          <w:highlight w:val="none"/>
          <w14:textFill>
            <w14:solidFill>
              <w14:schemeClr w14:val="tx1"/>
            </w14:solidFill>
          </w14:textFill>
        </w:rPr>
        <w:t>当年实际天数</w:t>
      </w:r>
    </w:p>
    <w:p>
      <w:pPr>
        <w:spacing w:line="360" w:lineRule="auto"/>
        <w:ind w:firstLine="1960" w:firstLineChars="700"/>
        <w:rPr>
          <w:rFonts w:eastAsia="仿宋_GB2312"/>
          <w:color w:val="000000" w:themeColor="text1"/>
          <w:sz w:val="28"/>
          <w:szCs w:val="28"/>
          <w:highlight w:val="none"/>
          <w14:textFill>
            <w14:solidFill>
              <w14:schemeClr w14:val="tx1"/>
            </w14:solidFill>
          </w14:textFill>
        </w:rPr>
      </w:pPr>
      <w:r>
        <w:rPr>
          <w:rFonts w:eastAsia="仿宋_GB2312"/>
          <w:color w:val="000000" w:themeColor="text1"/>
          <w:sz w:val="28"/>
          <w:szCs w:val="28"/>
          <w:highlight w:val="none"/>
          <w14:textFill>
            <w14:solidFill>
              <w14:schemeClr w14:val="tx1"/>
            </w14:solidFill>
          </w14:textFill>
        </w:rPr>
        <w:t>I：每日应计提的投资管理费；</w:t>
      </w:r>
    </w:p>
    <w:p>
      <w:pPr>
        <w:spacing w:line="360" w:lineRule="auto"/>
        <w:ind w:firstLine="1960" w:firstLineChars="700"/>
        <w:rPr>
          <w:rFonts w:eastAsia="仿宋_GB2312"/>
          <w:color w:val="000000" w:themeColor="text1"/>
          <w:sz w:val="28"/>
          <w:szCs w:val="28"/>
          <w:highlight w:val="none"/>
          <w14:textFill>
            <w14:solidFill>
              <w14:schemeClr w14:val="tx1"/>
            </w14:solidFill>
          </w14:textFill>
        </w:rPr>
      </w:pPr>
      <w:r>
        <w:rPr>
          <w:rFonts w:eastAsia="仿宋_GB2312"/>
          <w:color w:val="000000" w:themeColor="text1"/>
          <w:sz w:val="28"/>
          <w:szCs w:val="28"/>
          <w:highlight w:val="none"/>
          <w14:textFill>
            <w14:solidFill>
              <w14:schemeClr w14:val="tx1"/>
            </w14:solidFill>
          </w14:textFill>
        </w:rPr>
        <w:t>E</w:t>
      </w:r>
      <w:r>
        <w:rPr>
          <w:rFonts w:hint="eastAsia" w:eastAsia="仿宋_GB2312"/>
          <w:color w:val="000000" w:themeColor="text1"/>
          <w:sz w:val="28"/>
          <w:szCs w:val="28"/>
          <w:highlight w:val="none"/>
          <w:vertAlign w:val="subscript"/>
          <w14:textFill>
            <w14:solidFill>
              <w14:schemeClr w14:val="tx1"/>
            </w14:solidFill>
          </w14:textFill>
        </w:rPr>
        <w:t>3</w:t>
      </w:r>
      <w:r>
        <w:rPr>
          <w:rFonts w:eastAsia="仿宋_GB2312"/>
          <w:color w:val="000000" w:themeColor="text1"/>
          <w:sz w:val="28"/>
          <w:szCs w:val="28"/>
          <w:highlight w:val="none"/>
          <w14:textFill>
            <w14:solidFill>
              <w14:schemeClr w14:val="tx1"/>
            </w14:solidFill>
          </w14:textFill>
        </w:rPr>
        <w:t>：前一日</w:t>
      </w:r>
      <w:r>
        <w:rPr>
          <w:rFonts w:hint="eastAsia" w:eastAsia="仿宋_GB2312"/>
          <w:color w:val="000000" w:themeColor="text1"/>
          <w:sz w:val="28"/>
          <w:szCs w:val="28"/>
          <w:highlight w:val="none"/>
          <w14:textFill>
            <w14:solidFill>
              <w14:schemeClr w14:val="tx1"/>
            </w14:solidFill>
          </w14:textFill>
        </w:rPr>
        <w:t>投资管理的</w:t>
      </w:r>
      <w:r>
        <w:rPr>
          <w:rFonts w:eastAsia="仿宋_GB2312"/>
          <w:color w:val="000000" w:themeColor="text1"/>
          <w:sz w:val="28"/>
          <w:szCs w:val="28"/>
          <w:highlight w:val="none"/>
          <w14:textFill>
            <w14:solidFill>
              <w14:schemeClr w14:val="tx1"/>
            </w14:solidFill>
          </w14:textFill>
        </w:rPr>
        <w:t>企业年金基金财产净值</w:t>
      </w:r>
      <w:r>
        <w:rPr>
          <w:rFonts w:hint="eastAsia" w:eastAsia="仿宋_GB2312"/>
          <w:color w:val="000000" w:themeColor="text1"/>
          <w:sz w:val="28"/>
          <w:szCs w:val="28"/>
          <w:highlight w:val="none"/>
          <w14:textFill>
            <w14:solidFill>
              <w14:schemeClr w14:val="tx1"/>
            </w14:solidFill>
          </w14:textFill>
        </w:rPr>
        <w:t>（首日不计提）</w:t>
      </w:r>
      <w:r>
        <w:rPr>
          <w:rFonts w:eastAsia="仿宋_GB2312"/>
          <w:color w:val="000000" w:themeColor="text1"/>
          <w:sz w:val="28"/>
          <w:szCs w:val="28"/>
          <w:highlight w:val="none"/>
          <w14:textFill>
            <w14:solidFill>
              <w14:schemeClr w14:val="tx1"/>
            </w14:solidFill>
          </w14:textFill>
        </w:rPr>
        <w:t>；</w:t>
      </w:r>
    </w:p>
    <w:p>
      <w:pPr>
        <w:spacing w:line="360" w:lineRule="auto"/>
        <w:ind w:firstLine="1960" w:firstLineChars="700"/>
        <w:rPr>
          <w:rFonts w:eastAsia="仿宋_GB2312"/>
          <w:color w:val="000000" w:themeColor="text1"/>
          <w:sz w:val="28"/>
          <w:szCs w:val="28"/>
          <w:highlight w:val="none"/>
          <w14:textFill>
            <w14:solidFill>
              <w14:schemeClr w14:val="tx1"/>
            </w14:solidFill>
          </w14:textFill>
        </w:rPr>
      </w:pPr>
      <w:r>
        <w:rPr>
          <w:rFonts w:eastAsia="仿宋_GB2312"/>
          <w:color w:val="000000" w:themeColor="text1"/>
          <w:sz w:val="28"/>
          <w:szCs w:val="28"/>
          <w:highlight w:val="none"/>
          <w14:textFill>
            <w14:solidFill>
              <w14:schemeClr w14:val="tx1"/>
            </w14:solidFill>
          </w14:textFill>
        </w:rPr>
        <w:t>U：本合同</w:t>
      </w:r>
      <w:r>
        <w:rPr>
          <w:rFonts w:hint="eastAsia" w:eastAsia="仿宋_GB2312"/>
          <w:color w:val="000000" w:themeColor="text1"/>
          <w:sz w:val="28"/>
          <w:szCs w:val="28"/>
          <w:highlight w:val="none"/>
          <w14:textFill>
            <w14:solidFill>
              <w14:schemeClr w14:val="tx1"/>
            </w14:solidFill>
          </w14:textFill>
        </w:rPr>
        <w:t>约</w:t>
      </w:r>
      <w:r>
        <w:rPr>
          <w:rFonts w:eastAsia="仿宋_GB2312"/>
          <w:color w:val="000000" w:themeColor="text1"/>
          <w:sz w:val="28"/>
          <w:szCs w:val="28"/>
          <w:highlight w:val="none"/>
          <w14:textFill>
            <w14:solidFill>
              <w14:schemeClr w14:val="tx1"/>
            </w14:solidFill>
          </w14:textFill>
        </w:rPr>
        <w:t>定的投资管理费年费率。</w:t>
      </w:r>
    </w:p>
    <w:p>
      <w:pPr>
        <w:spacing w:line="360" w:lineRule="auto"/>
        <w:ind w:left="1255" w:leftChars="267" w:hanging="694" w:hangingChars="248"/>
        <w:rPr>
          <w:rFonts w:hint="eastAsia" w:ascii="仿宋_GB2312" w:hAnsi="宋体"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10.2.4.4.4  投资管理费每日计提，逐日累计，按季支付。</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10.2.5  企业年金基金投资运作的会计季度（成立当季或最后一季）为非完整会计季度，以当季的实际运作天数计提并支付受托管理费、托管费或投资管理费。</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10.2.6  除委托人支付的账户管理费外，第10.1款所列各项企业年金基金费用均在企业年金基金财产中列支。</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10.2.7  本合同约定的各项管理费用不得超过《企业年金基金管理办法》规定的上限，不得低于《企业年金管理机构行业自律公约》约定的下限。</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shd w:val="clear" w:color="auto" w:fill="FFFFFF"/>
          <w14:textFill>
            <w14:solidFill>
              <w14:schemeClr w14:val="tx1"/>
            </w14:solidFill>
          </w14:textFill>
        </w:rPr>
        <w:t>管理费上限＝∑每日资产净值/当年实际天数×上限费率</w:t>
      </w:r>
    </w:p>
    <w:p>
      <w:pPr>
        <w:pStyle w:val="3"/>
        <w:jc w:val="center"/>
        <w:rPr>
          <w:rFonts w:hint="eastAsia" w:ascii="黑体" w:hAnsi="黑体" w:eastAsia="黑体"/>
          <w:b w:val="0"/>
          <w:bCs w:val="0"/>
          <w:color w:val="000000" w:themeColor="text1"/>
          <w:sz w:val="28"/>
          <w:szCs w:val="28"/>
          <w:highlight w:val="none"/>
          <w14:textFill>
            <w14:solidFill>
              <w14:schemeClr w14:val="tx1"/>
            </w14:solidFill>
          </w14:textFill>
        </w:rPr>
      </w:pPr>
      <w:bookmarkStart w:id="62" w:name="_Toc311040996"/>
      <w:bookmarkStart w:id="63" w:name="_Toc312"/>
      <w:r>
        <w:rPr>
          <w:rFonts w:hint="eastAsia" w:ascii="黑体" w:hAnsi="黑体" w:eastAsia="黑体"/>
          <w:b w:val="0"/>
          <w:bCs w:val="0"/>
          <w:color w:val="000000" w:themeColor="text1"/>
          <w:sz w:val="28"/>
          <w:szCs w:val="28"/>
          <w:highlight w:val="none"/>
          <w14:textFill>
            <w14:solidFill>
              <w14:schemeClr w14:val="tx1"/>
            </w14:solidFill>
          </w14:textFill>
        </w:rPr>
        <w:t>第十一章  企业年金基金的审计</w:t>
      </w:r>
      <w:bookmarkEnd w:id="62"/>
      <w:r>
        <w:rPr>
          <w:rFonts w:hint="eastAsia" w:ascii="黑体" w:hAnsi="黑体" w:eastAsia="黑体"/>
          <w:b w:val="0"/>
          <w:bCs w:val="0"/>
          <w:color w:val="000000" w:themeColor="text1"/>
          <w:sz w:val="28"/>
          <w:szCs w:val="28"/>
          <w:highlight w:val="none"/>
          <w14:textFill>
            <w14:solidFill>
              <w14:schemeClr w14:val="tx1"/>
            </w14:solidFill>
          </w14:textFill>
        </w:rPr>
        <w:t>与清算</w:t>
      </w:r>
      <w:bookmarkEnd w:id="63"/>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11.1  企业年金基金审计。</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11.1.1  发生以下情形之一的，受托人应当聘请会计师事务所对企业年金计划进行审计：</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11.1.1.1  企业年金计划连续运作满三个会计年度；</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11.1.1.2  受托人、账户管理人、托管人或投资管理人职责终止；</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11.1.1.3  法律法规规定的其他情形。</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11.1.2  受托人聘请与委托人、受托人、账户管理人、托管人或投资管理人非关联方的会计师事务所和注册会计师对企业年金基金进行审计，账户管理人、托管人、投资管理人应当配合会计师事务所对企业年金计划进行审计。</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11.1.3  受托人自第11.1.1款情况发生之日起50日内向委托人以及人力资源社会保障行政部门提交审计报告。</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11.2  企业年金基金清算。</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11.2.1  企业年金计划终止的，受托人应当按照有关规定组织清算组对企业年金基金财产进行清算，自清算工作完成后3个月内，向人力资源社会保障行政部门及委托人提交经会计师事务所审计以及律师事务所出具法律意见书的清算报告，并向受益人公告。</w:t>
      </w:r>
    </w:p>
    <w:p>
      <w:pPr>
        <w:pStyle w:val="3"/>
        <w:jc w:val="center"/>
        <w:rPr>
          <w:rFonts w:hint="eastAsia" w:ascii="黑体" w:hAnsi="黑体" w:eastAsia="黑体"/>
          <w:b w:val="0"/>
          <w:bCs w:val="0"/>
          <w:color w:val="000000" w:themeColor="text1"/>
          <w:sz w:val="28"/>
          <w:szCs w:val="28"/>
          <w:highlight w:val="none"/>
          <w14:textFill>
            <w14:solidFill>
              <w14:schemeClr w14:val="tx1"/>
            </w14:solidFill>
          </w14:textFill>
        </w:rPr>
      </w:pPr>
      <w:bookmarkStart w:id="64" w:name="_Toc24691"/>
      <w:bookmarkStart w:id="65" w:name="_Toc196484085"/>
      <w:bookmarkStart w:id="66" w:name="_Toc311040997"/>
      <w:r>
        <w:rPr>
          <w:rFonts w:hint="eastAsia" w:ascii="黑体" w:hAnsi="黑体" w:eastAsia="黑体"/>
          <w:b w:val="0"/>
          <w:bCs w:val="0"/>
          <w:color w:val="000000" w:themeColor="text1"/>
          <w:sz w:val="28"/>
          <w:szCs w:val="28"/>
          <w:highlight w:val="none"/>
          <w14:textFill>
            <w14:solidFill>
              <w14:schemeClr w14:val="tx1"/>
            </w14:solidFill>
          </w14:textFill>
        </w:rPr>
        <w:t>第十二章  企业年金基金的信息报告与披露</w:t>
      </w:r>
      <w:bookmarkEnd w:id="64"/>
      <w:bookmarkEnd w:id="65"/>
      <w:bookmarkEnd w:id="66"/>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12.1  定期报告。</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12.1.1  受托管理定期报告：受托人应在每季度结束后30日内向委托人提交企业年金基金管理季度报告；并应当在每年度结束后60日内向委托人提交企业年金基金管理年度报告。报告内容及格式以人力资源社会保障部规定为准。自企业年金计划首笔缴费进入受托财产托管账户之日起不满3个月的，受托人可不提供企业年金基金管理季度报告和企业年金基金管理年度报告。</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12.1.2  企业年金计划受益人年度权益报告：受托人要求账户管理人在年度结束后60日内向受益人提交企业年金权益年度报告。报告内容及格式以人力资源社会保障部规定为准。</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12.2  临时报告。</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受托人在履行本合同过程中，如遇法律法规规定的临时报告事项，应当及时向有关监管部门报告，并自知晓或者应当知晓该事件发生之日起5个工作日内向委托人报告。</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12.3  职责终止报告。</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受托人、账户管理人、托管人或投资管理人职责终止的，</w:t>
      </w:r>
      <w:r>
        <w:rPr>
          <w:rFonts w:ascii="仿宋_GB2312" w:eastAsia="仿宋_GB2312"/>
          <w:color w:val="000000" w:themeColor="text1"/>
          <w:sz w:val="28"/>
          <w:szCs w:val="28"/>
          <w:highlight w:val="none"/>
          <w14:textFill>
            <w14:solidFill>
              <w14:schemeClr w14:val="tx1"/>
            </w14:solidFill>
          </w14:textFill>
        </w:rPr>
        <w:t>受托人自</w:t>
      </w:r>
      <w:r>
        <w:rPr>
          <w:rFonts w:hint="eastAsia" w:ascii="仿宋_GB2312" w:eastAsia="仿宋_GB2312"/>
          <w:color w:val="000000" w:themeColor="text1"/>
          <w:sz w:val="28"/>
          <w:szCs w:val="28"/>
          <w:highlight w:val="none"/>
          <w14:textFill>
            <w14:solidFill>
              <w14:schemeClr w14:val="tx1"/>
            </w14:solidFill>
          </w14:textFill>
        </w:rPr>
        <w:t>管理职责终止后50</w:t>
      </w:r>
      <w:r>
        <w:rPr>
          <w:rFonts w:ascii="仿宋_GB2312" w:eastAsia="仿宋_GB2312"/>
          <w:color w:val="000000" w:themeColor="text1"/>
          <w:sz w:val="28"/>
          <w:szCs w:val="28"/>
          <w:highlight w:val="none"/>
          <w14:textFill>
            <w14:solidFill>
              <w14:schemeClr w14:val="tx1"/>
            </w14:solidFill>
          </w14:textFill>
        </w:rPr>
        <w:t>日内向委托人</w:t>
      </w:r>
      <w:r>
        <w:rPr>
          <w:rFonts w:hint="eastAsia" w:ascii="仿宋_GB2312" w:eastAsia="仿宋_GB2312"/>
          <w:color w:val="000000" w:themeColor="text1"/>
          <w:sz w:val="28"/>
          <w:szCs w:val="28"/>
          <w:highlight w:val="none"/>
          <w14:textFill>
            <w14:solidFill>
              <w14:schemeClr w14:val="tx1"/>
            </w14:solidFill>
          </w14:textFill>
        </w:rPr>
        <w:t>提交企业年金管理情况</w:t>
      </w:r>
      <w:r>
        <w:rPr>
          <w:rFonts w:ascii="仿宋_GB2312" w:eastAsia="仿宋_GB2312"/>
          <w:color w:val="000000" w:themeColor="text1"/>
          <w:sz w:val="28"/>
          <w:szCs w:val="28"/>
          <w:highlight w:val="none"/>
          <w14:textFill>
            <w14:solidFill>
              <w14:schemeClr w14:val="tx1"/>
            </w14:solidFill>
          </w14:textFill>
        </w:rPr>
        <w:t>报告</w:t>
      </w:r>
      <w:r>
        <w:rPr>
          <w:rFonts w:hint="eastAsia" w:ascii="仿宋_GB2312" w:eastAsia="仿宋_GB2312"/>
          <w:color w:val="000000" w:themeColor="text1"/>
          <w:sz w:val="28"/>
          <w:szCs w:val="28"/>
          <w:highlight w:val="none"/>
          <w14:textFill>
            <w14:solidFill>
              <w14:schemeClr w14:val="tx1"/>
            </w14:solidFill>
          </w14:textFill>
        </w:rPr>
        <w:t>，</w:t>
      </w:r>
      <w:r>
        <w:rPr>
          <w:rFonts w:ascii="仿宋_GB2312" w:eastAsia="仿宋_GB2312"/>
          <w:color w:val="000000" w:themeColor="text1"/>
          <w:sz w:val="28"/>
          <w:szCs w:val="28"/>
          <w:highlight w:val="none"/>
          <w14:textFill>
            <w14:solidFill>
              <w14:schemeClr w14:val="tx1"/>
            </w14:solidFill>
          </w14:textFill>
        </w:rPr>
        <w:t>报告</w:t>
      </w:r>
      <w:r>
        <w:rPr>
          <w:rFonts w:hint="eastAsia" w:ascii="仿宋_GB2312" w:eastAsia="仿宋_GB2312"/>
          <w:color w:val="000000" w:themeColor="text1"/>
          <w:sz w:val="28"/>
          <w:szCs w:val="28"/>
          <w:highlight w:val="none"/>
          <w14:textFill>
            <w14:solidFill>
              <w14:schemeClr w14:val="tx1"/>
            </w14:solidFill>
          </w14:textFill>
        </w:rPr>
        <w:t>应当</w:t>
      </w:r>
      <w:r>
        <w:rPr>
          <w:rFonts w:ascii="仿宋_GB2312" w:eastAsia="仿宋_GB2312"/>
          <w:color w:val="000000" w:themeColor="text1"/>
          <w:sz w:val="28"/>
          <w:szCs w:val="28"/>
          <w:highlight w:val="none"/>
          <w14:textFill>
            <w14:solidFill>
              <w14:schemeClr w14:val="tx1"/>
            </w14:solidFill>
          </w14:textFill>
        </w:rPr>
        <w:t>说明</w:t>
      </w:r>
      <w:r>
        <w:rPr>
          <w:rFonts w:hint="eastAsia" w:ascii="仿宋_GB2312" w:eastAsia="仿宋_GB2312"/>
          <w:color w:val="000000" w:themeColor="text1"/>
          <w:sz w:val="28"/>
          <w:szCs w:val="28"/>
          <w:highlight w:val="none"/>
          <w14:textFill>
            <w14:solidFill>
              <w14:schemeClr w14:val="tx1"/>
            </w14:solidFill>
          </w14:textFill>
        </w:rPr>
        <w:t>职责</w:t>
      </w:r>
      <w:r>
        <w:rPr>
          <w:rFonts w:ascii="仿宋_GB2312" w:eastAsia="仿宋_GB2312"/>
          <w:color w:val="000000" w:themeColor="text1"/>
          <w:sz w:val="28"/>
          <w:szCs w:val="28"/>
          <w:highlight w:val="none"/>
          <w14:textFill>
            <w14:solidFill>
              <w14:schemeClr w14:val="tx1"/>
            </w14:solidFill>
          </w14:textFill>
        </w:rPr>
        <w:t>终止原因、未尽事项及处理建议等。</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12.4  信息披露方式。</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12.4.1  信息报告与披露采取纸质文本或电子文本的方式。</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12.4.2  受托人或账户管理人应当同时向委托人及受益人提供互联网或电话查询服务。</w:t>
      </w:r>
    </w:p>
    <w:p>
      <w:pPr>
        <w:pStyle w:val="3"/>
        <w:jc w:val="center"/>
        <w:rPr>
          <w:rFonts w:hint="eastAsia" w:ascii="黑体" w:hAnsi="黑体" w:eastAsia="黑体"/>
          <w:b w:val="0"/>
          <w:bCs w:val="0"/>
          <w:color w:val="000000" w:themeColor="text1"/>
          <w:sz w:val="28"/>
          <w:szCs w:val="28"/>
          <w:highlight w:val="none"/>
          <w14:textFill>
            <w14:solidFill>
              <w14:schemeClr w14:val="tx1"/>
            </w14:solidFill>
          </w14:textFill>
        </w:rPr>
      </w:pPr>
      <w:bookmarkStart w:id="67" w:name="_Toc14605"/>
      <w:bookmarkStart w:id="68" w:name="_Toc311040998"/>
      <w:r>
        <w:rPr>
          <w:rFonts w:hint="eastAsia" w:ascii="黑体" w:hAnsi="黑体" w:eastAsia="黑体"/>
          <w:b w:val="0"/>
          <w:bCs w:val="0"/>
          <w:color w:val="000000" w:themeColor="text1"/>
          <w:sz w:val="28"/>
          <w:szCs w:val="28"/>
          <w:highlight w:val="none"/>
          <w14:textFill>
            <w14:solidFill>
              <w14:schemeClr w14:val="tx1"/>
            </w14:solidFill>
          </w14:textFill>
        </w:rPr>
        <w:t>第十三章  禁止行为</w:t>
      </w:r>
      <w:bookmarkEnd w:id="67"/>
      <w:bookmarkEnd w:id="68"/>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本合同当事人禁止从事的行为，包括但不限于：</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13.1  甲方违反企业年金方案规定缴费；</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13.2  甲方或乙方提供虚假信息；</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13.3  甲方或乙方侵占、挪用企业年金基金财产；</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13.4  甲方或乙方利用企业年金基金财产为本公司或他人谋求不正当利益；</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13.5  乙方管理企业年金基金财产产生的债权债务与其固有财产产生的债权债务相</w:t>
      </w:r>
      <w:r>
        <w:rPr>
          <w:rFonts w:hint="eastAsia" w:ascii="仿宋_GB2312" w:eastAsia="仿宋_GB2312"/>
          <w:color w:val="000000" w:themeColor="text1"/>
          <w:sz w:val="28"/>
          <w:szCs w:val="28"/>
          <w:highlight w:val="none"/>
          <w:lang w:eastAsia="zh-CN"/>
          <w14:textFill>
            <w14:solidFill>
              <w14:schemeClr w14:val="tx1"/>
            </w14:solidFill>
          </w14:textFill>
        </w:rPr>
        <w:t>抵消</w:t>
      </w:r>
      <w:r>
        <w:rPr>
          <w:rFonts w:hint="eastAsia" w:ascii="仿宋_GB2312" w:eastAsia="仿宋_GB2312"/>
          <w:color w:val="000000" w:themeColor="text1"/>
          <w:sz w:val="28"/>
          <w:szCs w:val="28"/>
          <w:highlight w:val="none"/>
          <w14:textFill>
            <w14:solidFill>
              <w14:schemeClr w14:val="tx1"/>
            </w14:solidFill>
          </w14:textFill>
        </w:rPr>
        <w:t>；</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13.6  乙方管理不同企业年金计划的企业年金基金财产产生的债权债务相</w:t>
      </w:r>
      <w:r>
        <w:rPr>
          <w:rFonts w:hint="eastAsia" w:ascii="仿宋_GB2312" w:eastAsia="仿宋_GB2312"/>
          <w:color w:val="000000" w:themeColor="text1"/>
          <w:sz w:val="28"/>
          <w:szCs w:val="28"/>
          <w:highlight w:val="none"/>
          <w:lang w:eastAsia="zh-CN"/>
          <w14:textFill>
            <w14:solidFill>
              <w14:schemeClr w14:val="tx1"/>
            </w14:solidFill>
          </w14:textFill>
        </w:rPr>
        <w:t>抵消</w:t>
      </w:r>
      <w:r>
        <w:rPr>
          <w:rFonts w:hint="eastAsia" w:ascii="仿宋_GB2312" w:eastAsia="仿宋_GB2312"/>
          <w:color w:val="000000" w:themeColor="text1"/>
          <w:sz w:val="28"/>
          <w:szCs w:val="28"/>
          <w:highlight w:val="none"/>
          <w14:textFill>
            <w14:solidFill>
              <w14:schemeClr w14:val="tx1"/>
            </w14:solidFill>
          </w14:textFill>
        </w:rPr>
        <w:t>；</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13.7  乙方不公平地对待其管理的不同企业年金计划的企业年金基金财产；</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13.8  乙方将其固有财产或他人财产混同于企业年金基金财产进行投资；</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 xml:space="preserve">13.9  </w:t>
      </w:r>
      <w:bookmarkStart w:id="69" w:name="_Toc196484087"/>
      <w:r>
        <w:rPr>
          <w:rFonts w:hint="eastAsia" w:ascii="仿宋_GB2312" w:eastAsia="仿宋_GB2312"/>
          <w:color w:val="000000" w:themeColor="text1"/>
          <w:sz w:val="28"/>
          <w:szCs w:val="28"/>
          <w:highlight w:val="none"/>
          <w14:textFill>
            <w14:solidFill>
              <w14:schemeClr w14:val="tx1"/>
            </w14:solidFill>
          </w14:textFill>
        </w:rPr>
        <w:t>法律法规规定及本合同约定禁止的其他行为。</w:t>
      </w:r>
    </w:p>
    <w:p>
      <w:pPr>
        <w:pStyle w:val="3"/>
        <w:jc w:val="center"/>
        <w:rPr>
          <w:rFonts w:hint="eastAsia" w:ascii="黑体" w:hAnsi="黑体" w:eastAsia="黑体"/>
          <w:b w:val="0"/>
          <w:bCs w:val="0"/>
          <w:color w:val="000000" w:themeColor="text1"/>
          <w:sz w:val="28"/>
          <w:szCs w:val="28"/>
          <w:highlight w:val="none"/>
          <w14:textFill>
            <w14:solidFill>
              <w14:schemeClr w14:val="tx1"/>
            </w14:solidFill>
          </w14:textFill>
        </w:rPr>
      </w:pPr>
      <w:bookmarkStart w:id="70" w:name="_Toc22476"/>
      <w:bookmarkStart w:id="71" w:name="_Toc311040999"/>
      <w:r>
        <w:rPr>
          <w:rFonts w:hint="eastAsia" w:ascii="黑体" w:hAnsi="黑体" w:eastAsia="黑体"/>
          <w:b w:val="0"/>
          <w:bCs w:val="0"/>
          <w:color w:val="000000" w:themeColor="text1"/>
          <w:sz w:val="28"/>
          <w:szCs w:val="28"/>
          <w:highlight w:val="none"/>
          <w14:textFill>
            <w14:solidFill>
              <w14:schemeClr w14:val="tx1"/>
            </w14:solidFill>
          </w14:textFill>
        </w:rPr>
        <w:t>第十四章  违约责任与免责条款</w:t>
      </w:r>
      <w:bookmarkEnd w:id="69"/>
      <w:bookmarkEnd w:id="70"/>
      <w:bookmarkEnd w:id="71"/>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14.1  甲方或乙方未履行本合同约定的义务，或一方在本合同中的声明与承诺严重失实或有重大遗漏，视为该方违约。违约方应当承担违约责任并赔偿因其违约而造成的损失。</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14.2  如甲方的企业年金基金财产来源不合法致使本合同约定的受托关系无效，以及由此引发的责任、损失、费用和债务，全部由甲方承担。</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14.3  甲方未及时支付账户管理费，导致账户管理人暂停向甲方提供本合同约定的服务，因此给企业年金基金财产和受益人造成的损失，由甲方承担。</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14.4  甲方无正当理由不得干预乙方行使法律法规赋予的受托人职责，如因甲方无故干预，导致企业年金基金财产受到损失的，乙方免除责任。</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14</w:t>
      </w:r>
      <w:r>
        <w:rPr>
          <w:rFonts w:ascii="仿宋_GB2312" w:eastAsia="仿宋_GB2312"/>
          <w:color w:val="000000" w:themeColor="text1"/>
          <w:sz w:val="28"/>
          <w:szCs w:val="28"/>
          <w:highlight w:val="none"/>
          <w14:textFill>
            <w14:solidFill>
              <w14:schemeClr w14:val="tx1"/>
            </w14:solidFill>
          </w14:textFill>
        </w:rPr>
        <w:t>.</w:t>
      </w:r>
      <w:r>
        <w:rPr>
          <w:rFonts w:hint="eastAsia" w:ascii="仿宋_GB2312" w:eastAsia="仿宋_GB2312"/>
          <w:color w:val="000000" w:themeColor="text1"/>
          <w:sz w:val="28"/>
          <w:szCs w:val="28"/>
          <w:highlight w:val="none"/>
          <w14:textFill>
            <w14:solidFill>
              <w14:schemeClr w14:val="tx1"/>
            </w14:solidFill>
          </w14:textFill>
        </w:rPr>
        <w:t>5</w:t>
      </w:r>
      <w:r>
        <w:rPr>
          <w:rFonts w:ascii="仿宋_GB2312" w:eastAsia="仿宋_GB2312"/>
          <w:color w:val="000000" w:themeColor="text1"/>
          <w:sz w:val="28"/>
          <w:szCs w:val="28"/>
          <w:highlight w:val="non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甲方办理企业年金基金财产转移、受益人企业年金个人权益转移时，因新受托人未尽责等非乙方原因导致乙方未能及时办理移交手续的，乙方免除责任。</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14.6  受益人未行使本合同约定的权利所引发的风险或产生的损失，乙方免除责任。</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14.7  当事人一方因不可抗力不能履行本合同，根据不可抗力的影响，部分或全部免除违约责任。不能履行合同的一方应当及时通知对方，以减轻可能给企业年金基金财产及对方造成的损失，并应当在合理期限内提供不可抗力的证明。</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14.8  本合同期间，除本合同约定原因外，甲乙双方不得擅自单方提前终止本合同，否则应当赔偿由此给企业年金基金财产及对方造成的损失。</w:t>
      </w:r>
    </w:p>
    <w:p>
      <w:pPr>
        <w:pStyle w:val="3"/>
        <w:jc w:val="center"/>
        <w:rPr>
          <w:rFonts w:hint="eastAsia" w:ascii="黑体" w:hAnsi="黑体" w:eastAsia="黑体"/>
          <w:b w:val="0"/>
          <w:bCs w:val="0"/>
          <w:color w:val="000000" w:themeColor="text1"/>
          <w:sz w:val="28"/>
          <w:szCs w:val="28"/>
          <w:highlight w:val="none"/>
          <w14:textFill>
            <w14:solidFill>
              <w14:schemeClr w14:val="tx1"/>
            </w14:solidFill>
          </w14:textFill>
        </w:rPr>
      </w:pPr>
      <w:bookmarkStart w:id="72" w:name="_Toc196484088"/>
      <w:bookmarkStart w:id="73" w:name="_Toc311041000"/>
      <w:bookmarkStart w:id="74" w:name="_Toc8091"/>
      <w:r>
        <w:rPr>
          <w:rFonts w:hint="eastAsia" w:ascii="黑体" w:hAnsi="黑体" w:eastAsia="黑体"/>
          <w:b w:val="0"/>
          <w:bCs w:val="0"/>
          <w:color w:val="000000" w:themeColor="text1"/>
          <w:sz w:val="28"/>
          <w:szCs w:val="28"/>
          <w:highlight w:val="none"/>
          <w14:textFill>
            <w14:solidFill>
              <w14:schemeClr w14:val="tx1"/>
            </w14:solidFill>
          </w14:textFill>
        </w:rPr>
        <w:t>第十五章  争议的处理</w:t>
      </w:r>
      <w:bookmarkEnd w:id="72"/>
      <w:bookmarkEnd w:id="73"/>
      <w:bookmarkEnd w:id="74"/>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15.1  本合同的签订、履行、解除、终止及解释适用中华人民共和国法律，双方当事人因履行本合同而产生争议的，应当协商解决。</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15.2  经协商未能解决的，当事人应当</w:t>
      </w:r>
      <w:r>
        <w:rPr>
          <w:rFonts w:hint="eastAsia" w:ascii="仿宋_GB2312" w:hAnsi="Times New Roman" w:eastAsia="仿宋_GB2312" w:cs="Times New Roman"/>
          <w:color w:val="000000" w:themeColor="text1"/>
          <w:sz w:val="28"/>
          <w:szCs w:val="28"/>
          <w:highlight w:val="none"/>
          <w14:textFill>
            <w14:solidFill>
              <w14:schemeClr w14:val="tx1"/>
            </w14:solidFill>
          </w14:textFill>
        </w:rPr>
        <w:t>向</w:t>
      </w:r>
      <w:r>
        <w:rPr>
          <w:rFonts w:hint="eastAsia" w:ascii="仿宋_GB2312" w:hAnsi="Times New Roman" w:eastAsia="仿宋_GB2312" w:cs="Times New Roman"/>
          <w:color w:val="000000" w:themeColor="text1"/>
          <w:sz w:val="28"/>
          <w:szCs w:val="28"/>
          <w:highlight w:val="none"/>
          <w:lang w:eastAsia="zh-CN"/>
          <w14:textFill>
            <w14:solidFill>
              <w14:schemeClr w14:val="tx1"/>
            </w14:solidFill>
          </w14:textFill>
        </w:rPr>
        <w:t>前海合作区人民法院</w:t>
      </w:r>
      <w:r>
        <w:rPr>
          <w:rFonts w:hint="eastAsia" w:ascii="仿宋_GB2312" w:hAnsi="Times New Roman" w:eastAsia="仿宋_GB2312" w:cs="Times New Roman"/>
          <w:color w:val="000000" w:themeColor="text1"/>
          <w:sz w:val="28"/>
          <w:szCs w:val="28"/>
          <w:highlight w:val="none"/>
          <w14:textFill>
            <w14:solidFill>
              <w14:schemeClr w14:val="tx1"/>
            </w14:solidFill>
          </w14:textFill>
        </w:rPr>
        <w:t>提</w:t>
      </w:r>
      <w:r>
        <w:rPr>
          <w:rFonts w:hint="eastAsia" w:ascii="仿宋_GB2312" w:eastAsia="仿宋_GB2312"/>
          <w:color w:val="000000" w:themeColor="text1"/>
          <w:sz w:val="28"/>
          <w:szCs w:val="28"/>
          <w:highlight w:val="none"/>
          <w14:textFill>
            <w14:solidFill>
              <w14:schemeClr w14:val="tx1"/>
            </w14:solidFill>
          </w14:textFill>
        </w:rPr>
        <w:t>请诉讼。</w:t>
      </w:r>
    </w:p>
    <w:p>
      <w:pPr>
        <w:pStyle w:val="3"/>
        <w:jc w:val="center"/>
        <w:rPr>
          <w:rFonts w:hint="eastAsia" w:ascii="黑体" w:hAnsi="黑体" w:eastAsia="黑体"/>
          <w:b w:val="0"/>
          <w:bCs w:val="0"/>
          <w:color w:val="000000" w:themeColor="text1"/>
          <w:sz w:val="28"/>
          <w:szCs w:val="28"/>
          <w:highlight w:val="none"/>
          <w14:textFill>
            <w14:solidFill>
              <w14:schemeClr w14:val="tx1"/>
            </w14:solidFill>
          </w14:textFill>
        </w:rPr>
      </w:pPr>
      <w:bookmarkStart w:id="75" w:name="_Toc17143"/>
      <w:bookmarkStart w:id="76" w:name="_Toc311041001"/>
      <w:r>
        <w:rPr>
          <w:rFonts w:hint="eastAsia" w:ascii="黑体" w:hAnsi="黑体" w:eastAsia="黑体"/>
          <w:b w:val="0"/>
          <w:bCs w:val="0"/>
          <w:color w:val="000000" w:themeColor="text1"/>
          <w:sz w:val="28"/>
          <w:szCs w:val="28"/>
          <w:highlight w:val="none"/>
          <w14:textFill>
            <w14:solidFill>
              <w14:schemeClr w14:val="tx1"/>
            </w14:solidFill>
          </w14:textFill>
        </w:rPr>
        <w:t>第十六章  本合同的生效、期限、变更与终止</w:t>
      </w:r>
      <w:bookmarkEnd w:id="75"/>
      <w:bookmarkEnd w:id="76"/>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16.1  本合同的生效。</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本合同于甲乙双方的法定代表人或授权代表签字（或签章）、加盖双方公章（或合同专用章）后生效，由乙方报人力资源社会保障行政部门备案。</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16.2  本合同的期限。</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本合同期限为三年，自本合同生效之日起至XXXX年XX月XX日止</w:t>
      </w:r>
      <w:r>
        <w:rPr>
          <w:rFonts w:hint="eastAsia" w:ascii="仿宋_GB2312" w:eastAsia="仿宋_GB2312"/>
          <w:color w:val="000000" w:themeColor="text1"/>
          <w:sz w:val="28"/>
          <w:szCs w:val="28"/>
          <w:highlight w:val="none"/>
          <w:lang w:eastAsia="zh-CN"/>
          <w14:textFill>
            <w14:solidFill>
              <w14:schemeClr w14:val="tx1"/>
            </w14:solidFill>
          </w14:textFill>
        </w:rPr>
        <w:t>，</w:t>
      </w:r>
      <w:r>
        <w:rPr>
          <w:rFonts w:hint="eastAsia" w:ascii="仿宋_GB2312" w:eastAsia="仿宋_GB2312"/>
          <w:color w:val="000000" w:themeColor="text1"/>
          <w:sz w:val="28"/>
          <w:szCs w:val="28"/>
          <w:highlight w:val="none"/>
          <w14:textFill>
            <w14:solidFill>
              <w14:schemeClr w14:val="tx1"/>
            </w14:solidFill>
          </w14:textFill>
        </w:rPr>
        <w:t>合同届满时如遇公休日或法定节假日，则顺延至下一个工作日。</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16.3  本合同的变更。</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本合同生效后，如需变更，须经双方协商一致并达成书面协议，出现下列情况之一的，由乙方向人力资源社会保障行政部门备案本合同：</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16.3.1  企业年金计划名称变更；</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16.3.2  账户管理人、托管人或投资管理人变更；</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16.3.3</w:t>
      </w:r>
      <w:r>
        <w:rPr>
          <w:rFonts w:ascii="仿宋_GB2312" w:eastAsia="仿宋_GB2312"/>
          <w:color w:val="000000" w:themeColor="text1"/>
          <w:sz w:val="28"/>
          <w:szCs w:val="28"/>
          <w:highlight w:val="non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 xml:space="preserve"> 企业年金计划管理费率变更；</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16.3.4  本合同其他主要内容调整；</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16.3.5  法律法规规定及本合同约定的其他情形。</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bookmarkStart w:id="77" w:name="_Toc196484091"/>
      <w:r>
        <w:rPr>
          <w:rFonts w:hint="eastAsia" w:ascii="仿宋_GB2312" w:eastAsia="仿宋_GB2312"/>
          <w:color w:val="000000" w:themeColor="text1"/>
          <w:sz w:val="28"/>
          <w:szCs w:val="28"/>
          <w:highlight w:val="none"/>
          <w14:textFill>
            <w14:solidFill>
              <w14:schemeClr w14:val="tx1"/>
            </w14:solidFill>
          </w14:textFill>
        </w:rPr>
        <w:t>16.</w:t>
      </w:r>
      <w:r>
        <w:rPr>
          <w:rFonts w:hint="eastAsia" w:ascii="仿宋_GB2312" w:eastAsia="仿宋_GB2312"/>
          <w:color w:val="000000" w:themeColor="text1"/>
          <w:sz w:val="28"/>
          <w:szCs w:val="28"/>
          <w:highlight w:val="none"/>
          <w:lang w:val="en-US" w:eastAsia="zh-CN"/>
          <w14:textFill>
            <w14:solidFill>
              <w14:schemeClr w14:val="tx1"/>
            </w14:solidFill>
          </w14:textFill>
        </w:rPr>
        <w:t>4</w:t>
      </w:r>
      <w:r>
        <w:rPr>
          <w:rFonts w:hint="eastAsia" w:ascii="仿宋_GB2312" w:eastAsia="仿宋_GB2312"/>
          <w:color w:val="000000" w:themeColor="text1"/>
          <w:sz w:val="28"/>
          <w:szCs w:val="28"/>
          <w:highlight w:val="none"/>
          <w14:textFill>
            <w14:solidFill>
              <w14:schemeClr w14:val="tx1"/>
            </w14:solidFill>
          </w14:textFill>
        </w:rPr>
        <w:t xml:space="preserve">  本合同的终止。</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16.</w:t>
      </w:r>
      <w:r>
        <w:rPr>
          <w:rFonts w:hint="eastAsia" w:ascii="仿宋_GB2312" w:eastAsia="仿宋_GB2312"/>
          <w:color w:val="000000" w:themeColor="text1"/>
          <w:sz w:val="28"/>
          <w:szCs w:val="28"/>
          <w:highlight w:val="none"/>
          <w:lang w:val="en-US" w:eastAsia="zh-CN"/>
          <w14:textFill>
            <w14:solidFill>
              <w14:schemeClr w14:val="tx1"/>
            </w14:solidFill>
          </w14:textFill>
        </w:rPr>
        <w:t>4</w:t>
      </w:r>
      <w:r>
        <w:rPr>
          <w:rFonts w:hint="eastAsia" w:ascii="仿宋_GB2312" w:eastAsia="仿宋_GB2312"/>
          <w:color w:val="000000" w:themeColor="text1"/>
          <w:sz w:val="28"/>
          <w:szCs w:val="28"/>
          <w:highlight w:val="none"/>
          <w14:textFill>
            <w14:solidFill>
              <w14:schemeClr w14:val="tx1"/>
            </w14:solidFill>
          </w14:textFill>
        </w:rPr>
        <w:t>.1  出现下列情况之一的，本合同终止：</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16.</w:t>
      </w:r>
      <w:r>
        <w:rPr>
          <w:rFonts w:hint="eastAsia" w:ascii="仿宋_GB2312" w:eastAsia="仿宋_GB2312"/>
          <w:color w:val="000000" w:themeColor="text1"/>
          <w:sz w:val="28"/>
          <w:szCs w:val="28"/>
          <w:highlight w:val="none"/>
          <w:lang w:val="en-US" w:eastAsia="zh-CN"/>
          <w14:textFill>
            <w14:solidFill>
              <w14:schemeClr w14:val="tx1"/>
            </w14:solidFill>
          </w14:textFill>
        </w:rPr>
        <w:t>4</w:t>
      </w:r>
      <w:r>
        <w:rPr>
          <w:rFonts w:hint="eastAsia" w:ascii="仿宋_GB2312" w:eastAsia="仿宋_GB2312"/>
          <w:color w:val="000000" w:themeColor="text1"/>
          <w:sz w:val="28"/>
          <w:szCs w:val="28"/>
          <w:highlight w:val="none"/>
          <w14:textFill>
            <w14:solidFill>
              <w14:schemeClr w14:val="tx1"/>
            </w14:solidFill>
          </w14:textFill>
        </w:rPr>
        <w:t>.1.1  本合同期限届满且未顺延；</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16.</w:t>
      </w:r>
      <w:r>
        <w:rPr>
          <w:rFonts w:hint="eastAsia" w:ascii="仿宋_GB2312" w:eastAsia="仿宋_GB2312"/>
          <w:color w:val="000000" w:themeColor="text1"/>
          <w:sz w:val="28"/>
          <w:szCs w:val="28"/>
          <w:highlight w:val="none"/>
          <w:lang w:val="en-US" w:eastAsia="zh-CN"/>
          <w14:textFill>
            <w14:solidFill>
              <w14:schemeClr w14:val="tx1"/>
            </w14:solidFill>
          </w14:textFill>
        </w:rPr>
        <w:t>4</w:t>
      </w:r>
      <w:r>
        <w:rPr>
          <w:rFonts w:hint="eastAsia" w:ascii="仿宋_GB2312" w:eastAsia="仿宋_GB2312"/>
          <w:color w:val="000000" w:themeColor="text1"/>
          <w:sz w:val="28"/>
          <w:szCs w:val="28"/>
          <w:highlight w:val="none"/>
          <w14:textFill>
            <w14:solidFill>
              <w14:schemeClr w14:val="tx1"/>
            </w14:solidFill>
          </w14:textFill>
        </w:rPr>
        <w:t>.1.2  本合同经甲方与乙方协商同意终止；</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16.</w:t>
      </w:r>
      <w:r>
        <w:rPr>
          <w:rFonts w:hint="eastAsia" w:ascii="仿宋_GB2312" w:eastAsia="仿宋_GB2312"/>
          <w:color w:val="000000" w:themeColor="text1"/>
          <w:sz w:val="28"/>
          <w:szCs w:val="28"/>
          <w:highlight w:val="none"/>
          <w:lang w:val="en-US" w:eastAsia="zh-CN"/>
          <w14:textFill>
            <w14:solidFill>
              <w14:schemeClr w14:val="tx1"/>
            </w14:solidFill>
          </w14:textFill>
        </w:rPr>
        <w:t>4</w:t>
      </w:r>
      <w:r>
        <w:rPr>
          <w:rFonts w:hint="eastAsia" w:ascii="仿宋_GB2312" w:eastAsia="仿宋_GB2312"/>
          <w:color w:val="000000" w:themeColor="text1"/>
          <w:sz w:val="28"/>
          <w:szCs w:val="28"/>
          <w:highlight w:val="none"/>
          <w14:textFill>
            <w14:solidFill>
              <w14:schemeClr w14:val="tx1"/>
            </w14:solidFill>
          </w14:textFill>
        </w:rPr>
        <w:t>.1.3  本合同双方的合同关系被依法撤销；</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16.</w:t>
      </w:r>
      <w:r>
        <w:rPr>
          <w:rFonts w:hint="eastAsia" w:ascii="仿宋_GB2312" w:eastAsia="仿宋_GB2312"/>
          <w:color w:val="000000" w:themeColor="text1"/>
          <w:sz w:val="28"/>
          <w:szCs w:val="28"/>
          <w:highlight w:val="none"/>
          <w:lang w:val="en-US" w:eastAsia="zh-CN"/>
          <w14:textFill>
            <w14:solidFill>
              <w14:schemeClr w14:val="tx1"/>
            </w14:solidFill>
          </w14:textFill>
        </w:rPr>
        <w:t>4</w:t>
      </w:r>
      <w:r>
        <w:rPr>
          <w:rFonts w:hint="eastAsia" w:ascii="仿宋_GB2312" w:eastAsia="仿宋_GB2312"/>
          <w:color w:val="000000" w:themeColor="text1"/>
          <w:sz w:val="28"/>
          <w:szCs w:val="28"/>
          <w:highlight w:val="none"/>
          <w14:textFill>
            <w14:solidFill>
              <w14:schemeClr w14:val="tx1"/>
            </w14:solidFill>
          </w14:textFill>
        </w:rPr>
        <w:t>.1.4  本合同双方的合同关系被依法解除。</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16.</w:t>
      </w:r>
      <w:r>
        <w:rPr>
          <w:rFonts w:hint="eastAsia" w:ascii="仿宋_GB2312" w:eastAsia="仿宋_GB2312"/>
          <w:color w:val="000000" w:themeColor="text1"/>
          <w:sz w:val="28"/>
          <w:szCs w:val="28"/>
          <w:highlight w:val="none"/>
          <w:lang w:val="en-US" w:eastAsia="zh-CN"/>
          <w14:textFill>
            <w14:solidFill>
              <w14:schemeClr w14:val="tx1"/>
            </w14:solidFill>
          </w14:textFill>
        </w:rPr>
        <w:t>4</w:t>
      </w:r>
      <w:r>
        <w:rPr>
          <w:rFonts w:hint="eastAsia" w:ascii="仿宋_GB2312" w:eastAsia="仿宋_GB2312"/>
          <w:color w:val="000000" w:themeColor="text1"/>
          <w:sz w:val="28"/>
          <w:szCs w:val="28"/>
          <w:highlight w:val="none"/>
          <w14:textFill>
            <w14:solidFill>
              <w14:schemeClr w14:val="tx1"/>
            </w14:solidFill>
          </w14:textFill>
        </w:rPr>
        <w:t>.2  在本合同期限内，有下列情形之一，甲方可以单方终止本合同：</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16.</w:t>
      </w:r>
      <w:r>
        <w:rPr>
          <w:rFonts w:hint="eastAsia" w:ascii="仿宋_GB2312" w:eastAsia="仿宋_GB2312"/>
          <w:color w:val="000000" w:themeColor="text1"/>
          <w:sz w:val="28"/>
          <w:szCs w:val="28"/>
          <w:highlight w:val="none"/>
          <w:lang w:val="en-US" w:eastAsia="zh-CN"/>
          <w14:textFill>
            <w14:solidFill>
              <w14:schemeClr w14:val="tx1"/>
            </w14:solidFill>
          </w14:textFill>
        </w:rPr>
        <w:t>4</w:t>
      </w:r>
      <w:r>
        <w:rPr>
          <w:rFonts w:hint="eastAsia" w:ascii="仿宋_GB2312" w:eastAsia="仿宋_GB2312"/>
          <w:color w:val="000000" w:themeColor="text1"/>
          <w:sz w:val="28"/>
          <w:szCs w:val="28"/>
          <w:highlight w:val="none"/>
          <w14:textFill>
            <w14:solidFill>
              <w14:schemeClr w14:val="tx1"/>
            </w14:solidFill>
          </w14:textFill>
        </w:rPr>
        <w:t>.2.1  乙方违反本合同约定且致使不能实现合同目的；</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16.</w:t>
      </w:r>
      <w:r>
        <w:rPr>
          <w:rFonts w:hint="eastAsia" w:ascii="仿宋_GB2312" w:eastAsia="仿宋_GB2312"/>
          <w:color w:val="000000" w:themeColor="text1"/>
          <w:sz w:val="28"/>
          <w:szCs w:val="28"/>
          <w:highlight w:val="none"/>
          <w:lang w:val="en-US" w:eastAsia="zh-CN"/>
          <w14:textFill>
            <w14:solidFill>
              <w14:schemeClr w14:val="tx1"/>
            </w14:solidFill>
          </w14:textFill>
        </w:rPr>
        <w:t>4</w:t>
      </w:r>
      <w:r>
        <w:rPr>
          <w:rFonts w:hint="eastAsia" w:ascii="仿宋_GB2312" w:eastAsia="仿宋_GB2312"/>
          <w:color w:val="000000" w:themeColor="text1"/>
          <w:sz w:val="28"/>
          <w:szCs w:val="28"/>
          <w:highlight w:val="none"/>
          <w14:textFill>
            <w14:solidFill>
              <w14:schemeClr w14:val="tx1"/>
            </w14:solidFill>
          </w14:textFill>
        </w:rPr>
        <w:t>.2.2  乙方利用企业年金基金财产为其谋取利益，或者为他人谋取不正当利益；</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16.</w:t>
      </w:r>
      <w:r>
        <w:rPr>
          <w:rFonts w:hint="eastAsia" w:ascii="仿宋_GB2312" w:eastAsia="仿宋_GB2312"/>
          <w:color w:val="000000" w:themeColor="text1"/>
          <w:sz w:val="28"/>
          <w:szCs w:val="28"/>
          <w:highlight w:val="none"/>
          <w:lang w:val="en-US" w:eastAsia="zh-CN"/>
          <w14:textFill>
            <w14:solidFill>
              <w14:schemeClr w14:val="tx1"/>
            </w14:solidFill>
          </w14:textFill>
        </w:rPr>
        <w:t>4</w:t>
      </w:r>
      <w:r>
        <w:rPr>
          <w:rFonts w:hint="eastAsia" w:ascii="仿宋_GB2312" w:eastAsia="仿宋_GB2312"/>
          <w:color w:val="000000" w:themeColor="text1"/>
          <w:sz w:val="28"/>
          <w:szCs w:val="28"/>
          <w:highlight w:val="none"/>
          <w14:textFill>
            <w14:solidFill>
              <w14:schemeClr w14:val="tx1"/>
            </w14:solidFill>
          </w14:textFill>
        </w:rPr>
        <w:t>.2.3  乙方依法解散、被依法撤销、被依法宣告破产或被依法接管；</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16.</w:t>
      </w:r>
      <w:r>
        <w:rPr>
          <w:rFonts w:hint="eastAsia" w:ascii="仿宋_GB2312" w:eastAsia="仿宋_GB2312"/>
          <w:color w:val="000000" w:themeColor="text1"/>
          <w:sz w:val="28"/>
          <w:szCs w:val="28"/>
          <w:highlight w:val="none"/>
          <w:lang w:val="en-US" w:eastAsia="zh-CN"/>
          <w14:textFill>
            <w14:solidFill>
              <w14:schemeClr w14:val="tx1"/>
            </w14:solidFill>
          </w14:textFill>
        </w:rPr>
        <w:t>4</w:t>
      </w:r>
      <w:r>
        <w:rPr>
          <w:rFonts w:hint="eastAsia" w:ascii="仿宋_GB2312" w:eastAsia="仿宋_GB2312"/>
          <w:color w:val="000000" w:themeColor="text1"/>
          <w:sz w:val="28"/>
          <w:szCs w:val="28"/>
          <w:highlight w:val="none"/>
          <w14:textFill>
            <w14:solidFill>
              <w14:schemeClr w14:val="tx1"/>
            </w14:solidFill>
          </w14:textFill>
        </w:rPr>
        <w:t>.2.4  乙方被依法取消企业年金基金受托管理业务资格；</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16.</w:t>
      </w:r>
      <w:r>
        <w:rPr>
          <w:rFonts w:hint="eastAsia" w:ascii="仿宋_GB2312" w:eastAsia="仿宋_GB2312"/>
          <w:color w:val="000000" w:themeColor="text1"/>
          <w:sz w:val="28"/>
          <w:szCs w:val="28"/>
          <w:highlight w:val="none"/>
          <w:lang w:val="en-US" w:eastAsia="zh-CN"/>
          <w14:textFill>
            <w14:solidFill>
              <w14:schemeClr w14:val="tx1"/>
            </w14:solidFill>
          </w14:textFill>
        </w:rPr>
        <w:t>4</w:t>
      </w:r>
      <w:r>
        <w:rPr>
          <w:rFonts w:hint="eastAsia" w:ascii="仿宋_GB2312" w:eastAsia="仿宋_GB2312"/>
          <w:color w:val="000000" w:themeColor="text1"/>
          <w:sz w:val="28"/>
          <w:szCs w:val="28"/>
          <w:highlight w:val="none"/>
          <w14:textFill>
            <w14:solidFill>
              <w14:schemeClr w14:val="tx1"/>
            </w14:solidFill>
          </w14:textFill>
        </w:rPr>
        <w:t>.2.5  甲方有充分理由和证据认为更换乙方符合受益人利益；</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16.</w:t>
      </w:r>
      <w:r>
        <w:rPr>
          <w:rFonts w:hint="eastAsia" w:ascii="仿宋_GB2312" w:eastAsia="仿宋_GB2312"/>
          <w:color w:val="000000" w:themeColor="text1"/>
          <w:sz w:val="28"/>
          <w:szCs w:val="28"/>
          <w:highlight w:val="none"/>
          <w:lang w:val="en-US" w:eastAsia="zh-CN"/>
          <w14:textFill>
            <w14:solidFill>
              <w14:schemeClr w14:val="tx1"/>
            </w14:solidFill>
          </w14:textFill>
        </w:rPr>
        <w:t>4</w:t>
      </w:r>
      <w:r>
        <w:rPr>
          <w:rFonts w:hint="eastAsia" w:ascii="仿宋_GB2312" w:eastAsia="仿宋_GB2312"/>
          <w:color w:val="000000" w:themeColor="text1"/>
          <w:sz w:val="28"/>
          <w:szCs w:val="28"/>
          <w:highlight w:val="none"/>
          <w14:textFill>
            <w14:solidFill>
              <w14:schemeClr w14:val="tx1"/>
            </w14:solidFill>
          </w14:textFill>
        </w:rPr>
        <w:t>.2.6  有关监管部门有充分理由和依据认为更换乙方符合受益人利益；</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16.</w:t>
      </w:r>
      <w:r>
        <w:rPr>
          <w:rFonts w:hint="eastAsia" w:ascii="仿宋_GB2312" w:eastAsia="仿宋_GB2312"/>
          <w:color w:val="000000" w:themeColor="text1"/>
          <w:sz w:val="28"/>
          <w:szCs w:val="28"/>
          <w:highlight w:val="none"/>
          <w:lang w:val="en-US" w:eastAsia="zh-CN"/>
          <w14:textFill>
            <w14:solidFill>
              <w14:schemeClr w14:val="tx1"/>
            </w14:solidFill>
          </w14:textFill>
        </w:rPr>
        <w:t>4</w:t>
      </w:r>
      <w:r>
        <w:rPr>
          <w:rFonts w:hint="eastAsia" w:ascii="仿宋_GB2312" w:eastAsia="仿宋_GB2312"/>
          <w:color w:val="000000" w:themeColor="text1"/>
          <w:sz w:val="28"/>
          <w:szCs w:val="28"/>
          <w:highlight w:val="none"/>
          <w14:textFill>
            <w14:solidFill>
              <w14:schemeClr w14:val="tx1"/>
            </w14:solidFill>
          </w14:textFill>
        </w:rPr>
        <w:t>.2.7  乙方在企业年金基金运作中有严重违反法律法规规定的行为；</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16.</w:t>
      </w:r>
      <w:r>
        <w:rPr>
          <w:rFonts w:hint="eastAsia" w:ascii="仿宋_GB2312" w:eastAsia="仿宋_GB2312"/>
          <w:color w:val="000000" w:themeColor="text1"/>
          <w:sz w:val="28"/>
          <w:szCs w:val="28"/>
          <w:highlight w:val="none"/>
          <w:lang w:val="en-US" w:eastAsia="zh-CN"/>
          <w14:textFill>
            <w14:solidFill>
              <w14:schemeClr w14:val="tx1"/>
            </w14:solidFill>
          </w14:textFill>
        </w:rPr>
        <w:t>4</w:t>
      </w:r>
      <w:r>
        <w:rPr>
          <w:rFonts w:hint="eastAsia" w:ascii="仿宋_GB2312" w:eastAsia="仿宋_GB2312"/>
          <w:color w:val="000000" w:themeColor="text1"/>
          <w:sz w:val="28"/>
          <w:szCs w:val="28"/>
          <w:highlight w:val="none"/>
          <w14:textFill>
            <w14:solidFill>
              <w14:schemeClr w14:val="tx1"/>
            </w14:solidFill>
          </w14:textFill>
        </w:rPr>
        <w:t>.2.8  法律法规规定及本合同约定的其他情形。</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16.</w:t>
      </w:r>
      <w:r>
        <w:rPr>
          <w:rFonts w:hint="eastAsia" w:ascii="仿宋_GB2312" w:eastAsia="仿宋_GB2312"/>
          <w:color w:val="000000" w:themeColor="text1"/>
          <w:sz w:val="28"/>
          <w:szCs w:val="28"/>
          <w:highlight w:val="none"/>
          <w:lang w:val="en-US" w:eastAsia="zh-CN"/>
          <w14:textFill>
            <w14:solidFill>
              <w14:schemeClr w14:val="tx1"/>
            </w14:solidFill>
          </w14:textFill>
        </w:rPr>
        <w:t>4</w:t>
      </w:r>
      <w:r>
        <w:rPr>
          <w:rFonts w:hint="eastAsia" w:ascii="仿宋_GB2312" w:eastAsia="仿宋_GB2312"/>
          <w:color w:val="000000" w:themeColor="text1"/>
          <w:sz w:val="28"/>
          <w:szCs w:val="28"/>
          <w:highlight w:val="none"/>
          <w14:textFill>
            <w14:solidFill>
              <w14:schemeClr w14:val="tx1"/>
            </w14:solidFill>
          </w14:textFill>
        </w:rPr>
        <w:t>.3  在本合同期限内，有下列情形之一，乙方可以单方终止本合同：</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16.</w:t>
      </w:r>
      <w:r>
        <w:rPr>
          <w:rFonts w:hint="eastAsia" w:ascii="仿宋_GB2312" w:eastAsia="仿宋_GB2312"/>
          <w:color w:val="000000" w:themeColor="text1"/>
          <w:sz w:val="28"/>
          <w:szCs w:val="28"/>
          <w:highlight w:val="none"/>
          <w:lang w:val="en-US" w:eastAsia="zh-CN"/>
          <w14:textFill>
            <w14:solidFill>
              <w14:schemeClr w14:val="tx1"/>
            </w14:solidFill>
          </w14:textFill>
        </w:rPr>
        <w:t>4</w:t>
      </w:r>
      <w:r>
        <w:rPr>
          <w:rFonts w:hint="eastAsia" w:ascii="仿宋_GB2312" w:eastAsia="仿宋_GB2312"/>
          <w:color w:val="000000" w:themeColor="text1"/>
          <w:sz w:val="28"/>
          <w:szCs w:val="28"/>
          <w:highlight w:val="none"/>
          <w14:textFill>
            <w14:solidFill>
              <w14:schemeClr w14:val="tx1"/>
            </w14:solidFill>
          </w14:textFill>
        </w:rPr>
        <w:t>.3.1  甲方因其违约行为致使不能实现合同目的；</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16.</w:t>
      </w:r>
      <w:r>
        <w:rPr>
          <w:rFonts w:hint="eastAsia" w:ascii="仿宋_GB2312" w:eastAsia="仿宋_GB2312"/>
          <w:color w:val="000000" w:themeColor="text1"/>
          <w:sz w:val="28"/>
          <w:szCs w:val="28"/>
          <w:highlight w:val="none"/>
          <w:lang w:val="en-US" w:eastAsia="zh-CN"/>
          <w14:textFill>
            <w14:solidFill>
              <w14:schemeClr w14:val="tx1"/>
            </w14:solidFill>
          </w14:textFill>
        </w:rPr>
        <w:t>4</w:t>
      </w:r>
      <w:r>
        <w:rPr>
          <w:rFonts w:hint="eastAsia" w:ascii="仿宋_GB2312" w:eastAsia="仿宋_GB2312"/>
          <w:color w:val="000000" w:themeColor="text1"/>
          <w:sz w:val="28"/>
          <w:szCs w:val="28"/>
          <w:highlight w:val="none"/>
          <w14:textFill>
            <w14:solidFill>
              <w14:schemeClr w14:val="tx1"/>
            </w14:solidFill>
          </w14:textFill>
        </w:rPr>
        <w:t>.3.2  甲方在企业年金基金运作中有严重违反法律法规规定的行为；</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16.</w:t>
      </w:r>
      <w:r>
        <w:rPr>
          <w:rFonts w:hint="eastAsia" w:ascii="仿宋_GB2312" w:eastAsia="仿宋_GB2312"/>
          <w:color w:val="000000" w:themeColor="text1"/>
          <w:sz w:val="28"/>
          <w:szCs w:val="28"/>
          <w:highlight w:val="none"/>
          <w:lang w:val="en-US" w:eastAsia="zh-CN"/>
          <w14:textFill>
            <w14:solidFill>
              <w14:schemeClr w14:val="tx1"/>
            </w14:solidFill>
          </w14:textFill>
        </w:rPr>
        <w:t>4</w:t>
      </w:r>
      <w:r>
        <w:rPr>
          <w:rFonts w:hint="eastAsia" w:ascii="仿宋_GB2312" w:eastAsia="仿宋_GB2312"/>
          <w:color w:val="000000" w:themeColor="text1"/>
          <w:sz w:val="28"/>
          <w:szCs w:val="28"/>
          <w:highlight w:val="none"/>
          <w14:textFill>
            <w14:solidFill>
              <w14:schemeClr w14:val="tx1"/>
            </w14:solidFill>
          </w14:textFill>
        </w:rPr>
        <w:t>.3.3  甲方依法解散、被依法撤销、被依法宣告破产或被依法接管；</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16.</w:t>
      </w:r>
      <w:r>
        <w:rPr>
          <w:rFonts w:hint="eastAsia" w:ascii="仿宋_GB2312" w:eastAsia="仿宋_GB2312"/>
          <w:color w:val="000000" w:themeColor="text1"/>
          <w:sz w:val="28"/>
          <w:szCs w:val="28"/>
          <w:highlight w:val="none"/>
          <w:lang w:val="en-US" w:eastAsia="zh-CN"/>
          <w14:textFill>
            <w14:solidFill>
              <w14:schemeClr w14:val="tx1"/>
            </w14:solidFill>
          </w14:textFill>
        </w:rPr>
        <w:t>4</w:t>
      </w:r>
      <w:r>
        <w:rPr>
          <w:rFonts w:hint="eastAsia" w:ascii="仿宋_GB2312" w:eastAsia="仿宋_GB2312"/>
          <w:color w:val="000000" w:themeColor="text1"/>
          <w:sz w:val="28"/>
          <w:szCs w:val="28"/>
          <w:highlight w:val="none"/>
          <w14:textFill>
            <w14:solidFill>
              <w14:schemeClr w14:val="tx1"/>
            </w14:solidFill>
          </w14:textFill>
        </w:rPr>
        <w:t>.3.4  法律法规规定及本合同约定的其他情形。</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宋体"/>
          <w:color w:val="000000" w:themeColor="text1"/>
          <w:kern w:val="0"/>
          <w:sz w:val="28"/>
          <w:szCs w:val="28"/>
          <w:highlight w:val="none"/>
          <w:lang w:val="zh-CN"/>
          <w14:textFill>
            <w14:solidFill>
              <w14:schemeClr w14:val="tx1"/>
            </w14:solidFill>
          </w14:textFill>
        </w:rPr>
        <w:t>16.</w:t>
      </w:r>
      <w:r>
        <w:rPr>
          <w:rFonts w:hint="eastAsia" w:ascii="仿宋_GB2312" w:eastAsia="仿宋_GB2312" w:cs="宋体"/>
          <w:color w:val="000000" w:themeColor="text1"/>
          <w:kern w:val="0"/>
          <w:sz w:val="28"/>
          <w:szCs w:val="28"/>
          <w:highlight w:val="none"/>
          <w:lang w:val="en-US" w:eastAsia="zh-CN"/>
          <w14:textFill>
            <w14:solidFill>
              <w14:schemeClr w14:val="tx1"/>
            </w14:solidFill>
          </w14:textFill>
        </w:rPr>
        <w:t>5</w:t>
      </w:r>
      <w:r>
        <w:rPr>
          <w:rFonts w:hint="eastAsia" w:ascii="仿宋_GB2312" w:eastAsia="仿宋_GB2312" w:cs="宋体"/>
          <w:color w:val="000000" w:themeColor="text1"/>
          <w:kern w:val="0"/>
          <w:sz w:val="28"/>
          <w:szCs w:val="28"/>
          <w:highlight w:val="none"/>
          <w:lang w:val="zh-CN"/>
          <w14:textFill>
            <w14:solidFill>
              <w14:schemeClr w14:val="tx1"/>
            </w14:solidFill>
          </w14:textFill>
        </w:rPr>
        <w:t xml:space="preserve">  本合同的终止日期：本合同期限正常届满的，以本合同期的最后一日为终止日，</w:t>
      </w:r>
      <w:r>
        <w:rPr>
          <w:rFonts w:hint="eastAsia" w:ascii="仿宋_GB2312" w:eastAsia="仿宋_GB2312"/>
          <w:color w:val="000000" w:themeColor="text1"/>
          <w:sz w:val="28"/>
          <w:szCs w:val="28"/>
          <w:highlight w:val="none"/>
          <w14:textFill>
            <w14:solidFill>
              <w14:schemeClr w14:val="tx1"/>
            </w14:solidFill>
          </w14:textFill>
        </w:rPr>
        <w:t>若遇公休日或法定节假日，则顺延至下一个工作日</w:t>
      </w:r>
      <w:r>
        <w:rPr>
          <w:rFonts w:hint="eastAsia" w:ascii="仿宋_GB2312" w:eastAsia="仿宋_GB2312" w:cs="宋体"/>
          <w:color w:val="000000" w:themeColor="text1"/>
          <w:kern w:val="0"/>
          <w:sz w:val="28"/>
          <w:szCs w:val="28"/>
          <w:highlight w:val="none"/>
          <w:lang w:val="zh-CN"/>
          <w14:textFill>
            <w14:solidFill>
              <w14:schemeClr w14:val="tx1"/>
            </w14:solidFill>
          </w14:textFill>
        </w:rPr>
        <w:t>；本合同双方协商终止的，以终止协议约定的日期为终止日；如果双方的合同关系被依法撤销或解除的，以撤销或解除通知生效之日为终止日；</w:t>
      </w:r>
      <w:r>
        <w:rPr>
          <w:rFonts w:hint="eastAsia" w:ascii="仿宋_GB2312" w:eastAsia="仿宋_GB2312"/>
          <w:color w:val="000000" w:themeColor="text1"/>
          <w:sz w:val="28"/>
          <w:szCs w:val="28"/>
          <w:highlight w:val="none"/>
          <w14:textFill>
            <w14:solidFill>
              <w14:schemeClr w14:val="tx1"/>
            </w14:solidFill>
          </w14:textFill>
        </w:rPr>
        <w:t>如甲方或乙方按本合同第16.</w:t>
      </w:r>
      <w:r>
        <w:rPr>
          <w:rFonts w:hint="eastAsia" w:ascii="仿宋_GB2312" w:eastAsia="仿宋_GB2312"/>
          <w:color w:val="000000" w:themeColor="text1"/>
          <w:sz w:val="28"/>
          <w:szCs w:val="28"/>
          <w:highlight w:val="none"/>
          <w:lang w:val="en-US" w:eastAsia="zh-CN"/>
          <w14:textFill>
            <w14:solidFill>
              <w14:schemeClr w14:val="tx1"/>
            </w14:solidFill>
          </w14:textFill>
        </w:rPr>
        <w:t>4</w:t>
      </w:r>
      <w:r>
        <w:rPr>
          <w:rFonts w:hint="eastAsia" w:ascii="仿宋_GB2312" w:eastAsia="仿宋_GB2312"/>
          <w:color w:val="000000" w:themeColor="text1"/>
          <w:sz w:val="28"/>
          <w:szCs w:val="28"/>
          <w:highlight w:val="none"/>
          <w14:textFill>
            <w14:solidFill>
              <w14:schemeClr w14:val="tx1"/>
            </w14:solidFill>
          </w14:textFill>
        </w:rPr>
        <w:t>.2款与第16.</w:t>
      </w:r>
      <w:r>
        <w:rPr>
          <w:rFonts w:hint="eastAsia" w:ascii="仿宋_GB2312" w:eastAsia="仿宋_GB2312"/>
          <w:color w:val="000000" w:themeColor="text1"/>
          <w:sz w:val="28"/>
          <w:szCs w:val="28"/>
          <w:highlight w:val="none"/>
          <w:lang w:val="en-US" w:eastAsia="zh-CN"/>
          <w14:textFill>
            <w14:solidFill>
              <w14:schemeClr w14:val="tx1"/>
            </w14:solidFill>
          </w14:textFill>
        </w:rPr>
        <w:t>4</w:t>
      </w:r>
      <w:r>
        <w:rPr>
          <w:rFonts w:hint="eastAsia" w:ascii="仿宋_GB2312" w:eastAsia="仿宋_GB2312"/>
          <w:color w:val="000000" w:themeColor="text1"/>
          <w:sz w:val="28"/>
          <w:szCs w:val="28"/>
          <w:highlight w:val="none"/>
          <w14:textFill>
            <w14:solidFill>
              <w14:schemeClr w14:val="tx1"/>
            </w14:solidFill>
          </w14:textFill>
        </w:rPr>
        <w:t>.3款的约定解除合同关系，以一方解除合同通知送达对方之日为终止日。</w:t>
      </w:r>
    </w:p>
    <w:p>
      <w:pPr>
        <w:pStyle w:val="3"/>
        <w:jc w:val="center"/>
        <w:rPr>
          <w:rFonts w:hint="eastAsia" w:ascii="黑体" w:hAnsi="黑体" w:eastAsia="黑体"/>
          <w:b w:val="0"/>
          <w:bCs w:val="0"/>
          <w:color w:val="000000" w:themeColor="text1"/>
          <w:sz w:val="28"/>
          <w:szCs w:val="28"/>
          <w:highlight w:val="none"/>
          <w14:textFill>
            <w14:solidFill>
              <w14:schemeClr w14:val="tx1"/>
            </w14:solidFill>
          </w14:textFill>
        </w:rPr>
      </w:pPr>
      <w:bookmarkStart w:id="78" w:name="_Toc29625"/>
      <w:bookmarkStart w:id="79" w:name="_Toc311041002"/>
      <w:r>
        <w:rPr>
          <w:rFonts w:hint="eastAsia" w:ascii="黑体" w:hAnsi="黑体" w:eastAsia="黑体"/>
          <w:b w:val="0"/>
          <w:bCs w:val="0"/>
          <w:color w:val="000000" w:themeColor="text1"/>
          <w:sz w:val="28"/>
          <w:szCs w:val="28"/>
          <w:highlight w:val="none"/>
          <w14:textFill>
            <w14:solidFill>
              <w14:schemeClr w14:val="tx1"/>
            </w14:solidFill>
          </w14:textFill>
        </w:rPr>
        <w:t>第十七章  保密条款</w:t>
      </w:r>
      <w:bookmarkEnd w:id="77"/>
      <w:bookmarkEnd w:id="78"/>
      <w:bookmarkEnd w:id="79"/>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17.1  甲方与乙方于本受托设立和管理中所知悉的对方商业秘密以及其他未公开的信息，未经许可，任何一方当事人不得自己使用或向第三方透露和使用，但根据法律法规规定或监管部门要求应当进行披露的除外。</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17.2  任何一方违反保密义务的约定，应当赔偿由此给另一方造成的损失。</w:t>
      </w:r>
    </w:p>
    <w:p>
      <w:pPr>
        <w:pStyle w:val="3"/>
        <w:jc w:val="center"/>
        <w:rPr>
          <w:rFonts w:hint="eastAsia" w:ascii="黑体" w:hAnsi="黑体" w:eastAsia="黑体"/>
          <w:b w:val="0"/>
          <w:bCs w:val="0"/>
          <w:color w:val="000000" w:themeColor="text1"/>
          <w:sz w:val="28"/>
          <w:szCs w:val="28"/>
          <w:highlight w:val="none"/>
          <w14:textFill>
            <w14:solidFill>
              <w14:schemeClr w14:val="tx1"/>
            </w14:solidFill>
          </w14:textFill>
        </w:rPr>
      </w:pPr>
      <w:bookmarkStart w:id="80" w:name="_Toc311041003"/>
      <w:bookmarkStart w:id="81" w:name="_Toc12132"/>
      <w:bookmarkStart w:id="82" w:name="_Toc196484092"/>
      <w:r>
        <w:rPr>
          <w:rFonts w:hint="eastAsia" w:ascii="黑体" w:hAnsi="黑体" w:eastAsia="黑体"/>
          <w:b w:val="0"/>
          <w:bCs w:val="0"/>
          <w:color w:val="000000" w:themeColor="text1"/>
          <w:sz w:val="28"/>
          <w:szCs w:val="28"/>
          <w:highlight w:val="none"/>
          <w14:textFill>
            <w14:solidFill>
              <w14:schemeClr w14:val="tx1"/>
            </w14:solidFill>
          </w14:textFill>
        </w:rPr>
        <w:t>第十八章  通知及送达</w:t>
      </w:r>
      <w:bookmarkEnd w:id="80"/>
      <w:bookmarkEnd w:id="81"/>
      <w:bookmarkEnd w:id="82"/>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18.1  甲方与乙方可采取专人送达、挂号邮递、传真或电子邮件等有效方式就受托管理业务相关事项通知对方。</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18.2  通知在下列日期视为送达被通知方：</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18.2.1  专人送达：被通知方签收单中所显示的日期；</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 xml:space="preserve">18.2.2  挂号信或特快专递：被送达方的签收日和发出通知方持有的国内挂号函件或特快专递收据所示日后的第7日两者中的较早日期； </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18.2.3  传真：对方确认收到后的第1个工作日；</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18.2.4  电子邮件：数据电文</w:t>
      </w:r>
      <w:r>
        <w:rPr>
          <w:rFonts w:ascii="仿宋_GB2312" w:eastAsia="仿宋_GB2312"/>
          <w:color w:val="000000" w:themeColor="text1"/>
          <w:sz w:val="28"/>
          <w:szCs w:val="28"/>
          <w:highlight w:val="none"/>
          <w14:textFill>
            <w14:solidFill>
              <w14:schemeClr w14:val="tx1"/>
            </w14:solidFill>
          </w14:textFill>
        </w:rPr>
        <w:t>进入</w:t>
      </w:r>
      <w:r>
        <w:rPr>
          <w:rFonts w:hint="eastAsia" w:ascii="仿宋_GB2312" w:eastAsia="仿宋_GB2312"/>
          <w:color w:val="000000" w:themeColor="text1"/>
          <w:sz w:val="28"/>
          <w:szCs w:val="28"/>
          <w:highlight w:val="none"/>
          <w14:textFill>
            <w14:solidFill>
              <w14:schemeClr w14:val="tx1"/>
            </w14:solidFill>
          </w14:textFill>
        </w:rPr>
        <w:t>对方</w:t>
      </w:r>
      <w:r>
        <w:rPr>
          <w:rFonts w:ascii="仿宋_GB2312" w:eastAsia="仿宋_GB2312"/>
          <w:color w:val="000000" w:themeColor="text1"/>
          <w:sz w:val="28"/>
          <w:szCs w:val="28"/>
          <w:highlight w:val="none"/>
          <w14:textFill>
            <w14:solidFill>
              <w14:schemeClr w14:val="tx1"/>
            </w14:solidFill>
          </w14:textFill>
        </w:rPr>
        <w:t>特定系统的</w:t>
      </w:r>
      <w:r>
        <w:rPr>
          <w:rFonts w:hint="eastAsia" w:ascii="仿宋_GB2312" w:eastAsia="仿宋_GB2312"/>
          <w:color w:val="000000" w:themeColor="text1"/>
          <w:sz w:val="28"/>
          <w:szCs w:val="28"/>
          <w:highlight w:val="none"/>
          <w14:textFill>
            <w14:solidFill>
              <w14:schemeClr w14:val="tx1"/>
            </w14:solidFill>
          </w14:textFill>
        </w:rPr>
        <w:t>首次</w:t>
      </w:r>
      <w:r>
        <w:rPr>
          <w:rFonts w:ascii="仿宋_GB2312" w:eastAsia="仿宋_GB2312"/>
          <w:color w:val="000000" w:themeColor="text1"/>
          <w:sz w:val="28"/>
          <w:szCs w:val="28"/>
          <w:highlight w:val="none"/>
          <w14:textFill>
            <w14:solidFill>
              <w14:schemeClr w14:val="tx1"/>
            </w14:solidFill>
          </w14:textFill>
        </w:rPr>
        <w:t>时间；</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18.3  一方通讯地址或联络方式发生变化，应当自发生变化之日起3个工作日内以书面形式通知另一方。</w:t>
      </w:r>
    </w:p>
    <w:p>
      <w:pPr>
        <w:pStyle w:val="3"/>
        <w:jc w:val="center"/>
        <w:rPr>
          <w:rFonts w:hint="eastAsia" w:ascii="黑体" w:hAnsi="黑体" w:eastAsia="黑体"/>
          <w:b w:val="0"/>
          <w:color w:val="000000" w:themeColor="text1"/>
          <w:sz w:val="28"/>
          <w:szCs w:val="28"/>
          <w:highlight w:val="none"/>
          <w14:textFill>
            <w14:solidFill>
              <w14:schemeClr w14:val="tx1"/>
            </w14:solidFill>
          </w14:textFill>
        </w:rPr>
      </w:pPr>
      <w:bookmarkStart w:id="83" w:name="_Toc311041004"/>
      <w:bookmarkStart w:id="84" w:name="_Toc30526"/>
      <w:r>
        <w:rPr>
          <w:rFonts w:hint="eastAsia" w:ascii="黑体" w:hAnsi="黑体" w:eastAsia="黑体"/>
          <w:b w:val="0"/>
          <w:color w:val="000000" w:themeColor="text1"/>
          <w:sz w:val="28"/>
          <w:szCs w:val="28"/>
          <w:highlight w:val="none"/>
          <w14:textFill>
            <w14:solidFill>
              <w14:schemeClr w14:val="tx1"/>
            </w14:solidFill>
          </w14:textFill>
        </w:rPr>
        <w:t>第十九章  风险提示</w:t>
      </w:r>
      <w:bookmarkEnd w:id="83"/>
      <w:bookmarkEnd w:id="84"/>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19.1  本合同经人力资源社会保障行政部门审核备案，并不表明其对企业年金基金的价值和收益做出实质性判断或保证，也不表明企业年金基金投资没有风险。</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19.2  甲乙双方已共同认识到：乙方按照法律法规规定及本合同约定的投资范围和投资比例管理运用、处分企业年金基金财产，企业年金基金财产仍有可能面临遭受损失的风险，由此产生的收益或受到的损失，归于企业年金基金财产。</w:t>
      </w:r>
    </w:p>
    <w:p>
      <w:pPr>
        <w:pStyle w:val="3"/>
        <w:jc w:val="center"/>
        <w:rPr>
          <w:rFonts w:hint="eastAsia" w:ascii="黑体" w:hAnsi="黑体" w:eastAsia="黑体"/>
          <w:b w:val="0"/>
          <w:color w:val="000000" w:themeColor="text1"/>
          <w:sz w:val="28"/>
          <w:szCs w:val="28"/>
          <w:highlight w:val="none"/>
          <w14:textFill>
            <w14:solidFill>
              <w14:schemeClr w14:val="tx1"/>
            </w14:solidFill>
          </w14:textFill>
        </w:rPr>
      </w:pPr>
      <w:bookmarkStart w:id="85" w:name="_Toc16652"/>
      <w:bookmarkStart w:id="86" w:name="_Toc311041005"/>
      <w:bookmarkStart w:id="87" w:name="_Toc196484093"/>
      <w:r>
        <w:rPr>
          <w:rFonts w:hint="eastAsia" w:ascii="黑体" w:hAnsi="黑体" w:eastAsia="黑体"/>
          <w:b w:val="0"/>
          <w:color w:val="000000" w:themeColor="text1"/>
          <w:sz w:val="28"/>
          <w:szCs w:val="28"/>
          <w:highlight w:val="none"/>
          <w14:textFill>
            <w14:solidFill>
              <w14:schemeClr w14:val="tx1"/>
            </w14:solidFill>
          </w14:textFill>
        </w:rPr>
        <w:t>第二十章  其他事项</w:t>
      </w:r>
      <w:bookmarkEnd w:id="85"/>
      <w:bookmarkEnd w:id="86"/>
      <w:bookmarkEnd w:id="87"/>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20.1  本合同未尽事宜，由双方达成补充协议另行规定；补充协议与本合同具有同等法律效力。</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20.2  甲方被兼并或被收购，其在本合同中所承担的权利与义务由兼并方或收购方承担。</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20.3  甲方为非企业法人单位的，由甲方负责人或授权代表签署本合同。</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20.4  本合同有效期内，如法律法规规定发生变化导致本合同条款与其有抵触的，相抵触之处按新的法律法规规定执行。</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20.5  本合同有效期内，如法律法规规定发生变化导致本合同需要报人力资源社会保障行政部门审核，由乙方负责办理。</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20.6  如果本合同任何条款与相关法律法规规定不符而构成无效，并不影响本合同其他条款的效力。</w:t>
      </w:r>
    </w:p>
    <w:p>
      <w:pPr>
        <w:spacing w:line="360" w:lineRule="auto"/>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20.7  本合同一式</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份，由甲方、乙方各执</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b/>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份，报人力资源社会保障行政部门备案</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份，每份具有同等的法律效力。</w:t>
      </w:r>
    </w:p>
    <w:p>
      <w:pPr>
        <w:spacing w:line="360" w:lineRule="auto"/>
        <w:ind w:firstLine="560" w:firstLineChars="200"/>
        <w:rPr>
          <w:rFonts w:ascii="黑体" w:eastAsia="黑体"/>
          <w:color w:val="000000" w:themeColor="text1"/>
          <w:sz w:val="32"/>
          <w:szCs w:val="32"/>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br w:type="page"/>
      </w:r>
      <w:bookmarkStart w:id="88" w:name="_Toc2492"/>
      <w:bookmarkStart w:id="89" w:name="_Toc4042"/>
      <w:r>
        <w:rPr>
          <w:rStyle w:val="45"/>
          <w:rFonts w:hint="eastAsia" w:ascii="宋体" w:hAnsi="宋体" w:cs="宋体"/>
          <w:color w:val="000000" w:themeColor="text1"/>
          <w:highlight w:val="none"/>
          <w14:textFill>
            <w14:solidFill>
              <w14:schemeClr w14:val="tx1"/>
            </w14:solidFill>
          </w14:textFill>
        </w:rPr>
        <w:t>《深圳市前海深港现代服务业合作区管理局企业年金计划受托管理合同》投资管理补充条款</w:t>
      </w:r>
      <w:bookmarkEnd w:id="88"/>
      <w:bookmarkEnd w:id="89"/>
    </w:p>
    <w:p>
      <w:pPr>
        <w:pStyle w:val="16"/>
        <w:spacing w:line="360" w:lineRule="auto"/>
        <w:ind w:firstLine="560" w:firstLineChars="200"/>
        <w:rPr>
          <w:rFonts w:ascii="仿宋_GB2312" w:hAnsi="Times New Roman" w:eastAsia="仿宋_GB2312"/>
          <w:color w:val="000000" w:themeColor="text1"/>
          <w:kern w:val="2"/>
          <w:sz w:val="28"/>
          <w:szCs w:val="28"/>
          <w:highlight w:val="none"/>
          <w14:textFill>
            <w14:solidFill>
              <w14:schemeClr w14:val="tx1"/>
            </w14:solidFill>
          </w14:textFill>
        </w:rPr>
      </w:pPr>
      <w:r>
        <w:rPr>
          <w:rFonts w:hint="eastAsia" w:ascii="仿宋_GB2312" w:hAnsi="Times New Roman" w:eastAsia="仿宋_GB2312"/>
          <w:color w:val="000000" w:themeColor="text1"/>
          <w:kern w:val="2"/>
          <w:sz w:val="28"/>
          <w:szCs w:val="28"/>
          <w:highlight w:val="none"/>
          <w14:textFill>
            <w14:solidFill>
              <w14:schemeClr w14:val="tx1"/>
            </w14:solidFill>
          </w14:textFill>
        </w:rPr>
        <w:t>根据《关于印发企业年金计划管理合同指引的通知》（人社部函〔2012〕92号）规定“受托人兼任账户管理人或投资管理人的，账户管理或投资管理内容在受托管理合同账户管理补充条款或投资管理补充条款中列示…”，在</w:t>
      </w:r>
      <w:r>
        <w:rPr>
          <w:rFonts w:hint="eastAsia" w:ascii="仿宋_GB2312" w:hAnsi="Times New Roman" w:eastAsia="仿宋_GB2312"/>
          <w:color w:val="000000" w:themeColor="text1"/>
          <w:kern w:val="2"/>
          <w:sz w:val="28"/>
          <w:szCs w:val="28"/>
          <w:highlight w:val="none"/>
          <w:u w:val="single"/>
          <w14:textFill>
            <w14:solidFill>
              <w14:schemeClr w14:val="tx1"/>
            </w14:solidFill>
          </w14:textFill>
        </w:rPr>
        <w:t xml:space="preserve">         </w:t>
      </w:r>
      <w:r>
        <w:rPr>
          <w:rFonts w:hint="eastAsia" w:ascii="仿宋_GB2312" w:hAnsi="Times New Roman" w:eastAsia="仿宋_GB2312"/>
          <w:color w:val="000000" w:themeColor="text1"/>
          <w:kern w:val="2"/>
          <w:sz w:val="28"/>
          <w:szCs w:val="28"/>
          <w:highlight w:val="none"/>
          <w14:textFill>
            <w14:solidFill>
              <w14:schemeClr w14:val="tx1"/>
            </w14:solidFill>
          </w14:textFill>
        </w:rPr>
        <w:t>担任受托人、兼任投资管理人的情况下，</w:t>
      </w:r>
      <w:r>
        <w:rPr>
          <w:rFonts w:hint="eastAsia" w:ascii="仿宋_GB2312" w:hAnsi="Times New Roman" w:eastAsia="仿宋_GB2312"/>
          <w:color w:val="000000" w:themeColor="text1"/>
          <w:kern w:val="2"/>
          <w:sz w:val="28"/>
          <w:szCs w:val="28"/>
          <w:highlight w:val="none"/>
          <w:u w:val="single"/>
          <w14:textFill>
            <w14:solidFill>
              <w14:schemeClr w14:val="tx1"/>
            </w14:solidFill>
          </w14:textFill>
        </w:rPr>
        <w:t xml:space="preserve">          </w:t>
      </w:r>
      <w:r>
        <w:rPr>
          <w:rFonts w:hint="eastAsia" w:ascii="仿宋_GB2312" w:hAnsi="Times New Roman" w:eastAsia="仿宋_GB2312"/>
          <w:color w:val="000000" w:themeColor="text1"/>
          <w:kern w:val="2"/>
          <w:sz w:val="28"/>
          <w:szCs w:val="28"/>
          <w:highlight w:val="none"/>
          <w14:textFill>
            <w14:solidFill>
              <w14:schemeClr w14:val="tx1"/>
            </w14:solidFill>
          </w14:textFill>
        </w:rPr>
        <w:t>还应遵循以下规定：</w:t>
      </w:r>
    </w:p>
    <w:p>
      <w:pPr>
        <w:pStyle w:val="3"/>
        <w:jc w:val="center"/>
        <w:rPr>
          <w:rFonts w:ascii="仿宋_GB2312" w:eastAsia="仿宋_GB2312"/>
          <w:color w:val="000000" w:themeColor="text1"/>
          <w:kern w:val="2"/>
          <w:sz w:val="28"/>
          <w:szCs w:val="28"/>
          <w:highlight w:val="none"/>
          <w:shd w:val="clear" w:color="auto" w:fill="FFFFFF"/>
          <w14:textFill>
            <w14:solidFill>
              <w14:schemeClr w14:val="tx1"/>
            </w14:solidFill>
          </w14:textFill>
        </w:rPr>
      </w:pPr>
      <w:bookmarkStart w:id="90" w:name="_Toc24273"/>
      <w:bookmarkStart w:id="91" w:name="_Toc17194"/>
      <w:r>
        <w:rPr>
          <w:rFonts w:hint="eastAsia" w:ascii="仿宋_GB2312" w:eastAsia="仿宋_GB2312"/>
          <w:color w:val="000000" w:themeColor="text1"/>
          <w:kern w:val="2"/>
          <w:sz w:val="28"/>
          <w:szCs w:val="28"/>
          <w:highlight w:val="none"/>
          <w:shd w:val="clear" w:color="auto" w:fill="FFFFFF"/>
          <w14:textFill>
            <w14:solidFill>
              <w14:schemeClr w14:val="tx1"/>
            </w14:solidFill>
          </w14:textFill>
        </w:rPr>
        <w:t>第一章  投资管理人声明与承诺</w:t>
      </w:r>
      <w:bookmarkEnd w:id="90"/>
      <w:bookmarkEnd w:id="91"/>
    </w:p>
    <w:p>
      <w:pPr>
        <w:spacing w:line="360" w:lineRule="auto"/>
        <w:ind w:firstLine="560" w:firstLineChars="200"/>
        <w:rPr>
          <w:rFonts w:hint="eastAsia" w:ascii="仿宋_GB2312" w:hAnsi="宋体" w:eastAsia="仿宋_GB2312"/>
          <w:color w:val="000000" w:themeColor="text1"/>
          <w:kern w:val="0"/>
          <w:sz w:val="28"/>
          <w:szCs w:val="28"/>
          <w:highlight w:val="none"/>
          <w:shd w:val="clear" w:color="auto" w:fill="FFFFFF"/>
          <w14:textFill>
            <w14:solidFill>
              <w14:schemeClr w14:val="tx1"/>
            </w14:solidFill>
          </w14:textFill>
        </w:rPr>
      </w:pPr>
      <w:r>
        <w:rPr>
          <w:rFonts w:hint="eastAsia" w:ascii="仿宋_GB2312" w:hAnsi="宋体" w:eastAsia="仿宋_GB2312"/>
          <w:color w:val="000000" w:themeColor="text1"/>
          <w:kern w:val="0"/>
          <w:sz w:val="28"/>
          <w:szCs w:val="28"/>
          <w:highlight w:val="none"/>
          <w:shd w:val="clear" w:color="auto" w:fill="FFFFFF"/>
          <w14:textFill>
            <w14:solidFill>
              <w14:schemeClr w14:val="tx1"/>
            </w14:solidFill>
          </w14:textFill>
        </w:rPr>
        <w:t xml:space="preserve">1.1  投资管理人声明本公司为根据法律法规合法设立并有效存续，依法取得企业年金基金投资管理业务资格，接受受托人委托从事企业年金基金投资管理业务的专业机构。 </w:t>
      </w:r>
    </w:p>
    <w:p>
      <w:pPr>
        <w:spacing w:line="360" w:lineRule="auto"/>
        <w:ind w:firstLine="560" w:firstLineChars="200"/>
        <w:rPr>
          <w:rFonts w:hint="eastAsia" w:ascii="仿宋_GB2312" w:hAnsi="宋体" w:eastAsia="仿宋_GB2312"/>
          <w:color w:val="000000" w:themeColor="text1"/>
          <w:kern w:val="0"/>
          <w:sz w:val="28"/>
          <w:szCs w:val="28"/>
          <w:highlight w:val="none"/>
          <w:shd w:val="clear" w:color="auto" w:fill="FFFFFF"/>
          <w14:textFill>
            <w14:solidFill>
              <w14:schemeClr w14:val="tx1"/>
            </w14:solidFill>
          </w14:textFill>
        </w:rPr>
      </w:pPr>
      <w:r>
        <w:rPr>
          <w:rFonts w:hint="eastAsia" w:ascii="仿宋_GB2312" w:hAnsi="宋体" w:eastAsia="仿宋_GB2312"/>
          <w:color w:val="000000" w:themeColor="text1"/>
          <w:kern w:val="0"/>
          <w:sz w:val="28"/>
          <w:szCs w:val="28"/>
          <w:highlight w:val="none"/>
          <w:shd w:val="clear" w:color="auto" w:fill="FFFFFF"/>
          <w14:textFill>
            <w14:solidFill>
              <w14:schemeClr w14:val="tx1"/>
            </w14:solidFill>
          </w14:textFill>
        </w:rPr>
        <w:t>1.2  投资管理人声明已经建立严格的隔离制度，使企业年金基金投资管理业务和自有资金管理业务、其他投资管理业务在账户和会计核算上严格独立管理，确保各项管理职能相互独立，避免利益冲突。</w:t>
      </w:r>
    </w:p>
    <w:p>
      <w:pPr>
        <w:spacing w:line="360" w:lineRule="auto"/>
        <w:ind w:firstLine="560" w:firstLineChars="200"/>
        <w:rPr>
          <w:rFonts w:hint="eastAsia" w:ascii="仿宋_GB2312" w:hAnsi="宋体" w:eastAsia="仿宋_GB2312"/>
          <w:color w:val="000000" w:themeColor="text1"/>
          <w:kern w:val="0"/>
          <w:sz w:val="28"/>
          <w:szCs w:val="28"/>
          <w:highlight w:val="none"/>
          <w:shd w:val="clear" w:color="auto" w:fill="FFFFFF"/>
          <w14:textFill>
            <w14:solidFill>
              <w14:schemeClr w14:val="tx1"/>
            </w14:solidFill>
          </w14:textFill>
        </w:rPr>
      </w:pPr>
      <w:r>
        <w:rPr>
          <w:rFonts w:hint="eastAsia" w:ascii="仿宋_GB2312" w:hAnsi="宋体" w:eastAsia="仿宋_GB2312"/>
          <w:color w:val="000000" w:themeColor="text1"/>
          <w:kern w:val="0"/>
          <w:sz w:val="28"/>
          <w:szCs w:val="28"/>
          <w:highlight w:val="none"/>
          <w:shd w:val="clear" w:color="auto" w:fill="FFFFFF"/>
          <w14:textFill>
            <w14:solidFill>
              <w14:schemeClr w14:val="tx1"/>
            </w14:solidFill>
          </w14:textFill>
        </w:rPr>
        <w:t>1.3  投资管理人声明签署本投资管理补充条款、履行其在本投资管理补充条款约定的义务、行使其在本投资管理补充条款约定的权利，不会违反投资管理人章程和适用于投资管理人的任何生效判决、裁定、授权和协议。</w:t>
      </w:r>
    </w:p>
    <w:p>
      <w:pPr>
        <w:spacing w:line="360" w:lineRule="auto"/>
        <w:ind w:firstLine="560" w:firstLineChars="200"/>
        <w:rPr>
          <w:rFonts w:hint="eastAsia" w:ascii="仿宋_GB2312" w:hAnsi="宋体" w:eastAsia="仿宋_GB2312"/>
          <w:color w:val="000000" w:themeColor="text1"/>
          <w:kern w:val="0"/>
          <w:sz w:val="28"/>
          <w:szCs w:val="28"/>
          <w:highlight w:val="none"/>
          <w:shd w:val="clear" w:color="auto" w:fill="FFFFFF"/>
          <w14:textFill>
            <w14:solidFill>
              <w14:schemeClr w14:val="tx1"/>
            </w14:solidFill>
          </w14:textFill>
        </w:rPr>
      </w:pPr>
      <w:r>
        <w:rPr>
          <w:rFonts w:hint="eastAsia" w:ascii="仿宋_GB2312" w:hAnsi="宋体" w:eastAsia="仿宋_GB2312"/>
          <w:color w:val="000000" w:themeColor="text1"/>
          <w:kern w:val="0"/>
          <w:sz w:val="28"/>
          <w:szCs w:val="28"/>
          <w:highlight w:val="none"/>
          <w:shd w:val="clear" w:color="auto" w:fill="FFFFFF"/>
          <w14:textFill>
            <w14:solidFill>
              <w14:schemeClr w14:val="tx1"/>
            </w14:solidFill>
          </w14:textFill>
        </w:rPr>
        <w:t>1.4  投资管理人声明已在签署本投资管理补充条款之前充分地向受托人介绍了投资管理业务，同时揭示了证券投资的风险。</w:t>
      </w:r>
    </w:p>
    <w:p>
      <w:pPr>
        <w:spacing w:line="360" w:lineRule="auto"/>
        <w:ind w:firstLine="560" w:firstLineChars="200"/>
        <w:rPr>
          <w:rFonts w:hint="eastAsia" w:ascii="仿宋_GB2312" w:hAnsi="宋体" w:eastAsia="仿宋_GB2312"/>
          <w:color w:val="000000" w:themeColor="text1"/>
          <w:kern w:val="0"/>
          <w:sz w:val="28"/>
          <w:szCs w:val="28"/>
          <w:highlight w:val="none"/>
          <w:shd w:val="clear" w:color="auto" w:fill="FFFFFF"/>
          <w14:textFill>
            <w14:solidFill>
              <w14:schemeClr w14:val="tx1"/>
            </w14:solidFill>
          </w14:textFill>
        </w:rPr>
      </w:pPr>
      <w:r>
        <w:rPr>
          <w:rFonts w:hint="eastAsia" w:ascii="仿宋_GB2312" w:hAnsi="宋体" w:eastAsia="仿宋_GB2312"/>
          <w:color w:val="000000" w:themeColor="text1"/>
          <w:kern w:val="0"/>
          <w:sz w:val="28"/>
          <w:szCs w:val="28"/>
          <w:highlight w:val="none"/>
          <w:shd w:val="clear" w:color="auto" w:fill="FFFFFF"/>
          <w14:textFill>
            <w14:solidFill>
              <w14:schemeClr w14:val="tx1"/>
            </w14:solidFill>
          </w14:textFill>
        </w:rPr>
        <w:t>1.5  投资管理人声明在本投资管理补充条款、有关报告或文件中向受托人介绍的投资收益预期、业绩比较基准等仅供受托人参考。市场存在风险，投资管理人不保证企业年金基金财产管理过程中本金不受损失，亦不保证一定盈利。</w:t>
      </w:r>
    </w:p>
    <w:p>
      <w:pPr>
        <w:spacing w:line="360" w:lineRule="auto"/>
        <w:ind w:firstLine="560" w:firstLineChars="200"/>
        <w:rPr>
          <w:rFonts w:hint="eastAsia" w:ascii="仿宋_GB2312" w:hAnsi="宋体" w:eastAsia="仿宋_GB2312"/>
          <w:color w:val="000000" w:themeColor="text1"/>
          <w:kern w:val="0"/>
          <w:sz w:val="28"/>
          <w:szCs w:val="28"/>
          <w:highlight w:val="none"/>
          <w:shd w:val="clear" w:color="auto" w:fill="FFFFFF"/>
          <w14:textFill>
            <w14:solidFill>
              <w14:schemeClr w14:val="tx1"/>
            </w14:solidFill>
          </w14:textFill>
        </w:rPr>
      </w:pPr>
      <w:r>
        <w:rPr>
          <w:rFonts w:hint="eastAsia" w:ascii="仿宋_GB2312" w:hAnsi="宋体" w:eastAsia="仿宋_GB2312"/>
          <w:color w:val="000000" w:themeColor="text1"/>
          <w:kern w:val="0"/>
          <w:sz w:val="28"/>
          <w:szCs w:val="28"/>
          <w:highlight w:val="none"/>
          <w:shd w:val="clear" w:color="auto" w:fill="FFFFFF"/>
          <w14:textFill>
            <w14:solidFill>
              <w14:schemeClr w14:val="tx1"/>
            </w14:solidFill>
          </w14:textFill>
        </w:rPr>
        <w:t>1.6  投资管理人承诺严格遵守法律法规规定、企业年金管理机构行业自律公约和本投资管理补充条款的约定，恪尽职守，按照诚实、信用、谨慎、勤勉的原则，履行投资管理职责。</w:t>
      </w:r>
    </w:p>
    <w:p>
      <w:pPr>
        <w:spacing w:line="360" w:lineRule="auto"/>
        <w:ind w:firstLine="560" w:firstLineChars="200"/>
        <w:rPr>
          <w:rFonts w:hint="eastAsia" w:ascii="仿宋_GB2312" w:hAnsi="宋体" w:eastAsia="仿宋_GB2312"/>
          <w:color w:val="000000" w:themeColor="text1"/>
          <w:kern w:val="0"/>
          <w:sz w:val="28"/>
          <w:szCs w:val="28"/>
          <w:highlight w:val="none"/>
          <w:shd w:val="clear" w:color="auto" w:fill="FFFFFF"/>
          <w14:textFill>
            <w14:solidFill>
              <w14:schemeClr w14:val="tx1"/>
            </w14:solidFill>
          </w14:textFill>
        </w:rPr>
      </w:pPr>
      <w:r>
        <w:rPr>
          <w:rFonts w:hint="eastAsia" w:ascii="仿宋_GB2312" w:hAnsi="宋体" w:eastAsia="仿宋_GB2312"/>
          <w:color w:val="000000" w:themeColor="text1"/>
          <w:kern w:val="0"/>
          <w:sz w:val="28"/>
          <w:szCs w:val="28"/>
          <w:highlight w:val="none"/>
          <w:shd w:val="clear" w:color="auto" w:fill="FFFFFF"/>
          <w14:textFill>
            <w14:solidFill>
              <w14:schemeClr w14:val="tx1"/>
            </w14:solidFill>
          </w14:textFill>
        </w:rPr>
        <w:t>1.7  投资管理人承诺遵从诚信原则，以委托投资资产利益为重，运用科学的手段管理和控制风险，以专业的投资管理争取委托投资资产的保值增值。</w:t>
      </w:r>
    </w:p>
    <w:p>
      <w:pPr>
        <w:spacing w:line="360" w:lineRule="auto"/>
        <w:ind w:firstLine="560" w:firstLineChars="200"/>
        <w:rPr>
          <w:rFonts w:hint="eastAsia" w:ascii="仿宋_GB2312" w:hAnsi="宋体" w:eastAsia="仿宋_GB2312"/>
          <w:color w:val="000000" w:themeColor="text1"/>
          <w:kern w:val="0"/>
          <w:sz w:val="28"/>
          <w:szCs w:val="28"/>
          <w:highlight w:val="none"/>
          <w:shd w:val="clear" w:color="auto" w:fill="FFFFFF"/>
          <w14:textFill>
            <w14:solidFill>
              <w14:schemeClr w14:val="tx1"/>
            </w14:solidFill>
          </w14:textFill>
        </w:rPr>
      </w:pPr>
      <w:r>
        <w:rPr>
          <w:rFonts w:hint="eastAsia" w:ascii="仿宋_GB2312" w:hAnsi="宋体" w:eastAsia="仿宋_GB2312"/>
          <w:color w:val="000000" w:themeColor="text1"/>
          <w:kern w:val="0"/>
          <w:sz w:val="28"/>
          <w:szCs w:val="28"/>
          <w:highlight w:val="none"/>
          <w:shd w:val="clear" w:color="auto" w:fill="FFFFFF"/>
          <w14:textFill>
            <w14:solidFill>
              <w14:schemeClr w14:val="tx1"/>
            </w14:solidFill>
          </w14:textFill>
        </w:rPr>
        <w:t>1.8  投资管理人承诺将选派具有基金从业资格的专业人员负责委托人委托投资资产的投资管理工作，在法律法规规定和本投资管理补充条款约定的范围内进行投资运作。</w:t>
      </w:r>
    </w:p>
    <w:p>
      <w:pPr>
        <w:spacing w:line="360" w:lineRule="auto"/>
        <w:ind w:firstLine="560" w:firstLineChars="200"/>
        <w:rPr>
          <w:rFonts w:hint="eastAsia" w:ascii="仿宋_GB2312" w:hAnsi="宋体" w:eastAsia="仿宋_GB2312"/>
          <w:color w:val="000000" w:themeColor="text1"/>
          <w:kern w:val="0"/>
          <w:sz w:val="28"/>
          <w:szCs w:val="28"/>
          <w:highlight w:val="none"/>
          <w:shd w:val="clear" w:color="auto" w:fill="FFFFFF"/>
          <w14:textFill>
            <w14:solidFill>
              <w14:schemeClr w14:val="tx1"/>
            </w14:solidFill>
          </w14:textFill>
        </w:rPr>
      </w:pPr>
      <w:r>
        <w:rPr>
          <w:rFonts w:hint="eastAsia" w:ascii="仿宋_GB2312" w:hAnsi="宋体" w:eastAsia="仿宋_GB2312"/>
          <w:color w:val="000000" w:themeColor="text1"/>
          <w:kern w:val="0"/>
          <w:sz w:val="28"/>
          <w:szCs w:val="28"/>
          <w:highlight w:val="none"/>
          <w:shd w:val="clear" w:color="auto" w:fill="FFFFFF"/>
          <w14:textFill>
            <w14:solidFill>
              <w14:schemeClr w14:val="tx1"/>
            </w14:solidFill>
          </w14:textFill>
        </w:rPr>
        <w:t>1.9  投资管理人承诺与托管人和其他管理人互相协助、互相配合，共同完成企业年金基金投资管理工作。</w:t>
      </w:r>
    </w:p>
    <w:p>
      <w:pPr>
        <w:spacing w:line="360" w:lineRule="auto"/>
        <w:ind w:firstLine="560" w:firstLineChars="200"/>
        <w:rPr>
          <w:rFonts w:hint="eastAsia" w:ascii="仿宋_GB2312" w:hAnsi="宋体" w:eastAsia="仿宋_GB2312"/>
          <w:color w:val="000000" w:themeColor="text1"/>
          <w:kern w:val="0"/>
          <w:sz w:val="28"/>
          <w:szCs w:val="28"/>
          <w:highlight w:val="none"/>
          <w:shd w:val="clear" w:color="auto" w:fill="FFFFFF"/>
          <w14:textFill>
            <w14:solidFill>
              <w14:schemeClr w14:val="tx1"/>
            </w14:solidFill>
          </w14:textFill>
        </w:rPr>
      </w:pPr>
      <w:r>
        <w:rPr>
          <w:rFonts w:hint="eastAsia" w:ascii="仿宋_GB2312" w:hAnsi="宋体" w:eastAsia="仿宋_GB2312"/>
          <w:color w:val="000000" w:themeColor="text1"/>
          <w:kern w:val="0"/>
          <w:sz w:val="28"/>
          <w:szCs w:val="28"/>
          <w:highlight w:val="none"/>
          <w:shd w:val="clear" w:color="auto" w:fill="FFFFFF"/>
          <w14:textFill>
            <w14:solidFill>
              <w14:schemeClr w14:val="tx1"/>
            </w14:solidFill>
          </w14:textFill>
        </w:rPr>
        <w:t>1.10  投资管理人承诺提供给受托人的所有信息资料均合法、真实、准确、完整，没有任何虚假陈述、重大遗漏和误导，如有关信息资料发生实质性变更，投资管理人应当及时告知受托人。</w:t>
      </w:r>
    </w:p>
    <w:p>
      <w:pPr>
        <w:spacing w:line="360" w:lineRule="auto"/>
        <w:ind w:firstLine="560" w:firstLineChars="200"/>
        <w:rPr>
          <w:rFonts w:hint="eastAsia" w:ascii="仿宋_GB2312" w:hAnsi="宋体" w:eastAsia="仿宋_GB2312"/>
          <w:color w:val="000000" w:themeColor="text1"/>
          <w:kern w:val="0"/>
          <w:sz w:val="28"/>
          <w:szCs w:val="28"/>
          <w:highlight w:val="none"/>
          <w:shd w:val="clear" w:color="auto" w:fill="FFFFFF"/>
          <w14:textFill>
            <w14:solidFill>
              <w14:schemeClr w14:val="tx1"/>
            </w14:solidFill>
          </w14:textFill>
        </w:rPr>
      </w:pPr>
      <w:r>
        <w:rPr>
          <w:rFonts w:hint="eastAsia" w:ascii="仿宋_GB2312" w:hAnsi="宋体" w:eastAsia="仿宋_GB2312"/>
          <w:color w:val="000000" w:themeColor="text1"/>
          <w:kern w:val="0"/>
          <w:sz w:val="28"/>
          <w:szCs w:val="28"/>
          <w:highlight w:val="none"/>
          <w:shd w:val="clear" w:color="auto" w:fill="FFFFFF"/>
          <w14:textFill>
            <w14:solidFill>
              <w14:schemeClr w14:val="tx1"/>
            </w14:solidFill>
          </w14:textFill>
        </w:rPr>
        <w:t>1.11  投资管理人承诺要求其工作人员严格遵守法律法规、职业道德规范。</w:t>
      </w:r>
    </w:p>
    <w:p>
      <w:pPr>
        <w:pStyle w:val="3"/>
        <w:jc w:val="center"/>
        <w:rPr>
          <w:rFonts w:ascii="仿宋_GB2312" w:eastAsia="仿宋_GB2312"/>
          <w:color w:val="000000" w:themeColor="text1"/>
          <w:kern w:val="2"/>
          <w:sz w:val="28"/>
          <w:szCs w:val="28"/>
          <w:highlight w:val="none"/>
          <w:shd w:val="clear" w:color="auto" w:fill="FFFFFF"/>
          <w14:textFill>
            <w14:solidFill>
              <w14:schemeClr w14:val="tx1"/>
            </w14:solidFill>
          </w14:textFill>
        </w:rPr>
      </w:pPr>
      <w:bookmarkStart w:id="92" w:name="_Toc11735"/>
      <w:bookmarkStart w:id="93" w:name="_Toc10268"/>
      <w:bookmarkStart w:id="94" w:name="_Toc319934282"/>
      <w:r>
        <w:rPr>
          <w:rFonts w:hint="eastAsia" w:ascii="仿宋_GB2312" w:eastAsia="仿宋_GB2312"/>
          <w:color w:val="000000" w:themeColor="text1"/>
          <w:kern w:val="2"/>
          <w:sz w:val="28"/>
          <w:szCs w:val="28"/>
          <w:highlight w:val="none"/>
          <w:shd w:val="clear" w:color="auto" w:fill="FFFFFF"/>
          <w14:textFill>
            <w14:solidFill>
              <w14:schemeClr w14:val="tx1"/>
            </w14:solidFill>
          </w14:textFill>
        </w:rPr>
        <w:t>第二章  投资管理人的</w:t>
      </w:r>
      <w:r>
        <w:rPr>
          <w:rFonts w:hint="eastAsia" w:ascii="仿宋_GB2312" w:eastAsia="仿宋_GB2312"/>
          <w:color w:val="000000" w:themeColor="text1"/>
          <w:kern w:val="2"/>
          <w:sz w:val="28"/>
          <w:szCs w:val="28"/>
          <w:highlight w:val="none"/>
          <w14:textFill>
            <w14:solidFill>
              <w14:schemeClr w14:val="tx1"/>
            </w14:solidFill>
          </w14:textFill>
        </w:rPr>
        <w:t>权利与义务</w:t>
      </w:r>
      <w:bookmarkEnd w:id="92"/>
      <w:bookmarkEnd w:id="93"/>
      <w:bookmarkEnd w:id="94"/>
    </w:p>
    <w:p>
      <w:pPr>
        <w:spacing w:line="360" w:lineRule="auto"/>
        <w:ind w:left="-2" w:leftChars="-1"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2.1  投资管理人的权利。</w:t>
      </w:r>
    </w:p>
    <w:p>
      <w:pPr>
        <w:spacing w:line="360" w:lineRule="auto"/>
        <w:ind w:left="-2" w:leftChars="-1"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2.1.1  按照本投资管理补充条款约定对委托投资资产进行投资管理。</w:t>
      </w:r>
    </w:p>
    <w:p>
      <w:pPr>
        <w:spacing w:line="360" w:lineRule="auto"/>
        <w:ind w:left="-2" w:leftChars="-1"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2.1.2  按照法律法规规定，代表委托投资资产行使委托投资资产所享有的股东权利、债券持有人权利、基金份额持有人权利等。</w:t>
      </w:r>
    </w:p>
    <w:p>
      <w:pPr>
        <w:tabs>
          <w:tab w:val="left" w:pos="540"/>
        </w:tabs>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2.1.3　要求受托人协调托管人及其他管理人配合其对委托投资资产的投资管理。</w:t>
      </w:r>
    </w:p>
    <w:p>
      <w:pPr>
        <w:tabs>
          <w:tab w:val="left" w:pos="540"/>
        </w:tabs>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2.1.4　按照本投资管理补充条款约定及时获取履行投资管理必需的资料及相关信息。</w:t>
      </w:r>
    </w:p>
    <w:p>
      <w:pPr>
        <w:tabs>
          <w:tab w:val="left" w:pos="540"/>
        </w:tabs>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2.1.5　按照本投资管理补充条款约定及时、足额取得投资管理费收入。</w:t>
      </w:r>
    </w:p>
    <w:p>
      <w:pPr>
        <w:tabs>
          <w:tab w:val="left" w:pos="540"/>
        </w:tabs>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2.1.6  有充足理由认为兼任投资管理人的受托人的行为对投资管理人不公正时，可向受托人提出异议或向监管部门投诉。</w:t>
      </w:r>
    </w:p>
    <w:p>
      <w:pPr>
        <w:tabs>
          <w:tab w:val="left" w:pos="540"/>
        </w:tabs>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2.1.7  行使法律法规规定及本投资管理补充条款约定的其他权利。</w:t>
      </w:r>
    </w:p>
    <w:p>
      <w:pPr>
        <w:tabs>
          <w:tab w:val="left" w:pos="540"/>
        </w:tabs>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2.2  投资管理人的义务</w:t>
      </w:r>
    </w:p>
    <w:p>
      <w:pPr>
        <w:tabs>
          <w:tab w:val="left" w:pos="540"/>
        </w:tabs>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2.2.1  遵守法律法规规定及本投资管理补充条款约定，不损害国家、社会公众和受益人的合法权益，如相关法律法规调整，应当及时与受托人协商，相应调整本投资管理补充条款相关内容。</w:t>
      </w:r>
    </w:p>
    <w:p>
      <w:pPr>
        <w:tabs>
          <w:tab w:val="left" w:pos="540"/>
        </w:tabs>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2.2.2  以诚实、信用、谨慎、勤勉的原则管理委托投资资产。</w:t>
      </w:r>
    </w:p>
    <w:p>
      <w:pPr>
        <w:tabs>
          <w:tab w:val="left" w:pos="540"/>
        </w:tabs>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2.2.3  与受托人、托管人共同协商确定投资监督事项表。</w:t>
      </w:r>
    </w:p>
    <w:p>
      <w:pPr>
        <w:spacing w:line="360" w:lineRule="auto"/>
        <w:ind w:left="-2" w:leftChars="-1"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 xml:space="preserve">2.2.4  配备足够的具有专业资格的人员进行投资分析、决策，以专业化的方式管理委托投资资产。  </w:t>
      </w:r>
    </w:p>
    <w:p>
      <w:pPr>
        <w:spacing w:line="360" w:lineRule="auto"/>
        <w:ind w:left="-2" w:leftChars="-1"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2.2.5  建立、健全内部风险控制机制和监察稽核制度。</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2.2.6  及时与托管人核对企业年金基金会计核算和估值结果。</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 xml:space="preserve">2.2.7  接受受托人及托管人的监督。 </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 xml:space="preserve">2.2.8  执行受托人制定的战略资产配置策略。  </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2.2.9  建立企业年金基金投资管理风险准备金，并根据法律法规规定及本投资管理补充条款约定管理投资管理风险准备金。</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2.2.10  定期向受托人提交经托管人</w:t>
      </w:r>
      <w:r>
        <w:rPr>
          <w:rFonts w:hint="eastAsia" w:ascii="仿宋_GB2312" w:hAnsi="仿宋_GB2312" w:eastAsia="仿宋_GB2312"/>
          <w:color w:val="000000" w:themeColor="text1"/>
          <w:sz w:val="28"/>
          <w:szCs w:val="28"/>
          <w:highlight w:val="none"/>
          <w:shd w:val="clear" w:color="auto" w:fill="FFFFFF"/>
          <w14:textFill>
            <w14:solidFill>
              <w14:schemeClr w14:val="tx1"/>
            </w14:solidFill>
          </w14:textFill>
        </w:rPr>
        <w:t>确认财务管理数据的</w:t>
      </w:r>
      <w:r>
        <w:rPr>
          <w:rFonts w:hint="eastAsia" w:ascii="仿宋_GB2312" w:eastAsia="仿宋_GB2312"/>
          <w:color w:val="000000" w:themeColor="text1"/>
          <w:sz w:val="28"/>
          <w:szCs w:val="28"/>
          <w:highlight w:val="none"/>
          <w:shd w:val="clear" w:color="auto" w:fill="FFFFFF"/>
          <w14:textFill>
            <w14:solidFill>
              <w14:schemeClr w14:val="tx1"/>
            </w14:solidFill>
          </w14:textFill>
        </w:rPr>
        <w:t>企业年金基金投资管理报告。</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2.2.11  定期向有关监管部门提交开展企业年金基金投资管理业务情况的报告。</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2.2.12  按照国家规定保存企业年金基金投资管理业务的凭证、账簿、年度财务会计报告和投资记录自合同终止之日起至少15年。</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2.2.13  按法律法规规定，配合受托人及受托人聘请的会计师事务所对企业年金计划进行审计，参与企业年金计划清算。</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2.2.14  履行法律法规规定及本投资管理补充条款约定的其他义务。</w:t>
      </w:r>
    </w:p>
    <w:p>
      <w:pPr>
        <w:pStyle w:val="3"/>
        <w:jc w:val="center"/>
        <w:rPr>
          <w:rFonts w:ascii="仿宋_GB2312" w:eastAsia="仿宋_GB2312"/>
          <w:color w:val="000000" w:themeColor="text1"/>
          <w:kern w:val="2"/>
          <w:sz w:val="28"/>
          <w:szCs w:val="28"/>
          <w:highlight w:val="none"/>
          <w:shd w:val="clear" w:color="auto" w:fill="FFFFFF"/>
          <w14:textFill>
            <w14:solidFill>
              <w14:schemeClr w14:val="tx1"/>
            </w14:solidFill>
          </w14:textFill>
        </w:rPr>
      </w:pPr>
      <w:bookmarkStart w:id="95" w:name="_Toc738"/>
      <w:bookmarkStart w:id="96" w:name="_Toc32130"/>
      <w:bookmarkStart w:id="97" w:name="_Toc319934283"/>
      <w:r>
        <w:rPr>
          <w:rFonts w:hint="eastAsia" w:ascii="仿宋_GB2312" w:eastAsia="仿宋_GB2312"/>
          <w:color w:val="000000" w:themeColor="text1"/>
          <w:kern w:val="2"/>
          <w:sz w:val="28"/>
          <w:szCs w:val="28"/>
          <w:highlight w:val="none"/>
          <w:shd w:val="clear" w:color="auto" w:fill="FFFFFF"/>
          <w14:textFill>
            <w14:solidFill>
              <w14:schemeClr w14:val="tx1"/>
            </w14:solidFill>
          </w14:textFill>
        </w:rPr>
        <w:t xml:space="preserve">第三章  </w:t>
      </w:r>
      <w:r>
        <w:rPr>
          <w:rFonts w:hint="eastAsia" w:ascii="仿宋_GB2312" w:eastAsia="仿宋_GB2312"/>
          <w:color w:val="000000" w:themeColor="text1"/>
          <w:kern w:val="2"/>
          <w:sz w:val="28"/>
          <w:szCs w:val="28"/>
          <w:highlight w:val="none"/>
          <w14:textFill>
            <w14:solidFill>
              <w14:schemeClr w14:val="tx1"/>
            </w14:solidFill>
          </w14:textFill>
        </w:rPr>
        <w:t>委托投资资产</w:t>
      </w:r>
      <w:bookmarkEnd w:id="95"/>
      <w:bookmarkEnd w:id="96"/>
      <w:bookmarkEnd w:id="97"/>
    </w:p>
    <w:p>
      <w:pPr>
        <w:spacing w:before="30" w:after="30"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3.1  初始委托投资资产的划拨。</w:t>
      </w:r>
    </w:p>
    <w:p>
      <w:pPr>
        <w:spacing w:line="360" w:lineRule="auto"/>
        <w:ind w:left="-2" w:leftChars="-1"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受托人应当于各有关账户开立完毕后及时通知托管人将初始委托投资资产足额划拨至投资资产托管账户，托管人应当于收到委托投资资产当日以书面形式分别通知受托人和投资管理人。</w:t>
      </w:r>
    </w:p>
    <w:p>
      <w:pPr>
        <w:spacing w:line="360" w:lineRule="auto"/>
        <w:ind w:left="-2" w:leftChars="-1"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3.2  委托投资资产的追加。</w:t>
      </w:r>
    </w:p>
    <w:p>
      <w:pPr>
        <w:spacing w:line="360" w:lineRule="auto"/>
        <w:ind w:left="-2" w:leftChars="-1"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合同期内，委托人将追加的委托投资资产划拨至托管人的受托财产托管账户后，受托人应当及时向托管人发送指令，将委托投资资产划拨至投资资产托管账户并通知投资管理人。托管人应当于收到委托投资资产当日以书面形式分别通知受托人和投资管理人。</w:t>
      </w:r>
    </w:p>
    <w:p>
      <w:pPr>
        <w:spacing w:line="360" w:lineRule="auto"/>
        <w:ind w:left="-2" w:leftChars="-1"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3.3  委托投资资产的提取。</w:t>
      </w:r>
    </w:p>
    <w:p>
      <w:pPr>
        <w:spacing w:line="360" w:lineRule="auto"/>
        <w:ind w:left="-2" w:leftChars="-1"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在合同存续期内，如遇受托人需要减少委托投资资产，受托人需提前通知投资管理人。托管人应当根据受托人指令将相应资金从委托投资资产托管账户划拨至受托财产托管账户，并于划拨资金当日以书面形式分别通知受托人及投资管理人。受托人提前通知的时间约定如下：</w:t>
      </w:r>
    </w:p>
    <w:p>
      <w:pPr>
        <w:spacing w:line="360" w:lineRule="auto"/>
        <w:ind w:left="-2" w:leftChars="-1"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3.3.1  提取金额占通知日之上一交易日的委托投资资产净值5%以下的（不含5%），应至少提前3个交易日通知；</w:t>
      </w:r>
    </w:p>
    <w:p>
      <w:pPr>
        <w:tabs>
          <w:tab w:val="left" w:pos="1800"/>
        </w:tabs>
        <w:spacing w:line="360" w:lineRule="auto"/>
        <w:ind w:left="-2" w:leftChars="-1"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3.3.2  提取金额占通知日之上一交易日的委托投资资产净值5%以上的（含5%）， 应至少提前5个交易日通知；</w:t>
      </w:r>
    </w:p>
    <w:p>
      <w:pPr>
        <w:tabs>
          <w:tab w:val="left" w:pos="1800"/>
        </w:tabs>
        <w:spacing w:line="360" w:lineRule="auto"/>
        <w:ind w:left="-2" w:leftChars="-1"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3.3.3  因法律法规、监管部门或证券交易相关机构做出限制性规定或约定导致全部或部分企业年金资产无法及时变现，进而导致投资管理人无法按照前述流程处理委托投资资产提取指令的，受托人和投资管理人应当另行协商解决；</w:t>
      </w:r>
    </w:p>
    <w:p>
      <w:pPr>
        <w:tabs>
          <w:tab w:val="left" w:pos="1800"/>
        </w:tabs>
        <w:spacing w:line="360" w:lineRule="auto"/>
        <w:ind w:left="-2" w:leftChars="-1"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3.3.4  由于受托人通知不及时造成的资产变现损失</w:t>
      </w:r>
      <w:r>
        <w:rPr>
          <w:rFonts w:hint="eastAsia" w:ascii="仿宋_GB2312" w:eastAsia="仿宋_GB2312"/>
          <w:color w:val="000000" w:themeColor="text1"/>
          <w:sz w:val="28"/>
          <w:szCs w:val="28"/>
          <w:highlight w:val="none"/>
          <w:shd w:val="clear" w:color="auto" w:fill="FFFFFF"/>
          <w:lang w:eastAsia="zh-CN"/>
          <w14:textFill>
            <w14:solidFill>
              <w14:schemeClr w14:val="tx1"/>
            </w14:solidFill>
          </w14:textFill>
        </w:rPr>
        <w:t>，</w:t>
      </w:r>
      <w:r>
        <w:rPr>
          <w:rFonts w:hint="eastAsia" w:ascii="仿宋_GB2312" w:eastAsia="仿宋_GB2312"/>
          <w:color w:val="000000" w:themeColor="text1"/>
          <w:sz w:val="28"/>
          <w:szCs w:val="28"/>
          <w:highlight w:val="none"/>
          <w:shd w:val="clear" w:color="auto" w:fill="FFFFFF"/>
          <w14:textFill>
            <w14:solidFill>
              <w14:schemeClr w14:val="tx1"/>
            </w14:solidFill>
          </w14:textFill>
        </w:rPr>
        <w:t>或因托管人未严格按照受托人指令及时划拨资金而可能导致的损失，投资管理人不承担责任。</w:t>
      </w:r>
    </w:p>
    <w:p>
      <w:pPr>
        <w:pStyle w:val="3"/>
        <w:jc w:val="center"/>
        <w:rPr>
          <w:rFonts w:hint="eastAsia" w:ascii="仿宋_GB2312" w:hAnsi="黑体" w:eastAsia="仿宋_GB2312"/>
          <w:color w:val="000000" w:themeColor="text1"/>
          <w:sz w:val="28"/>
          <w:szCs w:val="28"/>
          <w:highlight w:val="none"/>
          <w:shd w:val="clear" w:color="auto" w:fill="FFFFFF"/>
          <w14:textFill>
            <w14:solidFill>
              <w14:schemeClr w14:val="tx1"/>
            </w14:solidFill>
          </w14:textFill>
        </w:rPr>
      </w:pPr>
      <w:bookmarkStart w:id="98" w:name="_Toc30364"/>
      <w:bookmarkStart w:id="99" w:name="_Toc11342"/>
      <w:bookmarkStart w:id="100" w:name="_Toc319934284"/>
      <w:r>
        <w:rPr>
          <w:rFonts w:hint="eastAsia" w:ascii="仿宋_GB2312" w:hAnsi="黑体" w:eastAsia="仿宋_GB2312"/>
          <w:color w:val="000000" w:themeColor="text1"/>
          <w:sz w:val="28"/>
          <w:szCs w:val="28"/>
          <w:highlight w:val="none"/>
          <w:shd w:val="clear" w:color="auto" w:fill="FFFFFF"/>
          <w14:textFill>
            <w14:solidFill>
              <w14:schemeClr w14:val="tx1"/>
            </w14:solidFill>
          </w14:textFill>
        </w:rPr>
        <w:t xml:space="preserve">第四章  </w:t>
      </w:r>
      <w:r>
        <w:rPr>
          <w:rStyle w:val="23"/>
          <w:rFonts w:hint="eastAsia" w:ascii="仿宋_GB2312" w:eastAsia="仿宋_GB2312"/>
          <w:b/>
          <w:color w:val="000000" w:themeColor="text1"/>
          <w:sz w:val="28"/>
          <w:szCs w:val="28"/>
          <w:highlight w:val="none"/>
          <w:shd w:val="clear" w:color="auto" w:fill="FFFFFF"/>
          <w14:textFill>
            <w14:solidFill>
              <w14:schemeClr w14:val="tx1"/>
            </w14:solidFill>
          </w14:textFill>
        </w:rPr>
        <w:t>投资政策与变更</w:t>
      </w:r>
      <w:bookmarkEnd w:id="98"/>
      <w:bookmarkEnd w:id="99"/>
      <w:bookmarkEnd w:id="100"/>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4.1  投资目标。</w:t>
      </w:r>
    </w:p>
    <w:p>
      <w:pPr>
        <w:spacing w:line="360" w:lineRule="auto"/>
        <w:ind w:left="-2" w:leftChars="-1"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在充分考虑资产安全性和流动性的基础上，通过专业化管理，争取实现企业年金基金的保值增值。</w:t>
      </w:r>
    </w:p>
    <w:p>
      <w:pPr>
        <w:spacing w:line="360" w:lineRule="auto"/>
        <w:ind w:left="-2" w:leftChars="-1"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4.2  投资原则。</w:t>
      </w:r>
    </w:p>
    <w:p>
      <w:pPr>
        <w:spacing w:line="360" w:lineRule="auto"/>
        <w:ind w:left="-2" w:leftChars="-1"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遵循谨慎、分散风险的原则，争取实现企业年金基金长期稳定增值。</w:t>
      </w:r>
    </w:p>
    <w:p>
      <w:pPr>
        <w:spacing w:line="360" w:lineRule="auto"/>
        <w:ind w:left="-2" w:leftChars="-1"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4.3  投资政策。</w:t>
      </w:r>
    </w:p>
    <w:p>
      <w:pPr>
        <w:spacing w:line="360" w:lineRule="auto"/>
        <w:ind w:left="-2" w:leftChars="-1"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投资管理人根据本投资管理补充条款约定的投资政策（见附件一）进行委托投资资产的投资管理。</w:t>
      </w:r>
    </w:p>
    <w:p>
      <w:pPr>
        <w:spacing w:line="360" w:lineRule="auto"/>
        <w:ind w:left="-2" w:leftChars="-1"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4.4  投资政策的变更。</w:t>
      </w:r>
    </w:p>
    <w:p>
      <w:pPr>
        <w:spacing w:line="360" w:lineRule="auto"/>
        <w:ind w:left="-2" w:leftChars="-1"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4.4.1  本投资管理补充条款约定的投资政策(见附件一)的变更需经双方书面同意。变更后的投资政策自送达投资管理人之日起生效。投资管理人应当在受托人规定的合理时间范围内调整投资组合。</w:t>
      </w:r>
    </w:p>
    <w:p>
      <w:pPr>
        <w:spacing w:line="360" w:lineRule="auto"/>
        <w:ind w:left="-2" w:leftChars="-1"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4.4.2  如企业年金基金投资运作的相关法律法规进行了修订，受托人应当及时将调整后的投资政策通知投资管理人。</w:t>
      </w:r>
    </w:p>
    <w:p>
      <w:pPr>
        <w:pStyle w:val="3"/>
        <w:spacing w:line="360" w:lineRule="auto"/>
        <w:ind w:left="425" w:hanging="425"/>
        <w:jc w:val="center"/>
        <w:rPr>
          <w:rStyle w:val="23"/>
          <w:rFonts w:ascii="仿宋_GB2312" w:eastAsia="仿宋_GB2312"/>
          <w:b/>
          <w:color w:val="000000" w:themeColor="text1"/>
          <w:sz w:val="28"/>
          <w:szCs w:val="28"/>
          <w:highlight w:val="none"/>
          <w:shd w:val="clear" w:color="auto" w:fill="FFFFFF"/>
          <w14:textFill>
            <w14:solidFill>
              <w14:schemeClr w14:val="tx1"/>
            </w14:solidFill>
          </w14:textFill>
        </w:rPr>
      </w:pPr>
      <w:bookmarkStart w:id="101" w:name="_Toc22351"/>
      <w:bookmarkStart w:id="102" w:name="_Toc8160"/>
      <w:bookmarkStart w:id="103" w:name="_Toc264103554"/>
      <w:bookmarkStart w:id="104" w:name="_Toc319934285"/>
      <w:bookmarkStart w:id="105" w:name="_Toc279925332"/>
      <w:r>
        <w:rPr>
          <w:rStyle w:val="23"/>
          <w:rFonts w:hint="eastAsia" w:ascii="仿宋_GB2312" w:eastAsia="仿宋_GB2312"/>
          <w:b/>
          <w:color w:val="000000" w:themeColor="text1"/>
          <w:sz w:val="28"/>
          <w:szCs w:val="28"/>
          <w:highlight w:val="none"/>
          <w:shd w:val="clear" w:color="auto" w:fill="FFFFFF"/>
          <w14:textFill>
            <w14:solidFill>
              <w14:schemeClr w14:val="tx1"/>
            </w14:solidFill>
          </w14:textFill>
        </w:rPr>
        <w:t>第五章  投资经理的指定与变更</w:t>
      </w:r>
      <w:bookmarkEnd w:id="101"/>
      <w:bookmarkEnd w:id="102"/>
      <w:bookmarkEnd w:id="103"/>
      <w:bookmarkEnd w:id="104"/>
      <w:bookmarkEnd w:id="105"/>
    </w:p>
    <w:p>
      <w:pPr>
        <w:pStyle w:val="46"/>
        <w:spacing w:line="360" w:lineRule="auto"/>
        <w:ind w:firstLine="560"/>
        <w:rPr>
          <w:rFonts w:ascii="仿宋_GB2312" w:hAnsi="Times New Roman" w:eastAsia="仿宋_GB2312"/>
          <w:color w:val="000000" w:themeColor="text1"/>
          <w:sz w:val="28"/>
          <w:szCs w:val="28"/>
          <w:highlight w:val="none"/>
          <w:shd w:val="clear" w:color="auto" w:fill="FFFFFF"/>
          <w14:textFill>
            <w14:solidFill>
              <w14:schemeClr w14:val="tx1"/>
            </w14:solidFill>
          </w14:textFill>
        </w:rPr>
      </w:pPr>
      <w:r>
        <w:rPr>
          <w:rFonts w:hint="eastAsia" w:ascii="仿宋_GB2312" w:hAnsi="Times New Roman" w:eastAsia="仿宋_GB2312"/>
          <w:color w:val="000000" w:themeColor="text1"/>
          <w:sz w:val="28"/>
          <w:szCs w:val="28"/>
          <w:highlight w:val="none"/>
          <w:shd w:val="clear" w:color="auto" w:fill="FFFFFF"/>
          <w14:textFill>
            <w14:solidFill>
              <w14:schemeClr w14:val="tx1"/>
            </w14:solidFill>
          </w14:textFill>
        </w:rPr>
        <w:t>5.1  投资经理的指定。</w:t>
      </w:r>
      <w:r>
        <w:rPr>
          <w:rFonts w:hint="eastAsia" w:ascii="仿宋_GB2312" w:hAnsi="Times New Roman" w:eastAsia="仿宋_GB2312"/>
          <w:color w:val="000000" w:themeColor="text1"/>
          <w:sz w:val="28"/>
          <w:szCs w:val="28"/>
          <w:highlight w:val="none"/>
          <w:shd w:val="clear" w:color="auto" w:fill="FFFFFF"/>
          <w14:textFill>
            <w14:solidFill>
              <w14:schemeClr w14:val="tx1"/>
            </w14:solidFill>
          </w14:textFill>
        </w:rPr>
        <w:br w:type="textWrapping"/>
      </w:r>
      <w:r>
        <w:rPr>
          <w:rFonts w:hint="eastAsia" w:ascii="仿宋_GB2312" w:hAnsi="Times New Roman" w:eastAsia="仿宋_GB2312"/>
          <w:color w:val="000000" w:themeColor="text1"/>
          <w:sz w:val="28"/>
          <w:szCs w:val="28"/>
          <w:highlight w:val="none"/>
          <w:shd w:val="clear" w:color="auto" w:fill="FFFFFF"/>
          <w14:textFill>
            <w14:solidFill>
              <w14:schemeClr w14:val="tx1"/>
            </w14:solidFill>
          </w14:textFill>
        </w:rPr>
        <w:t xml:space="preserve">    投资管理人指定符合资格条件的人员为委托投资资产的投资经理(投资经理的资料见附件二)。</w:t>
      </w:r>
    </w:p>
    <w:p>
      <w:pPr>
        <w:pStyle w:val="46"/>
        <w:spacing w:line="360" w:lineRule="auto"/>
        <w:ind w:firstLine="560"/>
        <w:rPr>
          <w:rFonts w:ascii="仿宋_GB2312" w:hAnsi="Times New Roman" w:eastAsia="仿宋_GB2312"/>
          <w:color w:val="000000" w:themeColor="text1"/>
          <w:sz w:val="28"/>
          <w:szCs w:val="28"/>
          <w:highlight w:val="none"/>
          <w:shd w:val="clear" w:color="auto" w:fill="FFFFFF"/>
          <w14:textFill>
            <w14:solidFill>
              <w14:schemeClr w14:val="tx1"/>
            </w14:solidFill>
          </w14:textFill>
        </w:rPr>
      </w:pPr>
      <w:r>
        <w:rPr>
          <w:rFonts w:hint="eastAsia" w:ascii="仿宋_GB2312" w:hAnsi="Times New Roman" w:eastAsia="仿宋_GB2312"/>
          <w:color w:val="000000" w:themeColor="text1"/>
          <w:sz w:val="28"/>
          <w:szCs w:val="28"/>
          <w:highlight w:val="none"/>
          <w:shd w:val="clear" w:color="auto" w:fill="FFFFFF"/>
          <w14:textFill>
            <w14:solidFill>
              <w14:schemeClr w14:val="tx1"/>
            </w14:solidFill>
          </w14:textFill>
        </w:rPr>
        <w:t>5.2  投资经理的变更。</w:t>
      </w:r>
    </w:p>
    <w:p>
      <w:pPr>
        <w:spacing w:line="360" w:lineRule="auto"/>
        <w:ind w:left="-2" w:leftChars="-1"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投资经理离职或因故不能履行其职责时，投资管理人应当于该投资经理离职或因故不能履行其职责之日起5个工作日内通知受托人，且于投资管理人指定新的投资经理前，暂时由投资管理人安排的代理人行使投资经理的职责，但暂管时间不得超过10个工作日。投资管理人在指定新的投资经理或代理人后应当在5个工作日内通知受托人。</w:t>
      </w:r>
    </w:p>
    <w:p>
      <w:pPr>
        <w:pStyle w:val="3"/>
        <w:jc w:val="center"/>
        <w:rPr>
          <w:rFonts w:hint="eastAsia" w:ascii="仿宋_GB2312" w:hAnsi="黑体" w:eastAsia="仿宋_GB2312"/>
          <w:bCs w:val="0"/>
          <w:color w:val="000000" w:themeColor="text1"/>
          <w:sz w:val="28"/>
          <w:szCs w:val="28"/>
          <w:highlight w:val="none"/>
          <w:shd w:val="clear" w:color="auto" w:fill="FFFFFF"/>
          <w14:textFill>
            <w14:solidFill>
              <w14:schemeClr w14:val="tx1"/>
            </w14:solidFill>
          </w14:textFill>
        </w:rPr>
      </w:pPr>
      <w:bookmarkStart w:id="106" w:name="_Toc24188"/>
      <w:bookmarkStart w:id="107" w:name="_Toc1090"/>
      <w:bookmarkStart w:id="108" w:name="_Toc319934286"/>
      <w:r>
        <w:rPr>
          <w:rFonts w:hint="eastAsia" w:ascii="仿宋_GB2312" w:hAnsi="黑体" w:eastAsia="仿宋_GB2312"/>
          <w:color w:val="000000" w:themeColor="text1"/>
          <w:sz w:val="28"/>
          <w:szCs w:val="28"/>
          <w:highlight w:val="none"/>
          <w:shd w:val="clear" w:color="auto" w:fill="FFFFFF"/>
          <w14:textFill>
            <w14:solidFill>
              <w14:schemeClr w14:val="tx1"/>
            </w14:solidFill>
          </w14:textFill>
        </w:rPr>
        <w:t xml:space="preserve">第六章  </w:t>
      </w:r>
      <w:r>
        <w:rPr>
          <w:rStyle w:val="23"/>
          <w:rFonts w:hint="eastAsia" w:ascii="仿宋_GB2312" w:eastAsia="仿宋_GB2312"/>
          <w:b/>
          <w:color w:val="000000" w:themeColor="text1"/>
          <w:sz w:val="28"/>
          <w:szCs w:val="28"/>
          <w:highlight w:val="none"/>
          <w:shd w:val="clear" w:color="auto" w:fill="FFFFFF"/>
          <w14:textFill>
            <w14:solidFill>
              <w14:schemeClr w14:val="tx1"/>
            </w14:solidFill>
          </w14:textFill>
        </w:rPr>
        <w:t>证券经纪商的指定与变更</w:t>
      </w:r>
      <w:bookmarkEnd w:id="106"/>
      <w:bookmarkEnd w:id="107"/>
      <w:bookmarkEnd w:id="108"/>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6.1  证券经纪商的指定。</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6.1.1  证券经纪商由投资管理人指定，投资管理人应当选择有足够的交易和清算能力的证券经纪商，并及时通知受托人及托管人。</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6.1.2  投资管理人必须与证券经纪商签订交易单元协议，并指定专用交易单元用于委托投资资产的交易工作。托管人据此协议与登记结算机构签订清算协议，以进行资金交收和信息传输。</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6.1.3  如投资管理人兼任证券经纪商的，投资管理人不必签订交易单元协议，但应当及时将交易单元号、佣金标准等信息通知受托人和托管人。</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6.2  证券经纪商的变更。</w:t>
      </w:r>
    </w:p>
    <w:p>
      <w:pPr>
        <w:spacing w:line="360" w:lineRule="auto"/>
        <w:ind w:left="-2"/>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 xml:space="preserve">    投资管理人有充足的理由认为证券经纪商不能履行证券经纪职责时，应当另行选择新的证券经纪商代替，但应当提前1个月通知受托人和托管人，原任经纪商在业务完全移交后方可退任。</w:t>
      </w:r>
    </w:p>
    <w:p>
      <w:pPr>
        <w:pStyle w:val="3"/>
        <w:jc w:val="center"/>
        <w:rPr>
          <w:rFonts w:hint="eastAsia" w:ascii="仿宋_GB2312" w:hAnsi="黑体" w:eastAsia="仿宋_GB2312"/>
          <w:bCs w:val="0"/>
          <w:color w:val="000000" w:themeColor="text1"/>
          <w:sz w:val="28"/>
          <w:szCs w:val="28"/>
          <w:highlight w:val="none"/>
          <w:shd w:val="clear" w:color="auto" w:fill="FFFFFF"/>
          <w14:textFill>
            <w14:solidFill>
              <w14:schemeClr w14:val="tx1"/>
            </w14:solidFill>
          </w14:textFill>
        </w:rPr>
      </w:pPr>
      <w:bookmarkStart w:id="109" w:name="_Toc319934287"/>
      <w:bookmarkStart w:id="110" w:name="_Toc19233"/>
      <w:bookmarkStart w:id="111" w:name="_Toc18482"/>
      <w:r>
        <w:rPr>
          <w:rFonts w:hint="eastAsia" w:ascii="仿宋_GB2312" w:hAnsi="黑体" w:eastAsia="仿宋_GB2312"/>
          <w:color w:val="000000" w:themeColor="text1"/>
          <w:sz w:val="28"/>
          <w:szCs w:val="28"/>
          <w:highlight w:val="none"/>
          <w:shd w:val="clear" w:color="auto" w:fill="FFFFFF"/>
          <w14:textFill>
            <w14:solidFill>
              <w14:schemeClr w14:val="tx1"/>
            </w14:solidFill>
          </w14:textFill>
        </w:rPr>
        <w:t xml:space="preserve">第七章  </w:t>
      </w:r>
      <w:r>
        <w:rPr>
          <w:rStyle w:val="23"/>
          <w:rFonts w:hint="eastAsia" w:ascii="仿宋_GB2312" w:eastAsia="仿宋_GB2312"/>
          <w:b/>
          <w:color w:val="000000" w:themeColor="text1"/>
          <w:sz w:val="28"/>
          <w:szCs w:val="28"/>
          <w:highlight w:val="none"/>
          <w:shd w:val="clear" w:color="auto" w:fill="FFFFFF"/>
          <w14:textFill>
            <w14:solidFill>
              <w14:schemeClr w14:val="tx1"/>
            </w14:solidFill>
          </w14:textFill>
        </w:rPr>
        <w:t>投资指令的发送、确认与执行</w:t>
      </w:r>
      <w:bookmarkEnd w:id="109"/>
      <w:bookmarkEnd w:id="110"/>
      <w:bookmarkEnd w:id="111"/>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7.1  交易清算授权。</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7.1.1  投资管理人有权在投资政策规定的范围内指示托管人办理委托投资资产的清算、证券交收和其他交易业务，无须取得受托人的个别同意或授权。</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7.1.2  投资管理人依照投资政策全权负责委托投资资产的有价证券买卖交易，托管人依据投资管理人的指令办理交易清算，且不得妨碍投资管理人本投资管理补充条款约定的交易权限。</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7.2  投资指令的内容包括但不限于交易的对象与标的、交割时间与方式、交割金额与数量等。</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7.3  投资指令的发送、确认和执行程序。</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7.3.1  投资管理人于成交日与交易对象确认成交内容后，应当及时向托管人出具相应投资指令，并为托管人执行指令预留必需的时间。</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7.3.2  受托人要求托管人在核对相关交易单据、确认无越权交易后，应当及时根据投资管理人的投资指令进行划款和相关业务处理。</w:t>
      </w:r>
    </w:p>
    <w:p>
      <w:pPr>
        <w:tabs>
          <w:tab w:val="left" w:pos="540"/>
        </w:tabs>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7.4  投资管理人应当加强头寸管理，严禁出现法律禁止的证券超买、超卖等行为。如投资管理人出现法律禁止的证券超买、超卖等行为，造成托管人清算困难和风险的，托管人发现后应当立即通知受托人及投资管理人，投资管理人应当及时采取补救措施并赔偿由此给委托投资资产和托管人造成的损失。</w:t>
      </w:r>
    </w:p>
    <w:p>
      <w:pPr>
        <w:pStyle w:val="3"/>
        <w:jc w:val="center"/>
        <w:rPr>
          <w:rFonts w:hint="eastAsia" w:ascii="仿宋_GB2312" w:hAnsi="黑体" w:eastAsia="仿宋_GB2312"/>
          <w:bCs w:val="0"/>
          <w:color w:val="000000" w:themeColor="text1"/>
          <w:sz w:val="28"/>
          <w:szCs w:val="28"/>
          <w:highlight w:val="none"/>
          <w:shd w:val="clear" w:color="auto" w:fill="FFFFFF"/>
          <w14:textFill>
            <w14:solidFill>
              <w14:schemeClr w14:val="tx1"/>
            </w14:solidFill>
          </w14:textFill>
        </w:rPr>
      </w:pPr>
      <w:bookmarkStart w:id="112" w:name="_Toc13368"/>
      <w:bookmarkStart w:id="113" w:name="_Toc319934288"/>
      <w:bookmarkStart w:id="114" w:name="_Toc28280"/>
      <w:r>
        <w:rPr>
          <w:rFonts w:hint="eastAsia" w:ascii="仿宋_GB2312" w:hAnsi="黑体" w:eastAsia="仿宋_GB2312"/>
          <w:color w:val="000000" w:themeColor="text1"/>
          <w:sz w:val="28"/>
          <w:szCs w:val="28"/>
          <w:highlight w:val="none"/>
          <w:shd w:val="clear" w:color="auto" w:fill="FFFFFF"/>
          <w14:textFill>
            <w14:solidFill>
              <w14:schemeClr w14:val="tx1"/>
            </w14:solidFill>
          </w14:textFill>
        </w:rPr>
        <w:t xml:space="preserve">第八章  </w:t>
      </w:r>
      <w:r>
        <w:rPr>
          <w:rStyle w:val="23"/>
          <w:rFonts w:hint="eastAsia" w:ascii="仿宋_GB2312" w:eastAsia="仿宋_GB2312"/>
          <w:b/>
          <w:color w:val="000000" w:themeColor="text1"/>
          <w:sz w:val="28"/>
          <w:szCs w:val="28"/>
          <w:highlight w:val="none"/>
          <w:shd w:val="clear" w:color="auto" w:fill="FFFFFF"/>
          <w14:textFill>
            <w14:solidFill>
              <w14:schemeClr w14:val="tx1"/>
            </w14:solidFill>
          </w14:textFill>
        </w:rPr>
        <w:t>越权交易和被动超标的处理</w:t>
      </w:r>
      <w:bookmarkEnd w:id="112"/>
      <w:bookmarkEnd w:id="113"/>
      <w:bookmarkEnd w:id="114"/>
    </w:p>
    <w:p>
      <w:pPr>
        <w:spacing w:line="360" w:lineRule="auto"/>
        <w:ind w:left="-2" w:leftChars="-1"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8.1投资管理人越权交易界定。</w:t>
      </w:r>
    </w:p>
    <w:p>
      <w:pPr>
        <w:spacing w:line="360" w:lineRule="auto"/>
        <w:ind w:left="-2" w:leftChars="-1"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本投资管理补充条款所指越权交易包括法律法规禁止的超买超卖行为、投资比例及投资范围不符合本投资管理补充条款约定或其他违反本投资管理补充条款约定和法律法规规定的投资行为，但是因被动超标等投资管理人之外的因素致使组合的投资范围和投资比例不符合本投资管理补充条款约定或法律法规规定的情况除外。</w:t>
      </w:r>
    </w:p>
    <w:p>
      <w:pPr>
        <w:pStyle w:val="46"/>
        <w:spacing w:line="360" w:lineRule="auto"/>
        <w:ind w:firstLine="560"/>
        <w:rPr>
          <w:rFonts w:ascii="仿宋_GB2312" w:hAnsi="Times New Roman" w:eastAsia="仿宋_GB2312"/>
          <w:color w:val="000000" w:themeColor="text1"/>
          <w:sz w:val="28"/>
          <w:szCs w:val="28"/>
          <w:highlight w:val="none"/>
          <w:shd w:val="clear" w:color="auto" w:fill="FFFFFF"/>
          <w14:textFill>
            <w14:solidFill>
              <w14:schemeClr w14:val="tx1"/>
            </w14:solidFill>
          </w14:textFill>
        </w:rPr>
      </w:pPr>
      <w:r>
        <w:rPr>
          <w:rFonts w:hint="eastAsia" w:ascii="仿宋_GB2312" w:hAnsi="Times New Roman" w:eastAsia="仿宋_GB2312"/>
          <w:color w:val="000000" w:themeColor="text1"/>
          <w:sz w:val="28"/>
          <w:szCs w:val="28"/>
          <w:highlight w:val="none"/>
          <w:shd w:val="clear" w:color="auto" w:fill="FFFFFF"/>
          <w14:textFill>
            <w14:solidFill>
              <w14:schemeClr w14:val="tx1"/>
            </w14:solidFill>
          </w14:textFill>
        </w:rPr>
        <w:t>8.2越权交易的认定。</w:t>
      </w:r>
    </w:p>
    <w:p>
      <w:pPr>
        <w:pStyle w:val="46"/>
        <w:spacing w:line="360" w:lineRule="auto"/>
        <w:ind w:firstLine="560"/>
        <w:rPr>
          <w:rFonts w:ascii="仿宋_GB2312" w:hAnsi="Times New Roman" w:eastAsia="仿宋_GB2312"/>
          <w:color w:val="000000" w:themeColor="text1"/>
          <w:sz w:val="28"/>
          <w:szCs w:val="28"/>
          <w:highlight w:val="none"/>
          <w:shd w:val="clear" w:color="auto" w:fill="FFFFFF"/>
          <w14:textFill>
            <w14:solidFill>
              <w14:schemeClr w14:val="tx1"/>
            </w14:solidFill>
          </w14:textFill>
        </w:rPr>
      </w:pPr>
      <w:r>
        <w:rPr>
          <w:rFonts w:hint="eastAsia" w:ascii="仿宋_GB2312" w:hAnsi="Times New Roman" w:eastAsia="仿宋_GB2312"/>
          <w:color w:val="000000" w:themeColor="text1"/>
          <w:sz w:val="28"/>
          <w:szCs w:val="28"/>
          <w:highlight w:val="none"/>
          <w:shd w:val="clear" w:color="auto" w:fill="FFFFFF"/>
          <w14:textFill>
            <w14:solidFill>
              <w14:schemeClr w14:val="tx1"/>
            </w14:solidFill>
          </w14:textFill>
        </w:rPr>
        <w:t>托管人发现投资管理人出现越权交易行为后，应当及时通知受托人，并向投资管理人发出越权交易通知：</w:t>
      </w:r>
    </w:p>
    <w:p>
      <w:pPr>
        <w:pStyle w:val="46"/>
        <w:spacing w:line="360" w:lineRule="auto"/>
        <w:ind w:firstLine="560"/>
        <w:rPr>
          <w:rFonts w:ascii="仿宋_GB2312" w:hAnsi="Times New Roman" w:eastAsia="仿宋_GB2312"/>
          <w:color w:val="000000" w:themeColor="text1"/>
          <w:sz w:val="28"/>
          <w:szCs w:val="28"/>
          <w:highlight w:val="none"/>
          <w:shd w:val="clear" w:color="auto" w:fill="FFFFFF"/>
          <w14:textFill>
            <w14:solidFill>
              <w14:schemeClr w14:val="tx1"/>
            </w14:solidFill>
          </w14:textFill>
        </w:rPr>
      </w:pPr>
      <w:r>
        <w:rPr>
          <w:rFonts w:hint="eastAsia" w:ascii="仿宋_GB2312" w:hAnsi="Times New Roman" w:eastAsia="仿宋_GB2312"/>
          <w:color w:val="000000" w:themeColor="text1"/>
          <w:sz w:val="28"/>
          <w:szCs w:val="28"/>
          <w:highlight w:val="none"/>
          <w:shd w:val="clear" w:color="auto" w:fill="FFFFFF"/>
          <w14:textFill>
            <w14:solidFill>
              <w14:schemeClr w14:val="tx1"/>
            </w14:solidFill>
          </w14:textFill>
        </w:rPr>
        <w:t>8.2.1投资管理人对越权交易行为无异议的，托管人按照8.3的规定进行越权交易处理。</w:t>
      </w:r>
    </w:p>
    <w:p>
      <w:pPr>
        <w:pStyle w:val="46"/>
        <w:spacing w:line="360" w:lineRule="auto"/>
        <w:ind w:firstLine="560"/>
        <w:rPr>
          <w:rFonts w:ascii="仿宋_GB2312" w:hAnsi="Times New Roman" w:eastAsia="仿宋_GB2312"/>
          <w:color w:val="000000" w:themeColor="text1"/>
          <w:sz w:val="28"/>
          <w:szCs w:val="28"/>
          <w:highlight w:val="none"/>
          <w:shd w:val="clear" w:color="auto" w:fill="FFFFFF"/>
          <w14:textFill>
            <w14:solidFill>
              <w14:schemeClr w14:val="tx1"/>
            </w14:solidFill>
          </w14:textFill>
        </w:rPr>
      </w:pPr>
      <w:r>
        <w:rPr>
          <w:rFonts w:hint="eastAsia" w:ascii="仿宋_GB2312" w:hAnsi="Times New Roman" w:eastAsia="仿宋_GB2312"/>
          <w:color w:val="000000" w:themeColor="text1"/>
          <w:sz w:val="28"/>
          <w:szCs w:val="28"/>
          <w:highlight w:val="none"/>
          <w:shd w:val="clear" w:color="auto" w:fill="FFFFFF"/>
          <w14:textFill>
            <w14:solidFill>
              <w14:schemeClr w14:val="tx1"/>
            </w14:solidFill>
          </w14:textFill>
        </w:rPr>
        <w:t>8.2.2当投资管理人与托管人对投资行为是否属于越权交易存在争议时，受托人应当在合理时间内对争议事项予以认定并书面通知托管人和投资管理人，受托人认定为越权交易的，托管人按照8.3的规定进行越权交易处理。受托人认定为不越权的，托管人按投资管理人指令执行。受托人在合理时间内未予答复的，视同受托人认可托管人的意见，投资管理人按托管人的通知执行，由此给委托投资资产造成的损失，如确不可归责于投资管理人，则投资管理人不承担责任。</w:t>
      </w:r>
    </w:p>
    <w:p>
      <w:pPr>
        <w:spacing w:line="360" w:lineRule="auto"/>
        <w:ind w:left="-2" w:leftChars="-1"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8.3  对越权交易的处理。</w:t>
      </w:r>
    </w:p>
    <w:p>
      <w:pPr>
        <w:spacing w:line="360" w:lineRule="auto"/>
        <w:ind w:left="-2" w:leftChars="-1"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8.3.1  投资管理人下达的未成立的投资指令被认定为越权交易的，托管人应当拒绝执行。</w:t>
      </w:r>
    </w:p>
    <w:p>
      <w:pPr>
        <w:spacing w:line="360" w:lineRule="auto"/>
        <w:ind w:left="-2" w:leftChars="-1"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8.3.2  投资管理人下达的已成立的投资指令被认定为越权交易的，越权交易买进或卖出的款、券，投资管理人应当于交割清算完成之日起进行相反的卖出或买进冲销处理并结算损益，所发生的损失（含相关交易费用）由投资管理人负担，所产生</w:t>
      </w:r>
      <w:bookmarkStart w:id="115" w:name="_Toc188691386"/>
      <w:r>
        <w:rPr>
          <w:rFonts w:hint="eastAsia" w:ascii="仿宋_GB2312" w:eastAsia="仿宋_GB2312"/>
          <w:color w:val="000000" w:themeColor="text1"/>
          <w:sz w:val="28"/>
          <w:szCs w:val="28"/>
          <w:highlight w:val="none"/>
          <w:shd w:val="clear" w:color="auto" w:fill="FFFFFF"/>
          <w14:textFill>
            <w14:solidFill>
              <w14:schemeClr w14:val="tx1"/>
            </w14:solidFill>
          </w14:textFill>
        </w:rPr>
        <w:t>的收益归本委托投资资产所有。</w:t>
      </w:r>
    </w:p>
    <w:p>
      <w:pPr>
        <w:spacing w:line="360" w:lineRule="auto"/>
        <w:ind w:left="-2" w:leftChars="-1"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8.3.3  投资管理人应当及时查明越权交易的原因及责任人，并向受托人及托管人提供越权交易报告。</w:t>
      </w:r>
    </w:p>
    <w:p>
      <w:pPr>
        <w:spacing w:line="360" w:lineRule="auto"/>
        <w:ind w:left="-2" w:leftChars="-1"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8.4  被动超标的处理</w:t>
      </w:r>
      <w:bookmarkEnd w:id="115"/>
      <w:r>
        <w:rPr>
          <w:rFonts w:hint="eastAsia" w:ascii="仿宋_GB2312" w:eastAsia="仿宋_GB2312"/>
          <w:color w:val="000000" w:themeColor="text1"/>
          <w:sz w:val="28"/>
          <w:szCs w:val="28"/>
          <w:highlight w:val="none"/>
          <w:shd w:val="clear" w:color="auto" w:fill="FFFFFF"/>
          <w14:textFill>
            <w14:solidFill>
              <w14:schemeClr w14:val="tx1"/>
            </w14:solidFill>
          </w14:textFill>
        </w:rPr>
        <w:t>。</w:t>
      </w:r>
    </w:p>
    <w:p>
      <w:pPr>
        <w:spacing w:line="360" w:lineRule="auto"/>
        <w:ind w:left="-2" w:leftChars="-1"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kern w:val="0"/>
          <w:sz w:val="28"/>
          <w:szCs w:val="28"/>
          <w:highlight w:val="none"/>
          <w:shd w:val="clear" w:color="auto" w:fill="FFFFFF"/>
          <w14:textFill>
            <w14:solidFill>
              <w14:schemeClr w14:val="tx1"/>
            </w14:solidFill>
          </w14:textFill>
        </w:rPr>
        <w:t>被动超标一般包括</w:t>
      </w:r>
      <w:r>
        <w:rPr>
          <w:rFonts w:hint="eastAsia" w:ascii="仿宋_GB2312" w:eastAsia="仿宋_GB2312"/>
          <w:color w:val="000000" w:themeColor="text1"/>
          <w:sz w:val="28"/>
          <w:szCs w:val="28"/>
          <w:highlight w:val="none"/>
          <w:shd w:val="clear" w:color="auto" w:fill="FFFFFF"/>
          <w14:textFill>
            <w14:solidFill>
              <w14:schemeClr w14:val="tx1"/>
            </w14:solidFill>
          </w14:textFill>
        </w:rPr>
        <w:t>证券市场波动、上市公司合并、组合规模变动、不可预知的中签率等投资管理人之外的因素致使组合投资不符合本投资管理补充条款约定的投资政策的情况。被动超标包括投资比例被动超标和投资品种被动超标。</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8.4.1  投资比例被动超标。</w:t>
      </w:r>
    </w:p>
    <w:p>
      <w:pPr>
        <w:spacing w:line="360" w:lineRule="auto"/>
        <w:ind w:left="-2" w:leftChars="-1"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8.4.1.1  投资比例被动超标是指投资管理人日常操作符合国家法律法规规定及投资政策的约定，但因投资管理人之外的因素导致投资比例超过规定的情况。</w:t>
      </w:r>
    </w:p>
    <w:p>
      <w:pPr>
        <w:spacing w:line="360" w:lineRule="auto"/>
        <w:ind w:left="-2" w:leftChars="-1"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8.4.1.2  投资比例被动超标一般包括因证券市场波动导致资产的市值变化、申购新股时因不可预知中签率而导致的超标、债转股导致的超标、投资组合规模变动（委托投资资产的追加或提取）导致超标等客观情况。</w:t>
      </w:r>
    </w:p>
    <w:p>
      <w:pPr>
        <w:spacing w:line="360" w:lineRule="auto"/>
        <w:ind w:left="-2" w:leftChars="-1"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8.4.1.3  在投资管理过程中，投资管理人应当采取积极措施尽量避免出现投资比例被动超标，发现投资比例被动超标后，投资管理人应当在相关品种可上市交易的10个交易日内调整完毕。</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8.4.1.4  当因委托投资资产追加或提取导致投资管理人管理的单个投资组合基金规模一次性增加或减少50%以上时，投资管理人应当自上述情况发生之日起10个交易日内将投资比例调整至规定范围内。</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8.4.1.5  自发现投资比例被动超标至将投资比例调整至规定范围内的期间，该类资产的投资仅限于向调整至规定范围内的方向操作，严禁逆向操作。</w:t>
      </w:r>
    </w:p>
    <w:p>
      <w:pPr>
        <w:spacing w:line="360" w:lineRule="auto"/>
        <w:ind w:left="-2" w:leftChars="-1"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8.4.2  投资品种被动超标。</w:t>
      </w:r>
    </w:p>
    <w:p>
      <w:pPr>
        <w:spacing w:line="360" w:lineRule="auto"/>
        <w:ind w:left="-2" w:leftChars="-1"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8.4.2.1  投资品种被动超标指因非直接投资而持有证券或合规投资而持有的证券在持有期间，因投资管理人以外的因素导致持有相关证券违反法律法规规定、</w:t>
      </w:r>
      <w:r>
        <w:rPr>
          <w:rFonts w:hint="eastAsia" w:ascii="仿宋_GB2312" w:eastAsia="仿宋_GB2312"/>
          <w:color w:val="000000" w:themeColor="text1"/>
          <w:sz w:val="28"/>
          <w:szCs w:val="28"/>
          <w:highlight w:val="none"/>
          <w14:textFill>
            <w14:solidFill>
              <w14:schemeClr w14:val="tx1"/>
            </w14:solidFill>
          </w14:textFill>
        </w:rPr>
        <w:t>投资管理补充条款</w:t>
      </w:r>
      <w:r>
        <w:rPr>
          <w:rFonts w:hint="eastAsia" w:ascii="仿宋_GB2312" w:eastAsia="仿宋_GB2312"/>
          <w:color w:val="000000" w:themeColor="text1"/>
          <w:sz w:val="28"/>
          <w:szCs w:val="28"/>
          <w:highlight w:val="none"/>
          <w:shd w:val="clear" w:color="auto" w:fill="FFFFFF"/>
          <w14:textFill>
            <w14:solidFill>
              <w14:schemeClr w14:val="tx1"/>
            </w14:solidFill>
          </w14:textFill>
        </w:rPr>
        <w:t>或投资组合投资运作监督事项表约定的禁止持有的投资品种的情况。</w:t>
      </w:r>
    </w:p>
    <w:p>
      <w:pPr>
        <w:spacing w:line="360" w:lineRule="auto"/>
        <w:ind w:left="-2" w:leftChars="-1"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8.4.2.2  在投资运作过程中，投资管理人应当采取积极措施尽量避免出现投资品种被动超标，发现投资品种被动超标后，投资管理人应当以投资组合资产净值最大化为原则，在该投资品种上市交易的10 个交易日内调整完毕。因信用等级下降等因素致使年金基金所投金融产品不再符合投资条件的，投资管理人应当在评级报告等信息发布之日起30个交易日内调整完毕。法律法规或监管部门另有规定的，从其规定。</w:t>
      </w:r>
    </w:p>
    <w:p>
      <w:pPr>
        <w:pStyle w:val="3"/>
        <w:jc w:val="center"/>
        <w:rPr>
          <w:rFonts w:hint="eastAsia" w:ascii="仿宋_GB2312" w:hAnsi="黑体" w:eastAsia="仿宋_GB2312"/>
          <w:bCs w:val="0"/>
          <w:color w:val="000000" w:themeColor="text1"/>
          <w:sz w:val="28"/>
          <w:szCs w:val="28"/>
          <w:highlight w:val="none"/>
          <w:shd w:val="clear" w:color="auto" w:fill="FFFFFF"/>
          <w14:textFill>
            <w14:solidFill>
              <w14:schemeClr w14:val="tx1"/>
            </w14:solidFill>
          </w14:textFill>
        </w:rPr>
      </w:pPr>
      <w:bookmarkStart w:id="116" w:name="_Toc24723"/>
      <w:bookmarkStart w:id="117" w:name="_Toc319934289"/>
      <w:bookmarkStart w:id="118" w:name="_Toc16401"/>
      <w:r>
        <w:rPr>
          <w:rFonts w:hint="eastAsia" w:ascii="仿宋_GB2312" w:hAnsi="黑体" w:eastAsia="仿宋_GB2312"/>
          <w:color w:val="000000" w:themeColor="text1"/>
          <w:sz w:val="28"/>
          <w:szCs w:val="28"/>
          <w:highlight w:val="none"/>
          <w:shd w:val="clear" w:color="auto" w:fill="FFFFFF"/>
          <w14:textFill>
            <w14:solidFill>
              <w14:schemeClr w14:val="tx1"/>
            </w14:solidFill>
          </w14:textFill>
        </w:rPr>
        <w:t xml:space="preserve">第九章  </w:t>
      </w:r>
      <w:r>
        <w:rPr>
          <w:rStyle w:val="23"/>
          <w:rFonts w:hint="eastAsia" w:ascii="仿宋_GB2312" w:eastAsia="仿宋_GB2312"/>
          <w:b/>
          <w:color w:val="000000" w:themeColor="text1"/>
          <w:sz w:val="28"/>
          <w:szCs w:val="28"/>
          <w:highlight w:val="none"/>
          <w:shd w:val="clear" w:color="auto" w:fill="FFFFFF"/>
          <w14:textFill>
            <w14:solidFill>
              <w14:schemeClr w14:val="tx1"/>
            </w14:solidFill>
          </w14:textFill>
        </w:rPr>
        <w:t>委托投资资产的估值</w:t>
      </w:r>
      <w:bookmarkEnd w:id="116"/>
      <w:bookmarkEnd w:id="117"/>
      <w:bookmarkEnd w:id="118"/>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9.1　估值目的。</w:t>
      </w:r>
    </w:p>
    <w:p>
      <w:pPr>
        <w:spacing w:line="360" w:lineRule="auto"/>
        <w:ind w:firstLine="560" w:firstLineChars="200"/>
        <w:rPr>
          <w:rFonts w:hint="eastAsia" w:ascii="仿宋_GB2312" w:hAnsi="宋体" w:eastAsia="仿宋_GB2312"/>
          <w:color w:val="000000" w:themeColor="text1"/>
          <w:sz w:val="28"/>
          <w:szCs w:val="28"/>
          <w:highlight w:val="none"/>
          <w:shd w:val="clear" w:color="auto" w:fill="FFFFFF"/>
          <w14:textFill>
            <w14:solidFill>
              <w14:schemeClr w14:val="tx1"/>
            </w14:solidFill>
          </w14:textFill>
        </w:rPr>
      </w:pPr>
      <w:r>
        <w:rPr>
          <w:rFonts w:hint="eastAsia" w:ascii="仿宋_GB2312" w:hAnsi="宋体" w:eastAsia="仿宋_GB2312"/>
          <w:color w:val="000000" w:themeColor="text1"/>
          <w:sz w:val="28"/>
          <w:szCs w:val="28"/>
          <w:highlight w:val="none"/>
          <w:shd w:val="clear" w:color="auto" w:fill="FFFFFF"/>
          <w14:textFill>
            <w14:solidFill>
              <w14:schemeClr w14:val="tx1"/>
            </w14:solidFill>
          </w14:textFill>
        </w:rPr>
        <w:t>客观、准确地反映企业年金基金财产的价值。</w:t>
      </w:r>
    </w:p>
    <w:p>
      <w:pPr>
        <w:spacing w:line="360" w:lineRule="auto"/>
        <w:ind w:firstLine="560" w:firstLineChars="200"/>
        <w:rPr>
          <w:rFonts w:hint="eastAsia" w:ascii="仿宋_GB2312" w:hAnsi="宋体" w:eastAsia="仿宋_GB2312"/>
          <w:color w:val="000000" w:themeColor="text1"/>
          <w:sz w:val="28"/>
          <w:szCs w:val="28"/>
          <w:highlight w:val="none"/>
          <w:shd w:val="clear" w:color="auto" w:fill="FFFFFF"/>
          <w14:textFill>
            <w14:solidFill>
              <w14:schemeClr w14:val="tx1"/>
            </w14:solidFill>
          </w14:textFill>
        </w:rPr>
      </w:pPr>
      <w:r>
        <w:rPr>
          <w:rFonts w:hint="eastAsia" w:ascii="仿宋_GB2312" w:hAnsi="宋体" w:eastAsia="仿宋_GB2312"/>
          <w:color w:val="000000" w:themeColor="text1"/>
          <w:sz w:val="28"/>
          <w:szCs w:val="28"/>
          <w:highlight w:val="none"/>
          <w:shd w:val="clear" w:color="auto" w:fill="FFFFFF"/>
          <w14:textFill>
            <w14:solidFill>
              <w14:schemeClr w14:val="tx1"/>
            </w14:solidFill>
          </w14:textFill>
        </w:rPr>
        <w:t>9.2　估值日。</w:t>
      </w:r>
    </w:p>
    <w:p>
      <w:pPr>
        <w:spacing w:line="360" w:lineRule="auto"/>
        <w:ind w:firstLine="560" w:firstLineChars="200"/>
        <w:rPr>
          <w:rFonts w:hint="eastAsia" w:ascii="仿宋_GB2312" w:hAnsi="宋体" w:eastAsia="仿宋_GB2312"/>
          <w:color w:val="000000" w:themeColor="text1"/>
          <w:sz w:val="28"/>
          <w:szCs w:val="28"/>
          <w:highlight w:val="none"/>
          <w:shd w:val="clear" w:color="auto" w:fill="FFFFFF"/>
          <w14:textFill>
            <w14:solidFill>
              <w14:schemeClr w14:val="tx1"/>
            </w14:solidFill>
          </w14:textFill>
        </w:rPr>
      </w:pPr>
      <w:r>
        <w:rPr>
          <w:rFonts w:hint="eastAsia" w:ascii="仿宋_GB2312" w:hAnsi="宋体" w:eastAsia="仿宋_GB2312"/>
          <w:color w:val="000000" w:themeColor="text1"/>
          <w:sz w:val="28"/>
          <w:szCs w:val="28"/>
          <w:highlight w:val="none"/>
          <w:shd w:val="clear" w:color="auto" w:fill="FFFFFF"/>
          <w14:textFill>
            <w14:solidFill>
              <w14:schemeClr w14:val="tx1"/>
            </w14:solidFill>
          </w14:textFill>
        </w:rPr>
        <w:t>估值日为交易日。</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9.3  估值对象。</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企业年金基金在法律法规规定的投资范围内运营取得的银行存款，标准化债权类资产，债券回购，信托产品，债权投资计划，公开募集证券投资基金，股票，股指期货，国债期货，养老金产品等金融产品。</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9.4　估值方法。</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9.4.1  证券交易所上市的有价证券的估值。</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9.4.1.1  交易所上市的有价证券（包括股票、权证和基金等），以其估值日在证券交易所挂牌的收盘价估值。估值日无交易的，且最近交易日后经济环境未发生重大变化，以最近交易日的收盘价估值。如最近交易日后经济环境发生重大变化的，可参考类似投资品种的现行市价及重大变化因素，调整最近交易市价，确定公允价格。</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9.4.1.2  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9.4.1.3  交易所上市未实行净价交易的债券按估值日收盘价减去债券收盘价中所含的债券应收利息得到的净价进行估值。估值日没有交易的，且最近交易日后经济环境未发生重大变化的，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9.4.1.4  交易所上市不存在活跃市场的有价证券，采用估值技术确定公允价值。在估值技术难以可靠计量公允价值的情况下，按成本估值。</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9.4.2  处于未上市期间的有价证券的估值：</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 xml:space="preserve">9.4.2.1  送股、转增股、配股和公开增发的新股，按估值日在证券交易所挂牌的同一股票的市价（收盘价）估值。该日无交易的，以最近一日的市价（收盘价）估值。 </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 xml:space="preserve">9.4.2.2  首次公开发行未上市的股票、债券和权证，采用估值技术确定公允价值，在估值技术难以可靠计量公允价值的情况下，按成本估值。 </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9.4.2.3  首次公开发行有明确锁定期的股票，同一股票在交易所上市后，按交易所上市的同一股票的市价（收盘价）估值。非公开发行有明确锁定期的股票，按监管机构或行业协会有关规定确定公允价值。</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9.4.3  全国银行间债券市场交易的债券、资产支持证券等固定收益品种，采用估值技术确定公允价值。</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9.4.4  因持有股票而享有的配股权，采用估值技术确定公允价值，在估值技术难以可靠计量公允价值的情况下，按成本估值。</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9.4.5  同一债券同时在两个或两个以上市场交易的，按债券所处的市场分别估值。</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9.4.6  开放式基金（包括托管在场外的上市开放式基金（LOF））以估值日前一工作日基金净值或每万份收益估值，估值日前一工作日开放式基金份额净值或每万份收益未公布的，以此前最近一个工作日基金份额净值或每万份收益计算。</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9.4.7  信托产品、债权投资计划</w:t>
      </w:r>
      <w:r>
        <w:rPr>
          <w:rFonts w:hint="eastAsia" w:ascii="仿宋_GB2312" w:eastAsia="仿宋_GB2312"/>
          <w:color w:val="000000" w:themeColor="text1"/>
          <w:sz w:val="28"/>
          <w:szCs w:val="28"/>
          <w:highlight w:val="none"/>
          <w:shd w:val="clear" w:color="auto" w:fill="FFFFFF"/>
          <w14:textFill>
            <w14:solidFill>
              <w14:schemeClr w14:val="tx1"/>
            </w14:solidFill>
          </w14:textFill>
        </w:rPr>
        <w:t>、养老金产品</w:t>
      </w:r>
      <w:r>
        <w:rPr>
          <w:rFonts w:hint="eastAsia" w:ascii="仿宋_GB2312" w:eastAsia="仿宋_GB2312"/>
          <w:color w:val="000000" w:themeColor="text1"/>
          <w:sz w:val="28"/>
          <w:szCs w:val="28"/>
          <w:highlight w:val="none"/>
          <w14:textFill>
            <w14:solidFill>
              <w14:schemeClr w14:val="tx1"/>
            </w14:solidFill>
          </w14:textFill>
        </w:rPr>
        <w:t>的估值方法，按照相关法律法规或者监管部门的规定执行。</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9.4.8  如有确凿证据表明按上述方法进行估值不能客观反映其公允价值的，投资管理人可根据具体情况与托管人商定后，按最能反映公允价值的价格估值。</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9.4.9  相关法律法规和监管部门有强制规定的，从其规定。如有新增事项，按国家最新规定估值。</w:t>
      </w:r>
    </w:p>
    <w:p>
      <w:pPr>
        <w:spacing w:line="360" w:lineRule="auto"/>
        <w:ind w:firstLine="560" w:firstLineChars="200"/>
        <w:rPr>
          <w:rFonts w:hint="eastAsia" w:ascii="仿宋_GB2312" w:hAnsi="宋体"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9</w:t>
      </w:r>
      <w:r>
        <w:rPr>
          <w:rFonts w:hint="eastAsia" w:ascii="仿宋_GB2312" w:hAnsi="宋体" w:eastAsia="仿宋_GB2312"/>
          <w:color w:val="000000" w:themeColor="text1"/>
          <w:sz w:val="28"/>
          <w:szCs w:val="28"/>
          <w:highlight w:val="none"/>
          <w:shd w:val="clear" w:color="auto" w:fill="FFFFFF"/>
          <w14:textFill>
            <w14:solidFill>
              <w14:schemeClr w14:val="tx1"/>
            </w14:solidFill>
          </w14:textFill>
        </w:rPr>
        <w:t xml:space="preserve">.4.10  </w:t>
      </w:r>
      <w:r>
        <w:rPr>
          <w:rFonts w:hint="eastAsia" w:ascii="仿宋_GB2312" w:eastAsia="仿宋_GB2312"/>
          <w:color w:val="000000" w:themeColor="text1"/>
          <w:sz w:val="28"/>
          <w:szCs w:val="28"/>
          <w:highlight w:val="none"/>
          <w:shd w:val="clear" w:color="auto" w:fill="FFFFFF"/>
          <w14:textFill>
            <w14:solidFill>
              <w14:schemeClr w14:val="tx1"/>
            </w14:solidFill>
          </w14:textFill>
        </w:rPr>
        <w:t>当投资管理人与托管人对委托投资资产估值出现不一致</w:t>
      </w:r>
      <w:r>
        <w:rPr>
          <w:rFonts w:hint="eastAsia" w:ascii="仿宋_GB2312" w:hAnsi="宋体" w:eastAsia="仿宋_GB2312"/>
          <w:color w:val="000000" w:themeColor="text1"/>
          <w:sz w:val="28"/>
          <w:szCs w:val="28"/>
          <w:highlight w:val="none"/>
          <w:shd w:val="clear" w:color="auto" w:fill="FFFFFF"/>
          <w14:textFill>
            <w14:solidFill>
              <w14:schemeClr w14:val="tx1"/>
            </w14:solidFill>
          </w14:textFill>
        </w:rPr>
        <w:t>，</w:t>
      </w:r>
      <w:r>
        <w:rPr>
          <w:rFonts w:hint="eastAsia" w:ascii="仿宋_GB2312" w:eastAsia="仿宋_GB2312"/>
          <w:color w:val="000000" w:themeColor="text1"/>
          <w:sz w:val="28"/>
          <w:szCs w:val="28"/>
          <w:highlight w:val="none"/>
          <w:shd w:val="clear" w:color="auto" w:fill="FFFFFF"/>
          <w14:textFill>
            <w14:solidFill>
              <w14:schemeClr w14:val="tx1"/>
            </w14:solidFill>
          </w14:textFill>
        </w:rPr>
        <w:t>双方应当查明原因，并做相应调整。</w:t>
      </w:r>
      <w:r>
        <w:rPr>
          <w:rFonts w:hint="eastAsia" w:ascii="仿宋_GB2312" w:hAnsi="宋体" w:eastAsia="仿宋_GB2312"/>
          <w:color w:val="000000" w:themeColor="text1"/>
          <w:sz w:val="28"/>
          <w:szCs w:val="28"/>
          <w:highlight w:val="none"/>
          <w:shd w:val="clear" w:color="auto" w:fill="FFFFFF"/>
          <w14:textFill>
            <w14:solidFill>
              <w14:schemeClr w14:val="tx1"/>
            </w14:solidFill>
          </w14:textFill>
        </w:rPr>
        <w:t>如协商</w:t>
      </w:r>
      <w:r>
        <w:rPr>
          <w:rFonts w:hint="eastAsia" w:ascii="仿宋_GB2312" w:eastAsia="仿宋_GB2312"/>
          <w:color w:val="000000" w:themeColor="text1"/>
          <w:sz w:val="28"/>
          <w:szCs w:val="28"/>
          <w:highlight w:val="none"/>
          <w:shd w:val="clear" w:color="auto" w:fill="FFFFFF"/>
          <w14:textFill>
            <w14:solidFill>
              <w14:schemeClr w14:val="tx1"/>
            </w14:solidFill>
          </w14:textFill>
        </w:rPr>
        <w:t>无法达成一致意见，以托管人估值结果为准。</w:t>
      </w:r>
    </w:p>
    <w:p>
      <w:pPr>
        <w:pStyle w:val="3"/>
        <w:jc w:val="center"/>
        <w:rPr>
          <w:rFonts w:ascii="仿宋_GB2312" w:eastAsia="仿宋_GB2312"/>
          <w:color w:val="000000" w:themeColor="text1"/>
          <w:sz w:val="28"/>
          <w:szCs w:val="28"/>
          <w:highlight w:val="none"/>
          <w:shd w:val="clear" w:color="auto" w:fill="FFFFFF"/>
          <w14:textFill>
            <w14:solidFill>
              <w14:schemeClr w14:val="tx1"/>
            </w14:solidFill>
          </w14:textFill>
        </w:rPr>
      </w:pPr>
      <w:bookmarkStart w:id="119" w:name="_Toc1653"/>
      <w:bookmarkStart w:id="120" w:name="_Toc319934292"/>
      <w:bookmarkStart w:id="121" w:name="_Toc28177"/>
      <w:r>
        <w:rPr>
          <w:rStyle w:val="23"/>
          <w:rFonts w:hint="eastAsia" w:ascii="仿宋_GB2312" w:eastAsia="仿宋_GB2312"/>
          <w:b/>
          <w:color w:val="000000" w:themeColor="text1"/>
          <w:sz w:val="28"/>
          <w:szCs w:val="28"/>
          <w:highlight w:val="none"/>
          <w:shd w:val="clear" w:color="auto" w:fill="FFFFFF"/>
          <w14:textFill>
            <w14:solidFill>
              <w14:schemeClr w14:val="tx1"/>
            </w14:solidFill>
          </w14:textFill>
        </w:rPr>
        <w:t>第十章  委托投资资产的会计与审计</w:t>
      </w:r>
      <w:bookmarkEnd w:id="119"/>
      <w:bookmarkEnd w:id="120"/>
      <w:bookmarkEnd w:id="121"/>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10.1  委托投资资产的会计。</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10.1.1  会计年度为公历每年1 月1 日至12 月31 日。</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10.1.2  委托投资资产核算以人民币为记账本位币，以人民币元为记账单位。</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10.1.3  企业年金基金采用份额法核算。会计制度按照《企业会计准则第10号—企业年金基金》、《企业会计准则第22号-金融工具确认和计量》及修订后的相关会计准则执行，并参照《证券投资基金会计核算业务指引》</w:t>
      </w:r>
      <w:r>
        <w:rPr>
          <w:rFonts w:hint="eastAsia" w:ascii="仿宋_GB2312" w:eastAsia="仿宋_GB2312"/>
          <w:color w:val="000000" w:themeColor="text1"/>
          <w:sz w:val="28"/>
          <w:szCs w:val="28"/>
          <w:highlight w:val="none"/>
          <w14:textFill>
            <w14:solidFill>
              <w14:schemeClr w14:val="tx1"/>
            </w14:solidFill>
          </w14:textFill>
        </w:rPr>
        <w:t>、《关于扩大投资范围后新增投资产品估值核算的指导意见（试行）》</w:t>
      </w:r>
      <w:r>
        <w:rPr>
          <w:rFonts w:hint="eastAsia" w:ascii="仿宋_GB2312" w:eastAsia="仿宋_GB2312"/>
          <w:color w:val="000000" w:themeColor="text1"/>
          <w:sz w:val="28"/>
          <w:szCs w:val="28"/>
          <w:highlight w:val="none"/>
          <w:shd w:val="clear" w:color="auto" w:fill="FFFFFF"/>
          <w14:textFill>
            <w14:solidFill>
              <w14:schemeClr w14:val="tx1"/>
            </w14:solidFill>
          </w14:textFill>
        </w:rPr>
        <w:t xml:space="preserve">等规定。 </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 xml:space="preserve">10.1.4  </w:t>
      </w:r>
      <w:r>
        <w:rPr>
          <w:rFonts w:hint="eastAsia" w:ascii="仿宋_GB2312" w:hAnsi="宋体" w:eastAsia="仿宋_GB2312"/>
          <w:color w:val="000000" w:themeColor="text1"/>
          <w:sz w:val="28"/>
          <w:szCs w:val="28"/>
          <w:highlight w:val="none"/>
          <w:shd w:val="clear" w:color="auto" w:fill="FFFFFF"/>
          <w14:textFill>
            <w14:solidFill>
              <w14:schemeClr w14:val="tx1"/>
            </w14:solidFill>
          </w14:textFill>
        </w:rPr>
        <w:t>投资管理人和托管人应当对企业年金基金投资组合单独建账、独立核算。</w:t>
      </w:r>
    </w:p>
    <w:p>
      <w:pPr>
        <w:spacing w:line="360" w:lineRule="auto"/>
        <w:ind w:firstLine="560" w:firstLineChars="200"/>
        <w:rPr>
          <w:rFonts w:hint="eastAsia" w:ascii="仿宋_GB2312" w:hAnsi="宋体"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 xml:space="preserve">10.1.5  </w:t>
      </w:r>
      <w:r>
        <w:rPr>
          <w:rFonts w:hint="eastAsia" w:ascii="仿宋_GB2312" w:hAnsi="宋体" w:eastAsia="仿宋_GB2312"/>
          <w:color w:val="000000" w:themeColor="text1"/>
          <w:sz w:val="28"/>
          <w:szCs w:val="28"/>
          <w:highlight w:val="none"/>
          <w:shd w:val="clear" w:color="auto" w:fill="FFFFFF"/>
          <w14:textFill>
            <w14:solidFill>
              <w14:schemeClr w14:val="tx1"/>
            </w14:solidFill>
          </w14:textFill>
        </w:rPr>
        <w:t>托管人负责复核和审查投资管理人计算的企业年金基金财产净值，并</w:t>
      </w:r>
      <w:r>
        <w:rPr>
          <w:rFonts w:hint="eastAsia" w:ascii="仿宋_GB2312" w:eastAsia="仿宋_GB2312"/>
          <w:color w:val="000000" w:themeColor="text1"/>
          <w:sz w:val="28"/>
          <w:szCs w:val="28"/>
          <w:highlight w:val="none"/>
          <w:shd w:val="clear" w:color="auto" w:fill="FFFFFF"/>
          <w14:textFill>
            <w14:solidFill>
              <w14:schemeClr w14:val="tx1"/>
            </w14:solidFill>
          </w14:textFill>
        </w:rPr>
        <w:t>按照有关规定编制企业年金基金会计报表</w:t>
      </w:r>
      <w:r>
        <w:rPr>
          <w:rFonts w:hint="eastAsia" w:ascii="仿宋_GB2312" w:hAnsi="宋体" w:eastAsia="仿宋_GB2312"/>
          <w:color w:val="000000" w:themeColor="text1"/>
          <w:sz w:val="28"/>
          <w:szCs w:val="28"/>
          <w:highlight w:val="none"/>
          <w:shd w:val="clear" w:color="auto" w:fill="FFFFFF"/>
          <w14:textFill>
            <w14:solidFill>
              <w14:schemeClr w14:val="tx1"/>
            </w14:solidFill>
          </w14:textFill>
        </w:rPr>
        <w:t>。</w:t>
      </w:r>
    </w:p>
    <w:p>
      <w:pPr>
        <w:spacing w:line="360" w:lineRule="auto"/>
        <w:ind w:firstLine="560" w:firstLineChars="200"/>
        <w:rPr>
          <w:rFonts w:hint="eastAsia" w:ascii="仿宋_GB2312" w:hAnsi="宋体" w:eastAsia="仿宋_GB2312"/>
          <w:color w:val="000000" w:themeColor="text1"/>
          <w:sz w:val="28"/>
          <w:szCs w:val="28"/>
          <w:highlight w:val="none"/>
          <w:shd w:val="clear" w:color="auto" w:fill="FFFFFF"/>
          <w14:textFill>
            <w14:solidFill>
              <w14:schemeClr w14:val="tx1"/>
            </w14:solidFill>
          </w14:textFill>
        </w:rPr>
      </w:pPr>
      <w:r>
        <w:rPr>
          <w:rFonts w:hint="eastAsia" w:ascii="仿宋_GB2312" w:hAnsi="宋体" w:eastAsia="仿宋_GB2312"/>
          <w:color w:val="000000" w:themeColor="text1"/>
          <w:sz w:val="28"/>
          <w:szCs w:val="28"/>
          <w:highlight w:val="none"/>
          <w:shd w:val="clear" w:color="auto" w:fill="FFFFFF"/>
          <w14:textFill>
            <w14:solidFill>
              <w14:schemeClr w14:val="tx1"/>
            </w14:solidFill>
          </w14:textFill>
        </w:rPr>
        <w:t>10.1.6  投资管理人应当定期与托管人核对有关数据。</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10.2  企业年金基金审计。</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 xml:space="preserve">10.2.1  发生以下情形之一的，受托人应当聘请会计师事务所对企业年金计划进行审计： </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10.2.1.1  企业年金计划连续运作满三个会计年度时；</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10.2.1.2  受托人、账户管理人、托管人或投资管理人职责终止时；</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10.2.1.3  法律法规规定的其他情形。</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10.2.2  受托人聘请与委托人、受托人、投资管理人、账户管理人或托管人非关联方的会计师事务所和注册会计师对企业年金基金进行审计。</w:t>
      </w:r>
    </w:p>
    <w:p>
      <w:pPr>
        <w:spacing w:line="360" w:lineRule="auto"/>
        <w:ind w:firstLine="48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10.2.3  投资管理人应当自上述情况发生之日起配合会计师事务所对企业年金计划进行审计。受托人应当自第10.2.1款情况发生之日起50日内向委托人及人力资源社会保障行政部门提交审计报告。</w:t>
      </w:r>
    </w:p>
    <w:p>
      <w:pPr>
        <w:spacing w:line="360" w:lineRule="auto"/>
        <w:ind w:firstLine="48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10.2.4   审计费用从企业年金基金财产中扣除。</w:t>
      </w:r>
    </w:p>
    <w:p>
      <w:pPr>
        <w:pStyle w:val="3"/>
        <w:jc w:val="center"/>
        <w:rPr>
          <w:rStyle w:val="23"/>
          <w:rFonts w:ascii="仿宋_GB2312" w:eastAsia="仿宋_GB2312"/>
          <w:b/>
          <w:color w:val="000000" w:themeColor="text1"/>
          <w:sz w:val="28"/>
          <w:szCs w:val="28"/>
          <w:highlight w:val="none"/>
          <w:shd w:val="clear" w:color="auto" w:fill="FFFFFF"/>
          <w14:textFill>
            <w14:solidFill>
              <w14:schemeClr w14:val="tx1"/>
            </w14:solidFill>
          </w14:textFill>
        </w:rPr>
      </w:pPr>
      <w:bookmarkStart w:id="122" w:name="_Toc10346"/>
      <w:bookmarkStart w:id="123" w:name="_Toc319934293"/>
      <w:bookmarkStart w:id="124" w:name="_Toc29082"/>
      <w:r>
        <w:rPr>
          <w:rStyle w:val="23"/>
          <w:rFonts w:hint="eastAsia" w:ascii="仿宋_GB2312" w:eastAsia="仿宋_GB2312"/>
          <w:b/>
          <w:color w:val="000000" w:themeColor="text1"/>
          <w:sz w:val="28"/>
          <w:szCs w:val="28"/>
          <w:highlight w:val="none"/>
          <w:shd w:val="clear" w:color="auto" w:fill="FFFFFF"/>
          <w14:textFill>
            <w14:solidFill>
              <w14:schemeClr w14:val="tx1"/>
            </w14:solidFill>
          </w14:textFill>
        </w:rPr>
        <w:t>第十一章  信息报告与披露</w:t>
      </w:r>
      <w:bookmarkEnd w:id="122"/>
      <w:bookmarkEnd w:id="123"/>
      <w:bookmarkEnd w:id="124"/>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11.1  定期报告。</w:t>
      </w:r>
    </w:p>
    <w:p>
      <w:pPr>
        <w:spacing w:line="360" w:lineRule="auto"/>
        <w:ind w:firstLine="560" w:firstLineChars="200"/>
        <w:rPr>
          <w:rFonts w:hint="eastAsia" w:ascii="仿宋_GB2312" w:hAnsi="仿宋_GB2312" w:eastAsia="仿宋_GB2312"/>
          <w:bCs/>
          <w:color w:val="000000" w:themeColor="text1"/>
          <w:sz w:val="28"/>
          <w:szCs w:val="28"/>
          <w:highlight w:val="none"/>
          <w:shd w:val="clear" w:color="auto" w:fill="FFFFFF"/>
          <w14:textFill>
            <w14:solidFill>
              <w14:schemeClr w14:val="tx1"/>
            </w14:solidFill>
          </w14:textFill>
        </w:rPr>
      </w:pPr>
      <w:r>
        <w:rPr>
          <w:rFonts w:hint="eastAsia" w:ascii="仿宋_GB2312" w:hAnsi="仿宋_GB2312" w:eastAsia="仿宋_GB2312"/>
          <w:color w:val="000000" w:themeColor="text1"/>
          <w:sz w:val="28"/>
          <w:szCs w:val="28"/>
          <w:highlight w:val="none"/>
          <w:shd w:val="clear" w:color="auto" w:fill="FFFFFF"/>
          <w14:textFill>
            <w14:solidFill>
              <w14:schemeClr w14:val="tx1"/>
            </w14:solidFill>
          </w14:textFill>
        </w:rPr>
        <w:t>投资管理人应当在每季度结束后15日内向受托人提交经托管人确认财务管理数据的企业年金基金投资组合季度报告。并应当在年度结束后45日内向受托人提交经托管人确认财务管理数据的企业年金基金投资管理年度报告。</w:t>
      </w:r>
      <w:r>
        <w:rPr>
          <w:rFonts w:hint="eastAsia" w:ascii="仿宋_GB2312" w:hAnsi="仿宋_GB2312" w:eastAsia="仿宋_GB2312"/>
          <w:bCs/>
          <w:color w:val="000000" w:themeColor="text1"/>
          <w:sz w:val="28"/>
          <w:szCs w:val="28"/>
          <w:highlight w:val="none"/>
          <w:shd w:val="clear" w:color="auto" w:fill="FFFFFF"/>
          <w14:textFill>
            <w14:solidFill>
              <w14:schemeClr w14:val="tx1"/>
            </w14:solidFill>
          </w14:textFill>
        </w:rPr>
        <w:t>企业年金基金投资管理报告格式及内容以人力资源社会保障部规定为准。</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委托年金资产运作不满3个月的，不提供企业年金基金投资组合季度报告和年度报告。</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11.2  临时报告。</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 xml:space="preserve">11.2.1  </w:t>
      </w:r>
      <w:r>
        <w:rPr>
          <w:rFonts w:hint="eastAsia" w:ascii="仿宋_GB2312" w:hAnsi="宋体" w:eastAsia="仿宋_GB2312"/>
          <w:color w:val="000000" w:themeColor="text1"/>
          <w:sz w:val="28"/>
          <w:szCs w:val="28"/>
          <w:highlight w:val="none"/>
          <w:shd w:val="clear" w:color="auto" w:fill="FFFFFF"/>
          <w14:textFill>
            <w14:solidFill>
              <w14:schemeClr w14:val="tx1"/>
            </w14:solidFill>
          </w14:textFill>
        </w:rPr>
        <w:t>投资管理人在履行本投资管理补充条款过程中，如遇法律法规规定的临时报告事项，应当自知晓或者应当知晓该事件发生之日起3个工作日内向受托人报告，</w:t>
      </w:r>
      <w:r>
        <w:rPr>
          <w:rFonts w:hint="eastAsia" w:ascii="仿宋_GB2312" w:eastAsia="仿宋_GB2312"/>
          <w:color w:val="000000" w:themeColor="text1"/>
          <w:sz w:val="28"/>
          <w:szCs w:val="28"/>
          <w:highlight w:val="none"/>
          <w:shd w:val="clear" w:color="auto" w:fill="FFFFFF"/>
          <w14:textFill>
            <w14:solidFill>
              <w14:schemeClr w14:val="tx1"/>
            </w14:solidFill>
          </w14:textFill>
        </w:rPr>
        <w:t>临时报告事项包括但不限于：</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 xml:space="preserve">11.2.1.1  委托投资资产单位净值在一天内的下跌幅度在 </w:t>
      </w:r>
      <w:r>
        <w:rPr>
          <w:rFonts w:hint="eastAsia" w:ascii="仿宋_GB2312" w:eastAsia="仿宋_GB2312"/>
          <w:color w:val="000000" w:themeColor="text1"/>
          <w:sz w:val="28"/>
          <w:szCs w:val="28"/>
          <w:highlight w:val="none"/>
          <w:u w:val="single"/>
          <w:shd w:val="clear" w:color="auto" w:fill="FFFFFF"/>
          <w14:textFill>
            <w14:solidFill>
              <w14:schemeClr w14:val="tx1"/>
            </w14:solidFill>
          </w14:textFill>
        </w:rPr>
        <w:t xml:space="preserve"> 2 </w:t>
      </w:r>
      <w:r>
        <w:rPr>
          <w:rFonts w:hint="eastAsia" w:ascii="仿宋_GB2312" w:eastAsia="仿宋_GB2312"/>
          <w:color w:val="000000" w:themeColor="text1"/>
          <w:sz w:val="28"/>
          <w:szCs w:val="28"/>
          <w:highlight w:val="none"/>
          <w:shd w:val="clear" w:color="auto" w:fill="FFFFFF"/>
          <w14:textFill>
            <w14:solidFill>
              <w14:schemeClr w14:val="tx1"/>
            </w14:solidFill>
          </w14:textFill>
        </w:rPr>
        <w:t>%（含）以上或连续5个交易日的区间内下跌幅度在</w:t>
      </w:r>
      <w:r>
        <w:rPr>
          <w:rFonts w:hint="eastAsia" w:ascii="仿宋_GB2312" w:eastAsia="仿宋_GB2312"/>
          <w:color w:val="000000" w:themeColor="text1"/>
          <w:sz w:val="28"/>
          <w:szCs w:val="28"/>
          <w:highlight w:val="none"/>
          <w:u w:val="single"/>
          <w:shd w:val="clear" w:color="auto" w:fill="FFFFFF"/>
          <w14:textFill>
            <w14:solidFill>
              <w14:schemeClr w14:val="tx1"/>
            </w14:solidFill>
          </w14:textFill>
        </w:rPr>
        <w:t xml:space="preserve"> 3 </w:t>
      </w:r>
      <w:r>
        <w:rPr>
          <w:rFonts w:hint="eastAsia" w:ascii="仿宋_GB2312" w:eastAsia="仿宋_GB2312"/>
          <w:color w:val="000000" w:themeColor="text1"/>
          <w:sz w:val="28"/>
          <w:szCs w:val="28"/>
          <w:highlight w:val="none"/>
          <w:shd w:val="clear" w:color="auto" w:fill="FFFFFF"/>
          <w14:textFill>
            <w14:solidFill>
              <w14:schemeClr w14:val="tx1"/>
            </w14:solidFill>
          </w14:textFill>
        </w:rPr>
        <w:t>%以上；</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11.2.1.2  投资管理人减资、分立、合并、解散、依法被裁撤、决定申请破产；</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11.2.1.3  投资管理人的主要股东、重大股权变动、注册地、注册资本、公司名称变动；</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11.2.1.4  投资管理人的董事长、总经理、直接负责企业年金业务的高级管理人员变动；</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11.2.1.5  投资管理人重大经营损失；</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11.2.1.6  投资管理人及其企业年金从业人员涉嫌犯罪被司法机关立案调查或受到监管机构处罚；</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11.2.1.7  涉及企业年金基金财产的诉讼或仲裁；</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11.2.1.8  投资管理人在企业年金基金财产运作中有违反法律法规的行为；</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11.2.1.9  投资管理人在企业年金基金财产运作中有违反相关合同的行为；</w:t>
      </w:r>
    </w:p>
    <w:p>
      <w:pPr>
        <w:spacing w:line="360" w:lineRule="auto"/>
        <w:ind w:firstLine="560" w:firstLineChars="200"/>
        <w:rPr>
          <w:rFonts w:hint="eastAsia" w:ascii="仿宋_GB2312" w:hAnsi="宋体"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 xml:space="preserve">11.2.1.10  </w:t>
      </w:r>
      <w:r>
        <w:rPr>
          <w:rFonts w:hint="eastAsia" w:ascii="仿宋_GB2312" w:hAnsi="宋体" w:eastAsia="仿宋_GB2312"/>
          <w:color w:val="000000" w:themeColor="text1"/>
          <w:sz w:val="28"/>
          <w:szCs w:val="28"/>
          <w:highlight w:val="none"/>
          <w:shd w:val="clear" w:color="auto" w:fill="FFFFFF"/>
          <w14:textFill>
            <w14:solidFill>
              <w14:schemeClr w14:val="tx1"/>
            </w14:solidFill>
          </w14:textFill>
        </w:rPr>
        <w:t>有可能使企业年金基金财产受到重大影响的其他事项；</w:t>
      </w:r>
    </w:p>
    <w:p>
      <w:pPr>
        <w:pStyle w:val="11"/>
        <w:spacing w:line="360" w:lineRule="auto"/>
        <w:ind w:firstLine="560" w:firstLineChars="200"/>
        <w:rPr>
          <w:rFonts w:hint="eastAsia" w:ascii="仿宋_GB2312" w:hAnsi="宋体" w:eastAsia="仿宋_GB2312"/>
          <w:color w:val="000000" w:themeColor="text1"/>
          <w:sz w:val="28"/>
          <w:szCs w:val="28"/>
          <w:highlight w:val="none"/>
          <w:shd w:val="clear" w:color="auto" w:fill="FFFFFF"/>
          <w14:textFill>
            <w14:solidFill>
              <w14:schemeClr w14:val="tx1"/>
            </w14:solidFill>
          </w14:textFill>
        </w:rPr>
      </w:pPr>
      <w:r>
        <w:rPr>
          <w:rFonts w:hint="eastAsia" w:ascii="仿宋_GB2312" w:hAnsi="宋体" w:eastAsia="仿宋_GB2312"/>
          <w:color w:val="000000" w:themeColor="text1"/>
          <w:sz w:val="28"/>
          <w:szCs w:val="28"/>
          <w:highlight w:val="none"/>
          <w:shd w:val="clear" w:color="auto" w:fill="FFFFFF"/>
          <w14:textFill>
            <w14:solidFill>
              <w14:schemeClr w14:val="tx1"/>
            </w14:solidFill>
          </w14:textFill>
        </w:rPr>
        <w:t>11.2.1.11  合同约定其他需要报告的内容；</w:t>
      </w:r>
    </w:p>
    <w:p>
      <w:pPr>
        <w:pStyle w:val="11"/>
        <w:spacing w:line="360" w:lineRule="auto"/>
        <w:ind w:firstLine="560" w:firstLineChars="200"/>
        <w:rPr>
          <w:rFonts w:hint="eastAsia" w:ascii="仿宋_GB2312" w:hAnsi="宋体" w:eastAsia="仿宋_GB2312"/>
          <w:color w:val="000000" w:themeColor="text1"/>
          <w:sz w:val="28"/>
          <w:szCs w:val="28"/>
          <w:highlight w:val="none"/>
          <w:shd w:val="clear" w:color="auto" w:fill="FFFFFF"/>
          <w14:textFill>
            <w14:solidFill>
              <w14:schemeClr w14:val="tx1"/>
            </w14:solidFill>
          </w14:textFill>
        </w:rPr>
      </w:pPr>
      <w:r>
        <w:rPr>
          <w:rFonts w:hint="eastAsia" w:ascii="仿宋_GB2312" w:hAnsi="宋体" w:eastAsia="仿宋_GB2312"/>
          <w:color w:val="000000" w:themeColor="text1"/>
          <w:sz w:val="28"/>
          <w:szCs w:val="28"/>
          <w:highlight w:val="none"/>
          <w:shd w:val="clear" w:color="auto" w:fill="FFFFFF"/>
          <w14:textFill>
            <w14:solidFill>
              <w14:schemeClr w14:val="tx1"/>
            </w14:solidFill>
          </w14:textFill>
        </w:rPr>
        <w:t>11.2.1.12  法律法规规定或人力资源社会保障部要求报告的其他事项。</w:t>
      </w:r>
    </w:p>
    <w:p>
      <w:pPr>
        <w:pStyle w:val="11"/>
        <w:spacing w:line="360" w:lineRule="auto"/>
        <w:ind w:firstLine="560" w:firstLineChars="200"/>
        <w:rPr>
          <w:rFonts w:hint="eastAsia" w:ascii="仿宋_GB2312" w:hAnsi="宋体" w:eastAsia="仿宋_GB2312"/>
          <w:color w:val="000000" w:themeColor="text1"/>
          <w:sz w:val="28"/>
          <w:szCs w:val="28"/>
          <w:highlight w:val="none"/>
          <w:shd w:val="clear" w:color="auto" w:fill="FFFFFF"/>
          <w14:textFill>
            <w14:solidFill>
              <w14:schemeClr w14:val="tx1"/>
            </w14:solidFill>
          </w14:textFill>
        </w:rPr>
      </w:pPr>
      <w:r>
        <w:rPr>
          <w:rFonts w:hint="eastAsia" w:ascii="仿宋_GB2312" w:hAnsi="宋体" w:eastAsia="仿宋_GB2312"/>
          <w:color w:val="000000" w:themeColor="text1"/>
          <w:sz w:val="28"/>
          <w:szCs w:val="28"/>
          <w:highlight w:val="none"/>
          <w:shd w:val="clear" w:color="auto" w:fill="FFFFFF"/>
          <w14:textFill>
            <w14:solidFill>
              <w14:schemeClr w14:val="tx1"/>
            </w14:solidFill>
          </w14:textFill>
        </w:rPr>
        <w:t>11.2.2  当出现上述第11.2.1.2款至第11.2.1.8款事项时</w:t>
      </w:r>
      <w:r>
        <w:rPr>
          <w:rFonts w:hint="eastAsia" w:ascii="仿宋_GB2312" w:hAnsi="宋体" w:eastAsia="仿宋_GB2312"/>
          <w:color w:val="000000" w:themeColor="text1"/>
          <w:sz w:val="28"/>
          <w:szCs w:val="28"/>
          <w:highlight w:val="none"/>
          <w:shd w:val="clear" w:color="auto" w:fill="FFFFFF"/>
          <w:lang w:eastAsia="zh-CN"/>
          <w14:textFill>
            <w14:solidFill>
              <w14:schemeClr w14:val="tx1"/>
            </w14:solidFill>
          </w14:textFill>
        </w:rPr>
        <w:t>，</w:t>
      </w:r>
      <w:r>
        <w:rPr>
          <w:rFonts w:hint="eastAsia" w:ascii="仿宋_GB2312" w:hAnsi="宋体" w:eastAsia="仿宋_GB2312"/>
          <w:color w:val="000000" w:themeColor="text1"/>
          <w:sz w:val="28"/>
          <w:szCs w:val="28"/>
          <w:highlight w:val="none"/>
          <w:shd w:val="clear" w:color="auto" w:fill="FFFFFF"/>
          <w14:textFill>
            <w14:solidFill>
              <w14:schemeClr w14:val="tx1"/>
            </w14:solidFill>
          </w14:textFill>
        </w:rPr>
        <w:t>投资管理人除向受托人报告外，应当自知晓或者应当知晓该事项发生之日起5个工作日内，向人力资源社会保障部报告。</w:t>
      </w:r>
    </w:p>
    <w:p>
      <w:pPr>
        <w:pStyle w:val="11"/>
        <w:spacing w:line="360" w:lineRule="auto"/>
        <w:ind w:firstLine="560" w:firstLineChars="200"/>
        <w:rPr>
          <w:rFonts w:hint="eastAsia" w:ascii="仿宋_GB2312" w:hAnsi="宋体" w:eastAsia="仿宋_GB2312"/>
          <w:color w:val="000000" w:themeColor="text1"/>
          <w:sz w:val="28"/>
          <w:szCs w:val="28"/>
          <w:highlight w:val="none"/>
          <w:shd w:val="clear" w:color="auto" w:fill="FFFFFF"/>
          <w14:textFill>
            <w14:solidFill>
              <w14:schemeClr w14:val="tx1"/>
            </w14:solidFill>
          </w14:textFill>
        </w:rPr>
      </w:pPr>
      <w:r>
        <w:rPr>
          <w:rFonts w:hint="eastAsia" w:ascii="仿宋_GB2312" w:hAnsi="宋体" w:eastAsia="仿宋_GB2312"/>
          <w:color w:val="000000" w:themeColor="text1"/>
          <w:sz w:val="28"/>
          <w:szCs w:val="28"/>
          <w:highlight w:val="none"/>
          <w:shd w:val="clear" w:color="auto" w:fill="FFFFFF"/>
          <w14:textFill>
            <w14:solidFill>
              <w14:schemeClr w14:val="tx1"/>
            </w14:solidFill>
          </w14:textFill>
        </w:rPr>
        <w:t>11.3  职责终止报告。</w:t>
      </w:r>
    </w:p>
    <w:p>
      <w:pPr>
        <w:pStyle w:val="11"/>
        <w:spacing w:line="360" w:lineRule="auto"/>
        <w:ind w:firstLine="560" w:firstLineChars="200"/>
        <w:rPr>
          <w:rFonts w:hint="eastAsia" w:ascii="仿宋_GB2312" w:hAnsi="宋体" w:eastAsia="仿宋_GB2312"/>
          <w:color w:val="000000" w:themeColor="text1"/>
          <w:sz w:val="28"/>
          <w:szCs w:val="28"/>
          <w:highlight w:val="none"/>
          <w:shd w:val="clear" w:color="auto" w:fill="FFFFFF"/>
          <w14:textFill>
            <w14:solidFill>
              <w14:schemeClr w14:val="tx1"/>
            </w14:solidFill>
          </w14:textFill>
        </w:rPr>
      </w:pPr>
      <w:r>
        <w:rPr>
          <w:rFonts w:hint="eastAsia" w:ascii="仿宋_GB2312" w:hAnsi="宋体" w:eastAsia="仿宋_GB2312"/>
          <w:color w:val="000000" w:themeColor="text1"/>
          <w:sz w:val="28"/>
          <w:szCs w:val="28"/>
          <w:highlight w:val="none"/>
          <w:shd w:val="clear" w:color="auto" w:fill="FFFFFF"/>
          <w14:textFill>
            <w14:solidFill>
              <w14:schemeClr w14:val="tx1"/>
            </w14:solidFill>
          </w14:textFill>
        </w:rPr>
        <w:t>投资管理人职责终止时，投资管理人应当自职责终止后40日内向受托人提交企业年金基金管理情况报告。该报告应当说明职责终止原因、未尽事项及处理建议等。</w:t>
      </w:r>
    </w:p>
    <w:p>
      <w:pPr>
        <w:pStyle w:val="11"/>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11.4  信息披露方式。</w:t>
      </w:r>
    </w:p>
    <w:p>
      <w:pPr>
        <w:pStyle w:val="11"/>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11.4.1  信息报告与披露采取纸质文本或电子文本的方式。</w:t>
      </w:r>
    </w:p>
    <w:p>
      <w:pPr>
        <w:pStyle w:val="11"/>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 xml:space="preserve">11.4.2   投资管理人应当按照规定报告企业年金基金投资管理情况，并对报告内容真实性、完整性负责。 </w:t>
      </w:r>
    </w:p>
    <w:p>
      <w:pPr>
        <w:pStyle w:val="11"/>
        <w:spacing w:line="360" w:lineRule="auto"/>
        <w:ind w:firstLine="560" w:firstLineChars="200"/>
        <w:rPr>
          <w:rFonts w:hint="eastAsia" w:ascii="仿宋_GB2312" w:hAnsi="宋体"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11.4.3   受托人违反本投资管理补充条款约定，逾期30日仍未支付投资管理费，投资管理人有权停止向受托人提供本企业年金计划信息披露义务。</w:t>
      </w:r>
      <w:r>
        <w:rPr>
          <w:rFonts w:hint="eastAsia" w:ascii="仿宋_GB2312" w:hAnsi="Times New Roman" w:eastAsia="仿宋_GB2312"/>
          <w:color w:val="000000" w:themeColor="text1"/>
          <w:sz w:val="28"/>
          <w:szCs w:val="28"/>
          <w:highlight w:val="none"/>
          <w:shd w:val="clear" w:color="auto" w:fill="FFFFFF"/>
          <w14:textFill>
            <w14:solidFill>
              <w14:schemeClr w14:val="tx1"/>
            </w14:solidFill>
          </w14:textFill>
        </w:rPr>
        <w:t>投资管理人</w:t>
      </w:r>
      <w:r>
        <w:rPr>
          <w:rFonts w:hint="eastAsia" w:ascii="仿宋_GB2312" w:eastAsia="仿宋_GB2312"/>
          <w:color w:val="000000" w:themeColor="text1"/>
          <w:sz w:val="28"/>
          <w:szCs w:val="28"/>
          <w:highlight w:val="none"/>
          <w:shd w:val="clear" w:color="auto" w:fill="FFFFFF"/>
          <w14:textFill>
            <w14:solidFill>
              <w14:schemeClr w14:val="tx1"/>
            </w14:solidFill>
          </w14:textFill>
        </w:rPr>
        <w:t>应当</w:t>
      </w:r>
      <w:r>
        <w:rPr>
          <w:rFonts w:hint="eastAsia" w:ascii="仿宋_GB2312" w:hAnsi="Times New Roman" w:eastAsia="仿宋_GB2312"/>
          <w:color w:val="000000" w:themeColor="text1"/>
          <w:sz w:val="28"/>
          <w:szCs w:val="28"/>
          <w:highlight w:val="none"/>
          <w:shd w:val="clear" w:color="auto" w:fill="FFFFFF"/>
          <w14:textFill>
            <w14:solidFill>
              <w14:schemeClr w14:val="tx1"/>
            </w14:solidFill>
          </w14:textFill>
        </w:rPr>
        <w:t>在暂停提供服务前的5个工作日书面通知受托人。</w:t>
      </w:r>
    </w:p>
    <w:p>
      <w:pPr>
        <w:pStyle w:val="3"/>
        <w:jc w:val="center"/>
        <w:rPr>
          <w:rFonts w:ascii="仿宋_GB2312" w:eastAsia="仿宋_GB2312"/>
          <w:color w:val="000000" w:themeColor="text1"/>
          <w:sz w:val="28"/>
          <w:szCs w:val="28"/>
          <w:highlight w:val="none"/>
          <w:shd w:val="clear" w:color="auto" w:fill="FFFFFF"/>
          <w14:textFill>
            <w14:solidFill>
              <w14:schemeClr w14:val="tx1"/>
            </w14:solidFill>
          </w14:textFill>
        </w:rPr>
      </w:pPr>
      <w:bookmarkStart w:id="125" w:name="_Toc319934294"/>
      <w:bookmarkStart w:id="126" w:name="_Toc2652"/>
      <w:bookmarkStart w:id="127" w:name="_Toc7335"/>
      <w:r>
        <w:rPr>
          <w:rFonts w:hint="eastAsia" w:ascii="仿宋_GB2312" w:eastAsia="仿宋_GB2312"/>
          <w:color w:val="000000" w:themeColor="text1"/>
          <w:sz w:val="28"/>
          <w:szCs w:val="28"/>
          <w:highlight w:val="none"/>
          <w:shd w:val="clear" w:color="auto" w:fill="FFFFFF"/>
          <w14:textFill>
            <w14:solidFill>
              <w14:schemeClr w14:val="tx1"/>
            </w14:solidFill>
          </w14:textFill>
        </w:rPr>
        <w:t>第十二章  禁止行为</w:t>
      </w:r>
      <w:bookmarkEnd w:id="125"/>
      <w:bookmarkEnd w:id="126"/>
      <w:bookmarkEnd w:id="127"/>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投资管理人禁止从事的行为，包括但不限于：</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12.1  提供虚假信息；</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12.2  将其固有财产或者他人财产混同于企业年金基金财产；</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12.3  不公平对待企业年金基金财产与其管理的其他财产；</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12.4  侵占、挪用企业年金基金财产；</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12.5  承诺、变相承诺保本或者保证收益；</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12.6  利用所管理的其他资产为企业年金计划委托人或者相关管理人谋取不正当利益；</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12.7  私自动用或处分基金财产；</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12.8  将管理的委托投资资产产生的债权债务与其固有财产产生的债权债务相</w:t>
      </w:r>
      <w:r>
        <w:rPr>
          <w:rFonts w:hint="eastAsia" w:ascii="仿宋_GB2312" w:eastAsia="仿宋_GB2312"/>
          <w:color w:val="000000" w:themeColor="text1"/>
          <w:sz w:val="28"/>
          <w:szCs w:val="28"/>
          <w:highlight w:val="none"/>
          <w:shd w:val="clear" w:color="auto" w:fill="FFFFFF"/>
          <w:lang w:eastAsia="zh-CN"/>
          <w14:textFill>
            <w14:solidFill>
              <w14:schemeClr w14:val="tx1"/>
            </w14:solidFill>
          </w14:textFill>
        </w:rPr>
        <w:t>抵消</w:t>
      </w:r>
      <w:r>
        <w:rPr>
          <w:rFonts w:hint="eastAsia" w:ascii="仿宋_GB2312" w:eastAsia="仿宋_GB2312"/>
          <w:color w:val="000000" w:themeColor="text1"/>
          <w:sz w:val="28"/>
          <w:szCs w:val="28"/>
          <w:highlight w:val="none"/>
          <w:shd w:val="clear" w:color="auto" w:fill="FFFFFF"/>
          <w14:textFill>
            <w14:solidFill>
              <w14:schemeClr w14:val="tx1"/>
            </w14:solidFill>
          </w14:textFill>
        </w:rPr>
        <w:t>；</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12.9  将管理不同企业年金计划的委托投资资产产生的债权债务相</w:t>
      </w:r>
      <w:r>
        <w:rPr>
          <w:rFonts w:hint="eastAsia" w:ascii="仿宋_GB2312" w:eastAsia="仿宋_GB2312"/>
          <w:color w:val="000000" w:themeColor="text1"/>
          <w:sz w:val="28"/>
          <w:szCs w:val="28"/>
          <w:highlight w:val="none"/>
          <w:shd w:val="clear" w:color="auto" w:fill="FFFFFF"/>
          <w:lang w:eastAsia="zh-CN"/>
          <w14:textFill>
            <w14:solidFill>
              <w14:schemeClr w14:val="tx1"/>
            </w14:solidFill>
          </w14:textFill>
        </w:rPr>
        <w:t>抵消</w:t>
      </w:r>
      <w:r>
        <w:rPr>
          <w:rFonts w:hint="eastAsia" w:ascii="仿宋_GB2312" w:eastAsia="仿宋_GB2312"/>
          <w:color w:val="000000" w:themeColor="text1"/>
          <w:sz w:val="28"/>
          <w:szCs w:val="28"/>
          <w:highlight w:val="none"/>
          <w:shd w:val="clear" w:color="auto" w:fill="FFFFFF"/>
          <w14:textFill>
            <w14:solidFill>
              <w14:schemeClr w14:val="tx1"/>
            </w14:solidFill>
          </w14:textFill>
        </w:rPr>
        <w:t>；</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12.10  投资管理人在合同期内将委托投资资产转由第三方进行投资管理；</w:t>
      </w:r>
    </w:p>
    <w:p>
      <w:pPr>
        <w:spacing w:line="360" w:lineRule="auto"/>
        <w:ind w:firstLine="560" w:firstLineChars="20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12.11  法律法规规定及本投资管理补充条款约定的其他禁止行为。</w:t>
      </w:r>
    </w:p>
    <w:p>
      <w:pPr>
        <w:ind w:firstLine="420"/>
        <w:rPr>
          <w:rFonts w:ascii="仿宋_GB2312" w:eastAsia="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t>（以下是本合同附件及签署页。）</w:t>
      </w:r>
      <w:r>
        <w:rPr>
          <w:rFonts w:hint="eastAsia" w:ascii="仿宋_GB2312" w:eastAsia="仿宋_GB2312"/>
          <w:color w:val="000000" w:themeColor="text1"/>
          <w:sz w:val="28"/>
          <w:szCs w:val="28"/>
          <w:highlight w:val="none"/>
          <w:shd w:val="clear" w:color="auto" w:fill="FFFFFF"/>
          <w14:textFill>
            <w14:solidFill>
              <w14:schemeClr w14:val="tx1"/>
            </w14:solidFill>
          </w14:textFill>
        </w:rPr>
        <w:br w:type="page"/>
      </w:r>
      <w:r>
        <w:rPr>
          <w:rFonts w:hint="eastAsia" w:ascii="仿宋_GB2312" w:eastAsia="仿宋_GB2312"/>
          <w:color w:val="000000" w:themeColor="text1"/>
          <w:sz w:val="28"/>
          <w:szCs w:val="28"/>
          <w:highlight w:val="none"/>
          <w:shd w:val="clear" w:color="auto" w:fill="FFFFFF"/>
          <w14:textFill>
            <w14:solidFill>
              <w14:schemeClr w14:val="tx1"/>
            </w14:solidFill>
          </w14:textFill>
        </w:rPr>
        <w:t>附件一：投资政策</w:t>
      </w:r>
    </w:p>
    <w:p>
      <w:pPr>
        <w:rPr>
          <w:rStyle w:val="23"/>
          <w:rFonts w:ascii="仿宋_GB2312" w:eastAsia="仿宋_GB2312"/>
          <w:b w:val="0"/>
          <w:color w:val="000000" w:themeColor="text1"/>
          <w:sz w:val="28"/>
          <w:szCs w:val="28"/>
          <w:highlight w:val="none"/>
          <w:shd w:val="clear" w:color="auto" w:fill="FFFFFF"/>
          <w14:textFill>
            <w14:solidFill>
              <w14:schemeClr w14:val="tx1"/>
            </w14:solidFill>
          </w14:textFill>
        </w:rPr>
      </w:pPr>
      <w:r>
        <w:rPr>
          <w:rFonts w:hint="eastAsia" w:ascii="仿宋_GB2312" w:eastAsia="仿宋_GB2312"/>
          <w:color w:val="000000" w:themeColor="text1"/>
          <w:sz w:val="28"/>
          <w:szCs w:val="28"/>
          <w:highlight w:val="none"/>
          <w:shd w:val="clear" w:color="auto" w:fill="FFFFFF"/>
          <w14:textFill>
            <w14:solidFill>
              <w14:schemeClr w14:val="tx1"/>
            </w14:solidFill>
          </w14:textFill>
        </w:rPr>
        <w:br w:type="page"/>
      </w:r>
      <w:r>
        <w:rPr>
          <w:rStyle w:val="23"/>
          <w:rFonts w:hint="eastAsia" w:ascii="仿宋_GB2312" w:eastAsia="仿宋_GB2312"/>
          <w:b w:val="0"/>
          <w:color w:val="000000" w:themeColor="text1"/>
          <w:sz w:val="28"/>
          <w:szCs w:val="28"/>
          <w:highlight w:val="none"/>
          <w:shd w:val="clear" w:color="auto" w:fill="FFFFFF"/>
          <w14:textFill>
            <w14:solidFill>
              <w14:schemeClr w14:val="tx1"/>
            </w14:solidFill>
          </w14:textFill>
        </w:rPr>
        <w:t>附件二： 投资经理资料</w:t>
      </w:r>
    </w:p>
    <w:tbl>
      <w:tblPr>
        <w:tblStyle w:val="20"/>
        <w:tblW w:w="8336" w:type="dxa"/>
        <w:jc w:val="center"/>
        <w:tblLayout w:type="fixed"/>
        <w:tblCellMar>
          <w:top w:w="0" w:type="dxa"/>
          <w:left w:w="0" w:type="dxa"/>
          <w:bottom w:w="0" w:type="dxa"/>
          <w:right w:w="0" w:type="dxa"/>
        </w:tblCellMar>
      </w:tblPr>
      <w:tblGrid>
        <w:gridCol w:w="1266"/>
        <w:gridCol w:w="1405"/>
        <w:gridCol w:w="372"/>
        <w:gridCol w:w="783"/>
        <w:gridCol w:w="751"/>
        <w:gridCol w:w="341"/>
        <w:gridCol w:w="1044"/>
        <w:gridCol w:w="115"/>
        <w:gridCol w:w="976"/>
        <w:gridCol w:w="1283"/>
      </w:tblGrid>
      <w:tr>
        <w:tblPrEx>
          <w:tblCellMar>
            <w:top w:w="0" w:type="dxa"/>
            <w:left w:w="0" w:type="dxa"/>
            <w:bottom w:w="0" w:type="dxa"/>
            <w:right w:w="0" w:type="dxa"/>
          </w:tblCellMar>
        </w:tblPrEx>
        <w:trPr>
          <w:trHeight w:val="285" w:hRule="atLeast"/>
          <w:jc w:val="center"/>
        </w:trPr>
        <w:tc>
          <w:tcPr>
            <w:tcW w:w="1266" w:type="dxa"/>
            <w:tcBorders>
              <w:top w:val="single" w:color="000000" w:sz="4" w:space="0"/>
              <w:left w:val="single" w:color="000000" w:sz="4" w:space="0"/>
              <w:bottom w:val="single" w:color="000000" w:sz="4" w:space="0"/>
              <w:right w:val="single" w:color="000000" w:sz="4" w:space="0"/>
            </w:tcBorders>
            <w:shd w:val="clear" w:color="auto" w:fill="F2F2F2"/>
            <w:noWrap/>
            <w:tcMar>
              <w:top w:w="15" w:type="dxa"/>
              <w:left w:w="15" w:type="dxa"/>
              <w:right w:w="15" w:type="dxa"/>
            </w:tcMar>
            <w:vAlign w:val="center"/>
          </w:tcPr>
          <w:p>
            <w:pPr>
              <w:widowControl/>
              <w:jc w:val="center"/>
              <w:textAlignment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bidi="ar"/>
                <w14:textFill>
                  <w14:solidFill>
                    <w14:schemeClr w14:val="tx1"/>
                  </w14:solidFill>
                </w14:textFill>
              </w:rPr>
              <w:t>姓名</w:t>
            </w:r>
          </w:p>
        </w:tc>
        <w:tc>
          <w:tcPr>
            <w:tcW w:w="14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themeColor="text1"/>
                <w:sz w:val="24"/>
                <w:highlight w:val="none"/>
                <w14:textFill>
                  <w14:solidFill>
                    <w14:schemeClr w14:val="tx1"/>
                  </w14:solidFill>
                </w14:textFill>
              </w:rPr>
            </w:pP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2F2F2"/>
            <w:noWrap/>
            <w:tcMar>
              <w:top w:w="15" w:type="dxa"/>
              <w:left w:w="15" w:type="dxa"/>
              <w:right w:w="15" w:type="dxa"/>
            </w:tcMar>
            <w:vAlign w:val="center"/>
          </w:tcPr>
          <w:p>
            <w:pPr>
              <w:widowControl/>
              <w:jc w:val="center"/>
              <w:textAlignment w:val="center"/>
              <w:rPr>
                <w:rFonts w:hint="eastAsia" w:ascii="仿宋" w:hAnsi="仿宋" w:eastAsia="仿宋" w:cs="仿宋"/>
                <w:color w:val="000000" w:themeColor="text1"/>
                <w:sz w:val="24"/>
                <w:highlight w:val="none"/>
                <w14:textFill>
                  <w14:solidFill>
                    <w14:schemeClr w14:val="tx1"/>
                  </w14:solidFill>
                </w14:textFill>
              </w:rPr>
            </w:pPr>
          </w:p>
        </w:tc>
        <w:tc>
          <w:tcPr>
            <w:tcW w:w="10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themeColor="text1"/>
                <w:sz w:val="24"/>
                <w:highlight w:val="none"/>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shd w:val="clear" w:color="auto" w:fill="F2F2F2"/>
            <w:noWrap/>
            <w:tcMar>
              <w:top w:w="15" w:type="dxa"/>
              <w:left w:w="15" w:type="dxa"/>
              <w:right w:w="15" w:type="dxa"/>
            </w:tcMar>
            <w:vAlign w:val="center"/>
          </w:tcPr>
          <w:p>
            <w:pPr>
              <w:widowControl/>
              <w:jc w:val="center"/>
              <w:textAlignment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bidi="ar"/>
                <w14:textFill>
                  <w14:solidFill>
                    <w14:schemeClr w14:val="tx1"/>
                  </w14:solidFill>
                </w14:textFill>
              </w:rPr>
              <w:t>出生年份</w:t>
            </w:r>
          </w:p>
        </w:tc>
        <w:tc>
          <w:tcPr>
            <w:tcW w:w="10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themeColor="text1"/>
                <w:sz w:val="24"/>
                <w:highlight w:val="none"/>
                <w14:textFill>
                  <w14:solidFill>
                    <w14:schemeClr w14:val="tx1"/>
                  </w14:solidFill>
                </w14:textFill>
              </w:rPr>
            </w:pPr>
          </w:p>
        </w:tc>
        <w:tc>
          <w:tcPr>
            <w:tcW w:w="1283" w:type="dxa"/>
            <w:tcBorders>
              <w:top w:val="single" w:color="000000" w:sz="4" w:space="0"/>
              <w:left w:val="single" w:color="000000" w:sz="4" w:space="0"/>
              <w:bottom w:val="single" w:color="000000" w:sz="4" w:space="0"/>
              <w:right w:val="single" w:color="000000" w:sz="4" w:space="0"/>
            </w:tcBorders>
            <w:shd w:val="clear" w:color="auto" w:fill="F2F2F2"/>
            <w:noWrap/>
            <w:tcMar>
              <w:top w:w="15" w:type="dxa"/>
              <w:left w:w="15" w:type="dxa"/>
              <w:right w:w="15" w:type="dxa"/>
            </w:tcMar>
            <w:vAlign w:val="center"/>
          </w:tcPr>
          <w:p>
            <w:pPr>
              <w:widowControl/>
              <w:jc w:val="center"/>
              <w:textAlignment w:val="center"/>
              <w:rPr>
                <w:rFonts w:hint="eastAsia" w:ascii="仿宋" w:hAnsi="仿宋" w:eastAsia="仿宋" w:cs="仿宋"/>
                <w:color w:val="000000" w:themeColor="text1"/>
                <w:sz w:val="24"/>
                <w:highlight w:val="none"/>
                <w14:textFill>
                  <w14:solidFill>
                    <w14:schemeClr w14:val="tx1"/>
                  </w14:solidFill>
                </w14:textFill>
              </w:rPr>
            </w:pPr>
          </w:p>
        </w:tc>
      </w:tr>
      <w:tr>
        <w:tblPrEx>
          <w:tblCellMar>
            <w:top w:w="0" w:type="dxa"/>
            <w:left w:w="0" w:type="dxa"/>
            <w:bottom w:w="0" w:type="dxa"/>
            <w:right w:w="0" w:type="dxa"/>
          </w:tblCellMar>
        </w:tblPrEx>
        <w:trPr>
          <w:trHeight w:val="227" w:hRule="atLeast"/>
          <w:jc w:val="center"/>
        </w:trPr>
        <w:tc>
          <w:tcPr>
            <w:tcW w:w="2671" w:type="dxa"/>
            <w:gridSpan w:val="2"/>
            <w:tcBorders>
              <w:top w:val="single" w:color="000000" w:sz="4" w:space="0"/>
              <w:left w:val="single" w:color="000000" w:sz="4" w:space="0"/>
              <w:bottom w:val="single" w:color="000000" w:sz="4" w:space="0"/>
              <w:right w:val="single" w:color="000000" w:sz="4" w:space="0"/>
            </w:tcBorders>
            <w:shd w:val="clear" w:color="auto" w:fill="F2F2F2"/>
            <w:noWrap/>
            <w:tcMar>
              <w:top w:w="15" w:type="dxa"/>
              <w:left w:w="15" w:type="dxa"/>
              <w:right w:w="15" w:type="dxa"/>
            </w:tcMar>
            <w:vAlign w:val="center"/>
          </w:tcPr>
          <w:p>
            <w:pPr>
              <w:widowControl/>
              <w:jc w:val="center"/>
              <w:textAlignment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bidi="ar"/>
                <w14:textFill>
                  <w14:solidFill>
                    <w14:schemeClr w14:val="tx1"/>
                  </w14:solidFill>
                </w14:textFill>
              </w:rPr>
              <w:t>金融从业工作时间</w:t>
            </w:r>
          </w:p>
        </w:tc>
        <w:tc>
          <w:tcPr>
            <w:tcW w:w="2247" w:type="dxa"/>
            <w:gridSpan w:val="4"/>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widowControl/>
              <w:jc w:val="center"/>
              <w:textAlignment w:val="center"/>
              <w:rPr>
                <w:rFonts w:hint="eastAsia" w:ascii="仿宋" w:hAnsi="仿宋" w:eastAsia="仿宋" w:cs="仿宋"/>
                <w:color w:val="000000" w:themeColor="text1"/>
                <w:kern w:val="0"/>
                <w:sz w:val="24"/>
                <w:highlight w:val="none"/>
                <w:lang w:bidi="ar"/>
                <w14:textFill>
                  <w14:solidFill>
                    <w14:schemeClr w14:val="tx1"/>
                  </w14:solidFill>
                </w14:textFill>
              </w:rPr>
            </w:pPr>
            <w:r>
              <w:rPr>
                <w:rFonts w:hint="eastAsia" w:ascii="仿宋" w:hAnsi="仿宋" w:eastAsia="仿宋" w:cs="仿宋"/>
                <w:color w:val="000000" w:themeColor="text1"/>
                <w:kern w:val="0"/>
                <w:sz w:val="24"/>
                <w:highlight w:val="none"/>
                <w:lang w:bidi="ar"/>
                <w14:textFill>
                  <w14:solidFill>
                    <w14:schemeClr w14:val="tx1"/>
                  </w14:solidFill>
                </w14:textFill>
              </w:rPr>
              <w:t>年金投资</w:t>
            </w:r>
          </w:p>
          <w:p>
            <w:pPr>
              <w:widowControl/>
              <w:jc w:val="center"/>
              <w:textAlignment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bidi="ar"/>
                <w14:textFill>
                  <w14:solidFill>
                    <w14:schemeClr w14:val="tx1"/>
                  </w14:solidFill>
                </w14:textFill>
              </w:rPr>
              <w:t>从业工作时间</w:t>
            </w:r>
          </w:p>
        </w:tc>
        <w:tc>
          <w:tcPr>
            <w:tcW w:w="3418" w:type="dxa"/>
            <w:gridSpan w:val="4"/>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widowControl/>
              <w:jc w:val="center"/>
              <w:textAlignment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bidi="ar"/>
                <w14:textFill>
                  <w14:solidFill>
                    <w14:schemeClr w14:val="tx1"/>
                  </w14:solidFill>
                </w14:textFill>
              </w:rPr>
              <w:t>管理组合性质</w:t>
            </w:r>
          </w:p>
        </w:tc>
      </w:tr>
      <w:tr>
        <w:tblPrEx>
          <w:tblCellMar>
            <w:top w:w="0" w:type="dxa"/>
            <w:left w:w="0" w:type="dxa"/>
            <w:bottom w:w="0" w:type="dxa"/>
            <w:right w:w="0" w:type="dxa"/>
          </w:tblCellMar>
        </w:tblPrEx>
        <w:trPr>
          <w:trHeight w:val="285" w:hRule="atLeast"/>
          <w:jc w:val="center"/>
        </w:trPr>
        <w:tc>
          <w:tcPr>
            <w:tcW w:w="267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themeColor="text1"/>
                <w:sz w:val="24"/>
                <w:highlight w:val="none"/>
                <w14:textFill>
                  <w14:solidFill>
                    <w14:schemeClr w14:val="tx1"/>
                  </w14:solidFill>
                </w14:textFill>
              </w:rPr>
            </w:pPr>
          </w:p>
        </w:tc>
        <w:tc>
          <w:tcPr>
            <w:tcW w:w="224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themeColor="text1"/>
                <w:sz w:val="24"/>
                <w:highlight w:val="none"/>
                <w14:textFill>
                  <w14:solidFill>
                    <w14:schemeClr w14:val="tx1"/>
                  </w14:solidFill>
                </w14:textFill>
              </w:rPr>
            </w:pPr>
          </w:p>
        </w:tc>
        <w:tc>
          <w:tcPr>
            <w:tcW w:w="341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themeColor="text1"/>
                <w:sz w:val="24"/>
                <w:highlight w:val="none"/>
                <w14:textFill>
                  <w14:solidFill>
                    <w14:schemeClr w14:val="tx1"/>
                  </w14:solidFill>
                </w14:textFill>
              </w:rPr>
            </w:pPr>
          </w:p>
        </w:tc>
      </w:tr>
      <w:tr>
        <w:tblPrEx>
          <w:tblCellMar>
            <w:top w:w="0" w:type="dxa"/>
            <w:left w:w="0" w:type="dxa"/>
            <w:bottom w:w="0" w:type="dxa"/>
            <w:right w:w="0" w:type="dxa"/>
          </w:tblCellMar>
        </w:tblPrEx>
        <w:trPr>
          <w:trHeight w:val="285" w:hRule="atLeast"/>
          <w:jc w:val="center"/>
        </w:trPr>
        <w:tc>
          <w:tcPr>
            <w:tcW w:w="1266" w:type="dxa"/>
            <w:vMerge w:val="restart"/>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widowControl/>
              <w:jc w:val="center"/>
              <w:textAlignment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bidi="ar"/>
                <w14:textFill>
                  <w14:solidFill>
                    <w14:schemeClr w14:val="tx1"/>
                  </w14:solidFill>
                </w14:textFill>
              </w:rPr>
              <w:t>学习经历</w:t>
            </w:r>
            <w:r>
              <w:rPr>
                <w:rFonts w:hint="eastAsia" w:ascii="仿宋" w:hAnsi="仿宋" w:eastAsia="仿宋" w:cs="仿宋"/>
                <w:color w:val="000000" w:themeColor="text1"/>
                <w:kern w:val="0"/>
                <w:sz w:val="24"/>
                <w:highlight w:val="none"/>
                <w:lang w:bidi="ar"/>
                <w14:textFill>
                  <w14:solidFill>
                    <w14:schemeClr w14:val="tx1"/>
                  </w14:solidFill>
                </w14:textFill>
              </w:rPr>
              <w:br w:type="textWrapping"/>
            </w:r>
            <w:r>
              <w:rPr>
                <w:rFonts w:hint="eastAsia" w:ascii="仿宋" w:hAnsi="仿宋" w:eastAsia="仿宋" w:cs="仿宋"/>
                <w:color w:val="000000" w:themeColor="text1"/>
                <w:kern w:val="0"/>
                <w:sz w:val="24"/>
                <w:highlight w:val="none"/>
                <w:lang w:bidi="ar"/>
                <w14:textFill>
                  <w14:solidFill>
                    <w14:schemeClr w14:val="tx1"/>
                  </w14:solidFill>
                </w14:textFill>
              </w:rPr>
              <w:t>（倒序）</w:t>
            </w:r>
          </w:p>
        </w:tc>
        <w:tc>
          <w:tcPr>
            <w:tcW w:w="1777" w:type="dxa"/>
            <w:gridSpan w:val="2"/>
            <w:tcBorders>
              <w:top w:val="single" w:color="000000" w:sz="4" w:space="0"/>
              <w:left w:val="single" w:color="000000" w:sz="4" w:space="0"/>
              <w:bottom w:val="single" w:color="000000" w:sz="4" w:space="0"/>
              <w:right w:val="single" w:color="000000" w:sz="4" w:space="0"/>
            </w:tcBorders>
            <w:shd w:val="clear" w:color="auto" w:fill="F2F2F2"/>
            <w:noWrap/>
            <w:tcMar>
              <w:top w:w="15" w:type="dxa"/>
              <w:left w:w="15" w:type="dxa"/>
              <w:right w:w="15" w:type="dxa"/>
            </w:tcMar>
            <w:vAlign w:val="center"/>
          </w:tcPr>
          <w:p>
            <w:pPr>
              <w:widowControl/>
              <w:jc w:val="center"/>
              <w:textAlignment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bidi="ar"/>
                <w14:textFill>
                  <w14:solidFill>
                    <w14:schemeClr w14:val="tx1"/>
                  </w14:solidFill>
                </w14:textFill>
              </w:rPr>
              <w:t>学校</w:t>
            </w: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F2F2F2"/>
            <w:noWrap/>
            <w:tcMar>
              <w:top w:w="15" w:type="dxa"/>
              <w:left w:w="15" w:type="dxa"/>
              <w:right w:w="15" w:type="dxa"/>
            </w:tcMar>
            <w:vAlign w:val="center"/>
          </w:tcPr>
          <w:p>
            <w:pPr>
              <w:widowControl/>
              <w:jc w:val="center"/>
              <w:textAlignment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bidi="ar"/>
                <w14:textFill>
                  <w14:solidFill>
                    <w14:schemeClr w14:val="tx1"/>
                  </w14:solidFill>
                </w14:textFill>
              </w:rPr>
              <w:t>专业</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F2F2F2"/>
            <w:noWrap/>
            <w:tcMar>
              <w:top w:w="15" w:type="dxa"/>
              <w:left w:w="15" w:type="dxa"/>
              <w:right w:w="15" w:type="dxa"/>
            </w:tcMar>
            <w:vAlign w:val="center"/>
          </w:tcPr>
          <w:p>
            <w:pPr>
              <w:widowControl/>
              <w:jc w:val="center"/>
              <w:textAlignment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bidi="ar"/>
                <w14:textFill>
                  <w14:solidFill>
                    <w14:schemeClr w14:val="tx1"/>
                  </w14:solidFill>
                </w14:textFill>
              </w:rPr>
              <w:t>起止时间</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F2F2F2"/>
            <w:noWrap/>
            <w:tcMar>
              <w:top w:w="15" w:type="dxa"/>
              <w:left w:w="15" w:type="dxa"/>
              <w:right w:w="15" w:type="dxa"/>
            </w:tcMar>
            <w:vAlign w:val="center"/>
          </w:tcPr>
          <w:p>
            <w:pPr>
              <w:widowControl/>
              <w:jc w:val="center"/>
              <w:textAlignment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bidi="ar"/>
                <w14:textFill>
                  <w14:solidFill>
                    <w14:schemeClr w14:val="tx1"/>
                  </w14:solidFill>
                </w14:textFill>
              </w:rPr>
              <w:t>学位及学历</w:t>
            </w:r>
          </w:p>
        </w:tc>
      </w:tr>
      <w:tr>
        <w:tblPrEx>
          <w:tblCellMar>
            <w:top w:w="0" w:type="dxa"/>
            <w:left w:w="0" w:type="dxa"/>
            <w:bottom w:w="0" w:type="dxa"/>
            <w:right w:w="0" w:type="dxa"/>
          </w:tblCellMar>
        </w:tblPrEx>
        <w:trPr>
          <w:trHeight w:val="567" w:hRule="atLeast"/>
          <w:jc w:val="center"/>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jc w:val="center"/>
              <w:rPr>
                <w:rFonts w:hint="eastAsia" w:ascii="仿宋" w:hAnsi="仿宋" w:eastAsia="仿宋" w:cs="仿宋"/>
                <w:color w:val="000000" w:themeColor="text1"/>
                <w:sz w:val="24"/>
                <w:highlight w:val="none"/>
                <w14:textFill>
                  <w14:solidFill>
                    <w14:schemeClr w14:val="tx1"/>
                  </w14:solidFill>
                </w14:textFill>
              </w:rPr>
            </w:pPr>
          </w:p>
        </w:tc>
        <w:tc>
          <w:tcPr>
            <w:tcW w:w="177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themeColor="text1"/>
                <w:sz w:val="24"/>
                <w:highlight w:val="none"/>
                <w14:textFill>
                  <w14:solidFill>
                    <w14:schemeClr w14:val="tx1"/>
                  </w14:solidFill>
                </w14:textFill>
              </w:rPr>
            </w:pPr>
          </w:p>
        </w:tc>
        <w:tc>
          <w:tcPr>
            <w:tcW w:w="15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themeColor="text1"/>
                <w:sz w:val="24"/>
                <w:highlight w:val="none"/>
                <w14:textFill>
                  <w14:solidFill>
                    <w14:schemeClr w14:val="tx1"/>
                  </w14:solidFill>
                </w14:textFill>
              </w:rPr>
            </w:pPr>
          </w:p>
        </w:tc>
        <w:tc>
          <w:tcPr>
            <w:tcW w:w="15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themeColor="text1"/>
                <w:sz w:val="24"/>
                <w:highlight w:val="none"/>
                <w14:textFill>
                  <w14:solidFill>
                    <w14:schemeClr w14:val="tx1"/>
                  </w14:solidFill>
                </w14:textFill>
              </w:rPr>
            </w:pPr>
          </w:p>
        </w:tc>
        <w:tc>
          <w:tcPr>
            <w:tcW w:w="22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themeColor="text1"/>
                <w:sz w:val="24"/>
                <w:highlight w:val="none"/>
                <w14:textFill>
                  <w14:solidFill>
                    <w14:schemeClr w14:val="tx1"/>
                  </w14:solidFill>
                </w14:textFill>
              </w:rPr>
            </w:pPr>
          </w:p>
        </w:tc>
      </w:tr>
      <w:tr>
        <w:tblPrEx>
          <w:tblCellMar>
            <w:top w:w="0" w:type="dxa"/>
            <w:left w:w="0" w:type="dxa"/>
            <w:bottom w:w="0" w:type="dxa"/>
            <w:right w:w="0" w:type="dxa"/>
          </w:tblCellMar>
        </w:tblPrEx>
        <w:trPr>
          <w:trHeight w:val="567" w:hRule="atLeast"/>
          <w:jc w:val="center"/>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jc w:val="center"/>
              <w:rPr>
                <w:rFonts w:hint="eastAsia" w:ascii="仿宋" w:hAnsi="仿宋" w:eastAsia="仿宋" w:cs="仿宋"/>
                <w:color w:val="000000" w:themeColor="text1"/>
                <w:sz w:val="24"/>
                <w:highlight w:val="none"/>
                <w14:textFill>
                  <w14:solidFill>
                    <w14:schemeClr w14:val="tx1"/>
                  </w14:solidFill>
                </w14:textFill>
              </w:rPr>
            </w:pPr>
          </w:p>
        </w:tc>
        <w:tc>
          <w:tcPr>
            <w:tcW w:w="177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themeColor="text1"/>
                <w:sz w:val="24"/>
                <w:highlight w:val="none"/>
                <w14:textFill>
                  <w14:solidFill>
                    <w14:schemeClr w14:val="tx1"/>
                  </w14:solidFill>
                </w14:textFill>
              </w:rPr>
            </w:pPr>
          </w:p>
        </w:tc>
        <w:tc>
          <w:tcPr>
            <w:tcW w:w="15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themeColor="text1"/>
                <w:sz w:val="24"/>
                <w:highlight w:val="none"/>
                <w14:textFill>
                  <w14:solidFill>
                    <w14:schemeClr w14:val="tx1"/>
                  </w14:solidFill>
                </w14:textFill>
              </w:rPr>
            </w:pPr>
          </w:p>
        </w:tc>
        <w:tc>
          <w:tcPr>
            <w:tcW w:w="15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themeColor="text1"/>
                <w:sz w:val="24"/>
                <w:highlight w:val="none"/>
                <w14:textFill>
                  <w14:solidFill>
                    <w14:schemeClr w14:val="tx1"/>
                  </w14:solidFill>
                </w14:textFill>
              </w:rPr>
            </w:pPr>
          </w:p>
        </w:tc>
        <w:tc>
          <w:tcPr>
            <w:tcW w:w="22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themeColor="text1"/>
                <w:sz w:val="24"/>
                <w:highlight w:val="none"/>
                <w14:textFill>
                  <w14:solidFill>
                    <w14:schemeClr w14:val="tx1"/>
                  </w14:solidFill>
                </w14:textFill>
              </w:rPr>
            </w:pPr>
          </w:p>
        </w:tc>
      </w:tr>
      <w:tr>
        <w:tblPrEx>
          <w:tblCellMar>
            <w:top w:w="0" w:type="dxa"/>
            <w:left w:w="0" w:type="dxa"/>
            <w:bottom w:w="0" w:type="dxa"/>
            <w:right w:w="0" w:type="dxa"/>
          </w:tblCellMar>
        </w:tblPrEx>
        <w:trPr>
          <w:trHeight w:val="285" w:hRule="atLeast"/>
          <w:jc w:val="center"/>
        </w:trPr>
        <w:tc>
          <w:tcPr>
            <w:tcW w:w="1266" w:type="dxa"/>
            <w:vMerge w:val="restart"/>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widowControl/>
              <w:jc w:val="center"/>
              <w:textAlignment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bidi="ar"/>
                <w14:textFill>
                  <w14:solidFill>
                    <w14:schemeClr w14:val="tx1"/>
                  </w14:solidFill>
                </w14:textFill>
              </w:rPr>
              <w:t>工作经历</w:t>
            </w:r>
            <w:r>
              <w:rPr>
                <w:rFonts w:hint="eastAsia" w:ascii="仿宋" w:hAnsi="仿宋" w:eastAsia="仿宋" w:cs="仿宋"/>
                <w:color w:val="000000" w:themeColor="text1"/>
                <w:kern w:val="0"/>
                <w:sz w:val="24"/>
                <w:highlight w:val="none"/>
                <w:lang w:bidi="ar"/>
                <w14:textFill>
                  <w14:solidFill>
                    <w14:schemeClr w14:val="tx1"/>
                  </w14:solidFill>
                </w14:textFill>
              </w:rPr>
              <w:br w:type="textWrapping"/>
            </w:r>
            <w:r>
              <w:rPr>
                <w:rFonts w:hint="eastAsia" w:ascii="仿宋" w:hAnsi="仿宋" w:eastAsia="仿宋" w:cs="仿宋"/>
                <w:color w:val="000000" w:themeColor="text1"/>
                <w:kern w:val="0"/>
                <w:sz w:val="24"/>
                <w:highlight w:val="none"/>
                <w:lang w:bidi="ar"/>
                <w14:textFill>
                  <w14:solidFill>
                    <w14:schemeClr w14:val="tx1"/>
                  </w14:solidFill>
                </w14:textFill>
              </w:rPr>
              <w:t>（倒序）</w:t>
            </w:r>
          </w:p>
        </w:tc>
        <w:tc>
          <w:tcPr>
            <w:tcW w:w="1777" w:type="dxa"/>
            <w:gridSpan w:val="2"/>
            <w:tcBorders>
              <w:top w:val="single" w:color="000000" w:sz="4" w:space="0"/>
              <w:left w:val="single" w:color="000000" w:sz="4" w:space="0"/>
              <w:bottom w:val="single" w:color="000000" w:sz="4" w:space="0"/>
              <w:right w:val="single" w:color="000000" w:sz="4" w:space="0"/>
            </w:tcBorders>
            <w:shd w:val="clear" w:color="auto" w:fill="F2F2F2"/>
            <w:noWrap/>
            <w:tcMar>
              <w:top w:w="15" w:type="dxa"/>
              <w:left w:w="15" w:type="dxa"/>
              <w:right w:w="15" w:type="dxa"/>
            </w:tcMar>
            <w:vAlign w:val="center"/>
          </w:tcPr>
          <w:p>
            <w:pPr>
              <w:widowControl/>
              <w:jc w:val="center"/>
              <w:textAlignment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bidi="ar"/>
                <w14:textFill>
                  <w14:solidFill>
                    <w14:schemeClr w14:val="tx1"/>
                  </w14:solidFill>
                </w14:textFill>
              </w:rPr>
              <w:t>单位</w:t>
            </w: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F2F2F2"/>
            <w:noWrap/>
            <w:tcMar>
              <w:top w:w="15" w:type="dxa"/>
              <w:left w:w="15" w:type="dxa"/>
              <w:right w:w="15" w:type="dxa"/>
            </w:tcMar>
            <w:vAlign w:val="center"/>
          </w:tcPr>
          <w:p>
            <w:pPr>
              <w:widowControl/>
              <w:jc w:val="center"/>
              <w:textAlignment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bidi="ar"/>
                <w14:textFill>
                  <w14:solidFill>
                    <w14:schemeClr w14:val="tx1"/>
                  </w14:solidFill>
                </w14:textFill>
              </w:rPr>
              <w:t>部门</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F2F2F2"/>
            <w:noWrap/>
            <w:tcMar>
              <w:top w:w="15" w:type="dxa"/>
              <w:left w:w="15" w:type="dxa"/>
              <w:right w:w="15" w:type="dxa"/>
            </w:tcMar>
            <w:vAlign w:val="center"/>
          </w:tcPr>
          <w:p>
            <w:pPr>
              <w:widowControl/>
              <w:jc w:val="center"/>
              <w:textAlignment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bidi="ar"/>
                <w14:textFill>
                  <w14:solidFill>
                    <w14:schemeClr w14:val="tx1"/>
                  </w14:solidFill>
                </w14:textFill>
              </w:rPr>
              <w:t>起止时间</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F2F2F2"/>
            <w:noWrap/>
            <w:tcMar>
              <w:top w:w="15" w:type="dxa"/>
              <w:left w:w="15" w:type="dxa"/>
              <w:right w:w="15" w:type="dxa"/>
            </w:tcMar>
            <w:vAlign w:val="center"/>
          </w:tcPr>
          <w:p>
            <w:pPr>
              <w:widowControl/>
              <w:jc w:val="center"/>
              <w:textAlignment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bidi="ar"/>
                <w14:textFill>
                  <w14:solidFill>
                    <w14:schemeClr w14:val="tx1"/>
                  </w14:solidFill>
                </w14:textFill>
              </w:rPr>
              <w:t>职务及职责</w:t>
            </w:r>
          </w:p>
        </w:tc>
      </w:tr>
      <w:tr>
        <w:tblPrEx>
          <w:tblCellMar>
            <w:top w:w="0" w:type="dxa"/>
            <w:left w:w="0" w:type="dxa"/>
            <w:bottom w:w="0" w:type="dxa"/>
            <w:right w:w="0" w:type="dxa"/>
          </w:tblCellMar>
        </w:tblPrEx>
        <w:trPr>
          <w:trHeight w:val="567" w:hRule="atLeast"/>
          <w:jc w:val="center"/>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jc w:val="center"/>
              <w:rPr>
                <w:rFonts w:hint="eastAsia" w:ascii="仿宋" w:hAnsi="仿宋" w:eastAsia="仿宋" w:cs="仿宋"/>
                <w:color w:val="000000" w:themeColor="text1"/>
                <w:sz w:val="24"/>
                <w:highlight w:val="none"/>
                <w14:textFill>
                  <w14:solidFill>
                    <w14:schemeClr w14:val="tx1"/>
                  </w14:solidFill>
                </w14:textFill>
              </w:rPr>
            </w:pPr>
          </w:p>
        </w:tc>
        <w:tc>
          <w:tcPr>
            <w:tcW w:w="177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themeColor="text1"/>
                <w:sz w:val="24"/>
                <w:highlight w:val="none"/>
                <w14:textFill>
                  <w14:solidFill>
                    <w14:schemeClr w14:val="tx1"/>
                  </w14:solidFill>
                </w14:textFill>
              </w:rPr>
            </w:pPr>
          </w:p>
        </w:tc>
        <w:tc>
          <w:tcPr>
            <w:tcW w:w="15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themeColor="text1"/>
                <w:sz w:val="24"/>
                <w:highlight w:val="none"/>
                <w14:textFill>
                  <w14:solidFill>
                    <w14:schemeClr w14:val="tx1"/>
                  </w14:solidFill>
                </w14:textFill>
              </w:rPr>
            </w:pPr>
          </w:p>
        </w:tc>
        <w:tc>
          <w:tcPr>
            <w:tcW w:w="15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themeColor="text1"/>
                <w:sz w:val="24"/>
                <w:highlight w:val="none"/>
                <w14:textFill>
                  <w14:solidFill>
                    <w14:schemeClr w14:val="tx1"/>
                  </w14:solidFill>
                </w14:textFill>
              </w:rPr>
            </w:pPr>
          </w:p>
        </w:tc>
        <w:tc>
          <w:tcPr>
            <w:tcW w:w="22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仿宋"/>
                <w:color w:val="000000" w:themeColor="text1"/>
                <w:sz w:val="24"/>
                <w:highlight w:val="none"/>
                <w14:textFill>
                  <w14:solidFill>
                    <w14:schemeClr w14:val="tx1"/>
                  </w14:solidFill>
                </w14:textFill>
              </w:rPr>
            </w:pPr>
          </w:p>
        </w:tc>
      </w:tr>
      <w:tr>
        <w:tblPrEx>
          <w:tblCellMar>
            <w:top w:w="0" w:type="dxa"/>
            <w:left w:w="0" w:type="dxa"/>
            <w:bottom w:w="0" w:type="dxa"/>
            <w:right w:w="0" w:type="dxa"/>
          </w:tblCellMar>
        </w:tblPrEx>
        <w:trPr>
          <w:trHeight w:val="567" w:hRule="atLeast"/>
          <w:jc w:val="center"/>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jc w:val="center"/>
              <w:rPr>
                <w:rFonts w:hint="eastAsia" w:ascii="仿宋" w:hAnsi="仿宋" w:eastAsia="仿宋" w:cs="仿宋"/>
                <w:color w:val="000000" w:themeColor="text1"/>
                <w:sz w:val="24"/>
                <w:highlight w:val="none"/>
                <w14:textFill>
                  <w14:solidFill>
                    <w14:schemeClr w14:val="tx1"/>
                  </w14:solidFill>
                </w14:textFill>
              </w:rPr>
            </w:pPr>
          </w:p>
        </w:tc>
        <w:tc>
          <w:tcPr>
            <w:tcW w:w="177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themeColor="text1"/>
                <w:sz w:val="24"/>
                <w:highlight w:val="none"/>
                <w14:textFill>
                  <w14:solidFill>
                    <w14:schemeClr w14:val="tx1"/>
                  </w14:solidFill>
                </w14:textFill>
              </w:rPr>
            </w:pPr>
          </w:p>
        </w:tc>
        <w:tc>
          <w:tcPr>
            <w:tcW w:w="15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themeColor="text1"/>
                <w:sz w:val="24"/>
                <w:highlight w:val="none"/>
                <w14:textFill>
                  <w14:solidFill>
                    <w14:schemeClr w14:val="tx1"/>
                  </w14:solidFill>
                </w14:textFill>
              </w:rPr>
            </w:pPr>
          </w:p>
        </w:tc>
        <w:tc>
          <w:tcPr>
            <w:tcW w:w="15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themeColor="text1"/>
                <w:sz w:val="24"/>
                <w:highlight w:val="none"/>
                <w14:textFill>
                  <w14:solidFill>
                    <w14:schemeClr w14:val="tx1"/>
                  </w14:solidFill>
                </w14:textFill>
              </w:rPr>
            </w:pPr>
          </w:p>
        </w:tc>
        <w:tc>
          <w:tcPr>
            <w:tcW w:w="22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仿宋"/>
                <w:color w:val="000000" w:themeColor="text1"/>
                <w:sz w:val="24"/>
                <w:highlight w:val="none"/>
                <w14:textFill>
                  <w14:solidFill>
                    <w14:schemeClr w14:val="tx1"/>
                  </w14:solidFill>
                </w14:textFill>
              </w:rPr>
            </w:pPr>
          </w:p>
        </w:tc>
      </w:tr>
      <w:tr>
        <w:tblPrEx>
          <w:tblCellMar>
            <w:top w:w="0" w:type="dxa"/>
            <w:left w:w="0" w:type="dxa"/>
            <w:bottom w:w="0" w:type="dxa"/>
            <w:right w:w="0" w:type="dxa"/>
          </w:tblCellMar>
        </w:tblPrEx>
        <w:trPr>
          <w:trHeight w:val="567" w:hRule="atLeast"/>
          <w:jc w:val="center"/>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jc w:val="center"/>
              <w:rPr>
                <w:rFonts w:hint="eastAsia" w:ascii="仿宋" w:hAnsi="仿宋" w:eastAsia="仿宋" w:cs="仿宋"/>
                <w:color w:val="000000" w:themeColor="text1"/>
                <w:sz w:val="24"/>
                <w:highlight w:val="none"/>
                <w14:textFill>
                  <w14:solidFill>
                    <w14:schemeClr w14:val="tx1"/>
                  </w14:solidFill>
                </w14:textFill>
              </w:rPr>
            </w:pPr>
          </w:p>
        </w:tc>
        <w:tc>
          <w:tcPr>
            <w:tcW w:w="177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themeColor="text1"/>
                <w:sz w:val="24"/>
                <w:highlight w:val="none"/>
                <w14:textFill>
                  <w14:solidFill>
                    <w14:schemeClr w14:val="tx1"/>
                  </w14:solidFill>
                </w14:textFill>
              </w:rPr>
            </w:pPr>
          </w:p>
        </w:tc>
        <w:tc>
          <w:tcPr>
            <w:tcW w:w="15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themeColor="text1"/>
                <w:sz w:val="24"/>
                <w:highlight w:val="none"/>
                <w14:textFill>
                  <w14:solidFill>
                    <w14:schemeClr w14:val="tx1"/>
                  </w14:solidFill>
                </w14:textFill>
              </w:rPr>
            </w:pPr>
          </w:p>
        </w:tc>
        <w:tc>
          <w:tcPr>
            <w:tcW w:w="15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themeColor="text1"/>
                <w:sz w:val="24"/>
                <w:highlight w:val="none"/>
                <w14:textFill>
                  <w14:solidFill>
                    <w14:schemeClr w14:val="tx1"/>
                  </w14:solidFill>
                </w14:textFill>
              </w:rPr>
            </w:pPr>
          </w:p>
        </w:tc>
        <w:tc>
          <w:tcPr>
            <w:tcW w:w="22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仿宋"/>
                <w:color w:val="000000" w:themeColor="text1"/>
                <w:sz w:val="24"/>
                <w:highlight w:val="none"/>
                <w14:textFill>
                  <w14:solidFill>
                    <w14:schemeClr w14:val="tx1"/>
                  </w14:solidFill>
                </w14:textFill>
              </w:rPr>
            </w:pPr>
          </w:p>
        </w:tc>
      </w:tr>
      <w:tr>
        <w:tblPrEx>
          <w:tblCellMar>
            <w:top w:w="0" w:type="dxa"/>
            <w:left w:w="0" w:type="dxa"/>
            <w:bottom w:w="0" w:type="dxa"/>
            <w:right w:w="0" w:type="dxa"/>
          </w:tblCellMar>
        </w:tblPrEx>
        <w:trPr>
          <w:trHeight w:val="567" w:hRule="atLeast"/>
          <w:jc w:val="center"/>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jc w:val="center"/>
              <w:rPr>
                <w:rFonts w:hint="eastAsia" w:ascii="仿宋" w:hAnsi="仿宋" w:eastAsia="仿宋" w:cs="仿宋"/>
                <w:color w:val="000000" w:themeColor="text1"/>
                <w:sz w:val="24"/>
                <w:highlight w:val="none"/>
                <w14:textFill>
                  <w14:solidFill>
                    <w14:schemeClr w14:val="tx1"/>
                  </w14:solidFill>
                </w14:textFill>
              </w:rPr>
            </w:pPr>
          </w:p>
        </w:tc>
        <w:tc>
          <w:tcPr>
            <w:tcW w:w="177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themeColor="text1"/>
                <w:sz w:val="24"/>
                <w:highlight w:val="none"/>
                <w14:textFill>
                  <w14:solidFill>
                    <w14:schemeClr w14:val="tx1"/>
                  </w14:solidFill>
                </w14:textFill>
              </w:rPr>
            </w:pPr>
          </w:p>
        </w:tc>
        <w:tc>
          <w:tcPr>
            <w:tcW w:w="15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themeColor="text1"/>
                <w:sz w:val="24"/>
                <w:highlight w:val="none"/>
                <w14:textFill>
                  <w14:solidFill>
                    <w14:schemeClr w14:val="tx1"/>
                  </w14:solidFill>
                </w14:textFill>
              </w:rPr>
            </w:pPr>
          </w:p>
        </w:tc>
        <w:tc>
          <w:tcPr>
            <w:tcW w:w="15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themeColor="text1"/>
                <w:sz w:val="24"/>
                <w:highlight w:val="none"/>
                <w14:textFill>
                  <w14:solidFill>
                    <w14:schemeClr w14:val="tx1"/>
                  </w14:solidFill>
                </w14:textFill>
              </w:rPr>
            </w:pPr>
          </w:p>
        </w:tc>
        <w:tc>
          <w:tcPr>
            <w:tcW w:w="22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仿宋"/>
                <w:color w:val="000000" w:themeColor="text1"/>
                <w:sz w:val="24"/>
                <w:highlight w:val="none"/>
                <w14:textFill>
                  <w14:solidFill>
                    <w14:schemeClr w14:val="tx1"/>
                  </w14:solidFill>
                </w14:textFill>
              </w:rPr>
            </w:pPr>
          </w:p>
        </w:tc>
      </w:tr>
      <w:tr>
        <w:tblPrEx>
          <w:tblCellMar>
            <w:top w:w="0" w:type="dxa"/>
            <w:left w:w="0" w:type="dxa"/>
            <w:bottom w:w="0" w:type="dxa"/>
            <w:right w:w="0" w:type="dxa"/>
          </w:tblCellMar>
        </w:tblPrEx>
        <w:trPr>
          <w:trHeight w:val="1403" w:hRule="atLeast"/>
          <w:jc w:val="center"/>
        </w:trPr>
        <w:tc>
          <w:tcPr>
            <w:tcW w:w="1266" w:type="dxa"/>
            <w:tcBorders>
              <w:top w:val="single" w:color="000000" w:sz="4" w:space="0"/>
              <w:left w:val="single" w:color="000000" w:sz="4" w:space="0"/>
              <w:bottom w:val="single" w:color="000000" w:sz="4" w:space="0"/>
              <w:right w:val="single" w:color="000000" w:sz="4" w:space="0"/>
            </w:tcBorders>
            <w:shd w:val="clear" w:color="auto" w:fill="F2F2F2"/>
            <w:noWrap/>
            <w:tcMar>
              <w:top w:w="15" w:type="dxa"/>
              <w:left w:w="15" w:type="dxa"/>
              <w:right w:w="15" w:type="dxa"/>
            </w:tcMar>
            <w:vAlign w:val="center"/>
          </w:tcPr>
          <w:p>
            <w:pPr>
              <w:widowControl/>
              <w:jc w:val="center"/>
              <w:textAlignment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bidi="ar"/>
                <w14:textFill>
                  <w14:solidFill>
                    <w14:schemeClr w14:val="tx1"/>
                  </w14:solidFill>
                </w14:textFill>
              </w:rPr>
              <w:t>投资风格</w:t>
            </w:r>
          </w:p>
        </w:tc>
        <w:tc>
          <w:tcPr>
            <w:tcW w:w="7070"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仿宋"/>
                <w:color w:val="000000" w:themeColor="text1"/>
                <w:sz w:val="24"/>
                <w:highlight w:val="none"/>
                <w14:textFill>
                  <w14:solidFill>
                    <w14:schemeClr w14:val="tx1"/>
                  </w14:solidFill>
                </w14:textFill>
              </w:rPr>
            </w:pPr>
          </w:p>
        </w:tc>
      </w:tr>
      <w:tr>
        <w:tblPrEx>
          <w:tblCellMar>
            <w:top w:w="0" w:type="dxa"/>
            <w:left w:w="0" w:type="dxa"/>
            <w:bottom w:w="0" w:type="dxa"/>
            <w:right w:w="0" w:type="dxa"/>
          </w:tblCellMar>
        </w:tblPrEx>
        <w:trPr>
          <w:trHeight w:val="1403" w:hRule="atLeast"/>
          <w:jc w:val="center"/>
        </w:trPr>
        <w:tc>
          <w:tcPr>
            <w:tcW w:w="1266" w:type="dxa"/>
            <w:tcBorders>
              <w:top w:val="single" w:color="000000" w:sz="4" w:space="0"/>
              <w:left w:val="single" w:color="000000" w:sz="4" w:space="0"/>
              <w:bottom w:val="single" w:color="000000" w:sz="4" w:space="0"/>
              <w:right w:val="single" w:color="000000" w:sz="4" w:space="0"/>
            </w:tcBorders>
            <w:shd w:val="clear" w:color="auto" w:fill="F2F2F2"/>
            <w:noWrap/>
            <w:tcMar>
              <w:top w:w="15" w:type="dxa"/>
              <w:left w:w="15" w:type="dxa"/>
              <w:right w:w="15" w:type="dxa"/>
            </w:tcMar>
            <w:vAlign w:val="center"/>
          </w:tcPr>
          <w:p>
            <w:pPr>
              <w:widowControl/>
              <w:jc w:val="center"/>
              <w:textAlignment w:val="center"/>
              <w:rPr>
                <w:rFonts w:hint="eastAsia" w:ascii="仿宋" w:hAnsi="仿宋" w:eastAsia="仿宋" w:cs="仿宋"/>
                <w:color w:val="000000" w:themeColor="text1"/>
                <w:kern w:val="0"/>
                <w:sz w:val="24"/>
                <w:highlight w:val="none"/>
                <w:lang w:bidi="ar"/>
                <w14:textFill>
                  <w14:solidFill>
                    <w14:schemeClr w14:val="tx1"/>
                  </w14:solidFill>
                </w14:textFill>
              </w:rPr>
            </w:pPr>
            <w:r>
              <w:rPr>
                <w:rFonts w:hint="eastAsia" w:ascii="仿宋" w:hAnsi="仿宋" w:eastAsia="仿宋" w:cs="仿宋"/>
                <w:color w:val="000000" w:themeColor="text1"/>
                <w:kern w:val="0"/>
                <w:sz w:val="24"/>
                <w:highlight w:val="none"/>
                <w:lang w:bidi="ar"/>
                <w14:textFill>
                  <w14:solidFill>
                    <w14:schemeClr w14:val="tx1"/>
                  </w14:solidFill>
                </w14:textFill>
              </w:rPr>
              <w:t>类属资产</w:t>
            </w:r>
            <w:r>
              <w:rPr>
                <w:rFonts w:hint="eastAsia" w:ascii="仿宋" w:hAnsi="仿宋" w:eastAsia="仿宋" w:cs="仿宋"/>
                <w:color w:val="000000" w:themeColor="text1"/>
                <w:kern w:val="0"/>
                <w:sz w:val="24"/>
                <w:highlight w:val="none"/>
                <w:lang w:bidi="ar"/>
                <w14:textFill>
                  <w14:solidFill>
                    <w14:schemeClr w14:val="tx1"/>
                  </w14:solidFill>
                </w14:textFill>
              </w:rPr>
              <w:br w:type="textWrapping"/>
            </w:r>
            <w:r>
              <w:rPr>
                <w:rFonts w:hint="eastAsia" w:ascii="仿宋" w:hAnsi="仿宋" w:eastAsia="仿宋" w:cs="仿宋"/>
                <w:color w:val="000000" w:themeColor="text1"/>
                <w:kern w:val="0"/>
                <w:sz w:val="24"/>
                <w:highlight w:val="none"/>
                <w:lang w:bidi="ar"/>
                <w14:textFill>
                  <w14:solidFill>
                    <w14:schemeClr w14:val="tx1"/>
                  </w14:solidFill>
                </w14:textFill>
              </w:rPr>
              <w:t>收益率</w:t>
            </w:r>
          </w:p>
        </w:tc>
        <w:tc>
          <w:tcPr>
            <w:tcW w:w="7070"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仿宋"/>
                <w:color w:val="000000" w:themeColor="text1"/>
                <w:sz w:val="24"/>
                <w:highlight w:val="none"/>
                <w14:textFill>
                  <w14:solidFill>
                    <w14:schemeClr w14:val="tx1"/>
                  </w14:solidFill>
                </w14:textFill>
              </w:rPr>
            </w:pPr>
          </w:p>
        </w:tc>
      </w:tr>
      <w:tr>
        <w:tblPrEx>
          <w:tblCellMar>
            <w:top w:w="0" w:type="dxa"/>
            <w:left w:w="0" w:type="dxa"/>
            <w:bottom w:w="0" w:type="dxa"/>
            <w:right w:w="0" w:type="dxa"/>
          </w:tblCellMar>
        </w:tblPrEx>
        <w:trPr>
          <w:trHeight w:val="1403" w:hRule="atLeast"/>
          <w:jc w:val="center"/>
        </w:trPr>
        <w:tc>
          <w:tcPr>
            <w:tcW w:w="1266" w:type="dxa"/>
            <w:tcBorders>
              <w:top w:val="single" w:color="000000" w:sz="4" w:space="0"/>
              <w:left w:val="single" w:color="000000" w:sz="4" w:space="0"/>
              <w:bottom w:val="single" w:color="000000" w:sz="4" w:space="0"/>
              <w:right w:val="single" w:color="000000" w:sz="4" w:space="0"/>
            </w:tcBorders>
            <w:shd w:val="clear" w:color="auto" w:fill="F2F2F2"/>
            <w:noWrap/>
            <w:tcMar>
              <w:top w:w="15" w:type="dxa"/>
              <w:left w:w="15" w:type="dxa"/>
              <w:right w:w="15" w:type="dxa"/>
            </w:tcMar>
            <w:vAlign w:val="center"/>
          </w:tcPr>
          <w:p>
            <w:pPr>
              <w:widowControl/>
              <w:jc w:val="center"/>
              <w:textAlignment w:val="center"/>
              <w:rPr>
                <w:rFonts w:hint="eastAsia" w:ascii="仿宋" w:hAnsi="仿宋" w:eastAsia="仿宋" w:cs="仿宋"/>
                <w:color w:val="000000" w:themeColor="text1"/>
                <w:kern w:val="0"/>
                <w:sz w:val="24"/>
                <w:highlight w:val="none"/>
                <w:lang w:bidi="ar"/>
                <w14:textFill>
                  <w14:solidFill>
                    <w14:schemeClr w14:val="tx1"/>
                  </w14:solidFill>
                </w14:textFill>
              </w:rPr>
            </w:pPr>
            <w:r>
              <w:rPr>
                <w:rFonts w:hint="eastAsia" w:ascii="仿宋" w:hAnsi="仿宋" w:eastAsia="仿宋" w:cs="仿宋"/>
                <w:color w:val="000000" w:themeColor="text1"/>
                <w:kern w:val="0"/>
                <w:sz w:val="24"/>
                <w:highlight w:val="none"/>
                <w:lang w:bidi="ar"/>
                <w14:textFill>
                  <w14:solidFill>
                    <w14:schemeClr w14:val="tx1"/>
                  </w14:solidFill>
                </w14:textFill>
              </w:rPr>
              <w:t>代表性组合</w:t>
            </w:r>
          </w:p>
        </w:tc>
        <w:tc>
          <w:tcPr>
            <w:tcW w:w="7070"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仿宋"/>
                <w:color w:val="000000" w:themeColor="text1"/>
                <w:sz w:val="24"/>
                <w:highlight w:val="none"/>
                <w14:textFill>
                  <w14:solidFill>
                    <w14:schemeClr w14:val="tx1"/>
                  </w14:solidFill>
                </w14:textFill>
              </w:rPr>
            </w:pPr>
          </w:p>
        </w:tc>
      </w:tr>
    </w:tbl>
    <w:p>
      <w:pPr>
        <w:ind w:left="11" w:firstLine="420" w:firstLineChars="200"/>
        <w:rPr>
          <w:rFonts w:hint="eastAsia" w:ascii="宋体" w:hAnsi="宋体" w:cs="宋体"/>
          <w:color w:val="000000" w:themeColor="text1"/>
          <w:szCs w:val="21"/>
          <w:highlight w:val="none"/>
          <w14:textFill>
            <w14:solidFill>
              <w14:schemeClr w14:val="tx1"/>
            </w14:solidFill>
          </w14:textFill>
        </w:rPr>
      </w:pPr>
    </w:p>
    <w:p>
      <w:pPr>
        <w:ind w:left="11" w:firstLine="630" w:firstLineChars="300"/>
        <w:rPr>
          <w:rFonts w:hint="eastAsia" w:ascii="宋体" w:hAnsi="宋体" w:cs="宋体"/>
          <w:color w:val="000000" w:themeColor="text1"/>
          <w:szCs w:val="21"/>
          <w:highlight w:val="none"/>
          <w14:textFill>
            <w14:solidFill>
              <w14:schemeClr w14:val="tx1"/>
            </w14:solidFill>
          </w14:textFill>
        </w:rPr>
      </w:pPr>
    </w:p>
    <w:p>
      <w:pPr>
        <w:adjustRightInd w:val="0"/>
        <w:snapToGrid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注：本合同样本仅供参考，具体条款内容采购人和中标人按前海管理局合同样本签订。实际合同样本不改变本招标文件的实质条件</w:t>
      </w:r>
      <w:r>
        <w:rPr>
          <w:rFonts w:hint="eastAsia" w:ascii="宋体" w:hAnsi="宋体" w:cs="宋体"/>
          <w:b/>
          <w:bCs/>
          <w:color w:val="000000" w:themeColor="text1"/>
          <w:sz w:val="24"/>
          <w:highlight w:val="none"/>
          <w14:textFill>
            <w14:solidFill>
              <w14:schemeClr w14:val="tx1"/>
            </w14:solidFill>
          </w14:textFill>
        </w:rPr>
        <w:t>。</w:t>
      </w:r>
    </w:p>
    <w:p>
      <w:pPr>
        <w:adjustRightInd w:val="0"/>
        <w:snapToGrid w:val="0"/>
        <w:spacing w:line="360" w:lineRule="auto"/>
        <w:ind w:firstLine="720" w:firstLineChars="300"/>
        <w:rPr>
          <w:rFonts w:hint="eastAsia" w:ascii="宋体" w:hAnsi="宋体" w:cs="宋体"/>
          <w:color w:val="000000" w:themeColor="text1"/>
          <w:sz w:val="24"/>
          <w:highlight w:val="none"/>
          <w14:textFill>
            <w14:solidFill>
              <w14:schemeClr w14:val="tx1"/>
            </w14:solidFill>
          </w14:textFill>
        </w:rPr>
      </w:pPr>
    </w:p>
    <w:p>
      <w:pPr>
        <w:snapToGrid w:val="0"/>
        <w:spacing w:line="360" w:lineRule="auto"/>
        <w:rPr>
          <w:rFonts w:hint="eastAsia" w:ascii="宋体" w:hAnsi="宋体" w:cs="宋体"/>
          <w:color w:val="000000" w:themeColor="text1"/>
          <w:sz w:val="24"/>
          <w:highlight w:val="none"/>
          <w14:textFill>
            <w14:solidFill>
              <w14:schemeClr w14:val="tx1"/>
            </w14:solidFill>
          </w14:textFill>
        </w:rPr>
      </w:pPr>
    </w:p>
    <w:p>
      <w:pPr>
        <w:pStyle w:val="9"/>
        <w:rPr>
          <w:rFonts w:hint="eastAsia" w:ascii="宋体" w:hAnsi="宋体" w:cs="宋体"/>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numPr>
          <w:ilvl w:val="0"/>
          <w:numId w:val="1"/>
        </w:numPr>
        <w:spacing w:line="360" w:lineRule="auto"/>
        <w:jc w:val="center"/>
        <w:outlineLvl w:val="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br w:type="page"/>
      </w:r>
      <w:r>
        <w:rPr>
          <w:rFonts w:hint="eastAsia" w:ascii="宋体" w:hAnsi="宋体" w:cs="宋体"/>
          <w:b/>
          <w:bCs/>
          <w:color w:val="000000" w:themeColor="text1"/>
          <w:sz w:val="24"/>
          <w:highlight w:val="none"/>
          <w14:textFill>
            <w14:solidFill>
              <w14:schemeClr w14:val="tx1"/>
            </w14:solidFill>
          </w14:textFill>
        </w:rPr>
        <w:t xml:space="preserve"> </w:t>
      </w:r>
      <w:bookmarkStart w:id="128" w:name="_Toc25518"/>
      <w:r>
        <w:rPr>
          <w:rFonts w:hint="eastAsia" w:ascii="宋体" w:hAnsi="宋体" w:cs="宋体"/>
          <w:b/>
          <w:bCs/>
          <w:color w:val="000000" w:themeColor="text1"/>
          <w:sz w:val="24"/>
          <w:highlight w:val="none"/>
          <w14:textFill>
            <w14:solidFill>
              <w14:schemeClr w14:val="tx1"/>
            </w14:solidFill>
          </w14:textFill>
        </w:rPr>
        <w:t>用户需求书</w:t>
      </w:r>
      <w:bookmarkEnd w:id="128"/>
    </w:p>
    <w:p>
      <w:pPr>
        <w:pStyle w:val="28"/>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highlight w:val="none"/>
          <w14:textFill>
            <w14:solidFill>
              <w14:schemeClr w14:val="tx1"/>
            </w14:solidFill>
          </w14:textFill>
        </w:rPr>
      </w:pPr>
      <w:bookmarkStart w:id="129" w:name="_Toc23726"/>
      <w:bookmarkStart w:id="130" w:name="_Toc11045"/>
      <w:r>
        <w:rPr>
          <w:rFonts w:hint="eastAsia" w:ascii="宋体" w:hAnsi="宋体" w:cs="宋体"/>
          <w:b/>
          <w:color w:val="000000" w:themeColor="text1"/>
          <w:sz w:val="24"/>
          <w:highlight w:val="none"/>
          <w14:textFill>
            <w14:solidFill>
              <w14:schemeClr w14:val="tx1"/>
            </w14:solidFill>
          </w14:textFill>
        </w:rPr>
        <w:t>说明：本章“用户需求书”的全部内容为本项目正常开展的基本要求，投标人必须完全响应，否则将导致投标无效。</w:t>
      </w:r>
    </w:p>
    <w:bookmarkEnd w:id="129"/>
    <w:bookmarkEnd w:id="130"/>
    <w:p>
      <w:pPr>
        <w:pStyle w:val="28"/>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一、</w:t>
      </w:r>
      <w:bookmarkStart w:id="131" w:name="_Toc51746099"/>
      <w:r>
        <w:rPr>
          <w:rFonts w:hint="eastAsia" w:ascii="宋体" w:hAnsi="宋体" w:cs="宋体"/>
          <w:b/>
          <w:color w:val="000000" w:themeColor="text1"/>
          <w:sz w:val="24"/>
          <w:highlight w:val="none"/>
          <w:lang w:val="zh-CN"/>
          <w14:textFill>
            <w14:solidFill>
              <w14:schemeClr w14:val="tx1"/>
            </w14:solidFill>
          </w14:textFill>
        </w:rPr>
        <w:t>项目概况</w:t>
      </w:r>
    </w:p>
    <w:bookmarkEnd w:id="131"/>
    <w:p>
      <w:pPr>
        <w:pStyle w:val="28"/>
        <w:tabs>
          <w:tab w:val="left" w:pos="720"/>
        </w:tabs>
        <w:autoSpaceDE w:val="0"/>
        <w:autoSpaceDN w:val="0"/>
        <w:adjustRightInd w:val="0"/>
        <w:spacing w:line="360" w:lineRule="auto"/>
        <w:ind w:right="17" w:firstLine="480"/>
        <w:jc w:val="left"/>
        <w:outlineLvl w:val="1"/>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深圳市前海深港现代服务业合作区管理局（以下简称“采购人”）成立于2010年2月，是实行企业化管理、市场化运作的事业单位法人，主要负责前海合作区的开发建设、运营管理、招商引资、制度创新、综合协调等工作。采购人是内地首个以法定机构模式主导区域开发治理的公共组织，兼具政府管理权威性与灵活高效的运作机制，依法行使前海深港合作区内的行政管理职能。经过几年发展，前海蛇口自贸片区围绕打造我国自贸区建设新标杆的目标定位，以制度创新为核心，在构建开放型经济新体制、探索粤港澳经济合作新模式、建设法治化营商环境等方面率先挖掘改革潜力、破解改革难题，着眼于打造可复制、可推广的制度成果，已初步形成了覆盖投资、贸易、金融、事中事后监管、法治建设、体制机制等领域的高质量制度创新体系，构建了“点线面”结合的制度创新路径，示范辐射带动效能突出。采购人下辖4家直属企业，分别是前海建投集团、前海金控公司、前海服务集团和前海科控公司，作为企业化运作的平台和抓手。深圳市前海深港现代服务业合作区管理局的企业年金方案已经过人力资源社会保障行政部门备案。为保障企业年金基金财产的独立性，争取实现企业年金基金保值增值，提高受益人退休后的收入水平，从而设立并招选计划受托人，深圳市前海深港现代服务业合作区管理局将委托年金受托人对企业年金基金财产进行受托管理。双方签订的受托管理合同以及受托人与其他管理人分别签订的委托管理合同，经人力资源社会保障行政部门备案后，受托成立。截至目前，采购人企业年金基金现有个人账户316人，账户总金额约1.31亿元，企业年金基金每年增量约1800万元。</w:t>
      </w:r>
    </w:p>
    <w:p>
      <w:pPr>
        <w:pStyle w:val="28"/>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highlight w:val="none"/>
          <w:lang w:val="zh-CN"/>
          <w14:textFill>
            <w14:solidFill>
              <w14:schemeClr w14:val="tx1"/>
            </w14:solidFill>
          </w14:textFill>
        </w:rPr>
      </w:pPr>
      <w:r>
        <w:rPr>
          <w:rFonts w:hint="eastAsia" w:ascii="宋体" w:hAnsi="宋体" w:cs="宋体"/>
          <w:b/>
          <w:color w:val="000000" w:themeColor="text1"/>
          <w:sz w:val="24"/>
          <w:highlight w:val="none"/>
          <w:lang w:val="zh-CN"/>
          <w14:textFill>
            <w14:solidFill>
              <w14:schemeClr w14:val="tx1"/>
            </w14:solidFill>
          </w14:textFill>
        </w:rPr>
        <w:t>二、技术要求</w:t>
      </w:r>
    </w:p>
    <w:p>
      <w:pPr>
        <w:pStyle w:val="28"/>
        <w:tabs>
          <w:tab w:val="left" w:pos="720"/>
        </w:tabs>
        <w:autoSpaceDE w:val="0"/>
        <w:autoSpaceDN w:val="0"/>
        <w:adjustRightInd w:val="0"/>
        <w:spacing w:line="360" w:lineRule="auto"/>
        <w:ind w:right="17" w:firstLine="480"/>
        <w:jc w:val="left"/>
        <w:outlineLvl w:val="1"/>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次招标遴选的年金计划受托人，是指受托管理企业年金基金的符合国家规定的养老金管理公司等法人受托机构（以下简称法人受托机构）。供应商需根据招标项目需求，制定采购人企业年金服务项目方案（按照采购人企业年金管理人数316人、年金基金总额度1.31亿元制定方案和报价单价）。</w:t>
      </w:r>
    </w:p>
    <w:p>
      <w:pPr>
        <w:pStyle w:val="28"/>
        <w:tabs>
          <w:tab w:val="left" w:pos="720"/>
        </w:tabs>
        <w:autoSpaceDE w:val="0"/>
        <w:autoSpaceDN w:val="0"/>
        <w:adjustRightInd w:val="0"/>
        <w:spacing w:line="360" w:lineRule="auto"/>
        <w:ind w:right="17" w:firstLine="480"/>
        <w:jc w:val="left"/>
        <w:outlineLvl w:val="1"/>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（一）管理人推荐：</w:t>
      </w:r>
    </w:p>
    <w:p>
      <w:pPr>
        <w:pStyle w:val="28"/>
        <w:tabs>
          <w:tab w:val="left" w:pos="720"/>
        </w:tabs>
        <w:autoSpaceDE w:val="0"/>
        <w:autoSpaceDN w:val="0"/>
        <w:adjustRightInd w:val="0"/>
        <w:spacing w:line="360" w:lineRule="auto"/>
        <w:ind w:right="17" w:firstLine="480"/>
        <w:jc w:val="left"/>
        <w:outlineLvl w:val="1"/>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供应商在服务方案中推荐1个账户管理人、1个托管人、4个投资管理人，其中投资管理人分别为2个固定收益类组合投资管理人和2个含权益类组合投资管理人。</w:t>
      </w:r>
    </w:p>
    <w:p>
      <w:pPr>
        <w:pStyle w:val="28"/>
        <w:tabs>
          <w:tab w:val="left" w:pos="720"/>
        </w:tabs>
        <w:autoSpaceDE w:val="0"/>
        <w:autoSpaceDN w:val="0"/>
        <w:adjustRightInd w:val="0"/>
        <w:spacing w:line="360" w:lineRule="auto"/>
        <w:ind w:right="17" w:firstLine="480"/>
        <w:jc w:val="left"/>
        <w:outlineLvl w:val="1"/>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（二）根据《企业年金基金管理办法》，法人受托机构应当具备下列条件：</w:t>
      </w:r>
    </w:p>
    <w:p>
      <w:pPr>
        <w:pStyle w:val="28"/>
        <w:tabs>
          <w:tab w:val="left" w:pos="720"/>
        </w:tabs>
        <w:autoSpaceDE w:val="0"/>
        <w:autoSpaceDN w:val="0"/>
        <w:adjustRightInd w:val="0"/>
        <w:spacing w:line="360" w:lineRule="auto"/>
        <w:ind w:right="17" w:firstLine="480"/>
        <w:jc w:val="left"/>
        <w:outlineLvl w:val="1"/>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1.经国家金融监管部门批准，在中国境内注册的独立法人；</w:t>
      </w:r>
    </w:p>
    <w:p>
      <w:pPr>
        <w:pStyle w:val="28"/>
        <w:tabs>
          <w:tab w:val="left" w:pos="720"/>
        </w:tabs>
        <w:autoSpaceDE w:val="0"/>
        <w:autoSpaceDN w:val="0"/>
        <w:adjustRightInd w:val="0"/>
        <w:spacing w:line="360" w:lineRule="auto"/>
        <w:ind w:right="17" w:firstLine="480"/>
        <w:jc w:val="left"/>
        <w:outlineLvl w:val="1"/>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.具有完善的法人治理结构；</w:t>
      </w:r>
    </w:p>
    <w:p>
      <w:pPr>
        <w:pStyle w:val="28"/>
        <w:tabs>
          <w:tab w:val="left" w:pos="720"/>
        </w:tabs>
        <w:autoSpaceDE w:val="0"/>
        <w:autoSpaceDN w:val="0"/>
        <w:adjustRightInd w:val="0"/>
        <w:spacing w:line="360" w:lineRule="auto"/>
        <w:ind w:right="17" w:firstLine="480"/>
        <w:jc w:val="left"/>
        <w:outlineLvl w:val="1"/>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.取得企业年金基金从业资格的专职人员达到规定人数；</w:t>
      </w:r>
    </w:p>
    <w:p>
      <w:pPr>
        <w:pStyle w:val="28"/>
        <w:tabs>
          <w:tab w:val="left" w:pos="720"/>
        </w:tabs>
        <w:autoSpaceDE w:val="0"/>
        <w:autoSpaceDN w:val="0"/>
        <w:adjustRightInd w:val="0"/>
        <w:spacing w:line="360" w:lineRule="auto"/>
        <w:ind w:right="17" w:firstLine="480"/>
        <w:jc w:val="left"/>
        <w:outlineLvl w:val="1"/>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.具有符合要求的营业场所、安全防范设施和与企业年金基金受托管理业务有关的其他设施；</w:t>
      </w:r>
    </w:p>
    <w:p>
      <w:pPr>
        <w:pStyle w:val="28"/>
        <w:tabs>
          <w:tab w:val="left" w:pos="720"/>
        </w:tabs>
        <w:autoSpaceDE w:val="0"/>
        <w:autoSpaceDN w:val="0"/>
        <w:adjustRightInd w:val="0"/>
        <w:spacing w:line="360" w:lineRule="auto"/>
        <w:ind w:right="17" w:firstLine="480"/>
        <w:jc w:val="left"/>
        <w:outlineLvl w:val="1"/>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.具有完善的内部稽核监控制度和风险控制制度；</w:t>
      </w:r>
    </w:p>
    <w:p>
      <w:pPr>
        <w:pStyle w:val="28"/>
        <w:tabs>
          <w:tab w:val="left" w:pos="720"/>
        </w:tabs>
        <w:autoSpaceDE w:val="0"/>
        <w:autoSpaceDN w:val="0"/>
        <w:adjustRightInd w:val="0"/>
        <w:spacing w:line="360" w:lineRule="auto"/>
        <w:ind w:right="17" w:firstLine="480"/>
        <w:jc w:val="left"/>
        <w:outlineLvl w:val="1"/>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.近3年没有重大违法违规行为；</w:t>
      </w:r>
    </w:p>
    <w:p>
      <w:pPr>
        <w:pStyle w:val="28"/>
        <w:tabs>
          <w:tab w:val="left" w:pos="720"/>
        </w:tabs>
        <w:autoSpaceDE w:val="0"/>
        <w:autoSpaceDN w:val="0"/>
        <w:adjustRightInd w:val="0"/>
        <w:spacing w:line="360" w:lineRule="auto"/>
        <w:ind w:right="17" w:firstLine="480"/>
        <w:jc w:val="left"/>
        <w:outlineLvl w:val="1"/>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.国家规定的其他条件。</w:t>
      </w:r>
    </w:p>
    <w:p>
      <w:pPr>
        <w:pStyle w:val="28"/>
        <w:tabs>
          <w:tab w:val="left" w:pos="720"/>
        </w:tabs>
        <w:autoSpaceDE w:val="0"/>
        <w:autoSpaceDN w:val="0"/>
        <w:adjustRightInd w:val="0"/>
        <w:spacing w:line="360" w:lineRule="auto"/>
        <w:ind w:right="17" w:firstLine="480"/>
        <w:jc w:val="left"/>
        <w:outlineLvl w:val="1"/>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（三）受托人应当履行下列职责：</w:t>
      </w:r>
    </w:p>
    <w:p>
      <w:pPr>
        <w:pStyle w:val="28"/>
        <w:tabs>
          <w:tab w:val="left" w:pos="720"/>
        </w:tabs>
        <w:autoSpaceDE w:val="0"/>
        <w:autoSpaceDN w:val="0"/>
        <w:adjustRightInd w:val="0"/>
        <w:spacing w:line="360" w:lineRule="auto"/>
        <w:ind w:right="17" w:firstLine="480"/>
        <w:jc w:val="left"/>
        <w:outlineLvl w:val="1"/>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1.选择、监督、更换账户管理人、托管人、投资管理人；</w:t>
      </w:r>
    </w:p>
    <w:p>
      <w:pPr>
        <w:pStyle w:val="28"/>
        <w:tabs>
          <w:tab w:val="left" w:pos="720"/>
        </w:tabs>
        <w:autoSpaceDE w:val="0"/>
        <w:autoSpaceDN w:val="0"/>
        <w:adjustRightInd w:val="0"/>
        <w:spacing w:line="360" w:lineRule="auto"/>
        <w:ind w:right="17" w:firstLine="480"/>
        <w:jc w:val="left"/>
        <w:outlineLvl w:val="1"/>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2.制定企业年金基金战略资产配置策略；</w:t>
      </w:r>
    </w:p>
    <w:p>
      <w:pPr>
        <w:pStyle w:val="28"/>
        <w:tabs>
          <w:tab w:val="left" w:pos="720"/>
        </w:tabs>
        <w:autoSpaceDE w:val="0"/>
        <w:autoSpaceDN w:val="0"/>
        <w:adjustRightInd w:val="0"/>
        <w:spacing w:line="360" w:lineRule="auto"/>
        <w:ind w:right="17" w:firstLine="480"/>
        <w:jc w:val="left"/>
        <w:outlineLvl w:val="1"/>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3.根据合同对企业年金基金管理进行监督；</w:t>
      </w:r>
    </w:p>
    <w:p>
      <w:pPr>
        <w:pStyle w:val="28"/>
        <w:tabs>
          <w:tab w:val="left" w:pos="720"/>
        </w:tabs>
        <w:autoSpaceDE w:val="0"/>
        <w:autoSpaceDN w:val="0"/>
        <w:adjustRightInd w:val="0"/>
        <w:spacing w:line="360" w:lineRule="auto"/>
        <w:ind w:right="17" w:firstLine="480"/>
        <w:jc w:val="left"/>
        <w:outlineLvl w:val="1"/>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4.根据合同收取企业和职工缴费，向受益人支付企业年金待遇，并在合同中约定具体的履行方式，受益人是指参加企业年金计划并享有受益权的企业职工；</w:t>
      </w:r>
    </w:p>
    <w:p>
      <w:pPr>
        <w:pStyle w:val="28"/>
        <w:tabs>
          <w:tab w:val="left" w:pos="720"/>
        </w:tabs>
        <w:autoSpaceDE w:val="0"/>
        <w:autoSpaceDN w:val="0"/>
        <w:adjustRightInd w:val="0"/>
        <w:spacing w:line="360" w:lineRule="auto"/>
        <w:ind w:right="17" w:firstLine="480"/>
        <w:jc w:val="left"/>
        <w:outlineLvl w:val="1"/>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5.接受委托人查询，定期向委托人提交企业年金基金管理和财务会计报告。发生重大事件时，及时向委托人和有关监管部门报告；定期向有关监管部门提交开展企业年金基金受托管理业务情况的报告；</w:t>
      </w:r>
    </w:p>
    <w:p>
      <w:pPr>
        <w:pStyle w:val="28"/>
        <w:tabs>
          <w:tab w:val="left" w:pos="720"/>
        </w:tabs>
        <w:autoSpaceDE w:val="0"/>
        <w:autoSpaceDN w:val="0"/>
        <w:adjustRightInd w:val="0"/>
        <w:spacing w:line="360" w:lineRule="auto"/>
        <w:ind w:right="17" w:firstLine="480"/>
        <w:jc w:val="left"/>
        <w:outlineLvl w:val="1"/>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6.按照国家规定保存与企业年金基金管理有关的记录自合同终止之日起至少15年；</w:t>
      </w:r>
    </w:p>
    <w:p>
      <w:pPr>
        <w:pStyle w:val="28"/>
        <w:tabs>
          <w:tab w:val="left" w:pos="720"/>
        </w:tabs>
        <w:autoSpaceDE w:val="0"/>
        <w:autoSpaceDN w:val="0"/>
        <w:adjustRightInd w:val="0"/>
        <w:spacing w:line="360" w:lineRule="auto"/>
        <w:ind w:right="17" w:firstLine="480"/>
        <w:jc w:val="left"/>
        <w:outlineLvl w:val="1"/>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7.国家规定和合同约定的其他职责。</w:t>
      </w:r>
    </w:p>
    <w:p>
      <w:pPr>
        <w:pStyle w:val="28"/>
        <w:tabs>
          <w:tab w:val="left" w:pos="720"/>
        </w:tabs>
        <w:autoSpaceDE w:val="0"/>
        <w:autoSpaceDN w:val="0"/>
        <w:adjustRightInd w:val="0"/>
        <w:spacing w:line="360" w:lineRule="auto"/>
        <w:ind w:right="17" w:firstLine="480"/>
        <w:jc w:val="left"/>
        <w:outlineLvl w:val="1"/>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（四）有下列情形之一的，法人受托机构职责终止：</w:t>
      </w:r>
    </w:p>
    <w:p>
      <w:pPr>
        <w:pStyle w:val="28"/>
        <w:tabs>
          <w:tab w:val="left" w:pos="720"/>
        </w:tabs>
        <w:autoSpaceDE w:val="0"/>
        <w:autoSpaceDN w:val="0"/>
        <w:adjustRightInd w:val="0"/>
        <w:spacing w:line="360" w:lineRule="auto"/>
        <w:ind w:right="17" w:firstLine="480"/>
        <w:jc w:val="left"/>
        <w:outlineLvl w:val="1"/>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1.违反与委托人合同约定的；</w:t>
      </w:r>
    </w:p>
    <w:p>
      <w:pPr>
        <w:pStyle w:val="28"/>
        <w:tabs>
          <w:tab w:val="left" w:pos="720"/>
        </w:tabs>
        <w:autoSpaceDE w:val="0"/>
        <w:autoSpaceDN w:val="0"/>
        <w:adjustRightInd w:val="0"/>
        <w:spacing w:line="360" w:lineRule="auto"/>
        <w:ind w:right="17" w:firstLine="480"/>
        <w:jc w:val="left"/>
        <w:outlineLvl w:val="1"/>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2.利用企业年金基金财产为其谋取利益，或者为他人谋取不正当利益的；</w:t>
      </w:r>
    </w:p>
    <w:p>
      <w:pPr>
        <w:pStyle w:val="28"/>
        <w:tabs>
          <w:tab w:val="left" w:pos="720"/>
        </w:tabs>
        <w:autoSpaceDE w:val="0"/>
        <w:autoSpaceDN w:val="0"/>
        <w:adjustRightInd w:val="0"/>
        <w:spacing w:line="360" w:lineRule="auto"/>
        <w:ind w:right="17" w:firstLine="480"/>
        <w:jc w:val="left"/>
        <w:outlineLvl w:val="1"/>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3.依法解散、被依法撤销、被依法宣告破产或者被依法接管的；</w:t>
      </w:r>
    </w:p>
    <w:p>
      <w:pPr>
        <w:pStyle w:val="28"/>
        <w:tabs>
          <w:tab w:val="left" w:pos="720"/>
        </w:tabs>
        <w:autoSpaceDE w:val="0"/>
        <w:autoSpaceDN w:val="0"/>
        <w:adjustRightInd w:val="0"/>
        <w:spacing w:line="360" w:lineRule="auto"/>
        <w:ind w:right="17" w:firstLine="480"/>
        <w:jc w:val="left"/>
        <w:outlineLvl w:val="1"/>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4.被依法取消企业年金基金受托管理业务资格的；</w:t>
      </w:r>
    </w:p>
    <w:p>
      <w:pPr>
        <w:pStyle w:val="28"/>
        <w:tabs>
          <w:tab w:val="left" w:pos="720"/>
        </w:tabs>
        <w:autoSpaceDE w:val="0"/>
        <w:autoSpaceDN w:val="0"/>
        <w:adjustRightInd w:val="0"/>
        <w:spacing w:line="360" w:lineRule="auto"/>
        <w:ind w:right="17" w:firstLine="480"/>
        <w:jc w:val="left"/>
        <w:outlineLvl w:val="1"/>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5.委托人有证据认为更换受托人符合受益人利益的；</w:t>
      </w:r>
    </w:p>
    <w:p>
      <w:pPr>
        <w:pStyle w:val="28"/>
        <w:tabs>
          <w:tab w:val="left" w:pos="720"/>
        </w:tabs>
        <w:autoSpaceDE w:val="0"/>
        <w:autoSpaceDN w:val="0"/>
        <w:adjustRightInd w:val="0"/>
        <w:spacing w:line="360" w:lineRule="auto"/>
        <w:ind w:right="17" w:firstLine="480"/>
        <w:jc w:val="left"/>
        <w:outlineLvl w:val="1"/>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6.有关监管部门有充分理由和依据认为更换受托人符合受益人利益的；</w:t>
      </w:r>
    </w:p>
    <w:p>
      <w:pPr>
        <w:pStyle w:val="28"/>
        <w:tabs>
          <w:tab w:val="left" w:pos="720"/>
        </w:tabs>
        <w:autoSpaceDE w:val="0"/>
        <w:autoSpaceDN w:val="0"/>
        <w:adjustRightInd w:val="0"/>
        <w:spacing w:line="360" w:lineRule="auto"/>
        <w:ind w:right="17" w:firstLine="480"/>
        <w:jc w:val="left"/>
        <w:outlineLvl w:val="1"/>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7.国家规定和合同约定的其他情形。</w:t>
      </w:r>
    </w:p>
    <w:p>
      <w:pPr>
        <w:pStyle w:val="28"/>
        <w:tabs>
          <w:tab w:val="left" w:pos="720"/>
        </w:tabs>
        <w:autoSpaceDE w:val="0"/>
        <w:autoSpaceDN w:val="0"/>
        <w:adjustRightInd w:val="0"/>
        <w:spacing w:line="360" w:lineRule="auto"/>
        <w:ind w:right="17" w:firstLine="480"/>
        <w:jc w:val="left"/>
        <w:outlineLvl w:val="1"/>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企业年金理事会有前款第（2）项规定情形的，企业年金理事会职责终止，由委托人选择法人受托机构担任受托人。企业年金理事会有第（1）、（3）至（7）项规定情形之一的，应当按照国家规定重新组成，或者由委托人选择法人受托机构担任受托人。</w:t>
      </w:r>
    </w:p>
    <w:p>
      <w:pPr>
        <w:pStyle w:val="28"/>
        <w:tabs>
          <w:tab w:val="left" w:pos="720"/>
        </w:tabs>
        <w:autoSpaceDE w:val="0"/>
        <w:autoSpaceDN w:val="0"/>
        <w:adjustRightInd w:val="0"/>
        <w:spacing w:line="360" w:lineRule="auto"/>
        <w:ind w:right="17" w:firstLine="480"/>
        <w:jc w:val="left"/>
        <w:outlineLvl w:val="1"/>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（五）受托人职责终止的，应当妥善保管企业年金基金受托管理资料，在45日内办理完毕受托管理业务移交手续，新受托人应当接收并行使相应职责。</w:t>
      </w:r>
    </w:p>
    <w:p>
      <w:pPr>
        <w:pStyle w:val="28"/>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三、商务要求</w:t>
      </w:r>
    </w:p>
    <w:p>
      <w:pPr>
        <w:spacing w:line="360" w:lineRule="auto"/>
        <w:ind w:firstLine="482" w:firstLineChars="200"/>
        <w:outlineLvl w:val="2"/>
        <w:rPr>
          <w:rFonts w:hint="eastAsia" w:ascii="宋体" w:hAnsi="宋体" w:cs="宋体"/>
          <w:b/>
          <w:bCs/>
          <w:color w:val="000000" w:themeColor="text1"/>
          <w:sz w:val="24"/>
          <w:highlight w:val="none"/>
          <w14:textFill>
            <w14:solidFill>
              <w14:schemeClr w14:val="tx1"/>
            </w14:solidFill>
          </w14:textFill>
        </w:rPr>
      </w:pPr>
      <w:bookmarkStart w:id="132" w:name="_Toc6017"/>
      <w:bookmarkStart w:id="133" w:name="_Toc16195"/>
      <w:r>
        <w:rPr>
          <w:rFonts w:hint="eastAsia" w:ascii="宋体" w:hAnsi="宋体" w:cs="宋体"/>
          <w:b/>
          <w:bCs/>
          <w:color w:val="000000" w:themeColor="text1"/>
          <w:sz w:val="24"/>
          <w:highlight w:val="none"/>
          <w14:textFill>
            <w14:solidFill>
              <w14:schemeClr w14:val="tx1"/>
            </w14:solidFill>
          </w14:textFill>
        </w:rPr>
        <w:t>（一）服务期限</w:t>
      </w:r>
      <w:bookmarkEnd w:id="132"/>
      <w:bookmarkEnd w:id="133"/>
    </w:p>
    <w:p>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自合同签订之日起3年。</w:t>
      </w:r>
    </w:p>
    <w:p>
      <w:pPr>
        <w:spacing w:line="360" w:lineRule="auto"/>
        <w:ind w:firstLine="482" w:firstLineChars="200"/>
        <w:outlineLvl w:val="2"/>
        <w:rPr>
          <w:rFonts w:hint="eastAsia" w:ascii="宋体" w:hAnsi="宋体" w:cs="宋体"/>
          <w:b/>
          <w:bCs/>
          <w:color w:val="000000" w:themeColor="text1"/>
          <w:sz w:val="24"/>
          <w:highlight w:val="none"/>
          <w14:textFill>
            <w14:solidFill>
              <w14:schemeClr w14:val="tx1"/>
            </w14:solidFill>
          </w14:textFill>
        </w:rPr>
      </w:pPr>
      <w:bookmarkStart w:id="134" w:name="_Toc10463"/>
      <w:bookmarkStart w:id="135" w:name="_Toc15471"/>
      <w:r>
        <w:rPr>
          <w:rFonts w:hint="eastAsia" w:ascii="宋体" w:hAnsi="宋体" w:cs="宋体"/>
          <w:b/>
          <w:bCs/>
          <w:color w:val="000000" w:themeColor="text1"/>
          <w:sz w:val="24"/>
          <w:highlight w:val="none"/>
          <w14:textFill>
            <w14:solidFill>
              <w14:schemeClr w14:val="tx1"/>
            </w14:solidFill>
          </w14:textFill>
        </w:rPr>
        <w:t>（二）服务地点</w:t>
      </w:r>
      <w:bookmarkEnd w:id="134"/>
      <w:bookmarkEnd w:id="135"/>
    </w:p>
    <w:p>
      <w:pPr>
        <w:autoSpaceDE w:val="0"/>
        <w:autoSpaceDN w:val="0"/>
        <w:adjustRightInd w:val="0"/>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深圳市前海深港现代服务业合作区。</w:t>
      </w:r>
    </w:p>
    <w:p>
      <w:pPr>
        <w:spacing w:line="360" w:lineRule="auto"/>
        <w:ind w:firstLine="482" w:firstLineChars="200"/>
        <w:outlineLvl w:val="2"/>
        <w:rPr>
          <w:rFonts w:hint="eastAsia" w:ascii="宋体" w:hAnsi="宋体" w:cs="宋体"/>
          <w:b/>
          <w:bCs/>
          <w:color w:val="000000" w:themeColor="text1"/>
          <w:sz w:val="24"/>
          <w:highlight w:val="none"/>
          <w14:textFill>
            <w14:solidFill>
              <w14:schemeClr w14:val="tx1"/>
            </w14:solidFill>
          </w14:textFill>
        </w:rPr>
      </w:pPr>
      <w:bookmarkStart w:id="136" w:name="_Toc32196"/>
      <w:bookmarkStart w:id="137" w:name="_Toc368"/>
      <w:r>
        <w:rPr>
          <w:rFonts w:hint="eastAsia" w:ascii="宋体" w:hAnsi="宋体" w:cs="宋体"/>
          <w:b/>
          <w:color w:val="000000" w:themeColor="text1"/>
          <w:sz w:val="24"/>
          <w:highlight w:val="none"/>
          <w14:textFill>
            <w14:solidFill>
              <w14:schemeClr w14:val="tx1"/>
            </w14:solidFill>
          </w14:textFill>
        </w:rPr>
        <w:t>（三）</w:t>
      </w:r>
      <w:r>
        <w:rPr>
          <w:rFonts w:hint="eastAsia" w:ascii="宋体" w:hAnsi="宋体" w:cs="宋体"/>
          <w:b/>
          <w:bCs/>
          <w:color w:val="000000" w:themeColor="text1"/>
          <w:sz w:val="24"/>
          <w:highlight w:val="none"/>
          <w14:textFill>
            <w14:solidFill>
              <w14:schemeClr w14:val="tx1"/>
            </w14:solidFill>
          </w14:textFill>
        </w:rPr>
        <w:t>付款方式</w:t>
      </w:r>
      <w:bookmarkEnd w:id="136"/>
      <w:bookmarkEnd w:id="137"/>
    </w:p>
    <w:p>
      <w:pPr>
        <w:pStyle w:val="16"/>
        <w:spacing w:before="0" w:beforeAutospacing="0" w:after="0" w:afterAutospacing="0" w:line="360" w:lineRule="auto"/>
        <w:ind w:firstLine="480" w:firstLineChars="200"/>
        <w:rPr>
          <w:rFonts w:hint="eastAsia"/>
          <w:color w:val="000000" w:themeColor="text1"/>
          <w:kern w:val="2"/>
          <w:highlight w:val="none"/>
          <w14:textFill>
            <w14:solidFill>
              <w14:schemeClr w14:val="tx1"/>
            </w14:solidFill>
          </w14:textFill>
        </w:rPr>
      </w:pPr>
      <w:r>
        <w:rPr>
          <w:rFonts w:hint="eastAsia"/>
          <w:color w:val="000000" w:themeColor="text1"/>
          <w:highlight w:val="none"/>
          <w14:textFill>
            <w14:solidFill>
              <w14:schemeClr w14:val="tx1"/>
            </w14:solidFill>
          </w14:textFill>
        </w:rPr>
        <w:t>根据深圳市前海深港现代服务业合作区管理局现有企业年金受托资产1.31亿元，年金参加人员316人进行测算，企业年金受托人和托管人提取的管理费均不得高于企业年金基金净值的0.20%，投资管理人提取的管理费不得高于企业年金基金净值的1.20%，账户管理费每户每月不超过5元。除账户管理费需由</w:t>
      </w:r>
      <w:r>
        <w:rPr>
          <w:rFonts w:hint="eastAsia"/>
          <w:color w:val="000000" w:themeColor="text1"/>
          <w:highlight w:val="none"/>
          <w:lang w:bidi="ar"/>
          <w14:textFill>
            <w14:solidFill>
              <w14:schemeClr w14:val="tx1"/>
            </w14:solidFill>
          </w14:textFill>
        </w:rPr>
        <w:t>采购人按照账户管理合同约定，单独向账户管理人支付外</w:t>
      </w:r>
      <w:r>
        <w:rPr>
          <w:rFonts w:hint="eastAsia"/>
          <w:color w:val="000000" w:themeColor="text1"/>
          <w:highlight w:val="none"/>
          <w14:textFill>
            <w14:solidFill>
              <w14:schemeClr w14:val="tx1"/>
            </w14:solidFill>
          </w14:textFill>
        </w:rPr>
        <w:t>，受托管理费、托管费、投资管理费均依据受托管理合同、托管合同、投资管理合同约定，从企业年金基金财产中列支</w:t>
      </w:r>
      <w:r>
        <w:rPr>
          <w:rFonts w:hint="eastAsia"/>
          <w:color w:val="000000" w:themeColor="text1"/>
          <w:kern w:val="2"/>
          <w:highlight w:val="none"/>
          <w14:textFill>
            <w14:solidFill>
              <w14:schemeClr w14:val="tx1"/>
            </w14:solidFill>
          </w14:textFill>
        </w:rPr>
        <w:t>。</w:t>
      </w:r>
    </w:p>
    <w:p>
      <w:pPr>
        <w:spacing w:line="360" w:lineRule="auto"/>
        <w:ind w:firstLine="482" w:firstLineChars="200"/>
        <w:outlineLvl w:val="2"/>
        <w:rPr>
          <w:rFonts w:hint="eastAsia" w:ascii="宋体" w:hAnsi="宋体" w:cs="宋体"/>
          <w:b/>
          <w:color w:val="000000" w:themeColor="text1"/>
          <w:sz w:val="24"/>
          <w:highlight w:val="none"/>
          <w14:textFill>
            <w14:solidFill>
              <w14:schemeClr w14:val="tx1"/>
            </w14:solidFill>
          </w14:textFill>
        </w:rPr>
      </w:pPr>
      <w:bookmarkStart w:id="138" w:name="_Toc16130"/>
      <w:bookmarkStart w:id="139" w:name="_Toc16091"/>
      <w:r>
        <w:rPr>
          <w:rFonts w:hint="eastAsia" w:ascii="宋体" w:hAnsi="宋体" w:cs="宋体"/>
          <w:b/>
          <w:color w:val="000000" w:themeColor="text1"/>
          <w:sz w:val="24"/>
          <w:highlight w:val="none"/>
          <w14:textFill>
            <w14:solidFill>
              <w14:schemeClr w14:val="tx1"/>
            </w14:solidFill>
          </w14:textFill>
        </w:rPr>
        <w:t>（四）投标报价</w:t>
      </w:r>
      <w:bookmarkEnd w:id="138"/>
      <w:bookmarkEnd w:id="139"/>
    </w:p>
    <w:p>
      <w:pPr>
        <w:pStyle w:val="2"/>
        <w:spacing w:line="360" w:lineRule="auto"/>
        <w:ind w:firstLine="4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1.供应商不得期望通过索赔等方式获取补偿，否则，除可能遭到拒绝外，还可能将被作为不良行为记录在案，并可能影响其以后参加政府采购的项目投标。</w:t>
      </w:r>
    </w:p>
    <w:p>
      <w:pPr>
        <w:pStyle w:val="2"/>
        <w:spacing w:line="360" w:lineRule="auto"/>
        <w:ind w:firstLine="4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2.企业年金基金管理费用主要包括受托管理费、托管费、账户管理费、投资管理费，供应商需对以上四项管理费分别进行报价。</w:t>
      </w:r>
    </w:p>
    <w:p>
      <w:pPr>
        <w:pStyle w:val="2"/>
        <w:spacing w:line="360" w:lineRule="auto"/>
        <w:ind w:firstLine="4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3.各项管理费须按照固定费率模式收取，不得增收绩效管理费，各项费率不得低于2011年《企业年金基金管理机构基本服务和收费标准行业自律公约》中最低收费标准的要求。</w:t>
      </w:r>
    </w:p>
    <w:p>
      <w:pPr>
        <w:pStyle w:val="2"/>
        <w:spacing w:line="360" w:lineRule="auto"/>
        <w:ind w:firstLine="4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4.不得以折扣、折让、管理费返还或通过设立受托计划直投组合等形式变相降低报价标准。</w:t>
      </w:r>
    </w:p>
    <w:p>
      <w:pPr>
        <w:spacing w:line="360" w:lineRule="auto"/>
        <w:ind w:firstLine="482" w:firstLineChars="200"/>
        <w:outlineLvl w:val="2"/>
        <w:rPr>
          <w:rFonts w:hint="eastAsia" w:ascii="宋体" w:hAnsi="宋体" w:cs="宋体"/>
          <w:b/>
          <w:bCs/>
          <w:color w:val="000000" w:themeColor="text1"/>
          <w:sz w:val="24"/>
          <w:highlight w:val="none"/>
          <w14:textFill>
            <w14:solidFill>
              <w14:schemeClr w14:val="tx1"/>
            </w14:solidFill>
          </w14:textFill>
        </w:rPr>
      </w:pPr>
      <w:bookmarkStart w:id="140" w:name="_Toc7539"/>
      <w:bookmarkStart w:id="141" w:name="_Toc10430"/>
      <w:r>
        <w:rPr>
          <w:rFonts w:hint="eastAsia" w:ascii="宋体" w:hAnsi="宋体" w:cs="宋体"/>
          <w:b/>
          <w:bCs/>
          <w:color w:val="000000" w:themeColor="text1"/>
          <w:sz w:val="24"/>
          <w:highlight w:val="none"/>
          <w14:textFill>
            <w14:solidFill>
              <w14:schemeClr w14:val="tx1"/>
            </w14:solidFill>
          </w14:textFill>
        </w:rPr>
        <w:t>（五）</w:t>
      </w:r>
      <w:bookmarkEnd w:id="140"/>
      <w:bookmarkEnd w:id="141"/>
      <w:r>
        <w:rPr>
          <w:rFonts w:hint="eastAsia" w:ascii="宋体" w:hAnsi="宋体" w:cs="宋体"/>
          <w:b/>
          <w:bCs/>
          <w:color w:val="000000" w:themeColor="text1"/>
          <w:sz w:val="24"/>
          <w:highlight w:val="none"/>
          <w14:textFill>
            <w14:solidFill>
              <w14:schemeClr w14:val="tx1"/>
            </w14:solidFill>
          </w14:textFill>
        </w:rPr>
        <w:t>保密条款</w:t>
      </w:r>
    </w:p>
    <w:p>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采购人与中标人于本受托设立和管理中所知悉的对方商业秘密以及其他未公开的信息，未经许可，任何一方当事人不得自己使用或向第三方透露和使用，但根据法律法规规定或监管部门要求应当进行披露的除外。</w:t>
      </w:r>
    </w:p>
    <w:p>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2.任何一方违反保密义务的约定，应当赔偿由此给另一方造成的损失。</w:t>
      </w:r>
    </w:p>
    <w:p>
      <w:pPr>
        <w:spacing w:line="360" w:lineRule="auto"/>
        <w:ind w:firstLine="482" w:firstLineChars="200"/>
        <w:outlineLvl w:val="2"/>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四、其他要求</w:t>
      </w:r>
    </w:p>
    <w:p>
      <w:pPr>
        <w:widowControl/>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中标人不得将项目非法分包或转包给任何单位和个人。否则，采购人有权即刻终止合同，并要求中标人赔偿相应损失</w:t>
      </w:r>
      <w:r>
        <w:rPr>
          <w:rFonts w:hint="eastAsia" w:ascii="宋体" w:hAnsi="宋体" w:cs="宋体"/>
          <w:color w:val="000000" w:themeColor="text1"/>
          <w:sz w:val="24"/>
          <w:highlight w:val="none"/>
          <w14:textFill>
            <w14:solidFill>
              <w14:schemeClr w14:val="tx1"/>
            </w14:solidFill>
          </w14:textFill>
        </w:rPr>
        <w:br w:type="page"/>
      </w:r>
    </w:p>
    <w:p>
      <w:pPr>
        <w:widowControl/>
        <w:spacing w:line="360" w:lineRule="auto"/>
        <w:ind w:firstLine="482" w:firstLineChars="200"/>
        <w:jc w:val="center"/>
        <w:outlineLvl w:val="0"/>
        <w:rPr>
          <w:rFonts w:ascii="宋体" w:cs="宋体"/>
          <w:b/>
          <w:bCs/>
          <w:color w:val="000000" w:themeColor="text1"/>
          <w:sz w:val="24"/>
          <w:highlight w:val="none"/>
          <w14:textFill>
            <w14:solidFill>
              <w14:schemeClr w14:val="tx1"/>
            </w14:solidFill>
          </w14:textFill>
        </w:rPr>
      </w:pPr>
      <w:bookmarkStart w:id="142" w:name="_Toc23822"/>
      <w:r>
        <w:rPr>
          <w:rFonts w:hint="eastAsia" w:ascii="宋体" w:cs="宋体"/>
          <w:b/>
          <w:bCs/>
          <w:color w:val="000000" w:themeColor="text1"/>
          <w:sz w:val="24"/>
          <w:highlight w:val="none"/>
          <w14:textFill>
            <w14:solidFill>
              <w14:schemeClr w14:val="tx1"/>
            </w14:solidFill>
          </w14:textFill>
        </w:rPr>
        <w:t>第六章 投标文件初审及招标项目评分表</w:t>
      </w:r>
      <w:bookmarkEnd w:id="142"/>
    </w:p>
    <w:p>
      <w:pPr>
        <w:spacing w:line="360" w:lineRule="auto"/>
        <w:jc w:val="center"/>
        <w:rPr>
          <w:rFonts w:hint="eastAsia" w:ascii="宋体" w:hAnsi="宋体" w:cs="宋体"/>
          <w:b/>
          <w:color w:val="000000" w:themeColor="text1"/>
          <w:sz w:val="24"/>
          <w:highlight w:val="none"/>
          <w14:textFill>
            <w14:solidFill>
              <w14:schemeClr w14:val="tx1"/>
            </w14:solidFill>
          </w14:textFill>
        </w:rPr>
      </w:pPr>
    </w:p>
    <w:p>
      <w:pPr>
        <w:spacing w:line="360" w:lineRule="auto"/>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投标文件初审表（不可偏离条款）</w:t>
      </w:r>
    </w:p>
    <w:p>
      <w:pPr>
        <w:spacing w:line="360" w:lineRule="auto"/>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（凡有下列情形之一的，投标文件无效，投标作废标处理）</w:t>
      </w:r>
    </w:p>
    <w:tbl>
      <w:tblPr>
        <w:tblStyle w:val="2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7108" w:type="dxa"/>
          </w:tcPr>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7108" w:type="dxa"/>
            <w:vAlign w:val="center"/>
          </w:tcPr>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7108" w:type="dxa"/>
            <w:vAlign w:val="center"/>
          </w:tcPr>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7108" w:type="dxa"/>
            <w:vAlign w:val="center"/>
          </w:tcPr>
          <w:p>
            <w:pPr>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7108" w:type="dxa"/>
            <w:vAlign w:val="center"/>
          </w:tcPr>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7108" w:type="dxa"/>
            <w:vAlign w:val="center"/>
          </w:tcPr>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7108" w:type="dxa"/>
            <w:vAlign w:val="center"/>
          </w:tcPr>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7108" w:type="dxa"/>
            <w:vAlign w:val="center"/>
          </w:tcPr>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报价合理性审查</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（一）投标（响应）报价低于全部通过符合性审查供应商投标（响应）报价平均值50%的，即投标（响应）报价&lt;全部通过符合性审查供应商投标（响应）报价平均值×50%；</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（二）投标（响应）报价低于通过符合性审查且报价次低供应商投标（响应）报价50%的，即投标（响应）报价&lt;通过符合性审查且报价次低供应商投标（响应）报价×50%；</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（三）投标（响应）报价低于采购项目最高限价45%的，即投标（响应）报价&lt;采购项目最高限价×45%；</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（四）其他评审委员会认为供应商报价过低，有可能影响产品质量或者不能诚信履约的情形。</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w:t>
            </w:r>
          </w:p>
        </w:tc>
        <w:tc>
          <w:tcPr>
            <w:tcW w:w="7108" w:type="dxa"/>
            <w:vAlign w:val="center"/>
          </w:tcPr>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7108" w:type="dxa"/>
            <w:vAlign w:val="center"/>
          </w:tcPr>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未出现“所投货物或工程或服务在质量、技术、方案等方面没有实质性满足招标文件要求”的情形</w:t>
            </w:r>
          </w:p>
          <w:p>
            <w:pPr>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w:t>
            </w:r>
          </w:p>
        </w:tc>
        <w:tc>
          <w:tcPr>
            <w:tcW w:w="7108" w:type="dxa"/>
            <w:vAlign w:val="center"/>
          </w:tcPr>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w:t>
            </w:r>
          </w:p>
        </w:tc>
        <w:tc>
          <w:tcPr>
            <w:tcW w:w="7108" w:type="dxa"/>
            <w:vAlign w:val="center"/>
          </w:tcPr>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未出现法律、法规规定的其他情形</w:t>
            </w:r>
          </w:p>
        </w:tc>
      </w:tr>
    </w:tbl>
    <w:p>
      <w:pPr>
        <w:spacing w:line="360" w:lineRule="auto"/>
        <w:jc w:val="center"/>
        <w:rPr>
          <w:rFonts w:hint="eastAsia" w:ascii="宋体" w:hAnsi="宋体" w:cs="宋体"/>
          <w:color w:val="000000" w:themeColor="text1"/>
          <w:sz w:val="24"/>
          <w:highlight w:val="none"/>
          <w:lang w:val="fr-CH"/>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br w:type="page"/>
      </w:r>
      <w:r>
        <w:rPr>
          <w:rFonts w:hint="eastAsia" w:ascii="宋体" w:hAnsi="宋体" w:cs="宋体"/>
          <w:b/>
          <w:bCs/>
          <w:color w:val="000000" w:themeColor="text1"/>
          <w:sz w:val="24"/>
          <w:highlight w:val="none"/>
          <w14:textFill>
            <w14:solidFill>
              <w14:schemeClr w14:val="tx1"/>
            </w14:solidFill>
          </w14:textFill>
        </w:rPr>
        <w:t>招标项目评分表</w:t>
      </w:r>
    </w:p>
    <w:tbl>
      <w:tblPr>
        <w:tblStyle w:val="20"/>
        <w:tblW w:w="9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1168"/>
        <w:gridCol w:w="5992"/>
        <w:gridCol w:w="816"/>
        <w:gridCol w:w="10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000000" w:themeColor="text1"/>
                <w:sz w:val="24"/>
                <w:highlight w:val="none"/>
                <w:lang w:val="zh-CN"/>
                <w14:textFill>
                  <w14:solidFill>
                    <w14:schemeClr w14:val="tx1"/>
                  </w14:solidFill>
                </w14:textFill>
              </w:rPr>
            </w:pPr>
            <w:r>
              <w:rPr>
                <w:rFonts w:hint="eastAsia" w:ascii="宋体" w:hAnsi="宋体" w:cs="宋体"/>
                <w:b/>
                <w:color w:val="000000" w:themeColor="text1"/>
                <w:sz w:val="24"/>
                <w:highlight w:val="none"/>
                <w:lang w:val="zh-CN"/>
                <w14:textFill>
                  <w14:solidFill>
                    <w14:schemeClr w14:val="tx1"/>
                  </w14:solidFill>
                </w14:textFill>
              </w:rPr>
              <w:t>一、价格部分（</w:t>
            </w:r>
            <w:r>
              <w:rPr>
                <w:rFonts w:hint="eastAsia" w:ascii="宋体" w:hAnsi="宋体" w:cs="宋体"/>
                <w:b/>
                <w:color w:val="000000" w:themeColor="text1"/>
                <w:sz w:val="24"/>
                <w:highlight w:val="none"/>
                <w14:textFill>
                  <w14:solidFill>
                    <w14:schemeClr w14:val="tx1"/>
                  </w14:solidFill>
                </w14:textFill>
              </w:rPr>
              <w:t>25</w:t>
            </w:r>
            <w:r>
              <w:rPr>
                <w:rFonts w:hint="eastAsia" w:ascii="宋体" w:hAnsi="宋体" w:cs="宋体"/>
                <w:b/>
                <w:color w:val="000000" w:themeColor="text1"/>
                <w:sz w:val="24"/>
                <w:highlight w:val="none"/>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序号</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内容</w:t>
            </w:r>
          </w:p>
        </w:tc>
        <w:tc>
          <w:tcPr>
            <w:tcW w:w="5992"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评分规则</w:t>
            </w:r>
          </w:p>
        </w:tc>
        <w:tc>
          <w:tcPr>
            <w:tcW w:w="816"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权重</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1</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投标报价</w:t>
            </w:r>
          </w:p>
        </w:tc>
        <w:tc>
          <w:tcPr>
            <w:tcW w:w="5992" w:type="dxa"/>
            <w:vAlign w:val="center"/>
          </w:tcPr>
          <w:p>
            <w:pPr>
              <w:pStyle w:val="8"/>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采用低价优先法计算，即满足招标文件要求且投标价格最低的投标报价为评标基准价，其价格分为满分。其他投标人的价格分统一按照下列公式计算：</w:t>
            </w:r>
          </w:p>
          <w:p>
            <w:pPr>
              <w:numPr>
                <w:ilvl w:val="0"/>
                <w:numId w:val="5"/>
              </w:numPr>
              <w:spacing w:line="360" w:lineRule="auto"/>
              <w:ind w:left="251" w:hanging="251"/>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受托费报价：受托费最低报价为评标基准价，即评标基准价=0.10%/年，得5分；投标报价得分=(评标基准价／投标报价)×5</w:t>
            </w:r>
          </w:p>
          <w:p>
            <w:pPr>
              <w:numPr>
                <w:ilvl w:val="0"/>
                <w:numId w:val="5"/>
              </w:numPr>
              <w:spacing w:line="360" w:lineRule="auto"/>
              <w:ind w:left="251" w:hanging="251"/>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固收类组合投资管理费报价：固收类组合投资管理费最低报价为评标基准价，即评标基准价=0.30%/年，得5分；投标报价得分=(评标基准价／投标报价)×5</w:t>
            </w:r>
          </w:p>
          <w:p>
            <w:pPr>
              <w:numPr>
                <w:ilvl w:val="0"/>
                <w:numId w:val="5"/>
              </w:numPr>
              <w:spacing w:line="360" w:lineRule="auto"/>
              <w:ind w:left="251" w:hanging="251"/>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含权益类组合投资管理费报价：含权益类组合投资管理费最低报价为评标基准价，即评标基准价=0.60%/年，得5分；投标报价得分=(评标基准价／投标报价)×5</w:t>
            </w:r>
          </w:p>
          <w:p>
            <w:pPr>
              <w:numPr>
                <w:ilvl w:val="0"/>
                <w:numId w:val="5"/>
              </w:numPr>
              <w:spacing w:line="360" w:lineRule="auto"/>
              <w:ind w:left="251" w:hanging="251"/>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托管费报价：托管费最低报价为评标基准价，即评标基准价=0.07%/年，得5分；投标报价得分=(评标基准价／投标报价)×5</w:t>
            </w:r>
          </w:p>
          <w:p>
            <w:pPr>
              <w:numPr>
                <w:ilvl w:val="0"/>
                <w:numId w:val="5"/>
              </w:numPr>
              <w:spacing w:line="360" w:lineRule="auto"/>
              <w:ind w:left="251" w:hanging="251"/>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账户管理费报价：账户管理费报最低报价为评标基准价，即评标基准价=1元/户/月，得5分；投标报价得分=(评标基准价／投标报价)×5</w:t>
            </w:r>
          </w:p>
          <w:p>
            <w:pPr>
              <w:numPr>
                <w:ilvl w:val="0"/>
                <w:numId w:val="5"/>
              </w:numPr>
              <w:spacing w:line="360" w:lineRule="auto"/>
              <w:ind w:left="251" w:hanging="251"/>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价格评分仅限于有效投标人，当价格分&lt;0时，取0。</w:t>
            </w:r>
          </w:p>
          <w:p>
            <w:pPr>
              <w:numPr>
                <w:ilvl w:val="0"/>
                <w:numId w:val="5"/>
              </w:numPr>
              <w:spacing w:line="360" w:lineRule="auto"/>
              <w:ind w:left="1" w:hanging="9"/>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财库〔2020〕46号、财库〔2014〕68号及财库〔2017〕141号及（深财购〔2022〕31号）文件规定：本项目非专门面向中小企业的项目，对小型和微型企业、监狱企业或残疾人福利性企业产品的价格给予10%的扣除，用扣除后的价格即为“经评审合格的投标报价”参与价格评审。</w:t>
            </w:r>
          </w:p>
          <w:p>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监狱企业应当提供由省级以上监狱管理局、戒毒管理局（含新疆生产建设兵团）出具的属于监狱企业的证明文件，中小企业提供中小企业声明函，残疾人福利性企业提供残疾人福利性企业声明函。</w:t>
            </w:r>
          </w:p>
        </w:tc>
        <w:tc>
          <w:tcPr>
            <w:tcW w:w="816"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000000" w:themeColor="text1"/>
                <w:sz w:val="24"/>
                <w:highlight w:val="none"/>
                <w:lang w:val="zh-CN"/>
                <w14:textFill>
                  <w14:solidFill>
                    <w14:schemeClr w14:val="tx1"/>
                  </w14:solidFill>
                </w14:textFill>
              </w:rPr>
            </w:pPr>
            <w:r>
              <w:rPr>
                <w:rFonts w:hint="eastAsia" w:ascii="宋体" w:hAnsi="宋体" w:cs="宋体"/>
                <w:b/>
                <w:color w:val="000000" w:themeColor="text1"/>
                <w:sz w:val="24"/>
                <w:highlight w:val="none"/>
                <w:lang w:val="zh-CN"/>
                <w14:textFill>
                  <w14:solidFill>
                    <w14:schemeClr w14:val="tx1"/>
                  </w14:solidFill>
                </w14:textFill>
              </w:rPr>
              <w:t>二、商务部分（</w:t>
            </w:r>
            <w:r>
              <w:rPr>
                <w:rFonts w:hint="eastAsia" w:ascii="宋体" w:hAnsi="宋体" w:cs="宋体"/>
                <w:b/>
                <w:color w:val="000000" w:themeColor="text1"/>
                <w:sz w:val="24"/>
                <w:highlight w:val="none"/>
                <w14:textFill>
                  <w14:solidFill>
                    <w14:schemeClr w14:val="tx1"/>
                  </w14:solidFill>
                </w14:textFill>
              </w:rPr>
              <w:t>41</w:t>
            </w:r>
            <w:r>
              <w:rPr>
                <w:rFonts w:hint="eastAsia" w:ascii="宋体" w:hAnsi="宋体" w:cs="宋体"/>
                <w:b/>
                <w:color w:val="000000" w:themeColor="text1"/>
                <w:sz w:val="24"/>
                <w:highlight w:val="none"/>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序号</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内容</w:t>
            </w:r>
          </w:p>
        </w:tc>
        <w:tc>
          <w:tcPr>
            <w:tcW w:w="5992"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评分规则</w:t>
            </w:r>
          </w:p>
        </w:tc>
        <w:tc>
          <w:tcPr>
            <w:tcW w:w="816"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权重</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5"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企业年金受托管理资产金额增速</w:t>
            </w:r>
          </w:p>
        </w:tc>
        <w:tc>
          <w:tcPr>
            <w:tcW w:w="5992" w:type="dxa"/>
          </w:tcPr>
          <w:p>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（一）评分内容：</w:t>
            </w:r>
          </w:p>
          <w:p>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根据人社部2024年度及2025年二季度《全国企业年金基金业务数据摘要》，受托管理的资产金额增速进行打分。</w:t>
            </w:r>
          </w:p>
          <w:p>
            <w:pPr>
              <w:wordWrap w:val="0"/>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计算公式：企业年金受托管理资产金额增速=2025年二季度受托管理资产金额/2024年度受托管理资产金额-1</w:t>
            </w:r>
          </w:p>
          <w:p>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证明材料：</w:t>
            </w:r>
          </w:p>
          <w:p>
            <w:pPr>
              <w:wordWrap w:val="0"/>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提供2024年度人社部公布的《全国企业年金基金业务数据摘要》5.2024年企业年金基金管理机构业务情况表中表1和2025年二季度人社部公布的《全国企业年金基金业务数据摘要》4.2025年二季度企业年金基金管理机构业务情况表中表1相关数据页面作为评审依据，并加盖公章。</w:t>
            </w:r>
          </w:p>
          <w:p>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（二）评分标准：</w:t>
            </w:r>
          </w:p>
          <w:p>
            <w:pPr>
              <w:wordWrap w:val="0"/>
              <w:spacing w:line="360" w:lineRule="auto"/>
              <w:jc w:val="left"/>
              <w:rPr>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1.受托管理资产金额增速大于12%（含），得4分；</w:t>
            </w:r>
            <w:r>
              <w:rPr>
                <w:rFonts w:hint="eastAsia" w:ascii="宋体" w:hAnsi="宋体" w:cs="宋体"/>
                <w:color w:val="000000" w:themeColor="text1"/>
                <w:sz w:val="24"/>
                <w:highlight w:val="none"/>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2.受托管理资产金额增速9%（含）-12%，得2分；</w:t>
            </w:r>
            <w:r>
              <w:rPr>
                <w:rFonts w:hint="eastAsia" w:ascii="宋体" w:hAnsi="宋体" w:cs="宋体"/>
                <w:color w:val="000000" w:themeColor="text1"/>
                <w:sz w:val="24"/>
                <w:highlight w:val="none"/>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3.受托管理资产金额增速6%（含）-9%，得1分；</w:t>
            </w:r>
            <w:r>
              <w:rPr>
                <w:rFonts w:hint="eastAsia" w:ascii="宋体" w:hAnsi="宋体" w:cs="宋体"/>
                <w:color w:val="000000" w:themeColor="text1"/>
                <w:sz w:val="24"/>
                <w:highlight w:val="none"/>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4.受托管理资产金额增速6%以下，不得分。</w:t>
            </w:r>
          </w:p>
        </w:tc>
        <w:tc>
          <w:tcPr>
            <w:tcW w:w="816" w:type="dxa"/>
            <w:vAlign w:val="center"/>
          </w:tcPr>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企业年金受托管理企业数量</w:t>
            </w:r>
          </w:p>
        </w:tc>
        <w:tc>
          <w:tcPr>
            <w:tcW w:w="5992" w:type="dxa"/>
          </w:tcPr>
          <w:p>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（一）评分内容：</w:t>
            </w:r>
          </w:p>
          <w:p>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根据人社部2025年二季度《全国企业年金基金业务数据摘要》，受托管理的企业数量进行评分。</w:t>
            </w:r>
            <w:r>
              <w:rPr>
                <w:rFonts w:hint="eastAsia" w:ascii="宋体" w:hAnsi="宋体" w:cs="宋体"/>
                <w:color w:val="000000" w:themeColor="text1"/>
                <w:sz w:val="24"/>
                <w:highlight w:val="none"/>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证明材料：</w:t>
            </w:r>
            <w:r>
              <w:rPr>
                <w:rFonts w:hint="eastAsia" w:ascii="宋体" w:hAnsi="宋体" w:cs="宋体"/>
                <w:color w:val="000000" w:themeColor="text1"/>
                <w:sz w:val="24"/>
                <w:highlight w:val="none"/>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提供2025年二季度人社部公布《全国企业年金基金业务数据摘要》中4.2025年二季度企业年金基金管理机构业务情况表中表1相关数据页面作为评审依据，并加盖公章。</w:t>
            </w:r>
          </w:p>
          <w:p>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（二）评分标准：</w:t>
            </w:r>
          </w:p>
          <w:p>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1.受托管理的企业数量10000个（含）以上，得4分；</w:t>
            </w:r>
            <w:r>
              <w:rPr>
                <w:rFonts w:hint="eastAsia" w:ascii="宋体" w:hAnsi="宋体" w:cs="宋体"/>
                <w:color w:val="000000" w:themeColor="text1"/>
                <w:sz w:val="24"/>
                <w:highlight w:val="none"/>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2.受托管理的企业数量7500个（含）-10000个，得2分；</w:t>
            </w:r>
            <w:r>
              <w:rPr>
                <w:rFonts w:hint="eastAsia" w:ascii="宋体" w:hAnsi="宋体" w:cs="宋体"/>
                <w:color w:val="000000" w:themeColor="text1"/>
                <w:sz w:val="24"/>
                <w:highlight w:val="none"/>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3.受托管理的企业数量5000个（含）-7500个，得1分；</w:t>
            </w:r>
            <w:r>
              <w:rPr>
                <w:rFonts w:hint="eastAsia" w:ascii="宋体" w:hAnsi="宋体" w:cs="宋体"/>
                <w:color w:val="000000" w:themeColor="text1"/>
                <w:sz w:val="24"/>
                <w:highlight w:val="none"/>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4.受托管理的企业数量5000个以下，不得分。</w:t>
            </w:r>
          </w:p>
        </w:tc>
        <w:tc>
          <w:tcPr>
            <w:tcW w:w="816" w:type="dxa"/>
            <w:vAlign w:val="center"/>
          </w:tcPr>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企业年金受托管理职工数量</w:t>
            </w:r>
          </w:p>
        </w:tc>
        <w:tc>
          <w:tcPr>
            <w:tcW w:w="5992" w:type="dxa"/>
          </w:tcPr>
          <w:p>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（一）评分内容：</w:t>
            </w:r>
          </w:p>
          <w:p>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根据人社部2025年二季度《全国企业年金基金业务数据摘要》，受托管理的职工数量进行评分。</w:t>
            </w:r>
            <w:r>
              <w:rPr>
                <w:rFonts w:hint="eastAsia" w:ascii="宋体" w:hAnsi="宋体" w:cs="宋体"/>
                <w:color w:val="000000" w:themeColor="text1"/>
                <w:sz w:val="24"/>
                <w:highlight w:val="none"/>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证明材料：</w:t>
            </w:r>
            <w:r>
              <w:rPr>
                <w:rFonts w:hint="eastAsia" w:ascii="宋体" w:hAnsi="宋体" w:cs="宋体"/>
                <w:color w:val="000000" w:themeColor="text1"/>
                <w:sz w:val="24"/>
                <w:highlight w:val="none"/>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提供2025年二季度人社部公布《全国企业年金基金业务数据摘要》中4.2025年二季度企业年金基金管理机构业务情况表中表1相关数据页面作为评审依据，并加盖公章。</w:t>
            </w:r>
          </w:p>
          <w:p>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（二）评分标准：</w:t>
            </w:r>
          </w:p>
          <w:p>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1.受托管理的职工数量200万个（含）以上，得4分；</w:t>
            </w:r>
            <w:r>
              <w:rPr>
                <w:rFonts w:hint="eastAsia" w:ascii="宋体" w:hAnsi="宋体" w:cs="宋体"/>
                <w:color w:val="000000" w:themeColor="text1"/>
                <w:sz w:val="24"/>
                <w:highlight w:val="none"/>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2.受托管理的职工数量150万个（含）-200万个，得2分；</w:t>
            </w:r>
            <w:r>
              <w:rPr>
                <w:rFonts w:hint="eastAsia" w:ascii="宋体" w:hAnsi="宋体" w:cs="宋体"/>
                <w:color w:val="000000" w:themeColor="text1"/>
                <w:sz w:val="24"/>
                <w:highlight w:val="none"/>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3.受托管理的职工数量100万个（含）-150万个，得1分；</w:t>
            </w:r>
            <w:r>
              <w:rPr>
                <w:rFonts w:hint="eastAsia" w:ascii="宋体" w:hAnsi="宋体" w:cs="宋体"/>
                <w:color w:val="000000" w:themeColor="text1"/>
                <w:sz w:val="24"/>
                <w:highlight w:val="none"/>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4.受托管理的职工数量100万个以下，不得分。</w:t>
            </w:r>
          </w:p>
        </w:tc>
        <w:tc>
          <w:tcPr>
            <w:tcW w:w="816" w:type="dxa"/>
            <w:vAlign w:val="center"/>
          </w:tcPr>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推荐2个固定收益类组合投资管理人近三年投资业绩</w:t>
            </w:r>
          </w:p>
        </w:tc>
        <w:tc>
          <w:tcPr>
            <w:tcW w:w="5992" w:type="dxa"/>
          </w:tcPr>
          <w:p>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（一）评分内容：</w:t>
            </w:r>
          </w:p>
          <w:p>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供应商推荐2个固定收益类组合投资管理人，根据每个管理人截至2025年二季度所管理的单一计划固定收益类组合近三年累计收益率，计算2个投资管理人业绩的平均值后进行打分。</w:t>
            </w:r>
            <w:r>
              <w:rPr>
                <w:rFonts w:hint="eastAsia" w:ascii="宋体" w:hAnsi="宋体" w:cs="宋体"/>
                <w:color w:val="000000" w:themeColor="text1"/>
                <w:sz w:val="24"/>
                <w:highlight w:val="none"/>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证明材料：</w:t>
            </w:r>
            <w:r>
              <w:rPr>
                <w:rFonts w:hint="eastAsia" w:ascii="宋体" w:hAnsi="宋体" w:cs="宋体"/>
                <w:color w:val="000000" w:themeColor="text1"/>
                <w:sz w:val="24"/>
                <w:highlight w:val="none"/>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根据2025年二季度人社部公布《全国企业年金基金业务数据摘要》，2025年二季度企业年金基金管理机构业务情况表中表4，单一计划固定收益类组合近三年累计收益率，提供人社报告数据页面（加盖公章）与计算过程，采购人保留复核权利。</w:t>
            </w:r>
            <w:r>
              <w:rPr>
                <w:rFonts w:hint="eastAsia" w:ascii="宋体" w:hAnsi="宋体" w:cs="宋体"/>
                <w:color w:val="000000" w:themeColor="text1"/>
                <w:sz w:val="24"/>
                <w:highlight w:val="none"/>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计算公式：</w:t>
            </w:r>
            <w:r>
              <w:rPr>
                <w:rFonts w:hint="eastAsia" w:ascii="宋体" w:hAnsi="宋体" w:cs="宋体"/>
                <w:color w:val="000000" w:themeColor="text1"/>
                <w:sz w:val="24"/>
                <w:highlight w:val="none"/>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1.2个投资管理人业绩的平均值=（投资管理人A所管理的单一计划固定收益类组合近三年累计收益率+投资管理人B所管理的单一计划固定收益类组合近三年累计收益率）/2；</w:t>
            </w:r>
            <w:r>
              <w:rPr>
                <w:rFonts w:hint="eastAsia" w:ascii="宋体" w:hAnsi="宋体" w:cs="宋体"/>
                <w:color w:val="000000" w:themeColor="text1"/>
                <w:sz w:val="24"/>
                <w:highlight w:val="none"/>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2.收益率计算结果百分比后取2位小数。</w:t>
            </w:r>
          </w:p>
          <w:p>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（二）评分标准：</w:t>
            </w:r>
          </w:p>
          <w:p>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与行业平均水平，即2025年二季度企业年金基金管理机构业务情况表中表4，单一计划固定收益类组合近三年累计收益率合计项10.62%比较：</w:t>
            </w:r>
          </w:p>
          <w:p>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1.收益率高于行业平均水平10%（含）即11.68%以上的，得4分；</w:t>
            </w:r>
            <w:r>
              <w:rPr>
                <w:rFonts w:hint="eastAsia" w:ascii="宋体" w:hAnsi="宋体" w:cs="宋体"/>
                <w:color w:val="000000" w:themeColor="text1"/>
                <w:sz w:val="24"/>
                <w:highlight w:val="none"/>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2.收益率高于行业平均水平（含）即10.62%以上，但低于行业平均水平10%即11.68%的，得2分；</w:t>
            </w:r>
            <w:r>
              <w:rPr>
                <w:rFonts w:hint="eastAsia" w:ascii="宋体" w:hAnsi="宋体" w:cs="宋体"/>
                <w:color w:val="000000" w:themeColor="text1"/>
                <w:sz w:val="24"/>
                <w:highlight w:val="none"/>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3.其他情况不得分。</w:t>
            </w:r>
          </w:p>
        </w:tc>
        <w:tc>
          <w:tcPr>
            <w:tcW w:w="816" w:type="dxa"/>
            <w:vAlign w:val="center"/>
          </w:tcPr>
          <w:p>
            <w:pPr>
              <w:jc w:val="center"/>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推荐2个固定收益类组合投资管理人固收投资管理经验</w:t>
            </w:r>
          </w:p>
        </w:tc>
        <w:tc>
          <w:tcPr>
            <w:tcW w:w="5992" w:type="dxa"/>
          </w:tcPr>
          <w:p>
            <w:pPr>
              <w:wordWrap w:val="0"/>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（一）评审内容：</w:t>
            </w:r>
          </w:p>
          <w:p>
            <w:pPr>
              <w:wordWrap w:val="0"/>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推荐的2个固定收益类组合投资管理人各自所管理的单一计划固定收益类组合数量，分别占其所管理的所有单一计划组合数量比重进行打分。数据以投资管理人官方网站披露的2025年2季度企业年金基金投资管理情况报告中“二、2025年2季度投资管理收益情况”表中单一计划样本组合数为准。</w:t>
            </w:r>
            <w:r>
              <w:rPr>
                <w:rFonts w:hint="eastAsia" w:ascii="宋体" w:hAnsi="宋体" w:cs="宋体"/>
                <w:color w:val="000000" w:themeColor="text1"/>
                <w:sz w:val="24"/>
                <w:highlight w:val="none"/>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证明材料：</w:t>
            </w:r>
            <w:r>
              <w:rPr>
                <w:rFonts w:hint="eastAsia" w:ascii="宋体" w:hAnsi="宋体" w:cs="宋体"/>
                <w:color w:val="000000" w:themeColor="text1"/>
                <w:sz w:val="24"/>
                <w:highlight w:val="none"/>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供应商推荐的投资管理人官方网站中披露的2025年2季度企业年金基金投资管理情况（加盖公章）。</w:t>
            </w:r>
          </w:p>
          <w:p>
            <w:pPr>
              <w:wordWrap w:val="0"/>
              <w:spacing w:line="360" w:lineRule="auto"/>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（二）评分标准</w:t>
            </w:r>
            <w:r>
              <w:rPr>
                <w:rFonts w:hint="eastAsia" w:ascii="宋体" w:hAnsi="宋体" w:cs="宋体"/>
                <w:color w:val="000000" w:themeColor="text1"/>
                <w:sz w:val="24"/>
                <w:highlight w:val="none"/>
                <w:lang w:eastAsia="zh-CN"/>
                <w14:textFill>
                  <w14:solidFill>
                    <w14:schemeClr w14:val="tx1"/>
                  </w14:solidFill>
                </w14:textFill>
              </w:rPr>
              <w:t>：</w:t>
            </w:r>
          </w:p>
          <w:p>
            <w:pPr>
              <w:wordWrap w:val="0"/>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1.推荐的2个投资管理人所管理的单一计划固定收益类样本组合数在其所管理的所有单一计划样本组合数中占比均达40%（含）以上的，得4分；</w:t>
            </w:r>
            <w:r>
              <w:rPr>
                <w:rFonts w:hint="eastAsia" w:ascii="宋体" w:hAnsi="宋体" w:cs="宋体"/>
                <w:color w:val="000000" w:themeColor="text1"/>
                <w:sz w:val="24"/>
                <w:highlight w:val="none"/>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2.推荐的2个投资管理人所管理的单一计划固定收益类样本组合数在其所管理的所有单一计划样本组合数中，仅1家占比40%（含）以上的，得2分；</w:t>
            </w:r>
            <w:r>
              <w:rPr>
                <w:rFonts w:hint="eastAsia" w:ascii="宋体" w:hAnsi="宋体" w:cs="宋体"/>
                <w:color w:val="000000" w:themeColor="text1"/>
                <w:sz w:val="24"/>
                <w:highlight w:val="none"/>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3.推荐的2个投资管理人所管理的单一计划固定收益类样本组合数在其所管理的所有单一计划样本组合数中占比均低于40%的，不得分。</w:t>
            </w:r>
          </w:p>
        </w:tc>
        <w:tc>
          <w:tcPr>
            <w:tcW w:w="816" w:type="dxa"/>
            <w:vAlign w:val="center"/>
          </w:tcPr>
          <w:p>
            <w:pPr>
              <w:wordWrap w:val="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推荐2个含权益类组合投资管理人近三年投资业绩</w:t>
            </w:r>
          </w:p>
        </w:tc>
        <w:tc>
          <w:tcPr>
            <w:tcW w:w="5992" w:type="dxa"/>
          </w:tcPr>
          <w:p>
            <w:pPr>
              <w:wordWrap w:val="0"/>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（一）评分内容：</w:t>
            </w:r>
          </w:p>
          <w:p>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供应商推荐2个含权益类组合投资管理人，根据每个管理人截至2025年二季度所管理的单一计划含权益类组合近三年累计收益率，计算2个投资管理人业绩的平均值后进行打分。</w:t>
            </w:r>
            <w:r>
              <w:rPr>
                <w:rFonts w:hint="eastAsia" w:ascii="宋体" w:hAnsi="宋体" w:cs="宋体"/>
                <w:color w:val="000000" w:themeColor="text1"/>
                <w:sz w:val="24"/>
                <w:highlight w:val="none"/>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证明材料：</w:t>
            </w:r>
            <w:r>
              <w:rPr>
                <w:rFonts w:hint="eastAsia" w:ascii="宋体" w:hAnsi="宋体" w:cs="宋体"/>
                <w:color w:val="000000" w:themeColor="text1"/>
                <w:sz w:val="24"/>
                <w:highlight w:val="none"/>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根据2025年二季度人社部公布《全国企业年金基金业务数据摘要》，2025年二季度企业年金基金管理机构业务情况表中表4，单一计划含权益类组合近三年累计收益率，提供人社报告数据页面（加盖公章）与计算过程，采购人保留复核权利。</w:t>
            </w:r>
            <w:r>
              <w:rPr>
                <w:rFonts w:hint="eastAsia" w:ascii="宋体" w:hAnsi="宋体" w:cs="宋体"/>
                <w:color w:val="000000" w:themeColor="text1"/>
                <w:sz w:val="24"/>
                <w:highlight w:val="none"/>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计算公式：</w:t>
            </w:r>
            <w:r>
              <w:rPr>
                <w:rFonts w:hint="eastAsia" w:ascii="宋体" w:hAnsi="宋体" w:cs="宋体"/>
                <w:color w:val="000000" w:themeColor="text1"/>
                <w:sz w:val="24"/>
                <w:highlight w:val="none"/>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1.2个投资管理人业绩的平均值=（投资管理人A所管理的单一计划含权益类组合近三年累计收益率+投资管理人B所管理的单一计划含权益类组合近三年累计收益率）/2；</w:t>
            </w:r>
            <w:r>
              <w:rPr>
                <w:rFonts w:hint="eastAsia" w:ascii="宋体" w:hAnsi="宋体" w:cs="宋体"/>
                <w:color w:val="000000" w:themeColor="text1"/>
                <w:sz w:val="24"/>
                <w:highlight w:val="none"/>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2.收益率计算结果百分比后取2位小数。</w:t>
            </w:r>
          </w:p>
          <w:p>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（二）评分标准：</w:t>
            </w:r>
          </w:p>
          <w:p>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与行业平均水平，即2025年二季度企业年金基金管理机构业务情况表中表4，单一计划含权益类组合近三年累计收益率合计项5.86%比较：</w:t>
            </w:r>
          </w:p>
          <w:p>
            <w:pPr>
              <w:wordWrap w:val="0"/>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1.收益率高于行业平均水平10%（含）即6.45%以上的，得4分；</w:t>
            </w:r>
            <w:r>
              <w:rPr>
                <w:rFonts w:hint="eastAsia" w:ascii="宋体" w:hAnsi="宋体" w:cs="宋体"/>
                <w:color w:val="000000" w:themeColor="text1"/>
                <w:sz w:val="24"/>
                <w:highlight w:val="none"/>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2.收益率高于行业平均水平（含）即5.86%以上，但低于行业平均水平10%即6.45%的，得2分；</w:t>
            </w:r>
            <w:r>
              <w:rPr>
                <w:rFonts w:hint="eastAsia" w:ascii="宋体" w:hAnsi="宋体" w:cs="宋体"/>
                <w:color w:val="000000" w:themeColor="text1"/>
                <w:sz w:val="24"/>
                <w:highlight w:val="none"/>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3.其他情况不得分。</w:t>
            </w:r>
          </w:p>
        </w:tc>
        <w:tc>
          <w:tcPr>
            <w:tcW w:w="816" w:type="dxa"/>
            <w:vAlign w:val="center"/>
          </w:tcPr>
          <w:p>
            <w:pPr>
              <w:wordWrap w:val="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推荐2个含权益类组合投资管理人权益类资产管理经验</w:t>
            </w:r>
          </w:p>
        </w:tc>
        <w:tc>
          <w:tcPr>
            <w:tcW w:w="5992" w:type="dxa"/>
          </w:tcPr>
          <w:p>
            <w:pPr>
              <w:wordWrap w:val="0"/>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（一）评分内容：</w:t>
            </w:r>
          </w:p>
          <w:p>
            <w:pPr>
              <w:wordWrap w:val="0"/>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推荐的2个含权益类组合投资管理人各自所管理的单一计划含权益类组合数量，分别占其所管理的所有单一计划组合数量比重进行打分。数据以投资管理人官方网站披露的2025年2季度企业年金基金投资管理情况报告中“二、2025年2季度投资管理收益情况”表中单一计划样本组合数为准。</w:t>
            </w:r>
            <w:r>
              <w:rPr>
                <w:rFonts w:hint="eastAsia" w:ascii="宋体" w:hAnsi="宋体" w:cs="宋体"/>
                <w:color w:val="000000" w:themeColor="text1"/>
                <w:sz w:val="24"/>
                <w:highlight w:val="none"/>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证明材料：</w:t>
            </w:r>
            <w:r>
              <w:rPr>
                <w:rFonts w:hint="eastAsia" w:ascii="宋体" w:hAnsi="宋体" w:cs="宋体"/>
                <w:color w:val="000000" w:themeColor="text1"/>
                <w:sz w:val="24"/>
                <w:highlight w:val="none"/>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供应商推荐的投资管理人官方网站中披露的2025年2季度企业年金基金投资管理情况（加盖公章）。</w:t>
            </w:r>
          </w:p>
          <w:p>
            <w:pPr>
              <w:wordWrap w:val="0"/>
              <w:spacing w:line="360" w:lineRule="auto"/>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（二）评分标准</w:t>
            </w:r>
            <w:r>
              <w:rPr>
                <w:rFonts w:hint="eastAsia" w:ascii="宋体" w:hAnsi="宋体" w:cs="宋体"/>
                <w:color w:val="000000" w:themeColor="text1"/>
                <w:sz w:val="24"/>
                <w:highlight w:val="none"/>
                <w:lang w:eastAsia="zh-CN"/>
                <w14:textFill>
                  <w14:solidFill>
                    <w14:schemeClr w14:val="tx1"/>
                  </w14:solidFill>
                </w14:textFill>
              </w:rPr>
              <w:t>：</w:t>
            </w:r>
          </w:p>
          <w:p>
            <w:pPr>
              <w:pStyle w:val="43"/>
              <w:spacing w:line="360" w:lineRule="auto"/>
              <w:rPr>
                <w:rFonts w:hint="eastAsia" w:hAnsi="宋体" w:cs="宋体"/>
                <w:color w:val="000000" w:themeColor="text1"/>
                <w:kern w:val="2"/>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1.推荐的2个投资管理人所管理的单一计划含权益类样本组合数在其所管理的所有单一计划样本组合数中占比均达80%（含）以上的，得4分；</w:t>
            </w:r>
            <w:r>
              <w:rPr>
                <w:rFonts w:hint="eastAsia" w:hAnsi="宋体" w:cs="宋体"/>
                <w:color w:val="000000" w:themeColor="text1"/>
                <w:highlight w:val="none"/>
                <w14:textFill>
                  <w14:solidFill>
                    <w14:schemeClr w14:val="tx1"/>
                  </w14:solidFill>
                </w14:textFill>
              </w:rPr>
              <w:br w:type="textWrapping"/>
            </w:r>
            <w:r>
              <w:rPr>
                <w:rFonts w:hint="eastAsia" w:hAnsi="宋体" w:cs="宋体"/>
                <w:color w:val="000000" w:themeColor="text1"/>
                <w:highlight w:val="none"/>
                <w14:textFill>
                  <w14:solidFill>
                    <w14:schemeClr w14:val="tx1"/>
                  </w14:solidFill>
                </w14:textFill>
              </w:rPr>
              <w:t>2.推荐的2个投资管理人所管理的单一计划含权益类样本组合数在其所管理的所有单一计划样本组合数中，仅1家占比80%（含）以上的，得2分；</w:t>
            </w:r>
            <w:r>
              <w:rPr>
                <w:rFonts w:hint="eastAsia" w:hAnsi="宋体" w:cs="宋体"/>
                <w:color w:val="000000" w:themeColor="text1"/>
                <w:highlight w:val="none"/>
                <w14:textFill>
                  <w14:solidFill>
                    <w14:schemeClr w14:val="tx1"/>
                  </w14:solidFill>
                </w14:textFill>
              </w:rPr>
              <w:br w:type="textWrapping"/>
            </w:r>
            <w:r>
              <w:rPr>
                <w:rFonts w:hint="eastAsia" w:hAnsi="宋体" w:cs="宋体"/>
                <w:color w:val="000000" w:themeColor="text1"/>
                <w:highlight w:val="none"/>
                <w14:textFill>
                  <w14:solidFill>
                    <w14:schemeClr w14:val="tx1"/>
                  </w14:solidFill>
                </w14:textFill>
              </w:rPr>
              <w:t>3.推荐的2个投资管理人所管理的单一计划含权益类样本组合数在其所管理的所有单一计划样本组合数中占比均低于80%的，不得分。</w:t>
            </w:r>
          </w:p>
        </w:tc>
        <w:tc>
          <w:tcPr>
            <w:tcW w:w="816" w:type="dxa"/>
            <w:vAlign w:val="center"/>
          </w:tcPr>
          <w:p>
            <w:pPr>
              <w:wordWrap w:val="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推荐账户管理人管理经验</w:t>
            </w:r>
          </w:p>
        </w:tc>
        <w:tc>
          <w:tcPr>
            <w:tcW w:w="5992" w:type="dxa"/>
          </w:tcPr>
          <w:p>
            <w:pPr>
              <w:pStyle w:val="43"/>
              <w:spacing w:line="360" w:lineRule="auto"/>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（一）评分内容：</w:t>
            </w:r>
          </w:p>
          <w:p>
            <w:pPr>
              <w:pStyle w:val="43"/>
              <w:spacing w:line="360" w:lineRule="auto"/>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根据人社部2025年二季度《全国企业年金基金业务数据摘要》，供应商推荐的账户管理人管理企业账户数进行打分。</w:t>
            </w:r>
            <w:r>
              <w:rPr>
                <w:rFonts w:hint="eastAsia" w:hAnsi="宋体" w:cs="宋体"/>
                <w:color w:val="000000" w:themeColor="text1"/>
                <w:highlight w:val="none"/>
                <w14:textFill>
                  <w14:solidFill>
                    <w14:schemeClr w14:val="tx1"/>
                  </w14:solidFill>
                </w14:textFill>
              </w:rPr>
              <w:br w:type="textWrapping"/>
            </w:r>
            <w:r>
              <w:rPr>
                <w:rFonts w:hint="eastAsia" w:hAnsi="宋体" w:cs="宋体"/>
                <w:color w:val="000000" w:themeColor="text1"/>
                <w:highlight w:val="none"/>
                <w14:textFill>
                  <w14:solidFill>
                    <w14:schemeClr w14:val="tx1"/>
                  </w14:solidFill>
                </w14:textFill>
              </w:rPr>
              <w:t>证明材料：</w:t>
            </w:r>
            <w:r>
              <w:rPr>
                <w:rFonts w:hint="eastAsia" w:hAnsi="宋体" w:cs="宋体"/>
                <w:color w:val="000000" w:themeColor="text1"/>
                <w:highlight w:val="none"/>
                <w14:textFill>
                  <w14:solidFill>
                    <w14:schemeClr w14:val="tx1"/>
                  </w14:solidFill>
                </w14:textFill>
              </w:rPr>
              <w:br w:type="textWrapping"/>
            </w:r>
            <w:r>
              <w:rPr>
                <w:rFonts w:hint="eastAsia" w:hAnsi="宋体" w:cs="宋体"/>
                <w:color w:val="000000" w:themeColor="text1"/>
                <w:highlight w:val="none"/>
                <w14:textFill>
                  <w14:solidFill>
                    <w14:schemeClr w14:val="tx1"/>
                  </w14:solidFill>
                </w14:textFill>
              </w:rPr>
              <w:t>提供2025年二季度人社部公布《全国企业年金基金业务数据摘要》中 4.2025年二季度企业年金基金管理机构业务情况表中表2相关数据页面作为评审依据，并加盖公章。</w:t>
            </w:r>
          </w:p>
          <w:p>
            <w:pPr>
              <w:pStyle w:val="43"/>
              <w:spacing w:line="360" w:lineRule="auto"/>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（二）评分标准：</w:t>
            </w:r>
          </w:p>
          <w:p>
            <w:pPr>
              <w:pStyle w:val="43"/>
              <w:spacing w:line="360" w:lineRule="auto"/>
              <w:rPr>
                <w:rFonts w:hint="eastAsia" w:hAnsi="宋体" w:cs="宋体"/>
                <w:color w:val="000000" w:themeColor="text1"/>
                <w:kern w:val="2"/>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1.供应商推荐的账户管理人管理企业账户数20000个（含）以上，得4分；</w:t>
            </w:r>
            <w:r>
              <w:rPr>
                <w:rFonts w:hint="eastAsia" w:hAnsi="宋体" w:cs="宋体"/>
                <w:color w:val="000000" w:themeColor="text1"/>
                <w:highlight w:val="none"/>
                <w14:textFill>
                  <w14:solidFill>
                    <w14:schemeClr w14:val="tx1"/>
                  </w14:solidFill>
                </w14:textFill>
              </w:rPr>
              <w:br w:type="textWrapping"/>
            </w:r>
            <w:r>
              <w:rPr>
                <w:rFonts w:hint="eastAsia" w:hAnsi="宋体" w:cs="宋体"/>
                <w:color w:val="000000" w:themeColor="text1"/>
                <w:highlight w:val="none"/>
                <w14:textFill>
                  <w14:solidFill>
                    <w14:schemeClr w14:val="tx1"/>
                  </w14:solidFill>
                </w14:textFill>
              </w:rPr>
              <w:t>2.供应商推荐的账户管理人管理企业账户数15000个（含）-20000个，得3分；</w:t>
            </w:r>
            <w:r>
              <w:rPr>
                <w:rFonts w:hint="eastAsia" w:hAnsi="宋体" w:cs="宋体"/>
                <w:color w:val="000000" w:themeColor="text1"/>
                <w:highlight w:val="none"/>
                <w14:textFill>
                  <w14:solidFill>
                    <w14:schemeClr w14:val="tx1"/>
                  </w14:solidFill>
                </w14:textFill>
              </w:rPr>
              <w:br w:type="textWrapping"/>
            </w:r>
            <w:r>
              <w:rPr>
                <w:rFonts w:hint="eastAsia" w:hAnsi="宋体" w:cs="宋体"/>
                <w:color w:val="000000" w:themeColor="text1"/>
                <w:highlight w:val="none"/>
                <w14:textFill>
                  <w14:solidFill>
                    <w14:schemeClr w14:val="tx1"/>
                  </w14:solidFill>
                </w14:textFill>
              </w:rPr>
              <w:t>3.供应商推荐的账户管理人管理企业账户数10000个（含）-15000个，得2分；</w:t>
            </w:r>
            <w:r>
              <w:rPr>
                <w:rFonts w:hint="eastAsia" w:hAnsi="宋体" w:cs="宋体"/>
                <w:color w:val="000000" w:themeColor="text1"/>
                <w:highlight w:val="none"/>
                <w14:textFill>
                  <w14:solidFill>
                    <w14:schemeClr w14:val="tx1"/>
                  </w14:solidFill>
                </w14:textFill>
              </w:rPr>
              <w:br w:type="textWrapping"/>
            </w:r>
            <w:r>
              <w:rPr>
                <w:rFonts w:hint="eastAsia" w:hAnsi="宋体" w:cs="宋体"/>
                <w:color w:val="000000" w:themeColor="text1"/>
                <w:highlight w:val="none"/>
                <w14:textFill>
                  <w14:solidFill>
                    <w14:schemeClr w14:val="tx1"/>
                  </w14:solidFill>
                </w14:textFill>
              </w:rPr>
              <w:t>4.供应商推荐的账户管理人管理企业账户数5000个（含）-10000个，得1分；</w:t>
            </w:r>
            <w:r>
              <w:rPr>
                <w:rFonts w:hint="eastAsia" w:hAnsi="宋体" w:cs="宋体"/>
                <w:color w:val="000000" w:themeColor="text1"/>
                <w:highlight w:val="none"/>
                <w14:textFill>
                  <w14:solidFill>
                    <w14:schemeClr w14:val="tx1"/>
                  </w14:solidFill>
                </w14:textFill>
              </w:rPr>
              <w:br w:type="textWrapping"/>
            </w:r>
            <w:r>
              <w:rPr>
                <w:rFonts w:hint="eastAsia" w:hAnsi="宋体" w:cs="宋体"/>
                <w:color w:val="000000" w:themeColor="text1"/>
                <w:highlight w:val="none"/>
                <w14:textFill>
                  <w14:solidFill>
                    <w14:schemeClr w14:val="tx1"/>
                  </w14:solidFill>
                </w14:textFill>
              </w:rPr>
              <w:t>5.供应商推荐的账户管理人管理企业账户数5000个以下，不得分。</w:t>
            </w:r>
          </w:p>
        </w:tc>
        <w:tc>
          <w:tcPr>
            <w:tcW w:w="816" w:type="dxa"/>
            <w:vAlign w:val="center"/>
          </w:tcPr>
          <w:p>
            <w:pPr>
              <w:pStyle w:val="43"/>
              <w:jc w:val="cente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推荐托管人管理经验</w:t>
            </w:r>
          </w:p>
        </w:tc>
        <w:tc>
          <w:tcPr>
            <w:tcW w:w="5992" w:type="dxa"/>
          </w:tcPr>
          <w:p>
            <w:pPr>
              <w:pStyle w:val="43"/>
              <w:spacing w:line="360" w:lineRule="auto"/>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（一）评分内容：</w:t>
            </w:r>
          </w:p>
          <w:p>
            <w:pPr>
              <w:pStyle w:val="43"/>
              <w:spacing w:line="360" w:lineRule="auto"/>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根据人社部2025年二季度《全国企业年金基金业务数据摘要》，供应商推荐的托管人托管资产规模进行打分。</w:t>
            </w:r>
            <w:r>
              <w:rPr>
                <w:rFonts w:hint="eastAsia" w:hAnsi="宋体" w:cs="宋体"/>
                <w:color w:val="000000" w:themeColor="text1"/>
                <w:highlight w:val="none"/>
                <w14:textFill>
                  <w14:solidFill>
                    <w14:schemeClr w14:val="tx1"/>
                  </w14:solidFill>
                </w14:textFill>
              </w:rPr>
              <w:br w:type="textWrapping"/>
            </w:r>
            <w:r>
              <w:rPr>
                <w:rFonts w:hint="eastAsia" w:hAnsi="宋体" w:cs="宋体"/>
                <w:color w:val="000000" w:themeColor="text1"/>
                <w:highlight w:val="none"/>
                <w14:textFill>
                  <w14:solidFill>
                    <w14:schemeClr w14:val="tx1"/>
                  </w14:solidFill>
                </w14:textFill>
              </w:rPr>
              <w:t>证明材料：</w:t>
            </w:r>
            <w:r>
              <w:rPr>
                <w:rFonts w:hint="eastAsia" w:hAnsi="宋体" w:cs="宋体"/>
                <w:color w:val="000000" w:themeColor="text1"/>
                <w:highlight w:val="none"/>
                <w14:textFill>
                  <w14:solidFill>
                    <w14:schemeClr w14:val="tx1"/>
                  </w14:solidFill>
                </w14:textFill>
              </w:rPr>
              <w:br w:type="textWrapping"/>
            </w:r>
            <w:r>
              <w:rPr>
                <w:rFonts w:hint="eastAsia" w:hAnsi="宋体" w:cs="宋体"/>
                <w:color w:val="000000" w:themeColor="text1"/>
                <w:highlight w:val="none"/>
                <w14:textFill>
                  <w14:solidFill>
                    <w14:schemeClr w14:val="tx1"/>
                  </w14:solidFill>
                </w14:textFill>
              </w:rPr>
              <w:t>提供2025年二季度人社部公布《全国企业年金基金业务数据摘要》中 4.2024年二季度企业年金基金管理机构业务情况表中表3相关数据页面作为评审依据，并加盖公章。</w:t>
            </w:r>
          </w:p>
          <w:p>
            <w:pPr>
              <w:pStyle w:val="43"/>
              <w:spacing w:line="360" w:lineRule="auto"/>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（二）评分标准：</w:t>
            </w:r>
          </w:p>
          <w:p>
            <w:pPr>
              <w:pStyle w:val="43"/>
              <w:spacing w:line="360" w:lineRule="auto"/>
              <w:rPr>
                <w:rFonts w:hint="eastAsia" w:hAnsi="宋体" w:cs="宋体"/>
                <w:color w:val="000000" w:themeColor="text1"/>
                <w:kern w:val="2"/>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1.供应商推荐的托管人管理企业年金托管资产规模10000亿元（含）以上，得4分；</w:t>
            </w:r>
            <w:r>
              <w:rPr>
                <w:rFonts w:hint="eastAsia" w:hAnsi="宋体" w:cs="宋体"/>
                <w:color w:val="000000" w:themeColor="text1"/>
                <w:highlight w:val="none"/>
                <w14:textFill>
                  <w14:solidFill>
                    <w14:schemeClr w14:val="tx1"/>
                  </w14:solidFill>
                </w14:textFill>
              </w:rPr>
              <w:br w:type="textWrapping"/>
            </w:r>
            <w:r>
              <w:rPr>
                <w:rFonts w:hint="eastAsia" w:hAnsi="宋体" w:cs="宋体"/>
                <w:color w:val="000000" w:themeColor="text1"/>
                <w:highlight w:val="none"/>
                <w14:textFill>
                  <w14:solidFill>
                    <w14:schemeClr w14:val="tx1"/>
                  </w14:solidFill>
                </w14:textFill>
              </w:rPr>
              <w:t>2.供应商推荐的托管人管理企业年金托管资产规模5000亿元（含）-10000亿元，得3分；</w:t>
            </w:r>
            <w:r>
              <w:rPr>
                <w:rFonts w:hint="eastAsia" w:hAnsi="宋体" w:cs="宋体"/>
                <w:color w:val="000000" w:themeColor="text1"/>
                <w:highlight w:val="none"/>
                <w14:textFill>
                  <w14:solidFill>
                    <w14:schemeClr w14:val="tx1"/>
                  </w14:solidFill>
                </w14:textFill>
              </w:rPr>
              <w:br w:type="textWrapping"/>
            </w:r>
            <w:r>
              <w:rPr>
                <w:rFonts w:hint="eastAsia" w:hAnsi="宋体" w:cs="宋体"/>
                <w:color w:val="000000" w:themeColor="text1"/>
                <w:highlight w:val="none"/>
                <w14:textFill>
                  <w14:solidFill>
                    <w14:schemeClr w14:val="tx1"/>
                  </w14:solidFill>
                </w14:textFill>
              </w:rPr>
              <w:t>3.供应商推荐的托管人管理企业年金托管资产规模3000亿元（含）-5000亿元，得2分；</w:t>
            </w:r>
            <w:r>
              <w:rPr>
                <w:rFonts w:hint="eastAsia" w:hAnsi="宋体" w:cs="宋体"/>
                <w:color w:val="000000" w:themeColor="text1"/>
                <w:highlight w:val="none"/>
                <w14:textFill>
                  <w14:solidFill>
                    <w14:schemeClr w14:val="tx1"/>
                  </w14:solidFill>
                </w14:textFill>
              </w:rPr>
              <w:br w:type="textWrapping"/>
            </w:r>
            <w:r>
              <w:rPr>
                <w:rFonts w:hint="eastAsia" w:hAnsi="宋体" w:cs="宋体"/>
                <w:color w:val="000000" w:themeColor="text1"/>
                <w:highlight w:val="none"/>
                <w14:textFill>
                  <w14:solidFill>
                    <w14:schemeClr w14:val="tx1"/>
                  </w14:solidFill>
                </w14:textFill>
              </w:rPr>
              <w:t>4.供应商推荐的托管人管理企业年金托管资产规模1000亿元（含）-3000亿元，得1分；</w:t>
            </w:r>
            <w:r>
              <w:rPr>
                <w:rFonts w:hint="eastAsia" w:hAnsi="宋体" w:cs="宋体"/>
                <w:color w:val="000000" w:themeColor="text1"/>
                <w:highlight w:val="none"/>
                <w14:textFill>
                  <w14:solidFill>
                    <w14:schemeClr w14:val="tx1"/>
                  </w14:solidFill>
                </w14:textFill>
              </w:rPr>
              <w:br w:type="textWrapping"/>
            </w:r>
            <w:r>
              <w:rPr>
                <w:rFonts w:hint="eastAsia" w:hAnsi="宋体" w:cs="宋体"/>
                <w:color w:val="000000" w:themeColor="text1"/>
                <w:highlight w:val="none"/>
                <w14:textFill>
                  <w14:solidFill>
                    <w14:schemeClr w14:val="tx1"/>
                  </w14:solidFill>
                </w14:textFill>
              </w:rPr>
              <w:t>5.供应商推荐的托管人管理企业年金托管资产规模1000亿元以下，不得分。</w:t>
            </w:r>
          </w:p>
        </w:tc>
        <w:tc>
          <w:tcPr>
            <w:tcW w:w="816" w:type="dxa"/>
            <w:vAlign w:val="center"/>
          </w:tcPr>
          <w:p>
            <w:pPr>
              <w:pStyle w:val="43"/>
              <w:jc w:val="cente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诚信声明与承诺</w:t>
            </w:r>
          </w:p>
        </w:tc>
        <w:tc>
          <w:tcPr>
            <w:tcW w:w="5992" w:type="dxa"/>
            <w:vAlign w:val="center"/>
          </w:tcPr>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（一）评分内容：</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（二）评分依据</w:t>
            </w:r>
            <w:r>
              <w:rPr>
                <w:rFonts w:hint="eastAsia" w:ascii="宋体" w:hAnsi="宋体" w:cs="宋体"/>
                <w:color w:val="000000" w:themeColor="text1"/>
                <w:sz w:val="24"/>
                <w:highlight w:val="none"/>
                <w:lang w:eastAsia="zh-CN"/>
                <w14:textFill>
                  <w14:solidFill>
                    <w14:schemeClr w14:val="tx1"/>
                  </w14:solidFill>
                </w14:textFill>
              </w:rPr>
              <w:t>：</w:t>
            </w:r>
          </w:p>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1、投标人提供诚信声明与承诺加盖公章；</w:t>
            </w:r>
          </w:p>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2、采购代理机构通过信用信息查询渠道，包括“信用中国”（www.creditchina.gov.cn）、“中国政府采购网”（www.ccgp.gov.cn）、“深圳市政府采购监管网”（http://zfcg.sz.gov.cn）以及市、区财政部门认定的其他渠道查询供应商信用信息</w:t>
            </w:r>
            <w:r>
              <w:rPr>
                <w:rFonts w:hint="eastAsia" w:ascii="宋体" w:hAnsi="宋体" w:cs="宋体"/>
                <w:color w:val="000000" w:themeColor="text1"/>
                <w:sz w:val="24"/>
                <w:highlight w:val="none"/>
                <w14:textFill>
                  <w14:solidFill>
                    <w14:schemeClr w14:val="tx1"/>
                  </w14:solidFill>
                </w14:textFill>
              </w:rPr>
              <w:t>。</w:t>
            </w:r>
          </w:p>
        </w:tc>
        <w:tc>
          <w:tcPr>
            <w:tcW w:w="816" w:type="dxa"/>
            <w:vAlign w:val="center"/>
          </w:tcPr>
          <w:p>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1079" w:type="dxa"/>
            <w:vAlign w:val="center"/>
          </w:tcPr>
          <w:p>
            <w:pPr>
              <w:spacing w:line="360" w:lineRule="auto"/>
              <w:jc w:val="center"/>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000000" w:themeColor="text1"/>
                <w:sz w:val="24"/>
                <w:highlight w:val="none"/>
                <w:lang w:val="zh-CN"/>
                <w14:textFill>
                  <w14:solidFill>
                    <w14:schemeClr w14:val="tx1"/>
                  </w14:solidFill>
                </w14:textFill>
              </w:rPr>
            </w:pPr>
            <w:r>
              <w:rPr>
                <w:rFonts w:hint="eastAsia" w:ascii="宋体" w:hAnsi="宋体" w:cs="宋体"/>
                <w:b/>
                <w:color w:val="000000" w:themeColor="text1"/>
                <w:sz w:val="24"/>
                <w:highlight w:val="none"/>
                <w:lang w:val="zh-CN"/>
                <w14:textFill>
                  <w14:solidFill>
                    <w14:schemeClr w14:val="tx1"/>
                  </w14:solidFill>
                </w14:textFill>
              </w:rPr>
              <w:t>三、技术部分（</w:t>
            </w:r>
            <w:r>
              <w:rPr>
                <w:rFonts w:hint="eastAsia" w:ascii="宋体" w:hAnsi="宋体" w:cs="宋体"/>
                <w:b/>
                <w:color w:val="000000" w:themeColor="text1"/>
                <w:sz w:val="24"/>
                <w:highlight w:val="none"/>
                <w14:textFill>
                  <w14:solidFill>
                    <w14:schemeClr w14:val="tx1"/>
                  </w14:solidFill>
                </w14:textFill>
              </w:rPr>
              <w:t>34</w:t>
            </w:r>
            <w:r>
              <w:rPr>
                <w:rFonts w:hint="eastAsia" w:ascii="宋体" w:hAnsi="宋体" w:cs="宋体"/>
                <w:b/>
                <w:color w:val="000000" w:themeColor="text1"/>
                <w:sz w:val="24"/>
                <w:highlight w:val="none"/>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序号</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内容</w:t>
            </w:r>
          </w:p>
        </w:tc>
        <w:tc>
          <w:tcPr>
            <w:tcW w:w="5992"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评分规则</w:t>
            </w:r>
          </w:p>
        </w:tc>
        <w:tc>
          <w:tcPr>
            <w:tcW w:w="816"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权重</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受托服务方案</w:t>
            </w:r>
          </w:p>
        </w:tc>
        <w:tc>
          <w:tcPr>
            <w:tcW w:w="5992" w:type="dxa"/>
            <w:vAlign w:val="center"/>
          </w:tcPr>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（一）评审内容：</w:t>
            </w:r>
          </w:p>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供应商应提供精细化的受托服务方案。包括：</w:t>
            </w:r>
          </w:p>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1.服务模式；</w:t>
            </w:r>
          </w:p>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2.服务制度与标准；</w:t>
            </w:r>
          </w:p>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3.配套的服务团队；</w:t>
            </w:r>
          </w:p>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4.为本项目提供的服务渠道/服务平台；</w:t>
            </w:r>
          </w:p>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5.投资政策实施过程中与委托人沟通并合理体现委托人意愿的工作方式。</w:t>
            </w:r>
          </w:p>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（二）评分标准：</w:t>
            </w:r>
          </w:p>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以上五项内容，每提供一项内容得1分，最高得5分。</w:t>
            </w:r>
          </w:p>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在此基础上，根据各供应商提交方案中对</w:t>
            </w:r>
            <w:r>
              <w:rPr>
                <w:rFonts w:hint="eastAsia" w:ascii="宋体" w:hAnsi="宋体" w:cs="宋体"/>
                <w:color w:val="000000" w:themeColor="text1"/>
                <w:kern w:val="0"/>
                <w:sz w:val="24"/>
                <w:highlight w:val="none"/>
                <w14:textFill>
                  <w14:solidFill>
                    <w14:schemeClr w14:val="tx1"/>
                  </w14:solidFill>
                </w14:textFill>
              </w:rPr>
              <w:t>每项</w:t>
            </w:r>
            <w:r>
              <w:rPr>
                <w:rFonts w:hint="eastAsia" w:ascii="宋体" w:hAnsi="宋体" w:cs="宋体"/>
                <w:color w:val="000000" w:themeColor="text1"/>
                <w:kern w:val="0"/>
                <w:sz w:val="24"/>
                <w:highlight w:val="none"/>
                <w:lang w:val="zh-CN"/>
                <w14:textFill>
                  <w14:solidFill>
                    <w14:schemeClr w14:val="tx1"/>
                  </w14:solidFill>
                </w14:textFill>
              </w:rPr>
              <w:t>内容的响应程度进一步评审：</w:t>
            </w:r>
          </w:p>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1.内容完善全面，合理性强得5分；</w:t>
            </w:r>
          </w:p>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2.内容较全面，合理性较强得2分；</w:t>
            </w:r>
          </w:p>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3.内容基本满足，但合理性一般得1分；</w:t>
            </w:r>
          </w:p>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4.内容合理性较差不得分。</w:t>
            </w:r>
          </w:p>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如果评审为差，要求专家书面说明理由，并记录在档。</w:t>
            </w:r>
          </w:p>
        </w:tc>
        <w:tc>
          <w:tcPr>
            <w:tcW w:w="816"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受托资产管理能力</w:t>
            </w:r>
          </w:p>
        </w:tc>
        <w:tc>
          <w:tcPr>
            <w:tcW w:w="5992" w:type="dxa"/>
          </w:tcPr>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（一）评审内容：</w:t>
            </w:r>
          </w:p>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供应商应具备科学的战略资产配置体系与完善的投资监督能力。包括：</w:t>
            </w:r>
          </w:p>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r>
              <w:rPr>
                <w:rFonts w:hint="eastAsia" w:ascii="宋体" w:hAnsi="宋体" w:cs="宋体"/>
                <w:color w:val="000000" w:themeColor="text1"/>
                <w:kern w:val="0"/>
                <w:sz w:val="24"/>
                <w:highlight w:val="none"/>
                <w:lang w:val="zh-CN"/>
                <w14:textFill>
                  <w14:solidFill>
                    <w14:schemeClr w14:val="tx1"/>
                  </w14:solidFill>
                </w14:textFill>
              </w:rPr>
              <w:t>战略资产配置理念合理，资产配置的决策流程完善；</w:t>
            </w:r>
          </w:p>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r>
              <w:rPr>
                <w:rFonts w:hint="eastAsia" w:ascii="宋体" w:hAnsi="宋体" w:cs="宋体"/>
                <w:color w:val="000000" w:themeColor="text1"/>
                <w:kern w:val="0"/>
                <w:sz w:val="24"/>
                <w:highlight w:val="none"/>
                <w:lang w:val="zh-CN"/>
                <w14:textFill>
                  <w14:solidFill>
                    <w14:schemeClr w14:val="tx1"/>
                  </w14:solidFill>
                </w14:textFill>
              </w:rPr>
              <w:t>战略资产配置分析、制定、调整流程实现系统化；</w:t>
            </w:r>
          </w:p>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r>
              <w:rPr>
                <w:rFonts w:hint="eastAsia" w:ascii="宋体" w:hAnsi="宋体" w:cs="宋体"/>
                <w:color w:val="000000" w:themeColor="text1"/>
                <w:kern w:val="0"/>
                <w:sz w:val="24"/>
                <w:highlight w:val="none"/>
                <w:lang w:val="zh-CN"/>
                <w14:textFill>
                  <w14:solidFill>
                    <w14:schemeClr w14:val="tx1"/>
                  </w14:solidFill>
                </w14:textFill>
              </w:rPr>
              <w:t>面对例如金融危机等情况时，能够调整战略资产配置来避免系统性风险；</w:t>
            </w:r>
          </w:p>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w:t>
            </w:r>
            <w:r>
              <w:rPr>
                <w:rFonts w:hint="eastAsia" w:ascii="宋体" w:hAnsi="宋体" w:cs="宋体"/>
                <w:color w:val="000000" w:themeColor="text1"/>
                <w:kern w:val="0"/>
                <w:sz w:val="24"/>
                <w:highlight w:val="none"/>
                <w:lang w:val="zh-CN"/>
                <w14:textFill>
                  <w14:solidFill>
                    <w14:schemeClr w14:val="tx1"/>
                  </w14:solidFill>
                </w14:textFill>
              </w:rPr>
              <w:t>完备的投资监督的管理体系，丰富的投资监督实践经验，对于多投管人计划有着严格的投资监督机制；</w:t>
            </w:r>
          </w:p>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w:t>
            </w:r>
            <w:r>
              <w:rPr>
                <w:rFonts w:hint="eastAsia" w:ascii="宋体" w:hAnsi="宋体" w:cs="宋体"/>
                <w:color w:val="000000" w:themeColor="text1"/>
                <w:kern w:val="0"/>
                <w:sz w:val="24"/>
                <w:highlight w:val="none"/>
                <w:lang w:val="zh-CN"/>
                <w14:textFill>
                  <w14:solidFill>
                    <w14:schemeClr w14:val="tx1"/>
                  </w14:solidFill>
                </w14:textFill>
              </w:rPr>
              <w:t>设有严谨的产品配置审核管理机制和风险资产分类方法，制定了严格的禁限投证券池政策。</w:t>
            </w:r>
          </w:p>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（二）评分标准：</w:t>
            </w:r>
          </w:p>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以上五项内容，每提供一项内容得1分，最高得5分。</w:t>
            </w:r>
          </w:p>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在此基础上，根据各供应商提交方案中对</w:t>
            </w:r>
            <w:r>
              <w:rPr>
                <w:rFonts w:hint="eastAsia" w:ascii="宋体" w:hAnsi="宋体" w:cs="宋体"/>
                <w:color w:val="000000" w:themeColor="text1"/>
                <w:kern w:val="0"/>
                <w:sz w:val="24"/>
                <w:highlight w:val="none"/>
                <w14:textFill>
                  <w14:solidFill>
                    <w14:schemeClr w14:val="tx1"/>
                  </w14:solidFill>
                </w14:textFill>
              </w:rPr>
              <w:t>每项</w:t>
            </w:r>
            <w:r>
              <w:rPr>
                <w:rFonts w:hint="eastAsia" w:ascii="宋体" w:hAnsi="宋体" w:cs="宋体"/>
                <w:color w:val="000000" w:themeColor="text1"/>
                <w:kern w:val="0"/>
                <w:sz w:val="24"/>
                <w:highlight w:val="none"/>
                <w:lang w:val="zh-CN"/>
                <w14:textFill>
                  <w14:solidFill>
                    <w14:schemeClr w14:val="tx1"/>
                  </w14:solidFill>
                </w14:textFill>
              </w:rPr>
              <w:t>内容的响应程度进一步评审：</w:t>
            </w:r>
          </w:p>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1.内容完善全面，合理性强得5分；</w:t>
            </w:r>
          </w:p>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2.内容较全面，合理性较强得2分；</w:t>
            </w:r>
          </w:p>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3.内容基本满足，但合理性一般得1分；</w:t>
            </w:r>
          </w:p>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4.内容合理性较差不得分。</w:t>
            </w:r>
          </w:p>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如果评审为差，要求专家书面说明理由，并记录在档。</w:t>
            </w:r>
          </w:p>
        </w:tc>
        <w:tc>
          <w:tcPr>
            <w:tcW w:w="816"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受托风险管理能力</w:t>
            </w:r>
          </w:p>
        </w:tc>
        <w:tc>
          <w:tcPr>
            <w:tcW w:w="5992" w:type="dxa"/>
          </w:tcPr>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（一）评审内容：</w:t>
            </w:r>
          </w:p>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应商应具备严格的风险管理能力。包括：</w:t>
            </w:r>
          </w:p>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r>
              <w:rPr>
                <w:rFonts w:hint="eastAsia" w:ascii="宋体" w:hAnsi="宋体" w:cs="宋体"/>
                <w:color w:val="000000" w:themeColor="text1"/>
                <w:kern w:val="0"/>
                <w:sz w:val="24"/>
                <w:highlight w:val="none"/>
                <w:lang w:val="zh-CN"/>
                <w14:textFill>
                  <w14:solidFill>
                    <w14:schemeClr w14:val="tx1"/>
                  </w14:solidFill>
                </w14:textFill>
              </w:rPr>
              <w:t>公司风险管理理念完善，制定了全面的风险管理制度及为保证制度执行所采取的措施；拥有全面的内部风险控制体系并为保证公司内部风险控制制度得到有效实施制定了有效措施，设立了独立的风控团队、全面的风险管理指标、严格的内部稽核制度和严密的信息保密机制；</w:t>
            </w:r>
          </w:p>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r>
              <w:rPr>
                <w:rFonts w:hint="eastAsia" w:ascii="宋体" w:hAnsi="宋体" w:cs="宋体"/>
                <w:color w:val="000000" w:themeColor="text1"/>
                <w:kern w:val="0"/>
                <w:sz w:val="24"/>
                <w:highlight w:val="none"/>
                <w:lang w:val="zh-CN"/>
                <w14:textFill>
                  <w14:solidFill>
                    <w14:schemeClr w14:val="tx1"/>
                  </w14:solidFill>
                </w14:textFill>
              </w:rPr>
              <w:t>针对企业年金运营风险建立了事前、事中和事后的风控机制和流程，以及相关风险点的监督防范方法；针对企业年金投资风险建立了事前、事中和事后的风控制度和流程，以及相关风险点的监督防范方法；设有赔偿机制、纠错机制、追偿机制、危机处理机制；对道德风险的防范措施以及客户信息的保密制度。</w:t>
            </w:r>
          </w:p>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（二）评分标准：</w:t>
            </w:r>
          </w:p>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以上两项内容，每提供一项内容得</w:t>
            </w:r>
            <w:r>
              <w:rPr>
                <w:rFonts w:hint="eastAsia" w:ascii="宋体" w:hAnsi="宋体" w:cs="宋体"/>
                <w:color w:val="000000" w:themeColor="text1"/>
                <w:kern w:val="0"/>
                <w:sz w:val="24"/>
                <w:highlight w:val="none"/>
                <w14:textFill>
                  <w14:solidFill>
                    <w14:schemeClr w14:val="tx1"/>
                  </w14:solidFill>
                </w14:textFill>
              </w:rPr>
              <w:t>2.5</w:t>
            </w:r>
            <w:r>
              <w:rPr>
                <w:rFonts w:hint="eastAsia" w:ascii="宋体" w:hAnsi="宋体" w:cs="宋体"/>
                <w:color w:val="000000" w:themeColor="text1"/>
                <w:kern w:val="0"/>
                <w:sz w:val="24"/>
                <w:highlight w:val="none"/>
                <w:lang w:val="zh-CN"/>
                <w14:textFill>
                  <w14:solidFill>
                    <w14:schemeClr w14:val="tx1"/>
                  </w14:solidFill>
                </w14:textFill>
              </w:rPr>
              <w:t>分，最高得</w:t>
            </w:r>
            <w:r>
              <w:rPr>
                <w:rFonts w:hint="eastAsia" w:ascii="宋体" w:hAnsi="宋体" w:cs="宋体"/>
                <w:color w:val="000000" w:themeColor="text1"/>
                <w:kern w:val="0"/>
                <w:sz w:val="24"/>
                <w:highlight w:val="none"/>
                <w14:textFill>
                  <w14:solidFill>
                    <w14:schemeClr w14:val="tx1"/>
                  </w14:solidFill>
                </w14:textFill>
              </w:rPr>
              <w:t>5</w:t>
            </w:r>
            <w:r>
              <w:rPr>
                <w:rFonts w:hint="eastAsia" w:ascii="宋体" w:hAnsi="宋体" w:cs="宋体"/>
                <w:color w:val="000000" w:themeColor="text1"/>
                <w:kern w:val="0"/>
                <w:sz w:val="24"/>
                <w:highlight w:val="none"/>
                <w:lang w:val="zh-CN"/>
                <w14:textFill>
                  <w14:solidFill>
                    <w14:schemeClr w14:val="tx1"/>
                  </w14:solidFill>
                </w14:textFill>
              </w:rPr>
              <w:t>分。</w:t>
            </w:r>
          </w:p>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在此基础上，根据各供应商提交方案中对</w:t>
            </w:r>
            <w:r>
              <w:rPr>
                <w:rFonts w:hint="eastAsia" w:ascii="宋体" w:hAnsi="宋体" w:cs="宋体"/>
                <w:color w:val="000000" w:themeColor="text1"/>
                <w:kern w:val="0"/>
                <w:sz w:val="24"/>
                <w:highlight w:val="none"/>
                <w14:textFill>
                  <w14:solidFill>
                    <w14:schemeClr w14:val="tx1"/>
                  </w14:solidFill>
                </w14:textFill>
              </w:rPr>
              <w:t>每项</w:t>
            </w:r>
            <w:r>
              <w:rPr>
                <w:rFonts w:hint="eastAsia" w:ascii="宋体" w:hAnsi="宋体" w:cs="宋体"/>
                <w:color w:val="000000" w:themeColor="text1"/>
                <w:kern w:val="0"/>
                <w:sz w:val="24"/>
                <w:highlight w:val="none"/>
                <w:lang w:val="zh-CN"/>
                <w14:textFill>
                  <w14:solidFill>
                    <w14:schemeClr w14:val="tx1"/>
                  </w14:solidFill>
                </w14:textFill>
              </w:rPr>
              <w:t>内容的响应程度进一步评审：</w:t>
            </w:r>
          </w:p>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1.内容完善全面，合理性强得</w:t>
            </w:r>
            <w:r>
              <w:rPr>
                <w:rFonts w:hint="eastAsia" w:ascii="宋体" w:hAnsi="宋体" w:cs="宋体"/>
                <w:color w:val="000000" w:themeColor="text1"/>
                <w:kern w:val="0"/>
                <w:sz w:val="24"/>
                <w:highlight w:val="none"/>
                <w14:textFill>
                  <w14:solidFill>
                    <w14:schemeClr w14:val="tx1"/>
                  </w14:solidFill>
                </w14:textFill>
              </w:rPr>
              <w:t>5</w:t>
            </w:r>
            <w:r>
              <w:rPr>
                <w:rFonts w:hint="eastAsia" w:ascii="宋体" w:hAnsi="宋体" w:cs="宋体"/>
                <w:color w:val="000000" w:themeColor="text1"/>
                <w:kern w:val="0"/>
                <w:sz w:val="24"/>
                <w:highlight w:val="none"/>
                <w:lang w:val="zh-CN"/>
                <w14:textFill>
                  <w14:solidFill>
                    <w14:schemeClr w14:val="tx1"/>
                  </w14:solidFill>
                </w14:textFill>
              </w:rPr>
              <w:t>分；</w:t>
            </w:r>
          </w:p>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2.内容较全面，合理性较强得</w:t>
            </w:r>
            <w:r>
              <w:rPr>
                <w:rFonts w:hint="eastAsia" w:ascii="宋体" w:hAnsi="宋体" w:cs="宋体"/>
                <w:color w:val="000000" w:themeColor="text1"/>
                <w:kern w:val="0"/>
                <w:sz w:val="24"/>
                <w:highlight w:val="none"/>
                <w:lang w:val="en-US" w:eastAsia="zh-CN"/>
                <w14:textFill>
                  <w14:solidFill>
                    <w14:schemeClr w14:val="tx1"/>
                  </w14:solidFill>
                </w14:textFill>
              </w:rPr>
              <w:t>2</w:t>
            </w:r>
            <w:r>
              <w:rPr>
                <w:rFonts w:hint="eastAsia" w:ascii="宋体" w:hAnsi="宋体" w:cs="宋体"/>
                <w:color w:val="000000" w:themeColor="text1"/>
                <w:kern w:val="0"/>
                <w:sz w:val="24"/>
                <w:highlight w:val="none"/>
                <w:lang w:val="zh-CN"/>
                <w14:textFill>
                  <w14:solidFill>
                    <w14:schemeClr w14:val="tx1"/>
                  </w14:solidFill>
                </w14:textFill>
              </w:rPr>
              <w:t>分；</w:t>
            </w:r>
          </w:p>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3.内容基本满足，但合理性一般得</w:t>
            </w:r>
            <w:r>
              <w:rPr>
                <w:rFonts w:hint="eastAsia" w:ascii="宋体" w:hAnsi="宋体" w:cs="宋体"/>
                <w:color w:val="000000" w:themeColor="text1"/>
                <w:kern w:val="0"/>
                <w:sz w:val="24"/>
                <w:highlight w:val="none"/>
                <w14:textFill>
                  <w14:solidFill>
                    <w14:schemeClr w14:val="tx1"/>
                  </w14:solidFill>
                </w14:textFill>
              </w:rPr>
              <w:t>1</w:t>
            </w:r>
            <w:r>
              <w:rPr>
                <w:rFonts w:hint="eastAsia" w:ascii="宋体" w:hAnsi="宋体" w:cs="宋体"/>
                <w:color w:val="000000" w:themeColor="text1"/>
                <w:kern w:val="0"/>
                <w:sz w:val="24"/>
                <w:highlight w:val="none"/>
                <w:lang w:val="zh-CN"/>
                <w14:textFill>
                  <w14:solidFill>
                    <w14:schemeClr w14:val="tx1"/>
                  </w14:solidFill>
                </w14:textFill>
              </w:rPr>
              <w:t>分；</w:t>
            </w:r>
          </w:p>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4.内容合理性较差不得分。</w:t>
            </w:r>
          </w:p>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如果评审为差，要求专家书面说明理由，并记录在档。</w:t>
            </w:r>
          </w:p>
        </w:tc>
        <w:tc>
          <w:tcPr>
            <w:tcW w:w="816"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受托运营管理能力</w:t>
            </w:r>
          </w:p>
        </w:tc>
        <w:tc>
          <w:tcPr>
            <w:tcW w:w="5992" w:type="dxa"/>
          </w:tcPr>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（一）评审内容：</w:t>
            </w:r>
          </w:p>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供应商应具备全面的受托运营管理能力。包括：</w:t>
            </w:r>
          </w:p>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1.受托运营各环节流程完整，并设有相应流程标准，对离职人员的管理方案设计和安排清晰，对退休待遇支付的管理方案设计和安排明确；</w:t>
            </w:r>
          </w:p>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2.系统建设全面，支持缴费与支付全流程系统化操作，能够对待遇支付全流程进行跟踪。</w:t>
            </w:r>
          </w:p>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二</w:t>
            </w:r>
            <w:r>
              <w:rPr>
                <w:rFonts w:hint="eastAsia" w:ascii="宋体" w:hAnsi="宋体" w:cs="宋体"/>
                <w:color w:val="000000" w:themeColor="text1"/>
                <w:kern w:val="0"/>
                <w:sz w:val="24"/>
                <w:highlight w:val="none"/>
                <w:lang w:val="zh-CN"/>
                <w14:textFill>
                  <w14:solidFill>
                    <w14:schemeClr w14:val="tx1"/>
                  </w14:solidFill>
                </w14:textFill>
              </w:rPr>
              <w:t>）评分标准：</w:t>
            </w:r>
          </w:p>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以上两项内容，每提供一项内容得</w:t>
            </w:r>
            <w:r>
              <w:rPr>
                <w:rFonts w:hint="eastAsia" w:ascii="宋体" w:hAnsi="宋体" w:cs="宋体"/>
                <w:color w:val="000000" w:themeColor="text1"/>
                <w:kern w:val="0"/>
                <w:sz w:val="24"/>
                <w:highlight w:val="none"/>
                <w14:textFill>
                  <w14:solidFill>
                    <w14:schemeClr w14:val="tx1"/>
                  </w14:solidFill>
                </w14:textFill>
              </w:rPr>
              <w:t>1</w:t>
            </w:r>
            <w:r>
              <w:rPr>
                <w:rFonts w:hint="eastAsia" w:ascii="宋体" w:hAnsi="宋体" w:cs="宋体"/>
                <w:color w:val="000000" w:themeColor="text1"/>
                <w:kern w:val="0"/>
                <w:sz w:val="24"/>
                <w:highlight w:val="none"/>
                <w:lang w:val="zh-CN"/>
                <w14:textFill>
                  <w14:solidFill>
                    <w14:schemeClr w14:val="tx1"/>
                  </w14:solidFill>
                </w14:textFill>
              </w:rPr>
              <w:t>分，最高得</w:t>
            </w:r>
            <w:r>
              <w:rPr>
                <w:rFonts w:hint="eastAsia" w:ascii="宋体" w:hAnsi="宋体" w:cs="宋体"/>
                <w:color w:val="000000" w:themeColor="text1"/>
                <w:kern w:val="0"/>
                <w:sz w:val="24"/>
                <w:highlight w:val="none"/>
                <w14:textFill>
                  <w14:solidFill>
                    <w14:schemeClr w14:val="tx1"/>
                  </w14:solidFill>
                </w14:textFill>
              </w:rPr>
              <w:t>2</w:t>
            </w:r>
            <w:r>
              <w:rPr>
                <w:rFonts w:hint="eastAsia" w:ascii="宋体" w:hAnsi="宋体" w:cs="宋体"/>
                <w:color w:val="000000" w:themeColor="text1"/>
                <w:kern w:val="0"/>
                <w:sz w:val="24"/>
                <w:highlight w:val="none"/>
                <w:lang w:val="zh-CN"/>
                <w14:textFill>
                  <w14:solidFill>
                    <w14:schemeClr w14:val="tx1"/>
                  </w14:solidFill>
                </w14:textFill>
              </w:rPr>
              <w:t>分。</w:t>
            </w:r>
          </w:p>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在此基础上，根据各供应商提交方案中对</w:t>
            </w:r>
            <w:r>
              <w:rPr>
                <w:rFonts w:hint="eastAsia" w:ascii="宋体" w:hAnsi="宋体" w:cs="宋体"/>
                <w:color w:val="000000" w:themeColor="text1"/>
                <w:kern w:val="0"/>
                <w:sz w:val="24"/>
                <w:highlight w:val="none"/>
                <w14:textFill>
                  <w14:solidFill>
                    <w14:schemeClr w14:val="tx1"/>
                  </w14:solidFill>
                </w14:textFill>
              </w:rPr>
              <w:t>每项</w:t>
            </w:r>
            <w:r>
              <w:rPr>
                <w:rFonts w:hint="eastAsia" w:ascii="宋体" w:hAnsi="宋体" w:cs="宋体"/>
                <w:color w:val="000000" w:themeColor="text1"/>
                <w:kern w:val="0"/>
                <w:sz w:val="24"/>
                <w:highlight w:val="none"/>
                <w:lang w:val="zh-CN"/>
                <w14:textFill>
                  <w14:solidFill>
                    <w14:schemeClr w14:val="tx1"/>
                  </w14:solidFill>
                </w14:textFill>
              </w:rPr>
              <w:t>内容的响应程度进一步评审：</w:t>
            </w:r>
          </w:p>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1.内容完善全面，合理性强得2分；</w:t>
            </w:r>
          </w:p>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2.内容较全面，合理性较强得1分；</w:t>
            </w:r>
          </w:p>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3.内容基本满足，但合理性一般得0.5分；</w:t>
            </w:r>
          </w:p>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4.内容合理性较差不得分。</w:t>
            </w:r>
          </w:p>
          <w:p>
            <w:pPr>
              <w:spacing w:line="360" w:lineRule="auto"/>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如果评审为差，要求专家书面说明理由，并记录在档。</w:t>
            </w:r>
          </w:p>
        </w:tc>
        <w:tc>
          <w:tcPr>
            <w:tcW w:w="816"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评审委员打分</w:t>
            </w:r>
          </w:p>
        </w:tc>
      </w:tr>
    </w:tbl>
    <w:p>
      <w:pPr>
        <w:rPr>
          <w:rFonts w:hint="eastAsia" w:ascii="宋体" w:hAnsi="宋体" w:cs="宋体"/>
          <w:b/>
          <w:bCs/>
          <w:color w:val="000000" w:themeColor="text1"/>
          <w:sz w:val="24"/>
          <w:highlight w:val="none"/>
          <w14:textFill>
            <w14:solidFill>
              <w14:schemeClr w14:val="tx1"/>
            </w14:solidFill>
          </w14:textFill>
        </w:rPr>
      </w:pPr>
      <w:bookmarkStart w:id="143" w:name="_Toc9548"/>
      <w:bookmarkStart w:id="144" w:name="_Hlk28269117"/>
      <w:r>
        <w:rPr>
          <w:rFonts w:hint="eastAsia" w:ascii="宋体" w:hAnsi="宋体" w:cs="宋体"/>
          <w:b/>
          <w:bCs/>
          <w:color w:val="000000" w:themeColor="text1"/>
          <w:sz w:val="24"/>
          <w:highlight w:val="none"/>
          <w14:textFill>
            <w14:solidFill>
              <w14:schemeClr w14:val="tx1"/>
            </w14:solidFill>
          </w14:textFill>
        </w:rPr>
        <w:br w:type="page"/>
      </w:r>
    </w:p>
    <w:p>
      <w:pPr>
        <w:spacing w:line="360" w:lineRule="auto"/>
        <w:jc w:val="center"/>
        <w:outlineLvl w:val="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第七章 附件（投标文件格式）</w:t>
      </w:r>
      <w:bookmarkEnd w:id="143"/>
    </w:p>
    <w:p>
      <w:pPr>
        <w:keepNext/>
        <w:keepLines/>
        <w:spacing w:before="260" w:after="260" w:line="440" w:lineRule="exact"/>
        <w:jc w:val="center"/>
        <w:outlineLvl w:val="1"/>
        <w:rPr>
          <w:rFonts w:hint="eastAsia" w:ascii="宋体" w:hAnsi="宋体" w:cs="宋体"/>
          <w:b/>
          <w:bCs/>
          <w:color w:val="000000" w:themeColor="text1"/>
          <w:sz w:val="24"/>
          <w:highlight w:val="none"/>
          <w14:textFill>
            <w14:solidFill>
              <w14:schemeClr w14:val="tx1"/>
            </w14:solidFill>
          </w14:textFill>
        </w:rPr>
      </w:pPr>
      <w:bookmarkStart w:id="145" w:name="_Toc19494"/>
      <w:bookmarkStart w:id="146" w:name="_Toc5116"/>
      <w:bookmarkStart w:id="147" w:name="_Toc31827"/>
      <w:bookmarkStart w:id="148" w:name="_Toc6548"/>
      <w:r>
        <w:rPr>
          <w:rFonts w:hint="eastAsia" w:ascii="宋体" w:hAnsi="宋体" w:cs="宋体"/>
          <w:b/>
          <w:bCs/>
          <w:color w:val="000000" w:themeColor="text1"/>
          <w:sz w:val="24"/>
          <w:highlight w:val="none"/>
          <w14:textFill>
            <w14:solidFill>
              <w14:schemeClr w14:val="tx1"/>
            </w14:solidFill>
          </w14:textFill>
        </w:rPr>
        <w:t>1、投标文件密封袋/封面参考</w:t>
      </w:r>
      <w:bookmarkEnd w:id="145"/>
      <w:bookmarkEnd w:id="146"/>
      <w:bookmarkEnd w:id="147"/>
      <w:bookmarkEnd w:id="148"/>
    </w:p>
    <w:tbl>
      <w:tblPr>
        <w:tblStyle w:val="20"/>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9"/>
              <w:tabs>
                <w:tab w:val="left" w:pos="562"/>
                <w:tab w:val="left" w:pos="3372"/>
                <w:tab w:val="left" w:pos="3653"/>
              </w:tabs>
              <w:spacing w:line="360" w:lineRule="auto"/>
              <w:rPr>
                <w:rFonts w:ascii="仿宋_GB2312" w:eastAsia="仿宋_GB2312"/>
                <w:b/>
                <w:color w:val="000000" w:themeColor="text1"/>
                <w:sz w:val="32"/>
                <w:highlight w:val="none"/>
                <w14:textFill>
                  <w14:solidFill>
                    <w14:schemeClr w14:val="tx1"/>
                  </w14:solidFill>
                </w14:textFill>
              </w:rPr>
            </w:pPr>
          </w:p>
          <w:p>
            <w:pPr>
              <w:pStyle w:val="9"/>
              <w:tabs>
                <w:tab w:val="left" w:pos="562"/>
                <w:tab w:val="left" w:pos="3372"/>
                <w:tab w:val="left" w:pos="3653"/>
              </w:tabs>
              <w:spacing w:line="360" w:lineRule="auto"/>
              <w:jc w:val="center"/>
              <w:rPr>
                <w:rFonts w:ascii="黑体" w:eastAsia="黑体"/>
                <w:b/>
                <w:color w:val="000000" w:themeColor="text1"/>
                <w:sz w:val="72"/>
                <w:szCs w:val="72"/>
                <w:highlight w:val="none"/>
                <w14:textFill>
                  <w14:solidFill>
                    <w14:schemeClr w14:val="tx1"/>
                  </w14:solidFill>
                </w14:textFill>
              </w:rPr>
            </w:pPr>
          </w:p>
          <w:p>
            <w:pPr>
              <w:pStyle w:val="9"/>
              <w:tabs>
                <w:tab w:val="left" w:pos="562"/>
                <w:tab w:val="left" w:pos="3372"/>
                <w:tab w:val="left" w:pos="3653"/>
              </w:tabs>
              <w:spacing w:line="360" w:lineRule="auto"/>
              <w:jc w:val="center"/>
              <w:rPr>
                <w:rFonts w:ascii="黑体" w:eastAsia="黑体"/>
                <w:b/>
                <w:color w:val="000000" w:themeColor="text1"/>
                <w:sz w:val="72"/>
                <w:szCs w:val="72"/>
                <w:highlight w:val="none"/>
                <w14:textFill>
                  <w14:solidFill>
                    <w14:schemeClr w14:val="tx1"/>
                  </w14:solidFill>
                </w14:textFill>
              </w:rPr>
            </w:pPr>
            <w:r>
              <w:rPr>
                <w:rFonts w:hint="eastAsia" w:ascii="黑体" w:eastAsia="黑体"/>
                <w:b/>
                <w:color w:val="000000" w:themeColor="text1"/>
                <w:sz w:val="72"/>
                <w:szCs w:val="72"/>
                <w:highlight w:val="none"/>
                <w14:textFill>
                  <w14:solidFill>
                    <w14:schemeClr w14:val="tx1"/>
                  </w14:solidFill>
                </w14:textFill>
              </w:rPr>
              <w:t>投 标 文 件</w:t>
            </w:r>
          </w:p>
          <w:p>
            <w:pPr>
              <w:pStyle w:val="9"/>
              <w:tabs>
                <w:tab w:val="left" w:pos="562"/>
                <w:tab w:val="left" w:pos="3372"/>
                <w:tab w:val="left" w:pos="3653"/>
              </w:tabs>
              <w:spacing w:line="360" w:lineRule="auto"/>
              <w:jc w:val="center"/>
              <w:rPr>
                <w:rFonts w:ascii="黑体" w:eastAsia="黑体"/>
                <w:b/>
                <w:strike/>
                <w:color w:val="000000" w:themeColor="text1"/>
                <w:sz w:val="32"/>
                <w:highlight w:val="none"/>
                <w14:textFill>
                  <w14:solidFill>
                    <w14:schemeClr w14:val="tx1"/>
                  </w14:solidFill>
                </w14:textFill>
              </w:rPr>
            </w:pPr>
          </w:p>
          <w:p>
            <w:pPr>
              <w:spacing w:after="120" w:line="360" w:lineRule="auto"/>
              <w:ind w:firstLine="3385" w:firstLineChars="651"/>
              <w:textAlignment w:val="baseline"/>
              <w:rPr>
                <w:rFonts w:ascii="黑体" w:eastAsia="黑体"/>
                <w:color w:val="000000" w:themeColor="text1"/>
                <w:sz w:val="32"/>
                <w:highlight w:val="none"/>
                <w14:textFill>
                  <w14:solidFill>
                    <w14:schemeClr w14:val="tx1"/>
                  </w14:solidFill>
                </w14:textFill>
              </w:rPr>
            </w:pPr>
            <w:r>
              <w:rPr>
                <w:rFonts w:hint="eastAsia" w:ascii="黑体" w:eastAsia="黑体"/>
                <w:color w:val="000000" w:themeColor="text1"/>
                <w:sz w:val="52"/>
                <w:szCs w:val="52"/>
                <w:highlight w:val="none"/>
                <w14:textFill>
                  <w14:solidFill>
                    <w14:schemeClr w14:val="tx1"/>
                  </w14:solidFill>
                </w14:textFill>
              </w:rPr>
              <w:t xml:space="preserve">口 </w:t>
            </w:r>
            <w:r>
              <w:rPr>
                <w:rFonts w:hint="eastAsia" w:ascii="黑体" w:eastAsia="黑体"/>
                <w:color w:val="000000" w:themeColor="text1"/>
                <w:sz w:val="32"/>
                <w:highlight w:val="none"/>
                <w14:textFill>
                  <w14:solidFill>
                    <w14:schemeClr w14:val="tx1"/>
                  </w14:solidFill>
                </w14:textFill>
              </w:rPr>
              <w:t>正本</w:t>
            </w:r>
          </w:p>
          <w:p>
            <w:pPr>
              <w:spacing w:after="120" w:line="360" w:lineRule="auto"/>
              <w:ind w:firstLine="3385" w:firstLineChars="651"/>
              <w:textAlignment w:val="baseline"/>
              <w:rPr>
                <w:rFonts w:ascii="黑体" w:eastAsia="黑体"/>
                <w:color w:val="000000" w:themeColor="text1"/>
                <w:sz w:val="32"/>
                <w:highlight w:val="none"/>
                <w14:textFill>
                  <w14:solidFill>
                    <w14:schemeClr w14:val="tx1"/>
                  </w14:solidFill>
                </w14:textFill>
              </w:rPr>
            </w:pPr>
            <w:r>
              <w:rPr>
                <w:rFonts w:hint="eastAsia" w:ascii="黑体" w:eastAsia="黑体"/>
                <w:color w:val="000000" w:themeColor="text1"/>
                <w:sz w:val="52"/>
                <w:szCs w:val="52"/>
                <w:highlight w:val="none"/>
                <w14:textFill>
                  <w14:solidFill>
                    <w14:schemeClr w14:val="tx1"/>
                  </w14:solidFill>
                </w14:textFill>
              </w:rPr>
              <w:t xml:space="preserve">口 </w:t>
            </w:r>
            <w:r>
              <w:rPr>
                <w:rFonts w:hint="eastAsia" w:ascii="黑体" w:eastAsia="黑体"/>
                <w:color w:val="000000" w:themeColor="text1"/>
                <w:sz w:val="32"/>
                <w:highlight w:val="none"/>
                <w14:textFill>
                  <w14:solidFill>
                    <w14:schemeClr w14:val="tx1"/>
                  </w14:solidFill>
                </w14:textFill>
              </w:rPr>
              <w:t>副本</w:t>
            </w:r>
          </w:p>
          <w:p>
            <w:pPr>
              <w:pStyle w:val="9"/>
              <w:tabs>
                <w:tab w:val="left" w:pos="562"/>
                <w:tab w:val="left" w:pos="3372"/>
                <w:tab w:val="left" w:pos="3653"/>
              </w:tabs>
              <w:spacing w:line="360" w:lineRule="auto"/>
              <w:rPr>
                <w:rFonts w:ascii="仿宋_GB2312" w:eastAsia="仿宋_GB2312"/>
                <w:b/>
                <w:color w:val="000000" w:themeColor="text1"/>
                <w:sz w:val="32"/>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9"/>
              <w:tabs>
                <w:tab w:val="left" w:pos="562"/>
                <w:tab w:val="left" w:pos="3372"/>
                <w:tab w:val="left" w:pos="3653"/>
              </w:tabs>
              <w:spacing w:line="400" w:lineRule="exact"/>
              <w:ind w:firstLine="900" w:firstLineChars="320"/>
              <w:rPr>
                <w:rFonts w:ascii="仿宋_GB2312" w:eastAsia="仿宋_GB2312"/>
                <w:b/>
                <w:color w:val="000000" w:themeColor="text1"/>
                <w:sz w:val="28"/>
                <w:szCs w:val="28"/>
                <w:highlight w:val="none"/>
                <w14:textFill>
                  <w14:solidFill>
                    <w14:schemeClr w14:val="tx1"/>
                  </w14:solidFill>
                </w14:textFill>
              </w:rPr>
            </w:pPr>
          </w:p>
          <w:p>
            <w:pPr>
              <w:pStyle w:val="9"/>
              <w:tabs>
                <w:tab w:val="left" w:pos="562"/>
                <w:tab w:val="left" w:pos="3372"/>
                <w:tab w:val="left" w:pos="3653"/>
              </w:tabs>
              <w:spacing w:line="400" w:lineRule="exact"/>
              <w:ind w:firstLine="900" w:firstLineChars="320"/>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项目编号：</w:t>
            </w:r>
            <w:r>
              <w:rPr>
                <w:rFonts w:hint="eastAsia" w:ascii="宋体" w:hAnsi="宋体" w:cs="Arial"/>
                <w:b/>
                <w:bCs/>
                <w:color w:val="000000" w:themeColor="text1"/>
                <w:sz w:val="28"/>
                <w:szCs w:val="28"/>
                <w:highlight w:val="none"/>
                <w:u w:val="single"/>
                <w14:textFill>
                  <w14:solidFill>
                    <w14:schemeClr w14:val="tx1"/>
                  </w14:solidFill>
                </w14:textFill>
              </w:rPr>
              <w:t xml:space="preserve">                                   </w:t>
            </w:r>
          </w:p>
          <w:p>
            <w:pPr>
              <w:pStyle w:val="9"/>
              <w:tabs>
                <w:tab w:val="left" w:pos="562"/>
                <w:tab w:val="left" w:pos="3372"/>
                <w:tab w:val="left" w:pos="3653"/>
              </w:tabs>
              <w:spacing w:line="400" w:lineRule="exact"/>
              <w:ind w:firstLine="900" w:firstLineChars="320"/>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项目名称：</w:t>
            </w:r>
            <w:r>
              <w:rPr>
                <w:rFonts w:hint="eastAsia" w:ascii="宋体" w:hAnsi="宋体" w:cs="Arial"/>
                <w:b/>
                <w:bCs/>
                <w:color w:val="000000" w:themeColor="text1"/>
                <w:sz w:val="28"/>
                <w:szCs w:val="28"/>
                <w:highlight w:val="none"/>
                <w:u w:val="single"/>
                <w14:textFill>
                  <w14:solidFill>
                    <w14:schemeClr w14:val="tx1"/>
                  </w14:solidFill>
                </w14:textFill>
              </w:rPr>
              <w:t xml:space="preserve">                                   </w:t>
            </w:r>
          </w:p>
          <w:p>
            <w:pPr>
              <w:pStyle w:val="9"/>
              <w:tabs>
                <w:tab w:val="left" w:pos="562"/>
                <w:tab w:val="left" w:pos="3372"/>
                <w:tab w:val="left" w:pos="3653"/>
              </w:tabs>
              <w:spacing w:line="400" w:lineRule="exact"/>
              <w:ind w:firstLine="900" w:firstLineChars="320"/>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投标人名称：</w:t>
            </w:r>
            <w:r>
              <w:rPr>
                <w:rFonts w:hint="eastAsia" w:ascii="宋体" w:hAnsi="宋体" w:cs="Arial"/>
                <w:b/>
                <w:bCs/>
                <w:color w:val="000000" w:themeColor="text1"/>
                <w:sz w:val="28"/>
                <w:szCs w:val="28"/>
                <w:highlight w:val="none"/>
                <w:u w:val="single"/>
                <w14:textFill>
                  <w14:solidFill>
                    <w14:schemeClr w14:val="tx1"/>
                  </w14:solidFill>
                </w14:textFill>
              </w:rPr>
              <w:t xml:space="preserve">                     （加盖公章）</w:t>
            </w:r>
          </w:p>
          <w:p>
            <w:pPr>
              <w:pStyle w:val="9"/>
              <w:tabs>
                <w:tab w:val="left" w:pos="562"/>
                <w:tab w:val="left" w:pos="3372"/>
                <w:tab w:val="left" w:pos="3653"/>
              </w:tabs>
              <w:spacing w:line="400" w:lineRule="exact"/>
              <w:ind w:firstLine="900" w:firstLineChars="320"/>
              <w:rPr>
                <w:rFonts w:hint="eastAsia" w:ascii="宋体" w:hAnsi="宋体" w:cs="Arial"/>
                <w:b/>
                <w:bCs/>
                <w:color w:val="000000" w:themeColor="text1"/>
                <w:sz w:val="28"/>
                <w:szCs w:val="28"/>
                <w:highlight w:val="none"/>
                <w:u w:val="singl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投标人地址：</w:t>
            </w:r>
            <w:r>
              <w:rPr>
                <w:rFonts w:hint="eastAsia" w:ascii="宋体" w:hAnsi="宋体" w:cs="Arial"/>
                <w:b/>
                <w:bCs/>
                <w:color w:val="000000" w:themeColor="text1"/>
                <w:sz w:val="28"/>
                <w:szCs w:val="28"/>
                <w:highlight w:val="none"/>
                <w:u w:val="single"/>
                <w14:textFill>
                  <w14:solidFill>
                    <w14:schemeClr w14:val="tx1"/>
                  </w14:solidFill>
                </w14:textFill>
              </w:rPr>
              <w:t xml:space="preserve">                                 </w:t>
            </w:r>
          </w:p>
          <w:p>
            <w:pPr>
              <w:pStyle w:val="9"/>
              <w:tabs>
                <w:tab w:val="left" w:pos="562"/>
                <w:tab w:val="left" w:pos="3372"/>
                <w:tab w:val="left" w:pos="3653"/>
              </w:tabs>
              <w:spacing w:line="400" w:lineRule="exact"/>
              <w:ind w:firstLine="900" w:firstLineChars="320"/>
              <w:rPr>
                <w:rFonts w:hint="eastAsia" w:ascii="宋体" w:hAnsi="宋体" w:cs="Arial"/>
                <w:b/>
                <w:bCs/>
                <w:color w:val="000000" w:themeColor="text1"/>
                <w:sz w:val="28"/>
                <w:szCs w:val="28"/>
                <w:highlight w:val="none"/>
                <w:u w:val="single"/>
                <w14:textFill>
                  <w14:solidFill>
                    <w14:schemeClr w14:val="tx1"/>
                  </w14:solidFill>
                </w14:textFill>
              </w:rPr>
            </w:pPr>
            <w:r>
              <w:rPr>
                <w:rFonts w:hint="eastAsia" w:ascii="宋体" w:hAnsi="宋体" w:cs="Arial"/>
                <w:b/>
                <w:bCs/>
                <w:color w:val="000000" w:themeColor="text1"/>
                <w:sz w:val="28"/>
                <w:szCs w:val="28"/>
                <w:highlight w:val="none"/>
                <w14:textFill>
                  <w14:solidFill>
                    <w14:schemeClr w14:val="tx1"/>
                  </w14:solidFill>
                </w14:textFill>
              </w:rPr>
              <w:t>法定代表人/被授权人：</w:t>
            </w:r>
            <w:r>
              <w:rPr>
                <w:rFonts w:hint="eastAsia" w:ascii="宋体" w:hAnsi="宋体" w:cs="Arial"/>
                <w:b/>
                <w:bCs/>
                <w:color w:val="000000" w:themeColor="text1"/>
                <w:sz w:val="28"/>
                <w:szCs w:val="28"/>
                <w:highlight w:val="none"/>
                <w:u w:val="single"/>
                <w14:textFill>
                  <w14:solidFill>
                    <w14:schemeClr w14:val="tx1"/>
                  </w14:solidFill>
                </w14:textFill>
              </w:rPr>
              <w:t xml:space="preserve">                        </w:t>
            </w:r>
          </w:p>
          <w:p>
            <w:pPr>
              <w:pStyle w:val="9"/>
              <w:tabs>
                <w:tab w:val="left" w:pos="562"/>
                <w:tab w:val="left" w:pos="3372"/>
                <w:tab w:val="left" w:pos="3653"/>
              </w:tabs>
              <w:spacing w:line="400" w:lineRule="exact"/>
              <w:ind w:firstLine="900" w:firstLineChars="320"/>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Arial"/>
                <w:b/>
                <w:bCs/>
                <w:color w:val="000000" w:themeColor="text1"/>
                <w:sz w:val="28"/>
                <w:szCs w:val="28"/>
                <w:highlight w:val="none"/>
                <w14:textFill>
                  <w14:solidFill>
                    <w14:schemeClr w14:val="tx1"/>
                  </w14:solidFill>
                </w14:textFill>
              </w:rPr>
              <w:t>联系电话：</w:t>
            </w:r>
            <w:r>
              <w:rPr>
                <w:rFonts w:hint="eastAsia" w:ascii="宋体" w:hAnsi="宋体" w:cs="Arial"/>
                <w:b/>
                <w:bCs/>
                <w:color w:val="000000" w:themeColor="text1"/>
                <w:sz w:val="28"/>
                <w:szCs w:val="28"/>
                <w:highlight w:val="none"/>
                <w:u w:val="single"/>
                <w14:textFill>
                  <w14:solidFill>
                    <w14:schemeClr w14:val="tx1"/>
                  </w14:solidFill>
                </w14:textFill>
              </w:rPr>
              <w:t xml:space="preserve">                                   </w:t>
            </w:r>
          </w:p>
          <w:p>
            <w:pPr>
              <w:spacing w:line="360" w:lineRule="auto"/>
              <w:jc w:val="center"/>
              <w:rPr>
                <w:rFonts w:hint="eastAsia" w:ascii="宋体" w:hAnsi="宋体" w:cs="Arial"/>
                <w:b/>
                <w:bCs/>
                <w:color w:val="000000" w:themeColor="text1"/>
                <w:sz w:val="28"/>
                <w:szCs w:val="28"/>
                <w:highlight w:val="none"/>
                <w14:textFill>
                  <w14:solidFill>
                    <w14:schemeClr w14:val="tx1"/>
                  </w14:solidFill>
                </w14:textFill>
              </w:rPr>
            </w:pPr>
          </w:p>
          <w:p>
            <w:pPr>
              <w:spacing w:line="360" w:lineRule="auto"/>
              <w:jc w:val="center"/>
              <w:rPr>
                <w:rFonts w:hint="eastAsia" w:ascii="宋体" w:hAnsi="宋体" w:cs="Arial"/>
                <w:b/>
                <w:bCs/>
                <w:color w:val="000000" w:themeColor="text1"/>
                <w:sz w:val="28"/>
                <w:szCs w:val="28"/>
                <w:highlight w:val="none"/>
                <w14:textFill>
                  <w14:solidFill>
                    <w14:schemeClr w14:val="tx1"/>
                  </w14:solidFill>
                </w14:textFill>
              </w:rPr>
            </w:pPr>
          </w:p>
          <w:p>
            <w:pPr>
              <w:spacing w:line="360" w:lineRule="auto"/>
              <w:jc w:val="center"/>
              <w:rPr>
                <w:rFonts w:ascii="仿宋_GB2312" w:eastAsia="仿宋_GB2312"/>
                <w:b/>
                <w:color w:val="000000" w:themeColor="text1"/>
                <w:sz w:val="32"/>
                <w:highlight w:val="none"/>
                <w14:textFill>
                  <w14:solidFill>
                    <w14:schemeClr w14:val="tx1"/>
                  </w14:solidFill>
                </w14:textFill>
              </w:rPr>
            </w:pPr>
            <w:r>
              <w:rPr>
                <w:rFonts w:hint="eastAsia" w:ascii="宋体" w:hAnsi="宋体" w:cs="Arial"/>
                <w:b/>
                <w:bCs/>
                <w:color w:val="000000" w:themeColor="text1"/>
                <w:sz w:val="28"/>
                <w:szCs w:val="28"/>
                <w:highlight w:val="none"/>
                <w14:textFill>
                  <w14:solidFill>
                    <w14:schemeClr w14:val="tx1"/>
                  </w14:solidFill>
                </w14:textFill>
              </w:rPr>
              <w:t>【年月日时分之前不得启封。】</w:t>
            </w:r>
          </w:p>
        </w:tc>
      </w:tr>
    </w:tbl>
    <w:p>
      <w:pPr>
        <w:spacing w:line="360" w:lineRule="auto"/>
        <w:jc w:val="center"/>
        <w:rPr>
          <w:rFonts w:hint="eastAsia" w:ascii="宋体" w:hAnsi="宋体" w:cs="宋体"/>
          <w:b/>
          <w:bCs/>
          <w:color w:val="000000" w:themeColor="text1"/>
          <w:sz w:val="24"/>
          <w:highlight w:val="none"/>
          <w14:textFill>
            <w14:solidFill>
              <w14:schemeClr w14:val="tx1"/>
            </w14:solidFill>
          </w14:textFill>
        </w:rPr>
      </w:pPr>
    </w:p>
    <w:p>
      <w:pPr>
        <w:spacing w:before="100" w:beforeAutospacing="1" w:after="100" w:afterAutospacing="1"/>
        <w:jc w:val="center"/>
        <w:outlineLvl w:val="1"/>
        <w:rPr>
          <w:rFonts w:hint="eastAsia" w:ascii="宋体" w:hAnsi="宋体" w:cs="宋体"/>
          <w:b/>
          <w:color w:val="000000" w:themeColor="text1"/>
          <w:sz w:val="24"/>
          <w:highlight w:val="none"/>
          <w14:textFill>
            <w14:solidFill>
              <w14:schemeClr w14:val="tx1"/>
            </w14:solidFill>
          </w14:textFill>
        </w:rPr>
      </w:pPr>
      <w:bookmarkStart w:id="149" w:name="_Toc16724"/>
      <w:r>
        <w:rPr>
          <w:rFonts w:hint="eastAsia" w:ascii="宋体" w:hAnsi="宋体" w:cs="宋体"/>
          <w:b/>
          <w:color w:val="000000" w:themeColor="text1"/>
          <w:sz w:val="24"/>
          <w:highlight w:val="none"/>
          <w14:textFill>
            <w14:solidFill>
              <w14:schemeClr w14:val="tx1"/>
            </w14:solidFill>
          </w14:textFill>
        </w:rPr>
        <w:t>2、投标文件—目录</w:t>
      </w:r>
      <w:bookmarkEnd w:id="149"/>
    </w:p>
    <w:p>
      <w:pPr>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（一）</w:t>
      </w:r>
      <w:r>
        <w:rPr>
          <w:rFonts w:hint="eastAsia" w:ascii="宋体" w:hAnsi="宋体" w:cs="宋体"/>
          <w:b/>
          <w:bCs/>
          <w:color w:val="000000" w:themeColor="text1"/>
          <w:sz w:val="24"/>
          <w:highlight w:val="none"/>
          <w:lang w:val="zh-CN"/>
          <w14:textFill>
            <w14:solidFill>
              <w14:schemeClr w14:val="tx1"/>
            </w14:solidFill>
          </w14:textFill>
        </w:rPr>
        <w:t>价格部分</w:t>
      </w:r>
    </w:p>
    <w:p>
      <w:pPr>
        <w:numPr>
          <w:ilvl w:val="0"/>
          <w:numId w:val="6"/>
        </w:numPr>
        <w:tabs>
          <w:tab w:val="left" w:pos="640"/>
          <w:tab w:val="clear" w:pos="425"/>
        </w:tabs>
        <w:spacing w:line="360" w:lineRule="auto"/>
        <w:ind w:left="625" w:hanging="625"/>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投标一览表；</w:t>
      </w:r>
    </w:p>
    <w:p>
      <w:pPr>
        <w:spacing w:line="360" w:lineRule="auto"/>
        <w:rPr>
          <w:rFonts w:hint="eastAsia" w:ascii="宋体" w:hAnsi="宋体" w:cs="宋体"/>
          <w:b/>
          <w:bCs/>
          <w:color w:val="000000" w:themeColor="text1"/>
          <w:sz w:val="24"/>
          <w:highlight w:val="none"/>
          <w:u w:val="wav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（二）商务部分</w:t>
      </w:r>
    </w:p>
    <w:p>
      <w:pPr>
        <w:numPr>
          <w:ilvl w:val="0"/>
          <w:numId w:val="7"/>
        </w:numPr>
        <w:tabs>
          <w:tab w:val="left" w:pos="640"/>
          <w:tab w:val="left" w:pos="1260"/>
          <w:tab w:val="left" w:pos="1418"/>
        </w:tabs>
        <w:spacing w:line="360" w:lineRule="auto"/>
        <w:ind w:left="845" w:hanging="845"/>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投标响应书；</w:t>
      </w:r>
    </w:p>
    <w:p>
      <w:pPr>
        <w:numPr>
          <w:ilvl w:val="0"/>
          <w:numId w:val="7"/>
        </w:numPr>
        <w:tabs>
          <w:tab w:val="left" w:pos="640"/>
          <w:tab w:val="left" w:pos="1260"/>
          <w:tab w:val="left" w:pos="1418"/>
        </w:tabs>
        <w:spacing w:line="360" w:lineRule="auto"/>
        <w:ind w:left="645" w:hanging="645"/>
        <w:rPr>
          <w:rFonts w:hint="eastAsia" w:ascii="宋体" w:hAnsi="宋体" w:cs="宋体"/>
          <w:color w:val="000000" w:themeColor="text1"/>
          <w:sz w:val="24"/>
          <w:highlight w:val="none"/>
          <w:lang w:val="fr-CH"/>
          <w14:textFill>
            <w14:solidFill>
              <w14:schemeClr w14:val="tx1"/>
            </w14:solidFill>
          </w14:textFill>
        </w:rPr>
      </w:pPr>
      <w:r>
        <w:rPr>
          <w:rFonts w:hint="eastAsia" w:ascii="宋体" w:hAnsi="宋体" w:cs="宋体"/>
          <w:color w:val="000000" w:themeColor="text1"/>
          <w:sz w:val="24"/>
          <w:highlight w:val="none"/>
          <w:lang w:val="fr-CH"/>
          <w14:textFill>
            <w14:solidFill>
              <w14:schemeClr w14:val="tx1"/>
            </w14:solidFill>
          </w14:textFill>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如以独立法人资格参与投标，但在投标材料中以分支机构公章代替总公司公章的，需提供总公司出具的公章授权书；</w:t>
      </w:r>
    </w:p>
    <w:p>
      <w:pPr>
        <w:numPr>
          <w:ilvl w:val="0"/>
          <w:numId w:val="7"/>
        </w:numPr>
        <w:tabs>
          <w:tab w:val="left" w:pos="640"/>
          <w:tab w:val="left" w:pos="1260"/>
          <w:tab w:val="left" w:pos="1418"/>
        </w:tabs>
        <w:spacing w:line="360" w:lineRule="auto"/>
        <w:ind w:left="645" w:hanging="645"/>
        <w:rPr>
          <w:rFonts w:hint="eastAsia" w:ascii="宋体" w:hAnsi="宋体" w:cs="宋体"/>
          <w:color w:val="000000" w:themeColor="text1"/>
          <w:sz w:val="24"/>
          <w:highlight w:val="none"/>
          <w:lang w:val="fr-CH"/>
          <w14:textFill>
            <w14:solidFill>
              <w14:schemeClr w14:val="tx1"/>
            </w14:solidFill>
          </w14:textFill>
        </w:rPr>
      </w:pPr>
      <w:r>
        <w:rPr>
          <w:rFonts w:hint="eastAsia" w:ascii="宋体" w:hAnsi="宋体" w:cs="宋体"/>
          <w:color w:val="000000" w:themeColor="text1"/>
          <w:sz w:val="24"/>
          <w:highlight w:val="none"/>
          <w:lang w:val="fr-CH"/>
          <w14:textFill>
            <w14:solidFill>
              <w14:schemeClr w14:val="tx1"/>
            </w14:solidFill>
          </w14:textFill>
        </w:rPr>
        <w:t>政府采购投标及履约承诺函；</w:t>
      </w:r>
    </w:p>
    <w:p>
      <w:pPr>
        <w:numPr>
          <w:ilvl w:val="0"/>
          <w:numId w:val="7"/>
        </w:numPr>
        <w:tabs>
          <w:tab w:val="left" w:pos="640"/>
          <w:tab w:val="left" w:pos="1260"/>
          <w:tab w:val="left" w:pos="1418"/>
        </w:tabs>
        <w:spacing w:line="360" w:lineRule="auto"/>
        <w:ind w:left="645" w:hanging="645"/>
        <w:rPr>
          <w:rFonts w:hint="eastAsia" w:ascii="宋体" w:hAnsi="宋体" w:cs="宋体"/>
          <w:color w:val="000000" w:themeColor="text1"/>
          <w:sz w:val="24"/>
          <w:highlight w:val="none"/>
          <w:lang w:val="fr-CH"/>
          <w14:textFill>
            <w14:solidFill>
              <w14:schemeClr w14:val="tx1"/>
            </w14:solidFill>
          </w14:textFill>
        </w:rPr>
      </w:pPr>
      <w:r>
        <w:rPr>
          <w:rFonts w:hint="eastAsia" w:ascii="宋体" w:hAnsi="宋体" w:cs="宋体"/>
          <w:color w:val="000000" w:themeColor="text1"/>
          <w:sz w:val="24"/>
          <w:highlight w:val="none"/>
          <w:lang w:val="fr-CH"/>
          <w14:textFill>
            <w14:solidFill>
              <w14:schemeClr w14:val="tx1"/>
            </w14:solidFill>
          </w14:textFill>
        </w:rPr>
        <w:t>关于资格的声明函；</w:t>
      </w:r>
    </w:p>
    <w:p>
      <w:pPr>
        <w:numPr>
          <w:ilvl w:val="0"/>
          <w:numId w:val="7"/>
        </w:numPr>
        <w:tabs>
          <w:tab w:val="left" w:pos="640"/>
          <w:tab w:val="left" w:pos="1260"/>
          <w:tab w:val="left" w:pos="1418"/>
        </w:tabs>
        <w:spacing w:line="360" w:lineRule="auto"/>
        <w:ind w:left="645" w:hanging="645"/>
        <w:rPr>
          <w:rFonts w:hint="eastAsia" w:ascii="宋体" w:hAnsi="宋体" w:cs="宋体"/>
          <w:color w:val="000000" w:themeColor="text1"/>
          <w:sz w:val="24"/>
          <w:highlight w:val="none"/>
          <w:lang w:val="fr-CH"/>
          <w14:textFill>
            <w14:solidFill>
              <w14:schemeClr w14:val="tx1"/>
            </w14:solidFill>
          </w14:textFill>
        </w:rPr>
      </w:pPr>
      <w:r>
        <w:rPr>
          <w:rFonts w:hint="eastAsia" w:ascii="宋体" w:hAnsi="宋体" w:cs="宋体"/>
          <w:color w:val="000000" w:themeColor="text1"/>
          <w:sz w:val="24"/>
          <w:highlight w:val="none"/>
          <w:lang w:val="fr-CH"/>
          <w14:textFill>
            <w14:solidFill>
              <w14:schemeClr w14:val="tx1"/>
            </w14:solidFill>
          </w14:textFill>
        </w:rPr>
        <w:t>法人代表证明书及身份证明；</w:t>
      </w:r>
    </w:p>
    <w:p>
      <w:pPr>
        <w:numPr>
          <w:ilvl w:val="0"/>
          <w:numId w:val="7"/>
        </w:numPr>
        <w:tabs>
          <w:tab w:val="left" w:pos="640"/>
          <w:tab w:val="left" w:pos="1260"/>
          <w:tab w:val="left" w:pos="1418"/>
        </w:tabs>
        <w:spacing w:line="360" w:lineRule="auto"/>
        <w:ind w:left="645" w:hanging="645"/>
        <w:rPr>
          <w:rFonts w:hint="eastAsia" w:ascii="宋体" w:hAnsi="宋体" w:cs="宋体"/>
          <w:color w:val="000000" w:themeColor="text1"/>
          <w:sz w:val="24"/>
          <w:highlight w:val="none"/>
          <w:lang w:val="fr-CH"/>
          <w14:textFill>
            <w14:solidFill>
              <w14:schemeClr w14:val="tx1"/>
            </w14:solidFill>
          </w14:textFill>
        </w:rPr>
      </w:pPr>
      <w:r>
        <w:rPr>
          <w:rFonts w:hint="eastAsia" w:ascii="宋体" w:hAnsi="宋体" w:cs="宋体"/>
          <w:color w:val="000000" w:themeColor="text1"/>
          <w:sz w:val="24"/>
          <w:highlight w:val="none"/>
          <w:lang w:val="fr-CH"/>
          <w14:textFill>
            <w14:solidFill>
              <w14:schemeClr w14:val="tx1"/>
            </w14:solidFill>
          </w14:textFill>
        </w:rPr>
        <w:t>法定代表人授权书及身份证明；</w:t>
      </w:r>
    </w:p>
    <w:p>
      <w:pPr>
        <w:numPr>
          <w:ilvl w:val="0"/>
          <w:numId w:val="7"/>
        </w:numPr>
        <w:tabs>
          <w:tab w:val="left" w:pos="640"/>
          <w:tab w:val="left" w:pos="1260"/>
          <w:tab w:val="left" w:pos="1418"/>
        </w:tabs>
        <w:spacing w:line="360" w:lineRule="auto"/>
        <w:ind w:left="845" w:hanging="845"/>
        <w:rPr>
          <w:rFonts w:hint="eastAsia" w:ascii="宋体" w:hAnsi="宋体" w:cs="宋体"/>
          <w:color w:val="000000" w:themeColor="text1"/>
          <w:sz w:val="24"/>
          <w:highlight w:val="none"/>
          <w:lang w:val="fr-CH"/>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w:t>
      </w:r>
      <w:r>
        <w:rPr>
          <w:rFonts w:hint="eastAsia" w:ascii="宋体" w:hAnsi="宋体" w:cs="宋体"/>
          <w:color w:val="000000" w:themeColor="text1"/>
          <w:sz w:val="24"/>
          <w:highlight w:val="none"/>
          <w:lang w:val="fr-CH"/>
          <w14:textFill>
            <w14:solidFill>
              <w14:schemeClr w14:val="tx1"/>
            </w14:solidFill>
          </w14:textFill>
        </w:rPr>
        <w:t>简介；</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highlight w:val="none"/>
          <w:lang w:val="fr-CH"/>
          <w14:textFill>
            <w14:solidFill>
              <w14:schemeClr w14:val="tx1"/>
            </w14:solidFill>
          </w14:textFill>
        </w:rPr>
      </w:pPr>
      <w:r>
        <w:rPr>
          <w:rFonts w:hint="eastAsia" w:ascii="宋体" w:hAnsi="宋体" w:cs="宋体"/>
          <w:color w:val="000000" w:themeColor="text1"/>
          <w:sz w:val="24"/>
          <w:highlight w:val="none"/>
          <w:lang w:val="fr-CH"/>
          <w14:textFill>
            <w14:solidFill>
              <w14:schemeClr w14:val="tx1"/>
            </w14:solidFill>
          </w14:textFill>
        </w:rPr>
        <w:t>企业年金受托管理资产金额增速；</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highlight w:val="none"/>
          <w:lang w:val="fr-CH"/>
          <w14:textFill>
            <w14:solidFill>
              <w14:schemeClr w14:val="tx1"/>
            </w14:solidFill>
          </w14:textFill>
        </w:rPr>
      </w:pPr>
      <w:r>
        <w:rPr>
          <w:rFonts w:hint="eastAsia" w:ascii="宋体" w:hAnsi="宋体" w:cs="宋体"/>
          <w:color w:val="000000" w:themeColor="text1"/>
          <w:sz w:val="24"/>
          <w:highlight w:val="none"/>
          <w:lang w:val="fr-CH"/>
          <w14:textFill>
            <w14:solidFill>
              <w14:schemeClr w14:val="tx1"/>
            </w14:solidFill>
          </w14:textFill>
        </w:rPr>
        <w:t>企业年金受托管理企业数量；</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highlight w:val="none"/>
          <w:lang w:val="fr-CH"/>
          <w14:textFill>
            <w14:solidFill>
              <w14:schemeClr w14:val="tx1"/>
            </w14:solidFill>
          </w14:textFill>
        </w:rPr>
      </w:pPr>
      <w:r>
        <w:rPr>
          <w:rFonts w:hint="eastAsia" w:ascii="宋体" w:hAnsi="宋体" w:cs="宋体"/>
          <w:color w:val="000000" w:themeColor="text1"/>
          <w:sz w:val="24"/>
          <w:highlight w:val="none"/>
          <w:lang w:val="fr-CH"/>
          <w14:textFill>
            <w14:solidFill>
              <w14:schemeClr w14:val="tx1"/>
            </w14:solidFill>
          </w14:textFill>
        </w:rPr>
        <w:t>企业年金受托管理职工数量；</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highlight w:val="none"/>
          <w:lang w:val="fr-CH"/>
          <w14:textFill>
            <w14:solidFill>
              <w14:schemeClr w14:val="tx1"/>
            </w14:solidFill>
          </w14:textFill>
        </w:rPr>
      </w:pPr>
      <w:r>
        <w:rPr>
          <w:rFonts w:hint="eastAsia" w:ascii="宋体" w:hAnsi="宋体" w:cs="宋体"/>
          <w:color w:val="000000" w:themeColor="text1"/>
          <w:sz w:val="24"/>
          <w:highlight w:val="none"/>
          <w:lang w:val="fr-CH"/>
          <w14:textFill>
            <w14:solidFill>
              <w14:schemeClr w14:val="tx1"/>
            </w14:solidFill>
          </w14:textFill>
        </w:rPr>
        <w:t>推荐2个固定收益类组合投资管理人近三年投资业绩；</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highlight w:val="none"/>
          <w:lang w:val="fr-CH"/>
          <w14:textFill>
            <w14:solidFill>
              <w14:schemeClr w14:val="tx1"/>
            </w14:solidFill>
          </w14:textFill>
        </w:rPr>
      </w:pPr>
      <w:r>
        <w:rPr>
          <w:rFonts w:hint="eastAsia" w:ascii="宋体" w:hAnsi="宋体" w:cs="宋体"/>
          <w:color w:val="000000" w:themeColor="text1"/>
          <w:sz w:val="24"/>
          <w:highlight w:val="none"/>
          <w:lang w:val="fr-CH"/>
          <w14:textFill>
            <w14:solidFill>
              <w14:schemeClr w14:val="tx1"/>
            </w14:solidFill>
          </w14:textFill>
        </w:rPr>
        <w:t>推荐2个固定收益类组合投资管理人固收投资管理经验；</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highlight w:val="none"/>
          <w:lang w:val="fr-CH"/>
          <w14:textFill>
            <w14:solidFill>
              <w14:schemeClr w14:val="tx1"/>
            </w14:solidFill>
          </w14:textFill>
        </w:rPr>
      </w:pPr>
      <w:r>
        <w:rPr>
          <w:rFonts w:hint="eastAsia" w:ascii="宋体" w:hAnsi="宋体" w:cs="宋体"/>
          <w:color w:val="000000" w:themeColor="text1"/>
          <w:sz w:val="24"/>
          <w:highlight w:val="none"/>
          <w:lang w:val="fr-CH"/>
          <w14:textFill>
            <w14:solidFill>
              <w14:schemeClr w14:val="tx1"/>
            </w14:solidFill>
          </w14:textFill>
        </w:rPr>
        <w:t>推荐2个含权益类组合投资管理人近三年投资业绩；</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highlight w:val="none"/>
          <w:lang w:val="fr-CH"/>
          <w14:textFill>
            <w14:solidFill>
              <w14:schemeClr w14:val="tx1"/>
            </w14:solidFill>
          </w14:textFill>
        </w:rPr>
      </w:pPr>
      <w:r>
        <w:rPr>
          <w:rFonts w:hint="eastAsia" w:ascii="宋体" w:hAnsi="宋体" w:cs="宋体"/>
          <w:color w:val="000000" w:themeColor="text1"/>
          <w:sz w:val="24"/>
          <w:highlight w:val="none"/>
          <w:lang w:val="fr-CH"/>
          <w14:textFill>
            <w14:solidFill>
              <w14:schemeClr w14:val="tx1"/>
            </w14:solidFill>
          </w14:textFill>
        </w:rPr>
        <w:t>推荐2个含权益类组合投资管理人权益类资产管理经验；</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highlight w:val="none"/>
          <w:lang w:val="fr-CH"/>
          <w14:textFill>
            <w14:solidFill>
              <w14:schemeClr w14:val="tx1"/>
            </w14:solidFill>
          </w14:textFill>
        </w:rPr>
      </w:pPr>
      <w:r>
        <w:rPr>
          <w:rFonts w:hint="eastAsia" w:ascii="宋体" w:hAnsi="宋体" w:cs="宋体"/>
          <w:color w:val="000000" w:themeColor="text1"/>
          <w:sz w:val="24"/>
          <w:highlight w:val="none"/>
          <w:lang w:val="fr-CH"/>
          <w14:textFill>
            <w14:solidFill>
              <w14:schemeClr w14:val="tx1"/>
            </w14:solidFill>
          </w14:textFill>
        </w:rPr>
        <w:t>推荐账户管理人管理经验；</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highlight w:val="none"/>
          <w:lang w:val="fr-CH"/>
          <w14:textFill>
            <w14:solidFill>
              <w14:schemeClr w14:val="tx1"/>
            </w14:solidFill>
          </w14:textFill>
        </w:rPr>
      </w:pPr>
      <w:r>
        <w:rPr>
          <w:rFonts w:hint="eastAsia" w:ascii="宋体" w:hAnsi="宋体" w:cs="宋体"/>
          <w:color w:val="000000" w:themeColor="text1"/>
          <w:sz w:val="24"/>
          <w:highlight w:val="none"/>
          <w:lang w:val="fr-CH"/>
          <w14:textFill>
            <w14:solidFill>
              <w14:schemeClr w14:val="tx1"/>
            </w14:solidFill>
          </w14:textFill>
        </w:rPr>
        <w:t>推荐托管人管理经验；</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highlight w:val="none"/>
          <w:lang w:val="fr-CH"/>
          <w14:textFill>
            <w14:solidFill>
              <w14:schemeClr w14:val="tx1"/>
            </w14:solidFill>
          </w14:textFill>
        </w:rPr>
      </w:pPr>
      <w:r>
        <w:rPr>
          <w:rFonts w:hint="eastAsia" w:ascii="宋体" w:hAnsi="宋体" w:cs="宋体"/>
          <w:color w:val="000000" w:themeColor="text1"/>
          <w:sz w:val="24"/>
          <w:highlight w:val="none"/>
          <w:lang w:val="fr-CH"/>
          <w14:textFill>
            <w14:solidFill>
              <w14:schemeClr w14:val="tx1"/>
            </w14:solidFill>
          </w14:textFill>
        </w:rPr>
        <w:t>诚信声明与承诺；</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政府采购违法行为风险知悉确认书；</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参与价格扣除的证明文件；</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供应商基本情况表、社保证明及股权关系证明；</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投标人认为有必要提供的其他材料。</w:t>
      </w:r>
    </w:p>
    <w:p>
      <w:pPr>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（三）技术部分</w:t>
      </w:r>
    </w:p>
    <w:p>
      <w:pPr>
        <w:numPr>
          <w:ilvl w:val="0"/>
          <w:numId w:val="8"/>
        </w:numPr>
        <w:tabs>
          <w:tab w:val="left" w:pos="640"/>
          <w:tab w:val="left" w:pos="1260"/>
          <w:tab w:val="left" w:pos="1418"/>
        </w:tabs>
        <w:spacing w:line="360" w:lineRule="auto"/>
        <w:ind w:left="640" w:right="-420" w:rightChars="-200" w:hanging="640"/>
        <w:rPr>
          <w:rFonts w:hint="eastAsia" w:ascii="宋体" w:hAnsi="宋体" w:cs="宋体"/>
          <w:color w:val="000000" w:themeColor="text1"/>
          <w:sz w:val="24"/>
          <w:highlight w:val="none"/>
          <w:lang w:val="fr-CH"/>
          <w14:textFill>
            <w14:solidFill>
              <w14:schemeClr w14:val="tx1"/>
            </w14:solidFill>
          </w14:textFill>
        </w:rPr>
      </w:pPr>
      <w:r>
        <w:rPr>
          <w:rFonts w:hint="eastAsia" w:ascii="宋体" w:hAnsi="宋体" w:cs="宋体"/>
          <w:color w:val="000000" w:themeColor="text1"/>
          <w:sz w:val="24"/>
          <w:highlight w:val="none"/>
          <w:lang w:val="fr-CH"/>
          <w14:textFill>
            <w14:solidFill>
              <w14:schemeClr w14:val="tx1"/>
            </w14:solidFill>
          </w14:textFill>
        </w:rPr>
        <w:t>用户需求响应表；</w:t>
      </w:r>
    </w:p>
    <w:p>
      <w:pPr>
        <w:numPr>
          <w:ilvl w:val="0"/>
          <w:numId w:val="8"/>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highlight w:val="none"/>
          <w:lang w:val="fr-CH"/>
          <w14:textFill>
            <w14:solidFill>
              <w14:schemeClr w14:val="tx1"/>
            </w14:solidFill>
          </w14:textFill>
        </w:rPr>
      </w:pPr>
      <w:r>
        <w:rPr>
          <w:rFonts w:hint="eastAsia" w:ascii="宋体" w:hAnsi="宋体" w:cs="宋体"/>
          <w:color w:val="000000" w:themeColor="text1"/>
          <w:sz w:val="24"/>
          <w:highlight w:val="none"/>
          <w:lang w:val="fr-CH"/>
          <w14:textFill>
            <w14:solidFill>
              <w14:schemeClr w14:val="tx1"/>
            </w14:solidFill>
          </w14:textFill>
        </w:rPr>
        <w:t>受托服务方案；</w:t>
      </w:r>
    </w:p>
    <w:p>
      <w:pPr>
        <w:numPr>
          <w:ilvl w:val="0"/>
          <w:numId w:val="8"/>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highlight w:val="none"/>
          <w:lang w:val="fr-CH"/>
          <w14:textFill>
            <w14:solidFill>
              <w14:schemeClr w14:val="tx1"/>
            </w14:solidFill>
          </w14:textFill>
        </w:rPr>
      </w:pPr>
      <w:r>
        <w:rPr>
          <w:rFonts w:hint="eastAsia" w:ascii="宋体" w:hAnsi="宋体" w:cs="宋体"/>
          <w:color w:val="000000" w:themeColor="text1"/>
          <w:sz w:val="24"/>
          <w:highlight w:val="none"/>
          <w:lang w:val="fr-CH"/>
          <w14:textFill>
            <w14:solidFill>
              <w14:schemeClr w14:val="tx1"/>
            </w14:solidFill>
          </w14:textFill>
        </w:rPr>
        <w:t>受托资产管理能力；</w:t>
      </w:r>
    </w:p>
    <w:p>
      <w:pPr>
        <w:numPr>
          <w:ilvl w:val="0"/>
          <w:numId w:val="8"/>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highlight w:val="none"/>
          <w:lang w:val="fr-CH"/>
          <w14:textFill>
            <w14:solidFill>
              <w14:schemeClr w14:val="tx1"/>
            </w14:solidFill>
          </w14:textFill>
        </w:rPr>
      </w:pPr>
      <w:r>
        <w:rPr>
          <w:rFonts w:hint="eastAsia" w:ascii="宋体" w:hAnsi="宋体" w:cs="宋体"/>
          <w:color w:val="000000" w:themeColor="text1"/>
          <w:sz w:val="24"/>
          <w:highlight w:val="none"/>
          <w:lang w:val="fr-CH"/>
          <w14:textFill>
            <w14:solidFill>
              <w14:schemeClr w14:val="tx1"/>
            </w14:solidFill>
          </w14:textFill>
        </w:rPr>
        <w:t>受托风险管理能力；</w:t>
      </w:r>
    </w:p>
    <w:p>
      <w:pPr>
        <w:numPr>
          <w:ilvl w:val="0"/>
          <w:numId w:val="8"/>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highlight w:val="none"/>
          <w:lang w:val="fr-CH"/>
          <w14:textFill>
            <w14:solidFill>
              <w14:schemeClr w14:val="tx1"/>
            </w14:solidFill>
          </w14:textFill>
        </w:rPr>
      </w:pPr>
      <w:r>
        <w:rPr>
          <w:rFonts w:hint="eastAsia" w:ascii="宋体" w:hAnsi="宋体" w:cs="宋体"/>
          <w:color w:val="000000" w:themeColor="text1"/>
          <w:sz w:val="24"/>
          <w:highlight w:val="none"/>
          <w:lang w:val="fr-CH"/>
          <w14:textFill>
            <w14:solidFill>
              <w14:schemeClr w14:val="tx1"/>
            </w14:solidFill>
          </w14:textFill>
        </w:rPr>
        <w:t>受托运营管理能力；</w:t>
      </w:r>
    </w:p>
    <w:p>
      <w:pPr>
        <w:numPr>
          <w:ilvl w:val="0"/>
          <w:numId w:val="8"/>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highlight w:val="none"/>
          <w:lang w:val="fr-CH"/>
          <w14:textFill>
            <w14:solidFill>
              <w14:schemeClr w14:val="tx1"/>
            </w14:solidFill>
          </w14:textFill>
        </w:rPr>
      </w:pPr>
      <w:r>
        <w:rPr>
          <w:rFonts w:hint="eastAsia" w:ascii="宋体" w:hAnsi="宋体" w:cs="宋体"/>
          <w:color w:val="000000" w:themeColor="text1"/>
          <w:sz w:val="24"/>
          <w:highlight w:val="none"/>
          <w:lang w:val="fr-CH"/>
          <w14:textFill>
            <w14:solidFill>
              <w14:schemeClr w14:val="tx1"/>
            </w14:solidFill>
          </w14:textFill>
        </w:rPr>
        <w:t>投标人认为有必要提供的其他材料。</w:t>
      </w:r>
    </w:p>
    <w:p>
      <w:pPr>
        <w:outlineLvl w:val="2"/>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br w:type="page"/>
      </w:r>
      <w:r>
        <w:rPr>
          <w:rFonts w:hint="eastAsia" w:ascii="宋体" w:hAnsi="宋体" w:cs="宋体"/>
          <w:b/>
          <w:bCs/>
          <w:color w:val="000000" w:themeColor="text1"/>
          <w:sz w:val="24"/>
          <w:highlight w:val="none"/>
          <w14:textFill>
            <w14:solidFill>
              <w14:schemeClr w14:val="tx1"/>
            </w14:solidFill>
          </w14:textFill>
        </w:rPr>
        <w:t>（一）</w:t>
      </w:r>
      <w:r>
        <w:rPr>
          <w:rFonts w:hint="eastAsia" w:ascii="宋体" w:hAnsi="宋体" w:cs="宋体"/>
          <w:b/>
          <w:bCs/>
          <w:color w:val="000000" w:themeColor="text1"/>
          <w:sz w:val="24"/>
          <w:highlight w:val="none"/>
          <w:lang w:val="zh-CN"/>
          <w14:textFill>
            <w14:solidFill>
              <w14:schemeClr w14:val="tx1"/>
            </w14:solidFill>
          </w14:textFill>
        </w:rPr>
        <w:t>价格部分</w:t>
      </w:r>
    </w:p>
    <w:p>
      <w:pPr>
        <w:numPr>
          <w:ilvl w:val="0"/>
          <w:numId w:val="9"/>
        </w:numPr>
        <w:tabs>
          <w:tab w:val="left" w:pos="640"/>
          <w:tab w:val="clear" w:pos="425"/>
        </w:tabs>
        <w:ind w:left="625" w:hanging="625"/>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投标一览表；</w:t>
      </w:r>
    </w:p>
    <w:p>
      <w:pPr>
        <w:spacing w:line="360" w:lineRule="auto"/>
        <w:rPr>
          <w:rFonts w:hint="eastAsia" w:ascii="宋体" w:hAnsi="宋体" w:cs="宋体"/>
          <w:color w:val="000000" w:themeColor="text1"/>
          <w:sz w:val="24"/>
          <w:highlight w:val="none"/>
          <w14:textFill>
            <w14:solidFill>
              <w14:schemeClr w14:val="tx1"/>
            </w14:solidFill>
          </w14:textFill>
        </w:rPr>
      </w:pPr>
    </w:p>
    <w:p>
      <w:pPr>
        <w:spacing w:line="360" w:lineRule="auto"/>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投标一览表</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投标供应商名称：（公章）</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招标编号：</w:t>
      </w:r>
      <w:r>
        <w:rPr>
          <w:rFonts w:hint="eastAsia" w:ascii="宋体" w:hAnsi="宋体" w:cs="宋体"/>
          <w:color w:val="000000" w:themeColor="text1"/>
          <w:sz w:val="24"/>
          <w:highlight w:val="none"/>
          <w:u w:val="single"/>
          <w14:textFill>
            <w14:solidFill>
              <w14:schemeClr w14:val="tx1"/>
            </w14:solidFill>
          </w14:textFill>
        </w:rPr>
        <w:t xml:space="preserve">                                      </w:t>
      </w:r>
    </w:p>
    <w:tbl>
      <w:tblPr>
        <w:tblStyle w:val="20"/>
        <w:tblW w:w="8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9"/>
        <w:gridCol w:w="3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5129" w:type="dxa"/>
            <w:vAlign w:val="center"/>
          </w:tcPr>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投标项目名称</w:t>
            </w:r>
          </w:p>
        </w:tc>
        <w:tc>
          <w:tcPr>
            <w:tcW w:w="3130" w:type="dxa"/>
          </w:tcPr>
          <w:p>
            <w:pPr>
              <w:jc w:val="center"/>
              <w:rPr>
                <w:rFonts w:hint="eastAsia"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5129" w:type="dxa"/>
            <w:vAlign w:val="center"/>
          </w:tcPr>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单一计划受托管理费率</w:t>
            </w:r>
          </w:p>
        </w:tc>
        <w:tc>
          <w:tcPr>
            <w:tcW w:w="3130" w:type="dxa"/>
            <w:vAlign w:val="center"/>
          </w:tcPr>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5129" w:type="dxa"/>
            <w:vAlign w:val="center"/>
          </w:tcPr>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单一计划固定收益类组合投资管理费率</w:t>
            </w:r>
          </w:p>
        </w:tc>
        <w:tc>
          <w:tcPr>
            <w:tcW w:w="3130" w:type="dxa"/>
            <w:vAlign w:val="center"/>
          </w:tcPr>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5129" w:type="dxa"/>
            <w:vAlign w:val="center"/>
          </w:tcPr>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单一计划含权益类组合投资管理费率</w:t>
            </w:r>
          </w:p>
        </w:tc>
        <w:tc>
          <w:tcPr>
            <w:tcW w:w="3130" w:type="dxa"/>
            <w:vAlign w:val="center"/>
          </w:tcPr>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5129" w:type="dxa"/>
            <w:vAlign w:val="center"/>
          </w:tcPr>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单一计划托管费报价</w:t>
            </w:r>
          </w:p>
        </w:tc>
        <w:tc>
          <w:tcPr>
            <w:tcW w:w="3130" w:type="dxa"/>
            <w:vAlign w:val="center"/>
          </w:tcPr>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5129" w:type="dxa"/>
            <w:vAlign w:val="center"/>
          </w:tcPr>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单一计划账户管理费报价</w:t>
            </w:r>
          </w:p>
        </w:tc>
        <w:tc>
          <w:tcPr>
            <w:tcW w:w="3130" w:type="dxa"/>
            <w:vAlign w:val="center"/>
          </w:tcPr>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元/户/月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8259" w:type="dxa"/>
            <w:gridSpan w:val="2"/>
          </w:tcPr>
          <w:p>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管理费报价说明（按年计算）：</w:t>
            </w:r>
          </w:p>
          <w:p>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1.所有报价均为明确的价格，不可出现“另行商定”等类似字样；</w:t>
            </w:r>
          </w:p>
          <w:p>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2.管理费率指年管理费占企业年金基金资产净值的百分比；</w:t>
            </w:r>
          </w:p>
          <w:p>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3.各项管理费需按照固定费率模式收取，不得增收绩效管理费，各项费率不得低于2011年《企业年金基金管理机构基本服务和收费标准行业自律公约》中最低收费标准的要求；</w:t>
            </w:r>
          </w:p>
          <w:p>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4.不得以折扣、折让、管理费返还或通过设立受托计划直投组合等形式变相降低报价标准；</w:t>
            </w:r>
          </w:p>
          <w:p>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5.须保证该报价涵盖所有管理服务费用，并保证该报价能够通过深圳市人社局备案。</w:t>
            </w:r>
          </w:p>
          <w:p>
            <w:pPr>
              <w:pStyle w:val="2"/>
              <w:ind w:firstLine="0" w:firstLineChars="0"/>
              <w:rPr>
                <w:color w:val="000000" w:themeColor="text1"/>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6.企业年金受托人和托管人提取的管理费均不得高于企业年金基金净值的0.20%，投资管理人提取的管理费不得高于企业年金基金净值的1.20%，账户管理费每户每月不超过5元。</w:t>
            </w:r>
          </w:p>
        </w:tc>
      </w:tr>
    </w:tbl>
    <w:p>
      <w:pPr>
        <w:spacing w:line="360" w:lineRule="auto"/>
        <w:rPr>
          <w:rFonts w:hint="eastAsia" w:ascii="宋体" w:hAnsi="宋体" w:cs="宋体"/>
          <w:color w:val="000000" w:themeColor="text1"/>
          <w:sz w:val="24"/>
          <w:highlight w:val="none"/>
          <w14:textFill>
            <w14:solidFill>
              <w14:schemeClr w14:val="tx1"/>
            </w14:solidFill>
          </w14:textFill>
        </w:rPr>
      </w:pP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投标供应商授权代表：</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职              务：</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              期：</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outlineLvl w:val="2"/>
        <w:rPr>
          <w:rFonts w:hint="eastAsia" w:ascii="宋体" w:hAnsi="宋体" w:cs="宋体"/>
          <w:b/>
          <w:bCs/>
          <w:color w:val="000000" w:themeColor="text1"/>
          <w:sz w:val="24"/>
          <w:highlight w:val="none"/>
          <w:u w:val="wav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r>
        <w:rPr>
          <w:rFonts w:hint="eastAsia" w:ascii="宋体" w:hAnsi="宋体" w:cs="宋体"/>
          <w:b/>
          <w:bCs/>
          <w:color w:val="000000" w:themeColor="text1"/>
          <w:sz w:val="24"/>
          <w:highlight w:val="none"/>
          <w14:textFill>
            <w14:solidFill>
              <w14:schemeClr w14:val="tx1"/>
            </w14:solidFill>
          </w14:textFill>
        </w:rPr>
        <w:t>（二）商务部分</w:t>
      </w:r>
    </w:p>
    <w:p>
      <w:pPr>
        <w:numPr>
          <w:ilvl w:val="0"/>
          <w:numId w:val="10"/>
        </w:numPr>
        <w:tabs>
          <w:tab w:val="left" w:pos="640"/>
          <w:tab w:val="left" w:pos="1260"/>
          <w:tab w:val="left" w:pos="1418"/>
        </w:tabs>
        <w:spacing w:line="360" w:lineRule="auto"/>
        <w:ind w:left="845" w:hanging="845"/>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投标响应书；</w:t>
      </w:r>
    </w:p>
    <w:p>
      <w:pPr>
        <w:spacing w:line="360" w:lineRule="auto"/>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投标响应书</w:t>
      </w:r>
    </w:p>
    <w:p>
      <w:pPr>
        <w:spacing w:line="360" w:lineRule="auto"/>
        <w:rPr>
          <w:rFonts w:hint="eastAsia" w:ascii="宋体" w:hAnsi="宋体" w:cs="宋体"/>
          <w:color w:val="000000" w:themeColor="text1"/>
          <w:sz w:val="24"/>
          <w:highlight w:val="none"/>
          <w14:textFill>
            <w14:solidFill>
              <w14:schemeClr w14:val="tx1"/>
            </w14:solidFill>
          </w14:textFill>
        </w:rPr>
      </w:pPr>
    </w:p>
    <w:p>
      <w:pPr>
        <w:spacing w:line="360" w:lineRule="auto"/>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ind w:firstLine="494" w:firstLineChars="206"/>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根据贵方为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项目采购的邀请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（招标文件编号         ），签字代表</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（全名、职务）经正式授权并代表供应商</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（供应商方名称、地址）提交</w:t>
      </w:r>
      <w:r>
        <w:rPr>
          <w:rFonts w:hint="eastAsia" w:ascii="宋体" w:hAnsi="宋体" w:cs="宋体"/>
          <w:b/>
          <w:color w:val="000000" w:themeColor="text1"/>
          <w:sz w:val="24"/>
          <w:highlight w:val="none"/>
          <w14:textFill>
            <w14:solidFill>
              <w14:schemeClr w14:val="tx1"/>
            </w14:solidFill>
          </w14:textFill>
        </w:rPr>
        <w:t>一份正本四份副本以及1份电子文档的</w:t>
      </w:r>
      <w:r>
        <w:rPr>
          <w:rFonts w:hint="eastAsia" w:ascii="宋体" w:hAnsi="宋体" w:cs="宋体"/>
          <w:color w:val="000000" w:themeColor="text1"/>
          <w:sz w:val="24"/>
          <w:highlight w:val="none"/>
          <w14:textFill>
            <w14:solidFill>
              <w14:schemeClr w14:val="tx1"/>
            </w14:solidFill>
          </w14:textFill>
        </w:rPr>
        <w:t>投标文件。</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据此函，签字代表宣布同意如下：</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1、供应商方将按招标文件的规定履行合同责任和义务。</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2、供应商方已详细审查全部投标文件，包括修改文件（如有的话）以及全部参考资料和有关附件。我们完全理解并同意放弃对这方面有不明及误解的权利。</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3、与本投标项目有关的一切正式往来通讯请寄：</w:t>
      </w:r>
    </w:p>
    <w:p>
      <w:pPr>
        <w:spacing w:line="360" w:lineRule="auto"/>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邮编：</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电话：</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传真：</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邮箱：</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投标供应商授权代表、职务（印刷体）：</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投标供应商名称：</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（公  章）：</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      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p>
    <w:p>
      <w:pPr>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投标供应商授权代表：</w:t>
      </w:r>
      <w:r>
        <w:rPr>
          <w:rFonts w:hint="eastAsia" w:ascii="宋体" w:hAnsi="宋体" w:cs="宋体"/>
          <w:color w:val="000000" w:themeColor="text1"/>
          <w:sz w:val="24"/>
          <w:highlight w:val="none"/>
          <w:u w:val="single"/>
          <w14:textFill>
            <w14:solidFill>
              <w14:schemeClr w14:val="tx1"/>
            </w14:solidFill>
          </w14:textFill>
        </w:rPr>
        <w:t xml:space="preserve">                           </w:t>
      </w:r>
    </w:p>
    <w:p>
      <w:pPr>
        <w:pStyle w:val="9"/>
        <w:rPr>
          <w:color w:val="000000" w:themeColor="text1"/>
          <w:highlight w:val="none"/>
          <w14:textFill>
            <w14:solidFill>
              <w14:schemeClr w14:val="tx1"/>
            </w14:solidFill>
          </w14:textFill>
        </w:rPr>
      </w:pP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highlight w:val="none"/>
          <w:lang w:val="fr-CH"/>
          <w14:textFill>
            <w14:solidFill>
              <w14:schemeClr w14:val="tx1"/>
            </w14:solidFill>
          </w14:textFill>
        </w:rPr>
      </w:pPr>
      <w:r>
        <w:rPr>
          <w:rFonts w:hint="eastAsia" w:ascii="宋体" w:hAnsi="宋体" w:cs="宋体"/>
          <w:color w:val="000000" w:themeColor="text1"/>
          <w:sz w:val="24"/>
          <w:highlight w:val="none"/>
          <w:lang w:val="fr-CH"/>
          <w14:textFill>
            <w14:solidFill>
              <w14:schemeClr w14:val="tx1"/>
            </w14:solidFill>
          </w14:textFill>
        </w:rPr>
        <w:br w:type="page"/>
      </w:r>
      <w:r>
        <w:rPr>
          <w:rFonts w:hint="eastAsia" w:ascii="宋体" w:hAnsi="宋体" w:cs="宋体"/>
          <w:color w:val="000000" w:themeColor="text1"/>
          <w:sz w:val="24"/>
          <w:highlight w:val="none"/>
          <w:lang w:val="fr-CH"/>
          <w14:textFill>
            <w14:solidFill>
              <w14:schemeClr w14:val="tx1"/>
            </w14:solidFill>
          </w14:textFill>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如以独立法人资格参与投标，但在投标材料中以分支机构公章代替总公司公章的，需提供总公司出具的公章授权书；</w:t>
      </w:r>
      <w:r>
        <w:rPr>
          <w:rFonts w:hint="eastAsia" w:ascii="宋体" w:hAnsi="宋体" w:cs="宋体"/>
          <w:color w:val="000000" w:themeColor="text1"/>
          <w:sz w:val="24"/>
          <w:highlight w:val="none"/>
          <w:lang w:val="fr-CH"/>
          <w14:textFill>
            <w14:solidFill>
              <w14:schemeClr w14:val="tx1"/>
            </w14:solidFill>
          </w14:textFill>
        </w:rPr>
        <w:br w:type="page"/>
      </w: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highlight w:val="none"/>
          <w:lang w:val="fr-CH"/>
          <w14:textFill>
            <w14:solidFill>
              <w14:schemeClr w14:val="tx1"/>
            </w14:solidFill>
          </w14:textFill>
        </w:rPr>
      </w:pPr>
      <w:r>
        <w:rPr>
          <w:rFonts w:hint="eastAsia" w:ascii="宋体" w:hAnsi="宋体" w:cs="宋体"/>
          <w:color w:val="000000" w:themeColor="text1"/>
          <w:sz w:val="24"/>
          <w:highlight w:val="none"/>
          <w:lang w:val="fr-CH"/>
          <w14:textFill>
            <w14:solidFill>
              <w14:schemeClr w14:val="tx1"/>
            </w14:solidFill>
          </w14:textFill>
        </w:rPr>
        <w:t>政府采购投标及履约承诺函；</w:t>
      </w:r>
    </w:p>
    <w:p>
      <w:pPr>
        <w:spacing w:line="360" w:lineRule="auto"/>
        <w:jc w:val="center"/>
        <w:rPr>
          <w:rFonts w:hint="eastAsia" w:ascii="宋体" w:hAnsi="宋体" w:cs="宋体"/>
          <w:b/>
          <w:bCs/>
          <w:color w:val="000000" w:themeColor="text1"/>
          <w:sz w:val="24"/>
          <w:highlight w:val="none"/>
          <w:lang w:val="fr-CH"/>
          <w14:textFill>
            <w14:solidFill>
              <w14:schemeClr w14:val="tx1"/>
            </w14:solidFill>
          </w14:textFill>
        </w:rPr>
      </w:pPr>
      <w:r>
        <w:rPr>
          <w:rFonts w:hint="eastAsia" w:ascii="宋体" w:hAnsi="宋体" w:cs="宋体"/>
          <w:b/>
          <w:bCs/>
          <w:color w:val="000000" w:themeColor="text1"/>
          <w:sz w:val="24"/>
          <w:highlight w:val="none"/>
          <w:lang w:val="fr-CH"/>
          <w14:textFill>
            <w14:solidFill>
              <w14:schemeClr w14:val="tx1"/>
            </w14:solidFill>
          </w14:textFill>
        </w:rPr>
        <w:t>政府采购投标及履约承诺函</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（采购单位名称/代理机构名称）：</w:t>
      </w:r>
    </w:p>
    <w:p>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我单位深知本项目对贵局的重要性和紧迫性，亦了解贵局对廉政建设的相关要求，因此我单位承诺如下：</w:t>
      </w:r>
    </w:p>
    <w:p>
      <w:pPr>
        <w:numPr>
          <w:ilvl w:val="0"/>
          <w:numId w:val="11"/>
        </w:num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我单位本招标项目所提供的货物或服务未侵犯知识产权。</w:t>
      </w:r>
    </w:p>
    <w:p>
      <w:pPr>
        <w:widowControl/>
        <w:numPr>
          <w:ilvl w:val="0"/>
          <w:numId w:val="11"/>
        </w:numPr>
        <w:shd w:val="clear" w:color="auto" w:fill="FFFFFF"/>
        <w:spacing w:line="360" w:lineRule="auto"/>
        <w:ind w:right="-4"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我单位</w:t>
      </w:r>
      <w:r>
        <w:rPr>
          <w:rFonts w:hint="eastAsia" w:ascii="宋体" w:hAnsi="宋体" w:cs="宋体"/>
          <w:color w:val="000000" w:themeColor="text1"/>
          <w:kern w:val="0"/>
          <w:sz w:val="24"/>
          <w:highlight w:val="none"/>
          <w14:textFill>
            <w14:solidFill>
              <w14:schemeClr w14:val="tx1"/>
            </w14:solidFill>
          </w14:textFill>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numPr>
          <w:ilvl w:val="0"/>
          <w:numId w:val="11"/>
        </w:numPr>
        <w:shd w:val="clear" w:color="auto" w:fill="FFFFFF"/>
        <w:spacing w:line="360" w:lineRule="auto"/>
        <w:ind w:right="-4"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我单位</w:t>
      </w:r>
      <w:r>
        <w:rPr>
          <w:rFonts w:hint="eastAsia" w:ascii="宋体" w:hAnsi="宋体" w:cs="宋体"/>
          <w:color w:val="000000" w:themeColor="text1"/>
          <w:kern w:val="0"/>
          <w:sz w:val="24"/>
          <w:highlight w:val="none"/>
          <w14:textFill>
            <w14:solidFill>
              <w14:schemeClr w14:val="tx1"/>
            </w14:solidFill>
          </w14:textFill>
        </w:rPr>
        <w:t>及其法定代表人近三年内（投标人成立不足三年的可从成立之日起算）无行贿犯罪记录；</w:t>
      </w:r>
    </w:p>
    <w:p>
      <w:pPr>
        <w:numPr>
          <w:ilvl w:val="0"/>
          <w:numId w:val="11"/>
        </w:num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我单位具备《中华人民共和国政府采购法》第二十二条第一款的条件。</w:t>
      </w:r>
    </w:p>
    <w:p>
      <w:pPr>
        <w:numPr>
          <w:ilvl w:val="0"/>
          <w:numId w:val="11"/>
        </w:num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符合财政部和深圳市财政局关于诚信管理的要求，</w:t>
      </w:r>
      <w:r>
        <w:rPr>
          <w:rFonts w:hint="eastAsia" w:ascii="宋体" w:hAnsi="宋体" w:cs="宋体"/>
          <w:color w:val="000000" w:themeColor="text1"/>
          <w:kern w:val="0"/>
          <w:sz w:val="24"/>
          <w:highlight w:val="none"/>
          <w14:textFill>
            <w14:solidFill>
              <w14:schemeClr w14:val="tx1"/>
            </w14:solidFill>
          </w14:textFill>
        </w:rPr>
        <w:t>至投标截止时间，我单位未有在“信用中国”网（www.creditchina.gov.cn）、中国政府采购网（www.ccgp.gov.cn）、深圳市政府采购监管网（zfcg.sz.gov.cn）和“国家企业信用信息公示系统”（www.gsxt.gov.cn）等4个官网中列入“失信被执行人、重大税收违法失信主体、政府采购严重违法失信行为记录名单”</w:t>
      </w:r>
      <w:r>
        <w:rPr>
          <w:rFonts w:hint="eastAsia" w:ascii="宋体" w:hAnsi="宋体" w:cs="宋体"/>
          <w:color w:val="000000" w:themeColor="text1"/>
          <w:sz w:val="24"/>
          <w:highlight w:val="none"/>
          <w14:textFill>
            <w14:solidFill>
              <w14:schemeClr w14:val="tx1"/>
            </w14:solidFill>
          </w14:textFill>
        </w:rPr>
        <w:t>。</w:t>
      </w:r>
    </w:p>
    <w:p>
      <w:pPr>
        <w:numPr>
          <w:ilvl w:val="0"/>
          <w:numId w:val="11"/>
        </w:num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我单位不存在单位法定代表人为同一人或者存在直接控股、管理关系的不同供应商，同时参加本项目投标之情形；我公司未为本项目提供过整体设计、规范编制或者项目管理、监理、检测等服务。</w:t>
      </w:r>
    </w:p>
    <w:p>
      <w:pPr>
        <w:numPr>
          <w:ilvl w:val="0"/>
          <w:numId w:val="11"/>
        </w:num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numPr>
          <w:ilvl w:val="0"/>
          <w:numId w:val="11"/>
        </w:num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我单位如果中标，做到诚实守信，依照本项目招标文件需求内容、签署的采购合同及本单位在投标中所作的一切承诺履约；不非法转包、分包。</w:t>
      </w:r>
    </w:p>
    <w:p>
      <w:pPr>
        <w:numPr>
          <w:ilvl w:val="0"/>
          <w:numId w:val="11"/>
        </w:num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numPr>
          <w:ilvl w:val="0"/>
          <w:numId w:val="11"/>
        </w:num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numPr>
          <w:ilvl w:val="0"/>
          <w:numId w:val="11"/>
        </w:num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我单位承诺未参与本项目的采购需求、技术指标、商务指标等内容的设定，不存在对其他投标单位不公平的行为。</w:t>
      </w:r>
    </w:p>
    <w:p>
      <w:pPr>
        <w:numPr>
          <w:ilvl w:val="0"/>
          <w:numId w:val="11"/>
        </w:num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13.我单位承诺本单位（公司）不存在《深圳市财政局政府采购供应商信用信息管理办法》（深财规〔2023〕3号）列明的严重违法失信行为。</w:t>
      </w:r>
    </w:p>
    <w:p>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以上承诺，如有违反，愿依照国家相关法律处理，并承担由此给采购人带来的损失。</w:t>
      </w:r>
    </w:p>
    <w:p>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投标供应商法定代表人或授权代表（签字或签章）：                  </w:t>
      </w: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投标供应商名称（盖章）：</w:t>
      </w: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   年  月   日</w:t>
      </w: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highlight w:val="none"/>
          <w:lang w:val="fr-CH"/>
          <w14:textFill>
            <w14:solidFill>
              <w14:schemeClr w14:val="tx1"/>
            </w14:solidFill>
          </w14:textFill>
        </w:rPr>
      </w:pPr>
      <w:r>
        <w:rPr>
          <w:rFonts w:hint="eastAsia" w:hAnsi="宋体" w:cs="宋体"/>
          <w:color w:val="000000" w:themeColor="text1"/>
          <w:highlight w:val="none"/>
          <w14:textFill>
            <w14:solidFill>
              <w14:schemeClr w14:val="tx1"/>
            </w14:solidFill>
          </w14:textFill>
        </w:rPr>
        <w:br w:type="page"/>
      </w:r>
      <w:r>
        <w:rPr>
          <w:rFonts w:hint="eastAsia" w:ascii="宋体" w:hAnsi="宋体" w:cs="宋体"/>
          <w:color w:val="000000" w:themeColor="text1"/>
          <w:sz w:val="24"/>
          <w:highlight w:val="none"/>
          <w14:textFill>
            <w14:solidFill>
              <w14:schemeClr w14:val="tx1"/>
            </w14:solidFill>
          </w14:textFill>
        </w:rPr>
        <w:t>关于资格的声明函；</w:t>
      </w:r>
    </w:p>
    <w:p>
      <w:pPr>
        <w:spacing w:line="360" w:lineRule="auto"/>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关于资格的声明函</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（采购单位名称/代理机构名称）：</w:t>
      </w:r>
    </w:p>
    <w:p>
      <w:pPr>
        <w:spacing w:line="360" w:lineRule="auto"/>
        <w:ind w:firstLine="566" w:firstLineChars="236"/>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xml:space="preserve"> （ 投标人名称）    </w:t>
      </w:r>
      <w:r>
        <w:rPr>
          <w:rFonts w:hint="eastAsia" w:ascii="宋体" w:hAnsi="宋体" w:cs="宋体"/>
          <w:color w:val="000000" w:themeColor="text1"/>
          <w:sz w:val="24"/>
          <w:highlight w:val="none"/>
          <w14:textFill>
            <w14:solidFill>
              <w14:schemeClr w14:val="tx1"/>
            </w14:solidFill>
          </w14:textFill>
        </w:rPr>
        <w:t xml:space="preserve"> 参与了</w:t>
      </w:r>
      <w:r>
        <w:rPr>
          <w:rFonts w:hint="eastAsia" w:ascii="宋体" w:hAnsi="宋体" w:cs="宋体"/>
          <w:color w:val="000000" w:themeColor="text1"/>
          <w:sz w:val="24"/>
          <w:highlight w:val="none"/>
          <w:u w:val="single"/>
          <w14:textFill>
            <w14:solidFill>
              <w14:schemeClr w14:val="tx1"/>
            </w14:solidFill>
          </w14:textFill>
        </w:rPr>
        <w:t xml:space="preserve"> （项目名称 、招标编号） </w:t>
      </w:r>
      <w:r>
        <w:rPr>
          <w:rFonts w:hint="eastAsia" w:ascii="宋体" w:hAnsi="宋体" w:cs="宋体"/>
          <w:color w:val="000000" w:themeColor="text1"/>
          <w:sz w:val="24"/>
          <w:highlight w:val="none"/>
          <w14:textFill>
            <w14:solidFill>
              <w14:schemeClr w14:val="tx1"/>
            </w14:solidFill>
          </w14:textFill>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特此承诺！</w:t>
      </w:r>
    </w:p>
    <w:p>
      <w:pPr>
        <w:spacing w:line="360" w:lineRule="auto"/>
        <w:ind w:left="420"/>
        <w:rPr>
          <w:rFonts w:hint="eastAsia" w:ascii="宋体" w:hAnsi="宋体" w:cs="宋体"/>
          <w:color w:val="000000" w:themeColor="text1"/>
          <w:sz w:val="24"/>
          <w:highlight w:val="none"/>
          <w14:textFill>
            <w14:solidFill>
              <w14:schemeClr w14:val="tx1"/>
            </w14:solidFill>
          </w14:textFill>
        </w:rPr>
      </w:pPr>
    </w:p>
    <w:p>
      <w:pPr>
        <w:tabs>
          <w:tab w:val="left" w:pos="4860"/>
        </w:tabs>
        <w:adjustRightInd w:val="0"/>
        <w:snapToGrid w:val="0"/>
        <w:spacing w:line="360" w:lineRule="auto"/>
        <w:ind w:right="105" w:rightChars="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投标供应商名称（盖章）：</w:t>
      </w:r>
    </w:p>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   年     月     日</w:t>
      </w: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highlight w:val="none"/>
          <w:lang w:val="fr-CH"/>
          <w14:textFill>
            <w14:solidFill>
              <w14:schemeClr w14:val="tx1"/>
            </w14:solidFill>
          </w14:textFill>
        </w:rPr>
      </w:pPr>
      <w:r>
        <w:rPr>
          <w:rFonts w:hint="eastAsia" w:ascii="宋体" w:hAnsi="宋体" w:cs="宋体"/>
          <w:color w:val="000000" w:themeColor="text1"/>
          <w:sz w:val="24"/>
          <w:highlight w:val="none"/>
          <w:lang w:val="fr-CH"/>
          <w14:textFill>
            <w14:solidFill>
              <w14:schemeClr w14:val="tx1"/>
            </w14:solidFill>
          </w14:textFill>
        </w:rPr>
        <w:br w:type="page"/>
      </w:r>
      <w:r>
        <w:rPr>
          <w:rFonts w:hint="eastAsia" w:ascii="宋体" w:hAnsi="宋体" w:cs="宋体"/>
          <w:color w:val="000000" w:themeColor="text1"/>
          <w:sz w:val="24"/>
          <w:highlight w:val="none"/>
          <w:lang w:val="fr-CH"/>
          <w14:textFill>
            <w14:solidFill>
              <w14:schemeClr w14:val="tx1"/>
            </w14:solidFill>
          </w14:textFill>
        </w:rPr>
        <w:t>法定代表人证明书及身份证明；</w:t>
      </w:r>
    </w:p>
    <w:p>
      <w:pPr>
        <w:spacing w:before="120" w:after="120" w:line="360" w:lineRule="auto"/>
        <w:jc w:val="center"/>
        <w:rPr>
          <w:rFonts w:hint="eastAsia" w:ascii="宋体" w:hAnsi="宋体" w:cs="宋体"/>
          <w:b/>
          <w:color w:val="000000" w:themeColor="text1"/>
          <w:sz w:val="24"/>
          <w:highlight w:val="none"/>
          <w14:textFill>
            <w14:solidFill>
              <w14:schemeClr w14:val="tx1"/>
            </w14:solidFill>
          </w14:textFill>
        </w:rPr>
      </w:pPr>
    </w:p>
    <w:p>
      <w:pPr>
        <w:spacing w:before="120" w:after="120" w:line="360" w:lineRule="auto"/>
        <w:jc w:val="center"/>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法定代表人证明书</w:t>
      </w:r>
    </w:p>
    <w:p>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同志，现任我单位职务，为法定代表人，特此证明。</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签发日期：             有效日期：         单位：              </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附：代表人性别：   年龄：      身份证号码：</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营业执照号码：                 经济性质：</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主营（产）：</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兼营（产）：</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进口物品经营许可证号码：</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主营：</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兼营：</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说明：1、法定代表人为企业事业单位、国家机关、社会团体的主要行政负责人。</w:t>
      </w:r>
    </w:p>
    <w:p>
      <w:pPr>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2、内容必须填写真实、清楚，涂改无效，不得转让、买卖</w:t>
      </w:r>
      <w:r>
        <w:rPr>
          <w:rFonts w:hint="eastAsia" w:ascii="宋体" w:hAnsi="宋体" w:cs="宋体"/>
          <w:color w:val="000000" w:themeColor="text1"/>
          <w:sz w:val="24"/>
          <w:highlight w:val="none"/>
          <w:lang w:eastAsia="zh-CN"/>
          <w14:textFill>
            <w14:solidFill>
              <w14:schemeClr w14:val="tx1"/>
            </w14:solidFill>
          </w14:textFill>
        </w:rPr>
        <w:t>。</w:t>
      </w:r>
    </w:p>
    <w:p>
      <w:pPr>
        <w:tabs>
          <w:tab w:val="left" w:pos="3780"/>
        </w:tabs>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投标供应商名称（盖章）：</w:t>
      </w:r>
    </w:p>
    <w:p>
      <w:pPr>
        <w:tabs>
          <w:tab w:val="left" w:pos="3780"/>
        </w:tabs>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法定代表人（签字或签章）：</w:t>
      </w:r>
    </w:p>
    <w:p>
      <w:pPr>
        <w:spacing w:before="120" w:after="120"/>
        <w:jc w:val="left"/>
        <w:rPr>
          <w:rFonts w:hint="eastAsia" w:ascii="宋体" w:hAnsi="宋体" w:cs="宋体"/>
          <w:color w:val="000000" w:themeColor="text1"/>
          <w:szCs w:val="21"/>
          <w:highlight w:val="none"/>
          <w14:textFill>
            <w14:solidFill>
              <w14:schemeClr w14:val="tx1"/>
            </w14:solidFill>
          </w14:textFill>
        </w:rPr>
      </w:pPr>
    </w:p>
    <w:p>
      <w:pPr>
        <w:spacing w:before="120" w:after="120" w:line="360" w:lineRule="auto"/>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附身份证正反面</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4240" w:type="dxa"/>
          </w:tcPr>
          <w:p>
            <w:pPr>
              <w:pStyle w:val="11"/>
              <w:spacing w:line="360" w:lineRule="auto"/>
              <w:rPr>
                <w:rFonts w:ascii="Arial Narrow" w:hAnsi="Arial Narrow"/>
                <w:b/>
                <w:bCs/>
                <w:color w:val="000000" w:themeColor="text1"/>
                <w:szCs w:val="21"/>
                <w:highlight w:val="none"/>
                <w14:textFill>
                  <w14:solidFill>
                    <w14:schemeClr w14:val="tx1"/>
                  </w14:solidFill>
                </w14:textFill>
              </w:rPr>
            </w:pPr>
          </w:p>
        </w:tc>
        <w:tc>
          <w:tcPr>
            <w:tcW w:w="4240" w:type="dxa"/>
          </w:tcPr>
          <w:p>
            <w:pPr>
              <w:pStyle w:val="11"/>
              <w:spacing w:line="360" w:lineRule="auto"/>
              <w:rPr>
                <w:rFonts w:ascii="Arial Narrow" w:hAnsi="Arial Narrow"/>
                <w:b/>
                <w:bCs/>
                <w:color w:val="000000" w:themeColor="text1"/>
                <w:szCs w:val="21"/>
                <w:highlight w:val="none"/>
                <w14:textFill>
                  <w14:solidFill>
                    <w14:schemeClr w14:val="tx1"/>
                  </w14:solidFill>
                </w14:textFill>
              </w:rPr>
            </w:pPr>
          </w:p>
        </w:tc>
      </w:tr>
    </w:tbl>
    <w:p>
      <w:pPr>
        <w:tabs>
          <w:tab w:val="left" w:pos="640"/>
          <w:tab w:val="left" w:pos="1260"/>
          <w:tab w:val="left" w:pos="1418"/>
        </w:tabs>
        <w:spacing w:line="360" w:lineRule="auto"/>
        <w:rPr>
          <w:color w:val="000000" w:themeColor="text1"/>
          <w:szCs w:val="21"/>
          <w:highlight w:val="none"/>
          <w:lang w:val="fr-CH"/>
          <w14:textFill>
            <w14:solidFill>
              <w14:schemeClr w14:val="tx1"/>
            </w14:solidFill>
          </w14:textFill>
        </w:rPr>
      </w:pPr>
      <w:r>
        <w:rPr>
          <w:rFonts w:hint="eastAsia"/>
          <w:color w:val="000000" w:themeColor="text1"/>
          <w:szCs w:val="21"/>
          <w:highlight w:val="none"/>
          <w14:textFill>
            <w14:solidFill>
              <w14:schemeClr w14:val="tx1"/>
            </w14:solidFill>
          </w14:textFill>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numPr>
          <w:ilvl w:val="0"/>
          <w:numId w:val="10"/>
        </w:numPr>
        <w:tabs>
          <w:tab w:val="left" w:pos="640"/>
          <w:tab w:val="left" w:pos="1260"/>
          <w:tab w:val="left" w:pos="1418"/>
        </w:tabs>
        <w:spacing w:line="360" w:lineRule="auto"/>
        <w:ind w:left="845" w:hanging="845"/>
        <w:rPr>
          <w:rFonts w:hint="eastAsia" w:ascii="宋体" w:hAnsi="宋体" w:cs="宋体"/>
          <w:color w:val="000000" w:themeColor="text1"/>
          <w:sz w:val="24"/>
          <w:highlight w:val="none"/>
          <w:lang w:val="fr-CH"/>
          <w14:textFill>
            <w14:solidFill>
              <w14:schemeClr w14:val="tx1"/>
            </w14:solidFill>
          </w14:textFill>
        </w:rPr>
      </w:pPr>
      <w:r>
        <w:rPr>
          <w:rFonts w:hint="eastAsia" w:ascii="宋体" w:hAnsi="宋体" w:cs="宋体"/>
          <w:color w:val="000000" w:themeColor="text1"/>
          <w:sz w:val="24"/>
          <w:highlight w:val="none"/>
          <w:lang w:val="fr-CH"/>
          <w14:textFill>
            <w14:solidFill>
              <w14:schemeClr w14:val="tx1"/>
            </w14:solidFill>
          </w14:textFill>
        </w:rPr>
        <w:br w:type="page"/>
      </w:r>
      <w:r>
        <w:rPr>
          <w:rFonts w:hint="eastAsia" w:ascii="宋体" w:hAnsi="宋体" w:cs="宋体"/>
          <w:color w:val="000000" w:themeColor="text1"/>
          <w:sz w:val="24"/>
          <w:highlight w:val="none"/>
          <w:lang w:val="fr-CH"/>
          <w14:textFill>
            <w14:solidFill>
              <w14:schemeClr w14:val="tx1"/>
            </w14:solidFill>
          </w14:textFill>
        </w:rPr>
        <w:t>法定代表人授权书及身份证明；</w:t>
      </w:r>
    </w:p>
    <w:p>
      <w:pPr>
        <w:pStyle w:val="11"/>
        <w:spacing w:line="360" w:lineRule="auto"/>
        <w:jc w:val="center"/>
        <w:rPr>
          <w:rFonts w:hint="eastAsia" w:hAnsi="宋体" w:cs="宋体"/>
          <w:b/>
          <w:color w:val="000000" w:themeColor="text1"/>
          <w:sz w:val="24"/>
          <w:highlight w:val="none"/>
          <w14:textFill>
            <w14:solidFill>
              <w14:schemeClr w14:val="tx1"/>
            </w14:solidFill>
          </w14:textFill>
        </w:rPr>
      </w:pPr>
    </w:p>
    <w:p>
      <w:pPr>
        <w:pStyle w:val="11"/>
        <w:spacing w:line="360" w:lineRule="auto"/>
        <w:jc w:val="center"/>
        <w:rPr>
          <w:rFonts w:hint="eastAsia" w:hAnsi="宋体" w:cs="宋体"/>
          <w:b/>
          <w:color w:val="000000" w:themeColor="text1"/>
          <w:sz w:val="24"/>
          <w:highlight w:val="none"/>
          <w14:textFill>
            <w14:solidFill>
              <w14:schemeClr w14:val="tx1"/>
            </w14:solidFill>
          </w14:textFill>
        </w:rPr>
      </w:pPr>
      <w:r>
        <w:rPr>
          <w:rFonts w:hint="eastAsia" w:hAnsi="宋体" w:cs="宋体"/>
          <w:b/>
          <w:color w:val="000000" w:themeColor="text1"/>
          <w:sz w:val="24"/>
          <w:highlight w:val="none"/>
          <w14:textFill>
            <w14:solidFill>
              <w14:schemeClr w14:val="tx1"/>
            </w14:solidFill>
          </w14:textFill>
        </w:rPr>
        <w:t>法定代表人授权书</w:t>
      </w:r>
    </w:p>
    <w:p>
      <w:pPr>
        <w:pStyle w:val="11"/>
        <w:spacing w:line="360" w:lineRule="auto"/>
        <w:rPr>
          <w:rFonts w:hint="eastAsia" w:hAnsi="宋体" w:cs="宋体"/>
          <w:color w:val="000000" w:themeColor="text1"/>
          <w:sz w:val="24"/>
          <w:highlight w:val="none"/>
          <w14:textFill>
            <w14:solidFill>
              <w14:schemeClr w14:val="tx1"/>
            </w14:solidFill>
          </w14:textFill>
        </w:rPr>
      </w:pPr>
    </w:p>
    <w:p>
      <w:pPr>
        <w:pStyle w:val="11"/>
        <w:spacing w:line="360" w:lineRule="auto"/>
        <w:rPr>
          <w:rFonts w:hint="eastAsia" w:hAnsi="宋体" w:cs="宋体"/>
          <w:color w:val="000000" w:themeColor="text1"/>
          <w:sz w:val="24"/>
          <w:highlight w:val="none"/>
          <w14:textFill>
            <w14:solidFill>
              <w14:schemeClr w14:val="tx1"/>
            </w14:solidFill>
          </w14:textFill>
        </w:rPr>
      </w:pPr>
      <w:r>
        <w:rPr>
          <w:rFonts w:hint="eastAsia" w:hAnsi="宋体" w:cs="宋体"/>
          <w:b/>
          <w:color w:val="000000" w:themeColor="text1"/>
          <w:sz w:val="24"/>
          <w:highlight w:val="none"/>
          <w14:textFill>
            <w14:solidFill>
              <w14:schemeClr w14:val="tx1"/>
            </w14:solidFill>
          </w14:textFill>
        </w:rPr>
        <w:t>深圳市前海深港现代服务业合作区管理局：</w:t>
      </w:r>
    </w:p>
    <w:p>
      <w:pPr>
        <w:pStyle w:val="11"/>
        <w:spacing w:line="360" w:lineRule="auto"/>
        <w:ind w:firstLine="420"/>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本授权书声明：注册于</w:t>
      </w:r>
      <w:r>
        <w:rPr>
          <w:rFonts w:hint="eastAsia" w:hAnsi="宋体" w:cs="宋体"/>
          <w:color w:val="000000" w:themeColor="text1"/>
          <w:sz w:val="24"/>
          <w:highlight w:val="none"/>
          <w:u w:val="single"/>
          <w14:textFill>
            <w14:solidFill>
              <w14:schemeClr w14:val="tx1"/>
            </w14:solidFill>
          </w14:textFill>
        </w:rPr>
        <w:t xml:space="preserve">     </w:t>
      </w:r>
      <w:r>
        <w:rPr>
          <w:rFonts w:hint="eastAsia" w:hAnsi="宋体" w:cs="宋体"/>
          <w:color w:val="000000" w:themeColor="text1"/>
          <w:sz w:val="24"/>
          <w:highlight w:val="none"/>
          <w14:textFill>
            <w14:solidFill>
              <w14:schemeClr w14:val="tx1"/>
            </w14:solidFill>
          </w14:textFill>
        </w:rPr>
        <w:t>（国家或地区）的</w:t>
      </w:r>
      <w:r>
        <w:rPr>
          <w:rFonts w:hint="eastAsia" w:hAnsi="宋体" w:cs="宋体"/>
          <w:color w:val="000000" w:themeColor="text1"/>
          <w:sz w:val="24"/>
          <w:highlight w:val="none"/>
          <w:u w:val="single"/>
          <w14:textFill>
            <w14:solidFill>
              <w14:schemeClr w14:val="tx1"/>
            </w14:solidFill>
          </w14:textFill>
        </w:rPr>
        <w:t xml:space="preserve">     </w:t>
      </w:r>
      <w:r>
        <w:rPr>
          <w:rFonts w:hint="eastAsia" w:hAnsi="宋体" w:cs="宋体"/>
          <w:color w:val="000000" w:themeColor="text1"/>
          <w:sz w:val="24"/>
          <w:highlight w:val="none"/>
          <w14:textFill>
            <w14:solidFill>
              <w14:schemeClr w14:val="tx1"/>
            </w14:solidFill>
          </w14:textFill>
        </w:rPr>
        <w:t>（投标人名称）的在下面签字的</w:t>
      </w:r>
      <w:r>
        <w:rPr>
          <w:rFonts w:hint="eastAsia" w:hAnsi="宋体" w:cs="宋体"/>
          <w:color w:val="000000" w:themeColor="text1"/>
          <w:sz w:val="24"/>
          <w:highlight w:val="none"/>
          <w:u w:val="single"/>
          <w14:textFill>
            <w14:solidFill>
              <w14:schemeClr w14:val="tx1"/>
            </w14:solidFill>
          </w14:textFill>
        </w:rPr>
        <w:t xml:space="preserve">     </w:t>
      </w:r>
      <w:r>
        <w:rPr>
          <w:rFonts w:hint="eastAsia" w:hAnsi="宋体" w:cs="宋体"/>
          <w:color w:val="000000" w:themeColor="text1"/>
          <w:sz w:val="24"/>
          <w:highlight w:val="none"/>
          <w14:textFill>
            <w14:solidFill>
              <w14:schemeClr w14:val="tx1"/>
            </w14:solidFill>
          </w14:textFill>
        </w:rPr>
        <w:t xml:space="preserve"> （法定代表人姓名、职务）代表本公司授权在下面签字的</w:t>
      </w:r>
      <w:r>
        <w:rPr>
          <w:rFonts w:hint="eastAsia" w:hAnsi="宋体" w:cs="宋体"/>
          <w:color w:val="000000" w:themeColor="text1"/>
          <w:sz w:val="24"/>
          <w:highlight w:val="none"/>
          <w:u w:val="single"/>
          <w14:textFill>
            <w14:solidFill>
              <w14:schemeClr w14:val="tx1"/>
            </w14:solidFill>
          </w14:textFill>
        </w:rPr>
        <w:t xml:space="preserve">     </w:t>
      </w:r>
      <w:r>
        <w:rPr>
          <w:rFonts w:hint="eastAsia" w:hAnsi="宋体" w:cs="宋体"/>
          <w:color w:val="000000" w:themeColor="text1"/>
          <w:sz w:val="24"/>
          <w:highlight w:val="none"/>
          <w14:textFill>
            <w14:solidFill>
              <w14:schemeClr w14:val="tx1"/>
            </w14:solidFill>
          </w14:textFill>
        </w:rPr>
        <w:t>（被授权人的姓名、职务）为本公司的合法代表人，就</w:t>
      </w:r>
      <w:r>
        <w:rPr>
          <w:rFonts w:hint="eastAsia" w:hAnsi="宋体" w:cs="宋体"/>
          <w:color w:val="000000" w:themeColor="text1"/>
          <w:sz w:val="24"/>
          <w:highlight w:val="none"/>
          <w:u w:val="single"/>
          <w14:textFill>
            <w14:solidFill>
              <w14:schemeClr w14:val="tx1"/>
            </w14:solidFill>
          </w14:textFill>
        </w:rPr>
        <w:t xml:space="preserve">       </w:t>
      </w:r>
      <w:r>
        <w:rPr>
          <w:rFonts w:hint="eastAsia" w:hAnsi="宋体" w:cs="宋体"/>
          <w:color w:val="000000" w:themeColor="text1"/>
          <w:sz w:val="24"/>
          <w:highlight w:val="none"/>
          <w14:textFill>
            <w14:solidFill>
              <w14:schemeClr w14:val="tx1"/>
            </w14:solidFill>
          </w14:textFill>
        </w:rPr>
        <w:t>[招标编号为：</w:t>
      </w:r>
      <w:r>
        <w:rPr>
          <w:rFonts w:hint="eastAsia" w:hAnsi="宋体" w:cs="宋体"/>
          <w:color w:val="000000" w:themeColor="text1"/>
          <w:sz w:val="24"/>
          <w:highlight w:val="none"/>
          <w:u w:val="single"/>
          <w14:textFill>
            <w14:solidFill>
              <w14:schemeClr w14:val="tx1"/>
            </w14:solidFill>
          </w14:textFill>
        </w:rPr>
        <w:t xml:space="preserve">     </w:t>
      </w:r>
      <w:r>
        <w:rPr>
          <w:rFonts w:hint="eastAsia" w:hAnsi="宋体" w:cs="宋体"/>
          <w:color w:val="000000" w:themeColor="text1"/>
          <w:sz w:val="24"/>
          <w:highlight w:val="none"/>
          <w14:textFill>
            <w14:solidFill>
              <w14:schemeClr w14:val="tx1"/>
            </w14:solidFill>
          </w14:textFill>
        </w:rPr>
        <w:t>]的投标和合同执行，以我方的名义处理一切与之有关的事宜。</w:t>
      </w:r>
    </w:p>
    <w:p>
      <w:pPr>
        <w:pStyle w:val="11"/>
        <w:spacing w:line="360" w:lineRule="auto"/>
        <w:rPr>
          <w:rFonts w:hint="eastAsia" w:hAnsi="宋体" w:cs="宋体"/>
          <w:color w:val="000000" w:themeColor="text1"/>
          <w:sz w:val="24"/>
          <w:highlight w:val="none"/>
          <w14:textFill>
            <w14:solidFill>
              <w14:schemeClr w14:val="tx1"/>
            </w14:solidFill>
          </w14:textFill>
        </w:rPr>
      </w:pPr>
    </w:p>
    <w:p>
      <w:pPr>
        <w:spacing w:line="360" w:lineRule="auto"/>
        <w:ind w:firstLine="57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本授权书于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日签字生效，特此声明。</w:t>
      </w:r>
    </w:p>
    <w:p>
      <w:pPr>
        <w:spacing w:line="360" w:lineRule="auto"/>
        <w:rPr>
          <w:rFonts w:hint="eastAsia" w:ascii="宋体" w:hAnsi="宋体" w:cs="宋体"/>
          <w:color w:val="000000" w:themeColor="text1"/>
          <w:sz w:val="24"/>
          <w:highlight w:val="none"/>
          <w14:textFill>
            <w14:solidFill>
              <w14:schemeClr w14:val="tx1"/>
            </w14:solidFill>
          </w14:textFill>
        </w:rPr>
      </w:pPr>
    </w:p>
    <w:p>
      <w:pPr>
        <w:spacing w:line="360" w:lineRule="auto"/>
        <w:rPr>
          <w:rFonts w:hint="eastAsia" w:ascii="宋体" w:hAnsi="宋体" w:cs="宋体"/>
          <w:color w:val="000000" w:themeColor="text1"/>
          <w:sz w:val="24"/>
          <w:highlight w:val="none"/>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法定代表人（签字或签章）：</w:t>
      </w:r>
    </w:p>
    <w:p>
      <w:pPr>
        <w:tabs>
          <w:tab w:val="left" w:pos="3780"/>
        </w:tabs>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被授权人代表（签字或签章）：</w:t>
      </w:r>
    </w:p>
    <w:p>
      <w:pPr>
        <w:tabs>
          <w:tab w:val="left" w:pos="640"/>
          <w:tab w:val="left" w:pos="1260"/>
          <w:tab w:val="left" w:pos="1418"/>
        </w:tabs>
        <w:spacing w:line="360" w:lineRule="auto"/>
        <w:rPr>
          <w:rFonts w:hint="eastAsia" w:ascii="宋体" w:hAnsi="宋体" w:cs="宋体"/>
          <w:b/>
          <w:color w:val="000000" w:themeColor="text1"/>
          <w:sz w:val="24"/>
          <w:highlight w:val="none"/>
          <w14:textFill>
            <w14:solidFill>
              <w14:schemeClr w14:val="tx1"/>
            </w14:solidFill>
          </w14:textFill>
        </w:rPr>
      </w:pPr>
    </w:p>
    <w:p>
      <w:pPr>
        <w:tabs>
          <w:tab w:val="left" w:pos="640"/>
          <w:tab w:val="left" w:pos="1260"/>
          <w:tab w:val="left" w:pos="1418"/>
        </w:tabs>
        <w:spacing w:line="360" w:lineRule="auto"/>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附身份证正反面</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1"/>
              <w:spacing w:line="360" w:lineRule="auto"/>
              <w:rPr>
                <w:rFonts w:ascii="Arial Narrow" w:hAnsi="Arial Narrow"/>
                <w:b/>
                <w:bCs/>
                <w:color w:val="000000" w:themeColor="text1"/>
                <w:szCs w:val="21"/>
                <w:highlight w:val="none"/>
                <w14:textFill>
                  <w14:solidFill>
                    <w14:schemeClr w14:val="tx1"/>
                  </w14:solidFill>
                </w14:textFill>
              </w:rPr>
            </w:pPr>
          </w:p>
        </w:tc>
        <w:tc>
          <w:tcPr>
            <w:tcW w:w="4677" w:type="dxa"/>
          </w:tcPr>
          <w:p>
            <w:pPr>
              <w:pStyle w:val="11"/>
              <w:spacing w:line="360" w:lineRule="auto"/>
              <w:rPr>
                <w:rFonts w:ascii="Arial Narrow" w:hAnsi="Arial Narrow"/>
                <w:b/>
                <w:bCs/>
                <w:color w:val="000000" w:themeColor="text1"/>
                <w:szCs w:val="21"/>
                <w:highlight w:val="none"/>
                <w14:textFill>
                  <w14:solidFill>
                    <w14:schemeClr w14:val="tx1"/>
                  </w14:solidFill>
                </w14:textFill>
              </w:rPr>
            </w:pPr>
          </w:p>
        </w:tc>
      </w:tr>
    </w:tbl>
    <w:p>
      <w:pPr>
        <w:tabs>
          <w:tab w:val="left" w:pos="640"/>
          <w:tab w:val="left" w:pos="1260"/>
          <w:tab w:val="left" w:pos="1418"/>
        </w:tabs>
        <w:spacing w:line="360" w:lineRule="auto"/>
        <w:rPr>
          <w:rFonts w:hint="eastAsia" w:ascii="宋体" w:hAnsi="宋体" w:cs="宋体"/>
          <w:color w:val="000000" w:themeColor="text1"/>
          <w:sz w:val="24"/>
          <w:highlight w:val="none"/>
          <w:lang w:val="fr-CH"/>
          <w14:textFill>
            <w14:solidFill>
              <w14:schemeClr w14:val="tx1"/>
            </w14:solidFill>
          </w14:textFill>
        </w:rPr>
      </w:pPr>
      <w:r>
        <w:rPr>
          <w:rFonts w:hint="eastAsia"/>
          <w:color w:val="000000" w:themeColor="text1"/>
          <w:szCs w:val="21"/>
          <w:highlight w:val="none"/>
          <w14:textFill>
            <w14:solidFill>
              <w14:schemeClr w14:val="tx1"/>
            </w14:solidFill>
          </w14:textFill>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s="宋体"/>
          <w:color w:val="000000" w:themeColor="text1"/>
          <w:sz w:val="24"/>
          <w:highlight w:val="none"/>
          <w:lang w:val="fr-CH"/>
          <w14:textFill>
            <w14:solidFill>
              <w14:schemeClr w14:val="tx1"/>
            </w14:solidFill>
          </w14:textFill>
        </w:rPr>
        <w:br w:type="page"/>
      </w:r>
    </w:p>
    <w:p>
      <w:pPr>
        <w:numPr>
          <w:ilvl w:val="0"/>
          <w:numId w:val="10"/>
        </w:numPr>
        <w:tabs>
          <w:tab w:val="left" w:pos="640"/>
          <w:tab w:val="left" w:pos="1260"/>
          <w:tab w:val="left" w:pos="1418"/>
        </w:tabs>
        <w:spacing w:line="360" w:lineRule="auto"/>
        <w:ind w:left="845" w:hanging="845"/>
        <w:rPr>
          <w:rFonts w:hint="eastAsia" w:ascii="宋体" w:hAnsi="宋体" w:cs="宋体"/>
          <w:color w:val="000000" w:themeColor="text1"/>
          <w:sz w:val="24"/>
          <w:highlight w:val="none"/>
          <w:lang w:val="fr-CH"/>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w:t>
      </w:r>
      <w:r>
        <w:rPr>
          <w:rFonts w:hint="eastAsia" w:ascii="宋体" w:hAnsi="宋体" w:cs="宋体"/>
          <w:color w:val="000000" w:themeColor="text1"/>
          <w:sz w:val="24"/>
          <w:highlight w:val="none"/>
          <w:lang w:val="fr-CH"/>
          <w14:textFill>
            <w14:solidFill>
              <w14:schemeClr w14:val="tx1"/>
            </w14:solidFill>
          </w14:textFill>
        </w:rPr>
        <w:t>简介；</w:t>
      </w:r>
    </w:p>
    <w:p>
      <w:pPr>
        <w:pStyle w:val="11"/>
        <w:spacing w:line="360" w:lineRule="auto"/>
        <w:jc w:val="center"/>
        <w:rPr>
          <w:rFonts w:hint="eastAsia" w:hAnsi="宋体" w:cs="宋体"/>
          <w:b/>
          <w:bCs/>
          <w:color w:val="000000" w:themeColor="text1"/>
          <w:sz w:val="24"/>
          <w:highlight w:val="none"/>
          <w14:textFill>
            <w14:solidFill>
              <w14:schemeClr w14:val="tx1"/>
            </w14:solidFill>
          </w14:textFill>
        </w:rPr>
      </w:pPr>
      <w:r>
        <w:rPr>
          <w:rFonts w:hint="eastAsia" w:hAnsi="宋体" w:cs="宋体"/>
          <w:b/>
          <w:bCs/>
          <w:color w:val="000000" w:themeColor="text1"/>
          <w:sz w:val="24"/>
          <w:highlight w:val="none"/>
          <w14:textFill>
            <w14:solidFill>
              <w14:schemeClr w14:val="tx1"/>
            </w14:solidFill>
          </w14:textFill>
        </w:rPr>
        <w:t>供应商基本情况一览表</w:t>
      </w:r>
    </w:p>
    <w:p>
      <w:pPr>
        <w:pStyle w:val="11"/>
        <w:spacing w:line="360" w:lineRule="auto"/>
        <w:ind w:firstLine="420"/>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1．名称及概况：</w:t>
      </w:r>
    </w:p>
    <w:p>
      <w:pPr>
        <w:pStyle w:val="11"/>
        <w:spacing w:line="360" w:lineRule="auto"/>
        <w:ind w:firstLine="420"/>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（1）供应商名称：_______________________________________</w:t>
      </w:r>
    </w:p>
    <w:p>
      <w:pPr>
        <w:pStyle w:val="11"/>
        <w:spacing w:line="360" w:lineRule="auto"/>
        <w:ind w:firstLine="420"/>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（2）地址：______________________________________________</w:t>
      </w:r>
    </w:p>
    <w:p>
      <w:pPr>
        <w:pStyle w:val="11"/>
        <w:spacing w:line="360" w:lineRule="auto"/>
        <w:ind w:firstLine="660" w:firstLineChars="275"/>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 xml:space="preserve">   邮政编码：___________________________________________</w:t>
      </w:r>
    </w:p>
    <w:p>
      <w:pPr>
        <w:pStyle w:val="11"/>
        <w:spacing w:line="360" w:lineRule="auto"/>
        <w:ind w:firstLine="420"/>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 xml:space="preserve">     电话号码：___________________________________________ </w:t>
      </w:r>
    </w:p>
    <w:p>
      <w:pPr>
        <w:pStyle w:val="11"/>
        <w:spacing w:line="360" w:lineRule="auto"/>
        <w:ind w:firstLine="420"/>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 xml:space="preserve">     传真号码：___________________________________________ </w:t>
      </w:r>
    </w:p>
    <w:p>
      <w:pPr>
        <w:pStyle w:val="11"/>
        <w:spacing w:line="360" w:lineRule="auto"/>
        <w:ind w:firstLine="420"/>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（3）成立和／或注册日期：_________________________________</w:t>
      </w:r>
    </w:p>
    <w:p>
      <w:pPr>
        <w:pStyle w:val="11"/>
        <w:spacing w:line="360" w:lineRule="auto"/>
        <w:ind w:firstLine="420"/>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（4）法人代表：___________________________________________</w:t>
      </w:r>
    </w:p>
    <w:p>
      <w:pPr>
        <w:pStyle w:val="11"/>
        <w:spacing w:line="360" w:lineRule="auto"/>
        <w:ind w:firstLine="420"/>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（5）开户银行：___________________________________________</w:t>
      </w:r>
    </w:p>
    <w:p>
      <w:pPr>
        <w:pStyle w:val="11"/>
        <w:spacing w:line="360" w:lineRule="auto"/>
        <w:ind w:firstLine="420"/>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（6）开户账号：___________________________________________</w:t>
      </w:r>
    </w:p>
    <w:p>
      <w:pPr>
        <w:pStyle w:val="11"/>
        <w:spacing w:line="360" w:lineRule="auto"/>
        <w:ind w:firstLine="420"/>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（7）注册资金：___________________________________________</w:t>
      </w:r>
    </w:p>
    <w:p>
      <w:pPr>
        <w:pStyle w:val="11"/>
        <w:spacing w:line="360" w:lineRule="auto"/>
        <w:ind w:firstLine="420"/>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（8）近两年财务基本情况</w:t>
      </w:r>
    </w:p>
    <w:p>
      <w:pPr>
        <w:pStyle w:val="11"/>
        <w:spacing w:line="360" w:lineRule="auto"/>
        <w:ind w:firstLine="420"/>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 xml:space="preserve">    ①货币资金期末数：_____________________________________</w:t>
      </w:r>
    </w:p>
    <w:p>
      <w:pPr>
        <w:pStyle w:val="11"/>
        <w:spacing w:line="360" w:lineRule="auto"/>
        <w:ind w:firstLine="420"/>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 xml:space="preserve">    ③年营业总额（值）：___________________________________</w:t>
      </w:r>
    </w:p>
    <w:p>
      <w:pPr>
        <w:pStyle w:val="11"/>
        <w:spacing w:line="360" w:lineRule="auto"/>
        <w:ind w:firstLine="420"/>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 xml:space="preserve">    ③资产负债率：_________________________________________</w:t>
      </w:r>
    </w:p>
    <w:p>
      <w:pPr>
        <w:pStyle w:val="11"/>
        <w:spacing w:line="360" w:lineRule="auto"/>
        <w:ind w:firstLine="420"/>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 xml:space="preserve">    ④销售利润率：_________________________________________</w:t>
      </w:r>
    </w:p>
    <w:p>
      <w:pPr>
        <w:pStyle w:val="11"/>
        <w:spacing w:line="360" w:lineRule="auto"/>
        <w:ind w:firstLine="420"/>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 xml:space="preserve">    ⑤资本收益率：_________________________________________</w:t>
      </w:r>
    </w:p>
    <w:p>
      <w:pPr>
        <w:pStyle w:val="11"/>
        <w:spacing w:line="360" w:lineRule="auto"/>
        <w:ind w:firstLine="420"/>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（9）项目主要联系人（姓名、职务、通讯）：</w:t>
      </w:r>
    </w:p>
    <w:p>
      <w:pPr>
        <w:pStyle w:val="11"/>
        <w:spacing w:line="360" w:lineRule="auto"/>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_____________________________________________________________________</w:t>
      </w:r>
    </w:p>
    <w:p>
      <w:pPr>
        <w:pStyle w:val="11"/>
        <w:spacing w:line="360" w:lineRule="auto"/>
        <w:ind w:firstLine="420"/>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（10）公司概况；</w:t>
      </w:r>
    </w:p>
    <w:p>
      <w:pPr>
        <w:pStyle w:val="11"/>
        <w:spacing w:line="360" w:lineRule="auto"/>
        <w:ind w:firstLine="420"/>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（11）公司组织机构；</w:t>
      </w:r>
    </w:p>
    <w:p>
      <w:pPr>
        <w:pStyle w:val="11"/>
        <w:spacing w:line="360" w:lineRule="auto"/>
        <w:ind w:firstLine="420"/>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兹证明上述说明是真实、正确的，并提供了全部能提供的资料和数据，我们同意遵照贵方要求出示有关证明文件。</w:t>
      </w:r>
    </w:p>
    <w:p>
      <w:pPr>
        <w:tabs>
          <w:tab w:val="left" w:pos="3780"/>
        </w:tabs>
        <w:spacing w:line="360" w:lineRule="auto"/>
        <w:jc w:val="left"/>
        <w:rPr>
          <w:rFonts w:hint="eastAsia" w:ascii="宋体" w:hAnsi="宋体" w:cs="宋体"/>
          <w:color w:val="000000" w:themeColor="text1"/>
          <w:sz w:val="24"/>
          <w:highlight w:val="none"/>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  年  月   日</w:t>
      </w:r>
    </w:p>
    <w:p>
      <w:pPr>
        <w:pStyle w:val="9"/>
        <w:rPr>
          <w:color w:val="000000" w:themeColor="text1"/>
          <w:highlight w:val="none"/>
          <w:lang w:val="fr-CH"/>
          <w14:textFill>
            <w14:solidFill>
              <w14:schemeClr w14:val="tx1"/>
            </w14:solidFill>
          </w14:textFill>
        </w:rPr>
      </w:pPr>
    </w:p>
    <w:p>
      <w:pPr>
        <w:tabs>
          <w:tab w:val="left" w:pos="640"/>
        </w:tabs>
        <w:spacing w:line="360" w:lineRule="auto"/>
        <w:rPr>
          <w:rFonts w:hint="eastAsia" w:ascii="宋体" w:hAnsi="宋体" w:cs="宋体"/>
          <w:color w:val="000000" w:themeColor="text1"/>
          <w:sz w:val="24"/>
          <w:highlight w:val="none"/>
          <w:lang w:val="fr-CH"/>
          <w14:textFill>
            <w14:solidFill>
              <w14:schemeClr w14:val="tx1"/>
            </w14:solidFill>
          </w14:textFill>
        </w:rPr>
      </w:pPr>
      <w:r>
        <w:rPr>
          <w:rFonts w:hint="eastAsia" w:ascii="宋体" w:hAnsi="宋体" w:cs="宋体"/>
          <w:color w:val="000000" w:themeColor="text1"/>
          <w:sz w:val="24"/>
          <w:highlight w:val="none"/>
          <w:lang w:val="fr-CH"/>
          <w14:textFill>
            <w14:solidFill>
              <w14:schemeClr w14:val="tx1"/>
            </w14:solidFill>
          </w14:textFill>
        </w:rPr>
        <w:br w:type="page"/>
      </w:r>
    </w:p>
    <w:p>
      <w:pPr>
        <w:numPr>
          <w:ilvl w:val="0"/>
          <w:numId w:val="10"/>
        </w:numPr>
        <w:tabs>
          <w:tab w:val="left" w:pos="640"/>
        </w:tabs>
        <w:spacing w:line="360" w:lineRule="auto"/>
        <w:ind w:left="845" w:hanging="845"/>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企业年金受托管理资产金额增速；</w:t>
      </w:r>
    </w:p>
    <w:p>
      <w:pPr>
        <w:numPr>
          <w:ilvl w:val="0"/>
          <w:numId w:val="10"/>
        </w:numPr>
        <w:tabs>
          <w:tab w:val="left" w:pos="640"/>
        </w:tabs>
        <w:spacing w:line="360" w:lineRule="auto"/>
        <w:ind w:left="845" w:hanging="845"/>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企业年金受托管理企业数量；</w:t>
      </w:r>
    </w:p>
    <w:p>
      <w:pPr>
        <w:numPr>
          <w:ilvl w:val="0"/>
          <w:numId w:val="10"/>
        </w:numPr>
        <w:tabs>
          <w:tab w:val="left" w:pos="640"/>
        </w:tabs>
        <w:spacing w:line="360" w:lineRule="auto"/>
        <w:ind w:left="845" w:hanging="845"/>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企业年金受托管理职工数量；</w:t>
      </w:r>
    </w:p>
    <w:p>
      <w:pPr>
        <w:numPr>
          <w:ilvl w:val="0"/>
          <w:numId w:val="10"/>
        </w:numPr>
        <w:tabs>
          <w:tab w:val="left" w:pos="640"/>
        </w:tabs>
        <w:spacing w:line="360" w:lineRule="auto"/>
        <w:ind w:left="845" w:hanging="845"/>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推荐2个固定收益类组合投资管理人近三年投资业绩；</w:t>
      </w:r>
    </w:p>
    <w:p>
      <w:pPr>
        <w:numPr>
          <w:ilvl w:val="0"/>
          <w:numId w:val="10"/>
        </w:numPr>
        <w:tabs>
          <w:tab w:val="left" w:pos="640"/>
        </w:tabs>
        <w:spacing w:line="360" w:lineRule="auto"/>
        <w:ind w:left="845" w:hanging="845"/>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推荐2个固定收益类组合投资管理人固收投资管理经验；</w:t>
      </w:r>
    </w:p>
    <w:p>
      <w:pPr>
        <w:numPr>
          <w:ilvl w:val="0"/>
          <w:numId w:val="10"/>
        </w:numPr>
        <w:tabs>
          <w:tab w:val="left" w:pos="640"/>
        </w:tabs>
        <w:spacing w:line="360" w:lineRule="auto"/>
        <w:ind w:left="845" w:hanging="845"/>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推荐2个含权益类组合投资管理人近三年投资业绩；</w:t>
      </w:r>
    </w:p>
    <w:p>
      <w:pPr>
        <w:numPr>
          <w:ilvl w:val="0"/>
          <w:numId w:val="10"/>
        </w:numPr>
        <w:tabs>
          <w:tab w:val="left" w:pos="640"/>
        </w:tabs>
        <w:spacing w:line="360" w:lineRule="auto"/>
        <w:ind w:left="845" w:hanging="845"/>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推荐2个含权益类组合投资管理人权益类资产管理经验；</w:t>
      </w:r>
    </w:p>
    <w:p>
      <w:pPr>
        <w:numPr>
          <w:ilvl w:val="0"/>
          <w:numId w:val="10"/>
        </w:numPr>
        <w:tabs>
          <w:tab w:val="left" w:pos="640"/>
        </w:tabs>
        <w:spacing w:line="360" w:lineRule="auto"/>
        <w:ind w:left="845" w:hanging="845"/>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推荐账户管理人管理经验；</w:t>
      </w:r>
    </w:p>
    <w:p>
      <w:pPr>
        <w:numPr>
          <w:ilvl w:val="0"/>
          <w:numId w:val="10"/>
        </w:numPr>
        <w:tabs>
          <w:tab w:val="left" w:pos="640"/>
        </w:tabs>
        <w:spacing w:line="360" w:lineRule="auto"/>
        <w:ind w:left="845" w:hanging="845"/>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推荐托管人管理经验；</w:t>
      </w:r>
    </w:p>
    <w:p>
      <w:pPr>
        <w:tabs>
          <w:tab w:val="left" w:pos="640"/>
          <w:tab w:val="left" w:pos="1260"/>
          <w:tab w:val="left" w:pos="1418"/>
        </w:tabs>
        <w:jc w:val="center"/>
        <w:rPr>
          <w:rFonts w:hint="eastAsia" w:ascii="宋体" w:hAnsi="宋体" w:cs="宋体"/>
          <w:b/>
          <w:bCs/>
          <w:color w:val="000000" w:themeColor="text1"/>
          <w:szCs w:val="21"/>
          <w:highlight w:val="none"/>
          <w14:textFill>
            <w14:solidFill>
              <w14:schemeClr w14:val="tx1"/>
            </w14:solidFill>
          </w14:textFill>
        </w:rPr>
      </w:pPr>
    </w:p>
    <w:p>
      <w:pPr>
        <w:tabs>
          <w:tab w:val="left" w:pos="640"/>
          <w:tab w:val="left" w:pos="1260"/>
          <w:tab w:val="left" w:pos="1418"/>
        </w:tabs>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注：以上各项请根据“招标项目评分表”中的要求自行填写并提供相应的证明材料。</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highlight w:val="none"/>
          <w:lang w:val="fr-CH"/>
          <w14:textFill>
            <w14:solidFill>
              <w14:schemeClr w14:val="tx1"/>
            </w14:solidFill>
          </w14:textFill>
        </w:rPr>
      </w:pPr>
      <w:r>
        <w:rPr>
          <w:rFonts w:hint="eastAsia" w:ascii="宋体" w:hAnsi="宋体" w:cs="宋体"/>
          <w:color w:val="000000" w:themeColor="text1"/>
          <w:sz w:val="24"/>
          <w:highlight w:val="none"/>
          <w:lang w:val="fr-CH"/>
          <w14:textFill>
            <w14:solidFill>
              <w14:schemeClr w14:val="tx1"/>
            </w14:solidFill>
          </w14:textFill>
        </w:rPr>
        <w:br w:type="page"/>
      </w:r>
      <w:r>
        <w:rPr>
          <w:rFonts w:hint="eastAsia" w:ascii="宋体" w:hAnsi="宋体" w:cs="宋体"/>
          <w:b/>
          <w:bCs/>
          <w:color w:val="000000" w:themeColor="text1"/>
          <w:sz w:val="24"/>
          <w:highlight w:val="none"/>
          <w:lang w:val="fr-CH"/>
          <w14:textFill>
            <w14:solidFill>
              <w14:schemeClr w14:val="tx1"/>
            </w14:solidFill>
          </w14:textFill>
        </w:rPr>
        <w:t>诚信</w:t>
      </w:r>
      <w:r>
        <w:rPr>
          <w:rFonts w:hint="eastAsia" w:ascii="宋体" w:hAnsi="宋体" w:cs="宋体"/>
          <w:b/>
          <w:bCs/>
          <w:color w:val="000000" w:themeColor="text1"/>
          <w:sz w:val="24"/>
          <w:highlight w:val="none"/>
          <w14:textFill>
            <w14:solidFill>
              <w14:schemeClr w14:val="tx1"/>
            </w14:solidFill>
          </w14:textFill>
        </w:rPr>
        <w:t>声明与承诺</w:t>
      </w:r>
      <w:r>
        <w:rPr>
          <w:rFonts w:hint="eastAsia" w:ascii="宋体" w:hAnsi="宋体" w:cs="宋体"/>
          <w:b/>
          <w:bCs/>
          <w:color w:val="000000" w:themeColor="text1"/>
          <w:sz w:val="24"/>
          <w:highlight w:val="none"/>
          <w:lang w:val="fr-CH"/>
          <w14:textFill>
            <w14:solidFill>
              <w14:schemeClr w14:val="tx1"/>
            </w14:solidFill>
          </w14:textFill>
        </w:rPr>
        <w:t>；</w:t>
      </w:r>
    </w:p>
    <w:p>
      <w:pPr>
        <w:spacing w:line="360" w:lineRule="auto"/>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诚信声明与承诺</w:t>
      </w:r>
    </w:p>
    <w:p>
      <w:pPr>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中国远东国际招标有限公司：</w:t>
      </w:r>
    </w:p>
    <w:p>
      <w:pPr>
        <w:spacing w:line="360" w:lineRule="auto"/>
        <w:ind w:firstLine="360" w:firstLineChars="15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我公司（单位）参与贵代理机构组织的项目（项目编号：）投标，现就诚信作如下声明与承诺：</w:t>
      </w:r>
    </w:p>
    <w:p>
      <w:pPr>
        <w:spacing w:line="360" w:lineRule="auto"/>
        <w:ind w:firstLine="360" w:firstLineChars="15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司（单位）承诺根据《深圳市财政局关于印发&lt;深圳市财政局政府采购供应商信用信息管理办法&gt;的通知》（深财规〔2023〕3号）相关规定，我司在全国范围内不存在因政府采购违法、违规行为受到财政部门罚款等一般行政处罚信息，不存在该办法第十一条所称在本市集中采购活动中的一般违法失信行为记录信息。</w:t>
      </w:r>
    </w:p>
    <w:p>
      <w:pPr>
        <w:spacing w:line="360" w:lineRule="auto"/>
        <w:ind w:firstLine="360" w:firstLineChars="15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我司对上述内容的真实性负责。如有虚假，将依法承担相应责任。</w:t>
      </w:r>
    </w:p>
    <w:p>
      <w:pPr>
        <w:spacing w:line="360" w:lineRule="auto"/>
        <w:ind w:firstLine="360" w:firstLineChars="15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特此声明与承诺！</w:t>
      </w:r>
    </w:p>
    <w:p>
      <w:pPr>
        <w:spacing w:line="360" w:lineRule="auto"/>
        <w:jc w:val="left"/>
        <w:rPr>
          <w:rFonts w:hint="eastAsia" w:ascii="宋体" w:hAnsi="宋体" w:cs="宋体"/>
          <w:color w:val="000000" w:themeColor="text1"/>
          <w:sz w:val="24"/>
          <w:highlight w:val="none"/>
          <w14:textFill>
            <w14:solidFill>
              <w14:schemeClr w14:val="tx1"/>
            </w14:solidFill>
          </w14:textFill>
        </w:rPr>
      </w:pPr>
    </w:p>
    <w:p>
      <w:pPr>
        <w:spacing w:line="360" w:lineRule="auto"/>
        <w:jc w:val="left"/>
        <w:rPr>
          <w:rFonts w:hint="eastAsia" w:ascii="宋体" w:hAnsi="宋体" w:cs="宋体"/>
          <w:color w:val="000000" w:themeColor="text1"/>
          <w:sz w:val="24"/>
          <w:highlight w:val="none"/>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  年  月   日</w:t>
      </w:r>
    </w:p>
    <w:p>
      <w:pPr>
        <w:pStyle w:val="11"/>
        <w:spacing w:line="360" w:lineRule="auto"/>
        <w:jc w:val="left"/>
        <w:rPr>
          <w:rFonts w:hint="eastAsia" w:hAnsi="宋体" w:cs="宋体"/>
          <w:color w:val="000000" w:themeColor="text1"/>
          <w:sz w:val="24"/>
          <w:highlight w:val="none"/>
          <w14:textFill>
            <w14:solidFill>
              <w14:schemeClr w14:val="tx1"/>
            </w14:solidFill>
          </w14:textFill>
        </w:rPr>
      </w:pPr>
    </w:p>
    <w:p>
      <w:pPr>
        <w:pStyle w:val="11"/>
        <w:spacing w:line="360" w:lineRule="auto"/>
        <w:jc w:val="left"/>
        <w:rPr>
          <w:rFonts w:hint="eastAsia" w:hAnsi="宋体" w:cs="宋体"/>
          <w:color w:val="000000" w:themeColor="text1"/>
          <w:sz w:val="24"/>
          <w:highlight w:val="none"/>
          <w14:textFill>
            <w14:solidFill>
              <w14:schemeClr w14:val="tx1"/>
            </w14:solidFill>
          </w14:textFill>
        </w:rPr>
      </w:pPr>
    </w:p>
    <w:p>
      <w:pPr>
        <w:spacing w:before="100" w:beforeAutospacing="1" w:after="100" w:afterAutospacing="1"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注：近三年内，如投标人有任何违法违规、受惩罚和禁止、不良信用等记录，必须列明记载，并附网络截图（加盖公章）。</w:t>
      </w:r>
    </w:p>
    <w:p>
      <w:pPr>
        <w:pStyle w:val="9"/>
        <w:rPr>
          <w:color w:val="000000" w:themeColor="text1"/>
          <w:highlight w:val="none"/>
          <w:lang w:val="fr-CH"/>
          <w14:textFill>
            <w14:solidFill>
              <w14:schemeClr w14:val="tx1"/>
            </w14:solidFill>
          </w14:textFill>
        </w:rPr>
      </w:pP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r>
        <w:rPr>
          <w:rFonts w:hint="eastAsia" w:ascii="宋体" w:hAnsi="宋体" w:cs="宋体"/>
          <w:color w:val="000000" w:themeColor="text1"/>
          <w:sz w:val="24"/>
          <w:highlight w:val="none"/>
          <w14:textFill>
            <w14:solidFill>
              <w14:schemeClr w14:val="tx1"/>
            </w14:solidFill>
          </w14:textFill>
        </w:rPr>
        <w:t>政府采购违法行为风险知悉确认书</w:t>
      </w:r>
    </w:p>
    <w:p>
      <w:pPr>
        <w:spacing w:line="360" w:lineRule="auto"/>
        <w:ind w:left="420"/>
        <w:jc w:val="center"/>
        <w:outlineLvl w:val="3"/>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政府采购违法行为风险知悉确认书</w:t>
      </w:r>
    </w:p>
    <w:p>
      <w:pPr>
        <w:autoSpaceDE w:val="0"/>
        <w:autoSpaceDN w:val="0"/>
        <w:adjustRightInd w:val="0"/>
        <w:spacing w:line="360" w:lineRule="auto"/>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本公司（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7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序号</w:t>
            </w:r>
          </w:p>
        </w:tc>
        <w:tc>
          <w:tcPr>
            <w:tcW w:w="7607" w:type="dxa"/>
            <w:vAlign w:val="center"/>
          </w:tcPr>
          <w:p>
            <w:pPr>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7607" w:type="dxa"/>
            <w:vAlign w:val="center"/>
          </w:tcPr>
          <w:p>
            <w:pPr>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与其他投标供应商的法定代表人、主要经营负责人、投标授权代表人、项目负责人、主要技术人员为</w:t>
            </w:r>
            <w:r>
              <w:rPr>
                <w:rFonts w:hint="eastAsia" w:ascii="宋体" w:hAnsi="宋体" w:cs="宋体"/>
                <w:b/>
                <w:bCs/>
                <w:color w:val="000000" w:themeColor="text1"/>
                <w:sz w:val="24"/>
                <w:highlight w:val="none"/>
                <w14:textFill>
                  <w14:solidFill>
                    <w14:schemeClr w14:val="tx1"/>
                  </w14:solidFill>
                </w14:textFill>
              </w:rPr>
              <w:t>同一人、属同一单位或者在同一单位缴纳社会保险</w:t>
            </w:r>
            <w:r>
              <w:rPr>
                <w:rFonts w:hint="eastAsia" w:ascii="宋体" w:hAnsi="宋体" w:cs="宋体"/>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7607" w:type="dxa"/>
            <w:vAlign w:val="center"/>
          </w:tcPr>
          <w:p>
            <w:pPr>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参与本项目政府采购活动时，与其他投标供应商存在单位负责人为</w:t>
            </w:r>
            <w:r>
              <w:rPr>
                <w:rFonts w:hint="eastAsia" w:ascii="宋体" w:hAnsi="宋体" w:cs="宋体"/>
                <w:b/>
                <w:bCs/>
                <w:color w:val="000000" w:themeColor="text1"/>
                <w:sz w:val="24"/>
                <w:highlight w:val="none"/>
                <w14:textFill>
                  <w14:solidFill>
                    <w14:schemeClr w14:val="tx1"/>
                  </w14:solidFill>
                </w14:textFill>
              </w:rPr>
              <w:t>同一人或直接控股、管理关系</w:t>
            </w:r>
            <w:r>
              <w:rPr>
                <w:rFonts w:hint="eastAsia" w:ascii="宋体" w:hAnsi="宋体" w:cs="宋体"/>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7607" w:type="dxa"/>
            <w:vAlign w:val="center"/>
          </w:tcPr>
          <w:p>
            <w:pPr>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与其他投标供应商的投标文件或部分投标文件</w:t>
            </w:r>
            <w:r>
              <w:rPr>
                <w:rFonts w:hint="eastAsia" w:ascii="宋体" w:hAnsi="宋体" w:cs="宋体"/>
                <w:b/>
                <w:bCs/>
                <w:color w:val="000000" w:themeColor="text1"/>
                <w:sz w:val="24"/>
                <w:highlight w:val="none"/>
                <w14:textFill>
                  <w14:solidFill>
                    <w14:schemeClr w14:val="tx1"/>
                  </w14:solidFill>
                </w14:textFill>
              </w:rPr>
              <w:t>相互混装或存在非正常一致</w:t>
            </w:r>
            <w:r>
              <w:rPr>
                <w:rFonts w:hint="eastAsia" w:ascii="宋体" w:hAnsi="宋体" w:cs="宋体"/>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7607" w:type="dxa"/>
            <w:vAlign w:val="center"/>
          </w:tcPr>
          <w:p>
            <w:pPr>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与其他投标供应商的投标文件由</w:t>
            </w:r>
            <w:r>
              <w:rPr>
                <w:rFonts w:hint="eastAsia" w:ascii="宋体" w:hAnsi="宋体" w:cs="宋体"/>
                <w:b/>
                <w:bCs/>
                <w:color w:val="000000" w:themeColor="text1"/>
                <w:sz w:val="24"/>
                <w:highlight w:val="none"/>
                <w14:textFill>
                  <w14:solidFill>
                    <w14:schemeClr w14:val="tx1"/>
                  </w14:solidFill>
                </w14:textFill>
              </w:rPr>
              <w:t>同一单位或者同一人编制</w:t>
            </w:r>
            <w:r>
              <w:rPr>
                <w:rFonts w:hint="eastAsia" w:ascii="宋体" w:hAnsi="宋体" w:cs="宋体"/>
                <w:color w:val="000000" w:themeColor="text1"/>
                <w:sz w:val="24"/>
                <w:highlight w:val="none"/>
                <w14:textFill>
                  <w14:solidFill>
                    <w14:schemeClr w14:val="tx1"/>
                  </w14:solidFill>
                </w14:textFill>
              </w:rPr>
              <w:t>，或者使用</w:t>
            </w:r>
            <w:r>
              <w:rPr>
                <w:rFonts w:hint="eastAsia" w:ascii="宋体" w:hAnsi="宋体" w:cs="宋体"/>
                <w:b/>
                <w:bCs/>
                <w:color w:val="000000" w:themeColor="text1"/>
                <w:sz w:val="24"/>
                <w:highlight w:val="none"/>
                <w14:textFill>
                  <w14:solidFill>
                    <w14:schemeClr w14:val="tx1"/>
                  </w14:solidFill>
                </w14:textFill>
              </w:rPr>
              <w:t>同一设备编制</w:t>
            </w:r>
            <w:r>
              <w:rPr>
                <w:rFonts w:hint="eastAsia" w:ascii="宋体" w:hAnsi="宋体" w:cs="宋体"/>
                <w:color w:val="000000" w:themeColor="text1"/>
                <w:sz w:val="24"/>
                <w:highlight w:val="none"/>
                <w14:textFill>
                  <w14:solidFill>
                    <w14:schemeClr w14:val="tx1"/>
                  </w14:solidFill>
                </w14:textFill>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7607" w:type="dxa"/>
            <w:vAlign w:val="center"/>
          </w:tcPr>
          <w:p>
            <w:pPr>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提供</w:t>
            </w:r>
            <w:r>
              <w:rPr>
                <w:rFonts w:hint="eastAsia" w:ascii="宋体" w:hAnsi="宋体" w:cs="宋体"/>
                <w:b/>
                <w:bCs/>
                <w:color w:val="000000" w:themeColor="text1"/>
                <w:sz w:val="24"/>
                <w:highlight w:val="none"/>
                <w14:textFill>
                  <w14:solidFill>
                    <w14:schemeClr w14:val="tx1"/>
                  </w14:solidFill>
                </w14:textFill>
              </w:rPr>
              <w:t>未经出具机构核实</w:t>
            </w:r>
            <w:r>
              <w:rPr>
                <w:rFonts w:hint="eastAsia" w:ascii="宋体" w:hAnsi="宋体" w:cs="宋体"/>
                <w:color w:val="000000" w:themeColor="text1"/>
                <w:sz w:val="24"/>
                <w:highlight w:val="none"/>
                <w14:textFill>
                  <w14:solidFill>
                    <w14:schemeClr w14:val="tx1"/>
                  </w14:solidFill>
                </w14:textFill>
              </w:rPr>
              <w:t>的虚假的检验检测报告、业绩材料、社保缴纳证明、学历学位证书、职称认证证书等材料。</w:t>
            </w:r>
          </w:p>
        </w:tc>
      </w:tr>
    </w:tbl>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highlight w:val="none"/>
          <w14:textFill>
            <w14:solidFill>
              <w14:schemeClr w14:val="tx1"/>
            </w14:solidFill>
          </w14:textFill>
        </w:rPr>
      </w:pPr>
      <w:r>
        <w:rPr>
          <w:rFonts w:hint="eastAsia" w:ascii="宋体" w:hAnsi="宋体" w:cs="仿宋_GB2312"/>
          <w:color w:val="000000" w:themeColor="text1"/>
          <w:kern w:val="0"/>
          <w:sz w:val="24"/>
          <w:highlight w:val="none"/>
          <w14:textFill>
            <w14:solidFill>
              <w14:schemeClr w14:val="tx1"/>
            </w14:solidFill>
          </w14:textFill>
        </w:rPr>
        <w:t>一、本公司（单位）已充分知悉“隐瞒真实情况，提供虚假资料”的法定情形，相关情形包括但不限于：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highlight w:val="none"/>
          <w14:textFill>
            <w14:solidFill>
              <w14:schemeClr w14:val="tx1"/>
            </w14:solidFill>
          </w14:textFill>
        </w:rPr>
      </w:pPr>
      <w:r>
        <w:rPr>
          <w:rFonts w:hint="eastAsia" w:ascii="宋体" w:hAnsi="宋体" w:cs="仿宋_GB2312"/>
          <w:color w:val="000000" w:themeColor="text1"/>
          <w:kern w:val="0"/>
          <w:sz w:val="24"/>
          <w:highlight w:val="none"/>
          <w14:textFill>
            <w14:solidFill>
              <w14:schemeClr w14:val="tx1"/>
            </w14:solidFill>
          </w14:textFill>
        </w:rPr>
        <w:t>（一）通过转让或者租借等方式从其他单位获取资格或者资质证书投标的。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highlight w:val="none"/>
          <w14:textFill>
            <w14:solidFill>
              <w14:schemeClr w14:val="tx1"/>
            </w14:solidFill>
          </w14:textFill>
        </w:rPr>
      </w:pPr>
      <w:r>
        <w:rPr>
          <w:rFonts w:hint="eastAsia" w:ascii="宋体" w:hAnsi="宋体" w:cs="仿宋_GB2312"/>
          <w:color w:val="000000" w:themeColor="text1"/>
          <w:kern w:val="0"/>
          <w:sz w:val="24"/>
          <w:highlight w:val="none"/>
          <w14:textFill>
            <w14:solidFill>
              <w14:schemeClr w14:val="tx1"/>
            </w14:solidFill>
          </w14:textFill>
        </w:rPr>
        <w:t>（二）由其他单位或者其他单位负责人在投标供应商编制的投标文件上加盖印章或者签字的。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highlight w:val="none"/>
          <w14:textFill>
            <w14:solidFill>
              <w14:schemeClr w14:val="tx1"/>
            </w14:solidFill>
          </w14:textFill>
        </w:rPr>
      </w:pPr>
      <w:r>
        <w:rPr>
          <w:rFonts w:hint="eastAsia" w:ascii="宋体" w:hAnsi="宋体" w:cs="仿宋_GB2312"/>
          <w:color w:val="000000" w:themeColor="text1"/>
          <w:kern w:val="0"/>
          <w:sz w:val="24"/>
          <w:highlight w:val="none"/>
          <w14:textFill>
            <w14:solidFill>
              <w14:schemeClr w14:val="tx1"/>
            </w14:solidFill>
          </w14:textFill>
        </w:rPr>
        <w:t>（三）项目负责人或者主要技术人员不是本单位人员的。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highlight w:val="none"/>
          <w14:textFill>
            <w14:solidFill>
              <w14:schemeClr w14:val="tx1"/>
            </w14:solidFill>
          </w14:textFill>
        </w:rPr>
      </w:pPr>
      <w:r>
        <w:rPr>
          <w:rFonts w:hint="eastAsia" w:ascii="宋体" w:hAnsi="宋体" w:cs="仿宋_GB2312"/>
          <w:color w:val="000000" w:themeColor="text1"/>
          <w:kern w:val="0"/>
          <w:sz w:val="24"/>
          <w:highlight w:val="none"/>
          <w14:textFill>
            <w14:solidFill>
              <w14:schemeClr w14:val="tx1"/>
            </w14:solidFill>
          </w14:textFill>
        </w:rPr>
        <w:t>（四）投标保证金不是从投标供应商基本账户转出的。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highlight w:val="none"/>
          <w14:textFill>
            <w14:solidFill>
              <w14:schemeClr w14:val="tx1"/>
            </w14:solidFill>
          </w14:textFill>
        </w:rPr>
      </w:pPr>
      <w:r>
        <w:rPr>
          <w:rFonts w:hint="eastAsia" w:ascii="宋体" w:hAnsi="宋体" w:cs="仿宋_GB2312"/>
          <w:color w:val="000000" w:themeColor="text1"/>
          <w:kern w:val="0"/>
          <w:sz w:val="24"/>
          <w:highlight w:val="none"/>
          <w14:textFill>
            <w14:solidFill>
              <w14:schemeClr w14:val="tx1"/>
            </w14:solidFill>
          </w14:textFill>
        </w:rPr>
        <w:t>（五）其他隐瞒真实情况、提供虚假资料的行为。</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highlight w:val="none"/>
          <w14:textFill>
            <w14:solidFill>
              <w14:schemeClr w14:val="tx1"/>
            </w14:solidFill>
          </w14:textFill>
        </w:rPr>
      </w:pPr>
      <w:r>
        <w:rPr>
          <w:rFonts w:hint="eastAsia" w:ascii="宋体" w:hAnsi="宋体" w:cs="仿宋_GB2312"/>
          <w:color w:val="000000" w:themeColor="text1"/>
          <w:kern w:val="0"/>
          <w:sz w:val="24"/>
          <w:highlight w:val="none"/>
          <w14:textFill>
            <w14:solidFill>
              <w14:schemeClr w14:val="tx1"/>
            </w14:solidFill>
          </w14:textFill>
        </w:rPr>
        <w:t>二、本公司（单位）已充分知悉“与其他采购参加人串通投标”的法定情形，相关情形包括但不限于：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highlight w:val="none"/>
          <w14:textFill>
            <w14:solidFill>
              <w14:schemeClr w14:val="tx1"/>
            </w14:solidFill>
          </w14:textFill>
        </w:rPr>
      </w:pPr>
      <w:r>
        <w:rPr>
          <w:rFonts w:hint="eastAsia" w:ascii="宋体" w:hAnsi="宋体" w:cs="仿宋_GB2312"/>
          <w:color w:val="000000" w:themeColor="text1"/>
          <w:kern w:val="0"/>
          <w:sz w:val="24"/>
          <w:highlight w:val="none"/>
          <w14:textFill>
            <w14:solidFill>
              <w14:schemeClr w14:val="tx1"/>
            </w14:solidFill>
          </w14:textFill>
        </w:rPr>
        <w:t>（一）投标供应商之间相互约定给予未中标的供应商利益补偿。</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highlight w:val="none"/>
          <w14:textFill>
            <w14:solidFill>
              <w14:schemeClr w14:val="tx1"/>
            </w14:solidFill>
          </w14:textFill>
        </w:rPr>
      </w:pPr>
      <w:r>
        <w:rPr>
          <w:rFonts w:hint="eastAsia" w:ascii="宋体" w:hAnsi="宋体" w:cs="仿宋_GB2312"/>
          <w:color w:val="000000" w:themeColor="text1"/>
          <w:kern w:val="0"/>
          <w:sz w:val="24"/>
          <w:highlight w:val="none"/>
          <w14:textFill>
            <w14:solidFill>
              <w14:schemeClr w14:val="tx1"/>
            </w14:solidFill>
          </w14:textFill>
        </w:rPr>
        <w:t>（二）不同投标供应商的法定代表人、主要经营负责人、项目投标授权代表人、项目负责人、主要技术人员为同一人、属同一单位或者在同一单位缴纳社会保险。</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highlight w:val="none"/>
          <w14:textFill>
            <w14:solidFill>
              <w14:schemeClr w14:val="tx1"/>
            </w14:solidFill>
          </w14:textFill>
        </w:rPr>
      </w:pPr>
      <w:r>
        <w:rPr>
          <w:rFonts w:hint="eastAsia" w:ascii="宋体" w:hAnsi="宋体" w:cs="仿宋_GB2312"/>
          <w:color w:val="000000" w:themeColor="text1"/>
          <w:kern w:val="0"/>
          <w:sz w:val="24"/>
          <w:highlight w:val="none"/>
          <w14:textFill>
            <w14:solidFill>
              <w14:schemeClr w14:val="tx1"/>
            </w14:solidFill>
          </w14:textFill>
        </w:rPr>
        <w:t>（三）不同投标供应商的投标文件由同一单位或者同一人编制，或者由同一人分阶段参与编制的。</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highlight w:val="none"/>
          <w14:textFill>
            <w14:solidFill>
              <w14:schemeClr w14:val="tx1"/>
            </w14:solidFill>
          </w14:textFill>
        </w:rPr>
      </w:pPr>
      <w:r>
        <w:rPr>
          <w:rFonts w:hint="eastAsia" w:ascii="宋体" w:hAnsi="宋体" w:cs="仿宋_GB2312"/>
          <w:color w:val="000000" w:themeColor="text1"/>
          <w:kern w:val="0"/>
          <w:sz w:val="24"/>
          <w:highlight w:val="none"/>
          <w14:textFill>
            <w14:solidFill>
              <w14:schemeClr w14:val="tx1"/>
            </w14:solidFill>
          </w14:textFill>
        </w:rPr>
        <w:t>（四）不同投标供应商的投标文件或部分投标文件相互混装。</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highlight w:val="none"/>
          <w14:textFill>
            <w14:solidFill>
              <w14:schemeClr w14:val="tx1"/>
            </w14:solidFill>
          </w14:textFill>
        </w:rPr>
      </w:pPr>
      <w:r>
        <w:rPr>
          <w:rFonts w:hint="eastAsia" w:ascii="宋体" w:hAnsi="宋体" w:cs="仿宋_GB2312"/>
          <w:color w:val="000000" w:themeColor="text1"/>
          <w:kern w:val="0"/>
          <w:sz w:val="24"/>
          <w:highlight w:val="none"/>
          <w14:textFill>
            <w14:solidFill>
              <w14:schemeClr w14:val="tx1"/>
            </w14:solidFill>
          </w14:textFill>
        </w:rPr>
        <w:t>（五）不同投标供应商的投标文件内容存在非正常一致。</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highlight w:val="none"/>
          <w14:textFill>
            <w14:solidFill>
              <w14:schemeClr w14:val="tx1"/>
            </w14:solidFill>
          </w14:textFill>
        </w:rPr>
      </w:pPr>
      <w:r>
        <w:rPr>
          <w:rFonts w:hint="eastAsia" w:ascii="宋体" w:hAnsi="宋体" w:cs="仿宋_GB2312"/>
          <w:color w:val="000000" w:themeColor="text1"/>
          <w:kern w:val="0"/>
          <w:sz w:val="24"/>
          <w:highlight w:val="none"/>
          <w14:textFill>
            <w14:solidFill>
              <w14:schemeClr w14:val="tx1"/>
            </w14:solidFill>
          </w14:textFill>
        </w:rPr>
        <w:t>（六）由同一单位工作人员为两家以上（含两家）供应商进行同一项投标活动的。</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highlight w:val="none"/>
          <w14:textFill>
            <w14:solidFill>
              <w14:schemeClr w14:val="tx1"/>
            </w14:solidFill>
          </w14:textFill>
        </w:rPr>
      </w:pPr>
      <w:r>
        <w:rPr>
          <w:rFonts w:hint="eastAsia" w:ascii="宋体" w:hAnsi="宋体" w:cs="仿宋_GB2312"/>
          <w:color w:val="000000" w:themeColor="text1"/>
          <w:kern w:val="0"/>
          <w:sz w:val="24"/>
          <w:highlight w:val="none"/>
          <w14:textFill>
            <w14:solidFill>
              <w14:schemeClr w14:val="tx1"/>
            </w14:solidFill>
          </w14:textFill>
        </w:rPr>
        <w:t>（七）不同投标人的投标报价呈规律性差异。</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highlight w:val="none"/>
          <w14:textFill>
            <w14:solidFill>
              <w14:schemeClr w14:val="tx1"/>
            </w14:solidFill>
          </w14:textFill>
        </w:rPr>
      </w:pPr>
      <w:r>
        <w:rPr>
          <w:rFonts w:hint="eastAsia" w:ascii="宋体" w:hAnsi="宋体" w:cs="仿宋_GB2312"/>
          <w:color w:val="000000" w:themeColor="text1"/>
          <w:kern w:val="0"/>
          <w:sz w:val="24"/>
          <w:highlight w:val="none"/>
          <w14:textFill>
            <w14:solidFill>
              <w14:schemeClr w14:val="tx1"/>
            </w14:solidFill>
          </w14:textFill>
        </w:rPr>
        <w:t>（八）不同投标人的投标保证金从同一单位或者个人的账户转出。</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highlight w:val="none"/>
          <w14:textFill>
            <w14:solidFill>
              <w14:schemeClr w14:val="tx1"/>
            </w14:solidFill>
          </w14:textFill>
        </w:rPr>
      </w:pPr>
      <w:r>
        <w:rPr>
          <w:rFonts w:hint="eastAsia" w:ascii="宋体" w:hAnsi="宋体" w:cs="仿宋_GB2312"/>
          <w:color w:val="000000" w:themeColor="text1"/>
          <w:kern w:val="0"/>
          <w:sz w:val="24"/>
          <w:highlight w:val="none"/>
          <w14:textFill>
            <w14:solidFill>
              <w14:schemeClr w14:val="tx1"/>
            </w14:solidFill>
          </w14:textFill>
        </w:rPr>
        <w:t>（九）主管部门依照法律、法规认定的其他情形。</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highlight w:val="none"/>
          <w14:textFill>
            <w14:solidFill>
              <w14:schemeClr w14:val="tx1"/>
            </w14:solidFill>
          </w14:textFill>
        </w:rPr>
      </w:pPr>
      <w:r>
        <w:rPr>
          <w:rFonts w:hint="eastAsia" w:ascii="宋体" w:hAnsi="宋体" w:cs="仿宋_GB2312"/>
          <w:color w:val="000000" w:themeColor="text1"/>
          <w:kern w:val="0"/>
          <w:sz w:val="24"/>
          <w:highlight w:val="none"/>
          <w14:textFill>
            <w14:solidFill>
              <w14:schemeClr w14:val="tx1"/>
            </w14:solidFill>
          </w14:textFill>
        </w:rPr>
        <w:t>三、本公司（单位）已充分知悉下列情形所对应的法律风险，并在投标前已对相关风险事项进行排查。</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highlight w:val="none"/>
          <w14:textFill>
            <w14:solidFill>
              <w14:schemeClr w14:val="tx1"/>
            </w14:solidFill>
          </w14:textFill>
        </w:rPr>
      </w:pPr>
      <w:r>
        <w:rPr>
          <w:rFonts w:hint="eastAsia" w:ascii="宋体" w:hAnsi="宋体" w:cs="仿宋_GB2312"/>
          <w:color w:val="000000" w:themeColor="text1"/>
          <w:kern w:val="0"/>
          <w:sz w:val="24"/>
          <w:highlight w:val="none"/>
          <w14:textFill>
            <w14:solidFill>
              <w14:schemeClr w14:val="tx1"/>
            </w14:solidFill>
          </w14:textFill>
        </w:rPr>
        <w:t>（一）对于从其他主体获取的投标资料，供应商应审慎核查，确保投标资料的真实性。如主管部门查实投标文件中存在虚假资料的，无论相关资料是否由第三方或本公司（单位）员工提供，均不影响主管部门对供应商存在“隐瞒真实情况，提供虚假资料”违法行为的认定。</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highlight w:val="none"/>
          <w14:textFill>
            <w14:solidFill>
              <w14:schemeClr w14:val="tx1"/>
            </w14:solidFill>
          </w14:textFill>
        </w:rPr>
      </w:pPr>
      <w:r>
        <w:rPr>
          <w:rFonts w:hint="eastAsia" w:ascii="宋体" w:hAnsi="宋体" w:cs="仿宋_GB2312"/>
          <w:color w:val="000000" w:themeColor="text1"/>
          <w:kern w:val="0"/>
          <w:sz w:val="24"/>
          <w:highlight w:val="none"/>
          <w14:textFill>
            <w14:solidFill>
              <w14:schemeClr w14:val="tx1"/>
            </w14:solidFill>
          </w14:textFill>
        </w:rPr>
        <w:t>（二）对于涉及国家机关出具的公文、证件、证明材料等文件，一旦涉嫌虚假，经查实，主管部门将依法从严处理，并移送有关部门追究法律责任；涉嫌犯罪的，主管部门将一并移送司法机关追究法律责任。</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highlight w:val="none"/>
          <w14:textFill>
            <w14:solidFill>
              <w14:schemeClr w14:val="tx1"/>
            </w14:solidFill>
          </w14:textFill>
        </w:rPr>
      </w:pPr>
      <w:r>
        <w:rPr>
          <w:rFonts w:hint="eastAsia" w:ascii="宋体" w:hAnsi="宋体" w:cs="仿宋_GB2312"/>
          <w:color w:val="000000" w:themeColor="text1"/>
          <w:kern w:val="0"/>
          <w:sz w:val="24"/>
          <w:highlight w:val="none"/>
          <w14:textFill>
            <w14:solidFill>
              <w14:schemeClr w14:val="tx1"/>
            </w14:solidFill>
          </w14:textFill>
        </w:rPr>
        <w:t>（三）对于涉及安全生产、特种作业、抢险救灾、防疫等政府采购项目，供应商实施提供虚假资料、串通投标等违法行为的，主管部门将依法从严处理。</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highlight w:val="none"/>
          <w14:textFill>
            <w14:solidFill>
              <w14:schemeClr w14:val="tx1"/>
            </w14:solidFill>
          </w14:textFill>
        </w:rPr>
      </w:pPr>
      <w:r>
        <w:rPr>
          <w:rFonts w:hint="eastAsia" w:ascii="宋体" w:hAnsi="宋体" w:cs="仿宋_GB2312"/>
          <w:color w:val="000000" w:themeColor="text1"/>
          <w:kern w:val="0"/>
          <w:sz w:val="24"/>
          <w:highlight w:val="none"/>
          <w14:textFill>
            <w14:solidFill>
              <w14:schemeClr w14:val="tx1"/>
            </w14:solidFill>
          </w14:textFill>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highlight w:val="none"/>
          <w14:textFill>
            <w14:solidFill>
              <w14:schemeClr w14:val="tx1"/>
            </w14:solidFill>
          </w14:textFill>
        </w:rPr>
      </w:pPr>
      <w:r>
        <w:rPr>
          <w:rFonts w:hint="eastAsia" w:ascii="宋体" w:hAnsi="宋体" w:cs="仿宋_GB2312"/>
          <w:color w:val="000000" w:themeColor="text1"/>
          <w:kern w:val="0"/>
          <w:sz w:val="24"/>
          <w:highlight w:val="none"/>
          <w14:textFill>
            <w14:solidFill>
              <w14:schemeClr w14:val="tx1"/>
            </w14:solidFill>
          </w14:textFill>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highlight w:val="none"/>
          <w14:textFill>
            <w14:solidFill>
              <w14:schemeClr w14:val="tx1"/>
            </w14:solidFill>
          </w14:textFill>
        </w:rPr>
      </w:pPr>
      <w:r>
        <w:rPr>
          <w:rFonts w:hint="eastAsia" w:ascii="宋体" w:hAnsi="宋体" w:cs="仿宋_GB2312"/>
          <w:color w:val="000000" w:themeColor="text1"/>
          <w:kern w:val="0"/>
          <w:sz w:val="24"/>
          <w:highlight w:val="none"/>
          <w14:textFill>
            <w14:solidFill>
              <w14:schemeClr w14:val="tx1"/>
            </w14:solidFill>
          </w14:textFill>
        </w:rPr>
        <w:t>（六）单位负责人为同一人或者存在直接控股、管理关系的不同供应商，不得参加同一合同项下的政府采购活动。相关情形如查实，依法作投标无效处理；涉嫌串通投标等违法行为的，主管部门将依法调查处理。</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highlight w:val="none"/>
          <w14:textFill>
            <w14:solidFill>
              <w14:schemeClr w14:val="tx1"/>
            </w14:solidFill>
          </w14:textFill>
        </w:rPr>
      </w:pPr>
      <w:r>
        <w:rPr>
          <w:rFonts w:hint="eastAsia" w:ascii="宋体" w:hAnsi="宋体" w:cs="仿宋_GB2312"/>
          <w:color w:val="000000" w:themeColor="text1"/>
          <w:kern w:val="0"/>
          <w:sz w:val="24"/>
          <w:highlight w:val="none"/>
          <w14:textFill>
            <w14:solidFill>
              <w14:schemeClr w14:val="tx1"/>
            </w14:solidFill>
          </w14:textFill>
        </w:rPr>
        <w:t>四、本公司（单位）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autoSpaceDE w:val="0"/>
        <w:autoSpaceDN w:val="0"/>
        <w:adjustRightInd w:val="0"/>
        <w:spacing w:line="360" w:lineRule="auto"/>
        <w:jc w:val="left"/>
        <w:rPr>
          <w:rFonts w:hint="eastAsia" w:ascii="宋体" w:hAnsi="宋体" w:cs="仿宋_GB2312"/>
          <w:color w:val="000000" w:themeColor="text1"/>
          <w:kern w:val="0"/>
          <w:sz w:val="24"/>
          <w:highlight w:val="none"/>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highlight w:val="none"/>
          <w14:textFill>
            <w14:solidFill>
              <w14:schemeClr w14:val="tx1"/>
            </w14:solidFill>
          </w14:textFill>
        </w:rPr>
      </w:pPr>
      <w:r>
        <w:rPr>
          <w:rFonts w:hint="eastAsia" w:ascii="宋体" w:hAnsi="宋体" w:cs="仿宋_GB2312"/>
          <w:color w:val="000000" w:themeColor="text1"/>
          <w:kern w:val="0"/>
          <w:sz w:val="24"/>
          <w:highlight w:val="none"/>
          <w14:textFill>
            <w14:solidFill>
              <w14:schemeClr w14:val="tx1"/>
            </w14:solidFill>
          </w14:textFill>
        </w:rPr>
        <w:t>以下文字请投标供应商</w:t>
      </w:r>
      <w:r>
        <w:rPr>
          <w:rFonts w:hint="eastAsia" w:ascii="宋体" w:hAnsi="宋体" w:cs="仿宋_GB2312"/>
          <w:b/>
          <w:bCs/>
          <w:color w:val="000000" w:themeColor="text1"/>
          <w:kern w:val="0"/>
          <w:sz w:val="24"/>
          <w:highlight w:val="none"/>
          <w14:textFill>
            <w14:solidFill>
              <w14:schemeClr w14:val="tx1"/>
            </w14:solidFill>
          </w14:textFill>
        </w:rPr>
        <w:t>抄写并确认</w:t>
      </w:r>
      <w:r>
        <w:rPr>
          <w:rFonts w:hint="eastAsia" w:ascii="宋体" w:hAnsi="宋体" w:cs="仿宋_GB2312"/>
          <w:color w:val="000000" w:themeColor="text1"/>
          <w:kern w:val="0"/>
          <w:sz w:val="24"/>
          <w:highlight w:val="none"/>
          <w14:textFill>
            <w14:solidFill>
              <w14:schemeClr w14:val="tx1"/>
            </w14:solidFill>
          </w14:textFill>
        </w:rPr>
        <w:t>：“本公司（单位）已仔细阅读《政府采购违法行为风险知悉确认书》，充分知悉违法行为的法律后果，并承诺将严谨、诚信、依法依规参与政府采购活动”。</w:t>
      </w:r>
    </w:p>
    <w:p>
      <w:pPr>
        <w:autoSpaceDE w:val="0"/>
        <w:autoSpaceDN w:val="0"/>
        <w:adjustRightInd w:val="0"/>
        <w:spacing w:line="360" w:lineRule="auto"/>
        <w:jc w:val="left"/>
        <w:rPr>
          <w:rFonts w:hint="eastAsia" w:ascii="宋体" w:hAnsi="宋体" w:cs="仿宋_GB2312"/>
          <w:color w:val="000000" w:themeColor="text1"/>
          <w:kern w:val="0"/>
          <w:sz w:val="24"/>
          <w:highlight w:val="none"/>
          <w:u w:val="single"/>
          <w14:textFill>
            <w14:solidFill>
              <w14:schemeClr w14:val="tx1"/>
            </w14:solidFill>
          </w14:textFill>
        </w:rPr>
      </w:pPr>
      <w:r>
        <w:rPr>
          <w:rFonts w:hint="eastAsia" w:ascii="宋体" w:hAnsi="宋体" w:cs="仿宋_GB2312"/>
          <w:color w:val="000000" w:themeColor="text1"/>
          <w:kern w:val="0"/>
          <w:sz w:val="24"/>
          <w:highlight w:val="none"/>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highlight w:val="none"/>
          <w:u w:val="single"/>
          <w14:textFill>
            <w14:solidFill>
              <w14:schemeClr w14:val="tx1"/>
            </w14:solidFill>
          </w14:textFill>
        </w:rPr>
      </w:pPr>
      <w:r>
        <w:rPr>
          <w:rFonts w:hint="eastAsia" w:ascii="宋体" w:hAnsi="宋体" w:cs="仿宋_GB2312"/>
          <w:color w:val="000000" w:themeColor="text1"/>
          <w:kern w:val="0"/>
          <w:sz w:val="24"/>
          <w:highlight w:val="none"/>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highlight w:val="none"/>
          <w:u w:val="single"/>
          <w14:textFill>
            <w14:solidFill>
              <w14:schemeClr w14:val="tx1"/>
            </w14:solidFill>
          </w14:textFill>
        </w:rPr>
      </w:pPr>
      <w:r>
        <w:rPr>
          <w:rFonts w:hint="eastAsia" w:ascii="宋体" w:hAnsi="宋体" w:cs="仿宋_GB2312"/>
          <w:color w:val="000000" w:themeColor="text1"/>
          <w:kern w:val="0"/>
          <w:sz w:val="24"/>
          <w:highlight w:val="none"/>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highlight w:val="none"/>
          <w:u w:val="single"/>
          <w14:textFill>
            <w14:solidFill>
              <w14:schemeClr w14:val="tx1"/>
            </w14:solidFill>
          </w14:textFill>
        </w:rPr>
      </w:pPr>
      <w:r>
        <w:rPr>
          <w:rFonts w:hint="eastAsia" w:ascii="宋体" w:hAnsi="宋体" w:cs="仿宋_GB2312"/>
          <w:color w:val="000000" w:themeColor="text1"/>
          <w:kern w:val="0"/>
          <w:sz w:val="24"/>
          <w:highlight w:val="none"/>
          <w:u w:val="single"/>
          <w14:textFill>
            <w14:solidFill>
              <w14:schemeClr w14:val="tx1"/>
            </w14:solidFill>
          </w14:textFill>
        </w:rPr>
        <w:t xml:space="preserve">                                                                                       </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highlight w:val="none"/>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highlight w:val="none"/>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highlight w:val="none"/>
          <w14:textFill>
            <w14:solidFill>
              <w14:schemeClr w14:val="tx1"/>
            </w14:solidFill>
          </w14:textFill>
        </w:rPr>
      </w:pPr>
    </w:p>
    <w:p>
      <w:pPr>
        <w:autoSpaceDE w:val="0"/>
        <w:autoSpaceDN w:val="0"/>
        <w:adjustRightInd w:val="0"/>
        <w:spacing w:line="360" w:lineRule="auto"/>
        <w:ind w:firstLine="3840" w:firstLineChars="1600"/>
        <w:jc w:val="left"/>
        <w:rPr>
          <w:rFonts w:hint="eastAsia" w:ascii="宋体" w:hAnsi="宋体" w:cs="仿宋_GB2312"/>
          <w:color w:val="000000" w:themeColor="text1"/>
          <w:kern w:val="0"/>
          <w:sz w:val="24"/>
          <w:highlight w:val="none"/>
          <w:u w:val="single"/>
          <w14:textFill>
            <w14:solidFill>
              <w14:schemeClr w14:val="tx1"/>
            </w14:solidFill>
          </w14:textFill>
        </w:rPr>
      </w:pPr>
      <w:r>
        <w:rPr>
          <w:rFonts w:hint="eastAsia" w:ascii="宋体" w:hAnsi="宋体" w:cs="仿宋_GB2312"/>
          <w:color w:val="000000" w:themeColor="text1"/>
          <w:kern w:val="0"/>
          <w:sz w:val="24"/>
          <w:highlight w:val="none"/>
          <w14:textFill>
            <w14:solidFill>
              <w14:schemeClr w14:val="tx1"/>
            </w14:solidFill>
          </w14:textFill>
        </w:rPr>
        <w:t>负责人</w:t>
      </w:r>
      <w:r>
        <w:rPr>
          <w:rFonts w:ascii="宋体" w:hAnsi="宋体" w:cs="仿宋_GB2312"/>
          <w:color w:val="000000" w:themeColor="text1"/>
          <w:kern w:val="0"/>
          <w:sz w:val="24"/>
          <w:highlight w:val="none"/>
          <w14:textFill>
            <w14:solidFill>
              <w14:schemeClr w14:val="tx1"/>
            </w14:solidFill>
          </w14:textFill>
        </w:rPr>
        <w:t>/</w:t>
      </w:r>
      <w:r>
        <w:rPr>
          <w:rFonts w:hint="eastAsia" w:ascii="宋体" w:hAnsi="宋体" w:cs="仿宋_GB2312"/>
          <w:color w:val="000000" w:themeColor="text1"/>
          <w:kern w:val="0"/>
          <w:sz w:val="24"/>
          <w:highlight w:val="none"/>
          <w14:textFill>
            <w14:solidFill>
              <w14:schemeClr w14:val="tx1"/>
            </w14:solidFill>
          </w14:textFill>
        </w:rPr>
        <w:t>投标授权代表签名：</w:t>
      </w:r>
      <w:r>
        <w:rPr>
          <w:rFonts w:hint="eastAsia" w:ascii="宋体" w:hAnsi="宋体" w:cs="仿宋_GB2312"/>
          <w:color w:val="000000" w:themeColor="text1"/>
          <w:kern w:val="0"/>
          <w:sz w:val="24"/>
          <w:highlight w:val="none"/>
          <w:u w:val="single"/>
          <w14:textFill>
            <w14:solidFill>
              <w14:schemeClr w14:val="tx1"/>
            </w14:solidFill>
          </w14:textFill>
        </w:rPr>
        <w:t xml:space="preserve">                </w:t>
      </w:r>
    </w:p>
    <w:p>
      <w:pPr>
        <w:autoSpaceDE w:val="0"/>
        <w:autoSpaceDN w:val="0"/>
        <w:adjustRightInd w:val="0"/>
        <w:spacing w:line="360" w:lineRule="auto"/>
        <w:ind w:firstLine="4920" w:firstLineChars="2050"/>
        <w:jc w:val="left"/>
        <w:rPr>
          <w:rFonts w:hint="eastAsia" w:ascii="宋体" w:hAnsi="宋体" w:cs="仿宋_GB2312"/>
          <w:color w:val="000000" w:themeColor="text1"/>
          <w:kern w:val="0"/>
          <w:sz w:val="24"/>
          <w:highlight w:val="none"/>
          <w14:textFill>
            <w14:solidFill>
              <w14:schemeClr w14:val="tx1"/>
            </w14:solidFill>
          </w14:textFill>
        </w:rPr>
      </w:pPr>
      <w:r>
        <w:rPr>
          <w:rFonts w:hint="eastAsia" w:ascii="宋体" w:hAnsi="宋体" w:cs="仿宋_GB2312"/>
          <w:color w:val="000000" w:themeColor="text1"/>
          <w:kern w:val="0"/>
          <w:sz w:val="24"/>
          <w:highlight w:val="none"/>
          <w14:textFill>
            <w14:solidFill>
              <w14:schemeClr w14:val="tx1"/>
            </w14:solidFill>
          </w14:textFill>
        </w:rPr>
        <w:t>知悉人（公章）：</w:t>
      </w:r>
    </w:p>
    <w:p>
      <w:pPr>
        <w:spacing w:line="360" w:lineRule="auto"/>
        <w:jc w:val="right"/>
        <w:rPr>
          <w:rFonts w:hint="eastAsia" w:ascii="宋体" w:hAnsi="宋体" w:cs="宋体"/>
          <w:color w:val="000000" w:themeColor="text1"/>
          <w:sz w:val="24"/>
          <w:highlight w:val="none"/>
          <w14:textFill>
            <w14:solidFill>
              <w14:schemeClr w14:val="tx1"/>
            </w14:solidFill>
          </w14:textFill>
        </w:rPr>
      </w:pPr>
      <w:r>
        <w:rPr>
          <w:rFonts w:hint="eastAsia" w:ascii="宋体" w:hAnsi="宋体" w:cs="仿宋_GB2312"/>
          <w:color w:val="000000" w:themeColor="text1"/>
          <w:kern w:val="0"/>
          <w:sz w:val="24"/>
          <w:highlight w:val="none"/>
          <w14:textFill>
            <w14:solidFill>
              <w14:schemeClr w14:val="tx1"/>
            </w14:solidFill>
          </w14:textFill>
        </w:rPr>
        <w:t>日期： 202  年   月   日</w:t>
      </w:r>
      <w:r>
        <w:rPr>
          <w:rFonts w:hint="eastAsia" w:ascii="宋体" w:hAnsi="宋体" w:cs="宋体"/>
          <w:color w:val="000000" w:themeColor="text1"/>
          <w:sz w:val="24"/>
          <w:highlight w:val="none"/>
          <w14:textFill>
            <w14:solidFill>
              <w14:schemeClr w14:val="tx1"/>
            </w14:solidFill>
          </w14:textFill>
        </w:rPr>
        <w:br w:type="page"/>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参与价格扣除的证明文件</w:t>
      </w:r>
    </w:p>
    <w:p>
      <w:pPr>
        <w:keepNext/>
        <w:keepLines/>
        <w:jc w:val="center"/>
        <w:outlineLvl w:val="4"/>
        <w:rPr>
          <w:rFonts w:hint="eastAsia" w:ascii="宋体" w:hAnsi="宋体" w:cs="宋体"/>
          <w:bCs/>
          <w:color w:val="000000" w:themeColor="text1"/>
          <w:kern w:val="44"/>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①中小企业声明函（工程、服务）</w:t>
      </w:r>
    </w:p>
    <w:p>
      <w:pPr>
        <w:widowControl/>
        <w:ind w:firstLine="480" w:firstLineChars="200"/>
        <w:textAlignment w:val="baseline"/>
        <w:rPr>
          <w:rFonts w:hint="eastAsia" w:ascii="宋体" w:hAnsi="宋体" w:cs="宋体"/>
          <w:color w:val="000000" w:themeColor="text1"/>
          <w:sz w:val="24"/>
          <w:highlight w:val="none"/>
          <w14:textFill>
            <w14:solidFill>
              <w14:schemeClr w14:val="tx1"/>
            </w14:solidFill>
          </w14:textFill>
        </w:rPr>
      </w:pPr>
    </w:p>
    <w:p>
      <w:pPr>
        <w:widowControl/>
        <w:ind w:firstLine="480" w:firstLineChars="200"/>
        <w:textAlignment w:val="baseline"/>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本公司（联合体）郑重声明，根据《政府采购促进中小企业发展管理办法》（财库﹝2020﹞46 号）的规定，本公司</w:t>
      </w:r>
    </w:p>
    <w:p>
      <w:pPr>
        <w:widowControl/>
        <w:ind w:firstLine="480" w:firstLineChars="200"/>
        <w:textAlignment w:val="baseline"/>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（联合体）参加</w:t>
      </w:r>
      <w:r>
        <w:rPr>
          <w:rFonts w:hint="eastAsia" w:ascii="宋体" w:hAnsi="宋体" w:cs="宋体"/>
          <w:color w:val="000000" w:themeColor="text1"/>
          <w:sz w:val="24"/>
          <w:highlight w:val="none"/>
          <w:u w:val="single"/>
          <w14:textFill>
            <w14:solidFill>
              <w14:schemeClr w14:val="tx1"/>
            </w14:solidFill>
          </w14:textFill>
        </w:rPr>
        <w:t>（单位名称）</w:t>
      </w:r>
      <w:r>
        <w:rPr>
          <w:rFonts w:hint="eastAsia" w:ascii="宋体" w:hAnsi="宋体" w:cs="宋体"/>
          <w:color w:val="000000" w:themeColor="text1"/>
          <w:sz w:val="24"/>
          <w:highlight w:val="none"/>
          <w14:textFill>
            <w14:solidFill>
              <w14:schemeClr w14:val="tx1"/>
            </w14:solidFill>
          </w14:textFill>
        </w:rPr>
        <w:t>的</w:t>
      </w:r>
      <w:r>
        <w:rPr>
          <w:rFonts w:hint="eastAsia" w:ascii="宋体" w:hAnsi="宋体" w:cs="宋体"/>
          <w:color w:val="000000" w:themeColor="text1"/>
          <w:sz w:val="24"/>
          <w:highlight w:val="none"/>
          <w:u w:val="single"/>
          <w14:textFill>
            <w14:solidFill>
              <w14:schemeClr w14:val="tx1"/>
            </w14:solidFill>
          </w14:textFill>
        </w:rPr>
        <w:t>（项目名称）</w:t>
      </w:r>
      <w:r>
        <w:rPr>
          <w:rFonts w:hint="eastAsia" w:ascii="宋体" w:hAnsi="宋体" w:cs="宋体"/>
          <w:color w:val="000000" w:themeColor="text1"/>
          <w:sz w:val="24"/>
          <w:highlight w:val="none"/>
          <w14:textFill>
            <w14:solidFill>
              <w14:schemeClr w14:val="tx1"/>
            </w14:solidFill>
          </w14:textFill>
        </w:rPr>
        <w:t>采购活动，工程的施工单位全部为符合政策要求的中小企业（或者：服务全部由符合政策要求的中小企业承接）。相关企业（含联合 体中的中小企业、签订分包意向协议的中小企业）的具体情况如下：</w:t>
      </w:r>
    </w:p>
    <w:p>
      <w:pPr>
        <w:widowControl/>
        <w:ind w:firstLine="480" w:firstLineChars="200"/>
        <w:textAlignment w:val="baseline"/>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u w:val="single"/>
          <w14:textFill>
            <w14:solidFill>
              <w14:schemeClr w14:val="tx1"/>
            </w14:solidFill>
          </w14:textFill>
        </w:rPr>
        <w:t>（标的名称）</w:t>
      </w:r>
      <w:r>
        <w:rPr>
          <w:rFonts w:hint="eastAsia" w:ascii="宋体" w:hAnsi="宋体" w:cs="宋体"/>
          <w:color w:val="000000" w:themeColor="text1"/>
          <w:sz w:val="24"/>
          <w:highlight w:val="none"/>
          <w14:textFill>
            <w14:solidFill>
              <w14:schemeClr w14:val="tx1"/>
            </w14:solidFill>
          </w14:textFill>
        </w:rPr>
        <w:t>，属于</w:t>
      </w:r>
      <w:r>
        <w:rPr>
          <w:rFonts w:hint="eastAsia" w:ascii="宋体" w:hAnsi="宋体" w:cs="宋体"/>
          <w:color w:val="000000" w:themeColor="text1"/>
          <w:sz w:val="24"/>
          <w:highlight w:val="none"/>
          <w:u w:val="single"/>
          <w14:textFill>
            <w14:solidFill>
              <w14:schemeClr w14:val="tx1"/>
            </w14:solidFill>
          </w14:textFill>
        </w:rPr>
        <w:t>（采购文件中明确的所属行业）</w:t>
      </w:r>
      <w:r>
        <w:rPr>
          <w:rFonts w:hint="eastAsia" w:ascii="宋体" w:hAnsi="宋体" w:cs="宋体"/>
          <w:color w:val="000000" w:themeColor="text1"/>
          <w:sz w:val="24"/>
          <w:highlight w:val="none"/>
          <w14:textFill>
            <w14:solidFill>
              <w14:schemeClr w14:val="tx1"/>
            </w14:solidFill>
          </w14:textFill>
        </w:rPr>
        <w:t>；承建（承接）企业为</w:t>
      </w:r>
      <w:r>
        <w:rPr>
          <w:rFonts w:hint="eastAsia" w:ascii="宋体" w:hAnsi="宋体" w:cs="宋体"/>
          <w:color w:val="000000" w:themeColor="text1"/>
          <w:sz w:val="24"/>
          <w:highlight w:val="none"/>
          <w:u w:val="single"/>
          <w14:textFill>
            <w14:solidFill>
              <w14:schemeClr w14:val="tx1"/>
            </w14:solidFill>
          </w14:textFill>
        </w:rPr>
        <w:t>（企业名称）</w:t>
      </w:r>
      <w:r>
        <w:rPr>
          <w:rFonts w:hint="eastAsia" w:ascii="宋体" w:hAnsi="宋体" w:cs="宋体"/>
          <w:color w:val="000000" w:themeColor="text1"/>
          <w:sz w:val="24"/>
          <w:highlight w:val="none"/>
          <w14:textFill>
            <w14:solidFill>
              <w14:schemeClr w14:val="tx1"/>
            </w14:solidFill>
          </w14:textFill>
        </w:rPr>
        <w:t>，从业人员</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人，营业收入为</w:t>
      </w:r>
      <w:r>
        <w:rPr>
          <w:rFonts w:hint="eastAsia" w:ascii="宋体" w:hAnsi="宋体" w:cs="宋体"/>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万元，资产总额为</w:t>
      </w:r>
      <w:r>
        <w:rPr>
          <w:rFonts w:hint="eastAsia" w:ascii="宋体" w:hAnsi="宋体" w:cs="宋体"/>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万元，属于</w:t>
      </w:r>
      <w:r>
        <w:rPr>
          <w:rFonts w:hint="eastAsia" w:ascii="宋体" w:hAnsi="宋体" w:cs="宋体"/>
          <w:color w:val="000000" w:themeColor="text1"/>
          <w:sz w:val="24"/>
          <w:highlight w:val="none"/>
          <w:u w:val="single"/>
          <w14:textFill>
            <w14:solidFill>
              <w14:schemeClr w14:val="tx1"/>
            </w14:solidFill>
          </w14:textFill>
        </w:rPr>
        <w:t>（中型企业、小型企业、微型企业）</w:t>
      </w:r>
    </w:p>
    <w:p>
      <w:pPr>
        <w:widowControl/>
        <w:ind w:firstLine="480" w:firstLineChars="200"/>
        <w:textAlignment w:val="baseline"/>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u w:val="single"/>
          <w14:textFill>
            <w14:solidFill>
              <w14:schemeClr w14:val="tx1"/>
            </w14:solidFill>
          </w14:textFill>
        </w:rPr>
        <w:t>（标的名称）</w:t>
      </w:r>
      <w:r>
        <w:rPr>
          <w:rFonts w:hint="eastAsia" w:ascii="宋体" w:hAnsi="宋体" w:cs="宋体"/>
          <w:color w:val="000000" w:themeColor="text1"/>
          <w:sz w:val="24"/>
          <w:highlight w:val="none"/>
          <w14:textFill>
            <w14:solidFill>
              <w14:schemeClr w14:val="tx1"/>
            </w14:solidFill>
          </w14:textFill>
        </w:rPr>
        <w:t>，属于</w:t>
      </w:r>
      <w:r>
        <w:rPr>
          <w:rFonts w:hint="eastAsia" w:ascii="宋体" w:hAnsi="宋体" w:cs="宋体"/>
          <w:color w:val="000000" w:themeColor="text1"/>
          <w:sz w:val="24"/>
          <w:highlight w:val="none"/>
          <w:u w:val="single"/>
          <w14:textFill>
            <w14:solidFill>
              <w14:schemeClr w14:val="tx1"/>
            </w14:solidFill>
          </w14:textFill>
        </w:rPr>
        <w:t>（采购文件中明确的所属行业）</w:t>
      </w:r>
      <w:r>
        <w:rPr>
          <w:rFonts w:hint="eastAsia" w:ascii="宋体" w:hAnsi="宋体" w:cs="宋体"/>
          <w:color w:val="000000" w:themeColor="text1"/>
          <w:sz w:val="24"/>
          <w:highlight w:val="none"/>
          <w14:textFill>
            <w14:solidFill>
              <w14:schemeClr w14:val="tx1"/>
            </w14:solidFill>
          </w14:textFill>
        </w:rPr>
        <w:t>；承建（承接）企业为</w:t>
      </w:r>
      <w:r>
        <w:rPr>
          <w:rFonts w:hint="eastAsia" w:ascii="宋体" w:hAnsi="宋体" w:cs="宋体"/>
          <w:color w:val="000000" w:themeColor="text1"/>
          <w:sz w:val="24"/>
          <w:highlight w:val="none"/>
          <w:u w:val="single"/>
          <w14:textFill>
            <w14:solidFill>
              <w14:schemeClr w14:val="tx1"/>
            </w14:solidFill>
          </w14:textFill>
        </w:rPr>
        <w:t>（企业名称）</w:t>
      </w:r>
      <w:r>
        <w:rPr>
          <w:rFonts w:hint="eastAsia" w:ascii="宋体" w:hAnsi="宋体" w:cs="宋体"/>
          <w:color w:val="000000" w:themeColor="text1"/>
          <w:sz w:val="24"/>
          <w:highlight w:val="none"/>
          <w14:textFill>
            <w14:solidFill>
              <w14:schemeClr w14:val="tx1"/>
            </w14:solidFill>
          </w14:textFill>
        </w:rPr>
        <w:t>，从业人员</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人，营业收入为</w:t>
      </w:r>
      <w:r>
        <w:rPr>
          <w:rFonts w:hint="eastAsia" w:ascii="宋体" w:hAnsi="宋体" w:cs="宋体"/>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万元，资产总额为</w:t>
      </w:r>
      <w:r>
        <w:rPr>
          <w:rFonts w:hint="eastAsia" w:ascii="宋体" w:hAnsi="宋体" w:cs="宋体"/>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万元，属于</w:t>
      </w:r>
      <w:r>
        <w:rPr>
          <w:rFonts w:hint="eastAsia" w:ascii="宋体" w:hAnsi="宋体" w:cs="宋体"/>
          <w:color w:val="000000" w:themeColor="text1"/>
          <w:sz w:val="24"/>
          <w:highlight w:val="none"/>
          <w:u w:val="single"/>
          <w14:textFill>
            <w14:solidFill>
              <w14:schemeClr w14:val="tx1"/>
            </w14:solidFill>
          </w14:textFill>
        </w:rPr>
        <w:t>（中型企业、小型企业、微型企业）</w:t>
      </w:r>
    </w:p>
    <w:p>
      <w:pPr>
        <w:widowControl/>
        <w:ind w:firstLine="480" w:firstLineChars="200"/>
        <w:textAlignment w:val="baseline"/>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pPr>
        <w:widowControl/>
        <w:ind w:firstLine="480" w:firstLineChars="200"/>
        <w:textAlignment w:val="baseline"/>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pPr>
        <w:widowControl/>
        <w:ind w:firstLine="480" w:firstLineChars="200"/>
        <w:textAlignment w:val="baseline"/>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本企业对上述声明内容的真实性负责。如有虚假，将依法承担相应责任。</w:t>
      </w:r>
    </w:p>
    <w:p>
      <w:pPr>
        <w:widowControl/>
        <w:ind w:firstLine="482" w:firstLineChars="200"/>
        <w:jc w:val="right"/>
        <w:textAlignment w:val="baseline"/>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企业名称（盖章）</w:t>
      </w:r>
    </w:p>
    <w:p>
      <w:pPr>
        <w:widowControl/>
        <w:ind w:firstLine="482" w:firstLineChars="200"/>
        <w:jc w:val="right"/>
        <w:textAlignment w:val="baseline"/>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日期：</w:t>
      </w:r>
    </w:p>
    <w:p>
      <w:pPr>
        <w:widowControl/>
        <w:ind w:firstLine="480" w:firstLineChars="200"/>
        <w:textAlignment w:val="baseline"/>
        <w:rPr>
          <w:rFonts w:hint="eastAsia" w:ascii="宋体" w:hAnsi="宋体" w:cs="宋体"/>
          <w:color w:val="000000" w:themeColor="text1"/>
          <w:sz w:val="24"/>
          <w:highlight w:val="none"/>
          <w14:textFill>
            <w14:solidFill>
              <w14:schemeClr w14:val="tx1"/>
            </w14:solidFill>
          </w14:textFill>
        </w:rPr>
      </w:pPr>
    </w:p>
    <w:p>
      <w:pPr>
        <w:widowControl/>
        <w:ind w:firstLine="480" w:firstLineChars="200"/>
        <w:textAlignment w:val="baseline"/>
        <w:rPr>
          <w:rFonts w:hint="eastAsia" w:ascii="宋体" w:hAnsi="宋体" w:cs="宋体"/>
          <w:color w:val="000000" w:themeColor="text1"/>
          <w:sz w:val="24"/>
          <w:highlight w:val="none"/>
          <w14:textFill>
            <w14:solidFill>
              <w14:schemeClr w14:val="tx1"/>
            </w14:solidFill>
          </w14:textFill>
        </w:rPr>
      </w:pPr>
    </w:p>
    <w:p>
      <w:pPr>
        <w:jc w:val="left"/>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注意事项：</w:t>
      </w:r>
    </w:p>
    <w:p>
      <w:pPr>
        <w:ind w:firstLine="482" w:firstLineChars="200"/>
        <w:jc w:val="left"/>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1.从业人员、营业收入、资产总额填报上一年度数据，无上一年度数据的新成立企业可不填报；</w:t>
      </w:r>
    </w:p>
    <w:p>
      <w:pPr>
        <w:ind w:firstLine="482" w:firstLineChars="200"/>
        <w:jc w:val="left"/>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ind w:firstLine="482" w:firstLineChars="200"/>
        <w:jc w:val="left"/>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3.事业单位、社会组织等非企业主体不享受中小企业扶持政策，但事业单位、社会组织等非企业主体提供全部由中小企业制造的货物参加货物采购项目的除外。</w:t>
      </w:r>
    </w:p>
    <w:p>
      <w:pPr>
        <w:ind w:firstLine="482" w:firstLineChars="200"/>
        <w:jc w:val="left"/>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4.相关承接/承建企业的所属行业应当与采购标的所属行业（采购文件中明确的行业）相一致。</w:t>
      </w:r>
    </w:p>
    <w:p>
      <w:pPr>
        <w:ind w:firstLine="480" w:firstLineChars="2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ind w:firstLine="482" w:firstLineChars="200"/>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br w:type="page"/>
      </w:r>
      <w:r>
        <w:rPr>
          <w:rFonts w:hint="eastAsia" w:ascii="宋体" w:hAnsi="宋体" w:cs="宋体"/>
          <w:b/>
          <w:color w:val="000000" w:themeColor="text1"/>
          <w:sz w:val="24"/>
          <w:highlight w:val="none"/>
          <w14:textFill>
            <w14:solidFill>
              <w14:schemeClr w14:val="tx1"/>
            </w14:solidFill>
          </w14:textFill>
        </w:rPr>
        <w:t>附：中小企业划型标准规定</w:t>
      </w:r>
    </w:p>
    <w:p>
      <w:pPr>
        <w:rPr>
          <w:rFonts w:hint="eastAsia" w:ascii="宋体" w:hAnsi="宋体" w:cs="宋体"/>
          <w:color w:val="000000" w:themeColor="text1"/>
          <w:sz w:val="24"/>
          <w:highlight w:val="none"/>
          <w14:textFill>
            <w14:solidFill>
              <w14:schemeClr w14:val="tx1"/>
            </w14:solidFill>
          </w14:textFill>
        </w:rPr>
      </w:pP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一、根据《中华人民共和国中小企业促进法》和《国务院关于进一步促进中小企业发展的若干意见》(国发〔2009〕36号)，制定本规定。 </w:t>
      </w: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二、中小企业划分为中型、小型、微型三种类型，具体标准根据企业从业人员、营业收入、资产总额等指标，结合行业特点制定。 关于印发中小企业划型标准规定的通知</w:t>
      </w: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三、本规定适用的行业包括：农、林、牧、渔业，工业（包括采矿业，制造业，电力、热力、燃气及水生产和供应业），建筑业，批发业，零售业，交通运输 业（不含铁路运输业），仓储业，邮政业，住宿业，餐饮业，信息传输业（包括电 信、互联网和相关服务），软件和信息技术服务业，房地产开发经营，物业管理， 租赁和商务服务业，其他未列明行业（包括科学研究和技术服务业，水利、环境和 公共设施管理业，居民服务、修理和其他服务业，社会工作，文化、体育和娱乐业 等）。 </w:t>
      </w: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四、各行业划型标准为： </w:t>
      </w: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（一）农、林、牧、渔业。营业收入20000万元以下的为中小微型企业。其中，营业收入500万元及以上的为中型企业，营业收入50万元及以上的为小型企业，营业 收入50万元以下的为微型企业。</w:t>
      </w: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（二）工业。从业人员1000人以下或营业收入40000万元以下的为中小微型企业。其中，从业人员300人及以上，且营业收入2000万元及以上的为中型企业；从业 人员20人及以上，且营业收入300万元及以上的为小型企业；从业人员20人以下或营 业收入300万元以下的为微型企业。 </w:t>
      </w: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（三）建筑业。营业收入80000万元以下或资产总额80000万元以下的为中小微 型企业。其中，营业收入6000万元及以上，且资产总额5000万元及以上的为中型企 业；营业收入300万元及以上，且资产总额300万元及以上的为小型企业；营业收入 300万元以下或资产总额300万元以下的为微型企业。 </w:t>
      </w: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（四）批发业。从业人员200人以下或营业收入40000万元以下的为中小微型企业。其中，从业人员20人及以上，且营业收入5000万元及以上的为中型企业；从业 人员5人及以上，且营业收入1000万元及以上的为小型企业；从业人员5人以下或营 业收入1000万元以下的为微型企业。 </w:t>
      </w: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（五）零售业。从业人员300人以下或营业收入20000万元以下的为中小微型企业。其中，从业人员50人及以上，且营业收入500万元及以上的为中型企业；从业人 员10人及以上，且营业收入100万元及以上的为小型企业；从业人员10人以下或营业 收入100万元以下的为微型企业。 </w:t>
      </w: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（六）交通运输业。从业人员1000人以下或营业收入30000万元以下的为中小微 型企业。其中，从业人员300人及以上，且营业收入3000万元及以上的为中型企业； 从业人员20人及以上，且营业收入200万元及以上的为小型企业；从业人员20人以下 或营业收入200万元以下的为微型企业。 </w:t>
      </w: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（七）仓储业。从业人员200人以下或营业收入30000万元以下的为中小微型企业。其中，从业人员100人及以上，且营业收入1000万元及以上的为中型企业；从业 人员20人及以上，且营业收入100万元及以上的为小型企业；从业人员20人以下或营 业收入100万元以下的为微型企业。</w:t>
      </w: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（八）邮政业。从业人员1000人以下或营业收入30000万元以下的为中小微型企业。其中，从业人员300人及以上，且营业收入2000万元及以上的为中型企业；从业 人员20人及以上，且营业收入100万元及以上的为小型企业；从业人员20人以下或营 业收入100万元以下的为微型企业。 </w:t>
      </w: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（九）住宿业。从业人员300人以下或营业收入10000万元以下的为中小微型企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（十）餐饮业。从业人员300人以下或营业收入10000万元以下的为中小微型企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（十一）信息传输业。从业人员2000人以下或营业收入100000万元以下的为中 小微型企业。其中，从业人员100人及以上，且营业收入1000万元及以上的为中型企 业；从业人员10人及以上，且营业收入100万元及以上的为小型企业；从业人员10人 以下或营业收入100万元以下的为微型企业。 </w:t>
      </w: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（十二）软件和信息技术服务业。从业人员300人以下或营业收入10000万元以下的为中小微型企业。其中，从业人员100人及以上，且营业收入1000万元及以上的 为中型企业；从业人员10人及以上，且营业收入50万元及以上的为小型企业；从业 人员10人以下或营业收入50万元以下的为微型企业。 </w:t>
      </w: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（十三）房地产开发经营。营业收入200000万元以下或资产总额10000万元以下的为中小微型企业。其中，营业收入1000万元及以上，且资产总额5000万元及以上 的为中型企业；营业收入100万元及以上，且资产总额2000万元及以上的为小型企 业；营业收入100万元以下或资产总额2000万元以下的为微型企业。 </w:t>
      </w: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（十四）物业管理。从业人员1000人以下或营业收入5000万元以下的为中小微型企业。其中，从业人员300人及以上，且营业收入1000万元及以上的为中型企业； 从业人员100人及以上，且营业收入500万元及以上的为小型企业；从业人员100人以 下或营业收入500万元以下的为微型企业。</w:t>
      </w: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（十五）租赁和商务服务业。从业人员300人以下或资产总额120000万元以下的 为中小微型企业。其中，从业人员100人及以上，且资产总额8000万元及以上的为中 型企业；从业人员10人及以上，且资产总额100万元及以上的为小型企业；从业人员 10人以下或资产总额100万元以下的为微型企业。 （十六）其他未列明行业。从业人员300人以下的为中小微型企业。其中，从业 人员100人及以上的为中型企业；从业人员10人及以上的为小型企业；从业人员10人 以下的为微型企业。</w:t>
      </w: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五、企业类型的划分以统计部门的统计数据为依据。 </w:t>
      </w: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七、本规定的中型企业标准上限即为大型企业标准的下限，国家统计部门据此制定大中小微型企业的统计分类。国务院有关部门据此进行相关数据分析，不得制 定与本规定不一致的企业划型标准。</w:t>
      </w: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九、本规定由工业和信息化部、国家统计局会同有关部门负责解释。 </w:t>
      </w: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十、本规定自发布之日起执行，原国家经贸委、原国家计委、财政部和国家统计局2003年颁布的《中小企业标准暂行规定》同时废止。</w:t>
      </w:r>
    </w:p>
    <w:p>
      <w:pPr>
        <w:adjustRightInd w:val="0"/>
        <w:snapToGrid w:val="0"/>
        <w:spacing w:line="360" w:lineRule="auto"/>
        <w:jc w:val="center"/>
        <w:outlineLvl w:val="4"/>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r>
        <w:rPr>
          <w:rFonts w:hint="eastAsia" w:ascii="宋体" w:hAnsi="宋体" w:cs="宋体"/>
          <w:b/>
          <w:color w:val="000000" w:themeColor="text1"/>
          <w:sz w:val="24"/>
          <w:highlight w:val="none"/>
          <w14:textFill>
            <w14:solidFill>
              <w14:schemeClr w14:val="tx1"/>
            </w14:solidFill>
          </w14:textFill>
        </w:rPr>
        <w:t>②残疾人福利性单位声明函（样表）</w:t>
      </w:r>
    </w:p>
    <w:p>
      <w:pPr>
        <w:spacing w:line="620" w:lineRule="exact"/>
        <w:ind w:firstLine="480" w:firstLineChars="200"/>
        <w:rPr>
          <w:rFonts w:hint="eastAsia" w:ascii="宋体" w:hAnsi="宋体" w:cs="宋体"/>
          <w:color w:val="000000" w:themeColor="text1"/>
          <w:spacing w:val="6"/>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w:t>
      </w:r>
      <w:r>
        <w:rPr>
          <w:rFonts w:hint="eastAsia" w:ascii="宋体" w:hAnsi="宋体" w:cs="宋体"/>
          <w:color w:val="000000" w:themeColor="text1"/>
          <w:spacing w:val="6"/>
          <w:sz w:val="24"/>
          <w:highlight w:val="none"/>
          <w14:textFill>
            <w14:solidFill>
              <w14:schemeClr w14:val="tx1"/>
            </w14:solidFill>
          </w14:textFill>
        </w:rPr>
        <w:t>单位参加</w:t>
      </w:r>
      <w:r>
        <w:rPr>
          <w:rFonts w:hint="eastAsia" w:ascii="宋体" w:hAnsi="宋体" w:cs="宋体"/>
          <w:color w:val="000000" w:themeColor="text1"/>
          <w:spacing w:val="6"/>
          <w:sz w:val="24"/>
          <w:highlight w:val="none"/>
          <w:u w:val="single"/>
          <w14:textFill>
            <w14:solidFill>
              <w14:schemeClr w14:val="tx1"/>
            </w14:solidFill>
          </w14:textFill>
        </w:rPr>
        <w:t xml:space="preserve"> （采购单位名称） </w:t>
      </w:r>
      <w:r>
        <w:rPr>
          <w:rFonts w:hint="eastAsia" w:ascii="宋体" w:hAnsi="宋体" w:cs="宋体"/>
          <w:color w:val="000000" w:themeColor="text1"/>
          <w:spacing w:val="6"/>
          <w:sz w:val="24"/>
          <w:highlight w:val="none"/>
          <w14:textFill>
            <w14:solidFill>
              <w14:schemeClr w14:val="tx1"/>
            </w14:solidFill>
          </w14:textFill>
        </w:rPr>
        <w:t>单位的</w:t>
      </w:r>
      <w:r>
        <w:rPr>
          <w:rFonts w:hint="eastAsia" w:ascii="宋体" w:hAnsi="宋体" w:cs="宋体"/>
          <w:color w:val="000000" w:themeColor="text1"/>
          <w:spacing w:val="6"/>
          <w:sz w:val="24"/>
          <w:highlight w:val="none"/>
          <w:u w:val="single"/>
          <w14:textFill>
            <w14:solidFill>
              <w14:schemeClr w14:val="tx1"/>
            </w14:solidFill>
          </w14:textFill>
        </w:rPr>
        <w:t xml:space="preserve"> （采购项目名称） </w:t>
      </w:r>
      <w:r>
        <w:rPr>
          <w:rFonts w:hint="eastAsia" w:ascii="宋体" w:hAnsi="宋体" w:cs="宋体"/>
          <w:color w:val="000000" w:themeColor="text1"/>
          <w:spacing w:val="6"/>
          <w:sz w:val="24"/>
          <w:highlight w:val="none"/>
          <w14:textFill>
            <w14:solidFill>
              <w14:schemeClr w14:val="tx1"/>
            </w14:solidFill>
          </w14:textFill>
        </w:rPr>
        <w:t>项目</w:t>
      </w:r>
      <w:r>
        <w:rPr>
          <w:rFonts w:hint="eastAsia" w:ascii="宋体" w:hAnsi="宋体" w:cs="宋体"/>
          <w:color w:val="000000" w:themeColor="text1"/>
          <w:kern w:val="0"/>
          <w:sz w:val="24"/>
          <w:highlight w:val="none"/>
          <w14:textFill>
            <w14:solidFill>
              <w14:schemeClr w14:val="tx1"/>
            </w14:solidFill>
          </w14:textFill>
        </w:rPr>
        <w:t>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w:t>
      </w:r>
    </w:p>
    <w:p>
      <w:pPr>
        <w:spacing w:line="620" w:lineRule="exact"/>
        <w:ind w:firstLine="504" w:firstLineChars="200"/>
        <w:rPr>
          <w:rFonts w:hint="eastAsia" w:ascii="宋体" w:hAnsi="宋体" w:cs="宋体"/>
          <w:color w:val="000000" w:themeColor="text1"/>
          <w:spacing w:val="6"/>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本单位对上述声明的真实性负责。如有虚假，将依法承担相应责任。</w:t>
      </w:r>
    </w:p>
    <w:p>
      <w:pPr>
        <w:spacing w:line="620" w:lineRule="exact"/>
        <w:ind w:firstLine="504" w:firstLineChars="200"/>
        <w:rPr>
          <w:rFonts w:hint="eastAsia" w:ascii="宋体" w:hAnsi="宋体" w:cs="宋体"/>
          <w:color w:val="000000" w:themeColor="text1"/>
          <w:spacing w:val="6"/>
          <w:sz w:val="24"/>
          <w:highlight w:val="none"/>
          <w14:textFill>
            <w14:solidFill>
              <w14:schemeClr w14:val="tx1"/>
            </w14:solidFill>
          </w14:textFill>
        </w:rPr>
      </w:pPr>
    </w:p>
    <w:p>
      <w:pPr>
        <w:spacing w:line="620" w:lineRule="exact"/>
        <w:ind w:firstLine="504" w:firstLineChars="200"/>
        <w:rPr>
          <w:rFonts w:hint="eastAsia" w:ascii="宋体" w:hAnsi="宋体" w:cs="宋体"/>
          <w:color w:val="000000" w:themeColor="text1"/>
          <w:spacing w:val="6"/>
          <w:sz w:val="24"/>
          <w:highlight w:val="none"/>
          <w14:textFill>
            <w14:solidFill>
              <w14:schemeClr w14:val="tx1"/>
            </w14:solidFill>
          </w14:textFill>
        </w:rPr>
      </w:pPr>
    </w:p>
    <w:p>
      <w:pPr>
        <w:tabs>
          <w:tab w:val="left" w:pos="4860"/>
        </w:tabs>
        <w:spacing w:line="620" w:lineRule="exact"/>
        <w:ind w:right="1560" w:firstLine="504" w:firstLineChars="200"/>
        <w:jc w:val="center"/>
        <w:rPr>
          <w:rFonts w:hint="eastAsia" w:ascii="宋体" w:hAnsi="宋体" w:cs="宋体"/>
          <w:color w:val="000000" w:themeColor="text1"/>
          <w:spacing w:val="6"/>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 xml:space="preserve">               单位名称（盖章）：</w:t>
      </w:r>
    </w:p>
    <w:p>
      <w:pPr>
        <w:tabs>
          <w:tab w:val="left" w:pos="4860"/>
        </w:tabs>
        <w:spacing w:line="620" w:lineRule="exact"/>
        <w:ind w:right="1560" w:firstLine="504" w:firstLineChars="200"/>
        <w:jc w:val="center"/>
        <w:rPr>
          <w:rStyle w:val="29"/>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 xml:space="preserve">                        日  期：</w:t>
      </w:r>
    </w:p>
    <w:p>
      <w:pPr>
        <w:snapToGrid w:val="0"/>
        <w:spacing w:line="360" w:lineRule="auto"/>
        <w:ind w:firstLine="480" w:firstLineChars="200"/>
        <w:jc w:val="left"/>
        <w:textAlignment w:val="baseline"/>
        <w:rPr>
          <w:rStyle w:val="29"/>
          <w:rFonts w:hint="eastAsia" w:ascii="宋体" w:hAnsi="宋体" w:cs="宋体"/>
          <w:color w:val="000000" w:themeColor="text1"/>
          <w:sz w:val="24"/>
          <w:highlight w:val="none"/>
          <w14:textFill>
            <w14:solidFill>
              <w14:schemeClr w14:val="tx1"/>
            </w14:solidFill>
          </w14:textFill>
        </w:rPr>
      </w:pPr>
    </w:p>
    <w:p>
      <w:pPr>
        <w:snapToGrid w:val="0"/>
        <w:spacing w:line="360" w:lineRule="auto"/>
        <w:ind w:firstLine="482" w:firstLineChars="200"/>
        <w:jc w:val="left"/>
        <w:textAlignment w:val="baseline"/>
        <w:rPr>
          <w:rStyle w:val="29"/>
          <w:rFonts w:hint="eastAsia" w:ascii="宋体" w:hAnsi="宋体" w:cs="宋体"/>
          <w:b/>
          <w:color w:val="000000" w:themeColor="text1"/>
          <w:sz w:val="24"/>
          <w:highlight w:val="none"/>
          <w14:textFill>
            <w14:solidFill>
              <w14:schemeClr w14:val="tx1"/>
            </w14:solidFill>
          </w14:textFill>
        </w:rPr>
      </w:pPr>
      <w:r>
        <w:rPr>
          <w:rStyle w:val="29"/>
          <w:rFonts w:hint="eastAsia" w:ascii="宋体" w:hAnsi="宋体" w:cs="宋体"/>
          <w:b/>
          <w:color w:val="000000" w:themeColor="text1"/>
          <w:sz w:val="24"/>
          <w:highlight w:val="none"/>
          <w14:textFill>
            <w14:solidFill>
              <w14:schemeClr w14:val="tx1"/>
            </w14:solidFill>
          </w14:textFill>
        </w:rPr>
        <w:t>投标人知悉《关于促进残疾人就业政府采购政策的通知》（财库〔2017〕141 号）的规定，承诺提供的声明函内容是真实的，如提供声明函内容不实，则依法追究相关法律责任。</w:t>
      </w:r>
    </w:p>
    <w:p>
      <w:pPr>
        <w:snapToGrid w:val="0"/>
        <w:spacing w:line="360" w:lineRule="auto"/>
        <w:jc w:val="center"/>
        <w:textAlignment w:val="baseline"/>
        <w:outlineLvl w:val="4"/>
        <w:rPr>
          <w:rStyle w:val="29"/>
          <w:rFonts w:hint="eastAsia" w:ascii="宋体" w:hAnsi="宋体" w:cs="宋体"/>
          <w:b/>
          <w:color w:val="000000" w:themeColor="text1"/>
          <w:sz w:val="24"/>
          <w:highlight w:val="none"/>
          <w14:textFill>
            <w14:solidFill>
              <w14:schemeClr w14:val="tx1"/>
            </w14:solidFill>
          </w14:textFill>
        </w:rPr>
      </w:pPr>
      <w:r>
        <w:rPr>
          <w:rStyle w:val="29"/>
          <w:rFonts w:hint="eastAsia" w:ascii="宋体" w:hAnsi="宋体" w:cs="宋体"/>
          <w:b/>
          <w:color w:val="000000" w:themeColor="text1"/>
          <w:sz w:val="24"/>
          <w:highlight w:val="none"/>
          <w14:textFill>
            <w14:solidFill>
              <w14:schemeClr w14:val="tx1"/>
            </w14:solidFill>
          </w14:textFill>
        </w:rPr>
        <w:br w:type="page"/>
      </w:r>
      <w:r>
        <w:rPr>
          <w:rStyle w:val="29"/>
          <w:rFonts w:hint="eastAsia" w:ascii="宋体" w:hAnsi="宋体" w:cs="宋体"/>
          <w:b/>
          <w:color w:val="000000" w:themeColor="text1"/>
          <w:sz w:val="24"/>
          <w:highlight w:val="none"/>
          <w14:textFill>
            <w14:solidFill>
              <w14:schemeClr w14:val="tx1"/>
            </w14:solidFill>
          </w14:textFill>
        </w:rPr>
        <w:t>③监狱企业声明函</w:t>
      </w:r>
    </w:p>
    <w:p>
      <w:pPr>
        <w:snapToGrid w:val="0"/>
        <w:spacing w:line="620" w:lineRule="exact"/>
        <w:ind w:firstLine="504" w:firstLineChars="200"/>
        <w:textAlignment w:val="baseline"/>
        <w:rPr>
          <w:rStyle w:val="29"/>
          <w:rFonts w:hint="eastAsia" w:ascii="宋体" w:hAnsi="宋体" w:cs="宋体"/>
          <w:color w:val="000000" w:themeColor="text1"/>
          <w:spacing w:val="6"/>
          <w:sz w:val="24"/>
          <w:highlight w:val="none"/>
          <w14:textFill>
            <w14:solidFill>
              <w14:schemeClr w14:val="tx1"/>
            </w14:solidFill>
          </w14:textFill>
        </w:rPr>
      </w:pPr>
      <w:r>
        <w:rPr>
          <w:rStyle w:val="29"/>
          <w:rFonts w:hint="eastAsia" w:ascii="宋体" w:hAnsi="宋体" w:cs="宋体"/>
          <w:color w:val="000000" w:themeColor="text1"/>
          <w:spacing w:val="6"/>
          <w:sz w:val="24"/>
          <w:highlight w:val="none"/>
          <w14:textFill>
            <w14:solidFill>
              <w14:schemeClr w14:val="tx1"/>
            </w14:solidFill>
          </w14:textFill>
        </w:rPr>
        <w:t>本单位郑重声明，根据《财政部司法部关于政府采购支持监狱企业发展有关问题的通知》（财库〔2014〕68号）的规定，本单位为符合条件的监狱企业，且本单位参加</w:t>
      </w:r>
      <w:r>
        <w:rPr>
          <w:rStyle w:val="29"/>
          <w:rFonts w:hint="eastAsia" w:ascii="宋体" w:hAnsi="宋体" w:cs="宋体"/>
          <w:color w:val="000000" w:themeColor="text1"/>
          <w:spacing w:val="6"/>
          <w:sz w:val="24"/>
          <w:highlight w:val="none"/>
          <w:u w:val="single"/>
          <w14:textFill>
            <w14:solidFill>
              <w14:schemeClr w14:val="tx1"/>
            </w14:solidFill>
          </w14:textFill>
        </w:rPr>
        <w:t xml:space="preserve"> （采购单位名称） </w:t>
      </w:r>
      <w:r>
        <w:rPr>
          <w:rStyle w:val="29"/>
          <w:rFonts w:hint="eastAsia" w:ascii="宋体" w:hAnsi="宋体" w:cs="宋体"/>
          <w:color w:val="000000" w:themeColor="text1"/>
          <w:spacing w:val="6"/>
          <w:sz w:val="24"/>
          <w:highlight w:val="none"/>
          <w14:textFill>
            <w14:solidFill>
              <w14:schemeClr w14:val="tx1"/>
            </w14:solidFill>
          </w14:textFill>
        </w:rPr>
        <w:t>单位的</w:t>
      </w:r>
      <w:r>
        <w:rPr>
          <w:rStyle w:val="29"/>
          <w:rFonts w:hint="eastAsia" w:ascii="宋体" w:hAnsi="宋体" w:cs="宋体"/>
          <w:color w:val="000000" w:themeColor="text1"/>
          <w:spacing w:val="6"/>
          <w:sz w:val="24"/>
          <w:highlight w:val="none"/>
          <w:u w:val="single"/>
          <w14:textFill>
            <w14:solidFill>
              <w14:schemeClr w14:val="tx1"/>
            </w14:solidFill>
          </w14:textFill>
        </w:rPr>
        <w:t xml:space="preserve"> （采购项目名称） </w:t>
      </w:r>
      <w:r>
        <w:rPr>
          <w:rStyle w:val="29"/>
          <w:rFonts w:hint="eastAsia" w:ascii="宋体" w:hAnsi="宋体" w:cs="宋体"/>
          <w:color w:val="000000" w:themeColor="text1"/>
          <w:spacing w:val="6"/>
          <w:sz w:val="24"/>
          <w:highlight w:val="none"/>
          <w14:textFill>
            <w14:solidFill>
              <w14:schemeClr w14:val="tx1"/>
            </w14:solidFill>
          </w14:textFill>
        </w:rPr>
        <w:t>项目采购</w:t>
      </w:r>
      <w:r>
        <w:rPr>
          <w:rStyle w:val="29"/>
          <w:rFonts w:hint="eastAsia" w:ascii="宋体" w:hAnsi="宋体" w:cs="宋体"/>
          <w:color w:val="000000" w:themeColor="text1"/>
          <w:kern w:val="0"/>
          <w:sz w:val="24"/>
          <w:highlight w:val="none"/>
          <w14:textFill>
            <w14:solidFill>
              <w14:schemeClr w14:val="tx1"/>
            </w14:solidFill>
          </w14:textFill>
        </w:rPr>
        <w:t>活动，并提供：□本单位制造的货物；□由本单位承担的工程、提供服务；□提供其他监狱企业制造的货物（承诺人在□处打√）</w:t>
      </w:r>
      <w:r>
        <w:rPr>
          <w:rStyle w:val="29"/>
          <w:rFonts w:hint="eastAsia" w:ascii="宋体" w:hAnsi="宋体" w:cs="宋体"/>
          <w:color w:val="000000" w:themeColor="text1"/>
          <w:spacing w:val="6"/>
          <w:sz w:val="24"/>
          <w:highlight w:val="none"/>
          <w14:textFill>
            <w14:solidFill>
              <w14:schemeClr w14:val="tx1"/>
            </w14:solidFill>
          </w14:textFill>
        </w:rPr>
        <w:t>。</w:t>
      </w:r>
      <w:r>
        <w:rPr>
          <w:rStyle w:val="29"/>
          <w:rFonts w:hint="eastAsia" w:ascii="宋体" w:hAnsi="宋体" w:cs="宋体"/>
          <w:color w:val="000000" w:themeColor="text1"/>
          <w:kern w:val="0"/>
          <w:sz w:val="24"/>
          <w:highlight w:val="none"/>
          <w14:textFill>
            <w14:solidFill>
              <w14:schemeClr w14:val="tx1"/>
            </w14:solidFill>
          </w14:textFill>
        </w:rPr>
        <w:t>本条所称货物是指单一产品采购项目中的货物，或者非单一产品采购项目中的核心产品（货物）。</w:t>
      </w:r>
    </w:p>
    <w:p>
      <w:pPr>
        <w:snapToGrid w:val="0"/>
        <w:spacing w:line="620" w:lineRule="exact"/>
        <w:ind w:firstLine="504" w:firstLineChars="200"/>
        <w:textAlignment w:val="baseline"/>
        <w:rPr>
          <w:rStyle w:val="29"/>
          <w:rFonts w:hint="eastAsia" w:ascii="宋体" w:hAnsi="宋体" w:cs="宋体"/>
          <w:color w:val="000000" w:themeColor="text1"/>
          <w:spacing w:val="6"/>
          <w:sz w:val="24"/>
          <w:highlight w:val="none"/>
          <w14:textFill>
            <w14:solidFill>
              <w14:schemeClr w14:val="tx1"/>
            </w14:solidFill>
          </w14:textFill>
        </w:rPr>
      </w:pPr>
      <w:r>
        <w:rPr>
          <w:rStyle w:val="29"/>
          <w:rFonts w:hint="eastAsia" w:ascii="宋体" w:hAnsi="宋体" w:cs="宋体"/>
          <w:color w:val="000000" w:themeColor="text1"/>
          <w:spacing w:val="6"/>
          <w:sz w:val="24"/>
          <w:highlight w:val="none"/>
          <w14:textFill>
            <w14:solidFill>
              <w14:schemeClr w14:val="tx1"/>
            </w14:solidFill>
          </w14:textFill>
        </w:rPr>
        <w:t>本单位对上述声明的真实性负责。如有虚假，将依法承担相应责任。</w:t>
      </w:r>
    </w:p>
    <w:p>
      <w:pPr>
        <w:snapToGrid w:val="0"/>
        <w:spacing w:line="620" w:lineRule="exact"/>
        <w:ind w:firstLine="504" w:firstLineChars="200"/>
        <w:textAlignment w:val="baseline"/>
        <w:rPr>
          <w:rStyle w:val="29"/>
          <w:rFonts w:hint="eastAsia" w:ascii="宋体" w:hAnsi="宋体" w:cs="宋体"/>
          <w:color w:val="000000" w:themeColor="text1"/>
          <w:spacing w:val="6"/>
          <w:sz w:val="24"/>
          <w:highlight w:val="none"/>
          <w14:textFill>
            <w14:solidFill>
              <w14:schemeClr w14:val="tx1"/>
            </w14:solidFill>
          </w14:textFill>
        </w:rPr>
      </w:pPr>
      <w:r>
        <w:rPr>
          <w:rStyle w:val="29"/>
          <w:rFonts w:hint="eastAsia" w:ascii="宋体" w:hAnsi="宋体" w:cs="宋体"/>
          <w:color w:val="000000" w:themeColor="text1"/>
          <w:spacing w:val="6"/>
          <w:sz w:val="24"/>
          <w:highlight w:val="none"/>
          <w14:textFill>
            <w14:solidFill>
              <w14:schemeClr w14:val="tx1"/>
            </w14:solidFill>
          </w14:textFill>
        </w:rPr>
        <w:t>附：省级以上监狱管理局、戒毒管理局（含新疆生产建设兵团）出具的监狱企业证明文件。</w:t>
      </w:r>
    </w:p>
    <w:p>
      <w:pPr>
        <w:snapToGrid w:val="0"/>
        <w:spacing w:line="620" w:lineRule="exact"/>
        <w:ind w:firstLine="504" w:firstLineChars="200"/>
        <w:textAlignment w:val="baseline"/>
        <w:rPr>
          <w:rStyle w:val="29"/>
          <w:rFonts w:hint="eastAsia" w:ascii="宋体" w:hAnsi="宋体" w:cs="宋体"/>
          <w:color w:val="000000" w:themeColor="text1"/>
          <w:spacing w:val="6"/>
          <w:sz w:val="24"/>
          <w:highlight w:val="none"/>
          <w14:textFill>
            <w14:solidFill>
              <w14:schemeClr w14:val="tx1"/>
            </w14:solidFill>
          </w14:textFill>
        </w:rPr>
      </w:pPr>
    </w:p>
    <w:p>
      <w:pPr>
        <w:snapToGrid w:val="0"/>
        <w:spacing w:line="620" w:lineRule="exact"/>
        <w:ind w:firstLine="504" w:firstLineChars="200"/>
        <w:textAlignment w:val="baseline"/>
        <w:rPr>
          <w:rStyle w:val="29"/>
          <w:rFonts w:hint="eastAsia" w:ascii="宋体" w:hAnsi="宋体" w:cs="宋体"/>
          <w:color w:val="000000" w:themeColor="text1"/>
          <w:spacing w:val="6"/>
          <w:sz w:val="24"/>
          <w:highlight w:val="none"/>
          <w14:textFill>
            <w14:solidFill>
              <w14:schemeClr w14:val="tx1"/>
            </w14:solidFill>
          </w14:textFill>
        </w:rPr>
      </w:pPr>
    </w:p>
    <w:p>
      <w:pPr>
        <w:tabs>
          <w:tab w:val="left" w:pos="4860"/>
        </w:tabs>
        <w:snapToGrid w:val="0"/>
        <w:spacing w:line="620" w:lineRule="exact"/>
        <w:ind w:right="1560" w:firstLine="504" w:firstLineChars="200"/>
        <w:jc w:val="center"/>
        <w:textAlignment w:val="baseline"/>
        <w:rPr>
          <w:rStyle w:val="29"/>
          <w:rFonts w:hint="eastAsia" w:ascii="宋体" w:hAnsi="宋体" w:cs="宋体"/>
          <w:color w:val="000000" w:themeColor="text1"/>
          <w:spacing w:val="6"/>
          <w:sz w:val="24"/>
          <w:highlight w:val="none"/>
          <w14:textFill>
            <w14:solidFill>
              <w14:schemeClr w14:val="tx1"/>
            </w14:solidFill>
          </w14:textFill>
        </w:rPr>
      </w:pPr>
      <w:r>
        <w:rPr>
          <w:rStyle w:val="29"/>
          <w:rFonts w:hint="eastAsia" w:ascii="宋体" w:hAnsi="宋体" w:cs="宋体"/>
          <w:color w:val="000000" w:themeColor="text1"/>
          <w:spacing w:val="6"/>
          <w:sz w:val="24"/>
          <w:highlight w:val="none"/>
          <w14:textFill>
            <w14:solidFill>
              <w14:schemeClr w14:val="tx1"/>
            </w14:solidFill>
          </w14:textFill>
        </w:rPr>
        <w:t xml:space="preserve">               单位名称（盖章）：</w:t>
      </w:r>
    </w:p>
    <w:p>
      <w:pPr>
        <w:tabs>
          <w:tab w:val="left" w:pos="640"/>
          <w:tab w:val="left" w:pos="840"/>
          <w:tab w:val="left" w:pos="1260"/>
          <w:tab w:val="left" w:pos="1418"/>
        </w:tabs>
        <w:spacing w:line="360" w:lineRule="auto"/>
        <w:rPr>
          <w:rFonts w:hint="eastAsia" w:ascii="宋体" w:hAnsi="宋体" w:cs="宋体"/>
          <w:color w:val="000000" w:themeColor="text1"/>
          <w:spacing w:val="6"/>
          <w:sz w:val="24"/>
          <w:highlight w:val="none"/>
          <w14:textFill>
            <w14:solidFill>
              <w14:schemeClr w14:val="tx1"/>
            </w14:solidFill>
          </w14:textFill>
        </w:rPr>
      </w:pPr>
      <w:r>
        <w:rPr>
          <w:rStyle w:val="29"/>
          <w:rFonts w:hint="eastAsia" w:ascii="宋体" w:hAnsi="宋体" w:cs="宋体"/>
          <w:color w:val="000000" w:themeColor="text1"/>
          <w:spacing w:val="6"/>
          <w:sz w:val="24"/>
          <w:highlight w:val="none"/>
          <w14:textFill>
            <w14:solidFill>
              <w14:schemeClr w14:val="tx1"/>
            </w14:solidFill>
          </w14:textFill>
        </w:rPr>
        <w:t xml:space="preserve">                          日  期</w:t>
      </w:r>
      <w:r>
        <w:rPr>
          <w:rFonts w:hint="eastAsia" w:ascii="宋体" w:hAnsi="宋体" w:cs="宋体"/>
          <w:color w:val="000000" w:themeColor="text1"/>
          <w:spacing w:val="6"/>
          <w:sz w:val="24"/>
          <w:highlight w:val="none"/>
          <w14:textFill>
            <w14:solidFill>
              <w14:schemeClr w14:val="tx1"/>
            </w14:solidFill>
          </w14:textFill>
        </w:rPr>
        <w:t>：</w:t>
      </w:r>
    </w:p>
    <w:p>
      <w:pPr>
        <w:rPr>
          <w:color w:val="000000" w:themeColor="text1"/>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br w:type="page"/>
      </w:r>
    </w:p>
    <w:p>
      <w:pPr>
        <w:numPr>
          <w:ilvl w:val="0"/>
          <w:numId w:val="10"/>
        </w:numPr>
        <w:tabs>
          <w:tab w:val="left" w:pos="640"/>
          <w:tab w:val="left" w:pos="840"/>
          <w:tab w:val="left" w:pos="1260"/>
          <w:tab w:val="left" w:pos="1418"/>
        </w:tabs>
        <w:spacing w:line="360" w:lineRule="auto"/>
        <w:ind w:left="845" w:hanging="845"/>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供应商基本情况表、社保证明及股权关系证明</w:t>
      </w:r>
    </w:p>
    <w:p>
      <w:pPr>
        <w:snapToGrid w:val="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注：根据《深圳经济特区政府采购条例实施细则》第七十五条规定，以下内容将作为判定本项目不同投标供应商是否涉嫌、属于串通投标的重要依据，请供应商认真填报，并保证所填信息的真实、准确和完整。）</w:t>
      </w:r>
    </w:p>
    <w:p>
      <w:pPr>
        <w:snapToGrid w:val="0"/>
        <w:rPr>
          <w:rFonts w:hint="eastAsia" w:ascii="宋体" w:hAnsi="宋体" w:cs="宋体"/>
          <w:b/>
          <w:color w:val="000000" w:themeColor="text1"/>
          <w:sz w:val="24"/>
          <w:highlight w:val="none"/>
          <w14:textFill>
            <w14:solidFill>
              <w14:schemeClr w14:val="tx1"/>
            </w14:solidFill>
          </w14:textFill>
        </w:rPr>
      </w:pPr>
    </w:p>
    <w:p>
      <w:pPr>
        <w:snapToGrid w:val="0"/>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1.《供应商基本情况表》</w:t>
      </w:r>
    </w:p>
    <w:p>
      <w:pPr>
        <w:adjustRightInd w:val="0"/>
        <w:snapToGrid w:val="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填表单位（</w:t>
      </w:r>
      <w:r>
        <w:rPr>
          <w:rFonts w:hint="eastAsia" w:ascii="宋体" w:hAnsi="宋体" w:cs="宋体"/>
          <w:b/>
          <w:bCs/>
          <w:color w:val="000000" w:themeColor="text1"/>
          <w:sz w:val="24"/>
          <w:highlight w:val="none"/>
          <w14:textFill>
            <w14:solidFill>
              <w14:schemeClr w14:val="tx1"/>
            </w14:solidFill>
          </w14:textFill>
        </w:rPr>
        <w:t>加盖单位公章，必填项</w:t>
      </w:r>
      <w:r>
        <w:rPr>
          <w:rFonts w:hint="eastAsia" w:ascii="宋体" w:hAnsi="宋体" w:cs="宋体"/>
          <w:color w:val="000000" w:themeColor="text1"/>
          <w:sz w:val="24"/>
          <w:highlight w:val="none"/>
          <w14:textFill>
            <w14:solidFill>
              <w14:schemeClr w14:val="tx1"/>
            </w14:solidFill>
          </w14:textFill>
        </w:rPr>
        <w:t>）：</w:t>
      </w:r>
    </w:p>
    <w:p>
      <w:pPr>
        <w:adjustRightInd w:val="0"/>
        <w:snapToGrid w:val="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填表日期（</w:t>
      </w:r>
      <w:r>
        <w:rPr>
          <w:rFonts w:hint="eastAsia" w:ascii="宋体" w:hAnsi="宋体" w:cs="宋体"/>
          <w:b/>
          <w:bCs/>
          <w:color w:val="000000" w:themeColor="text1"/>
          <w:sz w:val="24"/>
          <w:highlight w:val="none"/>
          <w14:textFill>
            <w14:solidFill>
              <w14:schemeClr w14:val="tx1"/>
            </w14:solidFill>
          </w14:textFill>
        </w:rPr>
        <w:t>必填项</w:t>
      </w:r>
      <w:r>
        <w:rPr>
          <w:rFonts w:hint="eastAsia" w:ascii="宋体" w:hAnsi="宋体" w:cs="宋体"/>
          <w:color w:val="000000" w:themeColor="text1"/>
          <w:sz w:val="24"/>
          <w:highlight w:val="none"/>
          <w14:textFill>
            <w14:solidFill>
              <w14:schemeClr w14:val="tx1"/>
            </w14:solidFill>
          </w14:textFill>
        </w:rPr>
        <w:t>）：        年     月      日</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4"/>
        <w:gridCol w:w="1467"/>
        <w:gridCol w:w="926"/>
        <w:gridCol w:w="718"/>
        <w:gridCol w:w="1304"/>
        <w:gridCol w:w="139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48" w:type="pct"/>
            <w:gridSpan w:val="2"/>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采购人</w:t>
            </w:r>
          </w:p>
        </w:tc>
        <w:tc>
          <w:tcPr>
            <w:tcW w:w="1406" w:type="pct"/>
            <w:gridSpan w:val="2"/>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项目名称</w:t>
            </w:r>
          </w:p>
        </w:tc>
        <w:tc>
          <w:tcPr>
            <w:tcW w:w="1656" w:type="pct"/>
            <w:gridSpan w:val="2"/>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投标（响应）供应商</w:t>
            </w:r>
          </w:p>
        </w:tc>
        <w:tc>
          <w:tcPr>
            <w:tcW w:w="1406" w:type="pct"/>
            <w:gridSpan w:val="2"/>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供应商统一社会信用代码</w:t>
            </w:r>
          </w:p>
        </w:tc>
        <w:tc>
          <w:tcPr>
            <w:tcW w:w="1656" w:type="pct"/>
            <w:gridSpan w:val="2"/>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000" w:type="pct"/>
            <w:gridSpan w:val="8"/>
            <w:vAlign w:val="center"/>
          </w:tcPr>
          <w:p>
            <w:pPr>
              <w:widowControl/>
              <w:snapToGrid w:val="0"/>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序号</w:t>
            </w:r>
          </w:p>
        </w:tc>
        <w:tc>
          <w:tcPr>
            <w:tcW w:w="1223" w:type="pct"/>
            <w:gridSpan w:val="2"/>
            <w:tcBorders>
              <w:bottom w:val="single" w:color="auto" w:sz="4" w:space="0"/>
            </w:tcBorders>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职务</w:t>
            </w:r>
          </w:p>
        </w:tc>
        <w:tc>
          <w:tcPr>
            <w:tcW w:w="543" w:type="pct"/>
            <w:tcBorders>
              <w:bottom w:val="single" w:color="auto" w:sz="4" w:space="0"/>
            </w:tcBorders>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姓名</w:t>
            </w:r>
          </w:p>
        </w:tc>
        <w:tc>
          <w:tcPr>
            <w:tcW w:w="1188" w:type="pct"/>
            <w:gridSpan w:val="2"/>
            <w:tcBorders>
              <w:bottom w:val="single" w:color="auto" w:sz="4" w:space="0"/>
            </w:tcBorders>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身份证号码</w:t>
            </w:r>
          </w:p>
        </w:tc>
        <w:tc>
          <w:tcPr>
            <w:tcW w:w="821" w:type="pct"/>
            <w:tcBorders>
              <w:bottom w:val="single" w:color="auto" w:sz="4" w:space="0"/>
            </w:tcBorders>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劳动合同</w:t>
            </w:r>
          </w:p>
          <w:p>
            <w:pPr>
              <w:widowControl/>
              <w:snapToGrid w:val="0"/>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关系单位</w:t>
            </w:r>
          </w:p>
        </w:tc>
        <w:tc>
          <w:tcPr>
            <w:tcW w:w="835" w:type="pct"/>
            <w:tcBorders>
              <w:bottom w:val="single" w:color="auto" w:sz="4" w:space="0"/>
            </w:tcBorders>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缴纳社会</w:t>
            </w:r>
          </w:p>
          <w:p>
            <w:pPr>
              <w:widowControl/>
              <w:snapToGrid w:val="0"/>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法定代表人/单位负责人/主要经营负责人（必填项）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项目投标授权代表人（必填项）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w:t>
            </w:r>
          </w:p>
        </w:tc>
        <w:tc>
          <w:tcPr>
            <w:tcW w:w="1223" w:type="pct"/>
            <w:gridSpan w:val="2"/>
            <w:tcBorders>
              <w:top w:val="single" w:color="auto" w:sz="4" w:space="0"/>
            </w:tcBorders>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项目负责人（如有）</w:t>
            </w:r>
          </w:p>
        </w:tc>
        <w:tc>
          <w:tcPr>
            <w:tcW w:w="543" w:type="pct"/>
            <w:tcBorders>
              <w:top w:val="single" w:color="auto" w:sz="4" w:space="0"/>
            </w:tcBorders>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p>
        </w:tc>
        <w:tc>
          <w:tcPr>
            <w:tcW w:w="1188" w:type="pct"/>
            <w:gridSpan w:val="2"/>
            <w:tcBorders>
              <w:top w:val="single" w:color="auto" w:sz="4" w:space="0"/>
            </w:tcBorders>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p>
        </w:tc>
        <w:tc>
          <w:tcPr>
            <w:tcW w:w="821" w:type="pct"/>
            <w:tcBorders>
              <w:top w:val="single" w:color="auto" w:sz="4" w:space="0"/>
            </w:tcBorders>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p>
        </w:tc>
        <w:tc>
          <w:tcPr>
            <w:tcW w:w="835" w:type="pct"/>
            <w:tcBorders>
              <w:top w:val="single" w:color="auto" w:sz="4" w:space="0"/>
            </w:tcBorders>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w:t>
            </w:r>
          </w:p>
        </w:tc>
        <w:tc>
          <w:tcPr>
            <w:tcW w:w="1223" w:type="pct"/>
            <w:gridSpan w:val="2"/>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主要技术人员（如有）</w:t>
            </w:r>
          </w:p>
        </w:tc>
        <w:tc>
          <w:tcPr>
            <w:tcW w:w="543" w:type="pct"/>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p>
        </w:tc>
        <w:tc>
          <w:tcPr>
            <w:tcW w:w="821" w:type="pct"/>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p>
        </w:tc>
        <w:tc>
          <w:tcPr>
            <w:tcW w:w="835" w:type="pct"/>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5</w:t>
            </w:r>
          </w:p>
        </w:tc>
        <w:tc>
          <w:tcPr>
            <w:tcW w:w="1223" w:type="pct"/>
            <w:gridSpan w:val="2"/>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投标文件编制人员（必填项）</w:t>
            </w:r>
          </w:p>
        </w:tc>
        <w:tc>
          <w:tcPr>
            <w:tcW w:w="543" w:type="pct"/>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p>
        </w:tc>
        <w:tc>
          <w:tcPr>
            <w:tcW w:w="821" w:type="pct"/>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p>
        </w:tc>
        <w:tc>
          <w:tcPr>
            <w:tcW w:w="835" w:type="pct"/>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pPr>
              <w:widowControl/>
              <w:snapToGrid w:val="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说明：1.同一职务有多人担任（如主要技术人员），应分行填写。</w:t>
            </w:r>
          </w:p>
          <w:p>
            <w:pPr>
              <w:pStyle w:val="2"/>
              <w:ind w:firstLine="723" w:firstLineChars="3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2.上述项目负责人、主要技术人员必须为供应商本单位人员。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pPr>
              <w:widowControl/>
              <w:snapToGrid w:val="0"/>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关联关系类型</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控股股东（必填项）</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pPr>
              <w:widowControl/>
              <w:snapToGrid w:val="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2.如股东为法人或其他组织的，请填写法人或组织的全称及统一社会信用代码；如股东为自然人的，请填写姓名及身份证号。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管理关系（如无，可不填写）</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highlight w:val="none"/>
                <w14:textFill>
                  <w14:solidFill>
                    <w14:schemeClr w14:val="tx1"/>
                  </w14:solidFill>
                </w14:textFill>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说明：</w:t>
            </w:r>
          </w:p>
          <w:p>
            <w:pPr>
              <w:widowControl/>
              <w:snapToGrid w:val="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1.同一关联关系类型有多个主体的，应分行填写。</w:t>
            </w:r>
          </w:p>
          <w:p>
            <w:pPr>
              <w:pStyle w:val="2"/>
              <w:ind w:firstLine="0" w:firstLineChars="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2.上述规定的控股、管理关系仅限于直接控股、直接管理关系，不包括间接的控股或管理关系。</w:t>
            </w:r>
          </w:p>
        </w:tc>
      </w:tr>
    </w:tbl>
    <w:p>
      <w:pPr>
        <w:snapToGrid w:val="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备注：注明“必填项”的必须填写；未注明“必填项”的，如供应商未填写则视为未安排（或无）。</w:t>
      </w:r>
    </w:p>
    <w:p>
      <w:pPr>
        <w:widowControl/>
        <w:snapToGrid w:val="0"/>
        <w:rPr>
          <w:rFonts w:hint="eastAsia" w:ascii="宋体" w:hAnsi="宋体" w:cs="宋体"/>
          <w:b/>
          <w:color w:val="000000" w:themeColor="text1"/>
          <w:sz w:val="24"/>
          <w:highlight w:val="none"/>
          <w14:textFill>
            <w14:solidFill>
              <w14:schemeClr w14:val="tx1"/>
            </w14:solidFill>
          </w14:textFill>
        </w:rPr>
      </w:pPr>
    </w:p>
    <w:p>
      <w:pPr>
        <w:snapToGrid w:val="0"/>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2.社保</w:t>
      </w:r>
      <w:bookmarkStart w:id="150" w:name="OLE_LINK9"/>
      <w:r>
        <w:rPr>
          <w:rFonts w:hint="eastAsia" w:ascii="宋体" w:hAnsi="宋体" w:cs="宋体"/>
          <w:b/>
          <w:color w:val="000000" w:themeColor="text1"/>
          <w:sz w:val="28"/>
          <w:szCs w:val="28"/>
          <w:highlight w:val="none"/>
          <w14:textFill>
            <w14:solidFill>
              <w14:schemeClr w14:val="tx1"/>
            </w14:solidFill>
          </w14:textFill>
        </w:rPr>
        <w:t>证明</w:t>
      </w:r>
      <w:bookmarkEnd w:id="150"/>
      <w:r>
        <w:rPr>
          <w:rFonts w:hint="eastAsia" w:ascii="宋体" w:hAnsi="宋体" w:cs="宋体"/>
          <w:b/>
          <w:color w:val="000000" w:themeColor="text1"/>
          <w:sz w:val="28"/>
          <w:szCs w:val="28"/>
          <w:highlight w:val="none"/>
          <w14:textFill>
            <w14:solidFill>
              <w14:schemeClr w14:val="tx1"/>
            </w14:solidFill>
          </w14:textFill>
        </w:rPr>
        <w:t>材料：</w:t>
      </w:r>
    </w:p>
    <w:p>
      <w:pPr>
        <w:widowControl/>
        <w:snapToGrid w:val="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（1）法定代表人/单位负责人/主要经营负责人</w:t>
      </w:r>
    </w:p>
    <w:p>
      <w:pPr>
        <w:widowControl/>
        <w:snapToGrid w:val="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开标前一个月的社保缴纳凭证：</w:t>
      </w:r>
    </w:p>
    <w:p>
      <w:pPr>
        <w:pStyle w:val="2"/>
        <w:widowControl/>
        <w:ind w:firstLine="480"/>
        <w:rPr>
          <w:rFonts w:hint="eastAsia" w:ascii="宋体" w:hAnsi="宋体" w:cs="宋体"/>
          <w:bCs/>
          <w:color w:val="000000" w:themeColor="text1"/>
          <w:sz w:val="24"/>
          <w:szCs w:val="24"/>
          <w:highlight w:val="none"/>
          <w14:textFill>
            <w14:solidFill>
              <w14:schemeClr w14:val="tx1"/>
            </w14:solidFill>
          </w14:textFill>
        </w:rPr>
      </w:pPr>
    </w:p>
    <w:p>
      <w:pPr>
        <w:widowControl/>
        <w:snapToGrid w:val="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（2）投标授权代表人</w:t>
      </w:r>
    </w:p>
    <w:p>
      <w:pPr>
        <w:widowControl/>
        <w:snapToGrid w:val="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身份证复印件（正反面）：</w:t>
      </w:r>
    </w:p>
    <w:p>
      <w:pPr>
        <w:widowControl/>
        <w:snapToGrid w:val="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开标前一个月的社保缴纳凭证：</w:t>
      </w:r>
    </w:p>
    <w:p>
      <w:pPr>
        <w:pStyle w:val="2"/>
        <w:widowControl/>
        <w:ind w:firstLine="480"/>
        <w:rPr>
          <w:rFonts w:hint="eastAsia" w:ascii="宋体" w:hAnsi="宋体" w:cs="宋体"/>
          <w:bCs/>
          <w:color w:val="000000" w:themeColor="text1"/>
          <w:sz w:val="24"/>
          <w:szCs w:val="24"/>
          <w:highlight w:val="none"/>
          <w14:textFill>
            <w14:solidFill>
              <w14:schemeClr w14:val="tx1"/>
            </w14:solidFill>
          </w14:textFill>
        </w:rPr>
      </w:pPr>
    </w:p>
    <w:p>
      <w:pPr>
        <w:widowControl/>
        <w:snapToGrid w:val="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（3）项目负责人（如本项目未安排，可不提供）</w:t>
      </w:r>
    </w:p>
    <w:p>
      <w:pPr>
        <w:widowControl/>
        <w:snapToGrid w:val="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开标前一个月的社保缴纳凭证：</w:t>
      </w:r>
    </w:p>
    <w:p>
      <w:pPr>
        <w:pStyle w:val="2"/>
        <w:widowControl/>
        <w:ind w:firstLine="480"/>
        <w:rPr>
          <w:rFonts w:hint="eastAsia" w:ascii="宋体" w:hAnsi="宋体" w:cs="宋体"/>
          <w:bCs/>
          <w:color w:val="000000" w:themeColor="text1"/>
          <w:sz w:val="24"/>
          <w:szCs w:val="24"/>
          <w:highlight w:val="none"/>
          <w14:textFill>
            <w14:solidFill>
              <w14:schemeClr w14:val="tx1"/>
            </w14:solidFill>
          </w14:textFill>
        </w:rPr>
      </w:pPr>
    </w:p>
    <w:p>
      <w:pPr>
        <w:widowControl/>
        <w:snapToGrid w:val="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（4）主要技术人员（如本项目未安排，可不提供）</w:t>
      </w:r>
    </w:p>
    <w:p>
      <w:pPr>
        <w:widowControl/>
        <w:snapToGrid w:val="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身份证复印件（正反面）：</w:t>
      </w:r>
    </w:p>
    <w:p>
      <w:pPr>
        <w:widowControl/>
        <w:snapToGrid w:val="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开标前一个月的社保缴纳凭证：</w:t>
      </w:r>
    </w:p>
    <w:p>
      <w:pPr>
        <w:pStyle w:val="2"/>
        <w:widowControl/>
        <w:ind w:firstLine="480"/>
        <w:rPr>
          <w:rFonts w:hint="eastAsia" w:ascii="宋体" w:hAnsi="宋体" w:cs="宋体"/>
          <w:bCs/>
          <w:color w:val="000000" w:themeColor="text1"/>
          <w:sz w:val="24"/>
          <w:szCs w:val="24"/>
          <w:highlight w:val="none"/>
          <w14:textFill>
            <w14:solidFill>
              <w14:schemeClr w14:val="tx1"/>
            </w14:solidFill>
          </w14:textFill>
        </w:rPr>
      </w:pPr>
    </w:p>
    <w:p>
      <w:pPr>
        <w:widowControl/>
        <w:numPr>
          <w:ilvl w:val="0"/>
          <w:numId w:val="12"/>
        </w:numPr>
        <w:snapToGrid w:val="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投标文件编制人员</w:t>
      </w:r>
    </w:p>
    <w:p>
      <w:pPr>
        <w:widowControl/>
        <w:snapToGrid w:val="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身份证复印件（正反面）：</w:t>
      </w:r>
    </w:p>
    <w:p>
      <w:pPr>
        <w:widowControl/>
        <w:snapToGrid w:val="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开标前一个月的社保缴纳凭证：</w:t>
      </w:r>
    </w:p>
    <w:p>
      <w:pPr>
        <w:pStyle w:val="2"/>
        <w:widowControl/>
        <w:ind w:firstLine="480"/>
        <w:rPr>
          <w:rFonts w:hint="eastAsia" w:ascii="宋体" w:hAnsi="宋体" w:cs="宋体"/>
          <w:color w:val="000000" w:themeColor="text1"/>
          <w:sz w:val="24"/>
          <w:szCs w:val="24"/>
          <w:highlight w:val="none"/>
          <w14:textFill>
            <w14:solidFill>
              <w14:schemeClr w14:val="tx1"/>
            </w14:solidFill>
          </w14:textFill>
        </w:rPr>
      </w:pPr>
    </w:p>
    <w:p>
      <w:pPr>
        <w:widowControl/>
        <w:snapToGrid w:val="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注：</w:t>
      </w:r>
    </w:p>
    <w:p>
      <w:pPr>
        <w:widowControl/>
        <w:snapToGrid w:val="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1.如开标前近一个月的社保材料因社保部门原因暂时无法取得，则可以往前顺延一个月。其中项目负责人及主要技术人员社保证明须由供应商缴纳。</w:t>
      </w:r>
    </w:p>
    <w:p>
      <w:pPr>
        <w:widowControl/>
        <w:snapToGrid w:val="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2.供应商的项目投标授权代表人与法定代表人为同一人的，则须提供法定代表人的社保证明；本项目未安排项目负责人的，则无须提供项目负责人的社保证明。</w:t>
      </w:r>
    </w:p>
    <w:p>
      <w:pPr>
        <w:widowControl/>
        <w:snapToGrid w:val="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3.如无法按上述要求提供人员社会保险证明材料的，提交以下材料亦视为符合：</w:t>
      </w:r>
    </w:p>
    <w:p>
      <w:pPr>
        <w:widowControl/>
        <w:snapToGrid w:val="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pPr>
        <w:snapToGrid w:val="0"/>
        <w:rPr>
          <w:rFonts w:hint="eastAsia" w:ascii="宋体" w:hAnsi="宋体" w:cs="宋体"/>
          <w:b/>
          <w:color w:val="000000" w:themeColor="text1"/>
          <w:sz w:val="28"/>
          <w:szCs w:val="28"/>
          <w:highlight w:val="none"/>
          <w14:textFill>
            <w14:solidFill>
              <w14:schemeClr w14:val="tx1"/>
            </w14:solidFill>
          </w14:textFill>
        </w:rPr>
      </w:pPr>
    </w:p>
    <w:p>
      <w:pPr>
        <w:snapToGrid w:val="0"/>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3.</w:t>
      </w:r>
      <w:bookmarkStart w:id="151" w:name="OLE_LINK10"/>
      <w:r>
        <w:rPr>
          <w:rFonts w:hint="eastAsia" w:ascii="宋体" w:hAnsi="宋体" w:cs="宋体"/>
          <w:b/>
          <w:color w:val="000000" w:themeColor="text1"/>
          <w:sz w:val="28"/>
          <w:szCs w:val="28"/>
          <w:highlight w:val="none"/>
          <w14:textFill>
            <w14:solidFill>
              <w14:schemeClr w14:val="tx1"/>
            </w14:solidFill>
          </w14:textFill>
        </w:rPr>
        <w:t>股权关系证明</w:t>
      </w:r>
      <w:bookmarkEnd w:id="151"/>
      <w:r>
        <w:rPr>
          <w:rFonts w:hint="eastAsia" w:ascii="宋体" w:hAnsi="宋体" w:cs="宋体"/>
          <w:b/>
          <w:color w:val="000000" w:themeColor="text1"/>
          <w:sz w:val="28"/>
          <w:szCs w:val="28"/>
          <w:highlight w:val="none"/>
          <w14:textFill>
            <w14:solidFill>
              <w14:schemeClr w14:val="tx1"/>
            </w14:solidFill>
          </w14:textFill>
        </w:rPr>
        <w:t>材料：</w:t>
      </w:r>
    </w:p>
    <w:p>
      <w:pPr>
        <w:widowControl/>
        <w:snapToGrid w:val="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（1）股权（或管理）关系证明材料：</w:t>
      </w:r>
    </w:p>
    <w:p>
      <w:pPr>
        <w:widowControl/>
        <w:snapToGrid w:val="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pPr>
        <w:jc w:val="left"/>
        <w:rPr>
          <w:rFonts w:hint="eastAsia" w:ascii="宋体" w:hAnsi="宋体" w:cs="宋体"/>
          <w:color w:val="000000" w:themeColor="text1"/>
          <w:sz w:val="24"/>
          <w:highlight w:val="none"/>
          <w14:textFill>
            <w14:solidFill>
              <w14:schemeClr w14:val="tx1"/>
            </w14:solidFill>
          </w14:textFill>
        </w:rPr>
      </w:pPr>
    </w:p>
    <w:p>
      <w:pPr>
        <w:widowControl/>
        <w:snapToGrid w:val="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（2）股权关系情况承诺函</w:t>
      </w:r>
    </w:p>
    <w:p>
      <w:pPr>
        <w:widowControl/>
        <w:snapToGrid w:val="0"/>
        <w:ind w:firstLine="482" w:firstLineChars="200"/>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《股权关系情况承诺函》</w:t>
      </w:r>
    </w:p>
    <w:p>
      <w:pPr>
        <w:widowControl/>
        <w:snapToGrid w:val="0"/>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我公司申请参加</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项目（项目编号为</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）的投标，并作出如下承诺：</w:t>
      </w:r>
    </w:p>
    <w:p>
      <w:pPr>
        <w:widowControl/>
        <w:snapToGrid w:val="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我公司承诺所填的股权关系情况真实、准确、完整。</w:t>
      </w:r>
    </w:p>
    <w:p>
      <w:pPr>
        <w:widowControl/>
        <w:snapToGrid w:val="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我公司承诺自股权关系证明材料查询之日起至本项目投标截止日止，股权关系如发生变更，将在投标文件中另行申明并附证明材料，保证不出现违背《中华人民共和国政府采购法实施条例》第十八条规定的情形。否则，自愿承担因此产生的不利后果而无异议。</w:t>
      </w:r>
    </w:p>
    <w:p>
      <w:pPr>
        <w:widowControl/>
        <w:snapToGrid w:val="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特此承诺！</w:t>
      </w:r>
    </w:p>
    <w:p>
      <w:pPr>
        <w:widowControl/>
        <w:snapToGrid w:val="0"/>
        <w:rPr>
          <w:rFonts w:hint="eastAsia" w:ascii="宋体" w:hAnsi="宋体" w:cs="宋体"/>
          <w:bCs/>
          <w:color w:val="000000" w:themeColor="text1"/>
          <w:sz w:val="24"/>
          <w:highlight w:val="none"/>
          <w14:textFill>
            <w14:solidFill>
              <w14:schemeClr w14:val="tx1"/>
            </w14:solidFill>
          </w14:textFill>
        </w:rPr>
      </w:pPr>
    </w:p>
    <w:p>
      <w:pPr>
        <w:widowControl/>
        <w:snapToGrid w:val="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                                供应商名称（加盖公章</w:t>
      </w:r>
      <w:r>
        <w:rPr>
          <w:rFonts w:hint="eastAsia" w:ascii="宋体" w:hAnsi="宋体" w:cs="宋体"/>
          <w:bCs/>
          <w:color w:val="000000" w:themeColor="text1"/>
          <w:sz w:val="24"/>
          <w:highlight w:val="none"/>
          <w14:textFill>
            <w14:solidFill>
              <w14:schemeClr w14:val="tx1"/>
            </w14:solidFill>
          </w14:textFill>
        </w:rPr>
        <w:tab/>
      </w:r>
      <w:r>
        <w:rPr>
          <w:rFonts w:hint="eastAsia" w:ascii="宋体" w:hAnsi="宋体" w:cs="宋体"/>
          <w:bCs/>
          <w:color w:val="000000" w:themeColor="text1"/>
          <w:sz w:val="24"/>
          <w:highlight w:val="none"/>
          <w14:textFill>
            <w14:solidFill>
              <w14:schemeClr w14:val="tx1"/>
            </w14:solidFill>
          </w14:textFill>
        </w:rPr>
        <w:t xml:space="preserve">）： </w:t>
      </w:r>
    </w:p>
    <w:p>
      <w:pPr>
        <w:widowControl/>
        <w:snapToGrid w:val="0"/>
        <w:ind w:firstLine="3840" w:firstLineChars="16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日  期：       年    月   日</w:t>
      </w:r>
    </w:p>
    <w:p>
      <w:pPr>
        <w:widowControl/>
        <w:snapToGrid w:val="0"/>
        <w:rPr>
          <w:rFonts w:hint="eastAsia" w:ascii="宋体" w:hAnsi="宋体" w:cs="宋体"/>
          <w:bCs/>
          <w:color w:val="000000" w:themeColor="text1"/>
          <w:sz w:val="24"/>
          <w:highlight w:val="none"/>
          <w14:textFill>
            <w14:solidFill>
              <w14:schemeClr w14:val="tx1"/>
            </w14:solidFill>
          </w14:textFill>
        </w:rPr>
      </w:pPr>
    </w:p>
    <w:p>
      <w:pPr>
        <w:tabs>
          <w:tab w:val="left" w:pos="640"/>
          <w:tab w:val="left" w:pos="840"/>
          <w:tab w:val="left" w:pos="1260"/>
          <w:tab w:val="left" w:pos="1418"/>
        </w:tabs>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注：代理机构将于截标当日同步通过上述网站进行查询，查询结果与供应商填报信息不一致的，以代理机构于截标当日的查询结果为准。</w:t>
      </w:r>
    </w:p>
    <w:p>
      <w:pP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br w:type="page"/>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投标人认为有必要提供的其他材料。</w:t>
      </w:r>
    </w:p>
    <w:p>
      <w:pPr>
        <w:spacing w:line="360" w:lineRule="auto"/>
        <w:rPr>
          <w:rFonts w:hint="eastAsia" w:ascii="宋体" w:hAnsi="宋体" w:cs="宋体"/>
          <w:color w:val="000000" w:themeColor="text1"/>
          <w:sz w:val="24"/>
          <w:highlight w:val="none"/>
          <w14:textFill>
            <w14:solidFill>
              <w14:schemeClr w14:val="tx1"/>
            </w14:solidFill>
          </w14:textFill>
        </w:rPr>
      </w:pPr>
    </w:p>
    <w:p>
      <w:pPr>
        <w:spacing w:line="360" w:lineRule="auto"/>
        <w:outlineLvl w:val="2"/>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br w:type="page"/>
      </w:r>
      <w:r>
        <w:rPr>
          <w:rFonts w:hint="eastAsia" w:ascii="宋体" w:hAnsi="宋体" w:cs="宋体"/>
          <w:b/>
          <w:bCs/>
          <w:color w:val="000000" w:themeColor="text1"/>
          <w:sz w:val="24"/>
          <w:highlight w:val="none"/>
          <w14:textFill>
            <w14:solidFill>
              <w14:schemeClr w14:val="tx1"/>
            </w14:solidFill>
          </w14:textFill>
        </w:rPr>
        <w:t>（三）技术部分</w:t>
      </w:r>
    </w:p>
    <w:p>
      <w:pPr>
        <w:numPr>
          <w:ilvl w:val="0"/>
          <w:numId w:val="13"/>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highlight w:val="none"/>
          <w:lang w:val="fr-CH"/>
          <w14:textFill>
            <w14:solidFill>
              <w14:schemeClr w14:val="tx1"/>
            </w14:solidFill>
          </w14:textFill>
        </w:rPr>
      </w:pPr>
      <w:r>
        <w:rPr>
          <w:rFonts w:hint="eastAsia" w:ascii="宋体" w:hAnsi="宋体" w:cs="宋体"/>
          <w:color w:val="000000" w:themeColor="text1"/>
          <w:sz w:val="24"/>
          <w:highlight w:val="none"/>
          <w:lang w:val="fr-CH"/>
          <w14:textFill>
            <w14:solidFill>
              <w14:schemeClr w14:val="tx1"/>
            </w14:solidFill>
          </w14:textFill>
        </w:rPr>
        <w:t>用户需求响应表；</w:t>
      </w:r>
    </w:p>
    <w:p>
      <w:pPr>
        <w:spacing w:after="78" w:line="360" w:lineRule="auto"/>
        <w:jc w:val="center"/>
        <w:rPr>
          <w:rFonts w:hint="eastAsia" w:ascii="宋体" w:hAnsi="宋体" w:cs="宋体"/>
          <w:b/>
          <w:bCs/>
          <w:color w:val="000000" w:themeColor="text1"/>
          <w:sz w:val="24"/>
          <w:highlight w:val="none"/>
          <w:lang w:val="fr-CH"/>
          <w14:textFill>
            <w14:solidFill>
              <w14:schemeClr w14:val="tx1"/>
            </w14:solidFill>
          </w14:textFill>
        </w:rPr>
      </w:pPr>
      <w:r>
        <w:rPr>
          <w:rFonts w:hint="eastAsia" w:ascii="宋体" w:hAnsi="宋体" w:cs="宋体"/>
          <w:b/>
          <w:bCs/>
          <w:color w:val="000000" w:themeColor="text1"/>
          <w:sz w:val="24"/>
          <w:highlight w:val="none"/>
          <w:lang w:val="fr-CH"/>
          <w14:textFill>
            <w14:solidFill>
              <w14:schemeClr w14:val="tx1"/>
            </w14:solidFill>
          </w14:textFill>
        </w:rPr>
        <w:t>用户需求响应表</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投标供应商名称：（公章）</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招标编号：</w:t>
      </w:r>
      <w:r>
        <w:rPr>
          <w:rFonts w:hint="eastAsia" w:ascii="宋体" w:hAnsi="宋体" w:cs="宋体"/>
          <w:color w:val="000000" w:themeColor="text1"/>
          <w:sz w:val="24"/>
          <w:highlight w:val="none"/>
          <w:u w:val="single"/>
          <w14:textFill>
            <w14:solidFill>
              <w14:schemeClr w14:val="tx1"/>
            </w14:solidFill>
          </w14:textFill>
        </w:rPr>
        <w:t xml:space="preserve">                                      </w:t>
      </w:r>
    </w:p>
    <w:p>
      <w:pPr>
        <w:spacing w:after="78"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据招标文件要求，我公司承诺响应如下：</w:t>
      </w:r>
    </w:p>
    <w:tbl>
      <w:tblPr>
        <w:tblStyle w:val="20"/>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052"/>
        <w:gridCol w:w="210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序号</w:t>
            </w:r>
          </w:p>
        </w:tc>
        <w:tc>
          <w:tcPr>
            <w:tcW w:w="3507" w:type="dxa"/>
            <w:vAlign w:val="center"/>
          </w:tcPr>
          <w:p>
            <w:pPr>
              <w:spacing w:line="360"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招标文件要求</w:t>
            </w:r>
          </w:p>
        </w:tc>
        <w:tc>
          <w:tcPr>
            <w:tcW w:w="3052" w:type="dxa"/>
            <w:vAlign w:val="center"/>
          </w:tcPr>
          <w:p>
            <w:pPr>
              <w:spacing w:line="360"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投标文件响应</w:t>
            </w:r>
          </w:p>
        </w:tc>
        <w:tc>
          <w:tcPr>
            <w:tcW w:w="2106" w:type="dxa"/>
            <w:vAlign w:val="center"/>
          </w:tcPr>
          <w:p>
            <w:pPr>
              <w:spacing w:line="360"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偏离说明（无偏离/正偏离/负偏离）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w:t>
            </w:r>
          </w:p>
        </w:tc>
        <w:tc>
          <w:tcPr>
            <w:tcW w:w="3507" w:type="dxa"/>
            <w:vAlign w:val="center"/>
          </w:tcPr>
          <w:p>
            <w:pPr>
              <w:spacing w:after="78"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本项目“用户需求书”的全部内容为项目正常开展的基本要求，投标人必须完全响应满足招标文件“第五章 用户需求书”的全部内容，否则将导致投标无效</w:t>
            </w:r>
            <w:r>
              <w:rPr>
                <w:rFonts w:hint="eastAsia" w:ascii="宋体" w:hAnsi="宋体" w:cs="宋体"/>
                <w:bCs/>
                <w:color w:val="000000" w:themeColor="text1"/>
                <w:sz w:val="24"/>
                <w:highlight w:val="none"/>
                <w14:textFill>
                  <w14:solidFill>
                    <w14:schemeClr w14:val="tx1"/>
                  </w14:solidFill>
                </w14:textFill>
              </w:rPr>
              <w:t>。如投标人中标后被发现不能满足招标文件“第五章 用户需求书”的，采购单位有权拒绝签订合同，一切后果由投标人承担。</w:t>
            </w:r>
          </w:p>
        </w:tc>
        <w:tc>
          <w:tcPr>
            <w:tcW w:w="3052" w:type="dxa"/>
            <w:vAlign w:val="center"/>
          </w:tcPr>
          <w:p>
            <w:pPr>
              <w:spacing w:line="360" w:lineRule="auto"/>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填写说明：此项投标人必须完全响应满足，请投标人于“投标文件响应”栏中填写“投标人完全响应满足招标文件“第五章 用户需求书”的全部内容”即可；</w:t>
            </w:r>
          </w:p>
          <w:p>
            <w:pPr>
              <w:spacing w:line="360" w:lineRule="auto"/>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无需另行编制填写内容。</w:t>
            </w:r>
          </w:p>
        </w:tc>
        <w:tc>
          <w:tcPr>
            <w:tcW w:w="2106" w:type="dxa"/>
            <w:vAlign w:val="center"/>
          </w:tcPr>
          <w:p>
            <w:pPr>
              <w:spacing w:line="360" w:lineRule="auto"/>
              <w:jc w:val="center"/>
              <w:rPr>
                <w:rFonts w:hint="eastAsia" w:ascii="宋体" w:hAnsi="宋体" w:cs="宋体"/>
                <w:bCs/>
                <w:color w:val="000000" w:themeColor="text1"/>
                <w:sz w:val="24"/>
                <w:highlight w:val="none"/>
                <w14:textFill>
                  <w14:solidFill>
                    <w14:schemeClr w14:val="tx1"/>
                  </w14:solidFill>
                </w14:textFill>
              </w:rPr>
            </w:pPr>
          </w:p>
        </w:tc>
      </w:tr>
    </w:tbl>
    <w:p>
      <w:pPr>
        <w:spacing w:after="78" w:line="360" w:lineRule="auto"/>
        <w:rPr>
          <w:rFonts w:hint="eastAsia" w:ascii="宋体" w:hAnsi="宋体" w:cs="宋体"/>
          <w:bCs/>
          <w:color w:val="000000" w:themeColor="text1"/>
          <w:sz w:val="24"/>
          <w:highlight w:val="none"/>
          <w14:textFill>
            <w14:solidFill>
              <w14:schemeClr w14:val="tx1"/>
            </w14:solidFill>
          </w14:textFill>
        </w:rPr>
      </w:pPr>
    </w:p>
    <w:p>
      <w:pPr>
        <w:spacing w:after="78"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若响应情况优于招标要求，应作详细说明；“偏离情况”栏中根据响应情况填写，没有达到要求的填“负偏离”，达到要求的填“无偏离”，优于要求的填“正偏离”。</w:t>
      </w:r>
    </w:p>
    <w:p>
      <w:pPr>
        <w:spacing w:line="360" w:lineRule="auto"/>
        <w:rPr>
          <w:rFonts w:hint="eastAsia" w:ascii="宋体" w:hAnsi="宋体" w:cs="宋体"/>
          <w:color w:val="000000" w:themeColor="text1"/>
          <w:sz w:val="24"/>
          <w:highlight w:val="none"/>
          <w14:textFill>
            <w14:solidFill>
              <w14:schemeClr w14:val="tx1"/>
            </w14:solidFill>
          </w14:textFill>
        </w:rPr>
      </w:pP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投标供应商授权代表：</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职              务：</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              期：</w:t>
      </w:r>
      <w:r>
        <w:rPr>
          <w:rFonts w:hint="eastAsia" w:ascii="宋体" w:hAnsi="宋体" w:cs="宋体"/>
          <w:color w:val="000000" w:themeColor="text1"/>
          <w:sz w:val="24"/>
          <w:highlight w:val="none"/>
          <w:u w:val="single"/>
          <w14:textFill>
            <w14:solidFill>
              <w14:schemeClr w14:val="tx1"/>
            </w14:solidFill>
          </w14:textFill>
        </w:rPr>
        <w:t xml:space="preserve">                   </w:t>
      </w:r>
    </w:p>
    <w:p>
      <w:pPr>
        <w:pStyle w:val="9"/>
        <w:spacing w:line="360" w:lineRule="auto"/>
        <w:rPr>
          <w:color w:val="000000" w:themeColor="text1"/>
          <w:highlight w:val="none"/>
          <w:lang w:val="fr-CH"/>
          <w14:textFill>
            <w14:solidFill>
              <w14:schemeClr w14:val="tx1"/>
            </w14:solidFill>
          </w14:textFill>
        </w:rPr>
      </w:pPr>
    </w:p>
    <w:p>
      <w:pPr>
        <w:numPr>
          <w:ilvl w:val="0"/>
          <w:numId w:val="13"/>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highlight w:val="none"/>
          <w:lang w:val="sq-AL"/>
          <w14:textFill>
            <w14:solidFill>
              <w14:schemeClr w14:val="tx1"/>
            </w14:solidFill>
          </w14:textFill>
        </w:rPr>
      </w:pPr>
      <w:r>
        <w:rPr>
          <w:rFonts w:hint="eastAsia" w:ascii="宋体" w:hAnsi="宋体" w:cs="宋体"/>
          <w:color w:val="000000" w:themeColor="text1"/>
          <w:sz w:val="24"/>
          <w:highlight w:val="none"/>
          <w:lang w:val="sq-AL"/>
          <w14:textFill>
            <w14:solidFill>
              <w14:schemeClr w14:val="tx1"/>
            </w14:solidFill>
          </w14:textFill>
        </w:rPr>
        <w:br w:type="page"/>
      </w:r>
      <w:r>
        <w:rPr>
          <w:rFonts w:hint="eastAsia" w:ascii="宋体" w:hAnsi="宋体" w:cs="宋体"/>
          <w:color w:val="000000" w:themeColor="text1"/>
          <w:sz w:val="24"/>
          <w:highlight w:val="none"/>
          <w:lang w:val="sq-AL"/>
          <w14:textFill>
            <w14:solidFill>
              <w14:schemeClr w14:val="tx1"/>
            </w14:solidFill>
          </w14:textFill>
        </w:rPr>
        <w:t>受托服务方案；</w:t>
      </w:r>
    </w:p>
    <w:p>
      <w:pPr>
        <w:numPr>
          <w:ilvl w:val="0"/>
          <w:numId w:val="13"/>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highlight w:val="none"/>
          <w:lang w:val="sq-AL"/>
          <w14:textFill>
            <w14:solidFill>
              <w14:schemeClr w14:val="tx1"/>
            </w14:solidFill>
          </w14:textFill>
        </w:rPr>
      </w:pPr>
      <w:r>
        <w:rPr>
          <w:rFonts w:hint="eastAsia" w:ascii="宋体" w:hAnsi="宋体" w:cs="宋体"/>
          <w:color w:val="000000" w:themeColor="text1"/>
          <w:sz w:val="24"/>
          <w:highlight w:val="none"/>
          <w:lang w:val="sq-AL"/>
          <w14:textFill>
            <w14:solidFill>
              <w14:schemeClr w14:val="tx1"/>
            </w14:solidFill>
          </w14:textFill>
        </w:rPr>
        <w:t>受托资产管理能力；</w:t>
      </w:r>
    </w:p>
    <w:p>
      <w:pPr>
        <w:numPr>
          <w:ilvl w:val="0"/>
          <w:numId w:val="13"/>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highlight w:val="none"/>
          <w:lang w:val="sq-AL"/>
          <w14:textFill>
            <w14:solidFill>
              <w14:schemeClr w14:val="tx1"/>
            </w14:solidFill>
          </w14:textFill>
        </w:rPr>
      </w:pPr>
      <w:r>
        <w:rPr>
          <w:rFonts w:hint="eastAsia" w:ascii="宋体" w:hAnsi="宋体" w:cs="宋体"/>
          <w:color w:val="000000" w:themeColor="text1"/>
          <w:sz w:val="24"/>
          <w:highlight w:val="none"/>
          <w:lang w:val="sq-AL"/>
          <w14:textFill>
            <w14:solidFill>
              <w14:schemeClr w14:val="tx1"/>
            </w14:solidFill>
          </w14:textFill>
        </w:rPr>
        <w:t>受托风险管理能力；</w:t>
      </w:r>
    </w:p>
    <w:p>
      <w:pPr>
        <w:numPr>
          <w:ilvl w:val="0"/>
          <w:numId w:val="13"/>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highlight w:val="none"/>
          <w:lang w:val="sq-AL"/>
          <w14:textFill>
            <w14:solidFill>
              <w14:schemeClr w14:val="tx1"/>
            </w14:solidFill>
          </w14:textFill>
        </w:rPr>
      </w:pPr>
      <w:r>
        <w:rPr>
          <w:rFonts w:hint="eastAsia" w:ascii="宋体" w:hAnsi="宋体" w:cs="宋体"/>
          <w:color w:val="000000" w:themeColor="text1"/>
          <w:sz w:val="24"/>
          <w:highlight w:val="none"/>
          <w:lang w:val="sq-AL"/>
          <w14:textFill>
            <w14:solidFill>
              <w14:schemeClr w14:val="tx1"/>
            </w14:solidFill>
          </w14:textFill>
        </w:rPr>
        <w:t>受托运营管理能力；</w:t>
      </w:r>
    </w:p>
    <w:p>
      <w:pPr>
        <w:tabs>
          <w:tab w:val="left" w:pos="640"/>
          <w:tab w:val="left" w:pos="1260"/>
          <w:tab w:val="left" w:pos="1418"/>
        </w:tabs>
        <w:jc w:val="center"/>
        <w:rPr>
          <w:rFonts w:hint="eastAsia" w:ascii="宋体" w:hAnsi="宋体" w:cs="宋体"/>
          <w:b/>
          <w:bCs/>
          <w:color w:val="000000" w:themeColor="text1"/>
          <w:sz w:val="24"/>
          <w:highlight w:val="none"/>
          <w14:textFill>
            <w14:solidFill>
              <w14:schemeClr w14:val="tx1"/>
            </w14:solidFill>
          </w14:textFill>
        </w:rPr>
      </w:pPr>
    </w:p>
    <w:p>
      <w:pPr>
        <w:tabs>
          <w:tab w:val="left" w:pos="640"/>
          <w:tab w:val="left" w:pos="1260"/>
          <w:tab w:val="left" w:pos="1418"/>
        </w:tabs>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注：以上各项请根据“招标项目评分表”中的要求自行填写并提供相应的证明材料。</w:t>
      </w:r>
    </w:p>
    <w:p>
      <w:pPr>
        <w:numPr>
          <w:ilvl w:val="0"/>
          <w:numId w:val="13"/>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highlight w:val="none"/>
          <w:lang w:val="fr-CH"/>
          <w14:textFill>
            <w14:solidFill>
              <w14:schemeClr w14:val="tx1"/>
            </w14:solidFill>
          </w14:textFill>
        </w:rPr>
      </w:pPr>
      <w:r>
        <w:rPr>
          <w:rFonts w:hint="eastAsia" w:ascii="宋体" w:hAnsi="宋体" w:cs="宋体"/>
          <w:color w:val="000000" w:themeColor="text1"/>
          <w:sz w:val="24"/>
          <w:highlight w:val="none"/>
          <w:lang w:val="fr-CH"/>
          <w14:textFill>
            <w14:solidFill>
              <w14:schemeClr w14:val="tx1"/>
            </w14:solidFill>
          </w14:textFill>
        </w:rPr>
        <w:br w:type="page"/>
      </w:r>
      <w:r>
        <w:rPr>
          <w:rFonts w:hint="eastAsia" w:ascii="宋体" w:hAnsi="宋体" w:cs="宋体"/>
          <w:color w:val="000000" w:themeColor="text1"/>
          <w:sz w:val="24"/>
          <w:highlight w:val="none"/>
          <w:lang w:val="fr-CH"/>
          <w14:textFill>
            <w14:solidFill>
              <w14:schemeClr w14:val="tx1"/>
            </w14:solidFill>
          </w14:textFill>
        </w:rPr>
        <w:t>投标人认为有必要提供的其他材料。</w:t>
      </w:r>
      <w:bookmarkEnd w:id="144"/>
    </w:p>
    <w:p>
      <w:pPr>
        <w:tabs>
          <w:tab w:val="left" w:pos="360"/>
        </w:tabs>
        <w:spacing w:line="300" w:lineRule="auto"/>
        <w:outlineLvl w:val="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fr-CH"/>
          <w14:textFill>
            <w14:solidFill>
              <w14:schemeClr w14:val="tx1"/>
            </w14:solidFill>
          </w14:textFill>
        </w:rPr>
        <w:br w:type="page"/>
      </w:r>
      <w:bookmarkStart w:id="152" w:name="_Toc6251"/>
      <w:bookmarkStart w:id="153" w:name="_Toc742"/>
      <w:r>
        <w:rPr>
          <w:rFonts w:hint="eastAsia" w:ascii="宋体" w:hAnsi="宋体" w:cs="宋体"/>
          <w:b/>
          <w:bCs/>
          <w:color w:val="000000" w:themeColor="text1"/>
          <w:sz w:val="24"/>
          <w:highlight w:val="none"/>
          <w14:textFill>
            <w14:solidFill>
              <w14:schemeClr w14:val="tx1"/>
            </w14:solidFill>
          </w14:textFill>
        </w:rPr>
        <w:t>附件：相关政策</w:t>
      </w:r>
      <w:bookmarkEnd w:id="152"/>
      <w:bookmarkEnd w:id="153"/>
    </w:p>
    <w:p>
      <w:pPr>
        <w:tabs>
          <w:tab w:val="left" w:pos="360"/>
        </w:tabs>
        <w:outlineLvl w:val="1"/>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1、财政部、工业和信息化部《关于印发〈政府采购促进中小企业发展管理办法〉的通知》（财库〔2020〕46 号）</w:t>
      </w:r>
    </w:p>
    <w:p>
      <w:pPr>
        <w:pStyle w:val="9"/>
        <w:tabs>
          <w:tab w:val="left" w:pos="562"/>
          <w:tab w:val="left" w:pos="3372"/>
          <w:tab w:val="left" w:pos="3653"/>
        </w:tabs>
        <w:rPr>
          <w:rFonts w:hint="eastAsia" w:ascii="宋体" w:hAnsi="宋体" w:cs="宋体"/>
          <w:color w:val="000000" w:themeColor="text1"/>
          <w:highlight w:val="none"/>
          <w14:textFill>
            <w14:solidFill>
              <w14:schemeClr w14:val="tx1"/>
            </w14:solidFill>
          </w14:textFill>
        </w:rPr>
      </w:pPr>
    </w:p>
    <w:p>
      <w:pPr>
        <w:widowControl/>
        <w:shd w:val="clear" w:color="auto" w:fill="FFFFFF"/>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关于印发《政府采购促进中小企业发展管理办法》的通知</w:t>
      </w:r>
    </w:p>
    <w:p>
      <w:pPr>
        <w:widowControl/>
        <w:shd w:val="clear" w:color="auto" w:fill="FFFFFF"/>
        <w:spacing w:after="240"/>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财库〔2020〕46号</w:t>
      </w:r>
    </w:p>
    <w:p>
      <w:pPr>
        <w:widowControl/>
        <w:shd w:val="clear" w:color="auto" w:fill="FFFFFF"/>
        <w:spacing w:after="24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各中央预算单位办公厅（室），各省、自治区、直辖市、计划单列市财政厅（局）、工业和信息化主管部门，新疆生产建设兵团财政局、工业和信息化主管部门：</w:t>
      </w:r>
    </w:p>
    <w:p>
      <w:pPr>
        <w:widowControl/>
        <w:shd w:val="clear" w:color="auto" w:fill="FFFFFF"/>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附件：政府采购促进中小企业发展管理办法</w:t>
      </w:r>
    </w:p>
    <w:p>
      <w:pPr>
        <w:widowControl/>
        <w:shd w:val="clear" w:color="auto" w:fill="FFFFFF"/>
        <w:jc w:val="righ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财  政  部</w:t>
      </w:r>
    </w:p>
    <w:p>
      <w:pPr>
        <w:widowControl/>
        <w:shd w:val="clear" w:color="auto" w:fill="FFFFFF"/>
        <w:jc w:val="righ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工业和信息化部</w:t>
      </w:r>
    </w:p>
    <w:p>
      <w:pPr>
        <w:widowControl/>
        <w:shd w:val="clear" w:color="auto" w:fill="FFFFFF"/>
        <w:jc w:val="righ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2020年12月18日</w:t>
      </w:r>
    </w:p>
    <w:p>
      <w:pPr>
        <w:autoSpaceDE w:val="0"/>
        <w:autoSpaceDN w:val="0"/>
        <w:adjustRightInd w:val="0"/>
        <w:jc w:val="left"/>
        <w:rPr>
          <w:rFonts w:hint="eastAsia" w:ascii="宋体" w:hAnsi="宋体" w:cs="宋体"/>
          <w:color w:val="000000" w:themeColor="text1"/>
          <w:kern w:val="0"/>
          <w:sz w:val="24"/>
          <w:highlight w:val="none"/>
          <w14:textFill>
            <w14:solidFill>
              <w14:schemeClr w14:val="tx1"/>
            </w14:solidFill>
          </w14:textFill>
        </w:rPr>
      </w:pPr>
    </w:p>
    <w:p>
      <w:pPr>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政府采购促进中小企业发展管理办法</w:t>
      </w:r>
    </w:p>
    <w:p>
      <w:pPr>
        <w:pStyle w:val="9"/>
        <w:tabs>
          <w:tab w:val="left" w:pos="562"/>
          <w:tab w:val="left" w:pos="3372"/>
          <w:tab w:val="left" w:pos="3653"/>
        </w:tabs>
        <w:ind w:firstLine="48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第一条 为了发挥政府采购的政策功能，促进中小企业健康发展，根据《中华人民共和国政府采购法》、《中华人民共和国中小企业促进法》等有关法律法规，制定本办法。</w:t>
      </w:r>
    </w:p>
    <w:p>
      <w:pPr>
        <w:pStyle w:val="9"/>
        <w:tabs>
          <w:tab w:val="left" w:pos="562"/>
          <w:tab w:val="left" w:pos="3372"/>
          <w:tab w:val="left" w:pos="3653"/>
        </w:tabs>
        <w:ind w:firstLine="48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9"/>
        <w:tabs>
          <w:tab w:val="left" w:pos="562"/>
          <w:tab w:val="left" w:pos="3372"/>
          <w:tab w:val="left" w:pos="3653"/>
        </w:tabs>
        <w:ind w:firstLine="48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第三条 采购人在政府采购活动中应当通过加强采购需求管理，落实预留采购份额、价格评审优惠、优先采购等 措施，提高中小企业在政府采购中的份额，支持中小企业发展。</w:t>
      </w:r>
    </w:p>
    <w:p>
      <w:pPr>
        <w:pStyle w:val="9"/>
        <w:tabs>
          <w:tab w:val="left" w:pos="562"/>
          <w:tab w:val="left" w:pos="3372"/>
          <w:tab w:val="left" w:pos="3653"/>
        </w:tabs>
        <w:ind w:firstLine="48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第四条 在政府采购活动中，供应商提供的货物、工程或者服务符合下列情形的，享受本办法规定的中小企业扶持政策：</w:t>
      </w:r>
    </w:p>
    <w:p>
      <w:pPr>
        <w:pStyle w:val="9"/>
        <w:tabs>
          <w:tab w:val="left" w:pos="562"/>
          <w:tab w:val="left" w:pos="3372"/>
          <w:tab w:val="left" w:pos="3653"/>
        </w:tabs>
        <w:ind w:firstLine="48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（一）在货物采购项目中，货物由中小企业制造，即货 物由中小企业生产且使用该中小企业商号或者注册商标；</w:t>
      </w:r>
    </w:p>
    <w:p>
      <w:pPr>
        <w:pStyle w:val="9"/>
        <w:tabs>
          <w:tab w:val="left" w:pos="562"/>
          <w:tab w:val="left" w:pos="3372"/>
          <w:tab w:val="left" w:pos="3653"/>
        </w:tabs>
        <w:ind w:firstLine="48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（二）在工程采购项目中，工程由中小企业承建，即工 程施工单位为中小企业；</w:t>
      </w:r>
    </w:p>
    <w:p>
      <w:pPr>
        <w:pStyle w:val="9"/>
        <w:tabs>
          <w:tab w:val="left" w:pos="562"/>
          <w:tab w:val="left" w:pos="3372"/>
          <w:tab w:val="left" w:pos="3653"/>
        </w:tabs>
        <w:ind w:firstLine="48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（三）在服务采购项目中，服务由中小企业承接，即提供服务的人员为中小企业依照《中华人民共和国劳动合同法》订立劳动合同的从业人员。</w:t>
      </w:r>
    </w:p>
    <w:p>
      <w:pPr>
        <w:pStyle w:val="9"/>
        <w:tabs>
          <w:tab w:val="left" w:pos="562"/>
          <w:tab w:val="left" w:pos="3372"/>
          <w:tab w:val="left" w:pos="3653"/>
        </w:tabs>
        <w:ind w:firstLine="48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在货物采购项目中，供应商提供的货物既有中小企业制造货物，也有大型企业制造货物的，不享受本办法规定的中小企业扶持政策。</w:t>
      </w:r>
    </w:p>
    <w:p>
      <w:pPr>
        <w:pStyle w:val="9"/>
        <w:tabs>
          <w:tab w:val="left" w:pos="562"/>
          <w:tab w:val="left" w:pos="3372"/>
          <w:tab w:val="left" w:pos="3653"/>
        </w:tabs>
        <w:ind w:firstLine="48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pPr>
        <w:pStyle w:val="9"/>
        <w:tabs>
          <w:tab w:val="left" w:pos="562"/>
          <w:tab w:val="left" w:pos="3372"/>
          <w:tab w:val="left" w:pos="3653"/>
        </w:tabs>
        <w:ind w:firstLine="48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9"/>
        <w:tabs>
          <w:tab w:val="left" w:pos="562"/>
          <w:tab w:val="left" w:pos="3372"/>
          <w:tab w:val="left" w:pos="3653"/>
        </w:tabs>
        <w:ind w:firstLine="48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9"/>
        <w:tabs>
          <w:tab w:val="left" w:pos="562"/>
          <w:tab w:val="left" w:pos="3372"/>
          <w:tab w:val="left" w:pos="3653"/>
        </w:tabs>
        <w:ind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符合下列情形之一的，可不专门面向中小企业预留采购</w:t>
      </w:r>
      <w:r>
        <w:rPr>
          <w:rFonts w:hint="eastAsia" w:ascii="宋体" w:hAnsi="宋体" w:cs="宋体"/>
          <w:color w:val="000000" w:themeColor="text1"/>
          <w:highlight w:val="none"/>
          <w14:textFill>
            <w14:solidFill>
              <w14:schemeClr w14:val="tx1"/>
            </w14:solidFill>
          </w14:textFill>
        </w:rPr>
        <w:t>份额：</w:t>
      </w:r>
    </w:p>
    <w:p>
      <w:pPr>
        <w:pStyle w:val="9"/>
        <w:tabs>
          <w:tab w:val="left" w:pos="562"/>
          <w:tab w:val="left" w:pos="3372"/>
          <w:tab w:val="left" w:pos="3653"/>
        </w:tabs>
        <w:ind w:firstLine="48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（一）法律法规和国家有关政策明确规定优先或者应当面向事业单位、社会组织等非企业主体采购的；</w:t>
      </w:r>
    </w:p>
    <w:p>
      <w:pPr>
        <w:pStyle w:val="9"/>
        <w:tabs>
          <w:tab w:val="left" w:pos="562"/>
          <w:tab w:val="left" w:pos="3372"/>
          <w:tab w:val="left" w:pos="3653"/>
        </w:tabs>
        <w:ind w:firstLine="48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（二）因确需使用不可替代的专利、专有技术，基础设施限制，或者提供特定公共服务等原因，只能从中小企业之外的供应商处采购的；</w:t>
      </w:r>
    </w:p>
    <w:p>
      <w:pPr>
        <w:pStyle w:val="9"/>
        <w:tabs>
          <w:tab w:val="left" w:pos="562"/>
          <w:tab w:val="left" w:pos="3372"/>
          <w:tab w:val="left" w:pos="3653"/>
        </w:tabs>
        <w:ind w:firstLine="48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（三）按照本办法规定预留采购份额无法确保充分供应、充分竞争，或者存在可能影响政府采购目标实现的情形；</w:t>
      </w:r>
    </w:p>
    <w:p>
      <w:pPr>
        <w:pStyle w:val="9"/>
        <w:tabs>
          <w:tab w:val="left" w:pos="562"/>
          <w:tab w:val="left" w:pos="3372"/>
          <w:tab w:val="left" w:pos="3653"/>
        </w:tabs>
        <w:ind w:firstLine="48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（四）框架协议采购项目；</w:t>
      </w:r>
    </w:p>
    <w:p>
      <w:pPr>
        <w:pStyle w:val="9"/>
        <w:tabs>
          <w:tab w:val="left" w:pos="562"/>
          <w:tab w:val="left" w:pos="3372"/>
          <w:tab w:val="left" w:pos="3653"/>
        </w:tabs>
        <w:ind w:firstLine="48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（五）省级以上人民政府财政部门规定的其他情形。 除上述情形外，其他均为适宜由中小企业提供的情形。</w:t>
      </w:r>
    </w:p>
    <w:p>
      <w:pPr>
        <w:pStyle w:val="9"/>
        <w:tabs>
          <w:tab w:val="left" w:pos="562"/>
          <w:tab w:val="left" w:pos="3372"/>
          <w:tab w:val="left" w:pos="3653"/>
        </w:tabs>
        <w:ind w:firstLine="48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第七条采购限额标准以上，200万元以下的货物和服务采购项目、400 万元以下的工程采购项目，适宜由中小企业提供的，采购人应当专门面向中小企业采购。</w:t>
      </w:r>
    </w:p>
    <w:p>
      <w:pPr>
        <w:pStyle w:val="9"/>
        <w:tabs>
          <w:tab w:val="left" w:pos="562"/>
          <w:tab w:val="left" w:pos="3372"/>
          <w:tab w:val="left" w:pos="3653"/>
        </w:tabs>
        <w:ind w:firstLine="48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9"/>
        <w:tabs>
          <w:tab w:val="left" w:pos="562"/>
          <w:tab w:val="left" w:pos="3372"/>
          <w:tab w:val="left" w:pos="3653"/>
        </w:tabs>
        <w:ind w:firstLine="48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（一）将采购项目整体或者设置采购包专门面向中小企业采购；</w:t>
      </w:r>
    </w:p>
    <w:p>
      <w:pPr>
        <w:pStyle w:val="9"/>
        <w:tabs>
          <w:tab w:val="left" w:pos="562"/>
          <w:tab w:val="left" w:pos="3372"/>
          <w:tab w:val="left" w:pos="3653"/>
        </w:tabs>
        <w:ind w:firstLine="48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（二）要求供应商以联合体形式参加采购活动，且联合体中中小企业承担的部分达到一定比例；</w:t>
      </w:r>
    </w:p>
    <w:p>
      <w:pPr>
        <w:pStyle w:val="9"/>
        <w:tabs>
          <w:tab w:val="left" w:pos="562"/>
          <w:tab w:val="left" w:pos="3372"/>
          <w:tab w:val="left" w:pos="3653"/>
        </w:tabs>
        <w:ind w:firstLine="48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（三）要求获得采购合同的供应商将采购项目中的一定比例分包给一家或者多家中小企业。</w:t>
      </w:r>
    </w:p>
    <w:p>
      <w:pPr>
        <w:pStyle w:val="9"/>
        <w:tabs>
          <w:tab w:val="left" w:pos="562"/>
          <w:tab w:val="left" w:pos="3372"/>
          <w:tab w:val="left" w:pos="3653"/>
        </w:tabs>
        <w:ind w:firstLine="48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组成联合体或者接受分包合同的中小企业与联合体内 其他企业、分包企业之间不得存在直接控股、管理关系。</w:t>
      </w:r>
    </w:p>
    <w:p>
      <w:pPr>
        <w:pStyle w:val="9"/>
        <w:tabs>
          <w:tab w:val="left" w:pos="562"/>
          <w:tab w:val="left" w:pos="3372"/>
          <w:tab w:val="left" w:pos="3653"/>
        </w:tabs>
        <w:ind w:firstLine="48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9"/>
        <w:tabs>
          <w:tab w:val="left" w:pos="562"/>
          <w:tab w:val="left" w:pos="3372"/>
          <w:tab w:val="left" w:pos="3653"/>
        </w:tabs>
        <w:ind w:firstLine="48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9"/>
        <w:tabs>
          <w:tab w:val="left" w:pos="562"/>
          <w:tab w:val="left" w:pos="3372"/>
          <w:tab w:val="left" w:pos="3653"/>
        </w:tabs>
        <w:ind w:firstLine="48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9"/>
        <w:tabs>
          <w:tab w:val="left" w:pos="562"/>
          <w:tab w:val="left" w:pos="3372"/>
          <w:tab w:val="left" w:pos="3653"/>
        </w:tabs>
        <w:ind w:firstLine="48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9"/>
        <w:tabs>
          <w:tab w:val="left" w:pos="562"/>
          <w:tab w:val="left" w:pos="3372"/>
          <w:tab w:val="left" w:pos="3653"/>
        </w:tabs>
        <w:ind w:firstLine="48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9"/>
        <w:tabs>
          <w:tab w:val="left" w:pos="562"/>
          <w:tab w:val="left" w:pos="3372"/>
          <w:tab w:val="left" w:pos="3653"/>
        </w:tabs>
        <w:ind w:firstLine="48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第十二条 采购项目涉及中小企业采购的，采购文件应当明确以下内容：</w:t>
      </w:r>
    </w:p>
    <w:p>
      <w:pPr>
        <w:pStyle w:val="9"/>
        <w:tabs>
          <w:tab w:val="left" w:pos="562"/>
          <w:tab w:val="left" w:pos="3372"/>
          <w:tab w:val="left" w:pos="3653"/>
        </w:tabs>
        <w:ind w:firstLine="48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（一）预留份额的采购项目或者采购包，明确该项目或相关采购包专门面向中小企业采购，以及相关标的及预算金额；</w:t>
      </w:r>
    </w:p>
    <w:p>
      <w:pPr>
        <w:pStyle w:val="9"/>
        <w:tabs>
          <w:tab w:val="left" w:pos="562"/>
          <w:tab w:val="left" w:pos="3372"/>
          <w:tab w:val="left" w:pos="3653"/>
        </w:tabs>
        <w:ind w:firstLine="48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（二）要求以联合体形式参加或者合同分包的，明确联合协议或者分包意向协议中中小企业合同金额应当达到的 比例，并作为供应商资格条件；</w:t>
      </w:r>
    </w:p>
    <w:p>
      <w:pPr>
        <w:pStyle w:val="9"/>
        <w:tabs>
          <w:tab w:val="left" w:pos="562"/>
          <w:tab w:val="left" w:pos="3372"/>
          <w:tab w:val="left" w:pos="3653"/>
        </w:tabs>
        <w:ind w:firstLine="48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（三）非预留份额的采购项目或者采购包，明确有关价格扣除比例或者价格分加分比例；</w:t>
      </w:r>
    </w:p>
    <w:p>
      <w:pPr>
        <w:pStyle w:val="9"/>
        <w:tabs>
          <w:tab w:val="left" w:pos="562"/>
          <w:tab w:val="left" w:pos="3372"/>
          <w:tab w:val="left" w:pos="3653"/>
        </w:tabs>
        <w:ind w:firstLine="48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（四）规定依据本办法规定享受扶持政策获得政府采购合同的，小微企业不得将合同分包给大中型企业，中型企业不得将合同分包给大型企业；</w:t>
      </w:r>
    </w:p>
    <w:p>
      <w:pPr>
        <w:pStyle w:val="9"/>
        <w:tabs>
          <w:tab w:val="left" w:pos="562"/>
          <w:tab w:val="left" w:pos="3372"/>
          <w:tab w:val="left" w:pos="3653"/>
        </w:tabs>
        <w:ind w:firstLine="48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（五）采购人认为具备相关条件的，明确对中小企业在资金支付期限、预付款比例等方面的优惠措施；</w:t>
      </w:r>
    </w:p>
    <w:p>
      <w:pPr>
        <w:pStyle w:val="9"/>
        <w:tabs>
          <w:tab w:val="left" w:pos="562"/>
          <w:tab w:val="left" w:pos="3372"/>
          <w:tab w:val="left" w:pos="3653"/>
        </w:tabs>
        <w:ind w:firstLine="48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（六）明确采购标的对应的中小企业划分标准所属行业；</w:t>
      </w:r>
    </w:p>
    <w:p>
      <w:pPr>
        <w:pStyle w:val="9"/>
        <w:tabs>
          <w:tab w:val="left" w:pos="562"/>
          <w:tab w:val="left" w:pos="3372"/>
          <w:tab w:val="left" w:pos="3653"/>
        </w:tabs>
        <w:ind w:firstLine="48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（七）法律法规和省级以上人民政府财政部门规定的其他事项。</w:t>
      </w:r>
    </w:p>
    <w:p>
      <w:pPr>
        <w:pStyle w:val="9"/>
        <w:tabs>
          <w:tab w:val="left" w:pos="562"/>
          <w:tab w:val="left" w:pos="3372"/>
          <w:tab w:val="left" w:pos="3653"/>
        </w:tabs>
        <w:ind w:firstLine="48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第十三条 中标、成交供应商享受本办法规定的中小企业扶持政策的，采购人、采购代理机构应当随中标、成交结果公开中标、成交供应商的《中小企业声明函》。</w:t>
      </w:r>
    </w:p>
    <w:p>
      <w:pPr>
        <w:pStyle w:val="9"/>
        <w:tabs>
          <w:tab w:val="left" w:pos="562"/>
          <w:tab w:val="left" w:pos="3372"/>
          <w:tab w:val="left" w:pos="3653"/>
        </w:tabs>
        <w:ind w:firstLine="48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适用招标投标法的政府采购工程建设项目，应当在公示中标候选人时公开中标候选人的《中小企业声明函》。</w:t>
      </w:r>
    </w:p>
    <w:p>
      <w:pPr>
        <w:pStyle w:val="9"/>
        <w:tabs>
          <w:tab w:val="left" w:pos="562"/>
          <w:tab w:val="left" w:pos="3372"/>
          <w:tab w:val="left" w:pos="3653"/>
        </w:tabs>
        <w:ind w:firstLine="48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9"/>
        <w:tabs>
          <w:tab w:val="left" w:pos="562"/>
          <w:tab w:val="left" w:pos="3372"/>
          <w:tab w:val="left" w:pos="3653"/>
        </w:tabs>
        <w:ind w:firstLine="48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第十五条 鼓励各地区、各部门在采购活动中允许中小企业引入信用担保手段，为中小企业在投标（响应）保证、履约保证等方面提供专业化服务。鼓励中小企业依法合规通过政府采购合同融资。</w:t>
      </w:r>
    </w:p>
    <w:p>
      <w:pPr>
        <w:pStyle w:val="9"/>
        <w:tabs>
          <w:tab w:val="left" w:pos="562"/>
          <w:tab w:val="left" w:pos="3372"/>
          <w:tab w:val="left" w:pos="3653"/>
        </w:tabs>
        <w:ind w:firstLine="48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第十六条 政府采购监督检查、投诉处理及政府采购行政处罚中对中小企业的认定，由货物制造商或者工程、服务供应商注册登记所在地的县级以上人民政府中小企业主管部门负责。</w:t>
      </w:r>
    </w:p>
    <w:p>
      <w:pPr>
        <w:pStyle w:val="9"/>
        <w:tabs>
          <w:tab w:val="left" w:pos="562"/>
          <w:tab w:val="left" w:pos="3372"/>
          <w:tab w:val="left" w:pos="3653"/>
        </w:tabs>
        <w:ind w:firstLine="48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中小企业主管部门应当在收到财政部门或者有关招标 投标行政监督部门关于协助开展中小企业认定函后 10 个工作日内做出书面答复。</w:t>
      </w:r>
    </w:p>
    <w:p>
      <w:pPr>
        <w:pStyle w:val="9"/>
        <w:tabs>
          <w:tab w:val="left" w:pos="562"/>
          <w:tab w:val="left" w:pos="3372"/>
          <w:tab w:val="left" w:pos="3653"/>
        </w:tabs>
        <w:ind w:firstLine="48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9"/>
        <w:tabs>
          <w:tab w:val="left" w:pos="562"/>
          <w:tab w:val="left" w:pos="3372"/>
          <w:tab w:val="left" w:pos="3653"/>
        </w:tabs>
        <w:ind w:firstLine="48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9"/>
        <w:tabs>
          <w:tab w:val="left" w:pos="562"/>
          <w:tab w:val="left" w:pos="3372"/>
          <w:tab w:val="left" w:pos="3653"/>
        </w:tabs>
        <w:ind w:firstLine="48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9"/>
        <w:tabs>
          <w:tab w:val="left" w:pos="562"/>
          <w:tab w:val="left" w:pos="3372"/>
          <w:tab w:val="left" w:pos="3653"/>
        </w:tabs>
        <w:ind w:firstLine="48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第二十条 供应商按照本办法规定提供声明函内容不实的，属于提供虚假材料谋取中标、成交，依照《中华人民共和国政府采购法》等国家有关规定追究相应责任。</w:t>
      </w:r>
    </w:p>
    <w:p>
      <w:pPr>
        <w:pStyle w:val="9"/>
        <w:tabs>
          <w:tab w:val="left" w:pos="562"/>
          <w:tab w:val="left" w:pos="3372"/>
          <w:tab w:val="left" w:pos="3653"/>
        </w:tabs>
        <w:ind w:firstLine="48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适用招标投标法的政府采购工程建设项目，投标人按照 本办法规定提供声明函内容不实的，属于弄虚作假骗取中标，依照《中华人民共和国招标投标法》等国家有关规定追究相应责任。</w:t>
      </w:r>
    </w:p>
    <w:p>
      <w:pPr>
        <w:pStyle w:val="9"/>
        <w:tabs>
          <w:tab w:val="left" w:pos="562"/>
          <w:tab w:val="left" w:pos="3372"/>
          <w:tab w:val="left" w:pos="3653"/>
        </w:tabs>
        <w:ind w:firstLine="48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9"/>
        <w:tabs>
          <w:tab w:val="left" w:pos="562"/>
          <w:tab w:val="left" w:pos="3372"/>
          <w:tab w:val="left" w:pos="3653"/>
        </w:tabs>
        <w:ind w:firstLine="48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第二十二条 对外援助项目、国家相关资格或者资质管理制度另有规定的项目，不适用本办法。</w:t>
      </w:r>
    </w:p>
    <w:p>
      <w:pPr>
        <w:pStyle w:val="9"/>
        <w:tabs>
          <w:tab w:val="left" w:pos="562"/>
          <w:tab w:val="left" w:pos="3372"/>
          <w:tab w:val="left" w:pos="3653"/>
        </w:tabs>
        <w:ind w:firstLine="48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第二十三条 关于视同中小企业的其他主体的政府采购扶持政策，由财政部会同有关部门另行规定。</w:t>
      </w:r>
    </w:p>
    <w:p>
      <w:pPr>
        <w:pStyle w:val="9"/>
        <w:tabs>
          <w:tab w:val="left" w:pos="562"/>
          <w:tab w:val="left" w:pos="3372"/>
          <w:tab w:val="left" w:pos="3653"/>
        </w:tabs>
        <w:ind w:firstLine="48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第二十四条 省级财政部门可以会同中小企业主管部门根据本办法的规定制定具体实施办法。</w:t>
      </w:r>
    </w:p>
    <w:p>
      <w:pPr>
        <w:pStyle w:val="9"/>
        <w:tabs>
          <w:tab w:val="left" w:pos="562"/>
          <w:tab w:val="left" w:pos="3372"/>
          <w:tab w:val="left" w:pos="3653"/>
        </w:tabs>
        <w:ind w:firstLine="48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第二十五条 本办法自 2021 年 1 月 1 日起施行。《财政部 工业和信息化部关于印发〈政府采购促进中小企业发展暂行办法〉的通知》（财库﹝2011﹞181 号）同时废止。</w:t>
      </w:r>
    </w:p>
    <w:p>
      <w:pPr>
        <w:pStyle w:val="9"/>
        <w:tabs>
          <w:tab w:val="left" w:pos="562"/>
          <w:tab w:val="left" w:pos="3372"/>
          <w:tab w:val="left" w:pos="3653"/>
        </w:tabs>
        <w:spacing w:before="5"/>
        <w:rPr>
          <w:rFonts w:hint="eastAsia" w:ascii="宋体" w:hAnsi="宋体" w:cs="宋体"/>
          <w:color w:val="000000" w:themeColor="text1"/>
          <w:highlight w:val="none"/>
          <w14:textFill>
            <w14:solidFill>
              <w14:schemeClr w14:val="tx1"/>
            </w14:solidFill>
          </w14:textFill>
        </w:rPr>
      </w:pPr>
    </w:p>
    <w:p>
      <w:pPr>
        <w:pStyle w:val="9"/>
        <w:tabs>
          <w:tab w:val="left" w:pos="562"/>
          <w:tab w:val="left" w:pos="3372"/>
          <w:tab w:val="left" w:pos="3653"/>
        </w:tabs>
        <w:ind w:firstLine="480" w:firstLineChars="200"/>
        <w:outlineLvl w:val="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附：1.中小企业声明函</w:t>
      </w:r>
    </w:p>
    <w:p>
      <w:pPr>
        <w:pStyle w:val="9"/>
        <w:tabs>
          <w:tab w:val="left" w:pos="562"/>
          <w:tab w:val="left" w:pos="3372"/>
          <w:tab w:val="left" w:pos="3653"/>
        </w:tabs>
        <w:ind w:firstLine="960" w:firstLineChars="4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2.面向中小企业预留项目执行情况公告</w:t>
      </w:r>
    </w:p>
    <w:p>
      <w:pPr>
        <w:pStyle w:val="9"/>
        <w:tabs>
          <w:tab w:val="left" w:pos="562"/>
          <w:tab w:val="left" w:pos="3372"/>
          <w:tab w:val="left" w:pos="3653"/>
        </w:tabs>
        <w:spacing w:before="30"/>
        <w:outlineLvl w:val="0"/>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br w:type="page"/>
      </w:r>
      <w:r>
        <w:rPr>
          <w:rFonts w:hint="eastAsia" w:ascii="宋体" w:hAnsi="宋体" w:cs="宋体"/>
          <w:b/>
          <w:bCs/>
          <w:color w:val="000000" w:themeColor="text1"/>
          <w:highlight w:val="none"/>
          <w14:textFill>
            <w14:solidFill>
              <w14:schemeClr w14:val="tx1"/>
            </w14:solidFill>
          </w14:textFill>
        </w:rPr>
        <w:t>附 1</w:t>
      </w:r>
    </w:p>
    <w:p>
      <w:pPr>
        <w:spacing w:after="319" w:afterLines="10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中小企业声明函（货物）</w:t>
      </w:r>
    </w:p>
    <w:p>
      <w:pPr>
        <w:pStyle w:val="9"/>
        <w:tabs>
          <w:tab w:val="left" w:pos="562"/>
          <w:tab w:val="left" w:pos="3372"/>
          <w:tab w:val="left" w:pos="3653"/>
        </w:tabs>
        <w:ind w:firstLine="472" w:firstLineChars="200"/>
        <w:rPr>
          <w:rFonts w:hint="eastAsia" w:ascii="宋体" w:hAnsi="宋体" w:cs="宋体"/>
          <w:color w:val="000000" w:themeColor="text1"/>
          <w:spacing w:val="-2"/>
          <w:highlight w:val="none"/>
          <w14:textFill>
            <w14:solidFill>
              <w14:schemeClr w14:val="tx1"/>
            </w14:solidFill>
          </w14:textFill>
        </w:rPr>
      </w:pPr>
      <w:r>
        <w:rPr>
          <w:rFonts w:hint="eastAsia" w:ascii="宋体" w:hAnsi="宋体" w:cs="宋体"/>
          <w:color w:val="000000" w:themeColor="text1"/>
          <w:spacing w:val="-2"/>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pacing w:val="-2"/>
          <w:highlight w:val="none"/>
          <w:u w:val="single"/>
          <w14:textFill>
            <w14:solidFill>
              <w14:schemeClr w14:val="tx1"/>
            </w14:solidFill>
          </w14:textFill>
        </w:rPr>
        <w:t>单位名称</w:t>
      </w:r>
      <w:r>
        <w:rPr>
          <w:rFonts w:hint="eastAsia" w:ascii="宋体" w:hAnsi="宋体" w:cs="宋体"/>
          <w:color w:val="000000" w:themeColor="text1"/>
          <w:spacing w:val="-2"/>
          <w:highlight w:val="none"/>
          <w14:textFill>
            <w14:solidFill>
              <w14:schemeClr w14:val="tx1"/>
            </w14:solidFill>
          </w14:textFill>
        </w:rPr>
        <w:t>）的（</w:t>
      </w:r>
      <w:r>
        <w:rPr>
          <w:rFonts w:hint="eastAsia" w:ascii="宋体" w:hAnsi="宋体" w:cs="宋体"/>
          <w:color w:val="000000" w:themeColor="text1"/>
          <w:spacing w:val="-2"/>
          <w:highlight w:val="none"/>
          <w:u w:val="single"/>
          <w14:textFill>
            <w14:solidFill>
              <w14:schemeClr w14:val="tx1"/>
            </w14:solidFill>
          </w14:textFill>
        </w:rPr>
        <w:t>项目名称</w:t>
      </w:r>
      <w:r>
        <w:rPr>
          <w:rFonts w:hint="eastAsia" w:ascii="宋体" w:hAnsi="宋体" w:cs="宋体"/>
          <w:color w:val="000000" w:themeColor="text1"/>
          <w:spacing w:val="-2"/>
          <w:highlight w:val="none"/>
          <w14:textFill>
            <w14:solidFill>
              <w14:schemeClr w14:val="tx1"/>
            </w14:solidFill>
          </w14:textFill>
        </w:rPr>
        <w:t>）采购活动，提供的货物全部由符合政策要求的中小企业制造。相关企业（含联合体中的中小企业、签订分包意向协议的中小企业） 的具体情况如下：</w:t>
      </w:r>
    </w:p>
    <w:p>
      <w:pPr>
        <w:pStyle w:val="9"/>
        <w:tabs>
          <w:tab w:val="left" w:pos="562"/>
          <w:tab w:val="left" w:pos="3372"/>
          <w:tab w:val="left" w:pos="3653"/>
        </w:tabs>
        <w:ind w:firstLine="48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1、（</w:t>
      </w:r>
      <w:r>
        <w:rPr>
          <w:rFonts w:hint="eastAsia" w:ascii="宋体" w:hAnsi="宋体" w:cs="宋体"/>
          <w:color w:val="000000" w:themeColor="text1"/>
          <w:kern w:val="0"/>
          <w:highlight w:val="none"/>
          <w:u w:val="single"/>
          <w14:textFill>
            <w14:solidFill>
              <w14:schemeClr w14:val="tx1"/>
            </w14:solidFill>
          </w14:textFill>
        </w:rPr>
        <w:t>标的名称</w:t>
      </w:r>
      <w:r>
        <w:rPr>
          <w:rFonts w:hint="eastAsia" w:ascii="宋体" w:hAnsi="宋体" w:cs="宋体"/>
          <w:color w:val="000000" w:themeColor="text1"/>
          <w:kern w:val="0"/>
          <w:highlight w:val="none"/>
          <w14:textFill>
            <w14:solidFill>
              <w14:schemeClr w14:val="tx1"/>
            </w14:solidFill>
          </w14:textFill>
        </w:rPr>
        <w:t>），属于（</w:t>
      </w:r>
      <w:r>
        <w:rPr>
          <w:rFonts w:hint="eastAsia" w:ascii="宋体" w:hAnsi="宋体" w:cs="宋体"/>
          <w:color w:val="000000" w:themeColor="text1"/>
          <w:kern w:val="0"/>
          <w:highlight w:val="none"/>
          <w:u w:val="single"/>
          <w14:textFill>
            <w14:solidFill>
              <w14:schemeClr w14:val="tx1"/>
            </w14:solidFill>
          </w14:textFill>
        </w:rPr>
        <w:t>采购文件中明确的所属行业</w:t>
      </w:r>
      <w:r>
        <w:rPr>
          <w:rFonts w:hint="eastAsia" w:ascii="宋体" w:hAnsi="宋体" w:cs="宋体"/>
          <w:color w:val="000000" w:themeColor="text1"/>
          <w:kern w:val="0"/>
          <w:highlight w:val="none"/>
          <w14:textFill>
            <w14:solidFill>
              <w14:schemeClr w14:val="tx1"/>
            </w14:solidFill>
          </w14:textFill>
        </w:rPr>
        <w:t>）；制造商为（</w:t>
      </w:r>
      <w:r>
        <w:rPr>
          <w:rFonts w:hint="eastAsia" w:ascii="宋体" w:hAnsi="宋体" w:cs="宋体"/>
          <w:color w:val="000000" w:themeColor="text1"/>
          <w:kern w:val="0"/>
          <w:highlight w:val="none"/>
          <w:u w:val="single"/>
          <w14:textFill>
            <w14:solidFill>
              <w14:schemeClr w14:val="tx1"/>
            </w14:solidFill>
          </w14:textFill>
        </w:rPr>
        <w:t>企业名称</w:t>
      </w:r>
      <w:r>
        <w:rPr>
          <w:rFonts w:hint="eastAsia" w:ascii="宋体" w:hAnsi="宋体" w:cs="宋体"/>
          <w:color w:val="000000" w:themeColor="text1"/>
          <w:kern w:val="0"/>
          <w:highlight w:val="none"/>
          <w14:textFill>
            <w14:solidFill>
              <w14:schemeClr w14:val="tx1"/>
            </w14:solidFill>
          </w14:textFill>
        </w:rPr>
        <w:t>），从业人员</w:t>
      </w:r>
      <w:r>
        <w:rPr>
          <w:rFonts w:hint="eastAsia" w:ascii="宋体" w:hAnsi="宋体" w:cs="宋体"/>
          <w:color w:val="000000" w:themeColor="text1"/>
          <w:kern w:val="0"/>
          <w:highlight w:val="none"/>
          <w:u w:val="single"/>
          <w14:textFill>
            <w14:solidFill>
              <w14:schemeClr w14:val="tx1"/>
            </w14:solidFill>
          </w14:textFill>
        </w:rPr>
        <w:tab/>
      </w:r>
      <w:r>
        <w:rPr>
          <w:rFonts w:hint="eastAsia" w:ascii="宋体" w:hAnsi="宋体" w:cs="宋体"/>
          <w:color w:val="000000" w:themeColor="text1"/>
          <w:kern w:val="0"/>
          <w:highlight w:val="none"/>
          <w14:textFill>
            <w14:solidFill>
              <w14:schemeClr w14:val="tx1"/>
            </w14:solidFill>
          </w14:textFill>
        </w:rPr>
        <w:t xml:space="preserve">人，营业收入为 </w:t>
      </w:r>
      <w:r>
        <w:rPr>
          <w:rFonts w:hint="eastAsia" w:ascii="宋体" w:hAnsi="宋体" w:cs="宋体"/>
          <w:color w:val="000000" w:themeColor="text1"/>
          <w:kern w:val="0"/>
          <w:highlight w:val="none"/>
          <w:u w:val="single"/>
          <w14:textFill>
            <w14:solidFill>
              <w14:schemeClr w14:val="tx1"/>
            </w14:solidFill>
          </w14:textFill>
        </w:rPr>
        <w:tab/>
      </w:r>
      <w:r>
        <w:rPr>
          <w:rFonts w:hint="eastAsia" w:ascii="宋体" w:hAnsi="宋体" w:cs="宋体"/>
          <w:color w:val="000000" w:themeColor="text1"/>
          <w:kern w:val="0"/>
          <w:highlight w:val="none"/>
          <w14:textFill>
            <w14:solidFill>
              <w14:schemeClr w14:val="tx1"/>
            </w14:solidFill>
          </w14:textFill>
        </w:rPr>
        <w:t>万元，资产总额为</w:t>
      </w:r>
      <w:r>
        <w:rPr>
          <w:rFonts w:hint="eastAsia" w:ascii="宋体" w:hAnsi="宋体" w:cs="宋体"/>
          <w:color w:val="000000" w:themeColor="text1"/>
          <w:kern w:val="0"/>
          <w:highlight w:val="none"/>
          <w:u w:val="single"/>
          <w14:textFill>
            <w14:solidFill>
              <w14:schemeClr w14:val="tx1"/>
            </w14:solidFill>
          </w14:textFill>
        </w:rPr>
        <w:tab/>
      </w:r>
      <w:r>
        <w:rPr>
          <w:rFonts w:hint="eastAsia" w:ascii="宋体" w:hAnsi="宋体" w:cs="宋体"/>
          <w:color w:val="000000" w:themeColor="text1"/>
          <w:kern w:val="0"/>
          <w:highlight w:val="none"/>
          <w:u w:val="single"/>
          <w14:textFill>
            <w14:solidFill>
              <w14:schemeClr w14:val="tx1"/>
            </w14:solidFill>
          </w14:textFill>
        </w:rPr>
        <w:t xml:space="preserve"> </w:t>
      </w:r>
      <w:r>
        <w:rPr>
          <w:rFonts w:hint="eastAsia" w:ascii="宋体" w:hAnsi="宋体" w:cs="宋体"/>
          <w:color w:val="000000" w:themeColor="text1"/>
          <w:kern w:val="0"/>
          <w:highlight w:val="none"/>
          <w14:textFill>
            <w14:solidFill>
              <w14:schemeClr w14:val="tx1"/>
            </w14:solidFill>
          </w14:textFill>
        </w:rPr>
        <w:t>万元，属于（</w:t>
      </w:r>
      <w:r>
        <w:rPr>
          <w:rFonts w:hint="eastAsia" w:ascii="宋体" w:hAnsi="宋体" w:cs="宋体"/>
          <w:color w:val="000000" w:themeColor="text1"/>
          <w:kern w:val="0"/>
          <w:highlight w:val="none"/>
          <w:u w:val="single"/>
          <w14:textFill>
            <w14:solidFill>
              <w14:schemeClr w14:val="tx1"/>
            </w14:solidFill>
          </w14:textFill>
        </w:rPr>
        <w:t>中型企业、小型企业、微型企业</w:t>
      </w:r>
      <w:r>
        <w:rPr>
          <w:rFonts w:hint="eastAsia" w:ascii="宋体" w:hAnsi="宋体" w:cs="宋体"/>
          <w:color w:val="000000" w:themeColor="text1"/>
          <w:kern w:val="0"/>
          <w:highlight w:val="none"/>
          <w14:textFill>
            <w14:solidFill>
              <w14:schemeClr w14:val="tx1"/>
            </w14:solidFill>
          </w14:textFill>
        </w:rPr>
        <w:t>）；</w:t>
      </w:r>
    </w:p>
    <w:p>
      <w:pPr>
        <w:pStyle w:val="9"/>
        <w:tabs>
          <w:tab w:val="left" w:pos="562"/>
          <w:tab w:val="left" w:pos="3372"/>
          <w:tab w:val="left" w:pos="3653"/>
        </w:tabs>
        <w:ind w:firstLine="472" w:firstLineChars="200"/>
        <w:rPr>
          <w:rFonts w:hint="eastAsia" w:ascii="宋体" w:hAnsi="宋体" w:cs="宋体"/>
          <w:color w:val="000000" w:themeColor="text1"/>
          <w:spacing w:val="-2"/>
          <w:highlight w:val="none"/>
          <w14:textFill>
            <w14:solidFill>
              <w14:schemeClr w14:val="tx1"/>
            </w14:solidFill>
          </w14:textFill>
        </w:rPr>
      </w:pPr>
      <w:r>
        <w:rPr>
          <w:rFonts w:hint="eastAsia" w:ascii="宋体" w:hAnsi="宋体" w:cs="宋体"/>
          <w:color w:val="000000" w:themeColor="text1"/>
          <w:spacing w:val="-2"/>
          <w:highlight w:val="none"/>
          <w14:textFill>
            <w14:solidFill>
              <w14:schemeClr w14:val="tx1"/>
            </w14:solidFill>
          </w14:textFill>
        </w:rPr>
        <w:t>2、（</w:t>
      </w:r>
      <w:r>
        <w:rPr>
          <w:rFonts w:hint="eastAsia" w:ascii="宋体" w:hAnsi="宋体" w:cs="宋体"/>
          <w:color w:val="000000" w:themeColor="text1"/>
          <w:spacing w:val="-2"/>
          <w:highlight w:val="none"/>
          <w:u w:val="single"/>
          <w14:textFill>
            <w14:solidFill>
              <w14:schemeClr w14:val="tx1"/>
            </w14:solidFill>
          </w14:textFill>
        </w:rPr>
        <w:t>标的名称</w:t>
      </w:r>
      <w:r>
        <w:rPr>
          <w:rFonts w:hint="eastAsia" w:ascii="宋体" w:hAnsi="宋体" w:cs="宋体"/>
          <w:color w:val="000000" w:themeColor="text1"/>
          <w:spacing w:val="-2"/>
          <w:highlight w:val="none"/>
          <w14:textFill>
            <w14:solidFill>
              <w14:schemeClr w14:val="tx1"/>
            </w14:solidFill>
          </w14:textFill>
        </w:rPr>
        <w:t>），属于（</w:t>
      </w:r>
      <w:r>
        <w:rPr>
          <w:rFonts w:hint="eastAsia" w:ascii="宋体" w:hAnsi="宋体" w:cs="宋体"/>
          <w:color w:val="000000" w:themeColor="text1"/>
          <w:spacing w:val="-2"/>
          <w:highlight w:val="none"/>
          <w:u w:val="single"/>
          <w14:textFill>
            <w14:solidFill>
              <w14:schemeClr w14:val="tx1"/>
            </w14:solidFill>
          </w14:textFill>
        </w:rPr>
        <w:t>采购文件中明确的所属行业</w:t>
      </w:r>
      <w:r>
        <w:rPr>
          <w:rFonts w:hint="eastAsia" w:ascii="宋体" w:hAnsi="宋体" w:cs="宋体"/>
          <w:color w:val="000000" w:themeColor="text1"/>
          <w:spacing w:val="-2"/>
          <w:highlight w:val="none"/>
          <w14:textFill>
            <w14:solidFill>
              <w14:schemeClr w14:val="tx1"/>
            </w14:solidFill>
          </w14:textFill>
        </w:rPr>
        <w:t>）；制造商为（</w:t>
      </w:r>
      <w:r>
        <w:rPr>
          <w:rFonts w:hint="eastAsia" w:ascii="宋体" w:hAnsi="宋体" w:cs="宋体"/>
          <w:color w:val="000000" w:themeColor="text1"/>
          <w:spacing w:val="-2"/>
          <w:highlight w:val="none"/>
          <w:u w:val="single"/>
          <w14:textFill>
            <w14:solidFill>
              <w14:schemeClr w14:val="tx1"/>
            </w14:solidFill>
          </w14:textFill>
        </w:rPr>
        <w:t>企业名称</w:t>
      </w:r>
      <w:r>
        <w:rPr>
          <w:rFonts w:hint="eastAsia" w:ascii="宋体" w:hAnsi="宋体" w:cs="宋体"/>
          <w:color w:val="000000" w:themeColor="text1"/>
          <w:spacing w:val="-2"/>
          <w:highlight w:val="none"/>
          <w14:textFill>
            <w14:solidFill>
              <w14:schemeClr w14:val="tx1"/>
            </w14:solidFill>
          </w14:textFill>
        </w:rPr>
        <w:t>），从业人员</w:t>
      </w:r>
      <w:r>
        <w:rPr>
          <w:rFonts w:hint="eastAsia" w:ascii="宋体" w:hAnsi="宋体" w:cs="宋体"/>
          <w:color w:val="000000" w:themeColor="text1"/>
          <w:spacing w:val="-2"/>
          <w:highlight w:val="none"/>
          <w:u w:val="single"/>
          <w14:textFill>
            <w14:solidFill>
              <w14:schemeClr w14:val="tx1"/>
            </w14:solidFill>
          </w14:textFill>
        </w:rPr>
        <w:t xml:space="preserve">    </w:t>
      </w:r>
      <w:r>
        <w:rPr>
          <w:rFonts w:hint="eastAsia" w:ascii="宋体" w:hAnsi="宋体" w:cs="宋体"/>
          <w:color w:val="000000" w:themeColor="text1"/>
          <w:spacing w:val="-2"/>
          <w:highlight w:val="none"/>
          <w14:textFill>
            <w14:solidFill>
              <w14:schemeClr w14:val="tx1"/>
            </w14:solidFill>
          </w14:textFill>
        </w:rPr>
        <w:t>人，营业收入为</w:t>
      </w:r>
      <w:r>
        <w:rPr>
          <w:rFonts w:hint="eastAsia" w:ascii="宋体" w:hAnsi="宋体" w:cs="宋体"/>
          <w:color w:val="000000" w:themeColor="text1"/>
          <w:spacing w:val="-2"/>
          <w:highlight w:val="none"/>
          <w:u w:val="single"/>
          <w14:textFill>
            <w14:solidFill>
              <w14:schemeClr w14:val="tx1"/>
            </w14:solidFill>
          </w14:textFill>
        </w:rPr>
        <w:tab/>
      </w:r>
      <w:r>
        <w:rPr>
          <w:rFonts w:hint="eastAsia" w:ascii="宋体" w:hAnsi="宋体" w:cs="宋体"/>
          <w:color w:val="000000" w:themeColor="text1"/>
          <w:spacing w:val="-2"/>
          <w:highlight w:val="none"/>
          <w14:textFill>
            <w14:solidFill>
              <w14:schemeClr w14:val="tx1"/>
            </w14:solidFill>
          </w14:textFill>
        </w:rPr>
        <w:t>万元，资产总额为</w:t>
      </w:r>
      <w:r>
        <w:rPr>
          <w:rFonts w:hint="eastAsia" w:ascii="宋体" w:hAnsi="宋体" w:cs="宋体"/>
          <w:color w:val="000000" w:themeColor="text1"/>
          <w:spacing w:val="-2"/>
          <w:highlight w:val="none"/>
          <w:u w:val="single"/>
          <w14:textFill>
            <w14:solidFill>
              <w14:schemeClr w14:val="tx1"/>
            </w14:solidFill>
          </w14:textFill>
        </w:rPr>
        <w:t xml:space="preserve">   </w:t>
      </w:r>
      <w:r>
        <w:rPr>
          <w:rFonts w:hint="eastAsia" w:ascii="宋体" w:hAnsi="宋体" w:cs="宋体"/>
          <w:color w:val="000000" w:themeColor="text1"/>
          <w:spacing w:val="-2"/>
          <w:highlight w:val="none"/>
          <w14:textFill>
            <w14:solidFill>
              <w14:schemeClr w14:val="tx1"/>
            </w14:solidFill>
          </w14:textFill>
        </w:rPr>
        <w:t>万元，属于（</w:t>
      </w:r>
      <w:r>
        <w:rPr>
          <w:rFonts w:hint="eastAsia" w:ascii="宋体" w:hAnsi="宋体" w:cs="宋体"/>
          <w:color w:val="000000" w:themeColor="text1"/>
          <w:spacing w:val="-2"/>
          <w:highlight w:val="none"/>
          <w:u w:val="single"/>
          <w14:textFill>
            <w14:solidFill>
              <w14:schemeClr w14:val="tx1"/>
            </w14:solidFill>
          </w14:textFill>
        </w:rPr>
        <w:t>中型企业、小型企业、微型企业</w:t>
      </w:r>
      <w:r>
        <w:rPr>
          <w:rFonts w:hint="eastAsia" w:ascii="宋体" w:hAnsi="宋体" w:cs="宋体"/>
          <w:color w:val="000000" w:themeColor="text1"/>
          <w:spacing w:val="-2"/>
          <w:highlight w:val="none"/>
          <w14:textFill>
            <w14:solidFill>
              <w14:schemeClr w14:val="tx1"/>
            </w14:solidFill>
          </w14:textFill>
        </w:rPr>
        <w:t>）；</w:t>
      </w:r>
    </w:p>
    <w:p>
      <w:pPr>
        <w:pStyle w:val="9"/>
        <w:tabs>
          <w:tab w:val="left" w:pos="562"/>
          <w:tab w:val="left" w:pos="3372"/>
          <w:tab w:val="left" w:pos="3653"/>
        </w:tabs>
        <w:ind w:firstLine="472" w:firstLineChars="200"/>
        <w:rPr>
          <w:rFonts w:hint="eastAsia" w:ascii="宋体" w:hAnsi="宋体" w:cs="宋体"/>
          <w:color w:val="000000" w:themeColor="text1"/>
          <w:spacing w:val="-2"/>
          <w:highlight w:val="none"/>
          <w14:textFill>
            <w14:solidFill>
              <w14:schemeClr w14:val="tx1"/>
            </w14:solidFill>
          </w14:textFill>
        </w:rPr>
      </w:pPr>
      <w:r>
        <w:rPr>
          <w:rFonts w:hint="eastAsia" w:ascii="宋体" w:hAnsi="宋体" w:cs="宋体"/>
          <w:color w:val="000000" w:themeColor="text1"/>
          <w:spacing w:val="-2"/>
          <w:highlight w:val="none"/>
          <w14:textFill>
            <w14:solidFill>
              <w14:schemeClr w14:val="tx1"/>
            </w14:solidFill>
          </w14:textFill>
        </w:rPr>
        <w:t>……</w:t>
      </w:r>
    </w:p>
    <w:p>
      <w:pPr>
        <w:pStyle w:val="9"/>
        <w:tabs>
          <w:tab w:val="left" w:pos="562"/>
          <w:tab w:val="left" w:pos="3372"/>
          <w:tab w:val="left" w:pos="3653"/>
        </w:tabs>
        <w:ind w:firstLine="472" w:firstLineChars="200"/>
        <w:rPr>
          <w:rFonts w:hint="eastAsia" w:ascii="宋体" w:hAnsi="宋体" w:cs="宋体"/>
          <w:color w:val="000000" w:themeColor="text1"/>
          <w:spacing w:val="-2"/>
          <w:highlight w:val="none"/>
          <w14:textFill>
            <w14:solidFill>
              <w14:schemeClr w14:val="tx1"/>
            </w14:solidFill>
          </w14:textFill>
        </w:rPr>
      </w:pPr>
      <w:r>
        <w:rPr>
          <w:rFonts w:hint="eastAsia" w:ascii="宋体" w:hAnsi="宋体" w:cs="宋体"/>
          <w:color w:val="000000" w:themeColor="text1"/>
          <w:spacing w:val="-2"/>
          <w:highlight w:val="none"/>
          <w14:textFill>
            <w14:solidFill>
              <w14:schemeClr w14:val="tx1"/>
            </w14:solidFill>
          </w14:textFill>
        </w:rPr>
        <w:t>以上企业，不属于大企业的分支机构，不存在控股股东为大企业的情形，也不存在与大企业的负责人为同一人的情形。</w:t>
      </w:r>
    </w:p>
    <w:p>
      <w:pPr>
        <w:pStyle w:val="9"/>
        <w:tabs>
          <w:tab w:val="left" w:pos="562"/>
          <w:tab w:val="left" w:pos="3372"/>
          <w:tab w:val="left" w:pos="3653"/>
        </w:tabs>
        <w:ind w:firstLine="472" w:firstLineChars="200"/>
        <w:rPr>
          <w:rFonts w:hint="eastAsia" w:ascii="宋体" w:hAnsi="宋体" w:cs="宋体"/>
          <w:color w:val="000000" w:themeColor="text1"/>
          <w:spacing w:val="-2"/>
          <w:highlight w:val="none"/>
          <w14:textFill>
            <w14:solidFill>
              <w14:schemeClr w14:val="tx1"/>
            </w14:solidFill>
          </w14:textFill>
        </w:rPr>
      </w:pPr>
      <w:r>
        <w:rPr>
          <w:rFonts w:hint="eastAsia" w:ascii="宋体" w:hAnsi="宋体" w:cs="宋体"/>
          <w:color w:val="000000" w:themeColor="text1"/>
          <w:spacing w:val="-2"/>
          <w:highlight w:val="none"/>
          <w14:textFill>
            <w14:solidFill>
              <w14:schemeClr w14:val="tx1"/>
            </w14:solidFill>
          </w14:textFill>
        </w:rPr>
        <w:t>本企业对上述声明内容的真实性负责。如有虚假，将依法承担相应责任。</w:t>
      </w:r>
    </w:p>
    <w:p>
      <w:pPr>
        <w:pStyle w:val="9"/>
        <w:tabs>
          <w:tab w:val="left" w:pos="562"/>
          <w:tab w:val="left" w:pos="3372"/>
          <w:tab w:val="left" w:pos="3653"/>
        </w:tabs>
        <w:ind w:firstLine="472" w:firstLineChars="200"/>
        <w:rPr>
          <w:rFonts w:hint="eastAsia" w:ascii="宋体" w:hAnsi="宋体" w:cs="宋体"/>
          <w:color w:val="000000" w:themeColor="text1"/>
          <w:spacing w:val="-2"/>
          <w:highlight w:val="none"/>
          <w14:textFill>
            <w14:solidFill>
              <w14:schemeClr w14:val="tx1"/>
            </w14:solidFill>
          </w14:textFill>
        </w:rPr>
      </w:pPr>
      <w:r>
        <w:rPr>
          <w:rFonts w:hint="eastAsia" w:ascii="宋体" w:hAnsi="宋体" w:cs="宋体"/>
          <w:color w:val="000000" w:themeColor="text1"/>
          <w:spacing w:val="-2"/>
          <w:highlight w:val="none"/>
          <w14:textFill>
            <w14:solidFill>
              <w14:schemeClr w14:val="tx1"/>
            </w14:solidFill>
          </w14:textFill>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9"/>
        <w:tabs>
          <w:tab w:val="left" w:pos="562"/>
          <w:tab w:val="left" w:pos="3372"/>
          <w:tab w:val="left" w:pos="3653"/>
        </w:tabs>
        <w:ind w:left="4200" w:leftChars="20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pacing w:val="-2"/>
          <w:highlight w:val="none"/>
          <w14:textFill>
            <w14:solidFill>
              <w14:schemeClr w14:val="tx1"/>
            </w14:solidFill>
          </w14:textFill>
        </w:rPr>
        <w:t>企业名称（盖章）日期：</w:t>
      </w:r>
    </w:p>
    <w:p>
      <w:pPr>
        <w:pStyle w:val="9"/>
        <w:tabs>
          <w:tab w:val="left" w:pos="562"/>
          <w:tab w:val="left" w:pos="3372"/>
          <w:tab w:val="left" w:pos="3653"/>
        </w:tabs>
        <w:jc w:val="center"/>
        <w:rPr>
          <w:rFonts w:hint="eastAsia" w:ascii="宋体" w:hAnsi="宋体" w:cs="宋体"/>
          <w:color w:val="000000" w:themeColor="text1"/>
          <w:spacing w:val="-2"/>
          <w:highlight w:val="none"/>
          <w14:textFill>
            <w14:solidFill>
              <w14:schemeClr w14:val="tx1"/>
            </w14:solidFill>
          </w14:textFill>
        </w:rPr>
      </w:pPr>
      <w:r>
        <w:rPr>
          <w:rFonts w:hint="eastAsia" w:ascii="宋体" w:hAnsi="宋体" w:cs="宋体"/>
          <w:color w:val="000000" w:themeColor="text1"/>
          <w:spacing w:val="-2"/>
          <w:highlight w:val="none"/>
          <w14:textFill>
            <w14:solidFill>
              <w14:schemeClr w14:val="tx1"/>
            </w14:solidFill>
          </w14:textFill>
        </w:rPr>
        <w:t>从业人员、营业收入、资产总额填报上一年度数据，无上一年度数据的新成立企业可不填报。</w:t>
      </w:r>
    </w:p>
    <w:p>
      <w:pPr>
        <w:spacing w:after="319" w:afterLines="10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r>
        <w:rPr>
          <w:rFonts w:hint="eastAsia" w:ascii="宋体" w:hAnsi="宋体" w:cs="宋体"/>
          <w:color w:val="000000" w:themeColor="text1"/>
          <w:sz w:val="24"/>
          <w:highlight w:val="none"/>
          <w14:textFill>
            <w14:solidFill>
              <w14:schemeClr w14:val="tx1"/>
            </w14:solidFill>
          </w14:textFill>
        </w:rPr>
        <w:t>中小企业声明函（工程、服务）</w:t>
      </w:r>
    </w:p>
    <w:p>
      <w:pPr>
        <w:pStyle w:val="9"/>
        <w:tabs>
          <w:tab w:val="left" w:pos="562"/>
          <w:tab w:val="left" w:pos="3372"/>
          <w:tab w:val="left" w:pos="3653"/>
        </w:tabs>
        <w:ind w:firstLine="472" w:firstLineChars="200"/>
        <w:rPr>
          <w:rFonts w:hint="eastAsia" w:ascii="宋体" w:hAnsi="宋体" w:cs="宋体"/>
          <w:color w:val="000000" w:themeColor="text1"/>
          <w:spacing w:val="-2"/>
          <w:highlight w:val="none"/>
          <w14:textFill>
            <w14:solidFill>
              <w14:schemeClr w14:val="tx1"/>
            </w14:solidFill>
          </w14:textFill>
        </w:rPr>
      </w:pPr>
      <w:r>
        <w:rPr>
          <w:rFonts w:hint="eastAsia" w:ascii="宋体" w:hAnsi="宋体" w:cs="宋体"/>
          <w:color w:val="000000" w:themeColor="text1"/>
          <w:spacing w:val="-2"/>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pacing w:val="-2"/>
          <w:highlight w:val="none"/>
          <w:u w:val="single"/>
          <w14:textFill>
            <w14:solidFill>
              <w14:schemeClr w14:val="tx1"/>
            </w14:solidFill>
          </w14:textFill>
        </w:rPr>
        <w:t>单位名称</w:t>
      </w:r>
      <w:r>
        <w:rPr>
          <w:rFonts w:hint="eastAsia" w:ascii="宋体" w:hAnsi="宋体" w:cs="宋体"/>
          <w:color w:val="000000" w:themeColor="text1"/>
          <w:spacing w:val="-2"/>
          <w:highlight w:val="none"/>
          <w14:textFill>
            <w14:solidFill>
              <w14:schemeClr w14:val="tx1"/>
            </w14:solidFill>
          </w14:textFill>
        </w:rPr>
        <w:t>）的（</w:t>
      </w:r>
      <w:r>
        <w:rPr>
          <w:rFonts w:hint="eastAsia" w:ascii="宋体" w:hAnsi="宋体" w:cs="宋体"/>
          <w:color w:val="000000" w:themeColor="text1"/>
          <w:spacing w:val="-2"/>
          <w:highlight w:val="none"/>
          <w:u w:val="single"/>
          <w14:textFill>
            <w14:solidFill>
              <w14:schemeClr w14:val="tx1"/>
            </w14:solidFill>
          </w14:textFill>
        </w:rPr>
        <w:t>项目名称</w:t>
      </w:r>
      <w:r>
        <w:rPr>
          <w:rFonts w:hint="eastAsia" w:ascii="宋体" w:hAnsi="宋体" w:cs="宋体"/>
          <w:color w:val="000000" w:themeColor="text1"/>
          <w:spacing w:val="-2"/>
          <w:highlight w:val="none"/>
          <w14:textFill>
            <w14:solidFill>
              <w14:schemeClr w14:val="tx1"/>
            </w14:solidFill>
          </w14:textFill>
        </w:rPr>
        <w:t>）采购活动，工程的施工单位全部为符合政策要求的中小企业（或者：服务全部由符合政策要求的中小企业承接）。相关企业（含联合 体中的中小企业、签订分包意向协议的中小企业）的具体情况如下：</w:t>
      </w:r>
    </w:p>
    <w:p>
      <w:pPr>
        <w:pStyle w:val="9"/>
        <w:tabs>
          <w:tab w:val="left" w:pos="562"/>
          <w:tab w:val="left" w:pos="3372"/>
          <w:tab w:val="left" w:pos="3653"/>
        </w:tabs>
        <w:ind w:firstLine="472" w:firstLineChars="200"/>
        <w:rPr>
          <w:rFonts w:hint="eastAsia" w:ascii="宋体" w:hAnsi="宋体" w:cs="宋体"/>
          <w:color w:val="000000" w:themeColor="text1"/>
          <w:spacing w:val="-2"/>
          <w:highlight w:val="none"/>
          <w14:textFill>
            <w14:solidFill>
              <w14:schemeClr w14:val="tx1"/>
            </w14:solidFill>
          </w14:textFill>
        </w:rPr>
      </w:pPr>
      <w:r>
        <w:rPr>
          <w:rFonts w:hint="eastAsia" w:ascii="宋体" w:hAnsi="宋体" w:cs="宋体"/>
          <w:color w:val="000000" w:themeColor="text1"/>
          <w:spacing w:val="-2"/>
          <w:highlight w:val="none"/>
          <w14:textFill>
            <w14:solidFill>
              <w14:schemeClr w14:val="tx1"/>
            </w14:solidFill>
          </w14:textFill>
        </w:rPr>
        <w:t>1、（</w:t>
      </w:r>
      <w:r>
        <w:rPr>
          <w:rFonts w:hint="eastAsia" w:ascii="宋体" w:hAnsi="宋体" w:cs="宋体"/>
          <w:color w:val="000000" w:themeColor="text1"/>
          <w:spacing w:val="-2"/>
          <w:highlight w:val="none"/>
          <w:u w:val="single"/>
          <w14:textFill>
            <w14:solidFill>
              <w14:schemeClr w14:val="tx1"/>
            </w14:solidFill>
          </w14:textFill>
        </w:rPr>
        <w:t>标的名称</w:t>
      </w:r>
      <w:r>
        <w:rPr>
          <w:rFonts w:hint="eastAsia" w:ascii="宋体" w:hAnsi="宋体" w:cs="宋体"/>
          <w:color w:val="000000" w:themeColor="text1"/>
          <w:spacing w:val="-2"/>
          <w:highlight w:val="none"/>
          <w14:textFill>
            <w14:solidFill>
              <w14:schemeClr w14:val="tx1"/>
            </w14:solidFill>
          </w14:textFill>
        </w:rPr>
        <w:t>），属于（</w:t>
      </w:r>
      <w:r>
        <w:rPr>
          <w:rFonts w:hint="eastAsia" w:ascii="宋体" w:hAnsi="宋体" w:cs="宋体"/>
          <w:color w:val="000000" w:themeColor="text1"/>
          <w:spacing w:val="-2"/>
          <w:highlight w:val="none"/>
          <w:u w:val="single"/>
          <w14:textFill>
            <w14:solidFill>
              <w14:schemeClr w14:val="tx1"/>
            </w14:solidFill>
          </w14:textFill>
        </w:rPr>
        <w:t>采购文件中明确的所属行业</w:t>
      </w:r>
      <w:r>
        <w:rPr>
          <w:rFonts w:hint="eastAsia" w:ascii="宋体" w:hAnsi="宋体" w:cs="宋体"/>
          <w:color w:val="000000" w:themeColor="text1"/>
          <w:spacing w:val="-2"/>
          <w:highlight w:val="none"/>
          <w14:textFill>
            <w14:solidFill>
              <w14:schemeClr w14:val="tx1"/>
            </w14:solidFill>
          </w14:textFill>
        </w:rPr>
        <w:t>）；承建（承接）企业为（</w:t>
      </w:r>
      <w:r>
        <w:rPr>
          <w:rFonts w:hint="eastAsia" w:ascii="宋体" w:hAnsi="宋体" w:cs="宋体"/>
          <w:color w:val="000000" w:themeColor="text1"/>
          <w:spacing w:val="-2"/>
          <w:highlight w:val="none"/>
          <w:u w:val="single"/>
          <w14:textFill>
            <w14:solidFill>
              <w14:schemeClr w14:val="tx1"/>
            </w14:solidFill>
          </w14:textFill>
        </w:rPr>
        <w:t>企业名称</w:t>
      </w:r>
      <w:r>
        <w:rPr>
          <w:rFonts w:hint="eastAsia" w:ascii="宋体" w:hAnsi="宋体" w:cs="宋体"/>
          <w:color w:val="000000" w:themeColor="text1"/>
          <w:spacing w:val="-2"/>
          <w:highlight w:val="none"/>
          <w14:textFill>
            <w14:solidFill>
              <w14:schemeClr w14:val="tx1"/>
            </w14:solidFill>
          </w14:textFill>
        </w:rPr>
        <w:t>），从业人员</w:t>
      </w:r>
      <w:r>
        <w:rPr>
          <w:rFonts w:hint="eastAsia" w:ascii="宋体" w:hAnsi="宋体" w:cs="宋体"/>
          <w:color w:val="000000" w:themeColor="text1"/>
          <w:spacing w:val="-2"/>
          <w:highlight w:val="none"/>
          <w:u w:val="single"/>
          <w14:textFill>
            <w14:solidFill>
              <w14:schemeClr w14:val="tx1"/>
            </w14:solidFill>
          </w14:textFill>
        </w:rPr>
        <w:tab/>
      </w:r>
      <w:r>
        <w:rPr>
          <w:rFonts w:hint="eastAsia" w:ascii="宋体" w:hAnsi="宋体" w:cs="宋体"/>
          <w:color w:val="000000" w:themeColor="text1"/>
          <w:spacing w:val="-2"/>
          <w:highlight w:val="none"/>
          <w14:textFill>
            <w14:solidFill>
              <w14:schemeClr w14:val="tx1"/>
            </w14:solidFill>
          </w14:textFill>
        </w:rPr>
        <w:t>人，营业收入为</w:t>
      </w:r>
      <w:r>
        <w:rPr>
          <w:rFonts w:hint="eastAsia" w:ascii="宋体" w:hAnsi="宋体" w:cs="宋体"/>
          <w:color w:val="000000" w:themeColor="text1"/>
          <w:spacing w:val="-2"/>
          <w:highlight w:val="none"/>
          <w:u w:val="single"/>
          <w14:textFill>
            <w14:solidFill>
              <w14:schemeClr w14:val="tx1"/>
            </w14:solidFill>
          </w14:textFill>
        </w:rPr>
        <w:tab/>
      </w:r>
      <w:r>
        <w:rPr>
          <w:rFonts w:hint="eastAsia" w:ascii="宋体" w:hAnsi="宋体" w:cs="宋体"/>
          <w:color w:val="000000" w:themeColor="text1"/>
          <w:spacing w:val="-2"/>
          <w:highlight w:val="none"/>
          <w14:textFill>
            <w14:solidFill>
              <w14:schemeClr w14:val="tx1"/>
            </w14:solidFill>
          </w14:textFill>
        </w:rPr>
        <w:t>万元，资产总额为</w:t>
      </w:r>
      <w:r>
        <w:rPr>
          <w:rFonts w:hint="eastAsia" w:ascii="宋体" w:hAnsi="宋体" w:cs="宋体"/>
          <w:color w:val="000000" w:themeColor="text1"/>
          <w:spacing w:val="-2"/>
          <w:highlight w:val="none"/>
          <w:u w:val="single"/>
          <w14:textFill>
            <w14:solidFill>
              <w14:schemeClr w14:val="tx1"/>
            </w14:solidFill>
          </w14:textFill>
        </w:rPr>
        <w:tab/>
      </w:r>
      <w:r>
        <w:rPr>
          <w:rFonts w:hint="eastAsia" w:ascii="宋体" w:hAnsi="宋体" w:cs="宋体"/>
          <w:color w:val="000000" w:themeColor="text1"/>
          <w:spacing w:val="-2"/>
          <w:highlight w:val="none"/>
          <w14:textFill>
            <w14:solidFill>
              <w14:schemeClr w14:val="tx1"/>
            </w14:solidFill>
          </w14:textFill>
        </w:rPr>
        <w:t>万元，属于（</w:t>
      </w:r>
      <w:r>
        <w:rPr>
          <w:rFonts w:hint="eastAsia" w:ascii="宋体" w:hAnsi="宋体" w:cs="宋体"/>
          <w:color w:val="000000" w:themeColor="text1"/>
          <w:spacing w:val="-2"/>
          <w:highlight w:val="none"/>
          <w:u w:val="single"/>
          <w14:textFill>
            <w14:solidFill>
              <w14:schemeClr w14:val="tx1"/>
            </w14:solidFill>
          </w14:textFill>
        </w:rPr>
        <w:t>中型企业、小型企业、微型企业</w:t>
      </w:r>
      <w:r>
        <w:rPr>
          <w:rFonts w:hint="eastAsia" w:ascii="宋体" w:hAnsi="宋体" w:cs="宋体"/>
          <w:color w:val="000000" w:themeColor="text1"/>
          <w:spacing w:val="-2"/>
          <w:highlight w:val="none"/>
          <w14:textFill>
            <w14:solidFill>
              <w14:schemeClr w14:val="tx1"/>
            </w14:solidFill>
          </w14:textFill>
        </w:rPr>
        <w:t>）。</w:t>
      </w:r>
    </w:p>
    <w:p>
      <w:pPr>
        <w:pStyle w:val="9"/>
        <w:tabs>
          <w:tab w:val="left" w:pos="562"/>
          <w:tab w:val="left" w:pos="3372"/>
          <w:tab w:val="left" w:pos="3653"/>
        </w:tabs>
        <w:ind w:firstLine="472" w:firstLineChars="200"/>
        <w:rPr>
          <w:rFonts w:hint="eastAsia" w:ascii="宋体" w:hAnsi="宋体" w:cs="宋体"/>
          <w:color w:val="000000" w:themeColor="text1"/>
          <w:spacing w:val="-2"/>
          <w:highlight w:val="none"/>
          <w14:textFill>
            <w14:solidFill>
              <w14:schemeClr w14:val="tx1"/>
            </w14:solidFill>
          </w14:textFill>
        </w:rPr>
      </w:pPr>
      <w:r>
        <w:rPr>
          <w:rFonts w:hint="eastAsia" w:ascii="宋体" w:hAnsi="宋体" w:cs="宋体"/>
          <w:color w:val="000000" w:themeColor="text1"/>
          <w:spacing w:val="-2"/>
          <w:highlight w:val="none"/>
          <w14:textFill>
            <w14:solidFill>
              <w14:schemeClr w14:val="tx1"/>
            </w14:solidFill>
          </w14:textFill>
        </w:rPr>
        <w:t>2、（</w:t>
      </w:r>
      <w:r>
        <w:rPr>
          <w:rFonts w:hint="eastAsia" w:ascii="宋体" w:hAnsi="宋体" w:cs="宋体"/>
          <w:color w:val="000000" w:themeColor="text1"/>
          <w:spacing w:val="-2"/>
          <w:highlight w:val="none"/>
          <w:u w:val="single"/>
          <w14:textFill>
            <w14:solidFill>
              <w14:schemeClr w14:val="tx1"/>
            </w14:solidFill>
          </w14:textFill>
        </w:rPr>
        <w:t>标的名称</w:t>
      </w:r>
      <w:r>
        <w:rPr>
          <w:rFonts w:hint="eastAsia" w:ascii="宋体" w:hAnsi="宋体" w:cs="宋体"/>
          <w:color w:val="000000" w:themeColor="text1"/>
          <w:spacing w:val="-2"/>
          <w:highlight w:val="none"/>
          <w14:textFill>
            <w14:solidFill>
              <w14:schemeClr w14:val="tx1"/>
            </w14:solidFill>
          </w14:textFill>
        </w:rPr>
        <w:t>），属于（</w:t>
      </w:r>
      <w:r>
        <w:rPr>
          <w:rFonts w:hint="eastAsia" w:ascii="宋体" w:hAnsi="宋体" w:cs="宋体"/>
          <w:color w:val="000000" w:themeColor="text1"/>
          <w:spacing w:val="-2"/>
          <w:highlight w:val="none"/>
          <w:u w:val="single"/>
          <w14:textFill>
            <w14:solidFill>
              <w14:schemeClr w14:val="tx1"/>
            </w14:solidFill>
          </w14:textFill>
        </w:rPr>
        <w:t>采购文件中明确的所属行业</w:t>
      </w:r>
      <w:r>
        <w:rPr>
          <w:rFonts w:hint="eastAsia" w:ascii="宋体" w:hAnsi="宋体" w:cs="宋体"/>
          <w:color w:val="000000" w:themeColor="text1"/>
          <w:spacing w:val="-2"/>
          <w:highlight w:val="none"/>
          <w14:textFill>
            <w14:solidFill>
              <w14:schemeClr w14:val="tx1"/>
            </w14:solidFill>
          </w14:textFill>
        </w:rPr>
        <w:t>） ；承建（承接）企业为（</w:t>
      </w:r>
      <w:r>
        <w:rPr>
          <w:rFonts w:hint="eastAsia" w:ascii="宋体" w:hAnsi="宋体" w:cs="宋体"/>
          <w:color w:val="000000" w:themeColor="text1"/>
          <w:spacing w:val="-2"/>
          <w:highlight w:val="none"/>
          <w:u w:val="single"/>
          <w14:textFill>
            <w14:solidFill>
              <w14:schemeClr w14:val="tx1"/>
            </w14:solidFill>
          </w14:textFill>
        </w:rPr>
        <w:t>企业名称</w:t>
      </w:r>
      <w:r>
        <w:rPr>
          <w:rFonts w:hint="eastAsia" w:ascii="宋体" w:hAnsi="宋体" w:cs="宋体"/>
          <w:color w:val="000000" w:themeColor="text1"/>
          <w:spacing w:val="-2"/>
          <w:highlight w:val="none"/>
          <w14:textFill>
            <w14:solidFill>
              <w14:schemeClr w14:val="tx1"/>
            </w14:solidFill>
          </w14:textFill>
        </w:rPr>
        <w:t>），从业人员</w:t>
      </w:r>
      <w:r>
        <w:rPr>
          <w:rFonts w:hint="eastAsia" w:ascii="宋体" w:hAnsi="宋体" w:cs="宋体"/>
          <w:color w:val="000000" w:themeColor="text1"/>
          <w:spacing w:val="-2"/>
          <w:highlight w:val="none"/>
          <w:u w:val="single"/>
          <w14:textFill>
            <w14:solidFill>
              <w14:schemeClr w14:val="tx1"/>
            </w14:solidFill>
          </w14:textFill>
        </w:rPr>
        <w:tab/>
      </w:r>
      <w:r>
        <w:rPr>
          <w:rFonts w:hint="eastAsia" w:ascii="宋体" w:hAnsi="宋体" w:cs="宋体"/>
          <w:color w:val="000000" w:themeColor="text1"/>
          <w:spacing w:val="-2"/>
          <w:highlight w:val="none"/>
          <w14:textFill>
            <w14:solidFill>
              <w14:schemeClr w14:val="tx1"/>
            </w14:solidFill>
          </w14:textFill>
        </w:rPr>
        <w:t>人，营业收入为</w:t>
      </w:r>
      <w:r>
        <w:rPr>
          <w:rFonts w:hint="eastAsia" w:ascii="宋体" w:hAnsi="宋体" w:cs="宋体"/>
          <w:color w:val="000000" w:themeColor="text1"/>
          <w:spacing w:val="-2"/>
          <w:highlight w:val="none"/>
          <w:u w:val="single"/>
          <w14:textFill>
            <w14:solidFill>
              <w14:schemeClr w14:val="tx1"/>
            </w14:solidFill>
          </w14:textFill>
        </w:rPr>
        <w:tab/>
      </w:r>
      <w:r>
        <w:rPr>
          <w:rFonts w:hint="eastAsia" w:ascii="宋体" w:hAnsi="宋体" w:cs="宋体"/>
          <w:color w:val="000000" w:themeColor="text1"/>
          <w:spacing w:val="-2"/>
          <w:highlight w:val="none"/>
          <w14:textFill>
            <w14:solidFill>
              <w14:schemeClr w14:val="tx1"/>
            </w14:solidFill>
          </w14:textFill>
        </w:rPr>
        <w:t>万元，资产总额为</w:t>
      </w:r>
      <w:r>
        <w:rPr>
          <w:rFonts w:hint="eastAsia" w:ascii="宋体" w:hAnsi="宋体" w:cs="宋体"/>
          <w:color w:val="000000" w:themeColor="text1"/>
          <w:spacing w:val="-2"/>
          <w:highlight w:val="none"/>
          <w:u w:val="single"/>
          <w14:textFill>
            <w14:solidFill>
              <w14:schemeClr w14:val="tx1"/>
            </w14:solidFill>
          </w14:textFill>
        </w:rPr>
        <w:tab/>
      </w:r>
      <w:r>
        <w:rPr>
          <w:rFonts w:hint="eastAsia" w:ascii="宋体" w:hAnsi="宋体" w:cs="宋体"/>
          <w:color w:val="000000" w:themeColor="text1"/>
          <w:spacing w:val="-2"/>
          <w:highlight w:val="none"/>
          <w14:textFill>
            <w14:solidFill>
              <w14:schemeClr w14:val="tx1"/>
            </w14:solidFill>
          </w14:textFill>
        </w:rPr>
        <w:t>万元，属于（</w:t>
      </w:r>
      <w:r>
        <w:rPr>
          <w:rFonts w:hint="eastAsia" w:ascii="宋体" w:hAnsi="宋体" w:cs="宋体"/>
          <w:color w:val="000000" w:themeColor="text1"/>
          <w:spacing w:val="-2"/>
          <w:highlight w:val="none"/>
          <w:u w:val="single"/>
          <w14:textFill>
            <w14:solidFill>
              <w14:schemeClr w14:val="tx1"/>
            </w14:solidFill>
          </w14:textFill>
        </w:rPr>
        <w:t>中型企业、小型企业、微型企业</w:t>
      </w:r>
      <w:r>
        <w:rPr>
          <w:rFonts w:hint="eastAsia" w:ascii="宋体" w:hAnsi="宋体" w:cs="宋体"/>
          <w:color w:val="000000" w:themeColor="text1"/>
          <w:spacing w:val="-2"/>
          <w:highlight w:val="none"/>
          <w14:textFill>
            <w14:solidFill>
              <w14:schemeClr w14:val="tx1"/>
            </w14:solidFill>
          </w14:textFill>
        </w:rPr>
        <w:t>）；</w:t>
      </w:r>
    </w:p>
    <w:p>
      <w:pPr>
        <w:pStyle w:val="9"/>
        <w:tabs>
          <w:tab w:val="left" w:pos="562"/>
          <w:tab w:val="left" w:pos="3372"/>
          <w:tab w:val="left" w:pos="3653"/>
        </w:tabs>
        <w:ind w:firstLine="472" w:firstLineChars="200"/>
        <w:rPr>
          <w:rFonts w:hint="eastAsia" w:ascii="宋体" w:hAnsi="宋体" w:cs="宋体"/>
          <w:color w:val="000000" w:themeColor="text1"/>
          <w:spacing w:val="-2"/>
          <w:highlight w:val="none"/>
          <w14:textFill>
            <w14:solidFill>
              <w14:schemeClr w14:val="tx1"/>
            </w14:solidFill>
          </w14:textFill>
        </w:rPr>
      </w:pPr>
      <w:r>
        <w:rPr>
          <w:rFonts w:hint="eastAsia" w:ascii="宋体" w:hAnsi="宋体" w:cs="宋体"/>
          <w:color w:val="000000" w:themeColor="text1"/>
          <w:spacing w:val="-2"/>
          <w:highlight w:val="none"/>
          <w14:textFill>
            <w14:solidFill>
              <w14:schemeClr w14:val="tx1"/>
            </w14:solidFill>
          </w14:textFill>
        </w:rPr>
        <w:t>……</w:t>
      </w:r>
    </w:p>
    <w:p>
      <w:pPr>
        <w:pStyle w:val="9"/>
        <w:tabs>
          <w:tab w:val="left" w:pos="562"/>
          <w:tab w:val="left" w:pos="3372"/>
          <w:tab w:val="left" w:pos="3653"/>
        </w:tabs>
        <w:ind w:firstLine="472" w:firstLineChars="200"/>
        <w:rPr>
          <w:rFonts w:hint="eastAsia" w:ascii="宋体" w:hAnsi="宋体" w:cs="宋体"/>
          <w:color w:val="000000" w:themeColor="text1"/>
          <w:spacing w:val="-2"/>
          <w:highlight w:val="none"/>
          <w14:textFill>
            <w14:solidFill>
              <w14:schemeClr w14:val="tx1"/>
            </w14:solidFill>
          </w14:textFill>
        </w:rPr>
      </w:pPr>
      <w:r>
        <w:rPr>
          <w:rFonts w:hint="eastAsia" w:ascii="宋体" w:hAnsi="宋体" w:cs="宋体"/>
          <w:color w:val="000000" w:themeColor="text1"/>
          <w:spacing w:val="-2"/>
          <w:highlight w:val="none"/>
          <w14:textFill>
            <w14:solidFill>
              <w14:schemeClr w14:val="tx1"/>
            </w14:solidFill>
          </w14:textFill>
        </w:rPr>
        <w:t>以上企业，不属于大企业的分支机构，不存在控股股东为大企业的情形，也不存在与大企业的负责人为同一人的情形。</w:t>
      </w:r>
    </w:p>
    <w:p>
      <w:pPr>
        <w:pStyle w:val="9"/>
        <w:tabs>
          <w:tab w:val="left" w:pos="562"/>
          <w:tab w:val="left" w:pos="3372"/>
          <w:tab w:val="left" w:pos="3653"/>
        </w:tabs>
        <w:ind w:firstLine="472" w:firstLineChars="200"/>
        <w:rPr>
          <w:rFonts w:hint="eastAsia" w:ascii="宋体" w:hAnsi="宋体" w:cs="宋体"/>
          <w:color w:val="000000" w:themeColor="text1"/>
          <w:spacing w:val="-2"/>
          <w:highlight w:val="none"/>
          <w14:textFill>
            <w14:solidFill>
              <w14:schemeClr w14:val="tx1"/>
            </w14:solidFill>
          </w14:textFill>
        </w:rPr>
      </w:pPr>
      <w:r>
        <w:rPr>
          <w:rFonts w:hint="eastAsia" w:ascii="宋体" w:hAnsi="宋体" w:cs="宋体"/>
          <w:color w:val="000000" w:themeColor="text1"/>
          <w:spacing w:val="-2"/>
          <w:highlight w:val="none"/>
          <w14:textFill>
            <w14:solidFill>
              <w14:schemeClr w14:val="tx1"/>
            </w14:solidFill>
          </w14:textFill>
        </w:rPr>
        <w:t>本企业对上述声明内容的真实性负责。如有虚假，将依法承担相应责任。</w:t>
      </w:r>
    </w:p>
    <w:p>
      <w:pPr>
        <w:pStyle w:val="9"/>
        <w:tabs>
          <w:tab w:val="left" w:pos="562"/>
          <w:tab w:val="left" w:pos="3372"/>
          <w:tab w:val="left" w:pos="3653"/>
        </w:tabs>
        <w:ind w:firstLine="472" w:firstLineChars="200"/>
        <w:rPr>
          <w:rFonts w:hint="eastAsia" w:ascii="宋体" w:hAnsi="宋体" w:cs="宋体"/>
          <w:color w:val="000000" w:themeColor="text1"/>
          <w:spacing w:val="-2"/>
          <w:highlight w:val="none"/>
          <w14:textFill>
            <w14:solidFill>
              <w14:schemeClr w14:val="tx1"/>
            </w14:solidFill>
          </w14:textFill>
        </w:rPr>
      </w:pPr>
    </w:p>
    <w:p>
      <w:pPr>
        <w:pStyle w:val="9"/>
        <w:tabs>
          <w:tab w:val="left" w:pos="562"/>
          <w:tab w:val="left" w:pos="3372"/>
          <w:tab w:val="left" w:pos="3653"/>
        </w:tabs>
        <w:ind w:firstLine="472" w:firstLineChars="200"/>
        <w:rPr>
          <w:rFonts w:hint="eastAsia" w:ascii="宋体" w:hAnsi="宋体" w:cs="宋体"/>
          <w:color w:val="000000" w:themeColor="text1"/>
          <w:spacing w:val="-2"/>
          <w:highlight w:val="none"/>
          <w14:textFill>
            <w14:solidFill>
              <w14:schemeClr w14:val="tx1"/>
            </w14:solidFill>
          </w14:textFill>
        </w:rPr>
      </w:pPr>
      <w:r>
        <w:rPr>
          <w:rFonts w:hint="eastAsia" w:ascii="宋体" w:hAnsi="宋体" w:cs="宋体"/>
          <w:color w:val="000000" w:themeColor="text1"/>
          <w:spacing w:val="-2"/>
          <w:highlight w:val="none"/>
          <w14:textFill>
            <w14:solidFill>
              <w14:schemeClr w14:val="tx1"/>
            </w14:solidFill>
          </w14:textFill>
        </w:rPr>
        <w:t>注意事项：</w:t>
      </w:r>
    </w:p>
    <w:p>
      <w:pPr>
        <w:pStyle w:val="9"/>
        <w:tabs>
          <w:tab w:val="left" w:pos="562"/>
          <w:tab w:val="left" w:pos="3372"/>
          <w:tab w:val="left" w:pos="3653"/>
        </w:tabs>
        <w:spacing w:after="0"/>
        <w:ind w:firstLine="472" w:firstLineChars="200"/>
        <w:rPr>
          <w:rFonts w:hint="eastAsia" w:ascii="宋体" w:hAnsi="宋体" w:cs="宋体"/>
          <w:color w:val="000000" w:themeColor="text1"/>
          <w:spacing w:val="-2"/>
          <w:highlight w:val="none"/>
          <w14:textFill>
            <w14:solidFill>
              <w14:schemeClr w14:val="tx1"/>
            </w14:solidFill>
          </w14:textFill>
        </w:rPr>
      </w:pPr>
      <w:r>
        <w:rPr>
          <w:rFonts w:hint="eastAsia" w:ascii="宋体" w:hAnsi="宋体" w:cs="宋体"/>
          <w:color w:val="000000" w:themeColor="text1"/>
          <w:spacing w:val="-2"/>
          <w:highlight w:val="none"/>
          <w14:textFill>
            <w14:solidFill>
              <w14:schemeClr w14:val="tx1"/>
            </w14:solidFill>
          </w14:textFill>
        </w:rPr>
        <w:t>1.从业人员、营业收入、资产总额填报上一年度数据，无上一年度数据的新成立企业可不填报。</w:t>
      </w:r>
    </w:p>
    <w:p>
      <w:pPr>
        <w:pStyle w:val="9"/>
        <w:tabs>
          <w:tab w:val="left" w:pos="562"/>
          <w:tab w:val="left" w:pos="3372"/>
          <w:tab w:val="left" w:pos="3653"/>
        </w:tabs>
        <w:spacing w:after="0"/>
        <w:ind w:firstLine="472" w:firstLineChars="200"/>
        <w:rPr>
          <w:rFonts w:hint="eastAsia" w:ascii="宋体" w:hAnsi="宋体" w:cs="宋体"/>
          <w:color w:val="000000" w:themeColor="text1"/>
          <w:spacing w:val="-2"/>
          <w:highlight w:val="none"/>
          <w14:textFill>
            <w14:solidFill>
              <w14:schemeClr w14:val="tx1"/>
            </w14:solidFill>
          </w14:textFill>
        </w:rPr>
      </w:pPr>
      <w:r>
        <w:rPr>
          <w:rFonts w:hint="eastAsia" w:ascii="宋体" w:hAnsi="宋体" w:cs="宋体"/>
          <w:color w:val="000000" w:themeColor="text1"/>
          <w:spacing w:val="-2"/>
          <w:highlight w:val="none"/>
          <w14:textFill>
            <w14:solidFill>
              <w14:schemeClr w14:val="tx1"/>
            </w14:solidFill>
          </w14:textFill>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pStyle w:val="9"/>
        <w:tabs>
          <w:tab w:val="left" w:pos="562"/>
          <w:tab w:val="left" w:pos="3372"/>
          <w:tab w:val="left" w:pos="3653"/>
        </w:tabs>
        <w:spacing w:after="0"/>
        <w:ind w:firstLine="472" w:firstLineChars="200"/>
        <w:rPr>
          <w:rFonts w:hint="eastAsia" w:ascii="宋体" w:hAnsi="宋体" w:cs="宋体"/>
          <w:color w:val="000000" w:themeColor="text1"/>
          <w:spacing w:val="-2"/>
          <w:highlight w:val="none"/>
          <w14:textFill>
            <w14:solidFill>
              <w14:schemeClr w14:val="tx1"/>
            </w14:solidFill>
          </w14:textFill>
        </w:rPr>
      </w:pPr>
      <w:r>
        <w:rPr>
          <w:rFonts w:hint="eastAsia" w:ascii="宋体" w:hAnsi="宋体" w:cs="宋体"/>
          <w:color w:val="000000" w:themeColor="text1"/>
          <w:spacing w:val="-2"/>
          <w:highlight w:val="none"/>
          <w14:textFill>
            <w14:solidFill>
              <w14:schemeClr w14:val="tx1"/>
            </w14:solidFill>
          </w14:textFill>
        </w:rPr>
        <w:t>3.事业单位、社会组织等非企业主体不享受中小企业扶持政策，但事业单位、社会组织等非企业主体提供全部由中小企业制造的货物参加货物采购项目的除外。</w:t>
      </w:r>
    </w:p>
    <w:p>
      <w:pPr>
        <w:pStyle w:val="9"/>
        <w:tabs>
          <w:tab w:val="left" w:pos="562"/>
          <w:tab w:val="left" w:pos="3372"/>
          <w:tab w:val="left" w:pos="3653"/>
        </w:tabs>
        <w:spacing w:after="0"/>
        <w:ind w:firstLine="472" w:firstLineChars="200"/>
        <w:rPr>
          <w:rFonts w:hint="eastAsia" w:ascii="宋体" w:hAnsi="宋体" w:cs="宋体"/>
          <w:color w:val="000000" w:themeColor="text1"/>
          <w:spacing w:val="-2"/>
          <w:highlight w:val="none"/>
          <w14:textFill>
            <w14:solidFill>
              <w14:schemeClr w14:val="tx1"/>
            </w14:solidFill>
          </w14:textFill>
        </w:rPr>
      </w:pPr>
      <w:r>
        <w:rPr>
          <w:rFonts w:hint="eastAsia" w:ascii="宋体" w:hAnsi="宋体" w:cs="宋体"/>
          <w:color w:val="000000" w:themeColor="text1"/>
          <w:spacing w:val="-2"/>
          <w:highlight w:val="none"/>
          <w14:textFill>
            <w14:solidFill>
              <w14:schemeClr w14:val="tx1"/>
            </w14:solidFill>
          </w14:textFill>
        </w:rPr>
        <w:t>4.相关承接/承建企业的所属行业应当与采购标的所属行业（采购文件中明确的行业）相一致。</w:t>
      </w:r>
    </w:p>
    <w:p>
      <w:pPr>
        <w:pStyle w:val="9"/>
        <w:tabs>
          <w:tab w:val="left" w:pos="562"/>
          <w:tab w:val="left" w:pos="3372"/>
          <w:tab w:val="left" w:pos="3653"/>
        </w:tabs>
        <w:spacing w:after="0"/>
        <w:ind w:firstLine="472" w:firstLineChars="200"/>
        <w:rPr>
          <w:rFonts w:hint="eastAsia" w:ascii="宋体" w:hAnsi="宋体" w:cs="宋体"/>
          <w:color w:val="000000" w:themeColor="text1"/>
          <w:spacing w:val="-2"/>
          <w:highlight w:val="none"/>
          <w14:textFill>
            <w14:solidFill>
              <w14:schemeClr w14:val="tx1"/>
            </w14:solidFill>
          </w14:textFill>
        </w:rPr>
      </w:pPr>
      <w:r>
        <w:rPr>
          <w:rFonts w:hint="eastAsia" w:ascii="宋体" w:hAnsi="宋体" w:cs="宋体"/>
          <w:color w:val="000000" w:themeColor="text1"/>
          <w:spacing w:val="-2"/>
          <w:highlight w:val="none"/>
          <w14:textFill>
            <w14:solidFill>
              <w14:schemeClr w14:val="tx1"/>
            </w14:solidFill>
          </w14:textFill>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9"/>
        <w:tabs>
          <w:tab w:val="left" w:pos="562"/>
          <w:tab w:val="left" w:pos="3372"/>
          <w:tab w:val="left" w:pos="3653"/>
        </w:tabs>
        <w:ind w:left="4200" w:leftChars="2000"/>
        <w:rPr>
          <w:rFonts w:hint="eastAsia" w:ascii="宋体" w:hAnsi="宋体" w:cs="宋体"/>
          <w:color w:val="000000" w:themeColor="text1"/>
          <w:spacing w:val="-2"/>
          <w:highlight w:val="none"/>
          <w14:textFill>
            <w14:solidFill>
              <w14:schemeClr w14:val="tx1"/>
            </w14:solidFill>
          </w14:textFill>
        </w:rPr>
      </w:pPr>
    </w:p>
    <w:p>
      <w:pPr>
        <w:pStyle w:val="9"/>
        <w:tabs>
          <w:tab w:val="left" w:pos="562"/>
          <w:tab w:val="left" w:pos="3372"/>
          <w:tab w:val="left" w:pos="3653"/>
        </w:tabs>
        <w:ind w:left="4200" w:leftChars="2000"/>
        <w:rPr>
          <w:rFonts w:hint="eastAsia" w:ascii="宋体" w:hAnsi="宋体" w:cs="宋体"/>
          <w:color w:val="000000" w:themeColor="text1"/>
          <w:spacing w:val="-2"/>
          <w:highlight w:val="none"/>
          <w14:textFill>
            <w14:solidFill>
              <w14:schemeClr w14:val="tx1"/>
            </w14:solidFill>
          </w14:textFill>
        </w:rPr>
      </w:pPr>
      <w:r>
        <w:rPr>
          <w:rFonts w:hint="eastAsia" w:ascii="宋体" w:hAnsi="宋体" w:cs="宋体"/>
          <w:color w:val="000000" w:themeColor="text1"/>
          <w:spacing w:val="-2"/>
          <w:highlight w:val="none"/>
          <w14:textFill>
            <w14:solidFill>
              <w14:schemeClr w14:val="tx1"/>
            </w14:solidFill>
          </w14:textFill>
        </w:rPr>
        <w:t>企业名称（盖章）日期：</w:t>
      </w:r>
    </w:p>
    <w:p>
      <w:pPr>
        <w:pStyle w:val="9"/>
        <w:tabs>
          <w:tab w:val="left" w:pos="562"/>
          <w:tab w:val="left" w:pos="3372"/>
          <w:tab w:val="left" w:pos="3653"/>
        </w:tabs>
        <w:spacing w:before="3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pacing w:val="-2"/>
          <w:highlight w:val="none"/>
          <w14:textFill>
            <w14:solidFill>
              <w14:schemeClr w14:val="tx1"/>
            </w14:solidFill>
          </w14:textFill>
        </w:rPr>
        <w:t>从业人员、营业收入、资产总额填报上一年度数据，无上一年度数据的新成立企业可不填报。</w:t>
      </w:r>
      <w:r>
        <w:rPr>
          <w:rFonts w:hint="eastAsia" w:ascii="宋体" w:hAnsi="宋体" w:cs="宋体"/>
          <w:color w:val="000000" w:themeColor="text1"/>
          <w:highlight w:val="none"/>
          <w14:textFill>
            <w14:solidFill>
              <w14:schemeClr w14:val="tx1"/>
            </w14:solidFill>
          </w14:textFill>
        </w:rPr>
        <w:br w:type="page"/>
      </w:r>
      <w:r>
        <w:rPr>
          <w:rFonts w:hint="eastAsia" w:ascii="宋体" w:hAnsi="宋体" w:cs="宋体"/>
          <w:b/>
          <w:bCs/>
          <w:color w:val="000000" w:themeColor="text1"/>
          <w:highlight w:val="none"/>
          <w14:textFill>
            <w14:solidFill>
              <w14:schemeClr w14:val="tx1"/>
            </w14:solidFill>
          </w14:textFill>
        </w:rPr>
        <w:t>附 2</w:t>
      </w:r>
    </w:p>
    <w:p>
      <w:pPr>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u w:val="single" w:color="000000"/>
          <w14:textFill>
            <w14:solidFill>
              <w14:schemeClr w14:val="tx1"/>
            </w14:solidFill>
          </w14:textFill>
        </w:rPr>
        <w:t>（单位名称）</w:t>
      </w:r>
      <w:r>
        <w:rPr>
          <w:rFonts w:hint="eastAsia" w:ascii="宋体" w:hAnsi="宋体" w:cs="宋体"/>
          <w:color w:val="000000" w:themeColor="text1"/>
          <w:spacing w:val="-29"/>
          <w:sz w:val="24"/>
          <w:highlight w:val="none"/>
          <w14:textFill>
            <w14:solidFill>
              <w14:schemeClr w14:val="tx1"/>
            </w14:solidFill>
          </w14:textFill>
        </w:rPr>
        <w:t>××</w:t>
      </w:r>
      <w:r>
        <w:rPr>
          <w:rFonts w:hint="eastAsia" w:ascii="宋体" w:hAnsi="宋体" w:cs="宋体"/>
          <w:b/>
          <w:color w:val="000000" w:themeColor="text1"/>
          <w:sz w:val="24"/>
          <w:highlight w:val="none"/>
          <w14:textFill>
            <w14:solidFill>
              <w14:schemeClr w14:val="tx1"/>
            </w14:solidFill>
          </w14:textFill>
        </w:rPr>
        <w:t>年面向中小企业预留项目执行情况公告</w:t>
      </w:r>
    </w:p>
    <w:p>
      <w:pPr>
        <w:pStyle w:val="9"/>
        <w:tabs>
          <w:tab w:val="left" w:pos="562"/>
          <w:tab w:val="left" w:pos="3372"/>
          <w:tab w:val="left" w:pos="3653"/>
        </w:tabs>
        <w:ind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根据《政府采购促进中小企业发展管理办法》（财库﹝2020﹞46</w:t>
      </w:r>
      <w:r>
        <w:rPr>
          <w:rFonts w:hint="eastAsia" w:ascii="宋体" w:hAnsi="宋体" w:cs="宋体"/>
          <w:color w:val="000000" w:themeColor="text1"/>
          <w:spacing w:val="-47"/>
          <w:highlight w:val="none"/>
          <w14:textFill>
            <w14:solidFill>
              <w14:schemeClr w14:val="tx1"/>
            </w14:solidFill>
          </w14:textFill>
        </w:rPr>
        <w:t xml:space="preserve"> 号</w:t>
      </w:r>
      <w:r>
        <w:rPr>
          <w:rFonts w:hint="eastAsia" w:ascii="宋体" w:hAnsi="宋体" w:cs="宋体"/>
          <w:color w:val="000000" w:themeColor="text1"/>
          <w:spacing w:val="-22"/>
          <w:highlight w:val="none"/>
          <w14:textFill>
            <w14:solidFill>
              <w14:schemeClr w14:val="tx1"/>
            </w14:solidFill>
          </w14:textFill>
        </w:rPr>
        <w:t>）</w:t>
      </w:r>
      <w:r>
        <w:rPr>
          <w:rFonts w:hint="eastAsia" w:ascii="宋体" w:hAnsi="宋体" w:cs="宋体"/>
          <w:color w:val="000000" w:themeColor="text1"/>
          <w:spacing w:val="-7"/>
          <w:highlight w:val="none"/>
          <w14:textFill>
            <w14:solidFill>
              <w14:schemeClr w14:val="tx1"/>
            </w14:solidFill>
          </w14:textFill>
        </w:rPr>
        <w:t>要求，现对本部门</w:t>
      </w:r>
      <w:r>
        <w:rPr>
          <w:rFonts w:hint="eastAsia" w:ascii="宋体" w:hAnsi="宋体" w:cs="宋体"/>
          <w:color w:val="000000" w:themeColor="text1"/>
          <w:spacing w:val="-3"/>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单位</w:t>
      </w:r>
      <w:r>
        <w:rPr>
          <w:rFonts w:hint="eastAsia" w:ascii="宋体" w:hAnsi="宋体" w:cs="宋体"/>
          <w:color w:val="000000" w:themeColor="text1"/>
          <w:spacing w:val="-7"/>
          <w:highlight w:val="none"/>
          <w14:textFill>
            <w14:solidFill>
              <w14:schemeClr w14:val="tx1"/>
            </w14:solidFill>
          </w14:textFill>
        </w:rPr>
        <w:t>）</w:t>
      </w:r>
      <w:r>
        <w:rPr>
          <w:rFonts w:hint="eastAsia" w:ascii="宋体" w:hAnsi="宋体" w:cs="宋体"/>
          <w:color w:val="000000" w:themeColor="text1"/>
          <w:spacing w:val="-4"/>
          <w:highlight w:val="none"/>
          <w14:textFill>
            <w14:solidFill>
              <w14:schemeClr w14:val="tx1"/>
            </w14:solidFill>
          </w14:textFill>
        </w:rPr>
        <w:t>××年面向中小企业预留项目执行情况公告如下：</w:t>
      </w:r>
    </w:p>
    <w:p>
      <w:pPr>
        <w:pStyle w:val="9"/>
        <w:tabs>
          <w:tab w:val="left" w:pos="562"/>
          <w:tab w:val="left" w:pos="3372"/>
          <w:tab w:val="left" w:pos="3653"/>
        </w:tabs>
        <w:ind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本部门（单位）××年预留项目面向中小企业采购共计××万元，其中，面向小微企业采购××万元，占××%。</w:t>
      </w:r>
    </w:p>
    <w:p>
      <w:pPr>
        <w:pStyle w:val="9"/>
        <w:tabs>
          <w:tab w:val="left" w:pos="562"/>
          <w:tab w:val="left" w:pos="3372"/>
          <w:tab w:val="left" w:pos="3653"/>
        </w:tabs>
        <w:jc w:val="center"/>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面向中小企业预留项目明细</w:t>
      </w:r>
    </w:p>
    <w:tbl>
      <w:tblPr>
        <w:tblStyle w:val="20"/>
        <w:tblW w:w="88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0"/>
              <w:jc w:val="center"/>
              <w:rPr>
                <w:rFonts w:hint="eastAsia"/>
                <w:b/>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序号</w:t>
            </w:r>
          </w:p>
        </w:tc>
        <w:tc>
          <w:tcPr>
            <w:tcW w:w="1866" w:type="dxa"/>
            <w:vAlign w:val="center"/>
          </w:tcPr>
          <w:p>
            <w:pPr>
              <w:pStyle w:val="30"/>
              <w:jc w:val="center"/>
              <w:rPr>
                <w:rFonts w:hint="eastAsia"/>
                <w:b/>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项目名称</w:t>
            </w:r>
          </w:p>
        </w:tc>
        <w:tc>
          <w:tcPr>
            <w:tcW w:w="2010" w:type="dxa"/>
            <w:vAlign w:val="center"/>
          </w:tcPr>
          <w:p>
            <w:pPr>
              <w:pStyle w:val="30"/>
              <w:jc w:val="center"/>
              <w:rPr>
                <w:rFonts w:hint="eastAsia"/>
                <w:b/>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预留选项</w:t>
            </w:r>
          </w:p>
        </w:tc>
        <w:tc>
          <w:tcPr>
            <w:tcW w:w="2296" w:type="dxa"/>
            <w:vAlign w:val="center"/>
          </w:tcPr>
          <w:p>
            <w:pPr>
              <w:pStyle w:val="30"/>
              <w:jc w:val="center"/>
              <w:rPr>
                <w:rFonts w:hint="eastAsia"/>
                <w:b/>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面向中小企业采购金额</w:t>
            </w:r>
          </w:p>
        </w:tc>
        <w:tc>
          <w:tcPr>
            <w:tcW w:w="1784" w:type="dxa"/>
            <w:vAlign w:val="center"/>
          </w:tcPr>
          <w:p>
            <w:pPr>
              <w:pStyle w:val="30"/>
              <w:jc w:val="center"/>
              <w:rPr>
                <w:rFonts w:hint="eastAsia"/>
                <w:b/>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30"/>
              <w:jc w:val="center"/>
              <w:rPr>
                <w:rFonts w:hint="eastAsia"/>
                <w:color w:val="000000" w:themeColor="text1"/>
                <w:sz w:val="24"/>
                <w:szCs w:val="24"/>
                <w:highlight w:val="none"/>
                <w14:textFill>
                  <w14:solidFill>
                    <w14:schemeClr w14:val="tx1"/>
                  </w14:solidFill>
                </w14:textFill>
              </w:rPr>
            </w:pPr>
          </w:p>
        </w:tc>
        <w:tc>
          <w:tcPr>
            <w:tcW w:w="1866" w:type="dxa"/>
            <w:tcBorders>
              <w:bottom w:val="nil"/>
            </w:tcBorders>
            <w:vAlign w:val="center"/>
          </w:tcPr>
          <w:p>
            <w:pPr>
              <w:pStyle w:val="30"/>
              <w:jc w:val="center"/>
              <w:rPr>
                <w:rFonts w:hint="eastAsia"/>
                <w:color w:val="000000" w:themeColor="text1"/>
                <w:sz w:val="24"/>
                <w:szCs w:val="24"/>
                <w:highlight w:val="none"/>
                <w14:textFill>
                  <w14:solidFill>
                    <w14:schemeClr w14:val="tx1"/>
                  </w14:solidFill>
                </w14:textFill>
              </w:rPr>
            </w:pPr>
          </w:p>
        </w:tc>
        <w:tc>
          <w:tcPr>
            <w:tcW w:w="2010" w:type="dxa"/>
            <w:tcBorders>
              <w:bottom w:val="nil"/>
            </w:tcBorders>
            <w:vAlign w:val="center"/>
          </w:tcPr>
          <w:p>
            <w:pPr>
              <w:pStyle w:val="30"/>
              <w:jc w:val="cente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（填写“采购项</w:t>
            </w:r>
          </w:p>
        </w:tc>
        <w:tc>
          <w:tcPr>
            <w:tcW w:w="2296" w:type="dxa"/>
            <w:tcBorders>
              <w:bottom w:val="nil"/>
            </w:tcBorders>
            <w:vAlign w:val="center"/>
          </w:tcPr>
          <w:p>
            <w:pPr>
              <w:pStyle w:val="30"/>
              <w:jc w:val="center"/>
              <w:rPr>
                <w:rFonts w:hint="eastAsia"/>
                <w:color w:val="000000" w:themeColor="text1"/>
                <w:sz w:val="24"/>
                <w:szCs w:val="24"/>
                <w:highlight w:val="none"/>
                <w14:textFill>
                  <w14:solidFill>
                    <w14:schemeClr w14:val="tx1"/>
                  </w14:solidFill>
                </w14:textFill>
              </w:rPr>
            </w:pPr>
          </w:p>
        </w:tc>
        <w:tc>
          <w:tcPr>
            <w:tcW w:w="1784" w:type="dxa"/>
            <w:vMerge w:val="restart"/>
            <w:vAlign w:val="center"/>
          </w:tcPr>
          <w:p>
            <w:pPr>
              <w:pStyle w:val="30"/>
              <w:jc w:val="center"/>
              <w:rPr>
                <w:rFonts w:hint="eastAsia"/>
                <w:color w:val="000000" w:themeColor="text1"/>
                <w:sz w:val="24"/>
                <w:szCs w:val="24"/>
                <w:highlight w:val="none"/>
                <w14:textFill>
                  <w14:solidFill>
                    <w14:schemeClr w14:val="tx1"/>
                  </w14:solidFill>
                </w14:textFill>
              </w:rPr>
            </w:pPr>
          </w:p>
          <w:p>
            <w:pPr>
              <w:pStyle w:val="30"/>
              <w:jc w:val="center"/>
              <w:rPr>
                <w:rFonts w:hint="eastAsia"/>
                <w:color w:val="000000" w:themeColor="text1"/>
                <w:sz w:val="24"/>
                <w:szCs w:val="24"/>
                <w:highlight w:val="none"/>
                <w14:textFill>
                  <w14:solidFill>
                    <w14:schemeClr w14:val="tx1"/>
                  </w14:solidFill>
                </w14:textFill>
              </w:rPr>
            </w:pPr>
          </w:p>
          <w:p>
            <w:pPr>
              <w:pStyle w:val="30"/>
              <w:jc w:val="cente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highlight w:val="none"/>
                <w14:textFill>
                  <w14:solidFill>
                    <w14:schemeClr w14:val="tx1"/>
                  </w14:solidFill>
                </w14:textFill>
              </w:rPr>
            </w:pPr>
          </w:p>
        </w:tc>
        <w:tc>
          <w:tcPr>
            <w:tcW w:w="1866" w:type="dxa"/>
            <w:tcBorders>
              <w:top w:val="nil"/>
              <w:bottom w:val="nil"/>
            </w:tcBorders>
            <w:vAlign w:val="center"/>
          </w:tcPr>
          <w:p>
            <w:pPr>
              <w:pStyle w:val="30"/>
              <w:jc w:val="center"/>
              <w:rPr>
                <w:rFonts w:hint="eastAsia"/>
                <w:color w:val="000000" w:themeColor="text1"/>
                <w:sz w:val="24"/>
                <w:szCs w:val="24"/>
                <w:highlight w:val="none"/>
                <w14:textFill>
                  <w14:solidFill>
                    <w14:schemeClr w14:val="tx1"/>
                  </w14:solidFill>
                </w14:textFill>
              </w:rPr>
            </w:pPr>
          </w:p>
        </w:tc>
        <w:tc>
          <w:tcPr>
            <w:tcW w:w="2010" w:type="dxa"/>
            <w:tcBorders>
              <w:top w:val="nil"/>
              <w:bottom w:val="nil"/>
            </w:tcBorders>
            <w:vAlign w:val="center"/>
          </w:tcPr>
          <w:p>
            <w:pPr>
              <w:pStyle w:val="30"/>
              <w:jc w:val="cente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目整体预留”、</w:t>
            </w:r>
          </w:p>
        </w:tc>
        <w:tc>
          <w:tcPr>
            <w:tcW w:w="2296" w:type="dxa"/>
            <w:tcBorders>
              <w:top w:val="nil"/>
              <w:bottom w:val="nil"/>
            </w:tcBorders>
            <w:vAlign w:val="center"/>
          </w:tcPr>
          <w:p>
            <w:pPr>
              <w:pStyle w:val="30"/>
              <w:jc w:val="center"/>
              <w:rPr>
                <w:rFonts w:hint="eastAsia"/>
                <w:color w:val="000000" w:themeColor="text1"/>
                <w:sz w:val="24"/>
                <w:szCs w:val="24"/>
                <w:highlight w:val="none"/>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highlight w:val="none"/>
                <w14:textFill>
                  <w14:solidFill>
                    <w14:schemeClr w14:val="tx1"/>
                  </w14:solidFill>
                </w14:textFill>
              </w:rPr>
            </w:pPr>
          </w:p>
        </w:tc>
        <w:tc>
          <w:tcPr>
            <w:tcW w:w="1866" w:type="dxa"/>
            <w:tcBorders>
              <w:top w:val="nil"/>
              <w:bottom w:val="nil"/>
            </w:tcBorders>
            <w:vAlign w:val="center"/>
          </w:tcPr>
          <w:p>
            <w:pPr>
              <w:pStyle w:val="30"/>
              <w:jc w:val="center"/>
              <w:rPr>
                <w:rFonts w:hint="eastAsia"/>
                <w:color w:val="000000" w:themeColor="text1"/>
                <w:sz w:val="24"/>
                <w:szCs w:val="24"/>
                <w:highlight w:val="none"/>
                <w14:textFill>
                  <w14:solidFill>
                    <w14:schemeClr w14:val="tx1"/>
                  </w14:solidFill>
                </w14:textFill>
              </w:rPr>
            </w:pPr>
          </w:p>
        </w:tc>
        <w:tc>
          <w:tcPr>
            <w:tcW w:w="2010" w:type="dxa"/>
            <w:tcBorders>
              <w:top w:val="nil"/>
              <w:bottom w:val="nil"/>
            </w:tcBorders>
            <w:vAlign w:val="center"/>
          </w:tcPr>
          <w:p>
            <w:pPr>
              <w:pStyle w:val="30"/>
              <w:jc w:val="cente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“设置专门采购</w:t>
            </w:r>
          </w:p>
        </w:tc>
        <w:tc>
          <w:tcPr>
            <w:tcW w:w="2296" w:type="dxa"/>
            <w:tcBorders>
              <w:top w:val="nil"/>
              <w:bottom w:val="nil"/>
            </w:tcBorders>
            <w:vAlign w:val="center"/>
          </w:tcPr>
          <w:p>
            <w:pPr>
              <w:pStyle w:val="30"/>
              <w:jc w:val="center"/>
              <w:rPr>
                <w:rFonts w:hint="eastAsia"/>
                <w:color w:val="000000" w:themeColor="text1"/>
                <w:sz w:val="24"/>
                <w:szCs w:val="24"/>
                <w:highlight w:val="none"/>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highlight w:val="none"/>
                <w14:textFill>
                  <w14:solidFill>
                    <w14:schemeClr w14:val="tx1"/>
                  </w14:solidFill>
                </w14:textFill>
              </w:rPr>
            </w:pPr>
          </w:p>
        </w:tc>
        <w:tc>
          <w:tcPr>
            <w:tcW w:w="1866" w:type="dxa"/>
            <w:tcBorders>
              <w:top w:val="nil"/>
              <w:bottom w:val="nil"/>
            </w:tcBorders>
            <w:vAlign w:val="center"/>
          </w:tcPr>
          <w:p>
            <w:pPr>
              <w:pStyle w:val="30"/>
              <w:jc w:val="cente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（填写集中采</w:t>
            </w:r>
          </w:p>
        </w:tc>
        <w:tc>
          <w:tcPr>
            <w:tcW w:w="2010" w:type="dxa"/>
            <w:tcBorders>
              <w:top w:val="nil"/>
              <w:bottom w:val="nil"/>
            </w:tcBorders>
            <w:vAlign w:val="center"/>
          </w:tcPr>
          <w:p>
            <w:pPr>
              <w:pStyle w:val="30"/>
              <w:jc w:val="cente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包”、“要求以</w:t>
            </w:r>
          </w:p>
        </w:tc>
        <w:tc>
          <w:tcPr>
            <w:tcW w:w="2296" w:type="dxa"/>
            <w:tcBorders>
              <w:top w:val="nil"/>
              <w:bottom w:val="nil"/>
            </w:tcBorders>
            <w:vAlign w:val="center"/>
          </w:tcPr>
          <w:p>
            <w:pPr>
              <w:pStyle w:val="30"/>
              <w:jc w:val="center"/>
              <w:rPr>
                <w:rFonts w:hint="eastAsia"/>
                <w:color w:val="000000" w:themeColor="text1"/>
                <w:sz w:val="24"/>
                <w:szCs w:val="24"/>
                <w:highlight w:val="none"/>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highlight w:val="none"/>
                <w14:textFill>
                  <w14:solidFill>
                    <w14:schemeClr w14:val="tx1"/>
                  </w14:solidFill>
                </w14:textFill>
              </w:rPr>
            </w:pPr>
          </w:p>
        </w:tc>
        <w:tc>
          <w:tcPr>
            <w:tcW w:w="1866" w:type="dxa"/>
            <w:tcBorders>
              <w:top w:val="nil"/>
              <w:bottom w:val="nil"/>
            </w:tcBorders>
            <w:vAlign w:val="center"/>
          </w:tcPr>
          <w:p>
            <w:pPr>
              <w:pStyle w:val="30"/>
              <w:jc w:val="cente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购目录以内或</w:t>
            </w:r>
          </w:p>
        </w:tc>
        <w:tc>
          <w:tcPr>
            <w:tcW w:w="2010" w:type="dxa"/>
            <w:tcBorders>
              <w:top w:val="nil"/>
              <w:bottom w:val="nil"/>
            </w:tcBorders>
            <w:vAlign w:val="center"/>
          </w:tcPr>
          <w:p>
            <w:pPr>
              <w:pStyle w:val="30"/>
              <w:jc w:val="cente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联合体形式参</w:t>
            </w:r>
          </w:p>
        </w:tc>
        <w:tc>
          <w:tcPr>
            <w:tcW w:w="2296" w:type="dxa"/>
            <w:tcBorders>
              <w:top w:val="nil"/>
              <w:bottom w:val="nil"/>
            </w:tcBorders>
            <w:vAlign w:val="center"/>
          </w:tcPr>
          <w:p>
            <w:pPr>
              <w:pStyle w:val="30"/>
              <w:jc w:val="cente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（精确到万元）</w:t>
            </w:r>
          </w:p>
        </w:tc>
        <w:tc>
          <w:tcPr>
            <w:tcW w:w="1784" w:type="dxa"/>
            <w:vMerge w:val="continue"/>
            <w:tcBorders>
              <w:top w:val="nil"/>
            </w:tcBorders>
            <w:vAlign w:val="center"/>
          </w:tcPr>
          <w:p>
            <w:pPr>
              <w:jc w:val="center"/>
              <w:rPr>
                <w:rFonts w:hint="eastAsia" w:ascii="宋体" w:hAnsi="宋体" w:cs="宋体"/>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highlight w:val="none"/>
                <w14:textFill>
                  <w14:solidFill>
                    <w14:schemeClr w14:val="tx1"/>
                  </w14:solidFill>
                </w14:textFill>
              </w:rPr>
            </w:pPr>
          </w:p>
        </w:tc>
        <w:tc>
          <w:tcPr>
            <w:tcW w:w="1866" w:type="dxa"/>
            <w:tcBorders>
              <w:top w:val="nil"/>
              <w:bottom w:val="nil"/>
            </w:tcBorders>
            <w:vAlign w:val="center"/>
          </w:tcPr>
          <w:p>
            <w:pPr>
              <w:pStyle w:val="30"/>
              <w:jc w:val="cente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者采购限额标</w:t>
            </w:r>
          </w:p>
        </w:tc>
        <w:tc>
          <w:tcPr>
            <w:tcW w:w="2010" w:type="dxa"/>
            <w:tcBorders>
              <w:top w:val="nil"/>
              <w:bottom w:val="nil"/>
            </w:tcBorders>
            <w:vAlign w:val="center"/>
          </w:tcPr>
          <w:p>
            <w:pPr>
              <w:pStyle w:val="30"/>
              <w:jc w:val="cente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加”或者“要求</w:t>
            </w:r>
          </w:p>
        </w:tc>
        <w:tc>
          <w:tcPr>
            <w:tcW w:w="2296" w:type="dxa"/>
            <w:tcBorders>
              <w:top w:val="nil"/>
              <w:bottom w:val="nil"/>
            </w:tcBorders>
            <w:vAlign w:val="center"/>
          </w:tcPr>
          <w:p>
            <w:pPr>
              <w:pStyle w:val="30"/>
              <w:jc w:val="center"/>
              <w:rPr>
                <w:rFonts w:hint="eastAsia"/>
                <w:color w:val="000000" w:themeColor="text1"/>
                <w:sz w:val="24"/>
                <w:szCs w:val="24"/>
                <w:highlight w:val="none"/>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highlight w:val="none"/>
                <w14:textFill>
                  <w14:solidFill>
                    <w14:schemeClr w14:val="tx1"/>
                  </w14:solidFill>
                </w14:textFill>
              </w:rPr>
            </w:pPr>
          </w:p>
        </w:tc>
        <w:tc>
          <w:tcPr>
            <w:tcW w:w="1866" w:type="dxa"/>
            <w:tcBorders>
              <w:top w:val="nil"/>
              <w:bottom w:val="nil"/>
            </w:tcBorders>
            <w:vAlign w:val="center"/>
          </w:tcPr>
          <w:p>
            <w:pPr>
              <w:pStyle w:val="30"/>
              <w:jc w:val="cente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准以上的采购项目</w:t>
            </w:r>
          </w:p>
        </w:tc>
        <w:tc>
          <w:tcPr>
            <w:tcW w:w="2010" w:type="dxa"/>
            <w:tcBorders>
              <w:top w:val="nil"/>
              <w:bottom w:val="nil"/>
            </w:tcBorders>
            <w:vAlign w:val="center"/>
          </w:tcPr>
          <w:p>
            <w:pPr>
              <w:pStyle w:val="30"/>
              <w:jc w:val="cente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合同分包”，除</w:t>
            </w:r>
          </w:p>
        </w:tc>
        <w:tc>
          <w:tcPr>
            <w:tcW w:w="2296" w:type="dxa"/>
            <w:tcBorders>
              <w:top w:val="nil"/>
              <w:bottom w:val="nil"/>
            </w:tcBorders>
            <w:vAlign w:val="center"/>
          </w:tcPr>
          <w:p>
            <w:pPr>
              <w:pStyle w:val="30"/>
              <w:jc w:val="center"/>
              <w:rPr>
                <w:rFonts w:hint="eastAsia"/>
                <w:color w:val="000000" w:themeColor="text1"/>
                <w:sz w:val="24"/>
                <w:szCs w:val="24"/>
                <w:highlight w:val="none"/>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highlight w:val="none"/>
                <w14:textFill>
                  <w14:solidFill>
                    <w14:schemeClr w14:val="tx1"/>
                  </w14:solidFill>
                </w14:textFill>
              </w:rPr>
            </w:pPr>
          </w:p>
        </w:tc>
        <w:tc>
          <w:tcPr>
            <w:tcW w:w="1866" w:type="dxa"/>
            <w:tcBorders>
              <w:top w:val="nil"/>
              <w:bottom w:val="nil"/>
            </w:tcBorders>
            <w:vAlign w:val="center"/>
          </w:tcPr>
          <w:p>
            <w:pPr>
              <w:pStyle w:val="30"/>
              <w:jc w:val="center"/>
              <w:rPr>
                <w:rFonts w:hint="eastAsia"/>
                <w:color w:val="000000" w:themeColor="text1"/>
                <w:sz w:val="24"/>
                <w:szCs w:val="24"/>
                <w:highlight w:val="none"/>
                <w14:textFill>
                  <w14:solidFill>
                    <w14:schemeClr w14:val="tx1"/>
                  </w14:solidFill>
                </w14:textFill>
              </w:rPr>
            </w:pPr>
          </w:p>
        </w:tc>
        <w:tc>
          <w:tcPr>
            <w:tcW w:w="2010" w:type="dxa"/>
            <w:tcBorders>
              <w:top w:val="nil"/>
              <w:bottom w:val="nil"/>
            </w:tcBorders>
            <w:vAlign w:val="center"/>
          </w:tcPr>
          <w:p>
            <w:pPr>
              <w:pStyle w:val="30"/>
              <w:jc w:val="cente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“采购项目全部</w:t>
            </w:r>
          </w:p>
        </w:tc>
        <w:tc>
          <w:tcPr>
            <w:tcW w:w="2296" w:type="dxa"/>
            <w:tcBorders>
              <w:top w:val="nil"/>
              <w:bottom w:val="nil"/>
            </w:tcBorders>
            <w:vAlign w:val="center"/>
          </w:tcPr>
          <w:p>
            <w:pPr>
              <w:pStyle w:val="30"/>
              <w:jc w:val="center"/>
              <w:rPr>
                <w:rFonts w:hint="eastAsia"/>
                <w:color w:val="000000" w:themeColor="text1"/>
                <w:sz w:val="24"/>
                <w:szCs w:val="24"/>
                <w:highlight w:val="none"/>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highlight w:val="none"/>
                <w14:textFill>
                  <w14:solidFill>
                    <w14:schemeClr w14:val="tx1"/>
                  </w14:solidFill>
                </w14:textFill>
              </w:rPr>
            </w:pPr>
          </w:p>
        </w:tc>
        <w:tc>
          <w:tcPr>
            <w:tcW w:w="1866" w:type="dxa"/>
            <w:tcBorders>
              <w:top w:val="nil"/>
              <w:bottom w:val="nil"/>
            </w:tcBorders>
            <w:vAlign w:val="center"/>
          </w:tcPr>
          <w:p>
            <w:pPr>
              <w:pStyle w:val="30"/>
              <w:jc w:val="center"/>
              <w:rPr>
                <w:rFonts w:hint="eastAsia"/>
                <w:color w:val="000000" w:themeColor="text1"/>
                <w:sz w:val="24"/>
                <w:szCs w:val="24"/>
                <w:highlight w:val="none"/>
                <w14:textFill>
                  <w14:solidFill>
                    <w14:schemeClr w14:val="tx1"/>
                  </w14:solidFill>
                </w14:textFill>
              </w:rPr>
            </w:pPr>
          </w:p>
        </w:tc>
        <w:tc>
          <w:tcPr>
            <w:tcW w:w="2010" w:type="dxa"/>
            <w:tcBorders>
              <w:top w:val="nil"/>
              <w:bottom w:val="nil"/>
            </w:tcBorders>
            <w:vAlign w:val="center"/>
          </w:tcPr>
          <w:p>
            <w:pPr>
              <w:pStyle w:val="30"/>
              <w:jc w:val="cente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预留”外，还应</w:t>
            </w:r>
          </w:p>
        </w:tc>
        <w:tc>
          <w:tcPr>
            <w:tcW w:w="2296" w:type="dxa"/>
            <w:tcBorders>
              <w:top w:val="nil"/>
              <w:bottom w:val="nil"/>
            </w:tcBorders>
            <w:vAlign w:val="center"/>
          </w:tcPr>
          <w:p>
            <w:pPr>
              <w:pStyle w:val="30"/>
              <w:jc w:val="center"/>
              <w:rPr>
                <w:rFonts w:hint="eastAsia"/>
                <w:color w:val="000000" w:themeColor="text1"/>
                <w:sz w:val="24"/>
                <w:szCs w:val="24"/>
                <w:highlight w:val="none"/>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highlight w:val="none"/>
                <w14:textFill>
                  <w14:solidFill>
                    <w14:schemeClr w14:val="tx1"/>
                  </w14:solidFill>
                </w14:textFill>
              </w:rPr>
            </w:pPr>
          </w:p>
        </w:tc>
        <w:tc>
          <w:tcPr>
            <w:tcW w:w="1866" w:type="dxa"/>
            <w:tcBorders>
              <w:top w:val="nil"/>
              <w:bottom w:val="nil"/>
            </w:tcBorders>
            <w:vAlign w:val="center"/>
          </w:tcPr>
          <w:p>
            <w:pPr>
              <w:pStyle w:val="30"/>
              <w:jc w:val="center"/>
              <w:rPr>
                <w:rFonts w:hint="eastAsia"/>
                <w:color w:val="000000" w:themeColor="text1"/>
                <w:sz w:val="24"/>
                <w:szCs w:val="24"/>
                <w:highlight w:val="none"/>
                <w14:textFill>
                  <w14:solidFill>
                    <w14:schemeClr w14:val="tx1"/>
                  </w14:solidFill>
                </w14:textFill>
              </w:rPr>
            </w:pPr>
          </w:p>
        </w:tc>
        <w:tc>
          <w:tcPr>
            <w:tcW w:w="2010" w:type="dxa"/>
            <w:tcBorders>
              <w:top w:val="nil"/>
              <w:bottom w:val="nil"/>
            </w:tcBorders>
            <w:vAlign w:val="center"/>
          </w:tcPr>
          <w:p>
            <w:pPr>
              <w:pStyle w:val="30"/>
              <w:jc w:val="cente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当填写预留给中</w:t>
            </w:r>
          </w:p>
        </w:tc>
        <w:tc>
          <w:tcPr>
            <w:tcW w:w="2296" w:type="dxa"/>
            <w:tcBorders>
              <w:top w:val="nil"/>
              <w:bottom w:val="nil"/>
            </w:tcBorders>
            <w:vAlign w:val="center"/>
          </w:tcPr>
          <w:p>
            <w:pPr>
              <w:pStyle w:val="30"/>
              <w:jc w:val="center"/>
              <w:rPr>
                <w:rFonts w:hint="eastAsia"/>
                <w:color w:val="000000" w:themeColor="text1"/>
                <w:sz w:val="24"/>
                <w:szCs w:val="24"/>
                <w:highlight w:val="none"/>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highlight w:val="none"/>
                <w14:textFill>
                  <w14:solidFill>
                    <w14:schemeClr w14:val="tx1"/>
                  </w14:solidFill>
                </w14:textFill>
              </w:rPr>
            </w:pPr>
          </w:p>
        </w:tc>
        <w:tc>
          <w:tcPr>
            <w:tcW w:w="1866" w:type="dxa"/>
            <w:tcBorders>
              <w:top w:val="nil"/>
            </w:tcBorders>
            <w:vAlign w:val="center"/>
          </w:tcPr>
          <w:p>
            <w:pPr>
              <w:pStyle w:val="30"/>
              <w:jc w:val="center"/>
              <w:rPr>
                <w:rFonts w:hint="eastAsia"/>
                <w:color w:val="000000" w:themeColor="text1"/>
                <w:sz w:val="24"/>
                <w:szCs w:val="24"/>
                <w:highlight w:val="none"/>
                <w14:textFill>
                  <w14:solidFill>
                    <w14:schemeClr w14:val="tx1"/>
                  </w14:solidFill>
                </w14:textFill>
              </w:rPr>
            </w:pPr>
          </w:p>
        </w:tc>
        <w:tc>
          <w:tcPr>
            <w:tcW w:w="2010" w:type="dxa"/>
            <w:tcBorders>
              <w:top w:val="nil"/>
            </w:tcBorders>
            <w:vAlign w:val="center"/>
          </w:tcPr>
          <w:p>
            <w:pPr>
              <w:pStyle w:val="30"/>
              <w:jc w:val="cente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小企业的比例）</w:t>
            </w:r>
          </w:p>
        </w:tc>
        <w:tc>
          <w:tcPr>
            <w:tcW w:w="2296" w:type="dxa"/>
            <w:tcBorders>
              <w:top w:val="nil"/>
            </w:tcBorders>
            <w:vAlign w:val="center"/>
          </w:tcPr>
          <w:p>
            <w:pPr>
              <w:pStyle w:val="30"/>
              <w:jc w:val="center"/>
              <w:rPr>
                <w:rFonts w:hint="eastAsia"/>
                <w:color w:val="000000" w:themeColor="text1"/>
                <w:sz w:val="24"/>
                <w:szCs w:val="24"/>
                <w:highlight w:val="none"/>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0"/>
              <w:jc w:val="cente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w:t>
            </w:r>
          </w:p>
        </w:tc>
        <w:tc>
          <w:tcPr>
            <w:tcW w:w="1866" w:type="dxa"/>
            <w:vAlign w:val="center"/>
          </w:tcPr>
          <w:p>
            <w:pPr>
              <w:pStyle w:val="30"/>
              <w:jc w:val="cente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w:t>
            </w:r>
          </w:p>
        </w:tc>
        <w:tc>
          <w:tcPr>
            <w:tcW w:w="2010" w:type="dxa"/>
            <w:vAlign w:val="center"/>
          </w:tcPr>
          <w:p>
            <w:pPr>
              <w:pStyle w:val="30"/>
              <w:jc w:val="cente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w:t>
            </w:r>
          </w:p>
        </w:tc>
        <w:tc>
          <w:tcPr>
            <w:tcW w:w="2296" w:type="dxa"/>
            <w:vAlign w:val="center"/>
          </w:tcPr>
          <w:p>
            <w:pPr>
              <w:pStyle w:val="30"/>
              <w:jc w:val="cente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w:t>
            </w:r>
          </w:p>
        </w:tc>
        <w:tc>
          <w:tcPr>
            <w:tcW w:w="1784" w:type="dxa"/>
            <w:vAlign w:val="center"/>
          </w:tcPr>
          <w:p>
            <w:pPr>
              <w:pStyle w:val="30"/>
              <w:jc w:val="cente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w:t>
            </w:r>
          </w:p>
        </w:tc>
      </w:tr>
    </w:tbl>
    <w:p>
      <w:pPr>
        <w:pStyle w:val="9"/>
        <w:tabs>
          <w:tab w:val="left" w:pos="562"/>
          <w:tab w:val="left" w:pos="3372"/>
          <w:tab w:val="left" w:pos="3653"/>
        </w:tabs>
        <w:spacing w:before="128"/>
        <w:ind w:left="4220" w:right="1843"/>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部门（单位）名称： 日期：</w:t>
      </w:r>
    </w:p>
    <w:p>
      <w:pPr>
        <w:pStyle w:val="9"/>
        <w:tabs>
          <w:tab w:val="left" w:pos="562"/>
          <w:tab w:val="left" w:pos="3372"/>
          <w:tab w:val="left" w:pos="3653"/>
        </w:tabs>
        <w:rPr>
          <w:rFonts w:hint="eastAsia" w:ascii="宋体" w:hAnsi="宋体" w:cs="宋体"/>
          <w:color w:val="000000" w:themeColor="text1"/>
          <w:highlight w:val="none"/>
          <w14:textFill>
            <w14:solidFill>
              <w14:schemeClr w14:val="tx1"/>
            </w14:solidFill>
          </w14:textFill>
        </w:rPr>
      </w:pPr>
    </w:p>
    <w:p>
      <w:pPr>
        <w:pStyle w:val="17"/>
        <w:jc w:val="both"/>
        <w:outlineLvl w:val="9"/>
        <w:rPr>
          <w:rFonts w:hint="eastAsia" w:ascii="宋体" w:hAnsi="宋体" w:eastAsia="宋体" w:cs="宋体"/>
          <w:color w:val="000000" w:themeColor="text1"/>
          <w:sz w:val="24"/>
          <w:szCs w:val="24"/>
          <w:highlight w:val="none"/>
          <w14:textFill>
            <w14:solidFill>
              <w14:schemeClr w14:val="tx1"/>
            </w14:solidFill>
          </w14:textFill>
        </w:rPr>
      </w:pPr>
    </w:p>
    <w:p>
      <w:pPr>
        <w:tabs>
          <w:tab w:val="left" w:pos="360"/>
        </w:tabs>
        <w:outlineLvl w:val="1"/>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r>
        <w:rPr>
          <w:rFonts w:hint="eastAsia" w:ascii="宋体" w:hAnsi="宋体" w:cs="宋体"/>
          <w:b/>
          <w:bCs/>
          <w:color w:val="000000" w:themeColor="text1"/>
          <w:sz w:val="24"/>
          <w:highlight w:val="none"/>
          <w14:textFill>
            <w14:solidFill>
              <w14:schemeClr w14:val="tx1"/>
            </w14:solidFill>
          </w14:textFill>
        </w:rPr>
        <w:t>2、工业和信息化部、国家统计局、国家发展和改革委员会、财政部《关于印发〈中小企业划型标准规定〉的通知》（工信部联企〔2011〕300 号）</w:t>
      </w:r>
    </w:p>
    <w:p>
      <w:pPr>
        <w:pStyle w:val="9"/>
        <w:tabs>
          <w:tab w:val="left" w:pos="562"/>
          <w:tab w:val="left" w:pos="3372"/>
          <w:tab w:val="left" w:pos="3653"/>
        </w:tabs>
        <w:rPr>
          <w:rFonts w:hint="eastAsia" w:ascii="宋体" w:hAnsi="宋体" w:cs="宋体"/>
          <w:color w:val="000000" w:themeColor="text1"/>
          <w:highlight w:val="none"/>
          <w14:textFill>
            <w14:solidFill>
              <w14:schemeClr w14:val="tx1"/>
            </w14:solidFill>
          </w14:textFill>
        </w:rPr>
      </w:pPr>
    </w:p>
    <w:p>
      <w:pPr>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关于印发中小企业划型标准规定的通知</w:t>
      </w:r>
    </w:p>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工信部联企业〔2011〕300号</w:t>
      </w: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各省、自治区、直辖市人民政府，国务院各部委、各直属机构及有关单位： </w:t>
      </w: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ind w:firstLine="480" w:firstLineChars="200"/>
        <w:jc w:val="righ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工业和信息化部 国家统计局</w:t>
      </w:r>
    </w:p>
    <w:p>
      <w:pPr>
        <w:ind w:firstLine="480" w:firstLineChars="200"/>
        <w:jc w:val="righ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国家发展和改革委员会 财政部</w:t>
      </w:r>
    </w:p>
    <w:p>
      <w:pPr>
        <w:ind w:firstLine="480" w:firstLineChars="200"/>
        <w:jc w:val="righ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二○一一年六月十八日</w:t>
      </w:r>
    </w:p>
    <w:p>
      <w:pPr>
        <w:ind w:firstLine="480" w:firstLineChars="200"/>
        <w:rPr>
          <w:rFonts w:hint="eastAsia" w:ascii="宋体" w:hAnsi="宋体" w:cs="宋体"/>
          <w:color w:val="000000" w:themeColor="text1"/>
          <w:sz w:val="24"/>
          <w:highlight w:val="none"/>
          <w14:textFill>
            <w14:solidFill>
              <w14:schemeClr w14:val="tx1"/>
            </w14:solidFill>
          </w14:textFill>
        </w:rPr>
      </w:pPr>
    </w:p>
    <w:p>
      <w:pPr>
        <w:ind w:firstLine="480" w:firstLineChars="200"/>
        <w:rPr>
          <w:rFonts w:hint="eastAsia" w:ascii="宋体" w:hAnsi="宋体" w:cs="宋体"/>
          <w:color w:val="000000" w:themeColor="text1"/>
          <w:sz w:val="24"/>
          <w:highlight w:val="none"/>
          <w14:textFill>
            <w14:solidFill>
              <w14:schemeClr w14:val="tx1"/>
            </w14:solidFill>
          </w14:textFill>
        </w:rPr>
      </w:pPr>
    </w:p>
    <w:p>
      <w:pPr>
        <w:ind w:firstLine="480" w:firstLineChars="200"/>
        <w:rPr>
          <w:rFonts w:hint="eastAsia" w:ascii="宋体" w:hAnsi="宋体" w:cs="宋体"/>
          <w:color w:val="000000" w:themeColor="text1"/>
          <w:sz w:val="24"/>
          <w:highlight w:val="none"/>
          <w14:textFill>
            <w14:solidFill>
              <w14:schemeClr w14:val="tx1"/>
            </w14:solidFill>
          </w14:textFill>
        </w:rPr>
      </w:pPr>
    </w:p>
    <w:p>
      <w:pPr>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中小企业划型标准规定 </w:t>
      </w: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一、根据《中华人民共和国中小企业促进法》和《国务院关于进一步促进中小企业发展的若干意见》(国发〔2009〕36号)，制定本规定。</w:t>
      </w: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二、中小企业划分为中型、小型、微型三种类型，具体标准根据企业从业人员、营业收入、资产总额等指标，结合行业特点制定。</w:t>
      </w: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四、各行业划型标准为： </w:t>
      </w: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五、企业类型的划分以统计部门的统计数据为依据。 </w:t>
      </w: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九、本规定由工业和信息化部、国家统计局会同有关部门负责解释。 </w:t>
      </w:r>
    </w:p>
    <w:p>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十、本规定自发布之日起执行，原国家经贸委、原国家计委、财政部和国家统计局2003年颁布的《中小企业标准暂行规定》同时废止。</w:t>
      </w:r>
    </w:p>
    <w:p>
      <w:pPr>
        <w:ind w:firstLine="480" w:firstLineChars="200"/>
        <w:rPr>
          <w:rFonts w:hint="eastAsia" w:ascii="宋体" w:hAnsi="宋体" w:cs="宋体"/>
          <w:color w:val="000000" w:themeColor="text1"/>
          <w:sz w:val="24"/>
          <w:highlight w:val="none"/>
          <w14:textFill>
            <w14:solidFill>
              <w14:schemeClr w14:val="tx1"/>
            </w14:solidFill>
          </w14:textFill>
        </w:rPr>
      </w:pPr>
    </w:p>
    <w:p>
      <w:pPr>
        <w:pStyle w:val="17"/>
        <w:jc w:val="both"/>
        <w:outlineLvl w:val="9"/>
        <w:rPr>
          <w:rFonts w:hint="eastAsia" w:ascii="宋体" w:hAnsi="宋体" w:eastAsia="宋体" w:cs="宋体"/>
          <w:color w:val="000000" w:themeColor="text1"/>
          <w:sz w:val="24"/>
          <w:szCs w:val="24"/>
          <w:highlight w:val="none"/>
          <w14:textFill>
            <w14:solidFill>
              <w14:schemeClr w14:val="tx1"/>
            </w14:solidFill>
          </w14:textFill>
        </w:rPr>
      </w:pPr>
    </w:p>
    <w:p>
      <w:pPr>
        <w:pStyle w:val="17"/>
        <w:jc w:val="both"/>
        <w:outlineLvl w:val="9"/>
        <w:rPr>
          <w:rFonts w:hint="eastAsia" w:ascii="宋体" w:hAnsi="宋体" w:eastAsia="宋体" w:cs="宋体"/>
          <w:color w:val="000000" w:themeColor="text1"/>
          <w:sz w:val="24"/>
          <w:szCs w:val="24"/>
          <w:highlight w:val="none"/>
          <w14:textFill>
            <w14:solidFill>
              <w14:schemeClr w14:val="tx1"/>
            </w14:solidFill>
          </w14:textFill>
        </w:rPr>
      </w:pPr>
    </w:p>
    <w:p>
      <w:pPr>
        <w:tabs>
          <w:tab w:val="left" w:pos="360"/>
        </w:tabs>
        <w:outlineLvl w:val="1"/>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br w:type="page"/>
      </w:r>
      <w:r>
        <w:rPr>
          <w:rFonts w:hint="eastAsia" w:ascii="宋体" w:hAnsi="宋体" w:cs="宋体"/>
          <w:b/>
          <w:bCs/>
          <w:color w:val="000000" w:themeColor="text1"/>
          <w:sz w:val="24"/>
          <w:highlight w:val="none"/>
          <w14:textFill>
            <w14:solidFill>
              <w14:schemeClr w14:val="tx1"/>
            </w14:solidFill>
          </w14:textFill>
        </w:rPr>
        <w:t>3、国家统计局《关于印发〈统计上大中小微型企业划分办法（2017）〉的通知》</w:t>
      </w:r>
    </w:p>
    <w:p>
      <w:pPr>
        <w:widowControl/>
        <w:shd w:val="clear" w:color="auto" w:fill="FFFFFF"/>
        <w:jc w:val="center"/>
        <w:rPr>
          <w:rFonts w:hint="eastAsia" w:ascii="宋体" w:hAnsi="宋体" w:cs="宋体"/>
          <w:b/>
          <w:bCs/>
          <w:color w:val="000000" w:themeColor="text1"/>
          <w:kern w:val="0"/>
          <w:sz w:val="24"/>
          <w:highlight w:val="none"/>
          <w14:textFill>
            <w14:solidFill>
              <w14:schemeClr w14:val="tx1"/>
            </w14:solidFill>
          </w14:textFill>
        </w:rPr>
      </w:pPr>
    </w:p>
    <w:p>
      <w:pPr>
        <w:widowControl/>
        <w:shd w:val="clear" w:color="auto" w:fill="FFFFFF"/>
        <w:jc w:val="center"/>
        <w:rPr>
          <w:rFonts w:hint="eastAsia" w:ascii="宋体" w:hAnsi="宋体" w:cs="宋体"/>
          <w:b/>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国家统计局关于印发《统计上大中小微型企业划分办法（2017）》的通知</w:t>
      </w:r>
    </w:p>
    <w:p>
      <w:pPr>
        <w:widowControl/>
        <w:shd w:val="clear" w:color="auto" w:fill="FFFFFF"/>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各省、自治区、直辖市统计局，新疆生产建设兵团统计局，国务院各有关部门，国家统计局各调查总队：</w:t>
      </w:r>
    </w:p>
    <w:p>
      <w:pPr>
        <w:widowControl/>
        <w:shd w:val="clear" w:color="auto" w:fill="FFFFFF"/>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附件：《统计上大中小微型企业划分办法（2017）》修订说明</w:t>
      </w:r>
    </w:p>
    <w:p>
      <w:pPr>
        <w:widowControl/>
        <w:shd w:val="clear" w:color="auto" w:fill="FFFFFF"/>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p>
      <w:pPr>
        <w:widowControl/>
        <w:shd w:val="clear" w:color="auto" w:fill="FFFFFF"/>
        <w:ind w:firstLine="480" w:firstLineChars="200"/>
        <w:jc w:val="righ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国家统计局</w:t>
      </w:r>
    </w:p>
    <w:p>
      <w:pPr>
        <w:widowControl/>
        <w:shd w:val="clear" w:color="auto" w:fill="FFFFFF"/>
        <w:ind w:firstLine="480" w:firstLineChars="200"/>
        <w:jc w:val="righ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2017年12月28日</w:t>
      </w:r>
    </w:p>
    <w:p>
      <w:pPr>
        <w:widowControl/>
        <w:shd w:val="clear" w:color="auto" w:fill="FFFFFF"/>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p>
      <w:pPr>
        <w:widowControl/>
        <w:shd w:val="clear" w:color="auto" w:fill="FFFFFF"/>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统计上大中小微型企业划分办法（2017）</w:t>
      </w:r>
    </w:p>
    <w:p>
      <w:pPr>
        <w:widowControl/>
        <w:shd w:val="clear" w:color="auto" w:fill="FFFFFF"/>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二、本办法适用对象为在中华人民共和国境内依法设立的各种组织形式的法人企业或单位。个体工商户参照本办法进行划分。</w:t>
      </w:r>
    </w:p>
    <w:p>
      <w:pPr>
        <w:widowControl/>
        <w:shd w:val="clear" w:color="auto" w:fill="FFFFFF"/>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五、企业划分由政府综合统计部门根据统计年报每年确定一次，定报统计原则上不进行调整。</w:t>
      </w:r>
    </w:p>
    <w:p>
      <w:pPr>
        <w:widowControl/>
        <w:shd w:val="clear" w:color="auto" w:fill="FFFFFF"/>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六、本办法自印发之日起执行，国家统计局2011年印发的《统计上大中小微型企业划分办法》（国统字〔2011〕75号）同时废止。</w:t>
      </w:r>
    </w:p>
    <w:p>
      <w:pPr>
        <w:widowControl/>
        <w:shd w:val="clear" w:color="auto" w:fill="FFFFFF"/>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附表：统计上大中小微型企业划分标准</w:t>
      </w:r>
    </w:p>
    <w:p>
      <w:pPr>
        <w:widowControl/>
        <w:jc w:val="left"/>
        <w:rPr>
          <w:rFonts w:hint="eastAsia" w:ascii="宋体" w:hAnsi="宋体" w:cs="宋体"/>
          <w:color w:val="000000" w:themeColor="text1"/>
          <w:kern w:val="0"/>
          <w:sz w:val="24"/>
          <w:highlight w:val="none"/>
          <w14:textFill>
            <w14:solidFill>
              <w14:schemeClr w14:val="tx1"/>
            </w14:solidFill>
          </w14:textFill>
        </w:rPr>
      </w:pPr>
    </w:p>
    <w:p>
      <w:pPr>
        <w:widowControl/>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附表：</w:t>
      </w:r>
    </w:p>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统计上大中小微型企业划分标准</w:t>
      </w:r>
    </w:p>
    <w:tbl>
      <w:tblPr>
        <w:tblStyle w:val="20"/>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行业名称</w:t>
            </w:r>
          </w:p>
        </w:tc>
        <w:tc>
          <w:tcPr>
            <w:tcW w:w="1462"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指标名称</w:t>
            </w:r>
          </w:p>
        </w:tc>
        <w:tc>
          <w:tcPr>
            <w:tcW w:w="727" w:type="dxa"/>
            <w:vAlign w:val="center"/>
          </w:tcPr>
          <w:p>
            <w:pPr>
              <w:widowControl/>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计量</w:t>
            </w:r>
          </w:p>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单位</w:t>
            </w:r>
          </w:p>
        </w:tc>
        <w:tc>
          <w:tcPr>
            <w:tcW w:w="1011"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大型</w:t>
            </w:r>
          </w:p>
        </w:tc>
        <w:tc>
          <w:tcPr>
            <w:tcW w:w="1664"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中型</w:t>
            </w:r>
          </w:p>
        </w:tc>
        <w:tc>
          <w:tcPr>
            <w:tcW w:w="1446"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小型</w:t>
            </w:r>
          </w:p>
        </w:tc>
        <w:tc>
          <w:tcPr>
            <w:tcW w:w="793"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农、林、牧、渔业</w:t>
            </w:r>
          </w:p>
        </w:tc>
        <w:tc>
          <w:tcPr>
            <w:tcW w:w="1462"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Y≥20000</w:t>
            </w:r>
          </w:p>
        </w:tc>
        <w:tc>
          <w:tcPr>
            <w:tcW w:w="1664"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500≤Y＜20000</w:t>
            </w:r>
          </w:p>
        </w:tc>
        <w:tc>
          <w:tcPr>
            <w:tcW w:w="1446"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50≤Y＜500</w:t>
            </w:r>
          </w:p>
        </w:tc>
        <w:tc>
          <w:tcPr>
            <w:tcW w:w="793"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工业 *</w:t>
            </w:r>
          </w:p>
        </w:tc>
        <w:tc>
          <w:tcPr>
            <w:tcW w:w="1462"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Y≥40000</w:t>
            </w:r>
          </w:p>
        </w:tc>
        <w:tc>
          <w:tcPr>
            <w:tcW w:w="1664"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2000≤Y＜40000</w:t>
            </w:r>
          </w:p>
        </w:tc>
        <w:tc>
          <w:tcPr>
            <w:tcW w:w="1446"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300≤Y＜2000</w:t>
            </w:r>
          </w:p>
        </w:tc>
        <w:tc>
          <w:tcPr>
            <w:tcW w:w="793"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建筑业</w:t>
            </w:r>
          </w:p>
        </w:tc>
        <w:tc>
          <w:tcPr>
            <w:tcW w:w="1462"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Y≥80000</w:t>
            </w:r>
          </w:p>
        </w:tc>
        <w:tc>
          <w:tcPr>
            <w:tcW w:w="1664"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6000≤Y＜80000</w:t>
            </w:r>
          </w:p>
        </w:tc>
        <w:tc>
          <w:tcPr>
            <w:tcW w:w="1446"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300≤Y＜6000</w:t>
            </w:r>
          </w:p>
        </w:tc>
        <w:tc>
          <w:tcPr>
            <w:tcW w:w="793"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Z≥80000</w:t>
            </w:r>
          </w:p>
        </w:tc>
        <w:tc>
          <w:tcPr>
            <w:tcW w:w="1664"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5000≤Z＜80000</w:t>
            </w:r>
          </w:p>
        </w:tc>
        <w:tc>
          <w:tcPr>
            <w:tcW w:w="1446"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300≤Z＜5000</w:t>
            </w:r>
          </w:p>
        </w:tc>
        <w:tc>
          <w:tcPr>
            <w:tcW w:w="793"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批发业</w:t>
            </w:r>
          </w:p>
        </w:tc>
        <w:tc>
          <w:tcPr>
            <w:tcW w:w="1462"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X≥200</w:t>
            </w:r>
          </w:p>
        </w:tc>
        <w:tc>
          <w:tcPr>
            <w:tcW w:w="1664"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20≤X＜200</w:t>
            </w:r>
          </w:p>
        </w:tc>
        <w:tc>
          <w:tcPr>
            <w:tcW w:w="1446"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5≤X＜20</w:t>
            </w:r>
          </w:p>
        </w:tc>
        <w:tc>
          <w:tcPr>
            <w:tcW w:w="793"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Y≥40000</w:t>
            </w:r>
          </w:p>
        </w:tc>
        <w:tc>
          <w:tcPr>
            <w:tcW w:w="1664"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5000≤Y＜40000</w:t>
            </w:r>
          </w:p>
        </w:tc>
        <w:tc>
          <w:tcPr>
            <w:tcW w:w="1446"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1000≤Y＜5000</w:t>
            </w:r>
          </w:p>
        </w:tc>
        <w:tc>
          <w:tcPr>
            <w:tcW w:w="793"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零售业</w:t>
            </w:r>
          </w:p>
        </w:tc>
        <w:tc>
          <w:tcPr>
            <w:tcW w:w="1462"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50≤X＜300</w:t>
            </w:r>
          </w:p>
        </w:tc>
        <w:tc>
          <w:tcPr>
            <w:tcW w:w="1446"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10≤X＜50</w:t>
            </w:r>
          </w:p>
        </w:tc>
        <w:tc>
          <w:tcPr>
            <w:tcW w:w="793"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Y≥20000</w:t>
            </w:r>
          </w:p>
        </w:tc>
        <w:tc>
          <w:tcPr>
            <w:tcW w:w="1664"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500≤Y＜20000</w:t>
            </w:r>
          </w:p>
        </w:tc>
        <w:tc>
          <w:tcPr>
            <w:tcW w:w="1446"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100≤Y＜500</w:t>
            </w:r>
          </w:p>
        </w:tc>
        <w:tc>
          <w:tcPr>
            <w:tcW w:w="793"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交通运输业 *</w:t>
            </w:r>
          </w:p>
        </w:tc>
        <w:tc>
          <w:tcPr>
            <w:tcW w:w="1462"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3000≤Y＜30000</w:t>
            </w:r>
          </w:p>
        </w:tc>
        <w:tc>
          <w:tcPr>
            <w:tcW w:w="1446"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200≤Y＜3000</w:t>
            </w:r>
          </w:p>
        </w:tc>
        <w:tc>
          <w:tcPr>
            <w:tcW w:w="793"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仓储业*</w:t>
            </w:r>
          </w:p>
        </w:tc>
        <w:tc>
          <w:tcPr>
            <w:tcW w:w="1462"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X≥200</w:t>
            </w:r>
          </w:p>
        </w:tc>
        <w:tc>
          <w:tcPr>
            <w:tcW w:w="1664"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100≤X＜200</w:t>
            </w:r>
          </w:p>
        </w:tc>
        <w:tc>
          <w:tcPr>
            <w:tcW w:w="1446"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20≤X＜100</w:t>
            </w:r>
          </w:p>
        </w:tc>
        <w:tc>
          <w:tcPr>
            <w:tcW w:w="793"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1000≤Y＜30000</w:t>
            </w:r>
          </w:p>
        </w:tc>
        <w:tc>
          <w:tcPr>
            <w:tcW w:w="1446"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邮政业</w:t>
            </w:r>
          </w:p>
        </w:tc>
        <w:tc>
          <w:tcPr>
            <w:tcW w:w="1462"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2000≤Y＜30000</w:t>
            </w:r>
          </w:p>
        </w:tc>
        <w:tc>
          <w:tcPr>
            <w:tcW w:w="1446"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住宿业</w:t>
            </w:r>
          </w:p>
        </w:tc>
        <w:tc>
          <w:tcPr>
            <w:tcW w:w="1462"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2000≤Y＜10000</w:t>
            </w:r>
          </w:p>
        </w:tc>
        <w:tc>
          <w:tcPr>
            <w:tcW w:w="1446"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餐饮业</w:t>
            </w:r>
          </w:p>
        </w:tc>
        <w:tc>
          <w:tcPr>
            <w:tcW w:w="1462"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2000≤Y＜10000</w:t>
            </w:r>
          </w:p>
        </w:tc>
        <w:tc>
          <w:tcPr>
            <w:tcW w:w="1446"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信息传输业 *</w:t>
            </w:r>
          </w:p>
        </w:tc>
        <w:tc>
          <w:tcPr>
            <w:tcW w:w="1462"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X≥2000</w:t>
            </w:r>
          </w:p>
        </w:tc>
        <w:tc>
          <w:tcPr>
            <w:tcW w:w="1664"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100≤X＜2000</w:t>
            </w:r>
          </w:p>
        </w:tc>
        <w:tc>
          <w:tcPr>
            <w:tcW w:w="1446"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Y≥100000</w:t>
            </w:r>
          </w:p>
        </w:tc>
        <w:tc>
          <w:tcPr>
            <w:tcW w:w="1664"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1000≤Y＜100000</w:t>
            </w:r>
          </w:p>
        </w:tc>
        <w:tc>
          <w:tcPr>
            <w:tcW w:w="1446"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软件和信息技术服务业</w:t>
            </w:r>
          </w:p>
        </w:tc>
        <w:tc>
          <w:tcPr>
            <w:tcW w:w="1462"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1000≤Y＜10000</w:t>
            </w:r>
          </w:p>
        </w:tc>
        <w:tc>
          <w:tcPr>
            <w:tcW w:w="1446"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50≤Y＜1000</w:t>
            </w:r>
          </w:p>
        </w:tc>
        <w:tc>
          <w:tcPr>
            <w:tcW w:w="793"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房地产开发经营</w:t>
            </w:r>
          </w:p>
        </w:tc>
        <w:tc>
          <w:tcPr>
            <w:tcW w:w="1462"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Y≥200000</w:t>
            </w:r>
          </w:p>
        </w:tc>
        <w:tc>
          <w:tcPr>
            <w:tcW w:w="1664"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1000≤Y＜200000</w:t>
            </w:r>
          </w:p>
        </w:tc>
        <w:tc>
          <w:tcPr>
            <w:tcW w:w="1446"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Z≥10000</w:t>
            </w:r>
          </w:p>
        </w:tc>
        <w:tc>
          <w:tcPr>
            <w:tcW w:w="1664"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5000≤Z＜10000</w:t>
            </w:r>
          </w:p>
        </w:tc>
        <w:tc>
          <w:tcPr>
            <w:tcW w:w="1446"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2000≤Z＜5000</w:t>
            </w:r>
          </w:p>
        </w:tc>
        <w:tc>
          <w:tcPr>
            <w:tcW w:w="793"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物业管理</w:t>
            </w:r>
          </w:p>
        </w:tc>
        <w:tc>
          <w:tcPr>
            <w:tcW w:w="1462"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100≤X＜300</w:t>
            </w:r>
          </w:p>
        </w:tc>
        <w:tc>
          <w:tcPr>
            <w:tcW w:w="793"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Y≥5000</w:t>
            </w:r>
          </w:p>
        </w:tc>
        <w:tc>
          <w:tcPr>
            <w:tcW w:w="1664"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1000≤Y＜5000</w:t>
            </w:r>
          </w:p>
        </w:tc>
        <w:tc>
          <w:tcPr>
            <w:tcW w:w="1446"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500≤Y＜1000</w:t>
            </w:r>
          </w:p>
        </w:tc>
        <w:tc>
          <w:tcPr>
            <w:tcW w:w="793"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租赁和商务服务业</w:t>
            </w:r>
          </w:p>
        </w:tc>
        <w:tc>
          <w:tcPr>
            <w:tcW w:w="1462"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Z≥120000</w:t>
            </w:r>
          </w:p>
        </w:tc>
        <w:tc>
          <w:tcPr>
            <w:tcW w:w="1664"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8000≤Z＜120000</w:t>
            </w:r>
          </w:p>
        </w:tc>
        <w:tc>
          <w:tcPr>
            <w:tcW w:w="1446"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100≤Z＜8000</w:t>
            </w:r>
          </w:p>
        </w:tc>
        <w:tc>
          <w:tcPr>
            <w:tcW w:w="793"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其他未列明行业 *</w:t>
            </w:r>
          </w:p>
        </w:tc>
        <w:tc>
          <w:tcPr>
            <w:tcW w:w="1462"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X＜10</w:t>
            </w:r>
          </w:p>
        </w:tc>
      </w:tr>
    </w:tbl>
    <w:p>
      <w:pPr>
        <w:widowControl/>
        <w:shd w:val="clear" w:color="auto" w:fill="FFFFFF"/>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说明：</w:t>
      </w:r>
    </w:p>
    <w:p>
      <w:pPr>
        <w:widowControl/>
        <w:shd w:val="clear" w:color="auto" w:fill="FFFFFF"/>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1.大型、中型和小型企业须同时满足所列指标的下限，否则下划一档；微型企业只须满足所列指标中的一项即可。</w:t>
      </w:r>
    </w:p>
    <w:p>
      <w:pPr>
        <w:widowControl/>
        <w:shd w:val="clear" w:color="auto" w:fill="FFFFFF"/>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9"/>
        <w:tabs>
          <w:tab w:val="left" w:pos="562"/>
          <w:tab w:val="left" w:pos="3372"/>
          <w:tab w:val="left" w:pos="3653"/>
        </w:tabs>
        <w:rPr>
          <w:rFonts w:hint="eastAsia" w:ascii="宋体" w:hAnsi="宋体" w:cs="宋体"/>
          <w:color w:val="000000" w:themeColor="text1"/>
          <w:highlight w:val="none"/>
          <w14:textFill>
            <w14:solidFill>
              <w14:schemeClr w14:val="tx1"/>
            </w14:solidFill>
          </w14:textFill>
        </w:rPr>
      </w:pPr>
    </w:p>
    <w:p>
      <w:pPr>
        <w:pStyle w:val="17"/>
        <w:outlineLvl w:val="9"/>
        <w:rPr>
          <w:rFonts w:hint="eastAsia" w:ascii="宋体" w:hAnsi="宋体" w:eastAsia="宋体" w:cs="宋体"/>
          <w:color w:val="000000" w:themeColor="text1"/>
          <w:sz w:val="24"/>
          <w:szCs w:val="24"/>
          <w:highlight w:val="none"/>
          <w14:textFill>
            <w14:solidFill>
              <w14:schemeClr w14:val="tx1"/>
            </w14:solidFill>
          </w14:textFill>
        </w:rPr>
      </w:pPr>
    </w:p>
    <w:p>
      <w:pPr>
        <w:tabs>
          <w:tab w:val="left" w:pos="360"/>
        </w:tabs>
        <w:outlineLvl w:val="1"/>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r>
        <w:rPr>
          <w:rFonts w:hint="eastAsia" w:ascii="宋体" w:hAnsi="宋体" w:cs="宋体"/>
          <w:b/>
          <w:bCs/>
          <w:color w:val="000000" w:themeColor="text1"/>
          <w:sz w:val="24"/>
          <w:highlight w:val="none"/>
          <w14:textFill>
            <w14:solidFill>
              <w14:schemeClr w14:val="tx1"/>
            </w14:solidFill>
          </w14:textFill>
        </w:rPr>
        <w:t>4、财政部、民政部、中国残联《关于促进残疾人就业政府采购政策的通知》（财库〔2017〕141 号）</w:t>
      </w:r>
    </w:p>
    <w:p>
      <w:pPr>
        <w:shd w:val="clear" w:color="auto" w:fill="FFFFFF"/>
        <w:rPr>
          <w:rFonts w:hint="eastAsia" w:ascii="宋体" w:hAnsi="宋体" w:cs="宋体"/>
          <w:bCs/>
          <w:color w:val="000000" w:themeColor="text1"/>
          <w:sz w:val="24"/>
          <w:highlight w:val="none"/>
          <w14:textFill>
            <w14:solidFill>
              <w14:schemeClr w14:val="tx1"/>
            </w14:solidFill>
          </w14:textFill>
        </w:rPr>
      </w:pPr>
    </w:p>
    <w:p>
      <w:pPr>
        <w:shd w:val="clear" w:color="auto" w:fill="FFFFFF"/>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关于促进残疾人就业政府采购政策的通知</w:t>
      </w:r>
    </w:p>
    <w:p>
      <w:pPr>
        <w:pStyle w:val="16"/>
        <w:shd w:val="clear" w:color="auto" w:fill="FFFFFF"/>
        <w:spacing w:before="0" w:beforeAutospacing="0" w:after="0" w:afterAutospacing="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w:t>
      </w:r>
      <w:bookmarkStart w:id="154" w:name="sendNo"/>
      <w:r>
        <w:rPr>
          <w:rFonts w:hint="eastAsia"/>
          <w:color w:val="000000" w:themeColor="text1"/>
          <w:highlight w:val="none"/>
          <w14:textFill>
            <w14:solidFill>
              <w14:schemeClr w14:val="tx1"/>
            </w14:solidFill>
          </w14:textFill>
        </w:rPr>
        <w:t>财库〔</w:t>
      </w:r>
      <w:bookmarkEnd w:id="154"/>
      <w:r>
        <w:rPr>
          <w:rFonts w:hint="eastAsia"/>
          <w:color w:val="000000" w:themeColor="text1"/>
          <w:highlight w:val="none"/>
          <w14:textFill>
            <w14:solidFill>
              <w14:schemeClr w14:val="tx1"/>
            </w14:solidFill>
          </w14:textFill>
        </w:rPr>
        <w:t>2017〕141号</w:t>
      </w:r>
    </w:p>
    <w:p>
      <w:pPr>
        <w:pStyle w:val="16"/>
        <w:shd w:val="clear" w:color="auto" w:fill="FFFFFF"/>
        <w:spacing w:before="0" w:beforeAutospacing="0" w:after="0" w:afterAutospacing="0"/>
        <w:ind w:firstLine="480" w:firstLineChars="200"/>
        <w:rPr>
          <w:rFonts w:hint="eastAsia"/>
          <w:color w:val="000000" w:themeColor="text1"/>
          <w:highlight w:val="none"/>
          <w14:textFill>
            <w14:solidFill>
              <w14:schemeClr w14:val="tx1"/>
            </w14:solidFill>
          </w14:textFill>
        </w:rPr>
      </w:pPr>
      <w:bookmarkStart w:id="155" w:name="toDeptId"/>
      <w:r>
        <w:rPr>
          <w:rFonts w:hint="eastAsia"/>
          <w:color w:val="000000" w:themeColor="text1"/>
          <w:highlight w:val="none"/>
          <w14:textFill>
            <w14:solidFill>
              <w14:schemeClr w14:val="tx1"/>
            </w14:solidFill>
          </w14:textFill>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155"/>
      <w:r>
        <w:rPr>
          <w:rFonts w:hint="eastAsia"/>
          <w:color w:val="000000" w:themeColor="text1"/>
          <w:highlight w:val="none"/>
          <w14:textFill>
            <w14:solidFill>
              <w14:schemeClr w14:val="tx1"/>
            </w14:solidFill>
          </w14:textFill>
        </w:rPr>
        <w:t>：</w:t>
      </w:r>
    </w:p>
    <w:p>
      <w:pPr>
        <w:pStyle w:val="16"/>
        <w:shd w:val="clear" w:color="auto" w:fill="FFFFFF"/>
        <w:spacing w:before="0" w:beforeAutospacing="0" w:after="0" w:afterAutospacing="0"/>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为了发挥政府采购促进残疾人就业的作用，进一步保障残疾人权益，依照《政府采购法》、《残疾人保障法》等法律法规及相关规定，现就促进残疾人就业政府采购政策通知如下：</w:t>
      </w:r>
    </w:p>
    <w:p>
      <w:pPr>
        <w:pStyle w:val="16"/>
        <w:shd w:val="clear" w:color="auto" w:fill="FFFFFF"/>
        <w:spacing w:before="0" w:beforeAutospacing="0" w:after="0" w:afterAutospacing="0"/>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一、享受政府采购支持政策的残疾人福利性单位应当同时满足以下条件：</w:t>
      </w:r>
    </w:p>
    <w:p>
      <w:pPr>
        <w:pStyle w:val="16"/>
        <w:shd w:val="clear" w:color="auto" w:fill="FFFFFF"/>
        <w:spacing w:before="0" w:beforeAutospacing="0" w:after="0" w:afterAutospacing="0"/>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（一）安置的残疾人占本单位在职职工人数的比例不低于25%（含25%），并且安置的残疾人人数不少于10人（含10人）；</w:t>
      </w:r>
    </w:p>
    <w:p>
      <w:pPr>
        <w:pStyle w:val="16"/>
        <w:shd w:val="clear" w:color="auto" w:fill="FFFFFF"/>
        <w:spacing w:before="0" w:beforeAutospacing="0" w:after="0" w:afterAutospacing="0"/>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（二）依法与安置的每位残疾人签订了一年以上（含一年）的劳动合同或服务协议；</w:t>
      </w:r>
    </w:p>
    <w:p>
      <w:pPr>
        <w:pStyle w:val="16"/>
        <w:shd w:val="clear" w:color="auto" w:fill="FFFFFF"/>
        <w:spacing w:before="0" w:beforeAutospacing="0" w:after="0" w:afterAutospacing="0"/>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（三）为安置的每位残疾人按月足额缴纳了基本养老保险、基本医疗保险、失业保险、工伤保险和生育保险等社会保险费；</w:t>
      </w:r>
    </w:p>
    <w:p>
      <w:pPr>
        <w:pStyle w:val="16"/>
        <w:shd w:val="clear" w:color="auto" w:fill="FFFFFF"/>
        <w:spacing w:before="0" w:beforeAutospacing="0" w:after="0" w:afterAutospacing="0"/>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（四）通过银行等金融机构向安置的每位残疾人，按月支付了不低于单位所在区县适用的经省级人民政府批准的月最低工资标准的工资；</w:t>
      </w:r>
    </w:p>
    <w:p>
      <w:pPr>
        <w:pStyle w:val="16"/>
        <w:shd w:val="clear" w:color="auto" w:fill="FFFFFF"/>
        <w:spacing w:before="0" w:beforeAutospacing="0" w:after="0" w:afterAutospacing="0"/>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（五）提供本单位制造的货物、承担的工程或者服务（以下简称产品），或者提供其他残疾人福利性单位制造的货物（不包括使用非残疾人福利性单位注册商标的货物）。</w:t>
      </w:r>
    </w:p>
    <w:p>
      <w:pPr>
        <w:pStyle w:val="16"/>
        <w:shd w:val="clear" w:color="auto" w:fill="FFFFFF"/>
        <w:spacing w:before="0" w:beforeAutospacing="0" w:after="0" w:afterAutospacing="0"/>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6"/>
        <w:shd w:val="clear" w:color="auto" w:fill="FFFFFF"/>
        <w:spacing w:before="0" w:beforeAutospacing="0" w:after="0" w:afterAutospacing="0"/>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6"/>
        <w:shd w:val="clear" w:color="auto" w:fill="FFFFFF"/>
        <w:spacing w:before="0" w:beforeAutospacing="0" w:after="0" w:afterAutospacing="0"/>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中标、成交供应商为残疾人福利性单位的，采购人或者其委托的采购代理机构应当随中标、成交结果同时公告其《残疾人福利性单位声明函》，接受社会监督。</w:t>
      </w:r>
    </w:p>
    <w:p>
      <w:pPr>
        <w:pStyle w:val="16"/>
        <w:shd w:val="clear" w:color="auto" w:fill="FFFFFF"/>
        <w:spacing w:before="0" w:beforeAutospacing="0" w:after="0" w:afterAutospacing="0"/>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供应商提供的《残疾人福利性单位声明函》与事实不符的，依照《政府采购法》第七十七条第一款的规定追究法律责任。</w:t>
      </w:r>
    </w:p>
    <w:p>
      <w:pPr>
        <w:pStyle w:val="16"/>
        <w:shd w:val="clear" w:color="auto" w:fill="FFFFFF"/>
        <w:spacing w:before="0" w:beforeAutospacing="0" w:after="0" w:afterAutospacing="0"/>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6"/>
        <w:shd w:val="clear" w:color="auto" w:fill="FFFFFF"/>
        <w:spacing w:before="0" w:beforeAutospacing="0" w:after="0" w:afterAutospacing="0"/>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四、采购人采购公开招标数额标准以上的货物或者服务，因落实促进残疾人就业政策的需要，依法履行有关报批程序后，可采用公开招标以外的采购方式。</w:t>
      </w:r>
    </w:p>
    <w:p>
      <w:pPr>
        <w:pStyle w:val="16"/>
        <w:shd w:val="clear" w:color="auto" w:fill="FFFFFF"/>
        <w:spacing w:before="0" w:beforeAutospacing="0" w:after="0" w:afterAutospacing="0" w:line="560" w:lineRule="exact"/>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6"/>
        <w:shd w:val="clear" w:color="auto" w:fill="FFFFFF"/>
        <w:spacing w:before="0" w:beforeAutospacing="0" w:after="0" w:afterAutospacing="0" w:line="560" w:lineRule="exact"/>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6"/>
        <w:shd w:val="clear" w:color="auto" w:fill="FFFFFF"/>
        <w:spacing w:before="0" w:beforeAutospacing="0" w:after="0" w:afterAutospacing="0" w:line="560" w:lineRule="exact"/>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七、本通知自2017年10月1日起执行。</w:t>
      </w:r>
    </w:p>
    <w:p>
      <w:pPr>
        <w:pStyle w:val="16"/>
        <w:shd w:val="clear" w:color="auto" w:fill="FFFFFF"/>
        <w:spacing w:before="0" w:beforeAutospacing="0" w:after="0" w:afterAutospacing="0" w:line="560" w:lineRule="exact"/>
        <w:ind w:firstLine="480" w:firstLineChars="200"/>
        <w:jc w:val="righ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财政部 民政部 中国残疾人联合会</w:t>
      </w:r>
    </w:p>
    <w:p>
      <w:pPr>
        <w:pStyle w:val="16"/>
        <w:shd w:val="clear" w:color="auto" w:fill="FFFFFF"/>
        <w:spacing w:before="0" w:beforeAutospacing="0" w:after="0" w:afterAutospacing="0" w:line="560" w:lineRule="exact"/>
        <w:ind w:firstLine="480" w:firstLineChars="200"/>
        <w:jc w:val="righ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2017年8月22日</w:t>
      </w:r>
    </w:p>
    <w:p>
      <w:pPr>
        <w:pStyle w:val="31"/>
        <w:shd w:val="clear" w:color="auto" w:fill="FFFFFF"/>
        <w:spacing w:before="0" w:beforeAutospacing="0" w:after="0" w:afterAutospacing="0" w:line="560" w:lineRule="exact"/>
        <w:jc w:val="both"/>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附件：</w:t>
      </w:r>
    </w:p>
    <w:p>
      <w:pPr>
        <w:pStyle w:val="31"/>
        <w:shd w:val="clear" w:color="auto" w:fill="FFFFFF"/>
        <w:spacing w:before="0" w:beforeAutospacing="0" w:after="0" w:afterAutospacing="0" w:line="560" w:lineRule="exact"/>
        <w:ind w:firstLine="482" w:firstLineChars="200"/>
        <w:jc w:val="center"/>
        <w:rPr>
          <w:rFonts w:hint="eastAsia"/>
          <w:color w:val="000000" w:themeColor="text1"/>
          <w:highlight w:val="none"/>
          <w14:textFill>
            <w14:solidFill>
              <w14:schemeClr w14:val="tx1"/>
            </w14:solidFill>
          </w14:textFill>
        </w:rPr>
      </w:pPr>
      <w:r>
        <w:rPr>
          <w:rStyle w:val="32"/>
          <w:rFonts w:hint="eastAsia"/>
          <w:b/>
          <w:bCs/>
          <w:color w:val="000000" w:themeColor="text1"/>
          <w:highlight w:val="none"/>
          <w14:textFill>
            <w14:solidFill>
              <w14:schemeClr w14:val="tx1"/>
            </w14:solidFill>
          </w14:textFill>
        </w:rPr>
        <w:t>残疾人福利性单位声明函</w:t>
      </w:r>
    </w:p>
    <w:p>
      <w:pPr>
        <w:pStyle w:val="31"/>
        <w:shd w:val="clear" w:color="auto" w:fill="FFFFFF"/>
        <w:spacing w:before="0" w:beforeAutospacing="0" w:after="0" w:afterAutospacing="0" w:line="560" w:lineRule="exact"/>
        <w:ind w:firstLine="480" w:firstLineChars="200"/>
        <w:jc w:val="both"/>
        <w:rPr>
          <w:rFonts w:hint="eastAsia"/>
          <w:color w:val="000000" w:themeColor="text1"/>
          <w:highlight w:val="none"/>
          <w14:textFill>
            <w14:solidFill>
              <w14:schemeClr w14:val="tx1"/>
            </w14:solidFill>
          </w14:textFill>
        </w:rPr>
      </w:pPr>
      <w:r>
        <w:rPr>
          <w:rStyle w:val="32"/>
          <w:rFonts w:hint="eastAsia"/>
          <w:color w:val="000000" w:themeColor="text1"/>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1"/>
        <w:shd w:val="clear" w:color="auto" w:fill="FFFFFF"/>
        <w:spacing w:before="0" w:beforeAutospacing="0" w:after="0" w:afterAutospacing="0" w:line="560" w:lineRule="exact"/>
        <w:ind w:firstLine="480" w:firstLineChars="200"/>
        <w:jc w:val="both"/>
        <w:rPr>
          <w:rFonts w:hint="eastAsia"/>
          <w:color w:val="000000" w:themeColor="text1"/>
          <w:highlight w:val="none"/>
          <w14:textFill>
            <w14:solidFill>
              <w14:schemeClr w14:val="tx1"/>
            </w14:solidFill>
          </w14:textFill>
        </w:rPr>
      </w:pPr>
      <w:r>
        <w:rPr>
          <w:rStyle w:val="32"/>
          <w:rFonts w:hint="eastAsia"/>
          <w:color w:val="000000" w:themeColor="text1"/>
          <w:highlight w:val="none"/>
          <w14:textFill>
            <w14:solidFill>
              <w14:schemeClr w14:val="tx1"/>
            </w14:solidFill>
          </w14:textFill>
        </w:rPr>
        <w:t>本单位对上述声明的真实性负责。如有虚假，将依法承担相应责任。</w:t>
      </w:r>
    </w:p>
    <w:p>
      <w:pPr>
        <w:pStyle w:val="31"/>
        <w:shd w:val="clear" w:color="auto" w:fill="FFFFFF"/>
        <w:spacing w:before="0" w:beforeAutospacing="0" w:after="0" w:afterAutospacing="0" w:line="560" w:lineRule="exact"/>
        <w:ind w:firstLine="480" w:firstLineChars="200"/>
        <w:jc w:val="both"/>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投标人已知悉《关于促进残疾人就业政府采购政策的通知》（财库〔2017〕141 号）的规定，承诺提供的声明函内容是真实的，如提供声明函内容不实，则依法追究相关法律责任。</w:t>
      </w:r>
    </w:p>
    <w:p>
      <w:pPr>
        <w:pStyle w:val="31"/>
        <w:shd w:val="clear" w:color="auto" w:fill="FFFFFF"/>
        <w:spacing w:before="0" w:beforeAutospacing="0" w:after="0" w:afterAutospacing="0" w:line="560" w:lineRule="exact"/>
        <w:ind w:right="2100" w:rightChars="1000"/>
        <w:jc w:val="right"/>
        <w:rPr>
          <w:rFonts w:hint="eastAsia"/>
          <w:color w:val="000000" w:themeColor="text1"/>
          <w:highlight w:val="none"/>
          <w14:textFill>
            <w14:solidFill>
              <w14:schemeClr w14:val="tx1"/>
            </w14:solidFill>
          </w14:textFill>
        </w:rPr>
      </w:pPr>
      <w:r>
        <w:rPr>
          <w:rStyle w:val="32"/>
          <w:rFonts w:hint="eastAsia"/>
          <w:color w:val="000000" w:themeColor="text1"/>
          <w:highlight w:val="none"/>
          <w14:textFill>
            <w14:solidFill>
              <w14:schemeClr w14:val="tx1"/>
            </w14:solidFill>
          </w14:textFill>
        </w:rPr>
        <w:t>单位名称（盖章）：</w:t>
      </w:r>
    </w:p>
    <w:p>
      <w:pPr>
        <w:pStyle w:val="31"/>
        <w:shd w:val="clear" w:color="auto" w:fill="FFFFFF"/>
        <w:spacing w:before="0" w:beforeAutospacing="0" w:after="0" w:afterAutospacing="0" w:line="560" w:lineRule="exact"/>
        <w:ind w:right="2100" w:rightChars="1000"/>
        <w:jc w:val="right"/>
        <w:rPr>
          <w:rFonts w:hint="eastAsia"/>
          <w:color w:val="000000" w:themeColor="text1"/>
          <w:highlight w:val="none"/>
          <w:lang w:val="fr-CH"/>
          <w14:textFill>
            <w14:solidFill>
              <w14:schemeClr w14:val="tx1"/>
            </w14:solidFill>
          </w14:textFill>
        </w:rPr>
      </w:pPr>
      <w:r>
        <w:rPr>
          <w:rStyle w:val="32"/>
          <w:rFonts w:hint="eastAsia"/>
          <w:color w:val="000000" w:themeColor="text1"/>
          <w:highlight w:val="none"/>
          <w14:textFill>
            <w14:solidFill>
              <w14:schemeClr w14:val="tx1"/>
            </w14:solidFill>
          </w14:textFill>
        </w:rPr>
        <w:t>日 期：</w:t>
      </w:r>
    </w:p>
    <w:p>
      <w:pPr>
        <w:tabs>
          <w:tab w:val="left" w:pos="640"/>
          <w:tab w:val="left" w:pos="1260"/>
          <w:tab w:val="left" w:pos="1418"/>
        </w:tabs>
        <w:spacing w:line="360" w:lineRule="auto"/>
        <w:ind w:right="-420" w:rightChars="-200"/>
        <w:rPr>
          <w:rFonts w:hint="eastAsia" w:ascii="宋体" w:hAnsi="宋体" w:cs="宋体"/>
          <w:color w:val="000000" w:themeColor="text1"/>
          <w:sz w:val="24"/>
          <w:highlight w:val="none"/>
          <w:lang w:val="fr-CH"/>
          <w14:textFill>
            <w14:solidFill>
              <w14:schemeClr w14:val="tx1"/>
            </w14:solidFill>
          </w14:textFill>
        </w:rPr>
      </w:pPr>
    </w:p>
    <w:p>
      <w:pPr>
        <w:rPr>
          <w:color w:val="000000" w:themeColor="text1"/>
          <w:highlight w:val="none"/>
          <w14:textFill>
            <w14:solidFill>
              <w14:schemeClr w14:val="tx1"/>
            </w14:solidFill>
          </w14:textFill>
        </w:rPr>
      </w:pPr>
    </w:p>
    <w:sectPr>
      <w:headerReference r:id="rId6" w:type="first"/>
      <w:headerReference r:id="rId4" w:type="default"/>
      <w:headerReference r:id="rId5" w:type="even"/>
      <w:pgSz w:w="11906" w:h="16838"/>
      <w:pgMar w:top="850" w:right="1803" w:bottom="709"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DF9AC4B-79C3-4146-B22B-7502204C63E7}"/>
  </w:font>
  <w:font w:name="黑体">
    <w:panose1 w:val="02010609060101010101"/>
    <w:charset w:val="86"/>
    <w:family w:val="auto"/>
    <w:pitch w:val="default"/>
    <w:sig w:usb0="800002BF" w:usb1="38CF7CFA" w:usb2="00000016" w:usb3="00000000" w:csb0="00040001" w:csb1="00000000"/>
    <w:embedRegular r:id="rId2" w:fontKey="{9C633D06-E303-46B2-BC83-C037B773CB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699031A3-462E-449C-9FA2-B824C305C138}"/>
  </w:font>
  <w:font w:name="长城仿宋">
    <w:altName w:val="仿宋"/>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F5652658-E37F-43A2-A023-E1D00D2C03BC}"/>
  </w:font>
  <w:font w:name="Arial Narrow">
    <w:panose1 w:val="020B0606020202030204"/>
    <w:charset w:val="00"/>
    <w:family w:val="swiss"/>
    <w:pitch w:val="default"/>
    <w:sig w:usb0="00000000" w:usb1="00000000" w:usb2="00000000" w:usb3="00000000" w:csb0="00000000" w:csb1="00000000"/>
    <w:embedRegular r:id="rId5" w:fontKey="{D55C47E9-72EB-4D79-A03D-CDD91D05495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jc w:val="center"/>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3074"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3073"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C046B"/>
    <w:multiLevelType w:val="singleLevel"/>
    <w:tmpl w:val="83CC046B"/>
    <w:lvl w:ilvl="0" w:tentative="0">
      <w:start w:val="1"/>
      <w:numFmt w:val="decimal"/>
      <w:lvlText w:val="（%1）"/>
      <w:lvlJc w:val="left"/>
      <w:pPr>
        <w:tabs>
          <w:tab w:val="left" w:pos="425"/>
        </w:tabs>
        <w:ind w:left="425" w:hanging="425"/>
      </w:pPr>
      <w:rPr>
        <w:rFonts w:hint="default"/>
      </w:rPr>
    </w:lvl>
  </w:abstractNum>
  <w:abstractNum w:abstractNumId="1">
    <w:nsid w:val="9F737C4C"/>
    <w:multiLevelType w:val="singleLevel"/>
    <w:tmpl w:val="9F737C4C"/>
    <w:lvl w:ilvl="0" w:tentative="0">
      <w:start w:val="1"/>
      <w:numFmt w:val="decimal"/>
      <w:lvlText w:val="（%1）"/>
      <w:lvlJc w:val="left"/>
      <w:pPr>
        <w:tabs>
          <w:tab w:val="left" w:pos="425"/>
        </w:tabs>
        <w:ind w:left="425" w:hanging="425"/>
      </w:pPr>
      <w:rPr>
        <w:rFonts w:hint="default"/>
      </w:rPr>
    </w:lvl>
  </w:abstractNum>
  <w:abstractNum w:abstractNumId="2">
    <w:nsid w:val="A77657F5"/>
    <w:multiLevelType w:val="singleLevel"/>
    <w:tmpl w:val="A77657F5"/>
    <w:lvl w:ilvl="0" w:tentative="0">
      <w:start w:val="1"/>
      <w:numFmt w:val="decimal"/>
      <w:suff w:val="nothing"/>
      <w:lvlText w:val="（%1）"/>
      <w:lvlJc w:val="left"/>
    </w:lvl>
  </w:abstractNum>
  <w:abstractNum w:abstractNumId="3">
    <w:nsid w:val="AFE7CFB2"/>
    <w:multiLevelType w:val="singleLevel"/>
    <w:tmpl w:val="AFE7CFB2"/>
    <w:lvl w:ilvl="0" w:tentative="0">
      <w:start w:val="1"/>
      <w:numFmt w:val="decimal"/>
      <w:lvlText w:val="（%1）"/>
      <w:lvlJc w:val="left"/>
      <w:pPr>
        <w:tabs>
          <w:tab w:val="left" w:pos="425"/>
        </w:tabs>
        <w:ind w:left="425" w:hanging="425"/>
      </w:pPr>
      <w:rPr>
        <w:rFonts w:hint="default"/>
      </w:rPr>
    </w:lvl>
  </w:abstractNum>
  <w:abstractNum w:abstractNumId="4">
    <w:nsid w:val="B60EDFBE"/>
    <w:multiLevelType w:val="singleLevel"/>
    <w:tmpl w:val="B60EDFBE"/>
    <w:lvl w:ilvl="0" w:tentative="0">
      <w:start w:val="1"/>
      <w:numFmt w:val="decimal"/>
      <w:suff w:val="nothing"/>
      <w:lvlText w:val="（%1）"/>
      <w:lvlJc w:val="left"/>
    </w:lvl>
  </w:abstractNum>
  <w:abstractNum w:abstractNumId="5">
    <w:nsid w:val="F44D9858"/>
    <w:multiLevelType w:val="singleLevel"/>
    <w:tmpl w:val="F44D9858"/>
    <w:lvl w:ilvl="0" w:tentative="0">
      <w:start w:val="1"/>
      <w:numFmt w:val="decimal"/>
      <w:lvlText w:val="（%1）"/>
      <w:lvlJc w:val="left"/>
      <w:pPr>
        <w:tabs>
          <w:tab w:val="left" w:pos="425"/>
        </w:tabs>
        <w:ind w:left="425" w:hanging="425"/>
      </w:pPr>
      <w:rPr>
        <w:rFonts w:hint="default"/>
      </w:rPr>
    </w:lvl>
  </w:abstractNum>
  <w:abstractNum w:abstractNumId="6">
    <w:nsid w:val="F8A1E266"/>
    <w:multiLevelType w:val="singleLevel"/>
    <w:tmpl w:val="F8A1E266"/>
    <w:lvl w:ilvl="0" w:tentative="0">
      <w:start w:val="1"/>
      <w:numFmt w:val="decimal"/>
      <w:lvlText w:val="（%1）"/>
      <w:lvlJc w:val="left"/>
      <w:pPr>
        <w:tabs>
          <w:tab w:val="left" w:pos="425"/>
        </w:tabs>
        <w:ind w:left="425" w:hanging="425"/>
      </w:pPr>
      <w:rPr>
        <w:rFonts w:hint="default"/>
      </w:rPr>
    </w:lvl>
  </w:abstractNum>
  <w:abstractNum w:abstractNumId="7">
    <w:nsid w:val="200A2FAF"/>
    <w:multiLevelType w:val="singleLevel"/>
    <w:tmpl w:val="200A2FAF"/>
    <w:lvl w:ilvl="0" w:tentative="0">
      <w:start w:val="5"/>
      <w:numFmt w:val="decimal"/>
      <w:suff w:val="nothing"/>
      <w:lvlText w:val="（%1）"/>
      <w:lvlJc w:val="left"/>
    </w:lvl>
  </w:abstractNum>
  <w:abstractNum w:abstractNumId="8">
    <w:nsid w:val="418A3D68"/>
    <w:multiLevelType w:val="singleLevel"/>
    <w:tmpl w:val="418A3D68"/>
    <w:lvl w:ilvl="0" w:tentative="0">
      <w:start w:val="1"/>
      <w:numFmt w:val="decimal"/>
      <w:lvlText w:val="(%1)"/>
      <w:lvlJc w:val="left"/>
      <w:pPr>
        <w:tabs>
          <w:tab w:val="left" w:pos="-420"/>
        </w:tabs>
        <w:ind w:left="5" w:hanging="425"/>
      </w:pPr>
      <w:rPr>
        <w:rFonts w:hint="default"/>
      </w:rPr>
    </w:lvl>
  </w:abstractNum>
  <w:abstractNum w:abstractNumId="9">
    <w:nsid w:val="435840A3"/>
    <w:multiLevelType w:val="multilevel"/>
    <w:tmpl w:val="435840A3"/>
    <w:lvl w:ilvl="0" w:tentative="0">
      <w:start w:val="1"/>
      <w:numFmt w:val="decimal"/>
      <w:lvlText w:val="%1."/>
      <w:lvlJc w:val="left"/>
      <w:pPr>
        <w:ind w:left="423" w:hanging="420"/>
      </w:pPr>
    </w:lvl>
    <w:lvl w:ilvl="1" w:tentative="0">
      <w:start w:val="1"/>
      <w:numFmt w:val="lowerLetter"/>
      <w:lvlText w:val="%2)"/>
      <w:lvlJc w:val="left"/>
      <w:pPr>
        <w:ind w:left="843" w:hanging="420"/>
      </w:pPr>
    </w:lvl>
    <w:lvl w:ilvl="2" w:tentative="0">
      <w:start w:val="1"/>
      <w:numFmt w:val="lowerRoman"/>
      <w:lvlText w:val="%3."/>
      <w:lvlJc w:val="right"/>
      <w:pPr>
        <w:ind w:left="1263" w:hanging="420"/>
      </w:pPr>
    </w:lvl>
    <w:lvl w:ilvl="3" w:tentative="0">
      <w:start w:val="1"/>
      <w:numFmt w:val="decimal"/>
      <w:lvlText w:val="%4."/>
      <w:lvlJc w:val="left"/>
      <w:pPr>
        <w:ind w:left="1683" w:hanging="420"/>
      </w:pPr>
    </w:lvl>
    <w:lvl w:ilvl="4" w:tentative="0">
      <w:start w:val="1"/>
      <w:numFmt w:val="lowerLetter"/>
      <w:lvlText w:val="%5)"/>
      <w:lvlJc w:val="left"/>
      <w:pPr>
        <w:ind w:left="2103" w:hanging="420"/>
      </w:pPr>
    </w:lvl>
    <w:lvl w:ilvl="5" w:tentative="0">
      <w:start w:val="1"/>
      <w:numFmt w:val="lowerRoman"/>
      <w:lvlText w:val="%6."/>
      <w:lvlJc w:val="right"/>
      <w:pPr>
        <w:ind w:left="2523" w:hanging="420"/>
      </w:pPr>
    </w:lvl>
    <w:lvl w:ilvl="6" w:tentative="0">
      <w:start w:val="1"/>
      <w:numFmt w:val="decimal"/>
      <w:lvlText w:val="%7."/>
      <w:lvlJc w:val="left"/>
      <w:pPr>
        <w:ind w:left="2943" w:hanging="420"/>
      </w:pPr>
    </w:lvl>
    <w:lvl w:ilvl="7" w:tentative="0">
      <w:start w:val="1"/>
      <w:numFmt w:val="lowerLetter"/>
      <w:lvlText w:val="%8)"/>
      <w:lvlJc w:val="left"/>
      <w:pPr>
        <w:ind w:left="3363" w:hanging="420"/>
      </w:pPr>
    </w:lvl>
    <w:lvl w:ilvl="8" w:tentative="0">
      <w:start w:val="1"/>
      <w:numFmt w:val="lowerRoman"/>
      <w:lvlText w:val="%9."/>
      <w:lvlJc w:val="right"/>
      <w:pPr>
        <w:ind w:left="3783" w:hanging="420"/>
      </w:pPr>
    </w:lvl>
  </w:abstractNum>
  <w:abstractNum w:abstractNumId="10">
    <w:nsid w:val="5B1CD88C"/>
    <w:multiLevelType w:val="singleLevel"/>
    <w:tmpl w:val="5B1CD88C"/>
    <w:lvl w:ilvl="0" w:tentative="0">
      <w:start w:val="1"/>
      <w:numFmt w:val="decimal"/>
      <w:suff w:val="nothing"/>
      <w:lvlText w:val="%1．"/>
      <w:lvlJc w:val="left"/>
      <w:pPr>
        <w:ind w:left="0" w:firstLine="400"/>
      </w:pPr>
      <w:rPr>
        <w:rFonts w:hint="default"/>
      </w:rPr>
    </w:lvl>
  </w:abstractNum>
  <w:abstractNum w:abstractNumId="11">
    <w:nsid w:val="5D7828B9"/>
    <w:multiLevelType w:val="singleLevel"/>
    <w:tmpl w:val="5D7828B9"/>
    <w:lvl w:ilvl="0" w:tentative="0">
      <w:start w:val="1"/>
      <w:numFmt w:val="decimal"/>
      <w:lvlText w:val="（%1）"/>
      <w:lvlJc w:val="left"/>
      <w:pPr>
        <w:tabs>
          <w:tab w:val="left" w:pos="425"/>
        </w:tabs>
        <w:ind w:left="425" w:hanging="425"/>
      </w:pPr>
      <w:rPr>
        <w:rFonts w:hint="default"/>
      </w:rPr>
    </w:lvl>
  </w:abstractNum>
  <w:abstractNum w:abstractNumId="12">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12"/>
  </w:num>
  <w:num w:numId="2">
    <w:abstractNumId w:val="4"/>
  </w:num>
  <w:num w:numId="3">
    <w:abstractNumId w:val="2"/>
  </w:num>
  <w:num w:numId="4">
    <w:abstractNumId w:val="8"/>
  </w:num>
  <w:num w:numId="5">
    <w:abstractNumId w:val="9"/>
  </w:num>
  <w:num w:numId="6">
    <w:abstractNumId w:val="3"/>
  </w:num>
  <w:num w:numId="7">
    <w:abstractNumId w:val="5"/>
  </w:num>
  <w:num w:numId="8">
    <w:abstractNumId w:val="1"/>
  </w:num>
  <w:num w:numId="9">
    <w:abstractNumId w:val="0"/>
  </w:num>
  <w:num w:numId="10">
    <w:abstractNumId w:val="6"/>
  </w:num>
  <w:num w:numId="11">
    <w:abstractNumId w:val="10"/>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FE6E37"/>
    <w:rsid w:val="00002D9F"/>
    <w:rsid w:val="00004FE6"/>
    <w:rsid w:val="00017862"/>
    <w:rsid w:val="00054471"/>
    <w:rsid w:val="0008533A"/>
    <w:rsid w:val="000C29C4"/>
    <w:rsid w:val="001C60B0"/>
    <w:rsid w:val="00202BB9"/>
    <w:rsid w:val="002973B3"/>
    <w:rsid w:val="003A4DB8"/>
    <w:rsid w:val="00441793"/>
    <w:rsid w:val="006E4653"/>
    <w:rsid w:val="00700F64"/>
    <w:rsid w:val="00771B68"/>
    <w:rsid w:val="0089189B"/>
    <w:rsid w:val="00B82957"/>
    <w:rsid w:val="00BE52EC"/>
    <w:rsid w:val="00C4028B"/>
    <w:rsid w:val="00C93875"/>
    <w:rsid w:val="00D62CC9"/>
    <w:rsid w:val="00E747E3"/>
    <w:rsid w:val="00F46D15"/>
    <w:rsid w:val="00F72CA9"/>
    <w:rsid w:val="00FF40AC"/>
    <w:rsid w:val="01145951"/>
    <w:rsid w:val="011663ED"/>
    <w:rsid w:val="01211AD4"/>
    <w:rsid w:val="012515C4"/>
    <w:rsid w:val="012D0479"/>
    <w:rsid w:val="0157618B"/>
    <w:rsid w:val="019B37E7"/>
    <w:rsid w:val="01B446F6"/>
    <w:rsid w:val="01D628BE"/>
    <w:rsid w:val="01EC0334"/>
    <w:rsid w:val="01EF572E"/>
    <w:rsid w:val="020442FF"/>
    <w:rsid w:val="020B6FE8"/>
    <w:rsid w:val="020E3E06"/>
    <w:rsid w:val="02444E5B"/>
    <w:rsid w:val="02477318"/>
    <w:rsid w:val="02A80FA1"/>
    <w:rsid w:val="02B81FC4"/>
    <w:rsid w:val="02C1356F"/>
    <w:rsid w:val="02C848FD"/>
    <w:rsid w:val="032558AB"/>
    <w:rsid w:val="032F4898"/>
    <w:rsid w:val="03593451"/>
    <w:rsid w:val="036839EA"/>
    <w:rsid w:val="036D7252"/>
    <w:rsid w:val="037800D1"/>
    <w:rsid w:val="037C7496"/>
    <w:rsid w:val="038D16A3"/>
    <w:rsid w:val="038E26A7"/>
    <w:rsid w:val="03993BA4"/>
    <w:rsid w:val="03B24C65"/>
    <w:rsid w:val="03B54992"/>
    <w:rsid w:val="03BB1D6C"/>
    <w:rsid w:val="03C07382"/>
    <w:rsid w:val="03E5503B"/>
    <w:rsid w:val="03FF0592"/>
    <w:rsid w:val="03FF56E1"/>
    <w:rsid w:val="040B5B34"/>
    <w:rsid w:val="040C3CF2"/>
    <w:rsid w:val="044E26AD"/>
    <w:rsid w:val="04640655"/>
    <w:rsid w:val="048C5BE2"/>
    <w:rsid w:val="04972A57"/>
    <w:rsid w:val="049A4077"/>
    <w:rsid w:val="04A919F3"/>
    <w:rsid w:val="04AC3B33"/>
    <w:rsid w:val="04D035F5"/>
    <w:rsid w:val="04D255BF"/>
    <w:rsid w:val="04E15802"/>
    <w:rsid w:val="050D4546"/>
    <w:rsid w:val="054F4E62"/>
    <w:rsid w:val="05525F81"/>
    <w:rsid w:val="05A30D0A"/>
    <w:rsid w:val="05D438B9"/>
    <w:rsid w:val="05F15671"/>
    <w:rsid w:val="05F652DD"/>
    <w:rsid w:val="05F94DCD"/>
    <w:rsid w:val="060A7F0C"/>
    <w:rsid w:val="06416BB8"/>
    <w:rsid w:val="06456265"/>
    <w:rsid w:val="069114AA"/>
    <w:rsid w:val="06A116ED"/>
    <w:rsid w:val="06CE1F71"/>
    <w:rsid w:val="06E415DA"/>
    <w:rsid w:val="07000B16"/>
    <w:rsid w:val="07200C9D"/>
    <w:rsid w:val="073A5410"/>
    <w:rsid w:val="0754675F"/>
    <w:rsid w:val="076B39F3"/>
    <w:rsid w:val="0775167C"/>
    <w:rsid w:val="0777462F"/>
    <w:rsid w:val="07A0765A"/>
    <w:rsid w:val="07BC3D6C"/>
    <w:rsid w:val="080A5070"/>
    <w:rsid w:val="084E684E"/>
    <w:rsid w:val="084F5179"/>
    <w:rsid w:val="089D5EE4"/>
    <w:rsid w:val="08AE6343"/>
    <w:rsid w:val="08AF2F0D"/>
    <w:rsid w:val="08C45350"/>
    <w:rsid w:val="08EF6AC2"/>
    <w:rsid w:val="08FF019C"/>
    <w:rsid w:val="09185F2E"/>
    <w:rsid w:val="092C2AB7"/>
    <w:rsid w:val="096C4D6B"/>
    <w:rsid w:val="09774987"/>
    <w:rsid w:val="097815DF"/>
    <w:rsid w:val="098E31D7"/>
    <w:rsid w:val="09C149B3"/>
    <w:rsid w:val="09D57431"/>
    <w:rsid w:val="09D9508C"/>
    <w:rsid w:val="09E75EDE"/>
    <w:rsid w:val="09F47D86"/>
    <w:rsid w:val="09F90D53"/>
    <w:rsid w:val="0A01421F"/>
    <w:rsid w:val="0A3B3CB9"/>
    <w:rsid w:val="0A3D797F"/>
    <w:rsid w:val="0A3E54A5"/>
    <w:rsid w:val="0A4B29B8"/>
    <w:rsid w:val="0A570314"/>
    <w:rsid w:val="0A6F22B3"/>
    <w:rsid w:val="0A7F6940"/>
    <w:rsid w:val="0A904DFA"/>
    <w:rsid w:val="0AA07F0D"/>
    <w:rsid w:val="0B1D330C"/>
    <w:rsid w:val="0B732F2C"/>
    <w:rsid w:val="0B872ED2"/>
    <w:rsid w:val="0B8D66E4"/>
    <w:rsid w:val="0BA12829"/>
    <w:rsid w:val="0BB45AA2"/>
    <w:rsid w:val="0BCB720C"/>
    <w:rsid w:val="0BE85AA6"/>
    <w:rsid w:val="0BF0642E"/>
    <w:rsid w:val="0C005141"/>
    <w:rsid w:val="0C23344D"/>
    <w:rsid w:val="0C2506CA"/>
    <w:rsid w:val="0C393981"/>
    <w:rsid w:val="0C3B7EEE"/>
    <w:rsid w:val="0C4310EE"/>
    <w:rsid w:val="0C62191E"/>
    <w:rsid w:val="0CA03970"/>
    <w:rsid w:val="0CC53C5B"/>
    <w:rsid w:val="0CEE48A7"/>
    <w:rsid w:val="0D0B2017"/>
    <w:rsid w:val="0D136775"/>
    <w:rsid w:val="0D373A0B"/>
    <w:rsid w:val="0D5D3E94"/>
    <w:rsid w:val="0D6214AA"/>
    <w:rsid w:val="0D703BC7"/>
    <w:rsid w:val="0D7F3E0A"/>
    <w:rsid w:val="0D907DC5"/>
    <w:rsid w:val="0D9F44AC"/>
    <w:rsid w:val="0DAC6849"/>
    <w:rsid w:val="0DC67DD3"/>
    <w:rsid w:val="0DCF21C8"/>
    <w:rsid w:val="0DDA54E4"/>
    <w:rsid w:val="0DFE5677"/>
    <w:rsid w:val="0E034A3B"/>
    <w:rsid w:val="0E19425F"/>
    <w:rsid w:val="0E19600D"/>
    <w:rsid w:val="0E2624D8"/>
    <w:rsid w:val="0E4219DB"/>
    <w:rsid w:val="0EC95C85"/>
    <w:rsid w:val="0ED35847"/>
    <w:rsid w:val="0ED40186"/>
    <w:rsid w:val="0F072309"/>
    <w:rsid w:val="0F6A2898"/>
    <w:rsid w:val="0F6B6D3C"/>
    <w:rsid w:val="0F851480"/>
    <w:rsid w:val="0F8B2F3A"/>
    <w:rsid w:val="0FA1450C"/>
    <w:rsid w:val="0FB139B7"/>
    <w:rsid w:val="0FDC3796"/>
    <w:rsid w:val="0FF74205"/>
    <w:rsid w:val="1008458B"/>
    <w:rsid w:val="100D4B83"/>
    <w:rsid w:val="10675755"/>
    <w:rsid w:val="106D0892"/>
    <w:rsid w:val="108F25B6"/>
    <w:rsid w:val="10947BCD"/>
    <w:rsid w:val="11286567"/>
    <w:rsid w:val="1131366D"/>
    <w:rsid w:val="11586E4C"/>
    <w:rsid w:val="116040EA"/>
    <w:rsid w:val="11AC7198"/>
    <w:rsid w:val="11B22B48"/>
    <w:rsid w:val="11E20D72"/>
    <w:rsid w:val="124318AA"/>
    <w:rsid w:val="12631F4C"/>
    <w:rsid w:val="129C720C"/>
    <w:rsid w:val="12F17B2E"/>
    <w:rsid w:val="136071FB"/>
    <w:rsid w:val="13660293"/>
    <w:rsid w:val="13737F6D"/>
    <w:rsid w:val="137B7981"/>
    <w:rsid w:val="138959E3"/>
    <w:rsid w:val="138F7287"/>
    <w:rsid w:val="139B1132"/>
    <w:rsid w:val="139B74C4"/>
    <w:rsid w:val="13E87CB7"/>
    <w:rsid w:val="140F15C8"/>
    <w:rsid w:val="141650CD"/>
    <w:rsid w:val="141D612B"/>
    <w:rsid w:val="142837CA"/>
    <w:rsid w:val="14382F65"/>
    <w:rsid w:val="145533A6"/>
    <w:rsid w:val="14740441"/>
    <w:rsid w:val="148443FC"/>
    <w:rsid w:val="149F2FE4"/>
    <w:rsid w:val="14A423A8"/>
    <w:rsid w:val="14C71101"/>
    <w:rsid w:val="153100AC"/>
    <w:rsid w:val="154F67B8"/>
    <w:rsid w:val="155B33AF"/>
    <w:rsid w:val="157D1577"/>
    <w:rsid w:val="158D6BDD"/>
    <w:rsid w:val="15E92BC7"/>
    <w:rsid w:val="15FD3709"/>
    <w:rsid w:val="16157A01"/>
    <w:rsid w:val="16493207"/>
    <w:rsid w:val="164B0365"/>
    <w:rsid w:val="16685D83"/>
    <w:rsid w:val="167A7865"/>
    <w:rsid w:val="167F6351"/>
    <w:rsid w:val="168B1A72"/>
    <w:rsid w:val="16C32C88"/>
    <w:rsid w:val="16C358AF"/>
    <w:rsid w:val="16D637FC"/>
    <w:rsid w:val="16F76FA7"/>
    <w:rsid w:val="172A3039"/>
    <w:rsid w:val="1763654B"/>
    <w:rsid w:val="1773288D"/>
    <w:rsid w:val="178D1D96"/>
    <w:rsid w:val="17966920"/>
    <w:rsid w:val="17F35B20"/>
    <w:rsid w:val="180B1483"/>
    <w:rsid w:val="180C273E"/>
    <w:rsid w:val="181518BD"/>
    <w:rsid w:val="183459BE"/>
    <w:rsid w:val="183D7B1A"/>
    <w:rsid w:val="1840688C"/>
    <w:rsid w:val="184F3D45"/>
    <w:rsid w:val="18BE7B6B"/>
    <w:rsid w:val="18E37943"/>
    <w:rsid w:val="18FA239B"/>
    <w:rsid w:val="19197809"/>
    <w:rsid w:val="191C4C03"/>
    <w:rsid w:val="194D3428"/>
    <w:rsid w:val="195B397D"/>
    <w:rsid w:val="19622F5E"/>
    <w:rsid w:val="19882298"/>
    <w:rsid w:val="19946E8F"/>
    <w:rsid w:val="199E39C2"/>
    <w:rsid w:val="19A05834"/>
    <w:rsid w:val="19A8293B"/>
    <w:rsid w:val="19B4308D"/>
    <w:rsid w:val="19E219A9"/>
    <w:rsid w:val="19E73463"/>
    <w:rsid w:val="1A332204"/>
    <w:rsid w:val="1A7F3E24"/>
    <w:rsid w:val="1AC217DA"/>
    <w:rsid w:val="1AFE2C2B"/>
    <w:rsid w:val="1B1F09DB"/>
    <w:rsid w:val="1B6F1962"/>
    <w:rsid w:val="1B765E86"/>
    <w:rsid w:val="1B982FF3"/>
    <w:rsid w:val="1BD971F4"/>
    <w:rsid w:val="1BDB6FF7"/>
    <w:rsid w:val="1BEA548C"/>
    <w:rsid w:val="1C0F2CE1"/>
    <w:rsid w:val="1C224C26"/>
    <w:rsid w:val="1C762226"/>
    <w:rsid w:val="1CA8197B"/>
    <w:rsid w:val="1CC66919"/>
    <w:rsid w:val="1D1C78C7"/>
    <w:rsid w:val="1D61352C"/>
    <w:rsid w:val="1D864D41"/>
    <w:rsid w:val="1DC64109"/>
    <w:rsid w:val="1DD10C77"/>
    <w:rsid w:val="1DD821DB"/>
    <w:rsid w:val="1DD84EE2"/>
    <w:rsid w:val="1DEA52D0"/>
    <w:rsid w:val="1DF83E91"/>
    <w:rsid w:val="1E193E07"/>
    <w:rsid w:val="1E2702D2"/>
    <w:rsid w:val="1E5906A7"/>
    <w:rsid w:val="1EC575F3"/>
    <w:rsid w:val="1EFB350D"/>
    <w:rsid w:val="1EFB52BB"/>
    <w:rsid w:val="1F126AC2"/>
    <w:rsid w:val="1F515A39"/>
    <w:rsid w:val="1F69532E"/>
    <w:rsid w:val="1F7C63FB"/>
    <w:rsid w:val="1F9803AC"/>
    <w:rsid w:val="203D01A7"/>
    <w:rsid w:val="20695B39"/>
    <w:rsid w:val="2087367A"/>
    <w:rsid w:val="209F2A54"/>
    <w:rsid w:val="20B47E17"/>
    <w:rsid w:val="20D73ACA"/>
    <w:rsid w:val="20DB53A4"/>
    <w:rsid w:val="20EF2BFD"/>
    <w:rsid w:val="20F7115D"/>
    <w:rsid w:val="20FD1BD4"/>
    <w:rsid w:val="20FD356C"/>
    <w:rsid w:val="211B1C44"/>
    <w:rsid w:val="212E5E1B"/>
    <w:rsid w:val="215C4736"/>
    <w:rsid w:val="215C64E4"/>
    <w:rsid w:val="21671CF6"/>
    <w:rsid w:val="218E0668"/>
    <w:rsid w:val="21B856E5"/>
    <w:rsid w:val="21E93AF0"/>
    <w:rsid w:val="21ED1832"/>
    <w:rsid w:val="22521696"/>
    <w:rsid w:val="226002D5"/>
    <w:rsid w:val="227B6E3E"/>
    <w:rsid w:val="228D764F"/>
    <w:rsid w:val="229C6DE9"/>
    <w:rsid w:val="22AA3280"/>
    <w:rsid w:val="22BA5BB9"/>
    <w:rsid w:val="22D64075"/>
    <w:rsid w:val="22E76282"/>
    <w:rsid w:val="231150AD"/>
    <w:rsid w:val="233E412D"/>
    <w:rsid w:val="233E7DBC"/>
    <w:rsid w:val="2349026B"/>
    <w:rsid w:val="2369313B"/>
    <w:rsid w:val="23BD5235"/>
    <w:rsid w:val="23C465C3"/>
    <w:rsid w:val="23CD1D77"/>
    <w:rsid w:val="24281889"/>
    <w:rsid w:val="24577437"/>
    <w:rsid w:val="24961D0D"/>
    <w:rsid w:val="24B403E6"/>
    <w:rsid w:val="24B6415E"/>
    <w:rsid w:val="24C90A33"/>
    <w:rsid w:val="24F074D1"/>
    <w:rsid w:val="25022231"/>
    <w:rsid w:val="251A0B90"/>
    <w:rsid w:val="251A3303"/>
    <w:rsid w:val="2547125A"/>
    <w:rsid w:val="25545725"/>
    <w:rsid w:val="25710085"/>
    <w:rsid w:val="25853B30"/>
    <w:rsid w:val="2593449F"/>
    <w:rsid w:val="25CA1509"/>
    <w:rsid w:val="25EC437E"/>
    <w:rsid w:val="260450DB"/>
    <w:rsid w:val="261E645E"/>
    <w:rsid w:val="26625BC2"/>
    <w:rsid w:val="267603E6"/>
    <w:rsid w:val="26A050C5"/>
    <w:rsid w:val="26BB5A5B"/>
    <w:rsid w:val="26BE19EF"/>
    <w:rsid w:val="26E02441"/>
    <w:rsid w:val="26E054C2"/>
    <w:rsid w:val="270645C5"/>
    <w:rsid w:val="2707406D"/>
    <w:rsid w:val="27191DB9"/>
    <w:rsid w:val="273D4A27"/>
    <w:rsid w:val="275639D6"/>
    <w:rsid w:val="2781787A"/>
    <w:rsid w:val="27B5694E"/>
    <w:rsid w:val="27B801ED"/>
    <w:rsid w:val="27CB43C4"/>
    <w:rsid w:val="27CE5C62"/>
    <w:rsid w:val="27DF39CB"/>
    <w:rsid w:val="28355CE1"/>
    <w:rsid w:val="28440A5B"/>
    <w:rsid w:val="284C045D"/>
    <w:rsid w:val="285048C9"/>
    <w:rsid w:val="28846049"/>
    <w:rsid w:val="28E31299"/>
    <w:rsid w:val="2902208A"/>
    <w:rsid w:val="290556B4"/>
    <w:rsid w:val="292A6EC8"/>
    <w:rsid w:val="29540304"/>
    <w:rsid w:val="295C0655"/>
    <w:rsid w:val="29695C42"/>
    <w:rsid w:val="29A24CB1"/>
    <w:rsid w:val="29A5570A"/>
    <w:rsid w:val="29A63C37"/>
    <w:rsid w:val="29B570DA"/>
    <w:rsid w:val="29D62BAC"/>
    <w:rsid w:val="29EF6820"/>
    <w:rsid w:val="2A697EC4"/>
    <w:rsid w:val="2A752D5A"/>
    <w:rsid w:val="2A900FAD"/>
    <w:rsid w:val="2A9C2D33"/>
    <w:rsid w:val="2AA119FC"/>
    <w:rsid w:val="2AB00E6E"/>
    <w:rsid w:val="2AF27EBA"/>
    <w:rsid w:val="2AFC0D9C"/>
    <w:rsid w:val="2B45623B"/>
    <w:rsid w:val="2B794137"/>
    <w:rsid w:val="2B7F70A5"/>
    <w:rsid w:val="2B8C5C18"/>
    <w:rsid w:val="2B960845"/>
    <w:rsid w:val="2BA47406"/>
    <w:rsid w:val="2BB1742D"/>
    <w:rsid w:val="2BBF0C1C"/>
    <w:rsid w:val="2BFA5278"/>
    <w:rsid w:val="2BFD7DB0"/>
    <w:rsid w:val="2C005095"/>
    <w:rsid w:val="2C17011F"/>
    <w:rsid w:val="2C1D2D14"/>
    <w:rsid w:val="2C2A0595"/>
    <w:rsid w:val="2C2B3086"/>
    <w:rsid w:val="2C387B4E"/>
    <w:rsid w:val="2C525562"/>
    <w:rsid w:val="2C610E53"/>
    <w:rsid w:val="2C755D0D"/>
    <w:rsid w:val="2CA13945"/>
    <w:rsid w:val="2CAC2A7B"/>
    <w:rsid w:val="2CB951EB"/>
    <w:rsid w:val="2CC24314"/>
    <w:rsid w:val="2CD930DF"/>
    <w:rsid w:val="2CDD07AF"/>
    <w:rsid w:val="2CF90D9F"/>
    <w:rsid w:val="2D460049"/>
    <w:rsid w:val="2D69418A"/>
    <w:rsid w:val="2D9B2143"/>
    <w:rsid w:val="2D9E319D"/>
    <w:rsid w:val="2DB33930"/>
    <w:rsid w:val="2DB86843"/>
    <w:rsid w:val="2DE57862"/>
    <w:rsid w:val="2DED474D"/>
    <w:rsid w:val="2DFE6E37"/>
    <w:rsid w:val="2E1741F6"/>
    <w:rsid w:val="2E36630F"/>
    <w:rsid w:val="2EB3170E"/>
    <w:rsid w:val="2ED31DB0"/>
    <w:rsid w:val="2EDD0C2B"/>
    <w:rsid w:val="2F223C93"/>
    <w:rsid w:val="2F302A9D"/>
    <w:rsid w:val="2F3445FD"/>
    <w:rsid w:val="2F57653D"/>
    <w:rsid w:val="2F6B1FE9"/>
    <w:rsid w:val="2F762E67"/>
    <w:rsid w:val="302428C3"/>
    <w:rsid w:val="30413E8E"/>
    <w:rsid w:val="304271ED"/>
    <w:rsid w:val="3075313F"/>
    <w:rsid w:val="30963095"/>
    <w:rsid w:val="30CA2FAE"/>
    <w:rsid w:val="30F45B82"/>
    <w:rsid w:val="30FA3624"/>
    <w:rsid w:val="310426F5"/>
    <w:rsid w:val="312D57A8"/>
    <w:rsid w:val="312E5FEB"/>
    <w:rsid w:val="31A6555A"/>
    <w:rsid w:val="31C34F39"/>
    <w:rsid w:val="31C76D4C"/>
    <w:rsid w:val="31D356B0"/>
    <w:rsid w:val="31E00A6C"/>
    <w:rsid w:val="322A0611"/>
    <w:rsid w:val="32463916"/>
    <w:rsid w:val="324A23F5"/>
    <w:rsid w:val="326276D3"/>
    <w:rsid w:val="32851613"/>
    <w:rsid w:val="32954E27"/>
    <w:rsid w:val="32BA750F"/>
    <w:rsid w:val="32BF7DFB"/>
    <w:rsid w:val="32C97752"/>
    <w:rsid w:val="33323549"/>
    <w:rsid w:val="33423060"/>
    <w:rsid w:val="33751688"/>
    <w:rsid w:val="338A7FAD"/>
    <w:rsid w:val="33914FE0"/>
    <w:rsid w:val="339C4E66"/>
    <w:rsid w:val="33D22636"/>
    <w:rsid w:val="33DE6802"/>
    <w:rsid w:val="33FE30EB"/>
    <w:rsid w:val="34060532"/>
    <w:rsid w:val="34207846"/>
    <w:rsid w:val="3434236D"/>
    <w:rsid w:val="34916467"/>
    <w:rsid w:val="349A75F8"/>
    <w:rsid w:val="34B23F6B"/>
    <w:rsid w:val="34BD5AEB"/>
    <w:rsid w:val="34C46423"/>
    <w:rsid w:val="34D4418C"/>
    <w:rsid w:val="34EB7E53"/>
    <w:rsid w:val="35156C7E"/>
    <w:rsid w:val="35213875"/>
    <w:rsid w:val="353A66E5"/>
    <w:rsid w:val="353F5AA9"/>
    <w:rsid w:val="35586B6B"/>
    <w:rsid w:val="35A3428A"/>
    <w:rsid w:val="35AD6EB7"/>
    <w:rsid w:val="35BE328B"/>
    <w:rsid w:val="35C30A55"/>
    <w:rsid w:val="35C661CB"/>
    <w:rsid w:val="35D07049"/>
    <w:rsid w:val="35E11256"/>
    <w:rsid w:val="35EA010B"/>
    <w:rsid w:val="35EF65E1"/>
    <w:rsid w:val="35F74A58"/>
    <w:rsid w:val="35FE5964"/>
    <w:rsid w:val="36034D29"/>
    <w:rsid w:val="3609300A"/>
    <w:rsid w:val="365E5169"/>
    <w:rsid w:val="366D4BC8"/>
    <w:rsid w:val="366E760D"/>
    <w:rsid w:val="367B6FB5"/>
    <w:rsid w:val="369066FC"/>
    <w:rsid w:val="36932551"/>
    <w:rsid w:val="369334DC"/>
    <w:rsid w:val="36AC7588"/>
    <w:rsid w:val="36C21C3F"/>
    <w:rsid w:val="36D33C63"/>
    <w:rsid w:val="36F318CB"/>
    <w:rsid w:val="37023232"/>
    <w:rsid w:val="375E2A17"/>
    <w:rsid w:val="377744E3"/>
    <w:rsid w:val="377F2AD5"/>
    <w:rsid w:val="379E11AD"/>
    <w:rsid w:val="37B24C58"/>
    <w:rsid w:val="37F708BD"/>
    <w:rsid w:val="38082ACA"/>
    <w:rsid w:val="38314519"/>
    <w:rsid w:val="38336D98"/>
    <w:rsid w:val="385A3699"/>
    <w:rsid w:val="386C3059"/>
    <w:rsid w:val="3891486E"/>
    <w:rsid w:val="38E60960"/>
    <w:rsid w:val="38F512A1"/>
    <w:rsid w:val="39406294"/>
    <w:rsid w:val="39416F45"/>
    <w:rsid w:val="394A3E0E"/>
    <w:rsid w:val="394B1EE3"/>
    <w:rsid w:val="39565AB7"/>
    <w:rsid w:val="396B1563"/>
    <w:rsid w:val="396E1053"/>
    <w:rsid w:val="399223B3"/>
    <w:rsid w:val="39E3546E"/>
    <w:rsid w:val="3A257964"/>
    <w:rsid w:val="3A3A5061"/>
    <w:rsid w:val="3A3C6A5B"/>
    <w:rsid w:val="3A4678DA"/>
    <w:rsid w:val="3A4727AD"/>
    <w:rsid w:val="3A555D6F"/>
    <w:rsid w:val="3A571AE7"/>
    <w:rsid w:val="3A6F0BDF"/>
    <w:rsid w:val="3A6F5083"/>
    <w:rsid w:val="3A8D375B"/>
    <w:rsid w:val="3AAA60BB"/>
    <w:rsid w:val="3AD84A09"/>
    <w:rsid w:val="3B0D21A6"/>
    <w:rsid w:val="3B247C1B"/>
    <w:rsid w:val="3B5878C5"/>
    <w:rsid w:val="3B7A5A8D"/>
    <w:rsid w:val="3B903503"/>
    <w:rsid w:val="3B9D79CE"/>
    <w:rsid w:val="3BA05290"/>
    <w:rsid w:val="3BB0325D"/>
    <w:rsid w:val="3C045EE9"/>
    <w:rsid w:val="3C136484"/>
    <w:rsid w:val="3C2459F9"/>
    <w:rsid w:val="3C3A2B60"/>
    <w:rsid w:val="3C4B567C"/>
    <w:rsid w:val="3C6C6886"/>
    <w:rsid w:val="3C710A9B"/>
    <w:rsid w:val="3C740B22"/>
    <w:rsid w:val="3C942B7F"/>
    <w:rsid w:val="3C9613C2"/>
    <w:rsid w:val="3CA37266"/>
    <w:rsid w:val="3CA8662A"/>
    <w:rsid w:val="3CAB3899"/>
    <w:rsid w:val="3CE07B72"/>
    <w:rsid w:val="3CE75344"/>
    <w:rsid w:val="3CF4361D"/>
    <w:rsid w:val="3CF76527"/>
    <w:rsid w:val="3D1E4B3E"/>
    <w:rsid w:val="3D463DBE"/>
    <w:rsid w:val="3D4B05F7"/>
    <w:rsid w:val="3D536F54"/>
    <w:rsid w:val="3D7F365D"/>
    <w:rsid w:val="3D8F1598"/>
    <w:rsid w:val="3D931DA2"/>
    <w:rsid w:val="3D934BE4"/>
    <w:rsid w:val="3D995F73"/>
    <w:rsid w:val="3DE2791A"/>
    <w:rsid w:val="3DEE6A01"/>
    <w:rsid w:val="3DFD7B27"/>
    <w:rsid w:val="3E0B50C2"/>
    <w:rsid w:val="3E22515D"/>
    <w:rsid w:val="3E263CAA"/>
    <w:rsid w:val="3E396CAE"/>
    <w:rsid w:val="3E506F79"/>
    <w:rsid w:val="3E614CE2"/>
    <w:rsid w:val="3E78202C"/>
    <w:rsid w:val="3EA62247"/>
    <w:rsid w:val="3EC82FB3"/>
    <w:rsid w:val="3EE37DED"/>
    <w:rsid w:val="3F0F473E"/>
    <w:rsid w:val="3F4C4D25"/>
    <w:rsid w:val="3F6251B6"/>
    <w:rsid w:val="3F7E3CCE"/>
    <w:rsid w:val="3F9115F7"/>
    <w:rsid w:val="3FB65AD9"/>
    <w:rsid w:val="3FD339BE"/>
    <w:rsid w:val="3FD70B02"/>
    <w:rsid w:val="3FE05723"/>
    <w:rsid w:val="400664E5"/>
    <w:rsid w:val="40185875"/>
    <w:rsid w:val="40452C81"/>
    <w:rsid w:val="405D1A2A"/>
    <w:rsid w:val="405E0525"/>
    <w:rsid w:val="40646D0C"/>
    <w:rsid w:val="408056BB"/>
    <w:rsid w:val="40AD420F"/>
    <w:rsid w:val="410762AC"/>
    <w:rsid w:val="41151DB4"/>
    <w:rsid w:val="41A05B22"/>
    <w:rsid w:val="41EA3241"/>
    <w:rsid w:val="41FF4F3E"/>
    <w:rsid w:val="42312C1E"/>
    <w:rsid w:val="423408FB"/>
    <w:rsid w:val="423931A7"/>
    <w:rsid w:val="428B0983"/>
    <w:rsid w:val="42925DB2"/>
    <w:rsid w:val="42B52A5A"/>
    <w:rsid w:val="42E859D2"/>
    <w:rsid w:val="42EB4309"/>
    <w:rsid w:val="435C016E"/>
    <w:rsid w:val="437159C8"/>
    <w:rsid w:val="439E42E3"/>
    <w:rsid w:val="43AE09CA"/>
    <w:rsid w:val="43C95804"/>
    <w:rsid w:val="4403491A"/>
    <w:rsid w:val="44184095"/>
    <w:rsid w:val="445826D6"/>
    <w:rsid w:val="44703ED1"/>
    <w:rsid w:val="447F4114"/>
    <w:rsid w:val="448917EC"/>
    <w:rsid w:val="44BE2144"/>
    <w:rsid w:val="44BF09B5"/>
    <w:rsid w:val="44C1472D"/>
    <w:rsid w:val="44CD30D2"/>
    <w:rsid w:val="44D3620E"/>
    <w:rsid w:val="44E4041B"/>
    <w:rsid w:val="44FC7513"/>
    <w:rsid w:val="450D39DC"/>
    <w:rsid w:val="451C1963"/>
    <w:rsid w:val="4529554E"/>
    <w:rsid w:val="452F78E8"/>
    <w:rsid w:val="45686B2D"/>
    <w:rsid w:val="45717F01"/>
    <w:rsid w:val="457F0202"/>
    <w:rsid w:val="457F1EF2"/>
    <w:rsid w:val="45806396"/>
    <w:rsid w:val="46032B23"/>
    <w:rsid w:val="46317690"/>
    <w:rsid w:val="46B81CA9"/>
    <w:rsid w:val="46E62229"/>
    <w:rsid w:val="46FA3F26"/>
    <w:rsid w:val="47024B89"/>
    <w:rsid w:val="470C6541"/>
    <w:rsid w:val="47134FE8"/>
    <w:rsid w:val="47266AC9"/>
    <w:rsid w:val="47926FE7"/>
    <w:rsid w:val="47B75973"/>
    <w:rsid w:val="47C84024"/>
    <w:rsid w:val="47CF53B3"/>
    <w:rsid w:val="47F40975"/>
    <w:rsid w:val="48054931"/>
    <w:rsid w:val="482F5E51"/>
    <w:rsid w:val="483B0352"/>
    <w:rsid w:val="485853A8"/>
    <w:rsid w:val="486758C4"/>
    <w:rsid w:val="487C41DD"/>
    <w:rsid w:val="48931F3C"/>
    <w:rsid w:val="48BC2899"/>
    <w:rsid w:val="49000FDD"/>
    <w:rsid w:val="4901159C"/>
    <w:rsid w:val="49260D69"/>
    <w:rsid w:val="49513989"/>
    <w:rsid w:val="495B760C"/>
    <w:rsid w:val="49677321"/>
    <w:rsid w:val="4974292D"/>
    <w:rsid w:val="498B5C77"/>
    <w:rsid w:val="49B27967"/>
    <w:rsid w:val="49CA6C64"/>
    <w:rsid w:val="49D43C50"/>
    <w:rsid w:val="49DF0B35"/>
    <w:rsid w:val="49EF5898"/>
    <w:rsid w:val="4A0D488A"/>
    <w:rsid w:val="4A143551"/>
    <w:rsid w:val="4A2A75AB"/>
    <w:rsid w:val="4A3855BE"/>
    <w:rsid w:val="4A4554B8"/>
    <w:rsid w:val="4A69389D"/>
    <w:rsid w:val="4A7F6F7D"/>
    <w:rsid w:val="4A9511DA"/>
    <w:rsid w:val="4AC705C3"/>
    <w:rsid w:val="4ACF1226"/>
    <w:rsid w:val="4AD4683C"/>
    <w:rsid w:val="4AD60806"/>
    <w:rsid w:val="4AF54F29"/>
    <w:rsid w:val="4B007631"/>
    <w:rsid w:val="4B232DA2"/>
    <w:rsid w:val="4B271F48"/>
    <w:rsid w:val="4B296B88"/>
    <w:rsid w:val="4B5670C1"/>
    <w:rsid w:val="4B763D8E"/>
    <w:rsid w:val="4BCD6803"/>
    <w:rsid w:val="4C1E1B11"/>
    <w:rsid w:val="4C63431C"/>
    <w:rsid w:val="4C637F6F"/>
    <w:rsid w:val="4C7D7357"/>
    <w:rsid w:val="4C891FD4"/>
    <w:rsid w:val="4CA010CC"/>
    <w:rsid w:val="4D0072CE"/>
    <w:rsid w:val="4D0C636D"/>
    <w:rsid w:val="4D1D67F6"/>
    <w:rsid w:val="4D3A57A5"/>
    <w:rsid w:val="4D562C80"/>
    <w:rsid w:val="4D5C3245"/>
    <w:rsid w:val="4D6B3488"/>
    <w:rsid w:val="4D7560B4"/>
    <w:rsid w:val="4D77225E"/>
    <w:rsid w:val="4D7D31BB"/>
    <w:rsid w:val="4D92310A"/>
    <w:rsid w:val="4D930C30"/>
    <w:rsid w:val="4D9549A9"/>
    <w:rsid w:val="4D9E721C"/>
    <w:rsid w:val="4DAB1AD6"/>
    <w:rsid w:val="4DAB5F7A"/>
    <w:rsid w:val="4E06707A"/>
    <w:rsid w:val="4E5C54C6"/>
    <w:rsid w:val="4E661EA1"/>
    <w:rsid w:val="4EE73FDF"/>
    <w:rsid w:val="4EFB083B"/>
    <w:rsid w:val="4F1A44F5"/>
    <w:rsid w:val="4F3A01B4"/>
    <w:rsid w:val="4F3A75B6"/>
    <w:rsid w:val="4F561F16"/>
    <w:rsid w:val="4F585C8E"/>
    <w:rsid w:val="4F6208BA"/>
    <w:rsid w:val="4F7A5C04"/>
    <w:rsid w:val="4F8C3B89"/>
    <w:rsid w:val="4F936CC6"/>
    <w:rsid w:val="4F9812E6"/>
    <w:rsid w:val="4FAE3B00"/>
    <w:rsid w:val="50137E07"/>
    <w:rsid w:val="501D6F9B"/>
    <w:rsid w:val="501E0C85"/>
    <w:rsid w:val="50402E5B"/>
    <w:rsid w:val="509314F5"/>
    <w:rsid w:val="50B45146"/>
    <w:rsid w:val="50B91612"/>
    <w:rsid w:val="50C57353"/>
    <w:rsid w:val="50EC2B32"/>
    <w:rsid w:val="50F87728"/>
    <w:rsid w:val="50FD4D3F"/>
    <w:rsid w:val="51037E7B"/>
    <w:rsid w:val="511676E7"/>
    <w:rsid w:val="51506928"/>
    <w:rsid w:val="51625CF9"/>
    <w:rsid w:val="51890380"/>
    <w:rsid w:val="51932FAD"/>
    <w:rsid w:val="52075749"/>
    <w:rsid w:val="522602C5"/>
    <w:rsid w:val="523227C6"/>
    <w:rsid w:val="52376968"/>
    <w:rsid w:val="52662470"/>
    <w:rsid w:val="5268268C"/>
    <w:rsid w:val="527252B8"/>
    <w:rsid w:val="52B551A5"/>
    <w:rsid w:val="52BB0A0D"/>
    <w:rsid w:val="52D7511B"/>
    <w:rsid w:val="52DE1FCB"/>
    <w:rsid w:val="530C13FE"/>
    <w:rsid w:val="532A1B08"/>
    <w:rsid w:val="536852EA"/>
    <w:rsid w:val="5386726D"/>
    <w:rsid w:val="538961A4"/>
    <w:rsid w:val="53A45945"/>
    <w:rsid w:val="53A6324B"/>
    <w:rsid w:val="53CB1124"/>
    <w:rsid w:val="54295E4B"/>
    <w:rsid w:val="54297BF9"/>
    <w:rsid w:val="544B176B"/>
    <w:rsid w:val="54776BB6"/>
    <w:rsid w:val="547846DC"/>
    <w:rsid w:val="5479292E"/>
    <w:rsid w:val="549F7EBB"/>
    <w:rsid w:val="54BB7C66"/>
    <w:rsid w:val="55264138"/>
    <w:rsid w:val="553B5952"/>
    <w:rsid w:val="554B4D08"/>
    <w:rsid w:val="55515659"/>
    <w:rsid w:val="5566710A"/>
    <w:rsid w:val="55766E6E"/>
    <w:rsid w:val="55853555"/>
    <w:rsid w:val="558E2409"/>
    <w:rsid w:val="55B160F8"/>
    <w:rsid w:val="55E42029"/>
    <w:rsid w:val="55F81F79"/>
    <w:rsid w:val="560721BC"/>
    <w:rsid w:val="56293EE0"/>
    <w:rsid w:val="56421F06"/>
    <w:rsid w:val="564B654C"/>
    <w:rsid w:val="56B74F73"/>
    <w:rsid w:val="56E12A0D"/>
    <w:rsid w:val="56E322E1"/>
    <w:rsid w:val="56F02C50"/>
    <w:rsid w:val="572B18A4"/>
    <w:rsid w:val="573E39BB"/>
    <w:rsid w:val="576176AA"/>
    <w:rsid w:val="57822B16"/>
    <w:rsid w:val="579B7990"/>
    <w:rsid w:val="57A53A3A"/>
    <w:rsid w:val="58191461"/>
    <w:rsid w:val="581E3FA7"/>
    <w:rsid w:val="583D33C0"/>
    <w:rsid w:val="58D17250"/>
    <w:rsid w:val="58DE7204"/>
    <w:rsid w:val="58DF2F7C"/>
    <w:rsid w:val="58F5454D"/>
    <w:rsid w:val="58F76517"/>
    <w:rsid w:val="590B5B1F"/>
    <w:rsid w:val="590D1897"/>
    <w:rsid w:val="5919401E"/>
    <w:rsid w:val="591E1BC3"/>
    <w:rsid w:val="594B2D93"/>
    <w:rsid w:val="596671F9"/>
    <w:rsid w:val="59691FED"/>
    <w:rsid w:val="597162CA"/>
    <w:rsid w:val="597638E0"/>
    <w:rsid w:val="597B2CC1"/>
    <w:rsid w:val="598702B7"/>
    <w:rsid w:val="598C3730"/>
    <w:rsid w:val="59BD32BD"/>
    <w:rsid w:val="59D33627"/>
    <w:rsid w:val="59D46859"/>
    <w:rsid w:val="59DC483D"/>
    <w:rsid w:val="59DE3233"/>
    <w:rsid w:val="5A094F9B"/>
    <w:rsid w:val="5A19111B"/>
    <w:rsid w:val="5A266144"/>
    <w:rsid w:val="5A276988"/>
    <w:rsid w:val="5A290952"/>
    <w:rsid w:val="5A5B0D0C"/>
    <w:rsid w:val="5A8D7F61"/>
    <w:rsid w:val="5A981634"/>
    <w:rsid w:val="5AD54636"/>
    <w:rsid w:val="5AF26F96"/>
    <w:rsid w:val="5AF50835"/>
    <w:rsid w:val="5B0B3659"/>
    <w:rsid w:val="5B21787C"/>
    <w:rsid w:val="5B3E2BC0"/>
    <w:rsid w:val="5B527A35"/>
    <w:rsid w:val="5B6360E6"/>
    <w:rsid w:val="5B637E94"/>
    <w:rsid w:val="5B977B3E"/>
    <w:rsid w:val="5B9E0ECC"/>
    <w:rsid w:val="5BCF63A9"/>
    <w:rsid w:val="5C2C4F2D"/>
    <w:rsid w:val="5C2F421A"/>
    <w:rsid w:val="5C5679F9"/>
    <w:rsid w:val="5C7120A1"/>
    <w:rsid w:val="5C741C2D"/>
    <w:rsid w:val="5C797243"/>
    <w:rsid w:val="5C806824"/>
    <w:rsid w:val="5CB52971"/>
    <w:rsid w:val="5CD32DF8"/>
    <w:rsid w:val="5CD4149F"/>
    <w:rsid w:val="5CF323B1"/>
    <w:rsid w:val="5CFD7E74"/>
    <w:rsid w:val="5D63417B"/>
    <w:rsid w:val="5D775E79"/>
    <w:rsid w:val="5D8B36D2"/>
    <w:rsid w:val="5D8F4F70"/>
    <w:rsid w:val="5D924A61"/>
    <w:rsid w:val="5DAB5B22"/>
    <w:rsid w:val="5DAF116F"/>
    <w:rsid w:val="5DB449D7"/>
    <w:rsid w:val="5DD30284"/>
    <w:rsid w:val="5E162F9C"/>
    <w:rsid w:val="5E1831B8"/>
    <w:rsid w:val="5E5B30A5"/>
    <w:rsid w:val="5E827BC5"/>
    <w:rsid w:val="5E8545C5"/>
    <w:rsid w:val="5E875C48"/>
    <w:rsid w:val="5E973EF7"/>
    <w:rsid w:val="5EC7698C"/>
    <w:rsid w:val="5ECB7E0E"/>
    <w:rsid w:val="5EE70977"/>
    <w:rsid w:val="5F17346F"/>
    <w:rsid w:val="5F411A28"/>
    <w:rsid w:val="5F5A270B"/>
    <w:rsid w:val="5F702B80"/>
    <w:rsid w:val="5FD217D5"/>
    <w:rsid w:val="5FFE462F"/>
    <w:rsid w:val="602045A6"/>
    <w:rsid w:val="60310561"/>
    <w:rsid w:val="604F4E8B"/>
    <w:rsid w:val="608B78E2"/>
    <w:rsid w:val="609B1E7E"/>
    <w:rsid w:val="60B85F03"/>
    <w:rsid w:val="60DC361E"/>
    <w:rsid w:val="612A4D6D"/>
    <w:rsid w:val="613227E3"/>
    <w:rsid w:val="613B24C6"/>
    <w:rsid w:val="614909B6"/>
    <w:rsid w:val="614C4F26"/>
    <w:rsid w:val="615564D1"/>
    <w:rsid w:val="616933C9"/>
    <w:rsid w:val="61A15272"/>
    <w:rsid w:val="61B74A96"/>
    <w:rsid w:val="61C4171F"/>
    <w:rsid w:val="61F51E64"/>
    <w:rsid w:val="61F93300"/>
    <w:rsid w:val="61F96E5C"/>
    <w:rsid w:val="621D48D8"/>
    <w:rsid w:val="624A77E6"/>
    <w:rsid w:val="62854B94"/>
    <w:rsid w:val="62E84871"/>
    <w:rsid w:val="631E435E"/>
    <w:rsid w:val="63213CF4"/>
    <w:rsid w:val="633345F0"/>
    <w:rsid w:val="634C3904"/>
    <w:rsid w:val="63A653C5"/>
    <w:rsid w:val="63AC7EFE"/>
    <w:rsid w:val="63B079EF"/>
    <w:rsid w:val="63C21069"/>
    <w:rsid w:val="63C94F54"/>
    <w:rsid w:val="63D86F45"/>
    <w:rsid w:val="63E31B72"/>
    <w:rsid w:val="6420377A"/>
    <w:rsid w:val="644606A8"/>
    <w:rsid w:val="6450412D"/>
    <w:rsid w:val="64602371"/>
    <w:rsid w:val="64AA6B34"/>
    <w:rsid w:val="64CA053B"/>
    <w:rsid w:val="64CA0F84"/>
    <w:rsid w:val="64CA31F0"/>
    <w:rsid w:val="64D771FD"/>
    <w:rsid w:val="64DA367B"/>
    <w:rsid w:val="64DD4813"/>
    <w:rsid w:val="64E14962"/>
    <w:rsid w:val="64F61D79"/>
    <w:rsid w:val="65282833"/>
    <w:rsid w:val="652E26F9"/>
    <w:rsid w:val="65366619"/>
    <w:rsid w:val="65416DD3"/>
    <w:rsid w:val="65727C4B"/>
    <w:rsid w:val="658554FB"/>
    <w:rsid w:val="65883BF7"/>
    <w:rsid w:val="658B6DC7"/>
    <w:rsid w:val="659F7D1B"/>
    <w:rsid w:val="65AA3925"/>
    <w:rsid w:val="65E676F8"/>
    <w:rsid w:val="660B3602"/>
    <w:rsid w:val="660C6F8D"/>
    <w:rsid w:val="661C75BD"/>
    <w:rsid w:val="662D5327"/>
    <w:rsid w:val="66664CDC"/>
    <w:rsid w:val="667C62AE"/>
    <w:rsid w:val="668C4F17"/>
    <w:rsid w:val="668F2A3A"/>
    <w:rsid w:val="66903B07"/>
    <w:rsid w:val="669058B5"/>
    <w:rsid w:val="669F20EA"/>
    <w:rsid w:val="66A23F66"/>
    <w:rsid w:val="66AD4998"/>
    <w:rsid w:val="66B5531C"/>
    <w:rsid w:val="66BA7997"/>
    <w:rsid w:val="66E14363"/>
    <w:rsid w:val="66E16111"/>
    <w:rsid w:val="672524A2"/>
    <w:rsid w:val="673301D2"/>
    <w:rsid w:val="67486190"/>
    <w:rsid w:val="676A395C"/>
    <w:rsid w:val="67713939"/>
    <w:rsid w:val="67CD5013"/>
    <w:rsid w:val="67DD2D7C"/>
    <w:rsid w:val="684C2884"/>
    <w:rsid w:val="68662D72"/>
    <w:rsid w:val="68747475"/>
    <w:rsid w:val="68A33BCF"/>
    <w:rsid w:val="68AB7651"/>
    <w:rsid w:val="68B61551"/>
    <w:rsid w:val="692F585A"/>
    <w:rsid w:val="6931512E"/>
    <w:rsid w:val="69D81A98"/>
    <w:rsid w:val="69EE74C3"/>
    <w:rsid w:val="69FF3DA6"/>
    <w:rsid w:val="6A0A597F"/>
    <w:rsid w:val="6A250690"/>
    <w:rsid w:val="6A5938E3"/>
    <w:rsid w:val="6A8169BA"/>
    <w:rsid w:val="6A9516EC"/>
    <w:rsid w:val="6AA803E7"/>
    <w:rsid w:val="6AE90161"/>
    <w:rsid w:val="6B054AC4"/>
    <w:rsid w:val="6B2947D1"/>
    <w:rsid w:val="6B865960"/>
    <w:rsid w:val="6B882FFF"/>
    <w:rsid w:val="6B9F69A2"/>
    <w:rsid w:val="6BB87D88"/>
    <w:rsid w:val="6BBB5183"/>
    <w:rsid w:val="6BD60F99"/>
    <w:rsid w:val="6BE26BB3"/>
    <w:rsid w:val="6BFF0DBE"/>
    <w:rsid w:val="6C0A54C0"/>
    <w:rsid w:val="6C244496"/>
    <w:rsid w:val="6C507FC1"/>
    <w:rsid w:val="6C7C2B64"/>
    <w:rsid w:val="6CF52916"/>
    <w:rsid w:val="6D0D3798"/>
    <w:rsid w:val="6D360A56"/>
    <w:rsid w:val="6D746AAD"/>
    <w:rsid w:val="6D79369D"/>
    <w:rsid w:val="6D866288"/>
    <w:rsid w:val="6DA5433C"/>
    <w:rsid w:val="6E0A1704"/>
    <w:rsid w:val="6E113780"/>
    <w:rsid w:val="6E142B25"/>
    <w:rsid w:val="6E315BD0"/>
    <w:rsid w:val="6E3631E6"/>
    <w:rsid w:val="6E495542"/>
    <w:rsid w:val="6E6A373A"/>
    <w:rsid w:val="6E70494A"/>
    <w:rsid w:val="6E7855AD"/>
    <w:rsid w:val="6E7D42EE"/>
    <w:rsid w:val="6EC407F2"/>
    <w:rsid w:val="6ECD3B4B"/>
    <w:rsid w:val="6ED26B2E"/>
    <w:rsid w:val="6EF70BC7"/>
    <w:rsid w:val="6F062BB9"/>
    <w:rsid w:val="6F0C1D3D"/>
    <w:rsid w:val="6F320C08"/>
    <w:rsid w:val="6F6B5112"/>
    <w:rsid w:val="6F751AEC"/>
    <w:rsid w:val="6F771D08"/>
    <w:rsid w:val="6F7B1AEF"/>
    <w:rsid w:val="6F8C57B4"/>
    <w:rsid w:val="6F997ED1"/>
    <w:rsid w:val="6FC41F27"/>
    <w:rsid w:val="700F3CEF"/>
    <w:rsid w:val="703025E3"/>
    <w:rsid w:val="703379DD"/>
    <w:rsid w:val="707216B3"/>
    <w:rsid w:val="709A7A5C"/>
    <w:rsid w:val="70AE52B6"/>
    <w:rsid w:val="70B52AE8"/>
    <w:rsid w:val="70B7060E"/>
    <w:rsid w:val="70BC3E77"/>
    <w:rsid w:val="70F3716D"/>
    <w:rsid w:val="70F829D5"/>
    <w:rsid w:val="71125845"/>
    <w:rsid w:val="711C7DEE"/>
    <w:rsid w:val="712903CC"/>
    <w:rsid w:val="7137174F"/>
    <w:rsid w:val="71517033"/>
    <w:rsid w:val="715A543E"/>
    <w:rsid w:val="71A87053"/>
    <w:rsid w:val="71B132B0"/>
    <w:rsid w:val="71BB5EDC"/>
    <w:rsid w:val="71CA611F"/>
    <w:rsid w:val="71CB5851"/>
    <w:rsid w:val="71DE606F"/>
    <w:rsid w:val="72101EA0"/>
    <w:rsid w:val="7218332F"/>
    <w:rsid w:val="724F1FEB"/>
    <w:rsid w:val="72757DB1"/>
    <w:rsid w:val="72783DCD"/>
    <w:rsid w:val="727E484F"/>
    <w:rsid w:val="728F462D"/>
    <w:rsid w:val="729B7F48"/>
    <w:rsid w:val="72A921D9"/>
    <w:rsid w:val="72AE77EF"/>
    <w:rsid w:val="72B017B9"/>
    <w:rsid w:val="72BB1F0C"/>
    <w:rsid w:val="72D1172F"/>
    <w:rsid w:val="72F316A6"/>
    <w:rsid w:val="73020FF3"/>
    <w:rsid w:val="739048A5"/>
    <w:rsid w:val="73B21B10"/>
    <w:rsid w:val="73B862A1"/>
    <w:rsid w:val="73BC5F3C"/>
    <w:rsid w:val="745F28C4"/>
    <w:rsid w:val="747C78F7"/>
    <w:rsid w:val="747F7695"/>
    <w:rsid w:val="7483115A"/>
    <w:rsid w:val="749B0247"/>
    <w:rsid w:val="74C4779E"/>
    <w:rsid w:val="74CE5F27"/>
    <w:rsid w:val="74DF6386"/>
    <w:rsid w:val="74EA1B3D"/>
    <w:rsid w:val="750A2372"/>
    <w:rsid w:val="750E6C6B"/>
    <w:rsid w:val="75456289"/>
    <w:rsid w:val="756E14B8"/>
    <w:rsid w:val="75864A53"/>
    <w:rsid w:val="75CF06D9"/>
    <w:rsid w:val="75D1787A"/>
    <w:rsid w:val="75DF032D"/>
    <w:rsid w:val="75E579CC"/>
    <w:rsid w:val="760140DA"/>
    <w:rsid w:val="76045978"/>
    <w:rsid w:val="760F4A49"/>
    <w:rsid w:val="76133B2A"/>
    <w:rsid w:val="76530DD9"/>
    <w:rsid w:val="765B558A"/>
    <w:rsid w:val="767A350B"/>
    <w:rsid w:val="76A77C3C"/>
    <w:rsid w:val="77083846"/>
    <w:rsid w:val="775A6197"/>
    <w:rsid w:val="7773161D"/>
    <w:rsid w:val="779A2861"/>
    <w:rsid w:val="77F205C7"/>
    <w:rsid w:val="78120820"/>
    <w:rsid w:val="78126A72"/>
    <w:rsid w:val="781400F4"/>
    <w:rsid w:val="78144598"/>
    <w:rsid w:val="783B1B25"/>
    <w:rsid w:val="783E6762"/>
    <w:rsid w:val="785610A2"/>
    <w:rsid w:val="78615304"/>
    <w:rsid w:val="789B25C4"/>
    <w:rsid w:val="78D76F87"/>
    <w:rsid w:val="78E21FA1"/>
    <w:rsid w:val="78FF6FF6"/>
    <w:rsid w:val="79226841"/>
    <w:rsid w:val="793F73F3"/>
    <w:rsid w:val="794B223C"/>
    <w:rsid w:val="79752E15"/>
    <w:rsid w:val="79951709"/>
    <w:rsid w:val="7999158E"/>
    <w:rsid w:val="79C75A4A"/>
    <w:rsid w:val="79D51B05"/>
    <w:rsid w:val="79F71A7C"/>
    <w:rsid w:val="7A08012D"/>
    <w:rsid w:val="7A0F3269"/>
    <w:rsid w:val="7A1B6D05"/>
    <w:rsid w:val="7A1E0906"/>
    <w:rsid w:val="7A41719B"/>
    <w:rsid w:val="7A4A7B5C"/>
    <w:rsid w:val="7A5E1074"/>
    <w:rsid w:val="7A644541"/>
    <w:rsid w:val="7A6F1F5A"/>
    <w:rsid w:val="7A801B3B"/>
    <w:rsid w:val="7A856043"/>
    <w:rsid w:val="7AA716F4"/>
    <w:rsid w:val="7AAE4C6D"/>
    <w:rsid w:val="7ACA5211"/>
    <w:rsid w:val="7AE30F47"/>
    <w:rsid w:val="7AED7F62"/>
    <w:rsid w:val="7B000A80"/>
    <w:rsid w:val="7B204C45"/>
    <w:rsid w:val="7B475882"/>
    <w:rsid w:val="7B7F6999"/>
    <w:rsid w:val="7B8B5094"/>
    <w:rsid w:val="7B8E2477"/>
    <w:rsid w:val="7BAE5102"/>
    <w:rsid w:val="7BB4552D"/>
    <w:rsid w:val="7C1D11E6"/>
    <w:rsid w:val="7C5238E1"/>
    <w:rsid w:val="7C547659"/>
    <w:rsid w:val="7CE7399F"/>
    <w:rsid w:val="7D226E2B"/>
    <w:rsid w:val="7D781125"/>
    <w:rsid w:val="7D8628FA"/>
    <w:rsid w:val="7D924577"/>
    <w:rsid w:val="7D943A85"/>
    <w:rsid w:val="7DAF266D"/>
    <w:rsid w:val="7DB05310"/>
    <w:rsid w:val="7DC77AC8"/>
    <w:rsid w:val="7DE42E8D"/>
    <w:rsid w:val="7DF12C86"/>
    <w:rsid w:val="7E0712F2"/>
    <w:rsid w:val="7E292420"/>
    <w:rsid w:val="7E3E411D"/>
    <w:rsid w:val="7E7933A7"/>
    <w:rsid w:val="7E795155"/>
    <w:rsid w:val="7EA877E8"/>
    <w:rsid w:val="7EAA7A04"/>
    <w:rsid w:val="7EB25E33"/>
    <w:rsid w:val="7EC42148"/>
    <w:rsid w:val="7ED24865"/>
    <w:rsid w:val="7EDC56E4"/>
    <w:rsid w:val="7EE33B7E"/>
    <w:rsid w:val="7EEF3F71"/>
    <w:rsid w:val="7EF43FBB"/>
    <w:rsid w:val="7F01339C"/>
    <w:rsid w:val="7F160BF6"/>
    <w:rsid w:val="7F364DF4"/>
    <w:rsid w:val="7F482E61"/>
    <w:rsid w:val="7FA2248A"/>
    <w:rsid w:val="7FDD39BD"/>
    <w:rsid w:val="7FF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5">
    <w:name w:val="heading 3"/>
    <w:basedOn w:val="1"/>
    <w:next w:val="1"/>
    <w:link w:val="45"/>
    <w:qFormat/>
    <w:uiPriority w:val="0"/>
    <w:pPr>
      <w:keepNext/>
      <w:keepLines/>
      <w:spacing w:before="260" w:after="260" w:line="416" w:lineRule="auto"/>
      <w:outlineLvl w:val="2"/>
    </w:pPr>
    <w:rPr>
      <w:b/>
      <w:bCs/>
      <w:sz w:val="32"/>
      <w:szCs w:val="32"/>
    </w:rPr>
  </w:style>
  <w:style w:type="paragraph" w:styleId="6">
    <w:name w:val="heading 6"/>
    <w:basedOn w:val="1"/>
    <w:next w:val="1"/>
    <w:qFormat/>
    <w:uiPriority w:val="0"/>
    <w:pPr>
      <w:spacing w:before="60" w:after="60" w:line="360" w:lineRule="auto"/>
      <w:outlineLvl w:val="5"/>
    </w:pPr>
    <w:rPr>
      <w:b/>
      <w:bCs/>
      <w:kern w:val="0"/>
      <w:sz w:val="24"/>
    </w:rPr>
  </w:style>
  <w:style w:type="character" w:default="1" w:styleId="22">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0"/>
    </w:rPr>
  </w:style>
  <w:style w:type="paragraph" w:styleId="7">
    <w:name w:val="index 8"/>
    <w:basedOn w:val="1"/>
    <w:next w:val="1"/>
    <w:qFormat/>
    <w:uiPriority w:val="0"/>
    <w:pPr>
      <w:ind w:left="2940"/>
    </w:pPr>
  </w:style>
  <w:style w:type="paragraph" w:styleId="8">
    <w:name w:val="annotation text"/>
    <w:basedOn w:val="1"/>
    <w:link w:val="37"/>
    <w:unhideWhenUsed/>
    <w:qFormat/>
    <w:uiPriority w:val="0"/>
    <w:pPr>
      <w:jc w:val="left"/>
    </w:pPr>
    <w:rPr>
      <w:kern w:val="0"/>
      <w:sz w:val="20"/>
    </w:rPr>
  </w:style>
  <w:style w:type="paragraph" w:styleId="9">
    <w:name w:val="Body Text"/>
    <w:basedOn w:val="1"/>
    <w:next w:val="1"/>
    <w:unhideWhenUsed/>
    <w:qFormat/>
    <w:uiPriority w:val="0"/>
    <w:pPr>
      <w:spacing w:after="120"/>
    </w:pPr>
    <w:rPr>
      <w:sz w:val="24"/>
    </w:rPr>
  </w:style>
  <w:style w:type="paragraph" w:styleId="10">
    <w:name w:val="Body Text Indent"/>
    <w:basedOn w:val="1"/>
    <w:unhideWhenUsed/>
    <w:qFormat/>
    <w:uiPriority w:val="99"/>
    <w:pPr>
      <w:spacing w:after="120"/>
      <w:ind w:left="420" w:leftChars="200"/>
    </w:pPr>
    <w:rPr>
      <w:kern w:val="0"/>
      <w:sz w:val="20"/>
      <w:szCs w:val="20"/>
    </w:rPr>
  </w:style>
  <w:style w:type="paragraph" w:styleId="11">
    <w:name w:val="Plain Text"/>
    <w:basedOn w:val="1"/>
    <w:qFormat/>
    <w:uiPriority w:val="0"/>
    <w:rPr>
      <w:rFonts w:ascii="宋体" w:hAnsi="Courier New"/>
    </w:rPr>
  </w:style>
  <w:style w:type="paragraph" w:styleId="12">
    <w:name w:val="footer"/>
    <w:basedOn w:val="1"/>
    <w:unhideWhenUsed/>
    <w:qFormat/>
    <w:uiPriority w:val="99"/>
    <w:pPr>
      <w:tabs>
        <w:tab w:val="center" w:pos="4153"/>
        <w:tab w:val="right" w:pos="8306"/>
      </w:tabs>
      <w:snapToGrid w:val="0"/>
      <w:jc w:val="left"/>
    </w:pPr>
    <w:rPr>
      <w:kern w:val="0"/>
      <w:sz w:val="18"/>
      <w:szCs w:val="18"/>
    </w:rPr>
  </w:style>
  <w:style w:type="paragraph" w:styleId="13">
    <w:name w:val="header"/>
    <w:basedOn w:val="1"/>
    <w:link w:val="36"/>
    <w:qFormat/>
    <w:uiPriority w:val="0"/>
    <w:pP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Body Text 2"/>
    <w:basedOn w:val="1"/>
    <w:qFormat/>
    <w:uiPriority w:val="99"/>
    <w:pPr>
      <w:spacing w:before="240"/>
    </w:pPr>
    <w:rPr>
      <w:rFonts w:ascii="Calibri" w:hAnsi="Calibri"/>
      <w:color w:val="FF0000"/>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
    <w:next w:val="1"/>
    <w:qFormat/>
    <w:uiPriority w:val="0"/>
    <w:pPr>
      <w:spacing w:before="240" w:after="60"/>
      <w:jc w:val="center"/>
      <w:outlineLvl w:val="0"/>
    </w:pPr>
    <w:rPr>
      <w:rFonts w:ascii="Arial" w:hAnsi="Arial" w:eastAsia="隶书"/>
      <w:b/>
      <w:bCs/>
      <w:sz w:val="32"/>
      <w:szCs w:val="32"/>
    </w:rPr>
  </w:style>
  <w:style w:type="paragraph" w:styleId="18">
    <w:name w:val="annotation subject"/>
    <w:basedOn w:val="8"/>
    <w:next w:val="8"/>
    <w:link w:val="38"/>
    <w:qFormat/>
    <w:uiPriority w:val="0"/>
    <w:rPr>
      <w:b/>
      <w:bCs/>
      <w:kern w:val="2"/>
      <w:sz w:val="21"/>
    </w:rPr>
  </w:style>
  <w:style w:type="paragraph" w:styleId="19">
    <w:name w:val="Body Text First Indent"/>
    <w:basedOn w:val="9"/>
    <w:qFormat/>
    <w:uiPriority w:val="0"/>
    <w:pPr>
      <w:snapToGrid w:val="0"/>
      <w:spacing w:line="560" w:lineRule="exact"/>
      <w:ind w:firstLine="200" w:firstLineChars="200"/>
    </w:pPr>
    <w:rPr>
      <w:rFonts w:ascii="仿宋" w:hAnsi="仿宋" w:cs="仿宋"/>
    </w:rPr>
  </w:style>
  <w:style w:type="table" w:styleId="21">
    <w:name w:val="Table Grid"/>
    <w:basedOn w:val="2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b/>
    </w:rPr>
  </w:style>
  <w:style w:type="character" w:styleId="24">
    <w:name w:val="page number"/>
    <w:qFormat/>
    <w:uiPriority w:val="0"/>
  </w:style>
  <w:style w:type="character" w:styleId="25">
    <w:name w:val="annotation reference"/>
    <w:basedOn w:val="22"/>
    <w:qFormat/>
    <w:uiPriority w:val="0"/>
    <w:rPr>
      <w:sz w:val="21"/>
      <w:szCs w:val="21"/>
    </w:rPr>
  </w:style>
  <w:style w:type="paragraph" w:styleId="26">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27">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styleId="28">
    <w:name w:val="List Paragraph"/>
    <w:basedOn w:val="1"/>
    <w:qFormat/>
    <w:uiPriority w:val="34"/>
    <w:pPr>
      <w:ind w:firstLine="420" w:firstLineChars="200"/>
    </w:pPr>
  </w:style>
  <w:style w:type="character" w:customStyle="1" w:styleId="29">
    <w:name w:val="NormalCharacter"/>
    <w:qFormat/>
    <w:uiPriority w:val="0"/>
    <w:rPr>
      <w:kern w:val="2"/>
      <w:sz w:val="21"/>
      <w:szCs w:val="24"/>
      <w:lang w:val="en-US" w:eastAsia="zh-CN" w:bidi="ar-SA"/>
    </w:rPr>
  </w:style>
  <w:style w:type="paragraph" w:customStyle="1" w:styleId="30">
    <w:name w:val="Table Paragraph"/>
    <w:basedOn w:val="1"/>
    <w:qFormat/>
    <w:uiPriority w:val="0"/>
    <w:pPr>
      <w:autoSpaceDE w:val="0"/>
      <w:autoSpaceDN w:val="0"/>
      <w:jc w:val="left"/>
    </w:pPr>
    <w:rPr>
      <w:rFonts w:ascii="宋体" w:hAnsi="宋体" w:cs="宋体"/>
      <w:kern w:val="0"/>
      <w:sz w:val="22"/>
      <w:szCs w:val="22"/>
    </w:rPr>
  </w:style>
  <w:style w:type="paragraph" w:customStyle="1" w:styleId="31">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2">
    <w:name w:val="qowt-font5-gb2312"/>
    <w:qFormat/>
    <w:uiPriority w:val="0"/>
  </w:style>
  <w:style w:type="paragraph" w:customStyle="1" w:styleId="33">
    <w:name w:val="正文格式"/>
    <w:basedOn w:val="10"/>
    <w:qFormat/>
    <w:uiPriority w:val="99"/>
    <w:pPr>
      <w:spacing w:after="0" w:line="360" w:lineRule="auto"/>
      <w:ind w:left="0" w:leftChars="0" w:firstLine="600"/>
    </w:pPr>
    <w:rPr>
      <w:rFonts w:eastAsia="仿宋_GB2312"/>
      <w:sz w:val="30"/>
      <w:szCs w:val="30"/>
    </w:rPr>
  </w:style>
  <w:style w:type="paragraph" w:customStyle="1" w:styleId="34">
    <w:name w:val="msolistparagraph"/>
    <w:basedOn w:val="1"/>
    <w:qFormat/>
    <w:uiPriority w:val="0"/>
    <w:pPr>
      <w:ind w:firstLine="420" w:firstLineChars="200"/>
    </w:pPr>
  </w:style>
  <w:style w:type="paragraph" w:customStyle="1" w:styleId="35">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36">
    <w:name w:val="页眉 字符"/>
    <w:basedOn w:val="22"/>
    <w:link w:val="13"/>
    <w:qFormat/>
    <w:uiPriority w:val="0"/>
    <w:rPr>
      <w:kern w:val="2"/>
      <w:sz w:val="18"/>
      <w:szCs w:val="18"/>
    </w:rPr>
  </w:style>
  <w:style w:type="character" w:customStyle="1" w:styleId="37">
    <w:name w:val="批注文字 字符"/>
    <w:basedOn w:val="22"/>
    <w:link w:val="8"/>
    <w:qFormat/>
    <w:uiPriority w:val="0"/>
    <w:rPr>
      <w:szCs w:val="24"/>
    </w:rPr>
  </w:style>
  <w:style w:type="character" w:customStyle="1" w:styleId="38">
    <w:name w:val="批注主题 字符"/>
    <w:basedOn w:val="37"/>
    <w:link w:val="18"/>
    <w:qFormat/>
    <w:uiPriority w:val="0"/>
    <w:rPr>
      <w:b/>
      <w:bCs/>
      <w:kern w:val="2"/>
      <w:sz w:val="21"/>
      <w:szCs w:val="24"/>
    </w:rPr>
  </w:style>
  <w:style w:type="paragraph" w:customStyle="1" w:styleId="39">
    <w:name w:val="9前海 正文"/>
    <w:basedOn w:val="40"/>
    <w:qFormat/>
    <w:uiPriority w:val="0"/>
    <w:pPr>
      <w:ind w:firstLine="640"/>
    </w:pPr>
    <w:rPr>
      <w:rFonts w:ascii="仿宋_GB2312" w:eastAsia="仿宋_GB2312"/>
    </w:rPr>
  </w:style>
  <w:style w:type="paragraph" w:customStyle="1" w:styleId="40">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41">
    <w:name w:val="列出段落2"/>
    <w:basedOn w:val="1"/>
    <w:qFormat/>
    <w:uiPriority w:val="34"/>
    <w:pPr>
      <w:ind w:firstLine="420" w:firstLineChars="200"/>
    </w:pPr>
  </w:style>
  <w:style w:type="paragraph" w:customStyle="1" w:styleId="42">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4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44">
    <w:name w:val="正文1"/>
    <w:basedOn w:val="1"/>
    <w:qFormat/>
    <w:uiPriority w:val="0"/>
    <w:pPr>
      <w:widowControl/>
    </w:pPr>
    <w:rPr>
      <w:kern w:val="0"/>
      <w:szCs w:val="21"/>
    </w:rPr>
  </w:style>
  <w:style w:type="character" w:customStyle="1" w:styleId="45">
    <w:name w:val="标题 3 字符"/>
    <w:link w:val="5"/>
    <w:qFormat/>
    <w:uiPriority w:val="0"/>
    <w:rPr>
      <w:b/>
      <w:bCs/>
      <w:sz w:val="32"/>
      <w:szCs w:val="32"/>
    </w:rPr>
  </w:style>
  <w:style w:type="paragraph" w:customStyle="1" w:styleId="46">
    <w:name w:val="列出段落1"/>
    <w:basedOn w:val="1"/>
    <w:qFormat/>
    <w:uiPriority w:val="34"/>
    <w:pPr>
      <w:ind w:firstLine="420" w:firstLineChars="200"/>
    </w:pPr>
    <w:rPr>
      <w:rFonts w:ascii="Calibri" w:hAnsi="Calibri"/>
      <w:szCs w:val="22"/>
    </w:rPr>
  </w:style>
  <w:style w:type="paragraph" w:customStyle="1" w:styleId="4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140</Pages>
  <Words>13195</Words>
  <Characters>13963</Characters>
  <Lines>2302</Lines>
  <Paragraphs>2046</Paragraphs>
  <TotalTime>21</TotalTime>
  <ScaleCrop>false</ScaleCrop>
  <LinksUpToDate>false</LinksUpToDate>
  <CharactersWithSpaces>14422</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2025-02-12T01:50:00Z</dcterms:created>
  <dc:creator>黎俊</dc:creator>
  <cp:lastModifiedBy>黎俊</cp:lastModifiedBy>
  <cp:lastPrinted>2025-11-24T03:50:00Z</cp:lastPrinted>
  <dcterms:modified xsi:type="dcterms:W3CDTF">2025-11-26T08:58:23Z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KSOTemplateDocerSaveRecord">
    <vt:lpwstr>eyJoZGlkIjoiMmVhYjIwYTFkMDUyN2RmOGI2OTNiMWRjYmY5MjBlYTUiLCJ1c2VySWQiOiIzOTQyODIxNTkifQ==</vt:lpwstr>
  </property>
  <property fmtid="{D5CDD505-2E9C-101B-9397-08002B2CF9AE}" pid="4" name="ICV">
    <vt:lpwstr>8EFED295CBEC4D2AAA3B2E6062FDFED4</vt:lpwstr>
  </property>
</Properties>
</file>