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000000" w:themeColor="text1"/>
          <w:szCs w:val="21"/>
          <w14:textFill>
            <w14:solidFill>
              <w14:schemeClr w14:val="tx1"/>
            </w14:solidFill>
          </w14:textFill>
        </w:rPr>
      </w:pPr>
      <w:bookmarkStart w:id="0" w:name="_Hlk71456902"/>
      <w:r>
        <w:rPr>
          <w:rFonts w:hint="eastAsia" w:ascii="宋体" w:hAnsi="宋体" w:eastAsia="黑体"/>
          <w:b/>
          <w:bCs/>
          <w:color w:val="000000" w:themeColor="text1"/>
          <w:kern w:val="44"/>
          <w:sz w:val="28"/>
          <w:szCs w:val="44"/>
          <w14:textFill>
            <w14:solidFill>
              <w14:schemeClr w14:val="tx1"/>
            </w14:solidFill>
          </w14:textFill>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与其他响应供应商的法定代表人、主要经营负责人、应答授权代表人、项目负责人、主要技术人员为</w:t>
            </w:r>
            <w:r>
              <w:rPr>
                <w:rFonts w:hint="eastAsia" w:ascii="宋体" w:hAnsi="宋体" w:cs="宋体"/>
                <w:b/>
                <w:bCs/>
                <w:color w:val="000000" w:themeColor="text1"/>
                <w:szCs w:val="21"/>
                <w14:textFill>
                  <w14:solidFill>
                    <w14:schemeClr w14:val="tx1"/>
                  </w14:solidFill>
                </w14:textFill>
              </w:rPr>
              <w:t>同一人、属同一单位或者在同一单位缴纳社会保险</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参与本项目政府采购活动时，与其他响应供应商存在单位负责人为</w:t>
            </w:r>
            <w:r>
              <w:rPr>
                <w:rFonts w:hint="eastAsia" w:ascii="宋体" w:hAnsi="宋体" w:cs="宋体"/>
                <w:b/>
                <w:bCs/>
                <w:color w:val="000000" w:themeColor="text1"/>
                <w:szCs w:val="21"/>
                <w14:textFill>
                  <w14:solidFill>
                    <w14:schemeClr w14:val="tx1"/>
                  </w14:solidFill>
                </w14:textFill>
              </w:rPr>
              <w:t>同一人或直接控股、管理关系</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与其他响应供应商的应答文件或部分应答文件</w:t>
            </w:r>
            <w:r>
              <w:rPr>
                <w:rFonts w:hint="eastAsia" w:ascii="宋体" w:hAnsi="宋体" w:cs="宋体"/>
                <w:b/>
                <w:bCs/>
                <w:color w:val="000000" w:themeColor="text1"/>
                <w:szCs w:val="21"/>
                <w14:textFill>
                  <w14:solidFill>
                    <w14:schemeClr w14:val="tx1"/>
                  </w14:solidFill>
                </w14:textFill>
              </w:rPr>
              <w:t>相互混装或存在非正常一致</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与其他响应供应商的应答文件由</w:t>
            </w:r>
            <w:r>
              <w:rPr>
                <w:rFonts w:hint="eastAsia" w:ascii="宋体" w:hAnsi="宋体" w:cs="宋体"/>
                <w:b/>
                <w:bCs/>
                <w:color w:val="000000" w:themeColor="text1"/>
                <w:szCs w:val="21"/>
                <w14:textFill>
                  <w14:solidFill>
                    <w14:schemeClr w14:val="tx1"/>
                  </w14:solidFill>
                </w14:textFill>
              </w:rPr>
              <w:t>同一单位或者同一人编制</w:t>
            </w:r>
            <w:r>
              <w:rPr>
                <w:rFonts w:hint="eastAsia" w:ascii="宋体" w:hAnsi="宋体" w:cs="宋体"/>
                <w:color w:val="000000" w:themeColor="text1"/>
                <w:szCs w:val="21"/>
                <w14:textFill>
                  <w14:solidFill>
                    <w14:schemeClr w14:val="tx1"/>
                  </w14:solidFill>
                </w14:textFill>
              </w:rPr>
              <w:t>，或者使用</w:t>
            </w:r>
            <w:r>
              <w:rPr>
                <w:rFonts w:hint="eastAsia" w:ascii="宋体" w:hAnsi="宋体" w:cs="宋体"/>
                <w:b/>
                <w:bCs/>
                <w:color w:val="000000" w:themeColor="text1"/>
                <w:szCs w:val="21"/>
                <w14:textFill>
                  <w14:solidFill>
                    <w14:schemeClr w14:val="tx1"/>
                  </w14:solidFill>
                </w14:textFill>
              </w:rPr>
              <w:t>同一设备编制</w:t>
            </w:r>
            <w:r>
              <w:rPr>
                <w:rFonts w:hint="eastAsia" w:ascii="宋体" w:hAnsi="宋体" w:cs="宋体"/>
                <w:color w:val="000000" w:themeColor="text1"/>
                <w:szCs w:val="21"/>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w:t>
            </w:r>
            <w:r>
              <w:rPr>
                <w:rFonts w:hint="eastAsia" w:ascii="宋体" w:hAnsi="宋体" w:cs="宋体"/>
                <w:b/>
                <w:bCs/>
                <w:color w:val="000000" w:themeColor="text1"/>
                <w:szCs w:val="21"/>
                <w14:textFill>
                  <w14:solidFill>
                    <w14:schemeClr w14:val="tx1"/>
                  </w14:solidFill>
                </w14:textFill>
              </w:rPr>
              <w:t>未经出具机构核实</w:t>
            </w:r>
            <w:r>
              <w:rPr>
                <w:rFonts w:hint="eastAsia" w:ascii="宋体" w:hAnsi="宋体" w:cs="宋体"/>
                <w:color w:val="000000" w:themeColor="text1"/>
                <w:szCs w:val="21"/>
                <w14:textFill>
                  <w14:solidFill>
                    <w14:schemeClr w14:val="tx1"/>
                  </w14:solidFill>
                </w14:textFill>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擅自将应答密钥或电子营业执照出借他人使用或未妥善保管。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w:t>
      </w:r>
      <w:r>
        <w:rPr>
          <w:rFonts w:hint="eastAsia" w:ascii="宋体" w:hAnsi="宋体"/>
          <w:b/>
          <w:bCs/>
          <w:color w:val="000000" w:themeColor="text1"/>
          <w:sz w:val="20"/>
          <w:szCs w:val="20"/>
          <w14:textFill>
            <w14:solidFill>
              <w14:schemeClr w14:val="tx1"/>
            </w14:solidFill>
          </w14:textFill>
        </w:rPr>
        <w:t>《深圳经济特区政府采购条例》第五十七条</w:t>
      </w:r>
      <w:r>
        <w:rPr>
          <w:rFonts w:hint="eastAsia" w:ascii="宋体" w:hAnsi="宋体"/>
          <w:color w:val="000000" w:themeColor="text1"/>
          <w:sz w:val="20"/>
          <w:szCs w:val="20"/>
          <w14:textFill>
            <w14:solidFill>
              <w14:schemeClr w14:val="tx1"/>
            </w14:solidFill>
          </w14:textFill>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 xml:space="preserve">二、《深圳经济特区政府采购条例实施细则》第七十五条 </w:t>
      </w:r>
      <w:r>
        <w:rPr>
          <w:rFonts w:hint="eastAsia" w:ascii="宋体" w:hAnsi="宋体"/>
          <w:color w:val="000000" w:themeColor="text1"/>
          <w:sz w:val="20"/>
          <w:szCs w:val="20"/>
          <w14:textFill>
            <w14:solidFill>
              <w14:schemeClr w14:val="tx1"/>
            </w14:solidFill>
          </w14:textFill>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 xml:space="preserve">三、《深圳经济特区政府采购条例实施细则》第七十七条 </w:t>
      </w:r>
      <w:r>
        <w:rPr>
          <w:rFonts w:hint="eastAsia" w:ascii="宋体" w:hAnsi="宋体"/>
          <w:color w:val="000000" w:themeColor="text1"/>
          <w:sz w:val="20"/>
          <w:szCs w:val="20"/>
          <w14:textFill>
            <w14:solidFill>
              <w14:schemeClr w14:val="tx1"/>
            </w14:solidFill>
          </w14:textFill>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000000" w:themeColor="text1"/>
          <w:sz w:val="20"/>
          <w:szCs w:val="20"/>
          <w14:textFill>
            <w14:solidFill>
              <w14:schemeClr w14:val="tx1"/>
            </w14:solidFill>
          </w14:textFill>
        </w:rPr>
        <w:t>取消参与本市政府采购资格</w:t>
      </w:r>
      <w:r>
        <w:rPr>
          <w:rFonts w:hint="eastAsia" w:hAnsi="宋体"/>
          <w:color w:val="000000" w:themeColor="text1"/>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依法吊销其营业</w:t>
      </w:r>
      <w:r>
        <w:rPr>
          <w:rFonts w:hint="eastAsia" w:hAnsi="宋体"/>
          <w:color w:val="000000" w:themeColor="text1"/>
          <w:sz w:val="20"/>
          <w:szCs w:val="20"/>
          <w14:textFill>
            <w14:solidFill>
              <w14:schemeClr w14:val="tx1"/>
            </w14:solidFill>
          </w14:textFill>
        </w:rPr>
        <w:t>执照等行政处罚，</w:t>
      </w:r>
      <w:r>
        <w:rPr>
          <w:rFonts w:hint="eastAsia" w:ascii="宋体" w:hAnsi="宋体"/>
          <w:color w:val="000000" w:themeColor="text1"/>
          <w:sz w:val="20"/>
          <w:szCs w:val="20"/>
          <w14:textFill>
            <w14:solidFill>
              <w14:schemeClr w14:val="tx1"/>
            </w14:solidFill>
          </w14:textFill>
        </w:rPr>
        <w:t>构成犯罪的，依法追究刑事责任</w:t>
      </w:r>
      <w:r>
        <w:rPr>
          <w:rFonts w:hint="eastAsia"/>
          <w:bCs/>
          <w:color w:val="000000" w:themeColor="text1"/>
          <w:sz w:val="20"/>
          <w:szCs w:val="20"/>
          <w14:textFill>
            <w14:solidFill>
              <w14:schemeClr w14:val="tx1"/>
            </w14:solidFill>
          </w14:textFill>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五、请响应供应商阅读《政府采购违法行为风险知悉确认书》（内容详见“谈判文件附件（信息不公开部分）”中节点“供应商认为需要加以说明的其他内容（格式自定）”），并经各响应供应商负责人签字并加盖单位公章后，扫描上传至应答文件一并提交。</w:t>
      </w:r>
    </w:p>
    <w:p>
      <w:pPr>
        <w:pStyle w:val="479"/>
        <w:pBdr>
          <w:top w:val="none" w:color="auto" w:sz="0" w:space="1"/>
          <w:left w:val="none" w:color="auto" w:sz="0" w:space="4"/>
          <w:bottom w:val="none" w:color="auto" w:sz="0" w:space="1"/>
          <w:right w:val="none" w:color="auto" w:sz="0" w:space="4"/>
        </w:pBdr>
        <w:rPr>
          <w:bCs/>
          <w:color w:val="000000" w:themeColor="text1"/>
          <w:sz w:val="20"/>
          <w:szCs w:val="20"/>
          <w14:textFill>
            <w14:solidFill>
              <w14:schemeClr w14:val="tx1"/>
            </w14:solidFill>
          </w14:textFill>
        </w:rPr>
      </w:pPr>
    </w:p>
    <w:p>
      <w:pPr>
        <w:rPr>
          <w:rFonts w:hint="eastAsia" w:ascii="黑体" w:hAnsi="宋体" w:eastAsia="黑体" w:cs="黑体"/>
          <w:color w:val="000000" w:themeColor="text1"/>
          <w:sz w:val="40"/>
          <w:szCs w:val="40"/>
          <w14:textFill>
            <w14:solidFill>
              <w14:schemeClr w14:val="tx1"/>
            </w14:solidFill>
          </w14:textFill>
        </w:rPr>
      </w:pPr>
      <w:r>
        <w:rPr>
          <w:rFonts w:hint="eastAsia"/>
          <w:b/>
          <w:color w:val="000000" w:themeColor="text1"/>
          <w14:textFill>
            <w14:solidFill>
              <w14:schemeClr w14:val="tx1"/>
            </w14:solidFill>
          </w14:textFill>
        </w:rPr>
        <w:t>注：“特别警示条款”和《政府采购违法行为风险知悉确认书》用于对供应商违法行为的提醒，不作为供应商资格性审查及符合性审查条件。</w:t>
      </w:r>
    </w:p>
    <w:p>
      <w:pPr>
        <w:widowControl/>
        <w:jc w:val="left"/>
        <w:rPr>
          <w:rFonts w:hint="eastAsia" w:ascii="黑体" w:hAnsi="宋体" w:eastAsia="黑体" w:cs="黑体"/>
          <w:color w:val="000000" w:themeColor="text1"/>
          <w:kern w:val="0"/>
          <w:sz w:val="40"/>
          <w:szCs w:val="40"/>
          <w14:textFill>
            <w14:solidFill>
              <w14:schemeClr w14:val="tx1"/>
            </w14:solidFill>
          </w14:textFill>
        </w:rPr>
      </w:pPr>
      <w:r>
        <w:rPr>
          <w:rFonts w:hint="eastAsia" w:ascii="黑体" w:hAnsi="宋体" w:eastAsia="黑体" w:cs="黑体"/>
          <w:color w:val="000000" w:themeColor="text1"/>
          <w:sz w:val="40"/>
          <w:szCs w:val="40"/>
          <w14:textFill>
            <w14:solidFill>
              <w14:schemeClr w14:val="tx1"/>
            </w14:solidFill>
          </w14:textFill>
        </w:rPr>
        <w:br w:type="page"/>
      </w:r>
    </w:p>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pPr>
      <w:r>
        <w:rPr>
          <w:rFonts w:hint="eastAsia" w:ascii="黑体" w:hAnsi="宋体" w:eastAsia="黑体" w:cs="黑体"/>
          <w:color w:val="000000" w:themeColor="text1"/>
          <w:sz w:val="40"/>
          <w:szCs w:val="40"/>
          <w14:textFill>
            <w14:solidFill>
              <w14:schemeClr w14:val="tx1"/>
            </w14:solidFill>
          </w14:textFill>
        </w:rPr>
        <w:t>谈判文件信息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项目编号：</w:t>
            </w:r>
          </w:p>
        </w:tc>
        <w:tc>
          <w:tcPr>
            <w:tcW w:w="5220" w:type="dxa"/>
            <w:vAlign w:val="center"/>
          </w:tcPr>
          <w:p>
            <w:pPr>
              <w:widowControl/>
              <w:jc w:val="lef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SZCG2025001236</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项目名称：</w:t>
            </w:r>
          </w:p>
        </w:tc>
        <w:tc>
          <w:tcPr>
            <w:tcW w:w="5220" w:type="dxa"/>
            <w:vAlign w:val="center"/>
          </w:tcPr>
          <w:p>
            <w:pPr>
              <w:widowControl/>
              <w:jc w:val="left"/>
              <w:rPr>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深圳市前海深港现代服务业合作区管理局前海深港国际服务城土地整备土地价值评估项目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包 号：</w:t>
            </w:r>
          </w:p>
        </w:tc>
        <w:tc>
          <w:tcPr>
            <w:tcW w:w="5220" w:type="dxa"/>
            <w:vAlign w:val="center"/>
          </w:tcPr>
          <w:p>
            <w:pPr>
              <w:widowControl/>
              <w:jc w:val="lef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项目类型：</w:t>
            </w:r>
          </w:p>
        </w:tc>
        <w:tc>
          <w:tcPr>
            <w:tcW w:w="5220" w:type="dxa"/>
            <w:vAlign w:val="center"/>
          </w:tcPr>
          <w:p>
            <w:pPr>
              <w:widowControl/>
              <w:jc w:val="left"/>
              <w:rPr>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服务</w:t>
            </w:r>
            <w:r>
              <w:rPr>
                <w:rFonts w:ascii="宋体" w:hAnsi="宋体" w:cs="宋体"/>
                <w:color w:val="000000" w:themeColor="text1"/>
                <w:kern w:val="0"/>
                <w:sz w:val="30"/>
                <w:szCs w:val="30"/>
                <w:lang w:bidi="ar"/>
                <w14:textFill>
                  <w14:solidFill>
                    <w14:schemeClr w14:val="tx1"/>
                  </w14:solidFill>
                </w14:textFill>
              </w:rPr>
              <w:t>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采购方式：</w:t>
            </w:r>
          </w:p>
        </w:tc>
        <w:tc>
          <w:tcPr>
            <w:tcW w:w="5220" w:type="dxa"/>
            <w:vAlign w:val="center"/>
          </w:tcPr>
          <w:p>
            <w:pPr>
              <w:widowControl/>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单一来源采购</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货币类型：</w:t>
            </w:r>
          </w:p>
        </w:tc>
        <w:tc>
          <w:tcPr>
            <w:tcW w:w="5220" w:type="dxa"/>
            <w:vAlign w:val="center"/>
          </w:tcPr>
          <w:p>
            <w:pPr>
              <w:widowControl/>
              <w:jc w:val="left"/>
              <w:rPr>
                <w:color w:val="000000" w:themeColor="text1"/>
                <w:sz w:val="30"/>
                <w:szCs w:val="30"/>
                <w14:textFill>
                  <w14:solidFill>
                    <w14:schemeClr w14:val="tx1"/>
                  </w14:solidFill>
                </w14:textFill>
              </w:rPr>
            </w:pPr>
            <w:r>
              <w:rPr>
                <w:rFonts w:ascii="宋体" w:hAnsi="宋体" w:cs="宋体"/>
                <w:color w:val="000000" w:themeColor="text1"/>
                <w:kern w:val="0"/>
                <w:sz w:val="30"/>
                <w:szCs w:val="30"/>
                <w:lang w:bidi="ar"/>
                <w14:textFill>
                  <w14:solidFill>
                    <w14:schemeClr w14:val="tx1"/>
                  </w14:solidFill>
                </w14:textFill>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评审</w:t>
            </w:r>
            <w:r>
              <w:rPr>
                <w:rFonts w:ascii="宋体" w:hAnsi="宋体" w:cs="宋体"/>
                <w:color w:val="000000" w:themeColor="text1"/>
                <w:kern w:val="0"/>
                <w:sz w:val="30"/>
                <w:szCs w:val="30"/>
                <w:lang w:bidi="ar"/>
                <w14:textFill>
                  <w14:solidFill>
                    <w14:schemeClr w14:val="tx1"/>
                  </w14:solidFill>
                </w14:textFill>
              </w:rPr>
              <w:t>方法：</w:t>
            </w:r>
          </w:p>
        </w:tc>
        <w:tc>
          <w:tcPr>
            <w:tcW w:w="5220" w:type="dxa"/>
            <w:vAlign w:val="center"/>
          </w:tcPr>
          <w:p>
            <w:pPr>
              <w:widowControl/>
              <w:jc w:val="left"/>
              <w:rPr>
                <w:color w:val="000000" w:themeColor="text1"/>
                <w:sz w:val="30"/>
                <w:szCs w:val="30"/>
                <w14:textFill>
                  <w14:solidFill>
                    <w14:schemeClr w14:val="tx1"/>
                  </w14:solidFill>
                </w14:textFill>
              </w:rPr>
            </w:pPr>
            <w:r>
              <w:rPr>
                <w:rFonts w:hint="eastAsia" w:ascii="宋体" w:hAnsi="宋体" w:cs="宋体"/>
                <w:color w:val="000000" w:themeColor="text1"/>
                <w:kern w:val="0"/>
                <w:sz w:val="30"/>
                <w:szCs w:val="30"/>
                <w:lang w:bidi="ar"/>
                <w14:textFill>
                  <w14:solidFill>
                    <w14:schemeClr w14:val="tx1"/>
                  </w14:solidFill>
                </w14:textFill>
              </w:rPr>
              <w:t>最低价法</w:t>
            </w:r>
          </w:p>
        </w:tc>
      </w:tr>
      <w:bookmarkEnd w:id="0"/>
    </w:tbl>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pPr>
    </w:p>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pPr>
      <w:r>
        <w:rPr>
          <w:rFonts w:hint="eastAsia" w:ascii="黑体" w:hAnsi="宋体" w:eastAsia="黑体" w:cs="黑体"/>
          <w:color w:val="000000" w:themeColor="text1"/>
          <w:sz w:val="40"/>
          <w:szCs w:val="40"/>
          <w14:textFill>
            <w14:solidFill>
              <w14:schemeClr w14:val="tx1"/>
            </w14:solidFill>
          </w14:textFill>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000000" w:themeColor="text1"/>
                <w:sz w:val="28"/>
                <w:szCs w:val="28"/>
                <w14:textFill>
                  <w14:solidFill>
                    <w14:schemeClr w14:val="tx1"/>
                  </w14:solidFill>
                </w14:textFill>
              </w:rPr>
            </w:pPr>
            <w:r>
              <w:rPr>
                <w:rFonts w:ascii="宋体" w:hAnsi="宋体" w:cs="宋体"/>
                <w:color w:val="000000" w:themeColor="text1"/>
                <w:kern w:val="0"/>
                <w:sz w:val="28"/>
                <w:szCs w:val="28"/>
                <w:lang w:bidi="ar"/>
                <w14:textFill>
                  <w14:solidFill>
                    <w14:schemeClr w14:val="tx1"/>
                  </w14:solidFill>
                </w14:textFill>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000000" w:themeColor="text1"/>
                <w:sz w:val="28"/>
                <w:szCs w:val="28"/>
                <w14:textFill>
                  <w14:solidFill>
                    <w14:schemeClr w14:val="tx1"/>
                  </w14:solidFill>
                </w14:textFill>
              </w:rPr>
            </w:pPr>
            <w:r>
              <w:rPr>
                <w:rFonts w:ascii="宋体" w:hAnsi="宋体" w:cs="宋体"/>
                <w:color w:val="000000" w:themeColor="text1"/>
                <w:kern w:val="0"/>
                <w:sz w:val="28"/>
                <w:szCs w:val="28"/>
                <w:lang w:bidi="ar"/>
                <w14:textFill>
                  <w14:solidFill>
                    <w14:schemeClr w14:val="tx1"/>
                  </w14:solidFill>
                </w14:textFill>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供应商不符合项目资格要求，或未提交相应的资格证明资料</w:t>
            </w:r>
            <w:r>
              <w:rPr>
                <w:rFonts w:ascii="宋体" w:hAnsi="宋体" w:cs="宋体"/>
                <w:color w:val="000000" w:themeColor="text1"/>
                <w:kern w:val="0"/>
                <w:szCs w:val="21"/>
                <w:lang w:bidi="ar"/>
                <w14:textFill>
                  <w14:solidFill>
                    <w14:schemeClr w14:val="tx1"/>
                  </w14:solidFill>
                </w14:textFill>
              </w:rPr>
              <w:t>（详见</w:t>
            </w:r>
            <w:r>
              <w:rPr>
                <w:rFonts w:hint="eastAsia" w:ascii="宋体" w:hAnsi="宋体" w:cs="宋体"/>
                <w:color w:val="000000" w:themeColor="text1"/>
                <w:kern w:val="0"/>
                <w:szCs w:val="21"/>
                <w:lang w:bidi="ar"/>
                <w14:textFill>
                  <w14:solidFill>
                    <w14:schemeClr w14:val="tx1"/>
                  </w14:solidFill>
                </w14:textFill>
              </w:rPr>
              <w:t>谈判公告</w:t>
            </w:r>
            <w:r>
              <w:rPr>
                <w:rFonts w:hint="eastAsia" w:ascii="宋体" w:hAnsi="宋体" w:cs="宋体"/>
                <w:color w:val="000000" w:themeColor="text1"/>
                <w:szCs w:val="21"/>
                <w:lang w:bidi="ar"/>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资格要求，即申请人的资格要求</w:t>
            </w:r>
            <w:r>
              <w:rPr>
                <w:rFonts w:ascii="宋体" w:hAnsi="宋体" w:cs="宋体"/>
                <w:color w:val="000000" w:themeColor="text1"/>
                <w:kern w:val="0"/>
                <w:szCs w:val="21"/>
                <w:lang w:bidi="ar"/>
                <w14:textFill>
                  <w14:solidFill>
                    <w14:schemeClr w14:val="tx1"/>
                  </w14:solidFill>
                </w14:textFill>
              </w:rPr>
              <w:t>）</w:t>
            </w:r>
            <w:r>
              <w:rPr>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供应商缺席谈判的；</w:t>
            </w:r>
          </w:p>
        </w:tc>
      </w:tr>
    </w:tbl>
    <w:p>
      <w:pPr>
        <w:pStyle w:val="38"/>
        <w:widowControl/>
        <w:spacing w:before="280" w:beforeAutospacing="0"/>
        <w:jc w:val="center"/>
        <w:outlineLvl w:val="1"/>
        <w:rPr>
          <w:rFonts w:hint="eastAsia" w:ascii="黑体" w:hAnsi="宋体" w:eastAsia="黑体" w:cs="黑体"/>
          <w:color w:val="000000" w:themeColor="text1"/>
          <w:sz w:val="40"/>
          <w:szCs w:val="40"/>
          <w14:textFill>
            <w14:solidFill>
              <w14:schemeClr w14:val="tx1"/>
            </w14:solidFill>
          </w14:textFill>
        </w:rPr>
      </w:pPr>
      <w:r>
        <w:rPr>
          <w:rFonts w:hint="eastAsia" w:ascii="黑体" w:hAnsi="宋体" w:eastAsia="黑体" w:cs="黑体"/>
          <w:color w:val="000000" w:themeColor="text1"/>
          <w:sz w:val="40"/>
          <w:szCs w:val="40"/>
          <w14:textFill>
            <w14:solidFill>
              <w14:schemeClr w14:val="tx1"/>
            </w14:solidFill>
          </w14:textFill>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000000" w:themeColor="text1"/>
                <w:sz w:val="28"/>
                <w:szCs w:val="28"/>
                <w14:textFill>
                  <w14:solidFill>
                    <w14:schemeClr w14:val="tx1"/>
                  </w14:solidFill>
                </w14:textFill>
              </w:rPr>
            </w:pPr>
            <w:r>
              <w:rPr>
                <w:rFonts w:ascii="宋体" w:hAnsi="宋体" w:cs="宋体"/>
                <w:color w:val="000000" w:themeColor="text1"/>
                <w:kern w:val="0"/>
                <w:sz w:val="28"/>
                <w:szCs w:val="28"/>
                <w:lang w:bidi="ar"/>
                <w14:textFill>
                  <w14:solidFill>
                    <w14:schemeClr w14:val="tx1"/>
                  </w14:solidFill>
                </w14:textFill>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color w:val="000000" w:themeColor="text1"/>
                <w:sz w:val="28"/>
                <w:szCs w:val="28"/>
                <w14:textFill>
                  <w14:solidFill>
                    <w14:schemeClr w14:val="tx1"/>
                  </w14:solidFill>
                </w14:textFill>
              </w:rPr>
            </w:pPr>
            <w:r>
              <w:rPr>
                <w:rFonts w:ascii="宋体" w:hAnsi="宋体" w:cs="宋体"/>
                <w:color w:val="000000" w:themeColor="text1"/>
                <w:kern w:val="0"/>
                <w:sz w:val="28"/>
                <w:szCs w:val="28"/>
                <w:lang w:bidi="ar"/>
                <w14:textFill>
                  <w14:solidFill>
                    <w14:schemeClr w14:val="tx1"/>
                  </w14:solidFill>
                </w14:textFill>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不得将一个包的内容拆开进行应答；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不得</w:t>
            </w:r>
            <w:r>
              <w:rPr>
                <w:color w:val="000000" w:themeColor="text1"/>
                <w:szCs w:val="21"/>
                <w14:textFill>
                  <w14:solidFill>
                    <w14:schemeClr w14:val="tx1"/>
                  </w14:solidFill>
                </w14:textFill>
              </w:rPr>
              <w:t>以他人的名义参与谈判、相互串通进行谈判、以行贿手段谋取成交或者以其他弄虚作假方式谈判；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不得对同一项目提供两套以上的应答方案（谈判文件另有规定的除外）；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填报的“折扣率”不满足</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0＜折扣率≤1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公式要求的；“折扣率”缺填、漏填或填报了两个或以上“折扣率”；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所投货物、服务在技术、商务等方面没有实质性满足谈判文件要求的（是否实质性满足谈判文件要求，由谈判小组根据实质性条款响应情况做出评判）；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未按谈判文件所提供的样式填写《应答书》；未按谈判文件所提供的《政府采购应答及履约承诺函》进行承诺或不符合承诺的；未按谈判文件对应答文件组成的要求提供应答文件；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采购标的/服务清单/报价等任意一类有缺漏项或响应不全，或者对谈判文件规定的项目需求内容或者需求数量进行修改</w:t>
            </w:r>
            <w:r>
              <w:rPr>
                <w:rFonts w:hint="eastAsia"/>
                <w:color w:val="000000" w:themeColor="text1"/>
                <w:szCs w:val="21"/>
                <w14:textFill>
                  <w14:solidFill>
                    <w14:schemeClr w14:val="tx1"/>
                  </w14:solidFill>
                </w14:textFill>
              </w:rPr>
              <w:t>，谈判小组判定谈判响应不满足谈判需求</w:t>
            </w:r>
            <w:r>
              <w:rPr>
                <w:rFonts w:hint="eastAsia"/>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谈判应答附有采购人或谈判小组不能接受的条件；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hint="eastAsia" w:ascii="宋体" w:hAnsi="宋体" w:cs="宋体"/>
                <w:color w:val="000000" w:themeColor="text1"/>
                <w:kern w:val="0"/>
                <w:szCs w:val="21"/>
                <w:lang w:bidi="ar"/>
                <w14:textFill>
                  <w14:solidFill>
                    <w14:schemeClr w14:val="tx1"/>
                  </w14:solidFill>
                </w14:textFill>
              </w:rPr>
            </w:pPr>
            <w:r>
              <w:rPr>
                <w:rFonts w:hint="eastAsia"/>
                <w:color w:val="000000" w:themeColor="text1"/>
                <w14:textFill>
                  <w14:solidFill>
                    <w14:schemeClr w14:val="tx1"/>
                  </w14:solidFill>
                </w14:textFill>
              </w:rPr>
              <w:t>10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14:textFill>
                  <w14:solidFill>
                    <w14:schemeClr w14:val="tx1"/>
                  </w14:solidFill>
                </w14:textFill>
              </w:rPr>
            </w:pPr>
            <w:r>
              <w:rPr>
                <w:rFonts w:hint="eastAsia"/>
                <w:color w:val="000000" w:themeColor="text1"/>
                <w14:textFill>
                  <w14:solidFill>
                    <w14:schemeClr w14:val="tx1"/>
                  </w14:solidFill>
                </w14:textFill>
              </w:rPr>
              <w:t>应答文件电子文档不得带病毒；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11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应答文件用不属于本公司的电子密钥或电子营业执照进行加密的；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不同供应商应答文件“文件制作机器码”一致；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不同供应商应答文件“文件创建标识码”一致；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14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法律、法规、规章、规范性文件规定的其他情形。</w:t>
            </w:r>
          </w:p>
        </w:tc>
      </w:tr>
    </w:tbl>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sectPr>
          <w:pgSz w:w="11907" w:h="16840"/>
          <w:pgMar w:top="1440" w:right="1418" w:bottom="1440" w:left="1418" w:header="851" w:footer="992" w:gutter="0"/>
          <w:cols w:space="425" w:num="1"/>
          <w:titlePg/>
          <w:docGrid w:linePitch="462" w:charSpace="0"/>
        </w:sectPr>
      </w:pPr>
    </w:p>
    <w:p>
      <w:pPr>
        <w:pStyle w:val="38"/>
        <w:widowControl/>
        <w:jc w:val="center"/>
        <w:outlineLvl w:val="1"/>
        <w:rPr>
          <w:rFonts w:hint="eastAsia" w:ascii="黑体" w:hAnsi="宋体" w:eastAsia="黑体" w:cs="黑体"/>
          <w:color w:val="000000" w:themeColor="text1"/>
          <w:sz w:val="40"/>
          <w:szCs w:val="40"/>
          <w14:textFill>
            <w14:solidFill>
              <w14:schemeClr w14:val="tx1"/>
            </w14:solidFill>
          </w14:textFill>
        </w:rPr>
      </w:pPr>
      <w:r>
        <w:rPr>
          <w:rFonts w:hint="eastAsia" w:ascii="黑体" w:hAnsi="宋体" w:eastAsia="黑体" w:cs="黑体"/>
          <w:color w:val="000000" w:themeColor="text1"/>
          <w:sz w:val="40"/>
          <w:szCs w:val="40"/>
          <w14:textFill>
            <w14:solidFill>
              <w14:schemeClr w14:val="tx1"/>
            </w14:solidFill>
          </w14:textFill>
        </w:rPr>
        <w:t>评审信息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94"/>
        <w:gridCol w:w="18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94" w:type="dxa"/>
            <w:vAlign w:val="center"/>
          </w:tcPr>
          <w:p>
            <w:pPr>
              <w:widowControl/>
              <w:jc w:val="left"/>
              <w:rPr>
                <w:b/>
                <w:bCs/>
                <w:color w:val="000000" w:themeColor="text1"/>
                <w:sz w:val="24"/>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评审</w:t>
            </w:r>
            <w:r>
              <w:rPr>
                <w:rFonts w:ascii="宋体" w:hAnsi="宋体" w:cs="宋体"/>
                <w:b/>
                <w:bCs/>
                <w:color w:val="000000" w:themeColor="text1"/>
                <w:kern w:val="0"/>
                <w:sz w:val="24"/>
                <w:lang w:bidi="ar"/>
                <w14:textFill>
                  <w14:solidFill>
                    <w14:schemeClr w14:val="tx1"/>
                  </w14:solidFill>
                </w14:textFill>
              </w:rPr>
              <w:t>方法：</w:t>
            </w:r>
            <w:r>
              <w:rPr>
                <w:rFonts w:hint="eastAsia" w:ascii="宋体" w:hAnsi="宋体" w:cs="宋体"/>
                <w:b/>
                <w:bCs/>
                <w:color w:val="000000" w:themeColor="text1"/>
                <w:kern w:val="0"/>
                <w:sz w:val="24"/>
                <w:lang w:bidi="ar"/>
                <w14:textFill>
                  <w14:solidFill>
                    <w14:schemeClr w14:val="tx1"/>
                  </w14:solidFill>
                </w14:textFill>
              </w:rPr>
              <w:t>最低价法</w:t>
            </w:r>
          </w:p>
        </w:tc>
        <w:tc>
          <w:tcPr>
            <w:tcW w:w="184" w:type="dxa"/>
            <w:vAlign w:val="center"/>
          </w:tcPr>
          <w:p>
            <w:pPr>
              <w:jc w:val="right"/>
              <w:rPr>
                <w:rFonts w:ascii="宋体"/>
                <w:b/>
                <w:bCs/>
                <w:color w:val="000000" w:themeColor="text1"/>
                <w:sz w:val="24"/>
                <w14:textFill>
                  <w14:solidFill>
                    <w14:schemeClr w14:val="tx1"/>
                  </w14:solidFill>
                </w14:textFill>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gridSpan w:val="2"/>
            <w:vAlign w:val="center"/>
          </w:tcPr>
          <w:p>
            <w:pPr>
              <w:widowControl/>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最低价法，是指应答文件满足谈判文件实质性要求，按照报价由低到高的顺序，以报价最低的供应商作为成交供应商的评审方法。</w:t>
            </w:r>
          </w:p>
          <w:p>
            <w:pPr>
              <w:widowControl/>
              <w:ind w:firstLine="420" w:firstLineChars="200"/>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采用最低价法评审时，除了算术修正和落实政府采购政策需进行的价格扣除外，不能对供应商的应答价格进行任何调整。</w:t>
            </w:r>
          </w:p>
        </w:tc>
      </w:tr>
    </w:tbl>
    <w:p>
      <w:pPr>
        <w:rPr>
          <w:color w:val="000000" w:themeColor="text1"/>
          <w14:textFill>
            <w14:solidFill>
              <w14:schemeClr w14:val="tx1"/>
            </w14:solidFill>
          </w14:textFill>
        </w:rPr>
        <w:sectPr>
          <w:pgSz w:w="11907" w:h="16840"/>
          <w:pgMar w:top="1440" w:right="1418" w:bottom="1440" w:left="1418" w:header="851" w:footer="992" w:gutter="0"/>
          <w:cols w:space="425" w:num="1"/>
          <w:titlePg/>
          <w:docGrid w:linePitch="462" w:charSpace="0"/>
        </w:sectPr>
      </w:pPr>
    </w:p>
    <w:p>
      <w:pPr>
        <w:rPr>
          <w:b/>
          <w:color w:val="000000" w:themeColor="text1"/>
          <w:sz w:val="84"/>
          <w:szCs w:val="84"/>
          <w14:textFill>
            <w14:solidFill>
              <w14:schemeClr w14:val="tx1"/>
            </w14:solidFill>
          </w14:textFill>
        </w:rPr>
      </w:pPr>
    </w:p>
    <w:p>
      <w:pPr>
        <w:jc w:val="center"/>
        <w:rPr>
          <w:b/>
          <w:color w:val="000000" w:themeColor="text1"/>
          <w:sz w:val="84"/>
          <w:szCs w:val="84"/>
          <w14:textFill>
            <w14:solidFill>
              <w14:schemeClr w14:val="tx1"/>
            </w14:solidFill>
          </w14:textFill>
        </w:rPr>
      </w:pPr>
    </w:p>
    <w:p>
      <w:pPr>
        <w:jc w:val="center"/>
        <w:rPr>
          <w:b/>
          <w:color w:val="000000" w:themeColor="text1"/>
          <w:sz w:val="120"/>
          <w:szCs w:val="120"/>
          <w14:textFill>
            <w14:solidFill>
              <w14:schemeClr w14:val="tx1"/>
            </w14:solidFill>
          </w14:textFill>
        </w:rPr>
      </w:pPr>
      <w:r>
        <w:rPr>
          <w:rFonts w:hint="eastAsia"/>
          <w:b/>
          <w:color w:val="000000" w:themeColor="text1"/>
          <w:sz w:val="120"/>
          <w:szCs w:val="120"/>
          <w14:textFill>
            <w14:solidFill>
              <w14:schemeClr w14:val="tx1"/>
            </w14:solidFill>
          </w14:textFill>
        </w:rPr>
        <w:t>政府采购</w:t>
      </w:r>
    </w:p>
    <w:p>
      <w:pPr>
        <w:jc w:val="center"/>
        <w:rPr>
          <w:b/>
          <w:color w:val="000000" w:themeColor="text1"/>
          <w:sz w:val="120"/>
          <w:szCs w:val="120"/>
          <w14:textFill>
            <w14:solidFill>
              <w14:schemeClr w14:val="tx1"/>
            </w14:solidFill>
          </w14:textFill>
        </w:rPr>
      </w:pPr>
      <w:r>
        <w:rPr>
          <w:rFonts w:hint="eastAsia"/>
          <w:b/>
          <w:color w:val="000000" w:themeColor="text1"/>
          <w:sz w:val="120"/>
          <w:szCs w:val="120"/>
          <w14:textFill>
            <w14:solidFill>
              <w14:schemeClr w14:val="tx1"/>
            </w14:solidFill>
          </w14:textFill>
        </w:rPr>
        <w:t>谈判文件</w:t>
      </w:r>
    </w:p>
    <w:p>
      <w:pPr>
        <w:jc w:val="center"/>
        <w:rPr>
          <w:b/>
          <w:color w:val="000000" w:themeColor="text1"/>
          <w:sz w:val="52"/>
          <w:szCs w:val="52"/>
          <w14:textFill>
            <w14:solidFill>
              <w14:schemeClr w14:val="tx1"/>
            </w14:solidFill>
          </w14:textFill>
        </w:rPr>
      </w:pPr>
      <w:r>
        <w:rPr>
          <w:rFonts w:hint="eastAsia"/>
          <w:b/>
          <w:color w:val="000000" w:themeColor="text1"/>
          <w:sz w:val="52"/>
          <w:szCs w:val="52"/>
          <w14:textFill>
            <w14:solidFill>
              <w14:schemeClr w14:val="tx1"/>
            </w14:solidFill>
          </w14:textFill>
        </w:rPr>
        <w:t>（服务类）</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b/>
          <w:color w:val="000000" w:themeColor="text1"/>
          <w:sz w:val="44"/>
          <w:szCs w:val="44"/>
          <w14:textFill>
            <w14:solidFill>
              <w14:schemeClr w14:val="tx1"/>
            </w14:solidFill>
          </w14:textFill>
        </w:rPr>
      </w:pPr>
      <w:bookmarkStart w:id="1" w:name="_Hlk71465316"/>
      <w:r>
        <w:rPr>
          <w:rFonts w:hint="eastAsia"/>
          <w:b/>
          <w:color w:val="000000" w:themeColor="text1"/>
          <w:sz w:val="44"/>
          <w:szCs w:val="44"/>
          <w14:textFill>
            <w14:solidFill>
              <w14:schemeClr w14:val="tx1"/>
            </w14:solidFill>
          </w14:textFill>
        </w:rPr>
        <w:t>深圳公共资源交易中心</w:t>
      </w: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w:t>
      </w:r>
      <w:r>
        <w:rPr>
          <w:b/>
          <w:color w:val="000000" w:themeColor="text1"/>
          <w:sz w:val="44"/>
          <w:szCs w:val="44"/>
          <w14:textFill>
            <w14:solidFill>
              <w14:schemeClr w14:val="tx1"/>
            </w14:solidFill>
          </w14:textFill>
        </w:rPr>
        <w:t>20</w:t>
      </w:r>
      <w:r>
        <w:rPr>
          <w:rFonts w:hint="eastAsia"/>
          <w:b/>
          <w:color w:val="000000" w:themeColor="text1"/>
          <w:sz w:val="44"/>
          <w:szCs w:val="44"/>
          <w14:textFill>
            <w14:solidFill>
              <w14:schemeClr w14:val="tx1"/>
            </w14:solidFill>
          </w14:textFill>
        </w:rPr>
        <w:t>25）</w:t>
      </w:r>
      <w:bookmarkEnd w:id="1"/>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ind w:firstLine="435"/>
        <w:jc w:val="left"/>
        <w:rPr>
          <w:color w:val="000000" w:themeColor="text1"/>
          <w14:textFill>
            <w14:solidFill>
              <w14:schemeClr w14:val="tx1"/>
            </w14:solidFill>
          </w14:textFill>
        </w:rPr>
      </w:pPr>
    </w:p>
    <w:p>
      <w:pPr>
        <w:pStyle w:val="3"/>
        <w:rPr>
          <w:rFonts w:hint="eastAsia"/>
          <w:color w:val="000000" w:themeColor="text1"/>
          <w14:textFill>
            <w14:solidFill>
              <w14:schemeClr w14:val="tx1"/>
            </w14:solidFill>
          </w14:textFill>
        </w:rPr>
      </w:pPr>
      <w:bookmarkStart w:id="2" w:name="_Hlk72218009"/>
      <w:r>
        <w:rPr>
          <w:rFonts w:hint="eastAsia"/>
          <w:color w:val="000000" w:themeColor="text1"/>
          <w14:textFill>
            <w14:solidFill>
              <w14:schemeClr w14:val="tx1"/>
            </w14:solidFill>
          </w14:textFill>
        </w:rPr>
        <w:t>目   录</w:t>
      </w:r>
    </w:p>
    <w:p>
      <w:pPr>
        <w:widowControl/>
        <w:wordWrap w:val="0"/>
        <w:jc w:val="left"/>
        <w:textAlignment w:val="top"/>
        <w:rPr>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关键信息</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第一章  谈判公告</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第二章  </w:t>
      </w:r>
      <w:bookmarkStart w:id="3" w:name="_Hlk71994379"/>
      <w:r>
        <w:rPr>
          <w:rFonts w:hint="eastAsia"/>
          <w:color w:val="000000" w:themeColor="text1"/>
          <w:szCs w:val="21"/>
          <w14:textFill>
            <w14:solidFill>
              <w14:schemeClr w14:val="tx1"/>
            </w14:solidFill>
          </w14:textFill>
        </w:rPr>
        <w:t>对谈判须知条款的补充内容及其他关键信息</w:t>
      </w:r>
      <w:bookmarkEnd w:id="3"/>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第三章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用户需求书</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第四章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谈判应答文件组成要求及格式</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第五章  合同条款及格式</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第六章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谈判须知</w:t>
      </w:r>
    </w:p>
    <w:p>
      <w:pPr>
        <w:rPr>
          <w:b/>
          <w:color w:val="000000" w:themeColor="text1"/>
          <w:sz w:val="24"/>
          <w14:textFill>
            <w14:solidFill>
              <w14:schemeClr w14:val="tx1"/>
            </w14:solidFill>
          </w14:textFill>
        </w:rPr>
      </w:pPr>
    </w:p>
    <w:bookmarkEnd w:id="2"/>
    <w:p>
      <w:pPr>
        <w:spacing w:line="360" w:lineRule="auto"/>
        <w:rPr>
          <w:rFonts w:hint="eastAsia" w:ascii="宋体" w:hAnsi="宋体" w:cs="宋体"/>
          <w:b/>
          <w:bCs/>
          <w:color w:val="000000" w:themeColor="text1"/>
          <w:kern w:val="0"/>
          <w:szCs w:val="21"/>
          <w14:textFill>
            <w14:solidFill>
              <w14:schemeClr w14:val="tx1"/>
            </w14:solidFill>
          </w14:textFill>
        </w:rPr>
        <w:sectPr>
          <w:pgSz w:w="11907" w:h="16840"/>
          <w:pgMar w:top="1440" w:right="1797" w:bottom="1440" w:left="1797" w:header="851" w:footer="992" w:gutter="0"/>
          <w:cols w:space="425" w:num="1"/>
          <w:titlePg/>
          <w:docGrid w:linePitch="462" w:charSpace="0"/>
        </w:sectPr>
      </w:pPr>
      <w:bookmarkStart w:id="4" w:name="bt技术标投标文件格式"/>
      <w:bookmarkEnd w:id="4"/>
      <w:bookmarkStart w:id="5" w:name="bt投标报价汇总表"/>
      <w:bookmarkEnd w:id="5"/>
      <w:bookmarkStart w:id="6" w:name="bt说明"/>
      <w:bookmarkEnd w:id="6"/>
      <w:bookmarkStart w:id="7" w:name="bt投标人情况介绍"/>
      <w:bookmarkEnd w:id="7"/>
      <w:bookmarkStart w:id="8" w:name="bt投标人须知"/>
      <w:bookmarkEnd w:id="8"/>
      <w:bookmarkStart w:id="9" w:name="bt本工程承诺书"/>
      <w:bookmarkEnd w:id="9"/>
      <w:bookmarkStart w:id="10" w:name="bt商务标投标文件格式"/>
      <w:bookmarkEnd w:id="10"/>
      <w:bookmarkStart w:id="11" w:name="bt合同条款"/>
      <w:bookmarkEnd w:id="11"/>
      <w:bookmarkStart w:id="12" w:name="bt项目管理班子配备情况"/>
      <w:bookmarkEnd w:id="12"/>
      <w:bookmarkStart w:id="13" w:name="合同格式"/>
      <w:bookmarkEnd w:id="13"/>
      <w:bookmarkStart w:id="14" w:name="bt其他资料2"/>
      <w:bookmarkEnd w:id="14"/>
      <w:bookmarkStart w:id="15" w:name="bt合同条款及格式"/>
      <w:bookmarkEnd w:id="15"/>
      <w:bookmarkStart w:id="16" w:name="bt投标函"/>
      <w:bookmarkEnd w:id="16"/>
      <w:bookmarkStart w:id="17" w:name="bt其他资料由投标人自定"/>
      <w:bookmarkEnd w:id="17"/>
      <w:bookmarkStart w:id="18" w:name="bt投标文件签署授权委托书"/>
      <w:bookmarkEnd w:id="18"/>
      <w:bookmarkStart w:id="19" w:name="bt合同格式"/>
      <w:bookmarkEnd w:id="19"/>
      <w:bookmarkStart w:id="20" w:name="bt开标一览表"/>
      <w:bookmarkEnd w:id="20"/>
    </w:p>
    <w:p>
      <w:pPr>
        <w:pStyle w:val="6"/>
        <w:spacing w:line="360" w:lineRule="auto"/>
        <w:rPr>
          <w:rFonts w:hint="eastAsia" w:cs="宋体"/>
          <w:b w:val="0"/>
          <w:bCs w:val="0"/>
          <w:color w:val="000000" w:themeColor="text1"/>
          <w:sz w:val="28"/>
          <w:szCs w:val="21"/>
          <w14:textFill>
            <w14:solidFill>
              <w14:schemeClr w14:val="tx1"/>
            </w14:solidFill>
          </w14:textFill>
        </w:rPr>
      </w:pPr>
      <w:r>
        <w:rPr>
          <w:rFonts w:hint="eastAsia"/>
          <w:color w:val="000000" w:themeColor="text1"/>
          <w:sz w:val="28"/>
          <w14:textFill>
            <w14:solidFill>
              <w14:schemeClr w14:val="tx1"/>
            </w14:solidFill>
          </w14:textFill>
        </w:rPr>
        <w:t>第一章 谈判公告</w:t>
      </w:r>
    </w:p>
    <w:p>
      <w:pPr>
        <w:spacing w:line="360" w:lineRule="auto"/>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申请人的资格要求：</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ascii="宋体" w:hAnsi="宋体" w:cs="宋体"/>
          <w:color w:val="000000" w:themeColor="text1"/>
          <w:kern w:val="0"/>
          <w:szCs w:val="21"/>
          <w14:textFill>
            <w14:solidFill>
              <w14:schemeClr w14:val="tx1"/>
            </w14:solidFill>
          </w14:textFill>
        </w:rPr>
        <w:t>.</w:t>
      </w:r>
      <w:bookmarkStart w:id="21" w:name="_Hlk72162904"/>
      <w:bookmarkStart w:id="22" w:name="_Hlk72576406"/>
      <w:r>
        <w:rPr>
          <w:rFonts w:hint="eastAsia" w:ascii="宋体" w:hAnsi="宋体" w:cs="宋体"/>
          <w:color w:val="000000" w:themeColor="text1"/>
          <w:kern w:val="0"/>
          <w:szCs w:val="21"/>
          <w14:textFill>
            <w14:solidFill>
              <w14:schemeClr w14:val="tx1"/>
            </w14:solidFill>
          </w14:textFill>
        </w:rPr>
        <w:t>具有独立承担民事责任的能力（提供营业执照或事业单位法人证书等证明资料扫描件，原件备查，分支机构参与应答的，须同时提供总公司授权文件且授权书载明其民事责任由总公司承担）；</w:t>
      </w:r>
      <w:bookmarkEnd w:id="21"/>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2.必须是采购人推荐的供应商</w:t>
      </w:r>
      <w:bookmarkEnd w:id="22"/>
      <w:r>
        <w:rPr>
          <w:rFonts w:hint="eastAsia" w:ascii="宋体" w:hAnsi="宋体" w:cs="宋体"/>
          <w:color w:val="000000" w:themeColor="text1"/>
          <w:kern w:val="0"/>
          <w:szCs w:val="21"/>
          <w14:textFill>
            <w14:solidFill>
              <w14:schemeClr w14:val="tx1"/>
            </w14:solidFill>
          </w14:textFill>
        </w:rPr>
        <w:t>；</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本项目不接受联合体应答，不接受投标人选用进口产品参与应答，详见招标文件“第三章 用户需求书”；</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参与本项目政府采购活动时不存在被有关部门禁止参与政府采购活动且在有效期内的情况（由供应商在《政府采购应答及履约承诺函》中作出声明）；</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具备《中华人民共和国政府采购法》第二十二条第一款的条件（由供应商在《政府采购应答及履约承诺函》中作出声明）；</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未被列入失信被执行人、重大税收违法案件当事人名单、政府采购严重违法失信行为记录名单（由供应商在《政府采购应答及履约承诺函》中作出声明）；</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7.不存在《深圳市财政局政府采购供应商信用信息管理办法》（深财规〔2023〕3号）列明的严重违法失信行为（由供应商在《政府采购应答及履约承诺函》中作出声明）；</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10.本项目全部专门面向中小企业采购：否。</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（2）供应商应答（上传应答文件）必须先行办理注册手续，具体请按照本公告“六、其他补充事宜</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相关内容指引办理。</w:t>
      </w:r>
    </w:p>
    <w:p>
      <w:pPr>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完整公告内容详见：深圳公共资源交易网（https://www.szggzy.com）</w:t>
      </w:r>
    </w:p>
    <w:p>
      <w:pPr>
        <w:ind w:firstLine="420" w:firstLineChars="200"/>
        <w:rPr>
          <w:rFonts w:hint="eastAsia" w:ascii="宋体" w:hAnsi="宋体" w:cs="宋体"/>
          <w:color w:val="000000" w:themeColor="text1"/>
          <w:kern w:val="0"/>
          <w:szCs w:val="21"/>
          <w14:textFill>
            <w14:solidFill>
              <w14:schemeClr w14:val="tx1"/>
            </w14:solidFill>
          </w14:textFill>
        </w:rPr>
      </w:pPr>
    </w:p>
    <w:p>
      <w:pPr>
        <w:ind w:firstLine="482" w:firstLineChars="200"/>
        <w:rPr>
          <w:rStyle w:val="476"/>
          <w:rFonts w:hint="eastAsia" w:ascii="等线" w:hAnsi="等线" w:eastAsia="等线" w:cs="Arial"/>
          <w:color w:val="000000" w:themeColor="text1"/>
          <w:szCs w:val="21"/>
          <w14:textFill>
            <w14:solidFill>
              <w14:schemeClr w14:val="tx1"/>
            </w14:solidFill>
          </w14:textFill>
        </w:rPr>
      </w:pPr>
      <w:r>
        <w:rPr>
          <w:rFonts w:hint="eastAsia"/>
          <w:b/>
          <w:bCs/>
          <w:color w:val="000000" w:themeColor="text1"/>
          <w:sz w:val="24"/>
          <w14:textFill>
            <w14:solidFill>
              <w14:schemeClr w14:val="tx1"/>
            </w14:solidFill>
          </w14:textFill>
        </w:rPr>
        <w:t>请在系统公告中补充：</w:t>
      </w:r>
      <w:r>
        <w:rPr>
          <w:rStyle w:val="476"/>
          <w:rFonts w:hint="eastAsia" w:cs="Arial"/>
          <w:color w:val="000000" w:themeColor="text1"/>
          <w:szCs w:val="21"/>
          <w14:textFill>
            <w14:solidFill>
              <w14:schemeClr w14:val="tx1"/>
            </w14:solidFill>
          </w14:textFill>
        </w:rPr>
        <w:t>参加谈判的供应商谈判代表应在本项目谈判当日9:15-9:30（应答文件提交截止时间为上午时适用），14:15-14:30（应答文件提交截止时间为下午时适用）到谈判现场（深圳市南山区西丽街道沙河西路3185号智谷产业园A座深圳交易集团总部大楼3楼），填写谈判供应商签到表。供应商授权代表需提供法定代表人（负责人）授权委托书（加盖公章）、授权委托人身份证（港澳台居民可提供来往通行证；非中国国籍管辖范围人员，可提供公安部门认可的身份证明材料）原件以及电脑和电子密钥证书（即政府采购网登录秘钥），到政府集中采购机构指定签到地点按现场工作人员指引填写签到表。</w:t>
      </w:r>
    </w:p>
    <w:p>
      <w:pPr>
        <w:ind w:firstLine="420" w:firstLineChars="200"/>
        <w:rPr>
          <w:rStyle w:val="476"/>
          <w:rFonts w:hint="eastAsia" w:ascii="等线" w:hAnsi="等线" w:eastAsia="等线" w:cs="Arial"/>
          <w:color w:val="000000" w:themeColor="text1"/>
          <w:szCs w:val="21"/>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pStyle w:val="6"/>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第二章 </w:t>
      </w:r>
      <w:bookmarkStart w:id="23" w:name="_Hlk71926094"/>
      <w:r>
        <w:rPr>
          <w:rFonts w:hint="eastAsia"/>
          <w:color w:val="000000" w:themeColor="text1"/>
          <w:sz w:val="28"/>
          <w:szCs w:val="28"/>
          <w14:textFill>
            <w14:solidFill>
              <w14:schemeClr w14:val="tx1"/>
            </w14:solidFill>
          </w14:textFill>
        </w:rPr>
        <w:t>对谈判须知条款的补充内容及其他关键信息</w:t>
      </w:r>
      <w:bookmarkEnd w:id="23"/>
    </w:p>
    <w:p>
      <w:pPr>
        <w:pStyle w:val="6"/>
        <w:spacing w:before="120" w:beforeLines="50" w:after="120" w:afterLines="50"/>
        <w:rPr>
          <w:rFonts w:hint="eastAsia"/>
          <w:color w:val="000000" w:themeColor="text1"/>
          <w:szCs w:val="24"/>
          <w14:textFill>
            <w14:solidFill>
              <w14:schemeClr w14:val="tx1"/>
            </w14:solidFill>
          </w14:textFill>
        </w:rPr>
      </w:pPr>
      <w:bookmarkStart w:id="24" w:name="_Toc73517639"/>
      <w:bookmarkStart w:id="25" w:name="_Toc73521635"/>
      <w:bookmarkStart w:id="26" w:name="_Toc101074876"/>
      <w:bookmarkStart w:id="27" w:name="_Toc60631620"/>
      <w:bookmarkStart w:id="28" w:name="_Toc73518117"/>
      <w:bookmarkStart w:id="29" w:name="_Toc100052364"/>
      <w:bookmarkStart w:id="30" w:name="_Toc60560625"/>
      <w:bookmarkStart w:id="31" w:name="_Toc73521547"/>
      <w:r>
        <w:rPr>
          <w:rFonts w:hint="eastAsia"/>
          <w:color w:val="000000" w:themeColor="text1"/>
          <w:szCs w:val="24"/>
          <w14:textFill>
            <w14:solidFill>
              <w14:schemeClr w14:val="tx1"/>
            </w14:solidFill>
          </w14:textFill>
        </w:rPr>
        <w:t>一、对谈判须知条款的补充内容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8" w:type="dxa"/>
            <w:vAlign w:val="center"/>
          </w:tcPr>
          <w:p>
            <w:pPr>
              <w:jc w:val="center"/>
              <w:rPr>
                <w:rFonts w:hint="eastAsia" w:ascii="宋体" w:hAnsi="宋体"/>
                <w:b/>
                <w:bCs/>
                <w:color w:val="000000" w:themeColor="text1"/>
                <w14:textFill>
                  <w14:solidFill>
                    <w14:schemeClr w14:val="tx1"/>
                  </w14:solidFill>
                </w14:textFill>
              </w:rPr>
            </w:pPr>
            <w:bookmarkStart w:id="32" w:name="_Hlk72218097"/>
            <w:r>
              <w:rPr>
                <w:rFonts w:hint="eastAsia" w:ascii="宋体" w:hAnsi="宋体"/>
                <w:b/>
                <w:bCs/>
                <w:color w:val="000000" w:themeColor="text1"/>
                <w14:textFill>
                  <w14:solidFill>
                    <w14:schemeClr w14:val="tx1"/>
                  </w14:solidFill>
                </w14:textFill>
              </w:rPr>
              <w:t>通用条款序号</w:t>
            </w:r>
          </w:p>
        </w:tc>
        <w:tc>
          <w:tcPr>
            <w:tcW w:w="2409" w:type="dxa"/>
            <w:vAlign w:val="center"/>
          </w:tcPr>
          <w:p>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涉及事项</w:t>
            </w:r>
          </w:p>
        </w:tc>
        <w:tc>
          <w:tcPr>
            <w:tcW w:w="4980" w:type="dxa"/>
            <w:vAlign w:val="center"/>
          </w:tcPr>
          <w:p>
            <w:pPr>
              <w:jc w:val="center"/>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具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体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补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充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 xml:space="preserve">内 </w:t>
            </w:r>
            <w:r>
              <w:rPr>
                <w:rFonts w:ascii="宋体" w:hAnsi="宋体"/>
                <w:b/>
                <w:bCs/>
                <w:color w:val="000000" w:themeColor="text1"/>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.1</w:t>
            </w:r>
          </w:p>
        </w:tc>
        <w:tc>
          <w:tcPr>
            <w:tcW w:w="2409"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采购人</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ascii="Arial" w:hAnsi="Arial" w:cs="Arial"/>
                <w:color w:val="000000" w:themeColor="text1"/>
                <w:szCs w:val="21"/>
                <w14:textFill>
                  <w14:solidFill>
                    <w14:schemeClr w14:val="tx1"/>
                  </w14:solidFill>
                </w14:textFill>
              </w:rPr>
              <w:t>深圳市前海深港现代服务业合作区管理局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.2</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政府集中采购机构</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深圳公共资源交易中心</w:t>
            </w:r>
          </w:p>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应答文件的澄清和修改</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详见第一章  谈判公告  申请人的资格要求：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谈判应答有效期</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0</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供应商的替代方案</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5</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应答文件的大小</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应答文件大小不得超过100MB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2</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评审方法</w:t>
            </w:r>
          </w:p>
        </w:tc>
        <w:tc>
          <w:tcPr>
            <w:tcW w:w="4980"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详见谈判文件信息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8</w:t>
            </w:r>
          </w:p>
        </w:tc>
        <w:tc>
          <w:tcPr>
            <w:tcW w:w="2409" w:type="dxa"/>
            <w:vAlign w:val="center"/>
          </w:tcPr>
          <w:p>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履约担保</w:t>
            </w:r>
          </w:p>
        </w:tc>
        <w:tc>
          <w:tcPr>
            <w:tcW w:w="4980" w:type="dxa"/>
            <w:vAlign w:val="center"/>
          </w:tcPr>
          <w:p>
            <w:pPr>
              <w:jc w:val="left"/>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不需要</w:t>
            </w:r>
          </w:p>
        </w:tc>
      </w:tr>
    </w:tbl>
    <w:p>
      <w:pPr>
        <w:rPr>
          <w:b/>
          <w:color w:val="000000" w:themeColor="text1"/>
          <w14:textFill>
            <w14:solidFill>
              <w14:schemeClr w14:val="tx1"/>
            </w14:solidFill>
          </w14:textFill>
        </w:rPr>
      </w:pPr>
      <w:r>
        <w:rPr>
          <w:rFonts w:hint="eastAsia"/>
          <w:color w:val="000000" w:themeColor="text1"/>
          <w:szCs w:val="21"/>
          <w14:textFill>
            <w14:solidFill>
              <w14:schemeClr w14:val="tx1"/>
            </w14:solidFill>
          </w14:textFill>
        </w:rPr>
        <w:t>备注：本表是谈判须知条款相关条款的补充和明确，如与谈判须知条款内容相冲突的，以本表为准。</w:t>
      </w:r>
    </w:p>
    <w:bookmarkEnd w:id="32"/>
    <w:p>
      <w:pPr>
        <w:pStyle w:val="6"/>
        <w:spacing w:before="120" w:beforeLines="50" w:after="120" w:afterLines="50"/>
        <w:rPr>
          <w:rFonts w:hint="eastAsia"/>
          <w:color w:val="000000" w:themeColor="text1"/>
          <w:szCs w:val="24"/>
          <w14:textFill>
            <w14:solidFill>
              <w14:schemeClr w14:val="tx1"/>
            </w14:solidFill>
          </w14:textFill>
        </w:rPr>
      </w:pPr>
      <w:bookmarkStart w:id="33" w:name="_Hlk72218117"/>
      <w:r>
        <w:rPr>
          <w:rFonts w:hint="eastAsia"/>
          <w:color w:val="000000" w:themeColor="text1"/>
          <w:szCs w:val="24"/>
          <w14:textFill>
            <w14:solidFill>
              <w14:schemeClr w14:val="tx1"/>
            </w14:solidFill>
          </w14:textFill>
        </w:rPr>
        <w:t>二、其他关键信息</w:t>
      </w:r>
    </w:p>
    <w:p>
      <w:pPr>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（一）与“对谈判须知条款的补充内容”章节相关的事项</w:t>
      </w:r>
    </w:p>
    <w:p>
      <w:pPr>
        <w:ind w:firstLine="422" w:firstLineChars="200"/>
        <w:rPr>
          <w:rFonts w:hint="eastAsia" w:ascii="宋体" w:hAnsi="宋体"/>
          <w:b/>
          <w:color w:val="000000" w:themeColor="text1"/>
          <w14:textFill>
            <w14:solidFill>
              <w14:schemeClr w14:val="tx1"/>
            </w14:solidFill>
          </w14:textFill>
        </w:rPr>
      </w:pPr>
      <w:bookmarkStart w:id="34" w:name="_Hlk72579465"/>
      <w:r>
        <w:rPr>
          <w:rFonts w:hint="eastAsia" w:ascii="宋体" w:hAnsi="宋体"/>
          <w:b/>
          <w:color w:val="000000" w:themeColor="text1"/>
          <w14:textFill>
            <w14:solidFill>
              <w14:schemeClr w14:val="tx1"/>
            </w14:solidFill>
          </w14:textFill>
        </w:rPr>
        <w:t>1、评审信息</w:t>
      </w:r>
    </w:p>
    <w:tbl>
      <w:tblPr>
        <w:tblStyle w:val="44"/>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pPr>
              <w:ind w:firstLine="422" w:firstLineChars="20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评审方法</w:t>
            </w:r>
          </w:p>
        </w:tc>
        <w:tc>
          <w:tcPr>
            <w:tcW w:w="4230" w:type="dxa"/>
          </w:tcPr>
          <w:p>
            <w:pPr>
              <w:ind w:firstLine="422" w:firstLineChars="200"/>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pPr>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候选成交供应商数量</w:t>
            </w:r>
          </w:p>
        </w:tc>
        <w:tc>
          <w:tcPr>
            <w:tcW w:w="4230" w:type="dxa"/>
          </w:tcPr>
          <w:p>
            <w:pPr>
              <w:ind w:firstLine="420" w:firstLineChars="2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9" w:type="dxa"/>
          </w:tcPr>
          <w:p>
            <w:pPr>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成交供应商数量</w:t>
            </w:r>
          </w:p>
        </w:tc>
        <w:tc>
          <w:tcPr>
            <w:tcW w:w="4230" w:type="dxa"/>
          </w:tcPr>
          <w:p>
            <w:pPr>
              <w:ind w:firstLine="420" w:firstLineChars="20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bl>
    <w:p>
      <w:pPr>
        <w:rPr>
          <w:b/>
          <w:bCs/>
          <w:color w:val="000000" w:themeColor="text1"/>
          <w14:textFill>
            <w14:solidFill>
              <w14:schemeClr w14:val="tx1"/>
            </w14:solidFill>
          </w14:textFill>
        </w:rPr>
      </w:pPr>
    </w:p>
    <w:bookmarkEnd w:id="34"/>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（二）其他事项</w:t>
      </w:r>
    </w:p>
    <w:p>
      <w:pPr>
        <w:ind w:firstLine="422"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1、</w:t>
      </w:r>
      <w:r>
        <w:rPr>
          <w:rFonts w:hint="eastAsia"/>
          <w:b/>
          <w:color w:val="000000" w:themeColor="text1"/>
          <w14:textFill>
            <w14:solidFill>
              <w14:schemeClr w14:val="tx1"/>
            </w14:solidFill>
          </w14:textFill>
        </w:rPr>
        <w:t>关于政府采购订单融资政策</w:t>
      </w:r>
    </w:p>
    <w:p>
      <w:pPr>
        <w:wordWrap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2、</w:t>
      </w:r>
      <w:bookmarkStart w:id="35" w:name="_Hlk72594729"/>
      <w:bookmarkStart w:id="36" w:name="_Hlk76855768"/>
      <w:r>
        <w:rPr>
          <w:rFonts w:hint="eastAsia"/>
          <w:b/>
          <w:color w:val="000000" w:themeColor="text1"/>
          <w14:textFill>
            <w14:solidFill>
              <w14:schemeClr w14:val="tx1"/>
            </w14:solidFill>
          </w14:textFill>
        </w:rPr>
        <w:t>本项目为代理服务项目，将向中标（成交）供应商收取代理服务费。</w:t>
      </w:r>
    </w:p>
    <w:bookmarkEnd w:id="35"/>
    <w:bookmarkEnd w:id="36"/>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在领取《中标（成交）通知书》之前须向深圳公共资源交易中心（深圳交易集团有限公司**分公司）交纳代理服务费。若因中标（成交）供应商交纳代理服务费所产生的时间影响到合同签订的，由中标（成交）供应商自行承担责任。代理服务费标准参照下列标准收取。</w:t>
      </w:r>
      <w:r>
        <w:rPr>
          <w:rFonts w:hint="eastAsia"/>
          <w:b/>
          <w:color w:val="000000" w:themeColor="text1"/>
          <w14:textFill>
            <w14:solidFill>
              <w14:schemeClr w14:val="tx1"/>
            </w14:solidFill>
          </w14:textFill>
        </w:rPr>
        <w:t>本项目类型为服务采购：</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（1）代理服务费以《中标（成交）通知书》确定的中标（成交）金额作为计算基数，按差额定率累进法计算。</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中标（成交）金额</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货物采购</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服务采购</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100万元以下</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100万元（含）-500万元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0.8%</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500万元（含）-1000万元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0.8%</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0.45%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1000万元（含）-5000万元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0.25%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5000万元（含）-1亿元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0.25%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1亿元（含）-5亿元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5亿元（含）-10亿元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0.035%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0.035%</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10亿元（含）-50亿元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50亿元（含）-100亿元</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0.006%</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0.006%</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100亿元（含）以上</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0.004%</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0.004%</w:t>
            </w:r>
          </w:p>
        </w:tc>
        <w:tc>
          <w:tcPr>
            <w:tcW w:w="1799" w:type="dxa"/>
            <w:vAlign w:val="center"/>
          </w:tcPr>
          <w:p>
            <w:pPr>
              <w:widowControl/>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0.004%</w:t>
            </w:r>
          </w:p>
        </w:tc>
      </w:tr>
    </w:tbl>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备注：1.每宗交易代理服务费不低于 5000 元；</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2.对于报总价的采购类项目，中标（成交）价为中标（成交）金额；对于报单价、折扣或费率的采购类项目，中标（成交）价为预算上限金额或经委托方与代理方确定的支付上限金额；</w:t>
      </w:r>
    </w:p>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如某货物采购项目，中标（成交）金额为600万元，总共交纳的代理服务费的具体计算过程如下：</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标准代理服务费＝（100万以下部分的代理服务费）+（100万～500万部分的代理服务费）+（500万～600万部分的代理服务费）＝100万元×1.5%+（500-100）万元×1.1%+（600-500）万元×0.8%=1.5万元+4.4万元+0.8万元＝6.7万元</w:t>
      </w:r>
    </w:p>
    <w:p>
      <w:pPr>
        <w:numPr>
          <w:ilvl w:val="0"/>
          <w:numId w:val="7"/>
        </w:num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中标（成交）供应商中标（成交）后，必须按规定采用银行对公转账方式向深圳交易集团有限公司直接交纳代理服务费，交纳信息及要求按照缴款（付款）通知书执行。</w:t>
      </w:r>
    </w:p>
    <w:p>
      <w:pPr>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注：单一来源项目单独制定收费标准的，另行计算代理服务费。</w:t>
      </w:r>
    </w:p>
    <w:p>
      <w:pPr>
        <w:ind w:firstLine="422" w:firstLineChars="200"/>
        <w:jc w:val="left"/>
        <w:rPr>
          <w:rFonts w:hint="eastAsia" w:ascii="宋体" w:hAnsi="宋体" w:cs="宋体"/>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3、其他说明</w:t>
      </w:r>
    </w:p>
    <w:p>
      <w:pPr>
        <w:wordWrap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重要提示：</w:t>
      </w:r>
    </w:p>
    <w:p>
      <w:pPr>
        <w:wordWrap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电子营业执照应用于投标文件制作和加解密属于创新应用场景，如不熟悉操作可能导致错过投标截止时间，系统已提供加密、测试解密和撤回重新上传的功能，各</w:t>
      </w: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须预留充足时间，提前制作和加密上传投标文件。</w:t>
      </w:r>
    </w:p>
    <w:p>
      <w:pPr>
        <w:wordWrap w:val="0"/>
        <w:ind w:firstLine="420"/>
        <w:rPr>
          <w:b/>
          <w:color w:val="000000" w:themeColor="text1"/>
          <w14:textFill>
            <w14:solidFill>
              <w14:schemeClr w14:val="tx1"/>
            </w14:solidFill>
          </w14:textFill>
        </w:rPr>
      </w:pPr>
      <w:r>
        <w:rPr>
          <w:color w:val="000000" w:themeColor="text1"/>
          <w14:textFill>
            <w14:solidFill>
              <w14:schemeClr w14:val="tx1"/>
            </w14:solidFill>
          </w14:textFill>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-36568999，4008301330（CA办理指引详见链接https://szggzy.com/calock/caLock.html）。</w:t>
      </w:r>
    </w:p>
    <w:p>
      <w:pPr>
        <w:pStyle w:val="2"/>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p>
    <w:p>
      <w:pPr>
        <w:ind w:firstLine="422" w:firstLineChars="200"/>
        <w:rPr>
          <w:b/>
          <w:color w:val="000000" w:themeColor="text1"/>
          <w14:textFill>
            <w14:solidFill>
              <w14:schemeClr w14:val="tx1"/>
            </w14:solidFill>
          </w14:textFill>
        </w:rPr>
        <w:sectPr>
          <w:pgSz w:w="11907" w:h="16840"/>
          <w:pgMar w:top="1440" w:right="1797" w:bottom="1440" w:left="1797" w:header="851" w:footer="992" w:gutter="0"/>
          <w:cols w:space="425" w:num="1"/>
          <w:titlePg/>
          <w:docGrid w:linePitch="462" w:charSpace="0"/>
        </w:sectPr>
      </w:pPr>
    </w:p>
    <w:bookmarkEnd w:id="33"/>
    <w:p>
      <w:pPr>
        <w:pStyle w:val="6"/>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第三章 用户需求书</w:t>
      </w: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一、项目基本信息</w:t>
      </w:r>
    </w:p>
    <w:p>
      <w:pPr>
        <w:rPr>
          <w:rFonts w:hint="eastAsia" w:ascii="宋体" w:hAnsi="宋体"/>
          <w:b/>
          <w:color w:val="000000" w:themeColor="text1"/>
          <w:szCs w:val="21"/>
          <w14:textFill>
            <w14:solidFill>
              <w14:schemeClr w14:val="tx1"/>
            </w14:solidFill>
          </w14:textFill>
        </w:rPr>
      </w:pPr>
    </w:p>
    <w:tbl>
      <w:tblPr>
        <w:tblStyle w:val="43"/>
        <w:tblpPr w:leftFromText="180" w:rightFromText="180" w:vertAnchor="text" w:horzAnchor="margin" w:tblpY="173"/>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669"/>
        <w:gridCol w:w="2319"/>
        <w:gridCol w:w="1373"/>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90"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序号</w:t>
            </w:r>
          </w:p>
        </w:tc>
        <w:tc>
          <w:tcPr>
            <w:tcW w:w="1602" w:type="pc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采购计划编号</w:t>
            </w:r>
          </w:p>
        </w:tc>
        <w:tc>
          <w:tcPr>
            <w:tcW w:w="1392"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采购项目名称</w:t>
            </w:r>
          </w:p>
        </w:tc>
        <w:tc>
          <w:tcPr>
            <w:tcW w:w="824" w:type="pct"/>
            <w:vAlign w:val="center"/>
          </w:tcPr>
          <w:p>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预算金额（元）</w:t>
            </w:r>
          </w:p>
        </w:tc>
        <w:tc>
          <w:tcPr>
            <w:tcW w:w="792" w:type="pct"/>
          </w:tcPr>
          <w:p>
            <w:pPr>
              <w:jc w:val="center"/>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支付上限（元）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0"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602"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PLAN-2025-440300000-842001-13823</w:t>
            </w:r>
          </w:p>
        </w:tc>
        <w:tc>
          <w:tcPr>
            <w:tcW w:w="1392" w:type="pct"/>
            <w:vMerge w:val="restart"/>
            <w:vAlign w:val="center"/>
          </w:tcPr>
          <w:p>
            <w:pPr>
              <w:widowControl/>
              <w:shd w:val="clear" w:color="auto" w:fill="FFFFFF"/>
              <w:jc w:val="left"/>
              <w:rPr>
                <w:rFonts w:ascii="Arial" w:hAnsi="Arial" w:cs="Arial"/>
                <w:color w:val="5C5C5C"/>
                <w:kern w:val="0"/>
                <w:szCs w:val="21"/>
              </w:rPr>
            </w:pPr>
            <w:r>
              <w:rPr>
                <w:rFonts w:hint="eastAsia" w:ascii="Arial" w:hAnsi="Arial" w:cs="Arial"/>
                <w:color w:val="5C5C5C"/>
                <w:kern w:val="0"/>
                <w:szCs w:val="21"/>
              </w:rPr>
              <w:t>深圳市前海深港现代服务业合作区管理局前海深港国际服务城土地整备土地价值评估项目</w:t>
            </w:r>
          </w:p>
        </w:tc>
        <w:tc>
          <w:tcPr>
            <w:tcW w:w="824"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5000000.00</w:t>
            </w:r>
          </w:p>
        </w:tc>
        <w:tc>
          <w:tcPr>
            <w:tcW w:w="792"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90"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w:t>
            </w:r>
          </w:p>
        </w:tc>
        <w:tc>
          <w:tcPr>
            <w:tcW w:w="1602"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PLAN-2025-440300000-842001-13827</w:t>
            </w:r>
          </w:p>
        </w:tc>
        <w:tc>
          <w:tcPr>
            <w:tcW w:w="1392" w:type="pct"/>
            <w:vMerge w:val="continue"/>
            <w:vAlign w:val="center"/>
          </w:tcPr>
          <w:p>
            <w:pPr>
              <w:jc w:val="center"/>
              <w:rPr>
                <w:b/>
                <w:bCs/>
                <w:color w:val="000000" w:themeColor="text1"/>
                <w:szCs w:val="21"/>
                <w14:textFill>
                  <w14:solidFill>
                    <w14:schemeClr w14:val="tx1"/>
                  </w14:solidFill>
                </w14:textFill>
              </w:rPr>
            </w:pPr>
          </w:p>
        </w:tc>
        <w:tc>
          <w:tcPr>
            <w:tcW w:w="824"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7150000.00</w:t>
            </w:r>
          </w:p>
        </w:tc>
        <w:tc>
          <w:tcPr>
            <w:tcW w:w="792"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84" w:type="pct"/>
            <w:gridSpan w:val="3"/>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合计</w:t>
            </w:r>
          </w:p>
        </w:tc>
        <w:tc>
          <w:tcPr>
            <w:tcW w:w="824"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12150000.00</w:t>
            </w:r>
          </w:p>
        </w:tc>
        <w:tc>
          <w:tcPr>
            <w:tcW w:w="792" w:type="pct"/>
            <w:vAlign w:val="center"/>
          </w:tcPr>
          <w:p>
            <w:pPr>
              <w:jc w:val="righ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12150000.00</w:t>
            </w:r>
          </w:p>
        </w:tc>
      </w:tr>
    </w:tbl>
    <w:p>
      <w:pPr>
        <w:rPr>
          <w:rFonts w:hint="eastAsia" w:ascii="宋体" w:hAnsi="宋体"/>
          <w:b/>
          <w:color w:val="000000" w:themeColor="text1"/>
          <w:szCs w:val="21"/>
          <w14:textFill>
            <w14:solidFill>
              <w14:schemeClr w14:val="tx1"/>
            </w14:solidFill>
          </w14:textFill>
        </w:rPr>
      </w:pP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二、项目概况</w:t>
      </w:r>
    </w:p>
    <w:p>
      <w:pPr>
        <w:pStyle w:val="8"/>
        <w:overflowPunct w:val="0"/>
        <w:autoSpaceDE w:val="0"/>
        <w:autoSpaceDN w:val="0"/>
        <w:adjustRightInd w:val="0"/>
        <w:snapToGrid w:val="0"/>
        <w:spacing w:line="360" w:lineRule="exact"/>
        <w:ind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2024年4月3日市政府专题会已原则同意前海深港国际服务城规划方案，该规划涉及对2018年市政府审批实施的《中国（广东）自由贸易试验区深圳前海蛇口片区及大小南山周边地区综合规划》局部修编，目前正在开展局部修编方案编制工作，报市政府批准后，前海深港国际服务城范围内的已出让未开发用地需进行土地整备。</w:t>
      </w:r>
    </w:p>
    <w:p>
      <w:pPr>
        <w:pStyle w:val="8"/>
        <w:overflowPunct w:val="0"/>
        <w:autoSpaceDE w:val="0"/>
        <w:autoSpaceDN w:val="0"/>
        <w:adjustRightInd w:val="0"/>
        <w:snapToGrid w:val="0"/>
        <w:spacing w:line="360" w:lineRule="exact"/>
        <w:ind w:firstLineChars="20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根据</w:t>
      </w:r>
      <w:r>
        <w:rPr>
          <w:rFonts w:hint="eastAsia" w:ascii="宋体" w:hAnsi="宋体" w:cs="宋体"/>
          <w:color w:val="000000" w:themeColor="text1"/>
          <w:kern w:val="0"/>
          <w:szCs w:val="21"/>
          <w14:textFill>
            <w14:solidFill>
              <w14:schemeClr w14:val="tx1"/>
            </w14:solidFill>
          </w14:textFill>
        </w:rPr>
        <w:t>《深圳市人民政府关于将一批市(区)级行政职权事项调整由深圳市前海深港现代服务业合作区管理局在前海深港现代服务业合作区实施的决定》(深圳市人民政府令 2023 年第 357 号)</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前海</w:t>
      </w:r>
      <w:r>
        <w:rPr>
          <w:rFonts w:ascii="宋体" w:hAnsi="宋体" w:cs="宋体"/>
          <w:color w:val="000000" w:themeColor="text1"/>
          <w:kern w:val="0"/>
          <w:szCs w:val="21"/>
          <w14:textFill>
            <w14:solidFill>
              <w14:schemeClr w14:val="tx1"/>
            </w14:solidFill>
          </w14:textFill>
        </w:rPr>
        <w:t>负责实施“土地整备项目安置房用地、置换用地、留用土地和征地返还用地的批准”</w:t>
      </w:r>
      <w:r>
        <w:rPr>
          <w:rFonts w:hint="eastAsia" w:ascii="宋体" w:hAnsi="宋体" w:cs="宋体"/>
          <w:color w:val="000000" w:themeColor="text1"/>
          <w:kern w:val="0"/>
          <w:szCs w:val="21"/>
          <w14:textFill>
            <w14:solidFill>
              <w14:schemeClr w14:val="tx1"/>
            </w14:solidFill>
          </w14:textFill>
        </w:rPr>
        <w:t>。因土地整备涉及的深港国际服务城土地整备土地价值评估工作专业性较强，需委托相关法定资质的技术单位对该项目进行地价评估，为开展土地置换等各项土地管理工作提供必需的技术支撑和决策参考依据。</w:t>
      </w: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三、</w:t>
      </w:r>
      <w:bookmarkStart w:id="37" w:name="_Hlk72073432"/>
      <w:r>
        <w:rPr>
          <w:rFonts w:hint="eastAsia"/>
          <w:color w:val="000000" w:themeColor="text1"/>
          <w:szCs w:val="24"/>
          <w14:textFill>
            <w14:solidFill>
              <w14:schemeClr w14:val="tx1"/>
            </w14:solidFill>
          </w14:textFill>
        </w:rPr>
        <w:t>服务需求明细</w:t>
      </w:r>
      <w:bookmarkEnd w:id="37"/>
    </w:p>
    <w:tbl>
      <w:tblPr>
        <w:tblStyle w:val="43"/>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92"/>
        <w:gridCol w:w="1839"/>
        <w:gridCol w:w="815"/>
        <w:gridCol w:w="736"/>
        <w:gridCol w:w="1308"/>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序号</w:t>
            </w:r>
          </w:p>
        </w:tc>
        <w:tc>
          <w:tcPr>
            <w:tcW w:w="1227" w:type="pct"/>
            <w:vAlign w:val="center"/>
          </w:tcPr>
          <w:p>
            <w:pPr>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采购计划编号</w:t>
            </w:r>
          </w:p>
        </w:tc>
        <w:tc>
          <w:tcPr>
            <w:tcW w:w="1079"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服务需求名称（标的名称）</w:t>
            </w:r>
          </w:p>
        </w:tc>
        <w:tc>
          <w:tcPr>
            <w:tcW w:w="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数量</w:t>
            </w:r>
          </w:p>
        </w:tc>
        <w:tc>
          <w:tcPr>
            <w:tcW w:w="432"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单位</w:t>
            </w:r>
          </w:p>
        </w:tc>
        <w:tc>
          <w:tcPr>
            <w:tcW w:w="767" w:type="pct"/>
            <w:vAlign w:val="center"/>
          </w:tcPr>
          <w:p>
            <w:pPr>
              <w:jc w:val="center"/>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是否专门面向中小企业</w:t>
            </w:r>
          </w:p>
        </w:tc>
        <w:tc>
          <w:tcPr>
            <w:tcW w:w="767" w:type="pct"/>
            <w:vAlign w:val="center"/>
          </w:tcPr>
          <w:p>
            <w:pPr>
              <w:jc w:val="center"/>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1227"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PLAN-2025-440300000-842001-13823</w:t>
            </w:r>
          </w:p>
        </w:tc>
        <w:tc>
          <w:tcPr>
            <w:tcW w:w="1079" w:type="pct"/>
            <w:vMerge w:val="restart"/>
            <w:vAlign w:val="center"/>
          </w:tcPr>
          <w:p>
            <w:pPr>
              <w:jc w:val="center"/>
              <w:rPr>
                <w:bCs/>
                <w:color w:val="000000" w:themeColor="text1"/>
                <w:szCs w:val="21"/>
                <w14:textFill>
                  <w14:solidFill>
                    <w14:schemeClr w14:val="tx1"/>
                  </w14:solidFill>
                </w14:textFill>
              </w:rPr>
            </w:pPr>
            <w:r>
              <w:rPr>
                <w:rFonts w:hint="eastAsia" w:ascii="Arial" w:hAnsi="Arial" w:cs="Arial"/>
                <w:color w:val="5C5C5C"/>
                <w:kern w:val="0"/>
                <w:szCs w:val="21"/>
              </w:rPr>
              <w:t>深圳市前海深港现代服务业合作区管理局前海深港国际服务城土地整备土地价值评估项目</w:t>
            </w:r>
          </w:p>
        </w:tc>
        <w:tc>
          <w:tcPr>
            <w:tcW w:w="478" w:type="pct"/>
            <w:vAlign w:val="center"/>
          </w:tcPr>
          <w:p>
            <w:pPr>
              <w:jc w:val="center"/>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1</w:t>
            </w:r>
          </w:p>
        </w:tc>
        <w:tc>
          <w:tcPr>
            <w:tcW w:w="432"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w:t>
            </w:r>
          </w:p>
        </w:tc>
        <w:tc>
          <w:tcPr>
            <w:tcW w:w="767" w:type="pct"/>
            <w:vMerge w:val="restart"/>
            <w:vAlign w:val="center"/>
          </w:tcPr>
          <w:p>
            <w:pPr>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c>
          <w:tcPr>
            <w:tcW w:w="767" w:type="pct"/>
            <w:vMerge w:val="restar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0"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1227" w:type="pct"/>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PLAN-2025-440300000-842001-13827</w:t>
            </w:r>
          </w:p>
        </w:tc>
        <w:tc>
          <w:tcPr>
            <w:tcW w:w="1079" w:type="pct"/>
            <w:vMerge w:val="continue"/>
          </w:tcPr>
          <w:p>
            <w:pPr>
              <w:jc w:val="center"/>
              <w:rPr>
                <w:bCs/>
                <w:color w:val="000000" w:themeColor="text1"/>
                <w:szCs w:val="21"/>
                <w14:textFill>
                  <w14:solidFill>
                    <w14:schemeClr w14:val="tx1"/>
                  </w14:solidFill>
                </w14:textFill>
              </w:rPr>
            </w:pPr>
          </w:p>
        </w:tc>
        <w:tc>
          <w:tcPr>
            <w:tcW w:w="478"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w:t>
            </w:r>
          </w:p>
        </w:tc>
        <w:tc>
          <w:tcPr>
            <w:tcW w:w="432" w:type="pct"/>
            <w:vAlign w:val="center"/>
          </w:tcPr>
          <w:p>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项</w:t>
            </w:r>
          </w:p>
        </w:tc>
        <w:tc>
          <w:tcPr>
            <w:tcW w:w="767" w:type="pct"/>
            <w:vMerge w:val="continue"/>
            <w:vAlign w:val="center"/>
          </w:tcPr>
          <w:p>
            <w:pPr>
              <w:jc w:val="center"/>
              <w:rPr>
                <w:bCs/>
                <w:color w:val="000000" w:themeColor="text1"/>
                <w:szCs w:val="21"/>
                <w14:textFill>
                  <w14:solidFill>
                    <w14:schemeClr w14:val="tx1"/>
                  </w14:solidFill>
                </w14:textFill>
              </w:rPr>
            </w:pPr>
          </w:p>
        </w:tc>
        <w:tc>
          <w:tcPr>
            <w:tcW w:w="767" w:type="pct"/>
            <w:vMerge w:val="continue"/>
            <w:vAlign w:val="center"/>
          </w:tcPr>
          <w:p>
            <w:pPr>
              <w:jc w:val="center"/>
              <w:rPr>
                <w:bCs/>
                <w:color w:val="000000" w:themeColor="text1"/>
                <w:szCs w:val="21"/>
                <w14:textFill>
                  <w14:solidFill>
                    <w14:schemeClr w14:val="tx1"/>
                  </w14:solidFill>
                </w14:textFill>
              </w:rPr>
            </w:pPr>
          </w:p>
        </w:tc>
      </w:tr>
    </w:tbl>
    <w:p>
      <w:pPr>
        <w:rPr>
          <w:rFonts w:hint="eastAsia" w:ascii="宋体" w:hAnsi="宋体"/>
          <w:b/>
          <w:color w:val="000000" w:themeColor="text1"/>
          <w:szCs w:val="21"/>
          <w14:textFill>
            <w14:solidFill>
              <w14:schemeClr w14:val="tx1"/>
            </w14:solidFill>
          </w14:textFill>
        </w:rPr>
      </w:pPr>
    </w:p>
    <w:p>
      <w:pPr>
        <w:keepNext/>
        <w:keepLines/>
        <w:adjustRightInd w:val="0"/>
        <w:spacing w:before="120" w:beforeLines="50" w:after="120" w:afterLines="50"/>
        <w:jc w:val="center"/>
        <w:textAlignment w:val="baseline"/>
        <w:outlineLvl w:val="1"/>
        <w:rPr>
          <w:rFonts w:hint="eastAsia"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四、实质性条款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序号</w:t>
            </w:r>
          </w:p>
        </w:tc>
        <w:tc>
          <w:tcPr>
            <w:tcW w:w="7483" w:type="dxa"/>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7483" w:type="dxa"/>
            <w:vAlign w:val="center"/>
          </w:tcPr>
          <w:p>
            <w:pPr>
              <w:adjustRightInd w:val="0"/>
              <w:snapToGrid w:val="0"/>
              <w:spacing w:line="360" w:lineRule="auto"/>
              <w:rPr>
                <w:rFonts w:hint="eastAsia" w:hAnsi="宋体" w:eastAsiaTheme="minorEastAsi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满足本项目标★的条款要求</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注：上表所列内容为不可负偏离条款，负偏离将视为未实质性满足谈判文件要求作投标（应答）无效处理。</w:t>
      </w:r>
    </w:p>
    <w:p>
      <w:pPr>
        <w:rPr>
          <w:b/>
          <w:bCs/>
          <w:color w:val="000000" w:themeColor="text1"/>
          <w:szCs w:val="21"/>
          <w14:textFill>
            <w14:solidFill>
              <w14:schemeClr w14:val="tx1"/>
            </w14:solidFill>
          </w14:textFill>
        </w:rPr>
      </w:pP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五、技术要求</w:t>
      </w:r>
    </w:p>
    <w:p>
      <w:pPr>
        <w:ind w:firstLine="422"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1.工作内容：</w:t>
      </w:r>
      <w:r>
        <w:rPr>
          <w:rFonts w:hint="eastAsia" w:ascii="宋体" w:hAnsi="宋体" w:cs="宋体"/>
          <w:color w:val="000000" w:themeColor="text1"/>
          <w:kern w:val="0"/>
          <w:szCs w:val="21"/>
          <w:lang w:bidi="ar"/>
          <w14:textFill>
            <w14:solidFill>
              <w14:schemeClr w14:val="tx1"/>
            </w14:solidFill>
          </w14:textFill>
        </w:rPr>
        <w:t>本项目是为前海管理局了解</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提供参考。</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（1）根据采购人提供的</w:t>
      </w:r>
      <w:r>
        <w:rPr>
          <w:rFonts w:ascii="宋体" w:hAnsi="宋体" w:cs="宋体"/>
          <w:color w:val="000000" w:themeColor="text1"/>
          <w:kern w:val="0"/>
          <w:szCs w:val="21"/>
          <w:lang w:bidi="ar"/>
          <w14:textFill>
            <w14:solidFill>
              <w14:schemeClr w14:val="tx1"/>
            </w14:solidFill>
          </w14:textFill>
        </w:rPr>
        <w:t>土地出让合同等评估已出让用地的原规划条件下的土地价值，根据采购人提供的</w:t>
      </w:r>
      <w:r>
        <w:rPr>
          <w:rFonts w:hint="eastAsia" w:ascii="宋体" w:hAnsi="宋体" w:cs="宋体"/>
          <w:color w:val="000000" w:themeColor="text1"/>
          <w:kern w:val="0"/>
          <w:szCs w:val="21"/>
          <w:lang w:bidi="ar"/>
          <w14:textFill>
            <w14:solidFill>
              <w14:schemeClr w14:val="tx1"/>
            </w14:solidFill>
          </w14:textFill>
        </w:rPr>
        <w:t>规划</w:t>
      </w:r>
      <w:r>
        <w:rPr>
          <w:rFonts w:ascii="宋体" w:hAnsi="宋体" w:cs="宋体"/>
          <w:color w:val="000000" w:themeColor="text1"/>
          <w:kern w:val="0"/>
          <w:szCs w:val="21"/>
          <w:lang w:bidi="ar"/>
          <w14:textFill>
            <w14:solidFill>
              <w14:schemeClr w14:val="tx1"/>
            </w14:solidFill>
          </w14:textFill>
        </w:rPr>
        <w:t>设计</w:t>
      </w:r>
      <w:r>
        <w:rPr>
          <w:rFonts w:hint="eastAsia" w:ascii="宋体" w:hAnsi="宋体" w:cs="宋体"/>
          <w:color w:val="000000" w:themeColor="text1"/>
          <w:kern w:val="0"/>
          <w:szCs w:val="21"/>
          <w:lang w:bidi="ar"/>
          <w14:textFill>
            <w14:solidFill>
              <w14:schemeClr w14:val="tx1"/>
            </w14:solidFill>
          </w14:textFill>
        </w:rPr>
        <w:t>条件、宗地位置、产权限制条件等</w:t>
      </w:r>
      <w:r>
        <w:rPr>
          <w:rFonts w:ascii="宋体" w:hAnsi="宋体" w:cs="宋体"/>
          <w:color w:val="000000" w:themeColor="text1"/>
          <w:kern w:val="0"/>
          <w:szCs w:val="21"/>
          <w:lang w:bidi="ar"/>
          <w14:textFill>
            <w14:solidFill>
              <w14:schemeClr w14:val="tx1"/>
            </w14:solidFill>
          </w14:textFill>
        </w:rPr>
        <w:t>评估置换用地的新规划条件下的土地价值</w:t>
      </w:r>
      <w:r>
        <w:rPr>
          <w:rFonts w:hint="eastAsia" w:ascii="宋体" w:hAnsi="宋体" w:cs="宋体"/>
          <w:color w:val="000000" w:themeColor="text1"/>
          <w:kern w:val="0"/>
          <w:szCs w:val="21"/>
          <w:lang w:bidi="ar"/>
          <w14:textFill>
            <w14:solidFill>
              <w14:schemeClr w14:val="tx1"/>
            </w14:solidFill>
          </w14:textFill>
        </w:rPr>
        <w:t>，并出具土地估价报告，估价过程及估价报告须严格执行以下标准、技术规范、法律、法规及相关政策。</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（2）为前海管理局提供与</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评估相关的技术支持工作，包括但不限于：土地整备</w:t>
      </w:r>
      <w:r>
        <w:rPr>
          <w:rFonts w:ascii="宋体" w:hAnsi="宋体" w:cs="宋体"/>
          <w:color w:val="000000" w:themeColor="text1"/>
          <w:kern w:val="0"/>
          <w:szCs w:val="21"/>
          <w:lang w:bidi="ar"/>
          <w14:textFill>
            <w14:solidFill>
              <w14:schemeClr w14:val="tx1"/>
            </w14:solidFill>
          </w14:textFill>
        </w:rPr>
        <w:t>土</w:t>
      </w:r>
      <w:r>
        <w:rPr>
          <w:rFonts w:hint="eastAsia" w:ascii="宋体" w:hAnsi="宋体" w:cs="宋体"/>
          <w:color w:val="000000" w:themeColor="text1"/>
          <w:kern w:val="0"/>
          <w:szCs w:val="21"/>
          <w:lang w:bidi="ar"/>
          <w14:textFill>
            <w14:solidFill>
              <w14:schemeClr w14:val="tx1"/>
            </w14:solidFill>
          </w14:textFill>
        </w:rPr>
        <w:t>地价</w:t>
      </w:r>
      <w:r>
        <w:rPr>
          <w:rFonts w:ascii="宋体" w:hAnsi="宋体" w:cs="宋体"/>
          <w:color w:val="000000" w:themeColor="text1"/>
          <w:kern w:val="0"/>
          <w:szCs w:val="21"/>
          <w:lang w:bidi="ar"/>
          <w14:textFill>
            <w14:solidFill>
              <w14:schemeClr w14:val="tx1"/>
            </w14:solidFill>
          </w14:textFill>
        </w:rPr>
        <w:t>值</w:t>
      </w:r>
      <w:r>
        <w:rPr>
          <w:rFonts w:hint="eastAsia" w:ascii="宋体" w:hAnsi="宋体" w:cs="宋体"/>
          <w:color w:val="000000" w:themeColor="text1"/>
          <w:kern w:val="0"/>
          <w:szCs w:val="21"/>
          <w:lang w:bidi="ar"/>
          <w14:textFill>
            <w14:solidFill>
              <w14:schemeClr w14:val="tx1"/>
            </w14:solidFill>
          </w14:textFill>
        </w:rPr>
        <w:t>评估前期咨询服务；对出具的前海深港国际服务城土地整备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估价报告进行解释和说明；为前海管理局</w:t>
      </w:r>
      <w:r>
        <w:rPr>
          <w:rFonts w:hint="eastAsia" w:ascii="宋体" w:hAnsi="宋体"/>
          <w:bCs/>
          <w:color w:val="000000" w:themeColor="text1"/>
          <w:szCs w:val="21"/>
          <w14:textFill>
            <w14:solidFill>
              <w14:schemeClr w14:val="tx1"/>
            </w14:solidFill>
          </w14:textFill>
        </w:rPr>
        <w:t>提供</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深港国际服务城土地整备项目相关地价政策及评估技术规范、评估方法的咨询服务。</w:t>
      </w:r>
    </w:p>
    <w:p>
      <w:pPr>
        <w:overflowPunct w:val="0"/>
        <w:autoSpaceDE w:val="0"/>
        <w:autoSpaceDN w:val="0"/>
        <w:adjustRightInd w:val="0"/>
        <w:snapToGrid w:val="0"/>
        <w:ind w:firstLine="420" w:firstLineChars="200"/>
        <w:rPr>
          <w:rFonts w:hint="eastAsia" w:ascii="宋体" w:hAnsi="宋体" w:cs="宋体"/>
          <w:color w:val="000000" w:themeColor="text1"/>
          <w:kern w:val="0"/>
          <w:szCs w:val="21"/>
          <w:lang w:bidi="ar"/>
          <w14:textFill>
            <w14:solidFill>
              <w14:schemeClr w14:val="tx1"/>
            </w14:solidFill>
          </w14:textFill>
        </w:rPr>
      </w:pPr>
    </w:p>
    <w:p>
      <w:pPr>
        <w:overflowPunct w:val="0"/>
        <w:autoSpaceDE w:val="0"/>
        <w:autoSpaceDN w:val="0"/>
        <w:adjustRightInd w:val="0"/>
        <w:snapToGrid w:val="0"/>
        <w:ind w:left="420" w:leftChars="200"/>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2.国家有关法律、法规、行政规章</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（1）《中华人民共和国资产评估法》（2016年12月1日起实施）；</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（2）《中华人民共和国土地管理法》（2004年8月28日修正）；</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（3）《中华人民共和国城市房地产管理法》（2007年8月30日修正）；</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（4）《中华人民共和国城乡规划法》（2008年1月1日起实施）；</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（5）《中华人民共和国物权法》（2007年10月1日起实施）；</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（6）《中华人民共和国土地管理法实施条例》（国务院令第256号</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1999年1月1日起实施）；</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bookmarkStart w:id="83" w:name="_GoBack"/>
      <w:bookmarkEnd w:id="83"/>
      <w:r>
        <w:rPr>
          <w:rFonts w:hint="eastAsia" w:ascii="宋体" w:hAnsi="宋体" w:cs="宋体"/>
          <w:color w:val="000000" w:themeColor="text1"/>
          <w:kern w:val="0"/>
          <w:szCs w:val="21"/>
          <w:lang w:eastAsia="zh-CN" w:bidi="ar"/>
          <w14:textFill>
            <w14:solidFill>
              <w14:schemeClr w14:val="tx1"/>
            </w14:solidFill>
          </w14:textFill>
        </w:rPr>
        <w:t>《中华人民共和国城镇国有土地使用权出让和转让暂行条例》</w:t>
      </w:r>
      <w:r>
        <w:rPr>
          <w:rFonts w:hint="eastAsia" w:ascii="宋体" w:hAnsi="宋体" w:cs="宋体"/>
          <w:color w:val="000000" w:themeColor="text1"/>
          <w:kern w:val="0"/>
          <w:szCs w:val="21"/>
          <w:lang w:bidi="ar"/>
          <w14:textFill>
            <w14:solidFill>
              <w14:schemeClr w14:val="tx1"/>
            </w14:solidFill>
          </w14:textFill>
        </w:rPr>
        <w:t>（国务院令第55号，1990年5月19日起实施）；</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r>
        <w:rPr>
          <w:rFonts w:ascii="宋体" w:hAnsi="宋体" w:cs="宋体"/>
          <w:color w:val="000000" w:themeColor="text1"/>
          <w:kern w:val="0"/>
          <w:szCs w:val="21"/>
          <w:lang w:bidi="ar"/>
          <w14:textFill>
            <w14:solidFill>
              <w14:schemeClr w14:val="tx1"/>
            </w14:solidFill>
          </w14:textFill>
        </w:rPr>
        <w:t>《国土资源部办公厅关于实施&lt;城镇土地分等定级规程&gt;和&lt;城镇土地估价规程&gt;有关问题的通知》（国土资厅发〔2015〕12号，2015年3月18日发布）；</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w:t>
      </w:r>
      <w:r>
        <w:rPr>
          <w:rFonts w:ascii="宋体" w:hAnsi="宋体" w:cs="宋体"/>
          <w:color w:val="000000" w:themeColor="text1"/>
          <w:kern w:val="0"/>
          <w:szCs w:val="21"/>
          <w:lang w:bidi="ar"/>
          <w14:textFill>
            <w14:solidFill>
              <w14:schemeClr w14:val="tx1"/>
            </w14:solidFill>
          </w14:textFill>
        </w:rPr>
        <w:t>《国务院关于促进节约集约用地的通知》（国发〔2008〕3号，2008年1月3日）。</w:t>
      </w:r>
    </w:p>
    <w:p>
      <w:pPr>
        <w:overflowPunct w:val="0"/>
        <w:autoSpaceDE w:val="0"/>
        <w:autoSpaceDN w:val="0"/>
        <w:adjustRightInd w:val="0"/>
        <w:snapToGrid w:val="0"/>
        <w:ind w:left="420" w:leftChars="200"/>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3.地方有关法律、法规和规章</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ascii="宋体" w:hAnsi="宋体" w:cs="宋体"/>
          <w:color w:val="000000" w:themeColor="text1"/>
          <w:kern w:val="0"/>
          <w:szCs w:val="21"/>
          <w:lang w:bidi="ar"/>
          <w14:textFill>
            <w14:solidFill>
              <w14:schemeClr w14:val="tx1"/>
            </w14:solidFill>
          </w14:textFill>
        </w:rPr>
        <w:t>《广东省实施中华人民共和国土地管理法办法》（2008年11月28日修正）；</w:t>
      </w:r>
    </w:p>
    <w:p>
      <w:pPr>
        <w:pStyle w:val="8"/>
        <w:overflowPunct w:val="0"/>
        <w:autoSpaceDE w:val="0"/>
        <w:autoSpaceDN w:val="0"/>
        <w:adjustRightInd w:val="0"/>
        <w:snapToGrid w:val="0"/>
        <w:ind w:firstLineChars="200"/>
        <w:rPr>
          <w:rFonts w:hint="eastAsia" w:ascii="仿宋_GB2312" w:hAnsi="仿宋" w:eastAsia="仿宋_GB2312" w:cs="宋体"/>
          <w:color w:val="000000" w:themeColor="text1"/>
          <w:kern w:val="0"/>
          <w:sz w:val="32"/>
          <w:szCs w:val="32"/>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r>
        <w:rPr>
          <w:rFonts w:ascii="宋体" w:hAnsi="宋体" w:cs="宋体"/>
          <w:color w:val="000000" w:themeColor="text1"/>
          <w:kern w:val="0"/>
          <w:szCs w:val="21"/>
          <w:lang w:bidi="ar"/>
          <w14:textFill>
            <w14:solidFill>
              <w14:schemeClr w14:val="tx1"/>
            </w14:solidFill>
          </w14:textFill>
        </w:rPr>
        <w:t>《深圳市土地征用与收回条例》（深圳市人民代表大会常务委员会公告第82</w:t>
      </w:r>
      <w:r>
        <w:rPr>
          <w:rFonts w:ascii="仿宋_GB2312" w:hAnsi="仿宋" w:eastAsia="仿宋_GB2312" w:cs="宋体"/>
          <w:color w:val="000000" w:themeColor="text1"/>
          <w:kern w:val="0"/>
          <w:sz w:val="32"/>
          <w:szCs w:val="32"/>
          <w:lang w:bidi="ar"/>
          <w14:textFill>
            <w14:solidFill>
              <w14:schemeClr w14:val="tx1"/>
            </w14:solidFill>
          </w14:textFill>
        </w:rPr>
        <w:t>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r>
        <w:rPr>
          <w:rFonts w:ascii="宋体" w:hAnsi="宋体" w:cs="宋体"/>
          <w:color w:val="000000" w:themeColor="text1"/>
          <w:kern w:val="0"/>
          <w:szCs w:val="21"/>
          <w:lang w:bidi="ar"/>
          <w14:textFill>
            <w14:solidFill>
              <w14:schemeClr w14:val="tx1"/>
            </w14:solidFill>
          </w14:textFill>
        </w:rPr>
        <w:t>《深圳市人民政府关于推进土地整备工作的若干意见》（深府〔2011〕102号）；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r>
        <w:rPr>
          <w:rFonts w:ascii="宋体" w:hAnsi="宋体" w:cs="宋体"/>
          <w:color w:val="000000" w:themeColor="text1"/>
          <w:kern w:val="0"/>
          <w:szCs w:val="21"/>
          <w:lang w:bidi="ar"/>
          <w14:textFill>
            <w14:solidFill>
              <w14:schemeClr w14:val="tx1"/>
            </w14:solidFill>
          </w14:textFill>
        </w:rPr>
        <w:t>《深圳市人民政府关于印发征地安置补偿和土地置换若干规定（试行）的通知》（深府〔2015〕81号）；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r>
        <w:rPr>
          <w:rFonts w:ascii="宋体" w:hAnsi="宋体" w:cs="宋体"/>
          <w:color w:val="000000" w:themeColor="text1"/>
          <w:kern w:val="0"/>
          <w:szCs w:val="21"/>
          <w:lang w:bidi="ar"/>
          <w14:textFill>
            <w14:solidFill>
              <w14:schemeClr w14:val="tx1"/>
            </w14:solidFill>
          </w14:textFill>
        </w:rPr>
        <w:t>《市规划国土委关于印发&lt;关于征地安置补偿和土地置换的若干规定（试行）&gt;实施细则》的通知》（深规土规〔2016〕1号）；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w:t>
      </w:r>
      <w:r>
        <w:rPr>
          <w:rFonts w:ascii="宋体" w:hAnsi="宋体" w:cs="宋体"/>
          <w:color w:val="000000" w:themeColor="text1"/>
          <w:kern w:val="0"/>
          <w:szCs w:val="21"/>
          <w:lang w:bidi="ar"/>
          <w14:textFill>
            <w14:solidFill>
              <w14:schemeClr w14:val="tx1"/>
            </w14:solidFill>
          </w14:textFill>
        </w:rPr>
        <w:t>《深圳市房屋征收与补偿实施办法（试行）》（深圳市人民政府令第292号）;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w:t>
      </w:r>
      <w:r>
        <w:rPr>
          <w:rFonts w:ascii="宋体" w:hAnsi="宋体" w:cs="宋体"/>
          <w:color w:val="000000" w:themeColor="text1"/>
          <w:kern w:val="0"/>
          <w:szCs w:val="21"/>
          <w:lang w:bidi="ar"/>
          <w14:textFill>
            <w14:solidFill>
              <w14:schemeClr w14:val="tx1"/>
            </w14:solidFill>
          </w14:textFill>
        </w:rPr>
        <w:t>《深圳市地价测算规则》（深府办规〔2019〕9号）；</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w:t>
      </w:r>
      <w:r>
        <w:rPr>
          <w:rFonts w:ascii="宋体" w:hAnsi="宋体" w:cs="宋体"/>
          <w:color w:val="000000" w:themeColor="text1"/>
          <w:kern w:val="0"/>
          <w:szCs w:val="21"/>
          <w:lang w:bidi="ar"/>
          <w14:textFill>
            <w14:solidFill>
              <w14:schemeClr w14:val="tx1"/>
            </w14:solidFill>
          </w14:textFill>
        </w:rPr>
        <w:t>《市规划和自然资源局关于印发&lt;深圳市地价测算规则&gt;附表（2020年修订稿）的通知》（深规划资源发〔2020〕194号）。</w:t>
      </w:r>
    </w:p>
    <w:p>
      <w:pPr>
        <w:overflowPunct w:val="0"/>
        <w:autoSpaceDE w:val="0"/>
        <w:autoSpaceDN w:val="0"/>
        <w:adjustRightInd w:val="0"/>
        <w:snapToGrid w:val="0"/>
        <w:ind w:left="420" w:leftChars="200"/>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4.采用的技术标准</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ascii="宋体" w:hAnsi="宋体" w:cs="宋体"/>
          <w:color w:val="000000" w:themeColor="text1"/>
          <w:kern w:val="0"/>
          <w:szCs w:val="21"/>
          <w:lang w:bidi="ar"/>
          <w14:textFill>
            <w14:solidFill>
              <w14:schemeClr w14:val="tx1"/>
            </w14:solidFill>
          </w14:textFill>
        </w:rPr>
        <w:t>《城镇土地估价规程》（GB/T18508-2014）（2014年12月1日起实施）;</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r>
        <w:rPr>
          <w:rFonts w:ascii="宋体" w:hAnsi="宋体" w:cs="宋体"/>
          <w:color w:val="000000" w:themeColor="text1"/>
          <w:kern w:val="0"/>
          <w:szCs w:val="21"/>
          <w:lang w:bidi="ar"/>
          <w14:textFill>
            <w14:solidFill>
              <w14:schemeClr w14:val="tx1"/>
            </w14:solidFill>
          </w14:textFill>
        </w:rPr>
        <w:t>《房地产估价规范》（GB/T50291-2015）（2015年12月1日起实施）；</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r>
        <w:rPr>
          <w:rFonts w:ascii="宋体" w:hAnsi="宋体" w:cs="宋体"/>
          <w:color w:val="000000" w:themeColor="text1"/>
          <w:kern w:val="0"/>
          <w:szCs w:val="21"/>
          <w:lang w:bidi="ar"/>
          <w14:textFill>
            <w14:solidFill>
              <w14:schemeClr w14:val="tx1"/>
            </w14:solidFill>
          </w14:textFill>
        </w:rPr>
        <w:t>《土地利用现状分类》（GB/T21010-2017）（2017年11月1日）;</w:t>
      </w:r>
    </w:p>
    <w:p>
      <w:pPr>
        <w:pStyle w:val="8"/>
        <w:overflowPunct w:val="0"/>
        <w:autoSpaceDE w:val="0"/>
        <w:autoSpaceDN w:val="0"/>
        <w:adjustRightInd w:val="0"/>
        <w:snapToGrid w:val="0"/>
        <w:ind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r>
        <w:rPr>
          <w:rFonts w:ascii="宋体" w:hAnsi="宋体" w:cs="宋体"/>
          <w:color w:val="000000" w:themeColor="text1"/>
          <w:kern w:val="0"/>
          <w:szCs w:val="21"/>
          <w:lang w:bidi="ar"/>
          <w14:textFill>
            <w14:solidFill>
              <w14:schemeClr w14:val="tx1"/>
            </w14:solidFill>
          </w14:textFill>
        </w:rPr>
        <w:t>《标定地价规程》（TD/T1052-2017）（2018年3月1日实施）；</w:t>
      </w:r>
    </w:p>
    <w:p>
      <w:pPr>
        <w:overflowPunct w:val="0"/>
        <w:autoSpaceDE w:val="0"/>
        <w:autoSpaceDN w:val="0"/>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w:t>
      </w:r>
      <w:r>
        <w:rPr>
          <w:rFonts w:ascii="宋体" w:hAnsi="宋体" w:cs="宋体"/>
          <w:color w:val="000000" w:themeColor="text1"/>
          <w:kern w:val="0"/>
          <w:szCs w:val="21"/>
          <w:lang w:bidi="ar"/>
          <w14:textFill>
            <w14:solidFill>
              <w14:schemeClr w14:val="tx1"/>
            </w14:solidFill>
          </w14:textFill>
        </w:rPr>
        <w:t>《2006深圳市建设工程技术经济指标》（2006年7月）。</w:t>
      </w:r>
    </w:p>
    <w:p>
      <w:pPr>
        <w:overflowPunct w:val="0"/>
        <w:autoSpaceDE w:val="0"/>
        <w:autoSpaceDN w:val="0"/>
        <w:ind w:firstLine="422" w:firstLineChars="200"/>
        <w:rPr>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5.成果内容及其形式：</w:t>
      </w:r>
      <w:r>
        <w:rPr>
          <w:color w:val="000000" w:themeColor="text1"/>
          <w:szCs w:val="22"/>
          <w14:textFill>
            <w14:solidFill>
              <w14:schemeClr w14:val="tx1"/>
            </w14:solidFill>
          </w14:textFill>
        </w:rPr>
        <w:t>前海</w:t>
      </w:r>
      <w:r>
        <w:rPr>
          <w:rFonts w:hint="eastAsia"/>
          <w:color w:val="000000" w:themeColor="text1"/>
          <w:szCs w:val="22"/>
          <w14:textFill>
            <w14:solidFill>
              <w14:schemeClr w14:val="tx1"/>
            </w14:solidFill>
          </w14:textFill>
        </w:rPr>
        <w:t>深港国际服务城土地整备</w:t>
      </w:r>
      <w:r>
        <w:rPr>
          <w:color w:val="000000" w:themeColor="text1"/>
          <w:szCs w:val="22"/>
          <w14:textFill>
            <w14:solidFill>
              <w14:schemeClr w14:val="tx1"/>
            </w14:solidFill>
          </w14:textFill>
        </w:rPr>
        <w:t>土地价值</w:t>
      </w:r>
      <w:r>
        <w:rPr>
          <w:rFonts w:hint="eastAsia"/>
          <w:color w:val="000000" w:themeColor="text1"/>
          <w:szCs w:val="22"/>
          <w14:textFill>
            <w14:solidFill>
              <w14:schemeClr w14:val="tx1"/>
            </w14:solidFill>
          </w14:textFill>
        </w:rPr>
        <w:t>评估工作成果包括：以PDF格式提交的土地估价报告电子文档；土地估价报告以纸质件装订成册，壹式</w:t>
      </w:r>
      <w:r>
        <w:rPr>
          <w:color w:val="000000" w:themeColor="text1"/>
          <w:szCs w:val="22"/>
          <w14:textFill>
            <w14:solidFill>
              <w14:schemeClr w14:val="tx1"/>
            </w14:solidFill>
          </w14:textFill>
        </w:rPr>
        <w:t>叁</w:t>
      </w:r>
      <w:r>
        <w:rPr>
          <w:rFonts w:hint="eastAsia"/>
          <w:color w:val="000000" w:themeColor="text1"/>
          <w:szCs w:val="22"/>
          <w14:textFill>
            <w14:solidFill>
              <w14:schemeClr w14:val="tx1"/>
            </w14:solidFill>
          </w14:textFill>
        </w:rPr>
        <w:t>份，提交数量应能满足前海管理局的使用要求。</w:t>
      </w:r>
    </w:p>
    <w:p>
      <w:pPr>
        <w:overflowPunct w:val="0"/>
        <w:autoSpaceDE w:val="0"/>
        <w:autoSpaceDN w:val="0"/>
        <w:ind w:firstLine="422" w:firstLineChars="200"/>
        <w:rPr>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6.最终成果验收合格标志：</w:t>
      </w:r>
      <w:r>
        <w:rPr>
          <w:rFonts w:hint="eastAsia"/>
          <w:color w:val="000000" w:themeColor="text1"/>
          <w:szCs w:val="22"/>
          <w14:textFill>
            <w14:solidFill>
              <w14:schemeClr w14:val="tx1"/>
            </w14:solidFill>
          </w14:textFill>
        </w:rPr>
        <w:t>前海管理局规划管理部门验收通过。</w:t>
      </w:r>
    </w:p>
    <w:p>
      <w:pPr>
        <w:ind w:firstLine="422" w:firstLineChars="200"/>
        <w:rPr>
          <w:color w:val="000000" w:themeColor="text1"/>
          <w14:textFill>
            <w14:solidFill>
              <w14:schemeClr w14:val="tx1"/>
            </w14:solidFill>
          </w14:textFill>
        </w:rPr>
      </w:pPr>
      <w:r>
        <w:rPr>
          <w:rFonts w:hint="eastAsia"/>
          <w:b/>
          <w:bCs/>
          <w:color w:val="000000" w:themeColor="text1"/>
          <w:szCs w:val="22"/>
          <w14:textFill>
            <w14:solidFill>
              <w14:schemeClr w14:val="tx1"/>
            </w14:solidFill>
          </w14:textFill>
        </w:rPr>
        <w:t>7.项目进度计划：</w:t>
      </w:r>
      <w:r>
        <w:rPr>
          <w:rFonts w:hint="eastAsia"/>
          <w:color w:val="000000" w:themeColor="text1"/>
          <w:szCs w:val="22"/>
          <w14:textFill>
            <w14:solidFill>
              <w14:schemeClr w14:val="tx1"/>
            </w14:solidFill>
          </w14:textFill>
        </w:rPr>
        <w:t>工作期限为自委托合同签订之日起1年，</w:t>
      </w:r>
      <w:r>
        <w:rPr>
          <w:color w:val="000000" w:themeColor="text1"/>
          <w:szCs w:val="22"/>
          <w14:textFill>
            <w14:solidFill>
              <w14:schemeClr w14:val="tx1"/>
            </w14:solidFill>
          </w14:textFill>
        </w:rPr>
        <w:t>经采购人与中标单位双方协商一致的，可延长工作期限至项目完成</w:t>
      </w:r>
      <w:r>
        <w:rPr>
          <w:rFonts w:hint="eastAsia"/>
          <w:color w:val="000000" w:themeColor="text1"/>
          <w:szCs w:val="22"/>
          <w14:textFill>
            <w14:solidFill>
              <w14:schemeClr w14:val="tx1"/>
            </w14:solidFill>
          </w14:textFill>
        </w:rPr>
        <w:t>。在工作期限内，中标人应于采购人评估申请（委托）之日起十</w:t>
      </w:r>
      <w:r>
        <w:rPr>
          <w:rFonts w:hint="eastAsia"/>
          <w:color w:val="000000" w:themeColor="text1"/>
          <w14:textFill>
            <w14:solidFill>
              <w14:schemeClr w14:val="tx1"/>
            </w14:solidFill>
          </w14:textFill>
        </w:rPr>
        <w:t>二个月内提交成果，其中：</w:t>
      </w:r>
    </w:p>
    <w:p>
      <w:pPr>
        <w:ind w:firstLine="420" w:firstLineChars="20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（1）估价资料完备的情况下，中标单位应按</w:t>
      </w:r>
      <w:r>
        <w:rPr>
          <w:color w:val="000000" w:themeColor="text1"/>
          <w:szCs w:val="22"/>
          <w14:textFill>
            <w14:solidFill>
              <w14:schemeClr w14:val="tx1"/>
            </w14:solidFill>
          </w14:textFill>
        </w:rPr>
        <w:t>委托人</w:t>
      </w:r>
      <w:r>
        <w:rPr>
          <w:rFonts w:hint="eastAsia"/>
          <w:color w:val="000000" w:themeColor="text1"/>
          <w:szCs w:val="22"/>
          <w14:textFill>
            <w14:solidFill>
              <w14:schemeClr w14:val="tx1"/>
            </w14:solidFill>
          </w14:textFill>
        </w:rPr>
        <w:t>要求提交估价结果，并提交正式估价报告书及电子文档；</w:t>
      </w:r>
    </w:p>
    <w:p>
      <w:pPr>
        <w:overflowPunct w:val="0"/>
        <w:autoSpaceDE w:val="0"/>
        <w:autoSpaceDN w:val="0"/>
        <w:adjustRightInd w:val="0"/>
        <w:snapToGrid w:val="0"/>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color w:val="000000" w:themeColor="text1"/>
          <w:szCs w:val="22"/>
          <w14:textFill>
            <w14:solidFill>
              <w14:schemeClr w14:val="tx1"/>
            </w14:solidFill>
          </w14:textFill>
        </w:rPr>
        <w:t>（2）估价资料不完备或者采购人有特殊需要的情况下，由采购人与中标单位双方协商具体工作时间要求，中标单位应配合采购人按时完成</w:t>
      </w:r>
      <w:r>
        <w:rPr>
          <w:color w:val="000000" w:themeColor="text1"/>
          <w:szCs w:val="22"/>
          <w14:textFill>
            <w14:solidFill>
              <w14:schemeClr w14:val="tx1"/>
            </w14:solidFill>
          </w14:textFill>
        </w:rPr>
        <w:t>土地价值评估工作</w:t>
      </w:r>
      <w:r>
        <w:rPr>
          <w:rFonts w:hint="eastAsia"/>
          <w:color w:val="000000" w:themeColor="text1"/>
          <w:szCs w:val="22"/>
          <w14:textFill>
            <w14:solidFill>
              <w14:schemeClr w14:val="tx1"/>
            </w14:solidFill>
          </w14:textFill>
        </w:rPr>
        <w:t>。</w:t>
      </w:r>
    </w:p>
    <w:p>
      <w:pPr>
        <w:overflowPunct w:val="0"/>
        <w:autoSpaceDE w:val="0"/>
        <w:autoSpaceDN w:val="0"/>
        <w:adjustRightInd w:val="0"/>
        <w:snapToGrid w:val="0"/>
        <w:spacing w:line="360" w:lineRule="exact"/>
        <w:rPr>
          <w:rFonts w:hint="eastAsia" w:ascii="宋体" w:hAnsi="宋体" w:cs="宋体"/>
          <w:color w:val="000000" w:themeColor="text1"/>
          <w:kern w:val="0"/>
          <w:szCs w:val="21"/>
          <w:lang w:bidi="ar"/>
          <w14:textFill>
            <w14:solidFill>
              <w14:schemeClr w14:val="tx1"/>
            </w14:solidFill>
          </w14:textFill>
        </w:rPr>
      </w:pP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六、商务要求</w:t>
      </w:r>
    </w:p>
    <w:p>
      <w:pPr>
        <w:overflowPunct w:val="0"/>
        <w:autoSpaceDE w:val="0"/>
        <w:autoSpaceDN w:val="0"/>
        <w:adjustRightInd w:val="0"/>
        <w:snapToGrid w:val="0"/>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1.报价要求：</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应根据本单位的成本自行决定报价，投标人不得期望通过索赔等方式获取补偿，否则，除可能遭到拒绝外，还可能将被作为不良行为记录在案，并可能影响其以后参加政府采购的项目投标。投标人在投标报价时，应充分考虑投标报价的风险。</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采用折扣率报价，由投标人根据谈判文件所提供的资料，自主按要求填报统一折扣率，折扣率在中标后固定不变。投标报价=¥1215万元*折扣率，报价须包含合同期内投标人单位服务成本、法定税费、单位的利润以及中标人为完成本项目服务所发生的全部相关费用（包含但不限于调研、估价费用等完成本项目的一切费用）。投标人的投标报价不得超过财政预算限额。</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zh-CN"/>
          <w14:textFill>
            <w14:solidFill>
              <w14:schemeClr w14:val="tx1"/>
            </w14:solidFill>
          </w14:textFill>
        </w:rPr>
        <w:t>）折扣率填写要求：0＜折扣率≤1，未按此要求填写将作投标无效处理；填写的折扣率应为小数，如0.95、0.80、0.78；投标人参与投标只允许填报一个折扣率，不允许填报2个（或以上）的折扣率；填报了2个或以上折扣率的，其投标将直接作投标无效处理；折扣率缺填、漏填将直接作投标无效处理。</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（5）一经成交，投标报价作为成交单位与采购人</w:t>
      </w:r>
      <w:r>
        <w:rPr>
          <w:rFonts w:hint="eastAsia" w:ascii="宋体" w:hAnsi="宋体" w:cs="宋体"/>
          <w:color w:val="000000" w:themeColor="text1"/>
          <w:szCs w:val="21"/>
          <w:lang w:eastAsia="zh-CN"/>
          <w14:textFill>
            <w14:solidFill>
              <w14:schemeClr w14:val="tx1"/>
            </w14:solidFill>
          </w14:textFill>
        </w:rPr>
        <w:t>签订</w:t>
      </w:r>
      <w:r>
        <w:rPr>
          <w:rFonts w:hint="eastAsia" w:ascii="宋体" w:hAnsi="宋体" w:cs="宋体"/>
          <w:color w:val="000000" w:themeColor="text1"/>
          <w:szCs w:val="21"/>
          <w14:textFill>
            <w14:solidFill>
              <w14:schemeClr w14:val="tx1"/>
            </w14:solidFill>
          </w14:textFill>
        </w:rPr>
        <w:t>的合同金额，合同期限内不做调整。</w:t>
      </w:r>
    </w:p>
    <w:p>
      <w:pPr>
        <w:overflowPunct w:val="0"/>
        <w:autoSpaceDE w:val="0"/>
        <w:autoSpaceDN w:val="0"/>
        <w:adjustRightInd w:val="0"/>
        <w:snapToGrid w:val="0"/>
        <w:ind w:firstLine="420"/>
        <w:rPr>
          <w:rFonts w:hint="eastAsia" w:ascii="宋体" w:hAnsi="宋体" w:cs="宋体"/>
          <w:szCs w:val="21"/>
        </w:rPr>
      </w:pPr>
      <w:r>
        <w:rPr>
          <w:rFonts w:hint="eastAsia" w:ascii="宋体" w:hAnsi="宋体" w:cs="宋体"/>
          <w:b/>
          <w:bCs/>
          <w:color w:val="000000" w:themeColor="text1"/>
          <w:szCs w:val="21"/>
          <w14:textFill>
            <w14:solidFill>
              <w14:schemeClr w14:val="tx1"/>
            </w14:solidFill>
          </w14:textFill>
        </w:rPr>
        <w:t>2.项目结算金额：</w:t>
      </w:r>
      <w:r>
        <w:rPr>
          <w:rFonts w:hint="eastAsia" w:ascii="宋体" w:hAnsi="宋体" w:cs="宋体"/>
          <w:szCs w:val="21"/>
        </w:rPr>
        <w:t>首先根据</w:t>
      </w:r>
      <w:bookmarkStart w:id="38" w:name="OLE_LINK4"/>
      <w:r>
        <w:rPr>
          <w:rFonts w:hint="eastAsia" w:ascii="宋体" w:hAnsi="宋体" w:cs="宋体"/>
          <w:szCs w:val="21"/>
        </w:rPr>
        <w:t>《深圳市不动产估价行业收费管理规定》（深估协字〔2013〕04号）</w:t>
      </w:r>
      <w:bookmarkEnd w:id="38"/>
      <w:r>
        <w:rPr>
          <w:rFonts w:hint="eastAsia" w:ascii="宋体" w:hAnsi="宋体" w:cs="宋体"/>
          <w:szCs w:val="21"/>
        </w:rPr>
        <w:t>进行测算，再下浮19%，最后乘以中标折扣率（如有，以采购谈判结果为准）为结算金额。本项目结算金额不得超过本项目合同金额。</w:t>
      </w:r>
    </w:p>
    <w:p>
      <w:pPr>
        <w:overflowPunct w:val="0"/>
        <w:autoSpaceDE w:val="0"/>
        <w:autoSpaceDN w:val="0"/>
        <w:adjustRightInd w:val="0"/>
        <w:snapToGrid w:val="0"/>
        <w:ind w:firstLine="42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项目付款要求</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该项目费用拟分三期付款。第一期支付节点为自签订合同之日起十五个工作日内，支付合同金额</w:t>
      </w:r>
      <w:r>
        <w:rPr>
          <w:rFonts w:ascii="宋体" w:hAnsi="宋体" w:cs="宋体"/>
          <w:color w:val="000000" w:themeColor="text1"/>
          <w:szCs w:val="21"/>
          <w14:textFill>
            <w14:solidFill>
              <w14:schemeClr w14:val="tx1"/>
            </w14:solidFill>
          </w14:textFill>
        </w:rPr>
        <w:t>中的300万元</w:t>
      </w:r>
      <w:r>
        <w:rPr>
          <w:rFonts w:hint="eastAsia" w:ascii="宋体" w:hAnsi="宋体" w:cs="宋体"/>
          <w:color w:val="000000" w:themeColor="text1"/>
          <w:szCs w:val="21"/>
          <w14:textFill>
            <w14:solidFill>
              <w14:schemeClr w14:val="tx1"/>
            </w14:solidFill>
          </w14:textFill>
        </w:rPr>
        <w:t>；第二期支付节点为完成并提交前海深港国际服务城已批未开发用地原规划条件下土地价值评估报告初稿，经前海管理局规划管理部门验收后支付合同金额</w:t>
      </w:r>
      <w:r>
        <w:rPr>
          <w:rFonts w:ascii="宋体" w:hAnsi="宋体" w:cs="宋体"/>
          <w:color w:val="000000" w:themeColor="text1"/>
          <w:szCs w:val="21"/>
          <w14:textFill>
            <w14:solidFill>
              <w14:schemeClr w14:val="tx1"/>
            </w14:solidFill>
          </w14:textFill>
        </w:rPr>
        <w:t>中</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200万元</w:t>
      </w:r>
      <w:r>
        <w:rPr>
          <w:rFonts w:hint="eastAsia" w:ascii="宋体" w:hAnsi="宋体" w:cs="宋体"/>
          <w:color w:val="000000" w:themeColor="text1"/>
          <w:szCs w:val="21"/>
          <w14:textFill>
            <w14:solidFill>
              <w14:schemeClr w14:val="tx1"/>
            </w14:solidFill>
          </w14:textFill>
        </w:rPr>
        <w:t>；第三期支付节点为完成并提交本项目最终成果，经前海管理局规划管理部门验收后，支付项目尾款（尾款=结算金额-已支付金额）。</w:t>
      </w:r>
    </w:p>
    <w:p>
      <w:pPr>
        <w:overflowPunct w:val="0"/>
        <w:autoSpaceDE w:val="0"/>
        <w:autoSpaceDN w:val="0"/>
        <w:adjustRightInd w:val="0"/>
        <w:snapToGrid w:val="0"/>
        <w:ind w:firstLine="422"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4.服务地点：</w:t>
      </w:r>
      <w:r>
        <w:rPr>
          <w:rFonts w:hint="eastAsia" w:ascii="宋体" w:hAnsi="宋体" w:cs="宋体"/>
          <w:color w:val="000000" w:themeColor="text1"/>
          <w:szCs w:val="21"/>
          <w14:textFill>
            <w14:solidFill>
              <w14:schemeClr w14:val="tx1"/>
            </w14:solidFill>
          </w14:textFill>
        </w:rPr>
        <w:t>采购人指定地点。</w:t>
      </w:r>
    </w:p>
    <w:p>
      <w:pPr>
        <w:ind w:firstLine="422"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5.服务期限：</w:t>
      </w:r>
      <w:r>
        <w:rPr>
          <w:rFonts w:hint="eastAsia" w:ascii="宋体" w:hAnsi="宋体" w:cs="宋体"/>
          <w:color w:val="000000" w:themeColor="text1"/>
          <w:kern w:val="0"/>
          <w:szCs w:val="21"/>
          <w:lang w:bidi="ar"/>
          <w14:textFill>
            <w14:solidFill>
              <w14:schemeClr w14:val="tx1"/>
            </w14:solidFill>
          </w14:textFill>
        </w:rPr>
        <w:t>自合同签订之日起1年。</w:t>
      </w:r>
      <w:r>
        <w:rPr>
          <w:rFonts w:ascii="宋体" w:hAnsi="宋体" w:cs="宋体"/>
          <w:color w:val="000000" w:themeColor="text1"/>
          <w:kern w:val="0"/>
          <w:szCs w:val="21"/>
          <w:lang w:bidi="ar"/>
          <w14:textFill>
            <w14:solidFill>
              <w14:schemeClr w14:val="tx1"/>
            </w14:solidFill>
          </w14:textFill>
        </w:rPr>
        <w:t>经采购人与中标单位双方协商一致的，可延长工作期限至项目完成。</w:t>
      </w:r>
    </w:p>
    <w:p>
      <w:pPr>
        <w:overflowPunct w:val="0"/>
        <w:autoSpaceDE w:val="0"/>
        <w:autoSpaceDN w:val="0"/>
        <w:adjustRightInd w:val="0"/>
        <w:snapToGrid w:val="0"/>
        <w:ind w:firstLine="422"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6.后续</w:t>
      </w:r>
      <w:r>
        <w:rPr>
          <w:rFonts w:ascii="宋体" w:hAnsi="宋体" w:cs="宋体"/>
          <w:b/>
          <w:bCs/>
          <w:color w:val="000000" w:themeColor="text1"/>
          <w:szCs w:val="21"/>
          <w14:textFill>
            <w14:solidFill>
              <w14:schemeClr w14:val="tx1"/>
            </w14:solidFill>
          </w14:textFill>
        </w:rPr>
        <w:t>服务要求</w:t>
      </w:r>
      <w:r>
        <w:rPr>
          <w:rFonts w:hint="eastAsia" w:ascii="宋体" w:hAnsi="宋体" w:cs="宋体"/>
          <w:b/>
          <w:bCs/>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本项目最终成果通过</w:t>
      </w:r>
      <w:r>
        <w:rPr>
          <w:rFonts w:hint="eastAsia" w:ascii="宋体" w:hAnsi="宋体" w:cs="宋体"/>
          <w:color w:val="000000" w:themeColor="text1"/>
          <w:szCs w:val="21"/>
          <w14:textFill>
            <w14:solidFill>
              <w14:schemeClr w14:val="tx1"/>
            </w14:solidFill>
          </w14:textFill>
        </w:rPr>
        <w:t>采购人</w:t>
      </w:r>
      <w:r>
        <w:rPr>
          <w:rFonts w:ascii="宋体" w:hAnsi="宋体" w:cs="宋体"/>
          <w:color w:val="000000" w:themeColor="text1"/>
          <w:szCs w:val="21"/>
          <w14:textFill>
            <w14:solidFill>
              <w14:schemeClr w14:val="tx1"/>
            </w14:solidFill>
          </w14:textFill>
        </w:rPr>
        <w:t>审查验收之日起1年为后续服务期。服务期内</w:t>
      </w:r>
      <w:r>
        <w:rPr>
          <w:rFonts w:hint="eastAsia" w:ascii="宋体" w:hAnsi="宋体" w:cs="宋体"/>
          <w:color w:val="000000" w:themeColor="text1"/>
          <w:szCs w:val="21"/>
          <w14:textFill>
            <w14:solidFill>
              <w14:schemeClr w14:val="tx1"/>
            </w14:solidFill>
          </w14:textFill>
        </w:rPr>
        <w:t>中标单位</w:t>
      </w:r>
      <w:r>
        <w:rPr>
          <w:rFonts w:ascii="宋体" w:hAnsi="宋体" w:cs="宋体"/>
          <w:color w:val="000000" w:themeColor="text1"/>
          <w:szCs w:val="21"/>
          <w14:textFill>
            <w14:solidFill>
              <w14:schemeClr w14:val="tx1"/>
            </w14:solidFill>
          </w14:textFill>
        </w:rPr>
        <w:t>应向</w:t>
      </w:r>
      <w:r>
        <w:rPr>
          <w:rFonts w:hint="eastAsia" w:ascii="宋体" w:hAnsi="宋体" w:cs="宋体"/>
          <w:color w:val="000000" w:themeColor="text1"/>
          <w:szCs w:val="21"/>
          <w14:textFill>
            <w14:solidFill>
              <w14:schemeClr w14:val="tx1"/>
            </w14:solidFill>
          </w14:textFill>
        </w:rPr>
        <w:t>采购人提供后续的专业技术支持与咨询服务。</w:t>
      </w:r>
    </w:p>
    <w:p>
      <w:pPr>
        <w:ind w:firstLine="422"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7.服务属性：</w:t>
      </w:r>
      <w:r>
        <w:rPr>
          <w:rFonts w:hint="eastAsia" w:ascii="宋体" w:hAnsi="宋体" w:cs="宋体"/>
          <w:color w:val="000000" w:themeColor="text1"/>
          <w:kern w:val="0"/>
          <w:szCs w:val="21"/>
          <w:lang w:bidi="ar"/>
          <w14:textFill>
            <w14:solidFill>
              <w14:schemeClr w14:val="tx1"/>
            </w14:solidFill>
          </w14:textFill>
        </w:rPr>
        <w:t>非长期服务项目。</w:t>
      </w:r>
    </w:p>
    <w:p>
      <w:pPr>
        <w:ind w:firstLine="422" w:firstLineChars="200"/>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8.知识产权</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提交给采购方的咨询服务文件及相关的资料的最后文本，包括为履行技术咨询服务范围所编制的图纸、计划和证明资料等，都属于采购方的财产，中标单位在提交给采购方之前应将上述资料进行整理归类和编制索引。中标单位未经采购方的书面同意，不得将上述资料用于与本咨询服务项目之外的任何项目。合同履行完毕，未经采购方的书面同意，中标单位不得保存在履行合同过程中所获得或接触到的任何内部数据资料。</w:t>
      </w:r>
    </w:p>
    <w:p>
      <w:pPr>
        <w:tabs>
          <w:tab w:val="left" w:pos="312"/>
        </w:tabs>
        <w:ind w:left="422"/>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9.保密条款</w:t>
      </w:r>
    </w:p>
    <w:p>
      <w:pPr>
        <w:overflowPunct w:val="0"/>
        <w:autoSpaceDE w:val="0"/>
        <w:autoSpaceDN w:val="0"/>
        <w:adjustRightInd w:val="0"/>
        <w:snapToGrid w:val="0"/>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采购方收集的、开发的、整理的、复制的、研究的和准备的与本合同项下工作有关的所有资料在提供给中标单位时，均被视为保密的，不得泄漏给除采购方或其指定的代表之外的任何人、企业或公司，不管本合同因何种原因终止，本条款一直约束中标单位。中标单位在履行合同过程中所获得或接触到的任何内部数据资料，未经采购方同意，不得向第三方透露。中标单位实施项目的一切程序都应符合国家安全、保密的有关规定和标准。中标单位参加项目的有关人员均需同采购方签订保密协议。</w:t>
      </w:r>
    </w:p>
    <w:p>
      <w:pPr>
        <w:tabs>
          <w:tab w:val="left" w:pos="312"/>
        </w:tabs>
        <w:ind w:left="422"/>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10.违约责任</w:t>
      </w:r>
    </w:p>
    <w:p>
      <w:pPr>
        <w:overflowPunct w:val="0"/>
        <w:autoSpaceDE w:val="0"/>
        <w:autoSpaceDN w:val="0"/>
        <w:adjustRightInd w:val="0"/>
        <w:snapToGrid w:val="0"/>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单位的责任期即本合同有效期。如因非中标单位的责任造成进度的推迟或延误而超过约定的日期，双方应进一步约定相应延长合同有效期。中标单位的责任期内，应当履行本合同中约定的义务，因中标单位的单方过失造成的经济损失，应当向采购方进行赔偿。中标单位对采购方或第三方所提出的问题不能及时核对或答复，导致合同不能全部或部分履行，中标单位应承担责任。中标单位向采购方提出赔偿要求不能成立时，则应补偿由于该赔偿或其他要求所导致甲方的各种费用的支出。</w:t>
      </w:r>
    </w:p>
    <w:p>
      <w:pPr>
        <w:overflowPunct w:val="0"/>
        <w:autoSpaceDE w:val="0"/>
        <w:autoSpaceDN w:val="0"/>
        <w:adjustRightInd w:val="0"/>
        <w:snapToGrid w:val="0"/>
        <w:ind w:firstLine="422" w:firstLineChars="200"/>
        <w:rPr>
          <w:rFonts w:hint="eastAsia" w:ascii="宋体" w:hAnsi="宋体" w:cs="宋体"/>
          <w:b/>
          <w:bCs/>
          <w:color w:val="000000" w:themeColor="text1"/>
          <w:kern w:val="0"/>
          <w:szCs w:val="21"/>
          <w:lang w:bidi="ar"/>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11.</w:t>
      </w:r>
      <w:r>
        <w:rPr>
          <w:rFonts w:ascii="宋体" w:hAnsi="宋体" w:cs="宋体"/>
          <w:b/>
          <w:bCs/>
          <w:color w:val="000000" w:themeColor="text1"/>
          <w:szCs w:val="21"/>
          <w14:textFill>
            <w14:solidFill>
              <w14:schemeClr w14:val="tx1"/>
            </w14:solidFill>
          </w14:textFill>
        </w:rPr>
        <w:t>项目其他要求</w:t>
      </w:r>
      <w:r>
        <w:rPr>
          <w:rFonts w:hint="eastAsia" w:ascii="宋体" w:hAnsi="宋体" w:cs="宋体"/>
          <w:b/>
          <w:bCs/>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中标人不得以任何名义分包本项</w:t>
      </w:r>
      <w:r>
        <w:rPr>
          <w:rFonts w:hint="eastAsia" w:ascii="宋体" w:hAnsi="宋体" w:cs="宋体"/>
          <w:color w:val="000000" w:themeColor="text1"/>
          <w:szCs w:val="21"/>
          <w14:textFill>
            <w14:solidFill>
              <w14:schemeClr w14:val="tx1"/>
            </w14:solidFill>
          </w14:textFill>
        </w:rPr>
        <w:t>目</w:t>
      </w:r>
      <w:r>
        <w:rPr>
          <w:rFonts w:ascii="宋体" w:hAnsi="宋体" w:cs="宋体"/>
          <w:color w:val="000000" w:themeColor="text1"/>
          <w:szCs w:val="21"/>
          <w14:textFill>
            <w14:solidFill>
              <w14:schemeClr w14:val="tx1"/>
            </w14:solidFill>
          </w14:textFill>
        </w:rPr>
        <w:t>的工作内容。</w:t>
      </w:r>
    </w:p>
    <w:p>
      <w:pPr>
        <w:pStyle w:val="8"/>
        <w:spacing w:before="60" w:beforeLines="25" w:after="60" w:afterLines="25"/>
        <w:ind w:firstLine="0"/>
        <w:rPr>
          <w:rFonts w:hint="eastAsia" w:ascii="宋体" w:hAnsi="宋体"/>
          <w:color w:val="000000" w:themeColor="text1"/>
          <w:szCs w:val="21"/>
          <w14:textFill>
            <w14:solidFill>
              <w14:schemeClr w14:val="tx1"/>
            </w14:solidFill>
          </w14:textFill>
        </w:rPr>
      </w:pPr>
    </w:p>
    <w:p>
      <w:pPr>
        <w:pStyle w:val="6"/>
        <w:spacing w:before="120" w:beforeLines="50" w:after="120" w:afterLines="50"/>
        <w:rPr>
          <w:rFonts w:hint="eastAsia"/>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七、其他重要条款</w:t>
      </w:r>
    </w:p>
    <w:p>
      <w:pPr>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本项目应答报价采用包干制，应包括成本、法定税费和相应的利润，应涵盖本项目采购范围和谈判文件所列的各项内容中所述的全部。由供应商根据采购需求自行测算应答报价；一经成交，应答报价即作为成交单位与采购人</w:t>
      </w:r>
      <w:r>
        <w:rPr>
          <w:rFonts w:hint="eastAsia"/>
          <w:bCs/>
          <w:color w:val="000000" w:themeColor="text1"/>
          <w:szCs w:val="21"/>
          <w:lang w:eastAsia="zh-CN"/>
          <w14:textFill>
            <w14:solidFill>
              <w14:schemeClr w14:val="tx1"/>
            </w14:solidFill>
          </w14:textFill>
        </w:rPr>
        <w:t>签订</w:t>
      </w:r>
      <w:r>
        <w:rPr>
          <w:rFonts w:hint="eastAsia"/>
          <w:bCs/>
          <w:color w:val="000000" w:themeColor="text1"/>
          <w:szCs w:val="21"/>
          <w14:textFill>
            <w14:solidFill>
              <w14:schemeClr w14:val="tx1"/>
            </w14:solidFill>
          </w14:textFill>
        </w:rPr>
        <w:t>的合同金额。</w:t>
      </w:r>
    </w:p>
    <w:p>
      <w:pPr>
        <w:pStyle w:val="8"/>
        <w:spacing w:before="60" w:beforeLines="25" w:after="60" w:afterLines="25"/>
        <w:ind w:firstLine="392" w:firstLineChars="187"/>
        <w:rPr>
          <w:rFonts w:hint="eastAsia" w:ascii="宋体" w:hAnsi="宋体"/>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、供应商应充分了解项目的位置、情况、道路及任何其它足以影响应答报价的情况，任何因忽视或误解项目情况而导致的索赔或服务期限延长申请将不获批准。</w:t>
      </w:r>
    </w:p>
    <w:p>
      <w:pPr>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、供应商不得期望通过索赔等方式获取补偿，否则，除可能遭到拒绝外，还可能将被作为不良行为记录在案，并可能影响其以后正常参与政府采购项目。各供应商在应答报价时，应充分考虑风险。</w:t>
      </w:r>
    </w:p>
    <w:p>
      <w:pPr>
        <w:ind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4、除政府采购合同继续履行将损害国家利益和社会公共利益外，双方当事人不得擅自变更、中止或者终止合同。</w:t>
      </w:r>
    </w:p>
    <w:p>
      <w:pPr>
        <w:ind w:firstLine="420" w:firstLineChars="200"/>
        <w:rPr>
          <w:rFonts w:hint="eastAsia" w:ascii="宋体" w:hAnsi="宋体"/>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5、“信用中国”中“信用服务”栏的“重大税收违法失信主体”“失信被执行人”，“中国政府采购网”中的“政府采购严重违法失信行为记录名单”，以及“深圳市政府采购监管网”为供应商信用信息的查询渠道，相关信息以开标（谈判）当日的查询结果为准。.</w:t>
      </w:r>
    </w:p>
    <w:p>
      <w:pPr>
        <w:ind w:firstLine="420" w:firstLineChars="200"/>
        <w:rPr>
          <w:rFonts w:hint="eastAsia" w:ascii="宋体" w:hAnsi="宋体"/>
          <w:color w:val="000000" w:themeColor="text1"/>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pStyle w:val="6"/>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第四章</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 xml:space="preserve"> 应答文件组成要求及格式</w:t>
      </w:r>
    </w:p>
    <w:p>
      <w:pPr>
        <w:rPr>
          <w:rStyle w:val="58"/>
          <w:color w:val="000000" w:themeColor="text1"/>
          <w:sz w:val="24"/>
          <w14:textFill>
            <w14:solidFill>
              <w14:schemeClr w14:val="tx1"/>
            </w14:solidFill>
          </w14:textFill>
        </w:rPr>
      </w:pPr>
      <w:bookmarkStart w:id="39" w:name="OLE_LINK159"/>
      <w:bookmarkStart w:id="40" w:name="OLE_LINK158"/>
      <w:r>
        <w:rPr>
          <w:rStyle w:val="58"/>
          <w:rFonts w:hint="eastAsia"/>
          <w:color w:val="000000" w:themeColor="text1"/>
          <w:sz w:val="24"/>
          <w14:textFill>
            <w14:solidFill>
              <w14:schemeClr w14:val="tx1"/>
            </w14:solidFill>
          </w14:textFill>
        </w:rPr>
        <w:t>特别提醒：</w:t>
      </w:r>
    </w:p>
    <w:p>
      <w:pPr>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应答文件正文将对外公开，应答文件附件不公开。供应商在编辑应答文件时，在应答文件目录中属于本节点内容的必须在本节点中填写，填写到其他节点或附件的将可能导致投标（应答）无效，一切后果由供应商自行承担。</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应答文件正文（信息公开部分）必须编制于“正文（公开部分）”，应答文件附件（非信息公开部分）必须编制于“附件（不公开部分）”，如下图所示。</w:t>
      </w:r>
    </w:p>
    <w:p>
      <w:pPr>
        <w:rPr>
          <w:rFonts w:ascii="仿宋_GB2312" w:eastAsia="仿宋_GB2312"/>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174615" cy="4020820"/>
            <wp:effectExtent l="0" t="0" r="6985" b="2540"/>
            <wp:docPr id="1"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66f322b8feee32c1a3f0d48f365c82"/>
                    <pic:cNvPicPr>
                      <a:picLocks noChangeAspect="1"/>
                    </pic:cNvPicPr>
                  </pic:nvPicPr>
                  <pic:blipFill>
                    <a:blip r:embed="rId7"/>
                    <a:stretch>
                      <a:fillRect/>
                    </a:stretch>
                  </pic:blipFill>
                  <pic:spPr>
                    <a:xfrm>
                      <a:off x="0" y="0"/>
                      <a:ext cx="5174615" cy="4020820"/>
                    </a:xfrm>
                    <a:prstGeom prst="rect">
                      <a:avLst/>
                    </a:prstGeom>
                  </pic:spPr>
                </pic:pic>
              </a:graphicData>
            </a:graphic>
          </wp:inline>
        </w:drawing>
      </w:r>
    </w:p>
    <w:p>
      <w:pPr>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政府集中采购机构公布应答文件正文（信息公开部分）时为计算机截取信息自动公布，</w:t>
      </w:r>
      <w:r>
        <w:rPr>
          <w:rFonts w:hint="eastAsia" w:ascii="仿宋_GB2312" w:eastAsia="仿宋_GB2312"/>
          <w:b/>
          <w:bCs/>
          <w:color w:val="000000" w:themeColor="text1"/>
          <w:sz w:val="24"/>
          <w14:textFill>
            <w14:solidFill>
              <w14:schemeClr w14:val="tx1"/>
            </w14:solidFill>
          </w14:textFill>
        </w:rPr>
        <w:t>如供应商误将涉及个人隐私的信息放入应答文件正文，相关后果由供应商自负；如供应商将必须放于应答文件正文（信息公开部分）的内容放入应答文件附件（非信息公开部分），将作响应无效处理。</w:t>
      </w:r>
    </w:p>
    <w:p>
      <w:pPr>
        <w:rPr>
          <w:rFonts w:hint="eastAsia" w:ascii="宋体" w:hAnsi="宋体"/>
          <w:b/>
          <w:color w:val="000000" w:themeColor="text1"/>
          <w:sz w:val="24"/>
          <w14:textFill>
            <w14:solidFill>
              <w14:schemeClr w14:val="tx1"/>
            </w14:solidFill>
          </w14:textFill>
        </w:rPr>
      </w:pPr>
    </w:p>
    <w:p>
      <w:pPr>
        <w:rPr>
          <w:rFonts w:ascii="仿宋_GB2312" w:eastAsia="仿宋_GB2312"/>
          <w:color w:val="000000" w:themeColor="text1"/>
          <w:sz w:val="24"/>
          <w14:textFill>
            <w14:solidFill>
              <w14:schemeClr w14:val="tx1"/>
            </w14:solidFill>
          </w14:textFill>
        </w:rPr>
      </w:pPr>
    </w:p>
    <w:bookmarkEnd w:id="39"/>
    <w:bookmarkEnd w:id="40"/>
    <w:p>
      <w:pPr>
        <w:outlineLvl w:val="0"/>
        <w:rPr>
          <w:rStyle w:val="58"/>
          <w:color w:val="000000" w:themeColor="text1"/>
          <w:sz w:val="28"/>
          <w:szCs w:val="28"/>
          <w14:textFill>
            <w14:solidFill>
              <w14:schemeClr w14:val="tx1"/>
            </w14:solidFill>
          </w14:textFill>
        </w:rPr>
      </w:pPr>
      <w:r>
        <w:rPr>
          <w:rStyle w:val="58"/>
          <w:rFonts w:hint="eastAsia"/>
          <w:color w:val="000000" w:themeColor="text1"/>
          <w:sz w:val="28"/>
          <w:szCs w:val="28"/>
          <w14:textFill>
            <w14:solidFill>
              <w14:schemeClr w14:val="tx1"/>
            </w14:solidFill>
          </w14:textFill>
        </w:rPr>
        <w:t>应答文件组成：</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1.应答文件正文</w:t>
      </w:r>
      <w:r>
        <w:rPr>
          <w:rFonts w:hint="eastAsia"/>
          <w:b/>
          <w:color w:val="000000" w:themeColor="text1"/>
          <w14:textFill>
            <w14:solidFill>
              <w14:schemeClr w14:val="tx1"/>
            </w14:solidFill>
          </w14:textFill>
        </w:rPr>
        <w:t>（信息公开部分）</w:t>
      </w:r>
      <w:r>
        <w:rPr>
          <w:rFonts w:hint="eastAsia"/>
          <w:color w:val="000000" w:themeColor="text1"/>
          <w14:textFill>
            <w14:solidFill>
              <w14:schemeClr w14:val="tx1"/>
            </w14:solidFill>
          </w14:textFill>
        </w:rPr>
        <w:t>，主要包括以下内容：</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（1）应答书</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（2）政府采购应答及履约承诺函</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（3）供应商情况及资格证明文件</w:t>
      </w:r>
    </w:p>
    <w:p>
      <w:pPr>
        <w:ind w:left="718" w:leftChars="342" w:firstLine="917" w:firstLineChars="437"/>
        <w:rPr>
          <w:color w:val="000000" w:themeColor="text1"/>
          <w:szCs w:val="21"/>
          <w14:textFill>
            <w14:solidFill>
              <w14:schemeClr w14:val="tx1"/>
            </w14:solidFill>
          </w14:textFill>
        </w:rPr>
      </w:pPr>
      <w:bookmarkStart w:id="41" w:name="_Hlk72257201"/>
      <w:r>
        <w:rPr>
          <w:rFonts w:hint="eastAsia"/>
          <w:color w:val="000000" w:themeColor="text1"/>
          <w:szCs w:val="21"/>
          <w14:textFill>
            <w14:solidFill>
              <w14:schemeClr w14:val="tx1"/>
            </w14:solidFill>
          </w14:textFill>
        </w:rPr>
        <w:t>（4）项目详细报价</w:t>
      </w:r>
      <w:bookmarkEnd w:id="41"/>
    </w:p>
    <w:p>
      <w:pPr>
        <w:ind w:firstLine="1680" w:firstLineChars="800"/>
        <w:rPr>
          <w:color w:val="000000" w:themeColor="text1"/>
          <w:szCs w:val="21"/>
          <w14:textFill>
            <w14:solidFill>
              <w14:schemeClr w14:val="tx1"/>
            </w14:solidFill>
          </w14:textFill>
        </w:rPr>
      </w:pPr>
    </w:p>
    <w:p>
      <w:pPr>
        <w:adjustRightInd w:val="0"/>
        <w:ind w:firstLine="840" w:firstLineChars="300"/>
        <w:rPr>
          <w:rFonts w:hint="eastAsia" w:ascii="宋体" w:hAnsi="宋体"/>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.应答</w:t>
      </w:r>
      <w:r>
        <w:rPr>
          <w:rFonts w:hint="eastAsia" w:ascii="宋体" w:hAnsi="宋体"/>
          <w:color w:val="000000" w:themeColor="text1"/>
          <w:sz w:val="28"/>
          <w:szCs w:val="28"/>
          <w14:textFill>
            <w14:solidFill>
              <w14:schemeClr w14:val="tx1"/>
            </w14:solidFill>
          </w14:textFill>
        </w:rPr>
        <w:t>文件附件</w:t>
      </w:r>
      <w:r>
        <w:rPr>
          <w:rFonts w:hint="eastAsia" w:ascii="宋体" w:hAnsi="宋体"/>
          <w:b/>
          <w:color w:val="000000" w:themeColor="text1"/>
          <w:sz w:val="28"/>
          <w:szCs w:val="28"/>
          <w14:textFill>
            <w14:solidFill>
              <w14:schemeClr w14:val="tx1"/>
            </w14:solidFill>
          </w14:textFill>
        </w:rPr>
        <w:t>（信息不公开部分）</w:t>
      </w:r>
      <w:r>
        <w:rPr>
          <w:rFonts w:hint="eastAsia" w:ascii="宋体" w:hAnsi="宋体"/>
          <w:color w:val="000000" w:themeColor="text1"/>
          <w:sz w:val="28"/>
          <w:szCs w:val="28"/>
          <w14:textFill>
            <w14:solidFill>
              <w14:schemeClr w14:val="tx1"/>
            </w14:solidFill>
          </w14:textFill>
        </w:rPr>
        <w:t>：主要包括以下内容：</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（1）供应商基本情况表</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（2）法定代表人（负责人）证明书</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（3）谈判应答文件签署授权委托书</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（4）实质性条款响应情况表</w:t>
      </w:r>
    </w:p>
    <w:p>
      <w:pPr>
        <w:ind w:left="718" w:leftChars="342" w:firstLine="917" w:firstLineChars="43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（5）投标人认为需要加以说明的其他内容（格式自定）</w:t>
      </w:r>
    </w:p>
    <w:p>
      <w:pPr>
        <w:tabs>
          <w:tab w:val="left" w:pos="4069"/>
        </w:tabs>
        <w:ind w:left="718" w:leftChars="342" w:firstLine="1417" w:firstLineChars="675"/>
        <w:rPr>
          <w:color w:val="000000" w:themeColor="text1"/>
          <w:szCs w:val="21"/>
          <w14:textFill>
            <w14:solidFill>
              <w14:schemeClr w14:val="tx1"/>
            </w14:solidFill>
          </w14:textFill>
        </w:rPr>
      </w:pPr>
    </w:p>
    <w:p>
      <w:pPr>
        <w:pStyle w:val="2"/>
        <w:rPr>
          <w:color w:val="000000" w:themeColor="text1"/>
          <w:szCs w:val="21"/>
          <w14:textFill>
            <w14:solidFill>
              <w14:schemeClr w14:val="tx1"/>
            </w14:solidFill>
          </w14:textFill>
        </w:rPr>
      </w:pPr>
    </w:p>
    <w:p>
      <w:pPr>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p>
      <w:pPr>
        <w:ind w:firstLine="426" w:firstLineChars="20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1.本项目为网上电子应答项目，应答文件不需法人或授权委托人另行签字，无需加盖单位公章，采购文件另有规定的除外。</w:t>
      </w:r>
    </w:p>
    <w:p>
      <w:pPr>
        <w:pStyle w:val="2"/>
        <w:rPr>
          <w:color w:val="000000" w:themeColor="text1"/>
          <w:szCs w:val="21"/>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outlineLvl w:val="1"/>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应答文件正文（信息公开部分）</w:t>
      </w:r>
    </w:p>
    <w:p>
      <w:pPr>
        <w:tabs>
          <w:tab w:val="left" w:pos="4069"/>
        </w:tabs>
        <w:ind w:left="718" w:leftChars="342" w:firstLine="1417" w:firstLineChars="675"/>
        <w:rPr>
          <w:color w:val="000000" w:themeColor="text1"/>
          <w:szCs w:val="21"/>
          <w14:textFill>
            <w14:solidFill>
              <w14:schemeClr w14:val="tx1"/>
            </w14:solidFill>
          </w14:textFill>
        </w:rPr>
      </w:pPr>
    </w:p>
    <w:p>
      <w:pPr>
        <w:pStyle w:val="4"/>
        <w:spacing w:before="120" w:after="120"/>
        <w:jc w:val="center"/>
        <w:rPr>
          <w:rFonts w:hint="eastAsia"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t>一、应答书</w:t>
      </w:r>
    </w:p>
    <w:p>
      <w:pPr>
        <w:rPr>
          <w:rFonts w:hint="eastAsia" w:ascii="宋体" w:hAnsi="宋体"/>
          <w:color w:val="000000" w:themeColor="text1"/>
          <w:sz w:val="24"/>
          <w14:textFill>
            <w14:solidFill>
              <w14:schemeClr w14:val="tx1"/>
            </w14:solidFill>
          </w14:textFill>
        </w:rPr>
      </w:pP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致：深圳公共资源交易中心</w:t>
      </w:r>
    </w:p>
    <w:p>
      <w:pPr>
        <w:ind w:firstLine="420" w:firstLineChars="200"/>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1、根据已收到贵单位的项目编号为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项目的谈判公告，遵照《深圳经济特区政府采购条例》和《深圳网上政府采购管理暂行办法》等有关规定，我单位经研究谈判文件后，</w:t>
      </w:r>
      <w:r>
        <w:rPr>
          <w:rFonts w:hint="eastAsia" w:ascii="宋体" w:hAnsi="宋体"/>
          <w:color w:val="000000" w:themeColor="text1"/>
          <w:szCs w:val="21"/>
          <w14:textFill>
            <w14:solidFill>
              <w14:schemeClr w14:val="tx1"/>
            </w14:solidFill>
          </w14:textFill>
        </w:rPr>
        <w:t>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（姓名、职务）经正式授权并代表</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（供应商名称、地址）提交电子谈判应答文件一份。</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、谈判价格具体见“项目详细报价”，具体以谈判最终报价为准。</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、如果我单位获得成交资格，我单位将按照谈判文件的要求足额提交履约担保。</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、我单位同意所递交的应答文件在“对谈判须知条款的补充内容”中明确的谈判应答有效期内有效，在此期间内我单位有可能获得成交资格，我单位将受此约束，履行合同责任和义务。</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、除非另外达成协议并生效，贵单位的成交通知书和本应答文件（含谈判过程中的其他承诺）将构成合同的重要内容。</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、我单位理解贵单位将不受必须接受所收到的最低报价或其它任何应答文件的约束。</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7、如我单位提交样品，且未在规定时间内取回样品的，视同放弃取回，同意深圳公共资源交易中心对我单位提交的样品进行清理。</w:t>
      </w:r>
    </w:p>
    <w:p>
      <w:pPr>
        <w:spacing w:line="360" w:lineRule="auto"/>
        <w:rPr>
          <w:rFonts w:hint="eastAsia" w:ascii="宋体" w:hAnsi="宋体"/>
          <w:color w:val="000000" w:themeColor="text1"/>
          <w:szCs w:val="21"/>
          <w14:textFill>
            <w14:solidFill>
              <w14:schemeClr w14:val="tx1"/>
            </w14:solidFill>
          </w14:textFill>
        </w:rPr>
      </w:pPr>
    </w:p>
    <w:p>
      <w:pPr>
        <w:ind w:left="540" w:leftChars="25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单位地址：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540" w:leftChars="257"/>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法定代表人（负责人）或其代理人：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540" w:leftChars="25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开户银行名称：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540" w:leftChars="257"/>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开户银行账号：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540" w:leftChars="257"/>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邮政编码：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电话：</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传真：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540" w:leftChars="257"/>
        <w:rPr>
          <w:color w:val="000000" w:themeColor="text1"/>
          <w:szCs w:val="21"/>
          <w14:textFill>
            <w14:solidFill>
              <w14:schemeClr w14:val="tx1"/>
            </w14:solidFill>
          </w14:textFill>
        </w:rPr>
      </w:pPr>
    </w:p>
    <w:p>
      <w:pPr>
        <w:spacing w:line="360" w:lineRule="auto"/>
        <w:ind w:firstLine="560"/>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tabs>
          <w:tab w:val="left" w:pos="4069"/>
        </w:tabs>
        <w:ind w:left="718" w:leftChars="342" w:firstLine="1417" w:firstLineChars="675"/>
        <w:rPr>
          <w:color w:val="000000" w:themeColor="text1"/>
          <w:szCs w:val="21"/>
          <w14:textFill>
            <w14:solidFill>
              <w14:schemeClr w14:val="tx1"/>
            </w14:solidFill>
          </w14:textFill>
        </w:rPr>
      </w:pPr>
    </w:p>
    <w:p>
      <w:pPr>
        <w:pStyle w:val="4"/>
        <w:jc w:val="center"/>
        <w:rPr>
          <w:rFonts w:hint="eastAsia"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t>二、政府采购应答及履约承诺函</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我单位承诺：</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1.我单位参与本项目所投标（响应）的货物、工程或服务，不存在侵犯知识产权的情况。</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2.我单位参与本项目</w:t>
      </w:r>
      <w:r>
        <w:rPr>
          <w:rFonts w:hint="eastAsia"/>
          <w:color w:val="000000" w:themeColor="text1"/>
          <w14:textFill>
            <w14:solidFill>
              <w14:schemeClr w14:val="tx1"/>
            </w14:solidFill>
          </w14:textFill>
        </w:rPr>
        <w:t>政府采购活动时不存在被有关部门禁止参与政府采购活动且在有效期内的情况。符合招标文件关于联合体及进口产品的相关资格要求。</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3.我单位具备《中华人民共和国政府采购法》第二十二条第一款的条件。</w:t>
      </w:r>
    </w:p>
    <w:p>
      <w:pPr>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4.我单位</w:t>
      </w:r>
      <w:r>
        <w:rPr>
          <w:rFonts w:hint="eastAsia"/>
          <w:color w:val="000000" w:themeColor="text1"/>
          <w14:textFill>
            <w14:solidFill>
              <w14:schemeClr w14:val="tx1"/>
            </w14:solidFill>
          </w14:textFill>
        </w:rPr>
        <w:t>未被列入失信被执行人、重大税收违法案件当事人名单、政府采购严重违法失信行为记录名单。</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5.我单位不存在《深圳市财政局政府采购供应商信用信息管理办法》（深财规〔2023〕3号）列明的严重违法失信行为。</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.我单位承诺成交后项目不转包，未经采购人同意不进行分包。</w:t>
      </w:r>
    </w:p>
    <w:p>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我单位保证，若所响应货物涉及</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财政部生态环境部关于印发节能产品政府采购品目清单的通知》（财库〔20</w:t>
      </w:r>
      <w:r>
        <w:rPr>
          <w:rFonts w:ascii="宋体" w:hAnsi="宋体"/>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19</w:t>
      </w:r>
      <w:r>
        <w:rPr>
          <w:rFonts w:hint="eastAsia" w:ascii="宋体" w:hAnsi="宋体"/>
          <w:color w:val="000000" w:themeColor="text1"/>
          <w14:textFill>
            <w14:solidFill>
              <w14:schemeClr w14:val="tx1"/>
            </w14:solidFill>
          </w14:textFill>
        </w:rPr>
        <w:t>号）列明的政府采购强制产品，则所投该产品符合节能产品的认证要求。</w:t>
      </w:r>
      <w:r>
        <w:rPr>
          <w:rFonts w:hint="eastAsia"/>
          <w:color w:val="000000" w:themeColor="text1"/>
          <w14:textFill>
            <w14:solidFill>
              <w14:schemeClr w14:val="tx1"/>
            </w14:solidFill>
          </w14:textFill>
        </w:rPr>
        <w:t>若所投产品涉及国家强制性标准的，所投产品应符合国家强制性标准相关要求。</w:t>
      </w:r>
    </w:p>
    <w:p>
      <w:pPr>
        <w:ind w:firstLine="420" w:firstLineChars="20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12.我单位已知悉并同意中标（成交）结果信息公示（公开）的内容。</w:t>
      </w:r>
    </w:p>
    <w:p>
      <w:pPr>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13.</w:t>
      </w:r>
      <w:r>
        <w:rPr>
          <w:rFonts w:ascii="宋体" w:hAnsi="宋体"/>
          <w:bCs/>
          <w:color w:val="000000" w:themeColor="text1"/>
          <w14:textFill>
            <w14:solidFill>
              <w14:schemeClr w14:val="tx1"/>
            </w14:solidFill>
          </w14:textFill>
        </w:rPr>
        <w:t>我单位保证，符合《中华人民共和国政府采购法实施条例》第十八条规定，与其他</w:t>
      </w:r>
      <w:r>
        <w:rPr>
          <w:rFonts w:hint="eastAsia" w:ascii="宋体" w:hAnsi="宋体"/>
          <w:bCs/>
          <w:color w:val="000000" w:themeColor="text1"/>
          <w14:textFill>
            <w14:solidFill>
              <w14:schemeClr w14:val="tx1"/>
            </w14:solidFill>
          </w14:textFill>
        </w:rPr>
        <w:t>应答</w:t>
      </w:r>
      <w:r>
        <w:rPr>
          <w:rFonts w:ascii="宋体" w:hAnsi="宋体"/>
          <w:bCs/>
          <w:color w:val="000000" w:themeColor="text1"/>
          <w14:textFill>
            <w14:solidFill>
              <w14:schemeClr w14:val="tx1"/>
            </w14:solidFill>
          </w14:textFill>
        </w:rPr>
        <w:t>供应商不存在单位负责人为同一人或者存在直接控股、管理关系；未对本次采购项目提供整体设计、规范编制或者项目管理、监理、检测等服务的情形。</w:t>
      </w:r>
      <w:r>
        <w:rPr>
          <w:rFonts w:hint="eastAsia" w:ascii="宋体" w:hAnsi="宋体" w:cs="宋体"/>
          <w:bCs/>
          <w:color w:val="000000" w:themeColor="text1"/>
          <w:kern w:val="0"/>
          <w:szCs w:val="21"/>
          <w14:textFill>
            <w14:solidFill>
              <w14:schemeClr w14:val="tx1"/>
            </w14:solidFill>
          </w14:textFill>
        </w:rPr>
        <w:t>我单位与其他谈判供应商不存在单位负责人为同一人或者存在直接控股、管理关系；未对本次采购项目提供整体设计、规范编制或者项目管理、监理、检测等服务。</w:t>
      </w:r>
      <w:r>
        <w:rPr>
          <w:rFonts w:hint="eastAsia" w:ascii="宋体" w:hAnsi="宋体"/>
          <w:bCs/>
          <w:color w:val="000000" w:themeColor="text1"/>
          <w14:textFill>
            <w14:solidFill>
              <w14:schemeClr w14:val="tx1"/>
            </w14:solidFill>
          </w14:textFill>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14.我单位清楚，如存在违反应答承诺行为情节严重的，将根据《深圳市财政局关于印发&lt;深圳市财政局政府采购供应商信用信息管理办法&gt;的通知》，依法被列入失信信息。</w:t>
      </w:r>
    </w:p>
    <w:p>
      <w:pPr>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color w:val="000000" w:themeColor="text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以上承诺，如有违反，愿依照国家相关法律法规处理，并承担由此给采购人带来的损失。</w:t>
      </w:r>
    </w:p>
    <w:p>
      <w:pPr>
        <w:spacing w:before="60" w:beforeLines="25" w:after="60" w:afterLines="25"/>
        <w:ind w:firstLine="5460" w:firstLineChars="26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spacing w:line="360" w:lineRule="auto"/>
        <w:ind w:firstLine="5460" w:firstLineChars="2600"/>
        <w:rPr>
          <w:color w:val="000000" w:themeColor="text1"/>
          <w:szCs w:val="21"/>
          <w14:textFill>
            <w14:solidFill>
              <w14:schemeClr w14:val="tx1"/>
            </w14:solidFill>
          </w14:textFill>
        </w:rPr>
      </w:pPr>
    </w:p>
    <w:p>
      <w:pPr>
        <w:spacing w:line="360" w:lineRule="auto"/>
        <w:ind w:firstLine="5460" w:firstLineChars="2600"/>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w:t>
      </w:r>
      <w:r>
        <w:rPr>
          <w:rFonts w:hint="eastAsia"/>
          <w:color w:val="000000" w:themeColor="text1"/>
          <w:szCs w:val="21"/>
          <w:u w:val="single"/>
          <w14:textFill>
            <w14:solidFill>
              <w14:schemeClr w14:val="tx1"/>
            </w14:solidFill>
          </w14:textFill>
        </w:rPr>
        <w:tab/>
      </w:r>
      <w:r>
        <w:rPr>
          <w:rFonts w:hint="eastAsia"/>
          <w:color w:val="000000" w:themeColor="text1"/>
          <w:szCs w:val="21"/>
          <w:u w:val="single"/>
          <w14:textFill>
            <w14:solidFill>
              <w14:schemeClr w14:val="tx1"/>
            </w14:solidFill>
          </w14:textFill>
        </w:rPr>
        <w:tab/>
      </w:r>
      <w:r>
        <w:rPr>
          <w:rFonts w:hint="eastAsia"/>
          <w:color w:val="000000" w:themeColor="text1"/>
          <w:szCs w:val="21"/>
          <w:u w:val="single"/>
          <w14:textFill>
            <w14:solidFill>
              <w14:schemeClr w14:val="tx1"/>
            </w14:solidFill>
          </w14:textFill>
        </w:rPr>
        <w:tab/>
      </w:r>
      <w:r>
        <w:rPr>
          <w:rFonts w:hint="eastAsia"/>
          <w:color w:val="000000" w:themeColor="text1"/>
          <w:szCs w:val="21"/>
          <w:u w:val="single"/>
          <w14:textFill>
            <w14:solidFill>
              <w14:schemeClr w14:val="tx1"/>
            </w14:solidFill>
          </w14:textFill>
        </w:rPr>
        <w:tab/>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   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tabs>
          <w:tab w:val="left" w:pos="4069"/>
        </w:tabs>
        <w:ind w:left="718" w:leftChars="342" w:firstLine="1417" w:firstLineChars="675"/>
        <w:rPr>
          <w:color w:val="000000" w:themeColor="text1"/>
          <w:szCs w:val="21"/>
          <w14:textFill>
            <w14:solidFill>
              <w14:schemeClr w14:val="tx1"/>
            </w14:solidFill>
          </w14:textFill>
        </w:rPr>
      </w:pPr>
    </w:p>
    <w:p>
      <w:pPr>
        <w:tabs>
          <w:tab w:val="left" w:pos="4069"/>
        </w:tabs>
        <w:ind w:left="718" w:leftChars="342" w:firstLine="1417" w:firstLineChars="675"/>
        <w:rPr>
          <w:color w:val="000000" w:themeColor="text1"/>
          <w:szCs w:val="21"/>
          <w14:textFill>
            <w14:solidFill>
              <w14:schemeClr w14:val="tx1"/>
            </w14:solidFill>
          </w14:textFill>
        </w:rPr>
      </w:pPr>
    </w:p>
    <w:p>
      <w:pPr>
        <w:pStyle w:val="4"/>
        <w:jc w:val="center"/>
        <w:rPr>
          <w:rFonts w:hint="eastAsia" w:ascii="黑体" w:eastAsia="黑体"/>
          <w:b w:val="0"/>
          <w:color w:val="000000" w:themeColor="text1"/>
          <w:sz w:val="24"/>
          <w:szCs w:val="24"/>
          <w14:textFill>
            <w14:solidFill>
              <w14:schemeClr w14:val="tx1"/>
            </w14:solidFill>
          </w14:textFill>
        </w:rPr>
      </w:pPr>
      <w:r>
        <w:rPr>
          <w:rFonts w:hint="eastAsia" w:ascii="黑体" w:eastAsia="黑体"/>
          <w:b w:val="0"/>
          <w:color w:val="000000" w:themeColor="text1"/>
          <w:sz w:val="24"/>
          <w:szCs w:val="24"/>
          <w14:textFill>
            <w14:solidFill>
              <w14:schemeClr w14:val="tx1"/>
            </w14:solidFill>
          </w14:textFill>
        </w:rPr>
        <w:t>三、供应商情况及资格证明文件</w:t>
      </w:r>
    </w:p>
    <w:p>
      <w:pPr>
        <w:rPr>
          <w:b/>
          <w:bCs/>
          <w:color w:val="000000" w:themeColor="text1"/>
          <w:sz w:val="24"/>
          <w14:textFill>
            <w14:solidFill>
              <w14:schemeClr w14:val="tx1"/>
            </w14:solidFill>
          </w14:textFill>
        </w:rPr>
      </w:pPr>
    </w:p>
    <w:p>
      <w:pPr>
        <w:ind w:firstLine="2640" w:firstLineChars="1100"/>
        <w:outlineLvl w:val="3"/>
        <w:rPr>
          <w:rFonts w:hint="eastAsia" w:ascii="黑体" w:hAnsi="宋体" w:eastAsia="黑体"/>
          <w:bCs/>
          <w:color w:val="000000" w:themeColor="text1"/>
          <w:kern w:val="0"/>
          <w:sz w:val="24"/>
          <w:szCs w:val="32"/>
          <w14:textFill>
            <w14:solidFill>
              <w14:schemeClr w14:val="tx1"/>
            </w14:solidFill>
          </w14:textFill>
        </w:rPr>
      </w:pPr>
      <w:r>
        <w:rPr>
          <w:rFonts w:hint="eastAsia" w:ascii="黑体" w:hAnsi="宋体" w:eastAsia="黑体"/>
          <w:bCs/>
          <w:color w:val="000000" w:themeColor="text1"/>
          <w:kern w:val="0"/>
          <w:sz w:val="24"/>
          <w:szCs w:val="32"/>
          <w14:textFill>
            <w14:solidFill>
              <w14:schemeClr w14:val="tx1"/>
            </w14:solidFill>
          </w14:textFill>
        </w:rPr>
        <w:t>供应商资格证明文件</w:t>
      </w:r>
    </w:p>
    <w:p>
      <w:pPr>
        <w:spacing w:before="120" w:beforeLines="50"/>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此处不提供，因相关内容因涉及企业及个人敏感信息，为不公开内容。）</w:t>
      </w:r>
    </w:p>
    <w:p>
      <w:pPr>
        <w:rPr>
          <w:b/>
          <w:bCs/>
          <w:color w:val="000000" w:themeColor="text1"/>
          <w:sz w:val="24"/>
          <w14:textFill>
            <w14:solidFill>
              <w14:schemeClr w14:val="tx1"/>
            </w14:solidFill>
          </w14:textFill>
        </w:rPr>
      </w:pPr>
    </w:p>
    <w:p>
      <w:pPr>
        <w:pStyle w:val="4"/>
        <w:jc w:val="center"/>
        <w:rPr>
          <w:rFonts w:hint="eastAsia" w:ascii="黑体" w:eastAsia="黑体"/>
          <w:b w:val="0"/>
          <w:color w:val="000000" w:themeColor="text1"/>
          <w:sz w:val="24"/>
          <w:szCs w:val="24"/>
          <w14:textFill>
            <w14:solidFill>
              <w14:schemeClr w14:val="tx1"/>
            </w14:solidFill>
          </w14:textFill>
        </w:rPr>
      </w:pPr>
      <w:r>
        <w:rPr>
          <w:rFonts w:hint="eastAsia" w:ascii="黑体" w:eastAsia="黑体"/>
          <w:b w:val="0"/>
          <w:color w:val="000000" w:themeColor="text1"/>
          <w:sz w:val="24"/>
          <w:szCs w:val="24"/>
          <w14:textFill>
            <w14:solidFill>
              <w14:schemeClr w14:val="tx1"/>
            </w14:solidFill>
          </w14:textFill>
        </w:rPr>
        <w:t>四、项目详细报价</w:t>
      </w:r>
    </w:p>
    <w:p>
      <w:pPr>
        <w:pStyle w:val="36"/>
        <w:jc w:val="center"/>
      </w:pPr>
      <w:r>
        <w:rPr>
          <w:rFonts w:hint="eastAsia"/>
          <w:b/>
          <w:bCs/>
        </w:rPr>
        <w:t>（一）</w:t>
      </w:r>
      <w:r>
        <w:rPr>
          <w:rFonts w:hint="eastAsia"/>
          <w:b/>
        </w:rPr>
        <w:t>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投标折扣率</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pPr>
              <w:widowControl/>
              <w:adjustRightInd w:val="0"/>
              <w:snapToGrid w:val="0"/>
              <w:spacing w:line="300" w:lineRule="auto"/>
              <w:jc w:val="left"/>
            </w:pP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snapToGrid w:val="0"/>
                <w:kern w:val="0"/>
                <w:sz w:val="24"/>
                <w:szCs w:val="21"/>
              </w:rPr>
            </w:pPr>
          </w:p>
        </w:tc>
      </w:tr>
    </w:tbl>
    <w:p>
      <w:pPr>
        <w:ind w:left="632" w:hanging="632" w:hangingChars="300"/>
        <w:rPr>
          <w:b/>
          <w:color w:val="FF0000"/>
          <w:szCs w:val="21"/>
        </w:rPr>
      </w:pPr>
      <w:r>
        <w:rPr>
          <w:rFonts w:hint="eastAsia"/>
          <w:b/>
          <w:color w:val="FF0000"/>
          <w:szCs w:val="21"/>
        </w:rPr>
        <w:t>注：</w:t>
      </w:r>
    </w:p>
    <w:p>
      <w:pPr>
        <w:ind w:firstLine="422" w:firstLineChars="200"/>
        <w:rPr>
          <w:b/>
          <w:color w:val="FF0000"/>
          <w:szCs w:val="21"/>
        </w:rPr>
      </w:pPr>
      <w:r>
        <w:rPr>
          <w:rFonts w:hint="eastAsia"/>
          <w:b/>
          <w:color w:val="FF0000"/>
          <w:szCs w:val="21"/>
        </w:rPr>
        <w:t>1.投标人如果需要对其它内容加以说明，可在备注栏填写。</w:t>
      </w:r>
    </w:p>
    <w:p>
      <w:pPr>
        <w:ind w:firstLine="422" w:firstLineChars="200"/>
        <w:rPr>
          <w:b/>
          <w:color w:val="FF0000"/>
          <w:szCs w:val="21"/>
        </w:rPr>
      </w:pPr>
      <w:r>
        <w:rPr>
          <w:rFonts w:hint="eastAsia"/>
          <w:b/>
          <w:color w:val="FF0000"/>
          <w:szCs w:val="21"/>
        </w:rPr>
        <w:t>2.本项目不涉及具体投标金额（无须投标人在投标文件中填报具体投标金额），投标人只需在投标文件项目报价表中填报唯一的折扣率即“（1-下浮率）”。投标人应根据自身成本自行填报折扣率，应包括服务成本、法定税费和企业的利润，但不得以低于其成本的报价竞标。</w:t>
      </w:r>
    </w:p>
    <w:p>
      <w:pPr>
        <w:ind w:firstLine="422" w:firstLineChars="200"/>
        <w:rPr>
          <w:b/>
          <w:color w:val="FF0000"/>
          <w:szCs w:val="21"/>
        </w:rPr>
      </w:pPr>
      <w:r>
        <w:rPr>
          <w:rFonts w:hint="eastAsia"/>
          <w:b/>
          <w:color w:val="FF0000"/>
          <w:szCs w:val="21"/>
        </w:rPr>
        <w:t>3.折扣率填写要求</w:t>
      </w:r>
      <w:r>
        <w:rPr>
          <w:b/>
          <w:color w:val="FF0000"/>
          <w:szCs w:val="21"/>
        </w:rPr>
        <w:t>：</w:t>
      </w:r>
    </w:p>
    <w:p>
      <w:pPr>
        <w:ind w:firstLine="422" w:firstLineChars="200"/>
        <w:rPr>
          <w:b/>
          <w:color w:val="FF0000"/>
          <w:szCs w:val="21"/>
        </w:rPr>
      </w:pPr>
      <w:r>
        <w:rPr>
          <w:rFonts w:hint="eastAsia"/>
          <w:b/>
          <w:color w:val="FF0000"/>
          <w:szCs w:val="21"/>
        </w:rPr>
        <w:t>（1）填写要求：0＜折扣率≤1，未按此要求填写将作投标无效处理；</w:t>
      </w:r>
    </w:p>
    <w:p>
      <w:pPr>
        <w:ind w:firstLine="422" w:firstLineChars="200"/>
        <w:rPr>
          <w:b/>
          <w:color w:val="FF0000"/>
          <w:szCs w:val="21"/>
        </w:rPr>
      </w:pPr>
      <w:r>
        <w:rPr>
          <w:rFonts w:hint="eastAsia"/>
          <w:b/>
          <w:color w:val="FF0000"/>
          <w:szCs w:val="21"/>
        </w:rPr>
        <w:t>（2）填写的“折扣率”应为小数且最多保留至小数点后两位；如0.98、0.95、0.90</w:t>
      </w:r>
    </w:p>
    <w:p>
      <w:pPr>
        <w:ind w:firstLine="422" w:firstLineChars="200"/>
        <w:rPr>
          <w:b/>
          <w:color w:val="FF0000"/>
          <w:szCs w:val="21"/>
        </w:rPr>
      </w:pPr>
      <w:r>
        <w:rPr>
          <w:rFonts w:hint="eastAsia"/>
          <w:b/>
          <w:color w:val="FF0000"/>
          <w:szCs w:val="21"/>
        </w:rPr>
        <w:t>（3）投标人参与投标只允许填报一个“折扣率”，不允许填报两个（或以上）的“折扣率”；填报了两个或以上“折扣率”的，其投标将直接作投标无效处理；</w:t>
      </w:r>
    </w:p>
    <w:p>
      <w:pPr>
        <w:ind w:firstLine="422" w:firstLineChars="200"/>
        <w:rPr>
          <w:b/>
          <w:color w:val="FF0000"/>
          <w:szCs w:val="21"/>
        </w:rPr>
      </w:pPr>
      <w:r>
        <w:rPr>
          <w:rFonts w:hint="eastAsia"/>
          <w:b/>
          <w:color w:val="FF0000"/>
          <w:szCs w:val="21"/>
        </w:rPr>
        <w:t>（4）“折扣率”缺填、漏填将直接作投标无效处理。</w:t>
      </w:r>
    </w:p>
    <w:p>
      <w:pPr>
        <w:ind w:firstLine="422" w:firstLineChars="200"/>
        <w:rPr>
          <w:b/>
          <w:color w:val="FF0000"/>
          <w:szCs w:val="21"/>
        </w:rPr>
      </w:pPr>
      <w:r>
        <w:rPr>
          <w:rFonts w:hint="eastAsia"/>
          <w:b/>
          <w:color w:val="FF0000"/>
          <w:szCs w:val="21"/>
        </w:rPr>
        <w:t>4.中标供应商的投标折扣率作为本项目签订合同的依据，并根据实际供应量进行结算。请各投标人根据市场价格的波动情况审慎报价，一经中标，将严格按照中标供应商所报折扣率执行，请勿乱报价。如因乱报价导致的不良后果，由中标供应商承担全部责任，并可能影响其以后参加政府采购的项目投标。各投标人在投标报价时，应充分考虑投标报价的风险。</w:t>
      </w:r>
    </w:p>
    <w:p>
      <w:pPr>
        <w:ind w:firstLine="422" w:firstLineChars="200"/>
        <w:rPr>
          <w:b/>
          <w:color w:val="FF0000"/>
          <w:szCs w:val="21"/>
        </w:rPr>
      </w:pPr>
      <w:r>
        <w:rPr>
          <w:rFonts w:hint="eastAsia"/>
          <w:b/>
          <w:color w:val="FF0000"/>
          <w:szCs w:val="21"/>
        </w:rPr>
        <w:t>5.投标人在投标文件制作专用软件“标书信息确认”的投标报价中须填写上表中的折扣率，投标人填写的投标报价将生成为“开标一览表”的投标报价，请投标人仔细填写并核对！</w:t>
      </w:r>
    </w:p>
    <w:p>
      <w:pPr>
        <w:pStyle w:val="36"/>
        <w:rPr>
          <w:rFonts w:hint="eastAsia" w:hAnsi="宋体"/>
          <w:b/>
          <w:bCs/>
          <w:color w:val="FF0000"/>
        </w:rPr>
      </w:pPr>
      <w:r>
        <w:rPr>
          <w:rFonts w:hAnsi="宋体"/>
          <w:b/>
          <w:color w:val="FF0000"/>
        </w:rPr>
        <w:drawing>
          <wp:inline distT="0" distB="0" distL="0" distR="0">
            <wp:extent cx="5271135" cy="2720975"/>
            <wp:effectExtent l="0" t="0" r="5715" b="3175"/>
            <wp:docPr id="682704607" name="图片 68270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4607" name="图片 68270460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5271135" cy="2720975"/>
                    </a:xfrm>
                    <a:prstGeom prst="rect">
                      <a:avLst/>
                    </a:prstGeom>
                    <a:noFill/>
                    <a:ln>
                      <a:noFill/>
                    </a:ln>
                  </pic:spPr>
                </pic:pic>
              </a:graphicData>
            </a:graphic>
          </wp:inline>
        </w:drawing>
      </w:r>
    </w:p>
    <w:p>
      <w:pPr>
        <w:tabs>
          <w:tab w:val="left" w:pos="720"/>
        </w:tabs>
        <w:jc w:val="center"/>
        <w:rPr>
          <w:b/>
          <w:sz w:val="24"/>
        </w:rPr>
      </w:pPr>
    </w:p>
    <w:p>
      <w:pPr>
        <w:ind w:firstLine="482" w:firstLineChars="200"/>
        <w:rPr>
          <w:rFonts w:hint="eastAsia" w:hAnsi="宋体"/>
          <w:b/>
          <w:bCs/>
          <w:color w:val="000000" w:themeColor="text1"/>
          <w:sz w:val="24"/>
          <w14:textFill>
            <w14:solidFill>
              <w14:schemeClr w14:val="tx1"/>
            </w14:solidFill>
          </w14:textFill>
        </w:rPr>
      </w:pPr>
    </w:p>
    <w:p>
      <w:pPr>
        <w:tabs>
          <w:tab w:val="left" w:pos="72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（二）供应商认为需要涉及的其他内容报价清单</w:t>
      </w:r>
    </w:p>
    <w:p>
      <w:pPr>
        <w:tabs>
          <w:tab w:val="left" w:pos="720"/>
        </w:tabs>
        <w:jc w:val="center"/>
        <w:rPr>
          <w:b/>
          <w:color w:val="000000" w:themeColor="text1"/>
          <w:sz w:val="24"/>
          <w14:textFill>
            <w14:solidFill>
              <w14:schemeClr w14:val="tx1"/>
            </w14:solidFill>
          </w14:textFill>
        </w:rPr>
      </w:pPr>
    </w:p>
    <w:p>
      <w:pPr>
        <w:widowControl/>
        <w:numPr>
          <w:ilvl w:val="0"/>
          <w:numId w:val="8"/>
        </w:numPr>
        <w:tabs>
          <w:tab w:val="left" w:pos="720"/>
        </w:tabs>
        <w:spacing w:line="360" w:lineRule="auto"/>
        <w:jc w:val="left"/>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供应商认证情况（格式自定）</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（特别提示：供应商须按本招标文件评标信息中这一评审因素要求，提供证明资料）</w:t>
      </w:r>
    </w:p>
    <w:p>
      <w:pPr>
        <w:widowControl/>
        <w:numPr>
          <w:ilvl w:val="0"/>
          <w:numId w:val="8"/>
        </w:numPr>
        <w:tabs>
          <w:tab w:val="left" w:pos="720"/>
        </w:tabs>
        <w:spacing w:line="360" w:lineRule="auto"/>
        <w:jc w:val="left"/>
        <w:rPr>
          <w:rFonts w:hint="eastAsia" w:ascii="黑体" w:hAnsi="宋体" w:eastAsia="黑体"/>
          <w:color w:val="000000" w:themeColor="text1"/>
          <w:sz w:val="24"/>
          <w:szCs w:val="20"/>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供应商同类项目业绩情况</w:t>
      </w:r>
      <w:r>
        <w:rPr>
          <w:rFonts w:hint="eastAsia" w:ascii="黑体" w:hAnsi="宋体" w:eastAsia="黑体"/>
          <w:color w:val="000000" w:themeColor="text1"/>
          <w:sz w:val="24"/>
          <w:szCs w:val="20"/>
          <w14:textFill>
            <w14:solidFill>
              <w14:schemeClr w14:val="tx1"/>
            </w14:solidFill>
          </w14:textFill>
        </w:rPr>
        <w:t>（格式自定）</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（特别提示：供应商须按本招标文件评标信息中这一评审因素要求，提供证明资料）</w:t>
      </w:r>
    </w:p>
    <w:p>
      <w:pPr>
        <w:widowControl/>
        <w:numPr>
          <w:ilvl w:val="0"/>
          <w:numId w:val="8"/>
        </w:numPr>
        <w:tabs>
          <w:tab w:val="left" w:pos="720"/>
        </w:tabs>
        <w:spacing w:line="360" w:lineRule="auto"/>
        <w:jc w:val="left"/>
        <w:rPr>
          <w:rFonts w:hint="eastAsia" w:ascii="黑体" w:hAnsi="宋体" w:eastAsia="黑体"/>
          <w:color w:val="000000" w:themeColor="text1"/>
          <w:sz w:val="24"/>
          <w:szCs w:val="20"/>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供应商获奖情况</w:t>
      </w:r>
      <w:r>
        <w:rPr>
          <w:rFonts w:hint="eastAsia" w:ascii="黑体" w:hAnsi="宋体" w:eastAsia="黑体"/>
          <w:color w:val="000000" w:themeColor="text1"/>
          <w:sz w:val="24"/>
          <w:szCs w:val="20"/>
          <w14:textFill>
            <w14:solidFill>
              <w14:schemeClr w14:val="tx1"/>
            </w14:solidFill>
          </w14:textFill>
        </w:rPr>
        <w:t>（格式自定）</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（特别提示：供应商须按本招标文件评标信息中这一评审因素要求，提供证明资料）</w:t>
      </w:r>
    </w:p>
    <w:p>
      <w:pPr>
        <w:widowControl/>
        <w:numPr>
          <w:ilvl w:val="0"/>
          <w:numId w:val="8"/>
        </w:numPr>
        <w:tabs>
          <w:tab w:val="left" w:pos="720"/>
        </w:tabs>
        <w:spacing w:line="360" w:lineRule="auto"/>
        <w:jc w:val="left"/>
        <w:rPr>
          <w:rFonts w:hint="eastAsia" w:ascii="黑体" w:hAnsi="宋体" w:eastAsia="黑体"/>
          <w:color w:val="000000" w:themeColor="text1"/>
          <w:sz w:val="24"/>
          <w:szCs w:val="20"/>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供应商自主知识产权产品（创新、设计）情况</w:t>
      </w:r>
      <w:r>
        <w:rPr>
          <w:rFonts w:hint="eastAsia" w:ascii="黑体" w:hAnsi="宋体" w:eastAsia="黑体"/>
          <w:color w:val="000000" w:themeColor="text1"/>
          <w:sz w:val="24"/>
          <w:szCs w:val="20"/>
          <w14:textFill>
            <w14:solidFill>
              <w14:schemeClr w14:val="tx1"/>
            </w14:solidFill>
          </w14:textFill>
        </w:rPr>
        <w:t>（格式自定）</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（特别提示：供应商须按本招标文件评标信息中这一评审因素要求，提供证明资料）</w:t>
      </w:r>
    </w:p>
    <w:p>
      <w:pPr>
        <w:widowControl/>
        <w:numPr>
          <w:ilvl w:val="0"/>
          <w:numId w:val="8"/>
        </w:numPr>
        <w:tabs>
          <w:tab w:val="left" w:pos="720"/>
        </w:tabs>
        <w:spacing w:line="360" w:lineRule="auto"/>
        <w:jc w:val="left"/>
        <w:rPr>
          <w:rFonts w:hint="eastAsia" w:ascii="黑体" w:hAnsi="宋体" w:eastAsia="黑体"/>
          <w:bCs/>
          <w:color w:val="000000" w:themeColor="text1"/>
          <w:sz w:val="24"/>
          <w14:textFill>
            <w14:solidFill>
              <w14:schemeClr w14:val="tx1"/>
            </w14:solidFill>
          </w14:textFill>
        </w:rPr>
      </w:pPr>
      <w:r>
        <w:rPr>
          <w:rFonts w:hint="eastAsia" w:ascii="黑体" w:hAnsi="宋体" w:eastAsia="黑体"/>
          <w:bCs/>
          <w:color w:val="000000" w:themeColor="text1"/>
          <w:sz w:val="24"/>
          <w14:textFill>
            <w14:solidFill>
              <w14:schemeClr w14:val="tx1"/>
            </w14:solidFill>
          </w14:textFill>
        </w:rPr>
        <w:t>服务网点</w:t>
      </w:r>
    </w:p>
    <w:p>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承诺函</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致：深圳公共资源交易中心、采购人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我单位承诺，中标后为本项目提供本地经营（服务）网点，如不遵守相应承诺，愿按违约处理，并承担由此给采购人带来的损失。</w:t>
      </w:r>
    </w:p>
    <w:p>
      <w:pPr>
        <w:spacing w:line="360" w:lineRule="auto"/>
        <w:ind w:right="960" w:firstLine="5520" w:firstLineChars="23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供应商：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日期：    年   月   日</w:t>
      </w:r>
    </w:p>
    <w:p>
      <w:pPr>
        <w:spacing w:line="360" w:lineRule="auto"/>
        <w:rPr>
          <w:color w:val="000000" w:themeColor="text1"/>
          <w:sz w:val="24"/>
          <w14:textFill>
            <w14:solidFill>
              <w14:schemeClr w14:val="tx1"/>
            </w14:solidFill>
          </w14:textFill>
        </w:rPr>
      </w:pPr>
      <w:r>
        <w:rPr>
          <w:b/>
          <w:bCs/>
          <w:color w:val="000000" w:themeColor="text1"/>
          <w:sz w:val="24"/>
          <w14:textFill>
            <w14:solidFill>
              <w14:schemeClr w14:val="tx1"/>
            </w14:solidFill>
          </w14:textFill>
        </w:rPr>
        <w:t>特别提示：</w:t>
      </w:r>
      <w:r>
        <w:rPr>
          <w:rFonts w:hint="eastAsia"/>
          <w:b/>
          <w:bCs/>
          <w:color w:val="000000" w:themeColor="text1"/>
          <w:sz w:val="24"/>
          <w14:textFill>
            <w14:solidFill>
              <w14:schemeClr w14:val="tx1"/>
            </w14:solidFill>
          </w14:textFill>
        </w:rPr>
        <w:t>供应商</w:t>
      </w:r>
      <w:r>
        <w:rPr>
          <w:b/>
          <w:bCs/>
          <w:color w:val="000000" w:themeColor="text1"/>
          <w:sz w:val="24"/>
          <w14:textFill>
            <w14:solidFill>
              <w14:schemeClr w14:val="tx1"/>
            </w14:solidFill>
          </w14:textFill>
        </w:rPr>
        <w:t>需按以上模板要求提供承诺函，否则将按不得分处理</w:t>
      </w:r>
      <w:r>
        <w:rPr>
          <w:rFonts w:hint="eastAsia"/>
          <w:b/>
          <w:bCs/>
          <w:color w:val="000000" w:themeColor="text1"/>
          <w:sz w:val="24"/>
          <w14:textFill>
            <w14:solidFill>
              <w14:schemeClr w14:val="tx1"/>
            </w14:solidFill>
          </w14:textFill>
        </w:rPr>
        <w:t>。</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（特别提示：供应商须按本招标文件评标信息中这一评审因素要求，提供证明资料）</w:t>
      </w:r>
    </w:p>
    <w:p>
      <w:pPr>
        <w:pStyle w:val="2"/>
        <w:rPr>
          <w:color w:val="000000" w:themeColor="text1"/>
          <w14:textFill>
            <w14:solidFill>
              <w14:schemeClr w14:val="tx1"/>
            </w14:solidFill>
          </w14:textFill>
        </w:rPr>
      </w:pPr>
    </w:p>
    <w:p>
      <w:pPr>
        <w:outlineLvl w:val="1"/>
        <w:rPr>
          <w:rFonts w:hint="eastAsia" w:ascii="宋体" w:hAnsi="宋体"/>
          <w:b/>
          <w:color w:val="000000" w:themeColor="text1"/>
          <w:sz w:val="28"/>
          <w:szCs w:val="28"/>
          <w14:textFill>
            <w14:solidFill>
              <w14:schemeClr w14:val="tx1"/>
            </w14:solidFill>
          </w14:textFill>
        </w:rPr>
      </w:pPr>
    </w:p>
    <w:p>
      <w:pPr>
        <w:outlineLvl w:val="1"/>
        <w:rPr>
          <w:rFonts w:hint="eastAsia" w:ascii="宋体" w:hAnsi="宋体"/>
          <w:b/>
          <w:color w:val="000000" w:themeColor="text1"/>
          <w:sz w:val="28"/>
          <w:szCs w:val="28"/>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outlineLvl w:val="1"/>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应答文件附件（信息不公开部分）</w:t>
      </w:r>
    </w:p>
    <w:p>
      <w:pPr>
        <w:snapToGrid w:val="0"/>
        <w:jc w:val="center"/>
        <w:outlineLvl w:val="0"/>
        <w:rPr>
          <w:rFonts w:hint="eastAsia" w:ascii="黑体" w:hAnsi="宋体" w:eastAsia="黑体"/>
          <w:bCs/>
          <w:color w:val="000000" w:themeColor="text1"/>
          <w:sz w:val="24"/>
          <w:szCs w:val="32"/>
          <w14:textFill>
            <w14:solidFill>
              <w14:schemeClr w14:val="tx1"/>
            </w14:solidFill>
          </w14:textFill>
        </w:rPr>
      </w:pPr>
      <w:r>
        <w:rPr>
          <w:rFonts w:hint="eastAsia" w:ascii="黑体" w:hAnsi="宋体" w:eastAsia="黑体"/>
          <w:bCs/>
          <w:color w:val="000000" w:themeColor="text1"/>
          <w:sz w:val="24"/>
          <w:szCs w:val="32"/>
          <w14:textFill>
            <w14:solidFill>
              <w14:schemeClr w14:val="tx1"/>
            </w14:solidFill>
          </w14:textFill>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响应供应商</w:t>
            </w:r>
          </w:p>
        </w:tc>
        <w:tc>
          <w:tcPr>
            <w:tcW w:w="1427" w:type="pct"/>
            <w:gridSpan w:val="2"/>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项目名称及编号</w:t>
            </w:r>
          </w:p>
        </w:tc>
        <w:tc>
          <w:tcPr>
            <w:tcW w:w="1669" w:type="pct"/>
            <w:gridSpan w:val="2"/>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275" w:type="pct"/>
            <w:gridSpan w:val="2"/>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529" w:type="pct"/>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113" w:type="pct"/>
            <w:gridSpan w:val="2"/>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p>
        </w:tc>
        <w:tc>
          <w:tcPr>
            <w:tcW w:w="838" w:type="pct"/>
            <w:tcBorders>
              <w:bottom w:val="single" w:color="auto" w:sz="4" w:space="0"/>
            </w:tcBorders>
            <w:vAlign w:val="center"/>
          </w:tcPr>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劳动合同</w:t>
            </w:r>
          </w:p>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关系单位</w:t>
            </w:r>
          </w:p>
        </w:tc>
        <w:tc>
          <w:tcPr>
            <w:tcW w:w="830" w:type="pct"/>
            <w:tcBorders>
              <w:bottom w:val="single" w:color="auto" w:sz="4" w:space="0"/>
            </w:tcBorders>
            <w:vAlign w:val="center"/>
          </w:tcPr>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缴纳社会</w:t>
            </w:r>
          </w:p>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项目应答授权代表人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w:t>
            </w:r>
          </w:p>
        </w:tc>
        <w:tc>
          <w:tcPr>
            <w:tcW w:w="1275" w:type="pct"/>
            <w:gridSpan w:val="2"/>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529" w:type="pct"/>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8" w:type="pct"/>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830" w:type="pct"/>
            <w:tcBorders>
              <w:top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4</w:t>
            </w:r>
          </w:p>
        </w:tc>
        <w:tc>
          <w:tcPr>
            <w:tcW w:w="1275" w:type="pct"/>
            <w:gridSpan w:val="2"/>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主要技术人员</w:t>
            </w:r>
          </w:p>
        </w:tc>
        <w:tc>
          <w:tcPr>
            <w:tcW w:w="529" w:type="pct"/>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vAlign w:val="center"/>
          </w:tcPr>
          <w:p>
            <w:pPr>
              <w:jc w:val="center"/>
              <w:rPr>
                <w:rFonts w:hint="eastAsia" w:ascii="宋体" w:hAnsi="宋体" w:cs="宋体"/>
                <w:color w:val="000000" w:themeColor="text1"/>
                <w:szCs w:val="21"/>
                <w14:textFill>
                  <w14:solidFill>
                    <w14:schemeClr w14:val="tx1"/>
                  </w14:solidFill>
                </w14:textFill>
              </w:rPr>
            </w:pPr>
          </w:p>
        </w:tc>
        <w:tc>
          <w:tcPr>
            <w:tcW w:w="838" w:type="pct"/>
            <w:vAlign w:val="center"/>
          </w:tcPr>
          <w:p>
            <w:pPr>
              <w:jc w:val="center"/>
              <w:rPr>
                <w:rFonts w:hint="eastAsia" w:ascii="宋体" w:hAnsi="宋体" w:cs="宋体"/>
                <w:color w:val="000000" w:themeColor="text1"/>
                <w:szCs w:val="21"/>
                <w14:textFill>
                  <w14:solidFill>
                    <w14:schemeClr w14:val="tx1"/>
                  </w14:solidFill>
                </w14:textFill>
              </w:rPr>
            </w:pPr>
          </w:p>
        </w:tc>
        <w:tc>
          <w:tcPr>
            <w:tcW w:w="830" w:type="pct"/>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5</w:t>
            </w:r>
          </w:p>
        </w:tc>
        <w:tc>
          <w:tcPr>
            <w:tcW w:w="1275" w:type="pct"/>
            <w:gridSpan w:val="2"/>
            <w:vAlign w:val="center"/>
          </w:tcPr>
          <w:p>
            <w:pPr>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应答文件编制人员</w:t>
            </w:r>
          </w:p>
        </w:tc>
        <w:tc>
          <w:tcPr>
            <w:tcW w:w="529" w:type="pct"/>
            <w:vAlign w:val="center"/>
          </w:tcPr>
          <w:p>
            <w:pPr>
              <w:jc w:val="center"/>
              <w:rPr>
                <w:rFonts w:hint="eastAsia" w:ascii="宋体" w:hAnsi="宋体" w:cs="宋体"/>
                <w:color w:val="000000" w:themeColor="text1"/>
                <w:szCs w:val="21"/>
                <w14:textFill>
                  <w14:solidFill>
                    <w14:schemeClr w14:val="tx1"/>
                  </w14:solidFill>
                </w14:textFill>
              </w:rPr>
            </w:pPr>
          </w:p>
        </w:tc>
        <w:tc>
          <w:tcPr>
            <w:tcW w:w="1113" w:type="pct"/>
            <w:gridSpan w:val="2"/>
            <w:vAlign w:val="center"/>
          </w:tcPr>
          <w:p>
            <w:pPr>
              <w:jc w:val="center"/>
              <w:rPr>
                <w:rFonts w:hint="eastAsia" w:ascii="宋体" w:hAnsi="宋体" w:cs="宋体"/>
                <w:color w:val="000000" w:themeColor="text1"/>
                <w:szCs w:val="21"/>
                <w14:textFill>
                  <w14:solidFill>
                    <w14:schemeClr w14:val="tx1"/>
                  </w14:solidFill>
                </w14:textFill>
              </w:rPr>
            </w:pPr>
          </w:p>
        </w:tc>
        <w:tc>
          <w:tcPr>
            <w:tcW w:w="838" w:type="pct"/>
            <w:vAlign w:val="center"/>
          </w:tcPr>
          <w:p>
            <w:pPr>
              <w:jc w:val="center"/>
              <w:rPr>
                <w:rFonts w:hint="eastAsia" w:ascii="宋体" w:hAnsi="宋体" w:cs="宋体"/>
                <w:color w:val="000000" w:themeColor="text1"/>
                <w:szCs w:val="21"/>
                <w14:textFill>
                  <w14:solidFill>
                    <w14:schemeClr w14:val="tx1"/>
                  </w14:solidFill>
                </w14:textFill>
              </w:rPr>
            </w:pPr>
          </w:p>
        </w:tc>
        <w:tc>
          <w:tcPr>
            <w:tcW w:w="830" w:type="pct"/>
            <w:vAlign w:val="center"/>
          </w:tcPr>
          <w:p>
            <w:pPr>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序号</w:t>
            </w:r>
          </w:p>
        </w:tc>
        <w:tc>
          <w:tcPr>
            <w:tcW w:w="1275" w:type="pct"/>
            <w:gridSpan w:val="2"/>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关联关系类型</w:t>
            </w:r>
          </w:p>
        </w:tc>
        <w:tc>
          <w:tcPr>
            <w:tcW w:w="971" w:type="pct"/>
            <w:gridSpan w:val="2"/>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关联主体名称</w:t>
            </w:r>
          </w:p>
        </w:tc>
        <w:tc>
          <w:tcPr>
            <w:tcW w:w="2340" w:type="pct"/>
            <w:gridSpan w:val="3"/>
            <w:tcBorders>
              <w:bottom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Cs w:val="21"/>
                <w14:textFill>
                  <w14:solidFill>
                    <w14:schemeClr w14:val="tx1"/>
                  </w14:solidFill>
                </w14:textFill>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指对响应供应商不具有出资持股关系，但对其存在管理关系的主体。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说明：同一关联关系类型有多个主体的，应分行填写。</w:t>
            </w:r>
          </w:p>
        </w:tc>
      </w:tr>
    </w:tbl>
    <w:p>
      <w:pPr>
        <w:pStyle w:val="479"/>
        <w:rPr>
          <w:rFonts w:hint="eastAsia" w:ascii="宋体" w:hAnsi="宋体"/>
          <w:b/>
          <w:color w:val="000000" w:themeColor="text1"/>
          <w:sz w:val="28"/>
          <w:szCs w:val="28"/>
          <w14:textFill>
            <w14:solidFill>
              <w14:schemeClr w14:val="tx1"/>
            </w14:solidFill>
          </w14:textFill>
        </w:rPr>
      </w:pPr>
    </w:p>
    <w:p>
      <w:pPr>
        <w:pStyle w:val="4"/>
        <w:jc w:val="center"/>
        <w:rPr>
          <w:rFonts w:hint="eastAsia"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t>二、</w:t>
      </w:r>
      <w:bookmarkStart w:id="42" w:name="_Hlk72092499"/>
      <w:r>
        <w:rPr>
          <w:rFonts w:hint="eastAsia" w:ascii="黑体" w:eastAsia="黑体"/>
          <w:b w:val="0"/>
          <w:color w:val="000000" w:themeColor="text1"/>
          <w:sz w:val="24"/>
          <w14:textFill>
            <w14:solidFill>
              <w14:schemeClr w14:val="tx1"/>
            </w14:solidFill>
          </w14:textFill>
        </w:rPr>
        <w:t>法定代表人（负责人）证明书</w:t>
      </w:r>
      <w:bookmarkEnd w:id="42"/>
    </w:p>
    <w:p>
      <w:pPr>
        <w:rPr>
          <w:color w:val="000000" w:themeColor="text1"/>
          <w:sz w:val="24"/>
          <w14:textFill>
            <w14:solidFill>
              <w14:schemeClr w14:val="tx1"/>
            </w14:solidFill>
          </w14:textFill>
        </w:rPr>
      </w:pP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（姓名），现任我单位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职务，为法定代表人（负责人），身份证件号为：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，联系电话：</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特此证明。</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说明：1、法定代表人为供应商（企业事业单位、国家机关、社会团体）的主要行政负责人。</w:t>
      </w:r>
    </w:p>
    <w:p>
      <w:pPr>
        <w:numPr>
          <w:ilvl w:val="0"/>
          <w:numId w:val="9"/>
        </w:num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eastAsia="zh-Hans"/>
          <w14:textFill>
            <w14:solidFill>
              <w14:schemeClr w14:val="tx1"/>
            </w14:solidFill>
          </w14:textFill>
        </w:rPr>
        <w:t>本证明书要供法定代表人（负责人）</w:t>
      </w:r>
      <w:r>
        <w:rPr>
          <w:rFonts w:hint="eastAsia"/>
          <w:color w:val="000000" w:themeColor="text1"/>
          <w:szCs w:val="21"/>
          <w14:textFill>
            <w14:solidFill>
              <w14:schemeClr w14:val="tx1"/>
            </w14:solidFill>
          </w14:textFill>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eastAsia="zh-Hans"/>
          <w14:textFill>
            <w14:solidFill>
              <w14:schemeClr w14:val="tx1"/>
            </w14:solidFill>
          </w14:textFill>
        </w:rPr>
        <w:t>本项目</w:t>
      </w:r>
      <w:r>
        <w:rPr>
          <w:rFonts w:hint="eastAsia"/>
          <w:color w:val="000000" w:themeColor="text1"/>
          <w:szCs w:val="21"/>
          <w14:textFill>
            <w14:solidFill>
              <w14:schemeClr w14:val="tx1"/>
            </w14:solidFill>
          </w14:textFill>
        </w:rPr>
        <w:t>谈判应答</w:t>
      </w:r>
      <w:r>
        <w:rPr>
          <w:rFonts w:hint="eastAsia"/>
          <w:color w:val="000000" w:themeColor="text1"/>
          <w:szCs w:val="21"/>
          <w:lang w:eastAsia="zh-Hans"/>
          <w14:textFill>
            <w14:solidFill>
              <w14:schemeClr w14:val="tx1"/>
            </w14:solidFill>
          </w14:textFill>
        </w:rPr>
        <w:t>授权代表为法定代表人（负责人）的，无需提供</w:t>
      </w:r>
      <w:r>
        <w:rPr>
          <w:rFonts w:hint="eastAsia"/>
          <w:color w:val="000000" w:themeColor="text1"/>
          <w:szCs w:val="21"/>
          <w14:textFill>
            <w14:solidFill>
              <w14:schemeClr w14:val="tx1"/>
            </w14:solidFill>
          </w14:textFill>
        </w:rPr>
        <w:t>《谈判应答文件签署授权委托书》</w:t>
      </w:r>
      <w:r>
        <w:rPr>
          <w:rFonts w:hint="eastAsia"/>
          <w:color w:val="000000" w:themeColor="text1"/>
          <w:szCs w:val="21"/>
          <w:lang w:eastAsia="zh-Hans"/>
          <w14:textFill>
            <w14:solidFill>
              <w14:schemeClr w14:val="tx1"/>
            </w14:solidFill>
          </w14:textFill>
        </w:rPr>
        <w:t>。</w:t>
      </w:r>
    </w:p>
    <w:p>
      <w:pPr>
        <w:numPr>
          <w:ilvl w:val="0"/>
          <w:numId w:val="9"/>
        </w:num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证件扫描件正面</w:t>
            </w: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p>
          <w:p>
            <w:pPr>
              <w:pStyle w:val="36"/>
              <w:jc w:val="center"/>
              <w:rPr>
                <w:color w:val="000000" w:themeColor="text1"/>
                <w14:textFill>
                  <w14:solidFill>
                    <w14:schemeClr w14:val="tx1"/>
                  </w14:solidFill>
                </w14:textFill>
              </w:rPr>
            </w:pPr>
          </w:p>
        </w:tc>
        <w:tc>
          <w:tcPr>
            <w:tcW w:w="426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证件扫描件反面</w:t>
            </w:r>
          </w:p>
          <w:p>
            <w:pPr>
              <w:pStyle w:val="2"/>
              <w:jc w:val="center"/>
              <w:rPr>
                <w:color w:val="000000" w:themeColor="text1"/>
                <w14:textFill>
                  <w14:solidFill>
                    <w14:schemeClr w14:val="tx1"/>
                  </w14:solidFill>
                </w14:textFill>
              </w:rPr>
            </w:pPr>
          </w:p>
          <w:p>
            <w:pPr>
              <w:pStyle w:val="36"/>
              <w:jc w:val="center"/>
              <w:rPr>
                <w:color w:val="000000" w:themeColor="text1"/>
                <w14:textFill>
                  <w14:solidFill>
                    <w14:schemeClr w14:val="tx1"/>
                  </w14:solidFill>
                </w14:textFill>
              </w:rPr>
            </w:pPr>
          </w:p>
          <w:p>
            <w:pPr>
              <w:pStyle w:val="36"/>
              <w:jc w:val="center"/>
              <w:rPr>
                <w:color w:val="000000" w:themeColor="text1"/>
                <w14:textFill>
                  <w14:solidFill>
                    <w14:schemeClr w14:val="tx1"/>
                  </w14:solidFill>
                </w14:textFill>
              </w:rPr>
            </w:pPr>
          </w:p>
        </w:tc>
      </w:tr>
    </w:tbl>
    <w:p>
      <w:pPr>
        <w:pStyle w:val="479"/>
        <w:rPr>
          <w:rFonts w:hint="eastAsia" w:ascii="黑体" w:hAnsi="黑体" w:eastAsia="黑体" w:cs="黑体"/>
          <w:b/>
          <w:bCs/>
          <w:color w:val="000000" w:themeColor="text1"/>
          <w:sz w:val="24"/>
          <w:szCs w:val="24"/>
          <w14:textFill>
            <w14:solidFill>
              <w14:schemeClr w14:val="tx1"/>
            </w14:solidFill>
          </w14:textFill>
        </w:rPr>
      </w:pPr>
    </w:p>
    <w:p>
      <w:pPr>
        <w:pStyle w:val="479"/>
        <w:rPr>
          <w:color w:val="000000" w:themeColor="text1"/>
          <w:sz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温馨提示</w:t>
      </w:r>
      <w:r>
        <w:rPr>
          <w:rFonts w:hint="eastAsia" w:ascii="黑体" w:hAnsi="黑体" w:eastAsia="黑体" w:cs="黑体"/>
          <w:color w:val="000000" w:themeColor="text1"/>
          <w:sz w:val="24"/>
          <w:szCs w:val="24"/>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pPr>
        <w:rPr>
          <w:color w:val="000000" w:themeColor="text1"/>
          <w:sz w:val="24"/>
          <w14:textFill>
            <w14:solidFill>
              <w14:schemeClr w14:val="tx1"/>
            </w14:solidFill>
          </w14:textFill>
        </w:rPr>
      </w:pPr>
    </w:p>
    <w:p>
      <w:pPr>
        <w:pStyle w:val="4"/>
        <w:spacing w:before="120" w:after="120"/>
        <w:jc w:val="center"/>
        <w:rPr>
          <w:rFonts w:hint="eastAsia" w:ascii="黑体" w:eastAsia="黑体"/>
          <w:b w:val="0"/>
          <w:color w:val="000000" w:themeColor="text1"/>
          <w:sz w:val="24"/>
          <w14:textFill>
            <w14:solidFill>
              <w14:schemeClr w14:val="tx1"/>
            </w14:solidFill>
          </w14:textFill>
        </w:rPr>
      </w:pPr>
      <w:r>
        <w:rPr>
          <w:rFonts w:hint="eastAsia" w:ascii="黑体" w:eastAsia="黑体"/>
          <w:b w:val="0"/>
          <w:color w:val="000000" w:themeColor="text1"/>
          <w:sz w:val="24"/>
          <w14:textFill>
            <w14:solidFill>
              <w14:schemeClr w14:val="tx1"/>
            </w14:solidFill>
          </w14:textFill>
        </w:rPr>
        <w:t>三、谈判应答文件签署授权委托书</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本授权委托书声明：我</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（姓名）系</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（供应商名称）的法定代表人（负责人），现授权委托</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（姓名）为我单位签署本项目已递交的谈判应答文件的法定代表人（负责人）的授权委托代理人，代理人全权代表我所签署的本项目已递交的谈判应答文件内容我均承认。</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代理人无转委托权，特此委托。</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代理人：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身份证件号：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，职务：</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联系电话：</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，手机：</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，电子邮箱：</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授权委托日期：</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月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p>
    <w:p>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4264"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证件扫描件正面</w:t>
            </w:r>
          </w:p>
          <w:p>
            <w:pPr>
              <w:pStyle w:val="2"/>
              <w:jc w:val="center"/>
              <w:rPr>
                <w:color w:val="000000" w:themeColor="text1"/>
                <w14:textFill>
                  <w14:solidFill>
                    <w14:schemeClr w14:val="tx1"/>
                  </w14:solidFill>
                </w14:textFill>
              </w:rPr>
            </w:pPr>
          </w:p>
          <w:p>
            <w:pPr>
              <w:pStyle w:val="36"/>
              <w:jc w:val="center"/>
              <w:rPr>
                <w:color w:val="000000" w:themeColor="text1"/>
                <w14:textFill>
                  <w14:solidFill>
                    <w14:schemeClr w14:val="tx1"/>
                  </w14:solidFill>
                </w14:textFill>
              </w:rPr>
            </w:pPr>
          </w:p>
        </w:tc>
        <w:tc>
          <w:tcPr>
            <w:tcW w:w="426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证件扫描件反面</w:t>
            </w:r>
          </w:p>
          <w:p>
            <w:pPr>
              <w:pStyle w:val="2"/>
              <w:jc w:val="center"/>
              <w:rPr>
                <w:color w:val="000000" w:themeColor="text1"/>
                <w14:textFill>
                  <w14:solidFill>
                    <w14:schemeClr w14:val="tx1"/>
                  </w14:solidFill>
                </w14:textFill>
              </w:rPr>
            </w:pPr>
          </w:p>
          <w:p>
            <w:pPr>
              <w:pStyle w:val="36"/>
              <w:jc w:val="center"/>
              <w:rPr>
                <w:color w:val="000000" w:themeColor="text1"/>
                <w14:textFill>
                  <w14:solidFill>
                    <w14:schemeClr w14:val="tx1"/>
                  </w14:solidFill>
                </w14:textFill>
              </w:rPr>
            </w:pPr>
          </w:p>
        </w:tc>
      </w:tr>
    </w:tbl>
    <w:p>
      <w:pPr>
        <w:pStyle w:val="479"/>
        <w:rPr>
          <w:rFonts w:hint="eastAsia" w:ascii="黑体" w:hAnsi="黑体" w:eastAsia="黑体" w:cs="黑体"/>
          <w:b/>
          <w:bCs/>
          <w:color w:val="000000" w:themeColor="text1"/>
          <w:sz w:val="24"/>
          <w:szCs w:val="24"/>
          <w14:textFill>
            <w14:solidFill>
              <w14:schemeClr w14:val="tx1"/>
            </w14:solidFill>
          </w14:textFill>
        </w:rPr>
      </w:pPr>
    </w:p>
    <w:p>
      <w:pPr>
        <w:tabs>
          <w:tab w:val="left" w:pos="4069"/>
        </w:tabs>
        <w:rPr>
          <w:color w:val="000000" w:themeColor="text1"/>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温馨提示</w:t>
      </w:r>
      <w:r>
        <w:rPr>
          <w:rFonts w:hint="eastAsia" w:ascii="黑体" w:hAnsi="黑体" w:eastAsia="黑体" w:cs="黑体"/>
          <w:color w:val="000000" w:themeColor="text1"/>
          <w:sz w:val="24"/>
          <w14:textFill>
            <w14:solidFill>
              <w14:schemeClr w14:val="tx1"/>
            </w14:solidFill>
          </w14:textFill>
        </w:rPr>
        <w:t>：</w:t>
      </w:r>
      <w:r>
        <w:rPr>
          <w:rFonts w:hint="eastAsia"/>
          <w:color w:val="000000" w:themeColor="text1"/>
          <w:szCs w:val="21"/>
          <w14:textFill>
            <w14:solidFill>
              <w14:schemeClr w14:val="tx1"/>
            </w14:solidFill>
          </w14:textFill>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pPr>
        <w:tabs>
          <w:tab w:val="left" w:pos="4069"/>
        </w:tabs>
        <w:ind w:left="718" w:leftChars="342" w:firstLine="1417" w:firstLineChars="675"/>
        <w:rPr>
          <w:color w:val="000000" w:themeColor="text1"/>
          <w14:textFill>
            <w14:solidFill>
              <w14:schemeClr w14:val="tx1"/>
            </w14:solidFill>
          </w14:textFill>
        </w:rPr>
      </w:pPr>
    </w:p>
    <w:p>
      <w:pPr>
        <w:pStyle w:val="4"/>
        <w:jc w:val="center"/>
        <w:rPr>
          <w:rFonts w:hint="eastAsia" w:ascii="黑体" w:eastAsia="黑体"/>
          <w:b w:val="0"/>
          <w:color w:val="000000" w:themeColor="text1"/>
          <w:kern w:val="0"/>
          <w:sz w:val="24"/>
          <w:szCs w:val="24"/>
          <w14:textFill>
            <w14:solidFill>
              <w14:schemeClr w14:val="tx1"/>
            </w14:solidFill>
          </w14:textFill>
        </w:rPr>
      </w:pPr>
      <w:r>
        <w:rPr>
          <w:rFonts w:hint="eastAsia" w:ascii="黑体" w:eastAsia="黑体"/>
          <w:b w:val="0"/>
          <w:color w:val="000000" w:themeColor="text1"/>
          <w:kern w:val="0"/>
          <w:sz w:val="24"/>
          <w:szCs w:val="24"/>
          <w14:textFill>
            <w14:solidFill>
              <w14:schemeClr w14:val="tx1"/>
            </w14:solidFill>
          </w14:textFill>
        </w:rPr>
        <w:t>四、实质性条款响应情况表</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序号</w:t>
            </w:r>
          </w:p>
        </w:tc>
        <w:tc>
          <w:tcPr>
            <w:tcW w:w="2664" w:type="dxa"/>
            <w:vAlign w:val="center"/>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实质性条款具体内容</w:t>
            </w:r>
          </w:p>
        </w:tc>
        <w:tc>
          <w:tcPr>
            <w:tcW w:w="1588" w:type="dxa"/>
            <w:vAlign w:val="center"/>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谈判响应</w:t>
            </w:r>
          </w:p>
        </w:tc>
        <w:tc>
          <w:tcPr>
            <w:tcW w:w="1842" w:type="dxa"/>
            <w:vAlign w:val="center"/>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偏离情况</w:t>
            </w:r>
          </w:p>
        </w:tc>
        <w:tc>
          <w:tcPr>
            <w:tcW w:w="1418" w:type="dxa"/>
            <w:vAlign w:val="center"/>
          </w:tcPr>
          <w:p>
            <w:pPr>
              <w:adjustRightInd w:val="0"/>
              <w:snapToGrid w:val="0"/>
              <w:spacing w:line="360" w:lineRule="auto"/>
              <w:jc w:val="center"/>
              <w:rPr>
                <w:rFonts w:hint="eastAsia" w:ascii="宋体" w:hAnsi="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2664" w:type="dxa"/>
            <w:vAlign w:val="center"/>
          </w:tcPr>
          <w:p>
            <w:pPr>
              <w:adjustRightInd w:val="0"/>
              <w:snapToGrid w:val="0"/>
              <w:spacing w:line="360" w:lineRule="auto"/>
              <w:jc w:val="center"/>
              <w:rPr>
                <w:rFonts w:hint="eastAsia" w:hAnsi="宋体"/>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满足本项目标★的条款要求</w:t>
            </w:r>
          </w:p>
        </w:tc>
        <w:tc>
          <w:tcPr>
            <w:tcW w:w="1588" w:type="dxa"/>
          </w:tcPr>
          <w:p>
            <w:pPr>
              <w:adjustRightInd w:val="0"/>
              <w:snapToGrid w:val="0"/>
              <w:spacing w:line="360" w:lineRule="auto"/>
              <w:rPr>
                <w:rFonts w:hint="eastAsia" w:ascii="宋体" w:hAnsi="宋体"/>
                <w:color w:val="000000" w:themeColor="text1"/>
                <w:kern w:val="0"/>
                <w:szCs w:val="21"/>
                <w14:textFill>
                  <w14:solidFill>
                    <w14:schemeClr w14:val="tx1"/>
                  </w14:solidFill>
                </w14:textFill>
              </w:rPr>
            </w:pPr>
          </w:p>
        </w:tc>
        <w:tc>
          <w:tcPr>
            <w:tcW w:w="1842" w:type="dxa"/>
          </w:tcPr>
          <w:p>
            <w:pPr>
              <w:adjustRightInd w:val="0"/>
              <w:snapToGrid w:val="0"/>
              <w:spacing w:line="360" w:lineRule="auto"/>
              <w:rPr>
                <w:rFonts w:hint="eastAsia" w:ascii="宋体" w:hAnsi="宋体"/>
                <w:color w:val="000000" w:themeColor="text1"/>
                <w:kern w:val="0"/>
                <w:szCs w:val="21"/>
                <w14:textFill>
                  <w14:solidFill>
                    <w14:schemeClr w14:val="tx1"/>
                  </w14:solidFill>
                </w14:textFill>
              </w:rPr>
            </w:pPr>
          </w:p>
        </w:tc>
        <w:tc>
          <w:tcPr>
            <w:tcW w:w="1418" w:type="dxa"/>
          </w:tcPr>
          <w:p>
            <w:pPr>
              <w:adjustRightInd w:val="0"/>
              <w:snapToGrid w:val="0"/>
              <w:spacing w:line="360" w:lineRule="auto"/>
              <w:rPr>
                <w:rFonts w:hint="eastAsia" w:ascii="宋体" w:hAnsi="宋体"/>
                <w:color w:val="000000" w:themeColor="text1"/>
                <w:kern w:val="0"/>
                <w:szCs w:val="21"/>
                <w14:textFill>
                  <w14:solidFill>
                    <w14:schemeClr w14:val="tx1"/>
                  </w14:solidFill>
                </w14:textFill>
              </w:rPr>
            </w:pPr>
          </w:p>
        </w:tc>
      </w:tr>
    </w:tbl>
    <w:p>
      <w:pPr>
        <w:ind w:firstLine="482" w:firstLineChars="200"/>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注：1.上表所列各项均为不可负偏离条款。</w:t>
      </w:r>
    </w:p>
    <w:p>
      <w:pPr>
        <w:ind w:firstLine="482" w:firstLineChars="200"/>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2.“谈判响应”一栏应当详细填写供应商自身响应情况，而不能不合理照搬照抄谈判文件实质性条款具体内容。</w:t>
      </w:r>
    </w:p>
    <w:p>
      <w:pPr>
        <w:ind w:firstLine="482" w:firstLineChars="200"/>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3</w:t>
      </w:r>
      <w:r>
        <w:rPr>
          <w:b/>
          <w:color w:val="000000" w:themeColor="text1"/>
          <w:sz w:val="24"/>
          <w:szCs w:val="22"/>
          <w14:textFill>
            <w14:solidFill>
              <w14:schemeClr w14:val="tx1"/>
            </w14:solidFill>
          </w14:textFill>
        </w:rPr>
        <w:t>.</w:t>
      </w:r>
      <w:r>
        <w:rPr>
          <w:rFonts w:hint="eastAsia"/>
          <w:b/>
          <w:color w:val="000000" w:themeColor="text1"/>
          <w:sz w:val="24"/>
          <w:szCs w:val="22"/>
          <w14:textFill>
            <w14:solidFill>
              <w14:schemeClr w14:val="tx1"/>
            </w14:solidFill>
          </w14:textFill>
        </w:rPr>
        <w:t>“偏离情况”一栏应填写“正偏离”、“负偏离”或“无偏离”，</w:t>
      </w:r>
      <w:r>
        <w:rPr>
          <w:rFonts w:hint="eastAsia"/>
          <w:b/>
          <w:color w:val="000000" w:themeColor="text1"/>
          <w:sz w:val="24"/>
          <w14:textFill>
            <w14:solidFill>
              <w14:schemeClr w14:val="tx1"/>
            </w14:solidFill>
          </w14:textFill>
        </w:rPr>
        <w:t>“正偏离”表示“投标（应答）响应优于实质性条款具体内容要求”，“负偏离”表示“投标（应答）响应不满足实质性条款具体内容要求”，“无偏离”表示“投标（应答）响应与实质性条款具体内容要求一致”。</w:t>
      </w:r>
    </w:p>
    <w:p>
      <w:pPr>
        <w:ind w:firstLine="482"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4.</w:t>
      </w:r>
      <w:r>
        <w:rPr>
          <w:rFonts w:hint="eastAsia"/>
          <w:b/>
          <w:color w:val="000000" w:themeColor="text1"/>
          <w:sz w:val="24"/>
          <w14:textFill>
            <w14:solidFill>
              <w14:schemeClr w14:val="tx1"/>
            </w14:solidFill>
          </w14:textFill>
        </w:rPr>
        <w:t>谈判小组有权对谈判响应情况作出判断（作出评审结论）。</w:t>
      </w:r>
    </w:p>
    <w:p>
      <w:pPr>
        <w:ind w:firstLine="482" w:firstLineChars="200"/>
        <w:rPr>
          <w:b/>
          <w:color w:val="000000" w:themeColor="text1"/>
          <w:sz w:val="24"/>
          <w:szCs w:val="22"/>
          <w14:textFill>
            <w14:solidFill>
              <w14:schemeClr w14:val="tx1"/>
            </w14:solidFill>
          </w14:textFill>
        </w:rPr>
      </w:pPr>
      <w:r>
        <w:rPr>
          <w:b/>
          <w:color w:val="000000" w:themeColor="text1"/>
          <w:sz w:val="24"/>
          <w:szCs w:val="22"/>
          <w14:textFill>
            <w14:solidFill>
              <w14:schemeClr w14:val="tx1"/>
            </w14:solidFill>
          </w14:textFill>
        </w:rPr>
        <w:t>5</w:t>
      </w:r>
      <w:r>
        <w:rPr>
          <w:rFonts w:hint="eastAsia"/>
          <w:b/>
          <w:color w:val="000000" w:themeColor="text1"/>
          <w:sz w:val="24"/>
          <w:szCs w:val="22"/>
          <w14:textFill>
            <w14:solidFill>
              <w14:schemeClr w14:val="tx1"/>
            </w14:solidFill>
          </w14:textFill>
        </w:rPr>
        <w:t>.实质性响应条款“谈判响应”情况与应答文件其它内容冲突的，以实质性响应条款“谈判响应”内容为准。</w:t>
      </w:r>
    </w:p>
    <w:p>
      <w:pPr>
        <w:ind w:firstLine="482" w:firstLineChars="200"/>
        <w:rPr>
          <w:b/>
          <w:color w:val="000000" w:themeColor="text1"/>
          <w:sz w:val="24"/>
          <w:szCs w:val="22"/>
          <w14:textFill>
            <w14:solidFill>
              <w14:schemeClr w14:val="tx1"/>
            </w14:solidFill>
          </w14:textFill>
        </w:rPr>
      </w:pPr>
      <w:r>
        <w:rPr>
          <w:rFonts w:hint="eastAsia"/>
          <w:b/>
          <w:color w:val="000000" w:themeColor="text1"/>
          <w:sz w:val="24"/>
          <w:szCs w:val="22"/>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b/>
          <w:color w:val="000000" w:themeColor="text1"/>
          <w:sz w:val="24"/>
          <w:szCs w:val="22"/>
          <w14:textFill>
            <w14:solidFill>
              <w14:schemeClr w14:val="tx1"/>
            </w14:solidFill>
          </w14:textFill>
        </w:rPr>
        <w:t>要求提供证明资料，在“说明”一栏中列明证明资料的位置，以便谈判；未要求提供证明材料的，供应商可以不提供。</w:t>
      </w:r>
    </w:p>
    <w:p>
      <w:pPr>
        <w:ind w:firstLine="482" w:firstLineChars="200"/>
        <w:rPr>
          <w:b/>
          <w:color w:val="000000" w:themeColor="text1"/>
          <w:sz w:val="24"/>
          <w:szCs w:val="22"/>
          <w14:textFill>
            <w14:solidFill>
              <w14:schemeClr w14:val="tx1"/>
            </w14:solidFill>
          </w14:textFill>
        </w:rPr>
      </w:pPr>
    </w:p>
    <w:p>
      <w:pPr>
        <w:pStyle w:val="36"/>
        <w:rPr>
          <w:color w:val="000000" w:themeColor="text1"/>
          <w14:textFill>
            <w14:solidFill>
              <w14:schemeClr w14:val="tx1"/>
            </w14:solidFill>
          </w14:textFill>
        </w:rPr>
      </w:pPr>
    </w:p>
    <w:p>
      <w:pPr>
        <w:jc w:val="center"/>
        <w:rPr>
          <w:rFonts w:ascii="黑体" w:eastAsia="黑体"/>
          <w:color w:val="000000" w:themeColor="text1"/>
          <w:kern w:val="0"/>
          <w:sz w:val="24"/>
          <w14:textFill>
            <w14:solidFill>
              <w14:schemeClr w14:val="tx1"/>
            </w14:solidFill>
          </w14:textFill>
        </w:rPr>
      </w:pPr>
      <w:r>
        <w:rPr>
          <w:rFonts w:hint="eastAsia" w:ascii="黑体" w:hAnsi="宋体" w:eastAsia="黑体"/>
          <w:color w:val="000000" w:themeColor="text1"/>
          <w:sz w:val="24"/>
          <w:szCs w:val="20"/>
          <w14:textFill>
            <w14:solidFill>
              <w14:schemeClr w14:val="tx1"/>
            </w14:solidFill>
          </w14:textFill>
        </w:rPr>
        <w:t>五、</w:t>
      </w:r>
      <w:bookmarkStart w:id="43" w:name="_Hlk72260576"/>
      <w:r>
        <w:rPr>
          <w:rFonts w:hint="eastAsia" w:ascii="黑体" w:eastAsia="黑体"/>
          <w:color w:val="000000" w:themeColor="text1"/>
          <w:kern w:val="0"/>
          <w:sz w:val="24"/>
          <w14:textFill>
            <w14:solidFill>
              <w14:schemeClr w14:val="tx1"/>
            </w14:solidFill>
          </w14:textFill>
        </w:rPr>
        <w:t>供应商认为需要加以说明的其他内容</w:t>
      </w:r>
    </w:p>
    <w:p>
      <w:pP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widowControl/>
        <w:jc w:val="center"/>
        <w:rPr>
          <w:rFonts w:hint="eastAsia" w:ascii="黑体" w:hAnsi="宋体" w:eastAsia="黑体"/>
          <w:color w:val="000000" w:themeColor="text1"/>
          <w:kern w:val="0"/>
          <w:sz w:val="24"/>
          <w:szCs w:val="20"/>
          <w14:textFill>
            <w14:solidFill>
              <w14:schemeClr w14:val="tx1"/>
            </w14:solidFill>
          </w14:textFill>
        </w:rPr>
      </w:pPr>
      <w:r>
        <w:rPr>
          <w:rFonts w:hint="eastAsia" w:ascii="黑体" w:hAnsi="宋体" w:eastAsia="黑体"/>
          <w:color w:val="000000" w:themeColor="text1"/>
          <w:kern w:val="0"/>
          <w:sz w:val="24"/>
          <w:szCs w:val="20"/>
          <w14:textFill>
            <w14:solidFill>
              <w14:schemeClr w14:val="tx1"/>
            </w14:solidFill>
          </w14:textFill>
        </w:rPr>
        <w:t>（一）政府采购违法行为风险知悉确认书</w:t>
      </w:r>
    </w:p>
    <w:p>
      <w:pPr>
        <w:widowControl/>
        <w:jc w:val="center"/>
        <w:rPr>
          <w:rFonts w:hint="eastAsia" w:ascii="黑体" w:hAnsi="宋体" w:eastAsia="黑体"/>
          <w:color w:val="000000" w:themeColor="text1"/>
          <w:kern w:val="0"/>
          <w:sz w:val="24"/>
          <w:szCs w:val="20"/>
          <w14:textFill>
            <w14:solidFill>
              <w14:schemeClr w14:val="tx1"/>
            </w14:solidFill>
          </w14:textFill>
        </w:rPr>
      </w:pPr>
    </w:p>
    <w:p>
      <w:pPr>
        <w:spacing w:after="120" w:afterLines="50" w:line="36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我单位在应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78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供应商参与应答禁止情形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与其他响应供应商的法定代表人、主要经营负责人、应答授权代表人、项目负责人、主要技术人员为</w:t>
            </w:r>
            <w:r>
              <w:rPr>
                <w:rFonts w:hint="eastAsia" w:ascii="宋体" w:hAnsi="宋体" w:cs="宋体"/>
                <w:b/>
                <w:bCs/>
                <w:color w:val="000000" w:themeColor="text1"/>
                <w:szCs w:val="21"/>
                <w14:textFill>
                  <w14:solidFill>
                    <w14:schemeClr w14:val="tx1"/>
                  </w14:solidFill>
                </w14:textFill>
              </w:rPr>
              <w:t>同一人、属同一单位或者在同一单位缴纳社会保险</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参与本项目政府采购活动时，与其他响应供应商存在单位负责人为</w:t>
            </w:r>
            <w:r>
              <w:rPr>
                <w:rFonts w:hint="eastAsia" w:ascii="宋体" w:hAnsi="宋体" w:cs="宋体"/>
                <w:b/>
                <w:bCs/>
                <w:color w:val="000000" w:themeColor="text1"/>
                <w:szCs w:val="21"/>
                <w14:textFill>
                  <w14:solidFill>
                    <w14:schemeClr w14:val="tx1"/>
                  </w14:solidFill>
                </w14:textFill>
              </w:rPr>
              <w:t>同一人或直接控股、管理关系</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与其他响应供应商的应答文件或部分应答文件</w:t>
            </w:r>
            <w:r>
              <w:rPr>
                <w:rFonts w:hint="eastAsia" w:ascii="宋体" w:hAnsi="宋体" w:cs="宋体"/>
                <w:b/>
                <w:bCs/>
                <w:color w:val="000000" w:themeColor="text1"/>
                <w:szCs w:val="21"/>
                <w14:textFill>
                  <w14:solidFill>
                    <w14:schemeClr w14:val="tx1"/>
                  </w14:solidFill>
                </w14:textFill>
              </w:rPr>
              <w:t>相互混装或存在非正常一致</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与其他响应供应商的应答文件由</w:t>
            </w:r>
            <w:r>
              <w:rPr>
                <w:rFonts w:hint="eastAsia" w:ascii="宋体" w:hAnsi="宋体" w:cs="宋体"/>
                <w:b/>
                <w:bCs/>
                <w:color w:val="000000" w:themeColor="text1"/>
                <w:szCs w:val="21"/>
                <w14:textFill>
                  <w14:solidFill>
                    <w14:schemeClr w14:val="tx1"/>
                  </w14:solidFill>
                </w14:textFill>
              </w:rPr>
              <w:t>同一单位或者同一人编制</w:t>
            </w:r>
            <w:r>
              <w:rPr>
                <w:rFonts w:hint="eastAsia" w:ascii="宋体" w:hAnsi="宋体" w:cs="宋体"/>
                <w:color w:val="000000" w:themeColor="text1"/>
                <w:szCs w:val="21"/>
                <w14:textFill>
                  <w14:solidFill>
                    <w14:schemeClr w14:val="tx1"/>
                  </w14:solidFill>
                </w14:textFill>
              </w:rPr>
              <w:t>，或者使用</w:t>
            </w:r>
            <w:r>
              <w:rPr>
                <w:rFonts w:hint="eastAsia" w:ascii="宋体" w:hAnsi="宋体" w:cs="宋体"/>
                <w:b/>
                <w:bCs/>
                <w:color w:val="000000" w:themeColor="text1"/>
                <w:szCs w:val="21"/>
                <w14:textFill>
                  <w14:solidFill>
                    <w14:schemeClr w14:val="tx1"/>
                  </w14:solidFill>
                </w14:textFill>
              </w:rPr>
              <w:t>同一设备编制</w:t>
            </w:r>
            <w:r>
              <w:rPr>
                <w:rFonts w:hint="eastAsia" w:ascii="宋体" w:hAnsi="宋体" w:cs="宋体"/>
                <w:color w:val="000000" w:themeColor="text1"/>
                <w:szCs w:val="21"/>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w:t>
            </w:r>
            <w:r>
              <w:rPr>
                <w:rFonts w:hint="eastAsia" w:ascii="宋体" w:hAnsi="宋体" w:cs="宋体"/>
                <w:b/>
                <w:bCs/>
                <w:color w:val="000000" w:themeColor="text1"/>
                <w:szCs w:val="21"/>
                <w14:textFill>
                  <w14:solidFill>
                    <w14:schemeClr w14:val="tx1"/>
                  </w14:solidFill>
                </w14:textFill>
              </w:rPr>
              <w:t>未经出具机构核实</w:t>
            </w:r>
            <w:r>
              <w:rPr>
                <w:rFonts w:hint="eastAsia" w:ascii="宋体" w:hAnsi="宋体" w:cs="宋体"/>
                <w:color w:val="000000" w:themeColor="text1"/>
                <w:szCs w:val="21"/>
                <w14:textFill>
                  <w14:solidFill>
                    <w14:schemeClr w14:val="tx1"/>
                  </w14:solidFill>
                </w14:textFill>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7811"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擅自将应答密钥或电子营业执照出借他人使用或未妥善保管。</w:t>
            </w:r>
          </w:p>
        </w:tc>
      </w:tr>
    </w:tbl>
    <w:p>
      <w:pPr>
        <w:spacing w:before="120" w:beforeLines="50" w:line="38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一、我单位已充分知悉“隐瞒真实情况，提供虚假资料”的法定情形，包括但不限于：</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（一）通过转让或者租借等方式从其他单位获取资格或者资质证书投标的。</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（二）由其他单位或者其他单位负责人在投标供应商编制的投标文件上加盖印章或者签字的。</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（三）项目负责人或者主要技术人员不是本单位人员的。</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（四）投标保证金不是从投标供应商基本账户转出的。</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（五）其他隐瞒真实情况、提供虚假资料的行为。</w:t>
      </w:r>
    </w:p>
    <w:p>
      <w:pPr>
        <w:spacing w:line="38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二、我单位已充分知悉“与其他采购参加人串通投标”的法定情形，包括但不限于：</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（一）投标供应商之间相互约定给予未中标的供应商利益补偿。</w:t>
      </w:r>
    </w:p>
    <w:p>
      <w:pPr>
        <w:spacing w:line="38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（三）不同投标供应商的投标文件由同一单位或者同一人编制，或者由同一人分阶段参与编制的。</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（四）不同投标供应商的投标文件或部分投标文件相互混装。</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（五）不同投标供应商的投标文件内容存在非正常一致。</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（六）由同一单位工作人员为两家以上（含两家）供应商进行同一项投标活动的。</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（七）不同投标人的投标报价呈规律性差异。</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（八）不同投标人的投标保证金从同一单位或者个人的账户转出。</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（九）主管部门依照法律、法规认定的其他情形。</w:t>
      </w:r>
    </w:p>
    <w:p>
      <w:pPr>
        <w:spacing w:line="34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三、我单位已充分知悉下列情形存在法律风险，在投标前已对相关风险事项进行排查。</w:t>
      </w:r>
    </w:p>
    <w:p>
      <w:pPr>
        <w:spacing w:line="340" w:lineRule="exact"/>
        <w:ind w:firstLine="420"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（一）对于从其他主体获取的投标资料，我单位应审慎核查，确保其真实性。</w:t>
      </w:r>
      <w:r>
        <w:rPr>
          <w:rFonts w:hint="eastAsia" w:ascii="宋体" w:hAnsi="宋体" w:cs="宋体"/>
          <w:b/>
          <w:color w:val="000000" w:themeColor="text1"/>
          <w:szCs w:val="21"/>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color w:val="000000" w:themeColor="text1"/>
          <w:szCs w:val="21"/>
          <w14:textFill>
            <w14:solidFill>
              <w14:schemeClr w14:val="tx1"/>
            </w14:solidFill>
          </w14:textFill>
        </w:rPr>
        <w:t>擅自将投标密钥或电子营业执照出借他人使用所造成的法律后果，由我单位自行承担</w:t>
      </w:r>
      <w:r>
        <w:rPr>
          <w:rFonts w:hint="eastAsia" w:ascii="宋体" w:hAnsi="宋体" w:cs="宋体"/>
          <w:color w:val="000000" w:themeColor="text1"/>
          <w:szCs w:val="21"/>
          <w14:textFill>
            <w14:solidFill>
              <w14:schemeClr w14:val="tx1"/>
            </w14:solidFill>
          </w14:textFill>
        </w:rPr>
        <w:t>。</w:t>
      </w:r>
    </w:p>
    <w:p>
      <w:pPr>
        <w:spacing w:line="340" w:lineRule="exact"/>
        <w:ind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四、我单位已充分知悉政府采购违法、违规行为的法律后果。</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以下文字请响应供应商抄写并确认：“我单位已仔细阅读《政府采购违法行为风险知悉确认书》，充分知悉违法行为的法律后果，并承诺将严谨、诚信、依法依规参与政府采购活动”。</w:t>
      </w:r>
    </w:p>
    <w:tbl>
      <w:tblPr>
        <w:tblStyle w:val="475"/>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color w:val="000000" w:themeColor="text1"/>
                <w:spacing w:val="-4"/>
                <w:kern w:val="0"/>
                <w:szCs w:val="21"/>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color w:val="000000" w:themeColor="text1"/>
                <w:spacing w:val="-4"/>
                <w:kern w:val="0"/>
                <w:szCs w:val="21"/>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color w:val="000000" w:themeColor="text1"/>
                <w:spacing w:val="-4"/>
                <w:kern w:val="0"/>
                <w:szCs w:val="21"/>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color w:val="000000" w:themeColor="text1"/>
                <w:spacing w:val="-4"/>
                <w:kern w:val="0"/>
                <w:szCs w:val="21"/>
                <w14:textFill>
                  <w14:solidFill>
                    <w14:schemeClr w14:val="tx1"/>
                  </w14:solidFill>
                </w14:textFill>
              </w:rPr>
            </w:pPr>
          </w:p>
        </w:tc>
      </w:tr>
    </w:tbl>
    <w:p>
      <w:pPr>
        <w:widowControl/>
        <w:wordWrap w:val="0"/>
        <w:autoSpaceDE w:val="0"/>
        <w:autoSpaceDN w:val="0"/>
        <w:spacing w:line="340" w:lineRule="exact"/>
        <w:ind w:right="808" w:firstLine="404" w:firstLineChars="200"/>
        <w:jc w:val="right"/>
        <w:rPr>
          <w:rFonts w:hint="eastAsia" w:ascii="宋体" w:hAnsi="宋体" w:cs="宋体"/>
          <w:color w:val="000000" w:themeColor="text1"/>
          <w:spacing w:val="-4"/>
          <w:kern w:val="0"/>
          <w:szCs w:val="21"/>
          <w14:textFill>
            <w14:solidFill>
              <w14:schemeClr w14:val="tx1"/>
            </w14:solidFill>
          </w14:textFill>
        </w:rPr>
      </w:pPr>
    </w:p>
    <w:p>
      <w:pPr>
        <w:widowControl/>
        <w:wordWrap w:val="0"/>
        <w:autoSpaceDE w:val="0"/>
        <w:autoSpaceDN w:val="0"/>
        <w:spacing w:line="340" w:lineRule="exact"/>
        <w:ind w:right="808" w:firstLine="404" w:firstLineChars="200"/>
        <w:jc w:val="right"/>
        <w:rPr>
          <w:rFonts w:hint="eastAsia" w:ascii="宋体" w:hAnsi="宋体" w:cs="宋体"/>
          <w:color w:val="000000" w:themeColor="text1"/>
          <w:spacing w:val="-4"/>
          <w:kern w:val="0"/>
          <w:szCs w:val="21"/>
          <w:u w:val="single"/>
          <w14:textFill>
            <w14:solidFill>
              <w14:schemeClr w14:val="tx1"/>
            </w14:solidFill>
          </w14:textFill>
        </w:rPr>
      </w:pPr>
      <w:r>
        <w:rPr>
          <w:rFonts w:hint="eastAsia" w:ascii="宋体" w:hAnsi="宋体" w:cs="宋体"/>
          <w:color w:val="000000" w:themeColor="text1"/>
          <w:spacing w:val="-4"/>
          <w:kern w:val="0"/>
          <w:szCs w:val="21"/>
          <w14:textFill>
            <w14:solidFill>
              <w14:schemeClr w14:val="tx1"/>
            </w14:solidFill>
          </w14:textFill>
        </w:rPr>
        <w:t>单位负责人签名：</w:t>
      </w:r>
      <w:r>
        <w:rPr>
          <w:rFonts w:hint="eastAsia" w:ascii="宋体" w:hAnsi="宋体" w:cs="宋体"/>
          <w:color w:val="000000" w:themeColor="text1"/>
          <w:spacing w:val="-4"/>
          <w:kern w:val="0"/>
          <w:szCs w:val="21"/>
          <w:u w:val="single"/>
          <w14:textFill>
            <w14:solidFill>
              <w14:schemeClr w14:val="tx1"/>
            </w14:solidFill>
          </w14:textFill>
        </w:rPr>
        <w:t xml:space="preserve">              </w:t>
      </w:r>
    </w:p>
    <w:p>
      <w:pPr>
        <w:widowControl/>
        <w:wordWrap w:val="0"/>
        <w:autoSpaceDE w:val="0"/>
        <w:autoSpaceDN w:val="0"/>
        <w:spacing w:line="340" w:lineRule="exact"/>
        <w:ind w:right="808" w:firstLine="404" w:firstLineChars="200"/>
        <w:jc w:val="center"/>
        <w:rPr>
          <w:rFonts w:hint="eastAsia" w:ascii="宋体" w:hAnsi="宋体" w:cs="宋体"/>
          <w:color w:val="000000" w:themeColor="text1"/>
          <w:spacing w:val="-4"/>
          <w:kern w:val="0"/>
          <w:szCs w:val="21"/>
          <w:u w:val="single"/>
          <w14:textFill>
            <w14:solidFill>
              <w14:schemeClr w14:val="tx1"/>
            </w14:solidFill>
          </w14:textFill>
        </w:rPr>
      </w:pPr>
      <w:r>
        <w:rPr>
          <w:rFonts w:hint="eastAsia" w:ascii="宋体" w:hAnsi="宋体" w:cs="宋体"/>
          <w:color w:val="000000" w:themeColor="text1"/>
          <w:spacing w:val="-4"/>
          <w:kern w:val="0"/>
          <w:szCs w:val="21"/>
          <w14:textFill>
            <w14:solidFill>
              <w14:schemeClr w14:val="tx1"/>
            </w14:solidFill>
          </w14:textFill>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color w:val="000000" w:themeColor="text1"/>
          <w:spacing w:val="-4"/>
          <w:kern w:val="0"/>
          <w:szCs w:val="21"/>
          <w:u w:val="single"/>
          <w14:textFill>
            <w14:solidFill>
              <w14:schemeClr w14:val="tx1"/>
            </w14:solidFill>
          </w14:textFill>
        </w:rPr>
      </w:pPr>
      <w:r>
        <w:rPr>
          <w:rFonts w:hint="eastAsia" w:ascii="宋体" w:hAnsi="宋体" w:cs="宋体"/>
          <w:color w:val="000000" w:themeColor="text1"/>
          <w:spacing w:val="-4"/>
          <w:kern w:val="0"/>
          <w:szCs w:val="21"/>
          <w14:textFill>
            <w14:solidFill>
              <w14:schemeClr w14:val="tx1"/>
            </w14:solidFill>
          </w14:textFill>
        </w:rPr>
        <w:t xml:space="preserve">     日期：</w:t>
      </w:r>
      <w:r>
        <w:rPr>
          <w:rFonts w:hint="eastAsia" w:ascii="宋体" w:hAnsi="宋体" w:cs="宋体"/>
          <w:color w:val="000000" w:themeColor="text1"/>
          <w:spacing w:val="-4"/>
          <w:kern w:val="0"/>
          <w:szCs w:val="21"/>
          <w:u w:val="single"/>
          <w14:textFill>
            <w14:solidFill>
              <w14:schemeClr w14:val="tx1"/>
            </w14:solidFill>
          </w14:textFill>
        </w:rPr>
        <w:t xml:space="preserve">              </w:t>
      </w:r>
    </w:p>
    <w:p>
      <w:pPr>
        <w:widowControl/>
        <w:autoSpaceDE w:val="0"/>
        <w:autoSpaceDN w:val="0"/>
        <w:spacing w:line="340" w:lineRule="exact"/>
        <w:ind w:firstLine="406" w:firstLineChars="200"/>
        <w:jc w:val="left"/>
        <w:rPr>
          <w:rFonts w:hint="eastAsia" w:ascii="宋体" w:hAnsi="宋体" w:cs="宋体"/>
          <w:b/>
          <w:bCs/>
          <w:color w:val="000000" w:themeColor="text1"/>
          <w:spacing w:val="-4"/>
          <w:kern w:val="0"/>
          <w:szCs w:val="21"/>
          <w14:textFill>
            <w14:solidFill>
              <w14:schemeClr w14:val="tx1"/>
            </w14:solidFill>
          </w14:textFill>
        </w:rPr>
      </w:pPr>
    </w:p>
    <w:p>
      <w:pPr>
        <w:widowControl/>
        <w:autoSpaceDE w:val="0"/>
        <w:autoSpaceDN w:val="0"/>
        <w:spacing w:line="340" w:lineRule="exact"/>
        <w:ind w:firstLine="406" w:firstLineChars="200"/>
        <w:jc w:val="left"/>
        <w:rPr>
          <w:rFonts w:hint="eastAsia" w:ascii="宋体" w:hAnsi="宋体" w:cs="宋体"/>
          <w:b/>
          <w:bCs/>
          <w:color w:val="000000" w:themeColor="text1"/>
          <w:spacing w:val="-4"/>
          <w:kern w:val="0"/>
          <w:szCs w:val="21"/>
          <w14:textFill>
            <w14:solidFill>
              <w14:schemeClr w14:val="tx1"/>
            </w14:solidFill>
          </w14:textFill>
        </w:rPr>
      </w:pPr>
      <w:r>
        <w:rPr>
          <w:rFonts w:hint="eastAsia" w:ascii="宋体" w:hAnsi="宋体" w:cs="宋体"/>
          <w:b/>
          <w:bCs/>
          <w:color w:val="000000" w:themeColor="text1"/>
          <w:spacing w:val="-4"/>
          <w:kern w:val="0"/>
          <w:szCs w:val="21"/>
          <w14:textFill>
            <w14:solidFill>
              <w14:schemeClr w14:val="tx1"/>
            </w14:solidFill>
          </w14:textFill>
        </w:rPr>
        <w:t>注：1.《政府采购违法行为风险知悉确认书》需由响应供应商负责人签字并加盖单位公章后，扫描上传至应答文件一并提交。</w:t>
      </w:r>
    </w:p>
    <w:p>
      <w:pPr>
        <w:pStyle w:val="479"/>
        <w:rPr>
          <w:rFonts w:hint="eastAsia" w:ascii="宋体" w:hAnsi="宋体"/>
          <w:color w:val="000000" w:themeColor="text1"/>
          <w:spacing w:val="-4"/>
          <w:kern w:val="0"/>
          <w:u w:val="single"/>
          <w14:textFill>
            <w14:solidFill>
              <w14:schemeClr w14:val="tx1"/>
            </w14:solidFill>
          </w14:textFill>
        </w:rPr>
      </w:pPr>
      <w:r>
        <w:rPr>
          <w:rFonts w:hint="eastAsia" w:ascii="宋体" w:hAnsi="宋体" w:cs="宋体"/>
          <w:b/>
          <w:bCs/>
          <w:color w:val="000000" w:themeColor="text1"/>
          <w:spacing w:val="-4"/>
          <w:kern w:val="0"/>
          <w:szCs w:val="21"/>
          <w14:textFill>
            <w14:solidFill>
              <w14:schemeClr w14:val="tx1"/>
            </w14:solidFill>
          </w14:textFill>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jc w:val="center"/>
        <w:rPr>
          <w:rFonts w:ascii="黑体" w:eastAsia="黑体"/>
          <w:color w:val="000000" w:themeColor="text1"/>
          <w:sz w:val="24"/>
          <w:szCs w:val="20"/>
          <w14:textFill>
            <w14:solidFill>
              <w14:schemeClr w14:val="tx1"/>
            </w14:solidFill>
          </w14:textFill>
        </w:rPr>
      </w:pPr>
    </w:p>
    <w:p>
      <w:pPr>
        <w:jc w:val="center"/>
        <w:rPr>
          <w:rFonts w:ascii="黑体" w:eastAsia="黑体"/>
          <w:color w:val="000000" w:themeColor="text1"/>
          <w:sz w:val="24"/>
          <w:szCs w:val="20"/>
          <w14:textFill>
            <w14:solidFill>
              <w14:schemeClr w14:val="tx1"/>
            </w14:solidFill>
          </w14:textFill>
        </w:rPr>
      </w:pPr>
      <w:r>
        <w:rPr>
          <w:rFonts w:hint="eastAsia" w:ascii="黑体" w:eastAsia="黑体"/>
          <w:color w:val="000000" w:themeColor="text1"/>
          <w:sz w:val="24"/>
          <w:szCs w:val="20"/>
          <w14:textFill>
            <w14:solidFill>
              <w14:schemeClr w14:val="tx1"/>
            </w14:solidFill>
          </w14:textFill>
        </w:rPr>
        <w:t>（二）订单融资情况</w:t>
      </w:r>
    </w:p>
    <w:p>
      <w:pPr>
        <w:ind w:firstLine="42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1、关于政府采购订单融资政策</w:t>
      </w:r>
    </w:p>
    <w:p>
      <w:pPr>
        <w:pStyle w:val="2"/>
        <w:spacing w:line="240" w:lineRule="auto"/>
        <w:ind w:firstLine="420" w:firstLineChars="200"/>
        <w:rPr>
          <w:b w:val="0"/>
          <w:color w:val="000000" w:themeColor="text1"/>
          <w:sz w:val="21"/>
          <w:szCs w:val="21"/>
          <w14:textFill>
            <w14:solidFill>
              <w14:schemeClr w14:val="tx1"/>
            </w14:solidFill>
          </w14:textFill>
        </w:rPr>
      </w:pPr>
      <w:r>
        <w:rPr>
          <w:rFonts w:hint="eastAsia"/>
          <w:b w:val="0"/>
          <w:color w:val="000000" w:themeColor="text1"/>
          <w:sz w:val="21"/>
          <w:szCs w:val="21"/>
          <w14:textFill>
            <w14:solidFill>
              <w14:schemeClr w14:val="tx1"/>
            </w14:solidFill>
          </w14:textFill>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2、供应商账户信息</w:t>
      </w:r>
    </w:p>
    <w:p>
      <w:pPr>
        <w:ind w:left="420" w:leftChars="200"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供应商（单位全称）：</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ind w:left="420" w:leftChars="200"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供应商单位地址：</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420" w:leftChars="200"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法定代表人（负责人）或其授权委托代理人：</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420" w:leftChars="200" w:firstLine="210" w:firstLineChars="100"/>
        <w:rPr>
          <w:color w:val="000000" w:themeColor="text1"/>
          <w:szCs w:val="21"/>
          <w:u w:val="thick"/>
          <w14:textFill>
            <w14:solidFill>
              <w14:schemeClr w14:val="tx1"/>
            </w14:solidFill>
          </w14:textFill>
        </w:rPr>
      </w:pPr>
      <w:r>
        <w:rPr>
          <w:rFonts w:hint="eastAsia"/>
          <w:color w:val="000000" w:themeColor="text1"/>
          <w:szCs w:val="21"/>
          <w14:textFill>
            <w14:solidFill>
              <w14:schemeClr w14:val="tx1"/>
            </w14:solidFill>
          </w14:textFill>
        </w:rPr>
        <w:t>联系电话：</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szCs w:val="21"/>
          <w:u w:val="thick"/>
          <w14:textFill>
            <w14:solidFill>
              <w14:schemeClr w14:val="tx1"/>
            </w14:solidFill>
          </w14:textFill>
        </w:rPr>
        <w:t xml:space="preserve">               </w:t>
      </w:r>
    </w:p>
    <w:p>
      <w:pPr>
        <w:ind w:left="420" w:leftChars="200"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开户银行名称：</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420" w:leftChars="200" w:firstLine="210" w:firstLineChars="100"/>
        <w:rPr>
          <w:color w:val="000000" w:themeColor="text1"/>
          <w:szCs w:val="21"/>
          <w:u w:val="thick"/>
          <w14:textFill>
            <w14:solidFill>
              <w14:schemeClr w14:val="tx1"/>
            </w14:solidFill>
          </w14:textFill>
        </w:rPr>
      </w:pPr>
      <w:r>
        <w:rPr>
          <w:rFonts w:hint="eastAsia"/>
          <w:color w:val="000000" w:themeColor="text1"/>
          <w:szCs w:val="21"/>
          <w14:textFill>
            <w14:solidFill>
              <w14:schemeClr w14:val="tx1"/>
            </w14:solidFill>
          </w14:textFill>
        </w:rPr>
        <w:t>开户银行账号：</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ind w:left="420" w:leftChars="200"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开户银行地址：</w:t>
      </w:r>
      <w:r>
        <w:rPr>
          <w:rFonts w:hint="eastAsia"/>
          <w:color w:val="000000" w:themeColor="text1"/>
          <w:szCs w:val="21"/>
          <w:u w:val="thick"/>
          <w14:textFill>
            <w14:solidFill>
              <w14:schemeClr w14:val="tx1"/>
            </w14:solidFill>
          </w14:textFill>
        </w:rPr>
        <w:t xml:space="preserve">                                                                                     </w:t>
      </w:r>
      <w:r>
        <w:rPr>
          <w:rFonts w:hint="eastAsia"/>
          <w:color w:val="000000" w:themeColor="text1"/>
          <w:szCs w:val="21"/>
          <w14:textFill>
            <w14:solidFill>
              <w14:schemeClr w14:val="tx1"/>
            </w14:solidFill>
          </w14:textFill>
        </w:rPr>
        <w:t>。</w:t>
      </w:r>
    </w:p>
    <w:p>
      <w:pPr>
        <w:widowControl/>
        <w:autoSpaceDE w:val="0"/>
        <w:autoSpaceDN w:val="0"/>
        <w:spacing w:line="400" w:lineRule="exact"/>
        <w:ind w:firstLine="420" w:firstLineChars="200"/>
        <w:jc w:val="left"/>
        <w:rPr>
          <w:rFonts w:hint="eastAsia" w:ascii="宋体" w:hAnsi="宋体"/>
          <w:color w:val="000000" w:themeColor="text1"/>
          <w:spacing w:val="-4"/>
          <w:kern w:val="0"/>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eastAsia" w:ascii="宋体" w:hAnsi="宋体" w:eastAsiaTheme="minorEastAsia"/>
          <w:b/>
          <w:bCs/>
          <w:color w:val="000000" w:themeColor="text1"/>
          <w:spacing w:val="-4"/>
          <w:kern w:val="0"/>
          <w:szCs w:val="21"/>
          <w14:textFill>
            <w14:solidFill>
              <w14:schemeClr w14:val="tx1"/>
            </w14:solidFill>
          </w14:textFill>
        </w:rPr>
        <w:t>注：本项填写内容作为订单融资开展的参考信息，不作为供应商资格性审查及符合性审查条件。</w:t>
      </w:r>
    </w:p>
    <w:p>
      <w:pPr>
        <w:widowControl/>
        <w:autoSpaceDE w:val="0"/>
        <w:autoSpaceDN w:val="0"/>
        <w:spacing w:line="400" w:lineRule="exact"/>
        <w:ind w:right="808" w:firstLine="404" w:firstLineChars="200"/>
        <w:jc w:val="right"/>
        <w:rPr>
          <w:rFonts w:hint="eastAsia" w:ascii="宋体" w:hAnsi="宋体"/>
          <w:color w:val="000000" w:themeColor="text1"/>
          <w:spacing w:val="-4"/>
          <w:kern w:val="0"/>
          <w:u w:val="single"/>
          <w14:textFill>
            <w14:solidFill>
              <w14:schemeClr w14:val="tx1"/>
            </w14:solidFill>
          </w14:textFill>
        </w:rPr>
      </w:pPr>
    </w:p>
    <w:p>
      <w:pPr>
        <w:widowControl/>
        <w:jc w:val="center"/>
        <w:rPr>
          <w:rFonts w:hint="eastAsia" w:ascii="黑体" w:hAnsi="宋体" w:eastAsia="黑体"/>
          <w:color w:val="000000" w:themeColor="text1"/>
          <w:kern w:val="0"/>
          <w:sz w:val="24"/>
          <w:szCs w:val="20"/>
          <w14:textFill>
            <w14:solidFill>
              <w14:schemeClr w14:val="tx1"/>
            </w14:solidFill>
          </w14:textFill>
        </w:rPr>
      </w:pPr>
      <w:r>
        <w:rPr>
          <w:rFonts w:hint="eastAsia" w:ascii="黑体" w:hAnsi="宋体" w:eastAsia="黑体"/>
          <w:color w:val="000000" w:themeColor="text1"/>
          <w:kern w:val="0"/>
          <w:sz w:val="24"/>
          <w:szCs w:val="20"/>
          <w14:textFill>
            <w14:solidFill>
              <w14:schemeClr w14:val="tx1"/>
            </w14:solidFill>
          </w14:textFill>
        </w:rPr>
        <w:t>（三）供应商认为需要加以说明的其他内容（格式自定）</w:t>
      </w:r>
    </w:p>
    <w:p>
      <w:pPr>
        <w:widowControl/>
        <w:autoSpaceDE w:val="0"/>
        <w:autoSpaceDN w:val="0"/>
        <w:spacing w:line="400" w:lineRule="exact"/>
        <w:ind w:right="808" w:firstLine="404" w:firstLineChars="200"/>
        <w:jc w:val="right"/>
        <w:rPr>
          <w:rFonts w:hint="eastAsia" w:ascii="宋体" w:hAnsi="宋体"/>
          <w:color w:val="000000" w:themeColor="text1"/>
          <w:spacing w:val="-4"/>
          <w:kern w:val="0"/>
          <w:u w:val="single"/>
          <w14:textFill>
            <w14:solidFill>
              <w14:schemeClr w14:val="tx1"/>
            </w14:solidFill>
          </w14:textFill>
        </w:rPr>
      </w:pPr>
    </w:p>
    <w:bookmarkEnd w:id="43"/>
    <w:p>
      <w:pPr>
        <w:rPr>
          <w:color w:val="000000" w:themeColor="text1"/>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pStyle w:val="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  合同条款及格式</w:t>
      </w:r>
    </w:p>
    <w:p>
      <w:pPr>
        <w:ind w:firstLine="411" w:firstLineChars="196"/>
        <w:rPr>
          <w:color w:val="000000" w:themeColor="text1"/>
          <w14:textFill>
            <w14:solidFill>
              <w14:schemeClr w14:val="tx1"/>
            </w14:solidFill>
          </w14:textFill>
        </w:rPr>
      </w:pPr>
    </w:p>
    <w:p>
      <w:pPr>
        <w:jc w:val="center"/>
        <w:outlineLvl w:val="0"/>
        <w:rPr>
          <w:color w:val="000000" w:themeColor="text1"/>
          <w14:textFill>
            <w14:solidFill>
              <w14:schemeClr w14:val="tx1"/>
            </w14:solidFill>
          </w14:textFill>
        </w:rPr>
      </w:pPr>
      <w:r>
        <w:rPr>
          <w:rFonts w:hint="eastAsia"/>
          <w:b/>
          <w:color w:val="000000" w:themeColor="text1"/>
          <w:sz w:val="24"/>
          <w14:textFill>
            <w14:solidFill>
              <w14:schemeClr w14:val="tx1"/>
            </w14:solidFill>
          </w14:textFill>
        </w:rPr>
        <w:t>（仅供参考，具体以项目需求及采购结果为准）</w:t>
      </w:r>
    </w:p>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甲方：</w:t>
      </w:r>
      <w:r>
        <w:rPr>
          <w:rFonts w:ascii="宋体" w:hAnsi="宋体"/>
          <w:b/>
          <w:bCs/>
          <w:color w:val="000000" w:themeColor="text1"/>
          <w:szCs w:val="21"/>
          <w14:textFill>
            <w14:solidFill>
              <w14:schemeClr w14:val="tx1"/>
            </w14:solidFill>
          </w14:textFill>
        </w:rPr>
        <w:t xml:space="preserve"> </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ascii="宋体" w:hAnsi="宋体"/>
          <w:color w:val="000000" w:themeColor="text1"/>
          <w:szCs w:val="21"/>
          <w14:textFill>
            <w14:solidFill>
              <w14:schemeClr w14:val="tx1"/>
            </w14:solidFill>
          </w14:textFill>
        </w:rPr>
        <w:t xml:space="preserve">                          </w:t>
      </w:r>
    </w:p>
    <w:p>
      <w:pP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 </w:t>
      </w:r>
      <w:r>
        <w:rPr>
          <w:rFonts w:ascii="宋体" w:hAnsi="宋体"/>
          <w:b/>
          <w:bCs/>
          <w:color w:val="000000" w:themeColor="text1"/>
          <w:szCs w:val="21"/>
          <w14:textFill>
            <w14:solidFill>
              <w14:schemeClr w14:val="tx1"/>
            </w14:solidFill>
          </w14:textFill>
        </w:rPr>
        <w:t xml:space="preserve"> </w:t>
      </w:r>
    </w:p>
    <w:p>
      <w:pPr>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乙方：</w:t>
      </w:r>
      <w:r>
        <w:rPr>
          <w:rFonts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 xml:space="preserve">          </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ascii="宋体" w:hAnsi="宋体"/>
          <w:color w:val="000000" w:themeColor="text1"/>
          <w:szCs w:val="21"/>
          <w14:textFill>
            <w14:solidFill>
              <w14:schemeClr w14:val="tx1"/>
            </w14:solidFill>
          </w14:textFill>
        </w:rPr>
        <w:t xml:space="preserve">                          </w:t>
      </w:r>
    </w:p>
    <w:p>
      <w:pPr>
        <w:rPr>
          <w:rFonts w:hint="eastAsia"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p>
      <w:pPr>
        <w:rPr>
          <w:rFonts w:hint="eastAsia" w:ascii="宋体" w:hAnsi="宋体"/>
          <w:color w:val="000000" w:themeColor="text1"/>
          <w:szCs w:val="2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根据深圳公共资源交易中心（深圳交易集团有限公司政府采购业务分公司）*</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号项目结果，*</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单位为成交供应商。按照《中华人民共和国民法典》（第三编 合同）》和《深圳经济特区政府采购条例》，经深圳市（以下简称甲方）和单位（以下简称乙方）协商，就甲方委托乙方承担</w:t>
      </w:r>
      <w:r>
        <w:rPr>
          <w:rFonts w:hint="eastAsia" w:ascii="宋体" w:hAnsi="宋体"/>
          <w:b/>
          <w:bCs/>
          <w:snapToGrid w:val="0"/>
          <w:color w:val="000000" w:themeColor="text1"/>
          <w:kern w:val="0"/>
          <w:szCs w:val="21"/>
          <w:u w:val="single"/>
          <w:lang w:val="zh-CN" w:bidi="ar"/>
          <w14:textFill>
            <w14:solidFill>
              <w14:schemeClr w14:val="tx1"/>
            </w14:solidFill>
          </w14:textFill>
        </w:rPr>
        <w:t>前海深港国际服务城土地整备土地价值评估</w:t>
      </w:r>
      <w:r>
        <w:rPr>
          <w:rFonts w:hint="eastAsia" w:ascii="宋体" w:hAnsi="宋体"/>
          <w:b/>
          <w:bCs/>
          <w:snapToGrid w:val="0"/>
          <w:color w:val="000000" w:themeColor="text1"/>
          <w:kern w:val="0"/>
          <w:szCs w:val="21"/>
          <w:u w:val="single"/>
          <w:lang w:val="zh-CN"/>
          <w14:textFill>
            <w14:solidFill>
              <w14:schemeClr w14:val="tx1"/>
            </w14:solidFill>
          </w14:textFill>
        </w:rPr>
        <w:t>项目</w:t>
      </w:r>
      <w:r>
        <w:rPr>
          <w:rFonts w:hint="eastAsia" w:ascii="宋体" w:hAnsi="宋体"/>
          <w:color w:val="000000" w:themeColor="text1"/>
          <w:szCs w:val="21"/>
          <w14:textFill>
            <w14:solidFill>
              <w14:schemeClr w14:val="tx1"/>
            </w14:solidFill>
          </w14:textFill>
        </w:rPr>
        <w:t>，达成以下合同条款：</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第一条　项目概况</w:t>
      </w:r>
    </w:p>
    <w:p>
      <w:pPr>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项目名称：</w:t>
      </w:r>
      <w:r>
        <w:rPr>
          <w:rFonts w:hint="eastAsia" w:ascii="宋体" w:hAnsi="宋体"/>
          <w:b/>
          <w:bCs/>
          <w:snapToGrid w:val="0"/>
          <w:color w:val="000000" w:themeColor="text1"/>
          <w:kern w:val="0"/>
          <w:szCs w:val="21"/>
          <w:lang w:val="zh-CN" w:bidi="ar"/>
          <w14:textFill>
            <w14:solidFill>
              <w14:schemeClr w14:val="tx1"/>
            </w14:solidFill>
          </w14:textFill>
        </w:rPr>
        <w:t>前海深港国际服务城土地整备土地价值评估</w:t>
      </w:r>
      <w:r>
        <w:rPr>
          <w:rFonts w:hint="eastAsia" w:ascii="宋体" w:hAnsi="宋体"/>
          <w:b/>
          <w:bCs/>
          <w:snapToGrid w:val="0"/>
          <w:color w:val="000000" w:themeColor="text1"/>
          <w:kern w:val="0"/>
          <w:szCs w:val="21"/>
          <w:lang w:val="zh-CN"/>
          <w14:textFill>
            <w14:solidFill>
              <w14:schemeClr w14:val="tx1"/>
            </w14:solidFill>
          </w14:textFill>
        </w:rPr>
        <w:t>项目</w:t>
      </w:r>
    </w:p>
    <w:p>
      <w:pPr>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服务时间：</w:t>
      </w:r>
      <w:r>
        <w:rPr>
          <w:rFonts w:hint="eastAsia" w:ascii="宋体" w:hAnsi="宋体" w:cs="宋体"/>
          <w:color w:val="000000" w:themeColor="text1"/>
          <w:kern w:val="0"/>
          <w:szCs w:val="21"/>
          <w:lang w:bidi="ar"/>
          <w14:textFill>
            <w14:solidFill>
              <w14:schemeClr w14:val="tx1"/>
            </w14:solidFill>
          </w14:textFill>
        </w:rPr>
        <w:t>自合同签订之日起1年。</w:t>
      </w:r>
      <w:r>
        <w:rPr>
          <w:rFonts w:ascii="宋体" w:hAnsi="宋体" w:cs="宋体"/>
          <w:color w:val="000000" w:themeColor="text1"/>
          <w:kern w:val="0"/>
          <w:szCs w:val="21"/>
          <w:lang w:bidi="ar"/>
          <w14:textFill>
            <w14:solidFill>
              <w14:schemeClr w14:val="tx1"/>
            </w14:solidFill>
          </w14:textFill>
        </w:rPr>
        <w:t>经采购人与中标单位双方协商一致的，可延长工作期限至项目完成。</w:t>
      </w:r>
      <w:r>
        <w:rPr>
          <w:rFonts w:hint="eastAsia" w:ascii="宋体" w:hAnsi="宋体"/>
          <w:color w:val="000000" w:themeColor="text1"/>
          <w:szCs w:val="21"/>
          <w14:textFill>
            <w14:solidFill>
              <w14:schemeClr w14:val="tx1"/>
            </w14:solidFill>
          </w14:textFill>
        </w:rPr>
        <w:t xml:space="preserve"> </w:t>
      </w:r>
    </w:p>
    <w:p>
      <w:pPr>
        <w:ind w:firstLine="422" w:firstLineChars="200"/>
        <w:rPr>
          <w:rFonts w:hint="eastAsia" w:hAnsi="宋体" w:cs="宋体"/>
          <w:color w:val="000000"/>
          <w:szCs w:val="21"/>
        </w:rPr>
      </w:pPr>
      <w:r>
        <w:rPr>
          <w:rFonts w:hint="eastAsia" w:ascii="宋体" w:hAnsi="宋体"/>
          <w:b/>
          <w:bCs/>
          <w:color w:val="000000" w:themeColor="text1"/>
          <w:szCs w:val="21"/>
          <w14:textFill>
            <w14:solidFill>
              <w14:schemeClr w14:val="tx1"/>
            </w14:solidFill>
          </w14:textFill>
        </w:rPr>
        <w:t>合同金额：</w:t>
      </w:r>
    </w:p>
    <w:p>
      <w:pPr>
        <w:ind w:firstLine="420" w:firstLineChars="200"/>
        <w:rPr>
          <w:rFonts w:hint="eastAsia" w:hAnsi="宋体" w:cs="宋体"/>
          <w:color w:val="000000"/>
          <w:szCs w:val="21"/>
        </w:rPr>
      </w:pPr>
      <w:r>
        <w:rPr>
          <w:rFonts w:hint="eastAsia" w:ascii="宋体" w:hAnsi="宋体" w:cs="宋体"/>
          <w:color w:val="000000" w:themeColor="text1"/>
          <w:kern w:val="0"/>
          <w:szCs w:val="21"/>
          <w:lang w:bidi="ar"/>
          <w14:textFill>
            <w14:solidFill>
              <w14:schemeClr w14:val="tx1"/>
            </w14:solidFill>
          </w14:textFill>
        </w:rPr>
        <w:t>折扣率</w:t>
      </w:r>
      <w:r>
        <w:rPr>
          <w:rFonts w:hint="eastAsia" w:hAnsi="宋体" w:cs="宋体"/>
          <w:color w:val="000000"/>
          <w:szCs w:val="21"/>
        </w:rPr>
        <w:t>：____xx____；</w:t>
      </w:r>
    </w:p>
    <w:p>
      <w:pPr>
        <w:ind w:firstLine="420" w:firstLineChars="200"/>
        <w:rPr>
          <w:rFonts w:hint="eastAsia" w:hAnsi="宋体" w:cs="宋体"/>
          <w:color w:val="000000"/>
          <w:szCs w:val="21"/>
        </w:rPr>
      </w:pPr>
      <w:r>
        <w:rPr>
          <w:rFonts w:hint="eastAsia" w:hAnsi="宋体" w:cs="宋体"/>
          <w:color w:val="000000"/>
          <w:szCs w:val="21"/>
        </w:rPr>
        <w:t>支付上限</w:t>
      </w:r>
      <w:r>
        <w:rPr>
          <w:rFonts w:hint="eastAsia" w:ascii="宋体" w:hAnsi="宋体" w:cs="宋体"/>
          <w:color w:val="000000" w:themeColor="text1"/>
          <w:kern w:val="0"/>
          <w:szCs w:val="21"/>
          <w:lang w:bidi="ar"/>
          <w14:textFill>
            <w14:solidFill>
              <w14:schemeClr w14:val="tx1"/>
            </w14:solidFill>
          </w14:textFill>
        </w:rPr>
        <w:t>金额</w:t>
      </w:r>
      <w:r>
        <w:rPr>
          <w:rFonts w:hint="eastAsia" w:hAnsi="宋体" w:cs="宋体"/>
          <w:color w:val="000000"/>
          <w:szCs w:val="21"/>
        </w:rPr>
        <w:t>：</w:t>
      </w:r>
    </w:p>
    <w:p>
      <w:pPr>
        <w:ind w:firstLine="420" w:firstLineChars="200"/>
        <w:rPr>
          <w:rFonts w:hint="eastAsia" w:ascii="宋体" w:hAnsi="宋体" w:cs="宋体"/>
          <w:color w:val="000000"/>
          <w:szCs w:val="21"/>
        </w:rPr>
      </w:pPr>
      <w:r>
        <w:rPr>
          <w:rFonts w:hint="eastAsia" w:ascii="宋体" w:hAnsi="宋体" w:cs="宋体"/>
          <w:color w:val="000000"/>
          <w:szCs w:val="21"/>
        </w:rPr>
        <w:t>合同金额应包括本项目合同期内乙方企业服务成本、法定税费、企业的利润以及乙方为完成本项目服务所发生的全部相关费用，包含但不限于调研、估价费用等。在合同实施期间，除另签补充合同外，甲方不接受乙方以任何理由、任何名目提出增加费用的要求。</w:t>
      </w:r>
    </w:p>
    <w:p>
      <w:pPr>
        <w:ind w:firstLine="422" w:firstLineChars="200"/>
        <w:rPr>
          <w:rFonts w:hint="eastAsia" w:ascii="宋体" w:hAnsi="宋体" w:cs="宋体"/>
          <w:color w:val="000000"/>
          <w:szCs w:val="21"/>
        </w:rPr>
      </w:pPr>
      <w:r>
        <w:rPr>
          <w:rFonts w:hint="eastAsia" w:ascii="宋体" w:hAnsi="宋体"/>
          <w:b/>
          <w:bCs/>
          <w:color w:val="000000" w:themeColor="text1"/>
          <w:szCs w:val="21"/>
          <w14:textFill>
            <w14:solidFill>
              <w14:schemeClr w14:val="tx1"/>
            </w14:solidFill>
          </w14:textFill>
        </w:rPr>
        <w:t>项目结算：</w:t>
      </w:r>
    </w:p>
    <w:p>
      <w:pPr>
        <w:ind w:firstLine="420" w:firstLineChars="200"/>
        <w:rPr>
          <w:rFonts w:hint="eastAsia" w:ascii="宋体" w:hAnsi="宋体" w:cs="宋体"/>
          <w:szCs w:val="21"/>
        </w:rPr>
      </w:pPr>
      <w:r>
        <w:rPr>
          <w:rFonts w:hint="eastAsia" w:ascii="宋体" w:hAnsi="宋体" w:cs="宋体"/>
          <w:szCs w:val="21"/>
        </w:rPr>
        <w:t>首先根据《深圳市不动产估价行业收费管理规定》（深估协字〔2013〕04号）进行测算，再下浮19%，最后乘以中标</w:t>
      </w:r>
      <w:r>
        <w:rPr>
          <w:rFonts w:hint="eastAsia" w:ascii="宋体" w:hAnsi="宋体" w:cs="宋体"/>
          <w:color w:val="000000" w:themeColor="text1"/>
          <w:kern w:val="0"/>
          <w:szCs w:val="21"/>
          <w:lang w:bidi="ar"/>
          <w14:textFill>
            <w14:solidFill>
              <w14:schemeClr w14:val="tx1"/>
            </w14:solidFill>
          </w14:textFill>
        </w:rPr>
        <w:t>折扣率</w:t>
      </w:r>
      <w:r>
        <w:rPr>
          <w:rFonts w:hint="eastAsia" w:ascii="宋体" w:hAnsi="宋体" w:cs="宋体"/>
          <w:szCs w:val="21"/>
        </w:rPr>
        <w:t>（如有，以采购谈判结果为准）为结算金额。本项目结算金额不得超过本项目合同金额。</w:t>
      </w:r>
    </w:p>
    <w:p>
      <w:pPr>
        <w:pStyle w:val="8"/>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支付方式：</w:t>
      </w:r>
      <w:r>
        <w:rPr>
          <w:rFonts w:hint="eastAsia" w:ascii="宋体" w:hAnsi="宋体"/>
          <w:color w:val="000000" w:themeColor="text1"/>
          <w:szCs w:val="21"/>
          <w14:textFill>
            <w14:solidFill>
              <w14:schemeClr w14:val="tx1"/>
            </w14:solidFill>
          </w14:textFill>
        </w:rPr>
        <w:t>分期支付。</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第二条  服务内容</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本项目是为前海管理局了解</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提供参考。</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（1）根据采购人提供的</w:t>
      </w:r>
      <w:r>
        <w:rPr>
          <w:rFonts w:ascii="宋体" w:hAnsi="宋体" w:cs="宋体"/>
          <w:color w:val="000000" w:themeColor="text1"/>
          <w:kern w:val="0"/>
          <w:szCs w:val="21"/>
          <w:lang w:bidi="ar"/>
          <w14:textFill>
            <w14:solidFill>
              <w14:schemeClr w14:val="tx1"/>
            </w14:solidFill>
          </w14:textFill>
        </w:rPr>
        <w:t>土地出让合同等评估已出让用地的原规划条件下的土地价值，根据采购人提供的</w:t>
      </w:r>
      <w:r>
        <w:rPr>
          <w:rFonts w:hint="eastAsia" w:ascii="宋体" w:hAnsi="宋体" w:cs="宋体"/>
          <w:color w:val="000000" w:themeColor="text1"/>
          <w:kern w:val="0"/>
          <w:szCs w:val="21"/>
          <w:lang w:bidi="ar"/>
          <w14:textFill>
            <w14:solidFill>
              <w14:schemeClr w14:val="tx1"/>
            </w14:solidFill>
          </w14:textFill>
        </w:rPr>
        <w:t>规划</w:t>
      </w:r>
      <w:r>
        <w:rPr>
          <w:rFonts w:ascii="宋体" w:hAnsi="宋体" w:cs="宋体"/>
          <w:color w:val="000000" w:themeColor="text1"/>
          <w:kern w:val="0"/>
          <w:szCs w:val="21"/>
          <w:lang w:bidi="ar"/>
          <w14:textFill>
            <w14:solidFill>
              <w14:schemeClr w14:val="tx1"/>
            </w14:solidFill>
          </w14:textFill>
        </w:rPr>
        <w:t>设计</w:t>
      </w:r>
      <w:r>
        <w:rPr>
          <w:rFonts w:hint="eastAsia" w:ascii="宋体" w:hAnsi="宋体" w:cs="宋体"/>
          <w:color w:val="000000" w:themeColor="text1"/>
          <w:kern w:val="0"/>
          <w:szCs w:val="21"/>
          <w:lang w:bidi="ar"/>
          <w14:textFill>
            <w14:solidFill>
              <w14:schemeClr w14:val="tx1"/>
            </w14:solidFill>
          </w14:textFill>
        </w:rPr>
        <w:t>条件、宗地位置、产权限制条件等</w:t>
      </w:r>
      <w:r>
        <w:rPr>
          <w:rFonts w:ascii="宋体" w:hAnsi="宋体" w:cs="宋体"/>
          <w:color w:val="000000" w:themeColor="text1"/>
          <w:kern w:val="0"/>
          <w:szCs w:val="21"/>
          <w:lang w:bidi="ar"/>
          <w14:textFill>
            <w14:solidFill>
              <w14:schemeClr w14:val="tx1"/>
            </w14:solidFill>
          </w14:textFill>
        </w:rPr>
        <w:t>评估置换用地的新规划条件下的土地价值</w:t>
      </w:r>
      <w:r>
        <w:rPr>
          <w:rFonts w:hint="eastAsia" w:ascii="宋体" w:hAnsi="宋体" w:cs="宋体"/>
          <w:color w:val="000000" w:themeColor="text1"/>
          <w:kern w:val="0"/>
          <w:szCs w:val="21"/>
          <w:lang w:bidi="ar"/>
          <w14:textFill>
            <w14:solidFill>
              <w14:schemeClr w14:val="tx1"/>
            </w14:solidFill>
          </w14:textFill>
        </w:rPr>
        <w:t>，并出具土地估价报告，估价过程及估价报告须严格执行以下标准、技术规范、法律、法规及相关政策。</w:t>
      </w:r>
    </w:p>
    <w:p>
      <w:pPr>
        <w:ind w:firstLine="420" w:firstLineChars="200"/>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（2）为前海管理局提供与</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评估相关的技术支持工作，包括但不限于：土地整备</w:t>
      </w:r>
      <w:r>
        <w:rPr>
          <w:rFonts w:ascii="宋体" w:hAnsi="宋体" w:cs="宋体"/>
          <w:color w:val="000000" w:themeColor="text1"/>
          <w:kern w:val="0"/>
          <w:szCs w:val="21"/>
          <w:lang w:bidi="ar"/>
          <w14:textFill>
            <w14:solidFill>
              <w14:schemeClr w14:val="tx1"/>
            </w14:solidFill>
          </w14:textFill>
        </w:rPr>
        <w:t>土</w:t>
      </w:r>
      <w:r>
        <w:rPr>
          <w:rFonts w:hint="eastAsia" w:ascii="宋体" w:hAnsi="宋体" w:cs="宋体"/>
          <w:color w:val="000000" w:themeColor="text1"/>
          <w:kern w:val="0"/>
          <w:szCs w:val="21"/>
          <w:lang w:bidi="ar"/>
          <w14:textFill>
            <w14:solidFill>
              <w14:schemeClr w14:val="tx1"/>
            </w14:solidFill>
          </w14:textFill>
        </w:rPr>
        <w:t>地价</w:t>
      </w:r>
      <w:r>
        <w:rPr>
          <w:rFonts w:ascii="宋体" w:hAnsi="宋体" w:cs="宋体"/>
          <w:color w:val="000000" w:themeColor="text1"/>
          <w:kern w:val="0"/>
          <w:szCs w:val="21"/>
          <w:lang w:bidi="ar"/>
          <w14:textFill>
            <w14:solidFill>
              <w14:schemeClr w14:val="tx1"/>
            </w14:solidFill>
          </w14:textFill>
        </w:rPr>
        <w:t>值</w:t>
      </w:r>
      <w:r>
        <w:rPr>
          <w:rFonts w:hint="eastAsia" w:ascii="宋体" w:hAnsi="宋体" w:cs="宋体"/>
          <w:color w:val="000000" w:themeColor="text1"/>
          <w:kern w:val="0"/>
          <w:szCs w:val="21"/>
          <w:lang w:bidi="ar"/>
          <w14:textFill>
            <w14:solidFill>
              <w14:schemeClr w14:val="tx1"/>
            </w14:solidFill>
          </w14:textFill>
        </w:rPr>
        <w:t>评估前期咨询服务；对出具的前海深港国际服务城土地整备</w:t>
      </w:r>
      <w:r>
        <w:rPr>
          <w:rFonts w:ascii="宋体" w:hAnsi="宋体" w:cs="宋体"/>
          <w:color w:val="000000" w:themeColor="text1"/>
          <w:kern w:val="0"/>
          <w:szCs w:val="21"/>
          <w:lang w:bidi="ar"/>
          <w14:textFill>
            <w14:solidFill>
              <w14:schemeClr w14:val="tx1"/>
            </w14:solidFill>
          </w14:textFill>
        </w:rPr>
        <w:t>土地价值</w:t>
      </w:r>
      <w:r>
        <w:rPr>
          <w:rFonts w:hint="eastAsia" w:ascii="宋体" w:hAnsi="宋体" w:cs="宋体"/>
          <w:color w:val="000000" w:themeColor="text1"/>
          <w:kern w:val="0"/>
          <w:szCs w:val="21"/>
          <w:lang w:bidi="ar"/>
          <w14:textFill>
            <w14:solidFill>
              <w14:schemeClr w14:val="tx1"/>
            </w14:solidFill>
          </w14:textFill>
        </w:rPr>
        <w:t>估价报告进行解释和说明；为前海管理局</w:t>
      </w:r>
      <w:r>
        <w:rPr>
          <w:rFonts w:hint="eastAsia" w:ascii="宋体" w:hAnsi="宋体"/>
          <w:bCs/>
          <w:color w:val="000000" w:themeColor="text1"/>
          <w:szCs w:val="21"/>
          <w14:textFill>
            <w14:solidFill>
              <w14:schemeClr w14:val="tx1"/>
            </w14:solidFill>
          </w14:textFill>
        </w:rPr>
        <w:t>提供</w:t>
      </w:r>
      <w:r>
        <w:rPr>
          <w:rFonts w:ascii="宋体" w:hAnsi="宋体" w:cs="宋体"/>
          <w:color w:val="000000" w:themeColor="text1"/>
          <w:kern w:val="0"/>
          <w:szCs w:val="21"/>
          <w:lang w:bidi="ar"/>
          <w14:textFill>
            <w14:solidFill>
              <w14:schemeClr w14:val="tx1"/>
            </w14:solidFill>
          </w14:textFill>
        </w:rPr>
        <w:t>前海</w:t>
      </w:r>
      <w:r>
        <w:rPr>
          <w:rFonts w:hint="eastAsia" w:ascii="宋体" w:hAnsi="宋体" w:cs="宋体"/>
          <w:color w:val="000000" w:themeColor="text1"/>
          <w:kern w:val="0"/>
          <w:szCs w:val="21"/>
          <w:lang w:bidi="ar"/>
          <w14:textFill>
            <w14:solidFill>
              <w14:schemeClr w14:val="tx1"/>
            </w14:solidFill>
          </w14:textFill>
        </w:rPr>
        <w:t>深港国际服务城土地整备项目相关地价政策及评估技术规范、评估方法的咨询服务。</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时间要求及阶段成果</w:t>
      </w:r>
    </w:p>
    <w:p>
      <w:pPr>
        <w:widowControl/>
        <w:ind w:firstLine="420" w:firstLineChars="200"/>
      </w:pPr>
      <w:r>
        <w:rPr>
          <w:rFonts w:hint="eastAsia"/>
          <w:szCs w:val="22"/>
        </w:rPr>
        <w:t>工作期限为自委托合同签订之日起1年，</w:t>
      </w:r>
      <w:r>
        <w:rPr>
          <w:szCs w:val="22"/>
        </w:rPr>
        <w:t>经</w:t>
      </w:r>
      <w:r>
        <w:rPr>
          <w:rFonts w:hint="eastAsia"/>
          <w:szCs w:val="22"/>
        </w:rPr>
        <w:t>甲方</w:t>
      </w:r>
      <w:r>
        <w:rPr>
          <w:szCs w:val="22"/>
        </w:rPr>
        <w:t>与</w:t>
      </w:r>
      <w:r>
        <w:rPr>
          <w:rFonts w:hint="eastAsia"/>
          <w:szCs w:val="22"/>
        </w:rPr>
        <w:t>乙方</w:t>
      </w:r>
      <w:r>
        <w:rPr>
          <w:szCs w:val="22"/>
        </w:rPr>
        <w:t>双方协商一致的，可延长工作期限至项目完成</w:t>
      </w:r>
      <w:r>
        <w:rPr>
          <w:rFonts w:hint="eastAsia"/>
          <w:szCs w:val="22"/>
        </w:rPr>
        <w:t>。在工作期限内，乙方应于甲方评估申请（委托）之日起十</w:t>
      </w:r>
      <w:r>
        <w:rPr>
          <w:rFonts w:hint="eastAsia"/>
        </w:rPr>
        <w:t>二个月内提交成果，其中：</w:t>
      </w:r>
    </w:p>
    <w:p>
      <w:pPr>
        <w:widowControl/>
        <w:ind w:firstLine="420" w:firstLineChars="200"/>
        <w:rPr>
          <w:szCs w:val="22"/>
        </w:rPr>
      </w:pPr>
      <w:r>
        <w:rPr>
          <w:rFonts w:hint="eastAsia"/>
          <w:szCs w:val="22"/>
        </w:rPr>
        <w:t>（1）估价资料完备的情况下，乙方应按</w:t>
      </w:r>
      <w:r>
        <w:rPr>
          <w:szCs w:val="22"/>
        </w:rPr>
        <w:t>委托人</w:t>
      </w:r>
      <w:r>
        <w:rPr>
          <w:rFonts w:hint="eastAsia"/>
          <w:szCs w:val="22"/>
        </w:rPr>
        <w:t>要求提交估价结果，并提交正式估价报告书及电子文档；</w:t>
      </w:r>
    </w:p>
    <w:p>
      <w:pPr>
        <w:ind w:firstLine="420" w:firstLineChars="200"/>
        <w:rPr>
          <w:rFonts w:hint="eastAsia" w:ascii="宋体" w:hAnsi="宋体"/>
          <w:color w:val="000000" w:themeColor="text1"/>
          <w:szCs w:val="21"/>
          <w14:textFill>
            <w14:solidFill>
              <w14:schemeClr w14:val="tx1"/>
            </w14:solidFill>
          </w14:textFill>
        </w:rPr>
      </w:pPr>
      <w:r>
        <w:rPr>
          <w:rFonts w:hint="eastAsia"/>
          <w:szCs w:val="22"/>
        </w:rPr>
        <w:t>（2）估价资料不完备或者甲方有特殊需要的情况下，由甲方与乙方双方协商具体工作时间要求，乙方应配合采购人按时完成</w:t>
      </w:r>
      <w:r>
        <w:rPr>
          <w:szCs w:val="22"/>
        </w:rPr>
        <w:t>土地价值评估工作</w:t>
      </w:r>
      <w:r>
        <w:rPr>
          <w:rFonts w:hint="eastAsia"/>
          <w:szCs w:val="22"/>
        </w:rPr>
        <w:t>。</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项目资料归属</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所有提交给</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方的服务</w:t>
      </w:r>
      <w:r>
        <w:rPr>
          <w:rFonts w:hint="eastAsia"/>
          <w:color w:val="000000" w:themeColor="text1"/>
          <w14:textFill>
            <w14:solidFill>
              <w14:schemeClr w14:val="tx1"/>
            </w14:solidFill>
          </w14:textFill>
        </w:rPr>
        <w:t>文件</w:t>
      </w:r>
      <w:r>
        <w:rPr>
          <w:color w:val="000000" w:themeColor="text1"/>
          <w14:textFill>
            <w14:solidFill>
              <w14:schemeClr w14:val="tx1"/>
            </w14:solidFill>
          </w14:textFill>
        </w:rPr>
        <w:t>及相关的资料的最后文本，包括为履行</w:t>
      </w:r>
      <w:r>
        <w:rPr>
          <w:rFonts w:hint="eastAsia"/>
          <w:color w:val="000000" w:themeColor="text1"/>
          <w14:textFill>
            <w14:solidFill>
              <w14:schemeClr w14:val="tx1"/>
            </w14:solidFill>
          </w14:textFill>
        </w:rPr>
        <w:t>合同</w:t>
      </w:r>
      <w:r>
        <w:rPr>
          <w:color w:val="000000" w:themeColor="text1"/>
          <w14:textFill>
            <w14:solidFill>
              <w14:schemeClr w14:val="tx1"/>
            </w14:solidFill>
          </w14:textFill>
        </w:rPr>
        <w:t>所编制的图纸、计划和证明资料等，都属于</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方的财产，</w:t>
      </w:r>
      <w:r>
        <w:rPr>
          <w:rFonts w:hint="eastAsia" w:ascii="宋体" w:hAnsi="宋体"/>
          <w:color w:val="000000" w:themeColor="text1"/>
          <w:szCs w:val="21"/>
          <w14:textFill>
            <w14:solidFill>
              <w14:schemeClr w14:val="tx1"/>
            </w14:solidFill>
          </w14:textFill>
        </w:rPr>
        <w:t>乙</w:t>
      </w:r>
      <w:r>
        <w:rPr>
          <w:color w:val="000000" w:themeColor="text1"/>
          <w14:textFill>
            <w14:solidFill>
              <w14:schemeClr w14:val="tx1"/>
            </w14:solidFill>
          </w14:textFill>
        </w:rPr>
        <w:t>方在提交给</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方之前应将上述资料进行整理归类和编制索引</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乙</w:t>
      </w:r>
      <w:r>
        <w:rPr>
          <w:color w:val="000000" w:themeColor="text1"/>
          <w14:textFill>
            <w14:solidFill>
              <w14:schemeClr w14:val="tx1"/>
            </w14:solidFill>
          </w14:textFill>
        </w:rPr>
        <w:t>方未经</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方的书面同意，不得将上述资料用于与本项目之外的任何项目</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合同履行</w:t>
      </w:r>
      <w:r>
        <w:rPr>
          <w:rFonts w:hint="eastAsia"/>
          <w:color w:val="000000" w:themeColor="text1"/>
          <w14:textFill>
            <w14:solidFill>
              <w14:schemeClr w14:val="tx1"/>
            </w14:solidFill>
          </w14:textFill>
        </w:rPr>
        <w:t>完毕，</w:t>
      </w:r>
      <w:r>
        <w:rPr>
          <w:color w:val="000000" w:themeColor="text1"/>
          <w14:textFill>
            <w14:solidFill>
              <w14:schemeClr w14:val="tx1"/>
            </w14:solidFill>
          </w14:textFill>
        </w:rPr>
        <w:t>未经</w:t>
      </w:r>
      <w:r>
        <w:rPr>
          <w:rFonts w:hint="eastAsia"/>
          <w:color w:val="000000" w:themeColor="text1"/>
          <w14:textFill>
            <w14:solidFill>
              <w14:schemeClr w14:val="tx1"/>
            </w14:solidFill>
          </w14:textFill>
        </w:rPr>
        <w:t>甲</w:t>
      </w:r>
      <w:r>
        <w:rPr>
          <w:color w:val="000000" w:themeColor="text1"/>
          <w14:textFill>
            <w14:solidFill>
              <w14:schemeClr w14:val="tx1"/>
            </w14:solidFill>
          </w14:textFill>
        </w:rPr>
        <w:t>方的书面同意</w:t>
      </w:r>
      <w:r>
        <w:rPr>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乙</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不得保存在</w:t>
      </w:r>
      <w:r>
        <w:rPr>
          <w:color w:val="000000" w:themeColor="text1"/>
          <w14:textFill>
            <w14:solidFill>
              <w14:schemeClr w14:val="tx1"/>
            </w14:solidFill>
          </w14:textFill>
        </w:rPr>
        <w:t>履行合同过程中所获得或接触到的任何</w:t>
      </w:r>
      <w:r>
        <w:rPr>
          <w:rFonts w:hint="eastAsia" w:ascii="宋体" w:hAnsi="宋体"/>
          <w:color w:val="000000" w:themeColor="text1"/>
          <w:szCs w:val="21"/>
          <w14:textFill>
            <w14:solidFill>
              <w14:schemeClr w14:val="tx1"/>
            </w14:solidFill>
          </w14:textFill>
        </w:rPr>
        <w:t>内部数据资料。</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第五条  甲方的权利</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、有权向乙方询问工作进展情况及相关的内容。</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、有权阐述对具体问题的</w:t>
      </w:r>
      <w:r>
        <w:rPr>
          <w:rFonts w:hint="eastAsia" w:ascii="宋体" w:hAnsi="宋体" w:cs="宋体"/>
          <w:color w:val="000000" w:themeColor="text1"/>
          <w:kern w:val="0"/>
          <w:szCs w:val="21"/>
          <w:lang w:bidi="ar"/>
          <w14:textFill>
            <w14:solidFill>
              <w14:schemeClr w14:val="tx1"/>
            </w14:solidFill>
          </w14:textFill>
        </w:rPr>
        <w:t>意见</w:t>
      </w:r>
      <w:r>
        <w:rPr>
          <w:rFonts w:hint="eastAsia" w:ascii="宋体" w:hAnsi="宋体"/>
          <w:color w:val="000000" w:themeColor="text1"/>
          <w:szCs w:val="21"/>
          <w14:textFill>
            <w14:solidFill>
              <w14:schemeClr w14:val="tx1"/>
            </w14:solidFill>
          </w14:textFill>
        </w:rPr>
        <w:t>和建议。</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、当甲方认定乙方人员不按合同履行其职责，或与第三人串通给甲方造成经济损失的，甲方有权要求更换人员，直至终止合同并要求乙方承担相应的赔偿责任。</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乙方的权利</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、乙方在本项目服务过程中，如甲方提供的资料不明确时可向甲方提出书面报告。</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、乙方在本项目服务过程中，有权对第三方提出与本咨询服务业务有关的问题进行核对或查问。</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、乙方在本项目服务过程中，有到工程现场勘察的权利。</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甲方的责任与义务</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1、应当履行本合同约定的义务，如有违反则应当承担违约责任，赔偿给乙方造成的损失。</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2、甲方向乙方提出赔偿要求不能成立时，则应补偿由于该赔偿或其他要求所导致乙方的各种费用的支出。</w:t>
      </w:r>
    </w:p>
    <w:p>
      <w:pPr>
        <w:ind w:firstLine="420" w:firstLineChars="200"/>
      </w:pPr>
      <w:r>
        <w:rPr>
          <w:rFonts w:hint="eastAsia" w:ascii="宋体" w:hAnsi="宋体"/>
          <w:color w:val="000000" w:themeColor="text1"/>
          <w:szCs w:val="21"/>
          <w14:textFill>
            <w14:solidFill>
              <w14:schemeClr w14:val="tx1"/>
            </w14:solidFill>
          </w14:textFill>
        </w:rPr>
        <w:t>3、向乙方提供与本项目工作有关的资料。</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第八条  乙方的责任与义务</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2、乙方的责任期内，应当履行本合同中约定的义务，因乙方的单方过失造成的经济损失，应当向甲方进行赔偿。</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3、乙方对甲方或第三方所提出的问题不能及时核对或答复，导致合同不能全部或部分履行，乙方应承担责任。</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4、乙方向甲方提出赔偿要求不能成立时，则应补偿由于该赔偿或其他要求所导致甲方的各种费用的支出。</w:t>
      </w:r>
    </w:p>
    <w:p>
      <w:pPr>
        <w:ind w:firstLine="420" w:firstLineChars="200"/>
      </w:pPr>
      <w:r>
        <w:rPr>
          <w:rFonts w:hint="eastAsia" w:ascii="宋体" w:hAnsi="宋体"/>
          <w:color w:val="000000" w:themeColor="text1"/>
          <w:szCs w:val="21"/>
          <w14:textFill>
            <w14:solidFill>
              <w14:schemeClr w14:val="tx1"/>
            </w14:solidFill>
          </w14:textFill>
        </w:rPr>
        <w:t>5、应按照谈判文件及应答文件要求按期完成本项目咨工作。</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人员要求</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1、参加本项目的人员必须具有国家和有关部门规定的相应资质。</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2、参加本项目的人员的配置必须与应答文件中的实施方案一致。</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3、必须以直属人员参与本项目服务，不得使用挂靠队伍。</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第十三条  保密要求</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乙方在履行合同过程中所获得或接触到的任何</w:t>
      </w:r>
      <w:r>
        <w:rPr>
          <w:rFonts w:hint="eastAsia" w:ascii="宋体" w:hAnsi="宋体"/>
          <w:color w:val="000000" w:themeColor="text1"/>
          <w:szCs w:val="21"/>
          <w14:textFill>
            <w14:solidFill>
              <w14:schemeClr w14:val="tx1"/>
            </w14:solidFill>
          </w14:textFill>
        </w:rPr>
        <w:t>内部数据资料，未经甲方同意，不得向第三方透露。</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实施项目的一切程序都应符合国家安全、保密的有关规定和标准。</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参加项目的有关人员均需同甲方签订保密协议。</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第十条  验收     </w:t>
      </w:r>
    </w:p>
    <w:p>
      <w:pPr>
        <w:ind w:firstLine="420" w:firstLineChars="200"/>
        <w:rPr>
          <w:rFonts w:hint="eastAsia" w:ascii="宋体" w:hAnsi="宋体"/>
          <w:color w:val="000000" w:themeColor="text1"/>
          <w:szCs w:val="21"/>
          <w14:textFill>
            <w14:solidFill>
              <w14:schemeClr w14:val="tx1"/>
            </w14:solidFill>
          </w14:textFill>
        </w:rPr>
      </w:pPr>
      <w:r>
        <w:rPr>
          <w:rFonts w:hint="eastAsia"/>
        </w:rPr>
        <w:t>由前海管理局规划管理部门验收通过。</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付款方式</w:t>
      </w:r>
    </w:p>
    <w:p>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项目费用拟分三期付款。第一期支付节点为自签订合同之日起十五个工作日内，支付合同金额中的300万元；第二期支付节点为完成并提交前海深港国际服务城已批未开发用地原规划条件下土地价值评估报告初稿，经前海管理局规划管理部门验收后支付合同金额中的200万元；第三期支付节点为完成并提交本项目最终成果，经前海管理局规划管理部门验收后，支付项目尾款（尾款=结算金额-已支付金额）。</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第十二条  争议解决办法</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执行本合同发生的争议，由甲乙双方协商解决。如协商不成的，应提交甲方所在地人民法院诉讼解决。</w:t>
      </w:r>
    </w:p>
    <w:p>
      <w:pPr>
        <w:ind w:firstLine="420" w:firstLineChars="200"/>
        <w:rPr>
          <w:rFonts w:hint="eastAsia" w:ascii="宋体" w:hAnsi="宋体"/>
          <w:color w:val="000000" w:themeColor="text1"/>
          <w:szCs w:val="21"/>
          <w14:textFill>
            <w14:solidFill>
              <w14:schemeClr w14:val="tx1"/>
            </w14:solidFill>
          </w14:textFill>
        </w:rPr>
      </w:pP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第十三条  风险责任</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１、乙方应完全地按照号谈判文件的要求和乙方投标（应答）文件的承诺完成本项目，出于自身财务、技术、人力等原因导致项目失败的，应承担全部责任。</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2、乙方在履行合同过程中应对自身的安全生产负责，若非甲方原因发生的各种事故甲方不承担任何责任。</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第十四条  违约责任</w:t>
      </w:r>
    </w:p>
    <w:p>
      <w:pPr>
        <w:pStyle w:val="19"/>
        <w:spacing w:line="24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１、因乙方原因，未能按规定时间完成有关工作的，每延误一天，甲方可在支付合同余款中扣除合同价款千分之一。</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2、由于乙方原因造成项目成果质量低劣，不能满足大纲要求时，应继续完善工作，其费用由乙方承担。</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交付的成果经验收不合格，应于7日内无条件修改，费用由乙方自行承担，在甲方要求整改后再次验收不合格的，甲方有权解除合同、要求乙方返还甲方已支付的合同款项，并有权要求乙方按合同总额5%支付违约金。</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4、若甲方发现乙方派出的人员不符合合同要求，乙方应在3天之内按要求派出人员，否则甲方有权终止合同，并保留追究乙方责任及要求赔偿损失的权利。</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5、乙方或其工作人员违反本合同约定的保密义务，甲方有权要求乙方按合同总额5%支付违约金；造成不良影响或对甲方造成损失的，甲方有权要求乙方消除影响，承担赔偿责任，并有权解除合同。</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6、因乙方提供的服务成果受到侵权指控或者引发法律纠纷，影响甲方使用服务成果或者导致合同目的不能实现的，甲方有权要求乙方按合同总额5%支付违约金，并有权解除合同。</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第十五条  其他</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1、本协议书与下列文件一起构成合同文件，如下述文件之间有任何抵触、矛盾或歧义，应按以下顺序解释：</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（1）政府采购合同协议书及其变更、补充协议</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（2）政府采购合同专用条款</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（3）政府采购合同通用条款</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（4）中标（成交）通知书</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（5）投标（响应）文件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（6）采购文件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（7）有关技术文件，图纸</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（8）国家法律、行政法规和规章制度规定或合同约定的作为合同组成部分的其他文件。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2、下列文件均为本合同的组成部分：</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（1）谈判文件、答疑及补充通知；</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（2）应答文件；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（3）本合同执行中共同签署的补充与修正文件。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本合同一式陆份，甲、乙方双方各执叁份，具有同等法律效力。本合同自双方法人代表签字（盖章）认可之日起生效。</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本合同未尽事宜，双方友好协商，达成解决方案，经双方签字后，可作为本合同的有效附件。</w:t>
      </w:r>
    </w:p>
    <w:p>
      <w:pPr>
        <w:ind w:firstLine="420" w:firstLineChars="200"/>
        <w:rPr>
          <w:rFonts w:hint="eastAsia" w:ascii="宋体" w:hAnsi="宋体"/>
          <w:color w:val="000000" w:themeColor="text1"/>
          <w:szCs w:val="2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p>
    <w:p>
      <w:pPr>
        <w:spacing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甲方（采购人）：   （盖章）       乙方（供应商）：    （盖章）</w:t>
      </w:r>
    </w:p>
    <w:p>
      <w:pPr>
        <w:spacing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                     法定代表人： </w:t>
      </w:r>
    </w:p>
    <w:p>
      <w:pPr>
        <w:spacing w:line="360" w:lineRule="auto"/>
        <w:ind w:firstLine="56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         日期：   年     月    日</w:t>
      </w:r>
    </w:p>
    <w:p>
      <w:pPr>
        <w:ind w:firstLine="420" w:firstLineChars="200"/>
        <w:rPr>
          <w:rFonts w:hint="eastAsia" w:ascii="宋体" w:hAnsi="宋体"/>
          <w:color w:val="000000" w:themeColor="text1"/>
          <w:szCs w:val="2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p>
    <w:p>
      <w:pPr>
        <w:ind w:firstLine="420" w:firstLineChars="200"/>
        <w:rPr>
          <w:rFonts w:hint="eastAsia" w:ascii="宋体" w:hAnsi="宋体"/>
          <w:color w:val="000000" w:themeColor="text1"/>
          <w:szCs w:val="21"/>
          <w14:textFill>
            <w14:solidFill>
              <w14:schemeClr w14:val="tx1"/>
            </w14:solidFill>
          </w14:textFill>
        </w:rPr>
      </w:pPr>
    </w:p>
    <w:p>
      <w:pPr>
        <w:ind w:firstLine="527" w:firstLineChars="250"/>
        <w:rPr>
          <w:rFonts w:hint="eastAsia" w:ascii="宋体" w:hAnsi="宋体"/>
          <w:b/>
          <w:color w:val="000000" w:themeColor="text1"/>
          <w:szCs w:val="21"/>
          <w14:textFill>
            <w14:solidFill>
              <w14:schemeClr w14:val="tx1"/>
            </w14:solidFill>
          </w14:textFill>
        </w:rPr>
        <w:sectPr>
          <w:pgSz w:w="11907" w:h="16840"/>
          <w:pgMar w:top="1440" w:right="1797" w:bottom="1440" w:left="1797" w:header="851" w:footer="992" w:gutter="0"/>
          <w:cols w:space="425" w:num="1"/>
          <w:titlePg/>
          <w:docGrid w:linePitch="462" w:charSpace="0"/>
        </w:sectPr>
      </w:pPr>
    </w:p>
    <w:p>
      <w:pPr>
        <w:pStyle w:val="6"/>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第六章 </w:t>
      </w:r>
      <w:r>
        <w:rPr>
          <w:color w:val="000000" w:themeColor="text1"/>
          <w:kern w:val="2"/>
          <w14:textFill>
            <w14:solidFill>
              <w14:schemeClr w14:val="tx1"/>
            </w14:solidFill>
          </w14:textFill>
        </w:rPr>
        <w:t xml:space="preserve"> </w:t>
      </w:r>
      <w:r>
        <w:rPr>
          <w:rFonts w:hint="eastAsia"/>
          <w:color w:val="000000" w:themeColor="text1"/>
          <w:kern w:val="2"/>
          <w14:textFill>
            <w14:solidFill>
              <w14:schemeClr w14:val="tx1"/>
            </w14:solidFill>
          </w14:textFill>
        </w:rPr>
        <w:t>谈判须知</w:t>
      </w:r>
    </w:p>
    <w:p>
      <w:pPr>
        <w:pStyle w:val="6"/>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一、总则</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 谈判须知说明</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1.1政府集中采购机构发出谈判文件谈判须知，列出深圳市政府采购项目进行竞争性谈判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单一来源采购所适用的一般性须知内容。如有需要，政府集中采购机构可以对谈判须知的内容进行补充。</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2．</w:t>
      </w:r>
      <w:r>
        <w:rPr>
          <w:rFonts w:hint="eastAsia" w:ascii="黑体" w:hAnsi="宋体" w:eastAsia="黑体"/>
          <w:color w:val="000000" w:themeColor="text1"/>
          <w:sz w:val="24"/>
          <w14:textFill>
            <w14:solidFill>
              <w14:schemeClr w14:val="tx1"/>
            </w14:solidFill>
          </w14:textFill>
        </w:rPr>
        <w:t>谈判说明</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本项目按照《深圳经济特区政府采购条例》、《深圳经济特区政府采购条例实施细则》及政府采购其他法律法规，通过竞争性谈判/单一来源采购方式确定成交供应商。</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3</w:t>
      </w:r>
      <w:r>
        <w:rPr>
          <w:rFonts w:hint="eastAsia" w:ascii="黑体" w:hAnsi="宋体" w:eastAsia="黑体"/>
          <w:color w:val="000000" w:themeColor="text1"/>
          <w:sz w:val="24"/>
          <w14:textFill>
            <w14:solidFill>
              <w14:schemeClr w14:val="tx1"/>
            </w14:solidFill>
          </w14:textFill>
        </w:rPr>
        <w:t>．定义</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文件中下列术语应解释为：</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“采购人”：指利用财政性资金依法进行政府采购的国家机关、事业单位、团体组织；</w:t>
      </w:r>
      <w:r>
        <w:rPr>
          <w:rFonts w:ascii="宋体" w:hAnsi="宋体"/>
          <w:color w:val="000000" w:themeColor="text1"/>
          <w:szCs w:val="21"/>
          <w14:textFill>
            <w14:solidFill>
              <w14:schemeClr w14:val="tx1"/>
            </w14:solidFill>
          </w14:textFill>
        </w:rPr>
        <w:t xml:space="preserve"> </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.2 “政府集中采购机构”</w:t>
      </w:r>
      <w:r>
        <w:rPr>
          <w:rFonts w:hint="eastAsia" w:ascii="Arial" w:hAnsi="Arial" w:cs="Arial"/>
          <w:color w:val="000000" w:themeColor="text1"/>
          <w:szCs w:val="21"/>
          <w:shd w:val="clear" w:color="auto" w:fill="FFFFFF"/>
          <w14:textFill>
            <w14:solidFill>
              <w14:schemeClr w14:val="tx1"/>
            </w14:solidFill>
          </w14:textFill>
        </w:rPr>
        <w:t>是指市政府设立的，组织实施政府采购项目，并对政府采购活动提供服务的专门机构；</w:t>
      </w:r>
      <w:r>
        <w:rPr>
          <w:rFonts w:hint="eastAsia" w:ascii="宋体" w:hAnsi="宋体"/>
          <w:color w:val="000000" w:themeColor="text1"/>
          <w:szCs w:val="21"/>
          <w14:textFill>
            <w14:solidFill>
              <w14:schemeClr w14:val="tx1"/>
            </w14:solidFill>
          </w14:textFill>
        </w:rPr>
        <w:t>本文件所述的“政府集中采购机构”</w:t>
      </w:r>
      <w:r>
        <w:rPr>
          <w:rFonts w:ascii="宋体" w:hAnsi="宋体"/>
          <w:color w:val="000000" w:themeColor="text1"/>
          <w:szCs w:val="21"/>
          <w14:textFill>
            <w14:solidFill>
              <w14:schemeClr w14:val="tx1"/>
            </w14:solidFill>
          </w14:textFill>
        </w:rPr>
        <w:t>指</w:t>
      </w:r>
      <w:r>
        <w:rPr>
          <w:rFonts w:hint="eastAsia" w:ascii="宋体" w:hAnsi="宋体"/>
          <w:b/>
          <w:bCs/>
          <w:color w:val="000000" w:themeColor="text1"/>
          <w:szCs w:val="21"/>
          <w14:textFill>
            <w14:solidFill>
              <w14:schemeClr w14:val="tx1"/>
            </w14:solidFill>
          </w14:textFill>
        </w:rPr>
        <w:t>深圳公共资源交易中心</w:t>
      </w:r>
      <w:r>
        <w:rPr>
          <w:rFonts w:hint="eastAsia" w:ascii="宋体" w:hAnsi="宋体"/>
          <w:color w:val="000000" w:themeColor="text1"/>
          <w:szCs w:val="21"/>
          <w14:textFill>
            <w14:solidFill>
              <w14:schemeClr w14:val="tx1"/>
            </w14:solidFill>
          </w14:textFill>
        </w:rPr>
        <w:t>；</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.3“供应商”，即谈判供应商，指参加谈判竞争并愿意按照谈判文件要求向采购人提供货物、工程或者服务的依法成立的法人、其他组织或者自然人；</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.4“谈判小组”是依据《深圳经济特区政府采购条例》、《深圳经济特区政府采购条例实施细则》等有关规定组建的专门负责本次谈判工作的临时性机构；</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.5“日期”</w:t>
      </w:r>
      <w:r>
        <w:rPr>
          <w:rFonts w:ascii="宋体" w:hAnsi="宋体"/>
          <w:color w:val="000000" w:themeColor="text1"/>
          <w:szCs w:val="21"/>
          <w14:textFill>
            <w14:solidFill>
              <w14:schemeClr w14:val="tx1"/>
            </w14:solidFill>
          </w14:textFill>
        </w:rPr>
        <w:t>指</w:t>
      </w:r>
      <w:r>
        <w:rPr>
          <w:rFonts w:hint="eastAsia" w:ascii="宋体" w:hAnsi="宋体"/>
          <w:color w:val="000000" w:themeColor="text1"/>
          <w:szCs w:val="21"/>
          <w14:textFill>
            <w14:solidFill>
              <w14:schemeClr w14:val="tx1"/>
            </w14:solidFill>
          </w14:textFill>
        </w:rPr>
        <w:t>公历日；</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.6“合同”指由本次所采购产生的合同或合约文件；</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.7“电子投标文件”即谈判应答文件，指利用</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网站提供的深圳智慧采购平台投标文件制作专用软件（以下简称：投标文件制作软件）制作并加密的投标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.8“网上投标”指通过</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color w:val="000000" w:themeColor="text1"/>
          <w:szCs w:val="21"/>
          <w14:textFill>
            <w14:solidFill>
              <w14:schemeClr w14:val="tx1"/>
            </w14:solidFill>
          </w14:textFill>
        </w:rPr>
        <w:t>网站上传电子投标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文件；</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.9谈判文件中的标题或题名仅起引导作用，而不应视为对谈判文件内容的理解和解释。</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4</w:t>
      </w:r>
      <w:r>
        <w:rPr>
          <w:rFonts w:ascii="黑体" w:hAnsi="宋体" w:eastAsia="黑体"/>
          <w:color w:val="000000" w:themeColor="text1"/>
          <w:sz w:val="24"/>
          <w14:textFill>
            <w14:solidFill>
              <w14:schemeClr w14:val="tx1"/>
            </w14:solidFill>
          </w14:textFill>
        </w:rPr>
        <w:t>.</w:t>
      </w:r>
      <w:r>
        <w:rPr>
          <w:rFonts w:hint="eastAsia" w:ascii="黑体" w:hAnsi="宋体" w:eastAsia="黑体"/>
          <w:color w:val="000000" w:themeColor="text1"/>
          <w:sz w:val="24"/>
          <w14:textFill>
            <w14:solidFill>
              <w14:schemeClr w14:val="tx1"/>
            </w14:solidFill>
          </w14:textFill>
        </w:rPr>
        <w:t>政府采购供应商责任</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4.1欢迎诚信、有实力和有社会责任心的供应商参与政府采购事业。</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4.2谈判供应商应当遵循公平竞争的原则，不得恶意串通，不得妨碍其他谈判供应商的竞争行为，不得损害采购人或者其他谈判供应商的合法权益。如违反上述要求，经核实后，供应商的谈判应答无效。</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5．供应商参加政府采购的条件</w:t>
      </w:r>
    </w:p>
    <w:p>
      <w:pPr>
        <w:ind w:firstLine="411" w:firstLineChars="196"/>
        <w:rPr>
          <w:rFonts w:hint="eastAsia" w:ascii="宋体" w:hAnsi="宋体"/>
          <w:color w:val="000000" w:themeColor="text1"/>
          <w:szCs w:val="21"/>
          <w14:textFill>
            <w14:solidFill>
              <w14:schemeClr w14:val="tx1"/>
            </w14:solidFill>
          </w14:textFill>
        </w:rPr>
      </w:pPr>
      <w:bookmarkStart w:id="44" w:name="_Hlk72662959"/>
      <w:r>
        <w:rPr>
          <w:rFonts w:hint="eastAsia" w:ascii="宋体" w:hAnsi="宋体"/>
          <w:color w:val="000000" w:themeColor="text1"/>
          <w:szCs w:val="21"/>
          <w14:textFill>
            <w14:solidFill>
              <w14:schemeClr w14:val="tx1"/>
            </w14:solidFill>
          </w14:textFill>
        </w:rPr>
        <w:t>5.1供应商应在参与谈判前到</w:t>
      </w:r>
      <w:r>
        <w:rPr>
          <w:rFonts w:hint="eastAsia" w:ascii="宋体" w:hAnsi="宋体"/>
          <w:b/>
          <w:bCs/>
          <w:color w:val="000000" w:themeColor="text1"/>
          <w:szCs w:val="21"/>
          <w14:textFill>
            <w14:solidFill>
              <w14:schemeClr w14:val="tx1"/>
            </w14:solidFill>
          </w14:textFill>
        </w:rPr>
        <w:t>深圳公共资源交易中心（具体在深圳交易集团有限公司政府采购业务分公司进行办理）</w:t>
      </w:r>
      <w:r>
        <w:rPr>
          <w:rFonts w:hint="eastAsia" w:ascii="宋体" w:hAnsi="宋体"/>
          <w:color w:val="000000" w:themeColor="text1"/>
          <w:szCs w:val="21"/>
          <w14:textFill>
            <w14:solidFill>
              <w14:schemeClr w14:val="tx1"/>
            </w14:solidFill>
          </w14:textFill>
        </w:rPr>
        <w:t>进行注册并办理电子密钥。</w:t>
      </w:r>
      <w:bookmarkStart w:id="45" w:name="_Hlk72398857"/>
      <w:r>
        <w:rPr>
          <w:rFonts w:hint="eastAsia" w:ascii="宋体" w:hAnsi="宋体"/>
          <w:color w:val="000000" w:themeColor="text1"/>
          <w:szCs w:val="21"/>
          <w14:textFill>
            <w14:solidFill>
              <w14:schemeClr w14:val="tx1"/>
            </w14:solidFill>
          </w14:textFill>
        </w:rPr>
        <w:t>《供应商注册及信息变更指引》详见</w:t>
      </w:r>
      <w:r>
        <w:rPr>
          <w:rFonts w:ascii="宋体" w:hAnsi="宋体"/>
          <w:color w:val="000000" w:themeColor="text1"/>
          <w:szCs w:val="21"/>
          <w14:textFill>
            <w14:solidFill>
              <w14:schemeClr w14:val="tx1"/>
            </w14:solidFill>
          </w14:textFill>
        </w:rPr>
        <w:t>http://zfcg.szggzy.com:8081/cgxy/20210823/2df8c4bd-73df-4cf1-9646-f784111f24b8.html</w:t>
      </w:r>
      <w:r>
        <w:rPr>
          <w:rFonts w:hint="eastAsia" w:ascii="宋体" w:hAnsi="宋体"/>
          <w:color w:val="000000" w:themeColor="text1"/>
          <w:szCs w:val="21"/>
          <w14:textFill>
            <w14:solidFill>
              <w14:schemeClr w14:val="tx1"/>
            </w14:solidFill>
          </w14:textFill>
        </w:rPr>
        <w:t>。</w:t>
      </w:r>
      <w:bookmarkEnd w:id="45"/>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5.2供应商资格要求</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参加本项目的供应商应具备的资格条件详见本项目谈判公告中“申请人的资格要求”（即供应商资格要求）的内容。</w:t>
      </w:r>
    </w:p>
    <w:bookmarkEnd w:id="44"/>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6．政策导向</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政府采购支持本国产品、支持中小企业、监狱企业和残疾人福利性单位发展，支持乡村产业振兴，支持创新、节能减排、绿色环保等。</w:t>
      </w:r>
    </w:p>
    <w:p>
      <w:pPr>
        <w:ind w:firstLine="405"/>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本项目落实深圳市政府采购供应商诚信管理政策要求。</w:t>
      </w:r>
    </w:p>
    <w:p>
      <w:pPr>
        <w:ind w:firstLine="405"/>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  本项目支持供应商性别平等的相关政策。</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7. 本项目若涉及采购货物，则合格的货物及相应服务应满足以下要求：</w:t>
      </w:r>
    </w:p>
    <w:p>
      <w:pPr>
        <w:ind w:firstLine="411" w:firstLineChars="196"/>
        <w:rPr>
          <w:rFonts w:hint="eastAsia" w:ascii="宋体" w:hAnsi="宋体"/>
          <w:color w:val="000000" w:themeColor="text1"/>
          <w14:textFill>
            <w14:solidFill>
              <w14:schemeClr w14:val="tx1"/>
            </w14:solidFill>
          </w14:textFill>
        </w:rPr>
      </w:pPr>
      <w:bookmarkStart w:id="46" w:name="_Hlk72665160"/>
      <w:bookmarkStart w:id="47" w:name="_Hlk72665201"/>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 xml:space="preserve">.1 </w:t>
      </w:r>
      <w:r>
        <w:rPr>
          <w:rFonts w:hint="eastAsia" w:ascii="宋体" w:hAnsi="宋体"/>
          <w:color w:val="000000" w:themeColor="text1"/>
          <w14:textFill>
            <w14:solidFill>
              <w14:schemeClr w14:val="tx1"/>
            </w14:solidFill>
          </w14:textFill>
        </w:rPr>
        <w:t>必须是全新、未使用过的原装合格正品（包括零部件），如安装或配置了软件的，须为正版软件。</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 国产的货物及其有关服务必须符合中华人民共和国的设计、制造生产标准及行业标准。谈判公告有其他要求的，亦应符合其要求。</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 xml:space="preserve"> </w:t>
      </w:r>
      <w:bookmarkStart w:id="48" w:name="_Hlk72152753"/>
      <w:r>
        <w:rPr>
          <w:rFonts w:hint="eastAsia" w:ascii="宋体" w:hAnsi="宋体"/>
          <w:color w:val="000000" w:themeColor="text1"/>
          <w14:textFill>
            <w14:solidFill>
              <w14:schemeClr w14:val="tx1"/>
            </w14:solidFill>
          </w14:textFill>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8"/>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7.6 </w:t>
      </w:r>
      <w:bookmarkStart w:id="49" w:name="_Hlk72399342"/>
      <w:r>
        <w:rPr>
          <w:rFonts w:hint="eastAsia" w:ascii="宋体" w:hAnsi="宋体"/>
          <w:color w:val="000000" w:themeColor="text1"/>
          <w14:textFill>
            <w14:solidFill>
              <w14:schemeClr w14:val="tx1"/>
            </w14:solidFill>
          </w14:textFill>
        </w:rPr>
        <w:t>工期要求：供应商在谈判时对其所投项目应提交交货进度、交货计划等，在合同规定的时间内完成项目实施工作。</w:t>
      </w:r>
      <w:bookmarkEnd w:id="49"/>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7.7 </w:t>
      </w:r>
      <w:bookmarkEnd w:id="46"/>
      <w:r>
        <w:rPr>
          <w:rFonts w:hint="eastAsia" w:ascii="宋体" w:hAnsi="宋体"/>
          <w:color w:val="000000" w:themeColor="text1"/>
          <w14:textFill>
            <w14:solidFill>
              <w14:schemeClr w14:val="tx1"/>
            </w14:solidFill>
          </w14:textFill>
        </w:rPr>
        <w:t>成交供应商必须承担货物运输、安装调试、验收检测和提供设备操作说明书、图纸等其他相关及类似的义务。</w:t>
      </w:r>
      <w:bookmarkEnd w:id="47"/>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8．谈判费用</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不论谈判结果如何，供应商应承担其编制应答文件与递交应答文件所涉及的一切费用。</w:t>
      </w:r>
    </w:p>
    <w:p>
      <w:pPr>
        <w:pStyle w:val="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二、谈判文件</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9</w:t>
      </w:r>
      <w:r>
        <w:rPr>
          <w:rFonts w:ascii="黑体" w:hAnsi="宋体" w:eastAsia="黑体"/>
          <w:color w:val="000000" w:themeColor="text1"/>
          <w:sz w:val="24"/>
          <w14:textFill>
            <w14:solidFill>
              <w14:schemeClr w14:val="tx1"/>
            </w14:solidFill>
          </w14:textFill>
        </w:rPr>
        <w:t>.</w:t>
      </w:r>
      <w:r>
        <w:rPr>
          <w:rFonts w:hint="eastAsia" w:ascii="黑体" w:hAnsi="宋体" w:eastAsia="黑体"/>
          <w:color w:val="000000" w:themeColor="text1"/>
          <w:sz w:val="24"/>
          <w14:textFill>
            <w14:solidFill>
              <w14:schemeClr w14:val="tx1"/>
            </w14:solidFill>
          </w14:textFill>
        </w:rPr>
        <w:t>谈判文件的编制与组成</w:t>
      </w:r>
    </w:p>
    <w:p>
      <w:pPr>
        <w:snapToGrid w:val="0"/>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.1谈判文件除以下内容外，政府集中采购机构在谈判期间发出的澄清或修改等相关公告或通知内容，均是谈判文件的组成部分，对供应商起约束作用；</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谈判文件包括下列内容：</w:t>
      </w:r>
    </w:p>
    <w:p>
      <w:pPr>
        <w:ind w:left="1079" w:leftChars="514"/>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关键信息</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第一章  谈判公告</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第二章  对谈判须知条款的补充内容及其他关键信息</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第三章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用户需求书</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第四章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谈判应答文件组成要求及格式</w:t>
      </w:r>
    </w:p>
    <w:p>
      <w:pPr>
        <w:widowControl/>
        <w:wordWrap w:val="0"/>
        <w:ind w:firstLine="1260" w:firstLineChars="600"/>
        <w:jc w:val="left"/>
        <w:textAlignment w:val="top"/>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第五章  合同条款及格式</w:t>
      </w:r>
    </w:p>
    <w:p>
      <w:pPr>
        <w:ind w:left="630" w:leftChars="300" w:firstLine="621" w:firstLineChars="296"/>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第六章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谈判须知</w:t>
      </w:r>
    </w:p>
    <w:p>
      <w:pPr>
        <w:ind w:firstLine="411" w:firstLineChars="196"/>
        <w:rPr>
          <w:rFonts w:hint="eastAsia" w:ascii="宋体" w:hAnsi="宋体"/>
          <w:color w:val="000000" w:themeColor="text1"/>
          <w:szCs w:val="21"/>
          <w14:textFill>
            <w14:solidFill>
              <w14:schemeClr w14:val="tx1"/>
            </w14:solidFill>
          </w14:textFill>
        </w:rPr>
      </w:pPr>
      <w:bookmarkStart w:id="50" w:name="_Hlk72665307"/>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14:textFill>
            <w14:solidFill>
              <w14:schemeClr w14:val="tx1"/>
            </w14:solidFill>
          </w14:textFill>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bookmarkEnd w:id="50"/>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0</w:t>
      </w:r>
      <w:r>
        <w:rPr>
          <w:rFonts w:hint="eastAsia" w:ascii="黑体" w:hAnsi="宋体" w:eastAsia="黑体"/>
          <w:color w:val="000000" w:themeColor="text1"/>
          <w:sz w:val="24"/>
          <w14:textFill>
            <w14:solidFill>
              <w14:schemeClr w14:val="tx1"/>
            </w14:solidFill>
          </w14:textFill>
        </w:rPr>
        <w:t>．谈判文件的澄清</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.1谈判文件澄清的目的是澄清、解答供应商在查阅谈判文件后可能提出的与谈判有关的疑问或询问。</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.2供应商如对谈判文件内容有疑问，应当在谈判公告规定的澄清（提问）截止时间前以网上提问的形式通过网上政府采购系统提交政府集中采购机构。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1.4</w:t>
      </w:r>
      <w:r>
        <w:rPr>
          <w:rFonts w:hint="eastAsia" w:ascii="宋体" w:hAnsi="宋体"/>
          <w:color w:val="000000" w:themeColor="text1"/>
          <w:szCs w:val="21"/>
          <w14:textFill>
            <w14:solidFill>
              <w14:schemeClr w14:val="tx1"/>
            </w14:solidFill>
          </w14:textFill>
        </w:rPr>
        <w:t>款规定执行。</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11</w:t>
      </w:r>
      <w:r>
        <w:rPr>
          <w:rFonts w:hint="eastAsia" w:ascii="黑体" w:hAnsi="宋体" w:eastAsia="黑体"/>
          <w:color w:val="000000" w:themeColor="text1"/>
          <w:sz w:val="24"/>
          <w14:textFill>
            <w14:solidFill>
              <w14:schemeClr w14:val="tx1"/>
            </w14:solidFill>
          </w14:textFill>
        </w:rPr>
        <w:t>．谈判文件的修改</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.1谈判文件发出后，在谈判截止日期前任何时候，确需要变更谈判文件内容的，政府集中采购机构可主动或在解答供应商提出的澄清问题时对谈判文件进行修改。</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.2谈判文件的修改以书面形式（包括政府集中采购机构网站发布方式，如更正公告等）发送给所有供应商，谈判文件的修改内容作为谈判文件的组成部分，并具有约束力。</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pPr>
        <w:pStyle w:val="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三、应答文件</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2.</w:t>
      </w:r>
      <w:r>
        <w:rPr>
          <w:rFonts w:hint="eastAsia" w:ascii="黑体" w:hAnsi="宋体" w:eastAsia="黑体"/>
          <w:color w:val="000000" w:themeColor="text1"/>
          <w:sz w:val="24"/>
          <w14:textFill>
            <w14:solidFill>
              <w14:schemeClr w14:val="tx1"/>
            </w14:solidFill>
          </w14:textFill>
        </w:rPr>
        <w:t>应答文件的语言及度量单位</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.2 除技术规范另有规定外，应答文件使用的度量单位，均采用中华人民共和国法定计量单位。</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3.</w:t>
      </w:r>
      <w:r>
        <w:rPr>
          <w:rFonts w:hint="eastAsia" w:ascii="黑体" w:hAnsi="宋体" w:eastAsia="黑体"/>
          <w:color w:val="000000" w:themeColor="text1"/>
          <w:sz w:val="24"/>
          <w14:textFill>
            <w14:solidFill>
              <w14:schemeClr w14:val="tx1"/>
            </w14:solidFill>
          </w14:textFill>
        </w:rPr>
        <w:t>应答文件组成</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具体要求在第四章“</w:t>
      </w:r>
      <w:r>
        <w:rPr>
          <w:rFonts w:hint="eastAsia"/>
          <w:color w:val="000000" w:themeColor="text1"/>
          <w14:textFill>
            <w14:solidFill>
              <w14:schemeClr w14:val="tx1"/>
            </w14:solidFill>
          </w14:textFill>
        </w:rPr>
        <w:t>应答文件组成要求及格式”</w:t>
      </w:r>
      <w:r>
        <w:rPr>
          <w:rFonts w:hint="eastAsia" w:ascii="宋体" w:hAnsi="宋体"/>
          <w:color w:val="000000" w:themeColor="text1"/>
          <w:szCs w:val="21"/>
          <w14:textFill>
            <w14:solidFill>
              <w14:schemeClr w14:val="tx1"/>
            </w14:solidFill>
          </w14:textFill>
        </w:rPr>
        <w:t>进行规定。</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14</w:t>
      </w:r>
      <w:r>
        <w:rPr>
          <w:rFonts w:hint="eastAsia" w:ascii="黑体" w:hAnsi="宋体" w:eastAsia="黑体"/>
          <w:color w:val="000000" w:themeColor="text1"/>
          <w:sz w:val="24"/>
          <w14:textFill>
            <w14:solidFill>
              <w14:schemeClr w14:val="tx1"/>
            </w14:solidFill>
          </w14:textFill>
        </w:rPr>
        <w:t>.应答</w:t>
      </w:r>
      <w:r>
        <w:rPr>
          <w:rFonts w:ascii="黑体" w:hAnsi="宋体" w:eastAsia="黑体"/>
          <w:color w:val="000000" w:themeColor="text1"/>
          <w:sz w:val="24"/>
          <w14:textFill>
            <w14:solidFill>
              <w14:schemeClr w14:val="tx1"/>
            </w14:solidFill>
          </w14:textFill>
        </w:rPr>
        <w:t>文件格式</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如</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文件提供了</w:t>
      </w:r>
      <w:r>
        <w:rPr>
          <w:rFonts w:hint="eastAsia" w:ascii="宋体" w:hAnsi="宋体"/>
          <w:color w:val="000000" w:themeColor="text1"/>
          <w:szCs w:val="21"/>
          <w14:textFill>
            <w14:solidFill>
              <w14:schemeClr w14:val="tx1"/>
            </w14:solidFill>
          </w14:textFill>
        </w:rPr>
        <w:t>应答</w:t>
      </w:r>
      <w:r>
        <w:rPr>
          <w:rFonts w:ascii="宋体" w:hAnsi="宋体"/>
          <w:color w:val="000000" w:themeColor="text1"/>
          <w:szCs w:val="21"/>
          <w14:textFill>
            <w14:solidFill>
              <w14:schemeClr w14:val="tx1"/>
            </w14:solidFill>
          </w14:textFill>
        </w:rPr>
        <w:t>文件格式，则</w:t>
      </w:r>
      <w:r>
        <w:rPr>
          <w:rFonts w:hint="eastAsia" w:ascii="宋体" w:hAnsi="宋体"/>
          <w:b/>
          <w:bCs/>
          <w:color w:val="000000" w:themeColor="text1"/>
          <w:szCs w:val="21"/>
          <w14:textFill>
            <w14:solidFill>
              <w14:schemeClr w14:val="tx1"/>
            </w14:solidFill>
          </w14:textFill>
        </w:rPr>
        <w:t>供应商提交的应答文件应毫无例外地使用谈判文件所提供的相应格式</w:t>
      </w:r>
      <w:r>
        <w:rPr>
          <w:rFonts w:hint="eastAsia" w:ascii="宋体" w:hAnsi="宋体"/>
          <w:color w:val="000000" w:themeColor="text1"/>
          <w:szCs w:val="21"/>
          <w14:textFill>
            <w14:solidFill>
              <w14:schemeClr w14:val="tx1"/>
            </w14:solidFill>
          </w14:textFill>
        </w:rPr>
        <w:t>（表格均可按同样格式扩展）。</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5.</w:t>
      </w:r>
      <w:r>
        <w:rPr>
          <w:rFonts w:hint="eastAsia" w:ascii="黑体" w:hAnsi="宋体" w:eastAsia="黑体"/>
          <w:color w:val="000000" w:themeColor="text1"/>
          <w:sz w:val="24"/>
          <w14:textFill>
            <w14:solidFill>
              <w14:schemeClr w14:val="tx1"/>
            </w14:solidFill>
          </w14:textFill>
        </w:rPr>
        <w:t>谈判报价货币</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本项目的谈判应答报价应以人民币计。</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6.</w:t>
      </w:r>
      <w:r>
        <w:rPr>
          <w:rFonts w:hint="eastAsia" w:ascii="黑体" w:hAnsi="宋体" w:eastAsia="黑体"/>
          <w:color w:val="000000" w:themeColor="text1"/>
          <w:sz w:val="24"/>
          <w14:textFill>
            <w14:solidFill>
              <w14:schemeClr w14:val="tx1"/>
            </w14:solidFill>
          </w14:textFill>
        </w:rPr>
        <w:t>证明应答文件技术方案的合格性和符合谈判文件规定的文件要求</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 xml:space="preserve">6.1 </w:t>
      </w:r>
      <w:r>
        <w:rPr>
          <w:rFonts w:hint="eastAsia" w:ascii="宋体" w:hAnsi="宋体"/>
          <w:color w:val="000000" w:themeColor="text1"/>
          <w:szCs w:val="21"/>
          <w14:textFill>
            <w14:solidFill>
              <w14:schemeClr w14:val="tx1"/>
            </w14:solidFill>
          </w14:textFill>
        </w:rPr>
        <w:t>供应商应提交证明文件，证明其应答技术方案项下的货物和服务的合格性符合谈判文件规定。该应答技术方案及其证明文件均作为应答文件组成部分。</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.2.1主要技术指标和性能的详细说明。</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相关产品从采购人开始使用至谈判文件中规定的周期内正常、连续地使用所必须的备件和专用工具清单，包括备件和专用工具的货源及现行价格。</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hint="eastAsia"/>
          <w:color w:val="000000" w:themeColor="text1"/>
          <w14:textFill>
            <w14:solidFill>
              <w14:schemeClr w14:val="tx1"/>
            </w14:solidFill>
          </w14:textFill>
        </w:rPr>
        <w:t>清晰度要求能够使用电脑阅读、识别和判断</w:t>
      </w:r>
      <w:r>
        <w:rPr>
          <w:rFonts w:hint="eastAsia" w:ascii="宋体" w:hAnsi="宋体"/>
          <w:color w:val="000000" w:themeColor="text1"/>
          <w:szCs w:val="21"/>
          <w14:textFill>
            <w14:solidFill>
              <w14:schemeClr w14:val="tx1"/>
            </w14:solidFill>
          </w14:textFill>
        </w:rPr>
        <w:t>；</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.3相关资料不符合1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.2款要求的，谈判小组有权认定为应答技术方案不合格响应，其相关分数予以扣减或作应答无效处理。</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w:t>
      </w:r>
      <w:r>
        <w:rPr>
          <w:rFonts w:hint="eastAsia" w:ascii="宋体" w:hAnsi="宋体"/>
          <w:color w:val="000000" w:themeColor="text1"/>
          <w:szCs w:val="21"/>
          <w14:textFill>
            <w14:solidFill>
              <w14:schemeClr w14:val="tx1"/>
            </w14:solidFill>
          </w14:textFill>
        </w:rPr>
        <w:t>4供应商在阐述上述第1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hint="eastAsia"/>
          <w:color w:val="000000" w:themeColor="text1"/>
          <w14:textFill>
            <w14:solidFill>
              <w14:schemeClr w14:val="tx1"/>
            </w14:solidFill>
          </w14:textFill>
        </w:rPr>
        <w:t>满足要求</w:t>
      </w:r>
      <w:r>
        <w:rPr>
          <w:rFonts w:hint="eastAsia" w:ascii="宋体" w:hAnsi="宋体"/>
          <w:color w:val="000000" w:themeColor="text1"/>
          <w:szCs w:val="21"/>
          <w14:textFill>
            <w14:solidFill>
              <w14:schemeClr w14:val="tx1"/>
            </w14:solidFill>
          </w14:textFill>
        </w:rPr>
        <w:t>，由谈判小组来评判。</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.5除非另有规定或说明，供应商对同一项目不得同时提供两套或两套以上的应答方案。</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7.</w:t>
      </w:r>
      <w:r>
        <w:rPr>
          <w:rFonts w:hint="eastAsia" w:ascii="黑体" w:hAnsi="宋体" w:eastAsia="黑体"/>
          <w:color w:val="000000" w:themeColor="text1"/>
          <w:sz w:val="24"/>
          <w14:textFill>
            <w14:solidFill>
              <w14:schemeClr w14:val="tx1"/>
            </w14:solidFill>
          </w14:textFill>
        </w:rPr>
        <w:t>应答文件其他证明文件的要求</w:t>
      </w:r>
    </w:p>
    <w:p>
      <w:pPr>
        <w:rPr>
          <w:rFonts w:hint="eastAsia" w:ascii="宋体" w:hAnsi="宋体"/>
          <w:color w:val="000000" w:themeColor="text1"/>
          <w:szCs w:val="21"/>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1采用综合评分法的项目，对项目谈判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1" w:name="_Hlk71407299"/>
    </w:p>
    <w:bookmarkEnd w:id="51"/>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；若供应商正在申报上一级别资质（资格），在未获批准之前，仍按原级别资质（资格）投标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18</w:t>
      </w:r>
      <w:r>
        <w:rPr>
          <w:rFonts w:hint="eastAsia" w:ascii="黑体" w:hAnsi="宋体" w:eastAsia="黑体"/>
          <w:color w:val="000000" w:themeColor="text1"/>
          <w:sz w:val="24"/>
          <w14:textFill>
            <w14:solidFill>
              <w14:schemeClr w14:val="tx1"/>
            </w14:solidFill>
          </w14:textFill>
        </w:rPr>
        <w:t>．谈判应答有效期</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w:t>
      </w:r>
      <w:r>
        <w:rPr>
          <w:rFonts w:hint="eastAsia" w:ascii="宋体" w:hAnsi="宋体"/>
          <w:color w:val="000000" w:themeColor="text1"/>
          <w:szCs w:val="21"/>
          <w14:textFill>
            <w14:solidFill>
              <w14:schemeClr w14:val="tx1"/>
            </w14:solidFill>
          </w14:textFill>
        </w:rPr>
        <w:t>.1 谈判应答有效期为</w:t>
      </w:r>
      <w:r>
        <w:rPr>
          <w:rFonts w:hint="eastAsia" w:ascii="Arial" w:hAnsi="Arial" w:cs="Arial"/>
          <w:color w:val="000000" w:themeColor="text1"/>
          <w:szCs w:val="21"/>
          <w14:textFill>
            <w14:solidFill>
              <w14:schemeClr w14:val="tx1"/>
            </w14:solidFill>
          </w14:textFill>
        </w:rPr>
        <w:t>从谈判截止之日算起的日历天数。</w:t>
      </w:r>
      <w:r>
        <w:rPr>
          <w:rFonts w:hint="eastAsia" w:ascii="宋体" w:hAnsi="宋体"/>
          <w:color w:val="000000" w:themeColor="text1"/>
          <w:szCs w:val="21"/>
          <w14:textFill>
            <w14:solidFill>
              <w14:schemeClr w14:val="tx1"/>
            </w14:solidFill>
          </w14:textFill>
        </w:rPr>
        <w:t>在此期限内，所有应答文件均保持有效。</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w:t>
      </w:r>
      <w:r>
        <w:rPr>
          <w:rFonts w:hint="eastAsia" w:ascii="宋体" w:hAnsi="宋体"/>
          <w:color w:val="000000" w:themeColor="text1"/>
          <w:szCs w:val="21"/>
          <w14:textFill>
            <w14:solidFill>
              <w14:schemeClr w14:val="tx1"/>
            </w14:solidFill>
          </w14:textFill>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18.3</w:t>
      </w:r>
      <w:r>
        <w:rPr>
          <w:rFonts w:hint="eastAsia" w:ascii="宋体" w:hAnsi="宋体"/>
          <w:color w:val="000000" w:themeColor="text1"/>
          <w:szCs w:val="21"/>
          <w14:textFill>
            <w14:solidFill>
              <w14:schemeClr w14:val="tx1"/>
            </w14:solidFill>
          </w14:textFill>
        </w:rPr>
        <w:t xml:space="preserve"> 成交供应商的应答文件有效期，截止于完成本谈判文件规定的全部项目内容，并通过竣工验收及保修期结束。</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1</w:t>
      </w:r>
      <w:r>
        <w:rPr>
          <w:rFonts w:ascii="黑体" w:hAnsi="宋体" w:eastAsia="黑体"/>
          <w:color w:val="000000" w:themeColor="text1"/>
          <w:sz w:val="24"/>
          <w14:textFill>
            <w14:solidFill>
              <w14:schemeClr w14:val="tx1"/>
            </w14:solidFill>
          </w14:textFill>
        </w:rPr>
        <w:t>9.</w:t>
      </w:r>
      <w:r>
        <w:rPr>
          <w:rFonts w:hint="eastAsia" w:ascii="黑体" w:hAnsi="宋体" w:eastAsia="黑体"/>
          <w:color w:val="000000" w:themeColor="text1"/>
          <w:sz w:val="24"/>
          <w14:textFill>
            <w14:solidFill>
              <w14:schemeClr w14:val="tx1"/>
            </w14:solidFill>
          </w14:textFill>
        </w:rPr>
        <w:t xml:space="preserve">关于谈判保证金 </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19</w:t>
      </w:r>
      <w:r>
        <w:rPr>
          <w:rFonts w:hint="eastAsia" w:ascii="宋体" w:hAnsi="宋体"/>
          <w:color w:val="000000" w:themeColor="text1"/>
          <w:szCs w:val="21"/>
          <w14:textFill>
            <w14:solidFill>
              <w14:schemeClr w14:val="tx1"/>
            </w14:solidFill>
          </w14:textFill>
        </w:rPr>
        <w:t xml:space="preserve">.1 </w:t>
      </w:r>
      <w:r>
        <w:rPr>
          <w:rFonts w:hint="eastAsia"/>
          <w:color w:val="000000" w:themeColor="text1"/>
          <w14:textFill>
            <w14:solidFill>
              <w14:schemeClr w14:val="tx1"/>
            </w14:solidFill>
          </w14:textFill>
        </w:rPr>
        <w:t>根据《深圳市财政局关于调整政府采购投标（响应）保证金管理政策的通知 》（深财购〔2021〕51 号 ）文的规定，本项目不收取谈判保证金。</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20.</w:t>
      </w:r>
      <w:r>
        <w:rPr>
          <w:rFonts w:hint="eastAsia" w:ascii="黑体" w:hAnsi="宋体" w:eastAsia="黑体"/>
          <w:color w:val="000000" w:themeColor="text1"/>
          <w:sz w:val="24"/>
          <w14:textFill>
            <w14:solidFill>
              <w14:schemeClr w14:val="tx1"/>
            </w14:solidFill>
          </w14:textFill>
        </w:rPr>
        <w:t>供应商的替代方案</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.1供应商所提交的应答文件应完全满足谈判文件（包括图纸和技术规范所示的基本技术设计）的要求。除非项目明确允许供应商提交替代方案，否则供应商有关替代方案的条款将初审不通过，作应答无效处理。</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2</w:t>
      </w:r>
      <w:r>
        <w:rPr>
          <w:rFonts w:ascii="黑体" w:hAnsi="宋体" w:eastAsia="黑体"/>
          <w:color w:val="000000" w:themeColor="text1"/>
          <w:sz w:val="24"/>
          <w14:textFill>
            <w14:solidFill>
              <w14:schemeClr w14:val="tx1"/>
            </w14:solidFill>
          </w14:textFill>
        </w:rPr>
        <w:t>1.</w:t>
      </w:r>
      <w:r>
        <w:rPr>
          <w:rFonts w:hint="eastAsia" w:ascii="黑体" w:hAnsi="宋体" w:eastAsia="黑体"/>
          <w:color w:val="000000" w:themeColor="text1"/>
          <w:sz w:val="24"/>
          <w14:textFill>
            <w14:solidFill>
              <w14:schemeClr w14:val="tx1"/>
            </w14:solidFill>
          </w14:textFill>
        </w:rPr>
        <w:t>应答</w:t>
      </w:r>
      <w:r>
        <w:rPr>
          <w:rFonts w:ascii="黑体" w:hAnsi="宋体" w:eastAsia="黑体"/>
          <w:color w:val="000000" w:themeColor="text1"/>
          <w:sz w:val="24"/>
          <w14:textFill>
            <w14:solidFill>
              <w14:schemeClr w14:val="tx1"/>
            </w14:solidFill>
          </w14:textFill>
        </w:rPr>
        <w:t>文件的</w:t>
      </w:r>
      <w:r>
        <w:rPr>
          <w:rFonts w:hint="eastAsia" w:ascii="黑体" w:hAnsi="宋体" w:eastAsia="黑体"/>
          <w:color w:val="000000" w:themeColor="text1"/>
          <w:sz w:val="24"/>
          <w14:textFill>
            <w14:solidFill>
              <w14:schemeClr w14:val="tx1"/>
            </w14:solidFill>
          </w14:textFill>
        </w:rPr>
        <w:t>制作</w:t>
      </w:r>
      <w:r>
        <w:rPr>
          <w:rFonts w:ascii="黑体" w:hAnsi="宋体" w:eastAsia="黑体"/>
          <w:color w:val="000000" w:themeColor="text1"/>
          <w:sz w:val="24"/>
          <w14:textFill>
            <w14:solidFill>
              <w14:schemeClr w14:val="tx1"/>
            </w14:solidFill>
          </w14:textFill>
        </w:rPr>
        <w:t>要求</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1供应商应准备所投项目的电子应答文件（即应答文件）一份。此电子应答文件须由供应商根据政府集中采购机构提供的后缀名为.szczf的电子谈判文件，下载并使用相应的深圳智慧采购平台投标（应答）文件制作专用软件打开谈判文件（.szczf格式）【下载地址：</w:t>
      </w:r>
      <w:r>
        <w:rPr>
          <w:rFonts w:ascii="宋体" w:hAnsi="宋体"/>
          <w:color w:val="000000" w:themeColor="text1"/>
          <w14:textFill>
            <w14:solidFill>
              <w14:schemeClr w14:val="tx1"/>
            </w14:solidFill>
          </w14:textFill>
        </w:rPr>
        <w:t>http://zfcg.szggzy.com:8081/cgxy/013002/list.html</w:t>
      </w:r>
      <w:r>
        <w:rPr>
          <w:rFonts w:hint="eastAsia" w:ascii="宋体" w:hAnsi="宋体"/>
          <w:color w:val="000000" w:themeColor="text1"/>
          <w14:textFill>
            <w14:solidFill>
              <w14:schemeClr w14:val="tx1"/>
            </w14:solidFill>
          </w14:textFill>
        </w:rPr>
        <w:t>】。</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.2供应商在使用《投标书编制软件》编制应答文件时须注意：</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.2.1导入《投标书编制软件》的谈判文件项目编号、包号应与以此制作的应答文件项目编号、包号一致。例如，不能将甲项目A包的应答文件导入《投标书编制软件》，制作乙项目B包的应答文件。</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.2.2不能用非本公司的电子密钥加密本公司的应答文件，或者用其它公司的登录用户上传本公司的应答文件。</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.2.3要求用《投标书编制软件》编制应答文件的包，不能用其它方式编制应答文件。编制应答文件时，电脑须连通互联网。</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.2.4应答文件不能带病毒。政府集中采购机构将用专业杀毒软件对应答文件进行病毒检测，如果这两种软件均报告发现病毒，则政府集中采购机构认为该应答文件带病毒。</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.2.5完整填写“投标关键信息”，如下图所示：</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drawing>
          <wp:inline distT="0" distB="0" distL="0" distR="0">
            <wp:extent cx="4982845" cy="2568575"/>
            <wp:effectExtent l="0" t="0" r="635" b="6985"/>
            <wp:docPr id="9" name="图片 9"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83154" cy="2569205"/>
                    </a:xfrm>
                    <a:prstGeom prst="rect">
                      <a:avLst/>
                    </a:prstGeom>
                    <a:noFill/>
                    <a:ln>
                      <a:noFill/>
                    </a:ln>
                  </pic:spPr>
                </pic:pic>
              </a:graphicData>
            </a:graphic>
          </wp:inline>
        </w:drawing>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备注：上述“开标一览表”中的“投标（应答）报价”将作为价格分计算依据；其它信息仅是对投标（应答）文件相关内容的概括性表述，不作为谈判依据。</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23.2.6供应商在编辑应答文件时，</w:t>
      </w:r>
      <w:r>
        <w:rPr>
          <w:rFonts w:hint="eastAsia" w:ascii="宋体" w:hAnsi="宋体"/>
          <w:b/>
          <w:color w:val="000000" w:themeColor="text1"/>
          <w14:textFill>
            <w14:solidFill>
              <w14:schemeClr w14:val="tx1"/>
            </w14:solidFill>
          </w14:textFill>
        </w:rPr>
        <w:t>在应答文件目录中属于本节点内容的必须在本节点中填写，填写到其他节点或附件，</w:t>
      </w:r>
      <w:r>
        <w:rPr>
          <w:rFonts w:hint="eastAsia" w:ascii="宋体" w:hAnsi="宋体"/>
          <w:color w:val="000000" w:themeColor="text1"/>
          <w14:textFill>
            <w14:solidFill>
              <w14:schemeClr w14:val="tx1"/>
            </w14:solidFill>
          </w14:textFill>
        </w:rPr>
        <w:t>一切后果由供应商自行承担。</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23.2.7应答文件编写完成后，</w:t>
      </w:r>
      <w:r>
        <w:rPr>
          <w:rFonts w:hint="eastAsia" w:ascii="宋体" w:hAnsi="宋体"/>
          <w:b/>
          <w:color w:val="000000" w:themeColor="text1"/>
          <w14:textFill>
            <w14:solidFill>
              <w14:schemeClr w14:val="tx1"/>
            </w14:solidFill>
          </w14:textFill>
        </w:rPr>
        <w:t>必须用属于供应商的电子密钥进行加密，否则视同未盖公章，将导致应答文件无效。</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23.2.8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hint="eastAsia" w:ascii="宋体" w:hAnsi="宋体"/>
          <w:color w:val="000000" w:themeColor="text1"/>
          <w:szCs w:val="21"/>
          <w14:textFill>
            <w14:solidFill>
              <w14:schemeClr w14:val="tx1"/>
            </w14:solidFill>
          </w14:textFill>
        </w:rPr>
        <w:t>请及时咨询。</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23.2.9如果谈判时出现网络故障、技术故障，影响了谈判活动，政府集中采购机构有权采取措施如延期、接受无法从网上上传的应答文件等，以保障政府采购活动的公开、公平和公正。</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23.3电报、电话、传真形式的应答概不接受。</w:t>
      </w:r>
    </w:p>
    <w:p>
      <w:pPr>
        <w:ind w:firstLine="411" w:firstLineChars="196"/>
        <w:rPr>
          <w:rFonts w:hint="eastAsia" w:ascii="宋体" w:hAnsi="宋体"/>
          <w:b/>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23.4经供应商电子密钥加密的应答文件无须盖章或签字，专用条款另有要求的除外。</w:t>
      </w:r>
    </w:p>
    <w:p>
      <w:pPr>
        <w:spacing w:line="360" w:lineRule="auto"/>
        <w:ind w:firstLine="422" w:firstLineChars="200"/>
        <w:jc w:val="left"/>
        <w:rPr>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23.5</w:t>
      </w:r>
      <w:r>
        <w:rPr>
          <w:rFonts w:hint="eastAsia" w:ascii="宋体" w:hAnsi="宋体"/>
          <w:color w:val="000000" w:themeColor="text1"/>
          <w14:textFill>
            <w14:solidFill>
              <w14:schemeClr w14:val="tx1"/>
            </w14:solidFill>
          </w14:textFill>
        </w:rPr>
        <w:t xml:space="preserve"> 各类资格（资质）文件提供扫描件，另有专门要求的除外。</w:t>
      </w:r>
    </w:p>
    <w:p>
      <w:pPr>
        <w:pStyle w:val="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四、应答文件的递交</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24．应答文件的保密</w:t>
      </w:r>
    </w:p>
    <w:p>
      <w:pPr>
        <w:widowControl/>
        <w:ind w:firstLine="420" w:firstLineChars="20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24.1在应答文件制作完成后，在投标文件（应答文件）制作软件点击【生成标书】按钮进入【填写开标一览表界面】界面，在该界面填写完开标一览表信息后点击【确定】，进入投标文件（应答文件）生成环节。投标文件制作软件会在投标文件（应答文件）生成过程中，提示用户输入密码，输入密码后对投标文件（应答文件）自动进行加密，此加密程序确保投标文件（应答文件）在到达开标时间后才能解密查看。在加密过程中，请按照软件提示进行操作。加密操作界面如下图所示：</w:t>
      </w:r>
      <w:r>
        <w:rPr>
          <w:color w:val="000000" w:themeColor="text1"/>
          <w14:textFill>
            <w14:solidFill>
              <w14:schemeClr w14:val="tx1"/>
            </w14:solidFill>
          </w14:textFill>
        </w:rPr>
        <w:drawing>
          <wp:inline distT="0" distB="0" distL="0" distR="0">
            <wp:extent cx="5225415" cy="2721610"/>
            <wp:effectExtent l="0" t="0" r="1905" b="635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25415" cy="2721610"/>
                    </a:xfrm>
                    <a:prstGeom prst="rect">
                      <a:avLst/>
                    </a:prstGeom>
                    <a:noFill/>
                    <a:ln>
                      <a:noFill/>
                    </a:ln>
                  </pic:spPr>
                </pic:pic>
              </a:graphicData>
            </a:graphic>
          </wp:inline>
        </w:drawing>
      </w:r>
    </w:p>
    <w:p>
      <w:pPr>
        <w:widowControl/>
        <w:ind w:firstLine="420" w:firstLineChars="200"/>
        <w:jc w:val="left"/>
        <w:rPr>
          <w:rFonts w:hint="eastAsia" w:ascii="宋体" w:hAnsi="宋体"/>
          <w:color w:val="000000" w:themeColor="text1"/>
          <w14:textFill>
            <w14:solidFill>
              <w14:schemeClr w14:val="tx1"/>
            </w14:solidFill>
          </w14:textFill>
        </w:rPr>
      </w:pPr>
    </w:p>
    <w:p>
      <w:pPr>
        <w:rPr>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0" distR="0">
            <wp:extent cx="5278755" cy="2732405"/>
            <wp:effectExtent l="0" t="0" r="9525" b="10795"/>
            <wp:docPr id="8"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形用户界面&#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8755" cy="2732405"/>
                    </a:xfrm>
                    <a:prstGeom prst="rect">
                      <a:avLst/>
                    </a:prstGeom>
                    <a:noFill/>
                    <a:ln>
                      <a:noFill/>
                    </a:ln>
                  </pic:spPr>
                </pic:pic>
              </a:graphicData>
            </a:graphic>
          </wp:inline>
        </w:drawing>
      </w:r>
    </w:p>
    <w:p>
      <w:pP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24.2若采购项目出现延期情况：</w:t>
      </w:r>
    </w:p>
    <w:p>
      <w:pPr>
        <w:ind w:firstLine="422" w:firstLineChars="200"/>
        <w:rPr>
          <w:rFonts w:hint="eastAsia" w:ascii="黑体" w:hAnsi="宋体" w:eastAsia="黑体"/>
          <w:b/>
          <w:color w:val="000000" w:themeColor="text1"/>
          <w:sz w:val="24"/>
          <w14:textFill>
            <w14:solidFill>
              <w14:schemeClr w14:val="tx1"/>
            </w14:solidFill>
          </w14:textFill>
        </w:rPr>
      </w:pPr>
      <w:r>
        <w:rPr>
          <w:rFonts w:hint="eastAsia" w:ascii="宋体" w:hAnsi="宋体"/>
          <w:b/>
          <w:color w:val="000000" w:themeColor="text1"/>
          <w14:textFill>
            <w14:solidFill>
              <w14:schemeClr w14:val="tx1"/>
            </w14:solidFill>
          </w14:textFill>
        </w:rPr>
        <w:t>如果供下载的谈判文件（后缀名为.</w:t>
      </w:r>
      <w:r>
        <w:rPr>
          <w:rFonts w:ascii="宋体" w:hAnsi="宋体"/>
          <w:b/>
          <w:color w:val="000000" w:themeColor="text1"/>
          <w14:textFill>
            <w14:solidFill>
              <w14:schemeClr w14:val="tx1"/>
            </w14:solidFill>
          </w14:textFill>
        </w:rPr>
        <w:t xml:space="preserve"> szczf</w:t>
      </w:r>
      <w:r>
        <w:rPr>
          <w:rFonts w:hint="eastAsia" w:ascii="宋体" w:hAnsi="宋体"/>
          <w:b/>
          <w:color w:val="000000" w:themeColor="text1"/>
          <w14:textFill>
            <w14:solidFill>
              <w14:schemeClr w14:val="tx1"/>
            </w14:solidFill>
          </w14:textFill>
        </w:rPr>
        <w:t>）有更新，供应商必须重新下载谈判文件、重新制作应答文件、重新加密应答文件、重新上传应答文件；如果供下载的谈判文件（后缀名为</w:t>
      </w:r>
      <w:r>
        <w:rPr>
          <w:rFonts w:ascii="宋体" w:hAnsi="宋体"/>
          <w:b/>
          <w:color w:val="000000" w:themeColor="text1"/>
          <w14:textFill>
            <w14:solidFill>
              <w14:schemeClr w14:val="tx1"/>
            </w14:solidFill>
          </w14:textFill>
        </w:rPr>
        <w:t>. szczf</w:t>
      </w:r>
      <w:r>
        <w:rPr>
          <w:rFonts w:hint="eastAsia" w:ascii="宋体" w:hAnsi="宋体"/>
          <w:b/>
          <w:color w:val="000000" w:themeColor="text1"/>
          <w14:textFill>
            <w14:solidFill>
              <w14:schemeClr w14:val="tx1"/>
            </w14:solidFill>
          </w14:textFill>
        </w:rPr>
        <w:t>）没有更新，供应商必须重新加密应答文件、重新上传应答文件（是否重新制作应答文件根据项目实际情况定）。否则，供应商自行承担应答文件无法解密导致应答无效的后果。</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25．上传应答文件及谈判截止日期</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1实行网上投标（应答），供应商</w:t>
      </w:r>
      <w:r>
        <w:rPr>
          <w:rFonts w:ascii="宋体" w:hAnsi="宋体"/>
          <w:color w:val="000000" w:themeColor="text1"/>
          <w14:textFill>
            <w14:solidFill>
              <w14:schemeClr w14:val="tx1"/>
            </w14:solidFill>
          </w14:textFill>
        </w:rPr>
        <w:t>必须</w:t>
      </w:r>
      <w:r>
        <w:rPr>
          <w:rFonts w:hint="eastAsia" w:ascii="宋体" w:hAnsi="宋体"/>
          <w:color w:val="000000" w:themeColor="text1"/>
          <w14:textFill>
            <w14:solidFill>
              <w14:schemeClr w14:val="tx1"/>
            </w14:solidFill>
          </w14:textFill>
        </w:rPr>
        <w:t>在谈判</w:t>
      </w:r>
      <w:r>
        <w:rPr>
          <w:rFonts w:ascii="宋体" w:hAnsi="宋体"/>
          <w:color w:val="000000" w:themeColor="text1"/>
          <w14:textFill>
            <w14:solidFill>
              <w14:schemeClr w14:val="tx1"/>
            </w14:solidFill>
          </w14:textFill>
        </w:rPr>
        <w:t>文件规定的</w:t>
      </w:r>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截止时间前</w:t>
      </w:r>
      <w:r>
        <w:rPr>
          <w:rFonts w:hint="eastAsia" w:ascii="宋体" w:hAnsi="宋体"/>
          <w:color w:val="000000" w:themeColor="text1"/>
          <w14:textFill>
            <w14:solidFill>
              <w14:schemeClr w14:val="tx1"/>
            </w14:solidFill>
          </w14:textFill>
        </w:rPr>
        <w:t>用电子密钥登录“深圳政府采购智慧平台用户网上办事子系统（http://zfcg.szggzy.com:8081/TPBidder/memberLogin）”，用“【我的项目】→【项目流程】→【递交投标(应答)文件】”功能点上传应答文件。如上传过程中遇到问题，可拨打采购公告中的技术支持电话。如多次上传均告失败，请在谈判截止时间之前携带加密后的电子投标文件（应答文件）送达至</w:t>
      </w:r>
      <w:r>
        <w:rPr>
          <w:rFonts w:hint="eastAsia" w:ascii="宋体" w:hAnsi="宋体"/>
          <w:b/>
          <w:bCs/>
          <w:color w:val="000000" w:themeColor="text1"/>
          <w:szCs w:val="21"/>
          <w14:textFill>
            <w14:solidFill>
              <w14:schemeClr w14:val="tx1"/>
            </w14:solidFill>
          </w14:textFill>
        </w:rPr>
        <w:t>深圳公共资源交易中心（深圳交易集团有限公司政府采购业务分公司）</w:t>
      </w:r>
      <w:r>
        <w:rPr>
          <w:rFonts w:hint="eastAsia" w:ascii="宋体" w:hAnsi="宋体"/>
          <w:b/>
          <w:bCs/>
          <w:color w:val="000000" w:themeColor="text1"/>
          <w14:textFill>
            <w14:solidFill>
              <w14:schemeClr w14:val="tx1"/>
            </w14:solidFill>
          </w14:textFill>
        </w:rPr>
        <w:t>（地址：深圳市南山区沙河西路3185号南山智谷A座（深圳交易集团总部大楼）3楼）</w:t>
      </w:r>
      <w:r>
        <w:rPr>
          <w:rFonts w:ascii="宋体" w:hAnsi="宋体"/>
          <w:b/>
          <w:bCs/>
          <w:color w:val="000000" w:themeColor="text1"/>
          <w14:textFill>
            <w14:solidFill>
              <w14:schemeClr w14:val="tx1"/>
            </w14:solidFill>
          </w14:textFill>
        </w:rPr>
        <w:t>协助上传</w:t>
      </w:r>
      <w:r>
        <w:rPr>
          <w:rFonts w:hint="eastAsia" w:ascii="宋体" w:hAnsi="宋体"/>
          <w:b/>
          <w:bCs/>
          <w:color w:val="000000" w:themeColor="text1"/>
          <w14:textFill>
            <w14:solidFill>
              <w14:schemeClr w14:val="tx1"/>
            </w14:solidFill>
          </w14:textFill>
        </w:rPr>
        <w:t>，</w:t>
      </w:r>
      <w:r>
        <w:rPr>
          <w:rFonts w:ascii="宋体" w:hAnsi="宋体"/>
          <w:b/>
          <w:bCs/>
          <w:color w:val="000000" w:themeColor="text1"/>
          <w14:textFill>
            <w14:solidFill>
              <w14:schemeClr w14:val="tx1"/>
            </w14:solidFill>
          </w14:textFill>
        </w:rPr>
        <w:t>但上传过程</w:t>
      </w:r>
      <w:r>
        <w:rPr>
          <w:rFonts w:hint="eastAsia" w:ascii="宋体" w:hAnsi="宋体"/>
          <w:b/>
          <w:bCs/>
          <w:color w:val="000000" w:themeColor="text1"/>
          <w14:textFill>
            <w14:solidFill>
              <w14:schemeClr w14:val="tx1"/>
            </w14:solidFill>
          </w14:textFill>
        </w:rPr>
        <w:t>中应答</w:t>
      </w:r>
      <w:r>
        <w:rPr>
          <w:rFonts w:ascii="宋体" w:hAnsi="宋体"/>
          <w:b/>
          <w:bCs/>
          <w:color w:val="000000" w:themeColor="text1"/>
          <w14:textFill>
            <w14:solidFill>
              <w14:schemeClr w14:val="tx1"/>
            </w14:solidFill>
          </w14:textFill>
        </w:rPr>
        <w:t>截止时间到达仍无法上传成功的，由</w:t>
      </w:r>
      <w:r>
        <w:rPr>
          <w:rFonts w:hint="eastAsia" w:ascii="宋体" w:hAnsi="宋体"/>
          <w:b/>
          <w:bCs/>
          <w:color w:val="000000" w:themeColor="text1"/>
          <w14:textFill>
            <w14:solidFill>
              <w14:schemeClr w14:val="tx1"/>
            </w14:solidFill>
          </w14:textFill>
        </w:rPr>
        <w:t>供应商</w:t>
      </w:r>
      <w:r>
        <w:rPr>
          <w:rFonts w:ascii="宋体" w:hAnsi="宋体"/>
          <w:b/>
          <w:bCs/>
          <w:color w:val="000000" w:themeColor="text1"/>
          <w14:textFill>
            <w14:solidFill>
              <w14:schemeClr w14:val="tx1"/>
            </w14:solidFill>
          </w14:textFill>
        </w:rPr>
        <w:t>自行负责</w:t>
      </w:r>
      <w:r>
        <w:rPr>
          <w:rFonts w:hint="eastAsia" w:ascii="宋体" w:hAnsi="宋体"/>
          <w:color w:val="000000" w:themeColor="text1"/>
          <w14:textFill>
            <w14:solidFill>
              <w14:schemeClr w14:val="tx1"/>
            </w14:solidFill>
          </w14:textFill>
        </w:rPr>
        <w:t>。</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25.2政府集中采购机构可以按本通用条款第1</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条规定，通过修改谈判文件自行决定酌情延长谈判截止日期。在此情况下，政府集中采购机构、采购人和供应商受谈判截止期制约的所有权利和义务均应延长至新的截止期。</w:t>
      </w:r>
    </w:p>
    <w:p>
      <w:pPr>
        <w:ind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3谈判截止时间以后不得上传应答文件。</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26</w:t>
      </w:r>
      <w:r>
        <w:rPr>
          <w:rFonts w:hint="eastAsia" w:ascii="黑体" w:hAnsi="宋体" w:eastAsia="黑体"/>
          <w:color w:val="000000" w:themeColor="text1"/>
          <w:sz w:val="24"/>
          <w14:textFill>
            <w14:solidFill>
              <w14:schemeClr w14:val="tx1"/>
            </w14:solidFill>
          </w14:textFill>
        </w:rPr>
        <w:t>．应答</w:t>
      </w:r>
      <w:r>
        <w:rPr>
          <w:rFonts w:ascii="黑体" w:hAnsi="宋体" w:eastAsia="黑体"/>
          <w:color w:val="000000" w:themeColor="text1"/>
          <w:sz w:val="24"/>
          <w14:textFill>
            <w14:solidFill>
              <w14:schemeClr w14:val="tx1"/>
            </w14:solidFill>
          </w14:textFill>
        </w:rPr>
        <w:t>文件的修改和撤销</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w:t>
      </w:r>
      <w:r>
        <w:rPr>
          <w:rFonts w:hint="eastAsia" w:ascii="宋体" w:hAnsi="宋体"/>
          <w:color w:val="000000" w:themeColor="text1"/>
          <w14:textFill>
            <w14:solidFill>
              <w14:schemeClr w14:val="tx1"/>
            </w14:solidFill>
          </w14:textFill>
        </w:rPr>
        <w:t>1供应商</w:t>
      </w:r>
      <w:r>
        <w:rPr>
          <w:rFonts w:ascii="宋体" w:hAnsi="宋体"/>
          <w:color w:val="000000" w:themeColor="text1"/>
          <w14:textFill>
            <w14:solidFill>
              <w14:schemeClr w14:val="tx1"/>
            </w14:solidFill>
          </w14:textFill>
        </w:rPr>
        <w:t>在提交</w:t>
      </w:r>
      <w:r>
        <w:rPr>
          <w:rFonts w:hint="eastAsia" w:ascii="宋体" w:hAnsi="宋体"/>
          <w:color w:val="000000" w:themeColor="text1"/>
          <w14:textFill>
            <w14:solidFill>
              <w14:schemeClr w14:val="tx1"/>
            </w14:solidFill>
          </w14:textFill>
        </w:rPr>
        <w:t>应答</w:t>
      </w:r>
      <w:r>
        <w:rPr>
          <w:rFonts w:ascii="宋体" w:hAnsi="宋体"/>
          <w:color w:val="000000" w:themeColor="text1"/>
          <w14:textFill>
            <w14:solidFill>
              <w14:schemeClr w14:val="tx1"/>
            </w14:solidFill>
          </w14:textFill>
        </w:rPr>
        <w:t>文件后可对其</w:t>
      </w:r>
      <w:r>
        <w:rPr>
          <w:rFonts w:hint="eastAsia" w:ascii="宋体" w:hAnsi="宋体"/>
          <w:color w:val="000000" w:themeColor="text1"/>
          <w14:textFill>
            <w14:solidFill>
              <w14:schemeClr w14:val="tx1"/>
            </w14:solidFill>
          </w14:textFill>
        </w:rPr>
        <w:t>应答</w:t>
      </w:r>
      <w:r>
        <w:rPr>
          <w:rFonts w:ascii="宋体" w:hAnsi="宋体"/>
          <w:color w:val="000000" w:themeColor="text1"/>
          <w14:textFill>
            <w14:solidFill>
              <w14:schemeClr w14:val="tx1"/>
            </w14:solidFill>
          </w14:textFill>
        </w:rPr>
        <w:t>文件进行修改</w:t>
      </w:r>
      <w:r>
        <w:rPr>
          <w:rFonts w:hint="eastAsia" w:ascii="宋体" w:hAnsi="宋体"/>
          <w:color w:val="000000" w:themeColor="text1"/>
          <w14:textFill>
            <w14:solidFill>
              <w14:schemeClr w14:val="tx1"/>
            </w14:solidFill>
          </w14:textFill>
        </w:rPr>
        <w:t>并重新上传应答文件</w:t>
      </w:r>
      <w:r>
        <w:rPr>
          <w:rFonts w:ascii="宋体" w:hAnsi="宋体"/>
          <w:color w:val="000000" w:themeColor="text1"/>
          <w14:textFill>
            <w14:solidFill>
              <w14:schemeClr w14:val="tx1"/>
            </w14:solidFill>
          </w14:textFill>
        </w:rPr>
        <w:t>或</w:t>
      </w:r>
      <w:r>
        <w:rPr>
          <w:rFonts w:hint="eastAsia" w:ascii="宋体" w:hAnsi="宋体"/>
          <w:color w:val="000000" w:themeColor="text1"/>
          <w14:textFill>
            <w14:solidFill>
              <w14:schemeClr w14:val="tx1"/>
            </w14:solidFill>
          </w14:textFill>
        </w:rPr>
        <w:t>在网上进行</w:t>
      </w:r>
      <w:r>
        <w:rPr>
          <w:rFonts w:ascii="宋体" w:hAnsi="宋体"/>
          <w:color w:val="000000" w:themeColor="text1"/>
          <w14:textFill>
            <w14:solidFill>
              <w14:schemeClr w14:val="tx1"/>
            </w14:solidFill>
          </w14:textFill>
        </w:rPr>
        <w:t>撤销</w:t>
      </w:r>
      <w:r>
        <w:rPr>
          <w:rFonts w:hint="eastAsia" w:ascii="宋体" w:hAnsi="宋体"/>
          <w:color w:val="000000" w:themeColor="text1"/>
          <w14:textFill>
            <w14:solidFill>
              <w14:schemeClr w14:val="tx1"/>
            </w14:solidFill>
          </w14:textFill>
        </w:rPr>
        <w:t>应答的操作</w:t>
      </w:r>
      <w:r>
        <w:rPr>
          <w:rFonts w:ascii="宋体" w:hAnsi="宋体"/>
          <w:color w:val="000000" w:themeColor="text1"/>
          <w14:textFill>
            <w14:solidFill>
              <w14:schemeClr w14:val="tx1"/>
            </w14:solidFill>
          </w14:textFill>
        </w:rPr>
        <w:t>。</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w:t>
      </w:r>
      <w:r>
        <w:rPr>
          <w:rFonts w:hint="eastAsia" w:ascii="宋体" w:hAnsi="宋体"/>
          <w:color w:val="000000" w:themeColor="text1"/>
          <w14:textFill>
            <w14:solidFill>
              <w14:schemeClr w14:val="tx1"/>
            </w14:solidFill>
          </w14:textFill>
        </w:rPr>
        <w:t>2</w:t>
      </w:r>
      <w:bookmarkStart w:id="52" w:name="_Hlk72663776"/>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截止时间以后不</w:t>
      </w:r>
      <w:r>
        <w:rPr>
          <w:rFonts w:hint="eastAsia" w:ascii="宋体" w:hAnsi="宋体"/>
          <w:color w:val="000000" w:themeColor="text1"/>
          <w14:textFill>
            <w14:solidFill>
              <w14:schemeClr w14:val="tx1"/>
            </w14:solidFill>
          </w14:textFill>
        </w:rPr>
        <w:t>能通过网上政府采购系统</w:t>
      </w:r>
      <w:r>
        <w:rPr>
          <w:rFonts w:ascii="宋体" w:hAnsi="宋体"/>
          <w:color w:val="000000" w:themeColor="text1"/>
          <w14:textFill>
            <w14:solidFill>
              <w14:schemeClr w14:val="tx1"/>
            </w14:solidFill>
          </w14:textFill>
        </w:rPr>
        <w:t>修改</w:t>
      </w:r>
      <w:r>
        <w:rPr>
          <w:rFonts w:hint="eastAsia" w:ascii="宋体" w:hAnsi="宋体"/>
          <w:color w:val="000000" w:themeColor="text1"/>
          <w14:textFill>
            <w14:solidFill>
              <w14:schemeClr w14:val="tx1"/>
            </w14:solidFill>
          </w14:textFill>
        </w:rPr>
        <w:t>应答</w:t>
      </w:r>
      <w:r>
        <w:rPr>
          <w:rFonts w:ascii="宋体" w:hAnsi="宋体"/>
          <w:color w:val="000000" w:themeColor="text1"/>
          <w14:textFill>
            <w14:solidFill>
              <w14:schemeClr w14:val="tx1"/>
            </w14:solidFill>
          </w14:textFill>
        </w:rPr>
        <w:t>文件。</w:t>
      </w:r>
      <w:bookmarkEnd w:id="52"/>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w:t>
      </w:r>
      <w:r>
        <w:rPr>
          <w:rFonts w:hint="eastAsia" w:ascii="宋体" w:hAnsi="宋体"/>
          <w:color w:val="000000" w:themeColor="text1"/>
          <w14:textFill>
            <w14:solidFill>
              <w14:schemeClr w14:val="tx1"/>
            </w14:solidFill>
          </w14:textFill>
        </w:rPr>
        <w:t>3从应答截止期至供应商在应答文件中确定的谈判应答有效期之间的这段时间内，供应商不得撤回其谈判应答。</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.4政府集中采购机构不退还应答文件。</w:t>
      </w:r>
    </w:p>
    <w:p>
      <w:pPr>
        <w:pStyle w:val="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五、谈判</w:t>
      </w:r>
    </w:p>
    <w:p>
      <w:pPr>
        <w:rPr>
          <w:rFonts w:hint="eastAsia" w:ascii="黑体" w:hAnsi="宋体" w:eastAsia="黑体"/>
          <w:color w:val="000000" w:themeColor="text1"/>
          <w:sz w:val="24"/>
          <w14:textFill>
            <w14:solidFill>
              <w14:schemeClr w14:val="tx1"/>
            </w14:solidFill>
          </w14:textFill>
        </w:rPr>
      </w:pPr>
      <w:bookmarkStart w:id="53" w:name="_Toc78703964"/>
      <w:r>
        <w:rPr>
          <w:rFonts w:ascii="黑体" w:hAnsi="宋体" w:eastAsia="黑体"/>
          <w:color w:val="000000" w:themeColor="text1"/>
          <w:sz w:val="24"/>
          <w14:textFill>
            <w14:solidFill>
              <w14:schemeClr w14:val="tx1"/>
            </w14:solidFill>
          </w14:textFill>
        </w:rPr>
        <w:t>27.</w:t>
      </w:r>
      <w:r>
        <w:rPr>
          <w:rFonts w:hint="eastAsia" w:ascii="黑体" w:hAnsi="宋体" w:eastAsia="黑体"/>
          <w:color w:val="000000" w:themeColor="text1"/>
          <w:sz w:val="24"/>
          <w14:textFill>
            <w14:solidFill>
              <w14:schemeClr w14:val="tx1"/>
            </w14:solidFill>
          </w14:textFill>
        </w:rPr>
        <w:t>谈判</w:t>
      </w:r>
      <w:bookmarkEnd w:id="53"/>
      <w:r>
        <w:rPr>
          <w:rFonts w:hint="eastAsia" w:ascii="黑体" w:hAnsi="宋体" w:eastAsia="黑体"/>
          <w:color w:val="000000" w:themeColor="text1"/>
          <w:sz w:val="24"/>
          <w14:textFill>
            <w14:solidFill>
              <w14:schemeClr w14:val="tx1"/>
            </w14:solidFill>
          </w14:textFill>
        </w:rPr>
        <w:t>要求</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w:t>
      </w:r>
      <w:r>
        <w:rPr>
          <w:rFonts w:hint="eastAsia" w:ascii="宋体" w:hAnsi="宋体"/>
          <w:color w:val="000000" w:themeColor="text1"/>
          <w14:textFill>
            <w14:solidFill>
              <w14:schemeClr w14:val="tx1"/>
            </w14:solidFill>
          </w14:textFill>
        </w:rPr>
        <w:t>.1供应商须在谈判当日的谈判时间至解密截止时间内进行解密，逾期未解密的作应答处理。解密方法：登录“深圳政府采购智慧平台用户网上办事子系统（http://zfcg.szggzy.com:8081/TPBidder/memberLogin）”，使用本单位制作电子投标(应答)文件同一个电子密钥，在“【我的项目】→【项目流程】→【开标及解密】”进行在线解密、查询开标情况。本项目谈判小组将于谈判应答文件提交截止时间到后一定时间内即开始进行谈判。</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w:t>
      </w:r>
      <w:r>
        <w:rPr>
          <w:rFonts w:hint="eastAsia" w:ascii="宋体" w:hAnsi="宋体"/>
          <w:color w:val="000000" w:themeColor="text1"/>
          <w14:textFill>
            <w14:solidFill>
              <w14:schemeClr w14:val="tx1"/>
            </w14:solidFill>
          </w14:textFill>
        </w:rPr>
        <w:t>.2</w:t>
      </w:r>
      <w:r>
        <w:rPr>
          <w:rFonts w:hint="eastAsia" w:ascii="宋体" w:hAnsi="宋体"/>
          <w:color w:val="000000" w:themeColor="text1"/>
          <w:szCs w:val="21"/>
          <w14:textFill>
            <w14:solidFill>
              <w14:schemeClr w14:val="tx1"/>
            </w14:solidFill>
          </w14:textFill>
        </w:rPr>
        <w:t>政府集中采购机构将在满足开标条件（①解密时间结束，解密后的投标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供应商数量满足开标要求或②解密时间结束前所有投标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供应商均完成投标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文件解密）后，对投标</w:t>
      </w:r>
      <w:r>
        <w:rPr>
          <w:rFonts w:hint="eastAsia" w:ascii="宋体" w:hAnsi="宋体"/>
          <w:color w:val="000000" w:themeColor="text1"/>
          <w14:textFill>
            <w14:solidFill>
              <w14:schemeClr w14:val="tx1"/>
            </w14:solidFill>
          </w14:textFill>
        </w:rPr>
        <w:t>（应答）</w:t>
      </w:r>
      <w:r>
        <w:rPr>
          <w:rFonts w:hint="eastAsia" w:ascii="宋体" w:hAnsi="宋体"/>
          <w:color w:val="000000" w:themeColor="text1"/>
          <w:szCs w:val="21"/>
          <w14:textFill>
            <w14:solidFill>
              <w14:schemeClr w14:val="tx1"/>
            </w14:solidFill>
          </w14:textFill>
        </w:rPr>
        <w:t>文件进行开标，并在网上公布开标结果。</w:t>
      </w:r>
    </w:p>
    <w:p>
      <w:pPr>
        <w:ind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w:t>
      </w:r>
      <w:r>
        <w:rPr>
          <w:rFonts w:hint="eastAsia" w:ascii="宋体" w:hAnsi="宋体"/>
          <w:color w:val="000000" w:themeColor="text1"/>
          <w14:textFill>
            <w14:solidFill>
              <w14:schemeClr w14:val="tx1"/>
            </w14:solidFill>
          </w14:textFill>
        </w:rPr>
        <w:t>.3评审委员会（谈判小组成员）由采购人代表和评审专家组成，成员人数应当为</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人以上单数，其中评审专家（谈判小组成员）不得少于成员总数的三分之二。</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28.</w:t>
      </w:r>
      <w:r>
        <w:rPr>
          <w:rFonts w:hint="eastAsia" w:ascii="黑体" w:hAnsi="宋体" w:eastAsia="黑体"/>
          <w:color w:val="000000" w:themeColor="text1"/>
          <w:sz w:val="24"/>
          <w14:textFill>
            <w14:solidFill>
              <w14:schemeClr w14:val="tx1"/>
            </w14:solidFill>
          </w14:textFill>
        </w:rPr>
        <w:t>谈判应答文件的审查</w:t>
      </w:r>
    </w:p>
    <w:p>
      <w:pPr>
        <w:tabs>
          <w:tab w:val="left" w:pos="-1080"/>
        </w:tabs>
        <w:ind w:firstLine="420" w:firstLineChars="200"/>
        <w:rPr>
          <w:rFonts w:hint="eastAsia" w:ascii="宋体" w:hAnsi="宋体"/>
          <w:b/>
          <w:bCs/>
          <w:color w:val="000000" w:themeColor="text1"/>
          <w14:textFill>
            <w14:solidFill>
              <w14:schemeClr w14:val="tx1"/>
            </w14:solidFill>
          </w14:textFill>
        </w:rPr>
      </w:pPr>
      <w:r>
        <w:rPr>
          <w:rFonts w:ascii="宋体" w:hAnsi="宋体"/>
          <w:color w:val="000000" w:themeColor="text1"/>
          <w14:textFill>
            <w14:solidFill>
              <w14:schemeClr w14:val="tx1"/>
            </w14:solidFill>
          </w14:textFill>
        </w:rPr>
        <w:t>28</w:t>
      </w:r>
      <w:r>
        <w:rPr>
          <w:rFonts w:hint="eastAsia" w:ascii="宋体" w:hAnsi="宋体"/>
          <w:color w:val="000000" w:themeColor="text1"/>
          <w14:textFill>
            <w14:solidFill>
              <w14:schemeClr w14:val="tx1"/>
            </w14:solidFill>
          </w14:textFill>
        </w:rPr>
        <w:t>.1 谈判前，谈判小组将对谈判应答文件进行审查，</w:t>
      </w:r>
      <w:r>
        <w:rPr>
          <w:rFonts w:hint="eastAsia" w:ascii="宋体" w:hAnsi="宋体"/>
          <w:b/>
          <w:bCs/>
          <w:color w:val="000000" w:themeColor="text1"/>
          <w14:textFill>
            <w14:solidFill>
              <w14:schemeClr w14:val="tx1"/>
            </w14:solidFill>
          </w14:textFill>
        </w:rPr>
        <w:t>当谈判应答文件出现下列情况之一的将视为无效，按应答无效处理，不得进入谈判：</w:t>
      </w:r>
    </w:p>
    <w:p>
      <w:pPr>
        <w:tabs>
          <w:tab w:val="left" w:pos="-1080"/>
        </w:tabs>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具体内容见《资格性审查表》。</w:t>
      </w:r>
    </w:p>
    <w:p>
      <w:pPr>
        <w:rPr>
          <w:rFonts w:hint="eastAsia" w:ascii="黑体" w:hAnsi="宋体" w:eastAsia="黑体"/>
          <w:color w:val="000000" w:themeColor="text1"/>
          <w:sz w:val="24"/>
          <w14:textFill>
            <w14:solidFill>
              <w14:schemeClr w14:val="tx1"/>
            </w14:solidFill>
          </w14:textFill>
        </w:rPr>
      </w:pPr>
      <w:bookmarkStart w:id="54" w:name="_Toc78703965"/>
      <w:r>
        <w:rPr>
          <w:rFonts w:ascii="黑体" w:hAnsi="宋体" w:eastAsia="黑体"/>
          <w:color w:val="000000" w:themeColor="text1"/>
          <w:sz w:val="24"/>
          <w14:textFill>
            <w14:solidFill>
              <w14:schemeClr w14:val="tx1"/>
            </w14:solidFill>
          </w14:textFill>
        </w:rPr>
        <w:t>29.</w:t>
      </w:r>
      <w:r>
        <w:rPr>
          <w:rFonts w:hint="eastAsia" w:ascii="黑体" w:hAnsi="宋体" w:eastAsia="黑体"/>
          <w:color w:val="000000" w:themeColor="text1"/>
          <w:sz w:val="24"/>
          <w14:textFill>
            <w14:solidFill>
              <w14:schemeClr w14:val="tx1"/>
            </w14:solidFill>
          </w14:textFill>
        </w:rPr>
        <w:t>谈判应答文件的澄清或修改</w:t>
      </w:r>
      <w:bookmarkEnd w:id="54"/>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w:t>
      </w:r>
      <w:r>
        <w:rPr>
          <w:rFonts w:hint="eastAsia" w:ascii="宋体" w:hAnsi="宋体"/>
          <w:color w:val="000000" w:themeColor="text1"/>
          <w14:textFill>
            <w14:solidFill>
              <w14:schemeClr w14:val="tx1"/>
            </w14:solidFill>
          </w14:textFill>
        </w:rPr>
        <w:t>.1谈判小组可以要求供应商对谈判应答文件含义不明确的内容作必要的澄清或者说明，供应商应进行澄清、说明。</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29.2</w:t>
      </w:r>
      <w:r>
        <w:rPr>
          <w:rFonts w:hint="eastAsia" w:ascii="宋体" w:hAnsi="宋体"/>
          <w:color w:val="000000" w:themeColor="text1"/>
          <w14:textFill>
            <w14:solidFill>
              <w14:schemeClr w14:val="tx1"/>
            </w14:solidFill>
          </w14:textFill>
        </w:rPr>
        <w:t xml:space="preserve"> 允许供应商在谈判结束之前根据谈判小组提出的内容进行澄清、修改或完善，或对方案进行相应的调整。</w:t>
      </w:r>
    </w:p>
    <w:p>
      <w:pPr>
        <w:rPr>
          <w:rFonts w:hint="eastAsia" w:ascii="黑体" w:hAnsi="宋体" w:eastAsia="黑体"/>
          <w:color w:val="000000" w:themeColor="text1"/>
          <w:sz w:val="24"/>
          <w14:textFill>
            <w14:solidFill>
              <w14:schemeClr w14:val="tx1"/>
            </w14:solidFill>
          </w14:textFill>
        </w:rPr>
      </w:pPr>
      <w:bookmarkStart w:id="55" w:name="_Toc78703966"/>
      <w:r>
        <w:rPr>
          <w:rFonts w:ascii="黑体" w:hAnsi="宋体" w:eastAsia="黑体"/>
          <w:color w:val="000000" w:themeColor="text1"/>
          <w:sz w:val="24"/>
          <w14:textFill>
            <w14:solidFill>
              <w14:schemeClr w14:val="tx1"/>
            </w14:solidFill>
          </w14:textFill>
        </w:rPr>
        <w:t>30.</w:t>
      </w:r>
      <w:r>
        <w:rPr>
          <w:rFonts w:hint="eastAsia" w:ascii="黑体" w:hAnsi="宋体" w:eastAsia="黑体"/>
          <w:color w:val="000000" w:themeColor="text1"/>
          <w:sz w:val="24"/>
          <w14:textFill>
            <w14:solidFill>
              <w14:schemeClr w14:val="tx1"/>
            </w14:solidFill>
          </w14:textFill>
        </w:rPr>
        <w:t>谈判方式及程序</w:t>
      </w:r>
      <w:bookmarkEnd w:id="55"/>
    </w:p>
    <w:p>
      <w:pPr>
        <w:tabs>
          <w:tab w:val="left" w:pos="-1080"/>
        </w:tabs>
        <w:ind w:firstLine="420" w:firstLineChars="200"/>
        <w:rPr>
          <w:rFonts w:hint="eastAsia" w:ascii="宋体" w:hAnsi="宋体"/>
          <w:color w:val="000000" w:themeColor="text1"/>
          <w14:textFill>
            <w14:solidFill>
              <w14:schemeClr w14:val="tx1"/>
            </w14:solidFill>
          </w14:textFill>
        </w:rPr>
      </w:pPr>
      <w:bookmarkStart w:id="56" w:name="_Hlk72664977"/>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.1谈判方式为</w:t>
      </w:r>
      <w:r>
        <w:rPr>
          <w:rFonts w:hint="eastAsia" w:ascii="宋体" w:hAnsi="宋体"/>
          <w:b/>
          <w:color w:val="000000" w:themeColor="text1"/>
          <w:szCs w:val="21"/>
          <w14:textFill>
            <w14:solidFill>
              <w14:schemeClr w14:val="tx1"/>
            </w14:solidFill>
          </w14:textFill>
        </w:rPr>
        <w:t>网下谈判</w:t>
      </w:r>
      <w:r>
        <w:rPr>
          <w:rFonts w:hint="eastAsia" w:ascii="宋体" w:hAnsi="宋体"/>
          <w:color w:val="000000" w:themeColor="text1"/>
          <w:szCs w:val="21"/>
          <w14:textFill>
            <w14:solidFill>
              <w14:schemeClr w14:val="tx1"/>
            </w14:solidFill>
          </w14:textFill>
        </w:rPr>
        <w:t>，谈判程序如下：</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2参加谈判的供应商谈判代表和谈判小组成员到谈判现场填写谈判供应商签到表，并交验身份证明文件。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3谈判主持人将在谈判现场宣布谈判规则和谈判纪律。</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4在谈判中，谈判小组将就服务方案、报价及其它相关事项跟供应商进行谈判。采购文件有实质性变更的，谈判小组应当通过市政府深圳公共资源交易中心书面告知所有参加谈判的供应商。</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6谈判结束后，谈判小组根据供应商提供的谈判应答文件、谈判过程中产生的相关资料，对供应商谈判应答文件进行评估与比较，提出书面评审意见。</w:t>
      </w:r>
    </w:p>
    <w:p>
      <w:pPr>
        <w:tabs>
          <w:tab w:val="left" w:pos="-1080"/>
        </w:tabs>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.7谈判小组将对谈判过程进行记录，以存档备查。</w:t>
      </w:r>
    </w:p>
    <w:bookmarkEnd w:id="56"/>
    <w:p>
      <w:pPr>
        <w:keepNext/>
        <w:keepLines/>
        <w:adjustRightInd w:val="0"/>
        <w:snapToGrid w:val="0"/>
        <w:jc w:val="center"/>
        <w:outlineLvl w:val="1"/>
        <w:rPr>
          <w:rFonts w:asciiTheme="majorHAnsi" w:hAnsiTheme="majorHAnsi" w:eastAsiaTheme="majorEastAsia" w:cstheme="majorBidi"/>
          <w:b/>
          <w:bCs/>
          <w:color w:val="000000" w:themeColor="text1"/>
          <w:sz w:val="28"/>
          <w:szCs w:val="28"/>
          <w14:textFill>
            <w14:solidFill>
              <w14:schemeClr w14:val="tx1"/>
            </w14:solidFill>
          </w14:textFill>
        </w:rPr>
      </w:pPr>
      <w:r>
        <w:rPr>
          <w:rFonts w:hint="eastAsia" w:asciiTheme="majorHAnsi" w:hAnsiTheme="majorHAnsi" w:eastAsiaTheme="majorEastAsia" w:cstheme="majorBidi"/>
          <w:b/>
          <w:bCs/>
          <w:color w:val="000000" w:themeColor="text1"/>
          <w:sz w:val="28"/>
          <w:szCs w:val="28"/>
          <w14:textFill>
            <w14:solidFill>
              <w14:schemeClr w14:val="tx1"/>
            </w14:solidFill>
          </w14:textFill>
        </w:rPr>
        <w:t>六、成交</w:t>
      </w:r>
    </w:p>
    <w:p>
      <w:pPr>
        <w:rPr>
          <w:rFonts w:hint="eastAsia" w:ascii="黑体" w:hAnsi="宋体" w:eastAsia="黑体"/>
          <w:color w:val="000000" w:themeColor="text1"/>
          <w:sz w:val="24"/>
          <w14:textFill>
            <w14:solidFill>
              <w14:schemeClr w14:val="tx1"/>
            </w14:solidFill>
          </w14:textFill>
        </w:rPr>
      </w:pPr>
      <w:bookmarkStart w:id="57" w:name="_Toc78703968"/>
      <w:r>
        <w:rPr>
          <w:rFonts w:ascii="黑体" w:hAnsi="宋体" w:eastAsia="黑体"/>
          <w:color w:val="000000" w:themeColor="text1"/>
          <w:sz w:val="24"/>
          <w14:textFill>
            <w14:solidFill>
              <w14:schemeClr w14:val="tx1"/>
            </w14:solidFill>
          </w14:textFill>
        </w:rPr>
        <w:t>31.</w:t>
      </w:r>
      <w:r>
        <w:rPr>
          <w:rFonts w:hint="eastAsia" w:ascii="黑体" w:hAnsi="宋体" w:eastAsia="黑体"/>
          <w:color w:val="000000" w:themeColor="text1"/>
          <w:sz w:val="24"/>
          <w14:textFill>
            <w14:solidFill>
              <w14:schemeClr w14:val="tx1"/>
            </w14:solidFill>
          </w14:textFill>
        </w:rPr>
        <w:t>应答无效</w:t>
      </w:r>
    </w:p>
    <w:p>
      <w:pPr>
        <w:tabs>
          <w:tab w:val="left" w:pos="-1080"/>
        </w:tabs>
        <w:ind w:firstLine="422" w:firstLineChars="200"/>
        <w:rPr>
          <w:rFonts w:hint="eastAsia" w:ascii="宋体" w:hAnsi="宋体"/>
          <w:b/>
          <w:bCs/>
          <w:color w:val="000000" w:themeColor="text1"/>
          <w14:textFill>
            <w14:solidFill>
              <w14:schemeClr w14:val="tx1"/>
            </w14:solidFill>
          </w14:textFill>
        </w:rPr>
      </w:pPr>
      <w:r>
        <w:rPr>
          <w:rFonts w:ascii="宋体" w:hAnsi="宋体"/>
          <w:b/>
          <w:bCs/>
          <w:color w:val="000000" w:themeColor="text1"/>
          <w14:textFill>
            <w14:solidFill>
              <w14:schemeClr w14:val="tx1"/>
            </w14:solidFill>
          </w14:textFill>
        </w:rPr>
        <w:t>31</w:t>
      </w:r>
      <w:r>
        <w:rPr>
          <w:rFonts w:hint="eastAsia" w:ascii="宋体" w:hAnsi="宋体"/>
          <w:b/>
          <w:bCs/>
          <w:color w:val="000000" w:themeColor="text1"/>
          <w14:textFill>
            <w14:solidFill>
              <w14:schemeClr w14:val="tx1"/>
            </w14:solidFill>
          </w14:textFill>
        </w:rPr>
        <w:t>.1有下列情形之一的，该供应商的谈判作应答无效处理：</w:t>
      </w:r>
    </w:p>
    <w:p>
      <w:pPr>
        <w:tabs>
          <w:tab w:val="left" w:pos="-1080"/>
        </w:tabs>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具体内容见</w:t>
      </w:r>
      <w:r>
        <w:rPr>
          <w:rFonts w:hint="eastAsia"/>
          <w:color w:val="000000" w:themeColor="text1"/>
          <w14:textFill>
            <w14:solidFill>
              <w14:schemeClr w14:val="tx1"/>
            </w14:solidFill>
          </w14:textFill>
        </w:rPr>
        <w:t>《</w:t>
      </w:r>
      <w:r>
        <w:rPr>
          <w:rFonts w:hint="eastAsia"/>
          <w:b/>
          <w:bCs/>
          <w:color w:val="000000" w:themeColor="text1"/>
          <w14:textFill>
            <w14:solidFill>
              <w14:schemeClr w14:val="tx1"/>
            </w14:solidFill>
          </w14:textFill>
        </w:rPr>
        <w:t>资格性审查表</w:t>
      </w:r>
      <w:r>
        <w:rPr>
          <w:rFonts w:hint="eastAsia"/>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《符合性审查表》。</w:t>
      </w:r>
    </w:p>
    <w:p>
      <w:pPr>
        <w:tabs>
          <w:tab w:val="left" w:pos="-1080"/>
        </w:tabs>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注：《资格性审查表》、《符合性审查表》的所有条款均为应答无效条款，对不属于应答无效条款所列的其它情形，除法律法规另有规定外，不得作为应答无效的理由。供应商若有一条审查不通过则按应答无效处理。</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32.</w:t>
      </w:r>
      <w:bookmarkEnd w:id="57"/>
      <w:r>
        <w:rPr>
          <w:rFonts w:hint="eastAsia" w:ascii="黑体" w:hAnsi="宋体" w:eastAsia="黑体"/>
          <w:color w:val="000000" w:themeColor="text1"/>
          <w:sz w:val="24"/>
          <w14:textFill>
            <w14:solidFill>
              <w14:schemeClr w14:val="tx1"/>
            </w14:solidFill>
          </w14:textFill>
        </w:rPr>
        <w:t>成交</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.1谈判小组依据本须知对谈判应答文件进行评审和比较，综合各家供应商最终的方案、服务和投资等谈判结果并按最低价法/综合评分法[以评审信息为准]进行评审。</w:t>
      </w:r>
      <w:bookmarkStart w:id="58" w:name="评标方法3"/>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最低价法，是指</w:t>
      </w:r>
      <w:r>
        <w:rPr>
          <w:rFonts w:hint="eastAsia" w:ascii="宋体" w:hAnsi="宋体"/>
          <w:color w:val="000000" w:themeColor="text1"/>
          <w14:textFill>
            <w14:solidFill>
              <w14:schemeClr w14:val="tx1"/>
            </w14:solidFill>
          </w14:textFill>
        </w:rPr>
        <w:t>应答文件</w:t>
      </w:r>
      <w:r>
        <w:rPr>
          <w:rFonts w:ascii="宋体" w:hAnsi="宋体"/>
          <w:color w:val="000000" w:themeColor="text1"/>
          <w14:textFill>
            <w14:solidFill>
              <w14:schemeClr w14:val="tx1"/>
            </w14:solidFill>
          </w14:textFill>
        </w:rPr>
        <w:t>满足</w:t>
      </w:r>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文件实质性要求，</w:t>
      </w:r>
      <w:r>
        <w:rPr>
          <w:rFonts w:hint="eastAsia" w:ascii="宋体" w:hAnsi="宋体"/>
          <w:color w:val="000000" w:themeColor="text1"/>
          <w14:textFill>
            <w14:solidFill>
              <w14:schemeClr w14:val="tx1"/>
            </w14:solidFill>
          </w14:textFill>
        </w:rPr>
        <w:t>按照报价由低到高的顺序，以报价最低的供应商作为成交供应商的评审方法。</w:t>
      </w:r>
    </w:p>
    <w:bookmarkEnd w:id="58"/>
    <w:p>
      <w:pPr>
        <w:tabs>
          <w:tab w:val="left" w:pos="-1080"/>
        </w:tabs>
        <w:ind w:firstLine="420" w:firstLineChars="200"/>
        <w:rPr>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综合评分法，是指</w:t>
      </w:r>
      <w:r>
        <w:rPr>
          <w:rFonts w:hint="eastAsia" w:ascii="宋体" w:hAnsi="宋体"/>
          <w:color w:val="000000" w:themeColor="text1"/>
          <w14:textFill>
            <w14:solidFill>
              <w14:schemeClr w14:val="tx1"/>
            </w14:solidFill>
          </w14:textFill>
        </w:rPr>
        <w:t>应答</w:t>
      </w:r>
      <w:r>
        <w:rPr>
          <w:rFonts w:ascii="宋体" w:hAnsi="宋体"/>
          <w:color w:val="000000" w:themeColor="text1"/>
          <w14:textFill>
            <w14:solidFill>
              <w14:schemeClr w14:val="tx1"/>
            </w14:solidFill>
          </w14:textFill>
        </w:rPr>
        <w:t>文件满足</w:t>
      </w:r>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文件全部实</w:t>
      </w:r>
      <w:r>
        <w:rPr>
          <w:color w:val="000000" w:themeColor="text1"/>
          <w:szCs w:val="21"/>
          <w14:textFill>
            <w14:solidFill>
              <w14:schemeClr w14:val="tx1"/>
            </w14:solidFill>
          </w14:textFill>
        </w:rPr>
        <w:t>质性要求，且按照评审因素的量化指标评审得分最高的</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为</w:t>
      </w:r>
      <w:r>
        <w:rPr>
          <w:rFonts w:hint="eastAsia"/>
          <w:color w:val="000000" w:themeColor="text1"/>
          <w:szCs w:val="21"/>
          <w14:textFill>
            <w14:solidFill>
              <w14:schemeClr w14:val="tx1"/>
            </w14:solidFill>
          </w14:textFill>
        </w:rPr>
        <w:t>成交</w:t>
      </w:r>
      <w:r>
        <w:rPr>
          <w:rFonts w:hint="eastAsia" w:ascii="宋体" w:hAnsi="宋体"/>
          <w:bCs/>
          <w:color w:val="000000" w:themeColor="text1"/>
          <w:szCs w:val="21"/>
          <w14:textFill>
            <w14:solidFill>
              <w14:schemeClr w14:val="tx1"/>
            </w14:solidFill>
          </w14:textFill>
        </w:rPr>
        <w:t>候选</w:t>
      </w:r>
      <w:r>
        <w:rPr>
          <w:rFonts w:hint="eastAsia"/>
          <w:color w:val="000000" w:themeColor="text1"/>
          <w:szCs w:val="21"/>
          <w14:textFill>
            <w14:solidFill>
              <w14:schemeClr w14:val="tx1"/>
            </w14:solidFill>
          </w14:textFill>
        </w:rPr>
        <w:t>供应商</w:t>
      </w:r>
      <w:r>
        <w:rPr>
          <w:color w:val="000000" w:themeColor="text1"/>
          <w:szCs w:val="21"/>
          <w14:textFill>
            <w14:solidFill>
              <w14:schemeClr w14:val="tx1"/>
            </w14:solidFill>
          </w14:textFill>
        </w:rPr>
        <w:t>的评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方法。</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w:t>
      </w:r>
      <w:r>
        <w:rPr>
          <w:rFonts w:hint="eastAsia" w:ascii="宋体" w:hAnsi="宋体"/>
          <w:color w:val="000000" w:themeColor="text1"/>
          <w14:textFill>
            <w14:solidFill>
              <w14:schemeClr w14:val="tx1"/>
            </w14:solidFill>
          </w14:textFill>
        </w:rPr>
        <w:t>.2谈判小组向政府集中采购机构提交书面评审报告，并受采购人委托直接确定成交供应商。</w:t>
      </w:r>
    </w:p>
    <w:p>
      <w:pPr>
        <w:rPr>
          <w:rFonts w:hint="eastAsia" w:ascii="黑体" w:hAnsi="宋体" w:eastAsia="黑体"/>
          <w:color w:val="000000" w:themeColor="text1"/>
          <w:sz w:val="24"/>
          <w14:textFill>
            <w14:solidFill>
              <w14:schemeClr w14:val="tx1"/>
            </w14:solidFill>
          </w14:textFill>
        </w:rPr>
      </w:pPr>
      <w:bookmarkStart w:id="59" w:name="_Hlk72658609"/>
      <w:r>
        <w:rPr>
          <w:rFonts w:ascii="黑体" w:hAnsi="宋体" w:eastAsia="黑体"/>
          <w:color w:val="000000" w:themeColor="text1"/>
          <w:sz w:val="24"/>
          <w14:textFill>
            <w14:solidFill>
              <w14:schemeClr w14:val="tx1"/>
            </w14:solidFill>
          </w14:textFill>
        </w:rPr>
        <w:t>33</w:t>
      </w:r>
      <w:r>
        <w:rPr>
          <w:rFonts w:hint="eastAsia" w:ascii="黑体" w:hAnsi="宋体" w:eastAsia="黑体"/>
          <w:color w:val="000000" w:themeColor="text1"/>
          <w:sz w:val="24"/>
          <w14:textFill>
            <w14:solidFill>
              <w14:schemeClr w14:val="tx1"/>
            </w14:solidFill>
          </w14:textFill>
        </w:rPr>
        <w:t>.谈判结果公示</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33</w:t>
      </w:r>
      <w:r>
        <w:rPr>
          <w:rFonts w:hint="eastAsia" w:ascii="宋体" w:hAnsi="宋体"/>
          <w:color w:val="000000" w:themeColor="text1"/>
          <w14:textFill>
            <w14:solidFill>
              <w14:schemeClr w14:val="tx1"/>
            </w14:solidFill>
          </w14:textFill>
        </w:rPr>
        <w:t>.1</w:t>
      </w:r>
      <w:r>
        <w:rPr>
          <w:rFonts w:hint="eastAsia" w:ascii="宋体" w:hAnsi="宋体"/>
          <w:color w:val="000000" w:themeColor="text1"/>
          <w:szCs w:val="21"/>
          <w14:textFill>
            <w14:solidFill>
              <w14:schemeClr w14:val="tx1"/>
            </w14:solidFill>
          </w14:textFill>
        </w:rPr>
        <w:t>为体现“公开、公平、公正”的原则，谈判结束后经采购人确认评审结果，政府集中采购机构将在</w:t>
      </w:r>
      <w:r>
        <w:rPr>
          <w:rFonts w:hint="eastAsia" w:ascii="宋体" w:hAnsi="宋体"/>
          <w:b/>
          <w:bCs/>
          <w:color w:val="000000" w:themeColor="text1"/>
          <w:szCs w:val="21"/>
          <w14:textFill>
            <w14:solidFill>
              <w14:schemeClr w14:val="tx1"/>
            </w14:solidFill>
          </w14:textFill>
        </w:rPr>
        <w:t>“深圳公共资源交易网（https://szggzy.com/）”</w:t>
      </w:r>
      <w:r>
        <w:rPr>
          <w:rFonts w:hint="eastAsia" w:ascii="宋体" w:hAnsi="宋体"/>
          <w:color w:val="000000" w:themeColor="text1"/>
          <w:szCs w:val="21"/>
          <w14:textFill>
            <w14:solidFill>
              <w14:schemeClr w14:val="tx1"/>
            </w14:solidFill>
          </w14:textFill>
        </w:rPr>
        <w:t>上发布成交结果公告。供应商如对评审结果有异议，</w:t>
      </w:r>
      <w:r>
        <w:rPr>
          <w:rFonts w:ascii="宋体" w:hAnsi="宋体"/>
          <w:color w:val="000000" w:themeColor="text1"/>
          <w:szCs w:val="21"/>
          <w14:textFill>
            <w14:solidFill>
              <w14:schemeClr w14:val="tx1"/>
            </w14:solidFill>
          </w14:textFill>
        </w:rPr>
        <w:t>可在发布公示日期起</w:t>
      </w:r>
      <w:r>
        <w:rPr>
          <w:rFonts w:hint="eastAsia" w:ascii="宋体" w:hAnsi="宋体"/>
          <w:color w:val="000000" w:themeColor="text1"/>
          <w:szCs w:val="21"/>
          <w14:textFill>
            <w14:solidFill>
              <w14:schemeClr w14:val="tx1"/>
            </w14:solidFill>
          </w14:textFill>
        </w:rPr>
        <w:t>七</w:t>
      </w:r>
      <w:r>
        <w:rPr>
          <w:rFonts w:ascii="宋体" w:hAnsi="宋体"/>
          <w:color w:val="000000" w:themeColor="text1"/>
          <w:szCs w:val="21"/>
          <w14:textFill>
            <w14:solidFill>
              <w14:schemeClr w14:val="tx1"/>
            </w14:solidFill>
          </w14:textFill>
        </w:rPr>
        <w:t>个工作日内向</w:t>
      </w:r>
      <w:r>
        <w:rPr>
          <w:rFonts w:hint="eastAsia" w:ascii="宋体" w:hAnsi="宋体"/>
          <w:color w:val="000000" w:themeColor="text1"/>
          <w:szCs w:val="21"/>
          <w14:textFill>
            <w14:solidFill>
              <w14:schemeClr w14:val="tx1"/>
            </w14:solidFill>
          </w14:textFill>
        </w:rPr>
        <w:t>政府集中采购机构</w:t>
      </w:r>
      <w:r>
        <w:rPr>
          <w:rFonts w:ascii="宋体" w:hAnsi="宋体"/>
          <w:color w:val="000000" w:themeColor="text1"/>
          <w:szCs w:val="21"/>
          <w14:textFill>
            <w14:solidFill>
              <w14:schemeClr w14:val="tx1"/>
            </w14:solidFill>
          </w14:textFill>
        </w:rPr>
        <w:t>提出。 监督电话：0755-8394****。</w:t>
      </w:r>
      <w:r>
        <w:rPr>
          <w:rFonts w:hint="eastAsia" w:ascii="宋体" w:hAnsi="宋体"/>
          <w:color w:val="000000" w:themeColor="text1"/>
          <w:szCs w:val="21"/>
          <w14:textFill>
            <w14:solidFill>
              <w14:schemeClr w14:val="tx1"/>
            </w14:solidFill>
          </w14:textFill>
        </w:rPr>
        <w:t>若在公示期内未提出质疑，则视为认同该评审结果。</w:t>
      </w:r>
    </w:p>
    <w:p>
      <w:pPr>
        <w:tabs>
          <w:tab w:val="left" w:pos="-1080"/>
        </w:tabs>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w:t>
      </w:r>
      <w:r>
        <w:rPr>
          <w:rFonts w:hint="eastAsia" w:ascii="宋体" w:hAnsi="宋体"/>
          <w:color w:val="000000" w:themeColor="text1"/>
          <w14:textFill>
            <w14:solidFill>
              <w14:schemeClr w14:val="tx1"/>
            </w14:solidFill>
          </w14:textFill>
        </w:rPr>
        <w:t>.2质疑、投诉供应商应保证质疑、投诉内容的真实性和可靠性，并承担相应的法律责任。</w:t>
      </w:r>
    </w:p>
    <w:p>
      <w:pPr>
        <w:rPr>
          <w:rFonts w:hint="eastAsia" w:ascii="黑体" w:hAnsi="宋体" w:eastAsia="黑体"/>
          <w:color w:val="000000" w:themeColor="text1"/>
          <w:sz w:val="24"/>
          <w14:textFill>
            <w14:solidFill>
              <w14:schemeClr w14:val="tx1"/>
            </w14:solidFill>
          </w14:textFill>
        </w:rPr>
      </w:pPr>
      <w:bookmarkStart w:id="60" w:name="_Toc78703971"/>
      <w:r>
        <w:rPr>
          <w:rFonts w:ascii="黑体" w:hAnsi="宋体" w:eastAsia="黑体"/>
          <w:color w:val="000000" w:themeColor="text1"/>
          <w:sz w:val="24"/>
          <w14:textFill>
            <w14:solidFill>
              <w14:schemeClr w14:val="tx1"/>
            </w14:solidFill>
          </w14:textFill>
        </w:rPr>
        <w:t>34.</w:t>
      </w:r>
      <w:r>
        <w:rPr>
          <w:rFonts w:hint="eastAsia" w:ascii="黑体" w:hAnsi="宋体" w:eastAsia="黑体"/>
          <w:color w:val="000000" w:themeColor="text1"/>
          <w:sz w:val="24"/>
          <w14:textFill>
            <w14:solidFill>
              <w14:schemeClr w14:val="tx1"/>
            </w14:solidFill>
          </w14:textFill>
        </w:rPr>
        <w:t>成交通知书</w:t>
      </w:r>
      <w:bookmarkEnd w:id="60"/>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34</w:t>
      </w:r>
      <w:r>
        <w:rPr>
          <w:rFonts w:hint="eastAsia" w:ascii="宋体" w:hAnsi="宋体"/>
          <w:color w:val="000000" w:themeColor="text1"/>
          <w14:textFill>
            <w14:solidFill>
              <w14:schemeClr w14:val="tx1"/>
            </w14:solidFill>
          </w14:textFill>
        </w:rPr>
        <w:t>.1采购结果公告公布以后</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公示期内无有效质疑投诉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成交供应商和采购人可自行在</w:t>
      </w:r>
      <w:r>
        <w:rPr>
          <w:rFonts w:hint="eastAsia" w:ascii="宋体" w:hAnsi="宋体"/>
          <w:b/>
          <w:bCs/>
          <w:color w:val="000000" w:themeColor="text1"/>
          <w:szCs w:val="21"/>
          <w14:textFill>
            <w14:solidFill>
              <w14:schemeClr w14:val="tx1"/>
            </w14:solidFill>
          </w14:textFill>
        </w:rPr>
        <w:t>“深圳政府采购智慧平台（http://zfcg.szggzy.com/）”</w:t>
      </w:r>
      <w:r>
        <w:rPr>
          <w:rFonts w:hint="eastAsia" w:ascii="宋体" w:hAnsi="宋体"/>
          <w:color w:val="000000" w:themeColor="text1"/>
          <w:szCs w:val="21"/>
          <w14:textFill>
            <w14:solidFill>
              <w14:schemeClr w14:val="tx1"/>
            </w14:solidFill>
          </w14:textFill>
        </w:rPr>
        <w:t>上打印</w:t>
      </w:r>
      <w:r>
        <w:rPr>
          <w:rFonts w:hint="eastAsia" w:ascii="宋体" w:hAnsi="宋体"/>
          <w:b/>
          <w:color w:val="000000" w:themeColor="text1"/>
          <w:szCs w:val="21"/>
          <w14:textFill>
            <w14:solidFill>
              <w14:schemeClr w14:val="tx1"/>
            </w14:solidFill>
          </w14:textFill>
        </w:rPr>
        <w:t>《数字中标（成交）通知书》</w:t>
      </w:r>
      <w:r>
        <w:rPr>
          <w:rFonts w:hint="eastAsia" w:ascii="宋体" w:hAnsi="宋体"/>
          <w:color w:val="000000" w:themeColor="text1"/>
          <w:szCs w:val="21"/>
          <w14:textFill>
            <w14:solidFill>
              <w14:schemeClr w14:val="tx1"/>
            </w14:solidFill>
          </w14:textFill>
        </w:rPr>
        <w:t>。</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34.2</w:t>
      </w:r>
      <w:r>
        <w:rPr>
          <w:rFonts w:hint="eastAsia" w:ascii="宋体" w:hAnsi="宋体"/>
          <w:color w:val="000000" w:themeColor="text1"/>
          <w:szCs w:val="21"/>
          <w14:textFill>
            <w14:solidFill>
              <w14:schemeClr w14:val="tx1"/>
            </w14:solidFill>
          </w14:textFill>
        </w:rPr>
        <w:t>成交通知书是合同的重要组成部分。</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w:t>
      </w:r>
      <w:r>
        <w:rPr>
          <w:rFonts w:hint="eastAsia" w:ascii="宋体" w:hAnsi="宋体"/>
          <w:color w:val="000000" w:themeColor="text1"/>
          <w:szCs w:val="21"/>
          <w14:textFill>
            <w14:solidFill>
              <w14:schemeClr w14:val="tx1"/>
            </w14:solidFill>
          </w14:textFill>
        </w:rPr>
        <w:t>.3因质疑投诉或其它原因导致项目结果变更或采购终止的，政府集中采购机构有权吊销成交通知书。</w:t>
      </w:r>
    </w:p>
    <w:bookmarkEnd w:id="59"/>
    <w:p>
      <w:pPr>
        <w:keepNext/>
        <w:keepLines/>
        <w:adjustRightInd w:val="0"/>
        <w:snapToGrid w:val="0"/>
        <w:jc w:val="center"/>
        <w:outlineLvl w:val="1"/>
        <w:rPr>
          <w:rFonts w:asciiTheme="majorHAnsi" w:hAnsiTheme="majorHAnsi" w:eastAsiaTheme="majorEastAsia" w:cstheme="majorBidi"/>
          <w:b/>
          <w:bCs/>
          <w:color w:val="000000" w:themeColor="text1"/>
          <w:sz w:val="28"/>
          <w:szCs w:val="28"/>
          <w14:textFill>
            <w14:solidFill>
              <w14:schemeClr w14:val="tx1"/>
            </w14:solidFill>
          </w14:textFill>
        </w:rPr>
      </w:pPr>
      <w:r>
        <w:rPr>
          <w:rFonts w:hint="eastAsia" w:asciiTheme="majorHAnsi" w:hAnsiTheme="majorHAnsi" w:eastAsiaTheme="majorEastAsia" w:cstheme="majorBidi"/>
          <w:b/>
          <w:bCs/>
          <w:color w:val="000000" w:themeColor="text1"/>
          <w:sz w:val="28"/>
          <w:szCs w:val="28"/>
          <w14:textFill>
            <w14:solidFill>
              <w14:schemeClr w14:val="tx1"/>
            </w14:solidFill>
          </w14:textFill>
        </w:rPr>
        <w:t>七、合同的授予与备案</w:t>
      </w:r>
    </w:p>
    <w:p>
      <w:pPr>
        <w:rPr>
          <w:rFonts w:hint="eastAsia" w:ascii="黑体" w:hAnsi="宋体" w:eastAsia="黑体"/>
          <w:color w:val="000000" w:themeColor="text1"/>
          <w:sz w:val="24"/>
          <w14:textFill>
            <w14:solidFill>
              <w14:schemeClr w14:val="tx1"/>
            </w14:solidFill>
          </w14:textFill>
        </w:rPr>
      </w:pPr>
      <w:bookmarkStart w:id="61" w:name="_Toc73517679"/>
      <w:bookmarkStart w:id="62" w:name="_Toc73521674"/>
      <w:bookmarkStart w:id="63" w:name="_Toc73518157"/>
      <w:bookmarkStart w:id="64" w:name="_Toc100052408"/>
      <w:bookmarkStart w:id="65" w:name="_Toc73521586"/>
      <w:r>
        <w:rPr>
          <w:rFonts w:ascii="黑体" w:hAnsi="宋体" w:eastAsia="黑体"/>
          <w:color w:val="000000" w:themeColor="text1"/>
          <w:sz w:val="24"/>
          <w14:textFill>
            <w14:solidFill>
              <w14:schemeClr w14:val="tx1"/>
            </w14:solidFill>
          </w14:textFill>
        </w:rPr>
        <w:t>35</w:t>
      </w:r>
      <w:r>
        <w:rPr>
          <w:rFonts w:hint="eastAsia" w:ascii="黑体" w:hAnsi="宋体" w:eastAsia="黑体"/>
          <w:color w:val="000000" w:themeColor="text1"/>
          <w:sz w:val="24"/>
          <w14:textFill>
            <w14:solidFill>
              <w14:schemeClr w14:val="tx1"/>
            </w14:solidFill>
          </w14:textFill>
        </w:rPr>
        <w:t>．合同授予标准</w:t>
      </w:r>
      <w:bookmarkEnd w:id="61"/>
      <w:bookmarkEnd w:id="62"/>
      <w:bookmarkEnd w:id="63"/>
      <w:bookmarkEnd w:id="64"/>
      <w:bookmarkEnd w:id="65"/>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本项目的合同将授予经本谈判文件规定评审确定的成交供应商。</w:t>
      </w:r>
    </w:p>
    <w:p>
      <w:pPr>
        <w:rPr>
          <w:rFonts w:hint="eastAsia" w:ascii="黑体" w:hAnsi="宋体" w:eastAsia="黑体"/>
          <w:color w:val="000000" w:themeColor="text1"/>
          <w:sz w:val="24"/>
          <w14:textFill>
            <w14:solidFill>
              <w14:schemeClr w14:val="tx1"/>
            </w14:solidFill>
          </w14:textFill>
        </w:rPr>
      </w:pPr>
      <w:bookmarkStart w:id="66" w:name="_Toc100052409"/>
      <w:bookmarkStart w:id="67" w:name="_Toc73517680"/>
      <w:bookmarkStart w:id="68" w:name="_Toc73518158"/>
      <w:bookmarkStart w:id="69" w:name="_Toc73521675"/>
      <w:bookmarkStart w:id="70" w:name="_Toc73521587"/>
      <w:r>
        <w:rPr>
          <w:rFonts w:ascii="黑体" w:hAnsi="宋体" w:eastAsia="黑体"/>
          <w:color w:val="000000" w:themeColor="text1"/>
          <w:sz w:val="24"/>
          <w14:textFill>
            <w14:solidFill>
              <w14:schemeClr w14:val="tx1"/>
            </w14:solidFill>
          </w14:textFill>
        </w:rPr>
        <w:t>36</w:t>
      </w:r>
      <w:r>
        <w:rPr>
          <w:rFonts w:hint="eastAsia" w:ascii="黑体" w:hAnsi="宋体" w:eastAsia="黑体"/>
          <w:color w:val="000000" w:themeColor="text1"/>
          <w:sz w:val="24"/>
          <w14:textFill>
            <w14:solidFill>
              <w14:schemeClr w14:val="tx1"/>
            </w14:solidFill>
          </w14:textFill>
        </w:rPr>
        <w:t>．</w:t>
      </w:r>
      <w:bookmarkEnd w:id="66"/>
      <w:bookmarkEnd w:id="67"/>
      <w:bookmarkEnd w:id="68"/>
      <w:bookmarkEnd w:id="69"/>
      <w:bookmarkEnd w:id="70"/>
      <w:r>
        <w:rPr>
          <w:rFonts w:hint="eastAsia" w:ascii="黑体" w:hAnsi="宋体" w:eastAsia="黑体"/>
          <w:color w:val="000000" w:themeColor="text1"/>
          <w:sz w:val="24"/>
          <w14:textFill>
            <w14:solidFill>
              <w14:schemeClr w14:val="tx1"/>
            </w14:solidFill>
          </w14:textFill>
        </w:rPr>
        <w:t>接受和拒绝任何或所有应答的权力</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pPr>
        <w:rPr>
          <w:rFonts w:hint="eastAsia" w:ascii="黑体" w:hAnsi="宋体" w:eastAsia="黑体"/>
          <w:color w:val="000000" w:themeColor="text1"/>
          <w:sz w:val="24"/>
          <w14:textFill>
            <w14:solidFill>
              <w14:schemeClr w14:val="tx1"/>
            </w14:solidFill>
          </w14:textFill>
        </w:rPr>
      </w:pPr>
      <w:bookmarkStart w:id="71" w:name="_Toc73517682"/>
      <w:bookmarkStart w:id="72" w:name="_Toc73521589"/>
      <w:bookmarkStart w:id="73" w:name="_Toc100052410"/>
      <w:bookmarkStart w:id="74" w:name="_Toc73518160"/>
      <w:bookmarkStart w:id="75" w:name="_Toc73521677"/>
      <w:r>
        <w:rPr>
          <w:rFonts w:ascii="黑体" w:hAnsi="宋体" w:eastAsia="黑体"/>
          <w:color w:val="000000" w:themeColor="text1"/>
          <w:sz w:val="24"/>
          <w14:textFill>
            <w14:solidFill>
              <w14:schemeClr w14:val="tx1"/>
            </w14:solidFill>
          </w14:textFill>
        </w:rPr>
        <w:t>37</w:t>
      </w:r>
      <w:r>
        <w:rPr>
          <w:rFonts w:hint="eastAsia" w:ascii="黑体" w:hAnsi="宋体" w:eastAsia="黑体"/>
          <w:color w:val="000000" w:themeColor="text1"/>
          <w:sz w:val="24"/>
          <w14:textFill>
            <w14:solidFill>
              <w14:schemeClr w14:val="tx1"/>
            </w14:solidFill>
          </w14:textFill>
        </w:rPr>
        <w:t>．合同的签订</w:t>
      </w:r>
      <w:bookmarkEnd w:id="71"/>
      <w:bookmarkEnd w:id="72"/>
      <w:bookmarkEnd w:id="73"/>
      <w:bookmarkEnd w:id="74"/>
      <w:bookmarkEnd w:id="75"/>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w:t>
      </w:r>
      <w:r>
        <w:rPr>
          <w:rFonts w:hint="eastAsia" w:ascii="宋体" w:hAnsi="宋体"/>
          <w:color w:val="000000" w:themeColor="text1"/>
          <w:szCs w:val="21"/>
          <w14:textFill>
            <w14:solidFill>
              <w14:schemeClr w14:val="tx1"/>
            </w14:solidFill>
          </w14:textFill>
        </w:rPr>
        <w:t>.1成交供应商将于成交通知书发出之日起十个工作日内，按照采购文件和谈判应答内容与采购人签订政府采购合同；合同的实质性内容应当符合谈判文件的规定；</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w:t>
      </w:r>
      <w:r>
        <w:rPr>
          <w:rFonts w:hint="eastAsia" w:ascii="宋体" w:hAnsi="宋体"/>
          <w:color w:val="000000" w:themeColor="text1"/>
          <w:szCs w:val="21"/>
          <w14:textFill>
            <w14:solidFill>
              <w14:schemeClr w14:val="tx1"/>
            </w14:solidFill>
          </w14:textFill>
        </w:rPr>
        <w:t>.2成交供应商如不按本通用条款第</w:t>
      </w:r>
      <w:r>
        <w:rPr>
          <w:rFonts w:ascii="宋体" w:hAnsi="宋体"/>
          <w:color w:val="000000" w:themeColor="text1"/>
          <w:szCs w:val="21"/>
          <w14:textFill>
            <w14:solidFill>
              <w14:schemeClr w14:val="tx1"/>
            </w14:solidFill>
          </w14:textFill>
        </w:rPr>
        <w:t>37.1</w:t>
      </w:r>
      <w:r>
        <w:rPr>
          <w:rFonts w:hint="eastAsia" w:ascii="宋体" w:hAnsi="宋体"/>
          <w:color w:val="000000" w:themeColor="text1"/>
          <w:szCs w:val="21"/>
          <w14:textFill>
            <w14:solidFill>
              <w14:schemeClr w14:val="tx1"/>
            </w14:solidFill>
          </w14:textFill>
        </w:rPr>
        <w:t>款的规定与采购人签订合同，</w:t>
      </w:r>
      <w:r>
        <w:rPr>
          <w:rFonts w:ascii="宋体" w:hAnsi="宋体" w:cs="宋体"/>
          <w:color w:val="000000" w:themeColor="text1"/>
          <w:kern w:val="0"/>
          <w:szCs w:val="21"/>
          <w14:textFill>
            <w14:solidFill>
              <w14:schemeClr w14:val="tx1"/>
            </w14:solidFill>
          </w14:textFill>
        </w:rPr>
        <w:t>情节严重的，由</w:t>
      </w:r>
      <w:r>
        <w:rPr>
          <w:rFonts w:hint="eastAsia" w:ascii="宋体" w:hAnsi="宋体" w:cs="宋体"/>
          <w:color w:val="000000" w:themeColor="text1"/>
          <w:kern w:val="0"/>
          <w:szCs w:val="21"/>
          <w14:textFill>
            <w14:solidFill>
              <w14:schemeClr w14:val="tx1"/>
            </w14:solidFill>
          </w14:textFill>
        </w:rPr>
        <w:t>同级财政</w:t>
      </w:r>
      <w:r>
        <w:rPr>
          <w:rFonts w:ascii="宋体" w:hAnsi="宋体" w:cs="宋体"/>
          <w:color w:val="000000" w:themeColor="text1"/>
          <w:kern w:val="0"/>
          <w:szCs w:val="21"/>
          <w14:textFill>
            <w14:solidFill>
              <w14:schemeClr w14:val="tx1"/>
            </w14:solidFill>
          </w14:textFill>
        </w:rPr>
        <w:t>部门记入供应商诚信档案，予以通报</w:t>
      </w:r>
      <w:r>
        <w:rPr>
          <w:rFonts w:hint="eastAsia" w:ascii="宋体" w:hAnsi="宋体"/>
          <w:color w:val="000000" w:themeColor="text1"/>
          <w:szCs w:val="21"/>
          <w14:textFill>
            <w14:solidFill>
              <w14:schemeClr w14:val="tx1"/>
            </w14:solidFill>
          </w14:textFill>
        </w:rPr>
        <w:t>；</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w:t>
      </w:r>
      <w:r>
        <w:rPr>
          <w:rFonts w:hint="eastAsia" w:ascii="宋体" w:hAnsi="宋体"/>
          <w:color w:val="000000" w:themeColor="text1"/>
          <w:szCs w:val="21"/>
          <w14:textFill>
            <w14:solidFill>
              <w14:schemeClr w14:val="tx1"/>
            </w14:solidFill>
          </w14:textFill>
        </w:rPr>
        <w:t>.3成交供应商应当按照合同约定履行义务，完成成交项目，不得将成交项目转让（转包）给他人。</w:t>
      </w:r>
    </w:p>
    <w:p>
      <w:pPr>
        <w:rPr>
          <w:rFonts w:hint="eastAsia" w:ascii="黑体" w:hAnsi="宋体" w:eastAsia="黑体"/>
          <w:color w:val="000000" w:themeColor="text1"/>
          <w:sz w:val="24"/>
          <w14:textFill>
            <w14:solidFill>
              <w14:schemeClr w14:val="tx1"/>
            </w14:solidFill>
          </w14:textFill>
        </w:rPr>
      </w:pPr>
      <w:bookmarkStart w:id="76" w:name="_Toc73521590"/>
      <w:bookmarkStart w:id="77" w:name="_Toc100052411"/>
      <w:bookmarkStart w:id="78" w:name="_Toc73517683"/>
      <w:bookmarkStart w:id="79" w:name="_Toc73521678"/>
      <w:bookmarkStart w:id="80" w:name="_Toc73518161"/>
      <w:r>
        <w:rPr>
          <w:rFonts w:ascii="黑体" w:hAnsi="宋体" w:eastAsia="黑体"/>
          <w:color w:val="000000" w:themeColor="text1"/>
          <w:sz w:val="24"/>
          <w14:textFill>
            <w14:solidFill>
              <w14:schemeClr w14:val="tx1"/>
            </w14:solidFill>
          </w14:textFill>
        </w:rPr>
        <w:t>38</w:t>
      </w:r>
      <w:r>
        <w:rPr>
          <w:rFonts w:hint="eastAsia" w:ascii="黑体" w:hAnsi="宋体" w:eastAsia="黑体"/>
          <w:color w:val="000000" w:themeColor="text1"/>
          <w:sz w:val="24"/>
          <w14:textFill>
            <w14:solidFill>
              <w14:schemeClr w14:val="tx1"/>
            </w14:solidFill>
          </w14:textFill>
        </w:rPr>
        <w:t>．履约担保</w:t>
      </w:r>
      <w:bookmarkEnd w:id="76"/>
      <w:bookmarkEnd w:id="77"/>
      <w:bookmarkEnd w:id="78"/>
      <w:bookmarkEnd w:id="79"/>
      <w:bookmarkEnd w:id="80"/>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38</w:t>
      </w:r>
      <w:r>
        <w:rPr>
          <w:rFonts w:hint="eastAsia" w:ascii="宋体" w:hAnsi="宋体"/>
          <w:color w:val="000000" w:themeColor="text1"/>
          <w:szCs w:val="21"/>
          <w14:textFill>
            <w14:solidFill>
              <w14:schemeClr w14:val="tx1"/>
            </w14:solidFill>
          </w14:textFill>
        </w:rPr>
        <w:t>.1在签订项目合同的同时，成交供应商应按“对谈判须知条款的补充内容”中规定的金额向采购人提交履约担保；</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38</w:t>
      </w:r>
      <w:r>
        <w:rPr>
          <w:rFonts w:hint="eastAsia" w:ascii="宋体" w:hAnsi="宋体"/>
          <w:color w:val="000000" w:themeColor="text1"/>
          <w:szCs w:val="21"/>
          <w14:textFill>
            <w14:solidFill>
              <w14:schemeClr w14:val="tx1"/>
            </w14:solidFill>
          </w14:textFill>
        </w:rPr>
        <w:t>.2，允许供应商自主选择以支票、汇票、本票、保函等非现金方式提交履约担保；</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提交履约</w:t>
      </w:r>
      <w:r>
        <w:rPr>
          <w:rFonts w:hint="eastAsia"/>
          <w:color w:val="000000" w:themeColor="text1"/>
          <w14:textFill>
            <w14:solidFill>
              <w14:schemeClr w14:val="tx1"/>
            </w14:solidFill>
          </w14:textFill>
        </w:rPr>
        <w:t>担保不是</w:t>
      </w:r>
      <w:r>
        <w:rPr>
          <w:color w:val="000000" w:themeColor="text1"/>
          <w14:textFill>
            <w14:solidFill>
              <w14:schemeClr w14:val="tx1"/>
            </w14:solidFill>
          </w14:textFill>
        </w:rPr>
        <w:t>合同签订的</w:t>
      </w:r>
      <w:r>
        <w:rPr>
          <w:rFonts w:hint="eastAsia"/>
          <w:color w:val="000000" w:themeColor="text1"/>
          <w14:textFill>
            <w14:solidFill>
              <w14:schemeClr w14:val="tx1"/>
            </w14:solidFill>
          </w14:textFill>
        </w:rPr>
        <w:t>前提</w:t>
      </w:r>
      <w:r>
        <w:rPr>
          <w:color w:val="000000" w:themeColor="text1"/>
          <w14:textFill>
            <w14:solidFill>
              <w14:schemeClr w14:val="tx1"/>
            </w14:solidFill>
          </w14:textFill>
        </w:rPr>
        <w:t>条件，不要求</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提供除法律、法规明确规定外的其他担保</w:t>
      </w:r>
      <w:r>
        <w:rPr>
          <w:rFonts w:hint="eastAsia"/>
          <w:color w:val="000000" w:themeColor="text1"/>
          <w14:textFill>
            <w14:solidFill>
              <w14:schemeClr w14:val="tx1"/>
            </w14:solidFill>
          </w14:textFill>
        </w:rPr>
        <w:t>。</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39</w:t>
      </w:r>
      <w:r>
        <w:rPr>
          <w:rFonts w:hint="eastAsia" w:ascii="黑体" w:hAnsi="宋体" w:eastAsia="黑体"/>
          <w:color w:val="000000" w:themeColor="text1"/>
          <w:sz w:val="24"/>
          <w14:textFill>
            <w14:solidFill>
              <w14:schemeClr w14:val="tx1"/>
            </w14:solidFill>
          </w14:textFill>
        </w:rPr>
        <w:t>. 合同备案</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采购人与成交供应商应自成交通知书发出之日起10个工作日内签订政府采购合同，并按财政部门规定提交备案。</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4</w:t>
      </w:r>
      <w:r>
        <w:rPr>
          <w:rFonts w:ascii="黑体" w:hAnsi="宋体" w:eastAsia="黑体"/>
          <w:color w:val="000000" w:themeColor="text1"/>
          <w:sz w:val="24"/>
          <w14:textFill>
            <w14:solidFill>
              <w14:schemeClr w14:val="tx1"/>
            </w14:solidFill>
          </w14:textFill>
        </w:rPr>
        <w:t>0</w:t>
      </w:r>
      <w:r>
        <w:rPr>
          <w:rFonts w:hint="eastAsia" w:ascii="黑体" w:hAnsi="宋体" w:eastAsia="黑体"/>
          <w:color w:val="000000" w:themeColor="text1"/>
          <w:sz w:val="24"/>
          <w14:textFill>
            <w14:solidFill>
              <w14:schemeClr w14:val="tx1"/>
            </w14:solidFill>
          </w14:textFill>
        </w:rPr>
        <w:t>. 合同变更</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合同变更事宜按《深圳市财政局关于优化政府采购合同备案的通知》（深财发保〔2022〕2号）相关规定执行。</w:t>
      </w:r>
    </w:p>
    <w:p>
      <w:pPr>
        <w:rPr>
          <w:rFonts w:hint="eastAsia"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4</w:t>
      </w:r>
      <w:r>
        <w:rPr>
          <w:rFonts w:ascii="黑体" w:hAnsi="宋体" w:eastAsia="黑体"/>
          <w:color w:val="000000" w:themeColor="text1"/>
          <w:sz w:val="24"/>
          <w14:textFill>
            <w14:solidFill>
              <w14:schemeClr w14:val="tx1"/>
            </w14:solidFill>
          </w14:textFill>
        </w:rPr>
        <w:t>1</w:t>
      </w:r>
      <w:r>
        <w:rPr>
          <w:rFonts w:hint="eastAsia" w:ascii="黑体" w:hAnsi="宋体" w:eastAsia="黑体"/>
          <w:color w:val="000000" w:themeColor="text1"/>
          <w:sz w:val="24"/>
          <w14:textFill>
            <w14:solidFill>
              <w14:schemeClr w14:val="tx1"/>
            </w14:solidFill>
          </w14:textFill>
        </w:rPr>
        <w:t>. 项目验收</w:t>
      </w:r>
    </w:p>
    <w:p>
      <w:pPr>
        <w:widowControl/>
        <w:ind w:right="176" w:firstLine="420"/>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.1采购人应当按照谈判文件和合同规定的标准和方法，及时组织验收。</w:t>
      </w:r>
      <w:r>
        <w:rPr>
          <w:rFonts w:ascii="宋体" w:hAnsi="宋体"/>
          <w:color w:val="000000" w:themeColor="text1"/>
          <w14:textFill>
            <w14:solidFill>
              <w14:schemeClr w14:val="tx1"/>
            </w14:solidFill>
          </w14:textFill>
        </w:rPr>
        <w:t xml:space="preserve"> </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42</w:t>
      </w:r>
      <w:r>
        <w:rPr>
          <w:rFonts w:hint="eastAsia" w:ascii="黑体" w:hAnsi="宋体" w:eastAsia="黑体"/>
          <w:color w:val="000000" w:themeColor="text1"/>
          <w:sz w:val="24"/>
          <w14:textFill>
            <w14:solidFill>
              <w14:schemeClr w14:val="tx1"/>
            </w14:solidFill>
          </w14:textFill>
        </w:rPr>
        <w:t>. 宣传</w:t>
      </w:r>
    </w:p>
    <w:p>
      <w:pPr>
        <w:ind w:left="210" w:leftChars="1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凡与政府采购活动有关的宣传或广告，若当中提及政府采购，</w:t>
      </w:r>
      <w:r>
        <w:rPr>
          <w:rFonts w:ascii="宋体" w:hAnsi="宋体"/>
          <w:color w:val="000000" w:themeColor="text1"/>
          <w14:textFill>
            <w14:solidFill>
              <w14:schemeClr w14:val="tx1"/>
            </w14:solidFill>
          </w14:textFill>
        </w:rPr>
        <w:t>必须事先将具体对外宣传方案报</w:t>
      </w:r>
      <w:r>
        <w:rPr>
          <w:rFonts w:hint="eastAsia" w:ascii="宋体" w:hAnsi="宋体"/>
          <w:color w:val="000000" w:themeColor="text1"/>
          <w14:textFill>
            <w14:solidFill>
              <w14:schemeClr w14:val="tx1"/>
            </w14:solidFill>
          </w14:textFill>
        </w:rPr>
        <w:t>同级财政部门</w:t>
      </w:r>
      <w:r>
        <w:rPr>
          <w:rFonts w:ascii="宋体" w:hAnsi="宋体"/>
          <w:color w:val="000000" w:themeColor="text1"/>
          <w14:textFill>
            <w14:solidFill>
              <w14:schemeClr w14:val="tx1"/>
            </w14:solidFill>
          </w14:textFill>
        </w:rPr>
        <w:t>和</w:t>
      </w:r>
      <w:r>
        <w:rPr>
          <w:rFonts w:hint="eastAsia" w:ascii="宋体" w:hAnsi="宋体"/>
          <w:color w:val="000000" w:themeColor="text1"/>
          <w14:textFill>
            <w14:solidFill>
              <w14:schemeClr w14:val="tx1"/>
            </w14:solidFill>
          </w14:textFill>
        </w:rPr>
        <w:t>政府集中采购机构</w:t>
      </w:r>
      <w:r>
        <w:rPr>
          <w:rFonts w:ascii="宋体" w:hAnsi="宋体"/>
          <w:color w:val="000000" w:themeColor="text1"/>
          <w14:textFill>
            <w14:solidFill>
              <w14:schemeClr w14:val="tx1"/>
            </w14:solidFill>
          </w14:textFill>
        </w:rPr>
        <w:t>，并征得其同意。对外市场宣传包括但不限于以下形式：</w:t>
      </w:r>
    </w:p>
    <w:p>
      <w:pPr>
        <w:ind w:left="210" w:leftChars="100"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a.名片、宣传册、广告标语等；</w:t>
      </w:r>
    </w:p>
    <w:p>
      <w:pPr>
        <w:ind w:left="210" w:leftChars="100" w:firstLine="411" w:firstLineChars="196"/>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b.案例介绍、推广等；</w:t>
      </w:r>
    </w:p>
    <w:p>
      <w:pPr>
        <w:ind w:left="210" w:leftChars="100" w:firstLine="411" w:firstLineChars="196"/>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c.工作</w:t>
      </w:r>
      <w:r>
        <w:rPr>
          <w:rFonts w:ascii="宋体" w:hAnsi="宋体"/>
          <w:color w:val="000000" w:themeColor="text1"/>
          <w14:textFill>
            <w14:solidFill>
              <w14:schemeClr w14:val="tx1"/>
            </w14:solidFill>
          </w14:textFill>
        </w:rPr>
        <w:t>人员向其他消费群体宣传。</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43</w:t>
      </w:r>
      <w:r>
        <w:rPr>
          <w:rFonts w:hint="eastAsia" w:ascii="黑体" w:hAnsi="宋体" w:eastAsia="黑体"/>
          <w:color w:val="000000" w:themeColor="text1"/>
          <w:sz w:val="24"/>
          <w14:textFill>
            <w14:solidFill>
              <w14:schemeClr w14:val="tx1"/>
            </w14:solidFill>
          </w14:textFill>
        </w:rPr>
        <w:t>. 供应商违法责任</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w:t>
      </w:r>
      <w:r>
        <w:rPr>
          <w:rFonts w:hint="eastAsia" w:ascii="宋体" w:hAnsi="宋体"/>
          <w:color w:val="000000" w:themeColor="text1"/>
          <w:szCs w:val="21"/>
          <w14:textFill>
            <w14:solidFill>
              <w14:schemeClr w14:val="tx1"/>
            </w14:solidFill>
          </w14:textFill>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（1）在采购活动中应当回避而未回避的；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（2）未按本条例规定签订、履行采购合同，造成严重后果的；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（3）隐瞒真实情况，提供虚假资料的；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（4）以非法手段排斥其他供应商参与竞争的；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（5）与其他采购参加人串通投标（谈判）的；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（6）恶意投诉的；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（7）向采购项目相关人行贿或者提供其他不当利益的；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（8）阻碍、抗拒主管部门监督检查的；</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（9）其他违反本条例规定的行为。</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43.2 </w:t>
      </w:r>
      <w:r>
        <w:rPr>
          <w:rFonts w:hint="eastAsia" w:ascii="宋体" w:hAnsi="宋体"/>
          <w:color w:val="000000" w:themeColor="text1"/>
          <w:szCs w:val="21"/>
          <w14:textFill>
            <w14:solidFill>
              <w14:schemeClr w14:val="tx1"/>
            </w14:solidFill>
          </w14:textFill>
        </w:rPr>
        <w:t>根据《深圳市财政局关于调整政府采购投标（响应）保证金管理政策的通知 》（深财购〔2021〕51 号）的要求，供应商在政府采购活动中出现《深圳经济特区政府采购条例实施细则》</w:t>
      </w:r>
      <w:bookmarkStart w:id="81" w:name="_Hlk72440717"/>
      <w:r>
        <w:rPr>
          <w:rFonts w:hint="eastAsia" w:ascii="宋体" w:hAnsi="宋体"/>
          <w:color w:val="000000" w:themeColor="text1"/>
          <w:szCs w:val="21"/>
          <w14:textFill>
            <w14:solidFill>
              <w14:schemeClr w14:val="tx1"/>
            </w14:solidFill>
          </w14:textFill>
        </w:rPr>
        <w:t>第八十条所列情形的</w:t>
      </w:r>
      <w:bookmarkEnd w:id="81"/>
      <w:r>
        <w:rPr>
          <w:rFonts w:hint="eastAsia" w:ascii="宋体" w:hAnsi="宋体"/>
          <w:color w:val="000000" w:themeColor="text1"/>
          <w:szCs w:val="21"/>
          <w14:textFill>
            <w14:solidFill>
              <w14:schemeClr w14:val="tx1"/>
            </w14:solidFill>
          </w14:textFill>
        </w:rPr>
        <w:t>，政府集中采购机构或采购人不予退还其交纳的谈判保证金，情节严重的，并由主管部门记入供应商诚信档案，予以通报：</w:t>
      </w:r>
    </w:p>
    <w:p>
      <w:pPr>
        <w:ind w:firstLine="411" w:firstLineChars="196"/>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截止</w:t>
      </w:r>
      <w:r>
        <w:rPr>
          <w:rFonts w:hint="eastAsia" w:ascii="宋体" w:hAnsi="宋体"/>
          <w:color w:val="000000" w:themeColor="text1"/>
          <w:szCs w:val="21"/>
          <w14:textFill>
            <w14:solidFill>
              <w14:schemeClr w14:val="tx1"/>
            </w14:solidFill>
          </w14:textFill>
        </w:rPr>
        <w:t>时间</w:t>
      </w:r>
      <w:r>
        <w:rPr>
          <w:rFonts w:ascii="宋体" w:hAnsi="宋体"/>
          <w:color w:val="000000" w:themeColor="text1"/>
          <w:szCs w:val="21"/>
          <w14:textFill>
            <w14:solidFill>
              <w14:schemeClr w14:val="tx1"/>
            </w14:solidFill>
          </w14:textFill>
        </w:rPr>
        <w:t>后，撤销</w:t>
      </w:r>
      <w:r>
        <w:rPr>
          <w:rFonts w:hint="eastAsia" w:ascii="宋体" w:hAnsi="宋体"/>
          <w:color w:val="000000" w:themeColor="text1"/>
          <w:szCs w:val="21"/>
          <w14:textFill>
            <w14:solidFill>
              <w14:schemeClr w14:val="tx1"/>
            </w14:solidFill>
          </w14:textFill>
        </w:rPr>
        <w:t>应答</w:t>
      </w:r>
      <w:r>
        <w:rPr>
          <w:rFonts w:ascii="宋体" w:hAnsi="宋体"/>
          <w:color w:val="000000" w:themeColor="text1"/>
          <w:szCs w:val="21"/>
          <w14:textFill>
            <w14:solidFill>
              <w14:schemeClr w14:val="tx1"/>
            </w14:solidFill>
          </w14:textFill>
        </w:rPr>
        <w:t>的；</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后无正当理由未在规定期限内签订合同的；</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项目转让给他人或者在</w:t>
      </w:r>
      <w:r>
        <w:rPr>
          <w:rFonts w:hint="eastAsia" w:ascii="宋体" w:hAnsi="宋体"/>
          <w:color w:val="000000" w:themeColor="text1"/>
          <w:szCs w:val="21"/>
          <w14:textFill>
            <w14:solidFill>
              <w14:schemeClr w14:val="tx1"/>
            </w14:solidFill>
          </w14:textFill>
        </w:rPr>
        <w:t>应答</w:t>
      </w:r>
      <w:r>
        <w:rPr>
          <w:rFonts w:ascii="宋体" w:hAnsi="宋体"/>
          <w:color w:val="000000" w:themeColor="text1"/>
          <w:szCs w:val="21"/>
          <w14:textFill>
            <w14:solidFill>
              <w14:schemeClr w14:val="tx1"/>
            </w14:solidFill>
          </w14:textFill>
        </w:rPr>
        <w:t>文件中未说明且未经采购人、政府集中采购机构同意，将</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项目分包给他人的；</w:t>
      </w:r>
    </w:p>
    <w:p>
      <w:pPr>
        <w:ind w:firstLine="411" w:firstLineChars="196"/>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）拒绝履行合同义务的</w:t>
      </w:r>
      <w:r>
        <w:rPr>
          <w:rFonts w:hint="eastAsia" w:ascii="宋体" w:hAnsi="宋体"/>
          <w:color w:val="000000" w:themeColor="text1"/>
          <w:szCs w:val="21"/>
          <w14:textFill>
            <w14:solidFill>
              <w14:schemeClr w14:val="tx1"/>
            </w14:solidFill>
          </w14:textFill>
        </w:rPr>
        <w:t>。</w:t>
      </w:r>
    </w:p>
    <w:p>
      <w:pPr>
        <w:keepNext/>
        <w:keepLines/>
        <w:adjustRightInd w:val="0"/>
        <w:snapToGrid w:val="0"/>
        <w:jc w:val="center"/>
        <w:outlineLvl w:val="1"/>
        <w:rPr>
          <w:rFonts w:asciiTheme="majorHAnsi" w:hAnsiTheme="majorHAnsi" w:eastAsiaTheme="majorEastAsia" w:cstheme="majorBidi"/>
          <w:b/>
          <w:bCs/>
          <w:color w:val="000000" w:themeColor="text1"/>
          <w:sz w:val="28"/>
          <w:szCs w:val="28"/>
          <w14:textFill>
            <w14:solidFill>
              <w14:schemeClr w14:val="tx1"/>
            </w14:solidFill>
          </w14:textFill>
        </w:rPr>
      </w:pPr>
      <w:r>
        <w:rPr>
          <w:rFonts w:hint="eastAsia" w:asciiTheme="majorHAnsi" w:hAnsiTheme="majorHAnsi" w:eastAsiaTheme="majorEastAsia" w:cstheme="majorBidi"/>
          <w:b/>
          <w:bCs/>
          <w:color w:val="000000" w:themeColor="text1"/>
          <w:sz w:val="28"/>
          <w:szCs w:val="28"/>
          <w14:textFill>
            <w14:solidFill>
              <w14:schemeClr w14:val="tx1"/>
            </w14:solidFill>
          </w14:textFill>
        </w:rPr>
        <w:t>八、质疑处理</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44</w:t>
      </w:r>
      <w:r>
        <w:rPr>
          <w:rFonts w:hint="eastAsia" w:ascii="黑体" w:hAnsi="宋体" w:eastAsia="黑体"/>
          <w:color w:val="000000" w:themeColor="text1"/>
          <w:sz w:val="24"/>
          <w14:textFill>
            <w14:solidFill>
              <w14:schemeClr w14:val="tx1"/>
            </w14:solidFill>
          </w14:textFill>
        </w:rPr>
        <w:t>.质疑提出与答复</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.1提出质疑</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法律依据</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《中华人民共和国政府采购法》、《中华人民共和国政府采购法实施条例》、</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深圳经济特区政府采购</w:t>
      </w:r>
      <w:r>
        <w:rPr>
          <w:rFonts w:ascii="宋体" w:hAnsi="宋体"/>
          <w:color w:val="000000" w:themeColor="text1"/>
          <w:szCs w:val="21"/>
          <w14:textFill>
            <w14:solidFill>
              <w14:schemeClr w14:val="tx1"/>
            </w14:solidFill>
          </w14:textFill>
        </w:rPr>
        <w:t>条例</w:t>
      </w:r>
      <w:r>
        <w:rPr>
          <w:rFonts w:hint="eastAsia" w:ascii="宋体" w:hAnsi="宋体"/>
          <w:color w:val="000000" w:themeColor="text1"/>
          <w:szCs w:val="21"/>
          <w14:textFill>
            <w14:solidFill>
              <w14:schemeClr w14:val="tx1"/>
            </w14:solidFill>
          </w14:textFill>
        </w:rPr>
        <w:t>》、《深圳经济特区政府采购条例实施细则》、《政府采购质疑和投诉办法》（财政部令第94号）和其他有关法律法规规定。</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.3质疑条件</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.3.1提出质疑的供应商应当是参与所质疑项目采购活动的供应商；以联合体形式参与的，质疑应当由组成联合体的所有成员共同提出；</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bookmarkStart w:id="82" w:name="_Hlk72666302"/>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2"/>
    </w:p>
    <w:p>
      <w:pPr>
        <w:ind w:firstLine="42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.3.3应提交书面质疑函，质疑函应当包括以下内容：</w:t>
      </w:r>
      <w:r>
        <w:rPr>
          <w:rFonts w:ascii="宋体" w:hAnsi="宋体"/>
          <w:color w:val="000000" w:themeColor="text1"/>
          <w:szCs w:val="21"/>
          <w14:textFill>
            <w14:solidFill>
              <w14:schemeClr w14:val="tx1"/>
            </w14:solidFill>
          </w14:textFill>
        </w:rPr>
        <w:t xml:space="preserve"> </w:t>
      </w:r>
    </w:p>
    <w:p>
      <w:pPr>
        <w:ind w:firstLine="42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（1）供应商的名称（或者姓名）、地址、邮编、邮箱、联系人及联系电话；</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（2）质疑项目的名称、编号；</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（3）具体、明确的质疑对象、质疑事项和质疑请求；</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（4）因质疑事项而受损害的权益；</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（5）事实依据；</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（6）必要的法律依据；</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（7）提出质疑的日期。</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.4提交</w:t>
      </w:r>
      <w:r>
        <w:rPr>
          <w:rFonts w:ascii="宋体" w:hAnsi="宋体"/>
          <w:color w:val="000000" w:themeColor="text1"/>
          <w:szCs w:val="21"/>
          <w14:textFill>
            <w14:solidFill>
              <w14:schemeClr w14:val="tx1"/>
            </w14:solidFill>
          </w14:textFill>
        </w:rPr>
        <w:t>材料</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供应商可以委托代理人进行质疑。</w:t>
      </w:r>
      <w:r>
        <w:rPr>
          <w:rFonts w:ascii="宋体" w:hAnsi="宋体"/>
          <w:color w:val="000000" w:themeColor="text1"/>
          <w:szCs w:val="21"/>
          <w14:textFill>
            <w14:solidFill>
              <w14:schemeClr w14:val="tx1"/>
            </w14:solidFill>
          </w14:textFill>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.5收文地点</w:t>
      </w:r>
    </w:p>
    <w:p>
      <w:pPr>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地址：深圳公共资源交易中心（深圳交易集团有限公司政府采购业务分公司）深圳市南山区沙河西路3185号南山智谷A座（深圳交易集团总部大楼）27楼，质疑咨询电话：0755-86500050。</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.6收文办理</w:t>
      </w:r>
      <w:r>
        <w:rPr>
          <w:rFonts w:ascii="宋体" w:hAnsi="宋体"/>
          <w:color w:val="000000" w:themeColor="text1"/>
          <w:szCs w:val="21"/>
          <w14:textFill>
            <w14:solidFill>
              <w14:schemeClr w14:val="tx1"/>
            </w14:solidFill>
          </w14:textFill>
        </w:rPr>
        <w:t>程序</w:t>
      </w:r>
    </w:p>
    <w:p>
      <w:pPr>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color w:val="000000" w:themeColor="text1"/>
          <w:sz w:val="28"/>
          <w:szCs w:val="28"/>
          <w14:textFill>
            <w14:solidFill>
              <w14:schemeClr w14:val="tx1"/>
            </w14:solidFill>
          </w14:textFill>
        </w:rPr>
      </w:pP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.6.2供应商提交的质疑材料不符合质疑条件的，视情况处理：</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供应商提交的质疑材料不全或者未按要求签字或者盖章的，政府集中采购机构应当一次性告知供应商需补正的内容和补正期限。</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供应商提交的质疑存在下列情形之一的，不予受理：</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（1）质疑主体不满足要求的；</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（2）供应商自身权益未受到损害的；</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（3）供应商未在法定质疑期限内提出质疑的；</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（4）质疑材料不全或者未按要求签字或者盖章的情况下，要求补正后，逾期未补正或者补正后仍不符合规定的；</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（5）其他不符合受理条件情形的。</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质疑事项不予受理的，政府集中采购机构应当向供应商出具不符合质疑条件告知书。</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.7质疑答复时限</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自收文之日起七个工作日内。</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44</w:t>
      </w:r>
      <w:r>
        <w:rPr>
          <w:rFonts w:hint="eastAsia" w:ascii="宋体" w:hAnsi="宋体"/>
          <w:color w:val="000000" w:themeColor="text1"/>
          <w:szCs w:val="21"/>
          <w14:textFill>
            <w14:solidFill>
              <w14:schemeClr w14:val="tx1"/>
            </w14:solidFill>
          </w14:textFill>
        </w:rPr>
        <w:t>.8投诉</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对质疑答复不满意或者未在规定时间内答复的，提出质疑的供应商可以在答复期满后15个工作日内向同级财政部门投诉。</w:t>
      </w:r>
    </w:p>
    <w:p>
      <w:pPr>
        <w:rPr>
          <w:rFonts w:hint="eastAsia"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45</w:t>
      </w:r>
      <w:r>
        <w:rPr>
          <w:rFonts w:hint="eastAsia" w:ascii="黑体" w:hAnsi="宋体" w:eastAsia="黑体"/>
          <w:color w:val="000000" w:themeColor="text1"/>
          <w:sz w:val="24"/>
          <w14:textFill>
            <w14:solidFill>
              <w14:schemeClr w14:val="tx1"/>
            </w14:solidFill>
          </w14:textFill>
        </w:rPr>
        <w:t>. 质疑后续处理</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45</w:t>
      </w:r>
      <w:r>
        <w:rPr>
          <w:rFonts w:hint="eastAsia" w:ascii="宋体" w:hAnsi="宋体"/>
          <w:color w:val="000000" w:themeColor="text1"/>
          <w:szCs w:val="21"/>
          <w14:textFill>
            <w14:solidFill>
              <w14:schemeClr w14:val="tx1"/>
            </w14:solidFill>
          </w14:textFill>
        </w:rPr>
        <w:t>.1供应商质疑不成立，或者成立但未对中标、成交结果构成影响的，继续开展采购活动。</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45</w:t>
      </w:r>
      <w:r>
        <w:rPr>
          <w:rFonts w:hint="eastAsia" w:ascii="宋体" w:hAnsi="宋体"/>
          <w:color w:val="000000" w:themeColor="text1"/>
          <w:szCs w:val="21"/>
          <w14:textFill>
            <w14:solidFill>
              <w14:schemeClr w14:val="tx1"/>
            </w14:solidFill>
          </w14:textFill>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rPr>
          <w:color w:val="000000" w:themeColor="text1"/>
          <w14:textFill>
            <w14:solidFill>
              <w14:schemeClr w14:val="tx1"/>
            </w14:solidFill>
          </w14:textFill>
        </w:rPr>
      </w:pPr>
      <w:r>
        <w:rPr>
          <w:color w:val="000000" w:themeColor="text1"/>
          <w14:textFill>
            <w14:solidFill>
              <w14:schemeClr w14:val="tx1"/>
            </w14:solidFill>
          </w14:textFill>
        </w:rPr>
        <w:t>---- END ----</w:t>
      </w:r>
    </w:p>
    <w:p>
      <w:pPr>
        <w:spacing w:line="360" w:lineRule="auto"/>
        <w:ind w:firstLine="560"/>
        <w:jc w:val="left"/>
        <w:rPr>
          <w:color w:val="000000" w:themeColor="text1"/>
          <w14:textFill>
            <w14:solidFill>
              <w14:schemeClr w14:val="tx1"/>
            </w14:solidFill>
          </w14:textFill>
        </w:rPr>
      </w:pPr>
    </w:p>
    <w:p>
      <w:pPr>
        <w:spacing w:line="360" w:lineRule="auto"/>
        <w:ind w:firstLine="560"/>
        <w:jc w:val="left"/>
        <w:rPr>
          <w:color w:val="000000" w:themeColor="text1"/>
          <w14:textFill>
            <w14:solidFill>
              <w14:schemeClr w14:val="tx1"/>
            </w14:solidFill>
          </w14:textFill>
        </w:rPr>
      </w:pPr>
    </w:p>
    <w:p>
      <w:pPr>
        <w:spacing w:line="360" w:lineRule="auto"/>
        <w:ind w:firstLine="560"/>
        <w:jc w:val="left"/>
        <w:rPr>
          <w:color w:val="000000" w:themeColor="text1"/>
          <w14:textFill>
            <w14:solidFill>
              <w14:schemeClr w14:val="tx1"/>
            </w14:solidFill>
          </w14:textFill>
        </w:rPr>
      </w:pPr>
    </w:p>
    <w:p>
      <w:pPr>
        <w:spacing w:line="360" w:lineRule="auto"/>
        <w:ind w:firstLine="560"/>
        <w:jc w:val="left"/>
        <w:rPr>
          <w:color w:val="000000" w:themeColor="text1"/>
          <w14:textFill>
            <w14:solidFill>
              <w14:schemeClr w14:val="tx1"/>
            </w14:solidFill>
          </w14:textFill>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t xml:space="preserve">- </w:t>
    </w:r>
    <w:r>
      <w:fldChar w:fldCharType="begin"/>
    </w:r>
    <w:r>
      <w:instrText xml:space="preserve"> PAGE </w:instrText>
    </w:r>
    <w:r>
      <w:fldChar w:fldCharType="separate"/>
    </w:r>
    <w:r>
      <w:t>35</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59"/>
      <w:lvlText w:val="%1."/>
      <w:lvlJc w:val="left"/>
      <w:pPr>
        <w:tabs>
          <w:tab w:val="left" w:pos="7994"/>
        </w:tabs>
        <w:ind w:left="7994" w:leftChars="800" w:hanging="360" w:hangingChars="20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5B4919C"/>
    <w:multiLevelType w:val="singleLevel"/>
    <w:tmpl w:val="15B4919C"/>
    <w:lvl w:ilvl="0" w:tentative="0">
      <w:start w:val="5"/>
      <w:numFmt w:val="chineseCounting"/>
      <w:suff w:val="nothing"/>
      <w:lvlText w:val="%1、"/>
      <w:lvlJc w:val="left"/>
      <w:pPr>
        <w:ind w:left="630" w:firstLine="0"/>
      </w:pPr>
      <w:rPr>
        <w:rFonts w:hint="eastAsia"/>
      </w:rPr>
    </w:lvl>
  </w:abstractNum>
  <w:abstractNum w:abstractNumId="5">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8B6FC18"/>
    <w:multiLevelType w:val="singleLevel"/>
    <w:tmpl w:val="48B6FC18"/>
    <w:lvl w:ilvl="0" w:tentative="0">
      <w:start w:val="3"/>
      <w:numFmt w:val="decimal"/>
      <w:suff w:val="nothing"/>
      <w:lvlText w:val="（%1）"/>
      <w:lvlJc w:val="left"/>
    </w:lvl>
  </w:abstractNum>
  <w:abstractNum w:abstractNumId="8">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3"/>
  </w:num>
  <w:num w:numId="5">
    <w:abstractNumId w:val="8"/>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hideSpellingErrors/>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NjVlZTIyYzAxMTg3ZjI5NTdjZjFkOGYyMWZkOTUifQ=="/>
  </w:docVars>
  <w:rsids>
    <w:rsidRoot w:val="006C5683"/>
    <w:rsid w:val="00000AD9"/>
    <w:rsid w:val="000043C0"/>
    <w:rsid w:val="00004F2D"/>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578"/>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7EA"/>
    <w:rsid w:val="00056C11"/>
    <w:rsid w:val="00057302"/>
    <w:rsid w:val="00057332"/>
    <w:rsid w:val="00057D00"/>
    <w:rsid w:val="00060A3D"/>
    <w:rsid w:val="00060C1C"/>
    <w:rsid w:val="00061D20"/>
    <w:rsid w:val="0006267A"/>
    <w:rsid w:val="0006335B"/>
    <w:rsid w:val="0006352D"/>
    <w:rsid w:val="00063C25"/>
    <w:rsid w:val="00063EC7"/>
    <w:rsid w:val="00064892"/>
    <w:rsid w:val="00066026"/>
    <w:rsid w:val="00066260"/>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50AF"/>
    <w:rsid w:val="000852EB"/>
    <w:rsid w:val="000869D8"/>
    <w:rsid w:val="00086CA6"/>
    <w:rsid w:val="00090213"/>
    <w:rsid w:val="00092FC7"/>
    <w:rsid w:val="00093133"/>
    <w:rsid w:val="00093680"/>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1CE"/>
    <w:rsid w:val="000B634D"/>
    <w:rsid w:val="000B73D2"/>
    <w:rsid w:val="000B7465"/>
    <w:rsid w:val="000C14CB"/>
    <w:rsid w:val="000C18BC"/>
    <w:rsid w:val="000C1D03"/>
    <w:rsid w:val="000C1EE4"/>
    <w:rsid w:val="000C1FF9"/>
    <w:rsid w:val="000C4151"/>
    <w:rsid w:val="000C4425"/>
    <w:rsid w:val="000C4B12"/>
    <w:rsid w:val="000C5F2C"/>
    <w:rsid w:val="000C5FA7"/>
    <w:rsid w:val="000C7E71"/>
    <w:rsid w:val="000D0BCE"/>
    <w:rsid w:val="000D16AA"/>
    <w:rsid w:val="000D1A7D"/>
    <w:rsid w:val="000D2309"/>
    <w:rsid w:val="000D2CCA"/>
    <w:rsid w:val="000D366B"/>
    <w:rsid w:val="000D38F9"/>
    <w:rsid w:val="000D3C8D"/>
    <w:rsid w:val="000D5B61"/>
    <w:rsid w:val="000D5D6B"/>
    <w:rsid w:val="000D7A20"/>
    <w:rsid w:val="000E161C"/>
    <w:rsid w:val="000E28E8"/>
    <w:rsid w:val="000E2C39"/>
    <w:rsid w:val="000E3478"/>
    <w:rsid w:val="000E355C"/>
    <w:rsid w:val="000E4445"/>
    <w:rsid w:val="000E470B"/>
    <w:rsid w:val="000E4DE8"/>
    <w:rsid w:val="000E4EF8"/>
    <w:rsid w:val="000E50F5"/>
    <w:rsid w:val="000E5E99"/>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2E1B"/>
    <w:rsid w:val="00103AB9"/>
    <w:rsid w:val="00103E80"/>
    <w:rsid w:val="00107187"/>
    <w:rsid w:val="00107272"/>
    <w:rsid w:val="00107D54"/>
    <w:rsid w:val="00110383"/>
    <w:rsid w:val="00110B62"/>
    <w:rsid w:val="00111581"/>
    <w:rsid w:val="00111CEB"/>
    <w:rsid w:val="0011245C"/>
    <w:rsid w:val="001136B4"/>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535A"/>
    <w:rsid w:val="0013673A"/>
    <w:rsid w:val="00136D81"/>
    <w:rsid w:val="00137038"/>
    <w:rsid w:val="001410EB"/>
    <w:rsid w:val="00141224"/>
    <w:rsid w:val="00142221"/>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64F"/>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41F"/>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2884"/>
    <w:rsid w:val="00194C98"/>
    <w:rsid w:val="00194FB7"/>
    <w:rsid w:val="00195D28"/>
    <w:rsid w:val="001960F8"/>
    <w:rsid w:val="00196B4E"/>
    <w:rsid w:val="001975A1"/>
    <w:rsid w:val="001A027A"/>
    <w:rsid w:val="001A05F4"/>
    <w:rsid w:val="001A08E4"/>
    <w:rsid w:val="001A0D2C"/>
    <w:rsid w:val="001A12B5"/>
    <w:rsid w:val="001A1C72"/>
    <w:rsid w:val="001A2DA6"/>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0A85"/>
    <w:rsid w:val="001D121D"/>
    <w:rsid w:val="001D3543"/>
    <w:rsid w:val="001D4151"/>
    <w:rsid w:val="001D58E5"/>
    <w:rsid w:val="001D6546"/>
    <w:rsid w:val="001D7299"/>
    <w:rsid w:val="001E0701"/>
    <w:rsid w:val="001E0FAB"/>
    <w:rsid w:val="001E2084"/>
    <w:rsid w:val="001E2502"/>
    <w:rsid w:val="001E292F"/>
    <w:rsid w:val="001E351C"/>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6318"/>
    <w:rsid w:val="001F65B1"/>
    <w:rsid w:val="001F6B83"/>
    <w:rsid w:val="001F6F6A"/>
    <w:rsid w:val="001F7595"/>
    <w:rsid w:val="002000B8"/>
    <w:rsid w:val="002004D9"/>
    <w:rsid w:val="002005CD"/>
    <w:rsid w:val="00200B4C"/>
    <w:rsid w:val="00202F46"/>
    <w:rsid w:val="00203267"/>
    <w:rsid w:val="00203897"/>
    <w:rsid w:val="0020391D"/>
    <w:rsid w:val="00205F9C"/>
    <w:rsid w:val="002060F7"/>
    <w:rsid w:val="00207BC6"/>
    <w:rsid w:val="00210604"/>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6D6"/>
    <w:rsid w:val="00224852"/>
    <w:rsid w:val="0022634D"/>
    <w:rsid w:val="00226935"/>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4711"/>
    <w:rsid w:val="00244AE4"/>
    <w:rsid w:val="00245EBE"/>
    <w:rsid w:val="002472C1"/>
    <w:rsid w:val="002473F4"/>
    <w:rsid w:val="00247D64"/>
    <w:rsid w:val="00250F42"/>
    <w:rsid w:val="00252B8C"/>
    <w:rsid w:val="00252EBA"/>
    <w:rsid w:val="0025361A"/>
    <w:rsid w:val="002545EF"/>
    <w:rsid w:val="00254B44"/>
    <w:rsid w:val="00254E99"/>
    <w:rsid w:val="00255B9B"/>
    <w:rsid w:val="002561A5"/>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5EF5"/>
    <w:rsid w:val="002702CD"/>
    <w:rsid w:val="00270B4E"/>
    <w:rsid w:val="00271500"/>
    <w:rsid w:val="00272E57"/>
    <w:rsid w:val="00274663"/>
    <w:rsid w:val="00275641"/>
    <w:rsid w:val="0027569A"/>
    <w:rsid w:val="002767D9"/>
    <w:rsid w:val="00280382"/>
    <w:rsid w:val="00280F4B"/>
    <w:rsid w:val="002821E9"/>
    <w:rsid w:val="002827D2"/>
    <w:rsid w:val="002835B7"/>
    <w:rsid w:val="00284C1F"/>
    <w:rsid w:val="002851AF"/>
    <w:rsid w:val="00285866"/>
    <w:rsid w:val="00286129"/>
    <w:rsid w:val="0028787B"/>
    <w:rsid w:val="00287B23"/>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A7AE1"/>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C77D7"/>
    <w:rsid w:val="002C787C"/>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545"/>
    <w:rsid w:val="002F0823"/>
    <w:rsid w:val="002F0C63"/>
    <w:rsid w:val="002F2471"/>
    <w:rsid w:val="002F2B7A"/>
    <w:rsid w:val="002F3105"/>
    <w:rsid w:val="002F5E6C"/>
    <w:rsid w:val="002F72FF"/>
    <w:rsid w:val="00300BF3"/>
    <w:rsid w:val="0030143F"/>
    <w:rsid w:val="00301A2B"/>
    <w:rsid w:val="00301BCD"/>
    <w:rsid w:val="00302988"/>
    <w:rsid w:val="00303ACF"/>
    <w:rsid w:val="00303E95"/>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DB5"/>
    <w:rsid w:val="00353860"/>
    <w:rsid w:val="00354CD9"/>
    <w:rsid w:val="003556C1"/>
    <w:rsid w:val="00355EEE"/>
    <w:rsid w:val="003566B5"/>
    <w:rsid w:val="00356FC1"/>
    <w:rsid w:val="00357883"/>
    <w:rsid w:val="00360494"/>
    <w:rsid w:val="00360C00"/>
    <w:rsid w:val="00361243"/>
    <w:rsid w:val="00361633"/>
    <w:rsid w:val="00361935"/>
    <w:rsid w:val="003626AE"/>
    <w:rsid w:val="0036292A"/>
    <w:rsid w:val="00362AF3"/>
    <w:rsid w:val="00364BEE"/>
    <w:rsid w:val="0036508D"/>
    <w:rsid w:val="003651C8"/>
    <w:rsid w:val="00366321"/>
    <w:rsid w:val="00366419"/>
    <w:rsid w:val="003669F1"/>
    <w:rsid w:val="00366F10"/>
    <w:rsid w:val="003700A3"/>
    <w:rsid w:val="00370B40"/>
    <w:rsid w:val="00371C15"/>
    <w:rsid w:val="00372CDF"/>
    <w:rsid w:val="00373411"/>
    <w:rsid w:val="00373D40"/>
    <w:rsid w:val="003741F6"/>
    <w:rsid w:val="00374A29"/>
    <w:rsid w:val="00374FA4"/>
    <w:rsid w:val="003756C6"/>
    <w:rsid w:val="00375FB2"/>
    <w:rsid w:val="00376E35"/>
    <w:rsid w:val="0037723C"/>
    <w:rsid w:val="003773AC"/>
    <w:rsid w:val="00377F6C"/>
    <w:rsid w:val="00380094"/>
    <w:rsid w:val="00380256"/>
    <w:rsid w:val="0038165D"/>
    <w:rsid w:val="00383071"/>
    <w:rsid w:val="00385175"/>
    <w:rsid w:val="00385444"/>
    <w:rsid w:val="00385F39"/>
    <w:rsid w:val="00386070"/>
    <w:rsid w:val="00387DCF"/>
    <w:rsid w:val="00390006"/>
    <w:rsid w:val="003900A5"/>
    <w:rsid w:val="003917AD"/>
    <w:rsid w:val="003917D1"/>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443D"/>
    <w:rsid w:val="003A4DE4"/>
    <w:rsid w:val="003A6A5A"/>
    <w:rsid w:val="003A72E9"/>
    <w:rsid w:val="003B175A"/>
    <w:rsid w:val="003B3231"/>
    <w:rsid w:val="003B3381"/>
    <w:rsid w:val="003B341A"/>
    <w:rsid w:val="003B357A"/>
    <w:rsid w:val="003B4859"/>
    <w:rsid w:val="003B499C"/>
    <w:rsid w:val="003B4CCD"/>
    <w:rsid w:val="003B53D4"/>
    <w:rsid w:val="003B56D7"/>
    <w:rsid w:val="003B6B4D"/>
    <w:rsid w:val="003B7298"/>
    <w:rsid w:val="003C0FF8"/>
    <w:rsid w:val="003C1D0C"/>
    <w:rsid w:val="003C1F2E"/>
    <w:rsid w:val="003C3A16"/>
    <w:rsid w:val="003C3D9F"/>
    <w:rsid w:val="003C42A3"/>
    <w:rsid w:val="003C49D5"/>
    <w:rsid w:val="003C4FD5"/>
    <w:rsid w:val="003C582B"/>
    <w:rsid w:val="003C63AE"/>
    <w:rsid w:val="003C6BFF"/>
    <w:rsid w:val="003D2333"/>
    <w:rsid w:val="003D3241"/>
    <w:rsid w:val="003D39AE"/>
    <w:rsid w:val="003D4804"/>
    <w:rsid w:val="003D5413"/>
    <w:rsid w:val="003D7685"/>
    <w:rsid w:val="003D7E9A"/>
    <w:rsid w:val="003E0366"/>
    <w:rsid w:val="003E100C"/>
    <w:rsid w:val="003E1C0C"/>
    <w:rsid w:val="003E2FFE"/>
    <w:rsid w:val="003E37AA"/>
    <w:rsid w:val="003E4310"/>
    <w:rsid w:val="003E47DE"/>
    <w:rsid w:val="003E4FFA"/>
    <w:rsid w:val="003E6E11"/>
    <w:rsid w:val="003E74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07B79"/>
    <w:rsid w:val="00411B37"/>
    <w:rsid w:val="0041244F"/>
    <w:rsid w:val="004125ED"/>
    <w:rsid w:val="0041353D"/>
    <w:rsid w:val="00413B39"/>
    <w:rsid w:val="0041450E"/>
    <w:rsid w:val="0041456E"/>
    <w:rsid w:val="00415370"/>
    <w:rsid w:val="00415781"/>
    <w:rsid w:val="00416485"/>
    <w:rsid w:val="00416C35"/>
    <w:rsid w:val="00416F40"/>
    <w:rsid w:val="00417769"/>
    <w:rsid w:val="00417F0D"/>
    <w:rsid w:val="00420765"/>
    <w:rsid w:val="00421EF2"/>
    <w:rsid w:val="00422668"/>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1AE"/>
    <w:rsid w:val="004442EB"/>
    <w:rsid w:val="0044449E"/>
    <w:rsid w:val="00444FA3"/>
    <w:rsid w:val="004459DC"/>
    <w:rsid w:val="00446553"/>
    <w:rsid w:val="00446A92"/>
    <w:rsid w:val="004501B4"/>
    <w:rsid w:val="0045082F"/>
    <w:rsid w:val="00450C00"/>
    <w:rsid w:val="0045135E"/>
    <w:rsid w:val="00452434"/>
    <w:rsid w:val="00452C53"/>
    <w:rsid w:val="004539C7"/>
    <w:rsid w:val="00454597"/>
    <w:rsid w:val="004548E6"/>
    <w:rsid w:val="00454A79"/>
    <w:rsid w:val="0045543A"/>
    <w:rsid w:val="0045543C"/>
    <w:rsid w:val="004556FB"/>
    <w:rsid w:val="00455880"/>
    <w:rsid w:val="004561F9"/>
    <w:rsid w:val="0045637C"/>
    <w:rsid w:val="0045687E"/>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7C4"/>
    <w:rsid w:val="00472F62"/>
    <w:rsid w:val="00473579"/>
    <w:rsid w:val="00473E50"/>
    <w:rsid w:val="00474E5A"/>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B00D1"/>
    <w:rsid w:val="004B0B57"/>
    <w:rsid w:val="004B0BBE"/>
    <w:rsid w:val="004B0EB0"/>
    <w:rsid w:val="004B1246"/>
    <w:rsid w:val="004B1CAB"/>
    <w:rsid w:val="004B2FF9"/>
    <w:rsid w:val="004B3397"/>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32ED"/>
    <w:rsid w:val="004D3E71"/>
    <w:rsid w:val="004D49EE"/>
    <w:rsid w:val="004D4AE0"/>
    <w:rsid w:val="004D4C0B"/>
    <w:rsid w:val="004D4EF7"/>
    <w:rsid w:val="004D69FC"/>
    <w:rsid w:val="004D72BA"/>
    <w:rsid w:val="004D77BD"/>
    <w:rsid w:val="004D77DE"/>
    <w:rsid w:val="004D7BF4"/>
    <w:rsid w:val="004D7C92"/>
    <w:rsid w:val="004E0461"/>
    <w:rsid w:val="004E295C"/>
    <w:rsid w:val="004E38B2"/>
    <w:rsid w:val="004E3936"/>
    <w:rsid w:val="004E490B"/>
    <w:rsid w:val="004E57F7"/>
    <w:rsid w:val="004E5D9C"/>
    <w:rsid w:val="004E6191"/>
    <w:rsid w:val="004E6707"/>
    <w:rsid w:val="004E6B8E"/>
    <w:rsid w:val="004F0543"/>
    <w:rsid w:val="004F0D33"/>
    <w:rsid w:val="004F2385"/>
    <w:rsid w:val="004F246C"/>
    <w:rsid w:val="004F30BB"/>
    <w:rsid w:val="004F3A97"/>
    <w:rsid w:val="004F5591"/>
    <w:rsid w:val="004F5D14"/>
    <w:rsid w:val="004F68DC"/>
    <w:rsid w:val="004F7F44"/>
    <w:rsid w:val="00500598"/>
    <w:rsid w:val="00500F7A"/>
    <w:rsid w:val="005012AD"/>
    <w:rsid w:val="005016E5"/>
    <w:rsid w:val="00501A56"/>
    <w:rsid w:val="00502317"/>
    <w:rsid w:val="005027BB"/>
    <w:rsid w:val="00503415"/>
    <w:rsid w:val="005034C1"/>
    <w:rsid w:val="005037E1"/>
    <w:rsid w:val="00503B5C"/>
    <w:rsid w:val="0050456A"/>
    <w:rsid w:val="005068E1"/>
    <w:rsid w:val="005070B6"/>
    <w:rsid w:val="005077C5"/>
    <w:rsid w:val="00510B80"/>
    <w:rsid w:val="0051168A"/>
    <w:rsid w:val="005117D2"/>
    <w:rsid w:val="005118A6"/>
    <w:rsid w:val="005122F4"/>
    <w:rsid w:val="00512830"/>
    <w:rsid w:val="0051405F"/>
    <w:rsid w:val="0051444F"/>
    <w:rsid w:val="005156A6"/>
    <w:rsid w:val="00516393"/>
    <w:rsid w:val="00516669"/>
    <w:rsid w:val="005179A5"/>
    <w:rsid w:val="00520B20"/>
    <w:rsid w:val="00520B4F"/>
    <w:rsid w:val="00524AD7"/>
    <w:rsid w:val="00525011"/>
    <w:rsid w:val="005254FD"/>
    <w:rsid w:val="00525BDC"/>
    <w:rsid w:val="0052622B"/>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1859"/>
    <w:rsid w:val="0054216F"/>
    <w:rsid w:val="00542F18"/>
    <w:rsid w:val="0054343C"/>
    <w:rsid w:val="00544853"/>
    <w:rsid w:val="00544CA5"/>
    <w:rsid w:val="005450E2"/>
    <w:rsid w:val="00545B19"/>
    <w:rsid w:val="00547404"/>
    <w:rsid w:val="005474A2"/>
    <w:rsid w:val="00547520"/>
    <w:rsid w:val="0055035F"/>
    <w:rsid w:val="005507FD"/>
    <w:rsid w:val="005511C0"/>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5AF7"/>
    <w:rsid w:val="00565C93"/>
    <w:rsid w:val="00566024"/>
    <w:rsid w:val="005671C3"/>
    <w:rsid w:val="0057060C"/>
    <w:rsid w:val="0057189C"/>
    <w:rsid w:val="00571BD2"/>
    <w:rsid w:val="00571CD7"/>
    <w:rsid w:val="00571D59"/>
    <w:rsid w:val="00572E3E"/>
    <w:rsid w:val="00572E75"/>
    <w:rsid w:val="0057332B"/>
    <w:rsid w:val="0057364D"/>
    <w:rsid w:val="005737FC"/>
    <w:rsid w:val="0057420B"/>
    <w:rsid w:val="00574279"/>
    <w:rsid w:val="0057593B"/>
    <w:rsid w:val="005762CE"/>
    <w:rsid w:val="00580280"/>
    <w:rsid w:val="00580B9E"/>
    <w:rsid w:val="00580DAB"/>
    <w:rsid w:val="0058135A"/>
    <w:rsid w:val="005817D9"/>
    <w:rsid w:val="00581F7C"/>
    <w:rsid w:val="005821A9"/>
    <w:rsid w:val="00583358"/>
    <w:rsid w:val="005839BF"/>
    <w:rsid w:val="00584058"/>
    <w:rsid w:val="005844A5"/>
    <w:rsid w:val="005846B4"/>
    <w:rsid w:val="005850E5"/>
    <w:rsid w:val="005851E0"/>
    <w:rsid w:val="005853B3"/>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4D4C"/>
    <w:rsid w:val="0060614D"/>
    <w:rsid w:val="00610871"/>
    <w:rsid w:val="00610E48"/>
    <w:rsid w:val="00610FE0"/>
    <w:rsid w:val="006118FF"/>
    <w:rsid w:val="00613C47"/>
    <w:rsid w:val="00615086"/>
    <w:rsid w:val="00616201"/>
    <w:rsid w:val="00616225"/>
    <w:rsid w:val="00616BA2"/>
    <w:rsid w:val="0061705E"/>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901"/>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5413"/>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4FA"/>
    <w:rsid w:val="006915BD"/>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EE"/>
    <w:rsid w:val="006A70BE"/>
    <w:rsid w:val="006A7934"/>
    <w:rsid w:val="006A7BC8"/>
    <w:rsid w:val="006B0001"/>
    <w:rsid w:val="006B054B"/>
    <w:rsid w:val="006B059F"/>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3187"/>
    <w:rsid w:val="006F3568"/>
    <w:rsid w:val="006F40AD"/>
    <w:rsid w:val="006F53EB"/>
    <w:rsid w:val="006F6360"/>
    <w:rsid w:val="006F6436"/>
    <w:rsid w:val="006F65C5"/>
    <w:rsid w:val="006F687A"/>
    <w:rsid w:val="006F68EF"/>
    <w:rsid w:val="006F6D4C"/>
    <w:rsid w:val="006F6E67"/>
    <w:rsid w:val="006F708A"/>
    <w:rsid w:val="006F7157"/>
    <w:rsid w:val="006F78E0"/>
    <w:rsid w:val="007023EA"/>
    <w:rsid w:val="00702B1B"/>
    <w:rsid w:val="007032B3"/>
    <w:rsid w:val="00704164"/>
    <w:rsid w:val="007063BD"/>
    <w:rsid w:val="00706A58"/>
    <w:rsid w:val="00707517"/>
    <w:rsid w:val="007078ED"/>
    <w:rsid w:val="00710187"/>
    <w:rsid w:val="007101D7"/>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596"/>
    <w:rsid w:val="00726E8A"/>
    <w:rsid w:val="00727047"/>
    <w:rsid w:val="00727A0E"/>
    <w:rsid w:val="00727C81"/>
    <w:rsid w:val="00730B33"/>
    <w:rsid w:val="007316CE"/>
    <w:rsid w:val="00734510"/>
    <w:rsid w:val="00734887"/>
    <w:rsid w:val="00735B0B"/>
    <w:rsid w:val="007365B6"/>
    <w:rsid w:val="00737394"/>
    <w:rsid w:val="007401E2"/>
    <w:rsid w:val="00740205"/>
    <w:rsid w:val="007411E5"/>
    <w:rsid w:val="00741605"/>
    <w:rsid w:val="00742788"/>
    <w:rsid w:val="007436F2"/>
    <w:rsid w:val="00743B2E"/>
    <w:rsid w:val="0074419A"/>
    <w:rsid w:val="0074436D"/>
    <w:rsid w:val="00746951"/>
    <w:rsid w:val="00746F65"/>
    <w:rsid w:val="007472C3"/>
    <w:rsid w:val="0074791E"/>
    <w:rsid w:val="00750948"/>
    <w:rsid w:val="00750A23"/>
    <w:rsid w:val="0075115D"/>
    <w:rsid w:val="00751A33"/>
    <w:rsid w:val="00751D99"/>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50A"/>
    <w:rsid w:val="00767607"/>
    <w:rsid w:val="00767ACD"/>
    <w:rsid w:val="007705B5"/>
    <w:rsid w:val="00771CEA"/>
    <w:rsid w:val="0077270D"/>
    <w:rsid w:val="00773874"/>
    <w:rsid w:val="0077393B"/>
    <w:rsid w:val="00775D3B"/>
    <w:rsid w:val="0077615A"/>
    <w:rsid w:val="007806A0"/>
    <w:rsid w:val="00781690"/>
    <w:rsid w:val="00782346"/>
    <w:rsid w:val="007838CD"/>
    <w:rsid w:val="007840F3"/>
    <w:rsid w:val="007849BE"/>
    <w:rsid w:val="00785491"/>
    <w:rsid w:val="007858C0"/>
    <w:rsid w:val="0078679A"/>
    <w:rsid w:val="00786BDC"/>
    <w:rsid w:val="007871FE"/>
    <w:rsid w:val="00787C89"/>
    <w:rsid w:val="007908ED"/>
    <w:rsid w:val="00790F74"/>
    <w:rsid w:val="00792014"/>
    <w:rsid w:val="00792288"/>
    <w:rsid w:val="00792447"/>
    <w:rsid w:val="007928C6"/>
    <w:rsid w:val="00792E73"/>
    <w:rsid w:val="0079694C"/>
    <w:rsid w:val="007A0187"/>
    <w:rsid w:val="007A19AC"/>
    <w:rsid w:val="007A268F"/>
    <w:rsid w:val="007A29EC"/>
    <w:rsid w:val="007A4A53"/>
    <w:rsid w:val="007A4C93"/>
    <w:rsid w:val="007A4E17"/>
    <w:rsid w:val="007A6DB9"/>
    <w:rsid w:val="007A7F6D"/>
    <w:rsid w:val="007B0FBD"/>
    <w:rsid w:val="007B1BAF"/>
    <w:rsid w:val="007B20C3"/>
    <w:rsid w:val="007B2FE8"/>
    <w:rsid w:val="007B35F7"/>
    <w:rsid w:val="007B48DF"/>
    <w:rsid w:val="007B4DD5"/>
    <w:rsid w:val="007B4F72"/>
    <w:rsid w:val="007B5148"/>
    <w:rsid w:val="007B5A16"/>
    <w:rsid w:val="007B71AA"/>
    <w:rsid w:val="007B7F09"/>
    <w:rsid w:val="007C03FE"/>
    <w:rsid w:val="007C0E04"/>
    <w:rsid w:val="007C17D3"/>
    <w:rsid w:val="007C1FA2"/>
    <w:rsid w:val="007C2827"/>
    <w:rsid w:val="007C367B"/>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F74"/>
    <w:rsid w:val="00804653"/>
    <w:rsid w:val="00804C48"/>
    <w:rsid w:val="0080505A"/>
    <w:rsid w:val="008060B3"/>
    <w:rsid w:val="00806639"/>
    <w:rsid w:val="00806A84"/>
    <w:rsid w:val="008073A4"/>
    <w:rsid w:val="00807C6C"/>
    <w:rsid w:val="00807E45"/>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0CD0"/>
    <w:rsid w:val="008310B4"/>
    <w:rsid w:val="00831573"/>
    <w:rsid w:val="00831C7F"/>
    <w:rsid w:val="00833C51"/>
    <w:rsid w:val="00833FAC"/>
    <w:rsid w:val="00834577"/>
    <w:rsid w:val="008349A6"/>
    <w:rsid w:val="00835271"/>
    <w:rsid w:val="00835679"/>
    <w:rsid w:val="008377DA"/>
    <w:rsid w:val="00841F21"/>
    <w:rsid w:val="00842991"/>
    <w:rsid w:val="008429B0"/>
    <w:rsid w:val="00843900"/>
    <w:rsid w:val="00844C5B"/>
    <w:rsid w:val="00845A15"/>
    <w:rsid w:val="0084632F"/>
    <w:rsid w:val="008474A9"/>
    <w:rsid w:val="00847809"/>
    <w:rsid w:val="00851180"/>
    <w:rsid w:val="00852528"/>
    <w:rsid w:val="00853379"/>
    <w:rsid w:val="0085434F"/>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37AE"/>
    <w:rsid w:val="00873FEA"/>
    <w:rsid w:val="0087419B"/>
    <w:rsid w:val="008744CC"/>
    <w:rsid w:val="00874592"/>
    <w:rsid w:val="008751C1"/>
    <w:rsid w:val="008757D9"/>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132"/>
    <w:rsid w:val="008A4F66"/>
    <w:rsid w:val="008A5290"/>
    <w:rsid w:val="008A593A"/>
    <w:rsid w:val="008A6A60"/>
    <w:rsid w:val="008A6C5A"/>
    <w:rsid w:val="008A6CCA"/>
    <w:rsid w:val="008A7D1D"/>
    <w:rsid w:val="008B1B8C"/>
    <w:rsid w:val="008B2C59"/>
    <w:rsid w:val="008B2DF3"/>
    <w:rsid w:val="008B376A"/>
    <w:rsid w:val="008B444E"/>
    <w:rsid w:val="008B569F"/>
    <w:rsid w:val="008B7220"/>
    <w:rsid w:val="008C0669"/>
    <w:rsid w:val="008C0814"/>
    <w:rsid w:val="008C08A5"/>
    <w:rsid w:val="008C1B32"/>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737"/>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5D8D"/>
    <w:rsid w:val="008E5F21"/>
    <w:rsid w:val="008E610D"/>
    <w:rsid w:val="008E69A2"/>
    <w:rsid w:val="008E6EAC"/>
    <w:rsid w:val="008E78F2"/>
    <w:rsid w:val="008E7B12"/>
    <w:rsid w:val="008F022C"/>
    <w:rsid w:val="008F152D"/>
    <w:rsid w:val="008F1D53"/>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6AD1"/>
    <w:rsid w:val="009075A4"/>
    <w:rsid w:val="009101AF"/>
    <w:rsid w:val="00911808"/>
    <w:rsid w:val="00912F07"/>
    <w:rsid w:val="009145FB"/>
    <w:rsid w:val="009153E8"/>
    <w:rsid w:val="0091555E"/>
    <w:rsid w:val="00915786"/>
    <w:rsid w:val="0091746C"/>
    <w:rsid w:val="00917816"/>
    <w:rsid w:val="00917D06"/>
    <w:rsid w:val="009204E1"/>
    <w:rsid w:val="009207DB"/>
    <w:rsid w:val="00921202"/>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BCF"/>
    <w:rsid w:val="00933396"/>
    <w:rsid w:val="009343BB"/>
    <w:rsid w:val="00934D73"/>
    <w:rsid w:val="00935042"/>
    <w:rsid w:val="009354F5"/>
    <w:rsid w:val="0093740F"/>
    <w:rsid w:val="00937B4A"/>
    <w:rsid w:val="00937BE9"/>
    <w:rsid w:val="00937C1D"/>
    <w:rsid w:val="00940804"/>
    <w:rsid w:val="00940E9B"/>
    <w:rsid w:val="00940FC3"/>
    <w:rsid w:val="009410B3"/>
    <w:rsid w:val="0094131D"/>
    <w:rsid w:val="0094166C"/>
    <w:rsid w:val="0094203A"/>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27D"/>
    <w:rsid w:val="0095279B"/>
    <w:rsid w:val="009533C3"/>
    <w:rsid w:val="009535D3"/>
    <w:rsid w:val="00953807"/>
    <w:rsid w:val="00954282"/>
    <w:rsid w:val="00954427"/>
    <w:rsid w:val="0095611C"/>
    <w:rsid w:val="009564ED"/>
    <w:rsid w:val="009566CD"/>
    <w:rsid w:val="00956CA2"/>
    <w:rsid w:val="0096079B"/>
    <w:rsid w:val="0096218D"/>
    <w:rsid w:val="00964509"/>
    <w:rsid w:val="009646C6"/>
    <w:rsid w:val="0096501B"/>
    <w:rsid w:val="0096625E"/>
    <w:rsid w:val="0096662B"/>
    <w:rsid w:val="009666AF"/>
    <w:rsid w:val="00967180"/>
    <w:rsid w:val="0096797D"/>
    <w:rsid w:val="00970704"/>
    <w:rsid w:val="00970B65"/>
    <w:rsid w:val="00970D66"/>
    <w:rsid w:val="00971127"/>
    <w:rsid w:val="0097119E"/>
    <w:rsid w:val="009718E9"/>
    <w:rsid w:val="00972C93"/>
    <w:rsid w:val="009734B8"/>
    <w:rsid w:val="00973514"/>
    <w:rsid w:val="009739F9"/>
    <w:rsid w:val="009741E7"/>
    <w:rsid w:val="00975C75"/>
    <w:rsid w:val="00977506"/>
    <w:rsid w:val="00977DFD"/>
    <w:rsid w:val="0098177A"/>
    <w:rsid w:val="00982E2A"/>
    <w:rsid w:val="00983583"/>
    <w:rsid w:val="00983EFD"/>
    <w:rsid w:val="009855B0"/>
    <w:rsid w:val="009859A8"/>
    <w:rsid w:val="00986257"/>
    <w:rsid w:val="00986564"/>
    <w:rsid w:val="0098658A"/>
    <w:rsid w:val="00986861"/>
    <w:rsid w:val="00986FB8"/>
    <w:rsid w:val="00987CBC"/>
    <w:rsid w:val="00991EB0"/>
    <w:rsid w:val="0099212B"/>
    <w:rsid w:val="0099245F"/>
    <w:rsid w:val="009928E8"/>
    <w:rsid w:val="00995768"/>
    <w:rsid w:val="00995F21"/>
    <w:rsid w:val="00996203"/>
    <w:rsid w:val="00996326"/>
    <w:rsid w:val="00996F95"/>
    <w:rsid w:val="00997B35"/>
    <w:rsid w:val="00997EA5"/>
    <w:rsid w:val="009A07D5"/>
    <w:rsid w:val="009A1FE7"/>
    <w:rsid w:val="009A2967"/>
    <w:rsid w:val="009A3274"/>
    <w:rsid w:val="009A36B7"/>
    <w:rsid w:val="009A3720"/>
    <w:rsid w:val="009A392B"/>
    <w:rsid w:val="009A3D58"/>
    <w:rsid w:val="009A42CF"/>
    <w:rsid w:val="009A44E8"/>
    <w:rsid w:val="009A581E"/>
    <w:rsid w:val="009A695D"/>
    <w:rsid w:val="009A698D"/>
    <w:rsid w:val="009A6AB4"/>
    <w:rsid w:val="009B1DA5"/>
    <w:rsid w:val="009B1E1D"/>
    <w:rsid w:val="009B28FD"/>
    <w:rsid w:val="009B2AD6"/>
    <w:rsid w:val="009B3172"/>
    <w:rsid w:val="009B461D"/>
    <w:rsid w:val="009B4F1F"/>
    <w:rsid w:val="009B5594"/>
    <w:rsid w:val="009B59ED"/>
    <w:rsid w:val="009B6405"/>
    <w:rsid w:val="009B729E"/>
    <w:rsid w:val="009B7498"/>
    <w:rsid w:val="009C217C"/>
    <w:rsid w:val="009C264B"/>
    <w:rsid w:val="009C34F1"/>
    <w:rsid w:val="009C3B80"/>
    <w:rsid w:val="009C3D84"/>
    <w:rsid w:val="009C3F5A"/>
    <w:rsid w:val="009C48C6"/>
    <w:rsid w:val="009C5D76"/>
    <w:rsid w:val="009C5DFB"/>
    <w:rsid w:val="009C5FDE"/>
    <w:rsid w:val="009C69E7"/>
    <w:rsid w:val="009C76E7"/>
    <w:rsid w:val="009C7B1D"/>
    <w:rsid w:val="009C7F10"/>
    <w:rsid w:val="009C7FF8"/>
    <w:rsid w:val="009D03F1"/>
    <w:rsid w:val="009D0921"/>
    <w:rsid w:val="009D101B"/>
    <w:rsid w:val="009D118E"/>
    <w:rsid w:val="009D1CF4"/>
    <w:rsid w:val="009D380F"/>
    <w:rsid w:val="009D57A7"/>
    <w:rsid w:val="009D65EE"/>
    <w:rsid w:val="009D6865"/>
    <w:rsid w:val="009D6903"/>
    <w:rsid w:val="009E0525"/>
    <w:rsid w:val="009E199C"/>
    <w:rsid w:val="009E1F76"/>
    <w:rsid w:val="009E2037"/>
    <w:rsid w:val="009E20A6"/>
    <w:rsid w:val="009E233F"/>
    <w:rsid w:val="009E323A"/>
    <w:rsid w:val="009E328B"/>
    <w:rsid w:val="009E68C1"/>
    <w:rsid w:val="009E6DD0"/>
    <w:rsid w:val="009E6DEE"/>
    <w:rsid w:val="009E700C"/>
    <w:rsid w:val="009F082A"/>
    <w:rsid w:val="009F0BD9"/>
    <w:rsid w:val="009F12B4"/>
    <w:rsid w:val="009F3311"/>
    <w:rsid w:val="009F33FA"/>
    <w:rsid w:val="009F347C"/>
    <w:rsid w:val="009F3F14"/>
    <w:rsid w:val="009F54D7"/>
    <w:rsid w:val="009F5B9D"/>
    <w:rsid w:val="009F6619"/>
    <w:rsid w:val="009F68FF"/>
    <w:rsid w:val="00A00E77"/>
    <w:rsid w:val="00A01712"/>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2CC8"/>
    <w:rsid w:val="00A23770"/>
    <w:rsid w:val="00A241FD"/>
    <w:rsid w:val="00A24BC5"/>
    <w:rsid w:val="00A24E75"/>
    <w:rsid w:val="00A2504C"/>
    <w:rsid w:val="00A252FA"/>
    <w:rsid w:val="00A26CA4"/>
    <w:rsid w:val="00A26D2E"/>
    <w:rsid w:val="00A26E5D"/>
    <w:rsid w:val="00A276A6"/>
    <w:rsid w:val="00A276FF"/>
    <w:rsid w:val="00A27A41"/>
    <w:rsid w:val="00A30C82"/>
    <w:rsid w:val="00A31A01"/>
    <w:rsid w:val="00A32211"/>
    <w:rsid w:val="00A322AB"/>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BD"/>
    <w:rsid w:val="00A61886"/>
    <w:rsid w:val="00A61E92"/>
    <w:rsid w:val="00A63D89"/>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953"/>
    <w:rsid w:val="00A823D7"/>
    <w:rsid w:val="00A827C9"/>
    <w:rsid w:val="00A8350D"/>
    <w:rsid w:val="00A843C1"/>
    <w:rsid w:val="00A85B31"/>
    <w:rsid w:val="00A861F3"/>
    <w:rsid w:val="00A86C48"/>
    <w:rsid w:val="00A870DA"/>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AE4"/>
    <w:rsid w:val="00AB2F06"/>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4FD5"/>
    <w:rsid w:val="00AC5650"/>
    <w:rsid w:val="00AC59DF"/>
    <w:rsid w:val="00AC68FF"/>
    <w:rsid w:val="00AC72C7"/>
    <w:rsid w:val="00AC7899"/>
    <w:rsid w:val="00AD13D6"/>
    <w:rsid w:val="00AD4087"/>
    <w:rsid w:val="00AD4E84"/>
    <w:rsid w:val="00AD6A21"/>
    <w:rsid w:val="00AD6BE0"/>
    <w:rsid w:val="00AD752F"/>
    <w:rsid w:val="00AD7C37"/>
    <w:rsid w:val="00AE0C8D"/>
    <w:rsid w:val="00AE0E2A"/>
    <w:rsid w:val="00AE1411"/>
    <w:rsid w:val="00AE19B4"/>
    <w:rsid w:val="00AE2330"/>
    <w:rsid w:val="00AE55BC"/>
    <w:rsid w:val="00AE62E7"/>
    <w:rsid w:val="00AE686D"/>
    <w:rsid w:val="00AE6B27"/>
    <w:rsid w:val="00AF0DC0"/>
    <w:rsid w:val="00AF0F96"/>
    <w:rsid w:val="00AF21D7"/>
    <w:rsid w:val="00AF28EB"/>
    <w:rsid w:val="00AF2A29"/>
    <w:rsid w:val="00AF31BA"/>
    <w:rsid w:val="00AF36B6"/>
    <w:rsid w:val="00AF4101"/>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402E"/>
    <w:rsid w:val="00B34EA5"/>
    <w:rsid w:val="00B360B7"/>
    <w:rsid w:val="00B36928"/>
    <w:rsid w:val="00B37293"/>
    <w:rsid w:val="00B37745"/>
    <w:rsid w:val="00B402DF"/>
    <w:rsid w:val="00B4076A"/>
    <w:rsid w:val="00B413EB"/>
    <w:rsid w:val="00B42C20"/>
    <w:rsid w:val="00B43287"/>
    <w:rsid w:val="00B43864"/>
    <w:rsid w:val="00B439B8"/>
    <w:rsid w:val="00B43AD9"/>
    <w:rsid w:val="00B443D5"/>
    <w:rsid w:val="00B44482"/>
    <w:rsid w:val="00B450D9"/>
    <w:rsid w:val="00B46FF2"/>
    <w:rsid w:val="00B51B75"/>
    <w:rsid w:val="00B52AD3"/>
    <w:rsid w:val="00B539EB"/>
    <w:rsid w:val="00B54B76"/>
    <w:rsid w:val="00B55ECC"/>
    <w:rsid w:val="00B560E5"/>
    <w:rsid w:val="00B5610F"/>
    <w:rsid w:val="00B567E5"/>
    <w:rsid w:val="00B576E1"/>
    <w:rsid w:val="00B6088D"/>
    <w:rsid w:val="00B608F1"/>
    <w:rsid w:val="00B60F79"/>
    <w:rsid w:val="00B6252C"/>
    <w:rsid w:val="00B62CBE"/>
    <w:rsid w:val="00B62EFD"/>
    <w:rsid w:val="00B63999"/>
    <w:rsid w:val="00B63B4A"/>
    <w:rsid w:val="00B63E1F"/>
    <w:rsid w:val="00B641C5"/>
    <w:rsid w:val="00B64F8D"/>
    <w:rsid w:val="00B6533C"/>
    <w:rsid w:val="00B65388"/>
    <w:rsid w:val="00B6731A"/>
    <w:rsid w:val="00B673CA"/>
    <w:rsid w:val="00B70494"/>
    <w:rsid w:val="00B70903"/>
    <w:rsid w:val="00B7108D"/>
    <w:rsid w:val="00B7117A"/>
    <w:rsid w:val="00B713F0"/>
    <w:rsid w:val="00B72053"/>
    <w:rsid w:val="00B72895"/>
    <w:rsid w:val="00B73BEF"/>
    <w:rsid w:val="00B7433C"/>
    <w:rsid w:val="00B74530"/>
    <w:rsid w:val="00B7458C"/>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421"/>
    <w:rsid w:val="00B866BF"/>
    <w:rsid w:val="00B868D6"/>
    <w:rsid w:val="00B86D0A"/>
    <w:rsid w:val="00B8748B"/>
    <w:rsid w:val="00B87890"/>
    <w:rsid w:val="00B87B3F"/>
    <w:rsid w:val="00B90972"/>
    <w:rsid w:val="00B91818"/>
    <w:rsid w:val="00B91D72"/>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1FE"/>
    <w:rsid w:val="00BB6ECF"/>
    <w:rsid w:val="00BB74B3"/>
    <w:rsid w:val="00BB777A"/>
    <w:rsid w:val="00BB7E97"/>
    <w:rsid w:val="00BC06FE"/>
    <w:rsid w:val="00BC1765"/>
    <w:rsid w:val="00BC1FD6"/>
    <w:rsid w:val="00BC25D7"/>
    <w:rsid w:val="00BC320C"/>
    <w:rsid w:val="00BC4883"/>
    <w:rsid w:val="00BC5334"/>
    <w:rsid w:val="00BC5454"/>
    <w:rsid w:val="00BC5F7F"/>
    <w:rsid w:val="00BC74EE"/>
    <w:rsid w:val="00BC777E"/>
    <w:rsid w:val="00BD219A"/>
    <w:rsid w:val="00BD2C42"/>
    <w:rsid w:val="00BD2EF9"/>
    <w:rsid w:val="00BD2F1D"/>
    <w:rsid w:val="00BD3997"/>
    <w:rsid w:val="00BD5D7E"/>
    <w:rsid w:val="00BD6EF9"/>
    <w:rsid w:val="00BD754C"/>
    <w:rsid w:val="00BD78C6"/>
    <w:rsid w:val="00BE01E1"/>
    <w:rsid w:val="00BE07A5"/>
    <w:rsid w:val="00BE15DA"/>
    <w:rsid w:val="00BE19AD"/>
    <w:rsid w:val="00BE369C"/>
    <w:rsid w:val="00BE4F97"/>
    <w:rsid w:val="00BE4FBC"/>
    <w:rsid w:val="00BE5B7C"/>
    <w:rsid w:val="00BE72FD"/>
    <w:rsid w:val="00BE733C"/>
    <w:rsid w:val="00BE73D4"/>
    <w:rsid w:val="00BE7AF2"/>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27E"/>
    <w:rsid w:val="00C36B1D"/>
    <w:rsid w:val="00C3742C"/>
    <w:rsid w:val="00C410D2"/>
    <w:rsid w:val="00C41363"/>
    <w:rsid w:val="00C42A78"/>
    <w:rsid w:val="00C437D6"/>
    <w:rsid w:val="00C45C94"/>
    <w:rsid w:val="00C4601D"/>
    <w:rsid w:val="00C4615A"/>
    <w:rsid w:val="00C509D2"/>
    <w:rsid w:val="00C51CCA"/>
    <w:rsid w:val="00C523ED"/>
    <w:rsid w:val="00C53131"/>
    <w:rsid w:val="00C54473"/>
    <w:rsid w:val="00C54789"/>
    <w:rsid w:val="00C54A13"/>
    <w:rsid w:val="00C55945"/>
    <w:rsid w:val="00C55D94"/>
    <w:rsid w:val="00C55DCB"/>
    <w:rsid w:val="00C55FBB"/>
    <w:rsid w:val="00C57582"/>
    <w:rsid w:val="00C608EF"/>
    <w:rsid w:val="00C60D60"/>
    <w:rsid w:val="00C612BB"/>
    <w:rsid w:val="00C612BF"/>
    <w:rsid w:val="00C61338"/>
    <w:rsid w:val="00C6207E"/>
    <w:rsid w:val="00C6324D"/>
    <w:rsid w:val="00C64FAE"/>
    <w:rsid w:val="00C65A78"/>
    <w:rsid w:val="00C66344"/>
    <w:rsid w:val="00C66EDC"/>
    <w:rsid w:val="00C674F7"/>
    <w:rsid w:val="00C67AC2"/>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DD7"/>
    <w:rsid w:val="00C95ED6"/>
    <w:rsid w:val="00C96BBB"/>
    <w:rsid w:val="00CA04D5"/>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2282"/>
    <w:rsid w:val="00CB2F02"/>
    <w:rsid w:val="00CB44CC"/>
    <w:rsid w:val="00CB4522"/>
    <w:rsid w:val="00CB6008"/>
    <w:rsid w:val="00CB76B8"/>
    <w:rsid w:val="00CB7703"/>
    <w:rsid w:val="00CB77EE"/>
    <w:rsid w:val="00CB783B"/>
    <w:rsid w:val="00CB7AE2"/>
    <w:rsid w:val="00CC1C1E"/>
    <w:rsid w:val="00CC2611"/>
    <w:rsid w:val="00CC2803"/>
    <w:rsid w:val="00CC295E"/>
    <w:rsid w:val="00CC41A0"/>
    <w:rsid w:val="00CC48D6"/>
    <w:rsid w:val="00CC4B7F"/>
    <w:rsid w:val="00CC544C"/>
    <w:rsid w:val="00CC559E"/>
    <w:rsid w:val="00CC6845"/>
    <w:rsid w:val="00CC707F"/>
    <w:rsid w:val="00CC708A"/>
    <w:rsid w:val="00CC79CD"/>
    <w:rsid w:val="00CD0365"/>
    <w:rsid w:val="00CD1447"/>
    <w:rsid w:val="00CD1841"/>
    <w:rsid w:val="00CD1BF1"/>
    <w:rsid w:val="00CD1D2E"/>
    <w:rsid w:val="00CD27CD"/>
    <w:rsid w:val="00CD4BF8"/>
    <w:rsid w:val="00CD52CD"/>
    <w:rsid w:val="00CD63FD"/>
    <w:rsid w:val="00CD652E"/>
    <w:rsid w:val="00CD6828"/>
    <w:rsid w:val="00CD685C"/>
    <w:rsid w:val="00CD68DD"/>
    <w:rsid w:val="00CD7B8B"/>
    <w:rsid w:val="00CE01F8"/>
    <w:rsid w:val="00CE0D43"/>
    <w:rsid w:val="00CE1EB8"/>
    <w:rsid w:val="00CE24B9"/>
    <w:rsid w:val="00CE2B04"/>
    <w:rsid w:val="00CE3E8B"/>
    <w:rsid w:val="00CE47DC"/>
    <w:rsid w:val="00CE5298"/>
    <w:rsid w:val="00CE5322"/>
    <w:rsid w:val="00CE58EB"/>
    <w:rsid w:val="00CE705F"/>
    <w:rsid w:val="00CE745E"/>
    <w:rsid w:val="00CF0041"/>
    <w:rsid w:val="00CF0D4B"/>
    <w:rsid w:val="00CF2605"/>
    <w:rsid w:val="00CF2804"/>
    <w:rsid w:val="00CF35B2"/>
    <w:rsid w:val="00CF36C4"/>
    <w:rsid w:val="00CF38D4"/>
    <w:rsid w:val="00CF5C07"/>
    <w:rsid w:val="00CF5CFC"/>
    <w:rsid w:val="00CF7087"/>
    <w:rsid w:val="00D00272"/>
    <w:rsid w:val="00D00AF5"/>
    <w:rsid w:val="00D00E75"/>
    <w:rsid w:val="00D00EE2"/>
    <w:rsid w:val="00D01917"/>
    <w:rsid w:val="00D01EBC"/>
    <w:rsid w:val="00D0322F"/>
    <w:rsid w:val="00D036A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648C"/>
    <w:rsid w:val="00D36E35"/>
    <w:rsid w:val="00D37354"/>
    <w:rsid w:val="00D404B1"/>
    <w:rsid w:val="00D4104F"/>
    <w:rsid w:val="00D43988"/>
    <w:rsid w:val="00D4707E"/>
    <w:rsid w:val="00D47238"/>
    <w:rsid w:val="00D4762C"/>
    <w:rsid w:val="00D47867"/>
    <w:rsid w:val="00D47B4E"/>
    <w:rsid w:val="00D47EAF"/>
    <w:rsid w:val="00D50B2A"/>
    <w:rsid w:val="00D50FAF"/>
    <w:rsid w:val="00D51517"/>
    <w:rsid w:val="00D52D4A"/>
    <w:rsid w:val="00D52D7F"/>
    <w:rsid w:val="00D53034"/>
    <w:rsid w:val="00D538B0"/>
    <w:rsid w:val="00D541A8"/>
    <w:rsid w:val="00D55A05"/>
    <w:rsid w:val="00D55E50"/>
    <w:rsid w:val="00D562A8"/>
    <w:rsid w:val="00D61A9F"/>
    <w:rsid w:val="00D61EDD"/>
    <w:rsid w:val="00D628AF"/>
    <w:rsid w:val="00D6294B"/>
    <w:rsid w:val="00D654F8"/>
    <w:rsid w:val="00D66697"/>
    <w:rsid w:val="00D676B3"/>
    <w:rsid w:val="00D6787A"/>
    <w:rsid w:val="00D67ACA"/>
    <w:rsid w:val="00D67F69"/>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0C1F"/>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3EB"/>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3E7"/>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6937"/>
    <w:rsid w:val="00DD7F9B"/>
    <w:rsid w:val="00DE1C74"/>
    <w:rsid w:val="00DE1CCF"/>
    <w:rsid w:val="00DE31EE"/>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0BB5"/>
    <w:rsid w:val="00E21F5A"/>
    <w:rsid w:val="00E221D8"/>
    <w:rsid w:val="00E23BDA"/>
    <w:rsid w:val="00E25124"/>
    <w:rsid w:val="00E261F8"/>
    <w:rsid w:val="00E26E25"/>
    <w:rsid w:val="00E27DF3"/>
    <w:rsid w:val="00E3110A"/>
    <w:rsid w:val="00E319DC"/>
    <w:rsid w:val="00E324AD"/>
    <w:rsid w:val="00E32C41"/>
    <w:rsid w:val="00E3342D"/>
    <w:rsid w:val="00E33683"/>
    <w:rsid w:val="00E33734"/>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77DB1"/>
    <w:rsid w:val="00E80CF7"/>
    <w:rsid w:val="00E80FB4"/>
    <w:rsid w:val="00E81B8E"/>
    <w:rsid w:val="00E81ED7"/>
    <w:rsid w:val="00E8369B"/>
    <w:rsid w:val="00E8377F"/>
    <w:rsid w:val="00E83850"/>
    <w:rsid w:val="00E85244"/>
    <w:rsid w:val="00E85A96"/>
    <w:rsid w:val="00E86159"/>
    <w:rsid w:val="00E86741"/>
    <w:rsid w:val="00E87AE4"/>
    <w:rsid w:val="00E900B3"/>
    <w:rsid w:val="00E90A5A"/>
    <w:rsid w:val="00E90C1F"/>
    <w:rsid w:val="00E9124A"/>
    <w:rsid w:val="00E9222C"/>
    <w:rsid w:val="00E9296D"/>
    <w:rsid w:val="00E92AA5"/>
    <w:rsid w:val="00E94509"/>
    <w:rsid w:val="00E94A0D"/>
    <w:rsid w:val="00E9558B"/>
    <w:rsid w:val="00E95A44"/>
    <w:rsid w:val="00E95D1B"/>
    <w:rsid w:val="00E969A4"/>
    <w:rsid w:val="00E9735C"/>
    <w:rsid w:val="00EA234B"/>
    <w:rsid w:val="00EA274B"/>
    <w:rsid w:val="00EA2EFA"/>
    <w:rsid w:val="00EA306F"/>
    <w:rsid w:val="00EA3184"/>
    <w:rsid w:val="00EA3732"/>
    <w:rsid w:val="00EA3794"/>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31ED"/>
    <w:rsid w:val="00EB33F4"/>
    <w:rsid w:val="00EB3B9C"/>
    <w:rsid w:val="00EB40E0"/>
    <w:rsid w:val="00EB4319"/>
    <w:rsid w:val="00EB4C04"/>
    <w:rsid w:val="00EB6502"/>
    <w:rsid w:val="00EB7D9C"/>
    <w:rsid w:val="00EC01F0"/>
    <w:rsid w:val="00EC1406"/>
    <w:rsid w:val="00EC1526"/>
    <w:rsid w:val="00EC23F3"/>
    <w:rsid w:val="00EC2677"/>
    <w:rsid w:val="00EC2AB5"/>
    <w:rsid w:val="00EC3051"/>
    <w:rsid w:val="00EC36F2"/>
    <w:rsid w:val="00EC4B79"/>
    <w:rsid w:val="00EC4F33"/>
    <w:rsid w:val="00EC7E82"/>
    <w:rsid w:val="00ED0B81"/>
    <w:rsid w:val="00ED19B3"/>
    <w:rsid w:val="00ED1A64"/>
    <w:rsid w:val="00ED28DD"/>
    <w:rsid w:val="00ED421C"/>
    <w:rsid w:val="00ED43A6"/>
    <w:rsid w:val="00ED502A"/>
    <w:rsid w:val="00ED69B3"/>
    <w:rsid w:val="00ED6AF3"/>
    <w:rsid w:val="00ED6FB9"/>
    <w:rsid w:val="00ED7371"/>
    <w:rsid w:val="00ED7E2F"/>
    <w:rsid w:val="00ED7EA8"/>
    <w:rsid w:val="00EE1313"/>
    <w:rsid w:val="00EE2126"/>
    <w:rsid w:val="00EE3363"/>
    <w:rsid w:val="00EE3725"/>
    <w:rsid w:val="00EE3F3C"/>
    <w:rsid w:val="00EE4C7E"/>
    <w:rsid w:val="00EE556D"/>
    <w:rsid w:val="00EE60A2"/>
    <w:rsid w:val="00EE6184"/>
    <w:rsid w:val="00EE679C"/>
    <w:rsid w:val="00EE7A2C"/>
    <w:rsid w:val="00EF06D3"/>
    <w:rsid w:val="00EF09D3"/>
    <w:rsid w:val="00EF0E81"/>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D63"/>
    <w:rsid w:val="00F34012"/>
    <w:rsid w:val="00F343A3"/>
    <w:rsid w:val="00F34C99"/>
    <w:rsid w:val="00F3531A"/>
    <w:rsid w:val="00F353E8"/>
    <w:rsid w:val="00F41DB0"/>
    <w:rsid w:val="00F439BB"/>
    <w:rsid w:val="00F43CEB"/>
    <w:rsid w:val="00F449D7"/>
    <w:rsid w:val="00F457C9"/>
    <w:rsid w:val="00F460C4"/>
    <w:rsid w:val="00F461AE"/>
    <w:rsid w:val="00F467F9"/>
    <w:rsid w:val="00F47426"/>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D47"/>
    <w:rsid w:val="00F92B0F"/>
    <w:rsid w:val="00F9354E"/>
    <w:rsid w:val="00F941FC"/>
    <w:rsid w:val="00F96D24"/>
    <w:rsid w:val="00F97093"/>
    <w:rsid w:val="00F97FF3"/>
    <w:rsid w:val="00FA0091"/>
    <w:rsid w:val="00FA1AA9"/>
    <w:rsid w:val="00FA2C8B"/>
    <w:rsid w:val="00FA375E"/>
    <w:rsid w:val="00FA3E0C"/>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2C03"/>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04D"/>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47A3"/>
    <w:rsid w:val="00FF4B3F"/>
    <w:rsid w:val="00FF4B43"/>
    <w:rsid w:val="00FF574F"/>
    <w:rsid w:val="011D5A3C"/>
    <w:rsid w:val="011E42FB"/>
    <w:rsid w:val="012146C6"/>
    <w:rsid w:val="017252D5"/>
    <w:rsid w:val="01C91291"/>
    <w:rsid w:val="02102CA1"/>
    <w:rsid w:val="02431249"/>
    <w:rsid w:val="027C35B6"/>
    <w:rsid w:val="028532EA"/>
    <w:rsid w:val="02E14EF2"/>
    <w:rsid w:val="036A614F"/>
    <w:rsid w:val="048953D9"/>
    <w:rsid w:val="04FE73EF"/>
    <w:rsid w:val="052C6D75"/>
    <w:rsid w:val="05821997"/>
    <w:rsid w:val="05AD3711"/>
    <w:rsid w:val="05D12AE6"/>
    <w:rsid w:val="06E50F6B"/>
    <w:rsid w:val="07393C1E"/>
    <w:rsid w:val="076A161F"/>
    <w:rsid w:val="079176C9"/>
    <w:rsid w:val="07C77135"/>
    <w:rsid w:val="07D670E3"/>
    <w:rsid w:val="08435AFA"/>
    <w:rsid w:val="085220FC"/>
    <w:rsid w:val="08A03373"/>
    <w:rsid w:val="090C7C1B"/>
    <w:rsid w:val="0C065118"/>
    <w:rsid w:val="0C4C5587"/>
    <w:rsid w:val="0C660420"/>
    <w:rsid w:val="0CAA2179"/>
    <w:rsid w:val="0DD31382"/>
    <w:rsid w:val="0E1520B6"/>
    <w:rsid w:val="0E6E6F80"/>
    <w:rsid w:val="0F612496"/>
    <w:rsid w:val="0F6732B3"/>
    <w:rsid w:val="0FF94323"/>
    <w:rsid w:val="108D4A90"/>
    <w:rsid w:val="1191274E"/>
    <w:rsid w:val="11C9655C"/>
    <w:rsid w:val="11F626B0"/>
    <w:rsid w:val="12216FE8"/>
    <w:rsid w:val="12407135"/>
    <w:rsid w:val="126D7070"/>
    <w:rsid w:val="129D2E79"/>
    <w:rsid w:val="130E2576"/>
    <w:rsid w:val="14EC5180"/>
    <w:rsid w:val="15474A66"/>
    <w:rsid w:val="15800C2D"/>
    <w:rsid w:val="161955FF"/>
    <w:rsid w:val="161A1EE6"/>
    <w:rsid w:val="170A54FC"/>
    <w:rsid w:val="17D309F3"/>
    <w:rsid w:val="18821B88"/>
    <w:rsid w:val="18C02FC0"/>
    <w:rsid w:val="198E1224"/>
    <w:rsid w:val="1A8F26EA"/>
    <w:rsid w:val="1A970539"/>
    <w:rsid w:val="1B567841"/>
    <w:rsid w:val="1CDF4666"/>
    <w:rsid w:val="1E33683A"/>
    <w:rsid w:val="1F8A2263"/>
    <w:rsid w:val="205107A9"/>
    <w:rsid w:val="207F10FE"/>
    <w:rsid w:val="20E07DFA"/>
    <w:rsid w:val="20FC4BEE"/>
    <w:rsid w:val="215B3915"/>
    <w:rsid w:val="21646013"/>
    <w:rsid w:val="218002CA"/>
    <w:rsid w:val="219A1B7F"/>
    <w:rsid w:val="237D046F"/>
    <w:rsid w:val="23AA6A32"/>
    <w:rsid w:val="245A3F80"/>
    <w:rsid w:val="25152F45"/>
    <w:rsid w:val="251A0024"/>
    <w:rsid w:val="25B430EE"/>
    <w:rsid w:val="25F11338"/>
    <w:rsid w:val="26C5275E"/>
    <w:rsid w:val="27B06B49"/>
    <w:rsid w:val="28121897"/>
    <w:rsid w:val="282F329C"/>
    <w:rsid w:val="28385E99"/>
    <w:rsid w:val="2A6149C8"/>
    <w:rsid w:val="2B033371"/>
    <w:rsid w:val="2B2F400B"/>
    <w:rsid w:val="2B667ED5"/>
    <w:rsid w:val="2C240F34"/>
    <w:rsid w:val="2C2F799A"/>
    <w:rsid w:val="2C517117"/>
    <w:rsid w:val="2C64115C"/>
    <w:rsid w:val="2CA20A3D"/>
    <w:rsid w:val="2D0B54A3"/>
    <w:rsid w:val="2EFA3B07"/>
    <w:rsid w:val="2F33127B"/>
    <w:rsid w:val="300801AF"/>
    <w:rsid w:val="30284596"/>
    <w:rsid w:val="304918EE"/>
    <w:rsid w:val="3063463F"/>
    <w:rsid w:val="306A004D"/>
    <w:rsid w:val="31547237"/>
    <w:rsid w:val="324B16F5"/>
    <w:rsid w:val="32BD27CB"/>
    <w:rsid w:val="33052782"/>
    <w:rsid w:val="337D6F3E"/>
    <w:rsid w:val="33B67A9F"/>
    <w:rsid w:val="33ED0A42"/>
    <w:rsid w:val="34E60A39"/>
    <w:rsid w:val="35014E18"/>
    <w:rsid w:val="350D1D4E"/>
    <w:rsid w:val="35F61243"/>
    <w:rsid w:val="36D0410B"/>
    <w:rsid w:val="37B2619B"/>
    <w:rsid w:val="382725D6"/>
    <w:rsid w:val="38C42F04"/>
    <w:rsid w:val="38E75F9A"/>
    <w:rsid w:val="39395D15"/>
    <w:rsid w:val="39C108DD"/>
    <w:rsid w:val="3A9C3269"/>
    <w:rsid w:val="3AC2057B"/>
    <w:rsid w:val="3C373E1D"/>
    <w:rsid w:val="3C625A8C"/>
    <w:rsid w:val="3C950EEB"/>
    <w:rsid w:val="3CAD7829"/>
    <w:rsid w:val="3CDF3135"/>
    <w:rsid w:val="3D344EC0"/>
    <w:rsid w:val="3DCC6B11"/>
    <w:rsid w:val="3DF35BF9"/>
    <w:rsid w:val="3EAB3EA1"/>
    <w:rsid w:val="3FB269C3"/>
    <w:rsid w:val="3FBD23ED"/>
    <w:rsid w:val="40C73B7A"/>
    <w:rsid w:val="410061AC"/>
    <w:rsid w:val="41571D6E"/>
    <w:rsid w:val="438313E9"/>
    <w:rsid w:val="43906070"/>
    <w:rsid w:val="43A11672"/>
    <w:rsid w:val="43EB43DC"/>
    <w:rsid w:val="44372549"/>
    <w:rsid w:val="447A207A"/>
    <w:rsid w:val="44DA3E45"/>
    <w:rsid w:val="464A2A98"/>
    <w:rsid w:val="46720397"/>
    <w:rsid w:val="468830D6"/>
    <w:rsid w:val="46AF58CF"/>
    <w:rsid w:val="475410FB"/>
    <w:rsid w:val="47767C14"/>
    <w:rsid w:val="47850BA4"/>
    <w:rsid w:val="479C6D8B"/>
    <w:rsid w:val="48D43EA7"/>
    <w:rsid w:val="4BD1731B"/>
    <w:rsid w:val="4D441396"/>
    <w:rsid w:val="4DCC0223"/>
    <w:rsid w:val="4DFB20DE"/>
    <w:rsid w:val="4E0562C4"/>
    <w:rsid w:val="4E06001E"/>
    <w:rsid w:val="4E2F0201"/>
    <w:rsid w:val="4EC56173"/>
    <w:rsid w:val="4F897DDC"/>
    <w:rsid w:val="4FEC07C0"/>
    <w:rsid w:val="4FF37A7B"/>
    <w:rsid w:val="50757DA6"/>
    <w:rsid w:val="514A1E28"/>
    <w:rsid w:val="5192284B"/>
    <w:rsid w:val="51D1327D"/>
    <w:rsid w:val="53225DC3"/>
    <w:rsid w:val="53B57275"/>
    <w:rsid w:val="543F5578"/>
    <w:rsid w:val="54FF580F"/>
    <w:rsid w:val="550C0DD5"/>
    <w:rsid w:val="5553632A"/>
    <w:rsid w:val="562820A0"/>
    <w:rsid w:val="5640470C"/>
    <w:rsid w:val="565A5626"/>
    <w:rsid w:val="56AD6CF1"/>
    <w:rsid w:val="56B01306"/>
    <w:rsid w:val="57E21BBF"/>
    <w:rsid w:val="582A5AE1"/>
    <w:rsid w:val="58321EC6"/>
    <w:rsid w:val="586757C9"/>
    <w:rsid w:val="5B515622"/>
    <w:rsid w:val="5BD24F57"/>
    <w:rsid w:val="5D7E3803"/>
    <w:rsid w:val="5DAD5823"/>
    <w:rsid w:val="5E643D94"/>
    <w:rsid w:val="5EEC4F2C"/>
    <w:rsid w:val="5F2B0C1E"/>
    <w:rsid w:val="60EC2572"/>
    <w:rsid w:val="6159391A"/>
    <w:rsid w:val="618D046B"/>
    <w:rsid w:val="62A24271"/>
    <w:rsid w:val="63424F30"/>
    <w:rsid w:val="639801C2"/>
    <w:rsid w:val="63C72655"/>
    <w:rsid w:val="63E07D7E"/>
    <w:rsid w:val="64351FEE"/>
    <w:rsid w:val="643E4095"/>
    <w:rsid w:val="65842A18"/>
    <w:rsid w:val="658A2AAD"/>
    <w:rsid w:val="66593985"/>
    <w:rsid w:val="665A00E6"/>
    <w:rsid w:val="666B09B5"/>
    <w:rsid w:val="66885224"/>
    <w:rsid w:val="66B66C09"/>
    <w:rsid w:val="675E39A2"/>
    <w:rsid w:val="67C21F03"/>
    <w:rsid w:val="67C6112C"/>
    <w:rsid w:val="6818452E"/>
    <w:rsid w:val="684F2A12"/>
    <w:rsid w:val="685759C9"/>
    <w:rsid w:val="68AB2E38"/>
    <w:rsid w:val="68D357B0"/>
    <w:rsid w:val="692A004F"/>
    <w:rsid w:val="693A1F1E"/>
    <w:rsid w:val="69D4537F"/>
    <w:rsid w:val="69E47EB5"/>
    <w:rsid w:val="6A0A70F1"/>
    <w:rsid w:val="6A620CB5"/>
    <w:rsid w:val="6B961BA9"/>
    <w:rsid w:val="6CBD272D"/>
    <w:rsid w:val="6D3D563E"/>
    <w:rsid w:val="6D487F6F"/>
    <w:rsid w:val="6D80483F"/>
    <w:rsid w:val="6E851CE7"/>
    <w:rsid w:val="6F0D6DEA"/>
    <w:rsid w:val="6F337B52"/>
    <w:rsid w:val="6FDB6284"/>
    <w:rsid w:val="70335EFB"/>
    <w:rsid w:val="716D5D94"/>
    <w:rsid w:val="720D7257"/>
    <w:rsid w:val="728B1D53"/>
    <w:rsid w:val="731E0CD1"/>
    <w:rsid w:val="732E0E99"/>
    <w:rsid w:val="74035607"/>
    <w:rsid w:val="74110F58"/>
    <w:rsid w:val="741F5EF8"/>
    <w:rsid w:val="742C6B26"/>
    <w:rsid w:val="7577330D"/>
    <w:rsid w:val="7612379B"/>
    <w:rsid w:val="76D10E3F"/>
    <w:rsid w:val="77901832"/>
    <w:rsid w:val="784264C1"/>
    <w:rsid w:val="786B73C0"/>
    <w:rsid w:val="79C20E03"/>
    <w:rsid w:val="79F55D1E"/>
    <w:rsid w:val="7A4234DA"/>
    <w:rsid w:val="7A81291E"/>
    <w:rsid w:val="7B1F5538"/>
    <w:rsid w:val="7B9B4952"/>
    <w:rsid w:val="7C715639"/>
    <w:rsid w:val="7CCC3BF9"/>
    <w:rsid w:val="7D1F60FD"/>
    <w:rsid w:val="7D8F2440"/>
    <w:rsid w:val="7DB23C95"/>
    <w:rsid w:val="7E0A6B90"/>
    <w:rsid w:val="7E19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6"/>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1"/>
    <w:qFormat/>
    <w:uiPriority w:val="0"/>
    <w:pPr>
      <w:adjustRightInd w:val="0"/>
      <w:jc w:val="center"/>
      <w:textAlignment w:val="baseline"/>
      <w:outlineLvl w:val="1"/>
    </w:pPr>
    <w:rPr>
      <w:kern w:val="0"/>
      <w:sz w:val="24"/>
      <w:szCs w:val="20"/>
    </w:rPr>
  </w:style>
  <w:style w:type="paragraph" w:styleId="4">
    <w:name w:val="heading 3"/>
    <w:basedOn w:val="5"/>
    <w:next w:val="1"/>
    <w:link w:val="55"/>
    <w:qFormat/>
    <w:uiPriority w:val="0"/>
    <w:pPr>
      <w:spacing w:before="260" w:after="260" w:line="240" w:lineRule="auto"/>
      <w:outlineLvl w:val="2"/>
    </w:pPr>
    <w:rPr>
      <w:rFonts w:ascii="宋体" w:hAnsi="宋体" w:eastAsia="宋体"/>
      <w:szCs w:val="32"/>
    </w:rPr>
  </w:style>
  <w:style w:type="paragraph" w:styleId="5">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
    <w:qFormat/>
    <w:uiPriority w:val="0"/>
    <w:pPr>
      <w:keepNext/>
      <w:keepLines/>
      <w:spacing w:before="280" w:after="290" w:line="376" w:lineRule="auto"/>
      <w:outlineLvl w:val="4"/>
    </w:pPr>
    <w:rPr>
      <w:b/>
      <w:sz w:val="28"/>
      <w:szCs w:val="20"/>
    </w:rPr>
  </w:style>
  <w:style w:type="paragraph" w:styleId="9">
    <w:name w:val="heading 6"/>
    <w:basedOn w:val="1"/>
    <w:next w:val="8"/>
    <w:link w:val="8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4"/>
    <w:qFormat/>
    <w:uiPriority w:val="0"/>
    <w:pPr>
      <w:keepNext/>
      <w:keepLines/>
      <w:spacing w:before="240" w:after="64" w:line="320" w:lineRule="auto"/>
      <w:outlineLvl w:val="6"/>
    </w:pPr>
    <w:rPr>
      <w:b/>
      <w:sz w:val="24"/>
      <w:szCs w:val="20"/>
    </w:rPr>
  </w:style>
  <w:style w:type="paragraph" w:styleId="11">
    <w:name w:val="heading 8"/>
    <w:basedOn w:val="1"/>
    <w:next w:val="8"/>
    <w:link w:val="8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2"/>
    <w:qFormat/>
    <w:uiPriority w:val="0"/>
    <w:pPr>
      <w:spacing w:line="360" w:lineRule="auto"/>
    </w:pPr>
    <w:rPr>
      <w:b/>
      <w:bCs/>
      <w:sz w:val="24"/>
    </w:rPr>
  </w:style>
  <w:style w:type="paragraph" w:styleId="8">
    <w:name w:val="Normal Indent"/>
    <w:basedOn w:val="1"/>
    <w:link w:val="57"/>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4"/>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98"/>
    <w:qFormat/>
    <w:uiPriority w:val="0"/>
    <w:pPr>
      <w:spacing w:after="120"/>
    </w:pPr>
    <w:rPr>
      <w:sz w:val="16"/>
      <w:szCs w:val="16"/>
    </w:rPr>
  </w:style>
  <w:style w:type="paragraph" w:styleId="19">
    <w:name w:val="Body Text Indent"/>
    <w:basedOn w:val="1"/>
    <w:link w:val="79"/>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0"/>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8"/>
    <w:qFormat/>
    <w:uiPriority w:val="0"/>
    <w:rPr>
      <w:rFonts w:ascii="宋体" w:hAnsi="Courier New"/>
      <w:sz w:val="32"/>
      <w:szCs w:val="20"/>
    </w:rPr>
  </w:style>
  <w:style w:type="paragraph" w:styleId="25">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9"/>
    <w:semiHidden/>
    <w:qFormat/>
    <w:uiPriority w:val="0"/>
    <w:rPr>
      <w:sz w:val="18"/>
      <w:szCs w:val="18"/>
    </w:rPr>
  </w:style>
  <w:style w:type="paragraph" w:styleId="27">
    <w:name w:val="footer"/>
    <w:basedOn w:val="1"/>
    <w:link w:val="97"/>
    <w:qFormat/>
    <w:uiPriority w:val="0"/>
    <w:pPr>
      <w:tabs>
        <w:tab w:val="center" w:pos="4153"/>
        <w:tab w:val="right" w:pos="8306"/>
      </w:tabs>
      <w:snapToGrid w:val="0"/>
      <w:jc w:val="left"/>
    </w:pPr>
    <w:rPr>
      <w:sz w:val="18"/>
      <w:szCs w:val="18"/>
    </w:rPr>
  </w:style>
  <w:style w:type="paragraph" w:styleId="28">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09"/>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5"/>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6"/>
    <w:qFormat/>
    <w:uiPriority w:val="0"/>
    <w:pPr>
      <w:spacing w:line="360" w:lineRule="auto"/>
    </w:pPr>
    <w:rPr>
      <w:sz w:val="24"/>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5"/>
    <w:qFormat/>
    <w:uiPriority w:val="0"/>
    <w:pPr>
      <w:autoSpaceDE/>
      <w:autoSpaceDN/>
      <w:adjustRightInd/>
      <w:textAlignment w:val="auto"/>
    </w:pPr>
    <w:rPr>
      <w:rFonts w:ascii="Times New Roman"/>
      <w:b/>
      <w:bCs/>
      <w:kern w:val="2"/>
      <w:sz w:val="21"/>
      <w:szCs w:val="24"/>
    </w:rPr>
  </w:style>
  <w:style w:type="paragraph" w:styleId="42">
    <w:name w:val="Body Text First Indent"/>
    <w:basedOn w:val="2"/>
    <w:link w:val="130"/>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0"/>
    <w:rPr>
      <w:sz w:val="21"/>
      <w:szCs w:val="21"/>
    </w:rPr>
  </w:style>
  <w:style w:type="character" w:customStyle="1" w:styleId="53">
    <w:name w:val="标题 4 字符"/>
    <w:link w:val="5"/>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字符"/>
    <w:link w:val="4"/>
    <w:qFormat/>
    <w:uiPriority w:val="0"/>
    <w:rPr>
      <w:rFonts w:ascii="宋体" w:hAnsi="宋体" w:eastAsia="宋体"/>
      <w:b/>
      <w:bCs/>
      <w:kern w:val="2"/>
      <w:sz w:val="28"/>
      <w:szCs w:val="32"/>
      <w:lang w:val="en-US" w:eastAsia="zh-CN" w:bidi="ar-SA"/>
    </w:rPr>
  </w:style>
  <w:style w:type="character" w:customStyle="1" w:styleId="56">
    <w:name w:val="标题 1 字符"/>
    <w:link w:val="3"/>
    <w:qFormat/>
    <w:uiPriority w:val="0"/>
    <w:rPr>
      <w:rFonts w:ascii="宋体" w:hAnsi="宋体" w:eastAsia="黑体"/>
      <w:b/>
      <w:bCs/>
      <w:kern w:val="44"/>
      <w:sz w:val="28"/>
      <w:szCs w:val="44"/>
      <w:lang w:val="en-US" w:eastAsia="zh-CN" w:bidi="ar-SA"/>
    </w:rPr>
  </w:style>
  <w:style w:type="character" w:customStyle="1" w:styleId="57">
    <w:name w:val="正文缩进 字符"/>
    <w:link w:val="8"/>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字符"/>
    <w:link w:val="6"/>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0"/>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字符"/>
    <w:link w:val="19"/>
    <w:qFormat/>
    <w:uiPriority w:val="0"/>
    <w:rPr>
      <w:rFonts w:eastAsia="宋体"/>
      <w:kern w:val="2"/>
      <w:sz w:val="21"/>
      <w:szCs w:val="24"/>
      <w:lang w:val="en-US" w:eastAsia="zh-CN" w:bidi="ar-SA"/>
    </w:rPr>
  </w:style>
  <w:style w:type="character" w:customStyle="1" w:styleId="80">
    <w:name w:val="标题 5 字符"/>
    <w:link w:val="7"/>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字符"/>
    <w:link w:val="9"/>
    <w:qFormat/>
    <w:uiPriority w:val="0"/>
    <w:rPr>
      <w:rFonts w:ascii="Arial" w:hAnsi="Arial" w:eastAsia="黑体"/>
      <w:b/>
      <w:kern w:val="2"/>
      <w:sz w:val="24"/>
      <w:lang w:val="en-US" w:eastAsia="zh-CN" w:bidi="ar-SA"/>
    </w:rPr>
  </w:style>
  <w:style w:type="character" w:customStyle="1" w:styleId="84">
    <w:name w:val="标题 7 字符"/>
    <w:link w:val="10"/>
    <w:qFormat/>
    <w:uiPriority w:val="0"/>
    <w:rPr>
      <w:rFonts w:eastAsia="宋体"/>
      <w:b/>
      <w:kern w:val="2"/>
      <w:sz w:val="24"/>
      <w:lang w:val="en-US" w:eastAsia="zh-CN" w:bidi="ar-SA"/>
    </w:rPr>
  </w:style>
  <w:style w:type="character" w:customStyle="1" w:styleId="85">
    <w:name w:val="标题 8 字符"/>
    <w:link w:val="11"/>
    <w:qFormat/>
    <w:uiPriority w:val="0"/>
    <w:rPr>
      <w:rFonts w:ascii="Arial" w:hAnsi="Arial" w:eastAsia="黑体"/>
      <w:kern w:val="2"/>
      <w:sz w:val="24"/>
      <w:lang w:val="en-US" w:eastAsia="zh-CN" w:bidi="ar-SA"/>
    </w:rPr>
  </w:style>
  <w:style w:type="character" w:customStyle="1" w:styleId="86">
    <w:name w:val="标题 9 字符"/>
    <w:link w:val="12"/>
    <w:qFormat/>
    <w:uiPriority w:val="0"/>
    <w:rPr>
      <w:rFonts w:ascii="Arial" w:hAnsi="Arial" w:eastAsia="黑体"/>
      <w:kern w:val="2"/>
      <w:sz w:val="21"/>
      <w:lang w:val="en-US" w:eastAsia="zh-CN" w:bidi="ar-SA"/>
    </w:rPr>
  </w:style>
  <w:style w:type="character" w:customStyle="1" w:styleId="87">
    <w:name w:val="标题 字符"/>
    <w:link w:val="40"/>
    <w:qFormat/>
    <w:uiPriority w:val="0"/>
    <w:rPr>
      <w:rFonts w:ascii="Arial" w:hAnsi="Arial" w:eastAsia="隶书" w:cs="Arial"/>
      <w:b/>
      <w:bCs/>
      <w:kern w:val="2"/>
      <w:sz w:val="32"/>
      <w:szCs w:val="32"/>
      <w:lang w:val="en-US" w:eastAsia="zh-CN" w:bidi="ar-SA"/>
    </w:rPr>
  </w:style>
  <w:style w:type="character" w:customStyle="1" w:styleId="88">
    <w:name w:val="日期 字符"/>
    <w:link w:val="24"/>
    <w:qFormat/>
    <w:uiPriority w:val="0"/>
    <w:rPr>
      <w:rFonts w:ascii="宋体" w:hAnsi="Courier New" w:eastAsia="宋体"/>
      <w:kern w:val="2"/>
      <w:sz w:val="32"/>
      <w:lang w:val="en-US" w:eastAsia="zh-CN" w:bidi="ar-SA"/>
    </w:rPr>
  </w:style>
  <w:style w:type="character" w:customStyle="1" w:styleId="89">
    <w:name w:val="HTML 预设格式 字符"/>
    <w:link w:val="37"/>
    <w:qFormat/>
    <w:uiPriority w:val="0"/>
    <w:rPr>
      <w:rFonts w:ascii="Arial Unicode MS" w:hAnsi="Arial Unicode MS" w:eastAsia="Arial Unicode MS"/>
      <w:color w:val="000000"/>
      <w:lang w:val="en-US" w:eastAsia="zh-CN" w:bidi="ar-SA"/>
    </w:rPr>
  </w:style>
  <w:style w:type="character" w:customStyle="1" w:styleId="90">
    <w:name w:val="纯文本 字符"/>
    <w:link w:val="22"/>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字符"/>
    <w:link w:val="2"/>
    <w:qFormat/>
    <w:uiPriority w:val="0"/>
    <w:rPr>
      <w:rFonts w:eastAsia="宋体"/>
      <w:b/>
      <w:bCs/>
      <w:kern w:val="2"/>
      <w:sz w:val="24"/>
      <w:szCs w:val="24"/>
      <w:lang w:val="en-US" w:eastAsia="zh-CN" w:bidi="ar-SA"/>
    </w:rPr>
  </w:style>
  <w:style w:type="character" w:customStyle="1" w:styleId="93">
    <w:name w:val="正文文本缩进 2 字符"/>
    <w:link w:val="25"/>
    <w:qFormat/>
    <w:uiPriority w:val="0"/>
    <w:rPr>
      <w:rFonts w:ascii="宋体" w:hAnsi="宋体" w:eastAsia="宋体"/>
      <w:kern w:val="2"/>
      <w:sz w:val="21"/>
      <w:szCs w:val="24"/>
      <w:lang w:val="en-US" w:eastAsia="zh-CN" w:bidi="ar-SA"/>
    </w:rPr>
  </w:style>
  <w:style w:type="character" w:customStyle="1" w:styleId="94">
    <w:name w:val="页眉 字符"/>
    <w:link w:val="28"/>
    <w:qFormat/>
    <w:uiPriority w:val="99"/>
    <w:rPr>
      <w:rFonts w:eastAsia="宋体"/>
      <w:kern w:val="2"/>
      <w:sz w:val="18"/>
      <w:szCs w:val="18"/>
      <w:lang w:val="en-US" w:eastAsia="zh-CN" w:bidi="ar-SA"/>
    </w:rPr>
  </w:style>
  <w:style w:type="character" w:customStyle="1" w:styleId="95">
    <w:name w:val="正文文本缩进 3 字符"/>
    <w:link w:val="33"/>
    <w:qFormat/>
    <w:uiPriority w:val="0"/>
    <w:rPr>
      <w:rFonts w:ascii="宋体" w:eastAsia="宋体"/>
      <w:b/>
      <w:bCs/>
      <w:kern w:val="2"/>
      <w:sz w:val="24"/>
      <w:szCs w:val="24"/>
      <w:lang w:val="en-US" w:eastAsia="zh-CN" w:bidi="ar-SA"/>
    </w:rPr>
  </w:style>
  <w:style w:type="character" w:customStyle="1" w:styleId="96">
    <w:name w:val="正文文本 2 字符"/>
    <w:link w:val="36"/>
    <w:qFormat/>
    <w:uiPriority w:val="0"/>
    <w:rPr>
      <w:rFonts w:eastAsia="宋体"/>
      <w:kern w:val="2"/>
      <w:sz w:val="24"/>
      <w:szCs w:val="24"/>
      <w:lang w:val="en-US" w:eastAsia="zh-CN" w:bidi="ar-SA"/>
    </w:rPr>
  </w:style>
  <w:style w:type="character" w:customStyle="1" w:styleId="97">
    <w:name w:val="页脚 字符"/>
    <w:link w:val="27"/>
    <w:qFormat/>
    <w:uiPriority w:val="0"/>
    <w:rPr>
      <w:rFonts w:eastAsia="宋体"/>
      <w:kern w:val="2"/>
      <w:sz w:val="18"/>
      <w:szCs w:val="18"/>
      <w:lang w:val="en-US" w:eastAsia="zh-CN" w:bidi="ar-SA"/>
    </w:rPr>
  </w:style>
  <w:style w:type="character" w:customStyle="1" w:styleId="98">
    <w:name w:val="正文文本 3 字符"/>
    <w:link w:val="18"/>
    <w:qFormat/>
    <w:uiPriority w:val="0"/>
    <w:rPr>
      <w:rFonts w:eastAsia="宋体"/>
      <w:kern w:val="2"/>
      <w:sz w:val="16"/>
      <w:szCs w:val="16"/>
      <w:lang w:val="en-US" w:eastAsia="zh-CN" w:bidi="ar-SA"/>
    </w:rPr>
  </w:style>
  <w:style w:type="character" w:customStyle="1" w:styleId="99">
    <w:name w:val="批注框文本 字符"/>
    <w:link w:val="26"/>
    <w:semiHidden/>
    <w:qFormat/>
    <w:uiPriority w:val="0"/>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qFormat/>
    <w:uiPriority w:val="0"/>
  </w:style>
  <w:style w:type="character" w:customStyle="1" w:styleId="126">
    <w:name w:val="font2"/>
    <w:basedOn w:val="46"/>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文本首行缩进 字符"/>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qFormat/>
    <w:uiPriority w:val="0"/>
  </w:style>
  <w:style w:type="paragraph" w:customStyle="1" w:styleId="13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qFormat/>
    <w:uiPriority w:val="0"/>
  </w:style>
  <w:style w:type="paragraph" w:customStyle="1" w:styleId="137">
    <w:name w:val="8"/>
    <w:basedOn w:val="1"/>
    <w:next w:val="19"/>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2"/>
    <w:qFormat/>
    <w:uiPriority w:val="0"/>
    <w:pPr>
      <w:ind w:firstLine="560" w:firstLineChars="200"/>
    </w:pPr>
    <w:rPr>
      <w:sz w:val="28"/>
    </w:rPr>
  </w:style>
  <w:style w:type="character" w:customStyle="1" w:styleId="161">
    <w:name w:val="gray6"/>
    <w:basedOn w:val="46"/>
    <w:qFormat/>
    <w:uiPriority w:val="0"/>
  </w:style>
  <w:style w:type="character" w:customStyle="1" w:styleId="162">
    <w:name w:val="style9"/>
    <w:basedOn w:val="46"/>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字符"/>
    <w:basedOn w:val="46"/>
    <w:link w:val="17"/>
    <w:semiHidden/>
    <w:qFormat/>
    <w:uiPriority w:val="0"/>
    <w:rPr>
      <w:rFonts w:ascii="宋体"/>
      <w:sz w:val="34"/>
    </w:rPr>
  </w:style>
  <w:style w:type="character" w:customStyle="1" w:styleId="185">
    <w:name w:val="批注主题 字符"/>
    <w:basedOn w:val="184"/>
    <w:link w:val="41"/>
    <w:qFormat/>
    <w:uiPriority w:val="0"/>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paragraph" w:customStyle="1" w:styleId="189">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semiHidden/>
    <w:qFormat/>
    <w:uiPriority w:val="0"/>
    <w:rPr>
      <w:sz w:val="20"/>
    </w:rPr>
  </w:style>
  <w:style w:type="character" w:customStyle="1" w:styleId="191">
    <w:name w:val="文档结构图 Char"/>
    <w:semiHidden/>
    <w:qFormat/>
    <w:uiPriority w:val="0"/>
    <w:rPr>
      <w:sz w:val="20"/>
    </w:rPr>
  </w:style>
  <w:style w:type="character" w:customStyle="1" w:styleId="192">
    <w:name w:val="short_text"/>
    <w:basedOn w:val="46"/>
    <w:qFormat/>
    <w:uiPriority w:val="0"/>
    <w:rPr>
      <w:sz w:val="20"/>
    </w:rPr>
  </w:style>
  <w:style w:type="character" w:customStyle="1" w:styleId="193">
    <w:name w:val="标题 Char1"/>
    <w:qFormat/>
    <w:uiPriority w:val="0"/>
    <w:rPr>
      <w:b/>
      <w:sz w:val="20"/>
    </w:rPr>
  </w:style>
  <w:style w:type="character" w:customStyle="1" w:styleId="194">
    <w:name w:val="正文文本缩进 3 Char1"/>
    <w:semiHidden/>
    <w:qFormat/>
    <w:uiPriority w:val="0"/>
    <w:rPr>
      <w:sz w:val="20"/>
    </w:rPr>
  </w:style>
  <w:style w:type="character" w:customStyle="1" w:styleId="195">
    <w:name w:val="font21"/>
    <w:qFormat/>
    <w:uiPriority w:val="0"/>
    <w:rPr>
      <w:color w:val="FF0000"/>
      <w:sz w:val="20"/>
      <w:u w:val="none"/>
    </w:rPr>
  </w:style>
  <w:style w:type="character" w:customStyle="1" w:styleId="196">
    <w:name w:val="不明显强调1"/>
    <w:qFormat/>
    <w:uiPriority w:val="0"/>
    <w:rPr>
      <w:i/>
      <w:sz w:val="20"/>
    </w:rPr>
  </w:style>
  <w:style w:type="character" w:customStyle="1" w:styleId="197">
    <w:name w:val="font71"/>
    <w:qFormat/>
    <w:uiPriority w:val="0"/>
    <w:rPr>
      <w:sz w:val="20"/>
      <w:u w:val="none"/>
    </w:rPr>
  </w:style>
  <w:style w:type="character" w:customStyle="1" w:styleId="198">
    <w:name w:val="页眉 Char1"/>
    <w:semiHidden/>
    <w:qFormat/>
    <w:uiPriority w:val="0"/>
    <w:rPr>
      <w:sz w:val="20"/>
    </w:rPr>
  </w:style>
  <w:style w:type="character" w:customStyle="1" w:styleId="199">
    <w:name w:val="正文文本缩进 2 Char1"/>
    <w:semiHidden/>
    <w:qFormat/>
    <w:uiPriority w:val="0"/>
    <w:rPr>
      <w:sz w:val="20"/>
    </w:rPr>
  </w:style>
  <w:style w:type="character" w:customStyle="1" w:styleId="200">
    <w:name w:val="font61"/>
    <w:qFormat/>
    <w:uiPriority w:val="0"/>
    <w:rPr>
      <w:sz w:val="20"/>
      <w:u w:val="none"/>
    </w:rPr>
  </w:style>
  <w:style w:type="character" w:customStyle="1" w:styleId="201">
    <w:name w:val="纯文本 Char1"/>
    <w:semiHidden/>
    <w:qFormat/>
    <w:uiPriority w:val="0"/>
    <w:rPr>
      <w:sz w:val="20"/>
    </w:rPr>
  </w:style>
  <w:style w:type="character" w:customStyle="1" w:styleId="202">
    <w:name w:val="正文文本 3 Char1"/>
    <w:semiHidden/>
    <w:qFormat/>
    <w:uiPriority w:val="0"/>
    <w:rPr>
      <w:sz w:val="20"/>
    </w:rPr>
  </w:style>
  <w:style w:type="character" w:customStyle="1" w:styleId="203">
    <w:name w:val="正文文本缩进 Char1"/>
    <w:semiHidden/>
    <w:qFormat/>
    <w:uiPriority w:val="0"/>
    <w:rPr>
      <w:sz w:val="20"/>
    </w:rPr>
  </w:style>
  <w:style w:type="character" w:customStyle="1" w:styleId="204">
    <w:name w:val="明显参考1"/>
    <w:qFormat/>
    <w:uiPriority w:val="0"/>
    <w:rPr>
      <w:b/>
      <w:sz w:val="20"/>
    </w:rPr>
  </w:style>
  <w:style w:type="character" w:customStyle="1" w:styleId="205">
    <w:name w:val="apple-converted-space"/>
    <w:qFormat/>
    <w:uiPriority w:val="0"/>
    <w:rPr>
      <w:sz w:val="20"/>
    </w:rPr>
  </w:style>
  <w:style w:type="character" w:customStyle="1" w:styleId="206">
    <w:name w:val="书籍标题1"/>
    <w:qFormat/>
    <w:uiPriority w:val="0"/>
    <w:rPr>
      <w:b/>
      <w:i/>
      <w:sz w:val="20"/>
    </w:rPr>
  </w:style>
  <w:style w:type="character" w:customStyle="1" w:styleId="207">
    <w:name w:val="long_text"/>
    <w:qFormat/>
    <w:uiPriority w:val="0"/>
    <w:rPr>
      <w:sz w:val="20"/>
    </w:rPr>
  </w:style>
  <w:style w:type="character" w:customStyle="1" w:styleId="208">
    <w:name w:val="日期 Char1"/>
    <w:semiHidden/>
    <w:qFormat/>
    <w:uiPriority w:val="0"/>
    <w:rPr>
      <w:sz w:val="20"/>
    </w:rPr>
  </w:style>
  <w:style w:type="character" w:customStyle="1" w:styleId="209">
    <w:name w:val="批注文字 Char1"/>
    <w:semiHidden/>
    <w:qFormat/>
    <w:uiPriority w:val="0"/>
    <w:rPr>
      <w:sz w:val="20"/>
    </w:rPr>
  </w:style>
  <w:style w:type="character" w:customStyle="1" w:styleId="210">
    <w:name w:val="明显强调1"/>
    <w:qFormat/>
    <w:uiPriority w:val="0"/>
    <w:rPr>
      <w:i/>
      <w:sz w:val="20"/>
    </w:rPr>
  </w:style>
  <w:style w:type="character" w:customStyle="1" w:styleId="211">
    <w:name w:val="16"/>
    <w:qFormat/>
    <w:uiPriority w:val="0"/>
    <w:rPr>
      <w:b/>
      <w:color w:val="FF0356"/>
      <w:sz w:val="20"/>
    </w:rPr>
  </w:style>
  <w:style w:type="character" w:customStyle="1" w:styleId="212">
    <w:name w:val="批注主题 Char1"/>
    <w:semiHidden/>
    <w:qFormat/>
    <w:uiPriority w:val="0"/>
    <w:rPr>
      <w:b/>
      <w:sz w:val="20"/>
    </w:rPr>
  </w:style>
  <w:style w:type="character" w:customStyle="1" w:styleId="213">
    <w:name w:val="正文文本 2 Char1"/>
    <w:semiHidden/>
    <w:qFormat/>
    <w:uiPriority w:val="0"/>
    <w:rPr>
      <w:sz w:val="20"/>
    </w:rPr>
  </w:style>
  <w:style w:type="character" w:customStyle="1" w:styleId="214">
    <w:name w:val="font31"/>
    <w:qFormat/>
    <w:uiPriority w:val="0"/>
    <w:rPr>
      <w:color w:val="FF0000"/>
      <w:sz w:val="20"/>
      <w:u w:val="none"/>
      <w:vertAlign w:val="superscript"/>
    </w:rPr>
  </w:style>
  <w:style w:type="character" w:customStyle="1" w:styleId="215">
    <w:name w:val="不明显参考1"/>
    <w:qFormat/>
    <w:uiPriority w:val="0"/>
    <w:rPr>
      <w:sz w:val="20"/>
    </w:rPr>
  </w:style>
  <w:style w:type="character" w:customStyle="1" w:styleId="216">
    <w:name w:val="HTML 预设格式 Char1"/>
    <w:semiHidden/>
    <w:qFormat/>
    <w:uiPriority w:val="0"/>
    <w:rPr>
      <w:sz w:val="20"/>
    </w:rPr>
  </w:style>
  <w:style w:type="character" w:customStyle="1" w:styleId="217">
    <w:name w:val="font01"/>
    <w:basedOn w:val="46"/>
    <w:qFormat/>
    <w:uiPriority w:val="0"/>
    <w:rPr>
      <w:color w:val="FF0000"/>
      <w:sz w:val="20"/>
      <w:u w:val="none"/>
      <w:vertAlign w:val="superscript"/>
    </w:rPr>
  </w:style>
  <w:style w:type="character" w:customStyle="1" w:styleId="218">
    <w:name w:val="页脚 Char1"/>
    <w:semiHidden/>
    <w:qFormat/>
    <w:uiPriority w:val="0"/>
    <w:rPr>
      <w:sz w:val="20"/>
    </w:rPr>
  </w:style>
  <w:style w:type="character" w:customStyle="1" w:styleId="219">
    <w:name w:val="批注框文本 Char1"/>
    <w:semiHidden/>
    <w:qFormat/>
    <w:uiPriority w:val="0"/>
    <w:rPr>
      <w:sz w:val="20"/>
    </w:rPr>
  </w:style>
  <w:style w:type="paragraph" w:customStyle="1" w:styleId="220">
    <w:name w:val="列出段落2"/>
    <w:basedOn w:val="1"/>
    <w:next w:val="221"/>
    <w:qFormat/>
    <w:uiPriority w:val="0"/>
    <w:pPr>
      <w:ind w:firstLine="420"/>
    </w:pPr>
    <w:rPr>
      <w:rFonts w:hAnsi="Calibri"/>
      <w:kern w:val="0"/>
      <w:szCs w:val="20"/>
    </w:rPr>
  </w:style>
  <w:style w:type="paragraph" w:customStyle="1" w:styleId="22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qFormat/>
    <w:uiPriority w:val="0"/>
    <w:pPr>
      <w:wordWrap w:val="0"/>
    </w:pPr>
    <w:rPr>
      <w:rFonts w:ascii="Calibri" w:hAnsi="Calibri" w:eastAsia="宋体" w:cs="Times New Roman"/>
      <w:sz w:val="32"/>
      <w:lang w:val="en-US" w:eastAsia="zh-CN" w:bidi="ar-SA"/>
    </w:rPr>
  </w:style>
  <w:style w:type="paragraph" w:customStyle="1" w:styleId="22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qFormat/>
    <w:uiPriority w:val="0"/>
    <w:pPr>
      <w:wordWrap w:val="0"/>
    </w:pPr>
    <w:rPr>
      <w:rFonts w:ascii="Calibri" w:hAnsi="Calibri" w:eastAsia="宋体" w:cs="Times New Roman"/>
      <w:sz w:val="32"/>
      <w:lang w:val="en-US" w:eastAsia="zh-CN" w:bidi="ar-SA"/>
    </w:rPr>
  </w:style>
  <w:style w:type="paragraph" w:customStyle="1" w:styleId="230">
    <w:name w:val="TOC Heading1"/>
    <w:next w:val="1"/>
    <w:qFormat/>
    <w:uiPriority w:val="0"/>
    <w:pPr>
      <w:wordWrap w:val="0"/>
    </w:pPr>
    <w:rPr>
      <w:rFonts w:ascii="Calibri" w:hAnsi="Calibri" w:eastAsia="宋体" w:cs="Times New Roman"/>
      <w:sz w:val="32"/>
      <w:lang w:val="en-US" w:eastAsia="zh-CN" w:bidi="ar-SA"/>
    </w:rPr>
  </w:style>
  <w:style w:type="paragraph" w:customStyle="1" w:styleId="23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qFormat/>
    <w:uiPriority w:val="0"/>
    <w:pPr>
      <w:widowControl/>
      <w:spacing w:before="280" w:after="280"/>
    </w:pPr>
    <w:rPr>
      <w:rFonts w:ascii="Arial" w:hAnsi="Calibri"/>
      <w:kern w:val="0"/>
      <w:sz w:val="18"/>
      <w:szCs w:val="20"/>
    </w:rPr>
  </w:style>
  <w:style w:type="paragraph" w:customStyle="1" w:styleId="23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qFormat/>
    <w:uiPriority w:val="0"/>
    <w:pPr>
      <w:wordWrap w:val="0"/>
    </w:pPr>
    <w:rPr>
      <w:rFonts w:ascii="Calibri" w:hAnsi="Calibri" w:eastAsia="宋体" w:cs="Times New Roman"/>
      <w:sz w:val="32"/>
      <w:lang w:val="en-US" w:eastAsia="zh-CN" w:bidi="ar-SA"/>
    </w:rPr>
  </w:style>
  <w:style w:type="paragraph" w:customStyle="1" w:styleId="23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qFormat/>
    <w:uiPriority w:val="0"/>
    <w:pPr>
      <w:ind w:firstLine="420"/>
    </w:pPr>
    <w:rPr>
      <w:rFonts w:hAnsi="Calibri"/>
      <w:kern w:val="0"/>
      <w:szCs w:val="20"/>
    </w:rPr>
  </w:style>
  <w:style w:type="paragraph" w:customStyle="1" w:styleId="25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qFormat/>
    <w:uiPriority w:val="0"/>
    <w:pPr>
      <w:wordWrap w:val="0"/>
    </w:pPr>
    <w:rPr>
      <w:rFonts w:ascii="Calibri" w:hAnsi="Calibri" w:eastAsia="宋体" w:cs="Times New Roman"/>
      <w:sz w:val="32"/>
      <w:lang w:val="en-US" w:eastAsia="zh-CN" w:bidi="ar-SA"/>
    </w:rPr>
  </w:style>
  <w:style w:type="paragraph" w:customStyle="1" w:styleId="25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qFormat/>
    <w:uiPriority w:val="0"/>
    <w:pPr>
      <w:wordWrap w:val="0"/>
    </w:pPr>
    <w:rPr>
      <w:rFonts w:ascii="Calibri" w:hAnsi="Calibri" w:eastAsia="宋体" w:cs="Times New Roman"/>
      <w:sz w:val="32"/>
      <w:lang w:val="en-US" w:eastAsia="zh-CN" w:bidi="ar-SA"/>
    </w:rPr>
  </w:style>
  <w:style w:type="paragraph" w:customStyle="1" w:styleId="268">
    <w:name w:val="TOC Heading8"/>
    <w:next w:val="1"/>
    <w:qFormat/>
    <w:uiPriority w:val="0"/>
    <w:pPr>
      <w:wordWrap w:val="0"/>
    </w:pPr>
    <w:rPr>
      <w:rFonts w:ascii="Calibri" w:hAnsi="Calibri" w:eastAsia="宋体" w:cs="Times New Roman"/>
      <w:sz w:val="32"/>
      <w:lang w:val="en-US" w:eastAsia="zh-CN" w:bidi="ar-SA"/>
    </w:rPr>
  </w:style>
  <w:style w:type="paragraph" w:customStyle="1" w:styleId="26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qFormat/>
    <w:uiPriority w:val="0"/>
    <w:pPr>
      <w:widowControl/>
      <w:spacing w:before="280" w:after="280"/>
    </w:pPr>
    <w:rPr>
      <w:rFonts w:ascii="Arial" w:hAnsi="Calibri"/>
      <w:kern w:val="0"/>
      <w:sz w:val="20"/>
      <w:szCs w:val="20"/>
    </w:rPr>
  </w:style>
  <w:style w:type="paragraph" w:customStyle="1" w:styleId="276">
    <w:name w:val="TOC Heading11"/>
    <w:next w:val="1"/>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qFormat/>
    <w:uiPriority w:val="0"/>
    <w:pPr>
      <w:ind w:firstLine="420"/>
    </w:pPr>
    <w:rPr>
      <w:rFonts w:hAnsi="Calibri"/>
      <w:kern w:val="0"/>
      <w:szCs w:val="20"/>
    </w:rPr>
  </w:style>
  <w:style w:type="paragraph" w:customStyle="1" w:styleId="28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qFormat/>
    <w:uiPriority w:val="0"/>
    <w:pPr>
      <w:wordWrap w:val="0"/>
    </w:pPr>
    <w:rPr>
      <w:rFonts w:ascii="Calibri" w:hAnsi="Calibri" w:eastAsia="宋体" w:cs="Times New Roman"/>
      <w:sz w:val="32"/>
      <w:lang w:val="en-US" w:eastAsia="zh-CN" w:bidi="ar-SA"/>
    </w:rPr>
  </w:style>
  <w:style w:type="paragraph" w:customStyle="1" w:styleId="284">
    <w:name w:val="TOC Heading5"/>
    <w:next w:val="1"/>
    <w:qFormat/>
    <w:uiPriority w:val="0"/>
    <w:pPr>
      <w:wordWrap w:val="0"/>
    </w:pPr>
    <w:rPr>
      <w:rFonts w:ascii="Calibri" w:hAnsi="Calibri" w:eastAsia="宋体" w:cs="Times New Roman"/>
      <w:sz w:val="32"/>
      <w:lang w:val="en-US" w:eastAsia="zh-CN" w:bidi="ar-SA"/>
    </w:rPr>
  </w:style>
  <w:style w:type="paragraph" w:customStyle="1" w:styleId="28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qFormat/>
    <w:uiPriority w:val="0"/>
    <w:pPr>
      <w:widowControl/>
      <w:spacing w:after="160" w:line="240" w:lineRule="exact"/>
    </w:pPr>
    <w:rPr>
      <w:rFonts w:hAnsi="Calibri"/>
      <w:kern w:val="0"/>
      <w:szCs w:val="20"/>
    </w:rPr>
  </w:style>
  <w:style w:type="paragraph" w:customStyle="1" w:styleId="29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qFormat/>
    <w:uiPriority w:val="0"/>
    <w:pPr>
      <w:ind w:firstLine="420"/>
    </w:pPr>
    <w:rPr>
      <w:rFonts w:hAnsi="Calibri"/>
      <w:kern w:val="0"/>
      <w:szCs w:val="20"/>
    </w:rPr>
  </w:style>
  <w:style w:type="paragraph" w:customStyle="1" w:styleId="301">
    <w:name w:val="TOC Heading9"/>
    <w:next w:val="1"/>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qFormat/>
    <w:uiPriority w:val="0"/>
    <w:pPr>
      <w:wordWrap w:val="0"/>
    </w:pPr>
    <w:rPr>
      <w:rFonts w:ascii="Calibri" w:hAnsi="Calibri" w:eastAsia="宋体" w:cs="Times New Roman"/>
      <w:sz w:val="32"/>
      <w:lang w:val="en-US" w:eastAsia="zh-CN" w:bidi="ar-SA"/>
    </w:rPr>
  </w:style>
  <w:style w:type="character" w:customStyle="1" w:styleId="309">
    <w:name w:val="副标题 字符"/>
    <w:basedOn w:val="46"/>
    <w:link w:val="31"/>
    <w:qFormat/>
    <w:uiPriority w:val="0"/>
    <w:rPr>
      <w:rFonts w:ascii="Calibri" w:hAnsi="Calibri"/>
      <w:sz w:val="24"/>
    </w:rPr>
  </w:style>
  <w:style w:type="paragraph" w:customStyle="1" w:styleId="31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qFormat/>
    <w:uiPriority w:val="0"/>
    <w:pPr>
      <w:ind w:firstLine="420"/>
    </w:pPr>
    <w:rPr>
      <w:rFonts w:hAnsi="Calibri"/>
      <w:kern w:val="0"/>
      <w:szCs w:val="20"/>
    </w:rPr>
  </w:style>
  <w:style w:type="paragraph" w:customStyle="1" w:styleId="31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qFormat/>
    <w:uiPriority w:val="0"/>
    <w:pPr>
      <w:wordWrap w:val="0"/>
    </w:pPr>
    <w:rPr>
      <w:rFonts w:ascii="Calibri" w:hAnsi="Calibri" w:eastAsia="宋体" w:cs="Times New Roman"/>
      <w:sz w:val="32"/>
      <w:lang w:val="en-US" w:eastAsia="zh-CN" w:bidi="ar-SA"/>
    </w:rPr>
  </w:style>
  <w:style w:type="paragraph" w:customStyle="1" w:styleId="33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qFormat/>
    <w:uiPriority w:val="0"/>
    <w:pPr>
      <w:widowControl/>
      <w:spacing w:before="280" w:after="280"/>
    </w:pPr>
    <w:rPr>
      <w:rFonts w:ascii="宋体" w:hAnsi="Calibri"/>
      <w:kern w:val="0"/>
      <w:sz w:val="24"/>
      <w:szCs w:val="20"/>
    </w:rPr>
  </w:style>
  <w:style w:type="paragraph" w:customStyle="1" w:styleId="35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qFormat/>
    <w:uiPriority w:val="0"/>
    <w:pPr>
      <w:widowControl/>
      <w:spacing w:line="360" w:lineRule="auto"/>
      <w:ind w:firstLine="420"/>
    </w:pPr>
    <w:rPr>
      <w:rFonts w:hAnsi="Calibri" w:eastAsia="微软雅黑"/>
      <w:kern w:val="0"/>
      <w:sz w:val="24"/>
      <w:szCs w:val="20"/>
    </w:rPr>
  </w:style>
  <w:style w:type="paragraph" w:customStyle="1" w:styleId="35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qFormat/>
    <w:uiPriority w:val="0"/>
    <w:pPr>
      <w:ind w:firstLine="420"/>
    </w:pPr>
    <w:rPr>
      <w:rFonts w:hAnsi="Calibri"/>
      <w:kern w:val="0"/>
      <w:szCs w:val="20"/>
    </w:rPr>
  </w:style>
  <w:style w:type="paragraph" w:customStyle="1" w:styleId="358">
    <w:name w:val="TOC Heading13"/>
    <w:next w:val="1"/>
    <w:qFormat/>
    <w:uiPriority w:val="0"/>
    <w:pPr>
      <w:wordWrap w:val="0"/>
    </w:pPr>
    <w:rPr>
      <w:rFonts w:ascii="Calibri" w:hAnsi="Calibri" w:eastAsia="宋体" w:cs="Times New Roman"/>
      <w:sz w:val="32"/>
      <w:lang w:val="en-US" w:eastAsia="zh-CN" w:bidi="ar-SA"/>
    </w:rPr>
  </w:style>
  <w:style w:type="paragraph" w:customStyle="1" w:styleId="35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qFormat/>
    <w:uiPriority w:val="0"/>
    <w:pPr>
      <w:widowControl/>
      <w:spacing w:before="280" w:after="280"/>
    </w:pPr>
    <w:rPr>
      <w:rFonts w:ascii="PMingLiU" w:hAnsi="Calibri" w:eastAsia="PMingLiU"/>
      <w:kern w:val="0"/>
      <w:sz w:val="24"/>
      <w:szCs w:val="20"/>
    </w:rPr>
  </w:style>
  <w:style w:type="paragraph" w:customStyle="1" w:styleId="36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qFormat/>
    <w:uiPriority w:val="0"/>
    <w:pPr>
      <w:wordWrap w:val="0"/>
    </w:pPr>
    <w:rPr>
      <w:rFonts w:ascii="Calibri" w:hAnsi="Calibri" w:eastAsia="宋体" w:cs="Times New Roman"/>
      <w:sz w:val="32"/>
      <w:lang w:val="en-US" w:eastAsia="zh-CN" w:bidi="ar-SA"/>
    </w:rPr>
  </w:style>
  <w:style w:type="paragraph" w:customStyle="1" w:styleId="36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qFormat/>
    <w:uiPriority w:val="0"/>
    <w:pPr>
      <w:wordWrap w:val="0"/>
    </w:pPr>
    <w:rPr>
      <w:rFonts w:ascii="Calibri" w:hAnsi="Calibri" w:eastAsia="宋体" w:cs="Times New Roman"/>
      <w:sz w:val="32"/>
      <w:lang w:val="en-US" w:eastAsia="zh-CN" w:bidi="ar-SA"/>
    </w:rPr>
  </w:style>
  <w:style w:type="paragraph" w:customStyle="1" w:styleId="37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qFormat/>
    <w:uiPriority w:val="0"/>
    <w:pPr>
      <w:wordWrap w:val="0"/>
    </w:pPr>
    <w:rPr>
      <w:rFonts w:ascii="Calibri" w:hAnsi="Calibri" w:eastAsia="宋体" w:cs="Times New Roman"/>
      <w:sz w:val="32"/>
      <w:lang w:val="en-US" w:eastAsia="zh-CN" w:bidi="ar-SA"/>
    </w:rPr>
  </w:style>
  <w:style w:type="paragraph" w:customStyle="1" w:styleId="39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qFormat/>
    <w:uiPriority w:val="0"/>
    <w:rPr>
      <w:rFonts w:ascii="Arial" w:hAnsi="Calibri" w:eastAsia="Arial Unicode MS" w:cs="Times New Roman"/>
      <w:color w:val="000000"/>
      <w:sz w:val="21"/>
      <w:lang w:val="en-US" w:eastAsia="zh-CN" w:bidi="ar-SA"/>
    </w:rPr>
  </w:style>
  <w:style w:type="paragraph" w:customStyle="1" w:styleId="41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qFormat/>
    <w:uiPriority w:val="0"/>
    <w:pPr>
      <w:widowControl/>
      <w:ind w:firstLine="420"/>
    </w:pPr>
    <w:rPr>
      <w:rFonts w:hAnsi="Calibri"/>
      <w:kern w:val="0"/>
      <w:szCs w:val="20"/>
    </w:rPr>
  </w:style>
  <w:style w:type="paragraph" w:customStyle="1" w:styleId="427">
    <w:name w:val="xl87"/>
    <w:basedOn w:val="1"/>
    <w:next w:val="428"/>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qFormat/>
    <w:uiPriority w:val="0"/>
    <w:pPr>
      <w:ind w:firstLine="420"/>
    </w:pPr>
    <w:rPr>
      <w:rFonts w:hAnsi="Calibri"/>
      <w:kern w:val="0"/>
      <w:szCs w:val="20"/>
    </w:rPr>
  </w:style>
  <w:style w:type="paragraph" w:customStyle="1" w:styleId="430">
    <w:name w:val="xl78"/>
    <w:basedOn w:val="1"/>
    <w:next w:val="401"/>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字符"/>
    <w:basedOn w:val="46"/>
    <w:link w:val="438"/>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字符"/>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table" w:customStyle="1" w:styleId="475">
    <w:name w:val="网格型1"/>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count"/>
    <w:basedOn w:val="46"/>
    <w:qFormat/>
    <w:uiPriority w:val="0"/>
  </w:style>
  <w:style w:type="paragraph" w:customStyle="1" w:styleId="47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78">
    <w:name w:val="未处理的提及1"/>
    <w:basedOn w:val="46"/>
    <w:semiHidden/>
    <w:unhideWhenUsed/>
    <w:qFormat/>
    <w:uiPriority w:val="99"/>
    <w:rPr>
      <w:color w:val="605E5C"/>
      <w:shd w:val="clear" w:color="auto" w:fill="E1DFDD"/>
    </w:rPr>
  </w:style>
  <w:style w:type="paragraph" w:styleId="4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8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1">
    <w:name w:val="mini-outputtext"/>
    <w:basedOn w:val="4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18217</Words>
  <Characters>19128</Characters>
  <Lines>1006</Lines>
  <Paragraphs>1037</Paragraphs>
  <TotalTime>54</TotalTime>
  <ScaleCrop>false</ScaleCrop>
  <LinksUpToDate>false</LinksUpToDate>
  <CharactersWithSpaces>36308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2021-05-22T09:11:00Z</dcterms:created>
  <dc:creator>thsware</dc:creator>
  <cp:lastModifiedBy>黎俊</cp:lastModifiedBy>
  <cp:lastPrinted>2021-05-16T11:04:00Z</cp:lastPrinted>
  <dcterms:modified xsi:type="dcterms:W3CDTF">2025-11-11T03:24:06Z</dcterms:modified>
  <dc:title>招  标　文　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0D4247E4E71C44B1A455B1EE7BFEAF8C_13</vt:lpwstr>
  </property>
  <property fmtid="{D5CDD505-2E9C-101B-9397-08002B2CF9AE}" pid="4" name="KSOTemplateDocerSaveRecord">
    <vt:lpwstr>eyJoZGlkIjoiOGIxNjVlZTIyYzAxMTg3ZjI5NTdjZjFkOGYyMWZkOTUiLCJ1c2VySWQiOiI1NDI1NzU4OTgifQ==</vt:lpwstr>
  </property>
</Properties>
</file>