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14:textFill>
            <w14:solidFill>
              <w14:schemeClr w14:val="tx1"/>
            </w14:solidFill>
          </w14:textFill>
        </w:rPr>
      </w:pPr>
      <w:bookmarkStart w:id="47" w:name="_GoBack"/>
      <w:bookmarkEnd w:id="47"/>
    </w:p>
    <w:p>
      <w:pPr>
        <w:jc w:val="center"/>
        <w:rPr>
          <w:rFonts w:hint="eastAsia" w:ascii="宋体" w:hAnsi="宋体" w:cs="宋体"/>
          <w:b/>
          <w:color w:val="000000" w:themeColor="text1"/>
          <w:sz w:val="72"/>
          <w:szCs w:val="72"/>
          <w14:textFill>
            <w14:solidFill>
              <w14:schemeClr w14:val="tx1"/>
            </w14:solidFill>
          </w14:textFill>
        </w:rPr>
      </w:pPr>
      <w:r>
        <w:rPr>
          <w:rFonts w:hint="eastAsia" w:ascii="宋体" w:hAnsi="宋体" w:cs="宋体"/>
          <w:b/>
          <w:color w:val="000000" w:themeColor="text1"/>
          <w:sz w:val="72"/>
          <w:szCs w:val="72"/>
          <w14:textFill>
            <w14:solidFill>
              <w14:schemeClr w14:val="tx1"/>
            </w14:solidFill>
          </w14:textFill>
        </w:rPr>
        <w:t>简易招标文件</w:t>
      </w:r>
    </w:p>
    <w:p>
      <w:pPr>
        <w:jc w:val="center"/>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25"/>
        <w:ind w:firstLine="420"/>
        <w:rPr>
          <w:rFonts w:hint="eastAsia" w:ascii="宋体" w:hAnsi="宋体" w:cs="宋体"/>
          <w:color w:val="000000" w:themeColor="text1"/>
          <w14:textFill>
            <w14:solidFill>
              <w14:schemeClr w14:val="tx1"/>
            </w14:solidFill>
          </w14:textFill>
        </w:rPr>
      </w:pPr>
    </w:p>
    <w:p>
      <w:pPr>
        <w:pStyle w:val="25"/>
        <w:ind w:firstLine="420"/>
        <w:rPr>
          <w:rFonts w:hint="eastAsia" w:ascii="宋体" w:hAnsi="宋体" w:cs="宋体"/>
          <w:color w:val="000000" w:themeColor="text1"/>
          <w14:textFill>
            <w14:solidFill>
              <w14:schemeClr w14:val="tx1"/>
            </w14:solidFill>
          </w14:textFill>
        </w:rPr>
      </w:pPr>
    </w:p>
    <w:p>
      <w:pPr>
        <w:rPr>
          <w:rFonts w:hint="eastAsia" w:ascii="宋体" w:hAnsi="宋体" w:cs="宋体"/>
          <w:b/>
          <w:color w:val="000000" w:themeColor="text1"/>
          <w:sz w:val="44"/>
          <w14:textFill>
            <w14:solidFill>
              <w14:schemeClr w14:val="tx1"/>
            </w14:solidFill>
          </w14:textFill>
        </w:rPr>
      </w:pPr>
    </w:p>
    <w:p>
      <w:pPr>
        <w:ind w:left="2326" w:leftChars="247" w:right="-319" w:rightChars="-152" w:hanging="1807" w:hangingChars="500"/>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招标编号：QH2025109</w:t>
      </w:r>
    </w:p>
    <w:p>
      <w:pPr>
        <w:pStyle w:val="25"/>
        <w:ind w:firstLine="420"/>
        <w:rPr>
          <w:rFonts w:hint="eastAsia" w:ascii="宋体" w:hAnsi="宋体" w:cs="宋体"/>
          <w:color w:val="000000" w:themeColor="text1"/>
          <w14:textFill>
            <w14:solidFill>
              <w14:schemeClr w14:val="tx1"/>
            </w14:solidFill>
          </w14:textFill>
        </w:rPr>
      </w:pPr>
    </w:p>
    <w:p>
      <w:pPr>
        <w:pStyle w:val="25"/>
        <w:ind w:firstLine="420"/>
        <w:rPr>
          <w:rFonts w:hint="eastAsia" w:ascii="宋体" w:hAnsi="宋体" w:cs="宋体"/>
          <w:color w:val="000000" w:themeColor="text1"/>
          <w14:textFill>
            <w14:solidFill>
              <w14:schemeClr w14:val="tx1"/>
            </w14:solidFill>
          </w14:textFill>
        </w:rPr>
      </w:pPr>
    </w:p>
    <w:p>
      <w:pPr>
        <w:pStyle w:val="25"/>
        <w:ind w:firstLine="420"/>
        <w:rPr>
          <w:rFonts w:hint="eastAsia" w:ascii="宋体" w:hAnsi="宋体" w:cs="宋体"/>
          <w:color w:val="000000" w:themeColor="text1"/>
          <w14:textFill>
            <w14:solidFill>
              <w14:schemeClr w14:val="tx1"/>
            </w14:solidFill>
          </w14:textFill>
        </w:rPr>
      </w:pPr>
    </w:p>
    <w:p>
      <w:pPr>
        <w:ind w:left="2304" w:leftChars="247" w:right="-319" w:rightChars="-152" w:hanging="1785" w:hangingChars="494"/>
        <w:rPr>
          <w:rFonts w:hint="eastAsia" w:ascii="宋体" w:hAnsi="宋体" w:eastAsia="宋体" w:cs="宋体"/>
          <w:b/>
          <w:color w:val="000000" w:themeColor="text1"/>
          <w:sz w:val="36"/>
          <w:szCs w:val="36"/>
          <w:lang w:eastAsia="zh-CN"/>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招标项目：</w:t>
      </w:r>
      <w:r>
        <w:rPr>
          <w:rFonts w:hint="eastAsia" w:ascii="宋体" w:hAnsi="宋体" w:cs="宋体"/>
          <w:b/>
          <w:color w:val="000000" w:themeColor="text1"/>
          <w:sz w:val="36"/>
          <w:szCs w:val="36"/>
          <w:lang w:eastAsia="zh-CN"/>
          <w14:textFill>
            <w14:solidFill>
              <w14:schemeClr w14:val="tx1"/>
            </w14:solidFill>
          </w14:textFill>
        </w:rPr>
        <w:t>前海合作区设立以来高水平改革开放创新综合性成果评价研究（二次招标)</w:t>
      </w:r>
    </w:p>
    <w:p>
      <w:pPr>
        <w:ind w:firstLine="3264" w:firstLineChars="739"/>
        <w:rPr>
          <w:rFonts w:hint="eastAsia" w:ascii="宋体" w:hAnsi="宋体" w:cs="宋体"/>
          <w:b/>
          <w:color w:val="000000" w:themeColor="text1"/>
          <w:sz w:val="44"/>
          <w14:textFill>
            <w14:solidFill>
              <w14:schemeClr w14:val="tx1"/>
            </w14:solidFill>
          </w14:textFill>
        </w:rPr>
      </w:pPr>
    </w:p>
    <w:p>
      <w:pPr>
        <w:ind w:left="1260" w:leftChars="600" w:firstLine="1855" w:firstLineChars="420"/>
        <w:rPr>
          <w:rFonts w:hint="eastAsia" w:ascii="宋体" w:hAnsi="宋体" w:cs="宋体"/>
          <w:b/>
          <w:color w:val="000000" w:themeColor="text1"/>
          <w:sz w:val="44"/>
          <w14:textFill>
            <w14:solidFill>
              <w14:schemeClr w14:val="tx1"/>
            </w14:solidFill>
          </w14:textFill>
        </w:rPr>
      </w:pPr>
    </w:p>
    <w:p>
      <w:pPr>
        <w:rPr>
          <w:rFonts w:hint="eastAsia" w:ascii="宋体" w:hAnsi="宋体" w:cs="宋体"/>
          <w:b/>
          <w:color w:val="000000" w:themeColor="text1"/>
          <w:sz w:val="44"/>
          <w14:textFill>
            <w14:solidFill>
              <w14:schemeClr w14:val="tx1"/>
            </w14:solidFill>
          </w14:textFill>
        </w:rPr>
      </w:pPr>
    </w:p>
    <w:p>
      <w:pPr>
        <w:jc w:val="center"/>
        <w:rPr>
          <w:rFonts w:hint="eastAsia" w:ascii="宋体" w:hAnsi="宋体" w:cs="宋体"/>
          <w:b/>
          <w:bCs/>
          <w:color w:val="000000" w:themeColor="text1"/>
          <w:sz w:val="36"/>
          <w:szCs w:val="36"/>
          <w:lang w:val="zh-CN"/>
          <w14:textFill>
            <w14:solidFill>
              <w14:schemeClr w14:val="tx1"/>
            </w14:solidFill>
          </w14:textFill>
        </w:rPr>
      </w:pPr>
      <w:r>
        <w:rPr>
          <w:rFonts w:hint="eastAsia" w:ascii="宋体" w:hAnsi="宋体" w:cs="宋体"/>
          <w:b/>
          <w:bCs/>
          <w:color w:val="000000" w:themeColor="text1"/>
          <w:sz w:val="36"/>
          <w:szCs w:val="36"/>
          <w:lang w:val="zh-CN"/>
          <w14:textFill>
            <w14:solidFill>
              <w14:schemeClr w14:val="tx1"/>
            </w14:solidFill>
          </w14:textFill>
        </w:rPr>
        <w:t>深圳市前海深港现代服务业合作区管理局</w:t>
      </w:r>
    </w:p>
    <w:p>
      <w:pPr>
        <w:jc w:val="center"/>
        <w:rPr>
          <w:rFonts w:hint="eastAsia"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2025年</w:t>
      </w:r>
      <w:r>
        <w:rPr>
          <w:rFonts w:hint="eastAsia" w:ascii="宋体" w:hAnsi="宋体" w:cs="宋体"/>
          <w:b/>
          <w:bCs/>
          <w:color w:val="000000" w:themeColor="text1"/>
          <w:sz w:val="36"/>
          <w:szCs w:val="36"/>
          <w:lang w:val="en-US" w:eastAsia="zh-CN"/>
          <w14:textFill>
            <w14:solidFill>
              <w14:schemeClr w14:val="tx1"/>
            </w14:solidFill>
          </w14:textFill>
        </w:rPr>
        <w:t>10</w:t>
      </w:r>
      <w:r>
        <w:rPr>
          <w:rFonts w:hint="eastAsia" w:ascii="宋体" w:hAnsi="宋体" w:cs="宋体"/>
          <w:b/>
          <w:bCs/>
          <w:color w:val="000000" w:themeColor="text1"/>
          <w:sz w:val="36"/>
          <w:szCs w:val="36"/>
          <w14:textFill>
            <w14:solidFill>
              <w14:schemeClr w14:val="tx1"/>
            </w14:solidFill>
          </w14:textFill>
        </w:rPr>
        <w:t>月</w:t>
      </w:r>
    </w:p>
    <w:p>
      <w:pPr>
        <w:autoSpaceDE w:val="0"/>
        <w:autoSpaceDN w:val="0"/>
        <w:adjustRightInd w:val="0"/>
        <w:spacing w:line="360" w:lineRule="auto"/>
        <w:jc w:val="center"/>
        <w:rPr>
          <w:rFonts w:hint="eastAsia" w:ascii="宋体" w:hAnsi="宋体" w:cs="宋体"/>
          <w:b/>
          <w:bCs/>
          <w:color w:val="000000" w:themeColor="text1"/>
          <w:kern w:val="0"/>
          <w:sz w:val="36"/>
          <w:szCs w:val="36"/>
          <w14:textFill>
            <w14:solidFill>
              <w14:schemeClr w14:val="tx1"/>
            </w14:solidFill>
          </w14:textFill>
        </w:rPr>
      </w:pPr>
      <w:bookmarkStart w:id="0" w:name="_Toc12932"/>
      <w:r>
        <w:rPr>
          <w:rFonts w:ascii="宋体" w:hAnsi="宋体"/>
          <w:b/>
          <w:bCs/>
          <w:color w:val="000000" w:themeColor="text1"/>
          <w:sz w:val="32"/>
          <w:szCs w:val="40"/>
          <w:u w:val="single"/>
          <w14:textFill>
            <w14:solidFill>
              <w14:schemeClr w14:val="tx1"/>
            </w14:solidFill>
          </w14:textFill>
        </w:rPr>
        <w:br w:type="page"/>
      </w:r>
      <w:r>
        <w:rPr>
          <w:rFonts w:hint="eastAsia" w:ascii="宋体" w:hAnsi="宋体" w:cs="宋体"/>
          <w:b/>
          <w:bCs/>
          <w:color w:val="000000" w:themeColor="text1"/>
          <w:kern w:val="0"/>
          <w:sz w:val="36"/>
          <w:szCs w:val="36"/>
          <w14:textFill>
            <w14:solidFill>
              <w14:schemeClr w14:val="tx1"/>
            </w14:solidFill>
          </w14:textFill>
        </w:rPr>
        <w:t>特别警示条款</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7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4482" w:type="pct"/>
            <w:vAlign w:val="center"/>
          </w:tcPr>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4482" w:type="pct"/>
            <w:vAlign w:val="center"/>
          </w:tcPr>
          <w:p>
            <w:pPr>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与其他投标供应商的法定代表人、主要经营负责人、投标授权代表人、项目负责人、主要技术人员为</w:t>
            </w:r>
            <w:r>
              <w:rPr>
                <w:rFonts w:hint="eastAsia" w:ascii="宋体" w:hAnsi="宋体" w:cs="宋体"/>
                <w:b/>
                <w:bCs/>
                <w:color w:val="000000" w:themeColor="text1"/>
                <w:sz w:val="24"/>
                <w14:textFill>
                  <w14:solidFill>
                    <w14:schemeClr w14:val="tx1"/>
                  </w14:solidFill>
                </w14:textFill>
              </w:rPr>
              <w:t>同一人、属同一单位或者在同一单位缴纳社会保险</w:t>
            </w:r>
            <w:r>
              <w:rPr>
                <w:rFonts w:hint="eastAsia" w:ascii="宋体" w:hAnsi="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4482" w:type="pct"/>
            <w:vAlign w:val="center"/>
          </w:tcPr>
          <w:p>
            <w:pPr>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参与本项目政府采购活动时，与其他投标供应商存在单位负责人为</w:t>
            </w:r>
            <w:r>
              <w:rPr>
                <w:rFonts w:hint="eastAsia" w:ascii="宋体" w:hAnsi="宋体" w:cs="宋体"/>
                <w:b/>
                <w:bCs/>
                <w:color w:val="000000" w:themeColor="text1"/>
                <w:sz w:val="24"/>
                <w14:textFill>
                  <w14:solidFill>
                    <w14:schemeClr w14:val="tx1"/>
                  </w14:solidFill>
                </w14:textFill>
              </w:rPr>
              <w:t>同一人或直接控股、管理关系</w:t>
            </w:r>
            <w:r>
              <w:rPr>
                <w:rFonts w:hint="eastAsia" w:ascii="宋体" w:hAnsi="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4482" w:type="pct"/>
            <w:vAlign w:val="center"/>
          </w:tcPr>
          <w:p>
            <w:pPr>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与其他投标供应商的投标文件或部分投标文件</w:t>
            </w:r>
            <w:r>
              <w:rPr>
                <w:rFonts w:hint="eastAsia" w:ascii="宋体" w:hAnsi="宋体" w:cs="宋体"/>
                <w:b/>
                <w:bCs/>
                <w:color w:val="000000" w:themeColor="text1"/>
                <w:sz w:val="24"/>
                <w14:textFill>
                  <w14:solidFill>
                    <w14:schemeClr w14:val="tx1"/>
                  </w14:solidFill>
                </w14:textFill>
              </w:rPr>
              <w:t>相互混装或存在非正常一致</w:t>
            </w:r>
            <w:r>
              <w:rPr>
                <w:rFonts w:hint="eastAsia" w:ascii="宋体" w:hAnsi="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4482" w:type="pct"/>
            <w:vAlign w:val="center"/>
          </w:tcPr>
          <w:p>
            <w:pPr>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与其他投标供应商的投标文件由</w:t>
            </w:r>
            <w:r>
              <w:rPr>
                <w:rFonts w:hint="eastAsia" w:ascii="宋体" w:hAnsi="宋体" w:cs="宋体"/>
                <w:b/>
                <w:bCs/>
                <w:color w:val="000000" w:themeColor="text1"/>
                <w:sz w:val="24"/>
                <w14:textFill>
                  <w14:solidFill>
                    <w14:schemeClr w14:val="tx1"/>
                  </w14:solidFill>
                </w14:textFill>
              </w:rPr>
              <w:t>同一单位或者同一人编制</w:t>
            </w:r>
            <w:r>
              <w:rPr>
                <w:rFonts w:hint="eastAsia" w:ascii="宋体" w:hAnsi="宋体" w:cs="宋体"/>
                <w:color w:val="000000" w:themeColor="text1"/>
                <w:sz w:val="24"/>
                <w14:textFill>
                  <w14:solidFill>
                    <w14:schemeClr w14:val="tx1"/>
                  </w14:solidFill>
                </w14:textFill>
              </w:rPr>
              <w:t>，或者使用</w:t>
            </w:r>
            <w:r>
              <w:rPr>
                <w:rFonts w:hint="eastAsia" w:ascii="宋体" w:hAnsi="宋体" w:cs="宋体"/>
                <w:b/>
                <w:bCs/>
                <w:color w:val="000000" w:themeColor="text1"/>
                <w:sz w:val="24"/>
                <w14:textFill>
                  <w14:solidFill>
                    <w14:schemeClr w14:val="tx1"/>
                  </w14:solidFill>
                </w14:textFill>
              </w:rPr>
              <w:t>同一设备编制</w:t>
            </w:r>
            <w:r>
              <w:rPr>
                <w:rFonts w:hint="eastAsia" w:ascii="宋体" w:hAnsi="宋体" w:cs="宋体"/>
                <w:color w:val="000000" w:themeColor="text1"/>
                <w:sz w:val="24"/>
                <w14:textFill>
                  <w14:solidFill>
                    <w14:schemeClr w14:val="tx1"/>
                  </w14:solidFill>
                </w14:textFill>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4482" w:type="pct"/>
            <w:vAlign w:val="center"/>
          </w:tcPr>
          <w:p>
            <w:pPr>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w:t>
            </w:r>
            <w:r>
              <w:rPr>
                <w:rFonts w:hint="eastAsia" w:ascii="宋体" w:hAnsi="宋体" w:cs="宋体"/>
                <w:b/>
                <w:bCs/>
                <w:color w:val="000000" w:themeColor="text1"/>
                <w:sz w:val="24"/>
                <w14:textFill>
                  <w14:solidFill>
                    <w14:schemeClr w14:val="tx1"/>
                  </w14:solidFill>
                </w14:textFill>
              </w:rPr>
              <w:t>未经出具机构核实</w:t>
            </w:r>
            <w:r>
              <w:rPr>
                <w:rFonts w:hint="eastAsia" w:ascii="宋体" w:hAnsi="宋体" w:cs="宋体"/>
                <w:color w:val="000000" w:themeColor="text1"/>
                <w:sz w:val="24"/>
                <w14:textFill>
                  <w14:solidFill>
                    <w14:schemeClr w14:val="tx1"/>
                  </w14:solidFill>
                </w14:textFill>
              </w:rPr>
              <w:t>的虚假的检验检测报告、业绩材料、社保缴纳证明、学历学位证书、职称认证证书等材料。</w:t>
            </w:r>
          </w:p>
        </w:tc>
      </w:tr>
    </w:tbl>
    <w:p>
      <w:pPr>
        <w:autoSpaceDE w:val="0"/>
        <w:autoSpaceDN w:val="0"/>
        <w:adjustRightInd w:val="0"/>
        <w:spacing w:line="360" w:lineRule="auto"/>
        <w:jc w:val="center"/>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《深圳经济特区政府采购条例》</w:t>
      </w:r>
    </w:p>
    <w:p>
      <w:pPr>
        <w:autoSpaceDE w:val="0"/>
        <w:autoSpaceDN w:val="0"/>
        <w:adjustRightInd w:val="0"/>
        <w:spacing w:line="360" w:lineRule="auto"/>
        <w:ind w:left="239" w:leftChars="114" w:firstLine="241" w:firstLineChars="100"/>
        <w:jc w:val="left"/>
        <w:rPr>
          <w:rFonts w:hint="eastAsia" w:ascii="宋体" w:hAnsi="宋体" w:cs="宋体"/>
          <w:color w:val="000000" w:themeColor="text1"/>
          <w:sz w:val="24"/>
          <w14:textFill>
            <w14:solidFill>
              <w14:schemeClr w14:val="tx1"/>
            </w14:solidFill>
          </w14:textFill>
        </w:rPr>
      </w:pPr>
      <w:r>
        <w:rPr>
          <w:rStyle w:val="21"/>
          <w:rFonts w:hint="eastAsia" w:ascii="宋体" w:hAnsi="宋体" w:cs="宋体"/>
          <w:color w:val="000000" w:themeColor="text1"/>
          <w:sz w:val="24"/>
          <w14:textFill>
            <w14:solidFill>
              <w14:schemeClr w14:val="tx1"/>
            </w14:solidFill>
          </w14:textFill>
        </w:rPr>
        <w:t>第五十七条</w:t>
      </w:r>
      <w:r>
        <w:rPr>
          <w:rFonts w:hint="eastAsia" w:ascii="宋体" w:hAnsi="宋体" w:cs="宋体"/>
          <w:color w:val="000000" w:themeColor="text1"/>
          <w:sz w:val="24"/>
          <w14:textFill>
            <w14:solidFill>
              <w14:schemeClr w14:val="tx1"/>
            </w14:solidFill>
          </w14:textFill>
        </w:rPr>
        <w:t>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pStyle w:val="14"/>
        <w:shd w:val="clear" w:color="auto" w:fill="FFFFFF"/>
        <w:spacing w:before="0" w:beforeAutospacing="0" w:after="0" w:afterAutospacing="0" w:line="360" w:lineRule="auto"/>
        <w:ind w:firstLine="480" w:firstLineChars="200"/>
        <w:rPr>
          <w:rFonts w:hint="eastAsia"/>
          <w:color w:val="000000" w:themeColor="text1"/>
          <w14:textFill>
            <w14:solidFill>
              <w14:schemeClr w14:val="tx1"/>
            </w14:solidFill>
          </w14:textFill>
        </w:rPr>
      </w:pPr>
      <w:bookmarkStart w:id="1" w:name="_Toc2750"/>
      <w:r>
        <w:rPr>
          <w:rFonts w:hint="eastAsia"/>
          <w:color w:val="000000" w:themeColor="text1"/>
          <w14:textFill>
            <w14:solidFill>
              <w14:schemeClr w14:val="tx1"/>
            </w14:solidFill>
          </w14:textFill>
        </w:rPr>
        <w:t>（一）在采购活动中应当回避而未回避的；</w:t>
      </w:r>
      <w:bookmarkEnd w:id="1"/>
    </w:p>
    <w:p>
      <w:pPr>
        <w:pStyle w:val="14"/>
        <w:shd w:val="clear" w:color="auto" w:fill="FFFFFF"/>
        <w:spacing w:before="0" w:beforeAutospacing="0" w:after="0" w:afterAutospacing="0" w:line="360" w:lineRule="auto"/>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（二）未按照本条例规定</w:t>
      </w:r>
      <w:r>
        <w:rPr>
          <w:rFonts w:hint="eastAsia"/>
          <w:color w:val="000000" w:themeColor="text1"/>
          <w:lang w:eastAsia="zh-CN"/>
          <w14:textFill>
            <w14:solidFill>
              <w14:schemeClr w14:val="tx1"/>
            </w14:solidFill>
          </w14:textFill>
        </w:rPr>
        <w:t>签订</w:t>
      </w:r>
      <w:r>
        <w:rPr>
          <w:rFonts w:hint="eastAsia"/>
          <w:color w:val="000000" w:themeColor="text1"/>
          <w14:textFill>
            <w14:solidFill>
              <w14:schemeClr w14:val="tx1"/>
            </w14:solidFill>
          </w14:textFill>
        </w:rPr>
        <w:t>、履行采购合同，造成严重后果的；</w:t>
      </w:r>
    </w:p>
    <w:p>
      <w:pPr>
        <w:pStyle w:val="14"/>
        <w:shd w:val="clear" w:color="auto" w:fill="FFFFFF"/>
        <w:spacing w:before="0" w:beforeAutospacing="0" w:after="0" w:afterAutospacing="0" w:line="360" w:lineRule="auto"/>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（三）隐瞒真实情况，提供虚假资料的；</w:t>
      </w:r>
    </w:p>
    <w:p>
      <w:pPr>
        <w:pStyle w:val="14"/>
        <w:shd w:val="clear" w:color="auto" w:fill="FFFFFF"/>
        <w:spacing w:before="0" w:beforeAutospacing="0" w:after="0" w:afterAutospacing="0" w:line="360" w:lineRule="auto"/>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（四）以非法手段排斥其他供应商参与竞争的；</w:t>
      </w:r>
    </w:p>
    <w:p>
      <w:pPr>
        <w:pStyle w:val="14"/>
        <w:shd w:val="clear" w:color="auto" w:fill="FFFFFF"/>
        <w:spacing w:before="0" w:beforeAutospacing="0" w:after="0" w:afterAutospacing="0" w:line="360" w:lineRule="auto"/>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（五）与其他采购参加人串通投标的；</w:t>
      </w:r>
    </w:p>
    <w:p>
      <w:pPr>
        <w:pStyle w:val="14"/>
        <w:shd w:val="clear" w:color="auto" w:fill="FFFFFF"/>
        <w:spacing w:before="0" w:beforeAutospacing="0" w:after="0" w:afterAutospacing="0" w:line="360" w:lineRule="auto"/>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（六）恶意投诉的；</w:t>
      </w:r>
    </w:p>
    <w:p>
      <w:pPr>
        <w:pStyle w:val="14"/>
        <w:shd w:val="clear" w:color="auto" w:fill="FFFFFF"/>
        <w:spacing w:before="0" w:beforeAutospacing="0" w:after="0" w:afterAutospacing="0" w:line="360" w:lineRule="auto"/>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（七）向采购项目相关人行贿或者提供其他不当利益的；</w:t>
      </w:r>
    </w:p>
    <w:p>
      <w:pPr>
        <w:pStyle w:val="14"/>
        <w:shd w:val="clear" w:color="auto" w:fill="FFFFFF"/>
        <w:spacing w:before="0" w:beforeAutospacing="0" w:after="0" w:afterAutospacing="0" w:line="360" w:lineRule="auto"/>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（八）阻碍、抗拒主管部门监督检查的；</w:t>
      </w:r>
    </w:p>
    <w:p>
      <w:pPr>
        <w:pStyle w:val="14"/>
        <w:shd w:val="clear" w:color="auto" w:fill="FFFFFF"/>
        <w:spacing w:before="0" w:beforeAutospacing="0" w:after="0" w:afterAutospacing="0" w:line="360" w:lineRule="auto"/>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（九）其他违反本条例规定的行为。</w:t>
      </w:r>
    </w:p>
    <w:p>
      <w:pPr>
        <w:autoSpaceDE w:val="0"/>
        <w:autoSpaceDN w:val="0"/>
        <w:adjustRightInd w:val="0"/>
        <w:spacing w:line="360" w:lineRule="auto"/>
        <w:ind w:firstLine="360" w:firstLineChars="150"/>
        <w:jc w:val="left"/>
        <w:rPr>
          <w:rFonts w:hint="eastAsia" w:ascii="宋体" w:hAnsi="宋体" w:cs="宋体"/>
          <w:color w:val="000000" w:themeColor="text1"/>
          <w:kern w:val="0"/>
          <w:sz w:val="24"/>
          <w14:textFill>
            <w14:solidFill>
              <w14:schemeClr w14:val="tx1"/>
            </w14:solidFill>
          </w14:textFill>
        </w:rPr>
      </w:pPr>
    </w:p>
    <w:p>
      <w:pPr>
        <w:autoSpaceDE w:val="0"/>
        <w:autoSpaceDN w:val="0"/>
        <w:adjustRightInd w:val="0"/>
        <w:spacing w:line="360" w:lineRule="auto"/>
        <w:jc w:val="center"/>
        <w:rPr>
          <w:rFonts w:hint="eastAsia" w:ascii="宋体" w:hAnsi="宋体" w:cs="宋体"/>
          <w:b/>
          <w:color w:val="000000" w:themeColor="text1"/>
          <w:kern w:val="0"/>
          <w:sz w:val="24"/>
          <w14:textFill>
            <w14:solidFill>
              <w14:schemeClr w14:val="tx1"/>
            </w14:solidFill>
          </w14:textFill>
        </w:rPr>
      </w:pPr>
    </w:p>
    <w:p>
      <w:pPr>
        <w:autoSpaceDE w:val="0"/>
        <w:autoSpaceDN w:val="0"/>
        <w:adjustRightInd w:val="0"/>
        <w:spacing w:line="360" w:lineRule="auto"/>
        <w:jc w:val="center"/>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《深圳经济特区政府采购条例实施细则》</w:t>
      </w:r>
    </w:p>
    <w:p>
      <w:pPr>
        <w:keepLines/>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第七十五条</w:t>
      </w:r>
      <w:r>
        <w:rPr>
          <w:rFonts w:hint="eastAsia" w:ascii="宋体" w:hAnsi="宋体" w:cs="宋体"/>
          <w:color w:val="000000" w:themeColor="text1"/>
          <w:sz w:val="24"/>
          <w14:textFill>
            <w14:solidFill>
              <w14:schemeClr w14:val="tx1"/>
            </w14:solidFill>
          </w14:textFill>
        </w:rPr>
        <w:t> 供应商有下列情形的，属于采购条例所称的串通投标行为，按照采购条例第五十七条有关规定处理：</w:t>
      </w:r>
    </w:p>
    <w:p>
      <w:pPr>
        <w:keepLines/>
        <w:spacing w:line="360" w:lineRule="auto"/>
        <w:ind w:firstLine="480" w:firstLineChars="200"/>
        <w:rPr>
          <w:rFonts w:hint="eastAsia" w:ascii="宋体" w:hAnsi="宋体" w:cs="宋体"/>
          <w:color w:val="000000" w:themeColor="text1"/>
          <w:sz w:val="24"/>
          <w14:textFill>
            <w14:solidFill>
              <w14:schemeClr w14:val="tx1"/>
            </w14:solidFill>
          </w14:textFill>
        </w:rPr>
      </w:pPr>
      <w:bookmarkStart w:id="2" w:name="_Toc6281"/>
      <w:r>
        <w:rPr>
          <w:rFonts w:hint="eastAsia" w:ascii="宋体" w:hAnsi="宋体" w:cs="宋体"/>
          <w:color w:val="000000" w:themeColor="text1"/>
          <w:sz w:val="24"/>
          <w14:textFill>
            <w14:solidFill>
              <w14:schemeClr w14:val="tx1"/>
            </w14:solidFill>
          </w14:textFill>
        </w:rPr>
        <w:t>（一）投标供应商之间相互约定给予未中标的供应商利益补偿；</w:t>
      </w:r>
      <w:bookmarkEnd w:id="2"/>
    </w:p>
    <w:p>
      <w:pPr>
        <w:keepLines/>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（二）不同投标供应商的法定代表人、主要经营负责人、项目投标授权代表人、项目负责人、主要技术人员为同一人、属同一单位或者在同一单位缴纳社会保险；　　　　 </w:t>
      </w:r>
    </w:p>
    <w:p>
      <w:pPr>
        <w:keepLines/>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（三）不同投标供应商的投标文件由同一单位或者同一人编制，或者由同一人分阶段参与编制的；</w:t>
      </w:r>
    </w:p>
    <w:p>
      <w:pPr>
        <w:keepLines/>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（四）不同投标供应商的投标文件或部分投标文件相互混装；</w:t>
      </w:r>
    </w:p>
    <w:p>
      <w:pPr>
        <w:keepLines/>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（五）不同投标供应商的投标文件内容存在非正常一致；</w:t>
      </w:r>
    </w:p>
    <w:p>
      <w:pPr>
        <w:keepLines/>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（六）由同一单位工作人员为两家以上（含两家）供应商进行同一项投标活动的；</w:t>
      </w:r>
    </w:p>
    <w:p>
      <w:pPr>
        <w:keepLines/>
        <w:spacing w:line="360" w:lineRule="auto"/>
        <w:ind w:firstLine="480" w:firstLineChars="200"/>
        <w:rPr>
          <w:rFonts w:hint="eastAsia" w:ascii="宋体" w:hAnsi="宋体" w:cs="宋体"/>
          <w:color w:val="000000" w:themeColor="text1"/>
          <w:sz w:val="24"/>
          <w14:textFill>
            <w14:solidFill>
              <w14:schemeClr w14:val="tx1"/>
            </w14:solidFill>
          </w14:textFill>
        </w:rPr>
      </w:pPr>
      <w:bookmarkStart w:id="3" w:name="_Toc31089"/>
      <w:r>
        <w:rPr>
          <w:rFonts w:hint="eastAsia" w:ascii="宋体" w:hAnsi="宋体" w:cs="宋体"/>
          <w:color w:val="000000" w:themeColor="text1"/>
          <w:sz w:val="24"/>
          <w14:textFill>
            <w14:solidFill>
              <w14:schemeClr w14:val="tx1"/>
            </w14:solidFill>
          </w14:textFill>
        </w:rPr>
        <w:t>（七）主管部门依照法律、法规认定的其他情形。</w:t>
      </w:r>
      <w:bookmarkEnd w:id="3"/>
    </w:p>
    <w:p>
      <w:pPr>
        <w:keepLines/>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第七十七条</w:t>
      </w:r>
      <w:r>
        <w:rPr>
          <w:rFonts w:hint="eastAsia" w:ascii="宋体" w:hAnsi="宋体" w:cs="宋体"/>
          <w:color w:val="000000" w:themeColor="text1"/>
          <w:sz w:val="24"/>
          <w14:textFill>
            <w14:solidFill>
              <w14:schemeClr w14:val="tx1"/>
            </w14:solidFill>
          </w14:textFill>
        </w:rPr>
        <w:t> 供应商有下列情形之一的，属于隐瞒真实情况，提供虚假资料，按照采购条例第五十七条的有关规定处理：</w:t>
      </w:r>
    </w:p>
    <w:p>
      <w:pPr>
        <w:keepLines/>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（一）通过转让或者租借等方式从其他单位获取资格或者资质证书投标的；</w:t>
      </w:r>
    </w:p>
    <w:p>
      <w:pPr>
        <w:keepLines/>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（二）由其他单位或者其他单位负责人在投标供应商编制的投标文件上加盖印章或者签字的；</w:t>
      </w:r>
    </w:p>
    <w:p>
      <w:pPr>
        <w:keepLines/>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（三）项目负责人或者主要技术人员不是本单位人员的；</w:t>
      </w:r>
    </w:p>
    <w:p>
      <w:pPr>
        <w:keepLines/>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（四）投标保证金不是从投标供应商基本账户转出的；</w:t>
      </w:r>
    </w:p>
    <w:p>
      <w:pPr>
        <w:keepLines/>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（五）其他隐瞒真实情况、提供虚假资料的行为。</w:t>
      </w:r>
    </w:p>
    <w:p>
      <w:pPr>
        <w:keepLines/>
        <w:spacing w:line="360" w:lineRule="auto"/>
        <w:ind w:firstLine="480" w:firstLineChars="200"/>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投标供应商不能提供项目负责人或者主要技术人员的劳动合同、社会保险等劳动关系证明材料的，视为存在前款第（三）项规定的情形。</w:t>
      </w:r>
    </w:p>
    <w:p>
      <w:pPr>
        <w:autoSpaceDE w:val="0"/>
        <w:autoSpaceDN w:val="0"/>
        <w:adjustRightInd w:val="0"/>
        <w:spacing w:line="360" w:lineRule="auto"/>
        <w:jc w:val="center"/>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 xml:space="preserve">《中华人民共和国政府采购法实施条例》 </w:t>
      </w:r>
    </w:p>
    <w:p>
      <w:pPr>
        <w:spacing w:line="360" w:lineRule="auto"/>
        <w:ind w:firstLine="482" w:firstLineChars="200"/>
        <w:jc w:val="left"/>
        <w:rPr>
          <w:rFonts w:hint="eastAsia" w:ascii="宋体" w:hAnsi="宋体" w:cs="宋体"/>
          <w:color w:val="000000" w:themeColor="text1"/>
          <w:sz w:val="24"/>
          <w14:textFill>
            <w14:solidFill>
              <w14:schemeClr w14:val="tx1"/>
            </w14:solidFill>
          </w14:textFill>
        </w:rPr>
      </w:pPr>
      <w:bookmarkStart w:id="4" w:name="_Toc10451"/>
      <w:r>
        <w:rPr>
          <w:rFonts w:hint="eastAsia" w:ascii="宋体" w:hAnsi="宋体" w:cs="宋体"/>
          <w:b/>
          <w:bCs/>
          <w:color w:val="000000" w:themeColor="text1"/>
          <w:sz w:val="24"/>
          <w14:textFill>
            <w14:solidFill>
              <w14:schemeClr w14:val="tx1"/>
            </w14:solidFill>
          </w14:textFill>
        </w:rPr>
        <w:t>第十八条</w:t>
      </w:r>
      <w:r>
        <w:rPr>
          <w:rFonts w:hint="eastAsia" w:ascii="宋体" w:hAnsi="宋体" w:cs="宋体"/>
          <w:color w:val="000000" w:themeColor="text1"/>
          <w:sz w:val="24"/>
          <w14:textFill>
            <w14:solidFill>
              <w14:schemeClr w14:val="tx1"/>
            </w14:solidFill>
          </w14:textFill>
        </w:rPr>
        <w:t xml:space="preserve"> 单位负责人为同一人或者存在直接控股、管理关系的不同供应商，不得参加同一合同项下的政府采购活动。</w:t>
      </w:r>
      <w:bookmarkEnd w:id="4"/>
    </w:p>
    <w:p>
      <w:pPr>
        <w:spacing w:line="360" w:lineRule="auto"/>
        <w:ind w:firstLine="480" w:firstLineChars="200"/>
        <w:jc w:val="left"/>
        <w:rPr>
          <w:rFonts w:hint="eastAsia" w:ascii="宋体" w:hAnsi="宋体" w:cs="宋体"/>
          <w:color w:val="000000" w:themeColor="text1"/>
          <w14:textFill>
            <w14:solidFill>
              <w14:schemeClr w14:val="tx1"/>
            </w14:solidFill>
          </w14:textFill>
        </w:rPr>
      </w:pPr>
      <w:bookmarkStart w:id="5" w:name="_Toc4495"/>
      <w:r>
        <w:rPr>
          <w:rFonts w:hint="eastAsia" w:ascii="宋体" w:hAnsi="宋体" w:cs="宋体"/>
          <w:color w:val="000000" w:themeColor="text1"/>
          <w:sz w:val="24"/>
          <w14:textFill>
            <w14:solidFill>
              <w14:schemeClr w14:val="tx1"/>
            </w14:solidFill>
          </w14:textFill>
        </w:rPr>
        <w:t>除单一来源采购项目外，为采购项目提供整体设计、规范编制或者项目管理、监 理、检测等服务的供应商，不得再参加该采购项目的其他采购活动。</w:t>
      </w:r>
      <w:bookmarkEnd w:id="5"/>
    </w:p>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 xml:space="preserve">《深圳市财政局关于采购文件增加风险告知有关事项的通知》 </w:t>
      </w:r>
    </w:p>
    <w:p>
      <w:pPr>
        <w:pStyle w:val="7"/>
        <w:tabs>
          <w:tab w:val="left" w:pos="562"/>
          <w:tab w:val="left" w:pos="3372"/>
          <w:tab w:val="left" w:pos="3653"/>
        </w:tabs>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各投标供应商应按要求提交《政府采购违法行为风险知悉确认书》（详见第七章 附件（投标文件格式）《政府采购违法行为风险知悉确认书》）。该文件由负责人或投标授权代表签字并加盖单位公章后，与投标文件一并提交。需要注意的是，该风险知悉确认书用于对供应商违法行为的警示，不作为供应商资格性审查及符合性审查条件。</w:t>
      </w:r>
    </w:p>
    <w:p>
      <w:pPr>
        <w:autoSpaceDE w:val="0"/>
        <w:autoSpaceDN w:val="0"/>
        <w:adjustRightInd w:val="0"/>
        <w:spacing w:line="360" w:lineRule="auto"/>
        <w:jc w:val="center"/>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《关于在相关自由贸易试验区和自由贸易港开展推动解决政府采购异常低价问题试点工作的通知》</w:t>
      </w:r>
    </w:p>
    <w:p>
      <w:pPr>
        <w:pStyle w:val="7"/>
        <w:tabs>
          <w:tab w:val="left" w:pos="562"/>
          <w:tab w:val="left" w:pos="3372"/>
          <w:tab w:val="left" w:pos="3653"/>
        </w:tabs>
        <w:spacing w:line="360" w:lineRule="auto"/>
        <w:ind w:firstLine="482" w:firstLineChars="200"/>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强化政府采购异常低价审查：</w:t>
      </w:r>
    </w:p>
    <w:p>
      <w:pPr>
        <w:pStyle w:val="7"/>
        <w:tabs>
          <w:tab w:val="left" w:pos="562"/>
          <w:tab w:val="left" w:pos="3372"/>
          <w:tab w:val="left" w:pos="3653"/>
        </w:tabs>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试点地区采购人应当在采购文件中明确异常低价投标（响应）审查的有关内容，主要包括：</w:t>
      </w:r>
    </w:p>
    <w:p>
      <w:pPr>
        <w:pStyle w:val="7"/>
        <w:tabs>
          <w:tab w:val="left" w:pos="562"/>
          <w:tab w:val="left" w:pos="3372"/>
          <w:tab w:val="left" w:pos="3653"/>
        </w:tabs>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pPr>
        <w:pStyle w:val="7"/>
        <w:tabs>
          <w:tab w:val="left" w:pos="562"/>
          <w:tab w:val="left" w:pos="3372"/>
          <w:tab w:val="left" w:pos="3653"/>
        </w:tabs>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pPr>
        <w:pStyle w:val="7"/>
        <w:tabs>
          <w:tab w:val="left" w:pos="562"/>
          <w:tab w:val="left" w:pos="3372"/>
          <w:tab w:val="left" w:pos="3653"/>
        </w:tabs>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jc w:val="center"/>
        <w:outlineLvl w:val="0"/>
        <w:rPr>
          <w:rFonts w:hint="eastAsia" w:ascii="宋体" w:hAnsi="宋体" w:cs="宋体"/>
          <w:b/>
          <w:bCs/>
          <w:color w:val="000000" w:themeColor="text1"/>
          <w:sz w:val="36"/>
          <w:szCs w:val="36"/>
          <w:lang w:val="zh-CN"/>
          <w14:textFill>
            <w14:solidFill>
              <w14:schemeClr w14:val="tx1"/>
            </w14:solidFill>
          </w14:textFill>
        </w:rPr>
      </w:pPr>
      <w:bookmarkStart w:id="6" w:name="_Toc20808"/>
      <w:r>
        <w:rPr>
          <w:rFonts w:hint="eastAsia" w:ascii="宋体" w:hAnsi="宋体" w:cs="宋体"/>
          <w:b/>
          <w:bCs/>
          <w:color w:val="000000" w:themeColor="text1"/>
          <w:sz w:val="36"/>
          <w:szCs w:val="36"/>
          <w:lang w:val="zh-CN"/>
          <w14:textFill>
            <w14:solidFill>
              <w14:schemeClr w14:val="tx1"/>
            </w14:solidFill>
          </w14:textFill>
        </w:rPr>
        <w:t>目录</w:t>
      </w:r>
      <w:bookmarkEnd w:id="0"/>
      <w:bookmarkEnd w:id="6"/>
    </w:p>
    <w:p>
      <w:pPr>
        <w:pStyle w:val="12"/>
        <w:tabs>
          <w:tab w:val="right" w:leader="dot" w:pos="8306"/>
        </w:tabs>
        <w:spacing w:line="480" w:lineRule="auto"/>
        <w:rPr>
          <w:b/>
          <w:bCs/>
          <w:color w:val="000000" w:themeColor="text1"/>
          <w:sz w:val="24"/>
          <w:szCs w:val="32"/>
          <w14:textFill>
            <w14:solidFill>
              <w14:schemeClr w14:val="tx1"/>
            </w14:solidFill>
          </w14:textFill>
        </w:rPr>
      </w:pPr>
    </w:p>
    <w:p>
      <w:pPr>
        <w:pStyle w:val="12"/>
        <w:tabs>
          <w:tab w:val="right" w:leader="dot" w:pos="8306"/>
        </w:tabs>
        <w:spacing w:line="360" w:lineRule="auto"/>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TOC \o "1-1" \h \u </w:instrText>
      </w:r>
      <w:r>
        <w:rPr>
          <w:rFonts w:hint="eastAsia" w:ascii="宋体" w:hAnsi="宋体" w:cs="宋体"/>
          <w:b/>
          <w:bCs/>
          <w:color w:val="000000" w:themeColor="text1"/>
          <w:sz w:val="24"/>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"_Toc17273" </w:instrText>
      </w:r>
      <w:r>
        <w:rPr>
          <w:color w:val="000000" w:themeColor="text1"/>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第一章 招标邀请书（招标公告）</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_Toc17273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6</w:t>
      </w:r>
      <w:r>
        <w:rPr>
          <w:b/>
          <w:bCs/>
          <w:color w:val="000000" w:themeColor="text1"/>
          <w:sz w:val="24"/>
          <w14:textFill>
            <w14:solidFill>
              <w14:schemeClr w14:val="tx1"/>
            </w14:solidFill>
          </w14:textFill>
        </w:rPr>
        <w:fldChar w:fldCharType="end"/>
      </w:r>
      <w:r>
        <w:rPr>
          <w:b/>
          <w:bCs/>
          <w:color w:val="000000" w:themeColor="text1"/>
          <w:sz w:val="24"/>
          <w14:textFill>
            <w14:solidFill>
              <w14:schemeClr w14:val="tx1"/>
            </w14:solidFill>
          </w14:textFill>
        </w:rPr>
        <w:fldChar w:fldCharType="end"/>
      </w:r>
    </w:p>
    <w:p>
      <w:pPr>
        <w:pStyle w:val="12"/>
        <w:tabs>
          <w:tab w:val="right" w:leader="dot" w:pos="8306"/>
        </w:tabs>
        <w:spacing w:line="360" w:lineRule="auto"/>
        <w:rPr>
          <w:b/>
          <w:bCs/>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"_Toc10214" </w:instrText>
      </w:r>
      <w:r>
        <w:rPr>
          <w:color w:val="000000" w:themeColor="text1"/>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第二章 投标须知</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_Toc10214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10</w:t>
      </w:r>
      <w:r>
        <w:rPr>
          <w:b/>
          <w:bCs/>
          <w:color w:val="000000" w:themeColor="text1"/>
          <w:sz w:val="24"/>
          <w14:textFill>
            <w14:solidFill>
              <w14:schemeClr w14:val="tx1"/>
            </w14:solidFill>
          </w14:textFill>
        </w:rPr>
        <w:fldChar w:fldCharType="end"/>
      </w:r>
      <w:r>
        <w:rPr>
          <w:b/>
          <w:bCs/>
          <w:color w:val="000000" w:themeColor="text1"/>
          <w:sz w:val="24"/>
          <w14:textFill>
            <w14:solidFill>
              <w14:schemeClr w14:val="tx1"/>
            </w14:solidFill>
          </w14:textFill>
        </w:rPr>
        <w:fldChar w:fldCharType="end"/>
      </w:r>
    </w:p>
    <w:p>
      <w:pPr>
        <w:pStyle w:val="12"/>
        <w:tabs>
          <w:tab w:val="right" w:leader="dot" w:pos="8306"/>
        </w:tabs>
        <w:spacing w:line="360" w:lineRule="auto"/>
        <w:rPr>
          <w:b/>
          <w:bCs/>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"_Toc20176" </w:instrText>
      </w:r>
      <w:r>
        <w:rPr>
          <w:color w:val="000000" w:themeColor="text1"/>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第三章 评标程序</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_Toc20176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13</w:t>
      </w:r>
      <w:r>
        <w:rPr>
          <w:b/>
          <w:bCs/>
          <w:color w:val="000000" w:themeColor="text1"/>
          <w:sz w:val="24"/>
          <w14:textFill>
            <w14:solidFill>
              <w14:schemeClr w14:val="tx1"/>
            </w14:solidFill>
          </w14:textFill>
        </w:rPr>
        <w:fldChar w:fldCharType="end"/>
      </w:r>
      <w:r>
        <w:rPr>
          <w:b/>
          <w:bCs/>
          <w:color w:val="000000" w:themeColor="text1"/>
          <w:sz w:val="24"/>
          <w14:textFill>
            <w14:solidFill>
              <w14:schemeClr w14:val="tx1"/>
            </w14:solidFill>
          </w14:textFill>
        </w:rPr>
        <w:fldChar w:fldCharType="end"/>
      </w:r>
    </w:p>
    <w:p>
      <w:pPr>
        <w:pStyle w:val="12"/>
        <w:tabs>
          <w:tab w:val="right" w:leader="dot" w:pos="8306"/>
        </w:tabs>
        <w:spacing w:line="360" w:lineRule="auto"/>
        <w:rPr>
          <w:b/>
          <w:bCs/>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"_Toc3567" </w:instrText>
      </w:r>
      <w:r>
        <w:rPr>
          <w:color w:val="000000" w:themeColor="text1"/>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第四章 合同格式及合同条款</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_Toc3567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15</w:t>
      </w:r>
      <w:r>
        <w:rPr>
          <w:b/>
          <w:bCs/>
          <w:color w:val="000000" w:themeColor="text1"/>
          <w:sz w:val="24"/>
          <w14:textFill>
            <w14:solidFill>
              <w14:schemeClr w14:val="tx1"/>
            </w14:solidFill>
          </w14:textFill>
        </w:rPr>
        <w:fldChar w:fldCharType="end"/>
      </w:r>
      <w:r>
        <w:rPr>
          <w:b/>
          <w:bCs/>
          <w:color w:val="000000" w:themeColor="text1"/>
          <w:sz w:val="24"/>
          <w14:textFill>
            <w14:solidFill>
              <w14:schemeClr w14:val="tx1"/>
            </w14:solidFill>
          </w14:textFill>
        </w:rPr>
        <w:fldChar w:fldCharType="end"/>
      </w:r>
    </w:p>
    <w:p>
      <w:pPr>
        <w:pStyle w:val="12"/>
        <w:tabs>
          <w:tab w:val="right" w:leader="dot" w:pos="8306"/>
        </w:tabs>
        <w:spacing w:line="360" w:lineRule="auto"/>
        <w:rPr>
          <w:b/>
          <w:bCs/>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"_Toc25518" </w:instrText>
      </w:r>
      <w:r>
        <w:rPr>
          <w:color w:val="000000" w:themeColor="text1"/>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第五章 用户需求书</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end"/>
      </w:r>
      <w:r>
        <w:rPr>
          <w:rFonts w:hint="eastAsia"/>
          <w:b/>
          <w:bCs/>
          <w:color w:val="000000" w:themeColor="text1"/>
          <w:sz w:val="24"/>
          <w14:textFill>
            <w14:solidFill>
              <w14:schemeClr w14:val="tx1"/>
            </w14:solidFill>
          </w14:textFill>
        </w:rPr>
        <w:t>26</w:t>
      </w:r>
    </w:p>
    <w:p>
      <w:pPr>
        <w:pStyle w:val="12"/>
        <w:tabs>
          <w:tab w:val="right" w:leader="dot" w:pos="8306"/>
        </w:tabs>
        <w:spacing w:line="360" w:lineRule="auto"/>
        <w:rPr>
          <w:b/>
          <w:bCs/>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"_Toc23822" </w:instrText>
      </w:r>
      <w:r>
        <w:rPr>
          <w:color w:val="000000" w:themeColor="text1"/>
          <w14:textFill>
            <w14:solidFill>
              <w14:schemeClr w14:val="tx1"/>
            </w14:solidFill>
          </w14:textFill>
        </w:rPr>
        <w:fldChar w:fldCharType="separate"/>
      </w:r>
      <w:r>
        <w:rPr>
          <w:rFonts w:hint="eastAsia" w:ascii="宋体" w:cs="宋体"/>
          <w:b/>
          <w:bCs/>
          <w:color w:val="000000" w:themeColor="text1"/>
          <w:sz w:val="24"/>
          <w14:textFill>
            <w14:solidFill>
              <w14:schemeClr w14:val="tx1"/>
            </w14:solidFill>
          </w14:textFill>
        </w:rPr>
        <w:t>第六章 投标文件初审及招标项目评分表</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end"/>
      </w:r>
      <w:r>
        <w:rPr>
          <w:rFonts w:hint="eastAsia"/>
          <w:b/>
          <w:bCs/>
          <w:color w:val="000000" w:themeColor="text1"/>
          <w:sz w:val="24"/>
          <w14:textFill>
            <w14:solidFill>
              <w14:schemeClr w14:val="tx1"/>
            </w14:solidFill>
          </w14:textFill>
        </w:rPr>
        <w:t>32</w:t>
      </w:r>
    </w:p>
    <w:p>
      <w:pPr>
        <w:pStyle w:val="12"/>
        <w:tabs>
          <w:tab w:val="right" w:leader="dot" w:pos="8306"/>
        </w:tabs>
        <w:spacing w:line="360" w:lineRule="auto"/>
        <w:rPr>
          <w:b/>
          <w:bCs/>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"_Toc9548" </w:instrText>
      </w:r>
      <w:r>
        <w:rPr>
          <w:color w:val="000000" w:themeColor="text1"/>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第七章 附件（投标文件格式）</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end"/>
      </w:r>
      <w:r>
        <w:rPr>
          <w:rFonts w:hint="eastAsia"/>
          <w:b/>
          <w:bCs/>
          <w:color w:val="000000" w:themeColor="text1"/>
          <w:sz w:val="24"/>
          <w14:textFill>
            <w14:solidFill>
              <w14:schemeClr w14:val="tx1"/>
            </w14:solidFill>
          </w14:textFill>
        </w:rPr>
        <w:t>38</w:t>
      </w:r>
    </w:p>
    <w:p>
      <w:pPr>
        <w:pStyle w:val="12"/>
        <w:tabs>
          <w:tab w:val="right" w:leader="dot" w:pos="8306"/>
        </w:tabs>
        <w:spacing w:line="360" w:lineRule="auto"/>
        <w:rPr>
          <w:b/>
          <w:bCs/>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"_Toc742" </w:instrText>
      </w:r>
      <w:r>
        <w:rPr>
          <w:color w:val="000000" w:themeColor="text1"/>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附件：相关政策</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end"/>
      </w:r>
      <w:r>
        <w:rPr>
          <w:rFonts w:hint="eastAsia"/>
          <w:b/>
          <w:bCs/>
          <w:color w:val="000000" w:themeColor="text1"/>
          <w:sz w:val="24"/>
          <w14:textFill>
            <w14:solidFill>
              <w14:schemeClr w14:val="tx1"/>
            </w14:solidFill>
          </w14:textFill>
        </w:rPr>
        <w:t>57</w:t>
      </w:r>
    </w:p>
    <w:p>
      <w:pPr>
        <w:pStyle w:val="12"/>
        <w:tabs>
          <w:tab w:val="right" w:leader="dot" w:pos="8306"/>
        </w:tabs>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end"/>
      </w:r>
    </w:p>
    <w:p>
      <w:pPr>
        <w:spacing w:line="360" w:lineRule="auto"/>
        <w:rPr>
          <w:color w:val="000000" w:themeColor="text1"/>
          <w14:textFill>
            <w14:solidFill>
              <w14:schemeClr w14:val="tx1"/>
            </w14:solidFill>
          </w14:textFill>
        </w:rPr>
      </w:pP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ascii="宋体"/>
          <w:b/>
          <w:bCs/>
          <w:color w:val="000000" w:themeColor="text1"/>
          <w:sz w:val="32"/>
          <w:szCs w:val="28"/>
          <w14:textFill>
            <w14:solidFill>
              <w14:schemeClr w14:val="tx1"/>
            </w14:solidFill>
          </w14:textFill>
        </w:rPr>
        <w:br w:type="page"/>
      </w:r>
      <w:r>
        <w:rPr>
          <w:rFonts w:hint="eastAsia" w:ascii="宋体"/>
          <w:b/>
          <w:bCs/>
          <w:color w:val="000000" w:themeColor="text1"/>
          <w:sz w:val="32"/>
          <w:szCs w:val="28"/>
          <w14:textFill>
            <w14:solidFill>
              <w14:schemeClr w14:val="tx1"/>
            </w14:solidFill>
          </w14:textFill>
        </w:rPr>
        <w:t xml:space="preserve"> </w:t>
      </w:r>
      <w:bookmarkStart w:id="7" w:name="_Toc17273"/>
      <w:r>
        <w:rPr>
          <w:rFonts w:hint="eastAsia" w:ascii="宋体" w:hAnsi="宋体" w:cs="宋体"/>
          <w:b/>
          <w:bCs/>
          <w:color w:val="000000" w:themeColor="text1"/>
          <w:sz w:val="24"/>
          <w14:textFill>
            <w14:solidFill>
              <w14:schemeClr w14:val="tx1"/>
            </w14:solidFill>
          </w14:textFill>
        </w:rPr>
        <w:t>招标邀请书（招标公告）</w:t>
      </w:r>
      <w:bookmarkEnd w:id="7"/>
    </w:p>
    <w:p>
      <w:pPr>
        <w:spacing w:line="360" w:lineRule="auto"/>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文件编码：0722-2025FE6371SZF-1</w:t>
      </w:r>
    </w:p>
    <w:p>
      <w:pPr>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中国远东国际招标有限公司（以下简称采购代理机构）受深圳市前海深港现代服务业合作区管理局委托就</w:t>
      </w:r>
      <w:r>
        <w:rPr>
          <w:rFonts w:hint="eastAsia" w:ascii="宋体" w:hAnsi="宋体" w:cs="宋体"/>
          <w:color w:val="000000" w:themeColor="text1"/>
          <w:sz w:val="24"/>
          <w:u w:val="single"/>
          <w:lang w:eastAsia="zh-CN"/>
          <w14:textFill>
            <w14:solidFill>
              <w14:schemeClr w14:val="tx1"/>
            </w14:solidFill>
          </w14:textFill>
        </w:rPr>
        <w:t>前海合作区设立以来高水平改革开放创新综合性成果评价研究（二次招标)</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QH2025109</w:t>
      </w:r>
      <w:r>
        <w:rPr>
          <w:rFonts w:hint="eastAsia" w:ascii="宋体" w:hAnsi="宋体" w:cs="宋体"/>
          <w:color w:val="000000" w:themeColor="text1"/>
          <w:sz w:val="24"/>
          <w14:textFill>
            <w14:solidFill>
              <w14:schemeClr w14:val="tx1"/>
            </w14:solidFill>
          </w14:textFill>
        </w:rPr>
        <w:t>）采用简易招标方式采购，欢迎符合投标人资格要求的专业供应商积极参加投标。</w:t>
      </w:r>
    </w:p>
    <w:tbl>
      <w:tblPr>
        <w:tblStyle w:val="18"/>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p>
        </w:tc>
        <w:tc>
          <w:tcPr>
            <w:tcW w:w="7015"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QH2025109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招标项目名称</w:t>
            </w:r>
          </w:p>
        </w:tc>
        <w:tc>
          <w:tcPr>
            <w:tcW w:w="7015" w:type="dxa"/>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前海合作区设立以来高水平改革开放创新综合性成果评价研究（二次招标)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标的内容</w:t>
            </w:r>
          </w:p>
        </w:tc>
        <w:tc>
          <w:tcPr>
            <w:tcW w:w="7015" w:type="dxa"/>
            <w:vAlign w:val="center"/>
          </w:tcPr>
          <w:p>
            <w:pPr>
              <w:spacing w:line="360" w:lineRule="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bookmarkStart w:id="8" w:name="OLE_LINK3"/>
            <w:r>
              <w:rPr>
                <w:rFonts w:hint="eastAsia" w:ascii="宋体" w:hAnsi="宋体" w:cs="宋体"/>
                <w:color w:val="000000" w:themeColor="text1"/>
                <w:sz w:val="24"/>
                <w14:textFill>
                  <w14:solidFill>
                    <w14:schemeClr w14:val="tx1"/>
                  </w14:solidFill>
                </w14:textFill>
              </w:rPr>
              <w:t xml:space="preserve"> </w:t>
            </w:r>
            <w:bookmarkEnd w:id="8"/>
            <w:r>
              <w:rPr>
                <w:rFonts w:hint="eastAsia" w:ascii="宋体" w:hAnsi="宋体" w:cs="宋体"/>
                <w:color w:val="000000" w:themeColor="text1"/>
                <w:sz w:val="24"/>
                <w14:textFill>
                  <w14:solidFill>
                    <w14:schemeClr w14:val="tx1"/>
                  </w14:solidFill>
                </w14:textFill>
              </w:rPr>
              <w:t>从金融发展、数据特区、营商环境、制度创新、法治建设、党建创新、专业人士执业、法定机构区域治理模式、自贸区建设、医疗教育港澳与国际联通、青年梦工场、e站通、现代服务业、国际化城市新中心、深港合作等15个方面系统梳理前海合作区15周年的15件标志性成果及成效，深入分析前海改革创新实践背后的制度逻辑和发展脉络，总结提炼具有引领性、示范性和创新性的改革经验。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项目预算</w:t>
            </w:r>
          </w:p>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（最高限价）</w:t>
            </w:r>
          </w:p>
        </w:tc>
        <w:tc>
          <w:tcPr>
            <w:tcW w:w="7015"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182</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00.00（人民币</w:t>
            </w:r>
            <w:r>
              <w:rPr>
                <w:rFonts w:hint="eastAsia" w:ascii="宋体" w:hAnsi="宋体" w:cs="宋体"/>
                <w:color w:val="000000" w:themeColor="text1"/>
                <w:sz w:val="24"/>
                <w:lang w:val="en-US" w:eastAsia="zh-CN"/>
                <w14:textFill>
                  <w14:solidFill>
                    <w14:schemeClr w14:val="tx1"/>
                  </w14:solidFill>
                </w14:textFill>
              </w:rPr>
              <w:t>壹拾捌万贰仟伍佰</w:t>
            </w:r>
            <w:r>
              <w:rPr>
                <w:rFonts w:hint="eastAsia" w:ascii="宋体" w:hAnsi="宋体" w:cs="宋体"/>
                <w:color w:val="000000" w:themeColor="text1"/>
                <w:sz w:val="24"/>
                <w14:textFill>
                  <w14:solidFill>
                    <w14:schemeClr w14:val="tx1"/>
                  </w14:solidFill>
                </w14:textFill>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标书获得办法</w:t>
            </w:r>
          </w:p>
        </w:tc>
        <w:tc>
          <w:tcPr>
            <w:tcW w:w="7015" w:type="dxa"/>
            <w:vAlign w:val="center"/>
          </w:tcPr>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报名方式</w:t>
            </w:r>
          </w:p>
        </w:tc>
        <w:tc>
          <w:tcPr>
            <w:tcW w:w="7015" w:type="dxa"/>
            <w:vAlign w:val="center"/>
          </w:tcPr>
          <w:p>
            <w:pPr>
              <w:adjustRightInd w:val="0"/>
              <w:snapToGrid w:val="0"/>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将投标文件密封并在</w:t>
            </w:r>
            <w:r>
              <w:rPr>
                <w:rFonts w:hint="eastAsia" w:ascii="宋体" w:hAnsi="宋体" w:cs="宋体"/>
                <w:b/>
                <w:bCs/>
                <w:color w:val="000000" w:themeColor="text1"/>
                <w:kern w:val="0"/>
                <w:sz w:val="24"/>
                <w14:textFill>
                  <w14:solidFill>
                    <w14:schemeClr w14:val="tx1"/>
                  </w14:solidFill>
                </w14:textFill>
              </w:rPr>
              <w:t>2025年</w:t>
            </w:r>
            <w:r>
              <w:rPr>
                <w:rFonts w:hint="eastAsia" w:ascii="宋体" w:hAnsi="宋体" w:cs="宋体"/>
                <w:b/>
                <w:bCs/>
                <w:color w:val="000000" w:themeColor="text1"/>
                <w:kern w:val="0"/>
                <w:sz w:val="24"/>
                <w:lang w:val="en-US" w:eastAsia="zh-CN"/>
                <w14:textFill>
                  <w14:solidFill>
                    <w14:schemeClr w14:val="tx1"/>
                  </w14:solidFill>
                </w14:textFill>
              </w:rPr>
              <w:t>10</w:t>
            </w:r>
            <w:r>
              <w:rPr>
                <w:rFonts w:hint="eastAsia" w:ascii="宋体" w:hAnsi="宋体" w:cs="宋体"/>
                <w:b/>
                <w:bCs/>
                <w:color w:val="000000" w:themeColor="text1"/>
                <w:kern w:val="0"/>
                <w:sz w:val="24"/>
                <w14:textFill>
                  <w14:solidFill>
                    <w14:schemeClr w14:val="tx1"/>
                  </w14:solidFill>
                </w14:textFill>
              </w:rPr>
              <w:t>月</w:t>
            </w:r>
            <w:r>
              <w:rPr>
                <w:rFonts w:hint="eastAsia" w:ascii="宋体" w:hAnsi="宋体" w:cs="宋体"/>
                <w:b/>
                <w:bCs/>
                <w:color w:val="000000" w:themeColor="text1"/>
                <w:kern w:val="0"/>
                <w:sz w:val="24"/>
                <w:lang w:val="en-US" w:eastAsia="zh-CN"/>
                <w14:textFill>
                  <w14:solidFill>
                    <w14:schemeClr w14:val="tx1"/>
                  </w14:solidFill>
                </w14:textFill>
              </w:rPr>
              <w:t>23</w:t>
            </w:r>
            <w:r>
              <w:rPr>
                <w:rFonts w:hint="eastAsia" w:ascii="宋体" w:hAnsi="宋体" w:cs="宋体"/>
                <w:b/>
                <w:bCs/>
                <w:color w:val="000000" w:themeColor="text1"/>
                <w:kern w:val="0"/>
                <w:sz w:val="24"/>
                <w14:textFill>
                  <w14:solidFill>
                    <w14:schemeClr w14:val="tx1"/>
                  </w14:solidFill>
                </w14:textFill>
              </w:rPr>
              <w:t>日</w:t>
            </w:r>
            <w:r>
              <w:rPr>
                <w:rFonts w:hint="eastAsia" w:ascii="宋体" w:hAnsi="宋体" w:cs="宋体"/>
                <w:b/>
                <w:bCs/>
                <w:color w:val="000000" w:themeColor="text1"/>
                <w:kern w:val="0"/>
                <w:sz w:val="24"/>
                <w:lang w:val="en-US" w:eastAsia="zh-CN"/>
                <w14:textFill>
                  <w14:solidFill>
                    <w14:schemeClr w14:val="tx1"/>
                  </w14:solidFill>
                </w14:textFill>
              </w:rPr>
              <w:t>14</w:t>
            </w: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b/>
                <w:bCs/>
                <w:color w:val="000000" w:themeColor="text1"/>
                <w:kern w:val="0"/>
                <w:sz w:val="24"/>
                <w:lang w:val="en-US" w:eastAsia="zh-CN"/>
                <w14:textFill>
                  <w14:solidFill>
                    <w14:schemeClr w14:val="tx1"/>
                  </w14:solidFill>
                </w14:textFill>
              </w:rPr>
              <w:t>3</w:t>
            </w:r>
            <w:r>
              <w:rPr>
                <w:rFonts w:hint="eastAsia" w:ascii="宋体" w:hAnsi="宋体" w:cs="宋体"/>
                <w:b/>
                <w:bCs/>
                <w:color w:val="000000" w:themeColor="text1"/>
                <w:kern w:val="0"/>
                <w:sz w:val="24"/>
                <w14:textFill>
                  <w14:solidFill>
                    <w14:schemeClr w14:val="tx1"/>
                  </w14:solidFill>
                </w14:textFill>
              </w:rPr>
              <w:t>0时（北京时间）</w:t>
            </w:r>
            <w:r>
              <w:rPr>
                <w:rFonts w:hint="eastAsia" w:ascii="宋体" w:hAnsi="宋体" w:cs="宋体"/>
                <w:color w:val="000000" w:themeColor="text1"/>
                <w:kern w:val="0"/>
                <w:sz w:val="24"/>
                <w14:textFill>
                  <w14:solidFill>
                    <w14:schemeClr w14:val="tx1"/>
                  </w14:solidFill>
                </w14:textFill>
              </w:rPr>
              <w:t>前送达（现场递交或邮寄）至深圳市南山区前海深港合作区桂湾五路123号前海管理局前海大厦T1栋2903室</w:t>
            </w:r>
          </w:p>
          <w:p>
            <w:pPr>
              <w:adjustRightInd w:val="0"/>
              <w:snapToGrid w:val="0"/>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  系  人：张女士</w:t>
            </w:r>
          </w:p>
          <w:p>
            <w:pPr>
              <w:adjustRightInd w:val="0"/>
              <w:snapToGrid w:val="0"/>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      话：</w:t>
            </w:r>
            <w:bookmarkStart w:id="9" w:name="OLE_LINK4"/>
            <w:r>
              <w:rPr>
                <w:rFonts w:hint="eastAsia" w:ascii="宋体" w:hAnsi="宋体" w:cs="宋体"/>
                <w:color w:val="000000" w:themeColor="text1"/>
                <w:kern w:val="0"/>
                <w:sz w:val="24"/>
                <w14:textFill>
                  <w14:solidFill>
                    <w14:schemeClr w14:val="tx1"/>
                  </w14:solidFill>
                </w14:textFill>
              </w:rPr>
              <w:t>0755-</w:t>
            </w:r>
            <w:bookmarkEnd w:id="9"/>
            <w:r>
              <w:rPr>
                <w:rFonts w:hint="eastAsia" w:ascii="宋体" w:hAnsi="宋体" w:cs="宋体"/>
                <w:color w:val="000000" w:themeColor="text1"/>
                <w:kern w:val="0"/>
                <w:sz w:val="24"/>
                <w14:textFill>
                  <w14:solidFill>
                    <w14:schemeClr w14:val="tx1"/>
                  </w14:solidFill>
                </w14:textFill>
              </w:rPr>
              <w:t>88105341</w:t>
            </w:r>
          </w:p>
          <w:p>
            <w:pPr>
              <w:adjustRightInd w:val="0"/>
              <w:snapToGrid w:val="0"/>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注：如需现场谈判，投标人需在评标半小时内到达评标现场。若因特殊原因，可进行视频会议谈判。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676" w:type="dxa"/>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投标人资格要求</w:t>
            </w:r>
          </w:p>
        </w:tc>
        <w:tc>
          <w:tcPr>
            <w:tcW w:w="7015" w:type="dxa"/>
            <w:vAlign w:val="center"/>
          </w:tcPr>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在中华人民共和国境内注册的具有独立法人资格或具有独立承担民事责任的能力的其他组织</w:t>
            </w:r>
            <w:r>
              <w:rPr>
                <w:rFonts w:hint="eastAsia" w:ascii="宋体" w:hAnsi="宋体" w:cs="宋体"/>
                <w:b/>
                <w:bCs/>
                <w:color w:val="000000" w:themeColor="text1"/>
                <w:kern w:val="0"/>
                <w:sz w:val="24"/>
                <w14:textFill>
                  <w14:solidFill>
                    <w14:schemeClr w14:val="tx1"/>
                  </w14:solidFill>
                </w14:textFill>
              </w:rPr>
              <w:t>（提供营业执照或事业单位法人证等法人证明复印件加盖投标人公章，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color w:val="000000" w:themeColor="text1"/>
                <w:kern w:val="0"/>
                <w:sz w:val="24"/>
                <w14:textFill>
                  <w14:solidFill>
                    <w14:schemeClr w14:val="tx1"/>
                  </w14:solidFill>
                </w14:textFill>
              </w:rPr>
              <w:t>；</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参与政府采购项目投标的供应商近三年内无行贿犯罪记录</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w:t>
            </w:r>
            <w:r>
              <w:rPr>
                <w:rFonts w:hint="eastAsia" w:ascii="宋体" w:hAnsi="宋体" w:cs="宋体"/>
                <w:color w:val="000000" w:themeColor="text1"/>
                <w:kern w:val="0"/>
                <w:sz w:val="24"/>
                <w14:textFill>
                  <w14:solidFill>
                    <w14:schemeClr w14:val="tx1"/>
                  </w14:solidFill>
                </w14:textFill>
              </w:rPr>
              <w:t>；</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参与本项目投标前三年内，在经营活动中没有重大违法记录以及不存在被有关部门禁止参与政府采购活动且在有效期内的情况</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w:t>
            </w:r>
            <w:r>
              <w:rPr>
                <w:rFonts w:hint="eastAsia" w:ascii="宋体" w:hAnsi="宋体" w:cs="宋体"/>
                <w:color w:val="000000" w:themeColor="text1"/>
                <w:kern w:val="0"/>
                <w:sz w:val="24"/>
                <w14:textFill>
                  <w14:solidFill>
                    <w14:schemeClr w14:val="tx1"/>
                  </w14:solidFill>
                </w14:textFill>
              </w:rPr>
              <w:t>；</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投标人承诺“本单位（公司）不存在《深圳市财政局政府采购供应商信用信息管理办法》（深财规〔2023〕3号）列明的严重违法失信行为”</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w:t>
            </w:r>
            <w:r>
              <w:rPr>
                <w:rFonts w:hint="eastAsia" w:ascii="宋体" w:hAnsi="宋体" w:cs="宋体"/>
                <w:color w:val="000000" w:themeColor="text1"/>
                <w:kern w:val="0"/>
                <w:sz w:val="24"/>
                <w14:textFill>
                  <w14:solidFill>
                    <w14:schemeClr w14:val="tx1"/>
                  </w14:solidFill>
                </w14:textFill>
              </w:rPr>
              <w:t>；</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宋体" w:hAnsi="宋体" w:cs="宋体"/>
                <w:b/>
                <w:bCs/>
                <w:color w:val="000000" w:themeColor="text1"/>
                <w:kern w:val="0"/>
                <w:sz w:val="24"/>
                <w14:textFill>
                  <w14:solidFill>
                    <w14:schemeClr w14:val="tx1"/>
                  </w14:solidFill>
                </w14:textFill>
              </w:rPr>
              <w:t>（由投标人提供《供应商基本情况表》并加盖公章，同时提供投标人的社保缴纳证明材料及股权关系证明材料，格式见-投标文件格式）；</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为此项目提供整体设计、规范编制或者项目管理、监理、检测等服务的供应商，不得再参加此项目的其他招标采购活动</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落实政府采购政策需满足的资格要求：本项目不属于专门面向特定企业（单位）的采购项目，本项目采购标的对应的中小企业划分标准所属行业为：</w:t>
            </w:r>
            <w:r>
              <w:rPr>
                <w:rFonts w:hint="eastAsia" w:ascii="宋体" w:hAnsi="宋体" w:cs="宋体"/>
                <w:color w:val="000000" w:themeColor="text1"/>
                <w:kern w:val="0"/>
                <w:sz w:val="24"/>
                <w:u w:val="single"/>
                <w14:textFill>
                  <w14:solidFill>
                    <w14:schemeClr w14:val="tx1"/>
                  </w14:solidFill>
                </w14:textFill>
              </w:rPr>
              <w:t>其他未列明行业。</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本项目不接受联合体投标、不允许非法分包、转包。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报价要求</w:t>
            </w:r>
          </w:p>
        </w:tc>
        <w:tc>
          <w:tcPr>
            <w:tcW w:w="7015" w:type="dxa"/>
            <w:vAlign w:val="center"/>
          </w:tcPr>
          <w:p>
            <w:pPr>
              <w:numPr>
                <w:ilvl w:val="0"/>
                <w:numId w:val="3"/>
              </w:numPr>
              <w:spacing w:line="360" w:lineRule="auto"/>
              <w:rPr>
                <w:rFonts w:hint="eastAsia" w:ascii="宋体" w:hAnsi="宋体" w:cs="宋体"/>
                <w:color w:val="000000" w:themeColor="text1"/>
                <w:sz w:val="24"/>
                <w14:textFill>
                  <w14:solidFill>
                    <w14:schemeClr w14:val="tx1"/>
                  </w14:solidFill>
                </w14:textFill>
              </w:rPr>
            </w:pPr>
            <w:bookmarkStart w:id="10" w:name="OLE_LINK5"/>
            <w:r>
              <w:rPr>
                <w:rFonts w:hint="eastAsia" w:ascii="宋体" w:hAnsi="宋体" w:cs="宋体"/>
                <w:color w:val="000000" w:themeColor="text1"/>
                <w:sz w:val="24"/>
                <w14:textFill>
                  <w14:solidFill>
                    <w14:schemeClr w14:val="tx1"/>
                  </w14:solidFill>
                </w14:textFill>
              </w:rPr>
              <w:t>本次投标为总价包干，投标报价总价作为中标人与采购人</w:t>
            </w:r>
            <w:r>
              <w:rPr>
                <w:rFonts w:hint="eastAsia" w:ascii="宋体" w:hAnsi="宋体" w:cs="宋体"/>
                <w:color w:val="000000" w:themeColor="text1"/>
                <w:sz w:val="24"/>
                <w:lang w:eastAsia="zh-CN"/>
                <w14:textFill>
                  <w14:solidFill>
                    <w14:schemeClr w14:val="tx1"/>
                  </w14:solidFill>
                </w14:textFill>
              </w:rPr>
              <w:t>签订</w:t>
            </w:r>
            <w:r>
              <w:rPr>
                <w:rFonts w:hint="eastAsia" w:ascii="宋体" w:hAnsi="宋体" w:cs="宋体"/>
                <w:color w:val="000000" w:themeColor="text1"/>
                <w:sz w:val="24"/>
                <w14:textFill>
                  <w14:solidFill>
                    <w14:schemeClr w14:val="tx1"/>
                  </w14:solidFill>
                </w14:textFill>
              </w:rPr>
              <w:t>的合同金额。投标人的报价不可高于预算（限价），否则投标人的投标文件视同无效。项目服务费包括但不限于人员研究费用、调研差旅费、专家咨询费、会议及专家差旅费、资料费、税费等所有费用，并提供合同要求的有关成果材料，以及其它相关服务的全部费用。一经中标，投标报价总价作为中标单位与采购人</w:t>
            </w:r>
            <w:r>
              <w:rPr>
                <w:rFonts w:hint="eastAsia" w:ascii="宋体" w:hAnsi="宋体" w:cs="宋体"/>
                <w:color w:val="000000" w:themeColor="text1"/>
                <w:sz w:val="24"/>
                <w:lang w:eastAsia="zh-CN"/>
                <w14:textFill>
                  <w14:solidFill>
                    <w14:schemeClr w14:val="tx1"/>
                  </w14:solidFill>
                </w14:textFill>
              </w:rPr>
              <w:t>签订</w:t>
            </w:r>
            <w:r>
              <w:rPr>
                <w:rFonts w:hint="eastAsia" w:ascii="宋体" w:hAnsi="宋体" w:cs="宋体"/>
                <w:color w:val="000000" w:themeColor="text1"/>
                <w:sz w:val="24"/>
                <w14:textFill>
                  <w14:solidFill>
                    <w14:schemeClr w14:val="tx1"/>
                  </w14:solidFill>
                </w14:textFill>
              </w:rPr>
              <w:t>的合同金额，合同期限内不做调整同金额。</w:t>
            </w:r>
          </w:p>
          <w:bookmarkEnd w:id="10"/>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联系方式</w:t>
            </w:r>
          </w:p>
        </w:tc>
        <w:tc>
          <w:tcPr>
            <w:tcW w:w="7015" w:type="dxa"/>
            <w:vAlign w:val="center"/>
          </w:tcPr>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1.采购人信息</w:t>
            </w:r>
          </w:p>
          <w:p>
            <w:pPr>
              <w:spacing w:line="360" w:lineRule="auto"/>
              <w:rPr>
                <w:rFonts w:hint="eastAsia" w:ascii="宋体" w:hAnsi="宋体" w:cs="宋体"/>
                <w:color w:val="000000" w:themeColor="text1"/>
                <w:kern w:val="0"/>
                <w:sz w:val="24"/>
                <w14:textFill>
                  <w14:solidFill>
                    <w14:schemeClr w14:val="tx1"/>
                  </w14:solidFill>
                </w14:textFill>
              </w:rPr>
            </w:pPr>
            <w:bookmarkStart w:id="11" w:name="_Toc28359009"/>
            <w:bookmarkStart w:id="12" w:name="_Toc28359086"/>
            <w:r>
              <w:rPr>
                <w:rFonts w:hint="eastAsia" w:ascii="宋体" w:hAnsi="宋体" w:cs="宋体"/>
                <w:color w:val="000000" w:themeColor="text1"/>
                <w:kern w:val="0"/>
                <w:sz w:val="24"/>
                <w14:textFill>
                  <w14:solidFill>
                    <w14:schemeClr w14:val="tx1"/>
                  </w14:solidFill>
                </w14:textFill>
              </w:rPr>
              <w:t>名  称：深圳市前海深港现代服务业合作区管理局</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地  址：深圳市南山区前海深港合作区桂湾五路123号前海管理局前海大厦T1栋</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联系人：张女士</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  话：0755-88105341</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2.采购代理机构信息</w:t>
            </w:r>
            <w:bookmarkEnd w:id="11"/>
            <w:bookmarkEnd w:id="12"/>
          </w:p>
          <w:p>
            <w:pPr>
              <w:spacing w:line="360" w:lineRule="auto"/>
              <w:rPr>
                <w:rFonts w:hint="eastAsia" w:ascii="宋体" w:hAnsi="宋体" w:cs="宋体"/>
                <w:color w:val="000000" w:themeColor="text1"/>
                <w:kern w:val="0"/>
                <w:sz w:val="24"/>
                <w14:textFill>
                  <w14:solidFill>
                    <w14:schemeClr w14:val="tx1"/>
                  </w14:solidFill>
                </w14:textFill>
              </w:rPr>
            </w:pPr>
            <w:bookmarkStart w:id="13" w:name="_Toc28359087"/>
            <w:bookmarkStart w:id="14" w:name="_Toc28359010"/>
            <w:r>
              <w:rPr>
                <w:rFonts w:hint="eastAsia" w:ascii="宋体" w:hAnsi="宋体" w:cs="宋体"/>
                <w:color w:val="000000" w:themeColor="text1"/>
                <w:kern w:val="0"/>
                <w:sz w:val="24"/>
                <w14:textFill>
                  <w14:solidFill>
                    <w14:schemeClr w14:val="tx1"/>
                  </w14:solidFill>
                </w14:textFill>
              </w:rPr>
              <w:t>名  称：中国远东国际招标有限公司</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地  址：深圳市福田区上步南路1001号锦峰大厦22楼</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联系人：凌女士、伍先生</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  话：0755-82078919、82077364转108</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传  真：0755-82077519</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3.项目联系方式</w:t>
            </w:r>
            <w:bookmarkEnd w:id="13"/>
            <w:bookmarkEnd w:id="14"/>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项目联系人：凌女士、伍先生</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　话：0755-82078919、82077364转108</w:t>
            </w:r>
          </w:p>
        </w:tc>
      </w:tr>
    </w:tbl>
    <w:p>
      <w:pPr>
        <w:adjustRightInd w:val="0"/>
        <w:snapToGrid w:val="0"/>
        <w:spacing w:line="360" w:lineRule="auto"/>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中国远东国际招标有限公司</w:t>
      </w:r>
    </w:p>
    <w:p>
      <w:pPr>
        <w:adjustRightInd w:val="0"/>
        <w:snapToGrid w:val="0"/>
        <w:spacing w:line="360" w:lineRule="auto"/>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2025年</w:t>
      </w:r>
      <w:r>
        <w:rPr>
          <w:rFonts w:hint="eastAsia" w:ascii="宋体" w:hAnsi="宋体" w:cs="宋体"/>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17</w:t>
      </w:r>
      <w:r>
        <w:rPr>
          <w:rFonts w:hint="eastAsia" w:ascii="宋体" w:hAnsi="宋体" w:cs="宋体"/>
          <w:color w:val="000000" w:themeColor="text1"/>
          <w:sz w:val="24"/>
          <w14:textFill>
            <w14:solidFill>
              <w14:schemeClr w14:val="tx1"/>
            </w14:solidFill>
          </w14:textFill>
        </w:rPr>
        <w:t>日</w:t>
      </w: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 xml:space="preserve"> </w:t>
      </w:r>
      <w:bookmarkStart w:id="15" w:name="_Toc10214"/>
      <w:r>
        <w:rPr>
          <w:rFonts w:hint="eastAsia" w:ascii="宋体" w:hAnsi="宋体" w:cs="宋体"/>
          <w:b/>
          <w:bCs/>
          <w:color w:val="000000" w:themeColor="text1"/>
          <w:sz w:val="24"/>
          <w14:textFill>
            <w14:solidFill>
              <w14:schemeClr w14:val="tx1"/>
            </w14:solidFill>
          </w14:textFill>
        </w:rPr>
        <w:t>投标须知</w:t>
      </w:r>
      <w:bookmarkEnd w:id="15"/>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1、本项目是深圳市前海深港现代服务业合作区管理局的</w:t>
      </w:r>
      <w:r>
        <w:rPr>
          <w:rFonts w:hint="eastAsia" w:ascii="宋体" w:hAnsi="宋体" w:cs="宋体"/>
          <w:color w:val="000000" w:themeColor="text1"/>
          <w:sz w:val="24"/>
          <w:lang w:eastAsia="zh-CN"/>
          <w14:textFill>
            <w14:solidFill>
              <w14:schemeClr w14:val="tx1"/>
            </w14:solidFill>
          </w14:textFill>
        </w:rPr>
        <w:t>前海合作区设立以来高水平改革开放创新综合性成果评价研究（二次招标)</w:t>
      </w:r>
      <w:r>
        <w:rPr>
          <w:rFonts w:hint="eastAsia" w:ascii="宋体" w:hAnsi="宋体" w:cs="宋体"/>
          <w:color w:val="000000" w:themeColor="text1"/>
          <w:sz w:val="24"/>
          <w14:textFill>
            <w14:solidFill>
              <w14:schemeClr w14:val="tx1"/>
            </w14:solidFill>
          </w14:textFill>
        </w:rPr>
        <w:t>。</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项目不属于《深圳市2025-2026年政府集中采购目录及限额标准》规定应集中采购项目，根据《中华人民共和国政府采购法》、《深圳经济特区政府采购条例》的有关规定，中国远东国际招标有限公司受深圳市前海深港现代服务业合作区管理局委托组织采购。</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2.1、本次采购公开征集供应商，报名且符合招标文件初审的供应商满足3家或3家以上的，采用综合评分法的方式进行。</w:t>
      </w:r>
      <w:r>
        <w:rPr>
          <w:rFonts w:hint="eastAsia" w:ascii="宋体" w:hAnsi="宋体" w:cs="宋体"/>
          <w:b/>
          <w:bCs/>
          <w:color w:val="000000" w:themeColor="text1"/>
          <w:sz w:val="24"/>
          <w:u w:val="single"/>
          <w14:textFill>
            <w14:solidFill>
              <w14:schemeClr w14:val="tx1"/>
            </w14:solidFill>
          </w14:textFill>
        </w:rPr>
        <w:t>报名且符合招标文件初审的供应商不足3家而导致招标失败的，应重新组织简易招标(公开征集)或转为其他采购方式采购。</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2.2、对于重新组织简易招标(公开征集)，仍出现有效投标供应商不足3家的情形，按以下流程执行：</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a.有效投标人为2家的，可在2家有效投标人中取得分最高者为中标供应商；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b.如参与投标且符合招标文件要求的供应商仅有1家，评审委员会应与投标供应商进行谈判，</w:t>
      </w:r>
      <w:r>
        <w:rPr>
          <w:rFonts w:hint="eastAsia" w:ascii="宋体" w:hAnsi="宋体" w:cs="宋体"/>
          <w:b/>
          <w:bCs/>
          <w:color w:val="000000" w:themeColor="text1"/>
          <w:sz w:val="24"/>
          <w:u w:val="single"/>
          <w14:textFill>
            <w14:solidFill>
              <w14:schemeClr w14:val="tx1"/>
            </w14:solidFill>
          </w14:textFill>
        </w:rPr>
        <w:t>原则上成交价不超过最初报价的95%。</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3、本项目根据项目的实际情况，公开征集符合投标人资格的供应商。请各供应商根据本文件的要求，准备</w:t>
      </w:r>
      <w:r>
        <w:rPr>
          <w:rFonts w:hint="eastAsia" w:ascii="宋体" w:hAnsi="宋体" w:cs="宋体"/>
          <w:b/>
          <w:bCs/>
          <w:color w:val="000000" w:themeColor="text1"/>
          <w:sz w:val="24"/>
          <w14:textFill>
            <w14:solidFill>
              <w14:schemeClr w14:val="tx1"/>
            </w14:solidFill>
          </w14:textFill>
        </w:rPr>
        <w:t>5套（1套正本，4套副本，</w:t>
      </w:r>
      <w:bookmarkStart w:id="16" w:name="OLE_LINK6"/>
      <w:r>
        <w:rPr>
          <w:rFonts w:hint="eastAsia" w:ascii="宋体" w:hAnsi="宋体" w:cs="宋体"/>
          <w:b/>
          <w:color w:val="000000" w:themeColor="text1"/>
          <w:sz w:val="24"/>
          <w14:textFill>
            <w14:solidFill>
              <w14:schemeClr w14:val="tx1"/>
            </w14:solidFill>
          </w14:textFill>
        </w:rPr>
        <w:t>1份电子文档：PDF格式的正本投标文件扫描件、与正本一致的word文档格式的投标文件</w:t>
      </w:r>
      <w:bookmarkEnd w:id="16"/>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完备的资料进行投标。</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4、本招标文件已对本次采购项目的商务条件和货物或服务的质量、技术要求、成果要求、交货要求、售后服务作出了明确的规定。</w:t>
      </w:r>
    </w:p>
    <w:p>
      <w:pPr>
        <w:snapToGrid w:val="0"/>
        <w:spacing w:after="78" w:afterLines="25"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5、响应文件要包括如下内容：</w:t>
      </w:r>
    </w:p>
    <w:p>
      <w:pPr>
        <w:numPr>
          <w:ilvl w:val="0"/>
          <w:numId w:val="4"/>
        </w:numPr>
        <w:tabs>
          <w:tab w:val="clear" w:pos="-420"/>
        </w:tabs>
        <w:snapToGrid w:val="0"/>
        <w:spacing w:after="78" w:afterLines="25" w:line="360" w:lineRule="auto"/>
        <w:ind w:left="1050" w:hanging="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价格部分；</w:t>
      </w:r>
    </w:p>
    <w:p>
      <w:pPr>
        <w:numPr>
          <w:ilvl w:val="0"/>
          <w:numId w:val="4"/>
        </w:numPr>
        <w:tabs>
          <w:tab w:val="clear" w:pos="-420"/>
        </w:tabs>
        <w:snapToGrid w:val="0"/>
        <w:spacing w:after="78" w:afterLines="25" w:line="360" w:lineRule="auto"/>
        <w:ind w:left="1050" w:hanging="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商务部分；</w:t>
      </w:r>
    </w:p>
    <w:p>
      <w:pPr>
        <w:numPr>
          <w:ilvl w:val="0"/>
          <w:numId w:val="4"/>
        </w:numPr>
        <w:tabs>
          <w:tab w:val="clear" w:pos="-420"/>
        </w:tabs>
        <w:snapToGrid w:val="0"/>
        <w:spacing w:after="78" w:afterLines="25" w:line="360" w:lineRule="auto"/>
        <w:ind w:left="1050" w:hanging="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技术部分。</w:t>
      </w:r>
    </w:p>
    <w:p>
      <w:pPr>
        <w:snapToGrid w:val="0"/>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hint="eastAsia" w:ascii="宋体" w:hAnsi="宋体" w:cs="宋体"/>
          <w:bCs/>
          <w:color w:val="000000" w:themeColor="text1"/>
          <w:sz w:val="24"/>
          <w14:textFill>
            <w14:solidFill>
              <w14:schemeClr w14:val="tx1"/>
            </w14:solidFill>
          </w14:textFill>
        </w:rPr>
        <w:t>采购人会对本次招标的项目确定一个最高限价，最终成交价格超出最高限价将会被当作投标无效处理。</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9、本次采购凡涉及知识产权问题，由项目供应商负责。</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10、采购人将组成评审委员会，评审工作由评审委员会独立负责。</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12、采用综合评分法的情况：评审委员会将分别对供应商递交的投标文件进行评审。</w:t>
      </w:r>
    </w:p>
    <w:p>
      <w:pPr>
        <w:snapToGrid w:val="0"/>
        <w:spacing w:line="360" w:lineRule="auto"/>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（1）评审委员会将根据供应商的供货能力、服务能力、货物的质量、是否满足本次采购的商务条件、报价等方面的情况进行综合评审，评标委员会依据得分情况，取综合得分最高的供应商为第一中标候选人。</w:t>
      </w:r>
    </w:p>
    <w:p>
      <w:pPr>
        <w:snapToGrid w:val="0"/>
        <w:spacing w:line="360" w:lineRule="auto"/>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（2）如果二个及以上供应商的综合评分相同时，取投标价格低者为第一中标候选人。</w:t>
      </w:r>
    </w:p>
    <w:p>
      <w:pPr>
        <w:snapToGrid w:val="0"/>
        <w:spacing w:line="360" w:lineRule="auto"/>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（3）如果二个及以上供应商的综合评分相同，且投标价格也相同时，取技术部分得分高者为第一中标候选人。</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13、采用谈判的情况：参与投标且符合招标文件要求的供应商仅有一家，评审委员会将与投标供应商进行谈判。</w:t>
      </w:r>
    </w:p>
    <w:p>
      <w:pPr>
        <w:snapToGrid w:val="0"/>
        <w:spacing w:line="360" w:lineRule="auto"/>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（1）供应商在谈判时由项目负责人与评审委员会进行谈判；</w:t>
      </w:r>
    </w:p>
    <w:p>
      <w:pPr>
        <w:snapToGrid w:val="0"/>
        <w:spacing w:line="360" w:lineRule="auto"/>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（2）原则上成交价不超过最初报价的95%。</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14、所有的评审/谈判内容都必须保密。</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15、招标代理服务收费：</w:t>
      </w:r>
    </w:p>
    <w:p>
      <w:pPr>
        <w:snapToGrid w:val="0"/>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以《深圳市财政委员会关于规范深圳市社会采购代理机构管理有关事项的补充通知》（深财购〔2018〕27号）代理费用参考标准的80%按差额定率累进法进行计费，由中标人支付，若以上计算金额小于3000元，则按3000元收取。</w:t>
      </w:r>
    </w:p>
    <w:p>
      <w:pPr>
        <w:snapToGrid w:val="0"/>
        <w:spacing w:line="360" w:lineRule="auto"/>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具体计取费率标准如下表所示：</w:t>
      </w:r>
    </w:p>
    <w:tbl>
      <w:tblPr>
        <w:tblStyle w:val="18"/>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中标金额</w:t>
            </w:r>
          </w:p>
        </w:tc>
        <w:tc>
          <w:tcPr>
            <w:tcW w:w="5495" w:type="dxa"/>
            <w:gridSpan w:val="3"/>
            <w:shd w:val="clear" w:color="auto" w:fill="D7D7D7"/>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p>
        </w:tc>
        <w:tc>
          <w:tcPr>
            <w:tcW w:w="1843" w:type="dxa"/>
            <w:shd w:val="clear" w:color="auto" w:fill="D7D7D7"/>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货物招标</w:t>
            </w:r>
          </w:p>
        </w:tc>
        <w:tc>
          <w:tcPr>
            <w:tcW w:w="1755" w:type="dxa"/>
            <w:shd w:val="clear" w:color="auto" w:fill="D7D7D7"/>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服务招标</w:t>
            </w:r>
          </w:p>
        </w:tc>
        <w:tc>
          <w:tcPr>
            <w:tcW w:w="1897" w:type="dxa"/>
            <w:shd w:val="clear" w:color="auto" w:fill="D7D7D7"/>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100万元以下</w:t>
            </w:r>
          </w:p>
        </w:tc>
        <w:tc>
          <w:tcPr>
            <w:tcW w:w="1843" w:type="dxa"/>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755"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897"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100万元（含）-500万元</w:t>
            </w:r>
          </w:p>
        </w:tc>
        <w:tc>
          <w:tcPr>
            <w:tcW w:w="1843" w:type="dxa"/>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1755"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0.8%</w:t>
            </w:r>
          </w:p>
        </w:tc>
        <w:tc>
          <w:tcPr>
            <w:tcW w:w="1897"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500万元（含）-1000万元</w:t>
            </w:r>
          </w:p>
        </w:tc>
        <w:tc>
          <w:tcPr>
            <w:tcW w:w="1843" w:type="dxa"/>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0.8%</w:t>
            </w:r>
          </w:p>
        </w:tc>
        <w:tc>
          <w:tcPr>
            <w:tcW w:w="1755"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0.45%</w:t>
            </w:r>
          </w:p>
        </w:tc>
        <w:tc>
          <w:tcPr>
            <w:tcW w:w="1897"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1000万元（含）-5000万元</w:t>
            </w:r>
          </w:p>
        </w:tc>
        <w:tc>
          <w:tcPr>
            <w:tcW w:w="1843" w:type="dxa"/>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0.5%</w:t>
            </w:r>
          </w:p>
        </w:tc>
        <w:tc>
          <w:tcPr>
            <w:tcW w:w="1755"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0.25%</w:t>
            </w:r>
          </w:p>
        </w:tc>
        <w:tc>
          <w:tcPr>
            <w:tcW w:w="1897"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5000万元（含）-1亿元</w:t>
            </w:r>
          </w:p>
        </w:tc>
        <w:tc>
          <w:tcPr>
            <w:tcW w:w="1843" w:type="dxa"/>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0.25%</w:t>
            </w:r>
          </w:p>
        </w:tc>
        <w:tc>
          <w:tcPr>
            <w:tcW w:w="1755"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0.1%</w:t>
            </w:r>
          </w:p>
        </w:tc>
        <w:tc>
          <w:tcPr>
            <w:tcW w:w="1897"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1亿元（含）-5亿元</w:t>
            </w:r>
          </w:p>
        </w:tc>
        <w:tc>
          <w:tcPr>
            <w:tcW w:w="1843" w:type="dxa"/>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0.05%</w:t>
            </w:r>
          </w:p>
        </w:tc>
        <w:tc>
          <w:tcPr>
            <w:tcW w:w="1755"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0.05%</w:t>
            </w:r>
          </w:p>
        </w:tc>
        <w:tc>
          <w:tcPr>
            <w:tcW w:w="1897"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5亿元（含）-10亿元</w:t>
            </w:r>
          </w:p>
        </w:tc>
        <w:tc>
          <w:tcPr>
            <w:tcW w:w="1843" w:type="dxa"/>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0.035%</w:t>
            </w:r>
          </w:p>
        </w:tc>
        <w:tc>
          <w:tcPr>
            <w:tcW w:w="1755"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0.035%</w:t>
            </w:r>
          </w:p>
        </w:tc>
        <w:tc>
          <w:tcPr>
            <w:tcW w:w="1897"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10亿元（含）-50亿元</w:t>
            </w:r>
          </w:p>
        </w:tc>
        <w:tc>
          <w:tcPr>
            <w:tcW w:w="1843" w:type="dxa"/>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0.008%</w:t>
            </w:r>
          </w:p>
        </w:tc>
        <w:tc>
          <w:tcPr>
            <w:tcW w:w="1755"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0.008%</w:t>
            </w:r>
          </w:p>
        </w:tc>
        <w:tc>
          <w:tcPr>
            <w:tcW w:w="1897"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50亿元（含）-100亿元</w:t>
            </w:r>
          </w:p>
        </w:tc>
        <w:tc>
          <w:tcPr>
            <w:tcW w:w="1843" w:type="dxa"/>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0.006%</w:t>
            </w:r>
          </w:p>
        </w:tc>
        <w:tc>
          <w:tcPr>
            <w:tcW w:w="1755"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0.006%</w:t>
            </w:r>
          </w:p>
        </w:tc>
        <w:tc>
          <w:tcPr>
            <w:tcW w:w="1897"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100亿元（含）以上</w:t>
            </w:r>
          </w:p>
        </w:tc>
        <w:tc>
          <w:tcPr>
            <w:tcW w:w="1843" w:type="dxa"/>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0.004%</w:t>
            </w:r>
          </w:p>
        </w:tc>
        <w:tc>
          <w:tcPr>
            <w:tcW w:w="1755"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0.004%</w:t>
            </w:r>
          </w:p>
        </w:tc>
        <w:tc>
          <w:tcPr>
            <w:tcW w:w="1897"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0.004%</w:t>
            </w:r>
          </w:p>
        </w:tc>
      </w:tr>
    </w:tbl>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招标代理服务费缴纳至：</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开户名称：中国远东国际招标有限公司深圳分公司</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银行账号：11013651025501</w:t>
      </w:r>
    </w:p>
    <w:p>
      <w:pPr>
        <w:spacing w:line="360" w:lineRule="auto"/>
        <w:rPr>
          <w:rFonts w:hint="eastAsia" w:ascii="宋体" w:hAnsi="宋体" w:cs="宋体"/>
          <w:b/>
          <w:bCs/>
          <w:color w:val="000000" w:themeColor="text1"/>
          <w:sz w:val="24"/>
          <w14:textFill>
            <w14:solidFill>
              <w14:schemeClr w14:val="tx1"/>
            </w14:solidFill>
          </w14:textFill>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cs="宋体"/>
          <w:color w:val="000000" w:themeColor="text1"/>
          <w:sz w:val="24"/>
          <w14:textFill>
            <w14:solidFill>
              <w14:schemeClr w14:val="tx1"/>
            </w14:solidFill>
          </w14:textFill>
        </w:rPr>
        <w:t>开户银行：平安银行深圳中电支行</w:t>
      </w: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bookmarkStart w:id="17" w:name="_Toc20176"/>
      <w:r>
        <w:rPr>
          <w:rFonts w:hint="eastAsia" w:ascii="宋体" w:hAnsi="宋体" w:cs="宋体"/>
          <w:b/>
          <w:bCs/>
          <w:color w:val="000000" w:themeColor="text1"/>
          <w:sz w:val="24"/>
          <w14:textFill>
            <w14:solidFill>
              <w14:schemeClr w14:val="tx1"/>
            </w14:solidFill>
          </w14:textFill>
        </w:rPr>
        <w:t>评标程序</w:t>
      </w:r>
      <w:bookmarkEnd w:id="17"/>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依法成立评审委员会。在投标截止日前由前海管理局授权招标代理机构在深圳市政府采购评审专家库中抽取专家，组建不少于3人（单数）的评审委员会，其中专家人数为1人，其他专家由采购主办部门委派，评审委员会在投标截止日前一天组成。</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二、参加会议人员：投标人代表（如需）、项目负责代表、评审委员会成员、监督部门代表（如需）、采购代理机构代表。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三、会议主持人：中国远东国际招标有限公司工作人员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四、开标时间：2025年</w:t>
      </w:r>
      <w:r>
        <w:rPr>
          <w:rFonts w:hint="eastAsia" w:ascii="宋体" w:hAnsi="宋体" w:cs="宋体"/>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23</w:t>
      </w:r>
      <w:r>
        <w:rPr>
          <w:rFonts w:hint="eastAsia" w:ascii="宋体" w:hAnsi="宋体" w:cs="宋体"/>
          <w:color w:val="000000" w:themeColor="text1"/>
          <w:sz w:val="24"/>
          <w14:textFill>
            <w14:solidFill>
              <w14:schemeClr w14:val="tx1"/>
            </w14:solidFill>
          </w14:textFill>
        </w:rPr>
        <w:t>日1</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0时（北京时间）。</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五、会议开始：2025年</w:t>
      </w:r>
      <w:r>
        <w:rPr>
          <w:rFonts w:hint="eastAsia" w:ascii="宋体" w:hAnsi="宋体" w:cs="宋体"/>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23</w:t>
      </w:r>
      <w:r>
        <w:rPr>
          <w:rFonts w:hint="eastAsia" w:ascii="宋体" w:hAnsi="宋体" w:cs="宋体"/>
          <w:color w:val="000000" w:themeColor="text1"/>
          <w:sz w:val="24"/>
          <w14:textFill>
            <w14:solidFill>
              <w14:schemeClr w14:val="tx1"/>
            </w14:solidFill>
          </w14:textFill>
        </w:rPr>
        <w:t>日1</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0时（北京时间）由会议主持人宣布定标会议开始。</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六、项目负责代表向采购代理机构代表送交投标文件，监督部门代表（如有）确认投标文件密封完整，未密封投标文件将作为投标无效处理。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七、由采购代理机构代表现场拆封投标文件，并分发给评审委员会成员。</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八、评审委员会审查供应商的投标文件，工作人员记录审查的情况。</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九、评审委员会按以下工作程序进行：</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1、评标委员会对各供应商的投标文件进行初审，对未能通过初审的投标文件作投标无效处理。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2、对通过初审的供应商的投标文件进行详细的比较和评价。如需要，进行必要的澄清/说明工作。</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3、根据参与投标且符合招标文件要求的供应商数量情况，确定本项目的评审方法。</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4、采用综合评分法的情况：评审委员会将分别对供应商递交的投标文件进行评审。</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4.2如果二个及以上供应商的综合评分相同时，取投标价格低者为第一中标候选人。</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4.3如果二个及以上供应商的综合评分相同，且投标价格也相同时，取技术部分得分高者为第一中标候选人。</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5、采用谈判的情况：参与投标且符合招标文件要求的供应商仅有一家，评审委员会将与投标供应商进行谈判。</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 供应商在谈判时由项目负责人与评审委员会进行谈判；</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 原则上成交价不超过最初报价的95%。</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6、评审委员会按照本项目招标文件中规定的评标方法确定中标供应商。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十、根据本次采购的结果，1</w:t>
      </w:r>
      <w:r>
        <w:rPr>
          <w:rFonts w:ascii="宋体" w:hAnsi="宋体" w:cs="宋体"/>
          <w:color w:val="000000" w:themeColor="text1"/>
          <w:sz w:val="24"/>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个工作日内与中标供应商</w:t>
      </w:r>
      <w:r>
        <w:rPr>
          <w:rFonts w:hint="eastAsia" w:ascii="宋体" w:hAnsi="宋体" w:cs="宋体"/>
          <w:color w:val="000000" w:themeColor="text1"/>
          <w:sz w:val="24"/>
          <w:lang w:eastAsia="zh-CN"/>
          <w14:textFill>
            <w14:solidFill>
              <w14:schemeClr w14:val="tx1"/>
            </w14:solidFill>
          </w14:textFill>
        </w:rPr>
        <w:t>签订</w:t>
      </w:r>
      <w:r>
        <w:rPr>
          <w:rFonts w:hint="eastAsia" w:ascii="宋体" w:hAnsi="宋体" w:cs="宋体"/>
          <w:color w:val="000000" w:themeColor="text1"/>
          <w:sz w:val="24"/>
          <w14:textFill>
            <w14:solidFill>
              <w14:schemeClr w14:val="tx1"/>
            </w14:solidFill>
          </w14:textFill>
        </w:rPr>
        <w:t>合同。</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pStyle w:val="7"/>
        <w:rPr>
          <w:rFonts w:hint="eastAsia"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bookmarkStart w:id="18" w:name="_Toc3567"/>
      <w:r>
        <w:rPr>
          <w:rFonts w:hint="eastAsia" w:ascii="宋体" w:hAnsi="宋体" w:cs="宋体"/>
          <w:b/>
          <w:bCs/>
          <w:color w:val="000000" w:themeColor="text1"/>
          <w:sz w:val="24"/>
          <w14:textFill>
            <w14:solidFill>
              <w14:schemeClr w14:val="tx1"/>
            </w14:solidFill>
          </w14:textFill>
        </w:rPr>
        <w:t>合同格式及合同条款</w:t>
      </w:r>
      <w:bookmarkEnd w:id="18"/>
    </w:p>
    <w:p>
      <w:pPr>
        <w:spacing w:line="360" w:lineRule="auto"/>
        <w:ind w:firstLine="470" w:firstLineChars="196"/>
        <w:jc w:val="center"/>
        <w:rPr>
          <w:rFonts w:hint="eastAsia" w:ascii="宋体" w:hAnsi="宋体" w:cs="宋体"/>
          <w:color w:val="000000" w:themeColor="text1"/>
          <w:sz w:val="24"/>
          <w14:textFill>
            <w14:solidFill>
              <w14:schemeClr w14:val="tx1"/>
            </w14:solidFill>
          </w14:textFill>
        </w:rPr>
      </w:pPr>
      <w:bookmarkStart w:id="19" w:name="_Toc73521680"/>
      <w:bookmarkStart w:id="20" w:name="_Toc84303603"/>
      <w:bookmarkStart w:id="21" w:name="_Toc73517685"/>
      <w:bookmarkStart w:id="22" w:name="_Toc73518163"/>
      <w:bookmarkStart w:id="23" w:name="_Toc101074886"/>
      <w:bookmarkStart w:id="24" w:name="_Toc73521592"/>
      <w:bookmarkStart w:id="25" w:name="_Toc100052414"/>
    </w:p>
    <w:bookmarkEnd w:id="19"/>
    <w:bookmarkEnd w:id="20"/>
    <w:bookmarkEnd w:id="21"/>
    <w:bookmarkEnd w:id="22"/>
    <w:bookmarkEnd w:id="23"/>
    <w:bookmarkEnd w:id="24"/>
    <w:bookmarkEnd w:id="25"/>
    <w:p>
      <w:pPr>
        <w:pStyle w:val="25"/>
        <w:spacing w:line="360" w:lineRule="auto"/>
        <w:ind w:left="1470" w:right="1470" w:firstLine="482"/>
        <w:jc w:val="center"/>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合同编号（甲方）：            </w:t>
      </w:r>
    </w:p>
    <w:p>
      <w:pPr>
        <w:pStyle w:val="25"/>
        <w:spacing w:line="360" w:lineRule="auto"/>
        <w:ind w:left="1470" w:right="1470" w:firstLine="482"/>
        <w:jc w:val="center"/>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合同编号（乙方）：            </w:t>
      </w:r>
    </w:p>
    <w:p>
      <w:pPr>
        <w:pStyle w:val="25"/>
        <w:spacing w:line="360" w:lineRule="auto"/>
        <w:ind w:left="1470" w:right="1470" w:firstLine="482"/>
        <w:jc w:val="center"/>
        <w:rPr>
          <w:rFonts w:hint="eastAsia" w:ascii="宋体" w:hAnsi="宋体" w:cs="宋体"/>
          <w:b/>
          <w:color w:val="000000" w:themeColor="text1"/>
          <w:sz w:val="24"/>
          <w:szCs w:val="24"/>
          <w14:textFill>
            <w14:solidFill>
              <w14:schemeClr w14:val="tx1"/>
            </w14:solidFill>
          </w14:textFill>
        </w:rPr>
      </w:pPr>
    </w:p>
    <w:p>
      <w:pPr>
        <w:pStyle w:val="25"/>
        <w:spacing w:line="360" w:lineRule="auto"/>
        <w:ind w:left="1470" w:right="1470" w:firstLine="482"/>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w:t>
      </w:r>
    </w:p>
    <w:p>
      <w:pPr>
        <w:pStyle w:val="25"/>
        <w:spacing w:line="360" w:lineRule="auto"/>
        <w:ind w:left="1470" w:right="1470" w:firstLine="482"/>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w:t>
      </w:r>
    </w:p>
    <w:p>
      <w:pPr>
        <w:spacing w:line="360" w:lineRule="auto"/>
        <w:jc w:val="center"/>
        <w:outlineLvl w:val="1"/>
        <w:rPr>
          <w:rFonts w:hint="eastAsia" w:ascii="宋体" w:hAnsi="宋体" w:eastAsia="宋体" w:cs="宋体"/>
          <w:b/>
          <w:color w:val="000000" w:themeColor="text1"/>
          <w:sz w:val="32"/>
          <w:szCs w:val="32"/>
          <w:lang w:eastAsia="zh-CN"/>
          <w14:textFill>
            <w14:solidFill>
              <w14:schemeClr w14:val="tx1"/>
            </w14:solidFill>
          </w14:textFill>
        </w:rPr>
      </w:pPr>
      <w:r>
        <w:rPr>
          <w:rFonts w:hint="eastAsia" w:ascii="宋体" w:hAnsi="宋体" w:cs="宋体"/>
          <w:b/>
          <w:color w:val="000000" w:themeColor="text1"/>
          <w:sz w:val="32"/>
          <w:szCs w:val="32"/>
          <w:lang w:eastAsia="zh-CN"/>
          <w14:textFill>
            <w14:solidFill>
              <w14:schemeClr w14:val="tx1"/>
            </w14:solidFill>
          </w14:textFill>
        </w:rPr>
        <w:t>前海合作区设立以来高水平改革开放创新综合性成果评价研究</w:t>
      </w:r>
    </w:p>
    <w:p>
      <w:pPr>
        <w:spacing w:line="360" w:lineRule="auto"/>
        <w:jc w:val="center"/>
        <w:outlineLvl w:val="1"/>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委托合同</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pStyle w:val="25"/>
        <w:spacing w:line="360" w:lineRule="auto"/>
        <w:ind w:left="1470" w:right="1470"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pPr>
        <w:pStyle w:val="25"/>
        <w:spacing w:line="360" w:lineRule="auto"/>
        <w:ind w:left="1470" w:right="1470"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pPr>
        <w:spacing w:line="360" w:lineRule="auto"/>
        <w:ind w:firstLine="720" w:firstLineChars="300"/>
        <w:rPr>
          <w:rFonts w:hint="eastAsia" w:ascii="宋体" w:hAnsi="宋体" w:eastAsia="宋体" w:cs="宋体"/>
          <w:color w:val="000000" w:themeColor="text1"/>
          <w:sz w:val="24"/>
          <w:u w:val="single"/>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u w:val="single"/>
          <w:lang w:eastAsia="zh-CN"/>
          <w14:textFill>
            <w14:solidFill>
              <w14:schemeClr w14:val="tx1"/>
            </w14:solidFill>
          </w14:textFill>
        </w:rPr>
        <w:t>前海合作区设立以来高水平改革开放创新综合性成果评价研究</w:t>
      </w:r>
    </w:p>
    <w:p>
      <w:pPr>
        <w:spacing w:line="360" w:lineRule="auto"/>
        <w:ind w:firstLine="720" w:firstLineChars="3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委托方（甲方）：</w:t>
      </w:r>
      <w:r>
        <w:rPr>
          <w:rFonts w:hint="eastAsia" w:ascii="宋体" w:hAnsi="宋体" w:cs="宋体"/>
          <w:color w:val="000000" w:themeColor="text1"/>
          <w:sz w:val="24"/>
          <w:u w:val="single"/>
          <w14:textFill>
            <w14:solidFill>
              <w14:schemeClr w14:val="tx1"/>
            </w14:solidFill>
          </w14:textFill>
        </w:rPr>
        <w:t xml:space="preserve">  深圳市前海深港现代服务业合作区管理局  </w:t>
      </w:r>
    </w:p>
    <w:p>
      <w:pPr>
        <w:spacing w:line="360" w:lineRule="auto"/>
        <w:ind w:firstLine="720" w:firstLineChars="3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承接方（乙方）：</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pPr>
        <w:spacing w:line="360" w:lineRule="auto"/>
        <w:jc w:val="center"/>
        <w:rPr>
          <w:rFonts w:hint="eastAsia" w:ascii="宋体" w:hAnsi="宋体" w:cs="宋体"/>
          <w:color w:val="000000" w:themeColor="text1"/>
          <w:sz w:val="24"/>
          <w14:textFill>
            <w14:solidFill>
              <w14:schemeClr w14:val="tx1"/>
            </w14:solidFill>
          </w14:textFill>
        </w:rPr>
      </w:pPr>
    </w:p>
    <w:p>
      <w:pPr>
        <w:spacing w:line="360" w:lineRule="auto"/>
        <w:jc w:val="center"/>
        <w:rPr>
          <w:rFonts w:hint="eastAsia" w:ascii="宋体" w:hAnsi="宋体" w:cs="宋体"/>
          <w:color w:val="000000" w:themeColor="text1"/>
          <w:sz w:val="24"/>
          <w14:textFill>
            <w14:solidFill>
              <w14:schemeClr w14:val="tx1"/>
            </w14:solidFill>
          </w14:textFill>
        </w:rPr>
      </w:pPr>
    </w:p>
    <w:p>
      <w:pPr>
        <w:spacing w:line="360" w:lineRule="auto"/>
        <w:jc w:val="center"/>
        <w:rPr>
          <w:rFonts w:hint="eastAsia" w:ascii="宋体" w:hAnsi="宋体" w:cs="宋体"/>
          <w:color w:val="000000" w:themeColor="text1"/>
          <w:sz w:val="24"/>
          <w14:textFill>
            <w14:solidFill>
              <w14:schemeClr w14:val="tx1"/>
            </w14:solidFill>
          </w14:textFill>
        </w:rPr>
      </w:pPr>
    </w:p>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二〇二五年  月</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 xml:space="preserve">甲方： </w:t>
      </w:r>
      <w:r>
        <w:rPr>
          <w:rFonts w:hint="eastAsia" w:ascii="宋体" w:hAnsi="宋体" w:cs="宋体"/>
          <w:color w:val="000000" w:themeColor="text1"/>
          <w:sz w:val="24"/>
          <w:u w:val="single"/>
          <w14:textFill>
            <w14:solidFill>
              <w14:schemeClr w14:val="tx1"/>
            </w14:solidFill>
          </w14:textFill>
        </w:rPr>
        <w:t>深圳市前海深港现代服务业合作区管理局</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地址： </w:t>
      </w:r>
      <w:r>
        <w:rPr>
          <w:rFonts w:hint="eastAsia" w:ascii="宋体" w:hAnsi="宋体" w:cs="宋体"/>
          <w:color w:val="000000" w:themeColor="text1"/>
          <w:sz w:val="24"/>
          <w:u w:val="single"/>
          <w14:textFill>
            <w14:solidFill>
              <w14:schemeClr w14:val="tx1"/>
            </w14:solidFill>
          </w14:textFill>
        </w:rPr>
        <w:t>深圳市前海深港合作区</w:t>
      </w:r>
      <w:r>
        <w:rPr>
          <w:rFonts w:ascii="宋体" w:hAnsi="宋体" w:cs="宋体"/>
          <w:color w:val="000000" w:themeColor="text1"/>
          <w:sz w:val="24"/>
          <w:u w:val="single"/>
          <w14:textFill>
            <w14:solidFill>
              <w14:schemeClr w14:val="tx1"/>
            </w14:solidFill>
          </w14:textFill>
        </w:rPr>
        <w:t>桂湾五路123号前海大厦T1栋前海管理局</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乙方：</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地址：</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以下甲方和乙方合称“双方”。</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根据《中华人民共和国民法典》等法律、法规的相关规定和编号为【</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】招标项目的中标结果，由【***】单位（以下简称乙方）为中标人。按照《中华人民共和国民法典》和《深圳经济特区政府采购条例》，经甲乙双方协商，就甲方委托</w:t>
      </w:r>
      <w:r>
        <w:rPr>
          <w:rFonts w:hint="eastAsia" w:ascii="宋体" w:hAnsi="宋体" w:cs="宋体"/>
          <w:b/>
          <w:bCs/>
          <w:color w:val="000000" w:themeColor="text1"/>
          <w:sz w:val="24"/>
          <w:u w:val="single"/>
          <w14:textFill>
            <w14:solidFill>
              <w14:schemeClr w14:val="tx1"/>
            </w14:solidFill>
          </w14:textFill>
        </w:rPr>
        <w:t>乙方开展</w:t>
      </w:r>
      <w:r>
        <w:rPr>
          <w:rFonts w:hint="eastAsia" w:ascii="宋体" w:hAnsi="宋体" w:cs="宋体"/>
          <w:color w:val="000000" w:themeColor="text1"/>
          <w:sz w:val="24"/>
          <w:u w:val="single"/>
          <w:lang w:eastAsia="zh-CN"/>
          <w14:textFill>
            <w14:solidFill>
              <w14:schemeClr w14:val="tx1"/>
            </w14:solidFill>
          </w14:textFill>
        </w:rPr>
        <w:t>前海合作区设立以来高水平改革开放创新综合性成果评价研究</w:t>
      </w:r>
      <w:r>
        <w:rPr>
          <w:rFonts w:hint="eastAsia" w:ascii="宋体" w:hAnsi="宋体" w:cs="宋体"/>
          <w:b/>
          <w:bCs/>
          <w:color w:val="000000" w:themeColor="text1"/>
          <w:kern w:val="0"/>
          <w:sz w:val="24"/>
          <w:u w:val="single"/>
          <w14:textFill>
            <w14:solidFill>
              <w14:schemeClr w14:val="tx1"/>
            </w14:solidFill>
          </w14:textFill>
        </w:rPr>
        <w:t>（以下简称本项目）</w:t>
      </w:r>
      <w:r>
        <w:rPr>
          <w:rFonts w:hint="eastAsia" w:ascii="宋体" w:hAnsi="宋体" w:cs="宋体"/>
          <w:color w:val="000000" w:themeColor="text1"/>
          <w:sz w:val="24"/>
          <w14:textFill>
            <w14:solidFill>
              <w14:schemeClr w14:val="tx1"/>
            </w14:solidFill>
          </w14:textFill>
        </w:rPr>
        <w:t>，达成以下合同条款：</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第一条 项目内容</w:t>
      </w:r>
    </w:p>
    <w:p>
      <w:pPr>
        <w:spacing w:line="360" w:lineRule="auto"/>
        <w:ind w:firstLine="480" w:firstLineChars="200"/>
        <w:outlineLvl w:val="2"/>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1、项目名称：</w:t>
      </w:r>
      <w:r>
        <w:rPr>
          <w:rFonts w:hint="eastAsia" w:ascii="宋体" w:hAnsi="宋体" w:cs="宋体"/>
          <w:color w:val="000000" w:themeColor="text1"/>
          <w:sz w:val="24"/>
          <w:lang w:eastAsia="zh-CN"/>
          <w14:textFill>
            <w14:solidFill>
              <w14:schemeClr w14:val="tx1"/>
            </w14:solidFill>
          </w14:textFill>
        </w:rPr>
        <w:t>前海合作区设立以来高水平改革开放创新综合性成果评价研究</w:t>
      </w:r>
    </w:p>
    <w:p>
      <w:pPr>
        <w:tabs>
          <w:tab w:val="left" w:pos="720"/>
        </w:tabs>
        <w:autoSpaceDE w:val="0"/>
        <w:autoSpaceDN w:val="0"/>
        <w:adjustRightInd w:val="0"/>
        <w:spacing w:line="360" w:lineRule="auto"/>
        <w:ind w:right="17" w:firstLine="480"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、服务内容</w:t>
      </w:r>
    </w:p>
    <w:p>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从金融发展、数据特区、营商环境、制度创新、法治建设、党建创新、专业人士执业、法定机构区域治理模式、自贸区建设、医疗教育港澳与国际联通、青年梦工场、e站通、现代服务业、国际化城市新中心、深港合作等15个方面系统梳理前海合作区15周年的15件标志性成果及成效，深入分析前海改革创新实践背后的制度逻辑和发展脉络，总结提炼具有引领性、示范性和创新性的改革经验，具体包括以下十五个方面</w:t>
      </w:r>
      <w:r>
        <w:rPr>
          <w:rFonts w:hint="eastAsia" w:ascii="宋体" w:hAnsi="宋体" w:cs="宋体"/>
          <w:color w:val="000000" w:themeColor="text1"/>
          <w:sz w:val="24"/>
          <w:highlight w:val="none"/>
          <w:lang w:eastAsia="zh-CN"/>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金融发展：金融开放高地，深港融合标杆——前海十五年金融发展经验与实践启示。系统梳理前海推进金融改革开放创新的成果，如“金融支持前海30条”、前海股权交易中心、前海深港国际金融城、前海自由贸易（FT）账户等。</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2.2数据特区：制度创新筑基，数据要素赋能——前海“数据特区”探索与实践。系统梳理前海数据要素产业发展成果，如数据经纪人创新中心、国际数据产业园区、深港数据跨境验证平台等。</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营商环境：勇立潮头十五载，制度创新筑辉煌——前海区域营商环境优化实践路径。系统梳理前海打造国际一流营商环境成果，如创建信用经济试验区、首创企业开办“双录签名”“商事登记行政确认制”等改革，实施AI+产业资金人工智能辅助审批等。</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2.4制度创新：启新之章·领航之路：解构前海制度创新的探索与实践。系统梳理前海制度创新成果，如坚持以制度创新为核心丰富拓展“前海模式”，加快打造全面深化改革创新试验平台等。</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法治建设：法治护航十五载，前海扬帆谱新篇——前海合作区法治建设十五年创新实践纪实。系统梳理前海法治建设成就，如率先实践“港资港法港仲裁”并拓展至大湾区内地城市，联动香港打造国际商事争议解决中心、深港国际法务区等。</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党建创新：铸魂领航，赋能发展——前海在高水平对外开放下加强党的建设的探索与实践。系统梳理前海党建创新成就，如探索高度开放条件下党建创新路径，建立“前海第一课”学习制度，发布全国首个加强自贸区党建的指导意见，探索自贸区党建新模式等。</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2.7专业人士执业：执业通港澳，服务融湾区——前海专业人士执业实践的探索、成就与启示。系统梳理前海推进规则机制一体化衔接成就，如26类港澳专业人士可直接或经备案（登记）便利执业。</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法定机构区域治理模式：夯实善治之基石，激发区域活力——前海法定机构赋能区域发展的探索与实践。系统梳理前海法定机构区域治理模式创新成果，如创新合作区治理模式，坚持“统、分、优、放、协”，形成行政区与经济区适度分离、优势叠加的新型区域治理模式等。</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2.9自贸区建设：对标国际立潮头，改革深化辟新途——前海自贸区建设的经验回顾与展望。系统梳理前海自贸区建设成果，如高标准实施自贸试验区提升战略，打造国内外双循环最佳联接点等。</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2.10医疗教育港澳与国际联通：破冰之策·融通之桥·共进之帆——探析医疗教育港澳与国际联通的创新路径。系统梳理前海医疗教育创新成果，如加强教育、医疗等公共服务体系对接，集聚国际化医疗机构、获批港澳药械等。</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青年梦工场：深港融合，梦启前海——前海深港青年梦工场探索与实践。系统梳理前海青年梦工场建设成果，如实施梦工场“1510”新模式，建设香港青年创新创业平台，孵化港澳台及国际团队，引进香港重点高校科技成果转化平台、举办粤港澳台青年创新创业大赛等。</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e站通：e站通联港澳服务通湾区——前海港澳e站通跨境服务探索与经验。系统梳理前海e站通建设成果，如构建“一门通办、一次办结、一网服务、一体运行”服务模式，打造港澳e站通服务平台、建设“深圳·前海出海e站通”，与40个海外园区合作，助力企业开拓国际市场等。</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现代服务业：制度创新、深港融合、产业集聚——前海现代服务业高质量发展经验与启示。系统梳理前海现代服务业发展成果，如构建以现代服务业为引领、战略性新兴产业为支撑、未来产业加快布局的现代化产业体系等。</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2.14国际化城市新中心：湾区引擎、时代标杆——深圳前海国际化城市新中心建设的经验探索与实践启示。系统梳理前海建设国际化城市新中心成果，如全国率先探索形成三维地籍为核心的土地立体化管理模式，率先推行土地1.5级开发，加快建设前海博物馆、湾区书城、前海冰雪世界等文旅地标等。</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深港合作：服务香港，携手共赢——前海深港合作十五周年回顾与启新。系统梳理前海深港合作成果，如坚持依托香港、服务香港，在“一国两制”框架下先行先试，服务香港“三中心一高地”建设，联合港方成立前海建设专班，联动香港特区政府相关政策局共同发布知识产权、</w:t>
      </w:r>
      <w:r>
        <w:rPr>
          <w:rFonts w:hint="eastAsia" w:ascii="宋体" w:hAnsi="宋体" w:cs="宋体"/>
          <w:color w:val="000000" w:themeColor="text1"/>
          <w:sz w:val="24"/>
          <w:highlight w:val="none"/>
          <w:lang w:eastAsia="zh-CN"/>
          <w14:textFill>
            <w14:solidFill>
              <w14:schemeClr w14:val="tx1"/>
            </w14:solidFill>
          </w14:textFill>
        </w:rPr>
        <w:t>风投</w:t>
      </w:r>
      <w:r>
        <w:rPr>
          <w:rFonts w:hint="eastAsia" w:ascii="宋体" w:hAnsi="宋体" w:cs="宋体"/>
          <w:color w:val="000000" w:themeColor="text1"/>
          <w:sz w:val="24"/>
          <w:highlight w:val="none"/>
          <w14:textFill>
            <w14:solidFill>
              <w14:schemeClr w14:val="tx1"/>
            </w14:solidFill>
          </w14:textFill>
        </w:rPr>
        <w:t>创投等政策措施等。</w:t>
      </w:r>
    </w:p>
    <w:p>
      <w:pPr>
        <w:spacing w:line="360" w:lineRule="auto"/>
        <w:ind w:firstLine="480" w:firstLineChars="200"/>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3、进度安排</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本项目服务期限自</w:t>
      </w:r>
      <w:r>
        <w:rPr>
          <w:rFonts w:hint="eastAsia" w:ascii="宋体" w:hAnsi="宋体" w:cs="宋体"/>
          <w:bCs/>
          <w:color w:val="000000" w:themeColor="text1"/>
          <w:sz w:val="24"/>
          <w:highlight w:val="none"/>
          <w:lang w:eastAsia="zh-CN"/>
          <w14:textFill>
            <w14:solidFill>
              <w14:schemeClr w14:val="tx1"/>
            </w14:solidFill>
          </w14:textFill>
        </w:rPr>
        <w:t>签订</w:t>
      </w:r>
      <w:r>
        <w:rPr>
          <w:rFonts w:hint="eastAsia" w:ascii="宋体" w:hAnsi="宋体" w:cs="宋体"/>
          <w:bCs/>
          <w:color w:val="000000" w:themeColor="text1"/>
          <w:sz w:val="24"/>
          <w:highlight w:val="none"/>
          <w14:textFill>
            <w14:solidFill>
              <w14:schemeClr w14:val="tx1"/>
            </w14:solidFill>
          </w14:textFill>
        </w:rPr>
        <w:t>合同之日起至2025年12月10日。</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3.1</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确定思路及报告框架：自</w:t>
      </w:r>
      <w:r>
        <w:rPr>
          <w:rFonts w:hint="eastAsia" w:ascii="宋体" w:hAnsi="宋体" w:cs="宋体"/>
          <w:bCs/>
          <w:color w:val="000000" w:themeColor="text1"/>
          <w:sz w:val="24"/>
          <w:highlight w:val="none"/>
          <w:lang w:eastAsia="zh-CN"/>
          <w14:textFill>
            <w14:solidFill>
              <w14:schemeClr w14:val="tx1"/>
            </w14:solidFill>
          </w14:textFill>
        </w:rPr>
        <w:t>签订</w:t>
      </w:r>
      <w:r>
        <w:rPr>
          <w:rFonts w:hint="eastAsia" w:ascii="宋体" w:hAnsi="宋体" w:cs="宋体"/>
          <w:bCs/>
          <w:color w:val="000000" w:themeColor="text1"/>
          <w:sz w:val="24"/>
          <w:highlight w:val="none"/>
          <w14:textFill>
            <w14:solidFill>
              <w14:schemeClr w14:val="tx1"/>
            </w14:solidFill>
          </w14:textFill>
        </w:rPr>
        <w:t>合同2个星期内，在广泛收集材料、初步调研的基础上，确定项目研究思路及报告框架。</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3.2</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形成研究报告（初稿）：开展前期调研、起草形成前海合作区十五周年系列报告初稿及配套文件。自合同</w:t>
      </w:r>
      <w:r>
        <w:rPr>
          <w:rFonts w:hint="eastAsia" w:ascii="宋体" w:hAnsi="宋体" w:cs="宋体"/>
          <w:bCs/>
          <w:color w:val="000000" w:themeColor="text1"/>
          <w:sz w:val="24"/>
          <w:highlight w:val="none"/>
          <w:lang w:eastAsia="zh-CN"/>
          <w14:textFill>
            <w14:solidFill>
              <w14:schemeClr w14:val="tx1"/>
            </w14:solidFill>
          </w14:textFill>
        </w:rPr>
        <w:t>签订</w:t>
      </w:r>
      <w:r>
        <w:rPr>
          <w:rFonts w:hint="eastAsia" w:ascii="宋体" w:hAnsi="宋体" w:cs="宋体"/>
          <w:bCs/>
          <w:color w:val="000000" w:themeColor="text1"/>
          <w:sz w:val="24"/>
          <w:highlight w:val="none"/>
          <w14:textFill>
            <w14:solidFill>
              <w14:schemeClr w14:val="tx1"/>
            </w14:solidFill>
          </w14:textFill>
        </w:rPr>
        <w:t>之日起1个月内完成；</w:t>
      </w:r>
    </w:p>
    <w:p>
      <w:pPr>
        <w:spacing w:line="360" w:lineRule="auto"/>
        <w:ind w:firstLine="480" w:firstLineChars="200"/>
        <w:outlineLvl w:val="1"/>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3.3</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形成研究报告（定稿）：自合同</w:t>
      </w:r>
      <w:r>
        <w:rPr>
          <w:rFonts w:hint="eastAsia" w:ascii="宋体" w:hAnsi="宋体" w:cs="宋体"/>
          <w:bCs/>
          <w:color w:val="000000" w:themeColor="text1"/>
          <w:sz w:val="24"/>
          <w:highlight w:val="none"/>
          <w:lang w:eastAsia="zh-CN"/>
          <w14:textFill>
            <w14:solidFill>
              <w14:schemeClr w14:val="tx1"/>
            </w14:solidFill>
          </w14:textFill>
        </w:rPr>
        <w:t>签订</w:t>
      </w:r>
      <w:r>
        <w:rPr>
          <w:rFonts w:hint="eastAsia" w:ascii="宋体" w:hAnsi="宋体" w:cs="宋体"/>
          <w:bCs/>
          <w:color w:val="000000" w:themeColor="text1"/>
          <w:sz w:val="24"/>
          <w:highlight w:val="none"/>
          <w14:textFill>
            <w14:solidFill>
              <w14:schemeClr w14:val="tx1"/>
            </w14:solidFill>
          </w14:textFill>
        </w:rPr>
        <w:t>之日起3个月内完成，优化完善系列研究报告，组织召开专家评审会，并根据专家评审意见对报告进一步深化修改完善，形成最终稿。</w:t>
      </w:r>
    </w:p>
    <w:p>
      <w:pPr>
        <w:spacing w:line="360" w:lineRule="auto"/>
        <w:ind w:firstLine="480" w:firstLineChars="200"/>
        <w:outlineLvl w:val="1"/>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3.4</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2025年12月10日前完成“</w:t>
      </w:r>
      <w:r>
        <w:rPr>
          <w:rFonts w:hint="eastAsia" w:ascii="宋体" w:hAnsi="宋体" w:cs="宋体"/>
          <w:bCs/>
          <w:color w:val="000000" w:themeColor="text1"/>
          <w:sz w:val="24"/>
          <w:highlight w:val="none"/>
          <w:lang w:eastAsia="zh-CN"/>
          <w14:textFill>
            <w14:solidFill>
              <w14:schemeClr w14:val="tx1"/>
            </w14:solidFill>
          </w14:textFill>
        </w:rPr>
        <w:t>前海合作区设立以来高水平改革开放创新综合性成果评价研究</w:t>
      </w:r>
      <w:r>
        <w:rPr>
          <w:rFonts w:hint="eastAsia" w:ascii="宋体" w:hAnsi="宋体" w:eastAsia="宋体" w:cs="宋体"/>
          <w:bCs/>
          <w:color w:val="000000" w:themeColor="text1"/>
          <w:sz w:val="24"/>
          <w:highlight w:val="none"/>
          <w14:textFill>
            <w14:solidFill>
              <w14:schemeClr w14:val="tx1"/>
            </w14:solidFill>
          </w14:textFill>
        </w:rPr>
        <w:t>”报告一份、高质量信息一份、决策参考一份。</w:t>
      </w:r>
    </w:p>
    <w:p>
      <w:pPr>
        <w:spacing w:line="360" w:lineRule="auto"/>
        <w:ind w:firstLine="482" w:firstLineChars="200"/>
        <w:outlineLvl w:val="1"/>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第二条  服务期限、服务地点及后续服务要求</w:t>
      </w:r>
    </w:p>
    <w:p>
      <w:pPr>
        <w:widowControl/>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1、服务期限：</w:t>
      </w:r>
      <w:r>
        <w:rPr>
          <w:rFonts w:hint="eastAsia" w:ascii="宋体" w:hAnsi="宋体" w:cs="宋体"/>
          <w:bCs/>
          <w:color w:val="000000" w:themeColor="text1"/>
          <w:sz w:val="24"/>
          <w:highlight w:val="none"/>
          <w14:textFill>
            <w14:solidFill>
              <w14:schemeClr w14:val="tx1"/>
            </w14:solidFill>
          </w14:textFill>
        </w:rPr>
        <w:t>本项目服务期限自</w:t>
      </w:r>
      <w:r>
        <w:rPr>
          <w:rFonts w:hint="eastAsia" w:ascii="宋体" w:hAnsi="宋体" w:cs="宋体"/>
          <w:bCs/>
          <w:color w:val="000000" w:themeColor="text1"/>
          <w:sz w:val="24"/>
          <w:highlight w:val="none"/>
          <w:lang w:eastAsia="zh-CN"/>
          <w14:textFill>
            <w14:solidFill>
              <w14:schemeClr w14:val="tx1"/>
            </w14:solidFill>
          </w14:textFill>
        </w:rPr>
        <w:t>签订</w:t>
      </w:r>
      <w:r>
        <w:rPr>
          <w:rFonts w:hint="eastAsia" w:ascii="宋体" w:hAnsi="宋体" w:cs="宋体"/>
          <w:bCs/>
          <w:color w:val="000000" w:themeColor="text1"/>
          <w:sz w:val="24"/>
          <w:highlight w:val="none"/>
          <w14:textFill>
            <w14:solidFill>
              <w14:schemeClr w14:val="tx1"/>
            </w14:solidFill>
          </w14:textFill>
        </w:rPr>
        <w:t>合同之日起至2025年12月10日</w:t>
      </w:r>
      <w:r>
        <w:rPr>
          <w:rFonts w:hint="eastAsia" w:ascii="宋体" w:hAnsi="宋体" w:cs="宋体"/>
          <w:color w:val="000000" w:themeColor="text1"/>
          <w:sz w:val="24"/>
          <w:highlight w:val="none"/>
          <w14:textFill>
            <w14:solidFill>
              <w14:schemeClr w14:val="tx1"/>
            </w14:solidFill>
          </w14:textFill>
        </w:rPr>
        <w:t>。</w:t>
      </w:r>
    </w:p>
    <w:p>
      <w:pPr>
        <w:widowControl/>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2、服务地点：甲方指定地点。</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3、后续服务要求</w:t>
      </w:r>
    </w:p>
    <w:p>
      <w:pPr>
        <w:spacing w:line="360" w:lineRule="auto"/>
        <w:ind w:firstLine="480"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项目后续服务期限为最终成果通过甲方审查之日起的6个月内，后续服务期内，服务期内乙方应向甲方提供后续的专业技术支持与咨询服务。</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第三条  项目资料归属</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1、所有提交给甲方的项目文件及相关资料的</w:t>
      </w:r>
      <w:r>
        <w:rPr>
          <w:rFonts w:ascii="宋体" w:hAnsi="宋体" w:cs="宋体"/>
          <w:color w:val="000000" w:themeColor="text1"/>
          <w:sz w:val="24"/>
          <w14:textFill>
            <w14:solidFill>
              <w14:schemeClr w14:val="tx1"/>
            </w14:solidFill>
          </w14:textFill>
        </w:rPr>
        <w:t>阶段性成果及</w:t>
      </w:r>
      <w:r>
        <w:rPr>
          <w:rFonts w:hint="eastAsia" w:ascii="宋体" w:hAnsi="宋体" w:cs="宋体"/>
          <w:color w:val="000000" w:themeColor="text1"/>
          <w:sz w:val="24"/>
          <w14:textFill>
            <w14:solidFill>
              <w14:schemeClr w14:val="tx1"/>
            </w14:solidFill>
          </w14:textFill>
        </w:rPr>
        <w:t>最后文本，包括为履行服务范围所编制的计划和证明资料等，都属于甲方</w:t>
      </w:r>
      <w:r>
        <w:rPr>
          <w:rFonts w:ascii="宋体" w:hAnsi="宋体" w:cs="宋体"/>
          <w:color w:val="000000" w:themeColor="text1"/>
          <w:sz w:val="24"/>
          <w14:textFill>
            <w14:solidFill>
              <w14:schemeClr w14:val="tx1"/>
            </w14:solidFill>
          </w14:textFill>
        </w:rPr>
        <w:t>所有</w:t>
      </w:r>
      <w:r>
        <w:rPr>
          <w:rFonts w:hint="eastAsia" w:ascii="宋体" w:hAnsi="宋体" w:cs="宋体"/>
          <w:color w:val="000000" w:themeColor="text1"/>
          <w:sz w:val="24"/>
          <w14:textFill>
            <w14:solidFill>
              <w14:schemeClr w14:val="tx1"/>
            </w14:solidFill>
          </w14:textFill>
        </w:rPr>
        <w:t>，乙方在提交给甲方之前应将上述资料进行整理归类和编制索引。</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2、乙方未经甲方的书面同意，不得将上述资料用于与本项目之外的任何项目，也不得将其泄露或授权给第三方使用。</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第四条  甲方的义务</w:t>
      </w:r>
    </w:p>
    <w:p>
      <w:pPr>
        <w:spacing w:line="460" w:lineRule="exact"/>
        <w:ind w:firstLine="480" w:firstLineChars="200"/>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、向乙方提供与本项目服务工作有关的资料。</w:t>
      </w:r>
    </w:p>
    <w:p>
      <w:pPr>
        <w:spacing w:line="460" w:lineRule="exact"/>
        <w:ind w:firstLine="480" w:firstLineChars="200"/>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、负责组织对项目成果的</w:t>
      </w:r>
      <w:r>
        <w:rPr>
          <w:rFonts w:ascii="宋体" w:hAnsi="宋体" w:cs="宋体"/>
          <w:color w:val="000000" w:themeColor="text1"/>
          <w:sz w:val="24"/>
          <w14:textFill>
            <w14:solidFill>
              <w14:schemeClr w14:val="tx1"/>
            </w14:solidFill>
          </w14:textFill>
        </w:rPr>
        <w:t>验收</w:t>
      </w:r>
      <w:r>
        <w:rPr>
          <w:rFonts w:hint="eastAsia" w:ascii="宋体" w:hAnsi="宋体" w:cs="宋体"/>
          <w:color w:val="000000" w:themeColor="text1"/>
          <w:sz w:val="24"/>
          <w14:textFill>
            <w14:solidFill>
              <w14:schemeClr w14:val="tx1"/>
            </w14:solidFill>
          </w14:textFill>
        </w:rPr>
        <w:t>。</w:t>
      </w:r>
    </w:p>
    <w:p>
      <w:pPr>
        <w:spacing w:line="460" w:lineRule="exact"/>
        <w:ind w:firstLine="480" w:firstLineChars="200"/>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、根据合同的条款按时支付合同价款。</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第五条 乙方的义务</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１、应按照【QH2025109】号招标文件、乙方投标文件以及本合同的要求按期完成本项目服务工作。</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2、在履行合同期间或合同规定期限内，不得泄露与本合同规定业务活动有关的保密资料。</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应按国家、广东省及深圳市的有关法律法规、设计标准、技术规范以及本合同约定的工作内容、工作进度等要求提供研究服务，并对其提交的研究意见负责。对于与本项目工作内容相关的其他相关项目，乙方应进行充分了解并做好协调与衔接工作。</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4、对甲方提出的合理的额外服务，不应予以拒绝。</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乙方应接受甲方对工作进展的询问、监督和指导，严格按本合同约定的内容、标准和期限完成项目研究工作，并向甲方提交项目研究成果。项目工作完成后，乙方应按照甲方要求将完成本项目的工作总结和相关台</w:t>
      </w:r>
      <w:r>
        <w:rPr>
          <w:rFonts w:hint="eastAsia" w:ascii="宋体" w:hAnsi="宋体" w:cs="宋体"/>
          <w:color w:val="000000" w:themeColor="text1"/>
          <w:sz w:val="24"/>
          <w:lang w:eastAsia="zh-CN"/>
          <w14:textFill>
            <w14:solidFill>
              <w14:schemeClr w14:val="tx1"/>
            </w14:solidFill>
          </w14:textFill>
        </w:rPr>
        <w:t>账</w:t>
      </w:r>
      <w:r>
        <w:rPr>
          <w:rFonts w:hint="eastAsia" w:ascii="宋体" w:hAnsi="宋体" w:cs="宋体"/>
          <w:color w:val="000000" w:themeColor="text1"/>
          <w:sz w:val="24"/>
          <w14:textFill>
            <w14:solidFill>
              <w14:schemeClr w14:val="tx1"/>
            </w14:solidFill>
          </w14:textFill>
        </w:rPr>
        <w:t>资料交给甲方。</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6、乙方应采取必要措施配合甲方验收人员的工作，对于验收过程中发现的问题，乙方应在发现问题之日起3天内进行改正，以符合甲方的需要。</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7、乙方应独立完成本项目。未经甲方书面在先同意，乙方不得向任何第三方全部或部分转让本项目。</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乙方对其工作人员在合同履行期间的一切行为负责，期间发生的一切安全事故责任、其它人身损害及因此发生的人身损害赔偿和其他费用由乙方自行承担，与甲方无关。若因此导致甲方支付赔偿及其他费用，乙方应全部偿还给甲方。</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r>
        <w:rPr>
          <w:rFonts w:hint="eastAsia" w:ascii="宋体" w:hAnsi="宋体" w:cs="宋体"/>
          <w:color w:val="000000" w:themeColor="text1"/>
          <w:kern w:val="0"/>
          <w:sz w:val="24"/>
          <w14:textFill>
            <w14:solidFill>
              <w14:schemeClr w14:val="tx1"/>
            </w14:solidFill>
          </w14:textFill>
        </w:rPr>
        <w:t>为保证项目成果的质量，乙方在合同履行期间，应按照要求成立专门的项目小组，并保障项目团队成员（含项目负责人）到位。项目负责人负责对项目实施全过程进行组织和指导，并承担课题研究的实质性工作。乙方应保证本合同的主要核心成员在项目实施期间全程参与项目实质性工作。如确需更换项目团队成员（含项目负责人），乙方应事先征得甲方的同意，且接替人员的职位、资历应与原定成员相当，否则，每擅自更换一个项目团队成员（含项目负责人），乙方应向甲方支付本合同总价款5%的违约金</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10、乙方有维护甲方声誉的义务，乙方不能以甲方名义从事与本项目无关的任何事务，否则甲方有权追究其相关责任。</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11、本合同期满或提前解除、终止后，乙方应将甲方的档案资料、信息数据等交还甲方，并应销毁或删除所有备份。</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12、乙方在完成本项目过程中，不得损害其他任何第三方的知识产权等合法权益，否则由此造成的相关责任应当由乙方自行承担，与甲方无关。</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13、乙方指定项目联系人</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乙方： </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姓名： </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联系方式： </w:t>
      </w:r>
    </w:p>
    <w:p>
      <w:pPr>
        <w:spacing w:line="360" w:lineRule="auto"/>
        <w:ind w:firstLine="480" w:firstLineChars="20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变更项目联系人的，应当在5个工作日内以书面形式通知甲方。未及时通知并影响本合同履行或造成损失的，应承担相应的责任。乙方变更通讯地址或者联系方式，应及时将变更后的地址、联系方式通知甲方，否则乙方应对此造成的一切后果承担责任。</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第六条  甲方的权利</w:t>
      </w:r>
    </w:p>
    <w:p>
      <w:pPr>
        <w:snapToGrid w:val="0"/>
        <w:spacing w:line="360" w:lineRule="auto"/>
        <w:ind w:firstLine="420" w:firstLineChars="1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1、甲方对项目过程的决策、控制、实施等环节实行全面管理，协调和监督研究工作开展，控制项目工作过程，进行项目成果验收。</w:t>
      </w:r>
    </w:p>
    <w:p>
      <w:pPr>
        <w:snapToGrid w:val="0"/>
        <w:spacing w:line="360" w:lineRule="auto"/>
        <w:ind w:firstLine="420" w:firstLineChars="1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2、检查乙方人员到位情况，如因人力、能力不足致使工作不能按计划完成时，有权要求乙方增加或替换相应的技术人员，直至甲方认可，乙方不得拒绝。</w:t>
      </w:r>
    </w:p>
    <w:p>
      <w:pPr>
        <w:snapToGrid w:val="0"/>
        <w:spacing w:line="360" w:lineRule="auto"/>
        <w:ind w:firstLine="420" w:firstLineChars="1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3、甲方有权向乙方询问项目工作进展及相关情况，并要求乙方在指定时间内做出答复。</w:t>
      </w:r>
    </w:p>
    <w:p>
      <w:pPr>
        <w:snapToGrid w:val="0"/>
        <w:spacing w:line="360" w:lineRule="auto"/>
        <w:ind w:firstLine="420" w:firstLineChars="1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4、甲方有权对乙方提交的阶段性成果、最终成果送审稿等相关工作文件进行审核并提出修改意见。</w:t>
      </w:r>
    </w:p>
    <w:p>
      <w:pPr>
        <w:snapToGrid w:val="0"/>
        <w:spacing w:line="360" w:lineRule="auto"/>
        <w:ind w:firstLine="420" w:firstLineChars="1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5、甲方对乙方在委托权限范围内完成委托事项有指导、监督权利。</w:t>
      </w:r>
    </w:p>
    <w:p>
      <w:pPr>
        <w:snapToGrid w:val="0"/>
        <w:spacing w:line="360" w:lineRule="auto"/>
        <w:ind w:firstLine="420" w:firstLineChars="1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6、甲方有权要求乙方全面履行合同。甲方不接受部分履行，如本合同项下部分成果文件未能按时交付则视为整体延误。</w:t>
      </w:r>
    </w:p>
    <w:p>
      <w:pPr>
        <w:snapToGrid w:val="0"/>
        <w:spacing w:line="360" w:lineRule="auto"/>
        <w:ind w:firstLine="420" w:firstLineChars="1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7、如乙方所提供的项目成果不符合本合同的要求，甲方有权要求乙方重新执行相应的工作服务，由此产生的全部费用由乙方自行承担，同时，甲方的付款时间相应顺延。</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第七条  乙方的权利</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1、乙方在本项目服务过程中，如甲方提供的资料不明确时可向甲方提出书面报告。</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2、乙方在本项目服务过程中，有权要求甲方就本服务业务有关的问题予以协调和支持。</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3、乙方在本项目服务过程中，有到现场勘察并要求甲方协调的权利。</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4、根据合同约定收取相应的合同价款。</w:t>
      </w:r>
    </w:p>
    <w:p>
      <w:pPr>
        <w:spacing w:line="460" w:lineRule="exact"/>
        <w:ind w:firstLine="480" w:firstLineChars="200"/>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、乙方就本协议项下全部义务无条件对甲方承担连带责任。</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第八条  人员要求</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以下为本项目核心领导团队。</w:t>
      </w:r>
    </w:p>
    <w:tbl>
      <w:tblPr>
        <w:tblStyle w:val="18"/>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性别</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年龄</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学历</w:t>
            </w: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职称、职务</w:t>
            </w: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拟任</w:t>
            </w:r>
            <w:r>
              <w:rPr>
                <w:rFonts w:ascii="宋体" w:hAnsi="宋体" w:cs="宋体"/>
                <w:color w:val="000000" w:themeColor="text1"/>
                <w:sz w:val="24"/>
                <w14:textFill>
                  <w14:solidFill>
                    <w14:schemeClr w14:val="tx1"/>
                  </w14:solidFill>
                </w14:textFill>
              </w:rPr>
              <w:t>团队</w:t>
            </w:r>
            <w:r>
              <w:rPr>
                <w:rFonts w:hint="eastAsia" w:ascii="宋体" w:hAnsi="宋体" w:cs="宋体"/>
                <w:color w:val="000000" w:themeColor="text1"/>
                <w:sz w:val="24"/>
                <w14:textFill>
                  <w14:solidFill>
                    <w14:schemeClr w14:val="tx1"/>
                  </w14:solidFill>
                </w14:textFill>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r>
    </w:tbl>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1、参加本项目的人员必须具有国家和有关部门规定的相应资质。</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2、参加本项目的人员配置必须与合同中的项目成员组成一致，若需调整需经甲方同意后，方可变更。</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3、必须以乙方直属人员</w:t>
      </w:r>
      <w:r>
        <w:rPr>
          <w:rFonts w:ascii="宋体" w:hAnsi="宋体" w:cs="宋体"/>
          <w:color w:val="000000" w:themeColor="text1"/>
          <w:sz w:val="24"/>
          <w14:textFill>
            <w14:solidFill>
              <w14:schemeClr w14:val="tx1"/>
            </w14:solidFill>
          </w14:textFill>
        </w:rPr>
        <w:t>（直属人员指</w:t>
      </w:r>
      <w:r>
        <w:rPr>
          <w:rFonts w:hint="eastAsia" w:ascii="宋体" w:hAnsi="宋体" w:cs="宋体"/>
          <w:color w:val="000000" w:themeColor="text1"/>
          <w:sz w:val="24"/>
          <w14:textFill>
            <w14:solidFill>
              <w14:schemeClr w14:val="tx1"/>
            </w14:solidFill>
          </w14:textFill>
        </w:rPr>
        <w:t>劳动合同、社会保险等劳动关系</w:t>
      </w:r>
      <w:r>
        <w:rPr>
          <w:rFonts w:ascii="宋体" w:hAnsi="宋体" w:cs="宋体"/>
          <w:color w:val="000000" w:themeColor="text1"/>
          <w:sz w:val="24"/>
          <w14:textFill>
            <w14:solidFill>
              <w14:schemeClr w14:val="tx1"/>
            </w14:solidFill>
          </w14:textFill>
        </w:rPr>
        <w:t>在乙方的人员）</w:t>
      </w:r>
      <w:r>
        <w:rPr>
          <w:rFonts w:hint="eastAsia" w:ascii="宋体" w:hAnsi="宋体" w:cs="宋体"/>
          <w:color w:val="000000" w:themeColor="text1"/>
          <w:sz w:val="24"/>
          <w14:textFill>
            <w14:solidFill>
              <w14:schemeClr w14:val="tx1"/>
            </w14:solidFill>
          </w14:textFill>
        </w:rPr>
        <w:t>参与本项目服务，不得使用挂靠队伍。</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第九条 成果权属与知识产权</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1、本项目全部阶段性成果和最终成果的所有权、知识产权以及与之相关的所有权利归甲方所有；本合同签署前双方已经拥有的知识产权权利，仍归各自所有。</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2、双方确定，甲方有权对乙方按照本合同约定提供的成果进行后续改进。由此产生的具有实质性或创造性技术进步特征的新的技术成果及其权利全部由甲方享有。</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所提交的全部阶段性成果和最终成果文件及任何数据、资料、软件等不得侵犯任何第三方的知识产权或其他权利，由于该等文件、数据、资料、软件侵权所导致的任何索赔或责任均由乙方承担。同时，甲方有权要求乙方修改成果至不侵权或解除合同，并保留要求乙方赔偿全部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甲方书面在先同意，乙方不得将本项目的阶段性成果和/或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5、乙方完成本项目的研究人员享有在有关技术成果文件上署名的权利和与甲方共同获得有关荣誉证书、奖励的权利。</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第十条  保密条款</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bookmarkStart w:id="26" w:name="_Toc216520223"/>
      <w:r>
        <w:rPr>
          <w:rFonts w:hint="eastAsia" w:ascii="宋体" w:hAnsi="宋体" w:cs="宋体"/>
          <w:color w:val="000000" w:themeColor="text1"/>
          <w:sz w:val="24"/>
          <w14:textFill>
            <w14:solidFill>
              <w14:schemeClr w14:val="tx1"/>
            </w14:solidFill>
          </w14:textFill>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26"/>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3、乙方须以保密方式处理在编制本项目成果文件过程中自甲方、甲方工作人员或甲方关联机构获得的相关信息、资料、图纸、数据等，或由甲方在履行本合同过程中明确指明为秘密的任何信息</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以及乙方因本项目工作所直接或间接取得、处理或接触的任何其他资料。未经甲方书面在先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4、乙方实施项目的程序应符合国家安全、保密的有关规定和标准。</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bookmarkStart w:id="27" w:name="_Toc216520224"/>
      <w:r>
        <w:rPr>
          <w:rFonts w:hint="eastAsia" w:ascii="宋体" w:hAnsi="宋体" w:cs="宋体"/>
          <w:color w:val="000000" w:themeColor="text1"/>
          <w:sz w:val="24"/>
          <w14:textFill>
            <w14:solidFill>
              <w14:schemeClr w14:val="tx1"/>
            </w14:solidFill>
          </w14:textFill>
        </w:rPr>
        <w:t>5</w:t>
      </w:r>
      <w:bookmarkEnd w:id="27"/>
      <w:bookmarkStart w:id="28" w:name="_Toc216520226"/>
      <w:r>
        <w:rPr>
          <w:rFonts w:hint="eastAsia" w:ascii="宋体" w:hAnsi="宋体" w:cs="宋体"/>
          <w:color w:val="000000" w:themeColor="text1"/>
          <w:sz w:val="24"/>
          <w14:textFill>
            <w14:solidFill>
              <w14:schemeClr w14:val="tx1"/>
            </w14:solidFill>
          </w14:textFill>
        </w:rPr>
        <w:t>、上述保密义务不适用以下情况：</w:t>
      </w:r>
      <w:bookmarkEnd w:id="28"/>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（1）获取的信息已被合法公开；</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（2）获得信息拥有方书面许可并在该许可范围内披露；</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（3）国家法律、法规规定的情形。</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如乙方违反上述保密条款，甲方有权解除本合同，乙方应在合同解除通知发出之日起10日内向甲方支付本合同服务费总金额20%的违约金，如果违约金无法弥补甲方损失，甲方保留要求乙方赔偿全部损失的权利，包括但不限于前述责任所产生的诉讼费用、合理的律师费用、鉴定评估费用、调查费用、和解金额或生效法律文书中规定的赔偿金额。</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7、无论本合同或本合同其他条款是否有效，本保密条款始终约束双方。国家秘密的保密期限由国家有关部门确定，工作秘密的保密期限由甲方确定。</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第十一条  项目服务费用及付款方式</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1、合同价款：本合同项下服务费总金额共计人民币 XXXX 元整（￥ ）。服务费包括但不限于人员研究费用、调研差旅费、专家咨询费、会议及专家差旅费、资料费、税费等所有费用，并提供合同要求的有关成果材料，以及其它相关服务的全部费用。在合同实施期间，除另签补充合同外，甲方不接受乙方以任何理由、任何名目提出增加费用的要求。</w:t>
      </w:r>
    </w:p>
    <w:p>
      <w:pPr>
        <w:widowControl/>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2、付款方式：</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合同金额由甲方分2期支付至乙方指定银行账户：</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2.1、首期：合同</w:t>
      </w:r>
      <w:r>
        <w:rPr>
          <w:rFonts w:hint="eastAsia" w:ascii="宋体" w:hAnsi="宋体" w:cs="宋体"/>
          <w:color w:val="000000" w:themeColor="text1"/>
          <w:sz w:val="24"/>
          <w:lang w:eastAsia="zh-CN"/>
          <w14:textFill>
            <w14:solidFill>
              <w14:schemeClr w14:val="tx1"/>
            </w14:solidFill>
          </w14:textFill>
        </w:rPr>
        <w:t>签订</w:t>
      </w:r>
      <w:r>
        <w:rPr>
          <w:rFonts w:hint="eastAsia" w:ascii="宋体" w:hAnsi="宋体" w:cs="宋体"/>
          <w:color w:val="000000" w:themeColor="text1"/>
          <w:sz w:val="24"/>
          <w14:textFill>
            <w14:solidFill>
              <w14:schemeClr w14:val="tx1"/>
            </w14:solidFill>
          </w14:textFill>
        </w:rPr>
        <w:t>生效后，根据乙方的付款申请，向乙方支付合同服务费总金额的50%；即人民币  整（¥  元）；</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hint="eastAsia" w:asciiTheme="minorEastAsia" w:hAnsiTheme="minorEastAsia" w:eastAsiaTheme="minorEastAsia" w:cstheme="minorEastAsia"/>
          <w:color w:val="000000" w:themeColor="text1"/>
          <w:sz w:val="24"/>
          <w14:textFill>
            <w14:solidFill>
              <w14:schemeClr w14:val="tx1"/>
            </w14:solidFill>
          </w14:textFill>
        </w:rPr>
        <w:t>尾期：提交最终成果并经甲方验收通过后，根据</w:t>
      </w:r>
      <w:r>
        <w:rPr>
          <w:rFonts w:hint="eastAsia" w:ascii="宋体" w:hAnsi="宋体" w:cs="宋体"/>
          <w:color w:val="000000" w:themeColor="text1"/>
          <w:sz w:val="24"/>
          <w14:textFill>
            <w14:solidFill>
              <w14:schemeClr w14:val="tx1"/>
            </w14:solidFill>
          </w14:textFill>
        </w:rPr>
        <w:t>乙方</w:t>
      </w:r>
      <w:r>
        <w:rPr>
          <w:rFonts w:hint="eastAsia" w:asciiTheme="minorEastAsia" w:hAnsiTheme="minorEastAsia" w:eastAsiaTheme="minorEastAsia" w:cstheme="minorEastAsia"/>
          <w:color w:val="000000" w:themeColor="text1"/>
          <w:sz w:val="24"/>
          <w14:textFill>
            <w14:solidFill>
              <w14:schemeClr w14:val="tx1"/>
            </w14:solidFill>
          </w14:textFill>
        </w:rPr>
        <w:t>的付款申请，向</w:t>
      </w:r>
      <w:r>
        <w:rPr>
          <w:rFonts w:hint="eastAsia" w:ascii="宋体" w:hAnsi="宋体" w:cs="宋体"/>
          <w:color w:val="000000" w:themeColor="text1"/>
          <w:sz w:val="24"/>
          <w14:textFill>
            <w14:solidFill>
              <w14:schemeClr w14:val="tx1"/>
            </w14:solidFill>
          </w14:textFill>
        </w:rPr>
        <w:t>乙方</w:t>
      </w:r>
      <w:r>
        <w:rPr>
          <w:rFonts w:hint="eastAsia" w:asciiTheme="minorEastAsia" w:hAnsiTheme="minorEastAsia" w:eastAsiaTheme="minorEastAsia" w:cstheme="minorEastAsia"/>
          <w:color w:val="000000" w:themeColor="text1"/>
          <w:sz w:val="24"/>
          <w14:textFill>
            <w14:solidFill>
              <w14:schemeClr w14:val="tx1"/>
            </w14:solidFill>
          </w14:textFill>
        </w:rPr>
        <w:t>支付本合同服务费总金额的</w:t>
      </w:r>
      <w:r>
        <w:rPr>
          <w:rFonts w:hint="eastAsia" w:asciiTheme="minorEastAsia" w:hAnsiTheme="minorEastAsia" w:cstheme="minorEastAsia"/>
          <w:color w:val="000000" w:themeColor="text1"/>
          <w:sz w:val="24"/>
          <w14:textFill>
            <w14:solidFill>
              <w14:schemeClr w14:val="tx1"/>
            </w14:solidFill>
          </w14:textFill>
        </w:rPr>
        <w:t>50</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；即人民币  整（¥  元）。</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上述每期款项均在满足付款条件，且甲方收到乙方开具的载明相应金额的合格发票后15个工作日内付至乙方指定银行账户。如未及时收到发票，则甲方相应付款时间顺延。若因甲方付款审批影响支付进度，请乙方予以谅解，并不得就此向甲方索赔。</w:t>
      </w:r>
    </w:p>
    <w:p>
      <w:pPr>
        <w:widowControl/>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3、乙方银行账户信息：</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开户银行： </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户名：</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账号：</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第十二条 项目最终成果及验收方式</w:t>
      </w:r>
    </w:p>
    <w:p>
      <w:pPr>
        <w:widowControl/>
        <w:spacing w:line="360" w:lineRule="auto"/>
        <w:ind w:firstLine="480" w:firstLineChars="200"/>
        <w:jc w:val="left"/>
        <w:outlineLvl w:val="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项目最终成果</w:t>
      </w:r>
    </w:p>
    <w:p>
      <w:pPr>
        <w:widowControl/>
        <w:spacing w:line="360" w:lineRule="auto"/>
        <w:ind w:firstLine="480" w:firstLineChars="200"/>
        <w:jc w:val="left"/>
        <w:outlineLvl w:val="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系列报告：前海合作区十五周年系列报告。</w:t>
      </w:r>
    </w:p>
    <w:p>
      <w:pPr>
        <w:widowControl/>
        <w:spacing w:line="360" w:lineRule="auto"/>
        <w:ind w:firstLine="480" w:firstLineChars="200"/>
        <w:jc w:val="left"/>
        <w:outlineLvl w:val="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成果转化：一份高质量信息、一份决策参考。</w:t>
      </w:r>
    </w:p>
    <w:p>
      <w:pPr>
        <w:widowControl/>
        <w:spacing w:line="360" w:lineRule="auto"/>
        <w:ind w:firstLine="480" w:firstLineChars="200"/>
        <w:jc w:val="left"/>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、验收要求及验收方式</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2.1、乙方提供的服务内容应获得甲方组织的成果验收，具体流程如下：</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（1）查重：乙方向甲方提交课题研究报告，同步提供第三方查重系统对课题成果内容查重报告，重复率不得超过20%。</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专家评审：课题研究报告通过查重后，甲方组织外部专家进行评审，评审采用专家评审会或专家匿名评审方式开展。评审通过的，乙方应结合评审意见对课题研究报告进行修改完善，并将最终成果提交甲方进行验收。未通过评审的，乙方应继续开展研究，并于两个月内提请甲方再次组织评审。再次评审不通过的，课题提前终止。</w:t>
      </w:r>
    </w:p>
    <w:p>
      <w:pPr>
        <w:widowControl/>
        <w:spacing w:line="360" w:lineRule="auto"/>
        <w:ind w:firstLine="480" w:firstLineChars="200"/>
        <w:jc w:val="left"/>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2.2、项目最终成果验收合格的标志为：通过甲方组织的专家评审和结题会审查并同意结题</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第十三条 合同提前终止</w:t>
      </w:r>
    </w:p>
    <w:p>
      <w:pPr>
        <w:adjustRightInd w:val="0"/>
        <w:spacing w:line="360" w:lineRule="auto"/>
        <w:ind w:firstLine="480" w:firstLineChars="200"/>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1、双方协商同意提前终止本合同的，按双方协商约定的方式进行清算执行。</w:t>
      </w:r>
    </w:p>
    <w:p>
      <w:pPr>
        <w:adjustRightInd w:val="0"/>
        <w:spacing w:line="360" w:lineRule="auto"/>
        <w:ind w:firstLine="480" w:firstLineChars="200"/>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adjustRightInd w:val="0"/>
        <w:spacing w:line="360" w:lineRule="auto"/>
        <w:ind w:firstLine="480" w:firstLineChars="200"/>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3、有下列情形之一的，本合同自甲方向乙方发出书面通知之日起终止：</w:t>
      </w:r>
    </w:p>
    <w:p>
      <w:pPr>
        <w:adjustRightInd w:val="0"/>
        <w:spacing w:line="360" w:lineRule="auto"/>
        <w:ind w:firstLine="480" w:firstLineChars="200"/>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0"/>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甲方的职能发生转变，不再具有委托职能。</w:t>
      </w:r>
    </w:p>
    <w:p>
      <w:pPr>
        <w:adjustRightInd w:val="0"/>
        <w:spacing w:line="360" w:lineRule="auto"/>
        <w:ind w:firstLine="480" w:firstLineChars="200"/>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0"/>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本合同</w:t>
      </w:r>
      <w:r>
        <w:rPr>
          <w:rFonts w:hint="eastAsia" w:ascii="宋体" w:hAnsi="宋体" w:cs="宋体"/>
          <w:color w:val="000000" w:themeColor="text1"/>
          <w:kern w:val="0"/>
          <w:sz w:val="24"/>
          <w:lang w:eastAsia="zh-CN"/>
          <w14:textFill>
            <w14:solidFill>
              <w14:schemeClr w14:val="tx1"/>
            </w14:solidFill>
          </w14:textFill>
        </w:rPr>
        <w:t>签订</w:t>
      </w:r>
      <w:r>
        <w:rPr>
          <w:rFonts w:hint="eastAsia" w:ascii="宋体" w:hAnsi="宋体" w:cs="宋体"/>
          <w:color w:val="000000" w:themeColor="text1"/>
          <w:kern w:val="0"/>
          <w:sz w:val="24"/>
          <w14:textFill>
            <w14:solidFill>
              <w14:schemeClr w14:val="tx1"/>
            </w14:solidFill>
          </w14:textFill>
        </w:rPr>
        <w:t>时适用的法律法规或政策发生变化，且对本合同的继续履行造成重大影响。</w:t>
      </w:r>
    </w:p>
    <w:p>
      <w:pPr>
        <w:adjustRightInd w:val="0"/>
        <w:spacing w:line="360" w:lineRule="auto"/>
        <w:ind w:firstLine="480" w:firstLineChars="200"/>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发生以上情形，甲方已向乙方支付的款项不退还，尚未支付的款项不再支付，同时乙方应向甲方提交在合同终止日前完成的所有项目文件和相关资料。</w:t>
      </w:r>
    </w:p>
    <w:p>
      <w:pPr>
        <w:adjustRightInd w:val="0"/>
        <w:spacing w:line="360" w:lineRule="auto"/>
        <w:ind w:firstLine="480" w:firstLineChars="200"/>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4、如发生不可抗力或其他超出合同双方控制的事件，致使一方无法履行合同，本合同解除。</w:t>
      </w:r>
    </w:p>
    <w:p>
      <w:pPr>
        <w:adjustRightInd w:val="0"/>
        <w:spacing w:line="360" w:lineRule="auto"/>
        <w:ind w:firstLine="480" w:firstLineChars="200"/>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0"/>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adjustRightInd w:val="0"/>
        <w:spacing w:line="360" w:lineRule="auto"/>
        <w:ind w:firstLine="480" w:firstLineChars="200"/>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0"/>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发生不可抗力，甲乙双方承担各自的损失。由于其中一方迟延履行合同义务后发生不可抗力的，其违约责任不能免除。</w:t>
      </w:r>
    </w:p>
    <w:p>
      <w:pPr>
        <w:adjustRightInd w:val="0"/>
        <w:spacing w:line="360" w:lineRule="auto"/>
        <w:ind w:firstLine="480" w:firstLineChars="200"/>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0"/>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第十四条  争议解决办法</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因本合同的履行发生的或与本合同有关的争议或纠纷，由甲乙双方协商解决。协商不成的，任意一方有权向深圳前海合作区人民法院提起诉讼。</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第十五条 项目变更</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1、本合同履行过程中的需求变更和进度调整，以甲乙双方达成一致的书面文件为准。</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2、乙方遇到不能按时交货或按期完工的情况，应及时以书面形式将不能按时完工的理由、延误时间通知甲方。甲方在收到乙方通知后，根据情况决定是否延长完成时间。如同意延长，则乙方责任期也相应延长。</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3、因非乙方责任造成项目进度推迟或延误，无法按照合同约定的日期完成相应的项目，双方经过协商可以进一步约定完成的日期，乙方的责任期也随之顺延。</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4、在合同所约定的工作范畴内的服务，本合同价格不予变更。</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第十六条 风险责任</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乙方应完全地按照【QH2025109】号招标文件的要求和乙方投标文件的承诺完成本项目，出于自身财务、技术、人力等原因导致项目失败的，应承担全部责任。</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第十七条  违约责任</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1、因乙方原因，未能按规定时间完成有关工作的，每延误一天，甲方有权自尚未支付的合同款项中扣除合同服务总金额的5‰的逾期违约金。</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2、如乙方提供的服务或成果不符合质量要求，必须在甲方提出要求后7个日历日无条件修改，其费用由乙方承担。</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3、本合同履行期间，发生下述情形时，甲方有权解除本合同，乙方除应退还甲方已支付的全部款项外</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还应在合同解除通知发出之日起10日内向甲方支付合同总价款20%的违约金。乙方应同时将已完成的项目成果移交给甲方，并将全部有关资料退还甲方：</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3.1因乙方工作的错误或遗漏造成成果质量不符合本合同要求，且乙方未按甲方要求采取及时有效的补救措施的；</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3.2乙方未能按合同约定的日期(含协商延缓的日期)提交工作成果，延误时间超过30个工作日；或乙方虽如期提交阶段性成果和最终成果，但最终成果连续二次未能通过评审验收的；</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3.4未经甲方书面在先同意，乙方擅自将本合同项目与任何第三方合作，或将本合同标的全部或部分擅自转包给任何第三方，且未按甲方的要求终止与第三方的合同的；</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3.5乙方明确表示或者以自己的行为表明不履行本合同的。</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除因审批流程及财政部门预算下达延误影响甲方支出进度外，如甲方未按照本合同约定的时间支付服务费，乙方书面催告甲方并给予不少于15个工作日的履行期限后甲方仍未支付的，乙方有权自该期限届满之日起要求甲方支付该阶段应付而未付合同价款每日1‰的逾期违约金。如甲方无正当理由拒绝接受服务，到期明确表示拒付服务款项，乙方有权要求甲方支付本合同项下服务费总金额10%的违约金。</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上述违约责任各自独立且可累加。如本合同所约定的违约金无法弥补因违约行为所造成的损失，违约方应补偿上述不足部分的损失，包括但不限于前述责任所产生的诉讼费用、合理的律师费用、鉴定评估费用、调查费用、和解金额或生效法律文书中规定的赔偿金额。</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第十八条  其他</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有关本项目的中标文件、招标文件、投标书等共同构成本合同的组成部分，上述文件可相互说明。如果上述文件发生矛盾或产生不一致时，按以下顺序进行解释，同一顺序的文件发生矛盾或存在不一致时，应以</w:t>
      </w:r>
      <w:r>
        <w:rPr>
          <w:rFonts w:hint="eastAsia" w:ascii="宋体" w:hAnsi="宋体" w:cs="宋体"/>
          <w:color w:val="000000" w:themeColor="text1"/>
          <w:sz w:val="24"/>
          <w:lang w:eastAsia="zh-CN"/>
          <w14:textFill>
            <w14:solidFill>
              <w14:schemeClr w14:val="tx1"/>
            </w14:solidFill>
          </w14:textFill>
        </w:rPr>
        <w:t>签订</w:t>
      </w:r>
      <w:r>
        <w:rPr>
          <w:rFonts w:hint="eastAsia" w:ascii="宋体" w:hAnsi="宋体" w:cs="宋体"/>
          <w:color w:val="000000" w:themeColor="text1"/>
          <w:sz w:val="24"/>
          <w14:textFill>
            <w14:solidFill>
              <w14:schemeClr w14:val="tx1"/>
            </w14:solidFill>
          </w14:textFill>
        </w:rPr>
        <w:t>日期在后的为准：</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（1）合同书及补充协议；</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（2）中标通知书；</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（3）招标文件（编号：    ）及其澄清、补正公告；</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（4）投标书。</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3、本合同各条标题仅为提示之用，应以条文内容确定各方的权利义务。</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4、本合同未尽事宜，由双方协商</w:t>
      </w:r>
      <w:r>
        <w:rPr>
          <w:rFonts w:hint="eastAsia" w:ascii="宋体" w:hAnsi="宋体" w:cs="宋体"/>
          <w:color w:val="000000" w:themeColor="text1"/>
          <w:sz w:val="24"/>
          <w:lang w:eastAsia="zh-CN"/>
          <w14:textFill>
            <w14:solidFill>
              <w14:schemeClr w14:val="tx1"/>
            </w14:solidFill>
          </w14:textFill>
        </w:rPr>
        <w:t>签订</w:t>
      </w:r>
      <w:r>
        <w:rPr>
          <w:rFonts w:hint="eastAsia" w:ascii="宋体" w:hAnsi="宋体" w:cs="宋体"/>
          <w:color w:val="000000" w:themeColor="text1"/>
          <w:sz w:val="24"/>
          <w14:textFill>
            <w14:solidFill>
              <w14:schemeClr w14:val="tx1"/>
            </w14:solidFill>
          </w14:textFill>
        </w:rPr>
        <w:t>补充协议进行约定。补充协议应以书面形式作成，经双方法定代表人或其授权代表签字、盖章后与本合同具有同等法律效力。</w:t>
      </w:r>
    </w:p>
    <w:p>
      <w:pPr>
        <w:adjustRightInd w:val="0"/>
        <w:spacing w:line="360" w:lineRule="auto"/>
        <w:ind w:firstLine="480" w:firstLineChars="200"/>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5、本合同约定的权利和义务不因合同双方发生收购、兼并、重组、分立而发生变化。如果发生上述情形，则本合同约定的权利和义务随之转移至收购、兼并、重组或分立后成立的单位。</w:t>
      </w:r>
    </w:p>
    <w:p>
      <w:pPr>
        <w:adjustRightInd w:val="0"/>
        <w:spacing w:line="360" w:lineRule="auto"/>
        <w:ind w:firstLine="480" w:firstLineChars="200"/>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6、本合同在国家法律、法规和规章规定的范围内执行。当国家法律、法规和规章发生变化导致本合同有关条款与之抵触时，双方协商变更或废止该条款，在此情况下，双方互不承担责任。</w:t>
      </w:r>
    </w:p>
    <w:p>
      <w:pPr>
        <w:adjustRightInd w:val="0"/>
        <w:spacing w:line="360" w:lineRule="auto"/>
        <w:ind w:firstLine="480" w:firstLineChars="200"/>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7、如果本合同的任何条款在任何时候变成不合法、无效或不可强制执行而不从根本上影响本合同的效力时，本合同的其他条款不受影响。</w:t>
      </w:r>
    </w:p>
    <w:p>
      <w:pPr>
        <w:adjustRightInd w:val="0"/>
        <w:spacing w:line="360" w:lineRule="auto"/>
        <w:ind w:firstLine="480" w:firstLineChars="200"/>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adjustRightInd w:val="0"/>
        <w:spacing w:line="360" w:lineRule="auto"/>
        <w:ind w:firstLine="480" w:firstLineChars="200"/>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9、任何一方未经另一方同意不得向任何第三方透露本合同的</w:t>
      </w:r>
      <w:r>
        <w:rPr>
          <w:rFonts w:hint="eastAsia" w:ascii="宋体" w:hAnsi="宋体" w:cs="宋体"/>
          <w:color w:val="000000" w:themeColor="text1"/>
          <w:kern w:val="0"/>
          <w:sz w:val="24"/>
          <w:lang w:eastAsia="zh-CN"/>
          <w14:textFill>
            <w14:solidFill>
              <w14:schemeClr w14:val="tx1"/>
            </w14:solidFill>
          </w14:textFill>
        </w:rPr>
        <w:t>签订</w:t>
      </w:r>
      <w:r>
        <w:rPr>
          <w:rFonts w:hint="eastAsia" w:ascii="宋体" w:hAnsi="宋体" w:cs="宋体"/>
          <w:color w:val="000000" w:themeColor="text1"/>
          <w:kern w:val="0"/>
          <w:sz w:val="24"/>
          <w14:textFill>
            <w14:solidFill>
              <w14:schemeClr w14:val="tx1"/>
            </w14:solidFill>
          </w14:textFill>
        </w:rPr>
        <w:t>及其内容。甲方向其关联公司透露前述内容的，不受此限。</w:t>
      </w:r>
    </w:p>
    <w:p>
      <w:pPr>
        <w:adjustRightInd w:val="0"/>
        <w:spacing w:line="360" w:lineRule="auto"/>
        <w:ind w:firstLine="480" w:firstLineChars="200"/>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11、本合同自双方法定代表人或其授权代表签字、盖章之日起生效，有效期至本合同全部权利义务履行完毕之日止。</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12、本合同一式六份，甲、乙方各执三份，均具有同等法律效力。</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（以下无正文，为签章栏）</w:t>
      </w:r>
    </w:p>
    <w:p>
      <w:pPr>
        <w:widowControl/>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（本页为签章页）</w:t>
      </w:r>
    </w:p>
    <w:p>
      <w:pPr>
        <w:adjustRightInd w:val="0"/>
        <w:snapToGrid w:val="0"/>
        <w:spacing w:line="360" w:lineRule="auto"/>
        <w:rPr>
          <w:rFonts w:hint="eastAsia" w:ascii="宋体" w:hAnsi="宋体" w:cs="宋体"/>
          <w:color w:val="000000" w:themeColor="text1"/>
          <w:sz w:val="24"/>
          <w14:textFill>
            <w14:solidFill>
              <w14:schemeClr w14:val="tx1"/>
            </w14:solidFill>
          </w14:textFill>
        </w:rPr>
      </w:pPr>
    </w:p>
    <w:p>
      <w:pPr>
        <w:adjustRightInd w:val="0"/>
        <w:snapToGrid w:val="0"/>
        <w:spacing w:line="360" w:lineRule="auto"/>
        <w:rPr>
          <w:rFonts w:hint="eastAsia" w:ascii="宋体" w:hAnsi="宋体" w:cs="宋体"/>
          <w:color w:val="000000" w:themeColor="text1"/>
          <w:sz w:val="24"/>
          <w14:textFill>
            <w14:solidFill>
              <w14:schemeClr w14:val="tx1"/>
            </w14:solidFill>
          </w14:textFill>
        </w:rPr>
      </w:pPr>
    </w:p>
    <w:p>
      <w:pPr>
        <w:adjustRightInd w:val="0"/>
        <w:snapToGrid w:val="0"/>
        <w:spacing w:line="360" w:lineRule="auto"/>
        <w:rPr>
          <w:rFonts w:hint="eastAsia" w:ascii="宋体" w:hAnsi="宋体" w:cs="宋体"/>
          <w:color w:val="000000" w:themeColor="text1"/>
          <w:sz w:val="24"/>
          <w14:textFill>
            <w14:solidFill>
              <w14:schemeClr w14:val="tx1"/>
            </w14:solidFill>
          </w14:textFill>
        </w:rPr>
      </w:pPr>
    </w:p>
    <w:p>
      <w:pPr>
        <w:adjustRightInd w:val="0"/>
        <w:snapToGrid w:val="0"/>
        <w:spacing w:line="360" w:lineRule="auto"/>
        <w:ind w:firstLine="200"/>
        <w:rPr>
          <w:rFonts w:hint="eastAsia" w:ascii="宋体" w:hAnsi="宋体" w:cs="宋体"/>
          <w:color w:val="000000" w:themeColor="text1"/>
          <w:sz w:val="24"/>
          <w14:textFill>
            <w14:solidFill>
              <w14:schemeClr w14:val="tx1"/>
            </w14:solidFill>
          </w14:textFill>
        </w:rPr>
      </w:pPr>
    </w:p>
    <w:p>
      <w:pPr>
        <w:adjustRightInd w:val="0"/>
        <w:snapToGrid w:val="0"/>
        <w:spacing w:line="360" w:lineRule="auto"/>
        <w:ind w:left="8312" w:hanging="8312" w:hangingChars="345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甲方名称：                                 乙方名称：</w:t>
      </w:r>
    </w:p>
    <w:p>
      <w:pPr>
        <w:adjustRightInd w:val="0"/>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深圳市前海深港现代服务业合作区管理局</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w:t>
      </w:r>
    </w:p>
    <w:p>
      <w:pPr>
        <w:adjustRightInd w:val="0"/>
        <w:snapToGrid w:val="0"/>
        <w:spacing w:line="360" w:lineRule="auto"/>
        <w:ind w:firstLine="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（盖章）</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（盖章）</w:t>
      </w:r>
    </w:p>
    <w:p>
      <w:pPr>
        <w:adjustRightInd w:val="0"/>
        <w:snapToGrid w:val="0"/>
        <w:spacing w:line="360" w:lineRule="auto"/>
        <w:ind w:firstLine="200"/>
        <w:rPr>
          <w:rFonts w:hint="eastAsia" w:ascii="宋体" w:hAnsi="宋体" w:cs="宋体"/>
          <w:color w:val="000000" w:themeColor="text1"/>
          <w:sz w:val="24"/>
          <w14:textFill>
            <w14:solidFill>
              <w14:schemeClr w14:val="tx1"/>
            </w14:solidFill>
          </w14:textFill>
        </w:rPr>
      </w:pPr>
    </w:p>
    <w:p>
      <w:pPr>
        <w:adjustRightInd w:val="0"/>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法定代表人或授权代表：（签字） </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法定代表人或授权代表：（签字）</w:t>
      </w:r>
    </w:p>
    <w:p>
      <w:pPr>
        <w:widowControl/>
        <w:adjustRightInd w:val="0"/>
        <w:snapToGrid w:val="0"/>
        <w:spacing w:line="360" w:lineRule="auto"/>
        <w:ind w:firstLine="200"/>
        <w:jc w:val="left"/>
        <w:rPr>
          <w:rFonts w:hint="eastAsia" w:ascii="宋体" w:hAnsi="宋体" w:cs="宋体"/>
          <w:color w:val="000000" w:themeColor="text1"/>
          <w:sz w:val="24"/>
          <w14:textFill>
            <w14:solidFill>
              <w14:schemeClr w14:val="tx1"/>
            </w14:solidFill>
          </w14:textFill>
        </w:rPr>
      </w:pPr>
    </w:p>
    <w:p>
      <w:pPr>
        <w:adjustRightInd w:val="0"/>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日期：</w:t>
      </w:r>
    </w:p>
    <w:p>
      <w:pPr>
        <w:adjustRightInd w:val="0"/>
        <w:snapToGrid w:val="0"/>
        <w:spacing w:line="360" w:lineRule="auto"/>
        <w:ind w:firstLine="720" w:firstLineChars="300"/>
        <w:rPr>
          <w:rFonts w:hint="eastAsia" w:ascii="宋体" w:hAnsi="宋体" w:cs="宋体"/>
          <w:color w:val="000000" w:themeColor="text1"/>
          <w:sz w:val="24"/>
          <w14:textFill>
            <w14:solidFill>
              <w14:schemeClr w14:val="tx1"/>
            </w14:solidFill>
          </w14:textFill>
        </w:rPr>
      </w:pPr>
    </w:p>
    <w:p>
      <w:pPr>
        <w:adjustRightInd w:val="0"/>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b/>
          <w:bCs/>
          <w:color w:val="000000" w:themeColor="text1"/>
          <w:szCs w:val="21"/>
          <w14:textFill>
            <w14:solidFill>
              <w14:schemeClr w14:val="tx1"/>
            </w14:solidFill>
          </w14:textFill>
        </w:rPr>
        <w:t>注：本合同样本仅供参考，具体条款内容采购人和中标人按前海管理局合同样本</w:t>
      </w:r>
      <w:r>
        <w:rPr>
          <w:rFonts w:hint="eastAsia" w:ascii="宋体" w:hAnsi="宋体"/>
          <w:b/>
          <w:bCs/>
          <w:color w:val="000000" w:themeColor="text1"/>
          <w:szCs w:val="21"/>
          <w:lang w:eastAsia="zh-CN"/>
          <w14:textFill>
            <w14:solidFill>
              <w14:schemeClr w14:val="tx1"/>
            </w14:solidFill>
          </w14:textFill>
        </w:rPr>
        <w:t>签订</w:t>
      </w:r>
      <w:r>
        <w:rPr>
          <w:rFonts w:hint="eastAsia" w:ascii="宋体" w:hAnsi="宋体"/>
          <w:b/>
          <w:bCs/>
          <w:color w:val="000000" w:themeColor="text1"/>
          <w:szCs w:val="21"/>
          <w14:textFill>
            <w14:solidFill>
              <w14:schemeClr w14:val="tx1"/>
            </w14:solidFill>
          </w14:textFill>
        </w:rPr>
        <w:t>。实际合同样本不改变本招标文件的实质条件</w:t>
      </w:r>
      <w:r>
        <w:rPr>
          <w:rFonts w:hint="eastAsia" w:ascii="宋体" w:hAnsi="宋体" w:cs="宋体"/>
          <w:b/>
          <w:bCs/>
          <w:color w:val="000000" w:themeColor="text1"/>
          <w:sz w:val="24"/>
          <w14:textFill>
            <w14:solidFill>
              <w14:schemeClr w14:val="tx1"/>
            </w14:solidFill>
          </w14:textFill>
        </w:rPr>
        <w:t>。</w:t>
      </w:r>
    </w:p>
    <w:p>
      <w:pPr>
        <w:snapToGrid w:val="0"/>
        <w:spacing w:line="360" w:lineRule="auto"/>
        <w:rPr>
          <w:rFonts w:hint="eastAsia" w:ascii="宋体" w:hAnsi="宋体" w:cs="宋体"/>
          <w:color w:val="000000" w:themeColor="text1"/>
          <w:sz w:val="24"/>
          <w14:textFill>
            <w14:solidFill>
              <w14:schemeClr w14:val="tx1"/>
            </w14:solidFill>
          </w14:textFill>
        </w:rPr>
      </w:pPr>
    </w:p>
    <w:p>
      <w:pPr>
        <w:pStyle w:val="7"/>
        <w:rPr>
          <w:rFonts w:hint="eastAsia" w:ascii="宋体" w:hAnsi="宋体" w:cs="宋体"/>
          <w:color w:val="000000" w:themeColor="text1"/>
          <w14:textFill>
            <w14:solidFill>
              <w14:schemeClr w14:val="tx1"/>
            </w14:solidFill>
          </w14:textFill>
        </w:rPr>
      </w:pPr>
    </w:p>
    <w:p>
      <w:pPr>
        <w:rPr>
          <w:color w:val="000000" w:themeColor="text1"/>
          <w14:textFill>
            <w14:solidFill>
              <w14:schemeClr w14:val="tx1"/>
            </w14:solidFill>
          </w14:textFill>
        </w:rPr>
      </w:pP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 xml:space="preserve"> </w:t>
      </w:r>
      <w:bookmarkStart w:id="29" w:name="_Toc25518"/>
      <w:r>
        <w:rPr>
          <w:rFonts w:hint="eastAsia" w:ascii="宋体" w:hAnsi="宋体" w:cs="宋体"/>
          <w:b/>
          <w:bCs/>
          <w:color w:val="000000" w:themeColor="text1"/>
          <w:sz w:val="24"/>
          <w14:textFill>
            <w14:solidFill>
              <w14:schemeClr w14:val="tx1"/>
            </w14:solidFill>
          </w14:textFill>
        </w:rPr>
        <w:t>用户需求书</w:t>
      </w:r>
      <w:bookmarkEnd w:id="29"/>
    </w:p>
    <w:p>
      <w:pPr>
        <w:pStyle w:val="26"/>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14:textFill>
            <w14:solidFill>
              <w14:schemeClr w14:val="tx1"/>
            </w14:solidFill>
          </w14:textFill>
        </w:rPr>
      </w:pPr>
      <w:bookmarkStart w:id="30" w:name="_Toc23726"/>
      <w:bookmarkStart w:id="31" w:name="_Toc11045"/>
      <w:r>
        <w:rPr>
          <w:rFonts w:hint="eastAsia" w:ascii="宋体" w:hAnsi="宋体" w:cs="宋体"/>
          <w:b/>
          <w:color w:val="000000" w:themeColor="text1"/>
          <w:sz w:val="24"/>
          <w14:textFill>
            <w14:solidFill>
              <w14:schemeClr w14:val="tx1"/>
            </w14:solidFill>
          </w14:textFill>
        </w:rPr>
        <w:t>说明：本章“用户需求书”的全部内容为本项目正常开展的基本要求，投标人必须完全响应，否则将导致投标无效。</w:t>
      </w:r>
    </w:p>
    <w:p>
      <w:pPr>
        <w:pStyle w:val="26"/>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w:t>
      </w:r>
      <w:bookmarkEnd w:id="30"/>
      <w:bookmarkEnd w:id="31"/>
      <w:bookmarkStart w:id="32" w:name="_Toc51746099"/>
      <w:r>
        <w:rPr>
          <w:rFonts w:hint="eastAsia" w:ascii="宋体" w:hAnsi="宋体" w:cs="宋体"/>
          <w:b/>
          <w:color w:val="000000" w:themeColor="text1"/>
          <w:sz w:val="24"/>
          <w:lang w:val="zh-CN"/>
          <w14:textFill>
            <w14:solidFill>
              <w14:schemeClr w14:val="tx1"/>
            </w14:solidFill>
          </w14:textFill>
        </w:rPr>
        <w:t>项目概况</w:t>
      </w:r>
    </w:p>
    <w:bookmarkEnd w:id="32"/>
    <w:p>
      <w:pPr>
        <w:pStyle w:val="26"/>
        <w:tabs>
          <w:tab w:val="left" w:pos="720"/>
        </w:tabs>
        <w:autoSpaceDE w:val="0"/>
        <w:autoSpaceDN w:val="0"/>
        <w:adjustRightInd w:val="0"/>
        <w:spacing w:line="360" w:lineRule="auto"/>
        <w:ind w:right="17" w:firstLine="480"/>
        <w:jc w:val="left"/>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bCs/>
          <w:color w:val="000000" w:themeColor="text1"/>
          <w:sz w:val="24"/>
          <w:lang w:val="en-US" w:eastAsia="zh-CN"/>
          <w14:textFill>
            <w14:solidFill>
              <w14:schemeClr w14:val="tx1"/>
            </w14:solidFill>
          </w14:textFill>
        </w:rPr>
        <w:t>一</w:t>
      </w: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推进前海开发开放，是习近平总书记亲自谋划、亲自部署、亲自推动的国家改革开放重大举措。习近平总书记视察前海时作出重要指示：“要扎实推进前海建设，拿出更多务实创新的改革举措，探索更多可复制可推广的经验”。《前海方案》《前海规划》要求，“及时总结提炼好的政策措施和做法，形成可复制可推广可操作的经验”。今年是前海合作区成立十五周年，省大湾区办明确要求总结提炼第一阶段发展成效、经验做法、归纳提出一批可见可知可感的标志性成果。</w:t>
      </w:r>
    </w:p>
    <w:p>
      <w:pPr>
        <w:pStyle w:val="26"/>
        <w:tabs>
          <w:tab w:val="left" w:pos="720"/>
        </w:tabs>
        <w:autoSpaceDE w:val="0"/>
        <w:autoSpaceDN w:val="0"/>
        <w:adjustRightInd w:val="0"/>
        <w:spacing w:line="360" w:lineRule="auto"/>
        <w:ind w:right="17" w:firstLine="480"/>
        <w:jc w:val="left"/>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bCs/>
          <w:color w:val="000000" w:themeColor="text1"/>
          <w:sz w:val="24"/>
          <w:lang w:val="en-US" w:eastAsia="zh-CN"/>
          <w14:textFill>
            <w14:solidFill>
              <w14:schemeClr w14:val="tx1"/>
            </w14:solidFill>
          </w14:textFill>
        </w:rPr>
        <w:t>二</w:t>
      </w: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十五年来，在省委省政府和市委市政府的正确领导下，前海合作区深入学习贯彻习近平总书记对广东、深圳系列重要讲话和重要指示精神以及关于前海开发开放的重要论述，始终牢记习近平总书记殷殷嘱托和党中央战略意图，扎实推进前海开发开放，在法定机构改革、营商环境优化、金融开放创新等方面开展创新实践，为全国探索高质量发展提供了重要经验。系统总结前海设立以来的改革开放创新成果，提炼可复制、可推广的前海经验，具有重要的战略意义和现实紧迫性。</w:t>
      </w:r>
    </w:p>
    <w:p>
      <w:pPr>
        <w:pStyle w:val="26"/>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二、服务内容</w:t>
      </w:r>
    </w:p>
    <w:p>
      <w:pPr>
        <w:pStyle w:val="26"/>
        <w:tabs>
          <w:tab w:val="left" w:pos="720"/>
        </w:tabs>
        <w:autoSpaceDE w:val="0"/>
        <w:autoSpaceDN w:val="0"/>
        <w:adjustRightInd w:val="0"/>
        <w:spacing w:line="360" w:lineRule="auto"/>
        <w:ind w:right="17" w:firstLine="480"/>
        <w:jc w:val="left"/>
        <w:outlineLvl w:val="1"/>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从金融发展、数据特区、营商环境、制度创新、法治建设、党建创新专业人士执业、法定机构区域治理模式、自贸区建设、医疗教育港澳与国际联通、青年梦工场、e站通、现代服务业、国际化城市新中心、深港合作等15个方面系统梳理前海合作区15周年的15件标志性成果及成效，深入分析前海改革创新实践背后的制度逻辑和发展脉络，总结提炼具有引领性、示范性和创新性的改革经验，具体包括以下十五个方面</w:t>
      </w:r>
      <w:r>
        <w:rPr>
          <w:rFonts w:hint="eastAsia" w:ascii="宋体" w:hAnsi="宋体" w:cs="宋体"/>
          <w:bCs/>
          <w:color w:val="000000" w:themeColor="text1"/>
          <w:sz w:val="24"/>
          <w:lang w:eastAsia="zh-CN"/>
          <w14:textFill>
            <w14:solidFill>
              <w14:schemeClr w14:val="tx1"/>
            </w14:solidFill>
          </w14:textFill>
        </w:rPr>
        <w:t>：</w:t>
      </w:r>
    </w:p>
    <w:p>
      <w:pPr>
        <w:pStyle w:val="26"/>
        <w:tabs>
          <w:tab w:val="left" w:pos="720"/>
        </w:tabs>
        <w:autoSpaceDE w:val="0"/>
        <w:autoSpaceDN w:val="0"/>
        <w:adjustRightInd w:val="0"/>
        <w:spacing w:line="360" w:lineRule="auto"/>
        <w:ind w:right="17" w:firstLine="480"/>
        <w:jc w:val="left"/>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金融发展：金融开放高地，深港融合标杆——前海十五年金融发展经验与实践启示。系统梳理前海推进金融改革开放创新的成果，如“金融支持前海30条”、前海股权交易中心、前海深港国际金融城、前海自由贸易（FT）账户等。</w:t>
      </w:r>
    </w:p>
    <w:p>
      <w:pPr>
        <w:pStyle w:val="26"/>
        <w:tabs>
          <w:tab w:val="left" w:pos="720"/>
        </w:tabs>
        <w:autoSpaceDE w:val="0"/>
        <w:autoSpaceDN w:val="0"/>
        <w:adjustRightInd w:val="0"/>
        <w:spacing w:line="360" w:lineRule="auto"/>
        <w:ind w:right="17" w:firstLine="480"/>
        <w:jc w:val="left"/>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（二）数据特区：制度创新筑基，数据要素赋能——前海“数据特区”探索与实践。系统梳理前海数据要素产业发展成果，如数据经纪人创新中心、国际数据产业园区、深港数据跨境验证平台等。</w:t>
      </w:r>
    </w:p>
    <w:p>
      <w:pPr>
        <w:pStyle w:val="26"/>
        <w:tabs>
          <w:tab w:val="left" w:pos="720"/>
        </w:tabs>
        <w:autoSpaceDE w:val="0"/>
        <w:autoSpaceDN w:val="0"/>
        <w:adjustRightInd w:val="0"/>
        <w:spacing w:line="360" w:lineRule="auto"/>
        <w:ind w:right="17" w:firstLine="480"/>
        <w:jc w:val="left"/>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营商环境：勇立潮头十五载，制度创新筑辉煌——前海区域营商环境优化实践路径。系统梳理前海打造国际一流营商环境成果，如创建信用经济试验区、首创企业开办“双录签名”“商事登记行政确认制”等改革，实施AI+产业资金人工智能辅助审批等。</w:t>
      </w:r>
    </w:p>
    <w:p>
      <w:pPr>
        <w:pStyle w:val="26"/>
        <w:tabs>
          <w:tab w:val="left" w:pos="720"/>
        </w:tabs>
        <w:autoSpaceDE w:val="0"/>
        <w:autoSpaceDN w:val="0"/>
        <w:adjustRightInd w:val="0"/>
        <w:spacing w:line="360" w:lineRule="auto"/>
        <w:ind w:right="17" w:firstLine="480"/>
        <w:jc w:val="left"/>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（四）制度创新：启新之章·领航之路：解构前海制度创新的探索与实践。系统梳理前海制度创新成果，如坚持以制度创新为核心丰富拓展“前海模式”，加快打造全面深化改革创新试验平台等。</w:t>
      </w:r>
    </w:p>
    <w:p>
      <w:pPr>
        <w:pStyle w:val="26"/>
        <w:tabs>
          <w:tab w:val="left" w:pos="720"/>
        </w:tabs>
        <w:autoSpaceDE w:val="0"/>
        <w:autoSpaceDN w:val="0"/>
        <w:adjustRightInd w:val="0"/>
        <w:spacing w:line="360" w:lineRule="auto"/>
        <w:ind w:right="17" w:firstLine="480"/>
        <w:jc w:val="left"/>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（五）法治建设：法治护航十五载 前海扬帆谱新篇——前海合作区法治建设十五年创新实践纪实。系统梳理前海法治建设成就，如率先实践“港资港法港仲裁”并拓展至大湾区内地城市，联动香港打造国际商事争议解决中心、深港国际法务区等。</w:t>
      </w:r>
    </w:p>
    <w:p>
      <w:pPr>
        <w:pStyle w:val="26"/>
        <w:tabs>
          <w:tab w:val="left" w:pos="720"/>
        </w:tabs>
        <w:autoSpaceDE w:val="0"/>
        <w:autoSpaceDN w:val="0"/>
        <w:adjustRightInd w:val="0"/>
        <w:spacing w:line="360" w:lineRule="auto"/>
        <w:ind w:right="17" w:firstLine="480"/>
        <w:jc w:val="left"/>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六）党建创新：铸魂领航，赋能发展——前海在高水平对外开放下加强党的建设的探索与实践。系统梳理前海党建创新成就，如探索高度开放条件下党建创新路径，建立“前海第一课”学习制度，发布全国首个加强自贸区党建的指导意见，探索自贸区党建新模式等。</w:t>
      </w:r>
    </w:p>
    <w:p>
      <w:pPr>
        <w:pStyle w:val="26"/>
        <w:tabs>
          <w:tab w:val="left" w:pos="720"/>
        </w:tabs>
        <w:autoSpaceDE w:val="0"/>
        <w:autoSpaceDN w:val="0"/>
        <w:adjustRightInd w:val="0"/>
        <w:spacing w:line="360" w:lineRule="auto"/>
        <w:ind w:right="17" w:firstLine="480"/>
        <w:jc w:val="left"/>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（七）专业人士执业：执业通港澳 服务融湾区——前海专业人士执业实践的探索、成就与启示。系统梳理前海推进规则机制一体化衔接成就，如26类港澳专业人士可直接或经备案（登记）便利执业。</w:t>
      </w:r>
    </w:p>
    <w:p>
      <w:pPr>
        <w:pStyle w:val="26"/>
        <w:tabs>
          <w:tab w:val="left" w:pos="720"/>
        </w:tabs>
        <w:autoSpaceDE w:val="0"/>
        <w:autoSpaceDN w:val="0"/>
        <w:adjustRightInd w:val="0"/>
        <w:spacing w:line="360" w:lineRule="auto"/>
        <w:ind w:right="17" w:firstLine="480"/>
        <w:jc w:val="left"/>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八）法定机构区域治理模式：夯实善治之基石，激发区域活力——前海法定机构赋能区域发展的探索与实践。系统梳理前海法定机构区域治理模式创新成果，如创新合作区治理模式，坚持“统、分、优、放、协”，形成行政区与经济区适度分离、优势叠加的新型区域治理模式等。</w:t>
      </w:r>
    </w:p>
    <w:p>
      <w:pPr>
        <w:pStyle w:val="26"/>
        <w:tabs>
          <w:tab w:val="left" w:pos="720"/>
        </w:tabs>
        <w:autoSpaceDE w:val="0"/>
        <w:autoSpaceDN w:val="0"/>
        <w:adjustRightInd w:val="0"/>
        <w:spacing w:line="360" w:lineRule="auto"/>
        <w:ind w:right="17" w:firstLine="480"/>
        <w:jc w:val="left"/>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（九）自贸区建设：对标国际立潮头，改革深化辟新途——前海自贸区建设的经验回顾与展望。系统梳理前海自贸区建设成果，如高标准实施自贸试验区提升战略，打造国内外双循环最佳联接点等。</w:t>
      </w:r>
    </w:p>
    <w:p>
      <w:pPr>
        <w:pStyle w:val="26"/>
        <w:tabs>
          <w:tab w:val="left" w:pos="720"/>
        </w:tabs>
        <w:autoSpaceDE w:val="0"/>
        <w:autoSpaceDN w:val="0"/>
        <w:adjustRightInd w:val="0"/>
        <w:spacing w:line="360" w:lineRule="auto"/>
        <w:ind w:right="17" w:firstLine="480"/>
        <w:jc w:val="left"/>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十）医疗教育港澳与国际联通：破冰之策·融通之桥·共进之帆——探析医疗教育港澳与国际联通的创新路径。系统梳理前海医疗教育创新成果，如加强教育、医疗等公共服务体系对接，集聚国际化医疗机构、获批港澳药械等。</w:t>
      </w:r>
    </w:p>
    <w:p>
      <w:pPr>
        <w:pStyle w:val="26"/>
        <w:tabs>
          <w:tab w:val="left" w:pos="720"/>
        </w:tabs>
        <w:autoSpaceDE w:val="0"/>
        <w:autoSpaceDN w:val="0"/>
        <w:adjustRightInd w:val="0"/>
        <w:spacing w:line="360" w:lineRule="auto"/>
        <w:ind w:right="17" w:firstLine="480"/>
        <w:jc w:val="left"/>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（十一）青年梦工场：深港融合 梦启前海——前海深港青年梦工场探索与实践。系统梳理前海青年梦工场建设成果，如实施梦工场“1510”新模式，建设香港青年创新创业平台，孵化港澳台及国际团队，引进香港重点高校科技成果转化平台、举办粤港澳台青年创新创业大赛等。</w:t>
      </w:r>
    </w:p>
    <w:p>
      <w:pPr>
        <w:pStyle w:val="26"/>
        <w:tabs>
          <w:tab w:val="left" w:pos="720"/>
        </w:tabs>
        <w:autoSpaceDE w:val="0"/>
        <w:autoSpaceDN w:val="0"/>
        <w:adjustRightInd w:val="0"/>
        <w:spacing w:line="360" w:lineRule="auto"/>
        <w:ind w:right="17" w:firstLine="480"/>
        <w:jc w:val="left"/>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十二）e站通：e站通联港澳服务通湾区——前海港澳e站通跨境服务探索与经验。系统梳理前海e站通建设成果，如构建“一门通办、一次办结、一网服务、一体运行”服务模式，打造港澳e站通服务平台、建设“深圳·前海出海e站通”，与40个海外园区合作，助力企业开拓国际市场等。</w:t>
      </w:r>
    </w:p>
    <w:p>
      <w:pPr>
        <w:pStyle w:val="26"/>
        <w:tabs>
          <w:tab w:val="left" w:pos="720"/>
        </w:tabs>
        <w:autoSpaceDE w:val="0"/>
        <w:autoSpaceDN w:val="0"/>
        <w:adjustRightInd w:val="0"/>
        <w:spacing w:line="360" w:lineRule="auto"/>
        <w:ind w:right="17" w:firstLine="480"/>
        <w:jc w:val="left"/>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十三）现代服务业：制度创新、深港融合、产业集聚——前海现代服务业高质量发展经验与启示。系统梳理前海现代服务业发展成果，如构建以现代服务业为引领、战略性新兴产业为支撑、未来产业加快布局的现代化产业体系等。</w:t>
      </w:r>
    </w:p>
    <w:p>
      <w:pPr>
        <w:pStyle w:val="26"/>
        <w:tabs>
          <w:tab w:val="left" w:pos="720"/>
        </w:tabs>
        <w:autoSpaceDE w:val="0"/>
        <w:autoSpaceDN w:val="0"/>
        <w:adjustRightInd w:val="0"/>
        <w:spacing w:line="360" w:lineRule="auto"/>
        <w:ind w:right="17" w:firstLine="480"/>
        <w:jc w:val="left"/>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十四）国际化城市新中心：湾区引擎、时代标杆——深圳前海国际化城市新中心建设的经验探索与实践启示。系统梳理前海建设国际化城市新中心成果，如全国率先探索形成三维地籍为核心的土地立体化管理模式，率先推行土地1.5级开发，加快建设前海博物馆、湾区书城、前海冰雪世界等文旅地标等。</w:t>
      </w:r>
    </w:p>
    <w:p>
      <w:pPr>
        <w:pStyle w:val="26"/>
        <w:tabs>
          <w:tab w:val="left" w:pos="720"/>
        </w:tabs>
        <w:autoSpaceDE w:val="0"/>
        <w:autoSpaceDN w:val="0"/>
        <w:adjustRightInd w:val="0"/>
        <w:spacing w:line="360" w:lineRule="auto"/>
        <w:ind w:right="17" w:firstLine="480"/>
        <w:jc w:val="left"/>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十五）深港合作：服务香港、携手共赢——前海深港合作十五周年回顾与启新。系统梳理前海深港合作成果，如坚持依托香港、服务香港，在“一国两制”框架下先行先试，服务香港“三中心一高地”建设，联合港方成立前海建设专班，联动香港特区政府相关政策局共同发布知识产权、</w:t>
      </w:r>
      <w:r>
        <w:rPr>
          <w:rFonts w:hint="eastAsia" w:ascii="宋体" w:hAnsi="宋体" w:cs="宋体"/>
          <w:bCs/>
          <w:color w:val="000000" w:themeColor="text1"/>
          <w:sz w:val="24"/>
          <w:lang w:eastAsia="zh-CN"/>
          <w14:textFill>
            <w14:solidFill>
              <w14:schemeClr w14:val="tx1"/>
            </w14:solidFill>
          </w14:textFill>
        </w:rPr>
        <w:t>风投</w:t>
      </w:r>
      <w:r>
        <w:rPr>
          <w:rFonts w:hint="eastAsia" w:ascii="宋体" w:hAnsi="宋体" w:cs="宋体"/>
          <w:bCs/>
          <w:color w:val="000000" w:themeColor="text1"/>
          <w:sz w:val="24"/>
          <w14:textFill>
            <w14:solidFill>
              <w14:schemeClr w14:val="tx1"/>
            </w14:solidFill>
          </w14:textFill>
        </w:rPr>
        <w:t>创投等政策措施等。</w:t>
      </w:r>
    </w:p>
    <w:p>
      <w:pPr>
        <w:pStyle w:val="26"/>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三、项目管理要求</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为确保本项目工作管理规范、实施有力，投标人应成立项目组，按采购人要求完成研究成果。</w:t>
      </w:r>
    </w:p>
    <w:p>
      <w:pPr>
        <w:pStyle w:val="26"/>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四、项目最终成果及验收方式</w:t>
      </w:r>
    </w:p>
    <w:p>
      <w:pPr>
        <w:pStyle w:val="26"/>
        <w:tabs>
          <w:tab w:val="left" w:pos="720"/>
        </w:tabs>
        <w:autoSpaceDE w:val="0"/>
        <w:autoSpaceDN w:val="0"/>
        <w:adjustRightInd w:val="0"/>
        <w:spacing w:line="360" w:lineRule="auto"/>
        <w:ind w:right="17" w:firstLine="480"/>
        <w:jc w:val="left"/>
        <w:outlineLvl w:val="2"/>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（一）项目最终成果</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1.系列报告：前海合作区十五周年系列报告。</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2.成果转化：一份高质量信息、一份决策参考。</w:t>
      </w:r>
    </w:p>
    <w:p>
      <w:pPr>
        <w:pStyle w:val="26"/>
        <w:tabs>
          <w:tab w:val="left" w:pos="720"/>
        </w:tabs>
        <w:autoSpaceDE w:val="0"/>
        <w:autoSpaceDN w:val="0"/>
        <w:adjustRightInd w:val="0"/>
        <w:spacing w:line="360" w:lineRule="auto"/>
        <w:ind w:right="17" w:firstLine="480"/>
        <w:jc w:val="left"/>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w:t>
      </w:r>
      <w:r>
        <w:rPr>
          <w:rFonts w:hint="eastAsia" w:ascii="宋体" w:hAnsi="宋体" w:cs="宋体"/>
          <w:color w:val="000000" w:themeColor="text1"/>
          <w:kern w:val="0"/>
          <w:sz w:val="24"/>
          <w:highlight w:val="none"/>
          <w14:textFill>
            <w14:solidFill>
              <w14:schemeClr w14:val="tx1"/>
            </w14:solidFill>
          </w14:textFill>
        </w:rPr>
        <w:t>验收要求及验收方式</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1.中标人提供的服务内容应获得采购人组织的成果验收，具体流程如下：</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（1）查重：中标人向采购人提交课题研究报告，同步提供第三方查重系统对课题成果内容查重报告，重复率不得超过20%。</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专家评审：课题研究报告通过查重后，采购人组织外部专家进行评审，评审采用专家评审会或专家匿名评审方式开展。评审通过的，中标人应结合评审意见对课题研究报告进行修改完善，并将最终成果提交采购人进行验收。未通过评审的，中标人应继续开展研究，并于两个月内提请采购人再次组织评审。再次评审不通过的，课题提前终止。</w:t>
      </w:r>
    </w:p>
    <w:p>
      <w:pPr>
        <w:widowControl/>
        <w:spacing w:line="360" w:lineRule="auto"/>
        <w:ind w:firstLine="480" w:firstLineChars="200"/>
        <w:jc w:val="left"/>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2、项目最终成果验收合格的标志为：通过采购人组织的专家评审和结题会审查并同意结题</w:t>
      </w:r>
      <w:r>
        <w:rPr>
          <w:rFonts w:hint="eastAsia" w:ascii="宋体" w:hAnsi="宋体" w:cs="宋体"/>
          <w:color w:val="000000" w:themeColor="text1"/>
          <w:sz w:val="24"/>
          <w:highlight w:val="none"/>
          <w14:textFill>
            <w14:solidFill>
              <w14:schemeClr w14:val="tx1"/>
            </w14:solidFill>
          </w14:textFill>
        </w:rPr>
        <w:t>。</w:t>
      </w:r>
    </w:p>
    <w:p>
      <w:pPr>
        <w:pStyle w:val="26"/>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五、后续服务要求</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项目后续服务期限为最终成果通过采购人审查之日起的6个月内，后续服务期内，服务期内中标人应向采购人提供后续的专业技术支持与咨询服务。</w:t>
      </w:r>
    </w:p>
    <w:p>
      <w:pPr>
        <w:pStyle w:val="26"/>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六、进度计划</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本项目服务期限自</w:t>
      </w:r>
      <w:r>
        <w:rPr>
          <w:rFonts w:hint="eastAsia" w:ascii="宋体" w:hAnsi="宋体" w:cs="宋体"/>
          <w:bCs/>
          <w:color w:val="000000" w:themeColor="text1"/>
          <w:sz w:val="24"/>
          <w:highlight w:val="none"/>
          <w:lang w:eastAsia="zh-CN"/>
          <w14:textFill>
            <w14:solidFill>
              <w14:schemeClr w14:val="tx1"/>
            </w14:solidFill>
          </w14:textFill>
        </w:rPr>
        <w:t>签订</w:t>
      </w:r>
      <w:r>
        <w:rPr>
          <w:rFonts w:hint="eastAsia" w:ascii="宋体" w:hAnsi="宋体" w:cs="宋体"/>
          <w:bCs/>
          <w:color w:val="000000" w:themeColor="text1"/>
          <w:sz w:val="24"/>
          <w:highlight w:val="none"/>
          <w14:textFill>
            <w14:solidFill>
              <w14:schemeClr w14:val="tx1"/>
            </w14:solidFill>
          </w14:textFill>
        </w:rPr>
        <w:t>合同之日起至2025年12月10日。</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确定思路及报告框架：自</w:t>
      </w:r>
      <w:r>
        <w:rPr>
          <w:rFonts w:hint="eastAsia" w:ascii="宋体" w:hAnsi="宋体" w:cs="宋体"/>
          <w:bCs/>
          <w:color w:val="000000" w:themeColor="text1"/>
          <w:sz w:val="24"/>
          <w:highlight w:val="none"/>
          <w:lang w:eastAsia="zh-CN"/>
          <w14:textFill>
            <w14:solidFill>
              <w14:schemeClr w14:val="tx1"/>
            </w14:solidFill>
          </w14:textFill>
        </w:rPr>
        <w:t>签订</w:t>
      </w:r>
      <w:r>
        <w:rPr>
          <w:rFonts w:hint="eastAsia" w:ascii="宋体" w:hAnsi="宋体" w:cs="宋体"/>
          <w:bCs/>
          <w:color w:val="000000" w:themeColor="text1"/>
          <w:sz w:val="24"/>
          <w:highlight w:val="none"/>
          <w14:textFill>
            <w14:solidFill>
              <w14:schemeClr w14:val="tx1"/>
            </w14:solidFill>
          </w14:textFill>
        </w:rPr>
        <w:t>合同2个星期内，在广泛收集材料、初步调研的基础上，确定项目研究思路及报告框架。</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形成研究报告（初稿）：开展前期调研、起草形成前海合作区十五周年系列报告初稿及配套文件。自合同</w:t>
      </w:r>
      <w:r>
        <w:rPr>
          <w:rFonts w:hint="eastAsia" w:ascii="宋体" w:hAnsi="宋体" w:cs="宋体"/>
          <w:bCs/>
          <w:color w:val="000000" w:themeColor="text1"/>
          <w:sz w:val="24"/>
          <w:highlight w:val="none"/>
          <w:lang w:eastAsia="zh-CN"/>
          <w14:textFill>
            <w14:solidFill>
              <w14:schemeClr w14:val="tx1"/>
            </w14:solidFill>
          </w14:textFill>
        </w:rPr>
        <w:t>签订</w:t>
      </w:r>
      <w:r>
        <w:rPr>
          <w:rFonts w:hint="eastAsia" w:ascii="宋体" w:hAnsi="宋体" w:cs="宋体"/>
          <w:bCs/>
          <w:color w:val="000000" w:themeColor="text1"/>
          <w:sz w:val="24"/>
          <w:highlight w:val="none"/>
          <w14:textFill>
            <w14:solidFill>
              <w14:schemeClr w14:val="tx1"/>
            </w14:solidFill>
          </w14:textFill>
        </w:rPr>
        <w:t>之日起1个月内完成；</w:t>
      </w:r>
    </w:p>
    <w:p>
      <w:pPr>
        <w:spacing w:line="360" w:lineRule="auto"/>
        <w:ind w:firstLine="480" w:firstLineChars="200"/>
        <w:outlineLvl w:val="1"/>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形成研究报告（定稿）：自合同</w:t>
      </w:r>
      <w:r>
        <w:rPr>
          <w:rFonts w:hint="eastAsia" w:ascii="宋体" w:hAnsi="宋体" w:cs="宋体"/>
          <w:bCs/>
          <w:color w:val="000000" w:themeColor="text1"/>
          <w:sz w:val="24"/>
          <w:highlight w:val="none"/>
          <w:lang w:eastAsia="zh-CN"/>
          <w14:textFill>
            <w14:solidFill>
              <w14:schemeClr w14:val="tx1"/>
            </w14:solidFill>
          </w14:textFill>
        </w:rPr>
        <w:t>签订</w:t>
      </w:r>
      <w:r>
        <w:rPr>
          <w:rFonts w:hint="eastAsia" w:ascii="宋体" w:hAnsi="宋体" w:cs="宋体"/>
          <w:bCs/>
          <w:color w:val="000000" w:themeColor="text1"/>
          <w:sz w:val="24"/>
          <w:highlight w:val="none"/>
          <w14:textFill>
            <w14:solidFill>
              <w14:schemeClr w14:val="tx1"/>
            </w14:solidFill>
          </w14:textFill>
        </w:rPr>
        <w:t>之日起3个月内完成，优化完善系列研究报告，组织召开专家评审会，并根据专家评审意见对报告进一步深化修改完善。</w:t>
      </w:r>
      <w:r>
        <w:rPr>
          <w:rFonts w:hint="eastAsia" w:ascii="宋体" w:hAnsi="宋体" w:eastAsia="宋体" w:cs="宋体"/>
          <w:bCs/>
          <w:color w:val="000000" w:themeColor="text1"/>
          <w:sz w:val="24"/>
          <w:highlight w:val="none"/>
          <w14:textFill>
            <w14:solidFill>
              <w14:schemeClr w14:val="tx1"/>
            </w14:solidFill>
          </w14:textFill>
        </w:rPr>
        <w:t>形成最终稿。</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4、</w:t>
      </w:r>
      <w:r>
        <w:rPr>
          <w:rFonts w:hint="eastAsia" w:ascii="宋体" w:hAnsi="宋体" w:cs="宋体"/>
          <w:bCs/>
          <w:color w:val="000000" w:themeColor="text1"/>
          <w:sz w:val="24"/>
          <w:highlight w:val="none"/>
          <w14:textFill>
            <w14:solidFill>
              <w14:schemeClr w14:val="tx1"/>
            </w14:solidFill>
          </w14:textFill>
        </w:rPr>
        <w:t>2025年12月10日前完成“</w:t>
      </w:r>
      <w:r>
        <w:rPr>
          <w:rFonts w:hint="eastAsia" w:ascii="宋体" w:hAnsi="宋体" w:cs="宋体"/>
          <w:bCs/>
          <w:color w:val="000000" w:themeColor="text1"/>
          <w:sz w:val="24"/>
          <w:highlight w:val="none"/>
          <w:lang w:eastAsia="zh-CN"/>
          <w14:textFill>
            <w14:solidFill>
              <w14:schemeClr w14:val="tx1"/>
            </w14:solidFill>
          </w14:textFill>
        </w:rPr>
        <w:t>前海合作区设立以来高水平改革开放创新综合性成果评价研究</w:t>
      </w:r>
      <w:r>
        <w:rPr>
          <w:rFonts w:hint="eastAsia" w:ascii="宋体" w:hAnsi="宋体" w:cs="宋体"/>
          <w:bCs/>
          <w:color w:val="000000" w:themeColor="text1"/>
          <w:sz w:val="24"/>
          <w:highlight w:val="none"/>
          <w14:textFill>
            <w14:solidFill>
              <w14:schemeClr w14:val="tx1"/>
            </w14:solidFill>
          </w14:textFill>
        </w:rPr>
        <w:t>”报告一份、高质量信息一份、决策参考一份。</w:t>
      </w:r>
    </w:p>
    <w:p>
      <w:pPr>
        <w:pStyle w:val="26"/>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七、商务要求</w:t>
      </w:r>
    </w:p>
    <w:p>
      <w:pPr>
        <w:tabs>
          <w:tab w:val="left" w:pos="720"/>
        </w:tabs>
        <w:autoSpaceDE w:val="0"/>
        <w:autoSpaceDN w:val="0"/>
        <w:adjustRightInd w:val="0"/>
        <w:spacing w:line="360" w:lineRule="auto"/>
        <w:ind w:right="17" w:firstLine="482" w:firstLineChars="200"/>
        <w:outlineLvl w:val="2"/>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（一）服务期限</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本项目服务期限自</w:t>
      </w:r>
      <w:r>
        <w:rPr>
          <w:rFonts w:hint="eastAsia" w:ascii="宋体" w:hAnsi="宋体" w:cs="宋体"/>
          <w:bCs/>
          <w:color w:val="000000" w:themeColor="text1"/>
          <w:sz w:val="24"/>
          <w:lang w:eastAsia="zh-CN"/>
          <w14:textFill>
            <w14:solidFill>
              <w14:schemeClr w14:val="tx1"/>
            </w14:solidFill>
          </w14:textFill>
        </w:rPr>
        <w:t>签订</w:t>
      </w:r>
      <w:r>
        <w:rPr>
          <w:rFonts w:hint="eastAsia" w:ascii="宋体" w:hAnsi="宋体" w:cs="宋体"/>
          <w:bCs/>
          <w:color w:val="000000" w:themeColor="text1"/>
          <w:sz w:val="24"/>
          <w14:textFill>
            <w14:solidFill>
              <w14:schemeClr w14:val="tx1"/>
            </w14:solidFill>
          </w14:textFill>
        </w:rPr>
        <w:t>合同之日起至2025年12月10日。</w:t>
      </w:r>
    </w:p>
    <w:p>
      <w:pPr>
        <w:tabs>
          <w:tab w:val="left" w:pos="720"/>
        </w:tabs>
        <w:autoSpaceDE w:val="0"/>
        <w:autoSpaceDN w:val="0"/>
        <w:adjustRightInd w:val="0"/>
        <w:spacing w:line="360" w:lineRule="auto"/>
        <w:ind w:right="17" w:firstLine="482" w:firstLineChars="200"/>
        <w:outlineLvl w:val="2"/>
        <w:rPr>
          <w:rFonts w:hint="eastAsia" w:ascii="宋体" w:hAnsi="宋体" w:cs="宋体"/>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（二）服务地点</w:t>
      </w:r>
    </w:p>
    <w:p>
      <w:pPr>
        <w:tabs>
          <w:tab w:val="left" w:pos="720"/>
        </w:tabs>
        <w:autoSpaceDE w:val="0"/>
        <w:autoSpaceDN w:val="0"/>
        <w:adjustRightInd w:val="0"/>
        <w:spacing w:line="360" w:lineRule="auto"/>
        <w:ind w:right="17" w:firstLine="480" w:firstLineChars="200"/>
        <w:outlineLvl w:val="2"/>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采购人指定地点。</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（三）报价要求</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1.本次投标为总价包干，投标报价总价作为中标人与采购人</w:t>
      </w:r>
      <w:r>
        <w:rPr>
          <w:rFonts w:hint="eastAsia" w:ascii="宋体" w:hAnsi="宋体" w:cs="宋体"/>
          <w:color w:val="000000" w:themeColor="text1"/>
          <w:sz w:val="24"/>
          <w:lang w:eastAsia="zh-CN"/>
          <w14:textFill>
            <w14:solidFill>
              <w14:schemeClr w14:val="tx1"/>
            </w14:solidFill>
          </w14:textFill>
        </w:rPr>
        <w:t>签订</w:t>
      </w:r>
      <w:r>
        <w:rPr>
          <w:rFonts w:hint="eastAsia" w:ascii="宋体" w:hAnsi="宋体" w:cs="宋体"/>
          <w:color w:val="000000" w:themeColor="text1"/>
          <w:sz w:val="24"/>
          <w14:textFill>
            <w14:solidFill>
              <w14:schemeClr w14:val="tx1"/>
            </w14:solidFill>
          </w14:textFill>
        </w:rPr>
        <w:t>的合同金额。投标人的报价不可高于预算（限价），否则投标人的投标文件视同无效。项目服务费包括但不限于人员研究费用、调研差旅费、专家咨询费、会议及专家差旅费、资料费、税费等所有费用，并提供合同要求的有关成果材料，以及其它相关服务的全部费用。一经中标，投标报价总价作为中标单位与采购人</w:t>
      </w:r>
      <w:r>
        <w:rPr>
          <w:rFonts w:hint="eastAsia" w:ascii="宋体" w:hAnsi="宋体" w:cs="宋体"/>
          <w:color w:val="000000" w:themeColor="text1"/>
          <w:sz w:val="24"/>
          <w:lang w:eastAsia="zh-CN"/>
          <w14:textFill>
            <w14:solidFill>
              <w14:schemeClr w14:val="tx1"/>
            </w14:solidFill>
          </w14:textFill>
        </w:rPr>
        <w:t>签订</w:t>
      </w:r>
      <w:r>
        <w:rPr>
          <w:rFonts w:hint="eastAsia" w:ascii="宋体" w:hAnsi="宋体" w:cs="宋体"/>
          <w:color w:val="000000" w:themeColor="text1"/>
          <w:sz w:val="24"/>
          <w14:textFill>
            <w14:solidFill>
              <w14:schemeClr w14:val="tx1"/>
            </w14:solidFill>
          </w14:textFill>
        </w:rPr>
        <w:t>的合同金额，合同期限内不做调整同金额。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（四）付款方式</w:t>
      </w:r>
    </w:p>
    <w:p>
      <w:pPr>
        <w:widowControl/>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1.项目资金由采购人分2期支付至中标人指定银行账户</w:t>
      </w:r>
      <w:r>
        <w:rPr>
          <w:rFonts w:hint="eastAsia" w:ascii="宋体" w:hAnsi="宋体" w:cs="宋体"/>
          <w:color w:val="000000" w:themeColor="text1"/>
          <w:sz w:val="24"/>
          <w:lang w:eastAsia="zh-CN"/>
          <w14:textFill>
            <w14:solidFill>
              <w14:schemeClr w14:val="tx1"/>
            </w14:solidFill>
          </w14:textFill>
        </w:rPr>
        <w:t>：</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1.1.首期：合同</w:t>
      </w:r>
      <w:r>
        <w:rPr>
          <w:rFonts w:hint="eastAsia" w:ascii="宋体" w:hAnsi="宋体" w:cs="宋体"/>
          <w:color w:val="000000" w:themeColor="text1"/>
          <w:sz w:val="24"/>
          <w:lang w:eastAsia="zh-CN"/>
          <w14:textFill>
            <w14:solidFill>
              <w14:schemeClr w14:val="tx1"/>
            </w14:solidFill>
          </w14:textFill>
        </w:rPr>
        <w:t>签订</w:t>
      </w:r>
      <w:r>
        <w:rPr>
          <w:rFonts w:hint="eastAsia" w:ascii="宋体" w:hAnsi="宋体" w:cs="宋体"/>
          <w:color w:val="000000" w:themeColor="text1"/>
          <w:sz w:val="24"/>
          <w14:textFill>
            <w14:solidFill>
              <w14:schemeClr w14:val="tx1"/>
            </w14:solidFill>
          </w14:textFill>
        </w:rPr>
        <w:t>生效后，根据中标人的付款申请，向中标人支付合同服务费总金额的50%；</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1.2.尾期：提交最终成果并经采购人验收通过后，根据中标人的付款申请，向中标人支付本合同服务费总金额的</w:t>
      </w:r>
      <w:r>
        <w:rPr>
          <w:rFonts w:hint="eastAsia" w:asciiTheme="minorEastAsia" w:hAnsiTheme="minorEastAsia" w:cstheme="minorEastAsia"/>
          <w:color w:val="000000" w:themeColor="text1"/>
          <w:sz w:val="24"/>
          <w14:textFill>
            <w14:solidFill>
              <w14:schemeClr w14:val="tx1"/>
            </w14:solidFill>
          </w14:textFill>
        </w:rPr>
        <w:t>50</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上述每期款项均在满足付款条件，且采购人收到中标人开具的载明相应金额的合格发票后15个工作日内付至中标人指定银行账户。如未及时收到发票，则采购人相应付款时间顺延。若因采购人付款审批影响支付进度，请中标人予以谅解，并不得就此向采购人索赔。</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（五）成果权属与知识产权</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1.本项目全部阶段性成果和最终成果的所有权、知识产权以及与之相关的所有权利归采购人所有；本合同签署前双方已经拥有的知识产权权利，仍归各自所有。</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2.双方确定，采购人有权对中标人按照本合同约定提供的成果进行后续改进。由此产生的具有实质性或创造性技术进步特征的新的技术成果及其权利全部由采购人享有。</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所提交的全部阶段性成果和最终成果文件及任何数据、资料、软件等不得侵犯任何第三方的知识产权或其他权利，由于该等文件、数据、资料、软件侵权所导致的任何索赔或责任均由中标人承担。同时，采购人有权要求中标人修改成果至不侵权或解除合同，并保留要求中标人赔偿全部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采购人书面在先同意，中标人不得将本项目的阶段性成果和/或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5.中标人完成本项目的研究人员享有在有关技术成果文件上署名的权利和与采购人共同获得有关荣誉证书、奖励的权利。</w:t>
      </w:r>
    </w:p>
    <w:p>
      <w:pPr>
        <w:widowControl/>
        <w:spacing w:line="360" w:lineRule="auto"/>
        <w:ind w:firstLine="482" w:firstLineChars="200"/>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（六）</w:t>
      </w:r>
      <w:r>
        <w:rPr>
          <w:rFonts w:hint="eastAsia" w:ascii="宋体" w:hAnsi="宋体" w:cs="宋体"/>
          <w:b/>
          <w:bCs/>
          <w:color w:val="000000" w:themeColor="text1"/>
          <w:sz w:val="24"/>
          <w14:textFill>
            <w14:solidFill>
              <w14:schemeClr w14:val="tx1"/>
            </w14:solidFill>
          </w14:textFill>
        </w:rPr>
        <w:t>保密条款</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采购人内部数据资料。</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3.中标人须以保密方式处理在编制本项目成果文件过程中自采购人、采购人工作人员或采购人关联机构获得的相关信息、资料、图纸、数据等，或由采购人在履行本合同过程中明确指明为秘密的任何信息</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以及中标人因本项目工作所直接或间接取得、处理或接触的任何其他资料。未经采购人书面在先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4.中标人实施项目的程序应符合国家安全、保密的有关规定和标准。</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5.上述保密义务不适用以下情况：</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（1）获取的信息已被合法公开；</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（2）获得信息拥有方书面许可并在该许可范围内披露；</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（3）国家法律、法规规定的情形。</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包括但不限于前述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7.无论本合同或本合同其他条款是否有效，本保密条款始终约束双方。国家秘密的保密期限由国家有关部门确定，工作秘密的保密期限由采购人确定。</w:t>
      </w:r>
    </w:p>
    <w:p>
      <w:pPr>
        <w:widowControl/>
        <w:spacing w:line="360" w:lineRule="auto"/>
        <w:ind w:firstLine="482" w:firstLineChars="200"/>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（七）</w:t>
      </w:r>
      <w:r>
        <w:rPr>
          <w:rFonts w:hint="eastAsia" w:ascii="宋体" w:hAnsi="宋体" w:cs="宋体"/>
          <w:b/>
          <w:bCs/>
          <w:color w:val="000000" w:themeColor="text1"/>
          <w:sz w:val="24"/>
          <w14:textFill>
            <w14:solidFill>
              <w14:schemeClr w14:val="tx1"/>
            </w14:solidFill>
          </w14:textFill>
        </w:rPr>
        <w:t>违约责任</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1.因中标单位原因，未能按规定时间完成有关工作的，每延误一天，采购方自尚未支付的合同款项中扣除合同服务总金额的5‰的逾期违约金。</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2.如中标单位提供的服务或成果不符合质量要求，必须在采购方提出要求后7个日历日内无条件修改，其费用由中标单位承担。</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3.本合同履行期间，发生下述情形时，采购方有权解除本合同，中标单位除应退还采购方已支付的全部款项外</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还应在合同解除通知发出之日起10日内向采购方支付合同总价款20%的违约金。中标单位应同时将已完成的项目成果移交给采购方，并将全部有关资料退还采购方：</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(1)因中标单位工作的错误或遗漏造成成果质量不符合本合同要求，且中标单位未按采购方要求采取及时有效的补救措施的；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(2)中标单位未能按合同约定的日期(含协商延缓的日期)提交工作成果，延误时间超过30个工作日；或中标单位虽如期提交阶段性成果和最终成果，但最终成果连续二次未能通过评审的；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(3)发现中标单位或中标单位工作人员出现全部或部分丧失履行委托服务能力的情况，采购方有权通知中标单位限期整改或更换工作人员，期限届满中标单位并未进行改善的；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(4)未经采购单位书面在先同意，中标单位擅自将本合同项目与任何第三方合作，或将本合同标的全部或部分擅自转包给任何第三方，且未按采购单位的要求终止与第三方的合同的；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（5）中标单位明确表示或者以自己的行为表明不履行本合同的。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除因审批流程及财政部门预算下达延误影响采购方支出进度外，如采购方未按照本合同约定的时间支付服务费，中标单位书面催告采购方并给予不少于15个工作日的履行期限后采购方仍未支付的，中标单位有权自该期限届满之日起要求采购方支付该阶段应付而未付合同价款每日1‰的逾期违约金。如采购方无正当理由拒绝接受服务，到期明确表示拒付服务款项，中标单位有权要求采购方支付本合同项下服务费总金额10%的违约金。 </w:t>
      </w:r>
    </w:p>
    <w:p>
      <w:pPr>
        <w:widowControl/>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上述违约责任各自独立且可累加。如本合同所约定的违约金无法弥补因违约行为所造成的损失，违约方应补偿上述不足部分的损失，包括但不限于前述责任所产生的诉讼费用、合理的律师费用、鉴定评估费用、调查费用、和解金额或生效法律文书中规定的赔偿金额。</w:t>
      </w:r>
      <w:r>
        <w:rPr>
          <w:rFonts w:hint="eastAsia" w:ascii="宋体" w:hAnsi="宋体" w:cs="宋体"/>
          <w:color w:val="000000" w:themeColor="text1"/>
          <w:sz w:val="24"/>
          <w14:textFill>
            <w14:solidFill>
              <w14:schemeClr w14:val="tx1"/>
            </w14:solidFill>
          </w14:textFill>
        </w:rPr>
        <w:br w:type="page"/>
      </w:r>
    </w:p>
    <w:p>
      <w:pPr>
        <w:widowControl/>
        <w:spacing w:line="360" w:lineRule="auto"/>
        <w:ind w:firstLine="482" w:firstLineChars="200"/>
        <w:jc w:val="center"/>
        <w:outlineLvl w:val="0"/>
        <w:rPr>
          <w:rFonts w:ascii="宋体" w:cs="宋体"/>
          <w:b/>
          <w:bCs/>
          <w:color w:val="000000" w:themeColor="text1"/>
          <w:sz w:val="24"/>
          <w14:textFill>
            <w14:solidFill>
              <w14:schemeClr w14:val="tx1"/>
            </w14:solidFill>
          </w14:textFill>
        </w:rPr>
      </w:pPr>
      <w:bookmarkStart w:id="33" w:name="_Toc23822"/>
      <w:r>
        <w:rPr>
          <w:rFonts w:hint="eastAsia" w:ascii="宋体" w:cs="宋体"/>
          <w:b/>
          <w:bCs/>
          <w:color w:val="000000" w:themeColor="text1"/>
          <w:sz w:val="24"/>
          <w14:textFill>
            <w14:solidFill>
              <w14:schemeClr w14:val="tx1"/>
            </w14:solidFill>
          </w14:textFill>
        </w:rPr>
        <w:t>第六章 投标文件初审及招标项目评分表</w:t>
      </w:r>
      <w:bookmarkEnd w:id="33"/>
    </w:p>
    <w:p>
      <w:pPr>
        <w:spacing w:line="360" w:lineRule="auto"/>
        <w:jc w:val="center"/>
        <w:rPr>
          <w:rFonts w:hint="eastAsia" w:ascii="宋体" w:hAnsi="宋体" w:cs="宋体"/>
          <w:b/>
          <w:color w:val="000000" w:themeColor="text1"/>
          <w:sz w:val="24"/>
          <w14:textFill>
            <w14:solidFill>
              <w14:schemeClr w14:val="tx1"/>
            </w14:solidFill>
          </w14:textFill>
        </w:rPr>
      </w:pP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投标文件初审表（不可偏离条款）</w:t>
      </w: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（凡有下列情形之一的，投标文件无效，投标作废标处理）</w:t>
      </w:r>
    </w:p>
    <w:tbl>
      <w:tblPr>
        <w:tblStyle w:val="1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9" w:type="dxa"/>
            <w:gridSpan w:val="2"/>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108"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未出现“投标人不具备招标文件所列的资格要求，或未提交相应的资格证明资料（详见招标公告 投标人资格要求）”的情形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7108"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未出现“将一个包中的内容拆开投标”的情形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7108"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未出现“投标文件未按规定密封、签字、盖章”的情形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7108" w:type="dxa"/>
            <w:vAlign w:val="center"/>
          </w:tcPr>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按要求提供有效的法定代表人/负责人证明书、法定代表人/负责人授权委托书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7108"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未出现“招标文件未规定允许有替代方案时，对同一项目投标时，同时提供两套或两套以上的投标方案”的情形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7108"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未出现“分项报价或投标总价高于预算金额（最高投标限价）或投标报价有严重缺漏项”的情形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7108"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未出现“同一项目出现两个及以上报价，按规定又无法确定哪个是有效报价”的情形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7108"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报价合理性审查</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出现下列情形之一的，评审委员会应当启动异常低价投标（响应）审查程序，要求相关供应商在评标现场合理的时间内提供书面说明及必要的相关证明材料，对投标（响应）价格作出解释（书面说明、证明材料主要是项目具体成本测算等与报价合理性相关的说明、材料）：</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（一）投标（响应）报价低于全部通过符合性审查供应商投标（响应）报价平均值50%的，即投标（响应）报价&lt;全部通过符合性审查供应商投标（响应）报价平均值×50%；</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（二）投标（响应）报价低于通过符合性审查且报价次低供应商投标（响应）报价50%的，即投标（响应）报价&lt;通过符合性审查且报价次低供应商投标（响应）报价×50%；</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（三）投标（响应）报价低于采购项目最高限价45%的，即投标（响应）报价&lt;采购项目最高限价×45%；</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（四）其他评审委员会认为供应商报价过低，有可能影响产品质量或者不能诚信履约的情形。</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评审委员会成员对投标人提供的说明材料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7108"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未出现“投标文件载明的招标项目完成或服务期限不满足招标文件规定的”的情形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7108"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未出现“所投货物或工程或服务在质量、技术、方案等方面没有实质性满足招标文件要求”的情形</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7108"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未出现“《用户需求响应表》未按要求填写，经评审委员会认定存在不明或不实的”的情形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7108"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未出现法律、法规规定的其他情形</w:t>
            </w:r>
          </w:p>
        </w:tc>
      </w:tr>
    </w:tbl>
    <w:p>
      <w:pPr>
        <w:spacing w:line="360" w:lineRule="auto"/>
        <w:jc w:val="center"/>
        <w:rPr>
          <w:rFonts w:hint="eastAsia" w:ascii="宋体" w:hAnsi="宋体" w:cs="宋体"/>
          <w:color w:val="000000" w:themeColor="text1"/>
          <w:sz w:val="24"/>
          <w:lang w:val="fr-CH"/>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招标项目评分表</w:t>
      </w:r>
    </w:p>
    <w:tbl>
      <w:tblPr>
        <w:tblStyle w:val="18"/>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168"/>
        <w:gridCol w:w="5907"/>
        <w:gridCol w:w="901"/>
        <w:gridCol w:w="10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hint="eastAsia"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一、价格部分（</w:t>
            </w:r>
            <w:r>
              <w:rPr>
                <w:rFonts w:hint="eastAsia" w:ascii="宋体" w:hAnsi="宋体" w:cs="宋体"/>
                <w:b/>
                <w:color w:val="000000" w:themeColor="text1"/>
                <w:sz w:val="24"/>
                <w14:textFill>
                  <w14:solidFill>
                    <w14:schemeClr w14:val="tx1"/>
                  </w14:solidFill>
                </w14:textFill>
              </w:rPr>
              <w:t>10</w:t>
            </w:r>
            <w:r>
              <w:rPr>
                <w:rFonts w:hint="eastAsia" w:ascii="宋体" w:hAnsi="宋体" w:cs="宋体"/>
                <w:b/>
                <w:color w:val="000000" w:themeColor="text1"/>
                <w:sz w:val="24"/>
                <w:lang w:val="zh-CN"/>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序号</w:t>
            </w:r>
          </w:p>
        </w:tc>
        <w:tc>
          <w:tcPr>
            <w:tcW w:w="1168"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内容</w:t>
            </w:r>
          </w:p>
        </w:tc>
        <w:tc>
          <w:tcPr>
            <w:tcW w:w="5907"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评分规则</w:t>
            </w:r>
          </w:p>
        </w:tc>
        <w:tc>
          <w:tcPr>
            <w:tcW w:w="901"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权重</w:t>
            </w:r>
          </w:p>
        </w:tc>
        <w:tc>
          <w:tcPr>
            <w:tcW w:w="1079"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w:t>
            </w:r>
          </w:p>
        </w:tc>
        <w:tc>
          <w:tcPr>
            <w:tcW w:w="1168"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w:t>
            </w:r>
          </w:p>
        </w:tc>
        <w:tc>
          <w:tcPr>
            <w:tcW w:w="5907" w:type="dxa"/>
            <w:vAlign w:val="center"/>
          </w:tcPr>
          <w:p>
            <w:pPr>
              <w:pStyle w:val="6"/>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采用低价优先法计算，即满足招标文件要求且投标价格最低的投标报价为评标基准价，其价格分为满分。其他投标人的价格分统一按照下列公式计算：</w:t>
            </w:r>
          </w:p>
          <w:p>
            <w:pPr>
              <w:pStyle w:val="6"/>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投标报价得分=(评标基准价／投标报价)×10</w:t>
            </w:r>
          </w:p>
          <w:p>
            <w:pPr>
              <w:numPr>
                <w:ilvl w:val="0"/>
                <w:numId w:val="5"/>
              </w:numPr>
              <w:spacing w:line="360" w:lineRule="auto"/>
              <w:ind w:left="250" w:hanging="249" w:hangingChars="104"/>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价格评分仅限于有效投标人，</w:t>
            </w:r>
            <w:r>
              <w:rPr>
                <w:rFonts w:hint="eastAsia" w:ascii="宋体" w:hAnsi="宋体" w:cs="宋体"/>
                <w:color w:val="000000" w:themeColor="text1"/>
                <w:sz w:val="24"/>
                <w14:textFill>
                  <w14:solidFill>
                    <w14:schemeClr w14:val="tx1"/>
                  </w14:solidFill>
                </w14:textFill>
              </w:rPr>
              <w:t>当价格分&lt;0时，取0。</w:t>
            </w:r>
          </w:p>
          <w:p>
            <w:pPr>
              <w:numPr>
                <w:ilvl w:val="0"/>
                <w:numId w:val="5"/>
              </w:numPr>
              <w:spacing w:line="360" w:lineRule="auto"/>
              <w:ind w:left="0" w:hanging="9"/>
              <w:jc w:val="left"/>
              <w:rPr>
                <w:rFonts w:hint="eastAsia" w:ascii="宋体" w:hAnsi="宋体" w:cs="宋体"/>
                <w:b/>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根据财库〔2020〕46号、财库〔2014〕68号及财库〔2017〕141号及（深财购〔2022〕31号）文件规定：</w:t>
            </w:r>
            <w:r>
              <w:rPr>
                <w:rFonts w:hint="eastAsia" w:ascii="宋体" w:hAnsi="宋体" w:cs="宋体"/>
                <w:b/>
                <w:color w:val="000000" w:themeColor="text1"/>
                <w:sz w:val="24"/>
                <w14:textFill>
                  <w14:solidFill>
                    <w14:schemeClr w14:val="tx1"/>
                  </w14:solidFill>
                </w14:textFill>
              </w:rPr>
              <w:t>本项目非专门面向中小企业的项目，对小型和微型企业、监狱企业或残疾人福利性企业产品的价格给予10%的扣除，用扣除后的价格即为“经评审合格的投标报价”参与价格评审。</w:t>
            </w:r>
          </w:p>
          <w:p>
            <w:pPr>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监狱企业应当提供由省级以上监狱管理局、戒毒管理局（含新疆生产建设兵团）出具的属于监狱企业的证明文件，中小企业提供中小企业声明函，残疾人福利性企业提供残疾人福利性企业声明函。</w:t>
            </w:r>
          </w:p>
        </w:tc>
        <w:tc>
          <w:tcPr>
            <w:tcW w:w="901"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1079"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hint="eastAsia"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二、商务部分（</w:t>
            </w:r>
            <w:r>
              <w:rPr>
                <w:rFonts w:hint="eastAsia" w:ascii="宋体" w:hAnsi="宋体" w:cs="宋体"/>
                <w:b/>
                <w:color w:val="000000" w:themeColor="text1"/>
                <w:sz w:val="24"/>
                <w:lang w:val="en-US" w:eastAsia="zh-CN"/>
                <w14:textFill>
                  <w14:solidFill>
                    <w14:schemeClr w14:val="tx1"/>
                  </w14:solidFill>
                </w14:textFill>
              </w:rPr>
              <w:t>40</w:t>
            </w:r>
            <w:r>
              <w:rPr>
                <w:rFonts w:hint="eastAsia" w:ascii="宋体" w:hAnsi="宋体" w:cs="宋体"/>
                <w:b/>
                <w:color w:val="000000" w:themeColor="text1"/>
                <w:sz w:val="24"/>
                <w:lang w:val="zh-CN"/>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序号</w:t>
            </w:r>
          </w:p>
        </w:tc>
        <w:tc>
          <w:tcPr>
            <w:tcW w:w="1168"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内容</w:t>
            </w:r>
          </w:p>
        </w:tc>
        <w:tc>
          <w:tcPr>
            <w:tcW w:w="5907"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评分规则</w:t>
            </w:r>
          </w:p>
        </w:tc>
        <w:tc>
          <w:tcPr>
            <w:tcW w:w="901"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权重</w:t>
            </w:r>
          </w:p>
        </w:tc>
        <w:tc>
          <w:tcPr>
            <w:tcW w:w="1079"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0"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168"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同类项目业绩情况</w:t>
            </w:r>
          </w:p>
        </w:tc>
        <w:tc>
          <w:tcPr>
            <w:tcW w:w="5907" w:type="dxa"/>
          </w:tcPr>
          <w:p>
            <w:pPr>
              <w:pStyle w:val="6"/>
              <w:numPr>
                <w:ilvl w:val="0"/>
                <w:numId w:val="6"/>
              </w:numPr>
              <w:spacing w:line="360" w:lineRule="auto"/>
              <w:jc w:val="both"/>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评分内容：</w:t>
            </w:r>
          </w:p>
          <w:p>
            <w:pPr>
              <w:pStyle w:val="6"/>
              <w:spacing w:line="360" w:lineRule="auto"/>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2022年1月1日起至投标截止之日（以合同</w:t>
            </w:r>
            <w:r>
              <w:rPr>
                <w:rFonts w:hint="eastAsia" w:ascii="宋体" w:hAnsi="宋体" w:cs="宋体"/>
                <w:color w:val="000000" w:themeColor="text1"/>
                <w:sz w:val="24"/>
                <w:lang w:eastAsia="zh-CN"/>
                <w14:textFill>
                  <w14:solidFill>
                    <w14:schemeClr w14:val="tx1"/>
                  </w14:solidFill>
                </w14:textFill>
              </w:rPr>
              <w:t>签订</w:t>
            </w:r>
            <w:r>
              <w:rPr>
                <w:rFonts w:hint="eastAsia" w:ascii="宋体" w:hAnsi="宋体" w:cs="宋体"/>
                <w:color w:val="000000" w:themeColor="text1"/>
                <w:sz w:val="24"/>
                <w14:textFill>
                  <w14:solidFill>
                    <w14:schemeClr w14:val="tx1"/>
                  </w14:solidFill>
                </w14:textFill>
              </w:rPr>
              <w:t>时间为准），投标人具有同类项目经验的，每提供1个得3分，此项最高得1</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分。</w:t>
            </w:r>
          </w:p>
          <w:p>
            <w:pPr>
              <w:pStyle w:val="6"/>
              <w:spacing w:line="360" w:lineRule="auto"/>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同一项目续签不重复计分。</w:t>
            </w:r>
          </w:p>
          <w:p>
            <w:pPr>
              <w:pStyle w:val="6"/>
              <w:numPr>
                <w:ilvl w:val="0"/>
                <w:numId w:val="6"/>
              </w:numPr>
              <w:spacing w:line="360" w:lineRule="auto"/>
              <w:jc w:val="both"/>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评分依据：</w:t>
            </w:r>
          </w:p>
          <w:p>
            <w:pPr>
              <w:pStyle w:val="6"/>
              <w:numPr>
                <w:ilvl w:val="0"/>
                <w:numId w:val="7"/>
              </w:numPr>
              <w:spacing w:line="360" w:lineRule="auto"/>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提供合同关键信息（包括但不限于合同封面、合作内容、双方盖章页等作为得分依据）。</w:t>
            </w:r>
          </w:p>
          <w:p>
            <w:pPr>
              <w:pStyle w:val="6"/>
              <w:numPr>
                <w:ilvl w:val="0"/>
                <w:numId w:val="7"/>
              </w:numPr>
              <w:spacing w:line="360" w:lineRule="auto"/>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通过合同关键信息无法判断是否得分的，也可以提供能证明得分的其他证明资料，如项目报告、会议纪要或合同甲方出具的证明文件等。</w:t>
            </w:r>
          </w:p>
          <w:p>
            <w:pPr>
              <w:pStyle w:val="6"/>
              <w:numPr>
                <w:ilvl w:val="0"/>
                <w:numId w:val="7"/>
              </w:numPr>
              <w:spacing w:line="360" w:lineRule="auto"/>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以上资料均要求提供扫描件并加盖公章，原件备查，评分中出现无证明资料或专家无法凭所提供资料判断是否得分的情况，一律做不得分处理。</w:t>
            </w:r>
          </w:p>
        </w:tc>
        <w:tc>
          <w:tcPr>
            <w:tcW w:w="901" w:type="dxa"/>
            <w:vAlign w:val="center"/>
          </w:tcPr>
          <w:p>
            <w:pPr>
              <w:autoSpaceDE w:val="0"/>
              <w:autoSpaceDN w:val="0"/>
              <w:adjustRightInd w:val="0"/>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15</w:t>
            </w:r>
          </w:p>
        </w:tc>
        <w:tc>
          <w:tcPr>
            <w:tcW w:w="1079"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168"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研究服务团队成员情况</w:t>
            </w:r>
          </w:p>
          <w:p>
            <w:pPr>
              <w:autoSpaceDE w:val="0"/>
              <w:autoSpaceDN w:val="0"/>
              <w:adjustRightInd w:val="0"/>
              <w:spacing w:line="360" w:lineRule="auto"/>
              <w:rPr>
                <w:rFonts w:hint="eastAsia" w:ascii="宋体" w:hAnsi="宋体" w:cs="宋体"/>
                <w:color w:val="000000" w:themeColor="text1"/>
                <w:sz w:val="24"/>
                <w14:textFill>
                  <w14:solidFill>
                    <w14:schemeClr w14:val="tx1"/>
                  </w14:solidFill>
                </w14:textFill>
              </w:rPr>
            </w:pPr>
          </w:p>
        </w:tc>
        <w:tc>
          <w:tcPr>
            <w:tcW w:w="5907" w:type="dxa"/>
          </w:tcPr>
          <w:p>
            <w:pPr>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（一）评审标准：</w:t>
            </w:r>
          </w:p>
          <w:p>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为本项目拟派的投标人服务团队成员不少于4人</w:t>
            </w:r>
            <w:r>
              <w:rPr>
                <w:rFonts w:hint="eastAsia" w:ascii="宋体" w:hAnsi="宋体" w:cs="宋体"/>
                <w:color w:val="000000" w:themeColor="text1"/>
                <w:sz w:val="24"/>
                <w:highlight w:val="none"/>
                <w:lang w:val="en-US" w:eastAsia="zh-CN"/>
                <w14:textFill>
                  <w14:solidFill>
                    <w14:schemeClr w14:val="tx1"/>
                  </w14:solidFill>
                </w14:textFill>
              </w:rPr>
              <w:t>（含一名项目负责人）</w:t>
            </w:r>
            <w:r>
              <w:rPr>
                <w:rFonts w:hint="eastAsia" w:ascii="宋体" w:hAnsi="宋体" w:cs="宋体"/>
                <w:color w:val="000000" w:themeColor="text1"/>
                <w:kern w:val="0"/>
                <w:sz w:val="24"/>
                <w:highlight w:val="none"/>
                <w14:textFill>
                  <w14:solidFill>
                    <w14:schemeClr w14:val="tx1"/>
                  </w14:solidFill>
                </w14:textFill>
              </w:rPr>
              <w:t>，且所有团队成员均具备硕士</w:t>
            </w:r>
            <w:r>
              <w:rPr>
                <w:rFonts w:hint="eastAsia" w:ascii="宋体" w:hAnsi="宋体" w:cs="宋体"/>
                <w:color w:val="000000" w:themeColor="text1"/>
                <w:kern w:val="0"/>
                <w:sz w:val="24"/>
                <w:highlight w:val="none"/>
                <w:lang w:val="en-US" w:eastAsia="zh-CN"/>
                <w14:textFill>
                  <w14:solidFill>
                    <w14:schemeClr w14:val="tx1"/>
                  </w14:solidFill>
                </w14:textFill>
              </w:rPr>
              <w:t>研究生</w:t>
            </w:r>
            <w:r>
              <w:rPr>
                <w:rFonts w:hint="eastAsia" w:ascii="宋体" w:hAnsi="宋体" w:cs="宋体"/>
                <w:color w:val="000000" w:themeColor="text1"/>
                <w:kern w:val="0"/>
                <w:sz w:val="24"/>
                <w:highlight w:val="none"/>
                <w14:textFill>
                  <w14:solidFill>
                    <w14:schemeClr w14:val="tx1"/>
                  </w14:solidFill>
                </w14:textFill>
              </w:rPr>
              <w:t>或以上学历，否则本项不得分；每提供1个得</w:t>
            </w:r>
            <w:r>
              <w:rPr>
                <w:rFonts w:hint="eastAsia" w:ascii="宋体" w:hAnsi="宋体" w:cs="宋体"/>
                <w:color w:val="000000" w:themeColor="text1"/>
                <w:kern w:val="0"/>
                <w:sz w:val="24"/>
                <w:highlight w:val="none"/>
                <w:lang w:val="en-US" w:eastAsia="zh-CN"/>
                <w14:textFill>
                  <w14:solidFill>
                    <w14:schemeClr w14:val="tx1"/>
                  </w14:solidFill>
                </w14:textFill>
              </w:rPr>
              <w:t>2.5</w:t>
            </w:r>
            <w:r>
              <w:rPr>
                <w:rFonts w:hint="eastAsia" w:ascii="宋体" w:hAnsi="宋体" w:cs="宋体"/>
                <w:color w:val="000000" w:themeColor="text1"/>
                <w:kern w:val="0"/>
                <w:sz w:val="24"/>
                <w:highlight w:val="none"/>
                <w14:textFill>
                  <w14:solidFill>
                    <w14:schemeClr w14:val="tx1"/>
                  </w14:solidFill>
                </w14:textFill>
              </w:rPr>
              <w:t>分，此项最高得</w:t>
            </w:r>
            <w:r>
              <w:rPr>
                <w:rFonts w:hint="eastAsia" w:ascii="宋体" w:hAnsi="宋体" w:cs="宋体"/>
                <w:color w:val="000000" w:themeColor="text1"/>
                <w:kern w:val="0"/>
                <w:sz w:val="24"/>
                <w:highlight w:val="none"/>
                <w:lang w:val="en-US" w:eastAsia="zh-CN"/>
                <w14:textFill>
                  <w14:solidFill>
                    <w14:schemeClr w14:val="tx1"/>
                  </w14:solidFill>
                </w14:textFill>
              </w:rPr>
              <w:t>10</w:t>
            </w:r>
            <w:r>
              <w:rPr>
                <w:rFonts w:hint="eastAsia" w:ascii="宋体" w:hAnsi="宋体" w:cs="宋体"/>
                <w:color w:val="000000" w:themeColor="text1"/>
                <w:kern w:val="0"/>
                <w:sz w:val="24"/>
                <w:highlight w:val="none"/>
                <w14:textFill>
                  <w14:solidFill>
                    <w14:schemeClr w14:val="tx1"/>
                  </w14:solidFill>
                </w14:textFill>
              </w:rPr>
              <w:t>分。</w:t>
            </w:r>
          </w:p>
          <w:p>
            <w:pPr>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（二）证明材料：</w:t>
            </w:r>
          </w:p>
          <w:p>
            <w:pPr>
              <w:pStyle w:val="6"/>
              <w:spacing w:line="360" w:lineRule="auto"/>
              <w:jc w:val="both"/>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1.要求项目</w:t>
            </w:r>
            <w:r>
              <w:rPr>
                <w:rFonts w:hint="eastAsia" w:ascii="宋体" w:hAnsi="宋体" w:cs="宋体"/>
                <w:color w:val="000000" w:themeColor="text1"/>
                <w:sz w:val="24"/>
                <w14:textFill>
                  <w14:solidFill>
                    <w14:schemeClr w14:val="tx1"/>
                  </w14:solidFill>
                </w14:textFill>
              </w:rPr>
              <w:t>团队成员</w:t>
            </w:r>
            <w:r>
              <w:rPr>
                <w:rFonts w:hint="eastAsia" w:ascii="宋体" w:hAnsi="宋体" w:cs="宋体"/>
                <w:color w:val="000000" w:themeColor="text1"/>
                <w:sz w:val="24"/>
                <w:lang w:val="zh-CN"/>
                <w14:textFill>
                  <w14:solidFill>
                    <w14:schemeClr w14:val="tx1"/>
                  </w14:solidFill>
                </w14:textFill>
              </w:rPr>
              <w:t>清单（格式自拟）、</w:t>
            </w:r>
            <w:r>
              <w:rPr>
                <w:rFonts w:hint="eastAsia" w:ascii="宋体" w:hAnsi="宋体" w:cs="宋体"/>
                <w:color w:val="000000" w:themeColor="text1"/>
                <w:sz w:val="24"/>
                <w14:textFill>
                  <w14:solidFill>
                    <w14:schemeClr w14:val="tx1"/>
                  </w14:solidFill>
                </w14:textFill>
              </w:rPr>
              <w:t>通过投标人缴纳的</w:t>
            </w:r>
            <w:r>
              <w:rPr>
                <w:rFonts w:hint="eastAsia" w:ascii="宋体" w:hAnsi="宋体" w:cs="宋体"/>
                <w:color w:val="000000" w:themeColor="text1"/>
                <w:sz w:val="24"/>
                <w:lang w:val="zh-CN"/>
                <w14:textFill>
                  <w14:solidFill>
                    <w14:schemeClr w14:val="tx1"/>
                  </w14:solidFill>
                </w14:textFill>
              </w:rPr>
              <w:t>投标日期前三个月</w:t>
            </w:r>
            <w:r>
              <w:rPr>
                <w:rFonts w:hint="eastAsia" w:ascii="宋体" w:hAnsi="宋体" w:cs="宋体"/>
                <w:color w:val="000000" w:themeColor="text1"/>
                <w:sz w:val="24"/>
                <w14:textFill>
                  <w14:solidFill>
                    <w14:schemeClr w14:val="tx1"/>
                  </w14:solidFill>
                </w14:textFill>
              </w:rPr>
              <w:t>内任1个月的</w:t>
            </w:r>
            <w:r>
              <w:rPr>
                <w:rFonts w:hint="eastAsia" w:ascii="宋体" w:hAnsi="宋体" w:cs="宋体"/>
                <w:color w:val="000000" w:themeColor="text1"/>
                <w:sz w:val="24"/>
                <w:lang w:val="zh-CN"/>
                <w14:textFill>
                  <w14:solidFill>
                    <w14:schemeClr w14:val="tx1"/>
                  </w14:solidFill>
                </w14:textFill>
              </w:rPr>
              <w:t>社保证明（网页或窗口打印资料均可，社保证明资料应当至少包含养老保险）及劳动合同，</w:t>
            </w:r>
            <w:r>
              <w:rPr>
                <w:rFonts w:hint="eastAsia" w:ascii="宋体" w:hAnsi="宋体" w:cs="宋体"/>
                <w:color w:val="000000" w:themeColor="text1"/>
                <w:sz w:val="24"/>
                <w14:textFill>
                  <w14:solidFill>
                    <w14:schemeClr w14:val="tx1"/>
                  </w14:solidFill>
                </w14:textFill>
              </w:rPr>
              <w:t>作为其为投标人员工的证明依据</w:t>
            </w:r>
            <w:r>
              <w:rPr>
                <w:rFonts w:hint="eastAsia" w:ascii="宋体" w:hAnsi="宋体" w:cs="宋体"/>
                <w:color w:val="000000" w:themeColor="text1"/>
                <w:sz w:val="24"/>
                <w:lang w:val="zh-CN"/>
                <w14:textFill>
                  <w14:solidFill>
                    <w14:schemeClr w14:val="tx1"/>
                  </w14:solidFill>
                </w14:textFill>
              </w:rPr>
              <w:t>。如供应商为新成立企业且成立时间不足</w:t>
            </w: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zh-CN"/>
                <w14:textFill>
                  <w14:solidFill>
                    <w14:schemeClr w14:val="tx1"/>
                  </w14:solidFill>
                </w14:textFill>
              </w:rPr>
              <w:t>个月可提供加盖公章的情况说明或者证明材料亦视为符合。拟派项目</w:t>
            </w:r>
            <w:r>
              <w:rPr>
                <w:rFonts w:hint="eastAsia" w:ascii="宋体" w:hAnsi="宋体" w:cs="宋体"/>
                <w:color w:val="000000" w:themeColor="text1"/>
                <w:sz w:val="24"/>
                <w14:textFill>
                  <w14:solidFill>
                    <w14:schemeClr w14:val="tx1"/>
                  </w14:solidFill>
                </w14:textFill>
              </w:rPr>
              <w:t>团队成员</w:t>
            </w:r>
            <w:r>
              <w:rPr>
                <w:rFonts w:hint="eastAsia" w:ascii="宋体" w:hAnsi="宋体" w:cs="宋体"/>
                <w:color w:val="000000" w:themeColor="text1"/>
                <w:sz w:val="24"/>
                <w:lang w:val="zh-CN"/>
                <w14:textFill>
                  <w14:solidFill>
                    <w14:schemeClr w14:val="tx1"/>
                  </w14:solidFill>
                </w14:textFill>
              </w:rPr>
              <w:t>为退休返聘人员，则须提供相关聘用合同和退休证明，无需再提供社保证明。</w:t>
            </w:r>
          </w:p>
          <w:p>
            <w:pPr>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历证明：学历证明需提供毕业证书复印件及学信网查询截图，原件备查。对于较早颁发的学历证书，学信网无法查询的，应提供证书扫描件和供其他佐证材料（如毕业院校、人社部门等颁发机构或监管机构等单位出具的证明）作为可以得分的依据。（若为境外留学学历，无需提供学信网查询记录，需提供教育部留学服务中心出具的境外学历学位认证书以及教育部留学服务中心官网查询截图）</w:t>
            </w:r>
            <w:r>
              <w:rPr>
                <w:rFonts w:hint="eastAsia" w:ascii="宋体" w:hAnsi="宋体" w:cs="宋体"/>
                <w:color w:val="000000" w:themeColor="text1"/>
                <w:kern w:val="0"/>
                <w:sz w:val="24"/>
                <w:lang w:val="zh-CN"/>
                <w14:textFill>
                  <w14:solidFill>
                    <w14:schemeClr w14:val="tx1"/>
                  </w14:solidFill>
                </w14:textFill>
              </w:rPr>
              <w:t>。</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以上资料均要求提供扫描件（或官方网站截图），原件备查。评分中出现无证明资料或专家无法凭所提供资料判断是否得分的情况，一律作不得分处理。</w:t>
            </w:r>
          </w:p>
        </w:tc>
        <w:tc>
          <w:tcPr>
            <w:tcW w:w="901" w:type="dxa"/>
            <w:vAlign w:val="center"/>
          </w:tcPr>
          <w:p>
            <w:pPr>
              <w:autoSpaceDE w:val="0"/>
              <w:autoSpaceDN w:val="0"/>
              <w:adjustRightInd w:val="0"/>
              <w:spacing w:line="400" w:lineRule="exact"/>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10</w:t>
            </w:r>
          </w:p>
        </w:tc>
        <w:tc>
          <w:tcPr>
            <w:tcW w:w="1079"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168" w:type="dxa"/>
            <w:vAlign w:val="center"/>
          </w:tcPr>
          <w:p>
            <w:pPr>
              <w:autoSpaceDE w:val="0"/>
              <w:autoSpaceDN w:val="0"/>
              <w:adjustRightIn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服务响应时间</w:t>
            </w:r>
          </w:p>
        </w:tc>
        <w:tc>
          <w:tcPr>
            <w:tcW w:w="5907" w:type="dxa"/>
          </w:tcPr>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（一）评审标准</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投标人承诺对采购人服务的响应时间为24小时(含)内，得</w:t>
            </w:r>
            <w:r>
              <w:rPr>
                <w:rFonts w:hint="eastAsia" w:ascii="宋体" w:hAnsi="宋体" w:cs="宋体"/>
                <w:color w:val="000000" w:themeColor="text1"/>
                <w:kern w:val="0"/>
                <w:sz w:val="24"/>
                <w:lang w:val="en-US" w:eastAsia="zh-CN"/>
                <w14:textFill>
                  <w14:solidFill>
                    <w14:schemeClr w14:val="tx1"/>
                  </w14:solidFill>
                </w14:textFill>
              </w:rPr>
              <w:t>10</w:t>
            </w:r>
            <w:r>
              <w:rPr>
                <w:rFonts w:hint="eastAsia" w:ascii="宋体" w:hAnsi="宋体" w:cs="宋体"/>
                <w:color w:val="000000" w:themeColor="text1"/>
                <w:kern w:val="0"/>
                <w:sz w:val="24"/>
                <w14:textFill>
                  <w14:solidFill>
                    <w14:schemeClr w14:val="tx1"/>
                  </w14:solidFill>
                </w14:textFill>
              </w:rPr>
              <w:t>分，对采购人服务的响应时间为24小时（不含）以上48小时(含)内，得</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分，对采购人服务的响应时间为48小时(不含)以上，不得分。</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（二）证明文件</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提供后续服务承诺函（格式自拟）</w:t>
            </w:r>
            <w:r>
              <w:rPr>
                <w:rFonts w:hint="eastAsia" w:ascii="宋体" w:hAnsi="宋体" w:cs="宋体"/>
                <w:color w:val="000000" w:themeColor="text1"/>
                <w:kern w:val="0"/>
                <w:sz w:val="24"/>
                <w:lang w:val="en-US" w:eastAsia="zh-CN"/>
                <w14:textFill>
                  <w14:solidFill>
                    <w14:schemeClr w14:val="tx1"/>
                  </w14:solidFill>
                </w14:textFill>
              </w:rPr>
              <w:t>加盖公章</w:t>
            </w:r>
            <w:r>
              <w:rPr>
                <w:rFonts w:hint="eastAsia" w:ascii="宋体" w:hAnsi="宋体" w:cs="宋体"/>
                <w:color w:val="000000" w:themeColor="text1"/>
                <w:kern w:val="0"/>
                <w:sz w:val="24"/>
                <w14:textFill>
                  <w14:solidFill>
                    <w14:schemeClr w14:val="tx1"/>
                  </w14:solidFill>
                </w14:textFill>
              </w:rPr>
              <w:t>。未提供不得分。</w:t>
            </w:r>
          </w:p>
        </w:tc>
        <w:tc>
          <w:tcPr>
            <w:tcW w:w="901" w:type="dxa"/>
            <w:vAlign w:val="center"/>
          </w:tcPr>
          <w:p>
            <w:pPr>
              <w:autoSpaceDE w:val="0"/>
              <w:autoSpaceDN w:val="0"/>
              <w:adjustRightInd w:val="0"/>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1079"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168"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诚信声明与承诺</w:t>
            </w:r>
          </w:p>
        </w:tc>
        <w:tc>
          <w:tcPr>
            <w:tcW w:w="5907"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（一）评分内容：</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（二）评分依据</w:t>
            </w:r>
            <w:r>
              <w:rPr>
                <w:rFonts w:hint="eastAsia" w:ascii="宋体" w:hAnsi="宋体" w:cs="宋体"/>
                <w:color w:val="000000" w:themeColor="text1"/>
                <w:sz w:val="24"/>
                <w:lang w:eastAsia="zh-CN"/>
                <w14:textFill>
                  <w14:solidFill>
                    <w14:schemeClr w14:val="tx1"/>
                  </w14:solidFill>
                </w14:textFill>
              </w:rPr>
              <w:t>：</w:t>
            </w:r>
          </w:p>
          <w:p>
            <w:pPr>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1、投标人提供诚信声明与承诺加盖公章；</w:t>
            </w:r>
          </w:p>
          <w:p>
            <w:pPr>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采购代理机构通过信用信息查询渠道，包括“信用中国”（www.creditchina.gov.cn）、“中国政府采购网”（www.ccgp.gov.cn）、“深圳市政府采购监管网”（http://zfcg.sz.gov.cn）以及市、区财政部门认定的其他渠道查询供应商信用信息</w:t>
            </w:r>
            <w:r>
              <w:rPr>
                <w:rFonts w:hint="eastAsia" w:ascii="宋体" w:hAnsi="宋体" w:cs="宋体"/>
                <w:color w:val="000000" w:themeColor="text1"/>
                <w:sz w:val="24"/>
                <w14:textFill>
                  <w14:solidFill>
                    <w14:schemeClr w14:val="tx1"/>
                  </w14:solidFill>
                </w14:textFill>
              </w:rPr>
              <w:t>。</w:t>
            </w:r>
          </w:p>
        </w:tc>
        <w:tc>
          <w:tcPr>
            <w:tcW w:w="901" w:type="dxa"/>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079" w:type="dxa"/>
            <w:vAlign w:val="center"/>
          </w:tcPr>
          <w:p>
            <w:pPr>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9777" w:type="dxa"/>
            <w:gridSpan w:val="5"/>
            <w:shd w:val="clear" w:color="auto" w:fill="D9D9D9"/>
            <w:vAlign w:val="center"/>
          </w:tcPr>
          <w:p>
            <w:pPr>
              <w:autoSpaceDE w:val="0"/>
              <w:autoSpaceDN w:val="0"/>
              <w:adjustRightInd w:val="0"/>
              <w:spacing w:line="360" w:lineRule="auto"/>
              <w:jc w:val="center"/>
              <w:rPr>
                <w:rFonts w:hint="eastAsia"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三、技术部分（</w:t>
            </w:r>
            <w:r>
              <w:rPr>
                <w:rFonts w:hint="eastAsia" w:ascii="宋体" w:hAnsi="宋体" w:cs="宋体"/>
                <w:b/>
                <w:color w:val="000000" w:themeColor="text1"/>
                <w:sz w:val="24"/>
                <w:lang w:val="en-US" w:eastAsia="zh-CN"/>
                <w14:textFill>
                  <w14:solidFill>
                    <w14:schemeClr w14:val="tx1"/>
                  </w14:solidFill>
                </w14:textFill>
              </w:rPr>
              <w:t>50</w:t>
            </w:r>
            <w:r>
              <w:rPr>
                <w:rFonts w:hint="eastAsia" w:ascii="宋体" w:hAnsi="宋体" w:cs="宋体"/>
                <w:b/>
                <w:color w:val="000000" w:themeColor="text1"/>
                <w:sz w:val="24"/>
                <w:lang w:val="zh-CN"/>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序号</w:t>
            </w:r>
          </w:p>
        </w:tc>
        <w:tc>
          <w:tcPr>
            <w:tcW w:w="1168"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内容</w:t>
            </w:r>
          </w:p>
        </w:tc>
        <w:tc>
          <w:tcPr>
            <w:tcW w:w="5907"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评分规则</w:t>
            </w:r>
          </w:p>
        </w:tc>
        <w:tc>
          <w:tcPr>
            <w:tcW w:w="901"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权重</w:t>
            </w:r>
          </w:p>
        </w:tc>
        <w:tc>
          <w:tcPr>
            <w:tcW w:w="1079"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168"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项目实施方案</w:t>
            </w:r>
          </w:p>
        </w:tc>
        <w:tc>
          <w:tcPr>
            <w:tcW w:w="5907" w:type="dxa"/>
            <w:vAlign w:val="center"/>
          </w:tcPr>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（一）评审内容：</w:t>
            </w:r>
          </w:p>
          <w:p>
            <w:pPr>
              <w:pStyle w:val="32"/>
              <w:widowControl/>
              <w:spacing w:line="360" w:lineRule="auto"/>
              <w:ind w:firstLine="0" w:firstLineChars="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考察</w:t>
            </w:r>
            <w:r>
              <w:rPr>
                <w:rFonts w:hint="eastAsia" w:ascii="宋体" w:hAnsi="宋体" w:cs="宋体"/>
                <w:color w:val="000000" w:themeColor="text1"/>
                <w:sz w:val="24"/>
                <w:lang w:val="zh-CN"/>
                <w14:textFill>
                  <w14:solidFill>
                    <w14:schemeClr w14:val="tx1"/>
                  </w14:solidFill>
                </w14:textFill>
              </w:rPr>
              <w:t>投标</w:t>
            </w:r>
            <w:r>
              <w:rPr>
                <w:rFonts w:hint="eastAsia" w:ascii="宋体" w:hAnsi="宋体" w:cs="宋体"/>
                <w:color w:val="000000" w:themeColor="text1"/>
                <w:sz w:val="24"/>
                <w14:textFill>
                  <w14:solidFill>
                    <w14:schemeClr w14:val="tx1"/>
                  </w14:solidFill>
                </w14:textFill>
              </w:rPr>
              <w:t>人拟采取的项目</w:t>
            </w:r>
            <w:r>
              <w:rPr>
                <w:rFonts w:hint="eastAsia" w:ascii="宋体" w:hAnsi="宋体" w:cs="宋体"/>
                <w:color w:val="000000" w:themeColor="text1"/>
                <w:sz w:val="24"/>
                <w:lang w:val="zh-CN"/>
                <w14:textFill>
                  <w14:solidFill>
                    <w14:schemeClr w14:val="tx1"/>
                  </w14:solidFill>
                </w14:textFill>
              </w:rPr>
              <w:t>实施方案</w:t>
            </w:r>
            <w:r>
              <w:rPr>
                <w:rFonts w:hint="eastAsia" w:ascii="宋体" w:hAnsi="宋体" w:cs="宋体"/>
                <w:color w:val="000000" w:themeColor="text1"/>
                <w:sz w:val="24"/>
                <w14:textFill>
                  <w14:solidFill>
                    <w14:schemeClr w14:val="tx1"/>
                  </w14:solidFill>
                </w14:textFill>
              </w:rPr>
              <w:t>，根据投标文件响应情况进行评分，具体内容包括但不限于：</w:t>
            </w:r>
          </w:p>
          <w:p>
            <w:pPr>
              <w:pStyle w:val="32"/>
              <w:widowControl/>
              <w:spacing w:line="360" w:lineRule="auto"/>
              <w:ind w:firstLine="0" w:firstLineChars="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1.项目实施目标；</w:t>
            </w:r>
          </w:p>
          <w:p>
            <w:pPr>
              <w:pStyle w:val="32"/>
              <w:widowControl/>
              <w:spacing w:line="360" w:lineRule="auto"/>
              <w:ind w:firstLine="0" w:firstLineChars="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2.项目实施计划；</w:t>
            </w:r>
          </w:p>
          <w:p>
            <w:pPr>
              <w:pStyle w:val="32"/>
              <w:widowControl/>
              <w:spacing w:line="360" w:lineRule="auto"/>
              <w:ind w:firstLine="0" w:firstLineChars="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3.项目实施内容；</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4.项目成果交付。</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（二）评审标准：</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满足</w:t>
            </w:r>
            <w:r>
              <w:rPr>
                <w:rFonts w:hint="eastAsia" w:ascii="宋体" w:hAnsi="宋体" w:cs="宋体"/>
                <w:color w:val="000000" w:themeColor="text1"/>
                <w:sz w:val="24"/>
                <w14:textFill>
                  <w14:solidFill>
                    <w14:schemeClr w14:val="tx1"/>
                  </w14:solidFill>
                </w14:textFill>
              </w:rPr>
              <w:t>以上四</w:t>
            </w:r>
            <w:r>
              <w:rPr>
                <w:rFonts w:hint="eastAsia" w:ascii="宋体" w:hAnsi="宋体" w:cs="宋体"/>
                <w:color w:val="000000" w:themeColor="text1"/>
                <w:sz w:val="24"/>
                <w:lang w:val="zh-CN"/>
                <w14:textFill>
                  <w14:solidFill>
                    <w14:schemeClr w14:val="tx1"/>
                  </w14:solidFill>
                </w14:textFill>
              </w:rPr>
              <w:t>点得</w:t>
            </w:r>
            <w:r>
              <w:rPr>
                <w:rFonts w:hint="eastAsia"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分，满足</w:t>
            </w:r>
            <w:r>
              <w:rPr>
                <w:rFonts w:hint="eastAsia" w:ascii="宋体" w:hAnsi="宋体" w:cs="宋体"/>
                <w:color w:val="000000" w:themeColor="text1"/>
                <w:sz w:val="24"/>
                <w14:textFill>
                  <w14:solidFill>
                    <w14:schemeClr w14:val="tx1"/>
                  </w14:solidFill>
                </w14:textFill>
              </w:rPr>
              <w:t>以上任意三</w:t>
            </w:r>
            <w:r>
              <w:rPr>
                <w:rFonts w:hint="eastAsia" w:ascii="宋体" w:hAnsi="宋体" w:cs="宋体"/>
                <w:color w:val="000000" w:themeColor="text1"/>
                <w:sz w:val="24"/>
                <w:lang w:val="zh-CN"/>
                <w14:textFill>
                  <w14:solidFill>
                    <w14:schemeClr w14:val="tx1"/>
                  </w14:solidFill>
                </w14:textFill>
              </w:rPr>
              <w:t>点得</w:t>
            </w:r>
            <w:r>
              <w:rPr>
                <w:rFonts w:hint="eastAsia"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lang w:val="zh-CN"/>
                <w14:textFill>
                  <w14:solidFill>
                    <w14:schemeClr w14:val="tx1"/>
                  </w14:solidFill>
                </w14:textFill>
              </w:rPr>
              <w:t>分，满足</w:t>
            </w:r>
            <w:r>
              <w:rPr>
                <w:rFonts w:hint="eastAsia" w:ascii="宋体" w:hAnsi="宋体" w:cs="宋体"/>
                <w:color w:val="000000" w:themeColor="text1"/>
                <w:sz w:val="24"/>
                <w14:textFill>
                  <w14:solidFill>
                    <w14:schemeClr w14:val="tx1"/>
                  </w14:solidFill>
                </w14:textFill>
              </w:rPr>
              <w:t>以上</w:t>
            </w:r>
            <w:r>
              <w:rPr>
                <w:rFonts w:hint="eastAsia" w:ascii="宋体" w:hAnsi="宋体" w:cs="宋体"/>
                <w:color w:val="000000" w:themeColor="text1"/>
                <w:sz w:val="24"/>
                <w:lang w:val="zh-CN"/>
                <w14:textFill>
                  <w14:solidFill>
                    <w14:schemeClr w14:val="tx1"/>
                  </w14:solidFill>
                </w14:textFill>
              </w:rPr>
              <w:t>任意</w:t>
            </w:r>
            <w:r>
              <w:rPr>
                <w:rFonts w:hint="eastAsia" w:ascii="宋体" w:hAnsi="宋体" w:cs="宋体"/>
                <w:color w:val="000000" w:themeColor="text1"/>
                <w:sz w:val="24"/>
                <w14:textFill>
                  <w14:solidFill>
                    <w14:schemeClr w14:val="tx1"/>
                  </w14:solidFill>
                </w14:textFill>
              </w:rPr>
              <w:t>两</w:t>
            </w:r>
            <w:r>
              <w:rPr>
                <w:rFonts w:hint="eastAsia" w:ascii="宋体" w:hAnsi="宋体" w:cs="宋体"/>
                <w:color w:val="000000" w:themeColor="text1"/>
                <w:sz w:val="24"/>
                <w:lang w:val="zh-CN"/>
                <w14:textFill>
                  <w14:solidFill>
                    <w14:schemeClr w14:val="tx1"/>
                  </w14:solidFill>
                </w14:textFill>
              </w:rPr>
              <w:t>点得</w:t>
            </w: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lang w:val="zh-CN"/>
                <w14:textFill>
                  <w14:solidFill>
                    <w14:schemeClr w14:val="tx1"/>
                  </w14:solidFill>
                </w14:textFill>
              </w:rPr>
              <w:t>分，满足</w:t>
            </w:r>
            <w:r>
              <w:rPr>
                <w:rFonts w:hint="eastAsia" w:ascii="宋体" w:hAnsi="宋体" w:cs="宋体"/>
                <w:color w:val="000000" w:themeColor="text1"/>
                <w:sz w:val="24"/>
                <w14:textFill>
                  <w14:solidFill>
                    <w14:schemeClr w14:val="tx1"/>
                  </w14:solidFill>
                </w14:textFill>
              </w:rPr>
              <w:t>以上</w:t>
            </w:r>
            <w:r>
              <w:rPr>
                <w:rFonts w:hint="eastAsia" w:ascii="宋体" w:hAnsi="宋体" w:cs="宋体"/>
                <w:color w:val="000000" w:themeColor="text1"/>
                <w:sz w:val="24"/>
                <w:lang w:val="zh-CN"/>
                <w14:textFill>
                  <w14:solidFill>
                    <w14:schemeClr w14:val="tx1"/>
                  </w14:solidFill>
                </w14:textFill>
              </w:rPr>
              <w:t>任意一点得</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分，</w:t>
            </w:r>
            <w:r>
              <w:rPr>
                <w:rFonts w:hint="eastAsia" w:ascii="宋体" w:hAnsi="宋体" w:cs="宋体"/>
                <w:color w:val="000000" w:themeColor="text1"/>
                <w:sz w:val="24"/>
                <w14:textFill>
                  <w14:solidFill>
                    <w14:schemeClr w14:val="tx1"/>
                  </w14:solidFill>
                </w14:textFill>
              </w:rPr>
              <w:t>其他情况</w:t>
            </w:r>
            <w:r>
              <w:rPr>
                <w:rFonts w:hint="eastAsia" w:ascii="宋体" w:hAnsi="宋体" w:cs="宋体"/>
                <w:color w:val="000000" w:themeColor="text1"/>
                <w:sz w:val="24"/>
                <w:lang w:val="zh-CN"/>
                <w14:textFill>
                  <w14:solidFill>
                    <w14:schemeClr w14:val="tx1"/>
                  </w14:solidFill>
                </w14:textFill>
              </w:rPr>
              <w:t>不得分。在此基础上，专家根据各供应商的具体响应内容进一步评审：</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优：实施方案内容具体、内容针对性强、内容科学合理、内容可操作性强；</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良：实施方案内容较具体、内容针对性较强、内容较科学合理、内容可操作性较强；</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中：实施方案内容具体性一般、内容针对性一般、内容科学合理性一般、内容可操作性一般；</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差：实施方案内容具体性差、内容针对性差、内容科学合理性差、内容可操作性差。</w:t>
            </w:r>
          </w:p>
          <w:p>
            <w:pPr>
              <w:pStyle w:val="32"/>
              <w:widowControl/>
              <w:spacing w:line="360" w:lineRule="auto"/>
              <w:ind w:firstLine="0" w:firstLineChars="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评价为优</w:t>
            </w:r>
            <w:r>
              <w:rPr>
                <w:rFonts w:hint="eastAsia" w:ascii="宋体" w:hAnsi="宋体" w:cs="宋体"/>
                <w:color w:val="000000" w:themeColor="text1"/>
                <w:sz w:val="24"/>
                <w14:textFill>
                  <w14:solidFill>
                    <w14:schemeClr w14:val="tx1"/>
                  </w14:solidFill>
                </w14:textFill>
              </w:rPr>
              <w:t>加</w:t>
            </w:r>
            <w:r>
              <w:rPr>
                <w:rFonts w:hint="eastAsia" w:ascii="宋体" w:hAnsi="宋体" w:cs="宋体"/>
                <w:color w:val="000000" w:themeColor="text1"/>
                <w:sz w:val="24"/>
                <w:lang w:val="zh-CN"/>
                <w14:textFill>
                  <w14:solidFill>
                    <w14:schemeClr w14:val="tx1"/>
                  </w14:solidFill>
                </w14:textFill>
              </w:rPr>
              <w:t>7分；评价为良</w:t>
            </w:r>
            <w:r>
              <w:rPr>
                <w:rFonts w:hint="eastAsia" w:ascii="宋体" w:hAnsi="宋体" w:cs="宋体"/>
                <w:color w:val="000000" w:themeColor="text1"/>
                <w:sz w:val="24"/>
                <w14:textFill>
                  <w14:solidFill>
                    <w14:schemeClr w14:val="tx1"/>
                  </w14:solidFill>
                </w14:textFill>
              </w:rPr>
              <w:t>加4</w:t>
            </w:r>
            <w:r>
              <w:rPr>
                <w:rFonts w:hint="eastAsia" w:ascii="宋体" w:hAnsi="宋体" w:cs="宋体"/>
                <w:color w:val="000000" w:themeColor="text1"/>
                <w:sz w:val="24"/>
                <w:lang w:val="zh-CN"/>
                <w14:textFill>
                  <w14:solidFill>
                    <w14:schemeClr w14:val="tx1"/>
                  </w14:solidFill>
                </w14:textFill>
              </w:rPr>
              <w:t>分；评价为中</w:t>
            </w:r>
            <w:r>
              <w:rPr>
                <w:rFonts w:hint="eastAsia" w:ascii="宋体" w:hAnsi="宋体" w:cs="宋体"/>
                <w:color w:val="000000" w:themeColor="text1"/>
                <w:sz w:val="24"/>
                <w14:textFill>
                  <w14:solidFill>
                    <w14:schemeClr w14:val="tx1"/>
                  </w14:solidFill>
                </w14:textFill>
              </w:rPr>
              <w:t>加2</w:t>
            </w:r>
            <w:r>
              <w:rPr>
                <w:rFonts w:hint="eastAsia" w:ascii="宋体" w:hAnsi="宋体" w:cs="宋体"/>
                <w:color w:val="000000" w:themeColor="text1"/>
                <w:sz w:val="24"/>
                <w:lang w:val="zh-CN"/>
                <w14:textFill>
                  <w14:solidFill>
                    <w14:schemeClr w14:val="tx1"/>
                  </w14:solidFill>
                </w14:textFill>
              </w:rPr>
              <w:t>分；评价为差</w:t>
            </w:r>
            <w:r>
              <w:rPr>
                <w:rFonts w:hint="eastAsia" w:ascii="宋体" w:hAnsi="宋体" w:cs="宋体"/>
                <w:color w:val="000000" w:themeColor="text1"/>
                <w:sz w:val="24"/>
                <w14:textFill>
                  <w14:solidFill>
                    <w14:schemeClr w14:val="tx1"/>
                  </w14:solidFill>
                </w14:textFill>
              </w:rPr>
              <w:t>不加</w:t>
            </w:r>
            <w:r>
              <w:rPr>
                <w:rFonts w:hint="eastAsia" w:ascii="宋体" w:hAnsi="宋体" w:cs="宋体"/>
                <w:color w:val="000000" w:themeColor="text1"/>
                <w:sz w:val="24"/>
                <w:lang w:val="zh-CN"/>
                <w14:textFill>
                  <w14:solidFill>
                    <w14:schemeClr w14:val="tx1"/>
                  </w14:solidFill>
                </w14:textFill>
              </w:rPr>
              <w:t>分。</w:t>
            </w:r>
          </w:p>
        </w:tc>
        <w:tc>
          <w:tcPr>
            <w:tcW w:w="901"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079"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168"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质量保</w:t>
            </w:r>
            <w:r>
              <w:rPr>
                <w:rFonts w:hint="eastAsia" w:ascii="宋体" w:hAnsi="宋体" w:cs="宋体"/>
                <w:color w:val="000000" w:themeColor="text1"/>
                <w:sz w:val="24"/>
                <w14:textFill>
                  <w14:solidFill>
                    <w14:schemeClr w14:val="tx1"/>
                  </w14:solidFill>
                </w14:textFill>
              </w:rPr>
              <w:t>障</w:t>
            </w:r>
            <w:r>
              <w:rPr>
                <w:rFonts w:hint="eastAsia" w:ascii="宋体" w:hAnsi="宋体" w:cs="宋体"/>
                <w:color w:val="000000" w:themeColor="text1"/>
                <w:sz w:val="24"/>
                <w:lang w:val="zh-CN"/>
                <w14:textFill>
                  <w14:solidFill>
                    <w14:schemeClr w14:val="tx1"/>
                  </w14:solidFill>
                </w14:textFill>
              </w:rPr>
              <w:t>措施</w:t>
            </w:r>
            <w:r>
              <w:rPr>
                <w:rFonts w:hint="eastAsia" w:ascii="宋体" w:hAnsi="宋体" w:cs="宋体"/>
                <w:color w:val="000000" w:themeColor="text1"/>
                <w:sz w:val="24"/>
                <w14:textFill>
                  <w14:solidFill>
                    <w14:schemeClr w14:val="tx1"/>
                  </w14:solidFill>
                </w14:textFill>
              </w:rPr>
              <w:t>及方案</w:t>
            </w:r>
          </w:p>
        </w:tc>
        <w:tc>
          <w:tcPr>
            <w:tcW w:w="5907" w:type="dxa"/>
            <w:vAlign w:val="center"/>
          </w:tcPr>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（一）评审内容：</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考察投标人保证项目完成质量的保障措施及方案的合理性，是否满足投标要求，根据投标文件的响应情况进行评分，具体内容包括：</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阐述</w:t>
            </w:r>
            <w:r>
              <w:rPr>
                <w:rFonts w:hint="eastAsia" w:ascii="宋体" w:hAnsi="宋体" w:cs="宋体"/>
                <w:color w:val="000000" w:themeColor="text1"/>
                <w:sz w:val="24"/>
                <w:lang w:val="zh-CN"/>
                <w14:textFill>
                  <w14:solidFill>
                    <w14:schemeClr w14:val="tx1"/>
                  </w14:solidFill>
                </w14:textFill>
              </w:rPr>
              <w:t>分阶段项目时间安排与阶段性</w:t>
            </w:r>
            <w:r>
              <w:rPr>
                <w:rFonts w:hint="eastAsia" w:ascii="宋体" w:hAnsi="宋体" w:cs="宋体"/>
                <w:color w:val="000000" w:themeColor="text1"/>
                <w:sz w:val="24"/>
                <w14:textFill>
                  <w14:solidFill>
                    <w14:schemeClr w14:val="tx1"/>
                  </w14:solidFill>
                </w14:textFill>
              </w:rPr>
              <w:t>项目</w:t>
            </w:r>
            <w:r>
              <w:rPr>
                <w:rFonts w:hint="eastAsia" w:ascii="宋体" w:hAnsi="宋体" w:cs="宋体"/>
                <w:color w:val="000000" w:themeColor="text1"/>
                <w:sz w:val="24"/>
                <w:lang w:val="zh-CN"/>
                <w14:textFill>
                  <w14:solidFill>
                    <w14:schemeClr w14:val="tx1"/>
                  </w14:solidFill>
                </w14:textFill>
              </w:rPr>
              <w:t>成果；</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2.阐述项目时间管理制度与措施；</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3.阐述项目质量管理制度与措施；</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4.阐述项目资料、成果安全性保障制度与措施；</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二</w:t>
            </w:r>
            <w:r>
              <w:rPr>
                <w:rFonts w:hint="eastAsia" w:ascii="宋体" w:hAnsi="宋体" w:cs="宋体"/>
                <w:color w:val="000000" w:themeColor="text1"/>
                <w:sz w:val="24"/>
                <w:lang w:val="zh-CN"/>
                <w14:textFill>
                  <w14:solidFill>
                    <w14:schemeClr w14:val="tx1"/>
                  </w14:solidFill>
                </w14:textFill>
              </w:rPr>
              <w:t>）评分标准：</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满足</w:t>
            </w:r>
            <w:r>
              <w:rPr>
                <w:rFonts w:hint="eastAsia" w:ascii="宋体" w:hAnsi="宋体" w:cs="宋体"/>
                <w:color w:val="000000" w:themeColor="text1"/>
                <w:sz w:val="24"/>
                <w14:textFill>
                  <w14:solidFill>
                    <w14:schemeClr w14:val="tx1"/>
                  </w14:solidFill>
                </w14:textFill>
              </w:rPr>
              <w:t>以上四</w:t>
            </w:r>
            <w:r>
              <w:rPr>
                <w:rFonts w:hint="eastAsia" w:ascii="宋体" w:hAnsi="宋体" w:cs="宋体"/>
                <w:color w:val="000000" w:themeColor="text1"/>
                <w:sz w:val="24"/>
                <w:lang w:val="zh-CN"/>
                <w14:textFill>
                  <w14:solidFill>
                    <w14:schemeClr w14:val="tx1"/>
                  </w14:solidFill>
                </w14:textFill>
              </w:rPr>
              <w:t>点得</w:t>
            </w:r>
            <w:r>
              <w:rPr>
                <w:rFonts w:hint="eastAsia"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lang w:val="zh-CN"/>
                <w14:textFill>
                  <w14:solidFill>
                    <w14:schemeClr w14:val="tx1"/>
                  </w14:solidFill>
                </w14:textFill>
              </w:rPr>
              <w:t>分，满足</w:t>
            </w:r>
            <w:r>
              <w:rPr>
                <w:rFonts w:hint="eastAsia" w:ascii="宋体" w:hAnsi="宋体" w:cs="宋体"/>
                <w:color w:val="000000" w:themeColor="text1"/>
                <w:sz w:val="24"/>
                <w14:textFill>
                  <w14:solidFill>
                    <w14:schemeClr w14:val="tx1"/>
                  </w14:solidFill>
                </w14:textFill>
              </w:rPr>
              <w:t>以上</w:t>
            </w:r>
            <w:r>
              <w:rPr>
                <w:rFonts w:hint="eastAsia" w:ascii="宋体" w:hAnsi="宋体" w:cs="宋体"/>
                <w:color w:val="000000" w:themeColor="text1"/>
                <w:sz w:val="24"/>
                <w:lang w:val="zh-CN"/>
                <w14:textFill>
                  <w14:solidFill>
                    <w14:schemeClr w14:val="tx1"/>
                  </w14:solidFill>
                </w14:textFill>
              </w:rPr>
              <w:t>任意</w:t>
            </w:r>
            <w:r>
              <w:rPr>
                <w:rFonts w:hint="eastAsia" w:ascii="宋体" w:hAnsi="宋体" w:cs="宋体"/>
                <w:color w:val="000000" w:themeColor="text1"/>
                <w:sz w:val="24"/>
                <w14:textFill>
                  <w14:solidFill>
                    <w14:schemeClr w14:val="tx1"/>
                  </w14:solidFill>
                </w14:textFill>
              </w:rPr>
              <w:t>三</w:t>
            </w:r>
            <w:r>
              <w:rPr>
                <w:rFonts w:hint="eastAsia" w:ascii="宋体" w:hAnsi="宋体" w:cs="宋体"/>
                <w:color w:val="000000" w:themeColor="text1"/>
                <w:sz w:val="24"/>
                <w:lang w:val="zh-CN"/>
                <w14:textFill>
                  <w14:solidFill>
                    <w14:schemeClr w14:val="tx1"/>
                  </w14:solidFill>
                </w14:textFill>
              </w:rPr>
              <w:t>点得</w:t>
            </w: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zh-CN"/>
                <w14:textFill>
                  <w14:solidFill>
                    <w14:schemeClr w14:val="tx1"/>
                  </w14:solidFill>
                </w14:textFill>
              </w:rPr>
              <w:t>分，满足</w:t>
            </w:r>
            <w:r>
              <w:rPr>
                <w:rFonts w:hint="eastAsia" w:ascii="宋体" w:hAnsi="宋体" w:cs="宋体"/>
                <w:color w:val="000000" w:themeColor="text1"/>
                <w:sz w:val="24"/>
                <w14:textFill>
                  <w14:solidFill>
                    <w14:schemeClr w14:val="tx1"/>
                  </w14:solidFill>
                </w14:textFill>
              </w:rPr>
              <w:t>以上</w:t>
            </w:r>
            <w:r>
              <w:rPr>
                <w:rFonts w:hint="eastAsia" w:ascii="宋体" w:hAnsi="宋体" w:cs="宋体"/>
                <w:color w:val="000000" w:themeColor="text1"/>
                <w:sz w:val="24"/>
                <w:lang w:val="zh-CN"/>
                <w14:textFill>
                  <w14:solidFill>
                    <w14:schemeClr w14:val="tx1"/>
                  </w14:solidFill>
                </w14:textFill>
              </w:rPr>
              <w:t>任意</w:t>
            </w:r>
            <w:r>
              <w:rPr>
                <w:rFonts w:hint="eastAsia" w:ascii="宋体" w:hAnsi="宋体" w:cs="宋体"/>
                <w:color w:val="000000" w:themeColor="text1"/>
                <w:sz w:val="24"/>
                <w14:textFill>
                  <w14:solidFill>
                    <w14:schemeClr w14:val="tx1"/>
                  </w14:solidFill>
                </w14:textFill>
              </w:rPr>
              <w:t>两</w:t>
            </w:r>
            <w:r>
              <w:rPr>
                <w:rFonts w:hint="eastAsia" w:ascii="宋体" w:hAnsi="宋体" w:cs="宋体"/>
                <w:color w:val="000000" w:themeColor="text1"/>
                <w:sz w:val="24"/>
                <w:lang w:val="zh-CN"/>
                <w14:textFill>
                  <w14:solidFill>
                    <w14:schemeClr w14:val="tx1"/>
                  </w14:solidFill>
                </w14:textFill>
              </w:rPr>
              <w:t>点得</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分，满足</w:t>
            </w:r>
            <w:r>
              <w:rPr>
                <w:rFonts w:hint="eastAsia" w:ascii="宋体" w:hAnsi="宋体" w:cs="宋体"/>
                <w:color w:val="000000" w:themeColor="text1"/>
                <w:sz w:val="24"/>
                <w14:textFill>
                  <w14:solidFill>
                    <w14:schemeClr w14:val="tx1"/>
                  </w14:solidFill>
                </w14:textFill>
              </w:rPr>
              <w:t>以上</w:t>
            </w:r>
            <w:r>
              <w:rPr>
                <w:rFonts w:hint="eastAsia" w:ascii="宋体" w:hAnsi="宋体" w:cs="宋体"/>
                <w:color w:val="000000" w:themeColor="text1"/>
                <w:sz w:val="24"/>
                <w:lang w:val="zh-CN"/>
                <w14:textFill>
                  <w14:solidFill>
                    <w14:schemeClr w14:val="tx1"/>
                  </w14:solidFill>
                </w14:textFill>
              </w:rPr>
              <w:t>任意一点得</w:t>
            </w: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zh-CN"/>
                <w14:textFill>
                  <w14:solidFill>
                    <w14:schemeClr w14:val="tx1"/>
                  </w14:solidFill>
                </w14:textFill>
              </w:rPr>
              <w:t>分，</w:t>
            </w:r>
            <w:r>
              <w:rPr>
                <w:rFonts w:hint="eastAsia" w:ascii="宋体" w:hAnsi="宋体" w:cs="宋体"/>
                <w:color w:val="000000" w:themeColor="text1"/>
                <w:sz w:val="24"/>
                <w14:textFill>
                  <w14:solidFill>
                    <w14:schemeClr w14:val="tx1"/>
                  </w14:solidFill>
                </w14:textFill>
              </w:rPr>
              <w:t>其他情况</w:t>
            </w:r>
            <w:r>
              <w:rPr>
                <w:rFonts w:hint="eastAsia" w:ascii="宋体" w:hAnsi="宋体" w:cs="宋体"/>
                <w:color w:val="000000" w:themeColor="text1"/>
                <w:sz w:val="24"/>
                <w:lang w:val="zh-CN"/>
                <w14:textFill>
                  <w14:solidFill>
                    <w14:schemeClr w14:val="tx1"/>
                  </w14:solidFill>
                </w14:textFill>
              </w:rPr>
              <w:t xml:space="preserve">不得分。在此基础上，专家根据各供应商的具体响应内容进一步评审； </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优：保障措施及方案内容具体、内容针对性强、内容科学合理、内容可操作性强；</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良：保障措施及方案内容较具体、内容针对性较强、内容较科学合理、内容可操作性较强；</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中：保障措施及方案内容具体性一般、内容针对性一般、内容科学合理性一般、内容可操作性一般；</w:t>
            </w:r>
          </w:p>
          <w:p>
            <w:pPr>
              <w:spacing w:line="360" w:lineRule="auto"/>
              <w:rPr>
                <w:color w:val="000000" w:themeColor="text1"/>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差：保障措施及方案内容具体性差、内容针对性差、内容科学合理性差、内容可操作性差。</w:t>
            </w:r>
          </w:p>
          <w:p>
            <w:pPr>
              <w:pStyle w:val="32"/>
              <w:widowControl/>
              <w:spacing w:line="360" w:lineRule="auto"/>
              <w:ind w:firstLine="0" w:firstLineChars="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评价为优</w:t>
            </w:r>
            <w:r>
              <w:rPr>
                <w:rFonts w:hint="eastAsia" w:ascii="宋体" w:hAnsi="宋体" w:cs="宋体"/>
                <w:color w:val="000000" w:themeColor="text1"/>
                <w:sz w:val="24"/>
                <w14:textFill>
                  <w14:solidFill>
                    <w14:schemeClr w14:val="tx1"/>
                  </w14:solidFill>
                </w14:textFill>
              </w:rPr>
              <w:t>加</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lang w:val="zh-CN"/>
                <w14:textFill>
                  <w14:solidFill>
                    <w14:schemeClr w14:val="tx1"/>
                  </w14:solidFill>
                </w14:textFill>
              </w:rPr>
              <w:t>分；评价为良</w:t>
            </w:r>
            <w:r>
              <w:rPr>
                <w:rFonts w:hint="eastAsia" w:ascii="宋体" w:hAnsi="宋体" w:cs="宋体"/>
                <w:color w:val="000000" w:themeColor="text1"/>
                <w:sz w:val="24"/>
                <w14:textFill>
                  <w14:solidFill>
                    <w14:schemeClr w14:val="tx1"/>
                  </w14:solidFill>
                </w14:textFill>
              </w:rPr>
              <w:t>加</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lang w:val="zh-CN"/>
                <w14:textFill>
                  <w14:solidFill>
                    <w14:schemeClr w14:val="tx1"/>
                  </w14:solidFill>
                </w14:textFill>
              </w:rPr>
              <w:t>分；评价为中</w:t>
            </w:r>
            <w:r>
              <w:rPr>
                <w:rFonts w:hint="eastAsia" w:ascii="宋体" w:hAnsi="宋体" w:cs="宋体"/>
                <w:color w:val="000000" w:themeColor="text1"/>
                <w:sz w:val="24"/>
                <w14:textFill>
                  <w14:solidFill>
                    <w14:schemeClr w14:val="tx1"/>
                  </w14:solidFill>
                </w14:textFill>
              </w:rPr>
              <w:t>加</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lang w:val="zh-CN"/>
                <w14:textFill>
                  <w14:solidFill>
                    <w14:schemeClr w14:val="tx1"/>
                  </w14:solidFill>
                </w14:textFill>
              </w:rPr>
              <w:t>分；评价为差</w:t>
            </w:r>
            <w:r>
              <w:rPr>
                <w:rFonts w:hint="eastAsia" w:ascii="宋体" w:hAnsi="宋体" w:cs="宋体"/>
                <w:color w:val="000000" w:themeColor="text1"/>
                <w:sz w:val="24"/>
                <w14:textFill>
                  <w14:solidFill>
                    <w14:schemeClr w14:val="tx1"/>
                  </w14:solidFill>
                </w14:textFill>
              </w:rPr>
              <w:t>不加</w:t>
            </w:r>
            <w:r>
              <w:rPr>
                <w:rFonts w:hint="eastAsia" w:ascii="宋体" w:hAnsi="宋体" w:cs="宋体"/>
                <w:color w:val="000000" w:themeColor="text1"/>
                <w:sz w:val="24"/>
                <w:lang w:val="zh-CN"/>
                <w14:textFill>
                  <w14:solidFill>
                    <w14:schemeClr w14:val="tx1"/>
                  </w14:solidFill>
                </w14:textFill>
              </w:rPr>
              <w:t>分。</w:t>
            </w:r>
          </w:p>
        </w:tc>
        <w:tc>
          <w:tcPr>
            <w:tcW w:w="901"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10</w:t>
            </w:r>
          </w:p>
        </w:tc>
        <w:tc>
          <w:tcPr>
            <w:tcW w:w="1079"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168"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项目重难点分析及相关的合理化建议</w:t>
            </w:r>
          </w:p>
        </w:tc>
        <w:tc>
          <w:tcPr>
            <w:tcW w:w="5907" w:type="dxa"/>
            <w:vAlign w:val="center"/>
          </w:tcPr>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（一）评审内容：</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考察投标人对项目的重点、难点分析的准确性，应对的措施及建议是否具备科学合理性情况进行评分，具体内容包括：</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1.分析出项目重难点；</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2.给出应对处置项目重难点的工作措施；</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3.提出解决项目重难点问题的合理化建议。</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 xml:space="preserve">（二）评分标准： </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满足</w:t>
            </w:r>
            <w:r>
              <w:rPr>
                <w:rFonts w:hint="eastAsia" w:ascii="宋体" w:hAnsi="宋体" w:cs="宋体"/>
                <w:color w:val="000000" w:themeColor="text1"/>
                <w:sz w:val="24"/>
                <w14:textFill>
                  <w14:solidFill>
                    <w14:schemeClr w14:val="tx1"/>
                  </w14:solidFill>
                </w14:textFill>
              </w:rPr>
              <w:t>以上三</w:t>
            </w:r>
            <w:r>
              <w:rPr>
                <w:rFonts w:hint="eastAsia" w:ascii="宋体" w:hAnsi="宋体" w:cs="宋体"/>
                <w:color w:val="000000" w:themeColor="text1"/>
                <w:sz w:val="24"/>
                <w:lang w:val="zh-CN"/>
                <w14:textFill>
                  <w14:solidFill>
                    <w14:schemeClr w14:val="tx1"/>
                  </w14:solidFill>
                </w14:textFill>
              </w:rPr>
              <w:t>点得</w:t>
            </w:r>
            <w:r>
              <w:rPr>
                <w:rFonts w:hint="eastAsia"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分，满足</w:t>
            </w:r>
            <w:r>
              <w:rPr>
                <w:rFonts w:hint="eastAsia" w:ascii="宋体" w:hAnsi="宋体" w:cs="宋体"/>
                <w:color w:val="000000" w:themeColor="text1"/>
                <w:sz w:val="24"/>
                <w14:textFill>
                  <w14:solidFill>
                    <w14:schemeClr w14:val="tx1"/>
                  </w14:solidFill>
                </w14:textFill>
              </w:rPr>
              <w:t>以上</w:t>
            </w:r>
            <w:r>
              <w:rPr>
                <w:rFonts w:hint="eastAsia" w:ascii="宋体" w:hAnsi="宋体" w:cs="宋体"/>
                <w:color w:val="000000" w:themeColor="text1"/>
                <w:sz w:val="24"/>
                <w:lang w:val="zh-CN"/>
                <w14:textFill>
                  <w14:solidFill>
                    <w14:schemeClr w14:val="tx1"/>
                  </w14:solidFill>
                </w14:textFill>
              </w:rPr>
              <w:t>任意</w:t>
            </w:r>
            <w:r>
              <w:rPr>
                <w:rFonts w:hint="eastAsia" w:ascii="宋体" w:hAnsi="宋体" w:cs="宋体"/>
                <w:color w:val="000000" w:themeColor="text1"/>
                <w:sz w:val="24"/>
                <w14:textFill>
                  <w14:solidFill>
                    <w14:schemeClr w14:val="tx1"/>
                  </w14:solidFill>
                </w14:textFill>
              </w:rPr>
              <w:t>两点得5分，满足以上任意</w:t>
            </w:r>
            <w:r>
              <w:rPr>
                <w:rFonts w:hint="eastAsia" w:ascii="宋体" w:hAnsi="宋体" w:cs="宋体"/>
                <w:color w:val="000000" w:themeColor="text1"/>
                <w:sz w:val="24"/>
                <w:lang w:val="zh-CN"/>
                <w14:textFill>
                  <w14:solidFill>
                    <w14:schemeClr w14:val="tx1"/>
                  </w14:solidFill>
                </w14:textFill>
              </w:rPr>
              <w:t>一点得</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分，</w:t>
            </w:r>
            <w:r>
              <w:rPr>
                <w:rFonts w:hint="eastAsia" w:ascii="宋体" w:hAnsi="宋体" w:cs="宋体"/>
                <w:color w:val="000000" w:themeColor="text1"/>
                <w:sz w:val="24"/>
                <w14:textFill>
                  <w14:solidFill>
                    <w14:schemeClr w14:val="tx1"/>
                  </w14:solidFill>
                </w14:textFill>
              </w:rPr>
              <w:t>其他情况</w:t>
            </w:r>
            <w:r>
              <w:rPr>
                <w:rFonts w:hint="eastAsia" w:ascii="宋体" w:hAnsi="宋体" w:cs="宋体"/>
                <w:color w:val="000000" w:themeColor="text1"/>
                <w:sz w:val="24"/>
                <w:lang w:val="zh-CN"/>
                <w14:textFill>
                  <w14:solidFill>
                    <w14:schemeClr w14:val="tx1"/>
                  </w14:solidFill>
                </w14:textFill>
              </w:rPr>
              <w:t xml:space="preserve">不得分。在此基础上，专家根据各供应商的具体响应内容进一步评审： </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优：项目重点难点分析、应对措施及相关的合理化建议具体、内容针对性强、内容科学合理、内容可操作性强；</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良：项目重点难点分析、应对措施及相关的合理化建议较具体、内容针对性较强、内容较科学合理、内容可操作性较强；</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中：项目重点难点分析、应对措施及相关的合理化建议具体性一般、内容针对性一般、内容科学合理性一般、内容可操作性一般；</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差：项目重点难点分析、应对措施及相关的合理化建议具体性差、内容针对性差、内容科学合理性差、内容可操作性差。</w:t>
            </w:r>
          </w:p>
          <w:p>
            <w:pPr>
              <w:pStyle w:val="32"/>
              <w:widowControl/>
              <w:spacing w:line="360" w:lineRule="auto"/>
              <w:ind w:firstLine="0" w:firstLineChars="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评价为优</w:t>
            </w:r>
            <w:r>
              <w:rPr>
                <w:rFonts w:hint="eastAsia" w:ascii="宋体" w:hAnsi="宋体" w:cs="宋体"/>
                <w:color w:val="000000" w:themeColor="text1"/>
                <w:sz w:val="24"/>
                <w14:textFill>
                  <w14:solidFill>
                    <w14:schemeClr w14:val="tx1"/>
                  </w14:solidFill>
                </w14:textFill>
              </w:rPr>
              <w:t>加7</w:t>
            </w:r>
            <w:r>
              <w:rPr>
                <w:rFonts w:hint="eastAsia" w:ascii="宋体" w:hAnsi="宋体" w:cs="宋体"/>
                <w:color w:val="000000" w:themeColor="text1"/>
                <w:sz w:val="24"/>
                <w:lang w:val="zh-CN"/>
                <w14:textFill>
                  <w14:solidFill>
                    <w14:schemeClr w14:val="tx1"/>
                  </w14:solidFill>
                </w14:textFill>
              </w:rPr>
              <w:t>分；评价为良</w:t>
            </w:r>
            <w:r>
              <w:rPr>
                <w:rFonts w:hint="eastAsia" w:ascii="宋体" w:hAnsi="宋体" w:cs="宋体"/>
                <w:color w:val="000000" w:themeColor="text1"/>
                <w:sz w:val="24"/>
                <w14:textFill>
                  <w14:solidFill>
                    <w14:schemeClr w14:val="tx1"/>
                  </w14:solidFill>
                </w14:textFill>
              </w:rPr>
              <w:t>加4</w:t>
            </w:r>
            <w:r>
              <w:rPr>
                <w:rFonts w:hint="eastAsia" w:ascii="宋体" w:hAnsi="宋体" w:cs="宋体"/>
                <w:color w:val="000000" w:themeColor="text1"/>
                <w:sz w:val="24"/>
                <w:lang w:val="zh-CN"/>
                <w14:textFill>
                  <w14:solidFill>
                    <w14:schemeClr w14:val="tx1"/>
                  </w14:solidFill>
                </w14:textFill>
              </w:rPr>
              <w:t>分；评价为中</w:t>
            </w:r>
            <w:r>
              <w:rPr>
                <w:rFonts w:hint="eastAsia" w:ascii="宋体" w:hAnsi="宋体" w:cs="宋体"/>
                <w:color w:val="000000" w:themeColor="text1"/>
                <w:sz w:val="24"/>
                <w14:textFill>
                  <w14:solidFill>
                    <w14:schemeClr w14:val="tx1"/>
                  </w14:solidFill>
                </w14:textFill>
              </w:rPr>
              <w:t>加2</w:t>
            </w:r>
            <w:r>
              <w:rPr>
                <w:rFonts w:hint="eastAsia" w:ascii="宋体" w:hAnsi="宋体" w:cs="宋体"/>
                <w:color w:val="000000" w:themeColor="text1"/>
                <w:sz w:val="24"/>
                <w:lang w:val="zh-CN"/>
                <w14:textFill>
                  <w14:solidFill>
                    <w14:schemeClr w14:val="tx1"/>
                  </w14:solidFill>
                </w14:textFill>
              </w:rPr>
              <w:t>分；评价为差</w:t>
            </w:r>
            <w:r>
              <w:rPr>
                <w:rFonts w:hint="eastAsia" w:ascii="宋体" w:hAnsi="宋体" w:cs="宋体"/>
                <w:color w:val="000000" w:themeColor="text1"/>
                <w:sz w:val="24"/>
                <w14:textFill>
                  <w14:solidFill>
                    <w14:schemeClr w14:val="tx1"/>
                  </w14:solidFill>
                </w14:textFill>
              </w:rPr>
              <w:t>不加</w:t>
            </w:r>
            <w:r>
              <w:rPr>
                <w:rFonts w:hint="eastAsia" w:ascii="宋体" w:hAnsi="宋体" w:cs="宋体"/>
                <w:color w:val="000000" w:themeColor="text1"/>
                <w:sz w:val="24"/>
                <w:lang w:val="zh-CN"/>
                <w14:textFill>
                  <w14:solidFill>
                    <w14:schemeClr w14:val="tx1"/>
                  </w14:solidFill>
                </w14:textFill>
              </w:rPr>
              <w:t>分。</w:t>
            </w:r>
          </w:p>
        </w:tc>
        <w:tc>
          <w:tcPr>
            <w:tcW w:w="901"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5</w:t>
            </w:r>
          </w:p>
        </w:tc>
        <w:tc>
          <w:tcPr>
            <w:tcW w:w="1079"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shd w:val="clear" w:color="auto" w:fill="auto"/>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168" w:type="dxa"/>
            <w:shd w:val="clear" w:color="auto" w:fill="auto"/>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项目完成（服务期满）后的服务承诺</w:t>
            </w:r>
          </w:p>
        </w:tc>
        <w:tc>
          <w:tcPr>
            <w:tcW w:w="5907" w:type="dxa"/>
            <w:shd w:val="clear" w:color="auto" w:fill="auto"/>
            <w:vAlign w:val="center"/>
          </w:tcPr>
          <w:p>
            <w:pPr>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（一）评分内容</w:t>
            </w:r>
          </w:p>
          <w:p>
            <w:pPr>
              <w:widowControl/>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1.项目完成后服务人员信息与联系方式。</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.项目完成后服务内容与响应时间。</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根据招标文件的需求和投标文件响应情况。</w:t>
            </w:r>
          </w:p>
          <w:p>
            <w:pPr>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（二）评分标准</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满足以上两项得</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分，满足以上任意一项得</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分，未满足不得分，</w:t>
            </w:r>
            <w:r>
              <w:rPr>
                <w:rFonts w:hint="eastAsia" w:ascii="宋体" w:hAnsi="宋体" w:cs="宋体"/>
                <w:color w:val="000000" w:themeColor="text1"/>
                <w:kern w:val="0"/>
                <w:sz w:val="24"/>
                <w14:textFill>
                  <w14:solidFill>
                    <w14:schemeClr w14:val="tx1"/>
                  </w14:solidFill>
                </w14:textFill>
              </w:rPr>
              <w:t>在此基础上，按照下列要求进行加分：</w:t>
            </w:r>
          </w:p>
          <w:p>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优：内容完整详细且符合项目实际，可行性强；</w:t>
            </w:r>
          </w:p>
          <w:p>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良：内容完整，可行性较好；</w:t>
            </w:r>
          </w:p>
          <w:p>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中：内容能符合项目部分要求，较贴近项目实际；</w:t>
            </w:r>
          </w:p>
          <w:p>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差：内容不符合项目实际的。</w:t>
            </w:r>
          </w:p>
          <w:p>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评审为优的加4分；</w:t>
            </w:r>
          </w:p>
          <w:p>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评审为良的加3分；</w:t>
            </w:r>
          </w:p>
          <w:p>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评审为中的加1分；</w:t>
            </w:r>
          </w:p>
          <w:p>
            <w:pPr>
              <w:widowControl/>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评审为差的不加分。</w:t>
            </w:r>
          </w:p>
        </w:tc>
        <w:tc>
          <w:tcPr>
            <w:tcW w:w="901" w:type="dxa"/>
            <w:shd w:val="clear" w:color="auto" w:fill="auto"/>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1079" w:type="dxa"/>
            <w:shd w:val="clear" w:color="auto" w:fill="auto"/>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bl>
    <w:p>
      <w:pPr>
        <w:pStyle w:val="2"/>
        <w:rPr>
          <w:color w:val="000000" w:themeColor="text1"/>
          <w:highlight w:val="yellow"/>
          <w:lang w:val="fr-CH"/>
          <w14:textFill>
            <w14:solidFill>
              <w14:schemeClr w14:val="tx1"/>
            </w14:solidFill>
          </w14:textFill>
        </w:rPr>
      </w:pPr>
    </w:p>
    <w:p>
      <w:pPr>
        <w:rPr>
          <w:color w:val="000000" w:themeColor="text1"/>
          <w:highlight w:val="yellow"/>
          <w:lang w:val="fr-CH"/>
          <w14:textFill>
            <w14:solidFill>
              <w14:schemeClr w14:val="tx1"/>
            </w14:solidFill>
          </w14:textFill>
        </w:rPr>
      </w:pPr>
    </w:p>
    <w:p>
      <w:pPr>
        <w:rPr>
          <w:rFonts w:hint="eastAsia" w:ascii="宋体" w:hAnsi="宋体" w:cs="宋体"/>
          <w:b/>
          <w:bCs/>
          <w:color w:val="000000" w:themeColor="text1"/>
          <w:sz w:val="24"/>
          <w14:textFill>
            <w14:solidFill>
              <w14:schemeClr w14:val="tx1"/>
            </w14:solidFill>
          </w14:textFill>
        </w:rPr>
      </w:pPr>
      <w:bookmarkStart w:id="34" w:name="_Toc9548"/>
      <w:bookmarkStart w:id="35" w:name="_Hlk28269117"/>
      <w:r>
        <w:rPr>
          <w:rFonts w:hint="eastAsia" w:ascii="宋体" w:hAnsi="宋体" w:cs="宋体"/>
          <w:b/>
          <w:bCs/>
          <w:color w:val="000000" w:themeColor="text1"/>
          <w:sz w:val="24"/>
          <w14:textFill>
            <w14:solidFill>
              <w14:schemeClr w14:val="tx1"/>
            </w14:solidFill>
          </w14:textFill>
        </w:rPr>
        <w:br w:type="page"/>
      </w:r>
    </w:p>
    <w:p>
      <w:p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第七章 附件（投标文件格式）</w:t>
      </w:r>
      <w:bookmarkEnd w:id="34"/>
    </w:p>
    <w:p>
      <w:pPr>
        <w:keepNext/>
        <w:keepLines/>
        <w:spacing w:before="260" w:after="260" w:line="440" w:lineRule="exact"/>
        <w:jc w:val="center"/>
        <w:outlineLvl w:val="1"/>
        <w:rPr>
          <w:rFonts w:hint="eastAsia" w:ascii="宋体" w:hAnsi="宋体" w:cs="宋体"/>
          <w:b/>
          <w:bCs/>
          <w:color w:val="000000" w:themeColor="text1"/>
          <w:sz w:val="24"/>
          <w14:textFill>
            <w14:solidFill>
              <w14:schemeClr w14:val="tx1"/>
            </w14:solidFill>
          </w14:textFill>
        </w:rPr>
      </w:pPr>
      <w:bookmarkStart w:id="36" w:name="_Toc5116"/>
      <w:bookmarkStart w:id="37" w:name="_Toc31827"/>
      <w:bookmarkStart w:id="38" w:name="_Toc6548"/>
      <w:bookmarkStart w:id="39" w:name="_Toc19494"/>
      <w:r>
        <w:rPr>
          <w:rFonts w:hint="eastAsia" w:ascii="宋体" w:hAnsi="宋体" w:cs="宋体"/>
          <w:b/>
          <w:bCs/>
          <w:color w:val="000000" w:themeColor="text1"/>
          <w:sz w:val="24"/>
          <w14:textFill>
            <w14:solidFill>
              <w14:schemeClr w14:val="tx1"/>
            </w14:solidFill>
          </w14:textFill>
        </w:rPr>
        <w:t>1、投标文件密封袋/封面参考</w:t>
      </w:r>
      <w:bookmarkEnd w:id="36"/>
      <w:bookmarkEnd w:id="37"/>
      <w:bookmarkEnd w:id="38"/>
      <w:bookmarkEnd w:id="39"/>
    </w:p>
    <w:tbl>
      <w:tblPr>
        <w:tblStyle w:val="18"/>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7"/>
              <w:tabs>
                <w:tab w:val="left" w:pos="562"/>
                <w:tab w:val="left" w:pos="3372"/>
                <w:tab w:val="left" w:pos="3653"/>
              </w:tabs>
              <w:spacing w:line="360" w:lineRule="auto"/>
              <w:rPr>
                <w:rFonts w:ascii="仿宋_GB2312" w:eastAsia="仿宋_GB2312"/>
                <w:b/>
                <w:color w:val="000000" w:themeColor="text1"/>
                <w:sz w:val="32"/>
                <w14:textFill>
                  <w14:solidFill>
                    <w14:schemeClr w14:val="tx1"/>
                  </w14:solidFill>
                </w14:textFill>
              </w:rPr>
            </w:pPr>
          </w:p>
          <w:p>
            <w:pPr>
              <w:pStyle w:val="7"/>
              <w:tabs>
                <w:tab w:val="left" w:pos="562"/>
                <w:tab w:val="left" w:pos="3372"/>
                <w:tab w:val="left" w:pos="3653"/>
              </w:tabs>
              <w:spacing w:line="360" w:lineRule="auto"/>
              <w:jc w:val="center"/>
              <w:rPr>
                <w:rFonts w:ascii="黑体" w:eastAsia="黑体"/>
                <w:b/>
                <w:color w:val="000000" w:themeColor="text1"/>
                <w:sz w:val="72"/>
                <w:szCs w:val="72"/>
                <w14:textFill>
                  <w14:solidFill>
                    <w14:schemeClr w14:val="tx1"/>
                  </w14:solidFill>
                </w14:textFill>
              </w:rPr>
            </w:pPr>
          </w:p>
          <w:p>
            <w:pPr>
              <w:pStyle w:val="7"/>
              <w:tabs>
                <w:tab w:val="left" w:pos="562"/>
                <w:tab w:val="left" w:pos="3372"/>
                <w:tab w:val="left" w:pos="3653"/>
              </w:tabs>
              <w:spacing w:line="360" w:lineRule="auto"/>
              <w:jc w:val="center"/>
              <w:rPr>
                <w:rFonts w:ascii="黑体" w:eastAsia="黑体"/>
                <w:b/>
                <w:color w:val="000000" w:themeColor="text1"/>
                <w:sz w:val="72"/>
                <w:szCs w:val="72"/>
                <w14:textFill>
                  <w14:solidFill>
                    <w14:schemeClr w14:val="tx1"/>
                  </w14:solidFill>
                </w14:textFill>
              </w:rPr>
            </w:pPr>
            <w:r>
              <w:rPr>
                <w:rFonts w:hint="eastAsia" w:ascii="黑体" w:eastAsia="黑体"/>
                <w:b/>
                <w:color w:val="000000" w:themeColor="text1"/>
                <w:sz w:val="72"/>
                <w:szCs w:val="72"/>
                <w14:textFill>
                  <w14:solidFill>
                    <w14:schemeClr w14:val="tx1"/>
                  </w14:solidFill>
                </w14:textFill>
              </w:rPr>
              <w:t>投 标 文 件</w:t>
            </w:r>
          </w:p>
          <w:p>
            <w:pPr>
              <w:pStyle w:val="7"/>
              <w:tabs>
                <w:tab w:val="left" w:pos="562"/>
                <w:tab w:val="left" w:pos="3372"/>
                <w:tab w:val="left" w:pos="3653"/>
              </w:tabs>
              <w:spacing w:line="360" w:lineRule="auto"/>
              <w:jc w:val="center"/>
              <w:rPr>
                <w:rFonts w:ascii="黑体" w:eastAsia="黑体"/>
                <w:b/>
                <w:strike/>
                <w:color w:val="000000" w:themeColor="text1"/>
                <w:sz w:val="32"/>
                <w14:textFill>
                  <w14:solidFill>
                    <w14:schemeClr w14:val="tx1"/>
                  </w14:solidFill>
                </w14:textFill>
              </w:rPr>
            </w:pPr>
          </w:p>
          <w:p>
            <w:pPr>
              <w:spacing w:after="120" w:line="360" w:lineRule="auto"/>
              <w:ind w:firstLine="3385" w:firstLineChars="651"/>
              <w:textAlignment w:val="baseline"/>
              <w:rPr>
                <w:rFonts w:ascii="黑体" w:eastAsia="黑体"/>
                <w:color w:val="000000" w:themeColor="text1"/>
                <w:sz w:val="32"/>
                <w14:textFill>
                  <w14:solidFill>
                    <w14:schemeClr w14:val="tx1"/>
                  </w14:solidFill>
                </w14:textFill>
              </w:rPr>
            </w:pPr>
            <w:r>
              <w:rPr>
                <w:rFonts w:hint="eastAsia" w:ascii="黑体" w:eastAsia="黑体"/>
                <w:color w:val="000000" w:themeColor="text1"/>
                <w:sz w:val="52"/>
                <w:szCs w:val="52"/>
                <w14:textFill>
                  <w14:solidFill>
                    <w14:schemeClr w14:val="tx1"/>
                  </w14:solidFill>
                </w14:textFill>
              </w:rPr>
              <w:t xml:space="preserve">口 </w:t>
            </w:r>
            <w:r>
              <w:rPr>
                <w:rFonts w:hint="eastAsia" w:ascii="黑体" w:eastAsia="黑体"/>
                <w:color w:val="000000" w:themeColor="text1"/>
                <w:sz w:val="32"/>
                <w14:textFill>
                  <w14:solidFill>
                    <w14:schemeClr w14:val="tx1"/>
                  </w14:solidFill>
                </w14:textFill>
              </w:rPr>
              <w:t>正本</w:t>
            </w:r>
          </w:p>
          <w:p>
            <w:pPr>
              <w:spacing w:after="120" w:line="360" w:lineRule="auto"/>
              <w:ind w:firstLine="3385" w:firstLineChars="651"/>
              <w:textAlignment w:val="baseline"/>
              <w:rPr>
                <w:rFonts w:ascii="黑体" w:eastAsia="黑体"/>
                <w:color w:val="000000" w:themeColor="text1"/>
                <w:sz w:val="32"/>
                <w14:textFill>
                  <w14:solidFill>
                    <w14:schemeClr w14:val="tx1"/>
                  </w14:solidFill>
                </w14:textFill>
              </w:rPr>
            </w:pPr>
            <w:r>
              <w:rPr>
                <w:rFonts w:hint="eastAsia" w:ascii="黑体" w:eastAsia="黑体"/>
                <w:color w:val="000000" w:themeColor="text1"/>
                <w:sz w:val="52"/>
                <w:szCs w:val="52"/>
                <w14:textFill>
                  <w14:solidFill>
                    <w14:schemeClr w14:val="tx1"/>
                  </w14:solidFill>
                </w14:textFill>
              </w:rPr>
              <w:t xml:space="preserve">口 </w:t>
            </w:r>
            <w:r>
              <w:rPr>
                <w:rFonts w:hint="eastAsia" w:ascii="黑体" w:eastAsia="黑体"/>
                <w:color w:val="000000" w:themeColor="text1"/>
                <w:sz w:val="32"/>
                <w14:textFill>
                  <w14:solidFill>
                    <w14:schemeClr w14:val="tx1"/>
                  </w14:solidFill>
                </w14:textFill>
              </w:rPr>
              <w:t>副本</w:t>
            </w:r>
          </w:p>
          <w:p>
            <w:pPr>
              <w:pStyle w:val="7"/>
              <w:tabs>
                <w:tab w:val="left" w:pos="562"/>
                <w:tab w:val="left" w:pos="3372"/>
                <w:tab w:val="left" w:pos="3653"/>
              </w:tabs>
              <w:spacing w:line="360" w:lineRule="auto"/>
              <w:rPr>
                <w:rFonts w:ascii="仿宋_GB2312" w:eastAsia="仿宋_GB2312"/>
                <w:b/>
                <w:color w:val="000000" w:themeColor="text1"/>
                <w:sz w:val="32"/>
                <w14:textFill>
                  <w14:solidFill>
                    <w14:schemeClr w14:val="tx1"/>
                  </w14:solidFill>
                </w14:textFill>
              </w:rPr>
            </w:pPr>
          </w:p>
          <w:p>
            <w:pPr>
              <w:rPr>
                <w:color w:val="000000" w:themeColor="text1"/>
                <w14:textFill>
                  <w14:solidFill>
                    <w14:schemeClr w14:val="tx1"/>
                  </w14:solidFill>
                </w14:textFill>
              </w:rPr>
            </w:pPr>
          </w:p>
          <w:p>
            <w:pPr>
              <w:pStyle w:val="7"/>
              <w:tabs>
                <w:tab w:val="left" w:pos="562"/>
                <w:tab w:val="left" w:pos="3372"/>
                <w:tab w:val="left" w:pos="3653"/>
              </w:tabs>
              <w:spacing w:line="400" w:lineRule="exact"/>
              <w:ind w:firstLine="900" w:firstLineChars="320"/>
              <w:rPr>
                <w:rFonts w:ascii="仿宋_GB2312" w:eastAsia="仿宋_GB2312"/>
                <w:b/>
                <w:color w:val="000000" w:themeColor="text1"/>
                <w:sz w:val="28"/>
                <w:szCs w:val="28"/>
                <w14:textFill>
                  <w14:solidFill>
                    <w14:schemeClr w14:val="tx1"/>
                  </w14:solidFill>
                </w14:textFill>
              </w:rPr>
            </w:pPr>
          </w:p>
          <w:p>
            <w:pPr>
              <w:pStyle w:val="7"/>
              <w:tabs>
                <w:tab w:val="left" w:pos="562"/>
                <w:tab w:val="left" w:pos="3372"/>
                <w:tab w:val="left" w:pos="3653"/>
              </w:tabs>
              <w:spacing w:line="400" w:lineRule="exact"/>
              <w:ind w:firstLine="900" w:firstLineChars="320"/>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项目编号：</w:t>
            </w:r>
            <w:r>
              <w:rPr>
                <w:rFonts w:hint="eastAsia" w:ascii="宋体" w:hAnsi="宋体" w:cs="Arial"/>
                <w:b/>
                <w:bCs/>
                <w:color w:val="000000" w:themeColor="text1"/>
                <w:sz w:val="28"/>
                <w:szCs w:val="28"/>
                <w:u w:val="single"/>
                <w14:textFill>
                  <w14:solidFill>
                    <w14:schemeClr w14:val="tx1"/>
                  </w14:solidFill>
                </w14:textFill>
              </w:rPr>
              <w:t xml:space="preserve">                                   </w:t>
            </w:r>
          </w:p>
          <w:p>
            <w:pPr>
              <w:pStyle w:val="7"/>
              <w:tabs>
                <w:tab w:val="left" w:pos="562"/>
                <w:tab w:val="left" w:pos="3372"/>
                <w:tab w:val="left" w:pos="3653"/>
              </w:tabs>
              <w:spacing w:line="400" w:lineRule="exact"/>
              <w:ind w:firstLine="900" w:firstLineChars="320"/>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项目名称：</w:t>
            </w:r>
            <w:r>
              <w:rPr>
                <w:rFonts w:hint="eastAsia" w:ascii="宋体" w:hAnsi="宋体" w:cs="Arial"/>
                <w:b/>
                <w:bCs/>
                <w:color w:val="000000" w:themeColor="text1"/>
                <w:sz w:val="28"/>
                <w:szCs w:val="28"/>
                <w:u w:val="single"/>
                <w14:textFill>
                  <w14:solidFill>
                    <w14:schemeClr w14:val="tx1"/>
                  </w14:solidFill>
                </w14:textFill>
              </w:rPr>
              <w:t xml:space="preserve">                                   </w:t>
            </w:r>
          </w:p>
          <w:p>
            <w:pPr>
              <w:pStyle w:val="7"/>
              <w:tabs>
                <w:tab w:val="left" w:pos="562"/>
                <w:tab w:val="left" w:pos="3372"/>
                <w:tab w:val="left" w:pos="3653"/>
              </w:tabs>
              <w:spacing w:line="400" w:lineRule="exact"/>
              <w:ind w:firstLine="900" w:firstLineChars="320"/>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投标人名称：</w:t>
            </w:r>
            <w:r>
              <w:rPr>
                <w:rFonts w:hint="eastAsia" w:ascii="宋体" w:hAnsi="宋体" w:cs="Arial"/>
                <w:b/>
                <w:bCs/>
                <w:color w:val="000000" w:themeColor="text1"/>
                <w:sz w:val="28"/>
                <w:szCs w:val="28"/>
                <w:u w:val="single"/>
                <w14:textFill>
                  <w14:solidFill>
                    <w14:schemeClr w14:val="tx1"/>
                  </w14:solidFill>
                </w14:textFill>
              </w:rPr>
              <w:t xml:space="preserve">                     （加盖公章）</w:t>
            </w:r>
          </w:p>
          <w:p>
            <w:pPr>
              <w:pStyle w:val="7"/>
              <w:tabs>
                <w:tab w:val="left" w:pos="562"/>
                <w:tab w:val="left" w:pos="3372"/>
                <w:tab w:val="left" w:pos="3653"/>
              </w:tabs>
              <w:spacing w:line="400" w:lineRule="exact"/>
              <w:ind w:firstLine="900" w:firstLineChars="320"/>
              <w:rPr>
                <w:rFonts w:hint="eastAsia" w:ascii="宋体" w:hAnsi="宋体" w:cs="Arial"/>
                <w:b/>
                <w:bCs/>
                <w:color w:val="000000" w:themeColor="text1"/>
                <w:sz w:val="28"/>
                <w:szCs w:val="28"/>
                <w:u w:val="single"/>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投标人地址：</w:t>
            </w:r>
            <w:r>
              <w:rPr>
                <w:rFonts w:hint="eastAsia" w:ascii="宋体" w:hAnsi="宋体" w:cs="Arial"/>
                <w:b/>
                <w:bCs/>
                <w:color w:val="000000" w:themeColor="text1"/>
                <w:sz w:val="28"/>
                <w:szCs w:val="28"/>
                <w:u w:val="single"/>
                <w14:textFill>
                  <w14:solidFill>
                    <w14:schemeClr w14:val="tx1"/>
                  </w14:solidFill>
                </w14:textFill>
              </w:rPr>
              <w:t xml:space="preserve">                                 </w:t>
            </w:r>
          </w:p>
          <w:p>
            <w:pPr>
              <w:pStyle w:val="7"/>
              <w:tabs>
                <w:tab w:val="left" w:pos="562"/>
                <w:tab w:val="left" w:pos="3372"/>
                <w:tab w:val="left" w:pos="3653"/>
              </w:tabs>
              <w:spacing w:line="400" w:lineRule="exact"/>
              <w:ind w:firstLine="900" w:firstLineChars="320"/>
              <w:rPr>
                <w:rFonts w:hint="eastAsia" w:ascii="宋体" w:hAnsi="宋体" w:cs="Arial"/>
                <w:b/>
                <w:bCs/>
                <w:color w:val="000000" w:themeColor="text1"/>
                <w:sz w:val="28"/>
                <w:szCs w:val="28"/>
                <w:u w:val="single"/>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法定代表人/被授权人：</w:t>
            </w:r>
            <w:r>
              <w:rPr>
                <w:rFonts w:hint="eastAsia" w:ascii="宋体" w:hAnsi="宋体" w:cs="Arial"/>
                <w:b/>
                <w:bCs/>
                <w:color w:val="000000" w:themeColor="text1"/>
                <w:sz w:val="28"/>
                <w:szCs w:val="28"/>
                <w:u w:val="single"/>
                <w14:textFill>
                  <w14:solidFill>
                    <w14:schemeClr w14:val="tx1"/>
                  </w14:solidFill>
                </w14:textFill>
              </w:rPr>
              <w:t xml:space="preserve">                        </w:t>
            </w:r>
          </w:p>
          <w:p>
            <w:pPr>
              <w:pStyle w:val="7"/>
              <w:tabs>
                <w:tab w:val="left" w:pos="562"/>
                <w:tab w:val="left" w:pos="3372"/>
                <w:tab w:val="left" w:pos="3653"/>
              </w:tabs>
              <w:spacing w:line="400" w:lineRule="exact"/>
              <w:ind w:firstLine="900" w:firstLineChars="320"/>
              <w:rPr>
                <w:rFonts w:hint="eastAsia" w:ascii="宋体" w:hAnsi="宋体" w:cs="宋体"/>
                <w:b/>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联系电话：</w:t>
            </w:r>
            <w:r>
              <w:rPr>
                <w:rFonts w:hint="eastAsia" w:ascii="宋体" w:hAnsi="宋体" w:cs="Arial"/>
                <w:b/>
                <w:bCs/>
                <w:color w:val="000000" w:themeColor="text1"/>
                <w:sz w:val="28"/>
                <w:szCs w:val="28"/>
                <w:u w:val="single"/>
                <w14:textFill>
                  <w14:solidFill>
                    <w14:schemeClr w14:val="tx1"/>
                  </w14:solidFill>
                </w14:textFill>
              </w:rPr>
              <w:t xml:space="preserve">                                   </w:t>
            </w:r>
          </w:p>
          <w:p>
            <w:pPr>
              <w:spacing w:line="360" w:lineRule="auto"/>
              <w:jc w:val="center"/>
              <w:rPr>
                <w:rFonts w:hint="eastAsia" w:ascii="宋体" w:hAnsi="宋体" w:cs="Arial"/>
                <w:b/>
                <w:bCs/>
                <w:color w:val="000000" w:themeColor="text1"/>
                <w:sz w:val="28"/>
                <w:szCs w:val="28"/>
                <w14:textFill>
                  <w14:solidFill>
                    <w14:schemeClr w14:val="tx1"/>
                  </w14:solidFill>
                </w14:textFill>
              </w:rPr>
            </w:pPr>
          </w:p>
          <w:p>
            <w:pPr>
              <w:spacing w:line="360" w:lineRule="auto"/>
              <w:jc w:val="center"/>
              <w:rPr>
                <w:rFonts w:hint="eastAsia" w:ascii="宋体" w:hAnsi="宋体" w:cs="Arial"/>
                <w:b/>
                <w:bCs/>
                <w:color w:val="000000" w:themeColor="text1"/>
                <w:sz w:val="28"/>
                <w:szCs w:val="28"/>
                <w14:textFill>
                  <w14:solidFill>
                    <w14:schemeClr w14:val="tx1"/>
                  </w14:solidFill>
                </w14:textFill>
              </w:rPr>
            </w:pPr>
          </w:p>
          <w:p>
            <w:pPr>
              <w:spacing w:line="360" w:lineRule="auto"/>
              <w:jc w:val="center"/>
              <w:rPr>
                <w:rFonts w:ascii="仿宋_GB2312" w:eastAsia="仿宋_GB2312"/>
                <w:b/>
                <w:color w:val="000000" w:themeColor="text1"/>
                <w:sz w:val="32"/>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【年月日时分之前不得启封。】</w:t>
            </w:r>
          </w:p>
        </w:tc>
      </w:tr>
    </w:tbl>
    <w:p>
      <w:pPr>
        <w:spacing w:line="360" w:lineRule="auto"/>
        <w:jc w:val="center"/>
        <w:rPr>
          <w:rFonts w:hint="eastAsia" w:ascii="宋体" w:hAnsi="宋体" w:cs="宋体"/>
          <w:b/>
          <w:bCs/>
          <w:color w:val="000000" w:themeColor="text1"/>
          <w:sz w:val="24"/>
          <w14:textFill>
            <w14:solidFill>
              <w14:schemeClr w14:val="tx1"/>
            </w14:solidFill>
          </w14:textFill>
        </w:rPr>
      </w:pPr>
    </w:p>
    <w:p>
      <w:pPr>
        <w:spacing w:before="100" w:beforeAutospacing="1" w:after="100" w:afterAutospacing="1"/>
        <w:jc w:val="center"/>
        <w:outlineLvl w:val="1"/>
        <w:rPr>
          <w:rFonts w:hint="eastAsia" w:ascii="宋体" w:hAnsi="宋体" w:cs="宋体"/>
          <w:b/>
          <w:color w:val="000000" w:themeColor="text1"/>
          <w:sz w:val="24"/>
          <w14:textFill>
            <w14:solidFill>
              <w14:schemeClr w14:val="tx1"/>
            </w14:solidFill>
          </w14:textFill>
        </w:rPr>
      </w:pPr>
      <w:bookmarkStart w:id="40" w:name="_Toc16724"/>
      <w:r>
        <w:rPr>
          <w:rFonts w:hint="eastAsia" w:ascii="宋体" w:hAnsi="宋体" w:cs="宋体"/>
          <w:b/>
          <w:color w:val="000000" w:themeColor="text1"/>
          <w:sz w:val="24"/>
          <w14:textFill>
            <w14:solidFill>
              <w14:schemeClr w14:val="tx1"/>
            </w14:solidFill>
          </w14:textFill>
        </w:rPr>
        <w:t>2、投标文件—目录</w:t>
      </w:r>
      <w:bookmarkEnd w:id="40"/>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w:t>
      </w:r>
      <w:r>
        <w:rPr>
          <w:rFonts w:hint="eastAsia" w:ascii="宋体" w:hAnsi="宋体" w:cs="宋体"/>
          <w:b/>
          <w:bCs/>
          <w:color w:val="000000" w:themeColor="text1"/>
          <w:sz w:val="24"/>
          <w:lang w:val="zh-CN"/>
          <w14:textFill>
            <w14:solidFill>
              <w14:schemeClr w14:val="tx1"/>
            </w14:solidFill>
          </w14:textFill>
        </w:rPr>
        <w:t>价格部分</w:t>
      </w:r>
    </w:p>
    <w:p>
      <w:pPr>
        <w:numPr>
          <w:ilvl w:val="0"/>
          <w:numId w:val="8"/>
        </w:numPr>
        <w:tabs>
          <w:tab w:val="left" w:pos="640"/>
          <w:tab w:val="clear" w:pos="425"/>
        </w:tabs>
        <w:spacing w:line="360" w:lineRule="auto"/>
        <w:ind w:left="625" w:hanging="6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投标一览表；</w:t>
      </w:r>
    </w:p>
    <w:p>
      <w:pPr>
        <w:numPr>
          <w:ilvl w:val="0"/>
          <w:numId w:val="8"/>
        </w:numPr>
        <w:tabs>
          <w:tab w:val="left" w:pos="640"/>
          <w:tab w:val="clear" w:pos="425"/>
        </w:tabs>
        <w:spacing w:line="360" w:lineRule="auto"/>
        <w:ind w:left="625" w:hanging="6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分类报价明细表；</w:t>
      </w:r>
    </w:p>
    <w:p>
      <w:pPr>
        <w:spacing w:line="360" w:lineRule="auto"/>
        <w:rPr>
          <w:rFonts w:hint="eastAsia" w:ascii="宋体" w:hAnsi="宋体" w:cs="宋体"/>
          <w:b/>
          <w:bCs/>
          <w:color w:val="000000" w:themeColor="text1"/>
          <w:sz w:val="24"/>
          <w:u w:val="wav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（二）商务部分</w:t>
      </w:r>
    </w:p>
    <w:p>
      <w:pPr>
        <w:numPr>
          <w:ilvl w:val="0"/>
          <w:numId w:val="9"/>
        </w:numPr>
        <w:tabs>
          <w:tab w:val="left" w:pos="6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投标响应书；</w:t>
      </w:r>
    </w:p>
    <w:p>
      <w:pPr>
        <w:numPr>
          <w:ilvl w:val="0"/>
          <w:numId w:val="9"/>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营业执照【其他组织提供《事业单位法人证书》或《民办非企业单位登记证书》】及税务登记册证副本复印件(加盖投标人公章，若提供的营业执照为三证合一，则税务登记证可不单独提供)；分支机构投标须提供总公司(或总所)出具的愿为其参与本项目投标的行为以及履约等行为承担民事责任的承诺函，且同一家总公司(或总所)若有两家或两家以上的分支机构，总公司(或总所)只能授权一家参与投标；</w:t>
      </w:r>
    </w:p>
    <w:p>
      <w:pPr>
        <w:numPr>
          <w:ilvl w:val="0"/>
          <w:numId w:val="9"/>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政府采购投标及履约承诺函；</w:t>
      </w:r>
    </w:p>
    <w:p>
      <w:pPr>
        <w:numPr>
          <w:ilvl w:val="0"/>
          <w:numId w:val="9"/>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关于资格的声明函；</w:t>
      </w:r>
    </w:p>
    <w:p>
      <w:pPr>
        <w:numPr>
          <w:ilvl w:val="0"/>
          <w:numId w:val="9"/>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法人代表证明书及身份证明；</w:t>
      </w:r>
    </w:p>
    <w:p>
      <w:pPr>
        <w:numPr>
          <w:ilvl w:val="0"/>
          <w:numId w:val="9"/>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法定代表人授权书及身份证明；</w:t>
      </w:r>
    </w:p>
    <w:p>
      <w:pPr>
        <w:numPr>
          <w:ilvl w:val="0"/>
          <w:numId w:val="9"/>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招标代理服务费承诺书；</w:t>
      </w:r>
    </w:p>
    <w:p>
      <w:pPr>
        <w:numPr>
          <w:ilvl w:val="0"/>
          <w:numId w:val="9"/>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投标人简介；</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同类项目业绩情况；</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研究服务团队成员情况；</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服务响应时间；</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诚信声明与承诺；</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政府采购违法行为风险知悉确认书；</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参与价格扣除的证明文件；</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供应商基本情况表、社保证明及股权关系证明；</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投标人认为有必要提供的其他材料。</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（三）技术部分</w:t>
      </w:r>
    </w:p>
    <w:p>
      <w:pPr>
        <w:numPr>
          <w:ilvl w:val="0"/>
          <w:numId w:val="10"/>
        </w:numPr>
        <w:tabs>
          <w:tab w:val="left" w:pos="640"/>
          <w:tab w:val="left" w:pos="1260"/>
          <w:tab w:val="left" w:pos="1418"/>
        </w:tabs>
        <w:spacing w:line="360" w:lineRule="auto"/>
        <w:ind w:left="640" w:right="-420" w:rightChars="-200" w:hanging="640"/>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用户需求响应表；</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项目实施方案；</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质量保障措施及方案；</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项目重难点分析及相关的合理化建议；</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项目完成（服务期满）后的服务承诺；</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投标人认为有必要提供的其他材料。</w:t>
      </w:r>
    </w:p>
    <w:p>
      <w:pPr>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（一）</w:t>
      </w:r>
      <w:r>
        <w:rPr>
          <w:rFonts w:hint="eastAsia" w:ascii="宋体" w:hAnsi="宋体" w:cs="宋体"/>
          <w:b/>
          <w:bCs/>
          <w:color w:val="000000" w:themeColor="text1"/>
          <w:sz w:val="24"/>
          <w:lang w:val="zh-CN"/>
          <w14:textFill>
            <w14:solidFill>
              <w14:schemeClr w14:val="tx1"/>
            </w14:solidFill>
          </w14:textFill>
        </w:rPr>
        <w:t>价格部分</w:t>
      </w:r>
    </w:p>
    <w:p>
      <w:pPr>
        <w:numPr>
          <w:ilvl w:val="0"/>
          <w:numId w:val="11"/>
        </w:numPr>
        <w:tabs>
          <w:tab w:val="left" w:pos="640"/>
          <w:tab w:val="clear" w:pos="425"/>
        </w:tabs>
        <w:ind w:left="625" w:hanging="6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投标一览表；</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投标一览表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 xml:space="preserve">                                      </w:t>
      </w:r>
    </w:p>
    <w:tbl>
      <w:tblPr>
        <w:tblStyle w:val="18"/>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vAlign w:val="center"/>
          </w:tcPr>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2896" w:type="dxa"/>
            <w:vAlign w:val="center"/>
          </w:tcPr>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投标价</w:t>
            </w:r>
          </w:p>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（人民币）</w:t>
            </w:r>
          </w:p>
        </w:tc>
        <w:tc>
          <w:tcPr>
            <w:tcW w:w="1318" w:type="dxa"/>
            <w:vAlign w:val="center"/>
          </w:tcPr>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vAlign w:val="center"/>
          </w:tcPr>
          <w:p>
            <w:pPr>
              <w:spacing w:line="360" w:lineRule="auto"/>
              <w:jc w:val="center"/>
              <w:rPr>
                <w:rFonts w:hint="eastAsia" w:ascii="宋体" w:hAnsi="宋体" w:cs="宋体"/>
                <w:color w:val="000000" w:themeColor="text1"/>
                <w:sz w:val="24"/>
                <w:u w:val="single"/>
                <w14:textFill>
                  <w14:solidFill>
                    <w14:schemeClr w14:val="tx1"/>
                  </w14:solidFill>
                </w14:textFill>
              </w:rPr>
            </w:pPr>
          </w:p>
        </w:tc>
        <w:tc>
          <w:tcPr>
            <w:tcW w:w="2896" w:type="dxa"/>
            <w:vAlign w:val="center"/>
          </w:tcPr>
          <w:p>
            <w:pPr>
              <w:spacing w:line="360" w:lineRule="auto"/>
              <w:jc w:val="center"/>
              <w:rPr>
                <w:rFonts w:hint="eastAsia" w:ascii="宋体" w:hAnsi="宋体" w:cs="宋体"/>
                <w:color w:val="000000" w:themeColor="text1"/>
                <w:sz w:val="24"/>
                <w:u w:val="single"/>
                <w14:textFill>
                  <w14:solidFill>
                    <w14:schemeClr w14:val="tx1"/>
                  </w14:solidFill>
                </w14:textFill>
              </w:rPr>
            </w:pPr>
          </w:p>
        </w:tc>
        <w:tc>
          <w:tcPr>
            <w:tcW w:w="1318" w:type="dxa"/>
            <w:vAlign w:val="center"/>
          </w:tcPr>
          <w:p>
            <w:pPr>
              <w:spacing w:line="360" w:lineRule="auto"/>
              <w:jc w:val="center"/>
              <w:rPr>
                <w:rFonts w:hint="eastAsia" w:ascii="宋体" w:hAnsi="宋体" w:cs="宋体"/>
                <w:color w:val="000000" w:themeColor="text1"/>
                <w:sz w:val="24"/>
                <w:u w:val="single"/>
                <w14:textFill>
                  <w14:solidFill>
                    <w14:schemeClr w14:val="tx1"/>
                  </w14:solidFill>
                </w14:textFill>
              </w:rPr>
            </w:pPr>
          </w:p>
        </w:tc>
      </w:tr>
    </w:tbl>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p>
    <w:p>
      <w:pPr>
        <w:pStyle w:val="7"/>
        <w:rPr>
          <w:color w:val="000000" w:themeColor="text1"/>
          <w14:textFill>
            <w14:solidFill>
              <w14:schemeClr w14:val="tx1"/>
            </w14:solidFill>
          </w14:textFill>
        </w:rPr>
      </w:pPr>
    </w:p>
    <w:p>
      <w:pPr>
        <w:numPr>
          <w:ilvl w:val="0"/>
          <w:numId w:val="11"/>
        </w:numPr>
        <w:tabs>
          <w:tab w:val="left" w:pos="640"/>
          <w:tab w:val="clear" w:pos="425"/>
        </w:tabs>
        <w:ind w:left="625" w:hanging="6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分项报价清单；</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分项报价清单</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p>
    <w:tbl>
      <w:tblPr>
        <w:tblStyle w:val="18"/>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vAlign w:val="bottom"/>
          </w:tcPr>
          <w:p>
            <w:pPr>
              <w:pStyle w:val="9"/>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序号</w:t>
            </w:r>
          </w:p>
        </w:tc>
        <w:tc>
          <w:tcPr>
            <w:tcW w:w="2212"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项目名称、内容</w:t>
            </w:r>
          </w:p>
        </w:tc>
        <w:tc>
          <w:tcPr>
            <w:tcW w:w="7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单位</w:t>
            </w:r>
          </w:p>
        </w:tc>
        <w:tc>
          <w:tcPr>
            <w:tcW w:w="180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数量（工作量）</w:t>
            </w:r>
          </w:p>
        </w:tc>
        <w:tc>
          <w:tcPr>
            <w:tcW w:w="16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单价</w:t>
            </w:r>
          </w:p>
        </w:tc>
        <w:tc>
          <w:tcPr>
            <w:tcW w:w="16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vAlign w:val="bottom"/>
          </w:tcPr>
          <w:p>
            <w:pPr>
              <w:pStyle w:val="9"/>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w:t>
            </w:r>
          </w:p>
        </w:tc>
        <w:tc>
          <w:tcPr>
            <w:tcW w:w="2212"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c>
          <w:tcPr>
            <w:tcW w:w="7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c>
          <w:tcPr>
            <w:tcW w:w="180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vAlign w:val="bottom"/>
          </w:tcPr>
          <w:p>
            <w:pPr>
              <w:pStyle w:val="9"/>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w:t>
            </w:r>
          </w:p>
        </w:tc>
        <w:tc>
          <w:tcPr>
            <w:tcW w:w="221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c>
          <w:tcPr>
            <w:tcW w:w="180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vAlign w:val="bottom"/>
          </w:tcPr>
          <w:p>
            <w:pPr>
              <w:pStyle w:val="9"/>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w:t>
            </w:r>
          </w:p>
        </w:tc>
        <w:tc>
          <w:tcPr>
            <w:tcW w:w="221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c>
          <w:tcPr>
            <w:tcW w:w="180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vAlign w:val="bottom"/>
          </w:tcPr>
          <w:p>
            <w:pPr>
              <w:pStyle w:val="9"/>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w:t>
            </w:r>
          </w:p>
        </w:tc>
        <w:tc>
          <w:tcPr>
            <w:tcW w:w="221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c>
          <w:tcPr>
            <w:tcW w:w="180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9"/>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w:t>
            </w:r>
          </w:p>
        </w:tc>
        <w:tc>
          <w:tcPr>
            <w:tcW w:w="221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c>
          <w:tcPr>
            <w:tcW w:w="180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9"/>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6</w:t>
            </w:r>
          </w:p>
        </w:tc>
        <w:tc>
          <w:tcPr>
            <w:tcW w:w="221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c>
          <w:tcPr>
            <w:tcW w:w="180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9"/>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7</w:t>
            </w:r>
          </w:p>
        </w:tc>
        <w:tc>
          <w:tcPr>
            <w:tcW w:w="221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c>
          <w:tcPr>
            <w:tcW w:w="180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9"/>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8</w:t>
            </w:r>
          </w:p>
        </w:tc>
        <w:tc>
          <w:tcPr>
            <w:tcW w:w="221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c>
          <w:tcPr>
            <w:tcW w:w="180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9"/>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9</w:t>
            </w:r>
          </w:p>
        </w:tc>
        <w:tc>
          <w:tcPr>
            <w:tcW w:w="221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c>
          <w:tcPr>
            <w:tcW w:w="180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jc w:val="center"/>
        </w:trPr>
        <w:tc>
          <w:tcPr>
            <w:tcW w:w="1028" w:type="dxa"/>
            <w:vAlign w:val="bottom"/>
          </w:tcPr>
          <w:p>
            <w:pPr>
              <w:pStyle w:val="9"/>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w:t>
            </w:r>
          </w:p>
        </w:tc>
        <w:tc>
          <w:tcPr>
            <w:tcW w:w="2212"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w:t>
            </w:r>
          </w:p>
        </w:tc>
        <w:tc>
          <w:tcPr>
            <w:tcW w:w="7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c>
          <w:tcPr>
            <w:tcW w:w="180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tcPr>
          <w:p>
            <w:pPr>
              <w:pStyle w:val="9"/>
              <w:spacing w:line="360" w:lineRule="auto"/>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报价合计</w:t>
            </w:r>
          </w:p>
        </w:tc>
      </w:tr>
    </w:tbl>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 ________________________</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outlineLvl w:val="2"/>
        <w:rPr>
          <w:rFonts w:hint="eastAsia" w:ascii="宋体" w:hAnsi="宋体" w:cs="宋体"/>
          <w:b/>
          <w:bCs/>
          <w:color w:val="000000" w:themeColor="text1"/>
          <w:sz w:val="24"/>
          <w:u w:val="wav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（二）商务部分</w:t>
      </w:r>
    </w:p>
    <w:p>
      <w:pPr>
        <w:numPr>
          <w:ilvl w:val="0"/>
          <w:numId w:val="12"/>
        </w:numPr>
        <w:tabs>
          <w:tab w:val="left" w:pos="6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投标响应书；</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投标响应书</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494" w:firstLineChars="20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根据贵方为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项目采购的邀请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（招标文件编号         ），签字代表</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（全名、职务）经正式授权并代表供应商</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（供应商方名称、地址）提交</w:t>
      </w:r>
      <w:r>
        <w:rPr>
          <w:rFonts w:hint="eastAsia" w:ascii="宋体" w:hAnsi="宋体" w:cs="宋体"/>
          <w:b/>
          <w:color w:val="000000" w:themeColor="text1"/>
          <w:sz w:val="24"/>
          <w14:textFill>
            <w14:solidFill>
              <w14:schemeClr w14:val="tx1"/>
            </w14:solidFill>
          </w14:textFill>
        </w:rPr>
        <w:t>一份正本四份副本以及1份电子文档的</w:t>
      </w:r>
      <w:r>
        <w:rPr>
          <w:rFonts w:hint="eastAsia" w:ascii="宋体" w:hAnsi="宋体" w:cs="宋体"/>
          <w:color w:val="000000" w:themeColor="text1"/>
          <w:sz w:val="24"/>
          <w14:textFill>
            <w14:solidFill>
              <w14:schemeClr w14:val="tx1"/>
            </w14:solidFill>
          </w14:textFill>
        </w:rPr>
        <w:t>投标文件。</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据此函，签字代表宣布同意如下：</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1、供应商方将按招标文件的规定履行合同责任和义务。</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2、供应商方已详细审查全部投标文件，包括修改文件（如有的话）以及全部参考资料和有关附件。我们完全理解并同意放弃对这方面有不明及误解的权利。</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3、与本投标项目有关的一切正式往来通讯请寄：</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邮编：</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传真：</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邮箱：</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投标供应商授权代表、职务（印刷体）：</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（公  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w:t>
      </w:r>
      <w:r>
        <w:rPr>
          <w:rFonts w:hint="eastAsia" w:ascii="宋体" w:hAnsi="宋体" w:cs="宋体"/>
          <w:color w:val="000000" w:themeColor="text1"/>
          <w:sz w:val="24"/>
          <w:u w:val="single"/>
          <w14:textFill>
            <w14:solidFill>
              <w14:schemeClr w14:val="tx1"/>
            </w14:solidFill>
          </w14:textFill>
        </w:rPr>
        <w:t xml:space="preserve">                           </w:t>
      </w:r>
    </w:p>
    <w:p>
      <w:pPr>
        <w:pStyle w:val="7"/>
        <w:rPr>
          <w:color w:val="000000" w:themeColor="text1"/>
          <w14:textFill>
            <w14:solidFill>
              <w14:schemeClr w14:val="tx1"/>
            </w14:solidFill>
          </w14:textFill>
        </w:rPr>
      </w:pPr>
    </w:p>
    <w:p>
      <w:pPr>
        <w:numPr>
          <w:ilvl w:val="0"/>
          <w:numId w:val="12"/>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营业执照【其他组织提供《事业单位法人证书》或《民办非企业单位登记证书》】及税务登记册证副本复印件(加盖投标人公章，若提供的营业执照为三证合一，则税务登记证可不单独提供)；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color w:val="000000" w:themeColor="text1"/>
          <w:sz w:val="24"/>
          <w:lang w:val="fr-CH"/>
          <w14:textFill>
            <w14:solidFill>
              <w14:schemeClr w14:val="tx1"/>
            </w14:solidFill>
          </w14:textFill>
        </w:rPr>
        <w:br w:type="page"/>
      </w:r>
    </w:p>
    <w:p>
      <w:pPr>
        <w:numPr>
          <w:ilvl w:val="0"/>
          <w:numId w:val="12"/>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政府采购投标及履约承诺函；</w:t>
      </w:r>
    </w:p>
    <w:p>
      <w:pPr>
        <w:spacing w:line="360" w:lineRule="auto"/>
        <w:jc w:val="center"/>
        <w:rPr>
          <w:rFonts w:hint="eastAsia" w:ascii="宋体" w:hAnsi="宋体" w:cs="宋体"/>
          <w:b/>
          <w:bCs/>
          <w:color w:val="000000" w:themeColor="text1"/>
          <w:sz w:val="24"/>
          <w:lang w:val="fr-CH"/>
          <w14:textFill>
            <w14:solidFill>
              <w14:schemeClr w14:val="tx1"/>
            </w14:solidFill>
          </w14:textFill>
        </w:rPr>
      </w:pPr>
      <w:r>
        <w:rPr>
          <w:rFonts w:hint="eastAsia" w:ascii="宋体" w:hAnsi="宋体" w:cs="宋体"/>
          <w:b/>
          <w:bCs/>
          <w:color w:val="000000" w:themeColor="text1"/>
          <w:sz w:val="24"/>
          <w:lang w:val="fr-CH"/>
          <w14:textFill>
            <w14:solidFill>
              <w14:schemeClr w14:val="tx1"/>
            </w14:solidFill>
          </w14:textFill>
        </w:rPr>
        <w:t>政府采购投标及履约承诺函</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（采购单位名称/代理机构名称）：</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我单位深知本项目对贵局的重要性和紧迫性，亦了解贵局对廉政建设的相关要求，因此我单位承诺如下：</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我单位本招标项目所提供的货物或服务未侵犯知识产权。</w:t>
      </w:r>
    </w:p>
    <w:p>
      <w:pPr>
        <w:widowControl/>
        <w:numPr>
          <w:ilvl w:val="0"/>
          <w:numId w:val="13"/>
        </w:numPr>
        <w:shd w:val="clear" w:color="auto" w:fill="FFFFFF"/>
        <w:spacing w:line="360" w:lineRule="auto"/>
        <w:ind w:right="-4"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w:t>
      </w:r>
      <w:r>
        <w:rPr>
          <w:rFonts w:hint="eastAsia" w:ascii="宋体" w:hAnsi="宋体" w:cs="宋体"/>
          <w:color w:val="000000" w:themeColor="text1"/>
          <w:kern w:val="0"/>
          <w:sz w:val="24"/>
          <w14:textFill>
            <w14:solidFill>
              <w14:schemeClr w14:val="tx1"/>
            </w14:solidFill>
          </w14:textFill>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3"/>
        </w:numPr>
        <w:shd w:val="clear" w:color="auto" w:fill="FFFFFF"/>
        <w:spacing w:line="360" w:lineRule="auto"/>
        <w:ind w:right="-4"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w:t>
      </w:r>
      <w:r>
        <w:rPr>
          <w:rFonts w:hint="eastAsia" w:ascii="宋体" w:hAnsi="宋体" w:cs="宋体"/>
          <w:color w:val="000000" w:themeColor="text1"/>
          <w:kern w:val="0"/>
          <w:sz w:val="24"/>
          <w14:textFill>
            <w14:solidFill>
              <w14:schemeClr w14:val="tx1"/>
            </w14:solidFill>
          </w14:textFill>
        </w:rPr>
        <w:t>及其法定代表人近三年内（投标人成立不足三年的可从成立之日起算）无行贿犯罪记录；</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我单位具备《中华人民共和国政府采购法》第二十二条第一款的条件。</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符合财政部和深圳市财政局关于诚信管理的要求，</w:t>
      </w:r>
      <w:r>
        <w:rPr>
          <w:rFonts w:hint="eastAsia" w:ascii="宋体" w:hAnsi="宋体" w:cs="宋体"/>
          <w:color w:val="000000" w:themeColor="text1"/>
          <w:kern w:val="0"/>
          <w:sz w:val="24"/>
          <w14:textFill>
            <w14:solidFill>
              <w14:schemeClr w14:val="tx1"/>
            </w14:solidFill>
          </w14:textFill>
        </w:rPr>
        <w:t>至投标截止时间，我单位未有在“信用中国”网（www.creditchina.gov.cn）、中国政府采购网（www.ccgp.gov.cn）、</w:t>
      </w:r>
      <w:r>
        <w:rPr>
          <w:rFonts w:hint="eastAsia" w:ascii="宋体" w:hAnsi="宋体" w:cs="宋体"/>
          <w:color w:val="000000" w:themeColor="text1"/>
          <w:kern w:val="0"/>
          <w:sz w:val="24"/>
          <w:lang w:eastAsia="zh-CN"/>
          <w14:textFill>
            <w14:solidFill>
              <w14:schemeClr w14:val="tx1"/>
            </w14:solidFill>
          </w14:textFill>
        </w:rPr>
        <w:t>深圳市政府采购监管网</w:t>
      </w:r>
      <w:r>
        <w:rPr>
          <w:rFonts w:hint="eastAsia" w:ascii="宋体" w:hAnsi="宋体" w:cs="宋体"/>
          <w:color w:val="000000" w:themeColor="text1"/>
          <w:kern w:val="0"/>
          <w:sz w:val="24"/>
          <w14:textFill>
            <w14:solidFill>
              <w14:schemeClr w14:val="tx1"/>
            </w14:solidFill>
          </w14:textFill>
        </w:rPr>
        <w:t>（zfcg.sz.gov.cn）和“国家企业信用信息公示系统”（www.gsxt.gov.cn）等4个官网中列入“失信被执行人、重大税收违法失信主体、政府采购严重违法失信行为记录名单”</w:t>
      </w:r>
      <w:r>
        <w:rPr>
          <w:rFonts w:hint="eastAsia" w:ascii="宋体" w:hAnsi="宋体" w:cs="宋体"/>
          <w:color w:val="000000" w:themeColor="text1"/>
          <w:sz w:val="24"/>
          <w14:textFill>
            <w14:solidFill>
              <w14:schemeClr w14:val="tx1"/>
            </w14:solidFill>
          </w14:textFill>
        </w:rPr>
        <w:t>。</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我单位不存在单位法定代表人为同一人或者存在直接控股、管理关系的不同供应商，同时参加本项目投标之情形；我公司未为本项目提供过整体设计、规范编制或者项目管理、监理、检测等服务。</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我单位如果中标，做到诚实守信，依照本项目招标文件需求内容、签署的采购合同及本单位在投标中所作的一切承诺履约；不非法转包、分包。</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我单位承诺未参与本项目的采购需求、技术指标、商务指标等内容的设定，不存在对其他投标单位不公平的行为。</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13.我单位承诺本单位（公司）不存在《深圳市财政局政府采购供应商信用信息管理办法》（深财规〔2023〕3号）列明的严重违法失信行为。</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以上承诺，如有违反，愿依照国家相关法律处理，并承担由此给采购人带来的损失。</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p>
    <w:p>
      <w:pPr>
        <w:tabs>
          <w:tab w:val="left" w:pos="4860"/>
        </w:tabs>
        <w:adjustRightInd w:val="0"/>
        <w:snapToGrid w:val="0"/>
        <w:spacing w:line="360" w:lineRule="auto"/>
        <w:ind w:right="105" w:rightChars="50"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投标供应商法定代表人或授权代表（签字或签章）：                  </w:t>
      </w:r>
    </w:p>
    <w:p>
      <w:pPr>
        <w:tabs>
          <w:tab w:val="left" w:pos="4860"/>
        </w:tabs>
        <w:adjustRightInd w:val="0"/>
        <w:snapToGrid w:val="0"/>
        <w:spacing w:line="360" w:lineRule="auto"/>
        <w:ind w:right="105" w:rightChars="50"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4860"/>
        </w:tabs>
        <w:adjustRightInd w:val="0"/>
        <w:snapToGrid w:val="0"/>
        <w:spacing w:line="360" w:lineRule="auto"/>
        <w:ind w:right="105" w:rightChars="50"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numPr>
          <w:ilvl w:val="0"/>
          <w:numId w:val="12"/>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hAnsi="宋体" w:cs="宋体"/>
          <w:color w:val="000000" w:themeColor="text1"/>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关于资格的声明函；</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关于资格的声明函</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（采购单位名称/代理机构名称）：</w:t>
      </w:r>
    </w:p>
    <w:p>
      <w:pPr>
        <w:spacing w:line="360" w:lineRule="auto"/>
        <w:ind w:firstLine="566" w:firstLineChars="23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 投标人名称）    </w:t>
      </w:r>
      <w:r>
        <w:rPr>
          <w:rFonts w:hint="eastAsia" w:ascii="宋体" w:hAnsi="宋体" w:cs="宋体"/>
          <w:color w:val="000000" w:themeColor="text1"/>
          <w:sz w:val="24"/>
          <w14:textFill>
            <w14:solidFill>
              <w14:schemeClr w14:val="tx1"/>
            </w14:solidFill>
          </w14:textFill>
        </w:rPr>
        <w:t xml:space="preserve"> 参与了</w:t>
      </w:r>
      <w:r>
        <w:rPr>
          <w:rFonts w:hint="eastAsia" w:ascii="宋体" w:hAnsi="宋体" w:cs="宋体"/>
          <w:color w:val="000000" w:themeColor="text1"/>
          <w:sz w:val="24"/>
          <w:u w:val="single"/>
          <w14:textFill>
            <w14:solidFill>
              <w14:schemeClr w14:val="tx1"/>
            </w14:solidFill>
          </w14:textFill>
        </w:rPr>
        <w:t xml:space="preserve"> （项目名称 、招标编号） </w:t>
      </w:r>
      <w:r>
        <w:rPr>
          <w:rFonts w:hint="eastAsia" w:ascii="宋体" w:hAnsi="宋体" w:cs="宋体"/>
          <w:color w:val="000000" w:themeColor="text1"/>
          <w:sz w:val="24"/>
          <w14:textFill>
            <w14:solidFill>
              <w14:schemeClr w14:val="tx1"/>
            </w14:solidFill>
          </w14:textFill>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特此承诺！</w:t>
      </w:r>
    </w:p>
    <w:p>
      <w:pPr>
        <w:spacing w:line="360" w:lineRule="auto"/>
        <w:ind w:left="420"/>
        <w:rPr>
          <w:rFonts w:hint="eastAsia" w:ascii="宋体" w:hAnsi="宋体" w:cs="宋体"/>
          <w:color w:val="000000" w:themeColor="text1"/>
          <w:sz w:val="24"/>
          <w14:textFill>
            <w14:solidFill>
              <w14:schemeClr w14:val="tx1"/>
            </w14:solidFill>
          </w14:textFill>
        </w:rPr>
      </w:pPr>
    </w:p>
    <w:p>
      <w:pPr>
        <w:tabs>
          <w:tab w:val="left" w:pos="4860"/>
        </w:tabs>
        <w:adjustRightInd w:val="0"/>
        <w:snapToGrid w:val="0"/>
        <w:spacing w:line="360" w:lineRule="auto"/>
        <w:ind w:right="105" w:rightChars="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numPr>
          <w:ilvl w:val="0"/>
          <w:numId w:val="12"/>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法定代表人证明书及身份证明；</w:t>
      </w:r>
    </w:p>
    <w:p>
      <w:pPr>
        <w:spacing w:before="120" w:after="120" w:line="360" w:lineRule="auto"/>
        <w:jc w:val="center"/>
        <w:rPr>
          <w:rFonts w:hint="eastAsia" w:ascii="宋体" w:hAnsi="宋体" w:cs="宋体"/>
          <w:b/>
          <w:color w:val="000000" w:themeColor="text1"/>
          <w:sz w:val="24"/>
          <w14:textFill>
            <w14:solidFill>
              <w14:schemeClr w14:val="tx1"/>
            </w14:solidFill>
          </w14:textFill>
        </w:rPr>
      </w:pPr>
    </w:p>
    <w:p>
      <w:pPr>
        <w:spacing w:before="120" w:after="120" w:line="360" w:lineRule="auto"/>
        <w:jc w:val="center"/>
        <w:rPr>
          <w:rFonts w:hint="eastAsia" w:ascii="宋体" w:hAnsi="宋体" w:cs="宋体"/>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法定代表人证明书</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同志，现任我单位职务，为法定代表人，特此证明。</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签发日期：             有效日期：         单位：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附：代表人性别：   年龄：      身份证号码：</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营业执照号码：                 经济性质：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主营（产）：</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兼营（产）：</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进口物品经营许可证号码：</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主营：</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兼营：</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说明：1、法定代表人为企业事业单位、国家机关、社会团体的主要行政负责人。</w:t>
      </w:r>
    </w:p>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2、内容必须填写真实、清楚，涂改无效，不得转让、买卖</w:t>
      </w:r>
      <w:r>
        <w:rPr>
          <w:rFonts w:hint="eastAsia" w:ascii="宋体" w:hAnsi="宋体" w:cs="宋体"/>
          <w:color w:val="000000" w:themeColor="text1"/>
          <w:sz w:val="24"/>
          <w:lang w:eastAsia="zh-CN"/>
          <w14:textFill>
            <w14:solidFill>
              <w14:schemeClr w14:val="tx1"/>
            </w14:solidFill>
          </w14:textFill>
        </w:rPr>
        <w:t>。</w:t>
      </w:r>
    </w:p>
    <w:p>
      <w:pPr>
        <w:tabs>
          <w:tab w:val="left" w:pos="3780"/>
        </w:tabs>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法定代表人（签字或签章）：</w:t>
      </w:r>
    </w:p>
    <w:p>
      <w:pPr>
        <w:spacing w:before="120" w:after="120"/>
        <w:jc w:val="left"/>
        <w:rPr>
          <w:rFonts w:hint="eastAsia" w:ascii="宋体" w:hAnsi="宋体" w:cs="宋体"/>
          <w:color w:val="000000" w:themeColor="text1"/>
          <w:szCs w:val="21"/>
          <w14:textFill>
            <w14:solidFill>
              <w14:schemeClr w14:val="tx1"/>
            </w14:solidFill>
          </w14:textFill>
        </w:rPr>
      </w:pPr>
    </w:p>
    <w:p>
      <w:pPr>
        <w:spacing w:before="120" w:after="120" w:line="360" w:lineRule="auto"/>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附身份证正反面</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tcPr>
          <w:p>
            <w:pPr>
              <w:pStyle w:val="9"/>
              <w:spacing w:line="360" w:lineRule="auto"/>
              <w:rPr>
                <w:rFonts w:ascii="Arial Narrow" w:hAnsi="Arial Narrow"/>
                <w:b/>
                <w:bCs/>
                <w:color w:val="000000" w:themeColor="text1"/>
                <w:szCs w:val="21"/>
                <w14:textFill>
                  <w14:solidFill>
                    <w14:schemeClr w14:val="tx1"/>
                  </w14:solidFill>
                </w14:textFill>
              </w:rPr>
            </w:pPr>
          </w:p>
        </w:tc>
        <w:tc>
          <w:tcPr>
            <w:tcW w:w="4240" w:type="dxa"/>
          </w:tcPr>
          <w:p>
            <w:pPr>
              <w:pStyle w:val="9"/>
              <w:spacing w:line="360" w:lineRule="auto"/>
              <w:rPr>
                <w:rFonts w:ascii="Arial Narrow" w:hAnsi="Arial Narrow"/>
                <w:b/>
                <w:bCs/>
                <w:color w:val="000000" w:themeColor="text1"/>
                <w:szCs w:val="21"/>
                <w14:textFill>
                  <w14:solidFill>
                    <w14:schemeClr w14:val="tx1"/>
                  </w14:solidFill>
                </w14:textFill>
              </w:rPr>
            </w:pPr>
          </w:p>
        </w:tc>
      </w:tr>
    </w:tbl>
    <w:p>
      <w:pPr>
        <w:tabs>
          <w:tab w:val="left" w:pos="640"/>
          <w:tab w:val="left" w:pos="1260"/>
          <w:tab w:val="left" w:pos="1418"/>
        </w:tabs>
        <w:spacing w:line="360" w:lineRule="auto"/>
        <w:rPr>
          <w:color w:val="000000" w:themeColor="text1"/>
          <w:szCs w:val="21"/>
          <w:lang w:val="fr-CH"/>
          <w14:textFill>
            <w14:solidFill>
              <w14:schemeClr w14:val="tx1"/>
            </w14:solidFill>
          </w14:textFill>
        </w:rPr>
      </w:pPr>
      <w:r>
        <w:rPr>
          <w:rFonts w:hint="eastAsia"/>
          <w:color w:val="000000" w:themeColor="text1"/>
          <w:szCs w:val="21"/>
          <w14:textFill>
            <w14:solidFill>
              <w14:schemeClr w14:val="tx1"/>
            </w14:solidFill>
          </w14:textFill>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pPr>
        <w:numPr>
          <w:ilvl w:val="0"/>
          <w:numId w:val="12"/>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法定代表人授权书及身份证明；</w:t>
      </w:r>
    </w:p>
    <w:p>
      <w:pPr>
        <w:pStyle w:val="9"/>
        <w:spacing w:line="360" w:lineRule="auto"/>
        <w:jc w:val="center"/>
        <w:rPr>
          <w:rFonts w:hint="eastAsia" w:hAnsi="宋体" w:cs="宋体"/>
          <w:b/>
          <w:color w:val="000000" w:themeColor="text1"/>
          <w:sz w:val="24"/>
          <w14:textFill>
            <w14:solidFill>
              <w14:schemeClr w14:val="tx1"/>
            </w14:solidFill>
          </w14:textFill>
        </w:rPr>
      </w:pPr>
    </w:p>
    <w:p>
      <w:pPr>
        <w:pStyle w:val="9"/>
        <w:spacing w:line="360" w:lineRule="auto"/>
        <w:jc w:val="center"/>
        <w:rPr>
          <w:rFonts w:hint="eastAsia"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法定代表人授权书</w:t>
      </w:r>
    </w:p>
    <w:p>
      <w:pPr>
        <w:pStyle w:val="9"/>
        <w:spacing w:line="360" w:lineRule="auto"/>
        <w:rPr>
          <w:rFonts w:hint="eastAsia" w:hAnsi="宋体" w:cs="宋体"/>
          <w:color w:val="000000" w:themeColor="text1"/>
          <w:sz w:val="24"/>
          <w14:textFill>
            <w14:solidFill>
              <w14:schemeClr w14:val="tx1"/>
            </w14:solidFill>
          </w14:textFill>
        </w:rPr>
      </w:pPr>
    </w:p>
    <w:p>
      <w:pPr>
        <w:pStyle w:val="9"/>
        <w:spacing w:line="360" w:lineRule="auto"/>
        <w:rPr>
          <w:rFonts w:hint="eastAsia" w:hAnsi="宋体" w:cs="宋体"/>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深圳市前海深港现代服务业合作区管理局：</w:t>
      </w:r>
    </w:p>
    <w:p>
      <w:pPr>
        <w:pStyle w:val="9"/>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本授权书声明：注册于</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（国家或地区）的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（投标人名称）的在下面签字的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（法定代表人姓名、职务）代表本公司授权在下面签字的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（被授权人的姓名、职务）为本公司的合法代表人，就</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[招标编号为：</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]的投标和合同执行，以我方的名义处理一切与之有关的事宜。</w:t>
      </w:r>
    </w:p>
    <w:p>
      <w:pPr>
        <w:pStyle w:val="9"/>
        <w:spacing w:line="360" w:lineRule="auto"/>
        <w:rPr>
          <w:rFonts w:hint="eastAsia" w:hAnsi="宋体" w:cs="宋体"/>
          <w:color w:val="000000" w:themeColor="text1"/>
          <w:sz w:val="24"/>
          <w14:textFill>
            <w14:solidFill>
              <w14:schemeClr w14:val="tx1"/>
            </w14:solidFill>
          </w14:textFill>
        </w:rPr>
      </w:pPr>
    </w:p>
    <w:p>
      <w:pPr>
        <w:spacing w:line="360" w:lineRule="auto"/>
        <w:ind w:firstLine="57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本授权书于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日签字生效，特此声明。</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法定代表人（签字或签章）：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被授权人代表（签字或签章）：</w:t>
      </w:r>
    </w:p>
    <w:p>
      <w:pPr>
        <w:tabs>
          <w:tab w:val="left" w:pos="640"/>
          <w:tab w:val="left" w:pos="1260"/>
          <w:tab w:val="left" w:pos="1418"/>
        </w:tabs>
        <w:spacing w:line="360" w:lineRule="auto"/>
        <w:rPr>
          <w:rFonts w:hint="eastAsia" w:ascii="宋体" w:hAnsi="宋体" w:cs="宋体"/>
          <w:b/>
          <w:color w:val="000000" w:themeColor="text1"/>
          <w:sz w:val="24"/>
          <w14:textFill>
            <w14:solidFill>
              <w14:schemeClr w14:val="tx1"/>
            </w14:solidFill>
          </w14:textFill>
        </w:rPr>
      </w:pPr>
    </w:p>
    <w:p>
      <w:pPr>
        <w:tabs>
          <w:tab w:val="left" w:pos="640"/>
          <w:tab w:val="left" w:pos="1260"/>
          <w:tab w:val="left" w:pos="1418"/>
        </w:tabs>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附身份证正反面</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5" w:hRule="atLeast"/>
          <w:jc w:val="center"/>
        </w:trPr>
        <w:tc>
          <w:tcPr>
            <w:tcW w:w="4677" w:type="dxa"/>
          </w:tcPr>
          <w:p>
            <w:pPr>
              <w:pStyle w:val="9"/>
              <w:spacing w:line="360" w:lineRule="auto"/>
              <w:rPr>
                <w:rFonts w:ascii="Arial Narrow" w:hAnsi="Arial Narrow"/>
                <w:b/>
                <w:bCs/>
                <w:color w:val="000000" w:themeColor="text1"/>
                <w:szCs w:val="21"/>
                <w14:textFill>
                  <w14:solidFill>
                    <w14:schemeClr w14:val="tx1"/>
                  </w14:solidFill>
                </w14:textFill>
              </w:rPr>
            </w:pPr>
          </w:p>
        </w:tc>
        <w:tc>
          <w:tcPr>
            <w:tcW w:w="4677" w:type="dxa"/>
          </w:tcPr>
          <w:p>
            <w:pPr>
              <w:pStyle w:val="9"/>
              <w:spacing w:line="360" w:lineRule="auto"/>
              <w:rPr>
                <w:rFonts w:ascii="Arial Narrow" w:hAnsi="Arial Narrow"/>
                <w:b/>
                <w:bCs/>
                <w:color w:val="000000" w:themeColor="text1"/>
                <w:szCs w:val="21"/>
                <w14:textFill>
                  <w14:solidFill>
                    <w14:schemeClr w14:val="tx1"/>
                  </w14:solidFill>
                </w14:textFill>
              </w:rPr>
            </w:pPr>
          </w:p>
        </w:tc>
      </w:tr>
    </w:tbl>
    <w:p>
      <w:pPr>
        <w:tabs>
          <w:tab w:val="left" w:pos="640"/>
          <w:tab w:val="left" w:pos="1260"/>
          <w:tab w:val="left" w:pos="1418"/>
        </w:tabs>
        <w:spacing w:line="360" w:lineRule="auto"/>
        <w:rPr>
          <w:rFonts w:hint="eastAsia" w:ascii="宋体" w:hAnsi="宋体" w:cs="宋体"/>
          <w:color w:val="000000" w:themeColor="text1"/>
          <w:sz w:val="24"/>
          <w:lang w:val="fr-CH"/>
          <w14:textFill>
            <w14:solidFill>
              <w14:schemeClr w14:val="tx1"/>
            </w14:solidFill>
          </w14:textFill>
        </w:rPr>
      </w:pPr>
      <w:r>
        <w:rPr>
          <w:rFonts w:hint="eastAsia"/>
          <w:color w:val="000000" w:themeColor="text1"/>
          <w:szCs w:val="21"/>
          <w14:textFill>
            <w14:solidFill>
              <w14:schemeClr w14:val="tx1"/>
            </w14:solidFill>
          </w14:textFill>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宋体" w:hAnsi="宋体" w:cs="宋体"/>
          <w:color w:val="000000" w:themeColor="text1"/>
          <w:sz w:val="24"/>
          <w:lang w:val="fr-CH"/>
          <w14:textFill>
            <w14:solidFill>
              <w14:schemeClr w14:val="tx1"/>
            </w14:solidFill>
          </w14:textFill>
        </w:rPr>
        <w:br w:type="page"/>
      </w:r>
    </w:p>
    <w:p>
      <w:pPr>
        <w:numPr>
          <w:ilvl w:val="0"/>
          <w:numId w:val="12"/>
        </w:numPr>
        <w:tabs>
          <w:tab w:val="left" w:pos="640"/>
          <w:tab w:val="left" w:pos="1260"/>
          <w:tab w:val="left" w:pos="1418"/>
        </w:tabs>
        <w:spacing w:line="360" w:lineRule="auto"/>
        <w:ind w:left="640" w:hanging="640"/>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招标代理服务费承诺书；</w:t>
      </w:r>
    </w:p>
    <w:p>
      <w:pPr>
        <w:widowControl/>
        <w:autoSpaceDE w:val="0"/>
        <w:autoSpaceDN w:val="0"/>
        <w:spacing w:line="360" w:lineRule="auto"/>
        <w:ind w:left="359" w:right="26" w:hanging="357"/>
        <w:jc w:val="center"/>
        <w:textAlignment w:val="bottom"/>
        <w:rPr>
          <w:rFonts w:hint="eastAsia" w:ascii="宋体" w:hAnsi="宋体" w:cs="宋体"/>
          <w:b/>
          <w:bCs/>
          <w:color w:val="000000" w:themeColor="text1"/>
          <w:sz w:val="24"/>
          <w:lang w:val="fr-CH"/>
          <w14:textFill>
            <w14:solidFill>
              <w14:schemeClr w14:val="tx1"/>
            </w14:solidFill>
          </w14:textFill>
        </w:rPr>
      </w:pPr>
    </w:p>
    <w:p>
      <w:pPr>
        <w:widowControl/>
        <w:autoSpaceDE w:val="0"/>
        <w:autoSpaceDN w:val="0"/>
        <w:spacing w:line="360" w:lineRule="auto"/>
        <w:ind w:left="359" w:right="26" w:hanging="357"/>
        <w:jc w:val="center"/>
        <w:textAlignment w:val="bottom"/>
        <w:rPr>
          <w:rFonts w:hint="eastAsia" w:ascii="宋体" w:hAnsi="宋体" w:cs="宋体"/>
          <w:b/>
          <w:bCs/>
          <w:color w:val="000000" w:themeColor="text1"/>
          <w:sz w:val="24"/>
          <w:lang w:val="fr-CH"/>
          <w14:textFill>
            <w14:solidFill>
              <w14:schemeClr w14:val="tx1"/>
            </w14:solidFill>
          </w14:textFill>
        </w:rPr>
      </w:pPr>
      <w:r>
        <w:rPr>
          <w:rFonts w:hint="eastAsia" w:ascii="宋体" w:hAnsi="宋体" w:cs="宋体"/>
          <w:b/>
          <w:bCs/>
          <w:color w:val="000000" w:themeColor="text1"/>
          <w:sz w:val="24"/>
          <w:lang w:val="fr-CH"/>
          <w14:textFill>
            <w14:solidFill>
              <w14:schemeClr w14:val="tx1"/>
            </w14:solidFill>
          </w14:textFill>
        </w:rPr>
        <w:t>招标代理服务费承诺书</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致：中国远东国际招标有限公司</w:t>
      </w:r>
    </w:p>
    <w:p>
      <w:pPr>
        <w:widowControl/>
        <w:autoSpaceDE w:val="0"/>
        <w:autoSpaceDN w:val="0"/>
        <w:spacing w:line="360" w:lineRule="auto"/>
        <w:ind w:right="26" w:firstLine="540"/>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我们在贵司代理的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项目（招标编号：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）（货物/服务/工程）招标中若获中标，我们保证在收到中标通知书后5日内按招标文件的规定，以现金或电汇向贵公司指定的银行账号支付全额招标代理服务费。招标代理服务费按照</w:t>
      </w:r>
      <w:r>
        <w:rPr>
          <w:rFonts w:hint="eastAsia" w:ascii="宋体" w:hAnsi="宋体" w:cs="宋体"/>
          <w:color w:val="000000" w:themeColor="text1"/>
          <w:sz w:val="24"/>
          <w:u w:val="single"/>
          <w14:textFill>
            <w14:solidFill>
              <w14:schemeClr w14:val="tx1"/>
            </w14:solidFill>
          </w14:textFill>
        </w:rPr>
        <w:t>招标文件中的规定</w:t>
      </w:r>
      <w:r>
        <w:rPr>
          <w:rFonts w:hint="eastAsia" w:ascii="宋体" w:hAnsi="宋体" w:cs="宋体"/>
          <w:color w:val="000000" w:themeColor="text1"/>
          <w:sz w:val="24"/>
          <w14:textFill>
            <w14:solidFill>
              <w14:schemeClr w14:val="tx1"/>
            </w14:solidFill>
          </w14:textFill>
        </w:rPr>
        <w:t>计算。</w:t>
      </w:r>
    </w:p>
    <w:p>
      <w:pPr>
        <w:widowControl/>
        <w:autoSpaceDE w:val="0"/>
        <w:autoSpaceDN w:val="0"/>
        <w:spacing w:line="360" w:lineRule="auto"/>
        <w:ind w:right="26" w:firstLine="540"/>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特此承诺。</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投标供应商地址：</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电话：         </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w:t>
      </w:r>
    </w:p>
    <w:p>
      <w:pPr>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7"/>
        <w:rPr>
          <w:color w:val="000000" w:themeColor="text1"/>
          <w:lang w:val="fr-CH"/>
          <w14:textFill>
            <w14:solidFill>
              <w14:schemeClr w14:val="tx1"/>
            </w14:solidFill>
          </w14:textFill>
        </w:rPr>
      </w:pPr>
    </w:p>
    <w:p>
      <w:pPr>
        <w:tabs>
          <w:tab w:val="left" w:pos="640"/>
          <w:tab w:val="left" w:pos="1260"/>
          <w:tab w:val="left" w:pos="1418"/>
        </w:tabs>
        <w:spacing w:line="360" w:lineRule="auto"/>
        <w:rPr>
          <w:rFonts w:hint="eastAsia" w:ascii="宋体" w:hAnsi="宋体" w:cs="宋体"/>
          <w:color w:val="000000" w:themeColor="text1"/>
          <w:sz w:val="24"/>
          <w:lang w:val="fr-CH"/>
          <w14:textFill>
            <w14:solidFill>
              <w14:schemeClr w14:val="tx1"/>
            </w14:solidFill>
          </w14:textFill>
        </w:rPr>
      </w:pPr>
    </w:p>
    <w:p>
      <w:pPr>
        <w:numPr>
          <w:ilvl w:val="0"/>
          <w:numId w:val="12"/>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供应商</w:t>
      </w:r>
      <w:r>
        <w:rPr>
          <w:rFonts w:hint="eastAsia" w:ascii="宋体" w:hAnsi="宋体" w:cs="宋体"/>
          <w:color w:val="000000" w:themeColor="text1"/>
          <w:sz w:val="24"/>
          <w:lang w:val="fr-CH"/>
          <w14:textFill>
            <w14:solidFill>
              <w14:schemeClr w14:val="tx1"/>
            </w14:solidFill>
          </w14:textFill>
        </w:rPr>
        <w:t>简介；</w:t>
      </w:r>
    </w:p>
    <w:p>
      <w:pPr>
        <w:pStyle w:val="9"/>
        <w:spacing w:line="360" w:lineRule="auto"/>
        <w:jc w:val="center"/>
        <w:rPr>
          <w:rFonts w:hint="eastAsia"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供应商基本情况一览表</w:t>
      </w:r>
    </w:p>
    <w:p>
      <w:pPr>
        <w:pStyle w:val="9"/>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1．名称及概况：</w:t>
      </w:r>
    </w:p>
    <w:p>
      <w:pPr>
        <w:pStyle w:val="9"/>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（1）供应商名称：_______________________________________</w:t>
      </w:r>
    </w:p>
    <w:p>
      <w:pPr>
        <w:pStyle w:val="9"/>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（2）地址：______________________________________________</w:t>
      </w:r>
    </w:p>
    <w:p>
      <w:pPr>
        <w:pStyle w:val="9"/>
        <w:spacing w:line="360" w:lineRule="auto"/>
        <w:ind w:firstLine="660" w:firstLineChars="275"/>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邮政编码：___________________________________________</w:t>
      </w:r>
    </w:p>
    <w:p>
      <w:pPr>
        <w:pStyle w:val="9"/>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电话号码：___________________________________________ </w:t>
      </w:r>
    </w:p>
    <w:p>
      <w:pPr>
        <w:pStyle w:val="9"/>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传真号码：___________________________________________ </w:t>
      </w:r>
    </w:p>
    <w:p>
      <w:pPr>
        <w:pStyle w:val="9"/>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（3）成立和／或注册日期：_________________________________</w:t>
      </w:r>
    </w:p>
    <w:p>
      <w:pPr>
        <w:pStyle w:val="9"/>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（4）法人代表：___________________________________________</w:t>
      </w:r>
    </w:p>
    <w:p>
      <w:pPr>
        <w:pStyle w:val="9"/>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（5）开户银行：___________________________________________</w:t>
      </w:r>
    </w:p>
    <w:p>
      <w:pPr>
        <w:pStyle w:val="9"/>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（6）开户账号：___________________________________________</w:t>
      </w:r>
    </w:p>
    <w:p>
      <w:pPr>
        <w:pStyle w:val="9"/>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（7）注册资金：___________________________________________</w:t>
      </w:r>
    </w:p>
    <w:p>
      <w:pPr>
        <w:pStyle w:val="9"/>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（8）近两年财务基本情况</w:t>
      </w:r>
    </w:p>
    <w:p>
      <w:pPr>
        <w:pStyle w:val="9"/>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①货币资金期末数：_____________________________________</w:t>
      </w:r>
    </w:p>
    <w:p>
      <w:pPr>
        <w:pStyle w:val="9"/>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③年营业总额（值）：___________________________________</w:t>
      </w:r>
    </w:p>
    <w:p>
      <w:pPr>
        <w:pStyle w:val="9"/>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③资产负债率：_________________________________________</w:t>
      </w:r>
    </w:p>
    <w:p>
      <w:pPr>
        <w:pStyle w:val="9"/>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④销售利润率：_________________________________________</w:t>
      </w:r>
    </w:p>
    <w:p>
      <w:pPr>
        <w:pStyle w:val="9"/>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⑤资本收益率：_________________________________________</w:t>
      </w:r>
    </w:p>
    <w:p>
      <w:pPr>
        <w:pStyle w:val="9"/>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（9）项目主要联系人（姓名、职务、通讯）：</w:t>
      </w:r>
    </w:p>
    <w:p>
      <w:pPr>
        <w:pStyle w:val="9"/>
        <w:spacing w:line="360" w:lineRule="auto"/>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_____________________________________________________________________</w:t>
      </w:r>
    </w:p>
    <w:p>
      <w:pPr>
        <w:pStyle w:val="9"/>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（10）公司概况；</w:t>
      </w:r>
    </w:p>
    <w:p>
      <w:pPr>
        <w:pStyle w:val="9"/>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（11）公司组织机构；</w:t>
      </w:r>
    </w:p>
    <w:p>
      <w:pPr>
        <w:pStyle w:val="9"/>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兹证明上述说明是真实、正确的，并提供了全部能提供的资料和数据，我们同意遵照贵方要求出示有关证明文件。</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7"/>
        <w:rPr>
          <w:color w:val="000000" w:themeColor="text1"/>
          <w:lang w:val="fr-CH"/>
          <w14:textFill>
            <w14:solidFill>
              <w14:schemeClr w14:val="tx1"/>
            </w14:solidFill>
          </w14:textFill>
        </w:rPr>
      </w:pPr>
    </w:p>
    <w:p>
      <w:pPr>
        <w:tabs>
          <w:tab w:val="left" w:pos="640"/>
        </w:tabs>
        <w:spacing w:line="360" w:lineRule="auto"/>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p>
    <w:p>
      <w:pPr>
        <w:numPr>
          <w:ilvl w:val="0"/>
          <w:numId w:val="12"/>
        </w:numPr>
        <w:tabs>
          <w:tab w:val="left" w:pos="640"/>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同类项目业绩情况；</w:t>
      </w:r>
    </w:p>
    <w:p>
      <w:pPr>
        <w:numPr>
          <w:ilvl w:val="0"/>
          <w:numId w:val="12"/>
        </w:numPr>
        <w:tabs>
          <w:tab w:val="left" w:pos="640"/>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研究服务团队成员情况；</w:t>
      </w:r>
    </w:p>
    <w:p>
      <w:pPr>
        <w:numPr>
          <w:ilvl w:val="0"/>
          <w:numId w:val="12"/>
        </w:numPr>
        <w:tabs>
          <w:tab w:val="left" w:pos="640"/>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服务响应时间；</w:t>
      </w:r>
    </w:p>
    <w:p>
      <w:pPr>
        <w:tabs>
          <w:tab w:val="left" w:pos="640"/>
          <w:tab w:val="left" w:pos="1260"/>
          <w:tab w:val="left" w:pos="1418"/>
        </w:tabs>
        <w:jc w:val="center"/>
        <w:rPr>
          <w:rFonts w:hint="eastAsia" w:ascii="宋体" w:hAnsi="宋体" w:cs="宋体"/>
          <w:b/>
          <w:bCs/>
          <w:color w:val="000000" w:themeColor="text1"/>
          <w:szCs w:val="21"/>
          <w14:textFill>
            <w14:solidFill>
              <w14:schemeClr w14:val="tx1"/>
            </w14:solidFill>
          </w14:textFill>
        </w:rPr>
      </w:pP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注：以上各项请根据“招标项目评分表”中的要求自行填写并提供相应的证明材料。</w:t>
      </w:r>
    </w:p>
    <w:p>
      <w:pPr>
        <w:numPr>
          <w:ilvl w:val="0"/>
          <w:numId w:val="12"/>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b/>
          <w:bCs/>
          <w:color w:val="000000" w:themeColor="text1"/>
          <w:sz w:val="24"/>
          <w:lang w:val="fr-CH"/>
          <w14:textFill>
            <w14:solidFill>
              <w14:schemeClr w14:val="tx1"/>
            </w14:solidFill>
          </w14:textFill>
        </w:rPr>
        <w:t>诚信</w:t>
      </w:r>
      <w:r>
        <w:rPr>
          <w:rFonts w:hint="eastAsia" w:ascii="宋体" w:hAnsi="宋体" w:cs="宋体"/>
          <w:b/>
          <w:bCs/>
          <w:color w:val="000000" w:themeColor="text1"/>
          <w:sz w:val="24"/>
          <w14:textFill>
            <w14:solidFill>
              <w14:schemeClr w14:val="tx1"/>
            </w14:solidFill>
          </w14:textFill>
        </w:rPr>
        <w:t>声明与承诺</w:t>
      </w:r>
      <w:r>
        <w:rPr>
          <w:rFonts w:hint="eastAsia" w:ascii="宋体" w:hAnsi="宋体" w:cs="宋体"/>
          <w:b/>
          <w:bCs/>
          <w:color w:val="000000" w:themeColor="text1"/>
          <w:sz w:val="24"/>
          <w:lang w:val="fr-CH"/>
          <w14:textFill>
            <w14:solidFill>
              <w14:schemeClr w14:val="tx1"/>
            </w14:solidFill>
          </w14:textFill>
        </w:rPr>
        <w:t>；</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诚信声明与承诺</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中国远东国际招标有限公司：</w:t>
      </w:r>
    </w:p>
    <w:p>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我公司（单位）参与贵代理机构组织的项目（项目编号：）投标，现就诚信作如下声明与承诺：</w:t>
      </w:r>
    </w:p>
    <w:p>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司（单位）承诺根据《深圳市财政局关于印发&lt;深圳市财政局政府采购供应商信用信息管理办法&gt;的通知》（深财规〔2023〕3号）相关规定，我司在全国范围内不存在因政府采购违法、违规行为受到财政部门罚款等一般行政处罚信息，不存在该办法第十一条所称在本市集中采购活动中的一般违法失信行为记录信息。</w:t>
      </w:r>
    </w:p>
    <w:p>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我司对上述内容的真实性负责。如有虚假，将依法承担相应责任。</w:t>
      </w:r>
    </w:p>
    <w:p>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特此声明与承诺！</w:t>
      </w:r>
    </w:p>
    <w:p>
      <w:pPr>
        <w:spacing w:line="360" w:lineRule="auto"/>
        <w:jc w:val="left"/>
        <w:rPr>
          <w:rFonts w:hint="eastAsia" w:ascii="宋体" w:hAnsi="宋体" w:cs="宋体"/>
          <w:color w:val="000000" w:themeColor="text1"/>
          <w:sz w:val="24"/>
          <w14:textFill>
            <w14:solidFill>
              <w14:schemeClr w14:val="tx1"/>
            </w14:solidFill>
          </w14:textFill>
        </w:rPr>
      </w:pPr>
    </w:p>
    <w:p>
      <w:pPr>
        <w:spacing w:line="360" w:lineRule="auto"/>
        <w:jc w:val="left"/>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9"/>
        <w:spacing w:line="360" w:lineRule="auto"/>
        <w:jc w:val="left"/>
        <w:rPr>
          <w:rFonts w:hint="eastAsia" w:hAnsi="宋体" w:cs="宋体"/>
          <w:color w:val="000000" w:themeColor="text1"/>
          <w:sz w:val="24"/>
          <w14:textFill>
            <w14:solidFill>
              <w14:schemeClr w14:val="tx1"/>
            </w14:solidFill>
          </w14:textFill>
        </w:rPr>
      </w:pPr>
    </w:p>
    <w:p>
      <w:pPr>
        <w:pStyle w:val="9"/>
        <w:spacing w:line="360" w:lineRule="auto"/>
        <w:jc w:val="left"/>
        <w:rPr>
          <w:rFonts w:hint="eastAsia" w:hAnsi="宋体" w:cs="宋体"/>
          <w:color w:val="000000" w:themeColor="text1"/>
          <w:sz w:val="24"/>
          <w14:textFill>
            <w14:solidFill>
              <w14:schemeClr w14:val="tx1"/>
            </w14:solidFill>
          </w14:textFill>
        </w:rPr>
      </w:pPr>
    </w:p>
    <w:p>
      <w:pPr>
        <w:spacing w:before="100" w:beforeAutospacing="1" w:after="100" w:afterAutospacing="1"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注：近三年内，如投标人有任何违法违规、受惩罚和禁止、不良信用等记录，必须列明记载，并附网络截图（加盖公章）。</w:t>
      </w:r>
    </w:p>
    <w:p>
      <w:pPr>
        <w:pStyle w:val="7"/>
        <w:rPr>
          <w:color w:val="000000" w:themeColor="text1"/>
          <w:lang w:val="fr-CH"/>
          <w14:textFill>
            <w14:solidFill>
              <w14:schemeClr w14:val="tx1"/>
            </w14:solidFill>
          </w14:textFill>
        </w:rPr>
      </w:pPr>
    </w:p>
    <w:p>
      <w:pPr>
        <w:numPr>
          <w:ilvl w:val="0"/>
          <w:numId w:val="12"/>
        </w:numPr>
        <w:tabs>
          <w:tab w:val="left" w:pos="640"/>
          <w:tab w:val="left" w:pos="8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政府采购违法行为风险知悉确认书</w:t>
      </w:r>
    </w:p>
    <w:p>
      <w:pPr>
        <w:spacing w:line="360" w:lineRule="auto"/>
        <w:ind w:left="420"/>
        <w:jc w:val="center"/>
        <w:outlineLvl w:val="3"/>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政府采购违法行为风险知悉确认书</w:t>
      </w:r>
    </w:p>
    <w:p>
      <w:pPr>
        <w:autoSpaceDE w:val="0"/>
        <w:autoSpaceDN w:val="0"/>
        <w:adjustRightInd w:val="0"/>
        <w:spacing w:line="360" w:lineRule="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公司（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7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7607" w:type="dxa"/>
            <w:vAlign w:val="center"/>
          </w:tcPr>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607" w:type="dxa"/>
            <w:vAlign w:val="center"/>
          </w:tcPr>
          <w:p>
            <w:pPr>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与其他投标供应商的法定代表人、主要经营负责人、投标授权代表人、项目负责人、主要技术人员为</w:t>
            </w:r>
            <w:r>
              <w:rPr>
                <w:rFonts w:hint="eastAsia" w:ascii="宋体" w:hAnsi="宋体" w:cs="宋体"/>
                <w:b/>
                <w:bCs/>
                <w:color w:val="000000" w:themeColor="text1"/>
                <w:sz w:val="24"/>
                <w14:textFill>
                  <w14:solidFill>
                    <w14:schemeClr w14:val="tx1"/>
                  </w14:solidFill>
                </w14:textFill>
              </w:rPr>
              <w:t>同一人、属同一单位或者在同一单位缴纳社会保险</w:t>
            </w:r>
            <w:r>
              <w:rPr>
                <w:rFonts w:hint="eastAsia" w:ascii="宋体" w:hAnsi="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7607" w:type="dxa"/>
            <w:vAlign w:val="center"/>
          </w:tcPr>
          <w:p>
            <w:pPr>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参与本项目政府采购活动时，与其他投标供应商存在单位负责人为</w:t>
            </w:r>
            <w:r>
              <w:rPr>
                <w:rFonts w:hint="eastAsia" w:ascii="宋体" w:hAnsi="宋体" w:cs="宋体"/>
                <w:b/>
                <w:bCs/>
                <w:color w:val="000000" w:themeColor="text1"/>
                <w:sz w:val="24"/>
                <w14:textFill>
                  <w14:solidFill>
                    <w14:schemeClr w14:val="tx1"/>
                  </w14:solidFill>
                </w14:textFill>
              </w:rPr>
              <w:t>同一人或直接控股、管理关系</w:t>
            </w:r>
            <w:r>
              <w:rPr>
                <w:rFonts w:hint="eastAsia" w:ascii="宋体" w:hAnsi="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7607" w:type="dxa"/>
            <w:vAlign w:val="center"/>
          </w:tcPr>
          <w:p>
            <w:pPr>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与其他投标供应商的投标文件或部分投标文件</w:t>
            </w:r>
            <w:r>
              <w:rPr>
                <w:rFonts w:hint="eastAsia" w:ascii="宋体" w:hAnsi="宋体" w:cs="宋体"/>
                <w:b/>
                <w:bCs/>
                <w:color w:val="000000" w:themeColor="text1"/>
                <w:sz w:val="24"/>
                <w14:textFill>
                  <w14:solidFill>
                    <w14:schemeClr w14:val="tx1"/>
                  </w14:solidFill>
                </w14:textFill>
              </w:rPr>
              <w:t>相互混装或存在非正常一致</w:t>
            </w:r>
            <w:r>
              <w:rPr>
                <w:rFonts w:hint="eastAsia" w:ascii="宋体" w:hAnsi="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7607" w:type="dxa"/>
            <w:vAlign w:val="center"/>
          </w:tcPr>
          <w:p>
            <w:pPr>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与其他投标供应商的投标文件由</w:t>
            </w:r>
            <w:r>
              <w:rPr>
                <w:rFonts w:hint="eastAsia" w:ascii="宋体" w:hAnsi="宋体" w:cs="宋体"/>
                <w:b/>
                <w:bCs/>
                <w:color w:val="000000" w:themeColor="text1"/>
                <w:sz w:val="24"/>
                <w14:textFill>
                  <w14:solidFill>
                    <w14:schemeClr w14:val="tx1"/>
                  </w14:solidFill>
                </w14:textFill>
              </w:rPr>
              <w:t>同一单位或者同一人编制</w:t>
            </w:r>
            <w:r>
              <w:rPr>
                <w:rFonts w:hint="eastAsia" w:ascii="宋体" w:hAnsi="宋体" w:cs="宋体"/>
                <w:color w:val="000000" w:themeColor="text1"/>
                <w:sz w:val="24"/>
                <w14:textFill>
                  <w14:solidFill>
                    <w14:schemeClr w14:val="tx1"/>
                  </w14:solidFill>
                </w14:textFill>
              </w:rPr>
              <w:t>，或者使用</w:t>
            </w:r>
            <w:r>
              <w:rPr>
                <w:rFonts w:hint="eastAsia" w:ascii="宋体" w:hAnsi="宋体" w:cs="宋体"/>
                <w:b/>
                <w:bCs/>
                <w:color w:val="000000" w:themeColor="text1"/>
                <w:sz w:val="24"/>
                <w14:textFill>
                  <w14:solidFill>
                    <w14:schemeClr w14:val="tx1"/>
                  </w14:solidFill>
                </w14:textFill>
              </w:rPr>
              <w:t>同一设备编制</w:t>
            </w:r>
            <w:r>
              <w:rPr>
                <w:rFonts w:hint="eastAsia" w:ascii="宋体" w:hAnsi="宋体" w:cs="宋体"/>
                <w:color w:val="000000" w:themeColor="text1"/>
                <w:sz w:val="24"/>
                <w14:textFill>
                  <w14:solidFill>
                    <w14:schemeClr w14:val="tx1"/>
                  </w14:solidFill>
                </w14:textFill>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7607" w:type="dxa"/>
            <w:vAlign w:val="center"/>
          </w:tcPr>
          <w:p>
            <w:pPr>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w:t>
            </w:r>
            <w:r>
              <w:rPr>
                <w:rFonts w:hint="eastAsia" w:ascii="宋体" w:hAnsi="宋体" w:cs="宋体"/>
                <w:b/>
                <w:bCs/>
                <w:color w:val="000000" w:themeColor="text1"/>
                <w:sz w:val="24"/>
                <w14:textFill>
                  <w14:solidFill>
                    <w14:schemeClr w14:val="tx1"/>
                  </w14:solidFill>
                </w14:textFill>
              </w:rPr>
              <w:t>未经出具机构核实</w:t>
            </w:r>
            <w:r>
              <w:rPr>
                <w:rFonts w:hint="eastAsia" w:ascii="宋体" w:hAnsi="宋体" w:cs="宋体"/>
                <w:color w:val="000000" w:themeColor="text1"/>
                <w:sz w:val="24"/>
                <w14:textFill>
                  <w14:solidFill>
                    <w14:schemeClr w14:val="tx1"/>
                  </w14:solidFill>
                </w14:textFill>
              </w:rPr>
              <w:t>的虚假的检验检测报告、业绩材料、社保缴纳证明、学历学位证书、职称认证证书等材料。</w:t>
            </w:r>
          </w:p>
        </w:tc>
      </w:tr>
    </w:tbl>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一、本公司（单位）已充分知悉“隐瞒真实情况，提供虚假资料”的法定情形，相关情形包括但不限于：</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（一）通过转让或者租借等方式从其他单位获取资格或者资质证书投标的。</w:t>
      </w:r>
    </w:p>
    <w:p>
      <w:pPr>
        <w:autoSpaceDE w:val="0"/>
        <w:autoSpaceDN w:val="0"/>
        <w:adjustRightInd w:val="0"/>
        <w:spacing w:line="360" w:lineRule="auto"/>
        <w:ind w:firstLine="600" w:firstLineChars="25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（二）由其他单位或者其他单位负责人在投标供应商编制的投标文件上加盖印章或者签字的。</w:t>
      </w:r>
    </w:p>
    <w:p>
      <w:pPr>
        <w:autoSpaceDE w:val="0"/>
        <w:autoSpaceDN w:val="0"/>
        <w:adjustRightInd w:val="0"/>
        <w:spacing w:line="360" w:lineRule="auto"/>
        <w:ind w:firstLine="600" w:firstLineChars="25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（三）项目负责人或者主要技术人员不是本单位人员的。</w:t>
      </w:r>
    </w:p>
    <w:p>
      <w:pPr>
        <w:autoSpaceDE w:val="0"/>
        <w:autoSpaceDN w:val="0"/>
        <w:adjustRightInd w:val="0"/>
        <w:spacing w:line="360" w:lineRule="auto"/>
        <w:ind w:firstLine="600" w:firstLineChars="25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（四）投标保证金不是从投标供应商基本账户转出的。</w:t>
      </w:r>
    </w:p>
    <w:p>
      <w:pPr>
        <w:autoSpaceDE w:val="0"/>
        <w:autoSpaceDN w:val="0"/>
        <w:adjustRightInd w:val="0"/>
        <w:spacing w:line="360" w:lineRule="auto"/>
        <w:ind w:firstLine="600" w:firstLineChars="25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（五）其他隐瞒真实情况、提供虚假资料的行为。</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二、本公司（单位）已充分知悉“与其他采购参加人串通投标”的法定情形，相关情形包括但不限于：</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（一）投标供应商之间相互约定给予未中标的供应商利益补偿。</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（二）不同投标供应商的法定代表人、主要经营负责人、项目投标授权代表人、项目负责人、主要技术人员为同一人、属同一单位或者在同一单位缴纳社会保险。</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（三）不同投标供应商的投标文件由同一单位或者同一人编制，或者由同一人分阶段参与编制的。</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（四）不同投标供应商的投标文件或部分投标文件相互混装。</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（五）不同投标供应商的投标文件内容存在非正常一致。</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（六）由同一单位工作人员为两家以上（含两家）供应商进行同一项投标活动的。</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（七）不同投标人的投标报价呈规律性差异。</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（八）不同投标人的投标保证金从同一单位或者个人的账户转出。</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（九）主管部门依照法律、法规认定的其他情形。</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三、本公司（单位）已充分知悉下列情形所对应的法律风险，并在投标前已对相关风险事项进行排查。</w:t>
      </w:r>
    </w:p>
    <w:p>
      <w:pPr>
        <w:autoSpaceDE w:val="0"/>
        <w:autoSpaceDN w:val="0"/>
        <w:adjustRightInd w:val="0"/>
        <w:spacing w:line="360" w:lineRule="auto"/>
        <w:ind w:firstLine="360" w:firstLineChars="15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一）对于从其他主体获取的投标资料，供应商应审慎核查，确保投标资料的真实性。如主管部门查实投标文件中存在虚假资料的，无论相关资料是否由第三方或本公司（单位）员工提供，均不影响主管部门对供应商存在“隐瞒真实情况，提供虚假资料”违法行为的认定。</w:t>
      </w:r>
    </w:p>
    <w:p>
      <w:pPr>
        <w:autoSpaceDE w:val="0"/>
        <w:autoSpaceDN w:val="0"/>
        <w:adjustRightInd w:val="0"/>
        <w:spacing w:line="360" w:lineRule="auto"/>
        <w:ind w:firstLine="360" w:firstLineChars="15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（二）对于涉及国家机关出具的公文、证件、证明材料等文件，一旦涉嫌虚假，经查实，主管部门将依法从严处理，并移送有关部门追究法律责任；涉嫌犯罪的，主管部门将一并移送司法机关追究法律责任。</w:t>
      </w:r>
    </w:p>
    <w:p>
      <w:pPr>
        <w:autoSpaceDE w:val="0"/>
        <w:autoSpaceDN w:val="0"/>
        <w:adjustRightInd w:val="0"/>
        <w:spacing w:line="360" w:lineRule="auto"/>
        <w:ind w:firstLine="360" w:firstLineChars="15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（三）对于涉及安全生产、特种作业、抢险救灾、防疫等政府采购项目，供应商实施提供虚假资料、串通投标等违法行为的，主管部门将依法从严处理。</w:t>
      </w:r>
    </w:p>
    <w:p>
      <w:pPr>
        <w:autoSpaceDE w:val="0"/>
        <w:autoSpaceDN w:val="0"/>
        <w:adjustRightInd w:val="0"/>
        <w:spacing w:line="360" w:lineRule="auto"/>
        <w:ind w:firstLine="360" w:firstLineChars="15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（六）单位负责人为同一人或者存在直接控股、管理关系的不同供应商，不得参加同一合同项下的政府采购活动。相关情形如查实，依法作投标无效处理；涉嫌串通投标等违法行为的，主管部门将依法调查处理。</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四、本公司（单位）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autoSpaceDE w:val="0"/>
        <w:autoSpaceDN w:val="0"/>
        <w:adjustRightInd w:val="0"/>
        <w:spacing w:line="360" w:lineRule="auto"/>
        <w:jc w:val="left"/>
        <w:rPr>
          <w:rFonts w:hint="eastAsia" w:ascii="宋体" w:hAnsi="宋体" w:cs="仿宋_GB2312"/>
          <w:color w:val="000000" w:themeColor="text1"/>
          <w:kern w:val="0"/>
          <w:sz w:val="24"/>
          <w14:textFill>
            <w14:solidFill>
              <w14:schemeClr w14:val="tx1"/>
            </w14:solidFill>
          </w14:textFill>
        </w:rPr>
      </w:pP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以下文字请投标供应商</w:t>
      </w:r>
      <w:r>
        <w:rPr>
          <w:rFonts w:hint="eastAsia" w:ascii="宋体" w:hAnsi="宋体" w:cs="仿宋_GB2312"/>
          <w:b/>
          <w:bCs/>
          <w:color w:val="000000" w:themeColor="text1"/>
          <w:kern w:val="0"/>
          <w:sz w:val="24"/>
          <w14:textFill>
            <w14:solidFill>
              <w14:schemeClr w14:val="tx1"/>
            </w14:solidFill>
          </w14:textFill>
        </w:rPr>
        <w:t>抄写并确认</w:t>
      </w:r>
      <w:r>
        <w:rPr>
          <w:rFonts w:hint="eastAsia" w:ascii="宋体" w:hAnsi="宋体" w:cs="仿宋_GB2312"/>
          <w:color w:val="000000" w:themeColor="text1"/>
          <w:kern w:val="0"/>
          <w:sz w:val="24"/>
          <w14:textFill>
            <w14:solidFill>
              <w14:schemeClr w14:val="tx1"/>
            </w14:solidFill>
          </w14:textFill>
        </w:rPr>
        <w:t>：“本公司（单位）已仔细阅读《政府采购违法行为风险知悉确认书》，充分知悉违法行为的法律后果，并承诺将严谨、诚信、依法依规参与政府采购活动”。</w:t>
      </w:r>
    </w:p>
    <w:p>
      <w:pPr>
        <w:autoSpaceDE w:val="0"/>
        <w:autoSpaceDN w:val="0"/>
        <w:adjustRightInd w:val="0"/>
        <w:spacing w:line="360" w:lineRule="auto"/>
        <w:jc w:val="left"/>
        <w:rPr>
          <w:rFonts w:hint="eastAsia" w:ascii="宋体" w:hAnsi="宋体" w:cs="仿宋_GB2312"/>
          <w:color w:val="000000" w:themeColor="text1"/>
          <w:kern w:val="0"/>
          <w:sz w:val="24"/>
          <w:u w:val="single"/>
          <w14:textFill>
            <w14:solidFill>
              <w14:schemeClr w14:val="tx1"/>
            </w14:solidFill>
          </w14:textFill>
        </w:rPr>
      </w:pPr>
      <w:r>
        <w:rPr>
          <w:rFonts w:hint="eastAsia" w:ascii="宋体" w:hAnsi="宋体" w:cs="仿宋_GB2312"/>
          <w:color w:val="000000" w:themeColor="text1"/>
          <w:kern w:val="0"/>
          <w:sz w:val="24"/>
          <w:u w:val="single"/>
          <w14:textFill>
            <w14:solidFill>
              <w14:schemeClr w14:val="tx1"/>
            </w14:solidFill>
          </w14:textFill>
        </w:rPr>
        <w:t xml:space="preserve">                                                                                        </w:t>
      </w:r>
    </w:p>
    <w:p>
      <w:pPr>
        <w:autoSpaceDE w:val="0"/>
        <w:autoSpaceDN w:val="0"/>
        <w:adjustRightInd w:val="0"/>
        <w:spacing w:line="360" w:lineRule="auto"/>
        <w:jc w:val="left"/>
        <w:rPr>
          <w:rFonts w:hint="eastAsia" w:ascii="宋体" w:hAnsi="宋体" w:cs="仿宋_GB2312"/>
          <w:color w:val="000000" w:themeColor="text1"/>
          <w:kern w:val="0"/>
          <w:sz w:val="24"/>
          <w:u w:val="single"/>
          <w14:textFill>
            <w14:solidFill>
              <w14:schemeClr w14:val="tx1"/>
            </w14:solidFill>
          </w14:textFill>
        </w:rPr>
      </w:pPr>
      <w:r>
        <w:rPr>
          <w:rFonts w:hint="eastAsia" w:ascii="宋体" w:hAnsi="宋体" w:cs="仿宋_GB2312"/>
          <w:color w:val="000000" w:themeColor="text1"/>
          <w:kern w:val="0"/>
          <w:sz w:val="24"/>
          <w:u w:val="single"/>
          <w14:textFill>
            <w14:solidFill>
              <w14:schemeClr w14:val="tx1"/>
            </w14:solidFill>
          </w14:textFill>
        </w:rPr>
        <w:t xml:space="preserve">                                                                                       </w:t>
      </w:r>
    </w:p>
    <w:p>
      <w:pPr>
        <w:autoSpaceDE w:val="0"/>
        <w:autoSpaceDN w:val="0"/>
        <w:adjustRightInd w:val="0"/>
        <w:spacing w:line="360" w:lineRule="auto"/>
        <w:jc w:val="left"/>
        <w:rPr>
          <w:rFonts w:hint="eastAsia" w:ascii="宋体" w:hAnsi="宋体" w:cs="仿宋_GB2312"/>
          <w:color w:val="000000" w:themeColor="text1"/>
          <w:kern w:val="0"/>
          <w:sz w:val="24"/>
          <w:u w:val="single"/>
          <w14:textFill>
            <w14:solidFill>
              <w14:schemeClr w14:val="tx1"/>
            </w14:solidFill>
          </w14:textFill>
        </w:rPr>
      </w:pPr>
      <w:r>
        <w:rPr>
          <w:rFonts w:hint="eastAsia" w:ascii="宋体" w:hAnsi="宋体" w:cs="仿宋_GB2312"/>
          <w:color w:val="000000" w:themeColor="text1"/>
          <w:kern w:val="0"/>
          <w:sz w:val="24"/>
          <w:u w:val="single"/>
          <w14:textFill>
            <w14:solidFill>
              <w14:schemeClr w14:val="tx1"/>
            </w14:solidFill>
          </w14:textFill>
        </w:rPr>
        <w:t xml:space="preserve">                                                                                       </w:t>
      </w:r>
    </w:p>
    <w:p>
      <w:pPr>
        <w:autoSpaceDE w:val="0"/>
        <w:autoSpaceDN w:val="0"/>
        <w:adjustRightInd w:val="0"/>
        <w:spacing w:line="360" w:lineRule="auto"/>
        <w:jc w:val="left"/>
        <w:rPr>
          <w:rFonts w:hint="eastAsia" w:ascii="宋体" w:hAnsi="宋体" w:cs="仿宋_GB2312"/>
          <w:color w:val="000000" w:themeColor="text1"/>
          <w:kern w:val="0"/>
          <w:sz w:val="24"/>
          <w:u w:val="single"/>
          <w14:textFill>
            <w14:solidFill>
              <w14:schemeClr w14:val="tx1"/>
            </w14:solidFill>
          </w14:textFill>
        </w:rPr>
      </w:pPr>
      <w:r>
        <w:rPr>
          <w:rFonts w:hint="eastAsia" w:ascii="宋体" w:hAnsi="宋体" w:cs="仿宋_GB2312"/>
          <w:color w:val="000000" w:themeColor="text1"/>
          <w:kern w:val="0"/>
          <w:sz w:val="24"/>
          <w:u w:val="single"/>
          <w14:textFill>
            <w14:solidFill>
              <w14:schemeClr w14:val="tx1"/>
            </w14:solidFill>
          </w14:textFill>
        </w:rPr>
        <w:t xml:space="preserve">                                                                                       </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p>
    <w:p>
      <w:pPr>
        <w:autoSpaceDE w:val="0"/>
        <w:autoSpaceDN w:val="0"/>
        <w:adjustRightInd w:val="0"/>
        <w:spacing w:line="360" w:lineRule="auto"/>
        <w:ind w:firstLine="3840" w:firstLineChars="1600"/>
        <w:jc w:val="left"/>
        <w:rPr>
          <w:rFonts w:hint="eastAsia" w:ascii="宋体" w:hAnsi="宋体" w:cs="仿宋_GB2312"/>
          <w:color w:val="000000" w:themeColor="text1"/>
          <w:kern w:val="0"/>
          <w:sz w:val="24"/>
          <w:u w:val="single"/>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负责人</w:t>
      </w:r>
      <w:r>
        <w:rPr>
          <w:rFonts w:ascii="宋体" w:hAnsi="宋体" w:cs="仿宋_GB2312"/>
          <w:color w:val="000000" w:themeColor="text1"/>
          <w:kern w:val="0"/>
          <w:sz w:val="24"/>
          <w14:textFill>
            <w14:solidFill>
              <w14:schemeClr w14:val="tx1"/>
            </w14:solidFill>
          </w14:textFill>
        </w:rPr>
        <w:t>/</w:t>
      </w:r>
      <w:r>
        <w:rPr>
          <w:rFonts w:hint="eastAsia" w:ascii="宋体" w:hAnsi="宋体" w:cs="仿宋_GB2312"/>
          <w:color w:val="000000" w:themeColor="text1"/>
          <w:kern w:val="0"/>
          <w:sz w:val="24"/>
          <w14:textFill>
            <w14:solidFill>
              <w14:schemeClr w14:val="tx1"/>
            </w14:solidFill>
          </w14:textFill>
        </w:rPr>
        <w:t>投标授权代表签名：</w:t>
      </w:r>
      <w:r>
        <w:rPr>
          <w:rFonts w:hint="eastAsia" w:ascii="宋体" w:hAnsi="宋体" w:cs="仿宋_GB2312"/>
          <w:color w:val="000000" w:themeColor="text1"/>
          <w:kern w:val="0"/>
          <w:sz w:val="24"/>
          <w:u w:val="single"/>
          <w14:textFill>
            <w14:solidFill>
              <w14:schemeClr w14:val="tx1"/>
            </w14:solidFill>
          </w14:textFill>
        </w:rPr>
        <w:t xml:space="preserve">                </w:t>
      </w:r>
    </w:p>
    <w:p>
      <w:pPr>
        <w:autoSpaceDE w:val="0"/>
        <w:autoSpaceDN w:val="0"/>
        <w:adjustRightInd w:val="0"/>
        <w:spacing w:line="360" w:lineRule="auto"/>
        <w:ind w:firstLine="4920" w:firstLineChars="205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知悉人（公章）：</w:t>
      </w:r>
    </w:p>
    <w:p>
      <w:pPr>
        <w:spacing w:line="360" w:lineRule="auto"/>
        <w:jc w:val="right"/>
        <w:rPr>
          <w:rFonts w:hint="eastAsia" w:ascii="宋体" w:hAnsi="宋体" w:cs="宋体"/>
          <w:color w:val="000000" w:themeColor="text1"/>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日期： 202  年   月   日</w:t>
      </w:r>
      <w:r>
        <w:rPr>
          <w:rFonts w:hint="eastAsia" w:ascii="宋体" w:hAnsi="宋体" w:cs="宋体"/>
          <w:color w:val="000000" w:themeColor="text1"/>
          <w:sz w:val="24"/>
          <w14:textFill>
            <w14:solidFill>
              <w14:schemeClr w14:val="tx1"/>
            </w14:solidFill>
          </w14:textFill>
        </w:rPr>
        <w:br w:type="page"/>
      </w:r>
    </w:p>
    <w:p>
      <w:pPr>
        <w:numPr>
          <w:ilvl w:val="0"/>
          <w:numId w:val="12"/>
        </w:numPr>
        <w:tabs>
          <w:tab w:val="left" w:pos="640"/>
          <w:tab w:val="left" w:pos="8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参与价格扣除的证明文件</w:t>
      </w:r>
    </w:p>
    <w:p>
      <w:pPr>
        <w:keepNext/>
        <w:keepLines/>
        <w:jc w:val="center"/>
        <w:outlineLvl w:val="4"/>
        <w:rPr>
          <w:rFonts w:hint="eastAsia" w:ascii="宋体" w:hAnsi="宋体" w:cs="宋体"/>
          <w:bCs/>
          <w:color w:val="000000" w:themeColor="text1"/>
          <w:kern w:val="44"/>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①中小企业声明函（工程、服务）</w:t>
      </w:r>
    </w:p>
    <w:p>
      <w:pPr>
        <w:widowControl/>
        <w:ind w:firstLine="480" w:firstLineChars="200"/>
        <w:textAlignment w:val="baseline"/>
        <w:rPr>
          <w:rFonts w:hint="eastAsia" w:ascii="宋体" w:hAnsi="宋体" w:cs="宋体"/>
          <w:color w:val="000000" w:themeColor="text1"/>
          <w:sz w:val="24"/>
          <w14:textFill>
            <w14:solidFill>
              <w14:schemeClr w14:val="tx1"/>
            </w14:solidFill>
          </w14:textFill>
        </w:rPr>
      </w:pPr>
    </w:p>
    <w:p>
      <w:pPr>
        <w:widowControl/>
        <w:ind w:firstLine="480" w:firstLineChars="200"/>
        <w:textAlignment w:val="baseline"/>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本公司（联合体）郑重声明，根据《政府采购促进中小企业发展管理办法》（财库﹝2020﹞46 号）的规定，本公司</w:t>
      </w:r>
    </w:p>
    <w:p>
      <w:pPr>
        <w:widowControl/>
        <w:ind w:firstLine="480" w:firstLineChars="200"/>
        <w:textAlignment w:val="baseline"/>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（联合体）参加</w:t>
      </w:r>
      <w:r>
        <w:rPr>
          <w:rFonts w:hint="eastAsia" w:ascii="宋体" w:hAnsi="宋体" w:cs="宋体"/>
          <w:color w:val="000000" w:themeColor="text1"/>
          <w:sz w:val="24"/>
          <w:u w:val="single"/>
          <w14:textFill>
            <w14:solidFill>
              <w14:schemeClr w14:val="tx1"/>
            </w14:solidFill>
          </w14:textFill>
        </w:rPr>
        <w:t>（单位名称）</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 体中的中小企业、</w:t>
      </w:r>
      <w:r>
        <w:rPr>
          <w:rFonts w:hint="eastAsia" w:ascii="宋体" w:hAnsi="宋体" w:cs="宋体"/>
          <w:color w:val="000000" w:themeColor="text1"/>
          <w:sz w:val="24"/>
          <w:lang w:eastAsia="zh-CN"/>
          <w14:textFill>
            <w14:solidFill>
              <w14:schemeClr w14:val="tx1"/>
            </w14:solidFill>
          </w14:textFill>
        </w:rPr>
        <w:t>签订</w:t>
      </w:r>
      <w:r>
        <w:rPr>
          <w:rFonts w:hint="eastAsia" w:ascii="宋体" w:hAnsi="宋体" w:cs="宋体"/>
          <w:color w:val="000000" w:themeColor="text1"/>
          <w:sz w:val="24"/>
          <w14:textFill>
            <w14:solidFill>
              <w14:schemeClr w14:val="tx1"/>
            </w14:solidFill>
          </w14:textFill>
        </w:rPr>
        <w:t>分包意向协议的中小企业）的具体情况如下：</w:t>
      </w:r>
    </w:p>
    <w:p>
      <w:pPr>
        <w:widowControl/>
        <w:ind w:firstLine="480" w:firstLineChars="200"/>
        <w:textAlignment w:val="baseline"/>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u w:val="single"/>
          <w14:textFill>
            <w14:solidFill>
              <w14:schemeClr w14:val="tx1"/>
            </w14:solidFill>
          </w14:textFill>
        </w:rPr>
        <w:t>（标的名称）</w:t>
      </w:r>
      <w:r>
        <w:rPr>
          <w:rFonts w:hint="eastAsia" w:ascii="宋体" w:hAnsi="宋体" w:cs="宋体"/>
          <w:color w:val="000000" w:themeColor="text1"/>
          <w:sz w:val="24"/>
          <w14:textFill>
            <w14:solidFill>
              <w14:schemeClr w14:val="tx1"/>
            </w14:solidFill>
          </w14:textFill>
        </w:rPr>
        <w:t>，属于</w:t>
      </w:r>
      <w:r>
        <w:rPr>
          <w:rFonts w:hint="eastAsia" w:ascii="宋体" w:hAnsi="宋体" w:cs="宋体"/>
          <w:color w:val="000000" w:themeColor="text1"/>
          <w:sz w:val="24"/>
          <w:u w:val="single"/>
          <w14:textFill>
            <w14:solidFill>
              <w14:schemeClr w14:val="tx1"/>
            </w14:solidFill>
          </w14:textFill>
        </w:rPr>
        <w:t>（采购文件中明确的所属行业）</w:t>
      </w:r>
      <w:r>
        <w:rPr>
          <w:rFonts w:hint="eastAsia" w:ascii="宋体" w:hAnsi="宋体" w:cs="宋体"/>
          <w:color w:val="000000" w:themeColor="text1"/>
          <w:sz w:val="24"/>
          <w14:textFill>
            <w14:solidFill>
              <w14:schemeClr w14:val="tx1"/>
            </w14:solidFill>
          </w14:textFill>
        </w:rPr>
        <w:t>；承建（承接）企业为</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（中型企业、小型企业、微型企业）</w:t>
      </w:r>
    </w:p>
    <w:p>
      <w:pPr>
        <w:widowControl/>
        <w:ind w:firstLine="480" w:firstLineChars="200"/>
        <w:textAlignment w:val="baseline"/>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u w:val="single"/>
          <w14:textFill>
            <w14:solidFill>
              <w14:schemeClr w14:val="tx1"/>
            </w14:solidFill>
          </w14:textFill>
        </w:rPr>
        <w:t>（标的名称）</w:t>
      </w:r>
      <w:r>
        <w:rPr>
          <w:rFonts w:hint="eastAsia" w:ascii="宋体" w:hAnsi="宋体" w:cs="宋体"/>
          <w:color w:val="000000" w:themeColor="text1"/>
          <w:sz w:val="24"/>
          <w14:textFill>
            <w14:solidFill>
              <w14:schemeClr w14:val="tx1"/>
            </w14:solidFill>
          </w14:textFill>
        </w:rPr>
        <w:t>，属于</w:t>
      </w:r>
      <w:r>
        <w:rPr>
          <w:rFonts w:hint="eastAsia" w:ascii="宋体" w:hAnsi="宋体" w:cs="宋体"/>
          <w:color w:val="000000" w:themeColor="text1"/>
          <w:sz w:val="24"/>
          <w:u w:val="single"/>
          <w14:textFill>
            <w14:solidFill>
              <w14:schemeClr w14:val="tx1"/>
            </w14:solidFill>
          </w14:textFill>
        </w:rPr>
        <w:t>（采购文件中明确的所属行业）</w:t>
      </w:r>
      <w:r>
        <w:rPr>
          <w:rFonts w:hint="eastAsia" w:ascii="宋体" w:hAnsi="宋体" w:cs="宋体"/>
          <w:color w:val="000000" w:themeColor="text1"/>
          <w:sz w:val="24"/>
          <w14:textFill>
            <w14:solidFill>
              <w14:schemeClr w14:val="tx1"/>
            </w14:solidFill>
          </w14:textFill>
        </w:rPr>
        <w:t>；承建（承接）企业为</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（中型企业、小型企业、微型企业）</w:t>
      </w:r>
    </w:p>
    <w:p>
      <w:pPr>
        <w:widowControl/>
        <w:ind w:firstLine="480" w:firstLineChars="200"/>
        <w:textAlignment w:val="baseline"/>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widowControl/>
        <w:ind w:firstLine="480" w:firstLineChars="200"/>
        <w:textAlignment w:val="baseline"/>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widowControl/>
        <w:ind w:firstLine="480" w:firstLineChars="200"/>
        <w:textAlignment w:val="baseline"/>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本企业对上述声明内容的真实性负责。如有虚假，将依法承担相应责任。</w:t>
      </w:r>
    </w:p>
    <w:p>
      <w:pPr>
        <w:widowControl/>
        <w:ind w:firstLine="482" w:firstLineChars="200"/>
        <w:jc w:val="right"/>
        <w:textAlignment w:val="baseline"/>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企业名称（盖章）</w:t>
      </w:r>
    </w:p>
    <w:p>
      <w:pPr>
        <w:widowControl/>
        <w:ind w:firstLine="482" w:firstLineChars="200"/>
        <w:jc w:val="right"/>
        <w:textAlignment w:val="baseline"/>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日期：</w:t>
      </w:r>
    </w:p>
    <w:p>
      <w:pPr>
        <w:widowControl/>
        <w:ind w:firstLine="480" w:firstLineChars="200"/>
        <w:textAlignment w:val="baseline"/>
        <w:rPr>
          <w:rFonts w:hint="eastAsia" w:ascii="宋体" w:hAnsi="宋体" w:cs="宋体"/>
          <w:color w:val="000000" w:themeColor="text1"/>
          <w:sz w:val="24"/>
          <w14:textFill>
            <w14:solidFill>
              <w14:schemeClr w14:val="tx1"/>
            </w14:solidFill>
          </w14:textFill>
        </w:rPr>
      </w:pPr>
    </w:p>
    <w:p>
      <w:pPr>
        <w:widowControl/>
        <w:ind w:firstLine="480" w:firstLineChars="200"/>
        <w:textAlignment w:val="baseline"/>
        <w:rPr>
          <w:rFonts w:hint="eastAsia" w:ascii="宋体" w:hAnsi="宋体" w:cs="宋体"/>
          <w:color w:val="000000" w:themeColor="text1"/>
          <w:sz w:val="24"/>
          <w14:textFill>
            <w14:solidFill>
              <w14:schemeClr w14:val="tx1"/>
            </w14:solidFill>
          </w14:textFill>
        </w:rPr>
      </w:pPr>
    </w:p>
    <w:p>
      <w:pPr>
        <w:jc w:val="left"/>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注意事项：</w:t>
      </w:r>
    </w:p>
    <w:p>
      <w:pPr>
        <w:ind w:firstLine="482" w:firstLineChars="200"/>
        <w:jc w:val="left"/>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1.从业人员、营业收入、资产总额填报上一年度数据，无上一年度数据的新成立企业可不填报；</w:t>
      </w:r>
    </w:p>
    <w:p>
      <w:pPr>
        <w:ind w:firstLine="482" w:firstLineChars="200"/>
        <w:jc w:val="left"/>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ind w:firstLine="482" w:firstLineChars="200"/>
        <w:jc w:val="left"/>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3.事业单位、社会组织等非企业主体不享受中小企业扶持政策，但事业单位、社会组织等非企业主体提供全部由中小企业制造的货物参加货物采购项目的除外。</w:t>
      </w:r>
    </w:p>
    <w:p>
      <w:pPr>
        <w:ind w:firstLine="482" w:firstLineChars="200"/>
        <w:jc w:val="left"/>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4.相关承接/承建企业的所属行业应当与采购标的所属行业（采购文件中明确的行业）相一致。</w:t>
      </w:r>
    </w:p>
    <w:p>
      <w:pPr>
        <w:ind w:firstLine="480"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ind w:firstLine="482" w:firstLineChars="200"/>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br w:type="page"/>
      </w:r>
      <w:r>
        <w:rPr>
          <w:rFonts w:hint="eastAsia" w:ascii="宋体" w:hAnsi="宋体" w:cs="宋体"/>
          <w:b/>
          <w:color w:val="000000" w:themeColor="text1"/>
          <w:sz w:val="24"/>
          <w14:textFill>
            <w14:solidFill>
              <w14:schemeClr w14:val="tx1"/>
            </w14:solidFill>
          </w14:textFill>
        </w:rPr>
        <w:t>附：中小企业划型标准规定</w:t>
      </w:r>
    </w:p>
    <w:p>
      <w:pPr>
        <w:rPr>
          <w:rFonts w:hint="eastAsia" w:ascii="宋体" w:hAnsi="宋体" w:cs="宋体"/>
          <w:color w:val="000000" w:themeColor="text1"/>
          <w:sz w:val="24"/>
          <w14:textFill>
            <w14:solidFill>
              <w14:schemeClr w14:val="tx1"/>
            </w14:solidFill>
          </w14:textFill>
        </w:rPr>
      </w:pP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一、根据《中华人民共和国中小企业促进法》和《国务院关于进一步促进中小企业发展的若干意见》(国发〔2009〕36号)，制定本规定。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二、中小企业划分为中型、小型、微型三种类型，具体标准根据企业从业人员、营业收入、资产总额等指标，结合行业特点制定。 关于印发中小企业划型标准规定的通知</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三、本规定适用的行业包括：农、林、牧、渔业，工业（包括采矿业，制造业，电力、热力、燃气及水生产和供应业），建筑业，批发业，零售业，交通运输 业（不含铁路运输业），仓储业，邮政业，住宿业，餐饮业，信息传输业（包括电 信、互联网和相关服务），软件和信息技术服务业，房地产开发经营，物业管理， 租赁和商务服务业，其他未列明行业（包括科学研究和技术服务业，水利、环境和 公共设施管理业，居民服务、修理和其他服务业，社会工作，文化、体育和娱乐业 等）。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四、各行业划型标准为：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（一）农、林、牧、渔业。营业收入20000万元以下的为中小微型企业。其中，营业收入500万元及以上的为中型企业，营业收入50万元及以上的为小型企业，营业 收入50万元以下的为微型企业。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（二）工业。从业人员1000人以下或营业收入40000万元以下的为中小微型企业。其中，从业人员300人及以上，且营业收入2000万元及以上的为中型企业；从业 人员20人及以上，且营业收入300万元及以上的为小型企业；从业人员20人以下或营 业收入300万元以下的为微型企业。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（三）建筑业。营业收入80000万元以下或资产总额80000万元以下的为中小微 型企业。其中，营业收入6000万元及以上，且资产总额5000万元及以上的为中型企 业；营业收入300万元及以上，且资产总额300万元及以上的为小型企业；营业收入 300万元以下或资产总额300万元以下的为微型企业。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（四）批发业。从业人员200人以下或营业收入40000万元以下的为中小微型企业。其中，从业人员20人及以上，且营业收入5000万元及以上的为中型企业；从业 人员5人及以上，且营业收入1000万元及以上的为小型企业；从业人员5人以下或营 业收入1000万元以下的为微型企业。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（五）零售业。从业人员300人以下或营业收入20000万元以下的为中小微型企业。其中，从业人员50人及以上，且营业收入500万元及以上的为中型企业；从业人 员10人及以上，且营业收入100万元及以上的为小型企业；从业人员10人以下或营业 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（六）交通运输业。从业人员1000人以下或营业收入30000万元以下的为中小微 型企业。其中，从业人员300人及以上，且营业收入3000万元及以上的为中型企业； 从业人员20人及以上，且营业收入200万元及以上的为小型企业；从业人员20人以下 或营业收入200万元以下的为微型企业。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（七）仓储业。从业人员200人以下或营业收入30000万元以下的为中小微型企业。其中，从业人员100人及以上，且营业收入1000万元及以上的为中型企业；从业 人员20人及以上，且营业收入100万元及以上的为小型企业；从业人员20人以下或营 业收入100万元以下的为微型企业。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（八）邮政业。从业人员1000人以下或营业收入30000万元以下的为中小微型企业。其中，从业人员300人及以上，且营业收入2000万元及以上的为中型企业；从业 人员20人及以上，且营业收入100万元及以上的为小型企业；从业人员20人以下或营 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（九）住宿业。从业人员300人以下或营业收入10000万元以下的为中小微型企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（十）餐饮业。从业人员300人以下或营业收入10000万元以下的为中小微型企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（十一）信息传输业。从业人员2000人以下或营业收入100000万元以下的为中 小微型企业。其中，从业人员100人及以上，且营业收入1000万元及以上的为中型企 业；从业人员10人及以上，且营业收入100万元及以上的为小型企业；从业人员10人 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（十二）软件和信息技术服务业。从业人员300人以下或营业收入10000万元以下的为中小微型企业。其中，从业人员100人及以上，且营业收入1000万元及以上的 为中型企业；从业人员10人及以上，且营业收入50万元及以上的为小型企业；从业 人员10人以下或营业收入50万元以下的为微型企业。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（十三）房地产开发经营。营业收入200000万元以下或资产总额10000万元以下的为中小微型企业。其中，营业收入1000万元及以上，且资产总额5000万元及以上 的为中型企业；营业收入100万元及以上，且资产总额2000万元及以上的为小型企 业；营业收入100万元以下或资产总额2000万元以下的为微型企业。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（十四）物业管理。从业人员1000人以下或营业收入5000万元以下的为中小微型企业。其中，从业人员300人及以上，且营业收入1000万元及以上的为中型企业； 从业人员100人及以上，且营业收入500万元及以上的为小型企业；从业人员100人以 下或营业收入500万元以下的为微型企业。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（十五）租赁和商务服务业。从业人员300人以下或资产总额120000万元以下的 为中小微型企业。其中，从业人员100人及以上，且资产总额8000万元及以上的为中 型企业；从业人员10人及以上，且资产总额100万元及以上的为小型企业；从业人员 10人以下或资产总额100万元以下的为微型企业。 （十六）其他未列明行业。从业人员300人以下的为中小微型企业。其中，从业 人员100人及以上的为中型企业；从业人员10人及以上的为小型企业；从业人员10人 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五、企业类型的划分以统计部门的统计数据为依据。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六、本规定适用于在中华人民共和国境内依法设立的各类所有制和各种组织形式的企业。个体工商户和本规定以外的行业，参照本规定进行划型。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七、本规定的中型企业标准上限即为大型企业标准的下限，国家统计部门据此制定大中小微型企业的统计分类。国务院有关部门据此进行相关数据分析，不得制 定与本规定不一致的企业划型标准。</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八、本规定由工业和信息化部、国家统计局会同有关部门根据《国民经济行业分类》修订情况和企业发展变化情况适时修订。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九、本规定由工业和信息化部、国家统计局会同有关部门负责解释。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十、本规定自发布之日起执行，原国家经贸委、原国家计委、财政部和国家统计局2003年颁布的《中小企业标准暂行规定》同时废止。</w:t>
      </w:r>
    </w:p>
    <w:p>
      <w:pPr>
        <w:adjustRightInd w:val="0"/>
        <w:snapToGrid w:val="0"/>
        <w:spacing w:line="360" w:lineRule="auto"/>
        <w:jc w:val="center"/>
        <w:outlineLvl w:val="4"/>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color w:val="000000" w:themeColor="text1"/>
          <w:sz w:val="24"/>
          <w14:textFill>
            <w14:solidFill>
              <w14:schemeClr w14:val="tx1"/>
            </w14:solidFill>
          </w14:textFill>
        </w:rPr>
        <w:t>②残疾人福利性单位声明函（样表）</w:t>
      </w:r>
    </w:p>
    <w:p>
      <w:pPr>
        <w:spacing w:line="620" w:lineRule="exact"/>
        <w:ind w:firstLine="480" w:firstLineChars="200"/>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w:t>
      </w:r>
      <w:r>
        <w:rPr>
          <w:rFonts w:hint="eastAsia" w:ascii="宋体" w:hAnsi="宋体" w:cs="宋体"/>
          <w:color w:val="000000" w:themeColor="text1"/>
          <w:spacing w:val="6"/>
          <w:sz w:val="24"/>
          <w14:textFill>
            <w14:solidFill>
              <w14:schemeClr w14:val="tx1"/>
            </w14:solidFill>
          </w14:textFill>
        </w:rPr>
        <w:t>单位参加</w:t>
      </w:r>
      <w:r>
        <w:rPr>
          <w:rFonts w:hint="eastAsia" w:ascii="宋体" w:hAnsi="宋体" w:cs="宋体"/>
          <w:color w:val="000000" w:themeColor="text1"/>
          <w:spacing w:val="6"/>
          <w:sz w:val="24"/>
          <w:u w:val="single"/>
          <w14:textFill>
            <w14:solidFill>
              <w14:schemeClr w14:val="tx1"/>
            </w14:solidFill>
          </w14:textFill>
        </w:rPr>
        <w:t xml:space="preserve"> （采购单位名称） </w:t>
      </w:r>
      <w:r>
        <w:rPr>
          <w:rFonts w:hint="eastAsia" w:ascii="宋体" w:hAnsi="宋体" w:cs="宋体"/>
          <w:color w:val="000000" w:themeColor="text1"/>
          <w:spacing w:val="6"/>
          <w:sz w:val="24"/>
          <w14:textFill>
            <w14:solidFill>
              <w14:schemeClr w14:val="tx1"/>
            </w14:solidFill>
          </w14:textFill>
        </w:rPr>
        <w:t>单位的</w:t>
      </w:r>
      <w:r>
        <w:rPr>
          <w:rFonts w:hint="eastAsia" w:ascii="宋体" w:hAnsi="宋体" w:cs="宋体"/>
          <w:color w:val="000000" w:themeColor="text1"/>
          <w:spacing w:val="6"/>
          <w:sz w:val="24"/>
          <w:u w:val="single"/>
          <w14:textFill>
            <w14:solidFill>
              <w14:schemeClr w14:val="tx1"/>
            </w14:solidFill>
          </w14:textFill>
        </w:rPr>
        <w:t xml:space="preserve"> （采购项目名称） </w:t>
      </w:r>
      <w:r>
        <w:rPr>
          <w:rFonts w:hint="eastAsia" w:ascii="宋体" w:hAnsi="宋体" w:cs="宋体"/>
          <w:color w:val="000000" w:themeColor="text1"/>
          <w:spacing w:val="6"/>
          <w:sz w:val="24"/>
          <w14:textFill>
            <w14:solidFill>
              <w14:schemeClr w14:val="tx1"/>
            </w14:solidFill>
          </w14:textFill>
        </w:rPr>
        <w:t>项目</w:t>
      </w:r>
      <w:r>
        <w:rPr>
          <w:rFonts w:hint="eastAsia" w:ascii="宋体" w:hAnsi="宋体" w:cs="宋体"/>
          <w:color w:val="000000" w:themeColor="text1"/>
          <w:kern w:val="0"/>
          <w:sz w:val="24"/>
          <w14:textFill>
            <w14:solidFill>
              <w14:schemeClr w14:val="tx1"/>
            </w14:solidFill>
          </w14:textFill>
        </w:rPr>
        <w:t>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w:t>
      </w:r>
    </w:p>
    <w:p>
      <w:pPr>
        <w:spacing w:line="620" w:lineRule="exact"/>
        <w:ind w:firstLine="504" w:firstLineChars="200"/>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本单位对上述声明的真实性负责。如有虚假，将依法承担相应责任。</w:t>
      </w:r>
    </w:p>
    <w:p>
      <w:pPr>
        <w:spacing w:line="620" w:lineRule="exact"/>
        <w:ind w:firstLine="504" w:firstLineChars="200"/>
        <w:rPr>
          <w:rFonts w:hint="eastAsia" w:ascii="宋体" w:hAnsi="宋体" w:cs="宋体"/>
          <w:color w:val="000000" w:themeColor="text1"/>
          <w:spacing w:val="6"/>
          <w:sz w:val="24"/>
          <w14:textFill>
            <w14:solidFill>
              <w14:schemeClr w14:val="tx1"/>
            </w14:solidFill>
          </w14:textFill>
        </w:rPr>
      </w:pPr>
    </w:p>
    <w:p>
      <w:pPr>
        <w:spacing w:line="620" w:lineRule="exact"/>
        <w:ind w:firstLine="504" w:firstLineChars="200"/>
        <w:rPr>
          <w:rFonts w:hint="eastAsia" w:ascii="宋体" w:hAnsi="宋体" w:cs="宋体"/>
          <w:color w:val="000000" w:themeColor="text1"/>
          <w:spacing w:val="6"/>
          <w:sz w:val="24"/>
          <w14:textFill>
            <w14:solidFill>
              <w14:schemeClr w14:val="tx1"/>
            </w14:solidFill>
          </w14:textFill>
        </w:rPr>
      </w:pPr>
    </w:p>
    <w:p>
      <w:pPr>
        <w:tabs>
          <w:tab w:val="left" w:pos="4860"/>
        </w:tabs>
        <w:spacing w:line="620" w:lineRule="exact"/>
        <w:ind w:right="1560" w:firstLine="504" w:firstLineChars="200"/>
        <w:jc w:val="center"/>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 xml:space="preserve">               单位名称（盖章）：</w:t>
      </w:r>
    </w:p>
    <w:p>
      <w:pPr>
        <w:tabs>
          <w:tab w:val="left" w:pos="4860"/>
        </w:tabs>
        <w:spacing w:line="620" w:lineRule="exact"/>
        <w:ind w:right="1560" w:firstLine="504" w:firstLineChars="200"/>
        <w:jc w:val="center"/>
        <w:rPr>
          <w:rStyle w:val="27"/>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 xml:space="preserve">                        日  期：</w:t>
      </w:r>
    </w:p>
    <w:p>
      <w:pPr>
        <w:snapToGrid w:val="0"/>
        <w:spacing w:line="360" w:lineRule="auto"/>
        <w:ind w:firstLine="480" w:firstLineChars="200"/>
        <w:jc w:val="left"/>
        <w:textAlignment w:val="baseline"/>
        <w:rPr>
          <w:rStyle w:val="27"/>
          <w:rFonts w:hint="eastAsia" w:ascii="宋体" w:hAnsi="宋体" w:cs="宋体"/>
          <w:color w:val="000000" w:themeColor="text1"/>
          <w:sz w:val="24"/>
          <w14:textFill>
            <w14:solidFill>
              <w14:schemeClr w14:val="tx1"/>
            </w14:solidFill>
          </w14:textFill>
        </w:rPr>
      </w:pPr>
    </w:p>
    <w:p>
      <w:pPr>
        <w:snapToGrid w:val="0"/>
        <w:spacing w:line="360" w:lineRule="auto"/>
        <w:ind w:firstLine="482" w:firstLineChars="200"/>
        <w:jc w:val="left"/>
        <w:textAlignment w:val="baseline"/>
        <w:rPr>
          <w:rStyle w:val="27"/>
          <w:rFonts w:hint="eastAsia" w:ascii="宋体" w:hAnsi="宋体" w:cs="宋体"/>
          <w:b/>
          <w:color w:val="000000" w:themeColor="text1"/>
          <w:sz w:val="24"/>
          <w14:textFill>
            <w14:solidFill>
              <w14:schemeClr w14:val="tx1"/>
            </w14:solidFill>
          </w14:textFill>
        </w:rPr>
      </w:pPr>
      <w:r>
        <w:rPr>
          <w:rStyle w:val="27"/>
          <w:rFonts w:hint="eastAsia" w:ascii="宋体" w:hAnsi="宋体" w:cs="宋体"/>
          <w:b/>
          <w:color w:val="000000" w:themeColor="text1"/>
          <w:sz w:val="24"/>
          <w14:textFill>
            <w14:solidFill>
              <w14:schemeClr w14:val="tx1"/>
            </w14:solidFill>
          </w14:textFill>
        </w:rPr>
        <w:t>投标人知悉《关于促进残疾人就业政府采购政策的通知》（财库〔2017〕141 号）的规定，承诺提供的声明函内容是真实的，如提供声明函内容不实，则依法追究相关法律责任。</w:t>
      </w:r>
    </w:p>
    <w:p>
      <w:pPr>
        <w:snapToGrid w:val="0"/>
        <w:spacing w:line="360" w:lineRule="auto"/>
        <w:jc w:val="center"/>
        <w:textAlignment w:val="baseline"/>
        <w:outlineLvl w:val="4"/>
        <w:rPr>
          <w:rStyle w:val="27"/>
          <w:rFonts w:hint="eastAsia" w:ascii="宋体" w:hAnsi="宋体" w:cs="宋体"/>
          <w:b/>
          <w:color w:val="000000" w:themeColor="text1"/>
          <w:sz w:val="24"/>
          <w14:textFill>
            <w14:solidFill>
              <w14:schemeClr w14:val="tx1"/>
            </w14:solidFill>
          </w14:textFill>
        </w:rPr>
      </w:pPr>
      <w:r>
        <w:rPr>
          <w:rStyle w:val="27"/>
          <w:rFonts w:hint="eastAsia" w:ascii="宋体" w:hAnsi="宋体" w:cs="宋体"/>
          <w:b/>
          <w:color w:val="000000" w:themeColor="text1"/>
          <w:sz w:val="24"/>
          <w14:textFill>
            <w14:solidFill>
              <w14:schemeClr w14:val="tx1"/>
            </w14:solidFill>
          </w14:textFill>
        </w:rPr>
        <w:br w:type="page"/>
      </w:r>
      <w:r>
        <w:rPr>
          <w:rStyle w:val="27"/>
          <w:rFonts w:hint="eastAsia" w:ascii="宋体" w:hAnsi="宋体" w:cs="宋体"/>
          <w:b/>
          <w:color w:val="000000" w:themeColor="text1"/>
          <w:sz w:val="24"/>
          <w14:textFill>
            <w14:solidFill>
              <w14:schemeClr w14:val="tx1"/>
            </w14:solidFill>
          </w14:textFill>
        </w:rPr>
        <w:t>③监狱企业声明函</w:t>
      </w:r>
    </w:p>
    <w:p>
      <w:pPr>
        <w:snapToGrid w:val="0"/>
        <w:spacing w:line="620" w:lineRule="exact"/>
        <w:ind w:firstLine="504" w:firstLineChars="200"/>
        <w:textAlignment w:val="baseline"/>
        <w:rPr>
          <w:rStyle w:val="27"/>
          <w:rFonts w:hint="eastAsia" w:ascii="宋体" w:hAnsi="宋体" w:cs="宋体"/>
          <w:color w:val="000000" w:themeColor="text1"/>
          <w:spacing w:val="6"/>
          <w:sz w:val="24"/>
          <w14:textFill>
            <w14:solidFill>
              <w14:schemeClr w14:val="tx1"/>
            </w14:solidFill>
          </w14:textFill>
        </w:rPr>
      </w:pPr>
      <w:r>
        <w:rPr>
          <w:rStyle w:val="27"/>
          <w:rFonts w:hint="eastAsia" w:ascii="宋体" w:hAnsi="宋体" w:cs="宋体"/>
          <w:color w:val="000000" w:themeColor="text1"/>
          <w:spacing w:val="6"/>
          <w:sz w:val="24"/>
          <w14:textFill>
            <w14:solidFill>
              <w14:schemeClr w14:val="tx1"/>
            </w14:solidFill>
          </w14:textFill>
        </w:rPr>
        <w:t>本单位郑重声明，根据《财政部司法部关于政府采购支持监狱企业发展有关问题的通知》（财库〔2014〕68号）的规定，本单位为符合条件的监狱企业，且本单位参加</w:t>
      </w:r>
      <w:r>
        <w:rPr>
          <w:rStyle w:val="27"/>
          <w:rFonts w:hint="eastAsia" w:ascii="宋体" w:hAnsi="宋体" w:cs="宋体"/>
          <w:color w:val="000000" w:themeColor="text1"/>
          <w:spacing w:val="6"/>
          <w:sz w:val="24"/>
          <w:u w:val="single"/>
          <w14:textFill>
            <w14:solidFill>
              <w14:schemeClr w14:val="tx1"/>
            </w14:solidFill>
          </w14:textFill>
        </w:rPr>
        <w:t xml:space="preserve"> （采购单位名称） </w:t>
      </w:r>
      <w:r>
        <w:rPr>
          <w:rStyle w:val="27"/>
          <w:rFonts w:hint="eastAsia" w:ascii="宋体" w:hAnsi="宋体" w:cs="宋体"/>
          <w:color w:val="000000" w:themeColor="text1"/>
          <w:spacing w:val="6"/>
          <w:sz w:val="24"/>
          <w14:textFill>
            <w14:solidFill>
              <w14:schemeClr w14:val="tx1"/>
            </w14:solidFill>
          </w14:textFill>
        </w:rPr>
        <w:t>单位的</w:t>
      </w:r>
      <w:r>
        <w:rPr>
          <w:rStyle w:val="27"/>
          <w:rFonts w:hint="eastAsia" w:ascii="宋体" w:hAnsi="宋体" w:cs="宋体"/>
          <w:color w:val="000000" w:themeColor="text1"/>
          <w:spacing w:val="6"/>
          <w:sz w:val="24"/>
          <w:u w:val="single"/>
          <w14:textFill>
            <w14:solidFill>
              <w14:schemeClr w14:val="tx1"/>
            </w14:solidFill>
          </w14:textFill>
        </w:rPr>
        <w:t xml:space="preserve"> （采购项目名称） </w:t>
      </w:r>
      <w:r>
        <w:rPr>
          <w:rStyle w:val="27"/>
          <w:rFonts w:hint="eastAsia" w:ascii="宋体" w:hAnsi="宋体" w:cs="宋体"/>
          <w:color w:val="000000" w:themeColor="text1"/>
          <w:spacing w:val="6"/>
          <w:sz w:val="24"/>
          <w14:textFill>
            <w14:solidFill>
              <w14:schemeClr w14:val="tx1"/>
            </w14:solidFill>
          </w14:textFill>
        </w:rPr>
        <w:t>项目采购</w:t>
      </w:r>
      <w:r>
        <w:rPr>
          <w:rStyle w:val="27"/>
          <w:rFonts w:hint="eastAsia" w:ascii="宋体" w:hAnsi="宋体" w:cs="宋体"/>
          <w:color w:val="000000" w:themeColor="text1"/>
          <w:kern w:val="0"/>
          <w:sz w:val="24"/>
          <w14:textFill>
            <w14:solidFill>
              <w14:schemeClr w14:val="tx1"/>
            </w14:solidFill>
          </w14:textFill>
        </w:rPr>
        <w:t>活动，并提供：□本单位制造的货物；□由本单位承担的工程、提供服务；□提供其他监狱企业制造的货物（承诺人在□处打√）</w:t>
      </w:r>
      <w:r>
        <w:rPr>
          <w:rStyle w:val="27"/>
          <w:rFonts w:hint="eastAsia" w:ascii="宋体" w:hAnsi="宋体" w:cs="宋体"/>
          <w:color w:val="000000" w:themeColor="text1"/>
          <w:spacing w:val="6"/>
          <w:sz w:val="24"/>
          <w14:textFill>
            <w14:solidFill>
              <w14:schemeClr w14:val="tx1"/>
            </w14:solidFill>
          </w14:textFill>
        </w:rPr>
        <w:t>。</w:t>
      </w:r>
      <w:r>
        <w:rPr>
          <w:rStyle w:val="27"/>
          <w:rFonts w:hint="eastAsia" w:ascii="宋体" w:hAnsi="宋体" w:cs="宋体"/>
          <w:color w:val="000000" w:themeColor="text1"/>
          <w:kern w:val="0"/>
          <w:sz w:val="24"/>
          <w14:textFill>
            <w14:solidFill>
              <w14:schemeClr w14:val="tx1"/>
            </w14:solidFill>
          </w14:textFill>
        </w:rPr>
        <w:t>本条所称货物是指单一产品采购项目中的货物，或者非单一产品采购项目中的核心产品（货物）。</w:t>
      </w:r>
    </w:p>
    <w:p>
      <w:pPr>
        <w:snapToGrid w:val="0"/>
        <w:spacing w:line="620" w:lineRule="exact"/>
        <w:ind w:firstLine="504" w:firstLineChars="200"/>
        <w:textAlignment w:val="baseline"/>
        <w:rPr>
          <w:rStyle w:val="27"/>
          <w:rFonts w:hint="eastAsia" w:ascii="宋体" w:hAnsi="宋体" w:cs="宋体"/>
          <w:color w:val="000000" w:themeColor="text1"/>
          <w:spacing w:val="6"/>
          <w:sz w:val="24"/>
          <w14:textFill>
            <w14:solidFill>
              <w14:schemeClr w14:val="tx1"/>
            </w14:solidFill>
          </w14:textFill>
        </w:rPr>
      </w:pPr>
      <w:r>
        <w:rPr>
          <w:rStyle w:val="27"/>
          <w:rFonts w:hint="eastAsia" w:ascii="宋体" w:hAnsi="宋体" w:cs="宋体"/>
          <w:color w:val="000000" w:themeColor="text1"/>
          <w:spacing w:val="6"/>
          <w:sz w:val="24"/>
          <w14:textFill>
            <w14:solidFill>
              <w14:schemeClr w14:val="tx1"/>
            </w14:solidFill>
          </w14:textFill>
        </w:rPr>
        <w:t>本单位对上述声明的真实性负责。如有虚假，将依法承担相应责任。</w:t>
      </w:r>
    </w:p>
    <w:p>
      <w:pPr>
        <w:snapToGrid w:val="0"/>
        <w:spacing w:line="620" w:lineRule="exact"/>
        <w:ind w:firstLine="504" w:firstLineChars="200"/>
        <w:textAlignment w:val="baseline"/>
        <w:rPr>
          <w:rStyle w:val="27"/>
          <w:rFonts w:hint="eastAsia" w:ascii="宋体" w:hAnsi="宋体" w:cs="宋体"/>
          <w:color w:val="000000" w:themeColor="text1"/>
          <w:spacing w:val="6"/>
          <w:sz w:val="24"/>
          <w14:textFill>
            <w14:solidFill>
              <w14:schemeClr w14:val="tx1"/>
            </w14:solidFill>
          </w14:textFill>
        </w:rPr>
      </w:pPr>
      <w:r>
        <w:rPr>
          <w:rStyle w:val="27"/>
          <w:rFonts w:hint="eastAsia" w:ascii="宋体" w:hAnsi="宋体" w:cs="宋体"/>
          <w:color w:val="000000" w:themeColor="text1"/>
          <w:spacing w:val="6"/>
          <w:sz w:val="24"/>
          <w14:textFill>
            <w14:solidFill>
              <w14:schemeClr w14:val="tx1"/>
            </w14:solidFill>
          </w14:textFill>
        </w:rPr>
        <w:t>附：省级以上监狱管理局、戒毒管理局（含新疆生产建设兵团）出具的监狱企业证明文件。</w:t>
      </w:r>
    </w:p>
    <w:p>
      <w:pPr>
        <w:snapToGrid w:val="0"/>
        <w:spacing w:line="620" w:lineRule="exact"/>
        <w:ind w:firstLine="504" w:firstLineChars="200"/>
        <w:textAlignment w:val="baseline"/>
        <w:rPr>
          <w:rStyle w:val="27"/>
          <w:rFonts w:hint="eastAsia" w:ascii="宋体" w:hAnsi="宋体" w:cs="宋体"/>
          <w:color w:val="000000" w:themeColor="text1"/>
          <w:spacing w:val="6"/>
          <w:sz w:val="24"/>
          <w14:textFill>
            <w14:solidFill>
              <w14:schemeClr w14:val="tx1"/>
            </w14:solidFill>
          </w14:textFill>
        </w:rPr>
      </w:pPr>
    </w:p>
    <w:p>
      <w:pPr>
        <w:snapToGrid w:val="0"/>
        <w:spacing w:line="620" w:lineRule="exact"/>
        <w:ind w:firstLine="504" w:firstLineChars="200"/>
        <w:textAlignment w:val="baseline"/>
        <w:rPr>
          <w:rStyle w:val="27"/>
          <w:rFonts w:hint="eastAsia" w:ascii="宋体" w:hAnsi="宋体" w:cs="宋体"/>
          <w:color w:val="000000" w:themeColor="text1"/>
          <w:spacing w:val="6"/>
          <w:sz w:val="24"/>
          <w14:textFill>
            <w14:solidFill>
              <w14:schemeClr w14:val="tx1"/>
            </w14:solidFill>
          </w14:textFill>
        </w:rPr>
      </w:pPr>
    </w:p>
    <w:p>
      <w:pPr>
        <w:tabs>
          <w:tab w:val="left" w:pos="4860"/>
        </w:tabs>
        <w:snapToGrid w:val="0"/>
        <w:spacing w:line="620" w:lineRule="exact"/>
        <w:ind w:right="1560" w:firstLine="504" w:firstLineChars="200"/>
        <w:jc w:val="center"/>
        <w:textAlignment w:val="baseline"/>
        <w:rPr>
          <w:rStyle w:val="27"/>
          <w:rFonts w:hint="eastAsia" w:ascii="宋体" w:hAnsi="宋体" w:cs="宋体"/>
          <w:color w:val="000000" w:themeColor="text1"/>
          <w:spacing w:val="6"/>
          <w:sz w:val="24"/>
          <w14:textFill>
            <w14:solidFill>
              <w14:schemeClr w14:val="tx1"/>
            </w14:solidFill>
          </w14:textFill>
        </w:rPr>
      </w:pPr>
      <w:r>
        <w:rPr>
          <w:rStyle w:val="27"/>
          <w:rFonts w:hint="eastAsia" w:ascii="宋体" w:hAnsi="宋体" w:cs="宋体"/>
          <w:color w:val="000000" w:themeColor="text1"/>
          <w:spacing w:val="6"/>
          <w:sz w:val="24"/>
          <w14:textFill>
            <w14:solidFill>
              <w14:schemeClr w14:val="tx1"/>
            </w14:solidFill>
          </w14:textFill>
        </w:rPr>
        <w:t xml:space="preserve">               单位名称（盖章）：</w:t>
      </w:r>
    </w:p>
    <w:p>
      <w:pPr>
        <w:tabs>
          <w:tab w:val="left" w:pos="640"/>
          <w:tab w:val="left" w:pos="840"/>
          <w:tab w:val="left" w:pos="1260"/>
          <w:tab w:val="left" w:pos="1418"/>
        </w:tabs>
        <w:spacing w:line="360" w:lineRule="auto"/>
        <w:rPr>
          <w:rFonts w:hint="eastAsia" w:ascii="宋体" w:hAnsi="宋体" w:cs="宋体"/>
          <w:color w:val="000000" w:themeColor="text1"/>
          <w:spacing w:val="6"/>
          <w:sz w:val="24"/>
          <w14:textFill>
            <w14:solidFill>
              <w14:schemeClr w14:val="tx1"/>
            </w14:solidFill>
          </w14:textFill>
        </w:rPr>
      </w:pPr>
      <w:r>
        <w:rPr>
          <w:rStyle w:val="27"/>
          <w:rFonts w:hint="eastAsia" w:ascii="宋体" w:hAnsi="宋体" w:cs="宋体"/>
          <w:color w:val="000000" w:themeColor="text1"/>
          <w:spacing w:val="6"/>
          <w:sz w:val="24"/>
          <w14:textFill>
            <w14:solidFill>
              <w14:schemeClr w14:val="tx1"/>
            </w14:solidFill>
          </w14:textFill>
        </w:rPr>
        <w:t xml:space="preserve">                          日  期</w:t>
      </w:r>
      <w:r>
        <w:rPr>
          <w:rFonts w:hint="eastAsia" w:ascii="宋体" w:hAnsi="宋体" w:cs="宋体"/>
          <w:color w:val="000000" w:themeColor="text1"/>
          <w:spacing w:val="6"/>
          <w:sz w:val="24"/>
          <w14:textFill>
            <w14:solidFill>
              <w14:schemeClr w14:val="tx1"/>
            </w14:solidFill>
          </w14:textFill>
        </w:rPr>
        <w:t>：</w:t>
      </w:r>
    </w:p>
    <w:p>
      <w:pPr>
        <w:rPr>
          <w:color w:val="000000" w:themeColor="text1"/>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br w:type="page"/>
      </w:r>
    </w:p>
    <w:p>
      <w:pPr>
        <w:numPr>
          <w:ilvl w:val="0"/>
          <w:numId w:val="12"/>
        </w:numPr>
        <w:tabs>
          <w:tab w:val="left" w:pos="640"/>
          <w:tab w:val="left" w:pos="840"/>
          <w:tab w:val="left" w:pos="1260"/>
          <w:tab w:val="left" w:pos="1418"/>
        </w:tabs>
        <w:spacing w:line="360" w:lineRule="auto"/>
        <w:ind w:left="845" w:hanging="845"/>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供应商基本情况表、社保证明及股权关系证明</w:t>
      </w:r>
    </w:p>
    <w:p>
      <w:pPr>
        <w:snapToGrid w:val="0"/>
        <w:rPr>
          <w:rFonts w:hint="eastAsia" w:ascii="宋体" w:hAnsi="宋体" w:cs="宋体"/>
          <w:b/>
          <w:color w:val="000000" w:themeColor="text1"/>
          <w:sz w:val="24"/>
          <w:highlight w:val="yellow"/>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注：根据《深圳经济特区政府采购条例实施细则》第七十五条规定，以下内容将作为判定本项目不同投标供应商是否涉嫌、属于串通投标的重要依据，请供应商认真填报，并保证所填信息的真实、准确和完整。）</w:t>
      </w:r>
    </w:p>
    <w:p>
      <w:pPr>
        <w:snapToGrid w:val="0"/>
        <w:rPr>
          <w:rFonts w:hint="eastAsia" w:ascii="宋体" w:hAnsi="宋体" w:cs="宋体"/>
          <w:b/>
          <w:color w:val="000000" w:themeColor="text1"/>
          <w:sz w:val="24"/>
          <w14:textFill>
            <w14:solidFill>
              <w14:schemeClr w14:val="tx1"/>
            </w14:solidFill>
          </w14:textFill>
        </w:rPr>
      </w:pPr>
    </w:p>
    <w:p>
      <w:pPr>
        <w:snapToGrid w:val="0"/>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1.《供应商基本情况表》</w:t>
      </w:r>
    </w:p>
    <w:p>
      <w:pPr>
        <w:adjustRightInd w:val="0"/>
        <w:snapToGrid w:val="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填表单位（</w:t>
      </w:r>
      <w:r>
        <w:rPr>
          <w:rFonts w:hint="eastAsia" w:ascii="宋体" w:hAnsi="宋体" w:cs="宋体"/>
          <w:b/>
          <w:bCs/>
          <w:color w:val="000000" w:themeColor="text1"/>
          <w:sz w:val="24"/>
          <w14:textFill>
            <w14:solidFill>
              <w14:schemeClr w14:val="tx1"/>
            </w14:solidFill>
          </w14:textFill>
        </w:rPr>
        <w:t>加盖单位公章，必填项</w:t>
      </w:r>
      <w:r>
        <w:rPr>
          <w:rFonts w:hint="eastAsia" w:ascii="宋体" w:hAnsi="宋体" w:cs="宋体"/>
          <w:color w:val="000000" w:themeColor="text1"/>
          <w:sz w:val="24"/>
          <w14:textFill>
            <w14:solidFill>
              <w14:schemeClr w14:val="tx1"/>
            </w14:solidFill>
          </w14:textFill>
        </w:rPr>
        <w:t>）：</w:t>
      </w:r>
    </w:p>
    <w:p>
      <w:pPr>
        <w:adjustRightInd w:val="0"/>
        <w:snapToGrid w:val="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填表日期（</w:t>
      </w:r>
      <w:r>
        <w:rPr>
          <w:rFonts w:hint="eastAsia" w:ascii="宋体" w:hAnsi="宋体" w:cs="宋体"/>
          <w:b/>
          <w:bCs/>
          <w:color w:val="000000" w:themeColor="text1"/>
          <w:sz w:val="24"/>
          <w14:textFill>
            <w14:solidFill>
              <w14:schemeClr w14:val="tx1"/>
            </w14:solidFill>
          </w14:textFill>
        </w:rPr>
        <w:t>必填项</w:t>
      </w:r>
      <w:r>
        <w:rPr>
          <w:rFonts w:hint="eastAsia" w:ascii="宋体" w:hAnsi="宋体" w:cs="宋体"/>
          <w:color w:val="000000" w:themeColor="text1"/>
          <w:sz w:val="24"/>
          <w14:textFill>
            <w14:solidFill>
              <w14:schemeClr w14:val="tx1"/>
            </w14:solidFill>
          </w14:textFill>
        </w:rPr>
        <w:t>）：        年     月      日</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4"/>
        <w:gridCol w:w="1467"/>
        <w:gridCol w:w="926"/>
        <w:gridCol w:w="718"/>
        <w:gridCol w:w="1304"/>
        <w:gridCol w:w="139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48" w:type="pct"/>
            <w:gridSpan w:val="2"/>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采购人</w:t>
            </w:r>
          </w:p>
        </w:tc>
        <w:tc>
          <w:tcPr>
            <w:tcW w:w="1406" w:type="pct"/>
            <w:gridSpan w:val="2"/>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1188" w:type="pct"/>
            <w:gridSpan w:val="2"/>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项目名称</w:t>
            </w:r>
          </w:p>
        </w:tc>
        <w:tc>
          <w:tcPr>
            <w:tcW w:w="1656" w:type="pct"/>
            <w:gridSpan w:val="2"/>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投标（响应）供应商</w:t>
            </w:r>
          </w:p>
        </w:tc>
        <w:tc>
          <w:tcPr>
            <w:tcW w:w="1406" w:type="pct"/>
            <w:gridSpan w:val="2"/>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1188" w:type="pct"/>
            <w:gridSpan w:val="2"/>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供应商统一社会信用代码</w:t>
            </w:r>
          </w:p>
        </w:tc>
        <w:tc>
          <w:tcPr>
            <w:tcW w:w="1656" w:type="pct"/>
            <w:gridSpan w:val="2"/>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000" w:type="pct"/>
            <w:gridSpan w:val="8"/>
            <w:vAlign w:val="center"/>
          </w:tcPr>
          <w:p>
            <w:pPr>
              <w:widowControl/>
              <w:snapToGrid w:val="0"/>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序号</w:t>
            </w:r>
          </w:p>
        </w:tc>
        <w:tc>
          <w:tcPr>
            <w:tcW w:w="1223" w:type="pct"/>
            <w:gridSpan w:val="2"/>
            <w:tcBorders>
              <w:bottom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职务</w:t>
            </w:r>
          </w:p>
        </w:tc>
        <w:tc>
          <w:tcPr>
            <w:tcW w:w="543" w:type="pct"/>
            <w:tcBorders>
              <w:bottom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姓名</w:t>
            </w:r>
          </w:p>
        </w:tc>
        <w:tc>
          <w:tcPr>
            <w:tcW w:w="1188" w:type="pct"/>
            <w:gridSpan w:val="2"/>
            <w:tcBorders>
              <w:bottom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身份证号码</w:t>
            </w:r>
          </w:p>
        </w:tc>
        <w:tc>
          <w:tcPr>
            <w:tcW w:w="821" w:type="pct"/>
            <w:tcBorders>
              <w:bottom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劳动合同</w:t>
            </w:r>
          </w:p>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关系单位</w:t>
            </w:r>
          </w:p>
        </w:tc>
        <w:tc>
          <w:tcPr>
            <w:tcW w:w="835" w:type="pct"/>
            <w:tcBorders>
              <w:bottom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缴纳社会</w:t>
            </w:r>
          </w:p>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法定代表人/单位负责人/主要经营负责人（必填项）</w:t>
            </w:r>
          </w:p>
        </w:tc>
        <w:tc>
          <w:tcPr>
            <w:tcW w:w="54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821"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83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项目投标授权代表人（必填项）</w:t>
            </w:r>
          </w:p>
        </w:tc>
        <w:tc>
          <w:tcPr>
            <w:tcW w:w="54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821"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83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w:t>
            </w:r>
          </w:p>
        </w:tc>
        <w:tc>
          <w:tcPr>
            <w:tcW w:w="1223" w:type="pct"/>
            <w:gridSpan w:val="2"/>
            <w:tcBorders>
              <w:top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项目负责人（如有）</w:t>
            </w:r>
          </w:p>
        </w:tc>
        <w:tc>
          <w:tcPr>
            <w:tcW w:w="543" w:type="pct"/>
            <w:tcBorders>
              <w:top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1188" w:type="pct"/>
            <w:gridSpan w:val="2"/>
            <w:tcBorders>
              <w:top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821" w:type="pct"/>
            <w:tcBorders>
              <w:top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835" w:type="pct"/>
            <w:tcBorders>
              <w:top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w:t>
            </w:r>
          </w:p>
        </w:tc>
        <w:tc>
          <w:tcPr>
            <w:tcW w:w="1223" w:type="pct"/>
            <w:gridSpan w:val="2"/>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主要技术人员（如有）</w:t>
            </w:r>
          </w:p>
        </w:tc>
        <w:tc>
          <w:tcPr>
            <w:tcW w:w="543" w:type="pct"/>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1188" w:type="pct"/>
            <w:gridSpan w:val="2"/>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821" w:type="pct"/>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835" w:type="pct"/>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w:t>
            </w:r>
          </w:p>
        </w:tc>
        <w:tc>
          <w:tcPr>
            <w:tcW w:w="1223" w:type="pct"/>
            <w:gridSpan w:val="2"/>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投标文件编制人员（必填项）</w:t>
            </w:r>
          </w:p>
        </w:tc>
        <w:tc>
          <w:tcPr>
            <w:tcW w:w="543" w:type="pct"/>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1188" w:type="pct"/>
            <w:gridSpan w:val="2"/>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821" w:type="pct"/>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835" w:type="pct"/>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pPr>
              <w:widowControl/>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说明：1.同一职务有多人担任（如主要技术人员），应分行填写。</w:t>
            </w:r>
          </w:p>
          <w:p>
            <w:pPr>
              <w:pStyle w:val="5"/>
              <w:ind w:firstLine="723" w:firstLineChars="300"/>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2.上述项目负责人、主要技术人员必须为供应商本单位人员。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vAlign w:val="center"/>
          </w:tcPr>
          <w:p>
            <w:pPr>
              <w:widowControl/>
              <w:snapToGrid w:val="0"/>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序号</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关联关系类型</w:t>
            </w:r>
          </w:p>
        </w:tc>
        <w:tc>
          <w:tcPr>
            <w:tcW w:w="966"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关联主体名称</w:t>
            </w:r>
          </w:p>
        </w:tc>
        <w:tc>
          <w:tcPr>
            <w:tcW w:w="2422"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控股股东（必填项）</w:t>
            </w:r>
          </w:p>
        </w:tc>
        <w:tc>
          <w:tcPr>
            <w:tcW w:w="966"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pPr>
              <w:widowControl/>
              <w:snapToGrid w:val="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2.如股东为法人或其他组织的，请填写法人或组织的全称及统一社会信用代码；如股东为自然人的，请填写姓名及身份证号。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管理关系（如无，可不填写）</w:t>
            </w:r>
          </w:p>
        </w:tc>
        <w:tc>
          <w:tcPr>
            <w:tcW w:w="966"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说明：</w:t>
            </w:r>
          </w:p>
          <w:p>
            <w:pPr>
              <w:widowControl/>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1.同一关联关系类型有多个主体的，应分行填写。</w:t>
            </w:r>
          </w:p>
          <w:p>
            <w:pPr>
              <w:pStyle w:val="5"/>
              <w:ind w:firstLine="0" w:firstLineChars="0"/>
              <w:rPr>
                <w:rFonts w:hint="eastAsia" w:ascii="宋体" w:hAnsi="宋体" w:cs="宋体"/>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2.上述规定的控股、管理关系仅限于直接控股、直接管理关系，不包括间接的控股或管理关系。</w:t>
            </w:r>
          </w:p>
        </w:tc>
      </w:tr>
    </w:tbl>
    <w:p>
      <w:pPr>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备注：注明“必填项”的必须填写；未注明“必填项”的，如供应商未填写则视为未安排（或无）。</w:t>
      </w:r>
    </w:p>
    <w:p>
      <w:pPr>
        <w:widowControl/>
        <w:snapToGrid w:val="0"/>
        <w:rPr>
          <w:rFonts w:hint="eastAsia" w:ascii="宋体" w:hAnsi="宋体" w:cs="宋体"/>
          <w:b/>
          <w:color w:val="000000" w:themeColor="text1"/>
          <w:sz w:val="24"/>
          <w14:textFill>
            <w14:solidFill>
              <w14:schemeClr w14:val="tx1"/>
            </w14:solidFill>
          </w14:textFill>
        </w:rPr>
      </w:pPr>
    </w:p>
    <w:p>
      <w:pPr>
        <w:snapToGrid w:val="0"/>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2.社保</w:t>
      </w:r>
      <w:bookmarkStart w:id="41" w:name="OLE_LINK9"/>
      <w:r>
        <w:rPr>
          <w:rFonts w:hint="eastAsia" w:ascii="宋体" w:hAnsi="宋体" w:cs="宋体"/>
          <w:b/>
          <w:color w:val="000000" w:themeColor="text1"/>
          <w:sz w:val="28"/>
          <w:szCs w:val="28"/>
          <w14:textFill>
            <w14:solidFill>
              <w14:schemeClr w14:val="tx1"/>
            </w14:solidFill>
          </w14:textFill>
        </w:rPr>
        <w:t>证明</w:t>
      </w:r>
      <w:bookmarkEnd w:id="41"/>
      <w:r>
        <w:rPr>
          <w:rFonts w:hint="eastAsia" w:ascii="宋体" w:hAnsi="宋体" w:cs="宋体"/>
          <w:b/>
          <w:color w:val="000000" w:themeColor="text1"/>
          <w:sz w:val="28"/>
          <w:szCs w:val="28"/>
          <w14:textFill>
            <w14:solidFill>
              <w14:schemeClr w14:val="tx1"/>
            </w14:solidFill>
          </w14:textFill>
        </w:rPr>
        <w:t>材料：</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（1）法定代表人/单位负责人/主要经营负责人</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开标前一个月的社保缴纳凭证：</w:t>
      </w:r>
    </w:p>
    <w:p>
      <w:pPr>
        <w:pStyle w:val="5"/>
        <w:widowControl/>
        <w:ind w:firstLine="480"/>
        <w:rPr>
          <w:rFonts w:hint="eastAsia" w:ascii="宋体" w:hAnsi="宋体" w:cs="宋体"/>
          <w:bCs/>
          <w:color w:val="000000" w:themeColor="text1"/>
          <w:sz w:val="24"/>
          <w:szCs w:val="24"/>
          <w14:textFill>
            <w14:solidFill>
              <w14:schemeClr w14:val="tx1"/>
            </w14:solidFill>
          </w14:textFill>
        </w:rPr>
      </w:pP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（2）投标授权代表人</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身份证复印件（正反面）：</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开标前一个月的社保缴纳凭证：</w:t>
      </w:r>
    </w:p>
    <w:p>
      <w:pPr>
        <w:pStyle w:val="5"/>
        <w:widowControl/>
        <w:ind w:firstLine="480"/>
        <w:rPr>
          <w:rFonts w:hint="eastAsia" w:ascii="宋体" w:hAnsi="宋体" w:cs="宋体"/>
          <w:bCs/>
          <w:color w:val="000000" w:themeColor="text1"/>
          <w:sz w:val="24"/>
          <w:szCs w:val="24"/>
          <w14:textFill>
            <w14:solidFill>
              <w14:schemeClr w14:val="tx1"/>
            </w14:solidFill>
          </w14:textFill>
        </w:rPr>
      </w:pP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（3）项目负责人（如本项目未安排，可不提供）</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开标前一个月的社保缴纳凭证：</w:t>
      </w:r>
    </w:p>
    <w:p>
      <w:pPr>
        <w:pStyle w:val="5"/>
        <w:widowControl/>
        <w:ind w:firstLine="480"/>
        <w:rPr>
          <w:rFonts w:hint="eastAsia" w:ascii="宋体" w:hAnsi="宋体" w:cs="宋体"/>
          <w:bCs/>
          <w:color w:val="000000" w:themeColor="text1"/>
          <w:sz w:val="24"/>
          <w:szCs w:val="24"/>
          <w14:textFill>
            <w14:solidFill>
              <w14:schemeClr w14:val="tx1"/>
            </w14:solidFill>
          </w14:textFill>
        </w:rPr>
      </w:pP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（4）主要技术人员（如本项目未安排，可不提供）</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身份证复印件（正反面）：</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开标前一个月的社保缴纳凭证：</w:t>
      </w:r>
    </w:p>
    <w:p>
      <w:pPr>
        <w:pStyle w:val="5"/>
        <w:widowControl/>
        <w:ind w:firstLine="480"/>
        <w:rPr>
          <w:rFonts w:hint="eastAsia" w:ascii="宋体" w:hAnsi="宋体" w:cs="宋体"/>
          <w:bCs/>
          <w:color w:val="000000" w:themeColor="text1"/>
          <w:sz w:val="24"/>
          <w:szCs w:val="24"/>
          <w14:textFill>
            <w14:solidFill>
              <w14:schemeClr w14:val="tx1"/>
            </w14:solidFill>
          </w14:textFill>
        </w:rPr>
      </w:pPr>
    </w:p>
    <w:p>
      <w:pPr>
        <w:widowControl/>
        <w:numPr>
          <w:ilvl w:val="0"/>
          <w:numId w:val="14"/>
        </w:numPr>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投标文件编制人员</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身份证复印件（正反面）：</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开标前一个月的社保缴纳凭证：</w:t>
      </w:r>
    </w:p>
    <w:p>
      <w:pPr>
        <w:pStyle w:val="5"/>
        <w:widowControl/>
        <w:ind w:firstLine="480"/>
        <w:rPr>
          <w:rFonts w:hint="eastAsia" w:ascii="宋体" w:hAnsi="宋体" w:cs="宋体"/>
          <w:color w:val="000000" w:themeColor="text1"/>
          <w:sz w:val="24"/>
          <w:szCs w:val="24"/>
          <w14:textFill>
            <w14:solidFill>
              <w14:schemeClr w14:val="tx1"/>
            </w14:solidFill>
          </w14:textFill>
        </w:rPr>
      </w:pP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注：</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1.如开标前近一个月的社保材料因社保部门原因暂时无法取得，则可以往前顺延一个月。其中项目负责人及主要技术人员社保证明须由供应商缴纳。</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2.供应商的项目投标授权代表人与法定代表人为同一人的，则须提供法定代表人的社保证明；本项目未安排项目负责人的，则无须提供项目负责人的社保证明。</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3.如无法按上述要求提供人员社会保险证明材料的，提交以下材料亦视为符合：</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若供应商为新成立企业且成立时间不足一个月，提供加盖投标人公章的情况说明或者证明材料。若为退休人员，提供退休证明。如依法不需要缴纳社会保险的，应提供相应文件证明。若因为社保部门原因无法提供的，需提供劳动合同及社保部门官方通知证明(或官网公告截图)。如法定代表人未在投标单位缴纳社保，则还需提供缴纳社保的公司与投标单位的相关关联关系说明。</w:t>
      </w:r>
    </w:p>
    <w:p>
      <w:pPr>
        <w:snapToGrid w:val="0"/>
        <w:rPr>
          <w:rFonts w:hint="eastAsia" w:ascii="宋体" w:hAnsi="宋体" w:cs="宋体"/>
          <w:b/>
          <w:color w:val="000000" w:themeColor="text1"/>
          <w:sz w:val="28"/>
          <w:szCs w:val="28"/>
          <w14:textFill>
            <w14:solidFill>
              <w14:schemeClr w14:val="tx1"/>
            </w14:solidFill>
          </w14:textFill>
        </w:rPr>
      </w:pPr>
    </w:p>
    <w:p>
      <w:pPr>
        <w:snapToGrid w:val="0"/>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3.</w:t>
      </w:r>
      <w:bookmarkStart w:id="42" w:name="OLE_LINK10"/>
      <w:r>
        <w:rPr>
          <w:rFonts w:hint="eastAsia" w:ascii="宋体" w:hAnsi="宋体" w:cs="宋体"/>
          <w:b/>
          <w:color w:val="000000" w:themeColor="text1"/>
          <w:sz w:val="28"/>
          <w:szCs w:val="28"/>
          <w14:textFill>
            <w14:solidFill>
              <w14:schemeClr w14:val="tx1"/>
            </w14:solidFill>
          </w14:textFill>
        </w:rPr>
        <w:t>股权关系证明</w:t>
      </w:r>
      <w:bookmarkEnd w:id="42"/>
      <w:r>
        <w:rPr>
          <w:rFonts w:hint="eastAsia" w:ascii="宋体" w:hAnsi="宋体" w:cs="宋体"/>
          <w:b/>
          <w:color w:val="000000" w:themeColor="text1"/>
          <w:sz w:val="28"/>
          <w:szCs w:val="28"/>
          <w14:textFill>
            <w14:solidFill>
              <w14:schemeClr w14:val="tx1"/>
            </w14:solidFill>
          </w14:textFill>
        </w:rPr>
        <w:t>材料：</w:t>
      </w:r>
    </w:p>
    <w:p>
      <w:pPr>
        <w:widowControl/>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（1）股权（或管理）关系证明材料：</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pPr>
        <w:jc w:val="left"/>
        <w:rPr>
          <w:rFonts w:hint="eastAsia" w:ascii="宋体" w:hAnsi="宋体" w:cs="宋体"/>
          <w:color w:val="000000" w:themeColor="text1"/>
          <w:sz w:val="24"/>
          <w14:textFill>
            <w14:solidFill>
              <w14:schemeClr w14:val="tx1"/>
            </w14:solidFill>
          </w14:textFill>
        </w:rPr>
      </w:pPr>
    </w:p>
    <w:p>
      <w:pPr>
        <w:widowControl/>
        <w:snapToGrid w:val="0"/>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（2）股权关系情况承诺函</w:t>
      </w:r>
    </w:p>
    <w:p>
      <w:pPr>
        <w:widowControl/>
        <w:snapToGrid w:val="0"/>
        <w:ind w:firstLine="482" w:firstLineChars="20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《股权关系情况承诺函》</w:t>
      </w:r>
    </w:p>
    <w:p>
      <w:pPr>
        <w:widowControl/>
        <w:snapToGrid w:val="0"/>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我公司申请参加</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项目（项目编号为</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）的投标，并作出如下承诺：</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我公司承诺所填的股权关系情况真实、准确、完整。</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我公司承诺自股权关系证明材料查询之日起至本项目投标截止日止，股权关系如发生变更，将在投标文件中另行申明并附证明材料，保证不出现违背《中华人民共和国政府采购法实施条例》第十八条规定的情形。否则，自愿承担因此产生的不利后果而无异议。</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特此承诺！</w:t>
      </w:r>
    </w:p>
    <w:p>
      <w:pPr>
        <w:widowControl/>
        <w:snapToGrid w:val="0"/>
        <w:rPr>
          <w:rFonts w:hint="eastAsia" w:ascii="宋体" w:hAnsi="宋体" w:cs="宋体"/>
          <w:bCs/>
          <w:color w:val="000000" w:themeColor="text1"/>
          <w:sz w:val="24"/>
          <w14:textFill>
            <w14:solidFill>
              <w14:schemeClr w14:val="tx1"/>
            </w14:solidFill>
          </w14:textFill>
        </w:rPr>
      </w:pP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                                供应商名称（加盖公章</w:t>
      </w:r>
      <w:r>
        <w:rPr>
          <w:rFonts w:hint="eastAsia" w:ascii="宋体" w:hAnsi="宋体" w:cs="宋体"/>
          <w:bCs/>
          <w:color w:val="000000" w:themeColor="text1"/>
          <w:sz w:val="24"/>
          <w14:textFill>
            <w14:solidFill>
              <w14:schemeClr w14:val="tx1"/>
            </w14:solidFill>
          </w14:textFill>
        </w:rPr>
        <w:tab/>
      </w:r>
      <w:r>
        <w:rPr>
          <w:rFonts w:hint="eastAsia" w:ascii="宋体" w:hAnsi="宋体" w:cs="宋体"/>
          <w:bCs/>
          <w:color w:val="000000" w:themeColor="text1"/>
          <w:sz w:val="24"/>
          <w14:textFill>
            <w14:solidFill>
              <w14:schemeClr w14:val="tx1"/>
            </w14:solidFill>
          </w14:textFill>
        </w:rPr>
        <w:t xml:space="preserve">）： </w:t>
      </w:r>
    </w:p>
    <w:p>
      <w:pPr>
        <w:widowControl/>
        <w:snapToGrid w:val="0"/>
        <w:ind w:firstLine="3840" w:firstLineChars="16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日  期：       年    月   日</w:t>
      </w:r>
    </w:p>
    <w:p>
      <w:pPr>
        <w:widowControl/>
        <w:snapToGrid w:val="0"/>
        <w:rPr>
          <w:rFonts w:hint="eastAsia" w:ascii="宋体" w:hAnsi="宋体" w:cs="宋体"/>
          <w:bCs/>
          <w:color w:val="000000" w:themeColor="text1"/>
          <w:sz w:val="24"/>
          <w14:textFill>
            <w14:solidFill>
              <w14:schemeClr w14:val="tx1"/>
            </w14:solidFill>
          </w14:textFill>
        </w:rPr>
      </w:pPr>
    </w:p>
    <w:p>
      <w:pPr>
        <w:tabs>
          <w:tab w:val="left" w:pos="640"/>
          <w:tab w:val="left" w:pos="840"/>
          <w:tab w:val="left" w:pos="1260"/>
          <w:tab w:val="left" w:pos="1418"/>
        </w:tabs>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注：代理机构将于截标当日同步通过上述网站进行查询，查询结果与供应商填报信息不一致的，以代理机构于截标当日的查询结果为准。</w:t>
      </w:r>
    </w:p>
    <w:p>
      <w:pP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br w:type="page"/>
      </w:r>
    </w:p>
    <w:p>
      <w:pPr>
        <w:numPr>
          <w:ilvl w:val="0"/>
          <w:numId w:val="12"/>
        </w:numPr>
        <w:tabs>
          <w:tab w:val="left" w:pos="640"/>
          <w:tab w:val="left" w:pos="8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投标人认为有必要提供的其他材料。</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（三）技术部分</w:t>
      </w:r>
    </w:p>
    <w:p>
      <w:pPr>
        <w:numPr>
          <w:ilvl w:val="0"/>
          <w:numId w:val="15"/>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用户需求响应表；</w:t>
      </w:r>
    </w:p>
    <w:p>
      <w:pPr>
        <w:spacing w:after="78" w:line="360" w:lineRule="auto"/>
        <w:jc w:val="center"/>
        <w:rPr>
          <w:rFonts w:hint="eastAsia" w:ascii="宋体" w:hAnsi="宋体" w:cs="宋体"/>
          <w:b/>
          <w:bCs/>
          <w:color w:val="000000" w:themeColor="text1"/>
          <w:sz w:val="24"/>
          <w:lang w:val="fr-CH"/>
          <w14:textFill>
            <w14:solidFill>
              <w14:schemeClr w14:val="tx1"/>
            </w14:solidFill>
          </w14:textFill>
        </w:rPr>
      </w:pPr>
      <w:r>
        <w:rPr>
          <w:rFonts w:hint="eastAsia" w:ascii="宋体" w:hAnsi="宋体" w:cs="宋体"/>
          <w:b/>
          <w:bCs/>
          <w:color w:val="000000" w:themeColor="text1"/>
          <w:sz w:val="24"/>
          <w:lang w:val="fr-CH"/>
          <w14:textFill>
            <w14:solidFill>
              <w14:schemeClr w14:val="tx1"/>
            </w14:solidFill>
          </w14:textFill>
        </w:rPr>
        <w:t>用户需求响应表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 xml:space="preserve">                                      </w:t>
      </w:r>
    </w:p>
    <w:p>
      <w:pPr>
        <w:spacing w:after="78"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据招标文件要求，我公司承诺响应如下：</w:t>
      </w:r>
    </w:p>
    <w:tbl>
      <w:tblPr>
        <w:tblStyle w:val="18"/>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052"/>
        <w:gridCol w:w="2106"/>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Ex>
        <w:trPr>
          <w:jc w:val="center"/>
        </w:trPr>
        <w:tc>
          <w:tcPr>
            <w:tcW w:w="878" w:type="dxa"/>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序号</w:t>
            </w:r>
          </w:p>
        </w:tc>
        <w:tc>
          <w:tcPr>
            <w:tcW w:w="3507" w:type="dxa"/>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招标文件要求</w:t>
            </w:r>
          </w:p>
        </w:tc>
        <w:tc>
          <w:tcPr>
            <w:tcW w:w="3052" w:type="dxa"/>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投标文件响应</w:t>
            </w:r>
          </w:p>
        </w:tc>
        <w:tc>
          <w:tcPr>
            <w:tcW w:w="2106" w:type="dxa"/>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偏离说明（无偏离/正偏离/负偏离）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p>
        </w:tc>
        <w:tc>
          <w:tcPr>
            <w:tcW w:w="3507" w:type="dxa"/>
            <w:vAlign w:val="center"/>
          </w:tcPr>
          <w:p>
            <w:pPr>
              <w:spacing w:after="78"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本项目“用户需求书”的全部内容为项目正常开展的基本要求，投标人必须完全响应满足招标文件“第五章 用户需求书”的全部内容，否则将导致投标无效</w:t>
            </w:r>
            <w:r>
              <w:rPr>
                <w:rFonts w:hint="eastAsia" w:ascii="宋体" w:hAnsi="宋体" w:cs="宋体"/>
                <w:bCs/>
                <w:color w:val="000000" w:themeColor="text1"/>
                <w:sz w:val="24"/>
                <w14:textFill>
                  <w14:solidFill>
                    <w14:schemeClr w14:val="tx1"/>
                  </w14:solidFill>
                </w14:textFill>
              </w:rPr>
              <w:t>。如投标人中标后被发现不能满足招标文件“第五章 用户需求书”的，采购单位有权拒绝</w:t>
            </w:r>
            <w:r>
              <w:rPr>
                <w:rFonts w:hint="eastAsia" w:ascii="宋体" w:hAnsi="宋体" w:cs="宋体"/>
                <w:bCs/>
                <w:color w:val="000000" w:themeColor="text1"/>
                <w:sz w:val="24"/>
                <w:lang w:eastAsia="zh-CN"/>
                <w14:textFill>
                  <w14:solidFill>
                    <w14:schemeClr w14:val="tx1"/>
                  </w14:solidFill>
                </w14:textFill>
              </w:rPr>
              <w:t>签订</w:t>
            </w:r>
            <w:r>
              <w:rPr>
                <w:rFonts w:hint="eastAsia" w:ascii="宋体" w:hAnsi="宋体" w:cs="宋体"/>
                <w:bCs/>
                <w:color w:val="000000" w:themeColor="text1"/>
                <w:sz w:val="24"/>
                <w14:textFill>
                  <w14:solidFill>
                    <w14:schemeClr w14:val="tx1"/>
                  </w14:solidFill>
                </w14:textFill>
              </w:rPr>
              <w:t>合同，一切后果由投标人承担。</w:t>
            </w:r>
          </w:p>
        </w:tc>
        <w:tc>
          <w:tcPr>
            <w:tcW w:w="3052" w:type="dxa"/>
            <w:vAlign w:val="center"/>
          </w:tcPr>
          <w:p>
            <w:pPr>
              <w:spacing w:line="360" w:lineRule="auto"/>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填写说明：此项投标人必须完全响应满足，请投标人于“投标文件响应”栏中填写“投标人完全响应满足招标文件“第五章 用户需求书”的全部内容”即可；</w:t>
            </w:r>
          </w:p>
          <w:p>
            <w:pPr>
              <w:spacing w:line="360" w:lineRule="auto"/>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无需另行编制填写内容。</w:t>
            </w:r>
          </w:p>
        </w:tc>
        <w:tc>
          <w:tcPr>
            <w:tcW w:w="2106" w:type="dxa"/>
            <w:vAlign w:val="center"/>
          </w:tcPr>
          <w:p>
            <w:pPr>
              <w:spacing w:line="360" w:lineRule="auto"/>
              <w:jc w:val="center"/>
              <w:rPr>
                <w:rFonts w:hint="eastAsia" w:ascii="宋体" w:hAnsi="宋体" w:cs="宋体"/>
                <w:bCs/>
                <w:color w:val="000000" w:themeColor="text1"/>
                <w:sz w:val="24"/>
                <w14:textFill>
                  <w14:solidFill>
                    <w14:schemeClr w14:val="tx1"/>
                  </w14:solidFill>
                </w14:textFill>
              </w:rPr>
            </w:pPr>
          </w:p>
        </w:tc>
      </w:tr>
    </w:tbl>
    <w:p>
      <w:pPr>
        <w:spacing w:after="78" w:line="360" w:lineRule="auto"/>
        <w:rPr>
          <w:rFonts w:hint="eastAsia" w:ascii="宋体" w:hAnsi="宋体" w:cs="宋体"/>
          <w:bCs/>
          <w:color w:val="000000" w:themeColor="text1"/>
          <w:sz w:val="24"/>
          <w14:textFill>
            <w14:solidFill>
              <w14:schemeClr w14:val="tx1"/>
            </w14:solidFill>
          </w14:textFill>
        </w:rPr>
      </w:pPr>
    </w:p>
    <w:p>
      <w:pPr>
        <w:spacing w:after="78"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若响应情况优于招标要求，应作详细说明；“偏离情况”栏中根据响应情况填写，没有达到要求的填“负偏离”，达到要求的填“无偏离”，优于要求的填“正偏离”。</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p>
    <w:p>
      <w:pPr>
        <w:pStyle w:val="7"/>
        <w:spacing w:line="360" w:lineRule="auto"/>
        <w:rPr>
          <w:color w:val="000000" w:themeColor="text1"/>
          <w:lang w:val="fr-CH"/>
          <w14:textFill>
            <w14:solidFill>
              <w14:schemeClr w14:val="tx1"/>
            </w14:solidFill>
          </w14:textFill>
        </w:rPr>
      </w:pPr>
    </w:p>
    <w:p>
      <w:pPr>
        <w:numPr>
          <w:ilvl w:val="0"/>
          <w:numId w:val="15"/>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sq-AL"/>
          <w14:textFill>
            <w14:solidFill>
              <w14:schemeClr w14:val="tx1"/>
            </w14:solidFill>
          </w14:textFill>
        </w:rPr>
      </w:pPr>
      <w:r>
        <w:rPr>
          <w:rFonts w:hint="eastAsia" w:ascii="宋体" w:hAnsi="宋体" w:cs="宋体"/>
          <w:color w:val="000000" w:themeColor="text1"/>
          <w:sz w:val="24"/>
          <w:lang w:val="sq-AL"/>
          <w14:textFill>
            <w14:solidFill>
              <w14:schemeClr w14:val="tx1"/>
            </w14:solidFill>
          </w14:textFill>
        </w:rPr>
        <w:br w:type="page"/>
      </w:r>
      <w:r>
        <w:rPr>
          <w:rFonts w:hint="eastAsia" w:ascii="宋体" w:hAnsi="宋体" w:cs="宋体"/>
          <w:color w:val="000000" w:themeColor="text1"/>
          <w:sz w:val="24"/>
          <w:lang w:val="sq-AL"/>
          <w14:textFill>
            <w14:solidFill>
              <w14:schemeClr w14:val="tx1"/>
            </w14:solidFill>
          </w14:textFill>
        </w:rPr>
        <w:t>项目实施方案；</w:t>
      </w:r>
    </w:p>
    <w:p>
      <w:pPr>
        <w:numPr>
          <w:ilvl w:val="0"/>
          <w:numId w:val="15"/>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sq-AL"/>
          <w14:textFill>
            <w14:solidFill>
              <w14:schemeClr w14:val="tx1"/>
            </w14:solidFill>
          </w14:textFill>
        </w:rPr>
      </w:pPr>
      <w:r>
        <w:rPr>
          <w:rFonts w:hint="eastAsia" w:ascii="宋体" w:hAnsi="宋体" w:cs="宋体"/>
          <w:color w:val="000000" w:themeColor="text1"/>
          <w:sz w:val="24"/>
          <w:lang w:val="sq-AL"/>
          <w14:textFill>
            <w14:solidFill>
              <w14:schemeClr w14:val="tx1"/>
            </w14:solidFill>
          </w14:textFill>
        </w:rPr>
        <w:t>质量保障措施及方案；</w:t>
      </w:r>
    </w:p>
    <w:p>
      <w:pPr>
        <w:numPr>
          <w:ilvl w:val="0"/>
          <w:numId w:val="15"/>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sq-AL"/>
          <w14:textFill>
            <w14:solidFill>
              <w14:schemeClr w14:val="tx1"/>
            </w14:solidFill>
          </w14:textFill>
        </w:rPr>
      </w:pPr>
      <w:r>
        <w:rPr>
          <w:rFonts w:hint="eastAsia" w:ascii="宋体" w:hAnsi="宋体" w:cs="宋体"/>
          <w:color w:val="000000" w:themeColor="text1"/>
          <w:sz w:val="24"/>
          <w:lang w:val="sq-AL"/>
          <w14:textFill>
            <w14:solidFill>
              <w14:schemeClr w14:val="tx1"/>
            </w14:solidFill>
          </w14:textFill>
        </w:rPr>
        <w:t>项目重难点分析及相关的合理化建议；</w:t>
      </w:r>
    </w:p>
    <w:p>
      <w:pPr>
        <w:numPr>
          <w:ilvl w:val="0"/>
          <w:numId w:val="15"/>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sq-AL"/>
          <w14:textFill>
            <w14:solidFill>
              <w14:schemeClr w14:val="tx1"/>
            </w14:solidFill>
          </w14:textFill>
        </w:rPr>
      </w:pPr>
      <w:r>
        <w:rPr>
          <w:rFonts w:hint="eastAsia" w:ascii="宋体" w:hAnsi="宋体" w:cs="宋体"/>
          <w:color w:val="000000" w:themeColor="text1"/>
          <w:sz w:val="24"/>
          <w:lang w:val="sq-AL"/>
          <w14:textFill>
            <w14:solidFill>
              <w14:schemeClr w14:val="tx1"/>
            </w14:solidFill>
          </w14:textFill>
        </w:rPr>
        <w:t>项目完成（服务期满）后的服务承诺；</w:t>
      </w: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注：以上各项请根据“招标项目评分表”中的要求自行填写并提供相应的证明材料。</w:t>
      </w:r>
    </w:p>
    <w:p>
      <w:pPr>
        <w:numPr>
          <w:ilvl w:val="0"/>
          <w:numId w:val="15"/>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投标人认为有必要提供的其他材料。</w:t>
      </w:r>
      <w:bookmarkEnd w:id="35"/>
    </w:p>
    <w:p>
      <w:pPr>
        <w:tabs>
          <w:tab w:val="left" w:pos="360"/>
        </w:tabs>
        <w:spacing w:line="300" w:lineRule="auto"/>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bookmarkStart w:id="43" w:name="_Toc6251"/>
      <w:bookmarkStart w:id="44" w:name="_Toc742"/>
      <w:r>
        <w:rPr>
          <w:rFonts w:hint="eastAsia" w:ascii="宋体" w:hAnsi="宋体" w:cs="宋体"/>
          <w:b/>
          <w:bCs/>
          <w:color w:val="000000" w:themeColor="text1"/>
          <w:sz w:val="24"/>
          <w14:textFill>
            <w14:solidFill>
              <w14:schemeClr w14:val="tx1"/>
            </w14:solidFill>
          </w14:textFill>
        </w:rPr>
        <w:t>附件：相关政策</w:t>
      </w:r>
      <w:bookmarkEnd w:id="43"/>
      <w:bookmarkEnd w:id="44"/>
    </w:p>
    <w:p>
      <w:pPr>
        <w:tabs>
          <w:tab w:val="left" w:pos="360"/>
        </w:tabs>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1、财政部、工业和信息化部《关于印发〈政府采购促进中小企业发展管理办法〉的通知》（财库〔2020〕46 号）</w:t>
      </w:r>
    </w:p>
    <w:p>
      <w:pPr>
        <w:pStyle w:val="7"/>
        <w:tabs>
          <w:tab w:val="left" w:pos="562"/>
          <w:tab w:val="left" w:pos="3372"/>
          <w:tab w:val="left" w:pos="3653"/>
        </w:tabs>
        <w:rPr>
          <w:rFonts w:hint="eastAsia" w:ascii="宋体" w:hAnsi="宋体" w:cs="宋体"/>
          <w:color w:val="000000" w:themeColor="text1"/>
          <w14:textFill>
            <w14:solidFill>
              <w14:schemeClr w14:val="tx1"/>
            </w14:solidFill>
          </w14:textFill>
        </w:rPr>
      </w:pPr>
    </w:p>
    <w:p>
      <w:pPr>
        <w:widowControl/>
        <w:shd w:val="clear" w:color="auto" w:fill="FFFFFF"/>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关于印发《政府采购促进中小企业发展管理办法》的通知</w:t>
      </w:r>
    </w:p>
    <w:p>
      <w:pPr>
        <w:widowControl/>
        <w:shd w:val="clear" w:color="auto" w:fill="FFFFFF"/>
        <w:spacing w:after="240"/>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财库〔2020〕46号</w:t>
      </w:r>
    </w:p>
    <w:p>
      <w:pPr>
        <w:widowControl/>
        <w:shd w:val="clear" w:color="auto" w:fill="FFFFFF"/>
        <w:spacing w:after="24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各中央预算单位办公厅（室），各省、自治区、直辖市、计划单列市财政厅（局）、工业和信息化主管部门，新疆生产建设兵团财政局、工业和信息化主管部门：</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附件：政府采购促进中小企业发展管理办法</w:t>
      </w:r>
    </w:p>
    <w:p>
      <w:pPr>
        <w:widowControl/>
        <w:shd w:val="clear" w:color="auto" w:fill="FFFFFF"/>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财  政  部</w:t>
      </w:r>
    </w:p>
    <w:p>
      <w:pPr>
        <w:widowControl/>
        <w:shd w:val="clear" w:color="auto" w:fill="FFFFFF"/>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工业和信息化部</w:t>
      </w:r>
    </w:p>
    <w:p>
      <w:pPr>
        <w:widowControl/>
        <w:shd w:val="clear" w:color="auto" w:fill="FFFFFF"/>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2020年12月18日</w:t>
      </w:r>
    </w:p>
    <w:p>
      <w:pPr>
        <w:autoSpaceDE w:val="0"/>
        <w:autoSpaceDN w:val="0"/>
        <w:adjustRightInd w:val="0"/>
        <w:jc w:val="left"/>
        <w:rPr>
          <w:rFonts w:hint="eastAsia" w:ascii="宋体" w:hAnsi="宋体" w:cs="宋体"/>
          <w:color w:val="000000" w:themeColor="text1"/>
          <w:kern w:val="0"/>
          <w:sz w:val="24"/>
          <w14:textFill>
            <w14:solidFill>
              <w14:schemeClr w14:val="tx1"/>
            </w14:solidFill>
          </w14:textFill>
        </w:rPr>
      </w:pPr>
    </w:p>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政府采购促进中小企业发展管理办法</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第一条 为了发挥政府采购的政策功能，促进中小企业健康发展，根据《中华人民共和国政府采购法》、《中华人民共和国中小企业促进法》等有关法律法规，制定本办法。</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第三条 采购人在政府采购活动中应当通过加强采购需求管理，落实预留采购份额、价格评审优惠、优先采购等 措施，提高中小企业在政府采购中的份额，支持中小企业发展。</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第四条 在政府采购活动中，供应商提供的货物、工程或者服务符合下列情形的，享受本办法规定的中小企业扶持政策：</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（一）在货物采购项目中，货物由中小企业制造，即货 物由中小企业生产且使用该中小企业商号或者注册商标；</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（二）在工程采购项目中，工程由中小企业承建，即工 程施工单位为中小企业；</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（三）在服务采购项目中，服务由中小企业承接，即提供服务的人员为中小企业依照《中华人民共和国劳动合同法》订立劳动合同的从业人员。</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在货物采购项目中，供应商提供的货物既有中小企业制造货物，也有大型企业制造货物的，不享受本办法规定的中小企业扶持政策。</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以联合体形式参加政府采购活动，联合体各方均为中小企业的，联合体视同中小企业。其中，联合体各方均为小微企业的，联合体视同小微企业。</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7"/>
        <w:tabs>
          <w:tab w:val="left" w:pos="562"/>
          <w:tab w:val="left" w:pos="3372"/>
          <w:tab w:val="left" w:pos="3653"/>
        </w:tabs>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符合下列情形之一的，可不专门面向中小企业预留采购</w:t>
      </w:r>
      <w:r>
        <w:rPr>
          <w:rFonts w:hint="eastAsia" w:ascii="宋体" w:hAnsi="宋体" w:cs="宋体"/>
          <w:color w:val="000000" w:themeColor="text1"/>
          <w14:textFill>
            <w14:solidFill>
              <w14:schemeClr w14:val="tx1"/>
            </w14:solidFill>
          </w14:textFill>
        </w:rPr>
        <w:t>份额：</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（一）法律法规和国家有关政策明确规定优先或者应当面向事业单位、社会组织等非企业主体采购的；</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（二）因确需使用不可替代的专利、专有技术，基础设施限制，或者提供特定公共服务等原因，只能从中小企业之外的供应商处采购的；</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（三）按照本办法规定预留采购份额无法确保充分供应、充分竞争，或者存在可能影响政府采购目标实现的情形；</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（四）框架协议采购项目；</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（五）省级以上人民政府财政部门规定的其他情形。 除上述情形外，其他均为适宜由中小企业提供的情形。</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第七条采购限额标准以上，200万元以下的货物和服务采购项目、400 万元以下的工程采购项目，适宜由中小企业提供的，采购人应当专门面向中小企业采购。</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（一）将采购项目整体或者设置采购包专门面向中小企业采购；</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（二）要求供应商以联合体形式参加采购活动，且联合体中中小企业承担的部分达到一定比例；</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（三）要求获得采购合同的供应商将采购项目中的一定比例分包给一家或者多家中小企业。</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组成联合体或者接受分包合同的中小企业与联合体内 其他企业、分包企业之间不得存在直接控股、管理关系。</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第十二条 采购项目涉及中小企业采购的，采购文件应当明确以下内容：</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（一）预留份额的采购项目或者采购包，明确该项目或相关采购包专门面向中小企业采购，以及相关标的及预算金额；</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（二）要求以联合体形式参加或者合同分包的，明确联合协议或者分包意向协议中中小企业合同金额应当达到的 比例，并作为供应商资格条件；</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（三）非预留份额的采购项目或者采购包，明确有关价格扣除比例或者价格分加分比例；</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（四）规定依据本办法规定享受扶持政策获得政府采购合同的，小微企业不得将合同分包给大中型企业，中型企业不得将合同分包给大型企业；</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（五）采购人认为具备相关条件的，明确对中小企业在资金支付期限、预付款比例等方面的优惠措施；</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（六）明确采购标的对应的中小企业划分标准所属行业；</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（七）法律法规和省级以上人民政府财政部门规定的其他事项。</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第十三条 中标、成交供应商享受本办法规定的中小企业扶持政策的，采购人、采购代理机构应当随中标、成交结果公开中标、成交供应商的《中小企业声明函》。</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适用招标投标法的政府采购工程建设项目，应当在公示中标候选人时公开中标候选人的《中小企业声明函》。</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第十四条 对于通过预留采购项目、预留专门采购包、要求以联合体形式参加或者合同分包等措施</w:t>
      </w:r>
      <w:r>
        <w:rPr>
          <w:rFonts w:hint="eastAsia" w:ascii="宋体" w:hAnsi="宋体" w:cs="宋体"/>
          <w:color w:val="000000" w:themeColor="text1"/>
          <w:kern w:val="0"/>
          <w:lang w:eastAsia="zh-CN"/>
          <w14:textFill>
            <w14:solidFill>
              <w14:schemeClr w14:val="tx1"/>
            </w14:solidFill>
          </w14:textFill>
        </w:rPr>
        <w:t>签订</w:t>
      </w:r>
      <w:r>
        <w:rPr>
          <w:rFonts w:hint="eastAsia" w:ascii="宋体" w:hAnsi="宋体" w:cs="宋体"/>
          <w:color w:val="000000" w:themeColor="text1"/>
          <w:kern w:val="0"/>
          <w14:textFill>
            <w14:solidFill>
              <w14:schemeClr w14:val="tx1"/>
            </w14:solidFill>
          </w14:textFill>
        </w:rPr>
        <w:t>的采购合同，应当明确标注本合同为中小企业预留合同。其中，要求以联合体形式参加采购活动或者合同分包的，应当将联合协议或者分包意向协议作为采购合同的组成部分。</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第十五条 鼓励各地区、各部门在采购活动中允许中小企业引入信用担保手段，为中小企业在投标（响应）保证、履约保证等方面提供专业化服务。鼓励中小企业依法合规通过政府采购合同融资。</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第十六条 政府采购监督检查、投诉处理及政府采购行政处罚中对中小企业的认定，由货物制造商或者工程、服务供应商注册登记所在地的县级以上人民政府中小企业主管部门负责。</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中小企业主管部门应当在收到财政部门或者有关招标 投标行政监督部门关于协助开展中小企业认定函后 10 个工作日内做出书面答复。</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第二十条 供应商按照本办法规定提供声明函内容不实的，属于提供虚假材料谋取中标、成交，依照《中华人民共和国政府采购法》等国家有关规定追究相应责任。</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适用招标投标法的政府采购工程建设项目，投标人按照 本办法规定提供声明函内容不实的，属于弄虚作假骗取中标，依照《中华人民共和国招标投标法》等国家有关规定追究相应责任。</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第二十二条 对外援助项目、国家相关资格或者资质管理制度另有规定的项目，不适用本办法。</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第二十三条 关于视同中小企业的其他主体的政府采购扶持政策，由财政部会同有关部门另行规定。</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第二十四条 省级财政部门可以会同中小企业主管部门根据本办法的规定制定具体实施办法。</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第二十五条 本办法自 2021 年 1 月 1 日起施行。《财政部 工业和信息化部关于印发〈政府采购促进中小企业发展暂行办法〉的通知》（财库﹝2011﹞181 号）同时废止。</w:t>
      </w:r>
    </w:p>
    <w:p>
      <w:pPr>
        <w:pStyle w:val="7"/>
        <w:tabs>
          <w:tab w:val="left" w:pos="562"/>
          <w:tab w:val="left" w:pos="3372"/>
          <w:tab w:val="left" w:pos="3653"/>
        </w:tabs>
        <w:spacing w:before="5"/>
        <w:rPr>
          <w:rFonts w:hint="eastAsia" w:ascii="宋体" w:hAnsi="宋体" w:cs="宋体"/>
          <w:color w:val="000000" w:themeColor="text1"/>
          <w14:textFill>
            <w14:solidFill>
              <w14:schemeClr w14:val="tx1"/>
            </w14:solidFill>
          </w14:textFill>
        </w:rPr>
      </w:pPr>
    </w:p>
    <w:p>
      <w:pPr>
        <w:pStyle w:val="7"/>
        <w:tabs>
          <w:tab w:val="left" w:pos="562"/>
          <w:tab w:val="left" w:pos="3372"/>
          <w:tab w:val="left" w:pos="3653"/>
        </w:tabs>
        <w:ind w:firstLine="480" w:firstLineChars="200"/>
        <w:outlineLvl w:val="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附：1.中小企业声明函</w:t>
      </w:r>
    </w:p>
    <w:p>
      <w:pPr>
        <w:pStyle w:val="7"/>
        <w:tabs>
          <w:tab w:val="left" w:pos="562"/>
          <w:tab w:val="left" w:pos="3372"/>
          <w:tab w:val="left" w:pos="3653"/>
        </w:tabs>
        <w:ind w:firstLine="960" w:firstLineChars="4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2.面向中小企业预留项目执行情况公告</w:t>
      </w:r>
    </w:p>
    <w:p>
      <w:pPr>
        <w:pStyle w:val="7"/>
        <w:tabs>
          <w:tab w:val="left" w:pos="562"/>
          <w:tab w:val="left" w:pos="3372"/>
          <w:tab w:val="left" w:pos="3653"/>
        </w:tabs>
        <w:spacing w:before="30"/>
        <w:outlineLvl w:val="0"/>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br w:type="page"/>
      </w:r>
      <w:r>
        <w:rPr>
          <w:rFonts w:hint="eastAsia" w:ascii="宋体" w:hAnsi="宋体" w:cs="宋体"/>
          <w:b/>
          <w:bCs/>
          <w:color w:val="000000" w:themeColor="text1"/>
          <w14:textFill>
            <w14:solidFill>
              <w14:schemeClr w14:val="tx1"/>
            </w14:solidFill>
          </w14:textFill>
        </w:rPr>
        <w:t>附 1</w:t>
      </w:r>
    </w:p>
    <w:p>
      <w:pPr>
        <w:spacing w:after="319" w:afterLines="10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中小企业声明函（货物）</w:t>
      </w:r>
    </w:p>
    <w:p>
      <w:pPr>
        <w:pStyle w:val="7"/>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spacing w:val="-2"/>
          <w:u w:val="single"/>
          <w14:textFill>
            <w14:solidFill>
              <w14:schemeClr w14:val="tx1"/>
            </w14:solidFill>
          </w14:textFill>
        </w:rPr>
        <w:t>单位名称</w:t>
      </w:r>
      <w:r>
        <w:rPr>
          <w:rFonts w:hint="eastAsia" w:ascii="宋体" w:hAnsi="宋体" w:cs="宋体"/>
          <w:color w:val="000000" w:themeColor="text1"/>
          <w:spacing w:val="-2"/>
          <w14:textFill>
            <w14:solidFill>
              <w14:schemeClr w14:val="tx1"/>
            </w14:solidFill>
          </w14:textFill>
        </w:rPr>
        <w:t>）的（</w:t>
      </w:r>
      <w:r>
        <w:rPr>
          <w:rFonts w:hint="eastAsia" w:ascii="宋体" w:hAnsi="宋体" w:cs="宋体"/>
          <w:color w:val="000000" w:themeColor="text1"/>
          <w:spacing w:val="-2"/>
          <w:u w:val="single"/>
          <w14:textFill>
            <w14:solidFill>
              <w14:schemeClr w14:val="tx1"/>
            </w14:solidFill>
          </w14:textFill>
        </w:rPr>
        <w:t>项目名称</w:t>
      </w:r>
      <w:r>
        <w:rPr>
          <w:rFonts w:hint="eastAsia" w:ascii="宋体" w:hAnsi="宋体" w:cs="宋体"/>
          <w:color w:val="000000" w:themeColor="text1"/>
          <w:spacing w:val="-2"/>
          <w14:textFill>
            <w14:solidFill>
              <w14:schemeClr w14:val="tx1"/>
            </w14:solidFill>
          </w14:textFill>
        </w:rPr>
        <w:t>）采购活动，提供的货物全部由符合政策要求的中小企业制造。相关企业（含联合体中的中小企业、</w:t>
      </w:r>
      <w:r>
        <w:rPr>
          <w:rFonts w:hint="eastAsia" w:ascii="宋体" w:hAnsi="宋体" w:cs="宋体"/>
          <w:color w:val="000000" w:themeColor="text1"/>
          <w:spacing w:val="-2"/>
          <w:lang w:eastAsia="zh-CN"/>
          <w14:textFill>
            <w14:solidFill>
              <w14:schemeClr w14:val="tx1"/>
            </w14:solidFill>
          </w14:textFill>
        </w:rPr>
        <w:t>签订</w:t>
      </w:r>
      <w:r>
        <w:rPr>
          <w:rFonts w:hint="eastAsia" w:ascii="宋体" w:hAnsi="宋体" w:cs="宋体"/>
          <w:color w:val="000000" w:themeColor="text1"/>
          <w:spacing w:val="-2"/>
          <w14:textFill>
            <w14:solidFill>
              <w14:schemeClr w14:val="tx1"/>
            </w14:solidFill>
          </w14:textFill>
        </w:rPr>
        <w:t>分包意向协议的中小企业） 的具体情况如下：</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u w:val="single"/>
          <w14:textFill>
            <w14:solidFill>
              <w14:schemeClr w14:val="tx1"/>
            </w14:solidFill>
          </w14:textFill>
        </w:rPr>
        <w:t>标的名称</w:t>
      </w:r>
      <w:r>
        <w:rPr>
          <w:rFonts w:hint="eastAsia" w:ascii="宋体" w:hAnsi="宋体" w:cs="宋体"/>
          <w:color w:val="000000" w:themeColor="text1"/>
          <w:kern w:val="0"/>
          <w14:textFill>
            <w14:solidFill>
              <w14:schemeClr w14:val="tx1"/>
            </w14:solidFill>
          </w14:textFill>
        </w:rPr>
        <w:t>），属于（</w:t>
      </w:r>
      <w:r>
        <w:rPr>
          <w:rFonts w:hint="eastAsia" w:ascii="宋体" w:hAnsi="宋体" w:cs="宋体"/>
          <w:color w:val="000000" w:themeColor="text1"/>
          <w:kern w:val="0"/>
          <w:u w:val="single"/>
          <w14:textFill>
            <w14:solidFill>
              <w14:schemeClr w14:val="tx1"/>
            </w14:solidFill>
          </w14:textFill>
        </w:rPr>
        <w:t>采购文件中明确的所属行业</w:t>
      </w:r>
      <w:r>
        <w:rPr>
          <w:rFonts w:hint="eastAsia" w:ascii="宋体" w:hAnsi="宋体" w:cs="宋体"/>
          <w:color w:val="000000" w:themeColor="text1"/>
          <w:kern w:val="0"/>
          <w14:textFill>
            <w14:solidFill>
              <w14:schemeClr w14:val="tx1"/>
            </w14:solidFill>
          </w14:textFill>
        </w:rPr>
        <w:t>）；制造商为（</w:t>
      </w:r>
      <w:r>
        <w:rPr>
          <w:rFonts w:hint="eastAsia" w:ascii="宋体" w:hAnsi="宋体" w:cs="宋体"/>
          <w:color w:val="000000" w:themeColor="text1"/>
          <w:kern w:val="0"/>
          <w:u w:val="single"/>
          <w14:textFill>
            <w14:solidFill>
              <w14:schemeClr w14:val="tx1"/>
            </w14:solidFill>
          </w14:textFill>
        </w:rPr>
        <w:t>企业名称</w:t>
      </w:r>
      <w:r>
        <w:rPr>
          <w:rFonts w:hint="eastAsia" w:ascii="宋体" w:hAnsi="宋体" w:cs="宋体"/>
          <w:color w:val="000000" w:themeColor="text1"/>
          <w:kern w:val="0"/>
          <w14:textFill>
            <w14:solidFill>
              <w14:schemeClr w14:val="tx1"/>
            </w14:solidFill>
          </w14:textFill>
        </w:rPr>
        <w:t>），从业人员</w:t>
      </w:r>
      <w:r>
        <w:rPr>
          <w:rFonts w:hint="eastAsia" w:ascii="宋体" w:hAnsi="宋体" w:cs="宋体"/>
          <w:color w:val="000000" w:themeColor="text1"/>
          <w:kern w:val="0"/>
          <w:u w:val="single"/>
          <w14:textFill>
            <w14:solidFill>
              <w14:schemeClr w14:val="tx1"/>
            </w14:solidFill>
          </w14:textFill>
        </w:rPr>
        <w:tab/>
      </w:r>
      <w:r>
        <w:rPr>
          <w:rFonts w:hint="eastAsia" w:ascii="宋体" w:hAnsi="宋体" w:cs="宋体"/>
          <w:color w:val="000000" w:themeColor="text1"/>
          <w:kern w:val="0"/>
          <w14:textFill>
            <w14:solidFill>
              <w14:schemeClr w14:val="tx1"/>
            </w14:solidFill>
          </w14:textFill>
        </w:rPr>
        <w:t xml:space="preserve">人，营业收入为 </w:t>
      </w:r>
      <w:r>
        <w:rPr>
          <w:rFonts w:hint="eastAsia" w:ascii="宋体" w:hAnsi="宋体" w:cs="宋体"/>
          <w:color w:val="000000" w:themeColor="text1"/>
          <w:kern w:val="0"/>
          <w:u w:val="single"/>
          <w14:textFill>
            <w14:solidFill>
              <w14:schemeClr w14:val="tx1"/>
            </w14:solidFill>
          </w14:textFill>
        </w:rPr>
        <w:tab/>
      </w:r>
      <w:r>
        <w:rPr>
          <w:rFonts w:hint="eastAsia" w:ascii="宋体" w:hAnsi="宋体" w:cs="宋体"/>
          <w:color w:val="000000" w:themeColor="text1"/>
          <w:kern w:val="0"/>
          <w14:textFill>
            <w14:solidFill>
              <w14:schemeClr w14:val="tx1"/>
            </w14:solidFill>
          </w14:textFill>
        </w:rPr>
        <w:t>万元，资产总额为</w:t>
      </w:r>
      <w:r>
        <w:rPr>
          <w:rFonts w:hint="eastAsia" w:ascii="宋体" w:hAnsi="宋体" w:cs="宋体"/>
          <w:color w:val="000000" w:themeColor="text1"/>
          <w:kern w:val="0"/>
          <w:u w:val="single"/>
          <w14:textFill>
            <w14:solidFill>
              <w14:schemeClr w14:val="tx1"/>
            </w14:solidFill>
          </w14:textFill>
        </w:rPr>
        <w:tab/>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万元，属于（</w:t>
      </w:r>
      <w:r>
        <w:rPr>
          <w:rFonts w:hint="eastAsia" w:ascii="宋体" w:hAnsi="宋体" w:cs="宋体"/>
          <w:color w:val="000000" w:themeColor="text1"/>
          <w:kern w:val="0"/>
          <w:u w:val="single"/>
          <w14:textFill>
            <w14:solidFill>
              <w14:schemeClr w14:val="tx1"/>
            </w14:solidFill>
          </w14:textFill>
        </w:rPr>
        <w:t>中型企业、小型企业、微型企业</w:t>
      </w:r>
      <w:r>
        <w:rPr>
          <w:rFonts w:hint="eastAsia" w:ascii="宋体" w:hAnsi="宋体" w:cs="宋体"/>
          <w:color w:val="000000" w:themeColor="text1"/>
          <w:kern w:val="0"/>
          <w14:textFill>
            <w14:solidFill>
              <w14:schemeClr w14:val="tx1"/>
            </w14:solidFill>
          </w14:textFill>
        </w:rPr>
        <w:t>）；</w:t>
      </w:r>
    </w:p>
    <w:p>
      <w:pPr>
        <w:pStyle w:val="7"/>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2、（</w:t>
      </w:r>
      <w:r>
        <w:rPr>
          <w:rFonts w:hint="eastAsia" w:ascii="宋体" w:hAnsi="宋体" w:cs="宋体"/>
          <w:color w:val="000000" w:themeColor="text1"/>
          <w:spacing w:val="-2"/>
          <w:u w:val="single"/>
          <w14:textFill>
            <w14:solidFill>
              <w14:schemeClr w14:val="tx1"/>
            </w14:solidFill>
          </w14:textFill>
        </w:rPr>
        <w:t>标的名称</w:t>
      </w:r>
      <w:r>
        <w:rPr>
          <w:rFonts w:hint="eastAsia" w:ascii="宋体" w:hAnsi="宋体" w:cs="宋体"/>
          <w:color w:val="000000" w:themeColor="text1"/>
          <w:spacing w:val="-2"/>
          <w14:textFill>
            <w14:solidFill>
              <w14:schemeClr w14:val="tx1"/>
            </w14:solidFill>
          </w14:textFill>
        </w:rPr>
        <w:t>），属于（</w:t>
      </w:r>
      <w:r>
        <w:rPr>
          <w:rFonts w:hint="eastAsia" w:ascii="宋体" w:hAnsi="宋体" w:cs="宋体"/>
          <w:color w:val="000000" w:themeColor="text1"/>
          <w:spacing w:val="-2"/>
          <w:u w:val="single"/>
          <w14:textFill>
            <w14:solidFill>
              <w14:schemeClr w14:val="tx1"/>
            </w14:solidFill>
          </w14:textFill>
        </w:rPr>
        <w:t>采购文件中明确的所属行业</w:t>
      </w:r>
      <w:r>
        <w:rPr>
          <w:rFonts w:hint="eastAsia" w:ascii="宋体" w:hAnsi="宋体" w:cs="宋体"/>
          <w:color w:val="000000" w:themeColor="text1"/>
          <w:spacing w:val="-2"/>
          <w14:textFill>
            <w14:solidFill>
              <w14:schemeClr w14:val="tx1"/>
            </w14:solidFill>
          </w14:textFill>
        </w:rPr>
        <w:t>）；制造商为（</w:t>
      </w:r>
      <w:r>
        <w:rPr>
          <w:rFonts w:hint="eastAsia" w:ascii="宋体" w:hAnsi="宋体" w:cs="宋体"/>
          <w:color w:val="000000" w:themeColor="text1"/>
          <w:spacing w:val="-2"/>
          <w:u w:val="single"/>
          <w14:textFill>
            <w14:solidFill>
              <w14:schemeClr w14:val="tx1"/>
            </w14:solidFill>
          </w14:textFill>
        </w:rPr>
        <w:t>企业名称</w:t>
      </w:r>
      <w:r>
        <w:rPr>
          <w:rFonts w:hint="eastAsia" w:ascii="宋体" w:hAnsi="宋体" w:cs="宋体"/>
          <w:color w:val="000000" w:themeColor="text1"/>
          <w:spacing w:val="-2"/>
          <w14:textFill>
            <w14:solidFill>
              <w14:schemeClr w14:val="tx1"/>
            </w14:solidFill>
          </w14:textFill>
        </w:rPr>
        <w:t>），从业人员</w:t>
      </w:r>
      <w:r>
        <w:rPr>
          <w:rFonts w:hint="eastAsia" w:ascii="宋体" w:hAnsi="宋体" w:cs="宋体"/>
          <w:color w:val="000000" w:themeColor="text1"/>
          <w:spacing w:val="-2"/>
          <w:u w:val="single"/>
          <w14:textFill>
            <w14:solidFill>
              <w14:schemeClr w14:val="tx1"/>
            </w14:solidFill>
          </w14:textFill>
        </w:rPr>
        <w:t xml:space="preserve">    </w:t>
      </w:r>
      <w:r>
        <w:rPr>
          <w:rFonts w:hint="eastAsia" w:ascii="宋体" w:hAnsi="宋体" w:cs="宋体"/>
          <w:color w:val="000000" w:themeColor="text1"/>
          <w:spacing w:val="-2"/>
          <w14:textFill>
            <w14:solidFill>
              <w14:schemeClr w14:val="tx1"/>
            </w14:solidFill>
          </w14:textFill>
        </w:rPr>
        <w:t>人，营业收入为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万元，资产总额为</w:t>
      </w:r>
      <w:r>
        <w:rPr>
          <w:rFonts w:hint="eastAsia" w:ascii="宋体" w:hAnsi="宋体" w:cs="宋体"/>
          <w:color w:val="000000" w:themeColor="text1"/>
          <w:spacing w:val="-2"/>
          <w:u w:val="single"/>
          <w14:textFill>
            <w14:solidFill>
              <w14:schemeClr w14:val="tx1"/>
            </w14:solidFill>
          </w14:textFill>
        </w:rPr>
        <w:t xml:space="preserve">   </w:t>
      </w:r>
      <w:r>
        <w:rPr>
          <w:rFonts w:hint="eastAsia" w:ascii="宋体" w:hAnsi="宋体" w:cs="宋体"/>
          <w:color w:val="000000" w:themeColor="text1"/>
          <w:spacing w:val="-2"/>
          <w14:textFill>
            <w14:solidFill>
              <w14:schemeClr w14:val="tx1"/>
            </w14:solidFill>
          </w14:textFill>
        </w:rPr>
        <w:t>万元，属于（</w:t>
      </w:r>
      <w:r>
        <w:rPr>
          <w:rFonts w:hint="eastAsia" w:ascii="宋体" w:hAnsi="宋体" w:cs="宋体"/>
          <w:color w:val="000000" w:themeColor="text1"/>
          <w:spacing w:val="-2"/>
          <w:u w:val="single"/>
          <w14:textFill>
            <w14:solidFill>
              <w14:schemeClr w14:val="tx1"/>
            </w14:solidFill>
          </w14:textFill>
        </w:rPr>
        <w:t>中型企业、小型企业、微型企业</w:t>
      </w:r>
      <w:r>
        <w:rPr>
          <w:rFonts w:hint="eastAsia" w:ascii="宋体" w:hAnsi="宋体" w:cs="宋体"/>
          <w:color w:val="000000" w:themeColor="text1"/>
          <w:spacing w:val="-2"/>
          <w14:textFill>
            <w14:solidFill>
              <w14:schemeClr w14:val="tx1"/>
            </w14:solidFill>
          </w14:textFill>
        </w:rPr>
        <w:t>）；</w:t>
      </w:r>
    </w:p>
    <w:p>
      <w:pPr>
        <w:pStyle w:val="7"/>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w:t>
      </w:r>
    </w:p>
    <w:p>
      <w:pPr>
        <w:pStyle w:val="7"/>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以上企业，不属于大企业的分支机构，不存在控股股东为大企业的情形，也不存在与大企业的负责人为同一人的情形。</w:t>
      </w:r>
    </w:p>
    <w:p>
      <w:pPr>
        <w:pStyle w:val="7"/>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本企业对上述声明内容的真实性负责。如有虚假，将依法承担相应责任。</w:t>
      </w:r>
    </w:p>
    <w:p>
      <w:pPr>
        <w:pStyle w:val="7"/>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7"/>
        <w:tabs>
          <w:tab w:val="left" w:pos="562"/>
          <w:tab w:val="left" w:pos="3372"/>
          <w:tab w:val="left" w:pos="3653"/>
        </w:tabs>
        <w:ind w:left="4200" w:leftChars="20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企业名称（盖章）日期：</w:t>
      </w:r>
    </w:p>
    <w:p>
      <w:pPr>
        <w:pStyle w:val="7"/>
        <w:tabs>
          <w:tab w:val="left" w:pos="562"/>
          <w:tab w:val="left" w:pos="3372"/>
          <w:tab w:val="left" w:pos="3653"/>
        </w:tabs>
        <w:jc w:val="center"/>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从业人员、营业收入、资产总额填报上一年度数据，无上一年度数据的新成立企业可不填报。</w:t>
      </w:r>
    </w:p>
    <w:p>
      <w:pPr>
        <w:spacing w:after="319" w:afterLines="10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中小企业声明函（工程、服务）</w:t>
      </w:r>
    </w:p>
    <w:p>
      <w:pPr>
        <w:pStyle w:val="7"/>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spacing w:val="-2"/>
          <w:u w:val="single"/>
          <w14:textFill>
            <w14:solidFill>
              <w14:schemeClr w14:val="tx1"/>
            </w14:solidFill>
          </w14:textFill>
        </w:rPr>
        <w:t>单位名称</w:t>
      </w:r>
      <w:r>
        <w:rPr>
          <w:rFonts w:hint="eastAsia" w:ascii="宋体" w:hAnsi="宋体" w:cs="宋体"/>
          <w:color w:val="000000" w:themeColor="text1"/>
          <w:spacing w:val="-2"/>
          <w14:textFill>
            <w14:solidFill>
              <w14:schemeClr w14:val="tx1"/>
            </w14:solidFill>
          </w14:textFill>
        </w:rPr>
        <w:t>）的（</w:t>
      </w:r>
      <w:r>
        <w:rPr>
          <w:rFonts w:hint="eastAsia" w:ascii="宋体" w:hAnsi="宋体" w:cs="宋体"/>
          <w:color w:val="000000" w:themeColor="text1"/>
          <w:spacing w:val="-2"/>
          <w:u w:val="single"/>
          <w14:textFill>
            <w14:solidFill>
              <w14:schemeClr w14:val="tx1"/>
            </w14:solidFill>
          </w14:textFill>
        </w:rPr>
        <w:t>项目名称</w:t>
      </w:r>
      <w:r>
        <w:rPr>
          <w:rFonts w:hint="eastAsia" w:ascii="宋体" w:hAnsi="宋体" w:cs="宋体"/>
          <w:color w:val="000000" w:themeColor="text1"/>
          <w:spacing w:val="-2"/>
          <w14:textFill>
            <w14:solidFill>
              <w14:schemeClr w14:val="tx1"/>
            </w14:solidFill>
          </w14:textFill>
        </w:rPr>
        <w:t>）采购活动，工程的施工单位全部为符合政策要求的中小企业（或者：服务全部由符合政策要求的中小企业承接）。相关企业（含联合 体中的中小企业、</w:t>
      </w:r>
      <w:r>
        <w:rPr>
          <w:rFonts w:hint="eastAsia" w:ascii="宋体" w:hAnsi="宋体" w:cs="宋体"/>
          <w:color w:val="000000" w:themeColor="text1"/>
          <w:spacing w:val="-2"/>
          <w:lang w:eastAsia="zh-CN"/>
          <w14:textFill>
            <w14:solidFill>
              <w14:schemeClr w14:val="tx1"/>
            </w14:solidFill>
          </w14:textFill>
        </w:rPr>
        <w:t>签订</w:t>
      </w:r>
      <w:r>
        <w:rPr>
          <w:rFonts w:hint="eastAsia" w:ascii="宋体" w:hAnsi="宋体" w:cs="宋体"/>
          <w:color w:val="000000" w:themeColor="text1"/>
          <w:spacing w:val="-2"/>
          <w14:textFill>
            <w14:solidFill>
              <w14:schemeClr w14:val="tx1"/>
            </w14:solidFill>
          </w14:textFill>
        </w:rPr>
        <w:t>分包意向协议的中小企业）的具体情况如下：</w:t>
      </w:r>
    </w:p>
    <w:p>
      <w:pPr>
        <w:pStyle w:val="7"/>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1、（</w:t>
      </w:r>
      <w:r>
        <w:rPr>
          <w:rFonts w:hint="eastAsia" w:ascii="宋体" w:hAnsi="宋体" w:cs="宋体"/>
          <w:color w:val="000000" w:themeColor="text1"/>
          <w:spacing w:val="-2"/>
          <w:u w:val="single"/>
          <w14:textFill>
            <w14:solidFill>
              <w14:schemeClr w14:val="tx1"/>
            </w14:solidFill>
          </w14:textFill>
        </w:rPr>
        <w:t>标的名称</w:t>
      </w:r>
      <w:r>
        <w:rPr>
          <w:rFonts w:hint="eastAsia" w:ascii="宋体" w:hAnsi="宋体" w:cs="宋体"/>
          <w:color w:val="000000" w:themeColor="text1"/>
          <w:spacing w:val="-2"/>
          <w14:textFill>
            <w14:solidFill>
              <w14:schemeClr w14:val="tx1"/>
            </w14:solidFill>
          </w14:textFill>
        </w:rPr>
        <w:t>），属于（</w:t>
      </w:r>
      <w:r>
        <w:rPr>
          <w:rFonts w:hint="eastAsia" w:ascii="宋体" w:hAnsi="宋体" w:cs="宋体"/>
          <w:color w:val="000000" w:themeColor="text1"/>
          <w:spacing w:val="-2"/>
          <w:u w:val="single"/>
          <w14:textFill>
            <w14:solidFill>
              <w14:schemeClr w14:val="tx1"/>
            </w14:solidFill>
          </w14:textFill>
        </w:rPr>
        <w:t>采购文件中明确的所属行业</w:t>
      </w:r>
      <w:r>
        <w:rPr>
          <w:rFonts w:hint="eastAsia" w:ascii="宋体" w:hAnsi="宋体" w:cs="宋体"/>
          <w:color w:val="000000" w:themeColor="text1"/>
          <w:spacing w:val="-2"/>
          <w14:textFill>
            <w14:solidFill>
              <w14:schemeClr w14:val="tx1"/>
            </w14:solidFill>
          </w14:textFill>
        </w:rPr>
        <w:t>）；承建（承接）企业为（</w:t>
      </w:r>
      <w:r>
        <w:rPr>
          <w:rFonts w:hint="eastAsia" w:ascii="宋体" w:hAnsi="宋体" w:cs="宋体"/>
          <w:color w:val="000000" w:themeColor="text1"/>
          <w:spacing w:val="-2"/>
          <w:u w:val="single"/>
          <w14:textFill>
            <w14:solidFill>
              <w14:schemeClr w14:val="tx1"/>
            </w14:solidFill>
          </w14:textFill>
        </w:rPr>
        <w:t>企业名称</w:t>
      </w:r>
      <w:r>
        <w:rPr>
          <w:rFonts w:hint="eastAsia" w:ascii="宋体" w:hAnsi="宋体" w:cs="宋体"/>
          <w:color w:val="000000" w:themeColor="text1"/>
          <w:spacing w:val="-2"/>
          <w14:textFill>
            <w14:solidFill>
              <w14:schemeClr w14:val="tx1"/>
            </w14:solidFill>
          </w14:textFill>
        </w:rPr>
        <w:t>），从业人员</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人，营业收入为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万元，资产总额为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万元，属于（</w:t>
      </w:r>
      <w:r>
        <w:rPr>
          <w:rFonts w:hint="eastAsia" w:ascii="宋体" w:hAnsi="宋体" w:cs="宋体"/>
          <w:color w:val="000000" w:themeColor="text1"/>
          <w:spacing w:val="-2"/>
          <w:u w:val="single"/>
          <w14:textFill>
            <w14:solidFill>
              <w14:schemeClr w14:val="tx1"/>
            </w14:solidFill>
          </w14:textFill>
        </w:rPr>
        <w:t>中型企业、小型企业、微型企业</w:t>
      </w:r>
      <w:r>
        <w:rPr>
          <w:rFonts w:hint="eastAsia" w:ascii="宋体" w:hAnsi="宋体" w:cs="宋体"/>
          <w:color w:val="000000" w:themeColor="text1"/>
          <w:spacing w:val="-2"/>
          <w14:textFill>
            <w14:solidFill>
              <w14:schemeClr w14:val="tx1"/>
            </w14:solidFill>
          </w14:textFill>
        </w:rPr>
        <w:t>）。</w:t>
      </w:r>
    </w:p>
    <w:p>
      <w:pPr>
        <w:pStyle w:val="7"/>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2、（</w:t>
      </w:r>
      <w:r>
        <w:rPr>
          <w:rFonts w:hint="eastAsia" w:ascii="宋体" w:hAnsi="宋体" w:cs="宋体"/>
          <w:color w:val="000000" w:themeColor="text1"/>
          <w:spacing w:val="-2"/>
          <w:u w:val="single"/>
          <w14:textFill>
            <w14:solidFill>
              <w14:schemeClr w14:val="tx1"/>
            </w14:solidFill>
          </w14:textFill>
        </w:rPr>
        <w:t>标的名称</w:t>
      </w:r>
      <w:r>
        <w:rPr>
          <w:rFonts w:hint="eastAsia" w:ascii="宋体" w:hAnsi="宋体" w:cs="宋体"/>
          <w:color w:val="000000" w:themeColor="text1"/>
          <w:spacing w:val="-2"/>
          <w14:textFill>
            <w14:solidFill>
              <w14:schemeClr w14:val="tx1"/>
            </w14:solidFill>
          </w14:textFill>
        </w:rPr>
        <w:t>），属于（</w:t>
      </w:r>
      <w:r>
        <w:rPr>
          <w:rFonts w:hint="eastAsia" w:ascii="宋体" w:hAnsi="宋体" w:cs="宋体"/>
          <w:color w:val="000000" w:themeColor="text1"/>
          <w:spacing w:val="-2"/>
          <w:u w:val="single"/>
          <w14:textFill>
            <w14:solidFill>
              <w14:schemeClr w14:val="tx1"/>
            </w14:solidFill>
          </w14:textFill>
        </w:rPr>
        <w:t>采购文件中明确的所属行业</w:t>
      </w:r>
      <w:r>
        <w:rPr>
          <w:rFonts w:hint="eastAsia" w:ascii="宋体" w:hAnsi="宋体" w:cs="宋体"/>
          <w:color w:val="000000" w:themeColor="text1"/>
          <w:spacing w:val="-2"/>
          <w14:textFill>
            <w14:solidFill>
              <w14:schemeClr w14:val="tx1"/>
            </w14:solidFill>
          </w14:textFill>
        </w:rPr>
        <w:t>） ；承建（承接）企业为（</w:t>
      </w:r>
      <w:r>
        <w:rPr>
          <w:rFonts w:hint="eastAsia" w:ascii="宋体" w:hAnsi="宋体" w:cs="宋体"/>
          <w:color w:val="000000" w:themeColor="text1"/>
          <w:spacing w:val="-2"/>
          <w:u w:val="single"/>
          <w14:textFill>
            <w14:solidFill>
              <w14:schemeClr w14:val="tx1"/>
            </w14:solidFill>
          </w14:textFill>
        </w:rPr>
        <w:t>企业名称</w:t>
      </w:r>
      <w:r>
        <w:rPr>
          <w:rFonts w:hint="eastAsia" w:ascii="宋体" w:hAnsi="宋体" w:cs="宋体"/>
          <w:color w:val="000000" w:themeColor="text1"/>
          <w:spacing w:val="-2"/>
          <w14:textFill>
            <w14:solidFill>
              <w14:schemeClr w14:val="tx1"/>
            </w14:solidFill>
          </w14:textFill>
        </w:rPr>
        <w:t>），从业人员</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人，营业收入为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万元，资产总额为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万元，属于（</w:t>
      </w:r>
      <w:r>
        <w:rPr>
          <w:rFonts w:hint="eastAsia" w:ascii="宋体" w:hAnsi="宋体" w:cs="宋体"/>
          <w:color w:val="000000" w:themeColor="text1"/>
          <w:spacing w:val="-2"/>
          <w:u w:val="single"/>
          <w14:textFill>
            <w14:solidFill>
              <w14:schemeClr w14:val="tx1"/>
            </w14:solidFill>
          </w14:textFill>
        </w:rPr>
        <w:t>中型企业、小型企业、微型企业</w:t>
      </w:r>
      <w:r>
        <w:rPr>
          <w:rFonts w:hint="eastAsia" w:ascii="宋体" w:hAnsi="宋体" w:cs="宋体"/>
          <w:color w:val="000000" w:themeColor="text1"/>
          <w:spacing w:val="-2"/>
          <w14:textFill>
            <w14:solidFill>
              <w14:schemeClr w14:val="tx1"/>
            </w14:solidFill>
          </w14:textFill>
        </w:rPr>
        <w:t>）；</w:t>
      </w:r>
    </w:p>
    <w:p>
      <w:pPr>
        <w:pStyle w:val="7"/>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w:t>
      </w:r>
    </w:p>
    <w:p>
      <w:pPr>
        <w:pStyle w:val="7"/>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以上企业，不属于大企业的分支机构，不存在控股股东为大企业的情形，也不存在与大企业的负责人为同一人的情形。</w:t>
      </w:r>
    </w:p>
    <w:p>
      <w:pPr>
        <w:pStyle w:val="7"/>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本企业对上述声明内容的真实性负责。如有虚假，将依法承担相应责任。</w:t>
      </w:r>
    </w:p>
    <w:p>
      <w:pPr>
        <w:pStyle w:val="7"/>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p>
    <w:p>
      <w:pPr>
        <w:pStyle w:val="7"/>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注意事项：</w:t>
      </w:r>
    </w:p>
    <w:p>
      <w:pPr>
        <w:pStyle w:val="7"/>
        <w:tabs>
          <w:tab w:val="left" w:pos="562"/>
          <w:tab w:val="left" w:pos="3372"/>
          <w:tab w:val="left" w:pos="3653"/>
        </w:tabs>
        <w:spacing w:after="0"/>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1.从业人员、营业收入、资产总额填报上一年度数据，无上一年度数据的新成立企业可不填报。</w:t>
      </w:r>
    </w:p>
    <w:p>
      <w:pPr>
        <w:pStyle w:val="7"/>
        <w:tabs>
          <w:tab w:val="left" w:pos="562"/>
          <w:tab w:val="left" w:pos="3372"/>
          <w:tab w:val="left" w:pos="3653"/>
        </w:tabs>
        <w:spacing w:after="0"/>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pStyle w:val="7"/>
        <w:tabs>
          <w:tab w:val="left" w:pos="562"/>
          <w:tab w:val="left" w:pos="3372"/>
          <w:tab w:val="left" w:pos="3653"/>
        </w:tabs>
        <w:spacing w:after="0"/>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3.事业单位、社会组织等非企业主体不享受中小企业扶持政策，但事业单位、社会组织等非企业主体提供全部由中小企业制造的货物参加货物采购项目的除外。</w:t>
      </w:r>
    </w:p>
    <w:p>
      <w:pPr>
        <w:pStyle w:val="7"/>
        <w:tabs>
          <w:tab w:val="left" w:pos="562"/>
          <w:tab w:val="left" w:pos="3372"/>
          <w:tab w:val="left" w:pos="3653"/>
        </w:tabs>
        <w:spacing w:after="0"/>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4.相关承接/承建企业的所属行业应当与采购标的所属行业（采购文件中明确的行业）相一致。</w:t>
      </w:r>
    </w:p>
    <w:p>
      <w:pPr>
        <w:pStyle w:val="7"/>
        <w:tabs>
          <w:tab w:val="left" w:pos="562"/>
          <w:tab w:val="left" w:pos="3372"/>
          <w:tab w:val="left" w:pos="3653"/>
        </w:tabs>
        <w:spacing w:after="0"/>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7"/>
        <w:tabs>
          <w:tab w:val="left" w:pos="562"/>
          <w:tab w:val="left" w:pos="3372"/>
          <w:tab w:val="left" w:pos="3653"/>
        </w:tabs>
        <w:ind w:left="4200" w:leftChars="2000"/>
        <w:rPr>
          <w:rFonts w:hint="eastAsia" w:ascii="宋体" w:hAnsi="宋体" w:cs="宋体"/>
          <w:color w:val="000000" w:themeColor="text1"/>
          <w:spacing w:val="-2"/>
          <w14:textFill>
            <w14:solidFill>
              <w14:schemeClr w14:val="tx1"/>
            </w14:solidFill>
          </w14:textFill>
        </w:rPr>
      </w:pPr>
    </w:p>
    <w:p>
      <w:pPr>
        <w:pStyle w:val="7"/>
        <w:tabs>
          <w:tab w:val="left" w:pos="562"/>
          <w:tab w:val="left" w:pos="3372"/>
          <w:tab w:val="left" w:pos="3653"/>
        </w:tabs>
        <w:ind w:left="4200" w:leftChars="20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企业名称（盖章）日期：</w:t>
      </w:r>
    </w:p>
    <w:p>
      <w:pPr>
        <w:pStyle w:val="7"/>
        <w:tabs>
          <w:tab w:val="left" w:pos="562"/>
          <w:tab w:val="left" w:pos="3372"/>
          <w:tab w:val="left" w:pos="3653"/>
        </w:tabs>
        <w:spacing w:before="3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从业人员、营业收入、资产总额填报上一年度数据，无上一年度数据的新成立企业可不填报。</w:t>
      </w:r>
      <w:r>
        <w:rPr>
          <w:rFonts w:hint="eastAsia" w:ascii="宋体" w:hAnsi="宋体" w:cs="宋体"/>
          <w:color w:val="000000" w:themeColor="text1"/>
          <w14:textFill>
            <w14:solidFill>
              <w14:schemeClr w14:val="tx1"/>
            </w14:solidFill>
          </w14:textFill>
        </w:rPr>
        <w:br w:type="page"/>
      </w:r>
      <w:r>
        <w:rPr>
          <w:rFonts w:hint="eastAsia" w:ascii="宋体" w:hAnsi="宋体" w:cs="宋体"/>
          <w:b/>
          <w:bCs/>
          <w:color w:val="000000" w:themeColor="text1"/>
          <w14:textFill>
            <w14:solidFill>
              <w14:schemeClr w14:val="tx1"/>
            </w14:solidFill>
          </w14:textFill>
        </w:rPr>
        <w:t>附 2</w:t>
      </w:r>
    </w:p>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pacing w:val="-3"/>
          <w:sz w:val="24"/>
          <w:u w:val="single" w:color="000000"/>
          <w14:textFill>
            <w14:solidFill>
              <w14:schemeClr w14:val="tx1"/>
            </w14:solidFill>
          </w14:textFill>
        </w:rPr>
        <w:t>（单位名称）</w:t>
      </w:r>
      <w:r>
        <w:rPr>
          <w:rFonts w:hint="eastAsia" w:ascii="宋体" w:hAnsi="宋体" w:cs="宋体"/>
          <w:color w:val="000000" w:themeColor="text1"/>
          <w:spacing w:val="-29"/>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年面向中小企业预留项目执行情况公告</w:t>
      </w:r>
    </w:p>
    <w:p>
      <w:pPr>
        <w:pStyle w:val="7"/>
        <w:tabs>
          <w:tab w:val="left" w:pos="562"/>
          <w:tab w:val="left" w:pos="3372"/>
          <w:tab w:val="left" w:pos="3653"/>
        </w:tabs>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根据《政府采购促进中小企业发展管理办法》（财库﹝2020﹞46</w:t>
      </w:r>
      <w:r>
        <w:rPr>
          <w:rFonts w:hint="eastAsia" w:ascii="宋体" w:hAnsi="宋体" w:cs="宋体"/>
          <w:color w:val="000000" w:themeColor="text1"/>
          <w:spacing w:val="-47"/>
          <w14:textFill>
            <w14:solidFill>
              <w14:schemeClr w14:val="tx1"/>
            </w14:solidFill>
          </w14:textFill>
        </w:rPr>
        <w:t xml:space="preserve"> 号</w:t>
      </w:r>
      <w:r>
        <w:rPr>
          <w:rFonts w:hint="eastAsia" w:ascii="宋体" w:hAnsi="宋体" w:cs="宋体"/>
          <w:color w:val="000000" w:themeColor="text1"/>
          <w:spacing w:val="-22"/>
          <w14:textFill>
            <w14:solidFill>
              <w14:schemeClr w14:val="tx1"/>
            </w14:solidFill>
          </w14:textFill>
        </w:rPr>
        <w:t>）</w:t>
      </w:r>
      <w:r>
        <w:rPr>
          <w:rFonts w:hint="eastAsia" w:ascii="宋体" w:hAnsi="宋体" w:cs="宋体"/>
          <w:color w:val="000000" w:themeColor="text1"/>
          <w:spacing w:val="-7"/>
          <w14:textFill>
            <w14:solidFill>
              <w14:schemeClr w14:val="tx1"/>
            </w14:solidFill>
          </w14:textFill>
        </w:rPr>
        <w:t>要求，现对本部门</w:t>
      </w:r>
      <w:r>
        <w:rPr>
          <w:rFonts w:hint="eastAsia" w:ascii="宋体" w:hAnsi="宋体" w:cs="宋体"/>
          <w:color w:val="000000" w:themeColor="text1"/>
          <w:spacing w:val="-3"/>
          <w14:textFill>
            <w14:solidFill>
              <w14:schemeClr w14:val="tx1"/>
            </w14:solidFill>
          </w14:textFill>
        </w:rPr>
        <w:t>（</w:t>
      </w:r>
      <w:r>
        <w:rPr>
          <w:rFonts w:hint="eastAsia" w:ascii="宋体" w:hAnsi="宋体" w:cs="宋体"/>
          <w:color w:val="000000" w:themeColor="text1"/>
          <w14:textFill>
            <w14:solidFill>
              <w14:schemeClr w14:val="tx1"/>
            </w14:solidFill>
          </w14:textFill>
        </w:rPr>
        <w:t>单位</w:t>
      </w:r>
      <w:r>
        <w:rPr>
          <w:rFonts w:hint="eastAsia" w:ascii="宋体" w:hAnsi="宋体" w:cs="宋体"/>
          <w:color w:val="000000" w:themeColor="text1"/>
          <w:spacing w:val="-7"/>
          <w14:textFill>
            <w14:solidFill>
              <w14:schemeClr w14:val="tx1"/>
            </w14:solidFill>
          </w14:textFill>
        </w:rPr>
        <w:t>）</w:t>
      </w:r>
      <w:r>
        <w:rPr>
          <w:rFonts w:hint="eastAsia" w:ascii="宋体" w:hAnsi="宋体" w:cs="宋体"/>
          <w:color w:val="000000" w:themeColor="text1"/>
          <w:spacing w:val="-4"/>
          <w14:textFill>
            <w14:solidFill>
              <w14:schemeClr w14:val="tx1"/>
            </w14:solidFill>
          </w14:textFill>
        </w:rPr>
        <w:t>××年面向中小企业预留项目执行情况公告如下：</w:t>
      </w:r>
    </w:p>
    <w:p>
      <w:pPr>
        <w:pStyle w:val="7"/>
        <w:tabs>
          <w:tab w:val="left" w:pos="562"/>
          <w:tab w:val="left" w:pos="3372"/>
          <w:tab w:val="left" w:pos="3653"/>
        </w:tabs>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本部门（单位）××年预留项目面向中小企业采购共计××万元，其中，面向小微企业采购××万元，占××%。</w:t>
      </w:r>
    </w:p>
    <w:p>
      <w:pPr>
        <w:pStyle w:val="7"/>
        <w:tabs>
          <w:tab w:val="left" w:pos="562"/>
          <w:tab w:val="left" w:pos="3372"/>
          <w:tab w:val="left" w:pos="3653"/>
        </w:tabs>
        <w:jc w:val="center"/>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面向中小企业预留项目明细</w:t>
      </w:r>
    </w:p>
    <w:tbl>
      <w:tblPr>
        <w:tblStyle w:val="18"/>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8"/>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序号</w:t>
            </w:r>
          </w:p>
        </w:tc>
        <w:tc>
          <w:tcPr>
            <w:tcW w:w="1866" w:type="dxa"/>
            <w:vAlign w:val="center"/>
          </w:tcPr>
          <w:p>
            <w:pPr>
              <w:pStyle w:val="28"/>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项目名称</w:t>
            </w:r>
          </w:p>
        </w:tc>
        <w:tc>
          <w:tcPr>
            <w:tcW w:w="2010" w:type="dxa"/>
            <w:vAlign w:val="center"/>
          </w:tcPr>
          <w:p>
            <w:pPr>
              <w:pStyle w:val="28"/>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预留选项</w:t>
            </w:r>
          </w:p>
        </w:tc>
        <w:tc>
          <w:tcPr>
            <w:tcW w:w="2296" w:type="dxa"/>
            <w:vAlign w:val="center"/>
          </w:tcPr>
          <w:p>
            <w:pPr>
              <w:pStyle w:val="28"/>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面向中小企业采购金额</w:t>
            </w:r>
          </w:p>
        </w:tc>
        <w:tc>
          <w:tcPr>
            <w:tcW w:w="1784" w:type="dxa"/>
            <w:vAlign w:val="center"/>
          </w:tcPr>
          <w:p>
            <w:pPr>
              <w:pStyle w:val="28"/>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28"/>
              <w:jc w:val="center"/>
              <w:rPr>
                <w:rFonts w:hint="eastAsia"/>
                <w:color w:val="000000" w:themeColor="text1"/>
                <w:sz w:val="24"/>
                <w:szCs w:val="24"/>
                <w14:textFill>
                  <w14:solidFill>
                    <w14:schemeClr w14:val="tx1"/>
                  </w14:solidFill>
                </w14:textFill>
              </w:rPr>
            </w:pPr>
          </w:p>
        </w:tc>
        <w:tc>
          <w:tcPr>
            <w:tcW w:w="1866" w:type="dxa"/>
            <w:tcBorders>
              <w:bottom w:val="nil"/>
            </w:tcBorders>
            <w:vAlign w:val="center"/>
          </w:tcPr>
          <w:p>
            <w:pPr>
              <w:pStyle w:val="28"/>
              <w:jc w:val="center"/>
              <w:rPr>
                <w:rFonts w:hint="eastAsia"/>
                <w:color w:val="000000" w:themeColor="text1"/>
                <w:sz w:val="24"/>
                <w:szCs w:val="24"/>
                <w14:textFill>
                  <w14:solidFill>
                    <w14:schemeClr w14:val="tx1"/>
                  </w14:solidFill>
                </w14:textFill>
              </w:rPr>
            </w:pPr>
          </w:p>
        </w:tc>
        <w:tc>
          <w:tcPr>
            <w:tcW w:w="2010" w:type="dxa"/>
            <w:tcBorders>
              <w:bottom w:val="nil"/>
            </w:tcBorders>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（填写“采购项</w:t>
            </w:r>
          </w:p>
        </w:tc>
        <w:tc>
          <w:tcPr>
            <w:tcW w:w="2296" w:type="dxa"/>
            <w:tcBorders>
              <w:bottom w:val="nil"/>
            </w:tcBorders>
            <w:vAlign w:val="center"/>
          </w:tcPr>
          <w:p>
            <w:pPr>
              <w:pStyle w:val="28"/>
              <w:jc w:val="center"/>
              <w:rPr>
                <w:rFonts w:hint="eastAsia"/>
                <w:color w:val="000000" w:themeColor="text1"/>
                <w:sz w:val="24"/>
                <w:szCs w:val="24"/>
                <w14:textFill>
                  <w14:solidFill>
                    <w14:schemeClr w14:val="tx1"/>
                  </w14:solidFill>
                </w14:textFill>
              </w:rPr>
            </w:pPr>
          </w:p>
        </w:tc>
        <w:tc>
          <w:tcPr>
            <w:tcW w:w="1784" w:type="dxa"/>
            <w:vMerge w:val="restart"/>
            <w:vAlign w:val="center"/>
          </w:tcPr>
          <w:p>
            <w:pPr>
              <w:pStyle w:val="28"/>
              <w:jc w:val="center"/>
              <w:rPr>
                <w:rFonts w:hint="eastAsia"/>
                <w:color w:val="000000" w:themeColor="text1"/>
                <w:sz w:val="24"/>
                <w:szCs w:val="24"/>
                <w14:textFill>
                  <w14:solidFill>
                    <w14:schemeClr w14:val="tx1"/>
                  </w14:solidFill>
                </w14:textFill>
              </w:rPr>
            </w:pPr>
          </w:p>
          <w:p>
            <w:pPr>
              <w:pStyle w:val="28"/>
              <w:jc w:val="center"/>
              <w:rPr>
                <w:rFonts w:hint="eastAsia"/>
                <w:color w:val="000000" w:themeColor="text1"/>
                <w:sz w:val="24"/>
                <w:szCs w:val="24"/>
                <w14:textFill>
                  <w14:solidFill>
                    <w14:schemeClr w14:val="tx1"/>
                  </w14:solidFill>
                </w14:textFill>
              </w:rPr>
            </w:pPr>
          </w:p>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p>
        </w:tc>
        <w:tc>
          <w:tcPr>
            <w:tcW w:w="2010"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目整体预留”、</w:t>
            </w:r>
          </w:p>
        </w:tc>
        <w:tc>
          <w:tcPr>
            <w:tcW w:w="229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p>
        </w:tc>
        <w:tc>
          <w:tcPr>
            <w:tcW w:w="2010"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“设置专门采购</w:t>
            </w:r>
          </w:p>
        </w:tc>
        <w:tc>
          <w:tcPr>
            <w:tcW w:w="229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（填写集中采</w:t>
            </w:r>
          </w:p>
        </w:tc>
        <w:tc>
          <w:tcPr>
            <w:tcW w:w="2010"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包”、“要求以</w:t>
            </w:r>
          </w:p>
        </w:tc>
        <w:tc>
          <w:tcPr>
            <w:tcW w:w="229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购目录以内或</w:t>
            </w:r>
          </w:p>
        </w:tc>
        <w:tc>
          <w:tcPr>
            <w:tcW w:w="2010"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联合体形式参</w:t>
            </w:r>
          </w:p>
        </w:tc>
        <w:tc>
          <w:tcPr>
            <w:tcW w:w="229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（精确到万元）</w:t>
            </w:r>
          </w:p>
        </w:tc>
        <w:tc>
          <w:tcPr>
            <w:tcW w:w="1784"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者采购限额标</w:t>
            </w:r>
          </w:p>
        </w:tc>
        <w:tc>
          <w:tcPr>
            <w:tcW w:w="2010"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加”或者“要求</w:t>
            </w:r>
          </w:p>
        </w:tc>
        <w:tc>
          <w:tcPr>
            <w:tcW w:w="229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准以上的采购项目</w:t>
            </w:r>
          </w:p>
        </w:tc>
        <w:tc>
          <w:tcPr>
            <w:tcW w:w="2010"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合同分包”，除</w:t>
            </w:r>
          </w:p>
        </w:tc>
        <w:tc>
          <w:tcPr>
            <w:tcW w:w="229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p>
        </w:tc>
        <w:tc>
          <w:tcPr>
            <w:tcW w:w="2010"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“采购项目全部</w:t>
            </w:r>
          </w:p>
        </w:tc>
        <w:tc>
          <w:tcPr>
            <w:tcW w:w="229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p>
        </w:tc>
        <w:tc>
          <w:tcPr>
            <w:tcW w:w="2010"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预留”外，还应</w:t>
            </w:r>
          </w:p>
        </w:tc>
        <w:tc>
          <w:tcPr>
            <w:tcW w:w="229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p>
        </w:tc>
        <w:tc>
          <w:tcPr>
            <w:tcW w:w="2010"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当填写预留给中</w:t>
            </w:r>
          </w:p>
        </w:tc>
        <w:tc>
          <w:tcPr>
            <w:tcW w:w="229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tcBorders>
            <w:vAlign w:val="center"/>
          </w:tcPr>
          <w:p>
            <w:pPr>
              <w:pStyle w:val="28"/>
              <w:jc w:val="center"/>
              <w:rPr>
                <w:rFonts w:hint="eastAsia"/>
                <w:color w:val="000000" w:themeColor="text1"/>
                <w:sz w:val="24"/>
                <w:szCs w:val="24"/>
                <w14:textFill>
                  <w14:solidFill>
                    <w14:schemeClr w14:val="tx1"/>
                  </w14:solidFill>
                </w14:textFill>
              </w:rPr>
            </w:pPr>
          </w:p>
        </w:tc>
        <w:tc>
          <w:tcPr>
            <w:tcW w:w="2010" w:type="dxa"/>
            <w:tcBorders>
              <w:top w:val="nil"/>
            </w:tcBorders>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小企业的比例）</w:t>
            </w:r>
          </w:p>
        </w:tc>
        <w:tc>
          <w:tcPr>
            <w:tcW w:w="2296" w:type="dxa"/>
            <w:tcBorders>
              <w:top w:val="nil"/>
            </w:tcBorders>
            <w:vAlign w:val="center"/>
          </w:tcPr>
          <w:p>
            <w:pPr>
              <w:pStyle w:val="28"/>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866" w:type="dxa"/>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2010" w:type="dxa"/>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2296" w:type="dxa"/>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784" w:type="dxa"/>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r>
    </w:tbl>
    <w:p>
      <w:pPr>
        <w:pStyle w:val="7"/>
        <w:tabs>
          <w:tab w:val="left" w:pos="562"/>
          <w:tab w:val="left" w:pos="3372"/>
          <w:tab w:val="left" w:pos="3653"/>
        </w:tabs>
        <w:spacing w:before="128"/>
        <w:ind w:left="4220" w:right="1843"/>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部门（单位）名称： 日期：</w:t>
      </w:r>
    </w:p>
    <w:p>
      <w:pPr>
        <w:pStyle w:val="7"/>
        <w:tabs>
          <w:tab w:val="left" w:pos="562"/>
          <w:tab w:val="left" w:pos="3372"/>
          <w:tab w:val="left" w:pos="3653"/>
        </w:tabs>
        <w:rPr>
          <w:rFonts w:hint="eastAsia" w:ascii="宋体" w:hAnsi="宋体" w:cs="宋体"/>
          <w:color w:val="000000" w:themeColor="text1"/>
          <w14:textFill>
            <w14:solidFill>
              <w14:schemeClr w14:val="tx1"/>
            </w14:solidFill>
          </w14:textFill>
        </w:rPr>
      </w:pPr>
    </w:p>
    <w:p>
      <w:pPr>
        <w:pStyle w:val="15"/>
        <w:jc w:val="both"/>
        <w:outlineLvl w:val="9"/>
        <w:rPr>
          <w:rFonts w:hint="eastAsia" w:ascii="宋体" w:hAnsi="宋体" w:eastAsia="宋体" w:cs="宋体"/>
          <w:color w:val="000000" w:themeColor="text1"/>
          <w:sz w:val="24"/>
          <w:szCs w:val="24"/>
          <w14:textFill>
            <w14:solidFill>
              <w14:schemeClr w14:val="tx1"/>
            </w14:solidFill>
          </w14:textFill>
        </w:rPr>
      </w:pPr>
    </w:p>
    <w:p>
      <w:pPr>
        <w:tabs>
          <w:tab w:val="left" w:pos="360"/>
        </w:tabs>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2、工业和信息化部、国家统计局、国家发展和改革委员会、财政部《关于印发〈中小企业划型标准规定〉的通知》（工信部联企〔2011〕300 号）</w:t>
      </w:r>
    </w:p>
    <w:p>
      <w:pPr>
        <w:pStyle w:val="7"/>
        <w:tabs>
          <w:tab w:val="left" w:pos="562"/>
          <w:tab w:val="left" w:pos="3372"/>
          <w:tab w:val="left" w:pos="3653"/>
        </w:tabs>
        <w:rPr>
          <w:rFonts w:hint="eastAsia" w:ascii="宋体" w:hAnsi="宋体" w:cs="宋体"/>
          <w:color w:val="000000" w:themeColor="text1"/>
          <w14:textFill>
            <w14:solidFill>
              <w14:schemeClr w14:val="tx1"/>
            </w14:solidFill>
          </w14:textFill>
        </w:rPr>
      </w:pPr>
    </w:p>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关于印发中小企业划型标准规定的通知</w:t>
      </w:r>
    </w:p>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工信部联企业〔2011〕300号</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各省、自治区、直辖市人民政府，国务院各部委、各直属机构及有关单位：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工业和信息化部 国家统计局</w:t>
      </w:r>
    </w:p>
    <w:p>
      <w:pPr>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国家发展和改革委员会 财政部</w:t>
      </w:r>
    </w:p>
    <w:p>
      <w:pPr>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二○一一年六月十八日</w:t>
      </w:r>
    </w:p>
    <w:p>
      <w:pPr>
        <w:ind w:firstLine="480" w:firstLineChars="200"/>
        <w:rPr>
          <w:rFonts w:hint="eastAsia" w:ascii="宋体" w:hAnsi="宋体" w:cs="宋体"/>
          <w:color w:val="000000" w:themeColor="text1"/>
          <w:sz w:val="24"/>
          <w14:textFill>
            <w14:solidFill>
              <w14:schemeClr w14:val="tx1"/>
            </w14:solidFill>
          </w14:textFill>
        </w:rPr>
      </w:pPr>
    </w:p>
    <w:p>
      <w:pPr>
        <w:ind w:firstLine="480" w:firstLineChars="200"/>
        <w:rPr>
          <w:rFonts w:hint="eastAsia" w:ascii="宋体" w:hAnsi="宋体" w:cs="宋体"/>
          <w:color w:val="000000" w:themeColor="text1"/>
          <w:sz w:val="24"/>
          <w14:textFill>
            <w14:solidFill>
              <w14:schemeClr w14:val="tx1"/>
            </w14:solidFill>
          </w14:textFill>
        </w:rPr>
      </w:pPr>
    </w:p>
    <w:p>
      <w:pPr>
        <w:ind w:firstLine="480" w:firstLineChars="200"/>
        <w:rPr>
          <w:rFonts w:hint="eastAsia" w:ascii="宋体" w:hAnsi="宋体" w:cs="宋体"/>
          <w:color w:val="000000" w:themeColor="text1"/>
          <w:sz w:val="24"/>
          <w14:textFill>
            <w14:solidFill>
              <w14:schemeClr w14:val="tx1"/>
            </w14:solidFill>
          </w14:textFill>
        </w:rPr>
      </w:pPr>
    </w:p>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中小企业划型标准规定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一、根据《中华人民共和国中小企业促进法》和《国务院关于进一步促进中小企业发展的若干意见》(国发〔2009〕36号)，制定本规定。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二、中小企业划分为中型、小型、微型三种类型，具体标准根据企业从业人员、营业收入、资产总额等指标，结合行业特点制定。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四、各行业划型标准为：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五、企业类型的划分以统计部门的统计数据为依据。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六、本规定适用于在中华人民共和国境内依法设立的各类所有制和各种组织形式的企业。个体工商户和本规定以外的行业，参照本规定进行划型。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八、本规定由工业和信息化部、国家统计局会同有关部门根据《国民经济行业分类》修订情况和企业发展变化情况适时修订。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九、本规定由工业和信息化部、国家统计局会同有关部门负责解释。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十、本规定自发布之日起执行，原国家经贸委、原国家计委、财政部和国家统计局2003年颁布的《中小企业标准暂行规定》同时废止。</w:t>
      </w:r>
    </w:p>
    <w:p>
      <w:pPr>
        <w:ind w:firstLine="480" w:firstLineChars="200"/>
        <w:rPr>
          <w:rFonts w:hint="eastAsia" w:ascii="宋体" w:hAnsi="宋体" w:cs="宋体"/>
          <w:color w:val="000000" w:themeColor="text1"/>
          <w:sz w:val="24"/>
          <w14:textFill>
            <w14:solidFill>
              <w14:schemeClr w14:val="tx1"/>
            </w14:solidFill>
          </w14:textFill>
        </w:rPr>
      </w:pPr>
    </w:p>
    <w:p>
      <w:pPr>
        <w:pStyle w:val="15"/>
        <w:jc w:val="both"/>
        <w:outlineLvl w:val="9"/>
        <w:rPr>
          <w:rFonts w:hint="eastAsia" w:ascii="宋体" w:hAnsi="宋体" w:eastAsia="宋体" w:cs="宋体"/>
          <w:color w:val="000000" w:themeColor="text1"/>
          <w:sz w:val="24"/>
          <w:szCs w:val="24"/>
          <w14:textFill>
            <w14:solidFill>
              <w14:schemeClr w14:val="tx1"/>
            </w14:solidFill>
          </w14:textFill>
        </w:rPr>
      </w:pPr>
    </w:p>
    <w:p>
      <w:pPr>
        <w:pStyle w:val="15"/>
        <w:jc w:val="both"/>
        <w:outlineLvl w:val="9"/>
        <w:rPr>
          <w:rFonts w:hint="eastAsia" w:ascii="宋体" w:hAnsi="宋体" w:eastAsia="宋体" w:cs="宋体"/>
          <w:color w:val="000000" w:themeColor="text1"/>
          <w:sz w:val="24"/>
          <w:szCs w:val="24"/>
          <w14:textFill>
            <w14:solidFill>
              <w14:schemeClr w14:val="tx1"/>
            </w14:solidFill>
          </w14:textFill>
        </w:rPr>
      </w:pPr>
    </w:p>
    <w:p>
      <w:pPr>
        <w:tabs>
          <w:tab w:val="left" w:pos="360"/>
        </w:tabs>
        <w:outlineLvl w:val="1"/>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3、国家统计局《关于印发〈统计上大中小微型企业划分办法（2017）〉的通知》</w:t>
      </w:r>
    </w:p>
    <w:p>
      <w:pPr>
        <w:widowControl/>
        <w:shd w:val="clear" w:color="auto" w:fill="FFFFFF"/>
        <w:jc w:val="center"/>
        <w:rPr>
          <w:rFonts w:hint="eastAsia" w:ascii="宋体" w:hAnsi="宋体" w:cs="宋体"/>
          <w:b/>
          <w:bCs/>
          <w:color w:val="000000" w:themeColor="text1"/>
          <w:kern w:val="0"/>
          <w:sz w:val="24"/>
          <w14:textFill>
            <w14:solidFill>
              <w14:schemeClr w14:val="tx1"/>
            </w14:solidFill>
          </w14:textFill>
        </w:rPr>
      </w:pPr>
    </w:p>
    <w:p>
      <w:pPr>
        <w:widowControl/>
        <w:shd w:val="clear" w:color="auto" w:fill="FFFFFF"/>
        <w:jc w:val="center"/>
        <w:rPr>
          <w:rFonts w:hint="eastAsia" w:ascii="宋体" w:hAnsi="宋体" w:cs="宋体"/>
          <w:b/>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国家统计局关于印发《统计上大中小微型企业划分办法（2017）》的通知</w:t>
      </w:r>
    </w:p>
    <w:p>
      <w:pPr>
        <w:widowControl/>
        <w:shd w:val="clear" w:color="auto" w:fill="FFFFFF"/>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各省、自治区、直辖市统计局，新疆生产建设兵团统计局，国务院各有关部门，国家统计局各调查总队：</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附件：《统计上大中小微型企业划分办法（2017）》修订说明</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国家统计局</w:t>
      </w:r>
    </w:p>
    <w:p>
      <w:pPr>
        <w:widowControl/>
        <w:shd w:val="clear" w:color="auto" w:fill="FFFFFF"/>
        <w:ind w:firstLine="480" w:firstLineChars="200"/>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2017年12月28日</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统计上大中小微型企业划分办法（2017）</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二、本办法适用对象为在中华人民共和国境内依法设立的各种组织形式的法人企业或单位。个体工商户参照本办法进行划分。</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五、企业划分由政府综合统计部门根据统计年报每年确定一次，定报统计原则上不进行调整。</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六、本办法自印发之日起执行，国家统计局2011年印发的《统计上大中小微型企业划分办法》（国统字〔2011〕75号）同时废止。</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附表：统计上大中小微型企业划分标准</w:t>
      </w:r>
    </w:p>
    <w:p>
      <w:pPr>
        <w:widowControl/>
        <w:jc w:val="left"/>
        <w:rPr>
          <w:rFonts w:hint="eastAsia" w:ascii="宋体" w:hAnsi="宋体" w:cs="宋体"/>
          <w:color w:val="000000" w:themeColor="text1"/>
          <w:kern w:val="0"/>
          <w:sz w:val="24"/>
          <w14:textFill>
            <w14:solidFill>
              <w14:schemeClr w14:val="tx1"/>
            </w14:solidFill>
          </w14:textFill>
        </w:rPr>
      </w:pPr>
    </w:p>
    <w:p>
      <w:pPr>
        <w:widowControl/>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附表：</w:t>
      </w:r>
    </w:p>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统计上大中小微型企业划分标准</w:t>
      </w:r>
    </w:p>
    <w:tbl>
      <w:tblPr>
        <w:tblStyle w:val="18"/>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行业名称</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指标名称</w:t>
            </w:r>
          </w:p>
        </w:tc>
        <w:tc>
          <w:tcPr>
            <w:tcW w:w="727" w:type="dxa"/>
            <w:vAlign w:val="center"/>
          </w:tcPr>
          <w:p>
            <w:pPr>
              <w:widowControl/>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计量</w:t>
            </w:r>
          </w:p>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单位</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大型</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中型</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小型</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农、林、牧、渔业</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500≤Y＜20000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50≤Y＜500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工业 *</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20≤X＜300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Y≥40000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2000≤Y＜40000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300≤Y＜2000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建筑业</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Y≥80000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6000≤Y＜80000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300≤Y＜6000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资产总额(Z)</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Z≥80000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5000≤Z＜80000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300≤Z＜5000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批发业</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20≤X＜200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5≤X＜20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Y≥40000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5000≤Y＜40000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1000≤Y＜5000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零售业</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50≤X＜300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10≤X＜50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500≤Y＜20000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100≤Y＜500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交通运输业 *</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20≤X＜300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3000≤Y＜30000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200≤Y＜3000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仓储业*</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100≤X＜200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20≤X＜100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1000≤Y＜30000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100≤Y＜1000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邮政业</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20≤X＜300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2000≤Y＜30000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100≤Y＜2000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住宿业</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2000≤Y＜10000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100≤Y＜2000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餐饮业</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2000≤Y＜10000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100≤Y＜2000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信息传输业 *</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100≤X＜2000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1000≤Y＜100000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100≤Y＜1000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软件和信息技术服务业</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1000≤Y＜10000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50≤Y＜1000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房地产开发经营</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1000≤Y＜200000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100≤Y＜1000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资产总额(Z)</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Z≥10000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5000≤Z＜10000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2000≤Z＜5000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物业管理</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1000≤Y＜5000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500≤Y＜1000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租赁和商务服务业</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资产总额(Z)</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Z≥120000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8000≤Z＜120000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100≤Z＜8000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其他未列明行业 *</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bl>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说明：</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1.大型、中型和小型企业须同时满足所列指标的下限，否则下划一档；微型企业只须满足所列指标中的一项即可。</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7"/>
        <w:tabs>
          <w:tab w:val="left" w:pos="562"/>
          <w:tab w:val="left" w:pos="3372"/>
          <w:tab w:val="left" w:pos="3653"/>
        </w:tabs>
        <w:rPr>
          <w:rFonts w:hint="eastAsia" w:ascii="宋体" w:hAnsi="宋体" w:cs="宋体"/>
          <w:color w:val="000000" w:themeColor="text1"/>
          <w14:textFill>
            <w14:solidFill>
              <w14:schemeClr w14:val="tx1"/>
            </w14:solidFill>
          </w14:textFill>
        </w:rPr>
      </w:pPr>
    </w:p>
    <w:p>
      <w:pPr>
        <w:pStyle w:val="15"/>
        <w:outlineLvl w:val="9"/>
        <w:rPr>
          <w:rFonts w:hint="eastAsia" w:ascii="宋体" w:hAnsi="宋体" w:eastAsia="宋体" w:cs="宋体"/>
          <w:color w:val="000000" w:themeColor="text1"/>
          <w:sz w:val="24"/>
          <w:szCs w:val="24"/>
          <w14:textFill>
            <w14:solidFill>
              <w14:schemeClr w14:val="tx1"/>
            </w14:solidFill>
          </w14:textFill>
        </w:rPr>
      </w:pPr>
    </w:p>
    <w:p>
      <w:pPr>
        <w:tabs>
          <w:tab w:val="left" w:pos="360"/>
        </w:tabs>
        <w:outlineLvl w:val="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4、财政部、民政部、中国残联《关于促进残疾人就业政府采购政策的通知》（财库〔2017〕141 号）</w:t>
      </w:r>
    </w:p>
    <w:p>
      <w:pPr>
        <w:shd w:val="clear" w:color="auto" w:fill="FFFFFF"/>
        <w:rPr>
          <w:rFonts w:hint="eastAsia" w:ascii="宋体" w:hAnsi="宋体" w:cs="宋体"/>
          <w:bCs/>
          <w:color w:val="000000" w:themeColor="text1"/>
          <w:sz w:val="24"/>
          <w14:textFill>
            <w14:solidFill>
              <w14:schemeClr w14:val="tx1"/>
            </w14:solidFill>
          </w14:textFill>
        </w:rPr>
      </w:pPr>
    </w:p>
    <w:p>
      <w:pPr>
        <w:shd w:val="clear" w:color="auto" w:fill="FFFFFF"/>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关于促进残疾人就业政府采购政策的通知</w:t>
      </w:r>
    </w:p>
    <w:p>
      <w:pPr>
        <w:pStyle w:val="14"/>
        <w:shd w:val="clear" w:color="auto" w:fill="FFFFFF"/>
        <w:spacing w:before="0" w:beforeAutospacing="0" w:after="0" w:afterAutospacing="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w:t>
      </w:r>
      <w:bookmarkStart w:id="45" w:name="sendNo"/>
      <w:r>
        <w:rPr>
          <w:rFonts w:hint="eastAsia"/>
          <w:color w:val="000000" w:themeColor="text1"/>
          <w14:textFill>
            <w14:solidFill>
              <w14:schemeClr w14:val="tx1"/>
            </w14:solidFill>
          </w14:textFill>
        </w:rPr>
        <w:t>财库〔</w:t>
      </w:r>
      <w:bookmarkEnd w:id="45"/>
      <w:r>
        <w:rPr>
          <w:rFonts w:hint="eastAsia"/>
          <w:color w:val="000000" w:themeColor="text1"/>
          <w14:textFill>
            <w14:solidFill>
              <w14:schemeClr w14:val="tx1"/>
            </w14:solidFill>
          </w14:textFill>
        </w:rPr>
        <w:t>2017〕141号</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bookmarkStart w:id="46" w:name="toDeptId"/>
      <w:r>
        <w:rPr>
          <w:rFonts w:hint="eastAsia"/>
          <w:color w:val="000000" w:themeColor="text1"/>
          <w14:textFill>
            <w14:solidFill>
              <w14:schemeClr w14:val="tx1"/>
            </w14:solidFill>
          </w14:textFill>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46"/>
      <w:r>
        <w:rPr>
          <w:rFonts w:hint="eastAsia"/>
          <w:color w:val="000000" w:themeColor="text1"/>
          <w14:textFill>
            <w14:solidFill>
              <w14:schemeClr w14:val="tx1"/>
            </w14:solidFill>
          </w14:textFill>
        </w:rPr>
        <w:t>：</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为了发挥政府采购促进残疾人就业的作用，进一步保障残疾人权益，依照《政府采购法》、《残疾人保障法》等法律法规及相关规定，现就促进残疾人就业政府采购政策通知如下：</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一、享受政府采购支持政策的残疾人福利性单位应当同时满足以下条件：</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（一）安置的残疾人占本单位在职职工人数的比例不低于25%（含25%），并且安置的残疾人人数不少于10人（含10人）；</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（二）依法与安置的每位残疾人</w:t>
      </w:r>
      <w:r>
        <w:rPr>
          <w:rFonts w:hint="eastAsia"/>
          <w:color w:val="000000" w:themeColor="text1"/>
          <w:lang w:eastAsia="zh-CN"/>
          <w14:textFill>
            <w14:solidFill>
              <w14:schemeClr w14:val="tx1"/>
            </w14:solidFill>
          </w14:textFill>
        </w:rPr>
        <w:t>签订</w:t>
      </w:r>
      <w:r>
        <w:rPr>
          <w:rFonts w:hint="eastAsia"/>
          <w:color w:val="000000" w:themeColor="text1"/>
          <w14:textFill>
            <w14:solidFill>
              <w14:schemeClr w14:val="tx1"/>
            </w14:solidFill>
          </w14:textFill>
        </w:rPr>
        <w:t>了一年以上（含一年）的劳动合同或服务协议；</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（三）为安置的每位残疾人按月足额缴纳了基本养老保险、基本医疗保险、失业保险、工伤保险和生育保险等社会保险费；</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（四）通过银行等金融机构向安置的每位残疾人，按月支付了不低于单位所在区县适用的经省级人民政府批准的月最低工资标准的工资；</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w:t>
      </w:r>
      <w:r>
        <w:rPr>
          <w:rFonts w:hint="eastAsia"/>
          <w:color w:val="000000" w:themeColor="text1"/>
          <w:lang w:eastAsia="zh-CN"/>
          <w14:textFill>
            <w14:solidFill>
              <w14:schemeClr w14:val="tx1"/>
            </w14:solidFill>
          </w14:textFill>
        </w:rPr>
        <w:t>签订</w:t>
      </w:r>
      <w:r>
        <w:rPr>
          <w:rFonts w:hint="eastAsia"/>
          <w:color w:val="000000" w:themeColor="text1"/>
          <w14:textFill>
            <w14:solidFill>
              <w14:schemeClr w14:val="tx1"/>
            </w14:solidFill>
          </w14:textFill>
        </w:rPr>
        <w:t>劳动合同或者服务协议的雇员人数。</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中标、成交供应商为残疾人福利性单位的，采购人或者其委托的采购代理机构应当随中标、成交结果同时公告其《残疾人福利性单位声明函》，接受社会监督。</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供应商提供的《残疾人福利性单位声明函》与事实不符的，依照《政府采购法》第七十七条第一款的规定追究法律责任。</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四、采购人采购公开招标数额标准以上的货物或者服务，因落实促进残疾人就业政策的需要，依法履行有关报批程序后，可采用公开招标以外的采购方式。</w:t>
      </w:r>
    </w:p>
    <w:p>
      <w:pPr>
        <w:pStyle w:val="14"/>
        <w:shd w:val="clear" w:color="auto" w:fill="FFFFFF"/>
        <w:spacing w:before="0" w:beforeAutospacing="0" w:after="0" w:afterAutospacing="0" w:line="56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4"/>
        <w:shd w:val="clear" w:color="auto" w:fill="FFFFFF"/>
        <w:spacing w:before="0" w:beforeAutospacing="0" w:after="0" w:afterAutospacing="0" w:line="56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4"/>
        <w:shd w:val="clear" w:color="auto" w:fill="FFFFFF"/>
        <w:spacing w:before="0" w:beforeAutospacing="0" w:after="0" w:afterAutospacing="0" w:line="56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七、本通知自2017年10月1日起执行。</w:t>
      </w:r>
    </w:p>
    <w:p>
      <w:pPr>
        <w:pStyle w:val="14"/>
        <w:shd w:val="clear" w:color="auto" w:fill="FFFFFF"/>
        <w:spacing w:before="0" w:beforeAutospacing="0" w:after="0" w:afterAutospacing="0" w:line="560" w:lineRule="exact"/>
        <w:ind w:firstLine="480" w:firstLineChars="200"/>
        <w:jc w:val="righ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财政部 民政部 中国残疾人联合会</w:t>
      </w:r>
    </w:p>
    <w:p>
      <w:pPr>
        <w:pStyle w:val="14"/>
        <w:shd w:val="clear" w:color="auto" w:fill="FFFFFF"/>
        <w:spacing w:before="0" w:beforeAutospacing="0" w:after="0" w:afterAutospacing="0" w:line="560" w:lineRule="exact"/>
        <w:ind w:firstLine="480" w:firstLineChars="200"/>
        <w:jc w:val="righ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2017年8月22日</w:t>
      </w:r>
    </w:p>
    <w:p>
      <w:pPr>
        <w:pStyle w:val="29"/>
        <w:shd w:val="clear" w:color="auto" w:fill="FFFFFF"/>
        <w:spacing w:before="0" w:beforeAutospacing="0" w:after="0" w:afterAutospacing="0" w:line="560" w:lineRule="exact"/>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附件：</w:t>
      </w:r>
    </w:p>
    <w:p>
      <w:pPr>
        <w:pStyle w:val="29"/>
        <w:shd w:val="clear" w:color="auto" w:fill="FFFFFF"/>
        <w:spacing w:before="0" w:beforeAutospacing="0" w:after="0" w:afterAutospacing="0" w:line="560" w:lineRule="exact"/>
        <w:ind w:firstLine="482" w:firstLineChars="200"/>
        <w:jc w:val="center"/>
        <w:rPr>
          <w:rFonts w:hint="eastAsia"/>
          <w:color w:val="000000" w:themeColor="text1"/>
          <w14:textFill>
            <w14:solidFill>
              <w14:schemeClr w14:val="tx1"/>
            </w14:solidFill>
          </w14:textFill>
        </w:rPr>
      </w:pPr>
      <w:r>
        <w:rPr>
          <w:rStyle w:val="30"/>
          <w:rFonts w:hint="eastAsia"/>
          <w:b/>
          <w:bCs/>
          <w:color w:val="000000" w:themeColor="text1"/>
          <w14:textFill>
            <w14:solidFill>
              <w14:schemeClr w14:val="tx1"/>
            </w14:solidFill>
          </w14:textFill>
        </w:rPr>
        <w:t>残疾人福利性单位声明函</w:t>
      </w:r>
    </w:p>
    <w:p>
      <w:pPr>
        <w:pStyle w:val="29"/>
        <w:shd w:val="clear" w:color="auto" w:fill="FFFFFF"/>
        <w:spacing w:before="0" w:beforeAutospacing="0" w:after="0" w:afterAutospacing="0" w:line="560" w:lineRule="exact"/>
        <w:ind w:firstLine="480" w:firstLineChars="200"/>
        <w:jc w:val="both"/>
        <w:rPr>
          <w:rFonts w:hint="eastAsia"/>
          <w:color w:val="000000" w:themeColor="text1"/>
          <w14:textFill>
            <w14:solidFill>
              <w14:schemeClr w14:val="tx1"/>
            </w14:solidFill>
          </w14:textFill>
        </w:rPr>
      </w:pPr>
      <w:r>
        <w:rPr>
          <w:rStyle w:val="30"/>
          <w:rFonts w:hint="eastAsia"/>
          <w:color w:val="000000" w:themeColor="text1"/>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9"/>
        <w:shd w:val="clear" w:color="auto" w:fill="FFFFFF"/>
        <w:spacing w:before="0" w:beforeAutospacing="0" w:after="0" w:afterAutospacing="0" w:line="560" w:lineRule="exact"/>
        <w:ind w:firstLine="480" w:firstLineChars="200"/>
        <w:jc w:val="both"/>
        <w:rPr>
          <w:rFonts w:hint="eastAsia"/>
          <w:color w:val="000000" w:themeColor="text1"/>
          <w14:textFill>
            <w14:solidFill>
              <w14:schemeClr w14:val="tx1"/>
            </w14:solidFill>
          </w14:textFill>
        </w:rPr>
      </w:pPr>
      <w:r>
        <w:rPr>
          <w:rStyle w:val="30"/>
          <w:rFonts w:hint="eastAsia"/>
          <w:color w:val="000000" w:themeColor="text1"/>
          <w14:textFill>
            <w14:solidFill>
              <w14:schemeClr w14:val="tx1"/>
            </w14:solidFill>
          </w14:textFill>
        </w:rPr>
        <w:t>本单位对上述声明的真实性负责。如有虚假，将依法承担相应责任。</w:t>
      </w:r>
    </w:p>
    <w:p>
      <w:pPr>
        <w:pStyle w:val="29"/>
        <w:shd w:val="clear" w:color="auto" w:fill="FFFFFF"/>
        <w:spacing w:before="0" w:beforeAutospacing="0" w:after="0" w:afterAutospacing="0" w:line="560" w:lineRule="exact"/>
        <w:ind w:firstLine="480" w:firstLineChars="20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投标人已知悉《关于促进残疾人就业政府采购政策的通知》（财库〔2017〕141 号）的规定，承诺提供的声明函内容是真实的，如提供声明函内容不实，则依法追究相关法律责任。</w:t>
      </w:r>
    </w:p>
    <w:p>
      <w:pPr>
        <w:pStyle w:val="29"/>
        <w:shd w:val="clear" w:color="auto" w:fill="FFFFFF"/>
        <w:spacing w:before="0" w:beforeAutospacing="0" w:after="0" w:afterAutospacing="0" w:line="560" w:lineRule="exact"/>
        <w:ind w:right="2100" w:rightChars="1000"/>
        <w:jc w:val="right"/>
        <w:rPr>
          <w:rFonts w:hint="eastAsia"/>
          <w:color w:val="000000" w:themeColor="text1"/>
          <w14:textFill>
            <w14:solidFill>
              <w14:schemeClr w14:val="tx1"/>
            </w14:solidFill>
          </w14:textFill>
        </w:rPr>
      </w:pPr>
      <w:r>
        <w:rPr>
          <w:rStyle w:val="30"/>
          <w:rFonts w:hint="eastAsia"/>
          <w:color w:val="000000" w:themeColor="text1"/>
          <w14:textFill>
            <w14:solidFill>
              <w14:schemeClr w14:val="tx1"/>
            </w14:solidFill>
          </w14:textFill>
        </w:rPr>
        <w:t>单位名称（盖章）：</w:t>
      </w:r>
    </w:p>
    <w:p>
      <w:pPr>
        <w:pStyle w:val="29"/>
        <w:shd w:val="clear" w:color="auto" w:fill="FFFFFF"/>
        <w:spacing w:before="0" w:beforeAutospacing="0" w:after="0" w:afterAutospacing="0" w:line="560" w:lineRule="exact"/>
        <w:ind w:right="2100" w:rightChars="1000"/>
        <w:jc w:val="right"/>
        <w:rPr>
          <w:rFonts w:hint="eastAsia"/>
          <w:color w:val="000000" w:themeColor="text1"/>
          <w:lang w:val="fr-CH"/>
          <w14:textFill>
            <w14:solidFill>
              <w14:schemeClr w14:val="tx1"/>
            </w14:solidFill>
          </w14:textFill>
        </w:rPr>
      </w:pPr>
      <w:r>
        <w:rPr>
          <w:rStyle w:val="30"/>
          <w:rFonts w:hint="eastAsia"/>
          <w:color w:val="000000" w:themeColor="text1"/>
          <w14:textFill>
            <w14:solidFill>
              <w14:schemeClr w14:val="tx1"/>
            </w14:solidFill>
          </w14:textFill>
        </w:rPr>
        <w:t>日 期：</w:t>
      </w:r>
    </w:p>
    <w:p>
      <w:pPr>
        <w:tabs>
          <w:tab w:val="left" w:pos="640"/>
          <w:tab w:val="left" w:pos="1260"/>
          <w:tab w:val="left" w:pos="1418"/>
        </w:tabs>
        <w:spacing w:line="360" w:lineRule="auto"/>
        <w:ind w:right="-420" w:rightChars="-200"/>
        <w:rPr>
          <w:rFonts w:hint="eastAsia" w:ascii="宋体" w:hAnsi="宋体" w:cs="宋体"/>
          <w:color w:val="000000" w:themeColor="text1"/>
          <w:sz w:val="24"/>
          <w:lang w:val="fr-CH"/>
          <w14:textFill>
            <w14:solidFill>
              <w14:schemeClr w14:val="tx1"/>
            </w14:solidFill>
          </w14:textFill>
        </w:rPr>
      </w:pPr>
    </w:p>
    <w:p>
      <w:pPr>
        <w:rPr>
          <w:color w:val="000000" w:themeColor="text1"/>
          <w14:textFill>
            <w14:solidFill>
              <w14:schemeClr w14:val="tx1"/>
            </w14:solidFill>
          </w14:textFill>
        </w:rPr>
      </w:pPr>
    </w:p>
    <w:sectPr>
      <w:headerReference r:id="rId7" w:type="first"/>
      <w:headerReference r:id="rId5" w:type="default"/>
      <w:headerReference r:id="rId6" w:type="even"/>
      <w:pgSz w:w="11906" w:h="16838"/>
      <w:pgMar w:top="850" w:right="1803" w:bottom="709"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2"/>
        <w:rFonts w:ascii="宋体" w:hAnsi="宋体"/>
        <w:sz w:val="28"/>
        <w:szCs w:val="28"/>
      </w:rPr>
      <w:instrText xml:space="preserve">PAGE  </w:instrText>
    </w:r>
    <w:r>
      <w:rPr>
        <w:rFonts w:ascii="宋体" w:hAnsi="宋体"/>
        <w:sz w:val="28"/>
        <w:szCs w:val="28"/>
      </w:rPr>
      <w:fldChar w:fldCharType="separate"/>
    </w:r>
    <w:r>
      <w:rPr>
        <w:rStyle w:val="22"/>
        <w:rFonts w:ascii="宋体" w:hAnsi="宋体"/>
        <w:sz w:val="28"/>
        <w:szCs w:val="28"/>
      </w:rPr>
      <w:t>45</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2"/>
        <w:rFonts w:ascii="宋体" w:hAnsi="宋体"/>
        <w:sz w:val="28"/>
        <w:szCs w:val="28"/>
      </w:rPr>
      <w:instrText xml:space="preserve">PAGE  </w:instrText>
    </w:r>
    <w:r>
      <w:rPr>
        <w:rFonts w:ascii="宋体" w:hAnsi="宋体"/>
        <w:sz w:val="28"/>
        <w:szCs w:val="28"/>
      </w:rPr>
      <w:fldChar w:fldCharType="separate"/>
    </w:r>
    <w:r>
      <w:rPr>
        <w:rStyle w:val="22"/>
        <w:rFonts w:ascii="宋体" w:hAnsi="宋体"/>
        <w:sz w:val="28"/>
        <w:szCs w:val="28"/>
      </w:rPr>
      <w:t>12</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3074"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胡锦鑫20240304" style="font-family:&amp;quot;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3073"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胡锦鑫20240304" style="font-family:&amp;quot;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4">
    <w:nsid w:val="B49D8398"/>
    <w:multiLevelType w:val="singleLevel"/>
    <w:tmpl w:val="B49D8398"/>
    <w:lvl w:ilvl="0" w:tentative="0">
      <w:start w:val="1"/>
      <w:numFmt w:val="chineseCounting"/>
      <w:suff w:val="nothing"/>
      <w:lvlText w:val="（%1）"/>
      <w:lvlJc w:val="left"/>
      <w:rPr>
        <w:rFonts w:hint="eastAsia"/>
      </w:rPr>
    </w:lvl>
  </w:abstractNum>
  <w:abstractNum w:abstractNumId="5">
    <w:nsid w:val="B60EDFBE"/>
    <w:multiLevelType w:val="singleLevel"/>
    <w:tmpl w:val="B60EDFBE"/>
    <w:lvl w:ilvl="0" w:tentative="0">
      <w:start w:val="1"/>
      <w:numFmt w:val="decimal"/>
      <w:suff w:val="nothing"/>
      <w:lvlText w:val="（%1）"/>
      <w:lvlJc w:val="left"/>
    </w:lvl>
  </w:abstractNum>
  <w:abstractNum w:abstractNumId="6">
    <w:nsid w:val="CA944F70"/>
    <w:multiLevelType w:val="singleLevel"/>
    <w:tmpl w:val="CA944F70"/>
    <w:lvl w:ilvl="0" w:tentative="0">
      <w:start w:val="1"/>
      <w:numFmt w:val="decimal"/>
      <w:lvlText w:val="%1."/>
      <w:lvlJc w:val="left"/>
      <w:pPr>
        <w:tabs>
          <w:tab w:val="left" w:pos="312"/>
        </w:tabs>
      </w:pPr>
    </w:lvl>
  </w:abstractNum>
  <w:abstractNum w:abstractNumId="7">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8">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9">
    <w:nsid w:val="200A2FAF"/>
    <w:multiLevelType w:val="singleLevel"/>
    <w:tmpl w:val="200A2FAF"/>
    <w:lvl w:ilvl="0" w:tentative="0">
      <w:start w:val="5"/>
      <w:numFmt w:val="decimal"/>
      <w:suff w:val="nothing"/>
      <w:lvlText w:val="（%1）"/>
      <w:lvlJc w:val="left"/>
    </w:lvl>
  </w:abstractNum>
  <w:abstractNum w:abstractNumId="10">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11">
    <w:nsid w:val="435840A3"/>
    <w:multiLevelType w:val="multilevel"/>
    <w:tmpl w:val="435840A3"/>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12">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13">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4">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4"/>
  </w:num>
  <w:num w:numId="2">
    <w:abstractNumId w:val="5"/>
  </w:num>
  <w:num w:numId="3">
    <w:abstractNumId w:val="2"/>
  </w:num>
  <w:num w:numId="4">
    <w:abstractNumId w:val="10"/>
  </w:num>
  <w:num w:numId="5">
    <w:abstractNumId w:val="11"/>
  </w:num>
  <w:num w:numId="6">
    <w:abstractNumId w:val="4"/>
  </w:num>
  <w:num w:numId="7">
    <w:abstractNumId w:val="6"/>
  </w:num>
  <w:num w:numId="8">
    <w:abstractNumId w:val="3"/>
  </w:num>
  <w:num w:numId="9">
    <w:abstractNumId w:val="7"/>
  </w:num>
  <w:num w:numId="10">
    <w:abstractNumId w:val="1"/>
  </w:num>
  <w:num w:numId="11">
    <w:abstractNumId w:val="0"/>
  </w:num>
  <w:num w:numId="12">
    <w:abstractNumId w:val="8"/>
  </w:num>
  <w:num w:numId="13">
    <w:abstractNumId w:val="12"/>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FE6E37"/>
    <w:rsid w:val="00002D9F"/>
    <w:rsid w:val="00004FE6"/>
    <w:rsid w:val="00017862"/>
    <w:rsid w:val="00054471"/>
    <w:rsid w:val="001C60B0"/>
    <w:rsid w:val="003A4DB8"/>
    <w:rsid w:val="006E4653"/>
    <w:rsid w:val="00771B68"/>
    <w:rsid w:val="0089189B"/>
    <w:rsid w:val="00B82957"/>
    <w:rsid w:val="00C93875"/>
    <w:rsid w:val="00D62CC9"/>
    <w:rsid w:val="00E747E3"/>
    <w:rsid w:val="00F46D15"/>
    <w:rsid w:val="00F72CA9"/>
    <w:rsid w:val="00FF40AC"/>
    <w:rsid w:val="01145951"/>
    <w:rsid w:val="011663ED"/>
    <w:rsid w:val="01211AD4"/>
    <w:rsid w:val="012515C4"/>
    <w:rsid w:val="012D0479"/>
    <w:rsid w:val="0157618B"/>
    <w:rsid w:val="01B446F6"/>
    <w:rsid w:val="01D628BE"/>
    <w:rsid w:val="01EF572E"/>
    <w:rsid w:val="020442FF"/>
    <w:rsid w:val="020E3E06"/>
    <w:rsid w:val="02477318"/>
    <w:rsid w:val="02A80FA1"/>
    <w:rsid w:val="02B81FC4"/>
    <w:rsid w:val="032558AB"/>
    <w:rsid w:val="032F4898"/>
    <w:rsid w:val="036839EA"/>
    <w:rsid w:val="036D7252"/>
    <w:rsid w:val="037800D1"/>
    <w:rsid w:val="037C7496"/>
    <w:rsid w:val="038D16A3"/>
    <w:rsid w:val="038E26A7"/>
    <w:rsid w:val="03993BA4"/>
    <w:rsid w:val="03B24C65"/>
    <w:rsid w:val="03B54992"/>
    <w:rsid w:val="03BB1D6C"/>
    <w:rsid w:val="03E5503B"/>
    <w:rsid w:val="03FF0592"/>
    <w:rsid w:val="03FF56E1"/>
    <w:rsid w:val="040C3CF2"/>
    <w:rsid w:val="044E26AD"/>
    <w:rsid w:val="04972A57"/>
    <w:rsid w:val="049A4077"/>
    <w:rsid w:val="04A919F3"/>
    <w:rsid w:val="04AC3B33"/>
    <w:rsid w:val="04D035F5"/>
    <w:rsid w:val="04D255BF"/>
    <w:rsid w:val="04E15802"/>
    <w:rsid w:val="050D4546"/>
    <w:rsid w:val="05525F81"/>
    <w:rsid w:val="05A30D0A"/>
    <w:rsid w:val="05D438B9"/>
    <w:rsid w:val="05F15671"/>
    <w:rsid w:val="05F652DD"/>
    <w:rsid w:val="05F94DCD"/>
    <w:rsid w:val="060A7F0C"/>
    <w:rsid w:val="06416BB8"/>
    <w:rsid w:val="06456265"/>
    <w:rsid w:val="06CE1F71"/>
    <w:rsid w:val="06E415DA"/>
    <w:rsid w:val="07000B16"/>
    <w:rsid w:val="07200C9D"/>
    <w:rsid w:val="073A5410"/>
    <w:rsid w:val="0754675F"/>
    <w:rsid w:val="076B39F3"/>
    <w:rsid w:val="080A5070"/>
    <w:rsid w:val="084E684E"/>
    <w:rsid w:val="084F5179"/>
    <w:rsid w:val="08AE6343"/>
    <w:rsid w:val="08AF2F0D"/>
    <w:rsid w:val="08EF6AC2"/>
    <w:rsid w:val="09185F2E"/>
    <w:rsid w:val="092C2AB7"/>
    <w:rsid w:val="092E13DB"/>
    <w:rsid w:val="097815DF"/>
    <w:rsid w:val="098E31D7"/>
    <w:rsid w:val="09C149B3"/>
    <w:rsid w:val="09D57431"/>
    <w:rsid w:val="09D9508C"/>
    <w:rsid w:val="09E75EDE"/>
    <w:rsid w:val="09F47D86"/>
    <w:rsid w:val="09F90D53"/>
    <w:rsid w:val="0A3B3CB9"/>
    <w:rsid w:val="0A3D797F"/>
    <w:rsid w:val="0A3E54A5"/>
    <w:rsid w:val="0A570314"/>
    <w:rsid w:val="0A7F6940"/>
    <w:rsid w:val="0A904DFA"/>
    <w:rsid w:val="0B1D330C"/>
    <w:rsid w:val="0B8D66E4"/>
    <w:rsid w:val="0BA12829"/>
    <w:rsid w:val="0BCB720C"/>
    <w:rsid w:val="0BE85AA6"/>
    <w:rsid w:val="0BF0642E"/>
    <w:rsid w:val="0C23344D"/>
    <w:rsid w:val="0C2506CA"/>
    <w:rsid w:val="0C393981"/>
    <w:rsid w:val="0C3B7EEE"/>
    <w:rsid w:val="0C4310EE"/>
    <w:rsid w:val="0CA03970"/>
    <w:rsid w:val="0CE00A95"/>
    <w:rsid w:val="0CEE48A7"/>
    <w:rsid w:val="0D0B2017"/>
    <w:rsid w:val="0D373A0B"/>
    <w:rsid w:val="0D5D3E94"/>
    <w:rsid w:val="0D907DC5"/>
    <w:rsid w:val="0D9F44AC"/>
    <w:rsid w:val="0DAC6849"/>
    <w:rsid w:val="0DCF21C8"/>
    <w:rsid w:val="0DDA54E4"/>
    <w:rsid w:val="0DFE5677"/>
    <w:rsid w:val="0E19425F"/>
    <w:rsid w:val="0E2624D8"/>
    <w:rsid w:val="0E4219DB"/>
    <w:rsid w:val="0ED35847"/>
    <w:rsid w:val="0F072309"/>
    <w:rsid w:val="0F6B6D3C"/>
    <w:rsid w:val="0F851480"/>
    <w:rsid w:val="0FA1450C"/>
    <w:rsid w:val="0FDC3796"/>
    <w:rsid w:val="0FF74205"/>
    <w:rsid w:val="1008458B"/>
    <w:rsid w:val="100D4B83"/>
    <w:rsid w:val="106D0892"/>
    <w:rsid w:val="108F25B6"/>
    <w:rsid w:val="10947BCD"/>
    <w:rsid w:val="11286567"/>
    <w:rsid w:val="1131366D"/>
    <w:rsid w:val="11AC7198"/>
    <w:rsid w:val="11B22B48"/>
    <w:rsid w:val="11E20D72"/>
    <w:rsid w:val="124318AA"/>
    <w:rsid w:val="12580BC0"/>
    <w:rsid w:val="12631F4C"/>
    <w:rsid w:val="129C720C"/>
    <w:rsid w:val="136071FB"/>
    <w:rsid w:val="13660293"/>
    <w:rsid w:val="137B7981"/>
    <w:rsid w:val="138959E3"/>
    <w:rsid w:val="138F7287"/>
    <w:rsid w:val="139B1132"/>
    <w:rsid w:val="139B74C4"/>
    <w:rsid w:val="13E87CB7"/>
    <w:rsid w:val="141650CD"/>
    <w:rsid w:val="145533A6"/>
    <w:rsid w:val="14740441"/>
    <w:rsid w:val="148443FC"/>
    <w:rsid w:val="149F2FE4"/>
    <w:rsid w:val="14A423A8"/>
    <w:rsid w:val="153100AC"/>
    <w:rsid w:val="154F67B8"/>
    <w:rsid w:val="158D6BDD"/>
    <w:rsid w:val="15E92BC7"/>
    <w:rsid w:val="15FD3709"/>
    <w:rsid w:val="16157A01"/>
    <w:rsid w:val="16493207"/>
    <w:rsid w:val="16685D83"/>
    <w:rsid w:val="167A7865"/>
    <w:rsid w:val="168B1A72"/>
    <w:rsid w:val="16C32C88"/>
    <w:rsid w:val="16C358AF"/>
    <w:rsid w:val="16D637FC"/>
    <w:rsid w:val="16F76FA7"/>
    <w:rsid w:val="172A3039"/>
    <w:rsid w:val="1763654B"/>
    <w:rsid w:val="1773288D"/>
    <w:rsid w:val="178D1D96"/>
    <w:rsid w:val="17966920"/>
    <w:rsid w:val="17F35B20"/>
    <w:rsid w:val="180B1483"/>
    <w:rsid w:val="183459BE"/>
    <w:rsid w:val="183D7B1A"/>
    <w:rsid w:val="184F3D45"/>
    <w:rsid w:val="18BE7B6B"/>
    <w:rsid w:val="18E37943"/>
    <w:rsid w:val="18FA239B"/>
    <w:rsid w:val="191C4C03"/>
    <w:rsid w:val="194D3428"/>
    <w:rsid w:val="195B397D"/>
    <w:rsid w:val="19946E8F"/>
    <w:rsid w:val="199E39C2"/>
    <w:rsid w:val="19A8293B"/>
    <w:rsid w:val="19B4308D"/>
    <w:rsid w:val="19E219A9"/>
    <w:rsid w:val="19E73463"/>
    <w:rsid w:val="1A332204"/>
    <w:rsid w:val="1A7F3E24"/>
    <w:rsid w:val="1AC217DA"/>
    <w:rsid w:val="1AFE2C2B"/>
    <w:rsid w:val="1B1F09DB"/>
    <w:rsid w:val="1B6F1962"/>
    <w:rsid w:val="1B982FF3"/>
    <w:rsid w:val="1BD971F4"/>
    <w:rsid w:val="1C0F2CE1"/>
    <w:rsid w:val="1C224C26"/>
    <w:rsid w:val="1C762226"/>
    <w:rsid w:val="1C9E0B41"/>
    <w:rsid w:val="1CA8197B"/>
    <w:rsid w:val="1D1C78C7"/>
    <w:rsid w:val="1D864D41"/>
    <w:rsid w:val="1DC64109"/>
    <w:rsid w:val="1DD821DB"/>
    <w:rsid w:val="1DD84EE2"/>
    <w:rsid w:val="1DEA52D0"/>
    <w:rsid w:val="1E2702D2"/>
    <w:rsid w:val="1EC575F3"/>
    <w:rsid w:val="1F126AC2"/>
    <w:rsid w:val="1F515A39"/>
    <w:rsid w:val="1F7C63FB"/>
    <w:rsid w:val="1F9803AC"/>
    <w:rsid w:val="203D01A7"/>
    <w:rsid w:val="2087367A"/>
    <w:rsid w:val="209F2A54"/>
    <w:rsid w:val="20B47E17"/>
    <w:rsid w:val="20D73ACA"/>
    <w:rsid w:val="20FD1BD4"/>
    <w:rsid w:val="20FD356C"/>
    <w:rsid w:val="211B1C44"/>
    <w:rsid w:val="21671CF6"/>
    <w:rsid w:val="218E0668"/>
    <w:rsid w:val="21B856E5"/>
    <w:rsid w:val="21E93AF0"/>
    <w:rsid w:val="21ED1832"/>
    <w:rsid w:val="227B6E3E"/>
    <w:rsid w:val="228D764F"/>
    <w:rsid w:val="229C6DE9"/>
    <w:rsid w:val="22D64075"/>
    <w:rsid w:val="22E76282"/>
    <w:rsid w:val="231150AD"/>
    <w:rsid w:val="233E412D"/>
    <w:rsid w:val="2349026B"/>
    <w:rsid w:val="23BD5235"/>
    <w:rsid w:val="23C465C3"/>
    <w:rsid w:val="23CD1D77"/>
    <w:rsid w:val="24281889"/>
    <w:rsid w:val="24577437"/>
    <w:rsid w:val="24961D0D"/>
    <w:rsid w:val="24B403E6"/>
    <w:rsid w:val="24C90A33"/>
    <w:rsid w:val="24F074D1"/>
    <w:rsid w:val="25022231"/>
    <w:rsid w:val="251A0B90"/>
    <w:rsid w:val="251A3303"/>
    <w:rsid w:val="2547125A"/>
    <w:rsid w:val="25545725"/>
    <w:rsid w:val="25710085"/>
    <w:rsid w:val="2593449F"/>
    <w:rsid w:val="25CA1509"/>
    <w:rsid w:val="25EC437E"/>
    <w:rsid w:val="260450DB"/>
    <w:rsid w:val="26625BC2"/>
    <w:rsid w:val="26BE19EF"/>
    <w:rsid w:val="26E054C2"/>
    <w:rsid w:val="270645C5"/>
    <w:rsid w:val="2707406D"/>
    <w:rsid w:val="27191DB9"/>
    <w:rsid w:val="275639D6"/>
    <w:rsid w:val="2781787A"/>
    <w:rsid w:val="27B5694E"/>
    <w:rsid w:val="27CE5C62"/>
    <w:rsid w:val="27DF39CB"/>
    <w:rsid w:val="28355CE1"/>
    <w:rsid w:val="28440A5B"/>
    <w:rsid w:val="284C045D"/>
    <w:rsid w:val="28846049"/>
    <w:rsid w:val="28E31299"/>
    <w:rsid w:val="29540304"/>
    <w:rsid w:val="29A5570A"/>
    <w:rsid w:val="29A63C37"/>
    <w:rsid w:val="29B570DA"/>
    <w:rsid w:val="29D62BAC"/>
    <w:rsid w:val="2A900FAD"/>
    <w:rsid w:val="2AA119FC"/>
    <w:rsid w:val="2AF27EBA"/>
    <w:rsid w:val="2AFC0D9C"/>
    <w:rsid w:val="2B794137"/>
    <w:rsid w:val="2B7F70A5"/>
    <w:rsid w:val="2BBF0C1C"/>
    <w:rsid w:val="2BC26F54"/>
    <w:rsid w:val="2BFA5278"/>
    <w:rsid w:val="2C005095"/>
    <w:rsid w:val="2C17011F"/>
    <w:rsid w:val="2C1D2D14"/>
    <w:rsid w:val="2C2B3086"/>
    <w:rsid w:val="2C387B4E"/>
    <w:rsid w:val="2C525562"/>
    <w:rsid w:val="2C610E53"/>
    <w:rsid w:val="2C755D0D"/>
    <w:rsid w:val="2C906395"/>
    <w:rsid w:val="2CA13945"/>
    <w:rsid w:val="2CAC2A7B"/>
    <w:rsid w:val="2CC24314"/>
    <w:rsid w:val="2CDD07AF"/>
    <w:rsid w:val="2CF90D9F"/>
    <w:rsid w:val="2D69418A"/>
    <w:rsid w:val="2D9B2143"/>
    <w:rsid w:val="2D9E319D"/>
    <w:rsid w:val="2DB33930"/>
    <w:rsid w:val="2DB86843"/>
    <w:rsid w:val="2DE57862"/>
    <w:rsid w:val="2DED474D"/>
    <w:rsid w:val="2DFE6E37"/>
    <w:rsid w:val="2E1741F6"/>
    <w:rsid w:val="2E36630F"/>
    <w:rsid w:val="2E9141E2"/>
    <w:rsid w:val="2ED31DB0"/>
    <w:rsid w:val="2EDD0C2B"/>
    <w:rsid w:val="2F223C93"/>
    <w:rsid w:val="2F3445FD"/>
    <w:rsid w:val="2F57653D"/>
    <w:rsid w:val="2F6B1FE9"/>
    <w:rsid w:val="2F762E67"/>
    <w:rsid w:val="30413E8E"/>
    <w:rsid w:val="304271ED"/>
    <w:rsid w:val="3075313F"/>
    <w:rsid w:val="30963095"/>
    <w:rsid w:val="30F45B82"/>
    <w:rsid w:val="30FA3624"/>
    <w:rsid w:val="310426F5"/>
    <w:rsid w:val="312D57A8"/>
    <w:rsid w:val="312E5FEB"/>
    <w:rsid w:val="31A6555A"/>
    <w:rsid w:val="31C76D4C"/>
    <w:rsid w:val="31D356B0"/>
    <w:rsid w:val="31E00A6C"/>
    <w:rsid w:val="32463916"/>
    <w:rsid w:val="324A23F5"/>
    <w:rsid w:val="326276D3"/>
    <w:rsid w:val="32851613"/>
    <w:rsid w:val="32954E27"/>
    <w:rsid w:val="32BF7DFB"/>
    <w:rsid w:val="32C97752"/>
    <w:rsid w:val="33323549"/>
    <w:rsid w:val="33751688"/>
    <w:rsid w:val="338A7FAD"/>
    <w:rsid w:val="339C4E66"/>
    <w:rsid w:val="34207846"/>
    <w:rsid w:val="3434236D"/>
    <w:rsid w:val="34916467"/>
    <w:rsid w:val="349A75F8"/>
    <w:rsid w:val="34BD5AEB"/>
    <w:rsid w:val="34C46423"/>
    <w:rsid w:val="34EB7E53"/>
    <w:rsid w:val="35156C7E"/>
    <w:rsid w:val="35213875"/>
    <w:rsid w:val="353A66E5"/>
    <w:rsid w:val="353F5AA9"/>
    <w:rsid w:val="35586B6B"/>
    <w:rsid w:val="35A3428A"/>
    <w:rsid w:val="35BE328B"/>
    <w:rsid w:val="35C30A55"/>
    <w:rsid w:val="35C661CB"/>
    <w:rsid w:val="35D07049"/>
    <w:rsid w:val="35E11256"/>
    <w:rsid w:val="35EF65E1"/>
    <w:rsid w:val="35F74A58"/>
    <w:rsid w:val="35FE5964"/>
    <w:rsid w:val="36034D29"/>
    <w:rsid w:val="3609300A"/>
    <w:rsid w:val="365E5169"/>
    <w:rsid w:val="366D4BC8"/>
    <w:rsid w:val="366E760D"/>
    <w:rsid w:val="367B6FB5"/>
    <w:rsid w:val="369066FC"/>
    <w:rsid w:val="369334DC"/>
    <w:rsid w:val="36AC7588"/>
    <w:rsid w:val="36D33C63"/>
    <w:rsid w:val="36F318CB"/>
    <w:rsid w:val="37023232"/>
    <w:rsid w:val="375E2A17"/>
    <w:rsid w:val="377744E3"/>
    <w:rsid w:val="379E11AD"/>
    <w:rsid w:val="37F708BD"/>
    <w:rsid w:val="38082ACA"/>
    <w:rsid w:val="38314519"/>
    <w:rsid w:val="38336D98"/>
    <w:rsid w:val="386C3059"/>
    <w:rsid w:val="3891486E"/>
    <w:rsid w:val="38E60960"/>
    <w:rsid w:val="38F512A1"/>
    <w:rsid w:val="39406294"/>
    <w:rsid w:val="39416F45"/>
    <w:rsid w:val="394A3E0E"/>
    <w:rsid w:val="394B1EE3"/>
    <w:rsid w:val="396B1563"/>
    <w:rsid w:val="396E1053"/>
    <w:rsid w:val="39E3546E"/>
    <w:rsid w:val="3A257964"/>
    <w:rsid w:val="3A3A5061"/>
    <w:rsid w:val="3A3C6A5B"/>
    <w:rsid w:val="3A4678DA"/>
    <w:rsid w:val="3A4727AD"/>
    <w:rsid w:val="3A555D6F"/>
    <w:rsid w:val="3A571AE7"/>
    <w:rsid w:val="3A8D375B"/>
    <w:rsid w:val="3AAA60BB"/>
    <w:rsid w:val="3AD84A09"/>
    <w:rsid w:val="3B0D21A6"/>
    <w:rsid w:val="3B247C1B"/>
    <w:rsid w:val="3B5878C5"/>
    <w:rsid w:val="3B7A5A8D"/>
    <w:rsid w:val="3B903503"/>
    <w:rsid w:val="3BA05290"/>
    <w:rsid w:val="3C2459F9"/>
    <w:rsid w:val="3C3A2B60"/>
    <w:rsid w:val="3C4B567C"/>
    <w:rsid w:val="3C6C6886"/>
    <w:rsid w:val="3C710A9B"/>
    <w:rsid w:val="3C740B22"/>
    <w:rsid w:val="3C942B7F"/>
    <w:rsid w:val="3C9613C2"/>
    <w:rsid w:val="3CAB3899"/>
    <w:rsid w:val="3CE75344"/>
    <w:rsid w:val="3CF76527"/>
    <w:rsid w:val="3D10481A"/>
    <w:rsid w:val="3D463DBE"/>
    <w:rsid w:val="3D4B05F7"/>
    <w:rsid w:val="3D536F54"/>
    <w:rsid w:val="3D8F1598"/>
    <w:rsid w:val="3D934BE4"/>
    <w:rsid w:val="3D995F73"/>
    <w:rsid w:val="3DE2791A"/>
    <w:rsid w:val="3DFD7B27"/>
    <w:rsid w:val="3E22515D"/>
    <w:rsid w:val="3E263CAA"/>
    <w:rsid w:val="3E396CAE"/>
    <w:rsid w:val="3E506F79"/>
    <w:rsid w:val="3E78202C"/>
    <w:rsid w:val="3EA62247"/>
    <w:rsid w:val="3EC82FB3"/>
    <w:rsid w:val="3F0F473E"/>
    <w:rsid w:val="3F6251B6"/>
    <w:rsid w:val="3F7E3CCE"/>
    <w:rsid w:val="3F9115F7"/>
    <w:rsid w:val="3FB65AD9"/>
    <w:rsid w:val="3FE05723"/>
    <w:rsid w:val="40185875"/>
    <w:rsid w:val="40452C81"/>
    <w:rsid w:val="405D1A2A"/>
    <w:rsid w:val="405E0525"/>
    <w:rsid w:val="41151DB4"/>
    <w:rsid w:val="41A05B22"/>
    <w:rsid w:val="41EA3241"/>
    <w:rsid w:val="41FF4F3E"/>
    <w:rsid w:val="42312C1E"/>
    <w:rsid w:val="423408FB"/>
    <w:rsid w:val="42925DB2"/>
    <w:rsid w:val="42B52A5A"/>
    <w:rsid w:val="42EB4309"/>
    <w:rsid w:val="435C016E"/>
    <w:rsid w:val="437159C8"/>
    <w:rsid w:val="43AE09CA"/>
    <w:rsid w:val="43C95804"/>
    <w:rsid w:val="4403491A"/>
    <w:rsid w:val="445826D6"/>
    <w:rsid w:val="44703ED1"/>
    <w:rsid w:val="447F4114"/>
    <w:rsid w:val="448917EC"/>
    <w:rsid w:val="44C1472D"/>
    <w:rsid w:val="44CD30D2"/>
    <w:rsid w:val="44D3620E"/>
    <w:rsid w:val="450D39DC"/>
    <w:rsid w:val="452F78E8"/>
    <w:rsid w:val="45686B2D"/>
    <w:rsid w:val="457F1EF2"/>
    <w:rsid w:val="46032B23"/>
    <w:rsid w:val="46B81CA9"/>
    <w:rsid w:val="46E62229"/>
    <w:rsid w:val="46FA3F26"/>
    <w:rsid w:val="470C6541"/>
    <w:rsid w:val="47266AC9"/>
    <w:rsid w:val="47C84024"/>
    <w:rsid w:val="47F40975"/>
    <w:rsid w:val="48054931"/>
    <w:rsid w:val="482F5E51"/>
    <w:rsid w:val="483B0352"/>
    <w:rsid w:val="486758C4"/>
    <w:rsid w:val="487C41DD"/>
    <w:rsid w:val="48931F3C"/>
    <w:rsid w:val="495B760C"/>
    <w:rsid w:val="49677321"/>
    <w:rsid w:val="4974292D"/>
    <w:rsid w:val="498B5C77"/>
    <w:rsid w:val="49B27967"/>
    <w:rsid w:val="49CA6C64"/>
    <w:rsid w:val="49DF0B35"/>
    <w:rsid w:val="49EF5898"/>
    <w:rsid w:val="4A0D488A"/>
    <w:rsid w:val="4A2A75AB"/>
    <w:rsid w:val="4A4554B8"/>
    <w:rsid w:val="4A9511DA"/>
    <w:rsid w:val="4AC705C3"/>
    <w:rsid w:val="4ACF1226"/>
    <w:rsid w:val="4AD4683C"/>
    <w:rsid w:val="4AD60806"/>
    <w:rsid w:val="4AF54F29"/>
    <w:rsid w:val="4B007631"/>
    <w:rsid w:val="4B232DA2"/>
    <w:rsid w:val="4B5670C1"/>
    <w:rsid w:val="4BCD6803"/>
    <w:rsid w:val="4C1E1B11"/>
    <w:rsid w:val="4C63431C"/>
    <w:rsid w:val="4C637F6F"/>
    <w:rsid w:val="4C7D7357"/>
    <w:rsid w:val="4C891FD4"/>
    <w:rsid w:val="4CA010CC"/>
    <w:rsid w:val="4D0C636D"/>
    <w:rsid w:val="4D1D67F6"/>
    <w:rsid w:val="4D562C80"/>
    <w:rsid w:val="4D7560B4"/>
    <w:rsid w:val="4D77225E"/>
    <w:rsid w:val="4D7D31BB"/>
    <w:rsid w:val="4D930C30"/>
    <w:rsid w:val="4D9E721C"/>
    <w:rsid w:val="4DAB1AD6"/>
    <w:rsid w:val="4EE73FDF"/>
    <w:rsid w:val="4F1A44F5"/>
    <w:rsid w:val="4F3A01B4"/>
    <w:rsid w:val="4F3A75B6"/>
    <w:rsid w:val="4F561F16"/>
    <w:rsid w:val="4F585C8E"/>
    <w:rsid w:val="4F6208BA"/>
    <w:rsid w:val="4F7A5C04"/>
    <w:rsid w:val="4F8C3B89"/>
    <w:rsid w:val="4F936CC6"/>
    <w:rsid w:val="4F9812E6"/>
    <w:rsid w:val="50137E07"/>
    <w:rsid w:val="501D6F9B"/>
    <w:rsid w:val="501E0C85"/>
    <w:rsid w:val="50402E5B"/>
    <w:rsid w:val="509314F5"/>
    <w:rsid w:val="50B45146"/>
    <w:rsid w:val="50B91612"/>
    <w:rsid w:val="50C57353"/>
    <w:rsid w:val="50EC2B32"/>
    <w:rsid w:val="51037E7B"/>
    <w:rsid w:val="511676E7"/>
    <w:rsid w:val="51625CF9"/>
    <w:rsid w:val="51890380"/>
    <w:rsid w:val="51932FAD"/>
    <w:rsid w:val="522602C5"/>
    <w:rsid w:val="523227C6"/>
    <w:rsid w:val="52376968"/>
    <w:rsid w:val="5268268C"/>
    <w:rsid w:val="527252B8"/>
    <w:rsid w:val="52B551A5"/>
    <w:rsid w:val="52BB0A0D"/>
    <w:rsid w:val="52DE1FCB"/>
    <w:rsid w:val="532A1B08"/>
    <w:rsid w:val="536852EA"/>
    <w:rsid w:val="5386726D"/>
    <w:rsid w:val="538961A4"/>
    <w:rsid w:val="53A45945"/>
    <w:rsid w:val="53A6324B"/>
    <w:rsid w:val="53CB1124"/>
    <w:rsid w:val="54297BF9"/>
    <w:rsid w:val="544B176B"/>
    <w:rsid w:val="549F7EBB"/>
    <w:rsid w:val="54BB7C66"/>
    <w:rsid w:val="55264138"/>
    <w:rsid w:val="553B5952"/>
    <w:rsid w:val="554B4D08"/>
    <w:rsid w:val="5566710A"/>
    <w:rsid w:val="55853555"/>
    <w:rsid w:val="558E2409"/>
    <w:rsid w:val="55B160F8"/>
    <w:rsid w:val="560721BC"/>
    <w:rsid w:val="56E12A0D"/>
    <w:rsid w:val="56E322E1"/>
    <w:rsid w:val="56F02C50"/>
    <w:rsid w:val="572B18A4"/>
    <w:rsid w:val="576176AA"/>
    <w:rsid w:val="57822B16"/>
    <w:rsid w:val="579B7990"/>
    <w:rsid w:val="57A53A3A"/>
    <w:rsid w:val="58191461"/>
    <w:rsid w:val="581E3FA7"/>
    <w:rsid w:val="583D33C0"/>
    <w:rsid w:val="58D17250"/>
    <w:rsid w:val="58F5454D"/>
    <w:rsid w:val="58F76517"/>
    <w:rsid w:val="590B5B1F"/>
    <w:rsid w:val="590D1897"/>
    <w:rsid w:val="591E1BC3"/>
    <w:rsid w:val="59691FED"/>
    <w:rsid w:val="597162CA"/>
    <w:rsid w:val="597638E0"/>
    <w:rsid w:val="598C3730"/>
    <w:rsid w:val="59BD32BD"/>
    <w:rsid w:val="59D46859"/>
    <w:rsid w:val="5A094F9B"/>
    <w:rsid w:val="5A19111B"/>
    <w:rsid w:val="5A276988"/>
    <w:rsid w:val="5A5B0D0C"/>
    <w:rsid w:val="5A8D7F61"/>
    <w:rsid w:val="5A981634"/>
    <w:rsid w:val="5AD54636"/>
    <w:rsid w:val="5AF26F96"/>
    <w:rsid w:val="5B5B0FE0"/>
    <w:rsid w:val="5B977B3E"/>
    <w:rsid w:val="5B9E0ECC"/>
    <w:rsid w:val="5BCF63A9"/>
    <w:rsid w:val="5C2C4F2D"/>
    <w:rsid w:val="5C5679F9"/>
    <w:rsid w:val="5C7120A1"/>
    <w:rsid w:val="5C797243"/>
    <w:rsid w:val="5C806824"/>
    <w:rsid w:val="5CB52971"/>
    <w:rsid w:val="5CD32DF8"/>
    <w:rsid w:val="5CFD7E74"/>
    <w:rsid w:val="5D63417B"/>
    <w:rsid w:val="5D775E79"/>
    <w:rsid w:val="5D8B36D2"/>
    <w:rsid w:val="5D8F4F70"/>
    <w:rsid w:val="5D924A61"/>
    <w:rsid w:val="5DAF116F"/>
    <w:rsid w:val="5DD30284"/>
    <w:rsid w:val="5E162F9C"/>
    <w:rsid w:val="5E5B30A5"/>
    <w:rsid w:val="5E8545C5"/>
    <w:rsid w:val="5E875C48"/>
    <w:rsid w:val="5EC7698C"/>
    <w:rsid w:val="5ECB7E0E"/>
    <w:rsid w:val="5EE70977"/>
    <w:rsid w:val="5F17346F"/>
    <w:rsid w:val="5FD217D5"/>
    <w:rsid w:val="602045A6"/>
    <w:rsid w:val="608B78E2"/>
    <w:rsid w:val="609B1E7E"/>
    <w:rsid w:val="60B85F03"/>
    <w:rsid w:val="60DC361E"/>
    <w:rsid w:val="613227E3"/>
    <w:rsid w:val="613B24C6"/>
    <w:rsid w:val="614C4F26"/>
    <w:rsid w:val="615564D1"/>
    <w:rsid w:val="616933C9"/>
    <w:rsid w:val="61A15272"/>
    <w:rsid w:val="61B74A96"/>
    <w:rsid w:val="61C4171F"/>
    <w:rsid w:val="61F93300"/>
    <w:rsid w:val="621D48D8"/>
    <w:rsid w:val="624A77E6"/>
    <w:rsid w:val="62854B94"/>
    <w:rsid w:val="631E435E"/>
    <w:rsid w:val="63213CF4"/>
    <w:rsid w:val="633345F0"/>
    <w:rsid w:val="63AC7EFE"/>
    <w:rsid w:val="63B079EF"/>
    <w:rsid w:val="63C94F54"/>
    <w:rsid w:val="63D86F45"/>
    <w:rsid w:val="6420377A"/>
    <w:rsid w:val="644606A8"/>
    <w:rsid w:val="6450412D"/>
    <w:rsid w:val="64602371"/>
    <w:rsid w:val="64CA053B"/>
    <w:rsid w:val="64CA31F0"/>
    <w:rsid w:val="64D771FD"/>
    <w:rsid w:val="64DA367B"/>
    <w:rsid w:val="64DD4813"/>
    <w:rsid w:val="64E14962"/>
    <w:rsid w:val="64F61D79"/>
    <w:rsid w:val="65282833"/>
    <w:rsid w:val="652E26F9"/>
    <w:rsid w:val="65366619"/>
    <w:rsid w:val="65416DD3"/>
    <w:rsid w:val="65727C4B"/>
    <w:rsid w:val="658554FB"/>
    <w:rsid w:val="65883BF7"/>
    <w:rsid w:val="658B6DC7"/>
    <w:rsid w:val="659F7D1B"/>
    <w:rsid w:val="65AA3925"/>
    <w:rsid w:val="65E676F8"/>
    <w:rsid w:val="660B3602"/>
    <w:rsid w:val="660C6F8D"/>
    <w:rsid w:val="662D5327"/>
    <w:rsid w:val="667C62AE"/>
    <w:rsid w:val="668F2A3A"/>
    <w:rsid w:val="66903B07"/>
    <w:rsid w:val="669058B5"/>
    <w:rsid w:val="66A23F66"/>
    <w:rsid w:val="66AD4998"/>
    <w:rsid w:val="66B5531C"/>
    <w:rsid w:val="66BA7997"/>
    <w:rsid w:val="66E14363"/>
    <w:rsid w:val="66E16111"/>
    <w:rsid w:val="672524A2"/>
    <w:rsid w:val="673301D2"/>
    <w:rsid w:val="676A395C"/>
    <w:rsid w:val="67713939"/>
    <w:rsid w:val="67CD5013"/>
    <w:rsid w:val="67DD2D7C"/>
    <w:rsid w:val="684C2884"/>
    <w:rsid w:val="68662D72"/>
    <w:rsid w:val="68A33BCF"/>
    <w:rsid w:val="68B61551"/>
    <w:rsid w:val="6931512E"/>
    <w:rsid w:val="69EE74C3"/>
    <w:rsid w:val="69FF3DA6"/>
    <w:rsid w:val="6A0A597F"/>
    <w:rsid w:val="6A250690"/>
    <w:rsid w:val="6A5938E3"/>
    <w:rsid w:val="6A9516EC"/>
    <w:rsid w:val="6AA803E7"/>
    <w:rsid w:val="6AE90161"/>
    <w:rsid w:val="6B054AC4"/>
    <w:rsid w:val="6B2947D1"/>
    <w:rsid w:val="6B865960"/>
    <w:rsid w:val="6BB87D88"/>
    <w:rsid w:val="6BD60F99"/>
    <w:rsid w:val="6BE26BB3"/>
    <w:rsid w:val="6BFF0DBE"/>
    <w:rsid w:val="6C0A54C0"/>
    <w:rsid w:val="6C7C2B64"/>
    <w:rsid w:val="6D0D3798"/>
    <w:rsid w:val="6D360A56"/>
    <w:rsid w:val="6D746AAD"/>
    <w:rsid w:val="6D79369D"/>
    <w:rsid w:val="6D866288"/>
    <w:rsid w:val="6DA5433C"/>
    <w:rsid w:val="6E0A1704"/>
    <w:rsid w:val="6E315BD0"/>
    <w:rsid w:val="6E3631E6"/>
    <w:rsid w:val="6E495542"/>
    <w:rsid w:val="6E70494A"/>
    <w:rsid w:val="6E7855AD"/>
    <w:rsid w:val="6E7D42EE"/>
    <w:rsid w:val="6ECD3B4B"/>
    <w:rsid w:val="6ED26B2E"/>
    <w:rsid w:val="6EF70BC7"/>
    <w:rsid w:val="6F062BB9"/>
    <w:rsid w:val="6F751AEC"/>
    <w:rsid w:val="6F7B1AEF"/>
    <w:rsid w:val="6F8C57B4"/>
    <w:rsid w:val="6F997ED1"/>
    <w:rsid w:val="703025E3"/>
    <w:rsid w:val="703379DD"/>
    <w:rsid w:val="707216B3"/>
    <w:rsid w:val="709A7A5C"/>
    <w:rsid w:val="70B52AE8"/>
    <w:rsid w:val="70B7060E"/>
    <w:rsid w:val="70BC3E77"/>
    <w:rsid w:val="70F3716D"/>
    <w:rsid w:val="70F829D5"/>
    <w:rsid w:val="711C7DEE"/>
    <w:rsid w:val="715A543E"/>
    <w:rsid w:val="71A87053"/>
    <w:rsid w:val="71B132B0"/>
    <w:rsid w:val="71BB5EDC"/>
    <w:rsid w:val="71CA611F"/>
    <w:rsid w:val="71CB5851"/>
    <w:rsid w:val="72101EA0"/>
    <w:rsid w:val="7218332F"/>
    <w:rsid w:val="724F1FEB"/>
    <w:rsid w:val="72757DB1"/>
    <w:rsid w:val="728F462D"/>
    <w:rsid w:val="729B7F48"/>
    <w:rsid w:val="72AE77EF"/>
    <w:rsid w:val="72B017B9"/>
    <w:rsid w:val="72BB1F0C"/>
    <w:rsid w:val="72D1172F"/>
    <w:rsid w:val="72F316A6"/>
    <w:rsid w:val="73020FF3"/>
    <w:rsid w:val="739048A5"/>
    <w:rsid w:val="73B862A1"/>
    <w:rsid w:val="745F28C4"/>
    <w:rsid w:val="747C78F7"/>
    <w:rsid w:val="747F7695"/>
    <w:rsid w:val="7483115A"/>
    <w:rsid w:val="74CE5F27"/>
    <w:rsid w:val="74DF6386"/>
    <w:rsid w:val="750A2372"/>
    <w:rsid w:val="750E6C6B"/>
    <w:rsid w:val="756E14B8"/>
    <w:rsid w:val="75864A53"/>
    <w:rsid w:val="75CF06D9"/>
    <w:rsid w:val="75D1787A"/>
    <w:rsid w:val="75DF032D"/>
    <w:rsid w:val="76045978"/>
    <w:rsid w:val="760F4A49"/>
    <w:rsid w:val="76133B2A"/>
    <w:rsid w:val="76530DD9"/>
    <w:rsid w:val="767A350B"/>
    <w:rsid w:val="76A77C3C"/>
    <w:rsid w:val="77083846"/>
    <w:rsid w:val="779A2861"/>
    <w:rsid w:val="77F205C7"/>
    <w:rsid w:val="78120820"/>
    <w:rsid w:val="78126A72"/>
    <w:rsid w:val="781400F4"/>
    <w:rsid w:val="78144598"/>
    <w:rsid w:val="783B1B25"/>
    <w:rsid w:val="783E6762"/>
    <w:rsid w:val="785610A2"/>
    <w:rsid w:val="78615304"/>
    <w:rsid w:val="78D76F87"/>
    <w:rsid w:val="79226841"/>
    <w:rsid w:val="794B223C"/>
    <w:rsid w:val="79752E15"/>
    <w:rsid w:val="7999158E"/>
    <w:rsid w:val="79C75A4A"/>
    <w:rsid w:val="79D51B05"/>
    <w:rsid w:val="79F71A7C"/>
    <w:rsid w:val="7A08012D"/>
    <w:rsid w:val="7A0F3269"/>
    <w:rsid w:val="7A1B6D05"/>
    <w:rsid w:val="7A1E0906"/>
    <w:rsid w:val="7A41719B"/>
    <w:rsid w:val="7A5E1074"/>
    <w:rsid w:val="7A644541"/>
    <w:rsid w:val="7A856043"/>
    <w:rsid w:val="7AA716F4"/>
    <w:rsid w:val="7ACA5211"/>
    <w:rsid w:val="7B000A80"/>
    <w:rsid w:val="7B475882"/>
    <w:rsid w:val="7B7F6999"/>
    <w:rsid w:val="7B8B5094"/>
    <w:rsid w:val="7B8E2477"/>
    <w:rsid w:val="7BB4552D"/>
    <w:rsid w:val="7C1D11E6"/>
    <w:rsid w:val="7C5238E1"/>
    <w:rsid w:val="7C547659"/>
    <w:rsid w:val="7CE7399F"/>
    <w:rsid w:val="7D226E2B"/>
    <w:rsid w:val="7D781125"/>
    <w:rsid w:val="7D8628FA"/>
    <w:rsid w:val="7D943A85"/>
    <w:rsid w:val="7DAF266D"/>
    <w:rsid w:val="7DB05310"/>
    <w:rsid w:val="7DC77AC8"/>
    <w:rsid w:val="7DE42E8D"/>
    <w:rsid w:val="7DF12C86"/>
    <w:rsid w:val="7E0712F2"/>
    <w:rsid w:val="7E292420"/>
    <w:rsid w:val="7EA877E8"/>
    <w:rsid w:val="7EAA7A04"/>
    <w:rsid w:val="7EB25E33"/>
    <w:rsid w:val="7EC42148"/>
    <w:rsid w:val="7EE33B7E"/>
    <w:rsid w:val="7EEF3F71"/>
    <w:rsid w:val="7EF43FBB"/>
    <w:rsid w:val="7F01339C"/>
    <w:rsid w:val="7F160BF6"/>
    <w:rsid w:val="7F1E2F40"/>
    <w:rsid w:val="7F364DF4"/>
    <w:rsid w:val="7FA2248A"/>
    <w:rsid w:val="7FDD39BD"/>
    <w:rsid w:val="7FF6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4">
    <w:name w:val="heading 6"/>
    <w:basedOn w:val="1"/>
    <w:next w:val="1"/>
    <w:qFormat/>
    <w:uiPriority w:val="0"/>
    <w:pPr>
      <w:spacing w:before="60" w:after="60" w:line="360" w:lineRule="auto"/>
      <w:outlineLvl w:val="5"/>
    </w:pPr>
    <w:rPr>
      <w:b/>
      <w:bCs/>
      <w:kern w:val="0"/>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szCs w:val="20"/>
    </w:rPr>
  </w:style>
  <w:style w:type="paragraph" w:styleId="6">
    <w:name w:val="annotation text"/>
    <w:basedOn w:val="1"/>
    <w:link w:val="35"/>
    <w:unhideWhenUsed/>
    <w:qFormat/>
    <w:uiPriority w:val="0"/>
    <w:pPr>
      <w:jc w:val="left"/>
    </w:pPr>
    <w:rPr>
      <w:kern w:val="0"/>
      <w:sz w:val="20"/>
    </w:rPr>
  </w:style>
  <w:style w:type="paragraph" w:styleId="7">
    <w:name w:val="Body Text"/>
    <w:basedOn w:val="1"/>
    <w:next w:val="1"/>
    <w:unhideWhenUsed/>
    <w:qFormat/>
    <w:uiPriority w:val="0"/>
    <w:pPr>
      <w:spacing w:after="120"/>
    </w:pPr>
    <w:rPr>
      <w:sz w:val="24"/>
    </w:rPr>
  </w:style>
  <w:style w:type="paragraph" w:styleId="8">
    <w:name w:val="Body Text Indent"/>
    <w:basedOn w:val="1"/>
    <w:unhideWhenUsed/>
    <w:qFormat/>
    <w:uiPriority w:val="99"/>
    <w:pPr>
      <w:spacing w:after="120"/>
      <w:ind w:left="420" w:leftChars="200"/>
    </w:pPr>
    <w:rPr>
      <w:kern w:val="0"/>
      <w:sz w:val="20"/>
      <w:szCs w:val="20"/>
    </w:rPr>
  </w:style>
  <w:style w:type="paragraph" w:styleId="9">
    <w:name w:val="Plain Text"/>
    <w:basedOn w:val="1"/>
    <w:qFormat/>
    <w:uiPriority w:val="0"/>
    <w:rPr>
      <w:rFonts w:ascii="宋体" w:hAnsi="Courier New"/>
    </w:rPr>
  </w:style>
  <w:style w:type="paragraph" w:styleId="10">
    <w:name w:val="footer"/>
    <w:basedOn w:val="1"/>
    <w:unhideWhenUsed/>
    <w:qFormat/>
    <w:uiPriority w:val="99"/>
    <w:pPr>
      <w:tabs>
        <w:tab w:val="center" w:pos="4153"/>
        <w:tab w:val="right" w:pos="8306"/>
      </w:tabs>
      <w:snapToGrid w:val="0"/>
      <w:jc w:val="left"/>
    </w:pPr>
    <w:rPr>
      <w:kern w:val="0"/>
      <w:sz w:val="18"/>
      <w:szCs w:val="18"/>
    </w:rPr>
  </w:style>
  <w:style w:type="paragraph" w:styleId="11">
    <w:name w:val="header"/>
    <w:basedOn w:val="1"/>
    <w:link w:val="34"/>
    <w:qFormat/>
    <w:uiPriority w:val="0"/>
    <w:pP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Body Text 2"/>
    <w:basedOn w:val="1"/>
    <w:qFormat/>
    <w:uiPriority w:val="99"/>
    <w:pPr>
      <w:spacing w:before="240"/>
    </w:pPr>
    <w:rPr>
      <w:rFonts w:ascii="Calibri" w:hAnsi="Calibri"/>
      <w:color w:val="FF0000"/>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next w:val="1"/>
    <w:qFormat/>
    <w:uiPriority w:val="0"/>
    <w:pPr>
      <w:spacing w:before="240" w:after="60"/>
      <w:jc w:val="center"/>
      <w:outlineLvl w:val="0"/>
    </w:pPr>
    <w:rPr>
      <w:rFonts w:ascii="Arial" w:hAnsi="Arial" w:eastAsia="隶书"/>
      <w:b/>
      <w:bCs/>
      <w:sz w:val="32"/>
      <w:szCs w:val="32"/>
    </w:rPr>
  </w:style>
  <w:style w:type="paragraph" w:styleId="16">
    <w:name w:val="annotation subject"/>
    <w:basedOn w:val="6"/>
    <w:next w:val="6"/>
    <w:link w:val="36"/>
    <w:qFormat/>
    <w:uiPriority w:val="0"/>
    <w:rPr>
      <w:b/>
      <w:bCs/>
      <w:kern w:val="2"/>
      <w:sz w:val="21"/>
    </w:rPr>
  </w:style>
  <w:style w:type="paragraph" w:styleId="17">
    <w:name w:val="Body Text First Indent"/>
    <w:basedOn w:val="7"/>
    <w:qFormat/>
    <w:uiPriority w:val="0"/>
    <w:pPr>
      <w:snapToGrid w:val="0"/>
      <w:spacing w:line="560" w:lineRule="exact"/>
      <w:ind w:firstLine="200" w:firstLineChars="200"/>
    </w:pPr>
    <w:rPr>
      <w:rFonts w:ascii="仿宋" w:hAnsi="仿宋" w:cs="仿宋"/>
    </w:r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rPr>
  </w:style>
  <w:style w:type="character" w:styleId="22">
    <w:name w:val="page number"/>
    <w:qFormat/>
    <w:uiPriority w:val="0"/>
  </w:style>
  <w:style w:type="character" w:styleId="23">
    <w:name w:val="annotation reference"/>
    <w:basedOn w:val="20"/>
    <w:qFormat/>
    <w:uiPriority w:val="0"/>
    <w:rPr>
      <w:sz w:val="21"/>
      <w:szCs w:val="21"/>
    </w:rPr>
  </w:style>
  <w:style w:type="paragraph" w:styleId="24">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25">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styleId="26">
    <w:name w:val="List Paragraph"/>
    <w:basedOn w:val="1"/>
    <w:qFormat/>
    <w:uiPriority w:val="34"/>
    <w:pPr>
      <w:ind w:firstLine="420" w:firstLineChars="200"/>
    </w:pPr>
  </w:style>
  <w:style w:type="character" w:customStyle="1" w:styleId="27">
    <w:name w:val="NormalCharacter"/>
    <w:qFormat/>
    <w:uiPriority w:val="0"/>
    <w:rPr>
      <w:kern w:val="2"/>
      <w:sz w:val="21"/>
      <w:szCs w:val="24"/>
      <w:lang w:val="en-US" w:eastAsia="zh-CN" w:bidi="ar-SA"/>
    </w:rPr>
  </w:style>
  <w:style w:type="paragraph" w:customStyle="1" w:styleId="28">
    <w:name w:val="Table Paragraph"/>
    <w:basedOn w:val="1"/>
    <w:qFormat/>
    <w:uiPriority w:val="0"/>
    <w:pPr>
      <w:autoSpaceDE w:val="0"/>
      <w:autoSpaceDN w:val="0"/>
      <w:jc w:val="left"/>
    </w:pPr>
    <w:rPr>
      <w:rFonts w:ascii="宋体" w:hAnsi="宋体" w:cs="宋体"/>
      <w:kern w:val="0"/>
      <w:sz w:val="22"/>
      <w:szCs w:val="22"/>
    </w:rPr>
  </w:style>
  <w:style w:type="paragraph" w:customStyle="1" w:styleId="29">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qowt-font5-gb2312"/>
    <w:qFormat/>
    <w:uiPriority w:val="0"/>
  </w:style>
  <w:style w:type="paragraph" w:customStyle="1" w:styleId="31">
    <w:name w:val="正文格式"/>
    <w:basedOn w:val="8"/>
    <w:qFormat/>
    <w:uiPriority w:val="99"/>
    <w:pPr>
      <w:spacing w:after="0" w:line="360" w:lineRule="auto"/>
      <w:ind w:left="0" w:leftChars="0" w:firstLine="600"/>
    </w:pPr>
    <w:rPr>
      <w:rFonts w:eastAsia="仿宋_GB2312"/>
      <w:sz w:val="30"/>
      <w:szCs w:val="30"/>
    </w:rPr>
  </w:style>
  <w:style w:type="paragraph" w:customStyle="1" w:styleId="32">
    <w:name w:val="msolistparagraph"/>
    <w:basedOn w:val="1"/>
    <w:qFormat/>
    <w:uiPriority w:val="0"/>
    <w:pPr>
      <w:ind w:firstLine="420" w:firstLineChars="200"/>
    </w:pPr>
  </w:style>
  <w:style w:type="paragraph" w:customStyle="1" w:styleId="3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34">
    <w:name w:val="页眉 字符"/>
    <w:basedOn w:val="20"/>
    <w:link w:val="11"/>
    <w:qFormat/>
    <w:uiPriority w:val="0"/>
    <w:rPr>
      <w:kern w:val="2"/>
      <w:sz w:val="18"/>
      <w:szCs w:val="18"/>
    </w:rPr>
  </w:style>
  <w:style w:type="character" w:customStyle="1" w:styleId="35">
    <w:name w:val="批注文字 字符"/>
    <w:basedOn w:val="20"/>
    <w:link w:val="6"/>
    <w:qFormat/>
    <w:uiPriority w:val="0"/>
    <w:rPr>
      <w:szCs w:val="24"/>
    </w:rPr>
  </w:style>
  <w:style w:type="character" w:customStyle="1" w:styleId="36">
    <w:name w:val="批注主题 字符"/>
    <w:basedOn w:val="35"/>
    <w:link w:val="16"/>
    <w:qFormat/>
    <w:uiPriority w:val="0"/>
    <w:rPr>
      <w:b/>
      <w:bCs/>
      <w:kern w:val="2"/>
      <w:sz w:val="21"/>
      <w:szCs w:val="24"/>
    </w:rPr>
  </w:style>
  <w:style w:type="paragraph" w:customStyle="1" w:styleId="37">
    <w:name w:val="9前海 正文"/>
    <w:basedOn w:val="38"/>
    <w:qFormat/>
    <w:uiPriority w:val="0"/>
    <w:pPr>
      <w:ind w:firstLine="640"/>
    </w:pPr>
    <w:rPr>
      <w:rFonts w:ascii="仿宋_GB2312" w:eastAsia="仿宋_GB2312"/>
    </w:rPr>
  </w:style>
  <w:style w:type="paragraph" w:customStyle="1" w:styleId="38">
    <w:name w:val="金控正文"/>
    <w:basedOn w:val="1"/>
    <w:qFormat/>
    <w:uiPriority w:val="0"/>
    <w:pPr>
      <w:spacing w:line="560" w:lineRule="exact"/>
      <w:ind w:firstLine="200" w:firstLineChars="200"/>
    </w:pPr>
    <w:rPr>
      <w:rFonts w:ascii="仿宋" w:hAnsi="仿宋" w:eastAsia="仿宋" w:cs="Arial"/>
      <w:sz w:val="32"/>
      <w:szCs w:val="32"/>
    </w:rPr>
  </w:style>
  <w:style w:type="paragraph" w:customStyle="1" w:styleId="39">
    <w:name w:val="列出段落2"/>
    <w:basedOn w:val="1"/>
    <w:qFormat/>
    <w:uiPriority w:val="34"/>
    <w:pPr>
      <w:ind w:firstLine="420" w:firstLineChars="200"/>
    </w:pPr>
  </w:style>
  <w:style w:type="paragraph" w:customStyle="1" w:styleId="40">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92</Pages>
  <Words>32037</Words>
  <Characters>33633</Characters>
  <Lines>5243</Lines>
  <Paragraphs>2645</Paragraphs>
  <TotalTime>3</TotalTime>
  <ScaleCrop>false</ScaleCrop>
  <LinksUpToDate>false</LinksUpToDate>
  <CharactersWithSpaces>35172</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2025-02-12T01:50:00Z</dcterms:created>
  <dc:creator>黎俊</dc:creator>
  <cp:lastModifiedBy>黎俊</cp:lastModifiedBy>
  <cp:lastPrinted>2025-09-26T00:37:00Z</cp:lastPrinted>
  <dcterms:modified xsi:type="dcterms:W3CDTF">2025-10-17T09:03:31Z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KSOTemplateDocerSaveRecord">
    <vt:lpwstr>eyJoZGlkIjoiNTU0ZmIwYTQ3NzlmZGUxZmU3Zjk0M2IyZTNmM2IxNjAiLCJ1c2VySWQiOiI2MzUyNTY4NzUifQ==</vt:lpwstr>
  </property>
  <property fmtid="{D5CDD505-2E9C-101B-9397-08002B2CF9AE}" pid="4" name="ICV">
    <vt:lpwstr>833036A87C1D4BBF8BFE03AA683245D3_13</vt:lpwstr>
  </property>
</Properties>
</file>