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jc w:val="center"/>
        <w:rPr>
          <w:rFonts w:hint="eastAsia"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简易招标文件</w:t>
      </w:r>
    </w:p>
    <w:p>
      <w:pPr>
        <w:jc w:val="cente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5"/>
        <w:ind w:firstLine="420"/>
        <w:rPr>
          <w:rFonts w:hint="eastAsia" w:ascii="宋体" w:hAnsi="宋体" w:cs="宋体"/>
          <w:color w:val="000000" w:themeColor="text1"/>
          <w14:textFill>
            <w14:solidFill>
              <w14:schemeClr w14:val="tx1"/>
            </w14:solidFill>
          </w14:textFill>
        </w:rPr>
      </w:pPr>
    </w:p>
    <w:p>
      <w:pPr>
        <w:pStyle w:val="25"/>
        <w:ind w:firstLine="420"/>
        <w:rPr>
          <w:rFonts w:hint="eastAsia" w:ascii="宋体" w:hAnsi="宋体" w:cs="宋体"/>
          <w:color w:val="000000" w:themeColor="text1"/>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ind w:left="2326" w:leftChars="247" w:right="-319" w:rightChars="-152" w:hanging="1807" w:hangingChars="500"/>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招标编号：QH2025109</w:t>
      </w:r>
    </w:p>
    <w:p>
      <w:pPr>
        <w:pStyle w:val="25"/>
        <w:ind w:firstLine="420"/>
        <w:rPr>
          <w:rFonts w:hint="eastAsia" w:ascii="宋体" w:hAnsi="宋体" w:cs="宋体"/>
          <w:color w:val="000000" w:themeColor="text1"/>
          <w14:textFill>
            <w14:solidFill>
              <w14:schemeClr w14:val="tx1"/>
            </w14:solidFill>
          </w14:textFill>
        </w:rPr>
      </w:pPr>
    </w:p>
    <w:p>
      <w:pPr>
        <w:pStyle w:val="25"/>
        <w:ind w:firstLine="420"/>
        <w:rPr>
          <w:rFonts w:hint="eastAsia" w:ascii="宋体" w:hAnsi="宋体" w:cs="宋体"/>
          <w:color w:val="000000" w:themeColor="text1"/>
          <w14:textFill>
            <w14:solidFill>
              <w14:schemeClr w14:val="tx1"/>
            </w14:solidFill>
          </w14:textFill>
        </w:rPr>
      </w:pPr>
    </w:p>
    <w:p>
      <w:pPr>
        <w:pStyle w:val="25"/>
        <w:ind w:firstLine="420"/>
        <w:rPr>
          <w:rFonts w:hint="eastAsia" w:ascii="宋体" w:hAnsi="宋体" w:cs="宋体"/>
          <w:color w:val="000000" w:themeColor="text1"/>
          <w14:textFill>
            <w14:solidFill>
              <w14:schemeClr w14:val="tx1"/>
            </w14:solidFill>
          </w14:textFill>
        </w:rPr>
      </w:pPr>
    </w:p>
    <w:p>
      <w:pPr>
        <w:ind w:left="2304" w:leftChars="247" w:right="-319" w:rightChars="-152" w:hanging="1785" w:hangingChars="494"/>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招标项目：前海合作区设立以来高水平改革开放创新综合性成果评价研究</w:t>
      </w:r>
    </w:p>
    <w:p>
      <w:pPr>
        <w:ind w:firstLine="3264" w:firstLineChars="739"/>
        <w:rPr>
          <w:rFonts w:hint="eastAsia" w:ascii="宋体" w:hAnsi="宋体" w:cs="宋体"/>
          <w:b/>
          <w:color w:val="000000" w:themeColor="text1"/>
          <w:sz w:val="44"/>
          <w14:textFill>
            <w14:solidFill>
              <w14:schemeClr w14:val="tx1"/>
            </w14:solidFill>
          </w14:textFill>
        </w:rPr>
      </w:pPr>
    </w:p>
    <w:p>
      <w:pPr>
        <w:ind w:left="1260" w:leftChars="600" w:firstLine="1855" w:firstLineChars="420"/>
        <w:rPr>
          <w:rFonts w:hint="eastAsia" w:ascii="宋体" w:hAnsi="宋体" w:cs="宋体"/>
          <w:b/>
          <w:color w:val="000000" w:themeColor="text1"/>
          <w:sz w:val="44"/>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jc w:val="center"/>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深圳市前海深港现代服务业合作区管理局</w:t>
      </w:r>
    </w:p>
    <w:p>
      <w:pPr>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2025年</w:t>
      </w:r>
      <w:r>
        <w:rPr>
          <w:rFonts w:hint="eastAsia" w:ascii="宋体" w:hAnsi="宋体" w:cs="宋体"/>
          <w:b/>
          <w:bCs/>
          <w:color w:val="000000" w:themeColor="text1"/>
          <w:sz w:val="36"/>
          <w:szCs w:val="36"/>
          <w:lang w:val="en-US" w:eastAsia="zh-CN"/>
          <w14:textFill>
            <w14:solidFill>
              <w14:schemeClr w14:val="tx1"/>
            </w14:solidFill>
          </w14:textFill>
        </w:rPr>
        <w:t>10</w:t>
      </w:r>
      <w:r>
        <w:rPr>
          <w:rFonts w:hint="eastAsia" w:ascii="宋体" w:hAnsi="宋体" w:cs="宋体"/>
          <w:b/>
          <w:bCs/>
          <w:color w:val="000000" w:themeColor="text1"/>
          <w:sz w:val="36"/>
          <w:szCs w:val="36"/>
          <w14:textFill>
            <w14:solidFill>
              <w14:schemeClr w14:val="tx1"/>
            </w14:solidFill>
          </w14:textFill>
        </w:rPr>
        <w:t>月</w:t>
      </w:r>
    </w:p>
    <w:p>
      <w:pPr>
        <w:autoSpaceDE w:val="0"/>
        <w:autoSpaceDN w:val="0"/>
        <w:adjustRightInd w:val="0"/>
        <w:spacing w:line="360" w:lineRule="auto"/>
        <w:jc w:val="center"/>
        <w:rPr>
          <w:rFonts w:hint="eastAsia" w:ascii="宋体" w:hAnsi="宋体" w:cs="宋体"/>
          <w:b/>
          <w:bCs/>
          <w:color w:val="000000" w:themeColor="text1"/>
          <w:kern w:val="0"/>
          <w:sz w:val="36"/>
          <w:szCs w:val="36"/>
          <w14:textFill>
            <w14:solidFill>
              <w14:schemeClr w14:val="tx1"/>
            </w14:solidFill>
          </w14:textFill>
        </w:rPr>
      </w:pPr>
      <w:bookmarkStart w:id="0" w:name="_Toc12932"/>
      <w:r>
        <w:rPr>
          <w:rFonts w:ascii="宋体" w:hAnsi="宋体"/>
          <w:b/>
          <w:bCs/>
          <w:color w:val="000000" w:themeColor="text1"/>
          <w:sz w:val="32"/>
          <w:szCs w:val="40"/>
          <w:u w:val="single"/>
          <w14:textFill>
            <w14:solidFill>
              <w14:schemeClr w14:val="tx1"/>
            </w14:solidFill>
          </w14:textFill>
        </w:rPr>
        <w:br w:type="page"/>
      </w:r>
      <w:r>
        <w:rPr>
          <w:rFonts w:hint="eastAsia" w:ascii="宋体" w:hAnsi="宋体" w:cs="宋体"/>
          <w:b/>
          <w:bCs/>
          <w:color w:val="000000" w:themeColor="text1"/>
          <w:kern w:val="0"/>
          <w:sz w:val="36"/>
          <w:szCs w:val="36"/>
          <w14:textFill>
            <w14:solidFill>
              <w14:schemeClr w14:val="tx1"/>
            </w14:solidFill>
          </w14:textFill>
        </w:rPr>
        <w:t>特别警示条款</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4482" w:type="pct"/>
            <w:vAlign w:val="center"/>
          </w:tcPr>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与其他投标供应商的法定代表人、主要经营负责人、投标授权代表人、项目负责人、主要技术人员为</w:t>
            </w:r>
            <w:r>
              <w:rPr>
                <w:rFonts w:hint="eastAsia" w:ascii="宋体" w:hAnsi="宋体" w:cs="宋体"/>
                <w:b/>
                <w:bCs/>
                <w:color w:val="000000" w:themeColor="text1"/>
                <w:sz w:val="24"/>
                <w14:textFill>
                  <w14:solidFill>
                    <w14:schemeClr w14:val="tx1"/>
                  </w14:solidFill>
                </w14:textFill>
              </w:rPr>
              <w:t>同一人、属同一单位或者在同一单位缴纳社会保险</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参与本项目政府采购活动时，与其他投标供应商存在单位负责人为</w:t>
            </w:r>
            <w:r>
              <w:rPr>
                <w:rFonts w:hint="eastAsia" w:ascii="宋体" w:hAnsi="宋体" w:cs="宋体"/>
                <w:b/>
                <w:bCs/>
                <w:color w:val="000000" w:themeColor="text1"/>
                <w:sz w:val="24"/>
                <w14:textFill>
                  <w14:solidFill>
                    <w14:schemeClr w14:val="tx1"/>
                  </w14:solidFill>
                </w14:textFill>
              </w:rPr>
              <w:t>同一人或直接控股、管理关系</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与其他投标供应商的投标文件或部分投标文件</w:t>
            </w:r>
            <w:r>
              <w:rPr>
                <w:rFonts w:hint="eastAsia" w:ascii="宋体" w:hAnsi="宋体" w:cs="宋体"/>
                <w:b/>
                <w:bCs/>
                <w:color w:val="000000" w:themeColor="text1"/>
                <w:sz w:val="24"/>
                <w14:textFill>
                  <w14:solidFill>
                    <w14:schemeClr w14:val="tx1"/>
                  </w14:solidFill>
                </w14:textFill>
              </w:rPr>
              <w:t>相互混装或存在非正常一致</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与其他投标供应商的投标文件由</w:t>
            </w:r>
            <w:r>
              <w:rPr>
                <w:rFonts w:hint="eastAsia" w:ascii="宋体" w:hAnsi="宋体" w:cs="宋体"/>
                <w:b/>
                <w:bCs/>
                <w:color w:val="000000" w:themeColor="text1"/>
                <w:sz w:val="24"/>
                <w14:textFill>
                  <w14:solidFill>
                    <w14:schemeClr w14:val="tx1"/>
                  </w14:solidFill>
                </w14:textFill>
              </w:rPr>
              <w:t>同一单位或者同一人编制</w:t>
            </w:r>
            <w:r>
              <w:rPr>
                <w:rFonts w:hint="eastAsia" w:ascii="宋体" w:hAnsi="宋体" w:cs="宋体"/>
                <w:color w:val="000000" w:themeColor="text1"/>
                <w:sz w:val="24"/>
                <w14:textFill>
                  <w14:solidFill>
                    <w14:schemeClr w14:val="tx1"/>
                  </w14:solidFill>
                </w14:textFill>
              </w:rPr>
              <w:t>，或者使用</w:t>
            </w:r>
            <w:r>
              <w:rPr>
                <w:rFonts w:hint="eastAsia" w:ascii="宋体" w:hAnsi="宋体" w:cs="宋体"/>
                <w:b/>
                <w:bCs/>
                <w:color w:val="000000" w:themeColor="text1"/>
                <w:sz w:val="24"/>
                <w14:textFill>
                  <w14:solidFill>
                    <w14:schemeClr w14:val="tx1"/>
                  </w14:solidFill>
                </w14:textFill>
              </w:rPr>
              <w:t>同一设备编制</w:t>
            </w:r>
            <w:r>
              <w:rPr>
                <w:rFonts w:hint="eastAsia" w:ascii="宋体" w:hAnsi="宋体" w:cs="宋体"/>
                <w:color w:val="000000" w:themeColor="text1"/>
                <w:sz w:val="24"/>
                <w14:textFill>
                  <w14:solidFill>
                    <w14:schemeClr w14:val="tx1"/>
                  </w14:solidFill>
                </w14:textFill>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w:t>
            </w:r>
            <w:r>
              <w:rPr>
                <w:rFonts w:hint="eastAsia" w:ascii="宋体" w:hAnsi="宋体" w:cs="宋体"/>
                <w:b/>
                <w:bCs/>
                <w:color w:val="000000" w:themeColor="text1"/>
                <w:sz w:val="24"/>
                <w14:textFill>
                  <w14:solidFill>
                    <w14:schemeClr w14:val="tx1"/>
                  </w14:solidFill>
                </w14:textFill>
              </w:rPr>
              <w:t>未经出具机构核实</w:t>
            </w:r>
            <w:r>
              <w:rPr>
                <w:rFonts w:hint="eastAsia" w:ascii="宋体" w:hAnsi="宋体" w:cs="宋体"/>
                <w:color w:val="000000" w:themeColor="text1"/>
                <w:sz w:val="24"/>
                <w14:textFill>
                  <w14:solidFill>
                    <w14:schemeClr w14:val="tx1"/>
                  </w14:solidFill>
                </w14:textFill>
              </w:rPr>
              <w:t>的虚假的检验检测报告、业绩材料、社保缴纳证明、学历学位证书、职称认证证书等材料。</w:t>
            </w:r>
          </w:p>
        </w:tc>
      </w:tr>
    </w:tbl>
    <w:p>
      <w:pPr>
        <w:autoSpaceDE w:val="0"/>
        <w:autoSpaceDN w:val="0"/>
        <w:adjustRightInd w:val="0"/>
        <w:spacing w:line="360" w:lineRule="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《深圳经济特区政府采购条例》</w:t>
      </w:r>
    </w:p>
    <w:p>
      <w:pPr>
        <w:autoSpaceDE w:val="0"/>
        <w:autoSpaceDN w:val="0"/>
        <w:adjustRightInd w:val="0"/>
        <w:spacing w:line="360" w:lineRule="auto"/>
        <w:ind w:left="239" w:leftChars="114" w:firstLine="241" w:firstLineChars="100"/>
        <w:jc w:val="left"/>
        <w:rPr>
          <w:rFonts w:hint="eastAsia"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第五十七条</w:t>
      </w:r>
      <w:r>
        <w:rPr>
          <w:rFonts w:hint="eastAsia" w:ascii="宋体" w:hAnsi="宋体" w:cs="宋体"/>
          <w:color w:val="000000" w:themeColor="text1"/>
          <w:sz w:val="24"/>
          <w14:textFill>
            <w14:solidFill>
              <w14:schemeClr w14:val="tx1"/>
            </w14:solidFill>
          </w14:textFill>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bookmarkStart w:id="1" w:name="_Toc2750"/>
      <w:r>
        <w:rPr>
          <w:rFonts w:hint="eastAsia"/>
          <w:color w:val="000000" w:themeColor="text1"/>
          <w14:textFill>
            <w14:solidFill>
              <w14:schemeClr w14:val="tx1"/>
            </w14:solidFill>
          </w14:textFill>
        </w:rPr>
        <w:t>（一）在采购活动中应当回避而未回避的；</w:t>
      </w:r>
      <w:bookmarkEnd w:id="1"/>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（二）未按照本条例规定签订、履行采购合同，造成严重后果的；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（三）隐瞒真实情况，提供虚假资料的；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（四）以非法手段排斥其他供应商参与竞争的；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（五）与其他采购参加人串通投标的；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（六）恶意投诉的；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（七）向采购项目相关人行贿或者提供其他不当利益的；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（八）阻碍、抗拒主管部门监督检查的；</w:t>
      </w:r>
    </w:p>
    <w:p>
      <w:pPr>
        <w:pStyle w:val="14"/>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（九）其他违反本条例规定的行为。</w:t>
      </w:r>
    </w:p>
    <w:p>
      <w:pPr>
        <w:autoSpaceDE w:val="0"/>
        <w:autoSpaceDN w:val="0"/>
        <w:adjustRightInd w:val="0"/>
        <w:spacing w:line="360" w:lineRule="auto"/>
        <w:ind w:firstLine="360" w:firstLineChars="150"/>
        <w:jc w:val="left"/>
        <w:rPr>
          <w:rFonts w:hint="eastAsia" w:ascii="宋体" w:hAnsi="宋体" w:cs="宋体"/>
          <w:color w:val="000000" w:themeColor="text1"/>
          <w:kern w:val="0"/>
          <w:sz w:val="24"/>
          <w14:textFill>
            <w14:solidFill>
              <w14:schemeClr w14:val="tx1"/>
            </w14:solidFill>
          </w14:textFill>
        </w:rPr>
      </w:pPr>
    </w:p>
    <w:p>
      <w:pPr>
        <w:autoSpaceDE w:val="0"/>
        <w:autoSpaceDN w:val="0"/>
        <w:adjustRightInd w:val="0"/>
        <w:spacing w:line="360" w:lineRule="auto"/>
        <w:jc w:val="center"/>
        <w:rPr>
          <w:rFonts w:hint="eastAsia" w:ascii="宋体" w:hAnsi="宋体" w:cs="宋体"/>
          <w:b/>
          <w:color w:val="000000" w:themeColor="text1"/>
          <w:kern w:val="0"/>
          <w:sz w:val="24"/>
          <w14:textFill>
            <w14:solidFill>
              <w14:schemeClr w14:val="tx1"/>
            </w14:solidFill>
          </w14:textFill>
        </w:rPr>
      </w:pPr>
    </w:p>
    <w:p>
      <w:pPr>
        <w:autoSpaceDE w:val="0"/>
        <w:autoSpaceDN w:val="0"/>
        <w:adjustRightInd w:val="0"/>
        <w:spacing w:line="360" w:lineRule="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《深圳经济特区政府采购条例实施细则》</w:t>
      </w:r>
    </w:p>
    <w:p>
      <w:pPr>
        <w:keepLines/>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第七十五条</w:t>
      </w:r>
      <w:r>
        <w:rPr>
          <w:rFonts w:hint="eastAsia" w:ascii="宋体" w:hAnsi="宋体" w:cs="宋体"/>
          <w:color w:val="000000" w:themeColor="text1"/>
          <w:sz w:val="24"/>
          <w14:textFill>
            <w14:solidFill>
              <w14:schemeClr w14:val="tx1"/>
            </w14:solidFill>
          </w14:textFill>
        </w:rPr>
        <w:t> 供应商有下列情形的，属于采购条例所称的串通投标行为，按照采购条例第五十七条有关规定处理：</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2" w:name="_Toc6281"/>
      <w:r>
        <w:rPr>
          <w:rFonts w:hint="eastAsia" w:ascii="宋体" w:hAnsi="宋体" w:cs="宋体"/>
          <w:color w:val="000000" w:themeColor="text1"/>
          <w:sz w:val="24"/>
          <w14:textFill>
            <w14:solidFill>
              <w14:schemeClr w14:val="tx1"/>
            </w14:solidFill>
          </w14:textFill>
        </w:rPr>
        <w:t>（一）投标供应商之间相互约定给予未中标的供应商利益补偿；</w:t>
      </w:r>
      <w:bookmarkEnd w:id="2"/>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（三）不同投标供应商的投标文件由同一单位或者同一人编制，或者由同一人分阶段参与编制的；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（四）不同投标供应商的投标文件或部分投标文件相互混装；</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（五）不同投标供应商的投标文件内容存在非正常一致；</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（六）由同一单位工作人员为两家以上（含两家）供应商进行同一项投标活动的；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3" w:name="_Toc31089"/>
      <w:r>
        <w:rPr>
          <w:rFonts w:hint="eastAsia" w:ascii="宋体" w:hAnsi="宋体" w:cs="宋体"/>
          <w:color w:val="000000" w:themeColor="text1"/>
          <w:sz w:val="24"/>
          <w14:textFill>
            <w14:solidFill>
              <w14:schemeClr w14:val="tx1"/>
            </w14:solidFill>
          </w14:textFill>
        </w:rPr>
        <w:t>（七）主管部门依照法律、法规认定的其他情形。</w:t>
      </w:r>
      <w:bookmarkEnd w:id="3"/>
    </w:p>
    <w:p>
      <w:pPr>
        <w:keepLines/>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第七十七条</w:t>
      </w:r>
      <w:r>
        <w:rPr>
          <w:rFonts w:hint="eastAsia" w:ascii="宋体" w:hAnsi="宋体" w:cs="宋体"/>
          <w:color w:val="000000" w:themeColor="text1"/>
          <w:sz w:val="24"/>
          <w14:textFill>
            <w14:solidFill>
              <w14:schemeClr w14:val="tx1"/>
            </w14:solidFill>
          </w14:textFill>
        </w:rPr>
        <w:t> 供应商有下列情形之一的，属于隐瞒真实情况，提供虚假资料，按照采购条例第五十七条的有关规定处理：</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（一）通过转让或者租借等方式从其他单位获取资格或者资质证书投标的；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（二）由其他单位或者其他单位负责人在投标供应商编制的投标文件上加盖印章或者签字的；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（三）项目负责人或者主要技术人员不是本单位人员的；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（四）投标保证金不是从投标供应商基本账户转出的；</w:t>
      </w:r>
    </w:p>
    <w:p>
      <w:pPr>
        <w:keepLines/>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（五）其他隐瞒真实情况、提供虚假资料的行为。</w:t>
      </w:r>
    </w:p>
    <w:p>
      <w:pPr>
        <w:keepLines/>
        <w:spacing w:line="360" w:lineRule="auto"/>
        <w:ind w:firstLine="48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投标供应商不能提供项目负责人或者主要技术人员的劳动合同、社会保险等劳动关系证明材料的，视为存在前款第（三）项规定的情形。</w:t>
      </w:r>
    </w:p>
    <w:p>
      <w:pPr>
        <w:autoSpaceDE w:val="0"/>
        <w:autoSpaceDN w:val="0"/>
        <w:adjustRightInd w:val="0"/>
        <w:spacing w:line="360" w:lineRule="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《中华人民共和国政府采购法实施条例》 </w:t>
      </w:r>
    </w:p>
    <w:p>
      <w:pPr>
        <w:spacing w:line="360" w:lineRule="auto"/>
        <w:ind w:firstLine="482" w:firstLineChars="200"/>
        <w:jc w:val="left"/>
        <w:rPr>
          <w:rFonts w:hint="eastAsia" w:ascii="宋体" w:hAnsi="宋体" w:cs="宋体"/>
          <w:color w:val="000000" w:themeColor="text1"/>
          <w:sz w:val="24"/>
          <w14:textFill>
            <w14:solidFill>
              <w14:schemeClr w14:val="tx1"/>
            </w14:solidFill>
          </w14:textFill>
        </w:rPr>
      </w:pPr>
      <w:bookmarkStart w:id="4" w:name="_Toc10451"/>
      <w:r>
        <w:rPr>
          <w:rFonts w:hint="eastAsia" w:ascii="宋体" w:hAnsi="宋体" w:cs="宋体"/>
          <w:b/>
          <w:bCs/>
          <w:color w:val="000000" w:themeColor="text1"/>
          <w:sz w:val="24"/>
          <w14:textFill>
            <w14:solidFill>
              <w14:schemeClr w14:val="tx1"/>
            </w14:solidFill>
          </w14:textFill>
        </w:rPr>
        <w:t>第十八条</w:t>
      </w:r>
      <w:r>
        <w:rPr>
          <w:rFonts w:hint="eastAsia" w:ascii="宋体" w:hAnsi="宋体" w:cs="宋体"/>
          <w:color w:val="000000" w:themeColor="text1"/>
          <w:sz w:val="24"/>
          <w14:textFill>
            <w14:solidFill>
              <w14:schemeClr w14:val="tx1"/>
            </w14:solidFill>
          </w14:textFill>
        </w:rPr>
        <w:t xml:space="preserve"> 单位负责人为同一人或者存在直接控股、管理关系的不同供应商，不得参加同一合同项下的政府采购活动。</w:t>
      </w:r>
      <w:bookmarkEnd w:id="4"/>
    </w:p>
    <w:p>
      <w:pPr>
        <w:spacing w:line="360" w:lineRule="auto"/>
        <w:ind w:firstLine="480" w:firstLineChars="200"/>
        <w:jc w:val="left"/>
        <w:rPr>
          <w:rFonts w:hint="eastAsia" w:ascii="宋体" w:hAnsi="宋体" w:cs="宋体"/>
          <w:color w:val="000000" w:themeColor="text1"/>
          <w14:textFill>
            <w14:solidFill>
              <w14:schemeClr w14:val="tx1"/>
            </w14:solidFill>
          </w14:textFill>
        </w:rPr>
      </w:pPr>
      <w:bookmarkStart w:id="5" w:name="_Toc4495"/>
      <w:r>
        <w:rPr>
          <w:rFonts w:hint="eastAsia" w:ascii="宋体" w:hAnsi="宋体" w:cs="宋体"/>
          <w:color w:val="000000" w:themeColor="text1"/>
          <w:sz w:val="24"/>
          <w14:textFill>
            <w14:solidFill>
              <w14:schemeClr w14:val="tx1"/>
            </w14:solidFill>
          </w14:textFill>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《深圳市财政局关于采购文件增加风险告知有关事项的通知》 </w:t>
      </w:r>
    </w:p>
    <w:p>
      <w:pPr>
        <w:pStyle w:val="7"/>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autoSpaceDE w:val="0"/>
        <w:autoSpaceDN w:val="0"/>
        <w:adjustRightInd w:val="0"/>
        <w:spacing w:line="360" w:lineRule="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《关于在相关自由贸易试验区和自由贸易港开展推动解决政府采购异常低价问题试点工作的通知》</w:t>
      </w:r>
    </w:p>
    <w:p>
      <w:pPr>
        <w:pStyle w:val="7"/>
        <w:tabs>
          <w:tab w:val="left" w:pos="562"/>
          <w:tab w:val="left" w:pos="3372"/>
          <w:tab w:val="left" w:pos="3653"/>
        </w:tabs>
        <w:spacing w:line="360" w:lineRule="auto"/>
        <w:ind w:firstLine="482" w:firstLineChars="20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强化政府采购异常低价审查：</w:t>
      </w:r>
    </w:p>
    <w:p>
      <w:pPr>
        <w:pStyle w:val="7"/>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试点地区采购人应当在采购文件中明确异常低价投标（响应）审查的有关内容，主要包括：</w:t>
      </w:r>
    </w:p>
    <w:p>
      <w:pPr>
        <w:pStyle w:val="7"/>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7"/>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7"/>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rFonts w:hint="eastAsia" w:ascii="宋体" w:hAnsi="宋体" w:cs="宋体"/>
          <w:b/>
          <w:bCs/>
          <w:color w:val="000000" w:themeColor="text1"/>
          <w:sz w:val="36"/>
          <w:szCs w:val="36"/>
          <w:lang w:val="zh-CN"/>
          <w14:textFill>
            <w14:solidFill>
              <w14:schemeClr w14:val="tx1"/>
            </w14:solidFill>
          </w14:textFill>
        </w:rPr>
      </w:pPr>
      <w:bookmarkStart w:id="6" w:name="_Toc20808"/>
      <w:r>
        <w:rPr>
          <w:rFonts w:hint="eastAsia" w:ascii="宋体" w:hAnsi="宋体" w:cs="宋体"/>
          <w:b/>
          <w:bCs/>
          <w:color w:val="000000" w:themeColor="text1"/>
          <w:sz w:val="36"/>
          <w:szCs w:val="36"/>
          <w:lang w:val="zh-CN"/>
          <w14:textFill>
            <w14:solidFill>
              <w14:schemeClr w14:val="tx1"/>
            </w14:solidFill>
          </w14:textFill>
        </w:rPr>
        <w:t>目录</w:t>
      </w:r>
      <w:bookmarkEnd w:id="0"/>
      <w:bookmarkEnd w:id="6"/>
    </w:p>
    <w:p>
      <w:pPr>
        <w:pStyle w:val="12"/>
        <w:tabs>
          <w:tab w:val="right" w:leader="dot" w:pos="8306"/>
        </w:tabs>
        <w:spacing w:line="480" w:lineRule="auto"/>
        <w:rPr>
          <w:b/>
          <w:bCs/>
          <w:color w:val="000000" w:themeColor="text1"/>
          <w:sz w:val="24"/>
          <w:szCs w:val="32"/>
          <w14:textFill>
            <w14:solidFill>
              <w14:schemeClr w14:val="tx1"/>
            </w14:solidFill>
          </w14:textFill>
        </w:rPr>
      </w:pPr>
    </w:p>
    <w:p>
      <w:pPr>
        <w:pStyle w:val="12"/>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TOC \o "1-1" \h \u </w:instrText>
      </w:r>
      <w:r>
        <w:rPr>
          <w:rFonts w:hint="eastAsia" w:ascii="宋体" w:hAnsi="宋体" w:cs="宋体"/>
          <w:b/>
          <w:bCs/>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"_Toc17273"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第一章 招标邀请书（招标公告）</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_Toc17273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6</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"_Toc10214"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第二章 投标须知</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_Toc10214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10</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"_Toc20176"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第三章 评标程序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_Toc20176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13</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"_Toc3567"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第四章 合同格式及合同条款</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_Toc3567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15</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"_Toc25518"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第五章 用户需求书</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26</w:t>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"_Toc23822" </w:instrText>
      </w:r>
      <w:r>
        <w:rPr>
          <w:color w:val="000000" w:themeColor="text1"/>
          <w14:textFill>
            <w14:solidFill>
              <w14:schemeClr w14:val="tx1"/>
            </w14:solidFill>
          </w14:textFill>
        </w:rPr>
        <w:fldChar w:fldCharType="separate"/>
      </w:r>
      <w:r>
        <w:rPr>
          <w:rFonts w:hint="eastAsia" w:ascii="宋体" w:cs="宋体"/>
          <w:b/>
          <w:bCs/>
          <w:color w:val="000000" w:themeColor="text1"/>
          <w:sz w:val="24"/>
          <w14:textFill>
            <w14:solidFill>
              <w14:schemeClr w14:val="tx1"/>
            </w14:solidFill>
          </w14:textFill>
        </w:rPr>
        <w:t>第六章 投标文件初审及招标项目评分表</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32</w:t>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"_Toc9548"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第七章 附件（投标文件格式）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38</w:t>
      </w:r>
    </w:p>
    <w:p>
      <w:pPr>
        <w:pStyle w:val="12"/>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"_Toc742"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附件：相关政策</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57</w:t>
      </w:r>
    </w:p>
    <w:p>
      <w:pPr>
        <w:pStyle w:val="12"/>
        <w:tabs>
          <w:tab w:val="right" w:leader="dot" w:pos="8306"/>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end"/>
      </w:r>
    </w:p>
    <w:p>
      <w:pPr>
        <w:spacing w:line="360" w:lineRule="auto"/>
        <w:rPr>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ascii="宋体"/>
          <w:b/>
          <w:bCs/>
          <w:color w:val="000000" w:themeColor="text1"/>
          <w:sz w:val="32"/>
          <w:szCs w:val="28"/>
          <w14:textFill>
            <w14:solidFill>
              <w14:schemeClr w14:val="tx1"/>
            </w14:solidFill>
          </w14:textFill>
        </w:rPr>
        <w:br w:type="page"/>
      </w:r>
      <w:r>
        <w:rPr>
          <w:rFonts w:hint="eastAsia" w:ascii="宋体"/>
          <w:b/>
          <w:bCs/>
          <w:color w:val="000000" w:themeColor="text1"/>
          <w:sz w:val="32"/>
          <w:szCs w:val="28"/>
          <w14:textFill>
            <w14:solidFill>
              <w14:schemeClr w14:val="tx1"/>
            </w14:solidFill>
          </w14:textFill>
        </w:rPr>
        <w:t xml:space="preserve"> </w:t>
      </w:r>
      <w:bookmarkStart w:id="7" w:name="_Toc17273"/>
      <w:r>
        <w:rPr>
          <w:rFonts w:hint="eastAsia" w:ascii="宋体" w:hAnsi="宋体" w:cs="宋体"/>
          <w:b/>
          <w:bCs/>
          <w:color w:val="000000" w:themeColor="text1"/>
          <w:sz w:val="24"/>
          <w14:textFill>
            <w14:solidFill>
              <w14:schemeClr w14:val="tx1"/>
            </w14:solidFill>
          </w14:textFill>
        </w:rPr>
        <w:t>招标邀请书（招标公告）</w:t>
      </w:r>
      <w:bookmarkEnd w:id="7"/>
    </w:p>
    <w:p>
      <w:pPr>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文件编码：0722-2025FE6371SZF-1</w:t>
      </w:r>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中国远东国际招标有限公司（以下简称采购代理机构）受深圳市前海深港现代服务业合作区管理局委托就</w:t>
      </w:r>
      <w:r>
        <w:rPr>
          <w:rFonts w:hint="eastAsia" w:ascii="宋体" w:hAnsi="宋体" w:cs="宋体"/>
          <w:color w:val="000000" w:themeColor="text1"/>
          <w:sz w:val="24"/>
          <w:u w:val="single"/>
          <w14:textFill>
            <w14:solidFill>
              <w14:schemeClr w14:val="tx1"/>
            </w14:solidFill>
          </w14:textFill>
        </w:rPr>
        <w:t>前海合作区设立以来高水平改革开放创新综合性成果评价研究</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QH2025109</w:t>
      </w:r>
      <w:r>
        <w:rPr>
          <w:rFonts w:hint="eastAsia" w:ascii="宋体" w:hAnsi="宋体" w:cs="宋体"/>
          <w:color w:val="000000" w:themeColor="text1"/>
          <w:sz w:val="24"/>
          <w14:textFill>
            <w14:solidFill>
              <w14:schemeClr w14:val="tx1"/>
            </w14:solidFill>
          </w14:textFill>
        </w:rPr>
        <w:t>）采用简易招标方式采购，欢迎符合投标人资格要求的专业供应商积极参加投标。</w:t>
      </w:r>
    </w:p>
    <w:tbl>
      <w:tblPr>
        <w:tblStyle w:val="18"/>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p>
        </w:tc>
        <w:tc>
          <w:tcPr>
            <w:tcW w:w="7015"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QH2025109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7015"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前海合作区设立以来高水平改革开放创新综合性成果评价研究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标的内容</w:t>
            </w:r>
          </w:p>
        </w:tc>
        <w:tc>
          <w:tcPr>
            <w:tcW w:w="7015" w:type="dxa"/>
            <w:vAlign w:val="center"/>
          </w:tcPr>
          <w:p>
            <w:pPr>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bookmarkStart w:id="8" w:name="OLE_LINK3"/>
            <w:r>
              <w:rPr>
                <w:rFonts w:hint="eastAsia" w:ascii="宋体" w:hAnsi="宋体" w:cs="宋体"/>
                <w:color w:val="000000" w:themeColor="text1"/>
                <w:sz w:val="24"/>
                <w14:textFill>
                  <w14:solidFill>
                    <w14:schemeClr w14:val="tx1"/>
                  </w14:solidFill>
                </w14:textFill>
              </w:rPr>
              <w:t xml:space="preserve"> </w:t>
            </w:r>
            <w:bookmarkEnd w:id="8"/>
            <w:r>
              <w:rPr>
                <w:rFonts w:hint="eastAsia" w:ascii="宋体" w:hAnsi="宋体" w:cs="宋体"/>
                <w:color w:val="000000" w:themeColor="text1"/>
                <w:sz w:val="24"/>
                <w14:textFill>
                  <w14:solidFill>
                    <w14:schemeClr w14:val="tx1"/>
                  </w14:solidFill>
                </w14:textFill>
              </w:rPr>
              <w:t>从金融发展、数据特区、营商环境、制度创新、法治建设、党建创新、专业人士执业、法定机构区域治理模式、自贸区建设、医疗教育港澳与国际联通、青年梦工场、e站通、现代服务业、国际化城市新中心、深港合作等15个方面系统梳理前海合作区15周年的15件标志性成果及成效，深入分析前海改革创新实践背后的制度逻辑和发展脉络，总结提炼具有引领性、示范性和创新性的改革经验。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项目预算</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w:t>
            </w:r>
          </w:p>
        </w:tc>
        <w:tc>
          <w:tcPr>
            <w:tcW w:w="7015"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182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00.00（人民币</w:t>
            </w:r>
            <w:r>
              <w:rPr>
                <w:rFonts w:hint="eastAsia" w:ascii="宋体" w:hAnsi="宋体" w:cs="宋体"/>
                <w:color w:val="000000" w:themeColor="text1"/>
                <w:sz w:val="24"/>
                <w:lang w:val="en-US" w:eastAsia="zh-CN"/>
                <w14:textFill>
                  <w14:solidFill>
                    <w14:schemeClr w14:val="tx1"/>
                  </w14:solidFill>
                </w14:textFill>
              </w:rPr>
              <w:t>壹拾捌万贰仟伍佰</w:t>
            </w:r>
            <w:r>
              <w:rPr>
                <w:rFonts w:hint="eastAsia" w:ascii="宋体" w:hAnsi="宋体" w:cs="宋体"/>
                <w:color w:val="000000" w:themeColor="text1"/>
                <w:sz w:val="24"/>
                <w14:textFill>
                  <w14:solidFill>
                    <w14:schemeClr w14:val="tx1"/>
                  </w14:solidFill>
                </w14:textFill>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标书获得办法</w:t>
            </w:r>
          </w:p>
        </w:tc>
        <w:tc>
          <w:tcPr>
            <w:tcW w:w="7015" w:type="dxa"/>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报名方式</w:t>
            </w:r>
          </w:p>
        </w:tc>
        <w:tc>
          <w:tcPr>
            <w:tcW w:w="7015" w:type="dxa"/>
            <w:vAlign w:val="center"/>
          </w:tcPr>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将投标文件密封并在</w:t>
            </w:r>
            <w:r>
              <w:rPr>
                <w:rFonts w:hint="eastAsia" w:ascii="宋体" w:hAnsi="宋体" w:cs="宋体"/>
                <w:b/>
                <w:bCs/>
                <w:color w:val="000000" w:themeColor="text1"/>
                <w:kern w:val="0"/>
                <w:sz w:val="24"/>
                <w14:textFill>
                  <w14:solidFill>
                    <w14:schemeClr w14:val="tx1"/>
                  </w14:solidFill>
                </w14:textFill>
              </w:rPr>
              <w:t>2025年</w:t>
            </w:r>
            <w:r>
              <w:rPr>
                <w:rFonts w:hint="eastAsia" w:ascii="宋体" w:hAnsi="宋体" w:cs="宋体"/>
                <w:b/>
                <w:bCs/>
                <w:color w:val="000000" w:themeColor="text1"/>
                <w:kern w:val="0"/>
                <w:sz w:val="24"/>
                <w:lang w:val="en-US" w:eastAsia="zh-CN"/>
                <w14:textFill>
                  <w14:solidFill>
                    <w14:schemeClr w14:val="tx1"/>
                  </w14:solidFill>
                </w14:textFill>
              </w:rPr>
              <w:t>10</w:t>
            </w:r>
            <w:r>
              <w:rPr>
                <w:rFonts w:hint="eastAsia" w:ascii="宋体" w:hAnsi="宋体" w:cs="宋体"/>
                <w:b/>
                <w:bCs/>
                <w:color w:val="000000" w:themeColor="text1"/>
                <w:kern w:val="0"/>
                <w:sz w:val="24"/>
                <w14:textFill>
                  <w14:solidFill>
                    <w14:schemeClr w14:val="tx1"/>
                  </w14:solidFill>
                </w14:textFill>
              </w:rPr>
              <w:t>月</w:t>
            </w:r>
            <w:r>
              <w:rPr>
                <w:rFonts w:hint="eastAsia" w:ascii="宋体" w:hAnsi="宋体" w:cs="宋体"/>
                <w:b/>
                <w:bCs/>
                <w:color w:val="000000" w:themeColor="text1"/>
                <w:kern w:val="0"/>
                <w:sz w:val="24"/>
                <w:lang w:val="en-US" w:eastAsia="zh-CN"/>
                <w14:textFill>
                  <w14:solidFill>
                    <w14:schemeClr w14:val="tx1"/>
                  </w14:solidFill>
                </w14:textFill>
              </w:rPr>
              <w:t>17</w:t>
            </w:r>
            <w:r>
              <w:rPr>
                <w:rFonts w:hint="eastAsia" w:ascii="宋体" w:hAnsi="宋体" w:cs="宋体"/>
                <w:b/>
                <w:bCs/>
                <w:color w:val="000000" w:themeColor="text1"/>
                <w:kern w:val="0"/>
                <w:sz w:val="24"/>
                <w14:textFill>
                  <w14:solidFill>
                    <w14:schemeClr w14:val="tx1"/>
                  </w14:solidFill>
                </w14:textFill>
              </w:rPr>
              <w:t>日</w:t>
            </w:r>
            <w:r>
              <w:rPr>
                <w:rFonts w:hint="eastAsia" w:ascii="宋体" w:hAnsi="宋体" w:cs="宋体"/>
                <w:b/>
                <w:bCs/>
                <w:color w:val="000000" w:themeColor="text1"/>
                <w:kern w:val="0"/>
                <w:sz w:val="24"/>
                <w:lang w:val="en-US" w:eastAsia="zh-CN"/>
                <w14:textFill>
                  <w14:solidFill>
                    <w14:schemeClr w14:val="tx1"/>
                  </w14:solidFill>
                </w14:textFill>
              </w:rPr>
              <w:t>上</w:t>
            </w:r>
            <w:r>
              <w:rPr>
                <w:rFonts w:hint="eastAsia" w:ascii="宋体" w:hAnsi="宋体" w:cs="宋体"/>
                <w:b/>
                <w:bCs/>
                <w:color w:val="000000" w:themeColor="text1"/>
                <w:kern w:val="0"/>
                <w:sz w:val="24"/>
                <w14:textFill>
                  <w14:solidFill>
                    <w14:schemeClr w14:val="tx1"/>
                  </w14:solidFill>
                </w14:textFill>
              </w:rPr>
              <w:t>午</w:t>
            </w:r>
            <w:r>
              <w:rPr>
                <w:rFonts w:hint="eastAsia" w:ascii="宋体" w:hAnsi="宋体" w:cs="宋体"/>
                <w:b/>
                <w:bCs/>
                <w:color w:val="000000" w:themeColor="text1"/>
                <w:kern w:val="0"/>
                <w:sz w:val="24"/>
                <w:lang w:val="en-US" w:eastAsia="zh-CN"/>
                <w14:textFill>
                  <w14:solidFill>
                    <w14:schemeClr w14:val="tx1"/>
                  </w14:solidFill>
                </w14:textFill>
              </w:rPr>
              <w:t>10</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0</w:t>
            </w:r>
            <w:r>
              <w:rPr>
                <w:rFonts w:hint="eastAsia" w:ascii="宋体" w:hAnsi="宋体" w:cs="宋体"/>
                <w:b/>
                <w:bCs/>
                <w:color w:val="000000" w:themeColor="text1"/>
                <w:kern w:val="0"/>
                <w:sz w:val="24"/>
                <w14:textFill>
                  <w14:solidFill>
                    <w14:schemeClr w14:val="tx1"/>
                  </w14:solidFill>
                </w14:textFill>
              </w:rPr>
              <w:t>0时（北京时间）</w:t>
            </w:r>
            <w:r>
              <w:rPr>
                <w:rFonts w:hint="eastAsia" w:ascii="宋体" w:hAnsi="宋体" w:cs="宋体"/>
                <w:color w:val="000000" w:themeColor="text1"/>
                <w:kern w:val="0"/>
                <w:sz w:val="24"/>
                <w14:textFill>
                  <w14:solidFill>
                    <w14:schemeClr w14:val="tx1"/>
                  </w14:solidFill>
                </w14:textFill>
              </w:rPr>
              <w:t>前送达（现场递交或邮寄）至深圳市南山区前海深港合作区桂湾五路123号前海管理局前海大厦T1栋2903室</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人：张女士</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w:t>
            </w:r>
            <w:bookmarkStart w:id="9" w:name="OLE_LINK4"/>
            <w:r>
              <w:rPr>
                <w:rFonts w:hint="eastAsia" w:ascii="宋体" w:hAnsi="宋体" w:cs="宋体"/>
                <w:color w:val="000000" w:themeColor="text1"/>
                <w:kern w:val="0"/>
                <w:sz w:val="24"/>
                <w14:textFill>
                  <w14:solidFill>
                    <w14:schemeClr w14:val="tx1"/>
                  </w14:solidFill>
                </w14:textFill>
              </w:rPr>
              <w:t>0755-</w:t>
            </w:r>
            <w:bookmarkEnd w:id="9"/>
            <w:r>
              <w:rPr>
                <w:rFonts w:hint="eastAsia" w:ascii="宋体" w:hAnsi="宋体" w:cs="宋体"/>
                <w:color w:val="000000" w:themeColor="text1"/>
                <w:kern w:val="0"/>
                <w:sz w:val="24"/>
                <w14:textFill>
                  <w14:solidFill>
                    <w14:schemeClr w14:val="tx1"/>
                  </w14:solidFill>
                </w14:textFill>
              </w:rPr>
              <w:t>88105341</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投标人资格要求</w:t>
            </w:r>
          </w:p>
        </w:tc>
        <w:tc>
          <w:tcPr>
            <w:tcW w:w="7015" w:type="dxa"/>
            <w:vAlign w:val="center"/>
          </w:tcPr>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在中华人民共和国境内注册的具有独立法人资格或具有独立承担民事责任的能力的其他组织</w:t>
            </w:r>
            <w:r>
              <w:rPr>
                <w:rFonts w:hint="eastAsia" w:ascii="宋体" w:hAnsi="宋体" w:cs="宋体"/>
                <w:b/>
                <w:bCs/>
                <w:color w:val="000000" w:themeColor="text1"/>
                <w:kern w:val="0"/>
                <w:sz w:val="24"/>
                <w14:textFill>
                  <w14:solidFill>
                    <w14:schemeClr w14:val="tx1"/>
                  </w14:solidFill>
                </w14:textFill>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参与政府采购项目投标的供应商近三年内无行贿犯罪记录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参与本项目投标前三年内，在经营活动中没有重大违法记录以及不存在被有关部门禁止参与政府采购活动且在有效期内的情况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投标人承诺“本单位（公司）不存在《深圳市财政局政府采购供应商信用信息管理办法》（深财规〔2023〕3号）列明的严重违法失信行为”</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color w:val="000000" w:themeColor="text1"/>
                <w:kern w:val="0"/>
                <w:sz w:val="24"/>
                <w14:textFill>
                  <w14:solidFill>
                    <w14:schemeClr w14:val="tx1"/>
                  </w14:solidFill>
                </w14:textFill>
              </w:rPr>
              <w:t>（由投标人提供《供应商基本情况表》并加盖公章，同时提供投标人的社保缴纳证明材料及股权关系证明材料，格式见-投标文件格式）；</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为此项目提供整体设计、规范编制或者项目管理、监理、检测等服务的供应商，不得再参加此项目的其他招标采购活动</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落实政府采购政策需满足的资格要求：本项目不属于专门面向特定企业（单位）的采购项目，本项目采购标的对应的中小企业划分标准所属行业为：</w:t>
            </w:r>
            <w:r>
              <w:rPr>
                <w:rFonts w:hint="eastAsia" w:ascii="宋体" w:hAnsi="宋体" w:cs="宋体"/>
                <w:color w:val="000000" w:themeColor="text1"/>
                <w:kern w:val="0"/>
                <w:sz w:val="24"/>
                <w:u w:val="single"/>
                <w14:textFill>
                  <w14:solidFill>
                    <w14:schemeClr w14:val="tx1"/>
                  </w14:solidFill>
                </w14:textFill>
              </w:rPr>
              <w:t>其他未列明行业。</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本项目不接受联合体投标、不允许非法分包、转包。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报价要求</w:t>
            </w:r>
          </w:p>
        </w:tc>
        <w:tc>
          <w:tcPr>
            <w:tcW w:w="7015" w:type="dxa"/>
            <w:vAlign w:val="center"/>
          </w:tcPr>
          <w:p>
            <w:pPr>
              <w:numPr>
                <w:ilvl w:val="0"/>
                <w:numId w:val="3"/>
              </w:numPr>
              <w:spacing w:line="360" w:lineRule="auto"/>
              <w:rPr>
                <w:rFonts w:hint="eastAsia" w:ascii="宋体" w:hAnsi="宋体" w:cs="宋体"/>
                <w:color w:val="000000" w:themeColor="text1"/>
                <w:sz w:val="24"/>
                <w14:textFill>
                  <w14:solidFill>
                    <w14:schemeClr w14:val="tx1"/>
                  </w14:solidFill>
                </w14:textFill>
              </w:rPr>
            </w:pPr>
            <w:bookmarkStart w:id="10" w:name="OLE_LINK5"/>
            <w:r>
              <w:rPr>
                <w:rFonts w:hint="eastAsia" w:ascii="宋体" w:hAnsi="宋体" w:cs="宋体"/>
                <w:color w:val="000000" w:themeColor="text1"/>
                <w:sz w:val="24"/>
                <w14:textFill>
                  <w14:solidFill>
                    <w14:schemeClr w14:val="tx1"/>
                  </w14:solidFill>
                </w14:textFill>
              </w:rPr>
              <w:t>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投标人的报价不可高于预算（限价），否则投标人的投标文件视同无效。项目服务费包括但不限于人员研究费用、调研差旅费、专家咨询费、会议及专家差旅费、资料费、税费等所有费用，并提供合同要求的有关成果材料，以及其它相关服务的全部费用。一经中标，投标报价总价作为中标单位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的合同金额，合同期限内不做调整同金额。</w:t>
            </w:r>
          </w:p>
          <w:bookmarkEnd w:id="10"/>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7015" w:type="dxa"/>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1.采购人信息</w:t>
            </w:r>
          </w:p>
          <w:p>
            <w:pPr>
              <w:spacing w:line="360" w:lineRule="auto"/>
              <w:rPr>
                <w:rFonts w:hint="eastAsia" w:ascii="宋体" w:hAnsi="宋体" w:cs="宋体"/>
                <w:color w:val="000000" w:themeColor="text1"/>
                <w:kern w:val="0"/>
                <w:sz w:val="24"/>
                <w14:textFill>
                  <w14:solidFill>
                    <w14:schemeClr w14:val="tx1"/>
                  </w14:solidFill>
                </w14:textFill>
              </w:rPr>
            </w:pPr>
            <w:bookmarkStart w:id="11" w:name="_Toc28359009"/>
            <w:bookmarkStart w:id="12" w:name="_Toc28359086"/>
            <w:r>
              <w:rPr>
                <w:rFonts w:hint="eastAsia" w:ascii="宋体" w:hAnsi="宋体" w:cs="宋体"/>
                <w:color w:val="000000" w:themeColor="text1"/>
                <w:kern w:val="0"/>
                <w:sz w:val="24"/>
                <w14:textFill>
                  <w14:solidFill>
                    <w14:schemeClr w14:val="tx1"/>
                  </w14:solidFill>
                </w14:textFill>
              </w:rPr>
              <w:t>名  称：深圳市前海深港现代服务业合作区管理局</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址：深圳市南山区前海深港合作区桂湾五路123号前海管理局前海大厦T1栋</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联系人：张女士</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话：0755-88105341</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2.采购代理机构信息</w:t>
            </w:r>
            <w:bookmarkEnd w:id="11"/>
            <w:bookmarkEnd w:id="12"/>
          </w:p>
          <w:p>
            <w:pPr>
              <w:spacing w:line="360" w:lineRule="auto"/>
              <w:rPr>
                <w:rFonts w:hint="eastAsia" w:ascii="宋体" w:hAnsi="宋体" w:cs="宋体"/>
                <w:color w:val="000000" w:themeColor="text1"/>
                <w:kern w:val="0"/>
                <w:sz w:val="24"/>
                <w14:textFill>
                  <w14:solidFill>
                    <w14:schemeClr w14:val="tx1"/>
                  </w14:solidFill>
                </w14:textFill>
              </w:rPr>
            </w:pPr>
            <w:bookmarkStart w:id="13" w:name="_Toc28359010"/>
            <w:bookmarkStart w:id="14" w:name="_Toc28359087"/>
            <w:r>
              <w:rPr>
                <w:rFonts w:hint="eastAsia" w:ascii="宋体" w:hAnsi="宋体" w:cs="宋体"/>
                <w:color w:val="000000" w:themeColor="text1"/>
                <w:kern w:val="0"/>
                <w:sz w:val="24"/>
                <w14:textFill>
                  <w14:solidFill>
                    <w14:schemeClr w14:val="tx1"/>
                  </w14:solidFill>
                </w14:textFill>
              </w:rPr>
              <w:t>名  称：中国远东国际招标有限公司</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址：深圳市福田区上步南路1001号锦峰大厦22楼</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联系人：凌女士、伍先生</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话：0755-82078919、82077364转108</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传  真：0755-82077519</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3.项目联系方式</w:t>
            </w:r>
            <w:bookmarkEnd w:id="13"/>
            <w:bookmarkEnd w:id="14"/>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项目联系人：凌女士、伍先生</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话：0755-82078919、82077364转108</w:t>
            </w:r>
          </w:p>
        </w:tc>
      </w:tr>
    </w:tbl>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w:t>
      </w:r>
    </w:p>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2025年</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11</w:t>
      </w:r>
      <w:bookmarkStart w:id="47" w:name="_GoBack"/>
      <w:bookmarkEnd w:id="47"/>
      <w:r>
        <w:rPr>
          <w:rFonts w:hint="eastAsia" w:ascii="宋体" w:hAnsi="宋体" w:cs="宋体"/>
          <w:color w:val="000000" w:themeColor="text1"/>
          <w:sz w:val="24"/>
          <w14:textFill>
            <w14:solidFill>
              <w14:schemeClr w14:val="tx1"/>
            </w14:solidFill>
          </w14:textFill>
        </w:rPr>
        <w:t>日</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15" w:name="_Toc10214"/>
      <w:r>
        <w:rPr>
          <w:rFonts w:hint="eastAsia" w:ascii="宋体" w:hAnsi="宋体" w:cs="宋体"/>
          <w:b/>
          <w:bCs/>
          <w:color w:val="000000" w:themeColor="text1"/>
          <w:sz w:val="24"/>
          <w14:textFill>
            <w14:solidFill>
              <w14:schemeClr w14:val="tx1"/>
            </w14:solidFill>
          </w14:textFill>
        </w:rPr>
        <w:t>投标须知</w:t>
      </w:r>
      <w:bookmarkEnd w:id="15"/>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1、本项目是深圳市前海深港现代服务业合作区管理局的前海合作区设立以来高水平改革开放创新综合性成果评价研究。</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2.1、本次采购公开征集供应商，报名且符合招标文件初审的供应商满足3家或3家以上的，采用综合评分法的方式进行。</w:t>
      </w:r>
      <w:r>
        <w:rPr>
          <w:rFonts w:hint="eastAsia" w:ascii="宋体" w:hAnsi="宋体" w:cs="宋体"/>
          <w:b/>
          <w:bCs/>
          <w:color w:val="000000" w:themeColor="text1"/>
          <w:sz w:val="24"/>
          <w:u w:val="single"/>
          <w14:textFill>
            <w14:solidFill>
              <w14:schemeClr w14:val="tx1"/>
            </w14:solidFill>
          </w14:textFill>
        </w:rPr>
        <w:t>报名且符合招标文件初审的供应商不足3家而导致招标失败的，应重新组织简易招标(公开征集)或转为其他采购方式采购。</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2.2、对于重新组织简易招标(公开征集)，仍出现有效投标供应商不足3家的情形，按以下流程执行：</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a.有效投标人为2家的，可在2家有效投标人中取得分最高者为中标供应商；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b.如参与投标且符合招标文件要求的供应商仅有1家，评审委员会应与投标供应商进行谈判，</w:t>
      </w:r>
      <w:r>
        <w:rPr>
          <w:rFonts w:hint="eastAsia" w:ascii="宋体" w:hAnsi="宋体" w:cs="宋体"/>
          <w:b/>
          <w:bCs/>
          <w:color w:val="000000" w:themeColor="text1"/>
          <w:sz w:val="24"/>
          <w:u w:val="single"/>
          <w14:textFill>
            <w14:solidFill>
              <w14:schemeClr w14:val="tx1"/>
            </w14:solidFill>
          </w14:textFill>
        </w:rPr>
        <w:t>原则上成交价不超过最初报价的95%。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3、本项目根据项目的实际情况，公开征集符合投标人资格的供应商。请各供应商根据本文件的要求，准备</w:t>
      </w:r>
      <w:r>
        <w:rPr>
          <w:rFonts w:hint="eastAsia" w:ascii="宋体" w:hAnsi="宋体" w:cs="宋体"/>
          <w:b/>
          <w:bCs/>
          <w:color w:val="000000" w:themeColor="text1"/>
          <w:sz w:val="24"/>
          <w14:textFill>
            <w14:solidFill>
              <w14:schemeClr w14:val="tx1"/>
            </w14:solidFill>
          </w14:textFill>
        </w:rPr>
        <w:t>5套（1套正本，4套副本，</w:t>
      </w:r>
      <w:bookmarkStart w:id="16" w:name="OLE_LINK6"/>
      <w:r>
        <w:rPr>
          <w:rFonts w:hint="eastAsia" w:ascii="宋体" w:hAnsi="宋体" w:cs="宋体"/>
          <w:b/>
          <w:color w:val="000000" w:themeColor="text1"/>
          <w:sz w:val="24"/>
          <w14:textFill>
            <w14:solidFill>
              <w14:schemeClr w14:val="tx1"/>
            </w14:solidFill>
          </w14:textFill>
        </w:rPr>
        <w:t>1份电子文档：PDF格式的正本投标文件扫描件、与正本一致的word文档格式的投标文件</w:t>
      </w:r>
      <w:bookmarkEnd w:id="16"/>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完备的资料进行投标。</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w:t>
      </w:r>
    </w:p>
    <w:p>
      <w:pPr>
        <w:snapToGrid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采购人会对本次招标的项目确定一个最高限价，最终成交价格超出最高限价将会被当作投标无效处理。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9、本次采购凡涉及知识产权问题，由项目供应商负责。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10、采购人将组成评审委员会，评审工作由评审委员会独立负责。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12、采用综合评分法的情况：评审委员会将分别对供应商递交的投标文件进行评审。</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（2）如果二个及以上供应商的综合评分相同时，取投标价格低者为第一中标候选人。</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（3）如果二个及以上供应商的综合评分相同，且投标价格也相同时，取技术部分得分高者为第一中标候选人。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13、采用谈判的情况：参与投标且符合招标文件要求的供应商仅有一家，评审委员会将与投标供应商进行谈判。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（1）供应商在谈判时由项目负责人与评审委员会进行谈判；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（2）原则上成交价不超过最初报价的95%。</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14、所有的评审/谈判内容都必须保密。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15、招标代理服务收费：</w:t>
      </w:r>
    </w:p>
    <w:p>
      <w:pPr>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以《深圳市财政委员会关于规范深圳市社会采购代理机构管理有关事项的补充通知》（深财购〔2018〕27号）代理费用参考标准的80%按差额定率累进法进行计费，由中标人支付，若以上计算金额小于3000元，则按3000元收取。</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具体计取费率标准如下表所示：</w:t>
      </w:r>
    </w:p>
    <w:tbl>
      <w:tblPr>
        <w:tblStyle w:val="18"/>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中标金额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100万元以下</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1亿元（含）-5亿元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r>
    </w:tbl>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招标代理服务费缴纳至：</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开户名称：中国远东国际招标有限公司深圳分公司</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银行账号：11013651025501</w:t>
      </w:r>
    </w:p>
    <w:p>
      <w:pPr>
        <w:spacing w:line="360" w:lineRule="auto"/>
        <w:rPr>
          <w:rFonts w:hint="eastAsia" w:ascii="宋体" w:hAnsi="宋体" w:cs="宋体"/>
          <w:b/>
          <w:bCs/>
          <w:color w:val="000000" w:themeColor="text1"/>
          <w:sz w:val="24"/>
          <w14:textFill>
            <w14:solidFill>
              <w14:schemeClr w14:val="tx1"/>
            </w14:solidFill>
          </w14:textFill>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000000" w:themeColor="text1"/>
          <w:sz w:val="24"/>
          <w14:textFill>
            <w14:solidFill>
              <w14:schemeClr w14:val="tx1"/>
            </w14:solidFill>
          </w14:textFill>
        </w:rPr>
        <w:t>开户银行：平安银行深圳中电支行</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17" w:name="_Toc20176"/>
      <w:r>
        <w:rPr>
          <w:rFonts w:hint="eastAsia" w:ascii="宋体" w:hAnsi="宋体" w:cs="宋体"/>
          <w:b/>
          <w:bCs/>
          <w:color w:val="000000" w:themeColor="text1"/>
          <w:sz w:val="24"/>
          <w14:textFill>
            <w14:solidFill>
              <w14:schemeClr w14:val="tx1"/>
            </w14:solidFill>
          </w14:textFill>
        </w:rPr>
        <w:t>评标程序</w:t>
      </w:r>
      <w:bookmarkEnd w:id="17"/>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二、参加会议人员：投标人代表（如需）、项目负责代表、评审委员会成员、监督部门代表（如需）、采购代理机构代表。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三、会议主持人：中国远东国际招标有限公司工作人员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四、开标时间：2025年</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17</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上</w:t>
      </w:r>
      <w:r>
        <w:rPr>
          <w:rFonts w:hint="eastAsia" w:ascii="宋体" w:hAnsi="宋体" w:cs="宋体"/>
          <w:color w:val="000000" w:themeColor="text1"/>
          <w:sz w:val="24"/>
          <w14:textFill>
            <w14:solidFill>
              <w14:schemeClr w14:val="tx1"/>
            </w14:solidFill>
          </w14:textFill>
        </w:rPr>
        <w:t>午1</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0时（北京时间）。</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五、会议开始：2025年</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17</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上</w:t>
      </w:r>
      <w:r>
        <w:rPr>
          <w:rFonts w:hint="eastAsia" w:ascii="宋体" w:hAnsi="宋体" w:cs="宋体"/>
          <w:color w:val="000000" w:themeColor="text1"/>
          <w:sz w:val="24"/>
          <w14:textFill>
            <w14:solidFill>
              <w14:schemeClr w14:val="tx1"/>
            </w14:solidFill>
          </w14:textFill>
        </w:rPr>
        <w:t>午1</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0时（北京时间）由会议主持人宣布定标会议开始。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六、项目负责代表向采购代理机构代表送交投标文件，监督部门代表（如有）确认投标文件密封完整，未密封投标文件将作为投标无效处理。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七、由采购代理机构代表现场拆封投标文件，并分发给评审委员会成员。</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八、评审委员会审查供应商的投标文件，工作人员记录审查的情况。</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九、评审委员会按以下工作程序进行：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1、评标委员会对各供应商的投标文件进行初审，对未能通过初审的投标文件作投标无效处理。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2、对通过初审的供应商的投标文件进行详细的比较和评价。如需要，进行必要的澄清/说明工作。</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3、根据参与投标且符合招标文件要求的供应商数量情况，确定本项目的评审方法。</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4、采用综合评分法的情况：评审委员会将分别对供应商递交的投标文件进行评审。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4.2如果二个及以上供应商的综合评分相同时，取投标价格低者为第一中标候选人。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4.3如果二个及以上供应商的综合评分相同，且投标价格也相同时，取技术部分得分高者为第一中标候选人。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5、采用谈判的情况：参与投标且符合招标文件要求的供应商仅有一家，评审委员会将与投标供应商进行谈判。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供应商在谈判时由项目负责人与评审委员会进行谈判；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原则上成交价不超过最初报价的95%。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6、评审委员会按照本项目招标文件中规定的评标方法确定中标供应商。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十、根据本次采购的结果，1</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个工作日内与中标供应商签订合同。</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pStyle w:val="7"/>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18" w:name="_Toc3567"/>
      <w:r>
        <w:rPr>
          <w:rFonts w:hint="eastAsia" w:ascii="宋体" w:hAnsi="宋体" w:cs="宋体"/>
          <w:b/>
          <w:bCs/>
          <w:color w:val="000000" w:themeColor="text1"/>
          <w:sz w:val="24"/>
          <w14:textFill>
            <w14:solidFill>
              <w14:schemeClr w14:val="tx1"/>
            </w14:solidFill>
          </w14:textFill>
        </w:rPr>
        <w:t>合同格式及合同条款</w:t>
      </w:r>
      <w:bookmarkEnd w:id="18"/>
    </w:p>
    <w:p>
      <w:pPr>
        <w:spacing w:line="360" w:lineRule="auto"/>
        <w:ind w:firstLine="470" w:firstLineChars="196"/>
        <w:jc w:val="center"/>
        <w:rPr>
          <w:rFonts w:hint="eastAsia" w:ascii="宋体" w:hAnsi="宋体" w:cs="宋体"/>
          <w:color w:val="000000" w:themeColor="text1"/>
          <w:sz w:val="24"/>
          <w14:textFill>
            <w14:solidFill>
              <w14:schemeClr w14:val="tx1"/>
            </w14:solidFill>
          </w14:textFill>
        </w:rPr>
      </w:pPr>
      <w:bookmarkStart w:id="19" w:name="_Toc73518163"/>
      <w:bookmarkStart w:id="20" w:name="_Toc73521592"/>
      <w:bookmarkStart w:id="21" w:name="_Toc73517685"/>
      <w:bookmarkStart w:id="22" w:name="_Toc101074886"/>
      <w:bookmarkStart w:id="23" w:name="_Toc100052414"/>
      <w:bookmarkStart w:id="24" w:name="_Toc84303603"/>
      <w:bookmarkStart w:id="25" w:name="_Toc73521680"/>
    </w:p>
    <w:bookmarkEnd w:id="19"/>
    <w:bookmarkEnd w:id="20"/>
    <w:bookmarkEnd w:id="21"/>
    <w:bookmarkEnd w:id="22"/>
    <w:bookmarkEnd w:id="23"/>
    <w:bookmarkEnd w:id="24"/>
    <w:bookmarkEnd w:id="25"/>
    <w:p>
      <w:pPr>
        <w:pStyle w:val="25"/>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合同编号（甲方）：            </w:t>
      </w:r>
    </w:p>
    <w:p>
      <w:pPr>
        <w:pStyle w:val="25"/>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合同编号（乙方）：            </w:t>
      </w:r>
    </w:p>
    <w:p>
      <w:pPr>
        <w:pStyle w:val="25"/>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p>
    <w:p>
      <w:pPr>
        <w:pStyle w:val="25"/>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pStyle w:val="25"/>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spacing w:line="360" w:lineRule="auto"/>
        <w:jc w:val="center"/>
        <w:outlineLvl w:val="1"/>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前海合作区设立以来高水平改革开放创新综合性成果评价研究</w:t>
      </w:r>
    </w:p>
    <w:p>
      <w:pPr>
        <w:spacing w:line="360" w:lineRule="auto"/>
        <w:jc w:val="center"/>
        <w:outlineLvl w:val="1"/>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委托合同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25"/>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25"/>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720" w:firstLineChars="3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：前海合作区设立以来高水平改革开放创新综合性成果评价研究</w:t>
      </w:r>
    </w:p>
    <w:p>
      <w:pPr>
        <w:spacing w:line="360" w:lineRule="auto"/>
        <w:ind w:firstLine="720" w:firstLineChars="3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委托方（甲方）：</w:t>
      </w:r>
      <w:r>
        <w:rPr>
          <w:rFonts w:hint="eastAsia" w:ascii="宋体" w:hAnsi="宋体" w:cs="宋体"/>
          <w:color w:val="000000" w:themeColor="text1"/>
          <w:sz w:val="24"/>
          <w:u w:val="single"/>
          <w14:textFill>
            <w14:solidFill>
              <w14:schemeClr w14:val="tx1"/>
            </w14:solidFill>
          </w14:textFill>
        </w:rPr>
        <w:t xml:space="preserve">  深圳市前海深港现代服务业合作区管理局  </w:t>
      </w:r>
    </w:p>
    <w:p>
      <w:pPr>
        <w:spacing w:line="360" w:lineRule="auto"/>
        <w:ind w:firstLine="720" w:firstLineChars="3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承接方（乙方）：</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jc w:val="center"/>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二〇二五年  月</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甲方： </w:t>
      </w:r>
      <w:r>
        <w:rPr>
          <w:rFonts w:hint="eastAsia" w:ascii="宋体" w:hAnsi="宋体" w:cs="宋体"/>
          <w:color w:val="000000" w:themeColor="text1"/>
          <w:sz w:val="24"/>
          <w:u w:val="single"/>
          <w14:textFill>
            <w14:solidFill>
              <w14:schemeClr w14:val="tx1"/>
            </w14:solidFill>
          </w14:textFill>
        </w:rPr>
        <w:t>深圳市前海深港现代服务业合作区管理局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地址： </w:t>
      </w:r>
      <w:r>
        <w:rPr>
          <w:rFonts w:hint="eastAsia" w:ascii="宋体" w:hAnsi="宋体" w:cs="宋体"/>
          <w:color w:val="000000" w:themeColor="text1"/>
          <w:sz w:val="24"/>
          <w:u w:val="single"/>
          <w14:textFill>
            <w14:solidFill>
              <w14:schemeClr w14:val="tx1"/>
            </w14:solidFill>
          </w14:textFill>
        </w:rPr>
        <w:t>深圳市前海深港合作区</w:t>
      </w:r>
      <w:r>
        <w:rPr>
          <w:rFonts w:ascii="宋体" w:hAnsi="宋体" w:cs="宋体"/>
          <w:color w:val="000000" w:themeColor="text1"/>
          <w:sz w:val="24"/>
          <w:u w:val="single"/>
          <w14:textFill>
            <w14:solidFill>
              <w14:schemeClr w14:val="tx1"/>
            </w14:solidFill>
          </w14:textFill>
        </w:rPr>
        <w:t>桂湾五路123号前海大厦T1栋前海管理局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乙方：</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以下甲方和乙方合称“双方”。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根据《中华人民共和国民法典》等法律、法规的相关规定和编号为【</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】招标项目的中标结果，由【***】单位（以下简称乙方）为中标人。按照《中华人民共和国民法典》和《深圳经济特区政府采购条例》，经甲乙双方协商，就甲方委托</w:t>
      </w:r>
      <w:r>
        <w:rPr>
          <w:rFonts w:hint="eastAsia" w:ascii="宋体" w:hAnsi="宋体" w:cs="宋体"/>
          <w:b/>
          <w:bCs/>
          <w:color w:val="000000" w:themeColor="text1"/>
          <w:sz w:val="24"/>
          <w:u w:val="single"/>
          <w14:textFill>
            <w14:solidFill>
              <w14:schemeClr w14:val="tx1"/>
            </w14:solidFill>
          </w14:textFill>
        </w:rPr>
        <w:t>乙方开展</w:t>
      </w:r>
      <w:r>
        <w:rPr>
          <w:rFonts w:hint="eastAsia" w:ascii="宋体" w:hAnsi="宋体" w:cs="宋体"/>
          <w:color w:val="000000" w:themeColor="text1"/>
          <w:sz w:val="24"/>
          <w:u w:val="single"/>
          <w14:textFill>
            <w14:solidFill>
              <w14:schemeClr w14:val="tx1"/>
            </w14:solidFill>
          </w14:textFill>
        </w:rPr>
        <w:t>前海合作区设立以来高水平改革开放创新综合性成果评价研究</w:t>
      </w:r>
      <w:r>
        <w:rPr>
          <w:rFonts w:hint="eastAsia" w:ascii="宋体" w:hAnsi="宋体" w:cs="宋体"/>
          <w:b/>
          <w:bCs/>
          <w:color w:val="000000" w:themeColor="text1"/>
          <w:kern w:val="0"/>
          <w:sz w:val="24"/>
          <w:u w:val="single"/>
          <w14:textFill>
            <w14:solidFill>
              <w14:schemeClr w14:val="tx1"/>
            </w14:solidFill>
          </w14:textFill>
        </w:rPr>
        <w:t>（以下简称本项目）</w:t>
      </w:r>
      <w:r>
        <w:rPr>
          <w:rFonts w:hint="eastAsia" w:ascii="宋体" w:hAnsi="宋体" w:cs="宋体"/>
          <w:color w:val="000000" w:themeColor="text1"/>
          <w:sz w:val="24"/>
          <w14:textFill>
            <w14:solidFill>
              <w14:schemeClr w14:val="tx1"/>
            </w14:solidFill>
          </w14:textFill>
        </w:rPr>
        <w:t>，达成以下合同条款：</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第一条 项目内容</w:t>
      </w:r>
    </w:p>
    <w:p>
      <w:pPr>
        <w:spacing w:line="360" w:lineRule="auto"/>
        <w:ind w:firstLine="480" w:firstLineChars="200"/>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1、项目名称：前海合作区设立以来高水平改革开放创新综合性成果评价研究</w:t>
      </w:r>
    </w:p>
    <w:p>
      <w:pPr>
        <w:tabs>
          <w:tab w:val="left" w:pos="720"/>
        </w:tabs>
        <w:autoSpaceDE w:val="0"/>
        <w:autoSpaceDN w:val="0"/>
        <w:adjustRightInd w:val="0"/>
        <w:spacing w:line="360" w:lineRule="auto"/>
        <w:ind w:right="17" w:firstLine="480"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、服务内容</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金融发展、数据特区、营商环境、制度创新、法治建设、党建创新、专业人士执业、法定机构区域治理模式、自贸区建设、医疗教育港澳与国际联通、青年梦工场、e站通、现代服务业、国际化城市新中心、深港合作等15个方面系统梳理前海合作区15周年的15件标志性成果及成效，深入分析前海改革创新实践背后的制度逻辑和发展脉络，总结提炼具有引领性、示范性和创新性的改革经验，具体包括以下十五个方面</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金融发展：金融开放高地，深港融合标杆——前海十五年金融发展经验与实践启示。系统梳理前海推进金融改革开放创新的成果，如“金融支持前海30条”、前海股权交易中心、前海深港国际金融城、前海自由贸易（FT）账户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2.2数据特区：制度创新筑基，数据要素赋能——前海“数据特区”探索与实践。系统梳理前海数据要素产业发展成果，如数据经纪人创新中心、国际数据产业园区、深港数据跨境验证平台等。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营商环境：勇立潮头十五载，制度创新筑辉煌——前海区域营商环境优化实践路径。系统梳理前海打造国际一流营商环境成果，如创建信用经济试验区、首创企业开办“双录签名”“商事登记行政确认制”等改革，实施AI+产业资金人工智能辅助审批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2.4制度创新：启新之章·领航之路：解构前海制度创新的探索与实践。系统梳理前海制度创新成果，如坚持以制度创新为核心丰富拓展“前海模式”，加快打造全面深化改革创新试验平台等。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法治建设：法治护航十五载，前海扬帆谱新篇——前海合作区法治建设十五年创新实践纪实。系统梳理前海法治建设成就，如率先实践“港资港法港仲裁”并拓展至大湾区内地城市，联动香港打造国际商事争议解决中心、深港国际法务区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党建创新：铸魂领航，赋能发展——前海在高水平对外开放下加强党的建设的探索与实践。系统梳理前海党建创新成就，如探索高度开放条件下党建创新路径，建立“前海第一课”学习制度，发布全国首个加强自贸区党建的指导意见，探索自贸区党建新模式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2.7专业人士执业：执业通港澳，服务融湾区——前海专业人士执业实践的探索、成就与启示。系统梳理前海推进规则机制一体化衔接成就，如26类港澳专业人士可直接或经备案（登记）便利执业。</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法定机构区域治理模式：夯实善治之基石，激发区域活力——前海法定机构赋能区域发展的探索与实践。系统梳理前海法定机构区域治理模式创新成果，如创新合作区治理模式，坚持“统、分、优、放、协”，形成行政区与经济区适度分离、优势叠加的新型区域治理模式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2.9自贸区建设：对标国际立潮头，改革深化辟新途——前海自贸区建设的经验回顾与展望。系统梳理前海自贸区建设成果，如高标准实施自贸试验区提升战略，打造国内外双循环最佳联接点等。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2.10医疗教育港澳与国际联通：破冰之策·融通之桥·共进之帆——探析医疗教育港澳与国际联通的创新路径。系统梳理前海医疗教育创新成果，如加强教育、医疗等公共服务体系对接，集聚国际化医疗机构、获批港澳药械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青年梦工场：深港融合，梦启前海——前海深港青年梦工场探索与实践。系统梳理前海青年梦工场建设成果，如实施梦工场“1510”新模式，建设香港青年创新创业平台，孵化港澳台及国际团队，引进香港重点高校科技成果转化平台、举办粤港澳台青年创新创业大赛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e站通：e站通联港澳服务通湾区——前海港澳e站通跨境服务探索与经验。系统梳理前海e站通建设成果，如构建“一门通办、一次办结、一网服务、一体运行”服务模式，打造港澳e站通服务平台、建设“深圳·前海出海e站通”，与40个海外园区合作，助力企业开拓国际市场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现代服务业：制度创新、深港融合、产业集聚——前海现代服务业高质量发展经验与启示。系统梳理前海现代服务业发展成果，如构建以现代服务业为引领、战略性新兴产业为支撑、未来产业加快布局的现代化产业体系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国际化城市新中心：湾区引擎、时代标杆——深圳前海国际化城市新中心建设的经验探索与实践启示。系统梳理前海建设国际化城市新中心成果，如全国率先探索形成三维地籍为核心的土地立体化管理模式，率先推行土地1.5级开发，加快建设前海博物馆、湾区书城、前海冰雪世界等文旅地标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深港合作：服务香港，携手共赢——前海深港合作十五周年回顾与启新。系统梳理前海深港合作成果，如坚持依托香港、服务香港，在“一国两制”框架下先行先试，服务香港“三中心一高地”建设，联合港方成立前海建设专班，联动香港特区政府相关政策局共同发布知识产权、</w:t>
      </w:r>
      <w:r>
        <w:rPr>
          <w:rFonts w:hint="eastAsia" w:ascii="宋体" w:hAnsi="宋体" w:cs="宋体"/>
          <w:color w:val="000000" w:themeColor="text1"/>
          <w:sz w:val="24"/>
          <w:highlight w:val="none"/>
          <w:lang w:eastAsia="zh-CN"/>
          <w14:textFill>
            <w14:solidFill>
              <w14:schemeClr w14:val="tx1"/>
            </w14:solidFill>
          </w14:textFill>
        </w:rPr>
        <w:t>风投</w:t>
      </w:r>
      <w:r>
        <w:rPr>
          <w:rFonts w:hint="eastAsia" w:ascii="宋体" w:hAnsi="宋体" w:cs="宋体"/>
          <w:color w:val="000000" w:themeColor="text1"/>
          <w:sz w:val="24"/>
          <w:highlight w:val="none"/>
          <w14:textFill>
            <w14:solidFill>
              <w14:schemeClr w14:val="tx1"/>
            </w14:solidFill>
          </w14:textFill>
        </w:rPr>
        <w:t>创投等政策措施等。</w:t>
      </w:r>
    </w:p>
    <w:p>
      <w:pPr>
        <w:spacing w:line="360" w:lineRule="auto"/>
        <w:ind w:firstLine="480"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3、进度安排</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本项目服务期限自签订合同之日起至2025年12月10日。</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确定思路及报告框架：自签订合同2个星期内，在广泛收集材料、初步调研的基础上，确定项目研究思路及报告框架。</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形成研究报告（初稿）：开展前期调研、起草形成前海合作区十五周年系列报告初稿及配套文件。自合同签订之日起1个月内完成；</w:t>
      </w:r>
    </w:p>
    <w:p>
      <w:pPr>
        <w:spacing w:line="360" w:lineRule="auto"/>
        <w:ind w:firstLine="480" w:firstLineChars="200"/>
        <w:outlineLvl w:val="1"/>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形成研究报告（定稿）：自合同签订之日起3个月内完成，优化完善系列研究报告，组织召开专家评审会，并根据专家评审意见对报告进一步深化修改完善，形成最终稿。</w:t>
      </w:r>
    </w:p>
    <w:p>
      <w:pPr>
        <w:spacing w:line="360" w:lineRule="auto"/>
        <w:ind w:firstLine="480" w:firstLineChars="200"/>
        <w:outlineLvl w:val="1"/>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3.4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2025年12月10日前完成“前海合作区设立以来高水平改革开放创新综合性成果评价研究”报告一份、高质量信息一份、决策参考一份。</w:t>
      </w:r>
    </w:p>
    <w:p>
      <w:pPr>
        <w:spacing w:line="360" w:lineRule="auto"/>
        <w:ind w:firstLine="482" w:firstLineChars="200"/>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第二条  服务期限、服务地点及后续服务要求</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1、服务期限：</w:t>
      </w:r>
      <w:r>
        <w:rPr>
          <w:rFonts w:hint="eastAsia" w:ascii="宋体" w:hAnsi="宋体" w:cs="宋体"/>
          <w:bCs/>
          <w:color w:val="000000" w:themeColor="text1"/>
          <w:sz w:val="24"/>
          <w:highlight w:val="none"/>
          <w14:textFill>
            <w14:solidFill>
              <w14:schemeClr w14:val="tx1"/>
            </w14:solidFill>
          </w14:textFill>
        </w:rPr>
        <w:t>本项目服务期限自签订合同之日起至2025年12月10日</w:t>
      </w:r>
      <w:r>
        <w:rPr>
          <w:rFonts w:hint="eastAsia" w:ascii="宋体" w:hAnsi="宋体" w:cs="宋体"/>
          <w:color w:val="000000" w:themeColor="text1"/>
          <w:sz w:val="24"/>
          <w:highlight w:val="none"/>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2、服务地点：甲方指定地点。</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3、后续服务要求</w:t>
      </w:r>
    </w:p>
    <w:p>
      <w:pPr>
        <w:spacing w:line="360" w:lineRule="auto"/>
        <w:ind w:firstLine="480"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项目后续服务期限为最终成果通过甲方审查之日起的6个月内，后续服务期内，服务期内乙方应向甲方提供后续的专业技术支持与咨询服务。</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第三条  项目资料归属</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1、所有提交给甲方的项目文件及相关资料的</w:t>
      </w:r>
      <w:r>
        <w:rPr>
          <w:rFonts w:ascii="宋体" w:hAnsi="宋体" w:cs="宋体"/>
          <w:color w:val="000000" w:themeColor="text1"/>
          <w:sz w:val="24"/>
          <w14:textFill>
            <w14:solidFill>
              <w14:schemeClr w14:val="tx1"/>
            </w14:solidFill>
          </w14:textFill>
        </w:rPr>
        <w:t>阶段性成果及</w:t>
      </w:r>
      <w:r>
        <w:rPr>
          <w:rFonts w:hint="eastAsia" w:ascii="宋体" w:hAnsi="宋体" w:cs="宋体"/>
          <w:color w:val="000000" w:themeColor="text1"/>
          <w:sz w:val="24"/>
          <w14:textFill>
            <w14:solidFill>
              <w14:schemeClr w14:val="tx1"/>
            </w14:solidFill>
          </w14:textFill>
        </w:rPr>
        <w:t>最后文本，包括为履行服务范围所编制的计划和证明资料等，都属于甲方</w:t>
      </w:r>
      <w:r>
        <w:rPr>
          <w:rFonts w:ascii="宋体" w:hAnsi="宋体" w:cs="宋体"/>
          <w:color w:val="000000" w:themeColor="text1"/>
          <w:sz w:val="24"/>
          <w14:textFill>
            <w14:solidFill>
              <w14:schemeClr w14:val="tx1"/>
            </w14:solidFill>
          </w14:textFill>
        </w:rPr>
        <w:t>所有</w:t>
      </w:r>
      <w:r>
        <w:rPr>
          <w:rFonts w:hint="eastAsia" w:ascii="宋体" w:hAnsi="宋体" w:cs="宋体"/>
          <w:color w:val="000000" w:themeColor="text1"/>
          <w:sz w:val="24"/>
          <w14:textFill>
            <w14:solidFill>
              <w14:schemeClr w14:val="tx1"/>
            </w14:solidFill>
          </w14:textFill>
        </w:rPr>
        <w:t>，乙方在提交给甲方之前应将上述资料进行整理归类和编制索引。</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2、乙方未经甲方的书面同意，不得将上述资料用于与本项目之外的任何项目，也不得将其泄露或授权给第三方使用。</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第四条  甲方的义务</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、向乙方提供与本项目服务工作有关的资料。</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、负责组织对项目成果的</w:t>
      </w:r>
      <w:r>
        <w:rPr>
          <w:rFonts w:ascii="宋体" w:hAnsi="宋体" w:cs="宋体"/>
          <w:color w:val="000000" w:themeColor="text1"/>
          <w:sz w:val="24"/>
          <w14:textFill>
            <w14:solidFill>
              <w14:schemeClr w14:val="tx1"/>
            </w14:solidFill>
          </w14:textFill>
        </w:rPr>
        <w:t>验收</w:t>
      </w:r>
      <w:r>
        <w:rPr>
          <w:rFonts w:hint="eastAsia" w:ascii="宋体" w:hAnsi="宋体" w:cs="宋体"/>
          <w:color w:val="000000" w:themeColor="text1"/>
          <w:sz w:val="24"/>
          <w14:textFill>
            <w14:solidFill>
              <w14:schemeClr w14:val="tx1"/>
            </w14:solidFill>
          </w14:textFill>
        </w:rPr>
        <w:t>。</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、根据合同的条款按时支付合同价款。</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第五条 乙方的义务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１、应按照【QH2025109】号招标文件、乙方投标文件以及本合同的要求按期完成本项目服务工作。</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2、在履行合同期间或合同规定期限内，不得泄露与本合同规定业务活动有关的保密资料。</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应按国家、广东省及深圳市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4、对甲方提出的合理的额外服务，不应予以拒绝。</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应接受甲方对工作进展的询问、监督和指导，严格按本合同约定的内容、标准和期限完成项目研究工作，并向甲方提交项目研究成果。项目工作完成后，乙方应按照甲方要求将完成本项目的工作总结和相关台</w:t>
      </w:r>
      <w:r>
        <w:rPr>
          <w:rFonts w:hint="eastAsia" w:ascii="宋体" w:hAnsi="宋体" w:cs="宋体"/>
          <w:color w:val="000000" w:themeColor="text1"/>
          <w:sz w:val="24"/>
          <w:lang w:eastAsia="zh-CN"/>
          <w14:textFill>
            <w14:solidFill>
              <w14:schemeClr w14:val="tx1"/>
            </w14:solidFill>
          </w14:textFill>
        </w:rPr>
        <w:t>账</w:t>
      </w:r>
      <w:r>
        <w:rPr>
          <w:rFonts w:hint="eastAsia" w:ascii="宋体" w:hAnsi="宋体" w:cs="宋体"/>
          <w:color w:val="000000" w:themeColor="text1"/>
          <w:sz w:val="24"/>
          <w14:textFill>
            <w14:solidFill>
              <w14:schemeClr w14:val="tx1"/>
            </w14:solidFill>
          </w14:textFill>
        </w:rPr>
        <w:t>资料交给甲方。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6、乙方应采取必要措施配合甲方验收人员的工作，对于验收过程中发现的问题，乙方应在发现问题之日起3天内进行改正，以符合甲方的需要。</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7、乙方应独立完成本项目。未经甲方书面在先同意，乙方不得向任何第三方全部或部分转让本项目。</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为保证项目成果的质量，乙方在合同履行期间，应按照要求成立专门的项目小组，并保障项目团队成员（含项目负责人）到位。项目负责人负责对项目实施全过程进行组织和指导，并承担课题研究的实质性工作。乙方应保证本合同的主要核心成员在项目实施期间全程参与项目实质性工作。如确需更换项目团队成员（含项目负责人），乙方应事先征得甲方的同意，且接替人员的职位、资历应与原定成员相当，否则，每擅自更换一个项目团队成员（含项目负责人），乙方应向甲方支付本合同总价款5%的违约金</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13、乙方指定项目联系人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乙方：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姓名：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联系方式： </w:t>
      </w:r>
    </w:p>
    <w:p>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变更项目联系人的，应当在5个工作日内以书面形式通知甲方。未及时通知并影响本合同履行或造成损失的，应承担相应的责任。乙方变更通讯地址或者联系方式，应及时将变更后的地址、联系方式通知甲方，否则乙方应对此造成的一切后果承担责任。</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第六条  甲方的权利</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1、甲方对项目过程的决策、控制、实施等环节实行全面管理，协调和监督研究工作开展，控制项目工作过程，进行项目成果验收。</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2、检查乙方人员到位情况，如因人力、能力不足致使工作不能按计划完成时，有权要求乙方增加或替换相应的技术人员，直至甲方认可，乙方不得拒绝。</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3、甲方有权向乙方询问项目工作进展及相关情况，并要求乙方在指定时间内做出答复。</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4、甲方有权对乙方提交的阶段性成果、最终成果送审稿等相关工作文件进行审核并提出修改意见。</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5、甲方对乙方在委托权限范围内完成委托事项有指导、监督权利。</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6、甲方有权要求乙方全面履行合同。甲方不接受部分履行，如本合同项下部分成果文件未能按时交付则视为整体延误。</w:t>
      </w:r>
    </w:p>
    <w:p>
      <w:pPr>
        <w:snapToGrid w:val="0"/>
        <w:spacing w:line="360" w:lineRule="auto"/>
        <w:ind w:firstLine="420" w:firstLineChars="17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第七条  乙方的权利</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1、乙方在本项目服务过程中，如甲方提供的资料不明确时可向甲方提出书面报告。</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2、乙方在本项目服务过程中，有权要求甲方就本服务业务有关的问题予以协调和支持。</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3、乙方在本项目服务过程中，有到现场勘察并要求甲方协调的权利。</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4、根据合同约定收取相应的合同价款。</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、乙方就本协议项下全部义务无条件对甲方承担连带责任。</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第八条  人员要求</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以下为本项目核心领导团队。</w:t>
      </w:r>
    </w:p>
    <w:tbl>
      <w:tblPr>
        <w:tblStyle w:val="18"/>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w:t>
            </w:r>
            <w:r>
              <w:rPr>
                <w:rFonts w:ascii="宋体" w:hAnsi="宋体" w:cs="宋体"/>
                <w:color w:val="000000" w:themeColor="text1"/>
                <w:sz w:val="24"/>
                <w14:textFill>
                  <w14:solidFill>
                    <w14:schemeClr w14:val="tx1"/>
                  </w14:solidFill>
                </w14:textFill>
              </w:rPr>
              <w:t>团队</w:t>
            </w:r>
            <w:r>
              <w:rPr>
                <w:rFonts w:hint="eastAsia" w:ascii="宋体" w:hAnsi="宋体" w:cs="宋体"/>
                <w:color w:val="000000" w:themeColor="text1"/>
                <w:sz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bl>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1、参加本项目的人员必须具有国家和有关部门规定的相应资质。</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2、参加本项目的人员配置必须与合同中的项目成员组成一致，若需调整需经甲方同意后，方可变更。</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3、必须以乙方直属人员</w:t>
      </w:r>
      <w:r>
        <w:rPr>
          <w:rFonts w:ascii="宋体" w:hAnsi="宋体" w:cs="宋体"/>
          <w:color w:val="000000" w:themeColor="text1"/>
          <w:sz w:val="24"/>
          <w14:textFill>
            <w14:solidFill>
              <w14:schemeClr w14:val="tx1"/>
            </w14:solidFill>
          </w14:textFill>
        </w:rPr>
        <w:t>（直属人员指</w:t>
      </w:r>
      <w:r>
        <w:rPr>
          <w:rFonts w:hint="eastAsia" w:ascii="宋体" w:hAnsi="宋体" w:cs="宋体"/>
          <w:color w:val="000000" w:themeColor="text1"/>
          <w:sz w:val="24"/>
          <w14:textFill>
            <w14:solidFill>
              <w14:schemeClr w14:val="tx1"/>
            </w14:solidFill>
          </w14:textFill>
        </w:rPr>
        <w:t>劳动合同、社会保险等劳动关系</w:t>
      </w:r>
      <w:r>
        <w:rPr>
          <w:rFonts w:ascii="宋体" w:hAnsi="宋体" w:cs="宋体"/>
          <w:color w:val="000000" w:themeColor="text1"/>
          <w:sz w:val="24"/>
          <w14:textFill>
            <w14:solidFill>
              <w14:schemeClr w14:val="tx1"/>
            </w14:solidFill>
          </w14:textFill>
        </w:rPr>
        <w:t>在乙方的人员）</w:t>
      </w:r>
      <w:r>
        <w:rPr>
          <w:rFonts w:hint="eastAsia" w:ascii="宋体" w:hAnsi="宋体" w:cs="宋体"/>
          <w:color w:val="000000" w:themeColor="text1"/>
          <w:sz w:val="24"/>
          <w14:textFill>
            <w14:solidFill>
              <w14:schemeClr w14:val="tx1"/>
            </w14:solidFill>
          </w14:textFill>
        </w:rPr>
        <w:t>参与本项目服务，不得使用挂靠队伍。</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第九条 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1、本项目全部阶段性成果和最终成果的所有权、知识产权以及与之相关的所有权利归甲方所有；本合同签署前双方已经拥有的知识产权权利，仍归各自所有。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2、双方确定，甲方有权对乙方按照本合同约定提供的成果进行后续改进。由此产生的具有实质性或创造性技术进步特征的新的技术成果及其权利全部由甲方享有。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5、乙方完成本项目的研究人员享有在有关技术成果文件上署名的权利和与甲方共同获得有关荣誉证书、奖励的权利。</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第十条  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26" w:name="_Toc216520223"/>
      <w:r>
        <w:rPr>
          <w:rFonts w:hint="eastAsia" w:ascii="宋体" w:hAnsi="宋体" w:cs="宋体"/>
          <w:color w:val="000000" w:themeColor="text1"/>
          <w:sz w:val="24"/>
          <w14:textFill>
            <w14:solidFill>
              <w14:schemeClr w14:val="tx1"/>
            </w14:solidFill>
          </w14:textFill>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26"/>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3、乙方须以保密方式处理在编制本项目成果文件过程中自甲方、甲方工作人员或甲方关联机构获得的相关信息、资料、图纸、数据等，或由甲方在履行本合同过程中明确指明为秘密的任何信息</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及乙方因本项目工作所直接或间接取得、处理或接触的任何其他资料。未经甲方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27" w:name="_Toc216520224"/>
      <w:r>
        <w:rPr>
          <w:rFonts w:hint="eastAsia" w:ascii="宋体" w:hAnsi="宋体" w:cs="宋体"/>
          <w:color w:val="000000" w:themeColor="text1"/>
          <w:sz w:val="24"/>
          <w14:textFill>
            <w14:solidFill>
              <w14:schemeClr w14:val="tx1"/>
            </w14:solidFill>
          </w14:textFill>
        </w:rPr>
        <w:t>5</w:t>
      </w:r>
      <w:bookmarkEnd w:id="27"/>
      <w:bookmarkStart w:id="28" w:name="_Toc216520226"/>
      <w:r>
        <w:rPr>
          <w:rFonts w:hint="eastAsia" w:ascii="宋体" w:hAnsi="宋体" w:cs="宋体"/>
          <w:color w:val="000000" w:themeColor="text1"/>
          <w:sz w:val="24"/>
          <w14:textFill>
            <w14:solidFill>
              <w14:schemeClr w14:val="tx1"/>
            </w14:solidFill>
          </w14:textFill>
        </w:rPr>
        <w:t>、上述保密义务不适用以下情况：</w:t>
      </w:r>
      <w:bookmarkEnd w:id="28"/>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合理的律师费用、鉴定评估费用、调查费用、和解金额或生效法律文书中规定的赔偿金额。</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7、无论本合同或本合同其他条款是否有效，本保密条款始终约束双方。国家秘密的保密期限由国家有关部门确定，工作秘密的保密期限由甲方确定。</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第十一条  项目服务费用及付款方式</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1、合同价款：本合同项下服务费总金额共计人民币 XXXX 元整（￥ ）。服务费包括但不限于人员研究费用、调研差旅费、专家咨询费、会议及专家差旅费、资料费、税费等所有费用，并提供合同要求的有关成果材料，以及其它相关服务的全部费用。在合同实施期间，除另签补充合同外，甲方不接受乙方以任何理由、任何名目提出增加费用的要求。</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2、付款方式：</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合同金额由甲方分2期支付至乙方指定银行账户：</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2.1、首期：合同签订生效后，根据乙方的付款申请，向乙方支付合同服务费总金额的50%；即人民币  整（¥  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hint="eastAsia" w:asciiTheme="minorEastAsia" w:hAnsiTheme="minorEastAsia" w:eastAsiaTheme="minorEastAsia" w:cstheme="minorEastAsia"/>
          <w:color w:val="000000" w:themeColor="text1"/>
          <w:sz w:val="24"/>
          <w14:textFill>
            <w14:solidFill>
              <w14:schemeClr w14:val="tx1"/>
            </w14:solidFill>
          </w14:textFill>
        </w:rPr>
        <w:t>尾期：提交最终成果并经甲方验收通过后，根据</w:t>
      </w:r>
      <w:r>
        <w:rPr>
          <w:rFonts w:hint="eastAsia" w:ascii="宋体" w:hAnsi="宋体" w:cs="宋体"/>
          <w:color w:val="000000" w:themeColor="text1"/>
          <w:sz w:val="24"/>
          <w14:textFill>
            <w14:solidFill>
              <w14:schemeClr w14:val="tx1"/>
            </w14:solidFill>
          </w14:textFill>
        </w:rPr>
        <w:t>乙方</w:t>
      </w:r>
      <w:r>
        <w:rPr>
          <w:rFonts w:hint="eastAsia" w:asciiTheme="minorEastAsia" w:hAnsiTheme="minorEastAsia" w:eastAsiaTheme="minorEastAsia" w:cstheme="minorEastAsia"/>
          <w:color w:val="000000" w:themeColor="text1"/>
          <w:sz w:val="24"/>
          <w14:textFill>
            <w14:solidFill>
              <w14:schemeClr w14:val="tx1"/>
            </w14:solidFill>
          </w14:textFill>
        </w:rPr>
        <w:t>的付款申请，向</w:t>
      </w:r>
      <w:r>
        <w:rPr>
          <w:rFonts w:hint="eastAsia" w:ascii="宋体" w:hAnsi="宋体" w:cs="宋体"/>
          <w:color w:val="000000" w:themeColor="text1"/>
          <w:sz w:val="24"/>
          <w14:textFill>
            <w14:solidFill>
              <w14:schemeClr w14:val="tx1"/>
            </w14:solidFill>
          </w14:textFill>
        </w:rPr>
        <w:t>乙方</w:t>
      </w:r>
      <w:r>
        <w:rPr>
          <w:rFonts w:hint="eastAsia" w:asciiTheme="minorEastAsia" w:hAnsiTheme="minorEastAsia" w:eastAsiaTheme="minorEastAsia" w:cstheme="minorEastAsia"/>
          <w:color w:val="000000" w:themeColor="text1"/>
          <w:sz w:val="24"/>
          <w14:textFill>
            <w14:solidFill>
              <w14:schemeClr w14:val="tx1"/>
            </w14:solidFill>
          </w14:textFill>
        </w:rPr>
        <w:t>支付本合同服务费总金额的</w:t>
      </w:r>
      <w:r>
        <w:rPr>
          <w:rFonts w:hint="eastAsia" w:asciiTheme="minorEastAsia" w:hAnsiTheme="minorEastAsia" w:cstheme="minorEastAsia"/>
          <w:color w:val="000000" w:themeColor="text1"/>
          <w:sz w:val="24"/>
          <w14:textFill>
            <w14:solidFill>
              <w14:schemeClr w14:val="tx1"/>
            </w14:solidFill>
          </w14:textFill>
        </w:rPr>
        <w:t>50</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；即人民币  整（¥  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3、乙方银行账户信息：</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户名：</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账号：</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第十二条 项目最终成果及验收方式</w:t>
      </w:r>
    </w:p>
    <w:p>
      <w:pPr>
        <w:widowControl/>
        <w:spacing w:line="360" w:lineRule="auto"/>
        <w:ind w:firstLine="480" w:firstLineChars="200"/>
        <w:jc w:val="left"/>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项目最终成果</w:t>
      </w:r>
    </w:p>
    <w:p>
      <w:pPr>
        <w:widowControl/>
        <w:spacing w:line="360" w:lineRule="auto"/>
        <w:ind w:firstLine="480" w:firstLineChars="200"/>
        <w:jc w:val="left"/>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系列报告：前海合作区十五周年系列报告。</w:t>
      </w:r>
    </w:p>
    <w:p>
      <w:pPr>
        <w:widowControl/>
        <w:spacing w:line="360" w:lineRule="auto"/>
        <w:ind w:firstLine="480" w:firstLineChars="200"/>
        <w:jc w:val="left"/>
        <w:outlineLvl w:val="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成果转化：一份高质量信息、一份决策参考。</w:t>
      </w:r>
    </w:p>
    <w:p>
      <w:pPr>
        <w:widowControl/>
        <w:spacing w:line="360" w:lineRule="auto"/>
        <w:ind w:firstLine="480" w:firstLineChars="200"/>
        <w:jc w:val="left"/>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、验收要求及验收方式</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2.1、乙方提供的服务内容应获得甲方组织的成果验收，具体流程如下：</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（1）查重：乙方向甲方提交课题研究报告，同步提供第三方查重系统对课题成果内容查重报告，重复率不得超过20%。</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专家评审：课题研究报告通过查重后，甲方组织外部专家进行评审，评审采用专家评审会或专家匿名评审方式开展。评审通过的，乙方应结合评审意见对课题研究报告进行修改完善，并将最终成果提交甲方进行验收。未通过评审的，乙方应继续开展研究，并于两个月内提请甲方再次组织评审。再次评审不通过的，课题提前终止。</w:t>
      </w:r>
    </w:p>
    <w:p>
      <w:pPr>
        <w:widowControl/>
        <w:spacing w:line="360" w:lineRule="auto"/>
        <w:ind w:firstLine="480" w:firstLineChars="200"/>
        <w:jc w:val="left"/>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2.2、项目最终成果验收合格的标志为：通过甲方组织的专家评审和结题会审查并同意结题</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第十三条 合同提前终止</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1、双方协商同意提前终止本合同的，按双方协商约定的方式进行清算执行。</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3、有下列情形之一的，本合同自甲方向乙方发出书面通知之日起终止：</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甲方的职能发生转变，不再具有委托职能。</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本合同签订时适用的法律法规或政策发生变化，且对本合同的继续履行造成重大影响。</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发生以上情形，甲方已向乙方支付的款项不退还，尚未支付的款项不再支付，同时乙方应向甲方提交在合同终止日前完成的所有项目文件和相关资料。</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4、如发生不可抗力或其他超出合同双方控制的事件，致使一方无法履行合同，本合同解除。</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发生不可抗力，甲乙双方承担各自的损失。由于其中一方迟延履行合同义务后发生不可抗力的，其违约责任不能免除。</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第十四条  争议解决办法</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因本合同的履行发生的或与本合同有关的争议或纠纷，由甲乙双方协商解决。协商不成的，任意一方有权向深圳前海合作区人民法院提起诉讼。</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第十五条 项目变更</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1、本合同履行过程中的需求变更和进度调整，以甲乙双方达成一致的书面文件为准。</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4、在合同所约定的工作范畴内的服务，本合同价格不予变更。</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第十六条 风险责任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乙方应完全地按照【QH2025109】号招标文件的要求和乙方投标文件的承诺完成本项目，出于自身财务、技术、人力等原因导致项目失败的，应承担全部责任。</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第十七条  违约责任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1、因乙方原因，未能按规定时间完成有关工作的，每延误一天，甲方有权自尚未支付的合同款项中扣除合同服务总金额的5‰的逾期违约金。</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2、如乙方提供的服务或成果不符合质量要求，必须在甲方提出要求后7个日历日无条件修改，其费用由乙方承担。</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3、本合同履行期间，发生下述情形时，甲方有权解除本合同，乙方除应退还甲方已支付的全部款项外</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3.1因乙方工作的错误或遗漏造成成果质量不符合本合同要求，且乙方未按甲方要求采取及时有效的补救措施的；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3.2乙方未能按合同约定的日期(含协商延缓的日期)提交工作成果，延误时间超过30个工作日；或乙方虽如期提交阶段性成果和最终成果，但最终成果连续二次未能通过评审验收的；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3.4未经甲方书面在先同意，乙方擅自将本合同项目与任何第三方合作，或将本合同标的全部或部分擅自转包给任何第三方，且未按甲方的要求终止与第三方的合同的；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3.5乙方明确表示或者以自己的行为表明不履行本合同的。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除因审批流程及财政部门预算下达延误影响甲方支出进度外，如甲方未按照本合同约定的时间支付服务费，乙方书面催告甲方并给予不少于15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违约责任各自独立且可累加。如本合同所约定的违约金无法弥补因违约行为所造成的损失，违约方应补偿上述不足部分的损失，包括但不限于前述责任所产生的诉讼费用、合理的律师费用、鉴定评估费用、调查费用、和解金额或生效法律文书中规定的赔偿金额。</w:t>
      </w:r>
    </w:p>
    <w:p>
      <w:pPr>
        <w:spacing w:line="360" w:lineRule="auto"/>
        <w:ind w:firstLine="482" w:firstLineChars="200"/>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第十八条  其他</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（1）合同书及补充协议；</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（2）中标通知书；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（3）招标文件（编号：    ）及其澄清、补正公告；</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3、本合同各条标题仅为提示之用，应以条文内容确定各方的权利义务。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4、本合同未尽事宜，由双方协商签订补充协议进行约定。补充协议应以书面形式作成，经双方法定代表人或其授权代表签字、盖章后与本合同具有同等法律效力。</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5、本合同约定的权利和义务不因合同双方发生收购、兼并、重组、分立而发生变化。如果发生上述情形，则本合同约定的权利和义务随之转移至收购、兼并、重组或分立后成立的单位。</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6、本合同在国家法律、法规和规章规定的范围内执行。当国家法律、法规和规章发生变化导致本合同有关条款与之抵触时，双方协商变更或废止该条款，在此情况下，双方互不承担责任。</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7、如果本合同的任何条款在任何时候变成不合法、无效或不可强制执行而不从根本上影响本合同的效力时，本合同的其他条款不受影响。</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9、任何一方未经另一方同意不得向任何第三方透露本合同的签订及其内容。甲方向其关联公司透露前述内容的，不受此限。</w:t>
      </w:r>
    </w:p>
    <w:p>
      <w:pPr>
        <w:adjustRightInd w:val="0"/>
        <w:spacing w:line="360" w:lineRule="auto"/>
        <w:ind w:firstLine="480" w:firstLineChars="200"/>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11、本合同自双方法定代表人或其授权代表签字、盖章之日起生效，有效期至本合同全部权利义务履行完毕之日止。</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12、本合同一式六份，甲、乙方各执三份，均具有同等法律效力。</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（以下无正文，为签章栏）</w:t>
      </w:r>
    </w:p>
    <w:p>
      <w:pPr>
        <w:widowControl/>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（本页为签章页）</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left="8312" w:hanging="8312" w:hangingChars="345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甲方名称：                                 乙方名称：</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深圳市前海深港现代服务业合作区管理局</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（盖章）</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法定代表人或授权代表：（签字）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法定代表人或授权代表：（签字）</w:t>
      </w:r>
    </w:p>
    <w:p>
      <w:pPr>
        <w:widowControl/>
        <w:adjustRightInd w:val="0"/>
        <w:snapToGrid w:val="0"/>
        <w:spacing w:line="360" w:lineRule="auto"/>
        <w:ind w:firstLine="200"/>
        <w:jc w:val="left"/>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日期：</w:t>
      </w:r>
    </w:p>
    <w:p>
      <w:pPr>
        <w:adjustRightInd w:val="0"/>
        <w:snapToGrid w:val="0"/>
        <w:spacing w:line="360" w:lineRule="auto"/>
        <w:ind w:firstLine="720" w:firstLineChars="3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b/>
          <w:bCs/>
          <w:color w:val="000000" w:themeColor="text1"/>
          <w:szCs w:val="21"/>
          <w14:textFill>
            <w14:solidFill>
              <w14:schemeClr w14:val="tx1"/>
            </w14:solidFill>
          </w14:textFill>
        </w:rPr>
        <w:t>注：本合同样本仅供参考，具体条款内容采购人和中标人按前海管理局合同样本签订。实际合同样本不改变本招标文件的实质条件</w:t>
      </w:r>
      <w:r>
        <w:rPr>
          <w:rFonts w:hint="eastAsia" w:ascii="宋体" w:hAnsi="宋体" w:cs="宋体"/>
          <w:b/>
          <w:bCs/>
          <w:color w:val="000000" w:themeColor="text1"/>
          <w:sz w:val="24"/>
          <w14:textFill>
            <w14:solidFill>
              <w14:schemeClr w14:val="tx1"/>
            </w14:solidFill>
          </w14:textFill>
        </w:rPr>
        <w:t>。</w:t>
      </w:r>
    </w:p>
    <w:p>
      <w:pPr>
        <w:snapToGrid w:val="0"/>
        <w:spacing w:line="360" w:lineRule="auto"/>
        <w:rPr>
          <w:rFonts w:hint="eastAsia" w:ascii="宋体" w:hAnsi="宋体" w:cs="宋体"/>
          <w:color w:val="000000" w:themeColor="text1"/>
          <w:sz w:val="24"/>
          <w14:textFill>
            <w14:solidFill>
              <w14:schemeClr w14:val="tx1"/>
            </w14:solidFill>
          </w14:textFill>
        </w:rPr>
      </w:pPr>
    </w:p>
    <w:p>
      <w:pPr>
        <w:pStyle w:val="7"/>
        <w:rPr>
          <w:rFonts w:hint="eastAsia" w:ascii="宋体" w:hAnsi="宋体" w:cs="宋体"/>
          <w:color w:val="000000" w:themeColor="text1"/>
          <w14:textFill>
            <w14:solidFill>
              <w14:schemeClr w14:val="tx1"/>
            </w14:solidFill>
          </w14:textFill>
        </w:rPr>
      </w:pPr>
    </w:p>
    <w:p>
      <w:pPr>
        <w:rPr>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29" w:name="_Toc25518"/>
      <w:r>
        <w:rPr>
          <w:rFonts w:hint="eastAsia" w:ascii="宋体" w:hAnsi="宋体" w:cs="宋体"/>
          <w:b/>
          <w:bCs/>
          <w:color w:val="000000" w:themeColor="text1"/>
          <w:sz w:val="24"/>
          <w14:textFill>
            <w14:solidFill>
              <w14:schemeClr w14:val="tx1"/>
            </w14:solidFill>
          </w14:textFill>
        </w:rPr>
        <w:t>用户需求书</w:t>
      </w:r>
      <w:bookmarkEnd w:id="29"/>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bookmarkStart w:id="30" w:name="_Toc23726"/>
      <w:bookmarkStart w:id="31" w:name="_Toc11045"/>
      <w:r>
        <w:rPr>
          <w:rFonts w:hint="eastAsia" w:ascii="宋体" w:hAnsi="宋体" w:cs="宋体"/>
          <w:b/>
          <w:color w:val="000000" w:themeColor="text1"/>
          <w:sz w:val="24"/>
          <w14:textFill>
            <w14:solidFill>
              <w14:schemeClr w14:val="tx1"/>
            </w14:solidFill>
          </w14:textFill>
        </w:rPr>
        <w:t>说明：本章“用户需求书”的全部内容为本项目正常开展的基本要求，投标人必须完全响应，否则将导致投标无效。</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w:t>
      </w:r>
      <w:bookmarkEnd w:id="30"/>
      <w:bookmarkEnd w:id="31"/>
      <w:bookmarkStart w:id="32" w:name="_Toc51746099"/>
      <w:r>
        <w:rPr>
          <w:rFonts w:hint="eastAsia" w:ascii="宋体" w:hAnsi="宋体" w:cs="宋体"/>
          <w:b/>
          <w:color w:val="000000" w:themeColor="text1"/>
          <w:sz w:val="24"/>
          <w:lang w:val="zh-CN"/>
          <w14:textFill>
            <w14:solidFill>
              <w14:schemeClr w14:val="tx1"/>
            </w14:solidFill>
          </w14:textFill>
        </w:rPr>
        <w:t>项目概况</w:t>
      </w:r>
    </w:p>
    <w:bookmarkEnd w:id="32"/>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一</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推进前海开发开放，是习近平总书记亲自谋划、亲自部署、亲自推动的国家改革开放重大举措。习近平总书记视察前海时作出重要指示：“要扎实推进前海建设，拿出更多务实创新的改革举措，探索更多可复制可推广的经验”。《前海方案》《前海规划》要求，“及时总结提炼好的政策措施和做法，形成可复制可推广可操作的经验”。今年是前海合作区成立十五周年，省大湾区办明确要求总结提炼第一阶段发展成效、经验做法、归纳提出一批可见可知可感的标志性成果。</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二</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十五年来，在省委省政府和市委市政府的正确领导下，前海合作区深入学习贯彻习近平总书记对广东、深圳系列重要讲话和重要指示精神以及关于前海开发开放的重要论述，始终牢记习近平总书记殷殷嘱托和党中央战略意图，扎实推进前海开发开放，在法定机构改革、营商环境优化、金融开放创新等方面开展创新实践，为全国探索高质量发展提供了重要经验。系统总结前海设立以来的改革开放创新成果，提炼可复制、可推广的前海经验，具有重要的战略意义和现实紧迫性。</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二、服务内容</w:t>
      </w:r>
    </w:p>
    <w:p>
      <w:pPr>
        <w:pStyle w:val="26"/>
        <w:tabs>
          <w:tab w:val="left" w:pos="720"/>
        </w:tabs>
        <w:autoSpaceDE w:val="0"/>
        <w:autoSpaceDN w:val="0"/>
        <w:adjustRightInd w:val="0"/>
        <w:spacing w:line="360" w:lineRule="auto"/>
        <w:ind w:right="17" w:firstLine="480"/>
        <w:jc w:val="left"/>
        <w:outlineLvl w:val="1"/>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从金融发展、数据特区、营商环境、制度创新、法治建设、党建创新专业人士执业、法定机构区域治理模式、自贸区建设、医疗教育港澳与国际联通、青年梦工场、e站通、现代服务业、国际化城市新中心、深港合作等15个方面系统梳理前海合作区15周年的15件标志性成果及成效，深入分析前海改革创新实践背后的制度逻辑和发展脉络，总结提炼具有引领性、示范性和创新性的改革经验，具体包括以下十五个方面</w:t>
      </w:r>
      <w:r>
        <w:rPr>
          <w:rFonts w:hint="eastAsia" w:ascii="宋体" w:hAnsi="宋体" w:cs="宋体"/>
          <w:bCs/>
          <w:color w:val="000000" w:themeColor="text1"/>
          <w:sz w:val="24"/>
          <w:lang w:eastAsia="zh-CN"/>
          <w14:textFill>
            <w14:solidFill>
              <w14:schemeClr w14:val="tx1"/>
            </w14:solidFill>
          </w14:textFill>
        </w:rPr>
        <w:t>：</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金融发展：金融开放高地，深港融合标杆——前海十五年金融发展经验与实践启示。系统梳理前海推进金融改革开放创新的成果，如“金融支持前海30条”、前海股权交易中心、前海深港国际金融城、前海自由贸易（FT）账户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（二）数据特区：制度创新筑基，数据要素赋能——前海“数据特区”探索与实践。系统梳理前海数据要素产业发展成果，如数据经纪人创新中心、国际数据产业园区、深港数据跨境验证平台等。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营商环境：勇立潮头十五载，制度创新筑辉煌——前海区域营商环境优化实践路径。系统梳理前海打造国际一流营商环境成果，如创建信用经济试验区、首创企业开办“双录签名”“商事登记行政确认制”等改革，实施AI+产业资金人工智能辅助审批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（四）制度创新：启新之章·领航之路：解构前海制度创新的探索与实践。系统梳理前海制度创新成果，如坚持以制度创新为核心丰富拓展“前海模式”，加快打造全面深化改革创新试验平台等。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（五）法治建设：法治护航十五载 前海扬帆谱新篇——前海合作区法治建设十五年创新实践纪实。系统梳理前海法治建设成就，如率先实践“港资港法港仲裁”并拓展至大湾区内地城市，联动香港打造国际商事争议解决中心、深港国际法务区等。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六）党建创新：铸魂领航，赋能发展——前海在高水平对外开放下加强党的建设的探索与实践。系统梳理前海党建创新成就，如探索高度开放条件下党建创新路径，建立“前海第一课”学习制度，发布全国首个加强自贸区党建的指导意见，探索自贸区党建新模式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（七）专业人士执业：执业通港澳 服务融湾区——前海专业人士执业实践的探索、成就与启示。系统梳理前海推进规则机制一体化衔接成就，如26类港澳专业人士可直接或经备案（登记）便利执业。</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八）法定机构区域治理模式：夯实善治之基石，激发区域活力——前海法定机构赋能区域发展的探索与实践。系统梳理前海法定机构区域治理模式创新成果，如创新合作区治理模式，坚持“统、分、优、放、协”，形成行政区与经济区适度分离、优势叠加的新型区域治理模式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（九）自贸区建设：对标国际立潮头，改革深化辟新途——前海自贸区建设的经验回顾与展望。系统梳理前海自贸区建设成果，如高标准实施自贸试验区提升战略，打造国内外双循环最佳联接点等。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十）医疗教育港澳与国际联通：破冰之策·融通之桥·共进之帆——探析医疗教育港澳与国际联通的创新路径。系统梳理前海医疗教育创新成果，如加强教育、医疗等公共服务体系对接，集聚国际化医疗机构、获批港澳药械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（十一）青年梦工场：深港融合 梦启前海——前海深港青年梦工场探索与实践。系统梳理前海青年梦工场建设成果，如实施梦工场“1510”新模式，建设香港青年创新创业平台，孵化港澳台及国际团队，引进香港重点高校科技成果转化平台、举办粤港澳台青年创新创业大赛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十二）e站通：e站通联港澳服务通湾区——前海港澳e站通跨境服务探索与经验。系统梳理前海e站通建设成果，如构建“一门通办、一次办结、一网服务、一体运行”服务模式，打造港澳e站通服务平台、建设“深圳·前海出海e站通”，与40个海外园区合作，助力企业开拓国际市场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十三）现代服务业：制度创新、深港融合、产业集聚——前海现代服务业高质量发展经验与启示。系统梳理前海现代服务业发展成果，如构建以现代服务业为引领、战略性新兴产业为支撑、未来产业加快布局的现代化产业体系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十四）国际化城市新中心：湾区引擎、时代标杆——深圳前海国际化城市新中心建设的经验探索与实践启示。系统梳理前海建设国际化城市新中心成果，如全国率先探索形成三维地籍为核心的土地立体化管理模式，率先推行土地1.5级开发，加快建设前海博物馆、湾区书城、前海冰雪世界等文旅地标等。</w:t>
      </w:r>
    </w:p>
    <w:p>
      <w:pPr>
        <w:pStyle w:val="26"/>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十五）深港合作：服务香港、携手共赢——前海深港合作十五周年回顾与启新。系统梳理前海深港合作成果，如坚持依托香港、服务香港，在“一国两制”框架下先行先试，服务香港“三中心一高地”建设，联合港方成立前海建设专班，联动香港特区政府相关政策局共同发布知识产权、</w:t>
      </w:r>
      <w:r>
        <w:rPr>
          <w:rFonts w:hint="eastAsia" w:ascii="宋体" w:hAnsi="宋体" w:cs="宋体"/>
          <w:bCs/>
          <w:color w:val="000000" w:themeColor="text1"/>
          <w:sz w:val="24"/>
          <w:lang w:eastAsia="zh-CN"/>
          <w14:textFill>
            <w14:solidFill>
              <w14:schemeClr w14:val="tx1"/>
            </w14:solidFill>
          </w14:textFill>
        </w:rPr>
        <w:t>风投</w:t>
      </w:r>
      <w:r>
        <w:rPr>
          <w:rFonts w:hint="eastAsia" w:ascii="宋体" w:hAnsi="宋体" w:cs="宋体"/>
          <w:bCs/>
          <w:color w:val="000000" w:themeColor="text1"/>
          <w:sz w:val="24"/>
          <w14:textFill>
            <w14:solidFill>
              <w14:schemeClr w14:val="tx1"/>
            </w14:solidFill>
          </w14:textFill>
        </w:rPr>
        <w:t>创投等政策措施等。</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三、项目管理要求</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为确保本项目工作管理规范、实施有力，投标人应成立项目组，按采购人要求完成研究成果。</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四、项目最终成果及验收方式</w:t>
      </w:r>
    </w:p>
    <w:p>
      <w:pPr>
        <w:pStyle w:val="26"/>
        <w:tabs>
          <w:tab w:val="left" w:pos="720"/>
        </w:tabs>
        <w:autoSpaceDE w:val="0"/>
        <w:autoSpaceDN w:val="0"/>
        <w:adjustRightInd w:val="0"/>
        <w:spacing w:line="360" w:lineRule="auto"/>
        <w:ind w:right="17" w:firstLine="480"/>
        <w:jc w:val="left"/>
        <w:outlineLvl w:val="2"/>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（一）项目最终成果</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1.系列报告：前海合作区十五周年系列报告。</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2.成果转化：一份高质量信息、一份决策参考。</w:t>
      </w:r>
    </w:p>
    <w:p>
      <w:pPr>
        <w:pStyle w:val="26"/>
        <w:tabs>
          <w:tab w:val="left" w:pos="720"/>
        </w:tabs>
        <w:autoSpaceDE w:val="0"/>
        <w:autoSpaceDN w:val="0"/>
        <w:adjustRightInd w:val="0"/>
        <w:spacing w:line="360" w:lineRule="auto"/>
        <w:ind w:right="17" w:firstLine="480"/>
        <w:jc w:val="left"/>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w:t>
      </w:r>
      <w:r>
        <w:rPr>
          <w:rFonts w:hint="eastAsia" w:ascii="宋体" w:hAnsi="宋体" w:cs="宋体"/>
          <w:color w:val="000000" w:themeColor="text1"/>
          <w:kern w:val="0"/>
          <w:sz w:val="24"/>
          <w:highlight w:val="none"/>
          <w14:textFill>
            <w14:solidFill>
              <w14:schemeClr w14:val="tx1"/>
            </w14:solidFill>
          </w14:textFill>
        </w:rPr>
        <w:t>验收要求及验收方式</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1.中标人提供的服务内容应获得采购人组织的成果验收，具体流程如下：</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（1）查重：中标人向采购人提交课题研究报告，同步提供第三方查重系统对课题成果内容查重报告，重复率不得超过20%。</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专家评审：课题研究报告通过查重后，采购人组织外部专家进行评审，评审采用专家评审会或专家匿名评审方式开展。评审通过的，中标人应结合评审意见对课题研究报告进行修改完善，并将最终成果提交采购人进行验收。未通过评审的，中标人应继续开展研究，并于两个月内提请采购人再次组织评审。再次评审不通过的，课题提前终止。</w:t>
      </w:r>
    </w:p>
    <w:p>
      <w:pPr>
        <w:widowControl/>
        <w:spacing w:line="360" w:lineRule="auto"/>
        <w:ind w:firstLine="480" w:firstLineChars="200"/>
        <w:jc w:val="left"/>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2、项目最终成果验收合格的标志为：通过采购人组织的专家评审和结题会审查并同意结题</w:t>
      </w:r>
      <w:r>
        <w:rPr>
          <w:rFonts w:hint="eastAsia" w:ascii="宋体" w:hAnsi="宋体" w:cs="宋体"/>
          <w:color w:val="000000" w:themeColor="text1"/>
          <w:sz w:val="24"/>
          <w:highlight w:val="none"/>
          <w14:textFill>
            <w14:solidFill>
              <w14:schemeClr w14:val="tx1"/>
            </w14:solidFill>
          </w14:textFill>
        </w:rPr>
        <w:t>。</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五、后续服务要求</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项目后续服务期限为最终成果通过采购人审查之日起的6个月内，后续服务期内，服务期内中标人应向采购人提供后续的专业技术支持与咨询服务。</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六、进度计划</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本项目服务期限自签订合同之日起至2025年12月10日。</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确定思路及报告框架：自签订合同2个星期内，在广泛收集材料、初步调研的基础上，确定项目研究思路及报告框架。</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形成研究报告（初稿）：开展前期调研、起草形成前海合作区十五周年系列报告初稿及配套文件。自合同签订之日起1个月内完成；</w:t>
      </w:r>
    </w:p>
    <w:p>
      <w:pPr>
        <w:spacing w:line="360" w:lineRule="auto"/>
        <w:ind w:firstLine="480" w:firstLineChars="200"/>
        <w:outlineLvl w:val="1"/>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形成研究报告（定稿）：自合同签订之日起3个月内完成，优化完善系列研究报告，组织召开专家评审会，并根据专家评审意见对报告进一步深化修改完善。</w:t>
      </w:r>
      <w:r>
        <w:rPr>
          <w:rFonts w:hint="eastAsia" w:ascii="宋体" w:hAnsi="宋体" w:eastAsia="宋体" w:cs="宋体"/>
          <w:bCs/>
          <w:color w:val="000000" w:themeColor="text1"/>
          <w:sz w:val="24"/>
          <w:highlight w:val="none"/>
          <w14:textFill>
            <w14:solidFill>
              <w14:schemeClr w14:val="tx1"/>
            </w14:solidFill>
          </w14:textFill>
        </w:rPr>
        <w:t>形成最终稿。</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2025年12月10日前完成“前海合作区设立以来高水平改革开放创新综合性成果评价研究”报告一份、高质量信息一份、决策参考一份。</w:t>
      </w:r>
    </w:p>
    <w:p>
      <w:pPr>
        <w:pStyle w:val="26"/>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pStyle w:val="26"/>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本项目服务期限自签订合同之日起至2025年12月10日。</w:t>
      </w:r>
    </w:p>
    <w:p>
      <w:pPr>
        <w:tabs>
          <w:tab w:val="left" w:pos="720"/>
        </w:tabs>
        <w:autoSpaceDE w:val="0"/>
        <w:autoSpaceDN w:val="0"/>
        <w:adjustRightInd w:val="0"/>
        <w:spacing w:line="360" w:lineRule="auto"/>
        <w:ind w:right="17" w:firstLine="482" w:firstLineChars="200"/>
        <w:outlineLvl w:val="2"/>
        <w:rPr>
          <w:rFonts w:hint="eastAsia"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（二）服务地点</w:t>
      </w:r>
    </w:p>
    <w:p>
      <w:pPr>
        <w:tabs>
          <w:tab w:val="left" w:pos="720"/>
        </w:tabs>
        <w:autoSpaceDE w:val="0"/>
        <w:autoSpaceDN w:val="0"/>
        <w:adjustRightInd w:val="0"/>
        <w:spacing w:line="360" w:lineRule="auto"/>
        <w:ind w:right="17" w:firstLine="480" w:firstLineChars="200"/>
        <w:outlineLvl w:val="2"/>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采购人指定地点。</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（三）报价要求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投标人的报价不可高于预算（限价），否则投标人的投标文件视同无效。项目服务费包括但不限于人员研究费用、调研差旅费、专家咨询费、会议及专家差旅费、资料费、税费等所有费用，并提供合同要求的有关成果材料，以及其它相关服务的全部费用。一经中标，投标报价总价作为中标单位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的合同金额，合同期限内不做调整同金额。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（四）付款方式</w:t>
      </w:r>
    </w:p>
    <w:p>
      <w:pPr>
        <w:widowControl/>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1.项目资金由采购人分2期支付至中标人指定银行账户</w:t>
      </w:r>
      <w:r>
        <w:rPr>
          <w:rFonts w:hint="eastAsia" w:ascii="宋体" w:hAnsi="宋体" w:cs="宋体"/>
          <w:color w:val="000000" w:themeColor="text1"/>
          <w:sz w:val="24"/>
          <w:lang w:eastAsia="zh-CN"/>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1.1.首期：合同签订生效后，根据中标人的付款申请，向中标人支付合同服务费总金额的50%；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1.2.尾期：提交最终成果并经采购人验收通过后，根据中标人的付款申请，向中标人支付本合同服务费总金额的</w:t>
      </w:r>
      <w:r>
        <w:rPr>
          <w:rFonts w:hint="eastAsia" w:asciiTheme="minorEastAsia" w:hAnsiTheme="minorEastAsia" w:cstheme="minorEastAsia"/>
          <w:color w:val="000000" w:themeColor="text1"/>
          <w:sz w:val="24"/>
          <w14:textFill>
            <w14:solidFill>
              <w14:schemeClr w14:val="tx1"/>
            </w14:solidFill>
          </w14:textFill>
        </w:rPr>
        <w:t>50</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上述每期款项均在满足付款条件，且采购人收到中标人开具的载明相应金额的合格发票后15个工作日内付至中标人指定银行账户。如未及时收到发票，则采购人相应付款时间顺延。若因采购人付款审批影响支付进度，请中标人予以谅解，并不得就此向采购人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1.本项目全部阶段性成果和最终成果的所有权、知识产权以及与之相关的所有权利归采购人所有；本合同签署前双方已经拥有的知识产权权利，仍归各自所有。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2.双方确定，采购人有权对中标人按照本合同约定提供的成果进行后续改进。由此产生的具有实质性或创造性技术进步特征的新的技术成果及其权利全部由采购人享有。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5.中标人完成本项目的研究人员享有在有关技术成果文件上署名的权利和与采购人共同获得有关荣誉证书、奖励的权利。</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3.中标人须以保密方式处理在编制本项目成果文件过程中自采购人、采购人工作人员或采购人关联机构获得的相关信息、资料、图纸、数据等，或由采购人在履行本合同过程中明确指明为秘密的任何信息</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及中标人因本项目工作所直接或间接取得、处理或接触的任何其他资料。未经采购人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5.上述保密义务不适用以下情况：</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（七）</w:t>
      </w:r>
      <w:r>
        <w:rPr>
          <w:rFonts w:hint="eastAsia" w:ascii="宋体" w:hAnsi="宋体" w:cs="宋体"/>
          <w:b/>
          <w:bCs/>
          <w:color w:val="000000" w:themeColor="text1"/>
          <w:sz w:val="24"/>
          <w14:textFill>
            <w14:solidFill>
              <w14:schemeClr w14:val="tx1"/>
            </w14:solidFill>
          </w14:textFill>
        </w:rPr>
        <w:t>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1.因中标单位原因，未能按规定时间完成有关工作的，每延误一天，采购方自尚未支付的合同款项中扣除合同服务总金额的5‰的逾期违约金。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2.如中标单位提供的服务或成果不符合质量要求，必须在采购方提出要求后7个日历日内无条件修改，其费用由中标单位承担。</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3.本合同履行期间，发生下述情形时，采购方有权解除本合同，中标单位除应退还采购方已支付的全部款项外</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还应在合同解除通知发出之日起10日内向采购方支付合同总价款20%的违约金。中标单位应同时将已完成的项目成果移交给采购方，并将全部有关资料退还采购方：</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(1)因中标单位工作的错误或遗漏造成成果质量不符合本合同要求，且中标单位未按采购方要求采取及时有效的补救措施的；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(2)中标单位未能按合同约定的日期(含协商延缓的日期)提交工作成果，延误时间超过30个工作日；或中标单位虽如期提交阶段性成果和最终成果，但最终成果连续二次未能通过评审的；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(3)发现中标单位或中标单位工作人员出现全部或部分丧失履行委托服务能力的情况，采购方有权通知中标单位限期整改或更换工作人员，期限届满中标单位并未进行改善的；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(4)未经采购单位书面在先同意，中标单位擅自将本合同项目与任何第三方合作，或将本合同标的全部或部分擅自转包给任何第三方，且未按采购单位的要求终止与第三方的合同的；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（5）中标单位明确表示或者以自己的行为表明不履行本合同的。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除因审批流程及财政部门预算下达延误影响采购方支出进度外，如采购方未按照本合同约定的时间支付服务费，中标单位书面催告采购方并给予不少于15个工作日的履行期限后采购方仍未支付的，中标单位有权自该期限届满之日起要求采购方支付该阶段应付而未付合同价款每日1‰的逾期违约金。如采购方无正当理由拒绝接受服务，到期明确表示拒付服务款项，中标单位有权要求采购方支付本合同项下服务费总金额10%的违约金。 </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违约责任各自独立且可累加。如本合同所约定的违约金无法弥补因违约行为所造成的损失，违约方应补偿上述不足部分的损失，包括但不限于前述责任所产生的诉讼费用、合理的律师费用、鉴定评估费用、调查费用、和解金额或生效法律文书中规定的赔偿金额。</w:t>
      </w:r>
      <w:r>
        <w:rPr>
          <w:rFonts w:hint="eastAsia" w:ascii="宋体" w:hAnsi="宋体" w:cs="宋体"/>
          <w:color w:val="000000" w:themeColor="text1"/>
          <w:sz w:val="24"/>
          <w14:textFill>
            <w14:solidFill>
              <w14:schemeClr w14:val="tx1"/>
            </w14:solidFill>
          </w14:textFill>
        </w:rPr>
        <w:br w:type="page"/>
      </w:r>
    </w:p>
    <w:p>
      <w:pPr>
        <w:widowControl/>
        <w:spacing w:line="360" w:lineRule="auto"/>
        <w:ind w:firstLine="482" w:firstLineChars="200"/>
        <w:jc w:val="center"/>
        <w:outlineLvl w:val="0"/>
        <w:rPr>
          <w:rFonts w:ascii="宋体" w:cs="宋体"/>
          <w:b/>
          <w:bCs/>
          <w:color w:val="000000" w:themeColor="text1"/>
          <w:sz w:val="24"/>
          <w14:textFill>
            <w14:solidFill>
              <w14:schemeClr w14:val="tx1"/>
            </w14:solidFill>
          </w14:textFill>
        </w:rPr>
      </w:pPr>
      <w:bookmarkStart w:id="33" w:name="_Toc23822"/>
      <w:r>
        <w:rPr>
          <w:rFonts w:hint="eastAsia" w:ascii="宋体" w:cs="宋体"/>
          <w:b/>
          <w:bCs/>
          <w:color w:val="000000" w:themeColor="text1"/>
          <w:sz w:val="24"/>
          <w14:textFill>
            <w14:solidFill>
              <w14:schemeClr w14:val="tx1"/>
            </w14:solidFill>
          </w14:textFill>
        </w:rPr>
        <w:t>第六章 投标文件初审及招标项目评分表</w:t>
      </w:r>
      <w:bookmarkEnd w:id="33"/>
    </w:p>
    <w:p>
      <w:pPr>
        <w:spacing w:line="360" w:lineRule="auto"/>
        <w:jc w:val="center"/>
        <w:rPr>
          <w:rFonts w:hint="eastAsia" w:ascii="宋体" w:hAnsi="宋体" w:cs="宋体"/>
          <w:b/>
          <w:color w:val="000000" w:themeColor="text1"/>
          <w:sz w:val="24"/>
          <w14:textFill>
            <w14:solidFill>
              <w14:schemeClr w14:val="tx1"/>
            </w14:solidFill>
          </w14:textFill>
        </w:rPr>
      </w:pP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投标文件初审表（不可偏离条款）</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（凡有下列情形之一的，投标文件无效，投标作废标处理）</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108"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108" w:type="dxa"/>
            <w:vAlign w:val="center"/>
          </w:tcPr>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报价合理性审查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（一）投标（响应）报价低于全部通过符合性审查供应商投标（响应）报价平均值50%的，即投标（响应）报价&lt;全部通过符合性审查供应商投标（响应）报价平均值×50%；</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（二）投标（响应）报价低于通过符合性审查且报价次低供应商投标（响应）报价50%的，即投标（响应）报价&lt;通过符合性审查且报价次低供应商投标（响应）报价×50%；</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（三）投标（响应）报价低于采购项目最高限价45%的，即投标（响应）报价&lt;采购项目最高限价×45%；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（四）其他评审委员会认为供应商报价过低，有可能影响产品质量或者不能诚信履约的情形。</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未出现“所投货物或工程或服务在质量、技术、方案等方面没有实质性满足招标文件要求”的情形</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未出现法律、法规规定的其他情形</w:t>
            </w:r>
          </w:p>
        </w:tc>
      </w:tr>
    </w:tbl>
    <w:p>
      <w:pPr>
        <w:spacing w:line="360" w:lineRule="auto"/>
        <w:jc w:val="center"/>
        <w:rPr>
          <w:rFonts w:hint="eastAsia" w:ascii="宋体" w:hAnsi="宋体" w:cs="宋体"/>
          <w:color w:val="000000" w:themeColor="text1"/>
          <w:sz w:val="24"/>
          <w:lang w:val="fr-CH"/>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招标项目评分表</w:t>
      </w:r>
    </w:p>
    <w:tbl>
      <w:tblPr>
        <w:tblStyle w:val="18"/>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一、价格部分（</w:t>
            </w:r>
            <w:r>
              <w:rPr>
                <w:rFonts w:hint="eastAsia" w:ascii="宋体" w:hAnsi="宋体" w:cs="宋体"/>
                <w:b/>
                <w:color w:val="000000" w:themeColor="text1"/>
                <w:sz w:val="24"/>
                <w14:textFill>
                  <w14:solidFill>
                    <w14:schemeClr w14:val="tx1"/>
                  </w14:solidFill>
                </w14:textFill>
              </w:rPr>
              <w:t>10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p>
        </w:tc>
        <w:tc>
          <w:tcPr>
            <w:tcW w:w="5907" w:type="dxa"/>
            <w:vAlign w:val="center"/>
          </w:tcPr>
          <w:p>
            <w:pPr>
              <w:pStyle w:val="6"/>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pStyle w:val="6"/>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投标报价得分=(评标基准价／投标报价)×10</w:t>
            </w:r>
          </w:p>
          <w:p>
            <w:pPr>
              <w:numPr>
                <w:ilvl w:val="0"/>
                <w:numId w:val="5"/>
              </w:numPr>
              <w:spacing w:line="360" w:lineRule="auto"/>
              <w:ind w:left="250" w:hanging="249" w:hangingChars="104"/>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价格评分仅限于有效投标人，</w:t>
            </w:r>
            <w:r>
              <w:rPr>
                <w:rFonts w:hint="eastAsia" w:ascii="宋体" w:hAnsi="宋体" w:cs="宋体"/>
                <w:color w:val="000000" w:themeColor="text1"/>
                <w:sz w:val="24"/>
                <w14:textFill>
                  <w14:solidFill>
                    <w14:schemeClr w14:val="tx1"/>
                  </w14:solidFill>
                </w14:textFill>
              </w:rPr>
              <w:t>当价格分&lt;0时，取0。</w:t>
            </w:r>
          </w:p>
          <w:p>
            <w:pPr>
              <w:numPr>
                <w:ilvl w:val="0"/>
                <w:numId w:val="5"/>
              </w:numPr>
              <w:spacing w:line="360" w:lineRule="auto"/>
              <w:ind w:left="0" w:hanging="9"/>
              <w:jc w:val="left"/>
              <w:rPr>
                <w:rFonts w:hint="eastAsia"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根据财库〔2020〕46号、财库〔2014〕68号及财库〔2017〕141号及（深财购〔2022〕31号）文件规定：</w:t>
            </w:r>
            <w:r>
              <w:rPr>
                <w:rFonts w:hint="eastAsia" w:ascii="宋体" w:hAnsi="宋体" w:cs="宋体"/>
                <w:b/>
                <w:color w:val="000000" w:themeColor="text1"/>
                <w:sz w:val="24"/>
                <w14:textFill>
                  <w14:solidFill>
                    <w14:schemeClr w14:val="tx1"/>
                  </w14:solidFill>
                </w14:textFill>
              </w:rPr>
              <w:t>本项目非专门面向中小企业的项目，对小型和微型企业、监狱企业或残疾人福利性企业产品的价格给予10%的扣除，用扣除后的价格即为“经评审合格的投标报价”参与价格评审。</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二、商务部分（</w:t>
            </w:r>
            <w:r>
              <w:rPr>
                <w:rFonts w:hint="eastAsia" w:ascii="宋体" w:hAnsi="宋体" w:cs="宋体"/>
                <w:b/>
                <w:color w:val="000000" w:themeColor="text1"/>
                <w:sz w:val="24"/>
                <w:lang w:val="en-US" w:eastAsia="zh-CN"/>
                <w14:textFill>
                  <w14:solidFill>
                    <w14:schemeClr w14:val="tx1"/>
                  </w14:solidFill>
                </w14:textFill>
              </w:rPr>
              <w:t>40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0"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同类项目业绩情况</w:t>
            </w:r>
          </w:p>
        </w:tc>
        <w:tc>
          <w:tcPr>
            <w:tcW w:w="5907" w:type="dxa"/>
          </w:tcPr>
          <w:p>
            <w:pPr>
              <w:pStyle w:val="6"/>
              <w:numPr>
                <w:ilvl w:val="0"/>
                <w:numId w:val="6"/>
              </w:numPr>
              <w:spacing w:line="360" w:lineRule="auto"/>
              <w:jc w:val="both"/>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评分内容：</w:t>
            </w:r>
          </w:p>
          <w:p>
            <w:pPr>
              <w:pStyle w:val="6"/>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2022年1月1日起至投标截止之日（以合同签订时间为准），投标人具有同类项目经验的，每提供1个得3分，此项最高得1</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w:t>
            </w:r>
          </w:p>
          <w:p>
            <w:pPr>
              <w:pStyle w:val="6"/>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同一项目续签不重复计分。</w:t>
            </w:r>
          </w:p>
          <w:p>
            <w:pPr>
              <w:pStyle w:val="6"/>
              <w:numPr>
                <w:ilvl w:val="0"/>
                <w:numId w:val="6"/>
              </w:numPr>
              <w:spacing w:line="360" w:lineRule="auto"/>
              <w:jc w:val="both"/>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评分依据：</w:t>
            </w:r>
          </w:p>
          <w:p>
            <w:pPr>
              <w:pStyle w:val="6"/>
              <w:numPr>
                <w:ilvl w:val="0"/>
                <w:numId w:val="7"/>
              </w:numPr>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提供合同关键信息（包括但不限于合同封面、合作内容、双方盖章页等作为得分依据）。</w:t>
            </w:r>
          </w:p>
          <w:p>
            <w:pPr>
              <w:pStyle w:val="6"/>
              <w:numPr>
                <w:ilvl w:val="0"/>
                <w:numId w:val="7"/>
              </w:numPr>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通过合同关键信息无法判断是否得分的，也可以提供能证明得分的其他证明资料，如项目报告、会议纪要或合同甲方出具的证明文件等。</w:t>
            </w:r>
          </w:p>
          <w:p>
            <w:pPr>
              <w:pStyle w:val="6"/>
              <w:numPr>
                <w:ilvl w:val="0"/>
                <w:numId w:val="7"/>
              </w:numPr>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以上资料均要求提供扫描件并加盖公章，原件备查，评分中出现无证明资料或专家无法凭所提供资料判断是否得分的情况，一律做不得分处理。</w:t>
            </w:r>
          </w:p>
        </w:tc>
        <w:tc>
          <w:tcPr>
            <w:tcW w:w="901" w:type="dxa"/>
            <w:vAlign w:val="center"/>
          </w:tcPr>
          <w:p>
            <w:pPr>
              <w:autoSpaceDE w:val="0"/>
              <w:autoSpaceDN w:val="0"/>
              <w:adjustRightInd w:val="0"/>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研究服务团队成员情况</w:t>
            </w:r>
          </w:p>
          <w:p>
            <w:pPr>
              <w:autoSpaceDE w:val="0"/>
              <w:autoSpaceDN w:val="0"/>
              <w:adjustRightInd w:val="0"/>
              <w:spacing w:line="360" w:lineRule="auto"/>
              <w:rPr>
                <w:rFonts w:hint="eastAsia" w:ascii="宋体" w:hAnsi="宋体" w:cs="宋体"/>
                <w:color w:val="000000" w:themeColor="text1"/>
                <w:sz w:val="24"/>
                <w14:textFill>
                  <w14:solidFill>
                    <w14:schemeClr w14:val="tx1"/>
                  </w14:solidFill>
                </w14:textFill>
              </w:rPr>
            </w:pPr>
          </w:p>
        </w:tc>
        <w:tc>
          <w:tcPr>
            <w:tcW w:w="5907" w:type="dxa"/>
          </w:tcPr>
          <w:p>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（一）评审标准：</w:t>
            </w: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为本项目拟派的投标人服务团队成员不少于4人</w:t>
            </w:r>
            <w:r>
              <w:rPr>
                <w:rFonts w:hint="eastAsia" w:ascii="宋体" w:hAnsi="宋体" w:cs="宋体"/>
                <w:color w:val="000000" w:themeColor="text1"/>
                <w:sz w:val="24"/>
                <w:highlight w:val="none"/>
                <w:lang w:val="en-US" w:eastAsia="zh-CN"/>
                <w14:textFill>
                  <w14:solidFill>
                    <w14:schemeClr w14:val="tx1"/>
                  </w14:solidFill>
                </w14:textFill>
              </w:rPr>
              <w:t>（含一名项目负责人）</w:t>
            </w:r>
            <w:r>
              <w:rPr>
                <w:rFonts w:hint="eastAsia" w:ascii="宋体" w:hAnsi="宋体" w:cs="宋体"/>
                <w:color w:val="000000" w:themeColor="text1"/>
                <w:kern w:val="0"/>
                <w:sz w:val="24"/>
                <w:highlight w:val="none"/>
                <w14:textFill>
                  <w14:solidFill>
                    <w14:schemeClr w14:val="tx1"/>
                  </w14:solidFill>
                </w14:textFill>
              </w:rPr>
              <w:t>，且所有团队成员均具备硕士</w:t>
            </w:r>
            <w:r>
              <w:rPr>
                <w:rFonts w:hint="eastAsia" w:ascii="宋体" w:hAnsi="宋体" w:cs="宋体"/>
                <w:color w:val="000000" w:themeColor="text1"/>
                <w:kern w:val="0"/>
                <w:sz w:val="24"/>
                <w:highlight w:val="none"/>
                <w:lang w:val="en-US" w:eastAsia="zh-CN"/>
                <w14:textFill>
                  <w14:solidFill>
                    <w14:schemeClr w14:val="tx1"/>
                  </w14:solidFill>
                </w14:textFill>
              </w:rPr>
              <w:t>研究生</w:t>
            </w:r>
            <w:r>
              <w:rPr>
                <w:rFonts w:hint="eastAsia" w:ascii="宋体" w:hAnsi="宋体" w:cs="宋体"/>
                <w:color w:val="000000" w:themeColor="text1"/>
                <w:kern w:val="0"/>
                <w:sz w:val="24"/>
                <w:highlight w:val="none"/>
                <w14:textFill>
                  <w14:solidFill>
                    <w14:schemeClr w14:val="tx1"/>
                  </w14:solidFill>
                </w14:textFill>
              </w:rPr>
              <w:t>或以上学历，否则本项不得分；每提供1个得</w:t>
            </w:r>
            <w:r>
              <w:rPr>
                <w:rFonts w:hint="eastAsia" w:ascii="宋体" w:hAnsi="宋体" w:cs="宋体"/>
                <w:color w:val="000000" w:themeColor="text1"/>
                <w:kern w:val="0"/>
                <w:sz w:val="24"/>
                <w:highlight w:val="none"/>
                <w:lang w:val="en-US" w:eastAsia="zh-CN"/>
                <w14:textFill>
                  <w14:solidFill>
                    <w14:schemeClr w14:val="tx1"/>
                  </w14:solidFill>
                </w14:textFill>
              </w:rPr>
              <w:t>2.5</w:t>
            </w:r>
            <w:r>
              <w:rPr>
                <w:rFonts w:hint="eastAsia" w:ascii="宋体" w:hAnsi="宋体" w:cs="宋体"/>
                <w:color w:val="000000" w:themeColor="text1"/>
                <w:kern w:val="0"/>
                <w:sz w:val="24"/>
                <w:highlight w:val="none"/>
                <w14:textFill>
                  <w14:solidFill>
                    <w14:schemeClr w14:val="tx1"/>
                  </w14:solidFill>
                </w14:textFill>
              </w:rPr>
              <w:t>分，此项最高得</w:t>
            </w:r>
            <w:r>
              <w:rPr>
                <w:rFonts w:hint="eastAsia" w:ascii="宋体" w:hAnsi="宋体" w:cs="宋体"/>
                <w:color w:val="000000" w:themeColor="text1"/>
                <w:kern w:val="0"/>
                <w:sz w:val="24"/>
                <w:highlight w:val="none"/>
                <w:lang w:val="en-US" w:eastAsia="zh-CN"/>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分。</w:t>
            </w:r>
          </w:p>
          <w:p>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（二）证明材料：</w:t>
            </w:r>
          </w:p>
          <w:p>
            <w:pPr>
              <w:pStyle w:val="6"/>
              <w:spacing w:line="360" w:lineRule="auto"/>
              <w:jc w:val="both"/>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1.要求项目</w:t>
            </w:r>
            <w:r>
              <w:rPr>
                <w:rFonts w:hint="eastAsia" w:ascii="宋体" w:hAnsi="宋体" w:cs="宋体"/>
                <w:color w:val="000000" w:themeColor="text1"/>
                <w:sz w:val="24"/>
                <w14:textFill>
                  <w14:solidFill>
                    <w14:schemeClr w14:val="tx1"/>
                  </w14:solidFill>
                </w14:textFill>
              </w:rPr>
              <w:t>团队成员</w:t>
            </w:r>
            <w:r>
              <w:rPr>
                <w:rFonts w:hint="eastAsia" w:ascii="宋体" w:hAnsi="宋体" w:cs="宋体"/>
                <w:color w:val="000000" w:themeColor="text1"/>
                <w:sz w:val="24"/>
                <w:lang w:val="zh-CN"/>
                <w14:textFill>
                  <w14:solidFill>
                    <w14:schemeClr w14:val="tx1"/>
                  </w14:solidFill>
                </w14:textFill>
              </w:rPr>
              <w:t>清单（格式自拟）、</w:t>
            </w:r>
            <w:r>
              <w:rPr>
                <w:rFonts w:hint="eastAsia" w:ascii="宋体" w:hAnsi="宋体" w:cs="宋体"/>
                <w:color w:val="000000" w:themeColor="text1"/>
                <w:sz w:val="24"/>
                <w14:textFill>
                  <w14:solidFill>
                    <w14:schemeClr w14:val="tx1"/>
                  </w14:solidFill>
                </w14:textFill>
              </w:rPr>
              <w:t>通过投标人缴纳的</w:t>
            </w:r>
            <w:r>
              <w:rPr>
                <w:rFonts w:hint="eastAsia" w:ascii="宋体" w:hAnsi="宋体" w:cs="宋体"/>
                <w:color w:val="000000" w:themeColor="text1"/>
                <w:sz w:val="24"/>
                <w:lang w:val="zh-CN"/>
                <w14:textFill>
                  <w14:solidFill>
                    <w14:schemeClr w14:val="tx1"/>
                  </w14:solidFill>
                </w14:textFill>
              </w:rPr>
              <w:t>投标日期前三个月</w:t>
            </w:r>
            <w:r>
              <w:rPr>
                <w:rFonts w:hint="eastAsia" w:ascii="宋体" w:hAnsi="宋体" w:cs="宋体"/>
                <w:color w:val="000000" w:themeColor="text1"/>
                <w:sz w:val="24"/>
                <w14:textFill>
                  <w14:solidFill>
                    <w14:schemeClr w14:val="tx1"/>
                  </w14:solidFill>
                </w14:textFill>
              </w:rPr>
              <w:t>内任1个月的</w:t>
            </w:r>
            <w:r>
              <w:rPr>
                <w:rFonts w:hint="eastAsia" w:ascii="宋体" w:hAnsi="宋体" w:cs="宋体"/>
                <w:color w:val="000000" w:themeColor="text1"/>
                <w:sz w:val="24"/>
                <w:lang w:val="zh-CN"/>
                <w14:textFill>
                  <w14:solidFill>
                    <w14:schemeClr w14:val="tx1"/>
                  </w14:solidFill>
                </w14:textFill>
              </w:rPr>
              <w:t>社保证明（网页或窗口打印资料均可，社保证明资料应当至少包含养老保险）及劳动合同，</w:t>
            </w:r>
            <w:r>
              <w:rPr>
                <w:rFonts w:hint="eastAsia" w:ascii="宋体" w:hAnsi="宋体" w:cs="宋体"/>
                <w:color w:val="000000" w:themeColor="text1"/>
                <w:sz w:val="24"/>
                <w14:textFill>
                  <w14:solidFill>
                    <w14:schemeClr w14:val="tx1"/>
                  </w14:solidFill>
                </w14:textFill>
              </w:rPr>
              <w:t>作为其为投标人员工的证明依据</w:t>
            </w:r>
            <w:r>
              <w:rPr>
                <w:rFonts w:hint="eastAsia" w:ascii="宋体" w:hAnsi="宋体" w:cs="宋体"/>
                <w:color w:val="000000" w:themeColor="text1"/>
                <w:sz w:val="24"/>
                <w:lang w:val="zh-CN"/>
                <w14:textFill>
                  <w14:solidFill>
                    <w14:schemeClr w14:val="tx1"/>
                  </w14:solidFill>
                </w14:textFill>
              </w:rPr>
              <w:t>。如供应商为新成立企业且成立时间不足</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个月可提供加盖公章的情况说明或者证明材料亦视为符合。拟派项目</w:t>
            </w:r>
            <w:r>
              <w:rPr>
                <w:rFonts w:hint="eastAsia" w:ascii="宋体" w:hAnsi="宋体" w:cs="宋体"/>
                <w:color w:val="000000" w:themeColor="text1"/>
                <w:sz w:val="24"/>
                <w14:textFill>
                  <w14:solidFill>
                    <w14:schemeClr w14:val="tx1"/>
                  </w14:solidFill>
                </w14:textFill>
              </w:rPr>
              <w:t>团队成员</w:t>
            </w:r>
            <w:r>
              <w:rPr>
                <w:rFonts w:hint="eastAsia" w:ascii="宋体" w:hAnsi="宋体" w:cs="宋体"/>
                <w:color w:val="000000" w:themeColor="text1"/>
                <w:sz w:val="24"/>
                <w:lang w:val="zh-CN"/>
                <w14:textFill>
                  <w14:solidFill>
                    <w14:schemeClr w14:val="tx1"/>
                  </w14:solidFill>
                </w14:textFill>
              </w:rPr>
              <w:t>为退休返聘人员，则须提供相关聘用合同和退休证明，无需再提供社保证明。</w:t>
            </w:r>
          </w:p>
          <w:p>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学历证明：学历证明需提供毕业证书复印件及学信网查询截图，原件备查。对于较早颁发的学历证书，学信网无法查询的，应提供证书扫描件和供其他佐证材料（如毕业院校、人社部门等颁发机构或监管机构等单位出具的证明）作为可以得分的依据。（若为境外留学学历，无需提供学信网查询记录，需提供教育部留学服务中心出具的境外学历学位认证书以及教育部留学服务中心官网查询截图）</w:t>
            </w:r>
            <w:r>
              <w:rPr>
                <w:rFonts w:hint="eastAsia" w:ascii="宋体" w:hAnsi="宋体" w:cs="宋体"/>
                <w:color w:val="000000" w:themeColor="text1"/>
                <w:kern w:val="0"/>
                <w:sz w:val="24"/>
                <w:lang w:val="zh-CN"/>
                <w14:textFill>
                  <w14:solidFill>
                    <w14:schemeClr w14:val="tx1"/>
                  </w14:solidFill>
                </w14:textFill>
              </w:rPr>
              <w:t>。</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以上资料均要求提供扫描件（或官方网站截图），原件备查。评分中出现无证明资料或专家无法凭所提供资料判断是否得分的情况，一律作不得分处理。</w:t>
            </w:r>
          </w:p>
        </w:tc>
        <w:tc>
          <w:tcPr>
            <w:tcW w:w="901" w:type="dxa"/>
            <w:vAlign w:val="center"/>
          </w:tcPr>
          <w:p>
            <w:pPr>
              <w:autoSpaceDE w:val="0"/>
              <w:autoSpaceDN w:val="0"/>
              <w:adjustRightInd w:val="0"/>
              <w:spacing w:line="400" w:lineRule="exact"/>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168" w:type="dxa"/>
            <w:vAlign w:val="center"/>
          </w:tcPr>
          <w:p>
            <w:pPr>
              <w:autoSpaceDE w:val="0"/>
              <w:autoSpaceDN w:val="0"/>
              <w:adjustRightIn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服务响应时间</w:t>
            </w:r>
          </w:p>
        </w:tc>
        <w:tc>
          <w:tcPr>
            <w:tcW w:w="5907" w:type="dxa"/>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（一）评审标准</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投标人承诺对采购人服务的响应时间为24小时(含)内，得</w:t>
            </w:r>
            <w:r>
              <w:rPr>
                <w:rFonts w:hint="eastAsia" w:ascii="宋体" w:hAnsi="宋体" w:cs="宋体"/>
                <w:color w:val="000000" w:themeColor="text1"/>
                <w:kern w:val="0"/>
                <w:sz w:val="24"/>
                <w:lang w:val="en-US" w:eastAsia="zh-CN"/>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分，对采购人服务的响应时间为24小时（不含）以上48小时(含)内，得</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分，对采购人服务的响应时间为48小时(不含)以上，不得分。</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（二）证明文件</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提供后续服务承诺函（格式自拟）</w:t>
            </w:r>
            <w:r>
              <w:rPr>
                <w:rFonts w:hint="eastAsia" w:ascii="宋体" w:hAnsi="宋体" w:cs="宋体"/>
                <w:color w:val="000000" w:themeColor="text1"/>
                <w:kern w:val="0"/>
                <w:sz w:val="24"/>
                <w:lang w:val="en-US" w:eastAsia="zh-CN"/>
                <w14:textFill>
                  <w14:solidFill>
                    <w14:schemeClr w14:val="tx1"/>
                  </w14:solidFill>
                </w14:textFill>
              </w:rPr>
              <w:t>加盖公章</w:t>
            </w:r>
            <w:r>
              <w:rPr>
                <w:rFonts w:hint="eastAsia" w:ascii="宋体" w:hAnsi="宋体" w:cs="宋体"/>
                <w:color w:val="000000" w:themeColor="text1"/>
                <w:kern w:val="0"/>
                <w:sz w:val="24"/>
                <w14:textFill>
                  <w14:solidFill>
                    <w14:schemeClr w14:val="tx1"/>
                  </w14:solidFill>
                </w14:textFill>
              </w:rPr>
              <w:t>。未提供不得分。</w:t>
            </w:r>
          </w:p>
        </w:tc>
        <w:tc>
          <w:tcPr>
            <w:tcW w:w="901" w:type="dxa"/>
            <w:vAlign w:val="center"/>
          </w:tcPr>
          <w:p>
            <w:pPr>
              <w:autoSpaceDE w:val="0"/>
              <w:autoSpaceDN w:val="0"/>
              <w:adjustRightInd w:val="0"/>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诚信声明与承诺</w:t>
            </w:r>
          </w:p>
        </w:tc>
        <w:tc>
          <w:tcPr>
            <w:tcW w:w="5907"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（一）评分内容：</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（二）评分依据</w:t>
            </w:r>
            <w:r>
              <w:rPr>
                <w:rFonts w:hint="eastAsia" w:ascii="宋体" w:hAnsi="宋体" w:cs="宋体"/>
                <w:color w:val="000000" w:themeColor="text1"/>
                <w:sz w:val="24"/>
                <w:lang w:eastAsia="zh-CN"/>
                <w14:textFill>
                  <w14:solidFill>
                    <w14:schemeClr w14:val="tx1"/>
                  </w14:solidFill>
                </w14:textFill>
              </w:rPr>
              <w:t>：</w:t>
            </w:r>
          </w:p>
          <w:p>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1、投标人提供诚信声明与承诺加盖公章；</w:t>
            </w:r>
          </w:p>
          <w:p>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color w:val="000000" w:themeColor="text1"/>
                <w:sz w:val="24"/>
                <w14:textFill>
                  <w14:solidFill>
                    <w14:schemeClr w14:val="tx1"/>
                  </w14:solidFill>
                </w14:textFill>
              </w:rPr>
              <w:t>。</w:t>
            </w:r>
          </w:p>
        </w:tc>
        <w:tc>
          <w:tcPr>
            <w:tcW w:w="901"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079" w:type="dxa"/>
            <w:vAlign w:val="center"/>
          </w:tcPr>
          <w:p>
            <w:pPr>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三、技术部分（</w:t>
            </w:r>
            <w:r>
              <w:rPr>
                <w:rFonts w:hint="eastAsia" w:ascii="宋体" w:hAnsi="宋体" w:cs="宋体"/>
                <w:b/>
                <w:color w:val="000000" w:themeColor="text1"/>
                <w:sz w:val="24"/>
                <w:lang w:val="en-US" w:eastAsia="zh-CN"/>
                <w14:textFill>
                  <w14:solidFill>
                    <w14:schemeClr w14:val="tx1"/>
                  </w14:solidFill>
                </w14:textFill>
              </w:rPr>
              <w:t>50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项目实施方案</w:t>
            </w:r>
          </w:p>
        </w:tc>
        <w:tc>
          <w:tcPr>
            <w:tcW w:w="5907" w:type="dxa"/>
            <w:vAlign w:val="center"/>
          </w:tcPr>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（一）评审内容：</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考察</w:t>
            </w:r>
            <w:r>
              <w:rPr>
                <w:rFonts w:hint="eastAsia" w:ascii="宋体" w:hAnsi="宋体" w:cs="宋体"/>
                <w:color w:val="000000" w:themeColor="text1"/>
                <w:sz w:val="24"/>
                <w:lang w:val="zh-CN"/>
                <w14:textFill>
                  <w14:solidFill>
                    <w14:schemeClr w14:val="tx1"/>
                  </w14:solidFill>
                </w14:textFill>
              </w:rPr>
              <w:t>投标</w:t>
            </w:r>
            <w:r>
              <w:rPr>
                <w:rFonts w:hint="eastAsia" w:ascii="宋体" w:hAnsi="宋体" w:cs="宋体"/>
                <w:color w:val="000000" w:themeColor="text1"/>
                <w:sz w:val="24"/>
                <w14:textFill>
                  <w14:solidFill>
                    <w14:schemeClr w14:val="tx1"/>
                  </w14:solidFill>
                </w14:textFill>
              </w:rPr>
              <w:t>人拟采取的项目</w:t>
            </w:r>
            <w:r>
              <w:rPr>
                <w:rFonts w:hint="eastAsia" w:ascii="宋体" w:hAnsi="宋体" w:cs="宋体"/>
                <w:color w:val="000000" w:themeColor="text1"/>
                <w:sz w:val="24"/>
                <w:lang w:val="zh-CN"/>
                <w14:textFill>
                  <w14:solidFill>
                    <w14:schemeClr w14:val="tx1"/>
                  </w14:solidFill>
                </w14:textFill>
              </w:rPr>
              <w:t>实施方案</w:t>
            </w:r>
            <w:r>
              <w:rPr>
                <w:rFonts w:hint="eastAsia" w:ascii="宋体" w:hAnsi="宋体" w:cs="宋体"/>
                <w:color w:val="000000" w:themeColor="text1"/>
                <w:sz w:val="24"/>
                <w14:textFill>
                  <w14:solidFill>
                    <w14:schemeClr w14:val="tx1"/>
                  </w14:solidFill>
                </w14:textFill>
              </w:rPr>
              <w:t>，根据投标文件响应情况进行评分，具体内容包括但不限于：</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1.项目实施目标；</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2.项目实施计划；</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3.项目实施内容；</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4.项目成果交付。</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（二）评审标准：</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满足</w:t>
            </w:r>
            <w:r>
              <w:rPr>
                <w:rFonts w:hint="eastAsia" w:ascii="宋体" w:hAnsi="宋体" w:cs="宋体"/>
                <w:color w:val="000000" w:themeColor="text1"/>
                <w:sz w:val="24"/>
                <w14:textFill>
                  <w14:solidFill>
                    <w14:schemeClr w14:val="tx1"/>
                  </w14:solidFill>
                </w14:textFill>
              </w:rPr>
              <w:t>以上四</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以上任意三</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w:t>
            </w:r>
            <w:r>
              <w:rPr>
                <w:rFonts w:hint="eastAsia" w:ascii="宋体" w:hAnsi="宋体" w:cs="宋体"/>
                <w:color w:val="000000" w:themeColor="text1"/>
                <w:sz w:val="24"/>
                <w:lang w:val="zh-CN"/>
                <w14:textFill>
                  <w14:solidFill>
                    <w14:schemeClr w14:val="tx1"/>
                  </w14:solidFill>
                </w14:textFill>
              </w:rPr>
              <w:t>任意</w:t>
            </w:r>
            <w:r>
              <w:rPr>
                <w:rFonts w:hint="eastAsia" w:ascii="宋体" w:hAnsi="宋体" w:cs="宋体"/>
                <w:color w:val="000000" w:themeColor="text1"/>
                <w:sz w:val="24"/>
                <w14:textFill>
                  <w14:solidFill>
                    <w14:schemeClr w14:val="tx1"/>
                  </w14:solidFill>
                </w14:textFill>
              </w:rPr>
              <w:t>两</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w:t>
            </w:r>
            <w:r>
              <w:rPr>
                <w:rFonts w:hint="eastAsia" w:ascii="宋体" w:hAnsi="宋体" w:cs="宋体"/>
                <w:color w:val="000000" w:themeColor="text1"/>
                <w:sz w:val="24"/>
                <w:lang w:val="zh-CN"/>
                <w14:textFill>
                  <w14:solidFill>
                    <w14:schemeClr w14:val="tx1"/>
                  </w14:solidFill>
                </w14:textFill>
              </w:rPr>
              <w:t>任意一点得</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其他情况</w:t>
            </w:r>
            <w:r>
              <w:rPr>
                <w:rFonts w:hint="eastAsia" w:ascii="宋体" w:hAnsi="宋体" w:cs="宋体"/>
                <w:color w:val="000000" w:themeColor="text1"/>
                <w:sz w:val="24"/>
                <w:lang w:val="zh-CN"/>
                <w14:textFill>
                  <w14:solidFill>
                    <w14:schemeClr w14:val="tx1"/>
                  </w14:solidFill>
                </w14:textFill>
              </w:rPr>
              <w:t>不得分。在此基础上，专家根据各供应商的具体响应内容进一步评审：</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优：实施方案内容具体、内容针对性强、内容科学合理、内容可操作性强；</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良：实施方案内容较具体、内容针对性较强、内容较科学合理、内容可操作性较强；</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中：实施方案内容具体性一般、内容针对性一般、内容科学合理性一般、内容可操作性一般；</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差：实施方案内容具体性差、内容针对性差、内容科学合理性差、内容可操作性差。</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评价为优</w:t>
            </w:r>
            <w:r>
              <w:rPr>
                <w:rFonts w:hint="eastAsia" w:ascii="宋体" w:hAnsi="宋体" w:cs="宋体"/>
                <w:color w:val="000000" w:themeColor="text1"/>
                <w:sz w:val="24"/>
                <w14:textFill>
                  <w14:solidFill>
                    <w14:schemeClr w14:val="tx1"/>
                  </w14:solidFill>
                </w14:textFill>
              </w:rPr>
              <w:t>加</w:t>
            </w:r>
            <w:r>
              <w:rPr>
                <w:rFonts w:hint="eastAsia" w:ascii="宋体" w:hAnsi="宋体" w:cs="宋体"/>
                <w:color w:val="000000" w:themeColor="text1"/>
                <w:sz w:val="24"/>
                <w:lang w:val="zh-CN"/>
                <w14:textFill>
                  <w14:solidFill>
                    <w14:schemeClr w14:val="tx1"/>
                  </w14:solidFill>
                </w14:textFill>
              </w:rPr>
              <w:t>7分；评价为良</w:t>
            </w:r>
            <w:r>
              <w:rPr>
                <w:rFonts w:hint="eastAsia" w:ascii="宋体" w:hAnsi="宋体" w:cs="宋体"/>
                <w:color w:val="000000" w:themeColor="text1"/>
                <w:sz w:val="24"/>
                <w14:textFill>
                  <w14:solidFill>
                    <w14:schemeClr w14:val="tx1"/>
                  </w14:solidFill>
                </w14:textFill>
              </w:rPr>
              <w:t>加4</w:t>
            </w:r>
            <w:r>
              <w:rPr>
                <w:rFonts w:hint="eastAsia" w:ascii="宋体" w:hAnsi="宋体" w:cs="宋体"/>
                <w:color w:val="000000" w:themeColor="text1"/>
                <w:sz w:val="24"/>
                <w:lang w:val="zh-CN"/>
                <w14:textFill>
                  <w14:solidFill>
                    <w14:schemeClr w14:val="tx1"/>
                  </w14:solidFill>
                </w14:textFill>
              </w:rPr>
              <w:t>分；评价为中</w:t>
            </w:r>
            <w:r>
              <w:rPr>
                <w:rFonts w:hint="eastAsia" w:ascii="宋体" w:hAnsi="宋体" w:cs="宋体"/>
                <w:color w:val="000000" w:themeColor="text1"/>
                <w:sz w:val="24"/>
                <w14:textFill>
                  <w14:solidFill>
                    <w14:schemeClr w14:val="tx1"/>
                  </w14:solidFill>
                </w14:textFill>
              </w:rPr>
              <w:t>加2</w:t>
            </w:r>
            <w:r>
              <w:rPr>
                <w:rFonts w:hint="eastAsia" w:ascii="宋体" w:hAnsi="宋体" w:cs="宋体"/>
                <w:color w:val="000000" w:themeColor="text1"/>
                <w:sz w:val="24"/>
                <w:lang w:val="zh-CN"/>
                <w14:textFill>
                  <w14:solidFill>
                    <w14:schemeClr w14:val="tx1"/>
                  </w14:solidFill>
                </w14:textFill>
              </w:rPr>
              <w:t>分；评价为差</w:t>
            </w:r>
            <w:r>
              <w:rPr>
                <w:rFonts w:hint="eastAsia" w:ascii="宋体" w:hAnsi="宋体" w:cs="宋体"/>
                <w:color w:val="000000" w:themeColor="text1"/>
                <w:sz w:val="24"/>
                <w14:textFill>
                  <w14:solidFill>
                    <w14:schemeClr w14:val="tx1"/>
                  </w14:solidFill>
                </w14:textFill>
              </w:rPr>
              <w:t>不加</w:t>
            </w:r>
            <w:r>
              <w:rPr>
                <w:rFonts w:hint="eastAsia" w:ascii="宋体" w:hAnsi="宋体" w:cs="宋体"/>
                <w:color w:val="000000" w:themeColor="text1"/>
                <w:sz w:val="24"/>
                <w:lang w:val="zh-CN"/>
                <w14:textFill>
                  <w14:solidFill>
                    <w14:schemeClr w14:val="tx1"/>
                  </w14:solidFill>
                </w14:textFill>
              </w:rPr>
              <w:t>分。</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质量保</w:t>
            </w:r>
            <w:r>
              <w:rPr>
                <w:rFonts w:hint="eastAsia" w:ascii="宋体" w:hAnsi="宋体" w:cs="宋体"/>
                <w:color w:val="000000" w:themeColor="text1"/>
                <w:sz w:val="24"/>
                <w14:textFill>
                  <w14:solidFill>
                    <w14:schemeClr w14:val="tx1"/>
                  </w14:solidFill>
                </w14:textFill>
              </w:rPr>
              <w:t>障</w:t>
            </w:r>
            <w:r>
              <w:rPr>
                <w:rFonts w:hint="eastAsia" w:ascii="宋体" w:hAnsi="宋体" w:cs="宋体"/>
                <w:color w:val="000000" w:themeColor="text1"/>
                <w:sz w:val="24"/>
                <w:lang w:val="zh-CN"/>
                <w14:textFill>
                  <w14:solidFill>
                    <w14:schemeClr w14:val="tx1"/>
                  </w14:solidFill>
                </w14:textFill>
              </w:rPr>
              <w:t>措施</w:t>
            </w:r>
            <w:r>
              <w:rPr>
                <w:rFonts w:hint="eastAsia" w:ascii="宋体" w:hAnsi="宋体" w:cs="宋体"/>
                <w:color w:val="000000" w:themeColor="text1"/>
                <w:sz w:val="24"/>
                <w14:textFill>
                  <w14:solidFill>
                    <w14:schemeClr w14:val="tx1"/>
                  </w14:solidFill>
                </w14:textFill>
              </w:rPr>
              <w:t>及方案</w:t>
            </w:r>
          </w:p>
        </w:tc>
        <w:tc>
          <w:tcPr>
            <w:tcW w:w="5907" w:type="dxa"/>
            <w:vAlign w:val="center"/>
          </w:tcPr>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（一）评审内容：</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考察投标人保证项目完成质量的保障措施及方案的合理性，是否满足投标要求，根据投标文件的响应情况进行评分，具体内容包括：</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阐述</w:t>
            </w:r>
            <w:r>
              <w:rPr>
                <w:rFonts w:hint="eastAsia" w:ascii="宋体" w:hAnsi="宋体" w:cs="宋体"/>
                <w:color w:val="000000" w:themeColor="text1"/>
                <w:sz w:val="24"/>
                <w:lang w:val="zh-CN"/>
                <w14:textFill>
                  <w14:solidFill>
                    <w14:schemeClr w14:val="tx1"/>
                  </w14:solidFill>
                </w14:textFill>
              </w:rPr>
              <w:t>分阶段项目时间安排与阶段性</w:t>
            </w:r>
            <w:r>
              <w:rPr>
                <w:rFonts w:hint="eastAsia" w:ascii="宋体" w:hAnsi="宋体" w:cs="宋体"/>
                <w:color w:val="000000" w:themeColor="text1"/>
                <w:sz w:val="24"/>
                <w14:textFill>
                  <w14:solidFill>
                    <w14:schemeClr w14:val="tx1"/>
                  </w14:solidFill>
                </w14:textFill>
              </w:rPr>
              <w:t>项目</w:t>
            </w:r>
            <w:r>
              <w:rPr>
                <w:rFonts w:hint="eastAsia" w:ascii="宋体" w:hAnsi="宋体" w:cs="宋体"/>
                <w:color w:val="000000" w:themeColor="text1"/>
                <w:sz w:val="24"/>
                <w:lang w:val="zh-CN"/>
                <w14:textFill>
                  <w14:solidFill>
                    <w14:schemeClr w14:val="tx1"/>
                  </w14:solidFill>
                </w14:textFill>
              </w:rPr>
              <w:t>成果；</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2.阐述项目时间管理制度与措施；</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3.阐述项目质量管理制度与措施；</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4.阐述项目资料、成果安全性保障制度与措施；</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二</w:t>
            </w:r>
            <w:r>
              <w:rPr>
                <w:rFonts w:hint="eastAsia" w:ascii="宋体" w:hAnsi="宋体" w:cs="宋体"/>
                <w:color w:val="000000" w:themeColor="text1"/>
                <w:sz w:val="24"/>
                <w:lang w:val="zh-CN"/>
                <w14:textFill>
                  <w14:solidFill>
                    <w14:schemeClr w14:val="tx1"/>
                  </w14:solidFill>
                </w14:textFill>
              </w:rPr>
              <w:t>）评分标准：</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满足</w:t>
            </w:r>
            <w:r>
              <w:rPr>
                <w:rFonts w:hint="eastAsia" w:ascii="宋体" w:hAnsi="宋体" w:cs="宋体"/>
                <w:color w:val="000000" w:themeColor="text1"/>
                <w:sz w:val="24"/>
                <w14:textFill>
                  <w14:solidFill>
                    <w14:schemeClr w14:val="tx1"/>
                  </w14:solidFill>
                </w14:textFill>
              </w:rPr>
              <w:t>以上四</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w:t>
            </w:r>
            <w:r>
              <w:rPr>
                <w:rFonts w:hint="eastAsia" w:ascii="宋体" w:hAnsi="宋体" w:cs="宋体"/>
                <w:color w:val="000000" w:themeColor="text1"/>
                <w:sz w:val="24"/>
                <w:lang w:val="zh-CN"/>
                <w14:textFill>
                  <w14:solidFill>
                    <w14:schemeClr w14:val="tx1"/>
                  </w14:solidFill>
                </w14:textFill>
              </w:rPr>
              <w:t>任意</w:t>
            </w:r>
            <w:r>
              <w:rPr>
                <w:rFonts w:hint="eastAsia" w:ascii="宋体" w:hAnsi="宋体" w:cs="宋体"/>
                <w:color w:val="000000" w:themeColor="text1"/>
                <w:sz w:val="24"/>
                <w14:textFill>
                  <w14:solidFill>
                    <w14:schemeClr w14:val="tx1"/>
                  </w14:solidFill>
                </w14:textFill>
              </w:rPr>
              <w:t>三</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w:t>
            </w:r>
            <w:r>
              <w:rPr>
                <w:rFonts w:hint="eastAsia" w:ascii="宋体" w:hAnsi="宋体" w:cs="宋体"/>
                <w:color w:val="000000" w:themeColor="text1"/>
                <w:sz w:val="24"/>
                <w:lang w:val="zh-CN"/>
                <w14:textFill>
                  <w14:solidFill>
                    <w14:schemeClr w14:val="tx1"/>
                  </w14:solidFill>
                </w14:textFill>
              </w:rPr>
              <w:t>任意</w:t>
            </w:r>
            <w:r>
              <w:rPr>
                <w:rFonts w:hint="eastAsia" w:ascii="宋体" w:hAnsi="宋体" w:cs="宋体"/>
                <w:color w:val="000000" w:themeColor="text1"/>
                <w:sz w:val="24"/>
                <w14:textFill>
                  <w14:solidFill>
                    <w14:schemeClr w14:val="tx1"/>
                  </w14:solidFill>
                </w14:textFill>
              </w:rPr>
              <w:t>两</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w:t>
            </w:r>
            <w:r>
              <w:rPr>
                <w:rFonts w:hint="eastAsia" w:ascii="宋体" w:hAnsi="宋体" w:cs="宋体"/>
                <w:color w:val="000000" w:themeColor="text1"/>
                <w:sz w:val="24"/>
                <w:lang w:val="zh-CN"/>
                <w14:textFill>
                  <w14:solidFill>
                    <w14:schemeClr w14:val="tx1"/>
                  </w14:solidFill>
                </w14:textFill>
              </w:rPr>
              <w:t>任意一点得</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其他情况</w:t>
            </w:r>
            <w:r>
              <w:rPr>
                <w:rFonts w:hint="eastAsia" w:ascii="宋体" w:hAnsi="宋体" w:cs="宋体"/>
                <w:color w:val="000000" w:themeColor="text1"/>
                <w:sz w:val="24"/>
                <w:lang w:val="zh-CN"/>
                <w14:textFill>
                  <w14:solidFill>
                    <w14:schemeClr w14:val="tx1"/>
                  </w14:solidFill>
                </w14:textFill>
              </w:rPr>
              <w:t xml:space="preserve">不得分。在此基础上，专家根据各供应商的具体响应内容进一步评审； </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优：保障措施及方案内容具体、内容针对性强、内容科学合理、内容可操作性强；</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良：保障措施及方案内容较具体、内容针对性较强、内容较科学合理、内容可操作性较强；</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中：保障措施及方案内容具体性一般、内容针对性一般、内容科学合理性一般、内容可操作性一般；</w:t>
            </w:r>
          </w:p>
          <w:p>
            <w:pPr>
              <w:spacing w:line="360" w:lineRule="auto"/>
              <w:rPr>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差：保障措施及方案内容具体性差、内容针对性差、内容科学合理性差、内容可操作性差。</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评价为优</w:t>
            </w:r>
            <w:r>
              <w:rPr>
                <w:rFonts w:hint="eastAsia" w:ascii="宋体" w:hAnsi="宋体" w:cs="宋体"/>
                <w:color w:val="000000" w:themeColor="text1"/>
                <w:sz w:val="24"/>
                <w14:textFill>
                  <w14:solidFill>
                    <w14:schemeClr w14:val="tx1"/>
                  </w14:solidFill>
                </w14:textFill>
              </w:rPr>
              <w:t>加</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分；评价为良</w:t>
            </w:r>
            <w:r>
              <w:rPr>
                <w:rFonts w:hint="eastAsia" w:ascii="宋体" w:hAnsi="宋体" w:cs="宋体"/>
                <w:color w:val="000000" w:themeColor="text1"/>
                <w:sz w:val="24"/>
                <w14:textFill>
                  <w14:solidFill>
                    <w14:schemeClr w14:val="tx1"/>
                  </w14:solidFill>
                </w14:textFill>
              </w:rPr>
              <w:t>加</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分；评价为中</w:t>
            </w:r>
            <w:r>
              <w:rPr>
                <w:rFonts w:hint="eastAsia" w:ascii="宋体" w:hAnsi="宋体" w:cs="宋体"/>
                <w:color w:val="000000" w:themeColor="text1"/>
                <w:sz w:val="24"/>
                <w14:textFill>
                  <w14:solidFill>
                    <w14:schemeClr w14:val="tx1"/>
                  </w14:solidFill>
                </w14:textFill>
              </w:rPr>
              <w:t>加</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分；评价为差</w:t>
            </w:r>
            <w:r>
              <w:rPr>
                <w:rFonts w:hint="eastAsia" w:ascii="宋体" w:hAnsi="宋体" w:cs="宋体"/>
                <w:color w:val="000000" w:themeColor="text1"/>
                <w:sz w:val="24"/>
                <w14:textFill>
                  <w14:solidFill>
                    <w14:schemeClr w14:val="tx1"/>
                  </w14:solidFill>
                </w14:textFill>
              </w:rPr>
              <w:t>不加</w:t>
            </w:r>
            <w:r>
              <w:rPr>
                <w:rFonts w:hint="eastAsia" w:ascii="宋体" w:hAnsi="宋体" w:cs="宋体"/>
                <w:color w:val="000000" w:themeColor="text1"/>
                <w:sz w:val="24"/>
                <w:lang w:val="zh-CN"/>
                <w14:textFill>
                  <w14:solidFill>
                    <w14:schemeClr w14:val="tx1"/>
                  </w14:solidFill>
                </w14:textFill>
              </w:rPr>
              <w:t>分。</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项目重难点分析及相关的合理化建议</w:t>
            </w:r>
          </w:p>
        </w:tc>
        <w:tc>
          <w:tcPr>
            <w:tcW w:w="5907" w:type="dxa"/>
            <w:vAlign w:val="center"/>
          </w:tcPr>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（一）评审内容：</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考察投标人对项目的重点、难点分析的准确性，应对的措施及建议是否具备科学合理性情况进行评分，具体内容包括：</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1.分析出项目重难点；</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2.给出应对处置项目重难点的工作措施；</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3.提出解决项目重难点问题的合理化建议。</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（二）评分标准： </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满足</w:t>
            </w:r>
            <w:r>
              <w:rPr>
                <w:rFonts w:hint="eastAsia" w:ascii="宋体" w:hAnsi="宋体" w:cs="宋体"/>
                <w:color w:val="000000" w:themeColor="text1"/>
                <w:sz w:val="24"/>
                <w14:textFill>
                  <w14:solidFill>
                    <w14:schemeClr w14:val="tx1"/>
                  </w14:solidFill>
                </w14:textFill>
              </w:rPr>
              <w:t>以上三</w:t>
            </w:r>
            <w:r>
              <w:rPr>
                <w:rFonts w:hint="eastAsia" w:ascii="宋体" w:hAnsi="宋体" w:cs="宋体"/>
                <w:color w:val="000000" w:themeColor="text1"/>
                <w:sz w:val="24"/>
                <w:lang w:val="zh-CN"/>
                <w14:textFill>
                  <w14:solidFill>
                    <w14:schemeClr w14:val="tx1"/>
                  </w14:solidFill>
                </w14:textFill>
              </w:rPr>
              <w:t>点得</w:t>
            </w:r>
            <w:r>
              <w:rPr>
                <w:rFonts w:hint="eastAsia"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分，满足</w:t>
            </w:r>
            <w:r>
              <w:rPr>
                <w:rFonts w:hint="eastAsia" w:ascii="宋体" w:hAnsi="宋体" w:cs="宋体"/>
                <w:color w:val="000000" w:themeColor="text1"/>
                <w:sz w:val="24"/>
                <w14:textFill>
                  <w14:solidFill>
                    <w14:schemeClr w14:val="tx1"/>
                  </w14:solidFill>
                </w14:textFill>
              </w:rPr>
              <w:t>以上</w:t>
            </w:r>
            <w:r>
              <w:rPr>
                <w:rFonts w:hint="eastAsia" w:ascii="宋体" w:hAnsi="宋体" w:cs="宋体"/>
                <w:color w:val="000000" w:themeColor="text1"/>
                <w:sz w:val="24"/>
                <w:lang w:val="zh-CN"/>
                <w14:textFill>
                  <w14:solidFill>
                    <w14:schemeClr w14:val="tx1"/>
                  </w14:solidFill>
                </w14:textFill>
              </w:rPr>
              <w:t>任意</w:t>
            </w:r>
            <w:r>
              <w:rPr>
                <w:rFonts w:hint="eastAsia" w:ascii="宋体" w:hAnsi="宋体" w:cs="宋体"/>
                <w:color w:val="000000" w:themeColor="text1"/>
                <w:sz w:val="24"/>
                <w14:textFill>
                  <w14:solidFill>
                    <w14:schemeClr w14:val="tx1"/>
                  </w14:solidFill>
                </w14:textFill>
              </w:rPr>
              <w:t>两点得5分，满足以上任意</w:t>
            </w:r>
            <w:r>
              <w:rPr>
                <w:rFonts w:hint="eastAsia" w:ascii="宋体" w:hAnsi="宋体" w:cs="宋体"/>
                <w:color w:val="000000" w:themeColor="text1"/>
                <w:sz w:val="24"/>
                <w:lang w:val="zh-CN"/>
                <w14:textFill>
                  <w14:solidFill>
                    <w14:schemeClr w14:val="tx1"/>
                  </w14:solidFill>
                </w14:textFill>
              </w:rPr>
              <w:t>一点得</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其他情况</w:t>
            </w:r>
            <w:r>
              <w:rPr>
                <w:rFonts w:hint="eastAsia" w:ascii="宋体" w:hAnsi="宋体" w:cs="宋体"/>
                <w:color w:val="000000" w:themeColor="text1"/>
                <w:sz w:val="24"/>
                <w:lang w:val="zh-CN"/>
                <w14:textFill>
                  <w14:solidFill>
                    <w14:schemeClr w14:val="tx1"/>
                  </w14:solidFill>
                </w14:textFill>
              </w:rPr>
              <w:t xml:space="preserve">不得分。在此基础上，专家根据各供应商的具体响应内容进一步评审： </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优：项目重点难点分析、应对措施及相关的合理化建议具体、内容针对性强、内容科学合理、内容可操作性强；</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良：项目重点难点分析、应对措施及相关的合理化建议较具体、内容针对性较强、内容较科学合理、内容可操作性较强；</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中：项目重点难点分析、应对措施及相关的合理化建议具体性一般、内容针对性一般、内容科学合理性一般、内容可操作性一般；</w:t>
            </w:r>
          </w:p>
          <w:p>
            <w:pPr>
              <w:pStyle w:val="32"/>
              <w:widowControl/>
              <w:spacing w:line="360" w:lineRule="auto"/>
              <w:ind w:firstLine="0" w:firstLineChars="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差：项目重点难点分析、应对措施及相关的合理化建议具体性差、内容针对性差、内容科学合理性差、内容可操作性差。</w:t>
            </w:r>
          </w:p>
          <w:p>
            <w:pPr>
              <w:pStyle w:val="32"/>
              <w:widowControl/>
              <w:spacing w:line="360" w:lineRule="auto"/>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评价为优</w:t>
            </w:r>
            <w:r>
              <w:rPr>
                <w:rFonts w:hint="eastAsia" w:ascii="宋体" w:hAnsi="宋体" w:cs="宋体"/>
                <w:color w:val="000000" w:themeColor="text1"/>
                <w:sz w:val="24"/>
                <w14:textFill>
                  <w14:solidFill>
                    <w14:schemeClr w14:val="tx1"/>
                  </w14:solidFill>
                </w14:textFill>
              </w:rPr>
              <w:t>加7</w:t>
            </w:r>
            <w:r>
              <w:rPr>
                <w:rFonts w:hint="eastAsia" w:ascii="宋体" w:hAnsi="宋体" w:cs="宋体"/>
                <w:color w:val="000000" w:themeColor="text1"/>
                <w:sz w:val="24"/>
                <w:lang w:val="zh-CN"/>
                <w14:textFill>
                  <w14:solidFill>
                    <w14:schemeClr w14:val="tx1"/>
                  </w14:solidFill>
                </w14:textFill>
              </w:rPr>
              <w:t>分；评价为良</w:t>
            </w:r>
            <w:r>
              <w:rPr>
                <w:rFonts w:hint="eastAsia" w:ascii="宋体" w:hAnsi="宋体" w:cs="宋体"/>
                <w:color w:val="000000" w:themeColor="text1"/>
                <w:sz w:val="24"/>
                <w14:textFill>
                  <w14:solidFill>
                    <w14:schemeClr w14:val="tx1"/>
                  </w14:solidFill>
                </w14:textFill>
              </w:rPr>
              <w:t>加4</w:t>
            </w:r>
            <w:r>
              <w:rPr>
                <w:rFonts w:hint="eastAsia" w:ascii="宋体" w:hAnsi="宋体" w:cs="宋体"/>
                <w:color w:val="000000" w:themeColor="text1"/>
                <w:sz w:val="24"/>
                <w:lang w:val="zh-CN"/>
                <w14:textFill>
                  <w14:solidFill>
                    <w14:schemeClr w14:val="tx1"/>
                  </w14:solidFill>
                </w14:textFill>
              </w:rPr>
              <w:t>分；评价为中</w:t>
            </w:r>
            <w:r>
              <w:rPr>
                <w:rFonts w:hint="eastAsia" w:ascii="宋体" w:hAnsi="宋体" w:cs="宋体"/>
                <w:color w:val="000000" w:themeColor="text1"/>
                <w:sz w:val="24"/>
                <w14:textFill>
                  <w14:solidFill>
                    <w14:schemeClr w14:val="tx1"/>
                  </w14:solidFill>
                </w14:textFill>
              </w:rPr>
              <w:t>加2</w:t>
            </w:r>
            <w:r>
              <w:rPr>
                <w:rFonts w:hint="eastAsia" w:ascii="宋体" w:hAnsi="宋体" w:cs="宋体"/>
                <w:color w:val="000000" w:themeColor="text1"/>
                <w:sz w:val="24"/>
                <w:lang w:val="zh-CN"/>
                <w14:textFill>
                  <w14:solidFill>
                    <w14:schemeClr w14:val="tx1"/>
                  </w14:solidFill>
                </w14:textFill>
              </w:rPr>
              <w:t>分；评价为差</w:t>
            </w:r>
            <w:r>
              <w:rPr>
                <w:rFonts w:hint="eastAsia" w:ascii="宋体" w:hAnsi="宋体" w:cs="宋体"/>
                <w:color w:val="000000" w:themeColor="text1"/>
                <w:sz w:val="24"/>
                <w14:textFill>
                  <w14:solidFill>
                    <w14:schemeClr w14:val="tx1"/>
                  </w14:solidFill>
                </w14:textFill>
              </w:rPr>
              <w:t>不加</w:t>
            </w:r>
            <w:r>
              <w:rPr>
                <w:rFonts w:hint="eastAsia" w:ascii="宋体" w:hAnsi="宋体" w:cs="宋体"/>
                <w:color w:val="000000" w:themeColor="text1"/>
                <w:sz w:val="24"/>
                <w:lang w:val="zh-CN"/>
                <w14:textFill>
                  <w14:solidFill>
                    <w14:schemeClr w14:val="tx1"/>
                  </w14:solidFill>
                </w14:textFill>
              </w:rPr>
              <w:t>分。</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5</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168" w:type="dxa"/>
            <w:shd w:val="clear" w:color="auto" w:fill="auto"/>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项目完成（服务期满）后的服务承诺</w:t>
            </w:r>
          </w:p>
        </w:tc>
        <w:tc>
          <w:tcPr>
            <w:tcW w:w="5907" w:type="dxa"/>
            <w:shd w:val="clear" w:color="auto" w:fill="auto"/>
            <w:vAlign w:val="center"/>
          </w:tcPr>
          <w:p>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（一）评分内容</w:t>
            </w:r>
          </w:p>
          <w:p>
            <w:pPr>
              <w:widowControl/>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1.项目完成后服务人员信息与联系方式。</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.项目完成后服务内容与响应时间。</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根据招标文件的需求和投标文件响应情况。</w:t>
            </w:r>
          </w:p>
          <w:p>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（二）评分标准</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满足以上两项得</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分，满足以上任意一项得</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分，未满足不得分，</w:t>
            </w:r>
            <w:r>
              <w:rPr>
                <w:rFonts w:hint="eastAsia" w:ascii="宋体" w:hAnsi="宋体" w:cs="宋体"/>
                <w:color w:val="000000" w:themeColor="text1"/>
                <w:kern w:val="0"/>
                <w:sz w:val="24"/>
                <w14:textFill>
                  <w14:solidFill>
                    <w14:schemeClr w14:val="tx1"/>
                  </w14:solidFill>
                </w14:textFill>
              </w:rPr>
              <w:t>在此基础上，按照下列要求进行加分：</w:t>
            </w:r>
          </w:p>
          <w:p>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优：内容完整详细且符合项目实际，可行性强；</w:t>
            </w:r>
          </w:p>
          <w:p>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良：内容完整，可行性较好；</w:t>
            </w:r>
          </w:p>
          <w:p>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中：内容能符合项目部分要求，较贴近项目实际；</w:t>
            </w:r>
          </w:p>
          <w:p>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差：内容不符合项目实际的。</w:t>
            </w:r>
          </w:p>
          <w:p>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评审为优的加4分；</w:t>
            </w:r>
          </w:p>
          <w:p>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评审为良的加3分；</w:t>
            </w:r>
          </w:p>
          <w:p>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评审为中的加1分；</w:t>
            </w:r>
          </w:p>
          <w:p>
            <w:pPr>
              <w:widowControl/>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评审为差的不加分。</w:t>
            </w:r>
          </w:p>
        </w:tc>
        <w:tc>
          <w:tcPr>
            <w:tcW w:w="901" w:type="dxa"/>
            <w:shd w:val="clear" w:color="auto" w:fill="auto"/>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079" w:type="dxa"/>
            <w:shd w:val="clear" w:color="auto" w:fill="auto"/>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bl>
    <w:p>
      <w:pPr>
        <w:pStyle w:val="2"/>
        <w:rPr>
          <w:color w:val="000000" w:themeColor="text1"/>
          <w:highlight w:val="yellow"/>
          <w:lang w:val="fr-CH"/>
          <w14:textFill>
            <w14:solidFill>
              <w14:schemeClr w14:val="tx1"/>
            </w14:solidFill>
          </w14:textFill>
        </w:rPr>
      </w:pPr>
    </w:p>
    <w:p>
      <w:pPr>
        <w:rPr>
          <w:color w:val="000000" w:themeColor="text1"/>
          <w:highlight w:val="yellow"/>
          <w:lang w:val="fr-CH"/>
          <w14:textFill>
            <w14:solidFill>
              <w14:schemeClr w14:val="tx1"/>
            </w14:solidFill>
          </w14:textFill>
        </w:rPr>
      </w:pPr>
    </w:p>
    <w:p>
      <w:pPr>
        <w:rPr>
          <w:rFonts w:hint="eastAsia" w:ascii="宋体" w:hAnsi="宋体" w:cs="宋体"/>
          <w:b/>
          <w:bCs/>
          <w:color w:val="000000" w:themeColor="text1"/>
          <w:sz w:val="24"/>
          <w14:textFill>
            <w14:solidFill>
              <w14:schemeClr w14:val="tx1"/>
            </w14:solidFill>
          </w14:textFill>
        </w:rPr>
      </w:pPr>
      <w:bookmarkStart w:id="34" w:name="_Toc9548"/>
      <w:bookmarkStart w:id="35" w:name="_Hlk28269117"/>
      <w:r>
        <w:rPr>
          <w:rFonts w:hint="eastAsia" w:ascii="宋体" w:hAnsi="宋体" w:cs="宋体"/>
          <w:b/>
          <w:bCs/>
          <w:color w:val="000000" w:themeColor="text1"/>
          <w:sz w:val="24"/>
          <w14:textFill>
            <w14:solidFill>
              <w14:schemeClr w14:val="tx1"/>
            </w14:solidFill>
          </w14:textFill>
        </w:rPr>
        <w:br w:type="page"/>
      </w:r>
    </w:p>
    <w:p>
      <w:p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第七章 附件（投标文件格式）</w:t>
      </w:r>
      <w:bookmarkEnd w:id="34"/>
    </w:p>
    <w:p>
      <w:pPr>
        <w:keepNext/>
        <w:keepLines/>
        <w:spacing w:before="260" w:after="260" w:line="440" w:lineRule="exact"/>
        <w:jc w:val="center"/>
        <w:outlineLvl w:val="1"/>
        <w:rPr>
          <w:rFonts w:hint="eastAsia" w:ascii="宋体" w:hAnsi="宋体" w:cs="宋体"/>
          <w:b/>
          <w:bCs/>
          <w:color w:val="000000" w:themeColor="text1"/>
          <w:sz w:val="24"/>
          <w14:textFill>
            <w14:solidFill>
              <w14:schemeClr w14:val="tx1"/>
            </w14:solidFill>
          </w14:textFill>
        </w:rPr>
      </w:pPr>
      <w:bookmarkStart w:id="36" w:name="_Toc31827"/>
      <w:bookmarkStart w:id="37" w:name="_Toc19494"/>
      <w:bookmarkStart w:id="38" w:name="_Toc6548"/>
      <w:bookmarkStart w:id="39" w:name="_Toc5116"/>
      <w:r>
        <w:rPr>
          <w:rFonts w:hint="eastAsia" w:ascii="宋体" w:hAnsi="宋体" w:cs="宋体"/>
          <w:b/>
          <w:bCs/>
          <w:color w:val="000000" w:themeColor="text1"/>
          <w:sz w:val="24"/>
          <w14:textFill>
            <w14:solidFill>
              <w14:schemeClr w14:val="tx1"/>
            </w14:solidFill>
          </w14:textFill>
        </w:rPr>
        <w:t>1、投标文件密封袋/封面参考</w:t>
      </w:r>
      <w:bookmarkEnd w:id="36"/>
      <w:bookmarkEnd w:id="37"/>
      <w:bookmarkEnd w:id="38"/>
      <w:bookmarkEnd w:id="39"/>
    </w:p>
    <w:tbl>
      <w:tblPr>
        <w:tblStyle w:val="18"/>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7"/>
              <w:tabs>
                <w:tab w:val="left" w:pos="562"/>
                <w:tab w:val="left" w:pos="3372"/>
                <w:tab w:val="left" w:pos="3653"/>
              </w:tabs>
              <w:spacing w:line="360" w:lineRule="auto"/>
              <w:rPr>
                <w:rFonts w:ascii="仿宋_GB2312" w:eastAsia="仿宋_GB2312"/>
                <w:b/>
                <w:color w:val="000000" w:themeColor="text1"/>
                <w:sz w:val="32"/>
                <w14:textFill>
                  <w14:solidFill>
                    <w14:schemeClr w14:val="tx1"/>
                  </w14:solidFill>
                </w14:textFill>
              </w:rPr>
            </w:pPr>
          </w:p>
          <w:p>
            <w:pPr>
              <w:pStyle w:val="7"/>
              <w:tabs>
                <w:tab w:val="left" w:pos="562"/>
                <w:tab w:val="left" w:pos="3372"/>
                <w:tab w:val="left" w:pos="3653"/>
              </w:tabs>
              <w:spacing w:line="360" w:lineRule="auto"/>
              <w:jc w:val="center"/>
              <w:rPr>
                <w:rFonts w:ascii="黑体" w:eastAsia="黑体"/>
                <w:b/>
                <w:color w:val="000000" w:themeColor="text1"/>
                <w:sz w:val="72"/>
                <w:szCs w:val="72"/>
                <w14:textFill>
                  <w14:solidFill>
                    <w14:schemeClr w14:val="tx1"/>
                  </w14:solidFill>
                </w14:textFill>
              </w:rPr>
            </w:pPr>
          </w:p>
          <w:p>
            <w:pPr>
              <w:pStyle w:val="7"/>
              <w:tabs>
                <w:tab w:val="left" w:pos="562"/>
                <w:tab w:val="left" w:pos="3372"/>
                <w:tab w:val="left" w:pos="3653"/>
              </w:tabs>
              <w:spacing w:line="360" w:lineRule="auto"/>
              <w:jc w:val="center"/>
              <w:rPr>
                <w:rFonts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投 标 文 件</w:t>
            </w:r>
          </w:p>
          <w:p>
            <w:pPr>
              <w:pStyle w:val="7"/>
              <w:tabs>
                <w:tab w:val="left" w:pos="562"/>
                <w:tab w:val="left" w:pos="3372"/>
                <w:tab w:val="left" w:pos="3653"/>
              </w:tabs>
              <w:spacing w:line="360" w:lineRule="auto"/>
              <w:jc w:val="center"/>
              <w:rPr>
                <w:rFonts w:ascii="黑体" w:eastAsia="黑体"/>
                <w:b/>
                <w:strike/>
                <w:color w:val="000000" w:themeColor="text1"/>
                <w:sz w:val="32"/>
                <w14:textFill>
                  <w14:solidFill>
                    <w14:schemeClr w14:val="tx1"/>
                  </w14:solidFill>
                </w14:textFill>
              </w:rPr>
            </w:pP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正本</w:t>
            </w: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副本</w:t>
            </w:r>
          </w:p>
          <w:p>
            <w:pPr>
              <w:pStyle w:val="7"/>
              <w:tabs>
                <w:tab w:val="left" w:pos="562"/>
                <w:tab w:val="left" w:pos="3372"/>
                <w:tab w:val="left" w:pos="3653"/>
              </w:tabs>
              <w:spacing w:line="360" w:lineRule="auto"/>
              <w:rPr>
                <w:rFonts w:ascii="仿宋_GB2312" w:eastAsia="仿宋_GB2312"/>
                <w:b/>
                <w:color w:val="000000" w:themeColor="text1"/>
                <w:sz w:val="32"/>
                <w14:textFill>
                  <w14:solidFill>
                    <w14:schemeClr w14:val="tx1"/>
                  </w14:solidFill>
                </w14:textFill>
              </w:rPr>
            </w:pPr>
          </w:p>
          <w:p>
            <w:pPr>
              <w:rPr>
                <w:color w:val="000000" w:themeColor="text1"/>
                <w14:textFill>
                  <w14:solidFill>
                    <w14:schemeClr w14:val="tx1"/>
                  </w14:solidFill>
                </w14:textFill>
              </w:rPr>
            </w:pPr>
          </w:p>
          <w:p>
            <w:pPr>
              <w:pStyle w:val="7"/>
              <w:tabs>
                <w:tab w:val="left" w:pos="562"/>
                <w:tab w:val="left" w:pos="3372"/>
                <w:tab w:val="left" w:pos="3653"/>
              </w:tabs>
              <w:spacing w:line="400" w:lineRule="exact"/>
              <w:ind w:firstLine="900" w:firstLineChars="320"/>
              <w:rPr>
                <w:rFonts w:ascii="仿宋_GB2312" w:eastAsia="仿宋_GB2312"/>
                <w:b/>
                <w:color w:val="000000" w:themeColor="text1"/>
                <w:sz w:val="28"/>
                <w:szCs w:val="28"/>
                <w14:textFill>
                  <w14:solidFill>
                    <w14:schemeClr w14:val="tx1"/>
                  </w14:solidFill>
                </w14:textFill>
              </w:rPr>
            </w:pPr>
          </w:p>
          <w:p>
            <w:pPr>
              <w:pStyle w:val="7"/>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项目编号：</w:t>
            </w:r>
            <w:r>
              <w:rPr>
                <w:rFonts w:hint="eastAsia" w:ascii="宋体" w:hAnsi="宋体" w:cs="Arial"/>
                <w:b/>
                <w:bCs/>
                <w:color w:val="000000" w:themeColor="text1"/>
                <w:sz w:val="28"/>
                <w:szCs w:val="28"/>
                <w:u w:val="single"/>
                <w14:textFill>
                  <w14:solidFill>
                    <w14:schemeClr w14:val="tx1"/>
                  </w14:solidFill>
                </w14:textFill>
              </w:rPr>
              <w:t xml:space="preserve">                                   </w:t>
            </w:r>
          </w:p>
          <w:p>
            <w:pPr>
              <w:pStyle w:val="7"/>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项目名称：</w:t>
            </w:r>
            <w:r>
              <w:rPr>
                <w:rFonts w:hint="eastAsia" w:ascii="宋体" w:hAnsi="宋体" w:cs="Arial"/>
                <w:b/>
                <w:bCs/>
                <w:color w:val="000000" w:themeColor="text1"/>
                <w:sz w:val="28"/>
                <w:szCs w:val="28"/>
                <w:u w:val="single"/>
                <w14:textFill>
                  <w14:solidFill>
                    <w14:schemeClr w14:val="tx1"/>
                  </w14:solidFill>
                </w14:textFill>
              </w:rPr>
              <w:t xml:space="preserve">                                   </w:t>
            </w:r>
          </w:p>
          <w:p>
            <w:pPr>
              <w:pStyle w:val="7"/>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投标人名称：</w:t>
            </w:r>
            <w:r>
              <w:rPr>
                <w:rFonts w:hint="eastAsia" w:ascii="宋体" w:hAnsi="宋体" w:cs="Arial"/>
                <w:b/>
                <w:bCs/>
                <w:color w:val="000000" w:themeColor="text1"/>
                <w:sz w:val="28"/>
                <w:szCs w:val="28"/>
                <w:u w:val="single"/>
                <w14:textFill>
                  <w14:solidFill>
                    <w14:schemeClr w14:val="tx1"/>
                  </w14:solidFill>
                </w14:textFill>
              </w:rPr>
              <w:t xml:space="preserve">                     （加盖公章）</w:t>
            </w:r>
          </w:p>
          <w:p>
            <w:pPr>
              <w:pStyle w:val="7"/>
              <w:tabs>
                <w:tab w:val="left" w:pos="562"/>
                <w:tab w:val="left" w:pos="3372"/>
                <w:tab w:val="left" w:pos="3653"/>
              </w:tabs>
              <w:spacing w:line="400" w:lineRule="exact"/>
              <w:ind w:firstLine="900" w:firstLineChars="320"/>
              <w:rPr>
                <w:rFonts w:hint="eastAsia" w:ascii="宋体" w:hAnsi="宋体" w:cs="Arial"/>
                <w:b/>
                <w:bCs/>
                <w:color w:val="000000" w:themeColor="text1"/>
                <w:sz w:val="28"/>
                <w:szCs w:val="28"/>
                <w:u w:val="single"/>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投标人地址：</w:t>
            </w:r>
            <w:r>
              <w:rPr>
                <w:rFonts w:hint="eastAsia" w:ascii="宋体" w:hAnsi="宋体" w:cs="Arial"/>
                <w:b/>
                <w:bCs/>
                <w:color w:val="000000" w:themeColor="text1"/>
                <w:sz w:val="28"/>
                <w:szCs w:val="28"/>
                <w:u w:val="single"/>
                <w14:textFill>
                  <w14:solidFill>
                    <w14:schemeClr w14:val="tx1"/>
                  </w14:solidFill>
                </w14:textFill>
              </w:rPr>
              <w:t xml:space="preserve">                                 </w:t>
            </w:r>
          </w:p>
          <w:p>
            <w:pPr>
              <w:pStyle w:val="7"/>
              <w:tabs>
                <w:tab w:val="left" w:pos="562"/>
                <w:tab w:val="left" w:pos="3372"/>
                <w:tab w:val="left" w:pos="3653"/>
              </w:tabs>
              <w:spacing w:line="400" w:lineRule="exact"/>
              <w:ind w:firstLine="900" w:firstLineChars="320"/>
              <w:rPr>
                <w:rFonts w:hint="eastAsia" w:ascii="宋体" w:hAnsi="宋体" w:cs="Arial"/>
                <w:b/>
                <w:bCs/>
                <w:color w:val="000000" w:themeColor="text1"/>
                <w:sz w:val="28"/>
                <w:szCs w:val="28"/>
                <w:u w:val="single"/>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法定代表人/被授权人：</w:t>
            </w:r>
            <w:r>
              <w:rPr>
                <w:rFonts w:hint="eastAsia" w:ascii="宋体" w:hAnsi="宋体" w:cs="Arial"/>
                <w:b/>
                <w:bCs/>
                <w:color w:val="000000" w:themeColor="text1"/>
                <w:sz w:val="28"/>
                <w:szCs w:val="28"/>
                <w:u w:val="single"/>
                <w14:textFill>
                  <w14:solidFill>
                    <w14:schemeClr w14:val="tx1"/>
                  </w14:solidFill>
                </w14:textFill>
              </w:rPr>
              <w:t xml:space="preserve">                        </w:t>
            </w:r>
          </w:p>
          <w:p>
            <w:pPr>
              <w:pStyle w:val="7"/>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联系电话：</w:t>
            </w:r>
            <w:r>
              <w:rPr>
                <w:rFonts w:hint="eastAsia" w:ascii="宋体" w:hAnsi="宋体" w:cs="Arial"/>
                <w:b/>
                <w:bCs/>
                <w:color w:val="000000" w:themeColor="text1"/>
                <w:sz w:val="28"/>
                <w:szCs w:val="28"/>
                <w:u w:val="single"/>
                <w14:textFill>
                  <w14:solidFill>
                    <w14:schemeClr w14:val="tx1"/>
                  </w14:solidFill>
                </w14:textFill>
              </w:rPr>
              <w:t xml:space="preserve">                                   </w:t>
            </w: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ascii="仿宋_GB2312" w:eastAsia="仿宋_GB2312"/>
                <w:b/>
                <w:color w:val="000000" w:themeColor="text1"/>
                <w:sz w:val="32"/>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【年月日时分之前不得启封。】</w:t>
            </w:r>
          </w:p>
        </w:tc>
      </w:tr>
    </w:tbl>
    <w:p>
      <w:pPr>
        <w:spacing w:line="360" w:lineRule="auto"/>
        <w:jc w:val="center"/>
        <w:rPr>
          <w:rFonts w:hint="eastAsia" w:ascii="宋体" w:hAnsi="宋体" w:cs="宋体"/>
          <w:b/>
          <w:bCs/>
          <w:color w:val="000000" w:themeColor="text1"/>
          <w:sz w:val="24"/>
          <w14:textFill>
            <w14:solidFill>
              <w14:schemeClr w14:val="tx1"/>
            </w14:solidFill>
          </w14:textFill>
        </w:rPr>
      </w:pPr>
    </w:p>
    <w:p>
      <w:pPr>
        <w:spacing w:before="100" w:beforeAutospacing="1" w:after="100" w:afterAutospacing="1"/>
        <w:jc w:val="center"/>
        <w:outlineLvl w:val="1"/>
        <w:rPr>
          <w:rFonts w:hint="eastAsia" w:ascii="宋体" w:hAnsi="宋体" w:cs="宋体"/>
          <w:b/>
          <w:color w:val="000000" w:themeColor="text1"/>
          <w:sz w:val="24"/>
          <w14:textFill>
            <w14:solidFill>
              <w14:schemeClr w14:val="tx1"/>
            </w14:solidFill>
          </w14:textFill>
        </w:rPr>
      </w:pPr>
      <w:bookmarkStart w:id="40" w:name="_Toc16724"/>
      <w:r>
        <w:rPr>
          <w:rFonts w:hint="eastAsia" w:ascii="宋体" w:hAnsi="宋体" w:cs="宋体"/>
          <w:b/>
          <w:color w:val="000000" w:themeColor="text1"/>
          <w:sz w:val="24"/>
          <w14:textFill>
            <w14:solidFill>
              <w14:schemeClr w14:val="tx1"/>
            </w14:solidFill>
          </w14:textFill>
        </w:rPr>
        <w:t>2、投标文件—目录</w:t>
      </w:r>
      <w:bookmarkEnd w:id="40"/>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8"/>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numPr>
          <w:ilvl w:val="0"/>
          <w:numId w:val="8"/>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分类报价明细表；</w:t>
      </w:r>
    </w:p>
    <w:p>
      <w:pPr>
        <w:spacing w:line="360" w:lineRule="auto"/>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（二）商务部分</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关于资格的声明函；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法人代表证明书及身份证明；</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法定代表人授权书及身份证明；</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投标人简介；</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同类项目业绩情况；</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研究服务团队成员情况；</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服务响应时间；</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诚信声明与承诺；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政府采购违法行为风险知悉确认书；</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参与价格扣除的证明文件；</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供应商基本情况表、社保证明及股权关系证明；</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（三）技术部分</w:t>
      </w:r>
    </w:p>
    <w:p>
      <w:pPr>
        <w:numPr>
          <w:ilvl w:val="0"/>
          <w:numId w:val="10"/>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项目实施方案；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质量保障措施及方案；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项目重难点分析及相关的合理化建议；</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项目完成（服务期满）后的服务承诺；</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投标人认为有必要提供的其他材料。</w:t>
      </w:r>
    </w:p>
    <w:p>
      <w:pPr>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11"/>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tbl>
      <w:tblPr>
        <w:tblStyle w:val="18"/>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2896" w:type="dxa"/>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投标价</w:t>
            </w:r>
          </w:p>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w:t>
            </w:r>
          </w:p>
        </w:tc>
        <w:tc>
          <w:tcPr>
            <w:tcW w:w="1318" w:type="dxa"/>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2896" w:type="dxa"/>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1318" w:type="dxa"/>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7"/>
        <w:rPr>
          <w:color w:val="000000" w:themeColor="text1"/>
          <w14:textFill>
            <w14:solidFill>
              <w14:schemeClr w14:val="tx1"/>
            </w14:solidFill>
          </w14:textFill>
        </w:rPr>
      </w:pPr>
    </w:p>
    <w:p>
      <w:pPr>
        <w:numPr>
          <w:ilvl w:val="0"/>
          <w:numId w:val="11"/>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分项报价清单；</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分项报价清单</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p>
    <w:tbl>
      <w:tblPr>
        <w:tblStyle w:val="1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序号</w:t>
            </w:r>
          </w:p>
        </w:tc>
        <w:tc>
          <w:tcPr>
            <w:tcW w:w="2212"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项目名称、内容</w:t>
            </w:r>
          </w:p>
        </w:tc>
        <w:tc>
          <w:tcPr>
            <w:tcW w:w="7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单位</w:t>
            </w:r>
          </w:p>
        </w:tc>
        <w:tc>
          <w:tcPr>
            <w:tcW w:w="180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数量（工作量）</w:t>
            </w: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单价</w:t>
            </w: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p>
        </w:tc>
        <w:tc>
          <w:tcPr>
            <w:tcW w:w="2212"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w:t>
            </w:r>
          </w:p>
        </w:tc>
        <w:tc>
          <w:tcPr>
            <w:tcW w:w="221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tc>
        <w:tc>
          <w:tcPr>
            <w:tcW w:w="2212"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tc>
        <w:tc>
          <w:tcPr>
            <w:tcW w:w="7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80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c>
          <w:tcPr>
            <w:tcW w:w="1620" w:type="dxa"/>
            <w:vAlign w:val="center"/>
          </w:tcPr>
          <w:p>
            <w:pPr>
              <w:pStyle w:val="9"/>
              <w:spacing w:line="360" w:lineRule="auto"/>
              <w:jc w:val="center"/>
              <w:rPr>
                <w:rFonts w:hint="eastAsia"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9"/>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报价合计</w:t>
            </w: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 ________________________</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outlineLvl w:val="2"/>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（二）商务部分</w:t>
      </w: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投标响应书</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94" w:firstLineChars="20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根据贵方为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项目采购的邀请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（招标文件编号         ），签字代表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（全名、职务）经正式授权并代表供应商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（供应商方名称、地址）提交</w:t>
      </w:r>
      <w:r>
        <w:rPr>
          <w:rFonts w:hint="eastAsia" w:ascii="宋体" w:hAnsi="宋体" w:cs="宋体"/>
          <w:b/>
          <w:color w:val="000000" w:themeColor="text1"/>
          <w:sz w:val="24"/>
          <w14:textFill>
            <w14:solidFill>
              <w14:schemeClr w14:val="tx1"/>
            </w14:solidFill>
          </w14:textFill>
        </w:rPr>
        <w:t>一份正本四份副本以及1份电子文档的</w:t>
      </w:r>
      <w:r>
        <w:rPr>
          <w:rFonts w:hint="eastAsia" w:ascii="宋体" w:hAnsi="宋体" w:cs="宋体"/>
          <w:color w:val="000000" w:themeColor="text1"/>
          <w:sz w:val="24"/>
          <w14:textFill>
            <w14:solidFill>
              <w14:schemeClr w14:val="tx1"/>
            </w14:solidFill>
          </w14:textFill>
        </w:rPr>
        <w:t>投标文件。</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据此函，签字代表宣布同意如下：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1、供应商方将按招标文件的规定履行合同责任和义务。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3、与本投标项目有关的一切正式往来通讯请寄：</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邮编：</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邮箱：</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投标供应商授权代表、职务（印刷体）：</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（公  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pStyle w:val="7"/>
        <w:rPr>
          <w:color w:val="000000" w:themeColor="text1"/>
          <w14:textFill>
            <w14:solidFill>
              <w14:schemeClr w14:val="tx1"/>
            </w14:solidFill>
          </w14:textFill>
        </w:rPr>
      </w:pP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000000" w:themeColor="text1"/>
          <w:sz w:val="24"/>
          <w:lang w:val="fr-CH"/>
          <w14:textFill>
            <w14:solidFill>
              <w14:schemeClr w14:val="tx1"/>
            </w14:solidFill>
          </w14:textFill>
        </w:rPr>
        <w:br w:type="page"/>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spacing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政府采购投标及履约承诺函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我单位深知本项目对贵局的重要性和紧迫性，亦了解贵局对廉政建设的相关要求，因此我单位承诺如下：</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我单位本招标项目所提供的货物或服务未侵犯知识产权。</w:t>
      </w:r>
    </w:p>
    <w:p>
      <w:pPr>
        <w:widowControl/>
        <w:numPr>
          <w:ilvl w:val="0"/>
          <w:numId w:val="13"/>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及其法定代表人近三年内（投标人成立不足三年的可从成立之日起算）无行贿犯罪记录；</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我单位具备《中华人民共和国政府采购法》第二十二条第一款的条件。</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符合财政部和深圳市财政局关于诚信管理的要求，</w:t>
      </w:r>
      <w:r>
        <w:rPr>
          <w:rFonts w:hint="eastAsia" w:ascii="宋体" w:hAnsi="宋体" w:cs="宋体"/>
          <w:color w:val="000000" w:themeColor="text1"/>
          <w:kern w:val="0"/>
          <w:sz w:val="24"/>
          <w14:textFill>
            <w14:solidFill>
              <w14:schemeClr w14:val="tx1"/>
            </w14:solidFill>
          </w14:textFill>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color w:val="000000" w:themeColor="text1"/>
          <w:sz w:val="24"/>
          <w14:textFill>
            <w14:solidFill>
              <w14:schemeClr w14:val="tx1"/>
            </w14:solidFill>
          </w14:textFill>
        </w:rPr>
        <w:t>。</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以上承诺，如有违反，愿依照国家相关法律处理，并承担由此给采购人带来的损失。</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hAnsi="宋体" w:cs="宋体"/>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关于资格的声明函；</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关于资格的声明函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566" w:firstLineChars="23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 投标人名称）    </w:t>
      </w:r>
      <w:r>
        <w:rPr>
          <w:rFonts w:hint="eastAsia" w:ascii="宋体" w:hAnsi="宋体" w:cs="宋体"/>
          <w:color w:val="000000" w:themeColor="text1"/>
          <w:sz w:val="24"/>
          <w14:textFill>
            <w14:solidFill>
              <w14:schemeClr w14:val="tx1"/>
            </w14:solidFill>
          </w14:textFill>
        </w:rPr>
        <w:t xml:space="preserve"> 参与了</w:t>
      </w:r>
      <w:r>
        <w:rPr>
          <w:rFonts w:hint="eastAsia" w:ascii="宋体" w:hAnsi="宋体" w:cs="宋体"/>
          <w:color w:val="000000" w:themeColor="text1"/>
          <w:sz w:val="24"/>
          <w:u w:val="single"/>
          <w14:textFill>
            <w14:solidFill>
              <w14:schemeClr w14:val="tx1"/>
            </w14:solidFill>
          </w14:textFill>
        </w:rPr>
        <w:t xml:space="preserve"> （项目名称 、招标编号） </w:t>
      </w:r>
      <w:r>
        <w:rPr>
          <w:rFonts w:hint="eastAsia" w:ascii="宋体" w:hAnsi="宋体" w:cs="宋体"/>
          <w:color w:val="000000" w:themeColor="text1"/>
          <w:sz w:val="24"/>
          <w14:textFill>
            <w14:solidFill>
              <w14:schemeClr w14:val="tx1"/>
            </w14:solidFill>
          </w14:textFill>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ind w:left="42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法定代表人证明书及身份证明；</w:t>
      </w:r>
    </w:p>
    <w:p>
      <w:pPr>
        <w:spacing w:before="120" w:after="120" w:line="360" w:lineRule="auto"/>
        <w:jc w:val="center"/>
        <w:rPr>
          <w:rFonts w:hint="eastAsia" w:ascii="宋体" w:hAnsi="宋体" w:cs="宋体"/>
          <w:b/>
          <w:color w:val="000000" w:themeColor="text1"/>
          <w:sz w:val="24"/>
          <w14:textFill>
            <w14:solidFill>
              <w14:schemeClr w14:val="tx1"/>
            </w14:solidFill>
          </w14:textFill>
        </w:rPr>
      </w:pPr>
    </w:p>
    <w:p>
      <w:pPr>
        <w:spacing w:before="120" w:after="120" w:line="360" w:lineRule="auto"/>
        <w:jc w:val="center"/>
        <w:rPr>
          <w:rFonts w:hint="eastAsia"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法定代表人证明书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同志，现任我单位职务，为法定代表人，特此证明。</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签发日期：             有效日期：         单位：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附：代表人性别：   年龄：      身份证号码：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营业执照号码：                 经济性质：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进口物品经营许可证号码：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说明：1、法定代表人为企业事业单位、国家机关、社会团体的主要行政负责人。</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2、内容必须填写真实、清楚，涂改无效，不得转让、买卖</w:t>
      </w:r>
      <w:r>
        <w:rPr>
          <w:rFonts w:hint="eastAsia" w:ascii="宋体" w:hAnsi="宋体" w:cs="宋体"/>
          <w:color w:val="000000" w:themeColor="text1"/>
          <w:sz w:val="24"/>
          <w:lang w:eastAsia="zh-CN"/>
          <w14:textFill>
            <w14:solidFill>
              <w14:schemeClr w14:val="tx1"/>
            </w14:solidFill>
          </w14:textFill>
        </w:rPr>
        <w:t>。</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spacing w:before="120" w:after="120"/>
        <w:jc w:val="left"/>
        <w:rPr>
          <w:rFonts w:hint="eastAsia" w:ascii="宋体" w:hAnsi="宋体" w:cs="宋体"/>
          <w:color w:val="000000" w:themeColor="text1"/>
          <w:szCs w:val="21"/>
          <w14:textFill>
            <w14:solidFill>
              <w14:schemeClr w14:val="tx1"/>
            </w14:solidFill>
          </w14:textFill>
        </w:rPr>
      </w:pPr>
    </w:p>
    <w:p>
      <w:pPr>
        <w:spacing w:before="120" w:after="120"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9"/>
              <w:spacing w:line="360" w:lineRule="auto"/>
              <w:rPr>
                <w:rFonts w:ascii="Arial Narrow" w:hAnsi="Arial Narrow"/>
                <w:b/>
                <w:bCs/>
                <w:color w:val="000000" w:themeColor="text1"/>
                <w:szCs w:val="21"/>
                <w14:textFill>
                  <w14:solidFill>
                    <w14:schemeClr w14:val="tx1"/>
                  </w14:solidFill>
                </w14:textFill>
              </w:rPr>
            </w:pPr>
          </w:p>
        </w:tc>
        <w:tc>
          <w:tcPr>
            <w:tcW w:w="4240" w:type="dxa"/>
          </w:tcPr>
          <w:p>
            <w:pPr>
              <w:pStyle w:val="9"/>
              <w:spacing w:line="360" w:lineRule="auto"/>
              <w:rPr>
                <w:rFonts w:ascii="Arial Narrow" w:hAnsi="Arial Narrow"/>
                <w:b/>
                <w:bCs/>
                <w:color w:val="000000" w:themeColor="text1"/>
                <w:szCs w:val="21"/>
                <w14:textFill>
                  <w14:solidFill>
                    <w14:schemeClr w14:val="tx1"/>
                  </w14:solidFill>
                </w14:textFill>
              </w:rPr>
            </w:pPr>
          </w:p>
        </w:tc>
      </w:tr>
    </w:tbl>
    <w:p>
      <w:pPr>
        <w:tabs>
          <w:tab w:val="left" w:pos="640"/>
          <w:tab w:val="left" w:pos="1260"/>
          <w:tab w:val="left" w:pos="1418"/>
        </w:tabs>
        <w:spacing w:line="360" w:lineRule="auto"/>
        <w:rPr>
          <w:color w:val="000000" w:themeColor="text1"/>
          <w:szCs w:val="21"/>
          <w:lang w:val="fr-CH"/>
          <w14:textFill>
            <w14:solidFill>
              <w14:schemeClr w14:val="tx1"/>
            </w14:solidFill>
          </w14:textFill>
        </w:rPr>
      </w:pPr>
      <w:r>
        <w:rPr>
          <w:rFonts w:hint="eastAsia"/>
          <w:color w:val="000000" w:themeColor="text1"/>
          <w:szCs w:val="21"/>
          <w14:textFill>
            <w14:solidFill>
              <w14:schemeClr w14:val="tx1"/>
            </w14:solidFill>
          </w14:textFill>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法定代表人授权书及身份证明；</w:t>
      </w:r>
    </w:p>
    <w:p>
      <w:pPr>
        <w:pStyle w:val="9"/>
        <w:spacing w:line="360" w:lineRule="auto"/>
        <w:jc w:val="center"/>
        <w:rPr>
          <w:rFonts w:hint="eastAsia" w:hAnsi="宋体" w:cs="宋体"/>
          <w:b/>
          <w:color w:val="000000" w:themeColor="text1"/>
          <w:sz w:val="24"/>
          <w14:textFill>
            <w14:solidFill>
              <w14:schemeClr w14:val="tx1"/>
            </w14:solidFill>
          </w14:textFill>
        </w:rPr>
      </w:pPr>
    </w:p>
    <w:p>
      <w:pPr>
        <w:pStyle w:val="9"/>
        <w:spacing w:line="360" w:lineRule="auto"/>
        <w:jc w:val="center"/>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法定代表人授权书</w:t>
      </w:r>
    </w:p>
    <w:p>
      <w:pPr>
        <w:pStyle w:val="9"/>
        <w:spacing w:line="360" w:lineRule="auto"/>
        <w:rPr>
          <w:rFonts w:hint="eastAsia" w:hAnsi="宋体" w:cs="宋体"/>
          <w:color w:val="000000" w:themeColor="text1"/>
          <w:sz w:val="24"/>
          <w14:textFill>
            <w14:solidFill>
              <w14:schemeClr w14:val="tx1"/>
            </w14:solidFill>
          </w14:textFill>
        </w:rPr>
      </w:pPr>
    </w:p>
    <w:p>
      <w:pPr>
        <w:pStyle w:val="9"/>
        <w:spacing w:line="360" w:lineRule="auto"/>
        <w:rPr>
          <w:rFonts w:hint="eastAsia"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深圳市前海深港现代服务业合作区管理局：</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本授权书声明：注册于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（国家或地区）的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（投标人名称）的在下面签字的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（法定代表人姓名、职务）代表本公司授权在下面签字的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（被授权人的姓名、职务）为本公司的合法代表人，就</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[招标编号为：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]的投标和合同执行，以我方的名义处理一切与之有关的事宜。</w:t>
      </w:r>
    </w:p>
    <w:p>
      <w:pPr>
        <w:pStyle w:val="9"/>
        <w:spacing w:line="360" w:lineRule="auto"/>
        <w:rPr>
          <w:rFonts w:hint="eastAsia" w:hAnsi="宋体" w:cs="宋体"/>
          <w:color w:val="000000" w:themeColor="text1"/>
          <w:sz w:val="24"/>
          <w14:textFill>
            <w14:solidFill>
              <w14:schemeClr w14:val="tx1"/>
            </w14:solidFill>
          </w14:textFill>
        </w:rPr>
      </w:pPr>
    </w:p>
    <w:p>
      <w:pPr>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日签字生效，特此声明。</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被授权人代表（签字或签章）：</w:t>
      </w: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9"/>
              <w:spacing w:line="360" w:lineRule="auto"/>
              <w:rPr>
                <w:rFonts w:ascii="Arial Narrow" w:hAnsi="Arial Narrow"/>
                <w:b/>
                <w:bCs/>
                <w:color w:val="000000" w:themeColor="text1"/>
                <w:szCs w:val="21"/>
                <w14:textFill>
                  <w14:solidFill>
                    <w14:schemeClr w14:val="tx1"/>
                  </w14:solidFill>
                </w14:textFill>
              </w:rPr>
            </w:pPr>
          </w:p>
        </w:tc>
        <w:tc>
          <w:tcPr>
            <w:tcW w:w="4677" w:type="dxa"/>
          </w:tcPr>
          <w:p>
            <w:pPr>
              <w:pStyle w:val="9"/>
              <w:spacing w:line="360" w:lineRule="auto"/>
              <w:rPr>
                <w:rFonts w:ascii="Arial Narrow" w:hAnsi="Arial Narrow"/>
                <w:b/>
                <w:bCs/>
                <w:color w:val="000000" w:themeColor="text1"/>
                <w:szCs w:val="21"/>
                <w14:textFill>
                  <w14:solidFill>
                    <w14:schemeClr w14:val="tx1"/>
                  </w14:solidFill>
                </w14:textFill>
              </w:rPr>
            </w:pPr>
          </w:p>
        </w:tc>
      </w:tr>
    </w:tbl>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r>
        <w:rPr>
          <w:rFonts w:hint="eastAsia"/>
          <w:color w:val="000000" w:themeColor="text1"/>
          <w:szCs w:val="21"/>
          <w14:textFill>
            <w14:solidFill>
              <w14:schemeClr w14:val="tx1"/>
            </w14:solidFill>
          </w14:textFill>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color w:val="000000" w:themeColor="text1"/>
          <w:sz w:val="24"/>
          <w:lang w:val="fr-CH"/>
          <w14:textFill>
            <w14:solidFill>
              <w14:schemeClr w14:val="tx1"/>
            </w14:solidFill>
          </w14:textFill>
        </w:rPr>
        <w:br w:type="page"/>
      </w:r>
    </w:p>
    <w:p>
      <w:pPr>
        <w:numPr>
          <w:ilvl w:val="0"/>
          <w:numId w:val="12"/>
        </w:numPr>
        <w:tabs>
          <w:tab w:val="left" w:pos="640"/>
          <w:tab w:val="left" w:pos="1260"/>
          <w:tab w:val="left" w:pos="1418"/>
        </w:tabs>
        <w:spacing w:line="360" w:lineRule="auto"/>
        <w:ind w:left="64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致：中国远东国际招标有限公司</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我们在贵司代理的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color w:val="000000" w:themeColor="text1"/>
          <w:sz w:val="24"/>
          <w:u w:val="single"/>
          <w14:textFill>
            <w14:solidFill>
              <w14:schemeClr w14:val="tx1"/>
            </w14:solidFill>
          </w14:textFill>
        </w:rPr>
        <w:t>招标文件中的规定</w:t>
      </w:r>
      <w:r>
        <w:rPr>
          <w:rFonts w:hint="eastAsia" w:ascii="宋体" w:hAnsi="宋体" w:cs="宋体"/>
          <w:color w:val="000000" w:themeColor="text1"/>
          <w:sz w:val="24"/>
          <w14:textFill>
            <w14:solidFill>
              <w14:schemeClr w14:val="tx1"/>
            </w14:solidFill>
          </w14:textFill>
        </w:rPr>
        <w:t>计算。</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投标供应商地址：</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电话：         </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7"/>
        <w:rPr>
          <w:color w:val="000000" w:themeColor="text1"/>
          <w:lang w:val="fr-CH"/>
          <w14:textFill>
            <w14:solidFill>
              <w14:schemeClr w14:val="tx1"/>
            </w14:solidFill>
          </w14:textFill>
        </w:rPr>
      </w:pPr>
    </w:p>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fr-CH"/>
          <w14:textFill>
            <w14:solidFill>
              <w14:schemeClr w14:val="tx1"/>
            </w14:solidFill>
          </w14:textFill>
        </w:rPr>
        <w:t>简介；</w:t>
      </w:r>
    </w:p>
    <w:p>
      <w:pPr>
        <w:pStyle w:val="9"/>
        <w:spacing w:line="360" w:lineRule="auto"/>
        <w:jc w:val="center"/>
        <w:rPr>
          <w:rFonts w:hint="eastAsia"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供应商基本情况一览表</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1．名称及概况：</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（1）供应商名称：_______________________________________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（2）地址：______________________________________________</w:t>
      </w:r>
    </w:p>
    <w:p>
      <w:pPr>
        <w:pStyle w:val="9"/>
        <w:spacing w:line="360" w:lineRule="auto"/>
        <w:ind w:firstLine="660" w:firstLineChars="2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邮政编码：___________________________________________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电话号码：___________________________________________ </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传真号码：___________________________________________ </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（3）成立和／或注册日期：_________________________________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（4）法人代表：___________________________________________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（5）开户银行：___________________________________________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（6）开户账号：___________________________________________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（7）注册资金：___________________________________________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（8）近两年财务基本情况</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①货币资金期末数：_____________________________________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③年营业总额（值）：___________________________________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③资产负债率：_________________________________________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④销售利润率：_________________________________________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⑤资本收益率：_________________________________________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（9）项目主要联系人（姓名、职务、通讯）：</w:t>
      </w:r>
    </w:p>
    <w:p>
      <w:pPr>
        <w:pStyle w:val="9"/>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_____________________________________________________________________</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（10）公司概况；</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（11）公司组织机构；</w:t>
      </w:r>
    </w:p>
    <w:p>
      <w:pPr>
        <w:pStyle w:val="9"/>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7"/>
        <w:rPr>
          <w:color w:val="000000" w:themeColor="text1"/>
          <w:lang w:val="fr-CH"/>
          <w14:textFill>
            <w14:solidFill>
              <w14:schemeClr w14:val="tx1"/>
            </w14:solidFill>
          </w14:textFill>
        </w:rPr>
      </w:pPr>
    </w:p>
    <w:p>
      <w:pPr>
        <w:tabs>
          <w:tab w:val="left" w:pos="640"/>
        </w:tabs>
        <w:spacing w:line="360" w:lineRule="auto"/>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p>
    <w:p>
      <w:pPr>
        <w:numPr>
          <w:ilvl w:val="0"/>
          <w:numId w:val="12"/>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同类项目业绩情况；</w:t>
      </w:r>
    </w:p>
    <w:p>
      <w:pPr>
        <w:numPr>
          <w:ilvl w:val="0"/>
          <w:numId w:val="12"/>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研究服务团队成员情况；</w:t>
      </w:r>
    </w:p>
    <w:p>
      <w:pPr>
        <w:numPr>
          <w:ilvl w:val="0"/>
          <w:numId w:val="12"/>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服务响应时间；</w:t>
      </w:r>
    </w:p>
    <w:p>
      <w:pPr>
        <w:tabs>
          <w:tab w:val="left" w:pos="640"/>
          <w:tab w:val="left" w:pos="1260"/>
          <w:tab w:val="left" w:pos="1418"/>
        </w:tabs>
        <w:jc w:val="center"/>
        <w:rPr>
          <w:rFonts w:hint="eastAsia" w:ascii="宋体" w:hAnsi="宋体" w:cs="宋体"/>
          <w:b/>
          <w:bCs/>
          <w:color w:val="000000" w:themeColor="text1"/>
          <w:szCs w:val="21"/>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b/>
          <w:bCs/>
          <w:color w:val="000000" w:themeColor="text1"/>
          <w:sz w:val="24"/>
          <w:lang w:val="fr-CH"/>
          <w14:textFill>
            <w14:solidFill>
              <w14:schemeClr w14:val="tx1"/>
            </w14:solidFill>
          </w14:textFill>
        </w:rPr>
        <w:t>诚信</w:t>
      </w:r>
      <w:r>
        <w:rPr>
          <w:rFonts w:hint="eastAsia" w:ascii="宋体" w:hAnsi="宋体" w:cs="宋体"/>
          <w:b/>
          <w:bCs/>
          <w:color w:val="000000" w:themeColor="text1"/>
          <w:sz w:val="24"/>
          <w14:textFill>
            <w14:solidFill>
              <w14:schemeClr w14:val="tx1"/>
            </w14:solidFill>
          </w14:textFill>
        </w:rPr>
        <w:t>声明与承诺</w:t>
      </w:r>
      <w:r>
        <w:rPr>
          <w:rFonts w:hint="eastAsia" w:ascii="宋体" w:hAnsi="宋体" w:cs="宋体"/>
          <w:b/>
          <w:bCs/>
          <w:color w:val="000000" w:themeColor="text1"/>
          <w:sz w:val="24"/>
          <w:lang w:val="fr-CH"/>
          <w14:textFill>
            <w14:solidFill>
              <w14:schemeClr w14:val="tx1"/>
            </w14:solidFill>
          </w14:textFill>
        </w:rPr>
        <w:t>；</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诚信声明与承诺</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中国远东国际招标有限公司：</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我公司（单位）参与贵代理机构组织的项目（项目编号：）投标，现就诚信作如下声明与承诺：</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我司对上述内容的真实性负责。如有虚假，将依法承担相应责任。</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特此声明与承诺！</w:t>
      </w:r>
    </w:p>
    <w:p>
      <w:pPr>
        <w:spacing w:line="360" w:lineRule="auto"/>
        <w:jc w:val="left"/>
        <w:rPr>
          <w:rFonts w:hint="eastAsia" w:ascii="宋体" w:hAnsi="宋体" w:cs="宋体"/>
          <w:color w:val="000000" w:themeColor="text1"/>
          <w:sz w:val="24"/>
          <w14:textFill>
            <w14:solidFill>
              <w14:schemeClr w14:val="tx1"/>
            </w14:solidFill>
          </w14:textFill>
        </w:rPr>
      </w:pPr>
    </w:p>
    <w:p>
      <w:pPr>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9"/>
        <w:spacing w:line="360" w:lineRule="auto"/>
        <w:jc w:val="left"/>
        <w:rPr>
          <w:rFonts w:hint="eastAsia" w:hAnsi="宋体" w:cs="宋体"/>
          <w:color w:val="000000" w:themeColor="text1"/>
          <w:sz w:val="24"/>
          <w14:textFill>
            <w14:solidFill>
              <w14:schemeClr w14:val="tx1"/>
            </w14:solidFill>
          </w14:textFill>
        </w:rPr>
      </w:pPr>
    </w:p>
    <w:p>
      <w:pPr>
        <w:pStyle w:val="9"/>
        <w:spacing w:line="360" w:lineRule="auto"/>
        <w:jc w:val="left"/>
        <w:rPr>
          <w:rFonts w:hint="eastAsia" w:hAnsi="宋体" w:cs="宋体"/>
          <w:color w:val="000000" w:themeColor="text1"/>
          <w:sz w:val="24"/>
          <w14:textFill>
            <w14:solidFill>
              <w14:schemeClr w14:val="tx1"/>
            </w14:solidFill>
          </w14:textFill>
        </w:rPr>
      </w:pPr>
    </w:p>
    <w:p>
      <w:pPr>
        <w:spacing w:before="100" w:beforeAutospacing="1" w:after="100" w:afterAutospacing="1"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注：近三年内，如投标人有任何违法违规、受惩罚和禁止、不良信用等记录，必须列明记载，并附网络截图（加盖公章）。</w:t>
      </w:r>
    </w:p>
    <w:p>
      <w:pPr>
        <w:pStyle w:val="7"/>
        <w:rPr>
          <w:color w:val="000000" w:themeColor="text1"/>
          <w:lang w:val="fr-CH"/>
          <w14:textFill>
            <w14:solidFill>
              <w14:schemeClr w14:val="tx1"/>
            </w14:solidFill>
          </w14:textFill>
        </w:rPr>
      </w:pP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政府采购违法行为风险知悉确认书</w:t>
      </w:r>
    </w:p>
    <w:p>
      <w:pPr>
        <w:spacing w:line="360" w:lineRule="auto"/>
        <w:ind w:left="420"/>
        <w:jc w:val="center"/>
        <w:outlineLvl w:val="3"/>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政府采购违法行为风险知悉确认书</w:t>
      </w:r>
    </w:p>
    <w:p>
      <w:pPr>
        <w:autoSpaceDE w:val="0"/>
        <w:autoSpaceDN w:val="0"/>
        <w:adjustRightInd w:val="0"/>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公司（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7607" w:type="dxa"/>
            <w:vAlign w:val="center"/>
          </w:tcPr>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与其他投标供应商的法定代表人、主要经营负责人、投标授权代表人、项目负责人、主要技术人员为</w:t>
            </w:r>
            <w:r>
              <w:rPr>
                <w:rFonts w:hint="eastAsia" w:ascii="宋体" w:hAnsi="宋体" w:cs="宋体"/>
                <w:b/>
                <w:bCs/>
                <w:color w:val="000000" w:themeColor="text1"/>
                <w:sz w:val="24"/>
                <w14:textFill>
                  <w14:solidFill>
                    <w14:schemeClr w14:val="tx1"/>
                  </w14:solidFill>
                </w14:textFill>
              </w:rPr>
              <w:t>同一人、属同一单位或者在同一单位缴纳社会保险</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参与本项目政府采购活动时，与其他投标供应商存在单位负责人为</w:t>
            </w:r>
            <w:r>
              <w:rPr>
                <w:rFonts w:hint="eastAsia" w:ascii="宋体" w:hAnsi="宋体" w:cs="宋体"/>
                <w:b/>
                <w:bCs/>
                <w:color w:val="000000" w:themeColor="text1"/>
                <w:sz w:val="24"/>
                <w14:textFill>
                  <w14:solidFill>
                    <w14:schemeClr w14:val="tx1"/>
                  </w14:solidFill>
                </w14:textFill>
              </w:rPr>
              <w:t>同一人或直接控股、管理关系</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与其他投标供应商的投标文件或部分投标文件</w:t>
            </w:r>
            <w:r>
              <w:rPr>
                <w:rFonts w:hint="eastAsia" w:ascii="宋体" w:hAnsi="宋体" w:cs="宋体"/>
                <w:b/>
                <w:bCs/>
                <w:color w:val="000000" w:themeColor="text1"/>
                <w:sz w:val="24"/>
                <w14:textFill>
                  <w14:solidFill>
                    <w14:schemeClr w14:val="tx1"/>
                  </w14:solidFill>
                </w14:textFill>
              </w:rPr>
              <w:t>相互混装或存在非正常一致</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与其他投标供应商的投标文件由</w:t>
            </w:r>
            <w:r>
              <w:rPr>
                <w:rFonts w:hint="eastAsia" w:ascii="宋体" w:hAnsi="宋体" w:cs="宋体"/>
                <w:b/>
                <w:bCs/>
                <w:color w:val="000000" w:themeColor="text1"/>
                <w:sz w:val="24"/>
                <w14:textFill>
                  <w14:solidFill>
                    <w14:schemeClr w14:val="tx1"/>
                  </w14:solidFill>
                </w14:textFill>
              </w:rPr>
              <w:t>同一单位或者同一人编制</w:t>
            </w:r>
            <w:r>
              <w:rPr>
                <w:rFonts w:hint="eastAsia" w:ascii="宋体" w:hAnsi="宋体" w:cs="宋体"/>
                <w:color w:val="000000" w:themeColor="text1"/>
                <w:sz w:val="24"/>
                <w14:textFill>
                  <w14:solidFill>
                    <w14:schemeClr w14:val="tx1"/>
                  </w14:solidFill>
                </w14:textFill>
              </w:rPr>
              <w:t>，或者使用</w:t>
            </w:r>
            <w:r>
              <w:rPr>
                <w:rFonts w:hint="eastAsia" w:ascii="宋体" w:hAnsi="宋体" w:cs="宋体"/>
                <w:b/>
                <w:bCs/>
                <w:color w:val="000000" w:themeColor="text1"/>
                <w:sz w:val="24"/>
                <w14:textFill>
                  <w14:solidFill>
                    <w14:schemeClr w14:val="tx1"/>
                  </w14:solidFill>
                </w14:textFill>
              </w:rPr>
              <w:t>同一设备编制</w:t>
            </w:r>
            <w:r>
              <w:rPr>
                <w:rFonts w:hint="eastAsia" w:ascii="宋体" w:hAnsi="宋体" w:cs="宋体"/>
                <w:color w:val="000000" w:themeColor="text1"/>
                <w:sz w:val="24"/>
                <w14:textFill>
                  <w14:solidFill>
                    <w14:schemeClr w14:val="tx1"/>
                  </w14:solidFill>
                </w14:textFill>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w:t>
            </w:r>
            <w:r>
              <w:rPr>
                <w:rFonts w:hint="eastAsia" w:ascii="宋体" w:hAnsi="宋体" w:cs="宋体"/>
                <w:b/>
                <w:bCs/>
                <w:color w:val="000000" w:themeColor="text1"/>
                <w:sz w:val="24"/>
                <w14:textFill>
                  <w14:solidFill>
                    <w14:schemeClr w14:val="tx1"/>
                  </w14:solidFill>
                </w14:textFill>
              </w:rPr>
              <w:t>未经出具机构核实</w:t>
            </w:r>
            <w:r>
              <w:rPr>
                <w:rFonts w:hint="eastAsia" w:ascii="宋体" w:hAnsi="宋体" w:cs="宋体"/>
                <w:color w:val="000000" w:themeColor="text1"/>
                <w:sz w:val="24"/>
                <w14:textFill>
                  <w14:solidFill>
                    <w14:schemeClr w14:val="tx1"/>
                  </w14:solidFill>
                </w14:textFill>
              </w:rPr>
              <w:t>的虚假的检验检测报告、业绩材料、社保缴纳证明、学历学位证书、职称认证证书等材料。</w:t>
            </w:r>
          </w:p>
        </w:tc>
      </w:tr>
    </w:tbl>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（一）通过转让或者租借等方式从其他单位获取资格或者资质证书投标的。</w:t>
      </w:r>
    </w:p>
    <w:p>
      <w:pPr>
        <w:autoSpaceDE w:val="0"/>
        <w:autoSpaceDN w:val="0"/>
        <w:adjustRightInd w:val="0"/>
        <w:spacing w:line="360" w:lineRule="auto"/>
        <w:ind w:firstLine="600" w:firstLineChars="2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（三）项目负责人或者主要技术人员不是本单位人员的。</w:t>
      </w:r>
    </w:p>
    <w:p>
      <w:pPr>
        <w:autoSpaceDE w:val="0"/>
        <w:autoSpaceDN w:val="0"/>
        <w:adjustRightInd w:val="0"/>
        <w:spacing w:line="360" w:lineRule="auto"/>
        <w:ind w:firstLine="600" w:firstLineChars="2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（四）投标保证金不是从投标供应商基本账户转出的。</w:t>
      </w:r>
    </w:p>
    <w:p>
      <w:pPr>
        <w:autoSpaceDE w:val="0"/>
        <w:autoSpaceDN w:val="0"/>
        <w:adjustRightInd w:val="0"/>
        <w:spacing w:line="360" w:lineRule="auto"/>
        <w:ind w:firstLine="600" w:firstLineChars="2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（五）其他隐瞒真实情况、提供虚假资料的行为。</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（一）投标供应商之间相互约定给予未中标的供应商利益补偿。</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（四）不同投标供应商的投标文件或部分投标文件相互混装。</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（五）不同投标供应商的投标文件内容存在非正常一致。</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（六）由同一单位工作人员为两家以上（含两家）供应商进行同一项投标活动的。</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（七）不同投标人的投标报价呈规律性差异。</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（八）不同投标人的投标保证金从同一单位或者个人的账户转出。</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（九）主管部门依照法律、法规认定的其他情形。</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hint="eastAsia" w:ascii="宋体" w:hAnsi="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以下文字请投标供应商</w:t>
      </w:r>
      <w:r>
        <w:rPr>
          <w:rFonts w:hint="eastAsia" w:ascii="宋体" w:hAnsi="宋体" w:cs="仿宋_GB2312"/>
          <w:b/>
          <w:bCs/>
          <w:color w:val="000000" w:themeColor="text1"/>
          <w:kern w:val="0"/>
          <w:sz w:val="24"/>
          <w14:textFill>
            <w14:solidFill>
              <w14:schemeClr w14:val="tx1"/>
            </w14:solidFill>
          </w14:textFill>
        </w:rPr>
        <w:t>抄写并确认</w:t>
      </w:r>
      <w:r>
        <w:rPr>
          <w:rFonts w:hint="eastAsia" w:ascii="宋体" w:hAnsi="宋体" w:cs="仿宋_GB2312"/>
          <w:color w:val="000000" w:themeColor="text1"/>
          <w:kern w:val="0"/>
          <w:sz w:val="24"/>
          <w14:textFill>
            <w14:solidFill>
              <w14:schemeClr w14:val="tx1"/>
            </w14:solidFill>
          </w14:textFill>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3840" w:firstLineChars="1600"/>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负责人</w:t>
      </w:r>
      <w:r>
        <w:rPr>
          <w:rFonts w:ascii="宋体" w:hAnsi="宋体" w:cs="仿宋_GB2312"/>
          <w:color w:val="000000" w:themeColor="text1"/>
          <w:kern w:val="0"/>
          <w:sz w:val="24"/>
          <w14:textFill>
            <w14:solidFill>
              <w14:schemeClr w14:val="tx1"/>
            </w14:solidFill>
          </w14:textFill>
        </w:rPr>
        <w:t>/</w:t>
      </w:r>
      <w:r>
        <w:rPr>
          <w:rFonts w:hint="eastAsia" w:ascii="宋体" w:hAnsi="宋体" w:cs="仿宋_GB2312"/>
          <w:color w:val="000000" w:themeColor="text1"/>
          <w:kern w:val="0"/>
          <w:sz w:val="24"/>
          <w14:textFill>
            <w14:solidFill>
              <w14:schemeClr w14:val="tx1"/>
            </w14:solidFill>
          </w14:textFill>
        </w:rPr>
        <w:t>投标授权代表签名：</w:t>
      </w: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ind w:firstLine="4920" w:firstLineChars="20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知悉人（公章）：</w:t>
      </w:r>
    </w:p>
    <w:p>
      <w:pPr>
        <w:spacing w:line="360" w:lineRule="auto"/>
        <w:jc w:val="right"/>
        <w:rPr>
          <w:rFonts w:hint="eastAsia" w:ascii="宋体" w:hAnsi="宋体" w:cs="宋体"/>
          <w:color w:val="000000" w:themeColor="text1"/>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日期： 202  年   月   日</w:t>
      </w:r>
      <w:r>
        <w:rPr>
          <w:rFonts w:hint="eastAsia" w:ascii="宋体" w:hAnsi="宋体" w:cs="宋体"/>
          <w:color w:val="000000" w:themeColor="text1"/>
          <w:sz w:val="24"/>
          <w14:textFill>
            <w14:solidFill>
              <w14:schemeClr w14:val="tx1"/>
            </w14:solidFill>
          </w14:textFill>
        </w:rPr>
        <w:br w:type="page"/>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参与价格扣除的证明文件</w:t>
      </w:r>
    </w:p>
    <w:p>
      <w:pPr>
        <w:keepNext/>
        <w:keepLines/>
        <w:jc w:val="center"/>
        <w:outlineLvl w:val="4"/>
        <w:rPr>
          <w:rFonts w:hint="eastAsia" w:ascii="宋体" w:hAnsi="宋体" w:cs="宋体"/>
          <w:bCs/>
          <w:color w:val="000000" w:themeColor="text1"/>
          <w:kern w:val="44"/>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①中小企业声明函（工程、服务）</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本公司（联合体）郑重声明，根据《政府采购促进中小企业发展管理办法》（财库﹝2020﹞46 号）的规定，本公司</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（联合体）参加</w:t>
      </w:r>
      <w:r>
        <w:rPr>
          <w:rFonts w:hint="eastAsia" w:ascii="宋体" w:hAnsi="宋体" w:cs="宋体"/>
          <w:color w:val="000000" w:themeColor="text1"/>
          <w:sz w:val="24"/>
          <w:u w:val="single"/>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；承建（承接）企业为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（中型企业、小型企业、微型企业）</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；承建（承接）企业为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（中型企业、小型企业、微型企业）</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pPr>
        <w:widowControl/>
        <w:ind w:firstLine="482" w:firstLineChars="200"/>
        <w:jc w:val="right"/>
        <w:textAlignment w:val="baseline"/>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企业名称（盖章）</w:t>
      </w:r>
    </w:p>
    <w:p>
      <w:pPr>
        <w:widowControl/>
        <w:ind w:firstLine="482" w:firstLineChars="200"/>
        <w:jc w:val="right"/>
        <w:textAlignment w:val="baseline"/>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日期：</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p>
    <w:p>
      <w:pPr>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注意事项：</w:t>
      </w:r>
    </w:p>
    <w:p>
      <w:pPr>
        <w:ind w:firstLine="482" w:firstLineChars="20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1.从业人员、营业收入、资产总额填报上一年度数据，无上一年度数据的新成立企业可不填报；</w:t>
      </w:r>
    </w:p>
    <w:p>
      <w:pPr>
        <w:ind w:firstLine="482" w:firstLineChars="20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4.相关承接/承建企业的所属行业应当与采购标的所属行业（采购文件中明确的行业）相一致。</w:t>
      </w:r>
    </w:p>
    <w:p>
      <w:pPr>
        <w:ind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附：中小企业划型标准规定</w:t>
      </w:r>
    </w:p>
    <w:p>
      <w:pPr>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一、根据《中华人民共和国中小企业促进法》和《国务院关于进一步促进中小企业发展的若干意见》(国发〔2009〕36号)，制定本规定。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 关于印发中小企业划型标准规定的通知</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4"/>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②残疾人福利性单位声明函（样表）</w:t>
      </w:r>
    </w:p>
    <w:p>
      <w:pPr>
        <w:spacing w:line="620" w:lineRule="exact"/>
        <w:ind w:firstLine="480"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color w:val="000000" w:themeColor="text1"/>
          <w:spacing w:val="6"/>
          <w:sz w:val="24"/>
          <w14:textFill>
            <w14:solidFill>
              <w14:schemeClr w14:val="tx1"/>
            </w14:solidFill>
          </w14:textFill>
        </w:rPr>
        <w:t>单位参加</w:t>
      </w:r>
      <w:r>
        <w:rPr>
          <w:rFonts w:hint="eastAsia" w:ascii="宋体" w:hAnsi="宋体" w:cs="宋体"/>
          <w:color w:val="000000" w:themeColor="text1"/>
          <w:spacing w:val="6"/>
          <w:sz w:val="24"/>
          <w:u w:val="single"/>
          <w14:textFill>
            <w14:solidFill>
              <w14:schemeClr w14:val="tx1"/>
            </w14:solidFill>
          </w14:textFill>
        </w:rPr>
        <w:t xml:space="preserve"> （采购单位名称） </w:t>
      </w:r>
      <w:r>
        <w:rPr>
          <w:rFonts w:hint="eastAsia" w:ascii="宋体" w:hAnsi="宋体" w:cs="宋体"/>
          <w:color w:val="000000" w:themeColor="text1"/>
          <w:spacing w:val="6"/>
          <w:sz w:val="24"/>
          <w14:textFill>
            <w14:solidFill>
              <w14:schemeClr w14:val="tx1"/>
            </w14:solidFill>
          </w14:textFill>
        </w:rPr>
        <w:t>单位的</w:t>
      </w:r>
      <w:r>
        <w:rPr>
          <w:rFonts w:hint="eastAsia" w:ascii="宋体" w:hAnsi="宋体" w:cs="宋体"/>
          <w:color w:val="000000" w:themeColor="text1"/>
          <w:spacing w:val="6"/>
          <w:sz w:val="24"/>
          <w:u w:val="single"/>
          <w14:textFill>
            <w14:solidFill>
              <w14:schemeClr w14:val="tx1"/>
            </w14:solidFill>
          </w14:textFill>
        </w:rPr>
        <w:t xml:space="preserve"> （采购项目名称） </w:t>
      </w:r>
      <w:r>
        <w:rPr>
          <w:rFonts w:hint="eastAsia" w:ascii="宋体" w:hAnsi="宋体" w:cs="宋体"/>
          <w:color w:val="000000" w:themeColor="text1"/>
          <w:spacing w:val="6"/>
          <w:sz w:val="24"/>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本单位对上述声明的真实性负责。如有虚假，将依法承担相应责任。</w:t>
      </w:r>
    </w:p>
    <w:p>
      <w:pPr>
        <w:spacing w:line="620" w:lineRule="exact"/>
        <w:ind w:firstLine="504" w:firstLineChars="200"/>
        <w:rPr>
          <w:rFonts w:hint="eastAsia" w:ascii="宋体" w:hAnsi="宋体" w:cs="宋体"/>
          <w:color w:val="000000" w:themeColor="text1"/>
          <w:spacing w:val="6"/>
          <w:sz w:val="24"/>
          <w14:textFill>
            <w14:solidFill>
              <w14:schemeClr w14:val="tx1"/>
            </w14:solidFill>
          </w14:textFill>
        </w:rPr>
      </w:pPr>
    </w:p>
    <w:p>
      <w:pPr>
        <w:spacing w:line="620" w:lineRule="exact"/>
        <w:ind w:firstLine="504" w:firstLineChars="200"/>
        <w:rPr>
          <w:rFonts w:hint="eastAsia" w:ascii="宋体" w:hAnsi="宋体" w:cs="宋体"/>
          <w:color w:val="000000" w:themeColor="text1"/>
          <w:spacing w:val="6"/>
          <w:sz w:val="24"/>
          <w14:textFill>
            <w14:solidFill>
              <w14:schemeClr w14:val="tx1"/>
            </w14:solidFill>
          </w14:textFill>
        </w:rPr>
      </w:pPr>
    </w:p>
    <w:p>
      <w:pPr>
        <w:tabs>
          <w:tab w:val="left" w:pos="4860"/>
        </w:tabs>
        <w:spacing w:line="620" w:lineRule="exact"/>
        <w:ind w:right="1560" w:firstLine="504" w:firstLineChars="200"/>
        <w:jc w:val="center"/>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单位名称（盖章）：</w:t>
      </w:r>
    </w:p>
    <w:p>
      <w:pPr>
        <w:tabs>
          <w:tab w:val="left" w:pos="4860"/>
        </w:tabs>
        <w:spacing w:line="620" w:lineRule="exact"/>
        <w:ind w:right="1560" w:firstLine="504" w:firstLineChars="200"/>
        <w:jc w:val="center"/>
        <w:rPr>
          <w:rStyle w:val="27"/>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日  期：</w:t>
      </w:r>
    </w:p>
    <w:p>
      <w:pPr>
        <w:snapToGrid w:val="0"/>
        <w:spacing w:line="360" w:lineRule="auto"/>
        <w:ind w:firstLine="480" w:firstLineChars="200"/>
        <w:jc w:val="left"/>
        <w:textAlignment w:val="baseline"/>
        <w:rPr>
          <w:rStyle w:val="27"/>
          <w:rFonts w:hint="eastAsia" w:ascii="宋体" w:hAnsi="宋体" w:cs="宋体"/>
          <w:color w:val="000000" w:themeColor="text1"/>
          <w:sz w:val="24"/>
          <w14:textFill>
            <w14:solidFill>
              <w14:schemeClr w14:val="tx1"/>
            </w14:solidFill>
          </w14:textFill>
        </w:rPr>
      </w:pPr>
    </w:p>
    <w:p>
      <w:pPr>
        <w:snapToGrid w:val="0"/>
        <w:spacing w:line="360" w:lineRule="auto"/>
        <w:ind w:firstLine="482" w:firstLineChars="200"/>
        <w:jc w:val="left"/>
        <w:textAlignment w:val="baseline"/>
        <w:rPr>
          <w:rStyle w:val="27"/>
          <w:rFonts w:hint="eastAsia" w:ascii="宋体" w:hAnsi="宋体" w:cs="宋体"/>
          <w:b/>
          <w:color w:val="000000" w:themeColor="text1"/>
          <w:sz w:val="24"/>
          <w14:textFill>
            <w14:solidFill>
              <w14:schemeClr w14:val="tx1"/>
            </w14:solidFill>
          </w14:textFill>
        </w:rPr>
      </w:pPr>
      <w:r>
        <w:rPr>
          <w:rStyle w:val="27"/>
          <w:rFonts w:hint="eastAsia" w:ascii="宋体" w:hAnsi="宋体" w:cs="宋体"/>
          <w:b/>
          <w:color w:val="000000" w:themeColor="text1"/>
          <w:sz w:val="24"/>
          <w14:textFill>
            <w14:solidFill>
              <w14:schemeClr w14:val="tx1"/>
            </w14:solidFill>
          </w14:textFill>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4"/>
        <w:rPr>
          <w:rStyle w:val="27"/>
          <w:rFonts w:hint="eastAsia" w:ascii="宋体" w:hAnsi="宋体" w:cs="宋体"/>
          <w:b/>
          <w:color w:val="000000" w:themeColor="text1"/>
          <w:sz w:val="24"/>
          <w14:textFill>
            <w14:solidFill>
              <w14:schemeClr w14:val="tx1"/>
            </w14:solidFill>
          </w14:textFill>
        </w:rPr>
      </w:pPr>
      <w:r>
        <w:rPr>
          <w:rStyle w:val="27"/>
          <w:rFonts w:hint="eastAsia" w:ascii="宋体" w:hAnsi="宋体" w:cs="宋体"/>
          <w:b/>
          <w:color w:val="000000" w:themeColor="text1"/>
          <w:sz w:val="24"/>
          <w14:textFill>
            <w14:solidFill>
              <w14:schemeClr w14:val="tx1"/>
            </w14:solidFill>
          </w14:textFill>
        </w:rPr>
        <w:br w:type="page"/>
      </w:r>
      <w:r>
        <w:rPr>
          <w:rStyle w:val="27"/>
          <w:rFonts w:hint="eastAsia" w:ascii="宋体" w:hAnsi="宋体" w:cs="宋体"/>
          <w:b/>
          <w:color w:val="000000" w:themeColor="text1"/>
          <w:sz w:val="24"/>
          <w14:textFill>
            <w14:solidFill>
              <w14:schemeClr w14:val="tx1"/>
            </w14:solidFill>
          </w14:textFill>
        </w:rPr>
        <w:t>③监狱企业声明函</w:t>
      </w:r>
    </w:p>
    <w:p>
      <w:pPr>
        <w:snapToGrid w:val="0"/>
        <w:spacing w:line="620" w:lineRule="exact"/>
        <w:ind w:firstLine="504" w:firstLineChars="200"/>
        <w:textAlignment w:val="baseline"/>
        <w:rPr>
          <w:rStyle w:val="27"/>
          <w:rFonts w:hint="eastAsia" w:ascii="宋体" w:hAnsi="宋体" w:cs="宋体"/>
          <w:color w:val="000000" w:themeColor="text1"/>
          <w:spacing w:val="6"/>
          <w:sz w:val="24"/>
          <w14:textFill>
            <w14:solidFill>
              <w14:schemeClr w14:val="tx1"/>
            </w14:solidFill>
          </w14:textFill>
        </w:rPr>
      </w:pPr>
      <w:r>
        <w:rPr>
          <w:rStyle w:val="27"/>
          <w:rFonts w:hint="eastAsia" w:ascii="宋体" w:hAnsi="宋体" w:cs="宋体"/>
          <w:color w:val="000000" w:themeColor="text1"/>
          <w:spacing w:val="6"/>
          <w:sz w:val="24"/>
          <w14:textFill>
            <w14:solidFill>
              <w14:schemeClr w14:val="tx1"/>
            </w14:solidFill>
          </w14:textFill>
        </w:rPr>
        <w:t>本单位郑重声明，根据《财政部司法部关于政府采购支持监狱企业发展有关问题的通知》（财库〔2014〕68号）的规定，本单位为符合条件的监狱企业，且本单位参加</w:t>
      </w:r>
      <w:r>
        <w:rPr>
          <w:rStyle w:val="27"/>
          <w:rFonts w:hint="eastAsia" w:ascii="宋体" w:hAnsi="宋体" w:cs="宋体"/>
          <w:color w:val="000000" w:themeColor="text1"/>
          <w:spacing w:val="6"/>
          <w:sz w:val="24"/>
          <w:u w:val="single"/>
          <w14:textFill>
            <w14:solidFill>
              <w14:schemeClr w14:val="tx1"/>
            </w14:solidFill>
          </w14:textFill>
        </w:rPr>
        <w:t xml:space="preserve"> （采购单位名称） </w:t>
      </w:r>
      <w:r>
        <w:rPr>
          <w:rStyle w:val="27"/>
          <w:rFonts w:hint="eastAsia" w:ascii="宋体" w:hAnsi="宋体" w:cs="宋体"/>
          <w:color w:val="000000" w:themeColor="text1"/>
          <w:spacing w:val="6"/>
          <w:sz w:val="24"/>
          <w14:textFill>
            <w14:solidFill>
              <w14:schemeClr w14:val="tx1"/>
            </w14:solidFill>
          </w14:textFill>
        </w:rPr>
        <w:t>单位的</w:t>
      </w:r>
      <w:r>
        <w:rPr>
          <w:rStyle w:val="27"/>
          <w:rFonts w:hint="eastAsia" w:ascii="宋体" w:hAnsi="宋体" w:cs="宋体"/>
          <w:color w:val="000000" w:themeColor="text1"/>
          <w:spacing w:val="6"/>
          <w:sz w:val="24"/>
          <w:u w:val="single"/>
          <w14:textFill>
            <w14:solidFill>
              <w14:schemeClr w14:val="tx1"/>
            </w14:solidFill>
          </w14:textFill>
        </w:rPr>
        <w:t xml:space="preserve"> （采购项目名称） </w:t>
      </w:r>
      <w:r>
        <w:rPr>
          <w:rStyle w:val="27"/>
          <w:rFonts w:hint="eastAsia" w:ascii="宋体" w:hAnsi="宋体" w:cs="宋体"/>
          <w:color w:val="000000" w:themeColor="text1"/>
          <w:spacing w:val="6"/>
          <w:sz w:val="24"/>
          <w14:textFill>
            <w14:solidFill>
              <w14:schemeClr w14:val="tx1"/>
            </w14:solidFill>
          </w14:textFill>
        </w:rPr>
        <w:t>项目采购</w:t>
      </w:r>
      <w:r>
        <w:rPr>
          <w:rStyle w:val="27"/>
          <w:rFonts w:hint="eastAsia" w:ascii="宋体" w:hAnsi="宋体" w:cs="宋体"/>
          <w:color w:val="000000" w:themeColor="text1"/>
          <w:kern w:val="0"/>
          <w:sz w:val="24"/>
          <w14:textFill>
            <w14:solidFill>
              <w14:schemeClr w14:val="tx1"/>
            </w14:solidFill>
          </w14:textFill>
        </w:rPr>
        <w:t>活动，并提供：□本单位制造的货物；□由本单位承担的工程、提供服务；□提供其他监狱企业制造的货物（承诺人在□处打√）</w:t>
      </w:r>
      <w:r>
        <w:rPr>
          <w:rStyle w:val="27"/>
          <w:rFonts w:hint="eastAsia" w:ascii="宋体" w:hAnsi="宋体" w:cs="宋体"/>
          <w:color w:val="000000" w:themeColor="text1"/>
          <w:spacing w:val="6"/>
          <w:sz w:val="24"/>
          <w14:textFill>
            <w14:solidFill>
              <w14:schemeClr w14:val="tx1"/>
            </w14:solidFill>
          </w14:textFill>
        </w:rPr>
        <w:t>。</w:t>
      </w:r>
      <w:r>
        <w:rPr>
          <w:rStyle w:val="27"/>
          <w:rFonts w:hint="eastAsia" w:ascii="宋体" w:hAnsi="宋体" w:cs="宋体"/>
          <w:color w:val="000000" w:themeColor="text1"/>
          <w:kern w:val="0"/>
          <w:sz w:val="24"/>
          <w14:textFill>
            <w14:solidFill>
              <w14:schemeClr w14:val="tx1"/>
            </w14:solidFill>
          </w14:textFill>
        </w:rPr>
        <w:t>本条所称货物是指单一产品采购项目中的货物，或者非单一产品采购项目中的核心产品（货物）。</w:t>
      </w:r>
    </w:p>
    <w:p>
      <w:pPr>
        <w:snapToGrid w:val="0"/>
        <w:spacing w:line="620" w:lineRule="exact"/>
        <w:ind w:firstLine="504" w:firstLineChars="200"/>
        <w:textAlignment w:val="baseline"/>
        <w:rPr>
          <w:rStyle w:val="27"/>
          <w:rFonts w:hint="eastAsia" w:ascii="宋体" w:hAnsi="宋体" w:cs="宋体"/>
          <w:color w:val="000000" w:themeColor="text1"/>
          <w:spacing w:val="6"/>
          <w:sz w:val="24"/>
          <w14:textFill>
            <w14:solidFill>
              <w14:schemeClr w14:val="tx1"/>
            </w14:solidFill>
          </w14:textFill>
        </w:rPr>
      </w:pPr>
      <w:r>
        <w:rPr>
          <w:rStyle w:val="27"/>
          <w:rFonts w:hint="eastAsia" w:ascii="宋体" w:hAnsi="宋体" w:cs="宋体"/>
          <w:color w:val="000000" w:themeColor="text1"/>
          <w:spacing w:val="6"/>
          <w:sz w:val="24"/>
          <w14:textFill>
            <w14:solidFill>
              <w14:schemeClr w14:val="tx1"/>
            </w14:solidFill>
          </w14:textFill>
        </w:rPr>
        <w:t>本单位对上述声明的真实性负责。如有虚假，将依法承担相应责任。</w:t>
      </w:r>
    </w:p>
    <w:p>
      <w:pPr>
        <w:snapToGrid w:val="0"/>
        <w:spacing w:line="620" w:lineRule="exact"/>
        <w:ind w:firstLine="504" w:firstLineChars="200"/>
        <w:textAlignment w:val="baseline"/>
        <w:rPr>
          <w:rStyle w:val="27"/>
          <w:rFonts w:hint="eastAsia" w:ascii="宋体" w:hAnsi="宋体" w:cs="宋体"/>
          <w:color w:val="000000" w:themeColor="text1"/>
          <w:spacing w:val="6"/>
          <w:sz w:val="24"/>
          <w14:textFill>
            <w14:solidFill>
              <w14:schemeClr w14:val="tx1"/>
            </w14:solidFill>
          </w14:textFill>
        </w:rPr>
      </w:pPr>
      <w:r>
        <w:rPr>
          <w:rStyle w:val="27"/>
          <w:rFonts w:hint="eastAsia" w:ascii="宋体" w:hAnsi="宋体" w:cs="宋体"/>
          <w:color w:val="000000" w:themeColor="text1"/>
          <w:spacing w:val="6"/>
          <w:sz w:val="24"/>
          <w14:textFill>
            <w14:solidFill>
              <w14:schemeClr w14:val="tx1"/>
            </w14:solidFill>
          </w14:textFill>
        </w:rPr>
        <w:t>附：省级以上监狱管理局、戒毒管理局（含新疆生产建设兵团）出具的监狱企业证明文件。</w:t>
      </w:r>
    </w:p>
    <w:p>
      <w:pPr>
        <w:snapToGrid w:val="0"/>
        <w:spacing w:line="620" w:lineRule="exact"/>
        <w:ind w:firstLine="504" w:firstLineChars="200"/>
        <w:textAlignment w:val="baseline"/>
        <w:rPr>
          <w:rStyle w:val="27"/>
          <w:rFonts w:hint="eastAsia" w:ascii="宋体" w:hAnsi="宋体" w:cs="宋体"/>
          <w:color w:val="000000" w:themeColor="text1"/>
          <w:spacing w:val="6"/>
          <w:sz w:val="24"/>
          <w14:textFill>
            <w14:solidFill>
              <w14:schemeClr w14:val="tx1"/>
            </w14:solidFill>
          </w14:textFill>
        </w:rPr>
      </w:pPr>
    </w:p>
    <w:p>
      <w:pPr>
        <w:snapToGrid w:val="0"/>
        <w:spacing w:line="620" w:lineRule="exact"/>
        <w:ind w:firstLine="504" w:firstLineChars="200"/>
        <w:textAlignment w:val="baseline"/>
        <w:rPr>
          <w:rStyle w:val="27"/>
          <w:rFonts w:hint="eastAsia" w:ascii="宋体" w:hAnsi="宋体" w:cs="宋体"/>
          <w:color w:val="000000" w:themeColor="text1"/>
          <w:spacing w:val="6"/>
          <w:sz w:val="24"/>
          <w14:textFill>
            <w14:solidFill>
              <w14:schemeClr w14:val="tx1"/>
            </w14:solidFill>
          </w14:textFill>
        </w:rPr>
      </w:pPr>
    </w:p>
    <w:p>
      <w:pPr>
        <w:tabs>
          <w:tab w:val="left" w:pos="4860"/>
        </w:tabs>
        <w:snapToGrid w:val="0"/>
        <w:spacing w:line="620" w:lineRule="exact"/>
        <w:ind w:right="1560" w:firstLine="504" w:firstLineChars="200"/>
        <w:jc w:val="center"/>
        <w:textAlignment w:val="baseline"/>
        <w:rPr>
          <w:rStyle w:val="27"/>
          <w:rFonts w:hint="eastAsia" w:ascii="宋体" w:hAnsi="宋体" w:cs="宋体"/>
          <w:color w:val="000000" w:themeColor="text1"/>
          <w:spacing w:val="6"/>
          <w:sz w:val="24"/>
          <w14:textFill>
            <w14:solidFill>
              <w14:schemeClr w14:val="tx1"/>
            </w14:solidFill>
          </w14:textFill>
        </w:rPr>
      </w:pPr>
      <w:r>
        <w:rPr>
          <w:rStyle w:val="27"/>
          <w:rFonts w:hint="eastAsia" w:ascii="宋体" w:hAnsi="宋体" w:cs="宋体"/>
          <w:color w:val="000000" w:themeColor="text1"/>
          <w:spacing w:val="6"/>
          <w:sz w:val="24"/>
          <w14:textFill>
            <w14:solidFill>
              <w14:schemeClr w14:val="tx1"/>
            </w14:solidFill>
          </w14:textFill>
        </w:rPr>
        <w:t xml:space="preserve">               单位名称（盖章）：</w:t>
      </w:r>
    </w:p>
    <w:p>
      <w:pPr>
        <w:tabs>
          <w:tab w:val="left" w:pos="640"/>
          <w:tab w:val="left" w:pos="840"/>
          <w:tab w:val="left" w:pos="1260"/>
          <w:tab w:val="left" w:pos="1418"/>
        </w:tabs>
        <w:spacing w:line="360" w:lineRule="auto"/>
        <w:rPr>
          <w:rFonts w:hint="eastAsia" w:ascii="宋体" w:hAnsi="宋体" w:cs="宋体"/>
          <w:color w:val="000000" w:themeColor="text1"/>
          <w:spacing w:val="6"/>
          <w:sz w:val="24"/>
          <w14:textFill>
            <w14:solidFill>
              <w14:schemeClr w14:val="tx1"/>
            </w14:solidFill>
          </w14:textFill>
        </w:rPr>
      </w:pPr>
      <w:r>
        <w:rPr>
          <w:rStyle w:val="27"/>
          <w:rFonts w:hint="eastAsia" w:ascii="宋体" w:hAnsi="宋体" w:cs="宋体"/>
          <w:color w:val="000000" w:themeColor="text1"/>
          <w:spacing w:val="6"/>
          <w:sz w:val="24"/>
          <w14:textFill>
            <w14:solidFill>
              <w14:schemeClr w14:val="tx1"/>
            </w14:solidFill>
          </w14:textFill>
        </w:rPr>
        <w:t xml:space="preserve">                          日  期</w:t>
      </w:r>
      <w:r>
        <w:rPr>
          <w:rFonts w:hint="eastAsia" w:ascii="宋体" w:hAnsi="宋体" w:cs="宋体"/>
          <w:color w:val="000000" w:themeColor="text1"/>
          <w:spacing w:val="6"/>
          <w:sz w:val="24"/>
          <w14:textFill>
            <w14:solidFill>
              <w14:schemeClr w14:val="tx1"/>
            </w14:solidFill>
          </w14:textFill>
        </w:rPr>
        <w:t>：</w:t>
      </w:r>
    </w:p>
    <w:p>
      <w:pPr>
        <w:rPr>
          <w:color w:val="000000" w:themeColor="text1"/>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br w:type="page"/>
      </w:r>
    </w:p>
    <w:p>
      <w:pPr>
        <w:numPr>
          <w:ilvl w:val="0"/>
          <w:numId w:val="12"/>
        </w:numPr>
        <w:tabs>
          <w:tab w:val="left" w:pos="640"/>
          <w:tab w:val="left" w:pos="840"/>
          <w:tab w:val="left" w:pos="1260"/>
          <w:tab w:val="left" w:pos="1418"/>
        </w:tabs>
        <w:spacing w:line="360" w:lineRule="auto"/>
        <w:ind w:left="845" w:hanging="845"/>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供应商基本情况表、社保证明及股权关系证明</w:t>
      </w:r>
    </w:p>
    <w:p>
      <w:pPr>
        <w:snapToGrid w:val="0"/>
        <w:rPr>
          <w:rFonts w:hint="eastAsia" w:ascii="宋体" w:hAnsi="宋体" w:cs="宋体"/>
          <w:b/>
          <w:color w:val="000000" w:themeColor="text1"/>
          <w:sz w:val="24"/>
          <w:highlight w:val="yellow"/>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根据《深圳经济特区政府采购条例实施细则》第七十五条规定，以下内容将作为判定本项目不同投标供应商是否涉嫌、属于串通投标的重要依据，请供应商认真填报，并保证所填信息的真实、准确和完整。）</w:t>
      </w:r>
    </w:p>
    <w:p>
      <w:pPr>
        <w:snapToGrid w:val="0"/>
        <w:rPr>
          <w:rFonts w:hint="eastAsia" w:ascii="宋体" w:hAnsi="宋体" w:cs="宋体"/>
          <w:b/>
          <w:color w:val="000000" w:themeColor="text1"/>
          <w:sz w:val="24"/>
          <w14:textFill>
            <w14:solidFill>
              <w14:schemeClr w14:val="tx1"/>
            </w14:solidFill>
          </w14:textFill>
        </w:rPr>
      </w:pPr>
    </w:p>
    <w:p>
      <w:pPr>
        <w:snapToGrid w:val="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1.《供应商基本情况表》</w:t>
      </w:r>
    </w:p>
    <w:p>
      <w:pPr>
        <w:adjustRightInd w:val="0"/>
        <w:snapToGrid w:val="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填表单位（</w:t>
      </w:r>
      <w:r>
        <w:rPr>
          <w:rFonts w:hint="eastAsia" w:ascii="宋体" w:hAnsi="宋体" w:cs="宋体"/>
          <w:b/>
          <w:bCs/>
          <w:color w:val="000000" w:themeColor="text1"/>
          <w:sz w:val="24"/>
          <w14:textFill>
            <w14:solidFill>
              <w14:schemeClr w14:val="tx1"/>
            </w14:solidFill>
          </w14:textFill>
        </w:rPr>
        <w:t>加盖单位公章，必填项</w:t>
      </w:r>
      <w:r>
        <w:rPr>
          <w:rFonts w:hint="eastAsia" w:ascii="宋体" w:hAnsi="宋体" w:cs="宋体"/>
          <w:color w:val="000000" w:themeColor="text1"/>
          <w:sz w:val="24"/>
          <w14:textFill>
            <w14:solidFill>
              <w14:schemeClr w14:val="tx1"/>
            </w14:solidFill>
          </w14:textFill>
        </w:rPr>
        <w:t>）：</w:t>
      </w:r>
    </w:p>
    <w:p>
      <w:pPr>
        <w:adjustRightInd w:val="0"/>
        <w:snapToGrid w:val="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填表日期（</w:t>
      </w:r>
      <w:r>
        <w:rPr>
          <w:rFonts w:hint="eastAsia" w:ascii="宋体" w:hAnsi="宋体" w:cs="宋体"/>
          <w:b/>
          <w:bCs/>
          <w:color w:val="000000" w:themeColor="text1"/>
          <w:sz w:val="24"/>
          <w14:textFill>
            <w14:solidFill>
              <w14:schemeClr w14:val="tx1"/>
            </w14:solidFill>
          </w14:textFill>
        </w:rPr>
        <w:t>必填项</w:t>
      </w:r>
      <w:r>
        <w:rPr>
          <w:rFonts w:hint="eastAsia" w:ascii="宋体" w:hAnsi="宋体" w:cs="宋体"/>
          <w:color w:val="000000" w:themeColor="text1"/>
          <w:sz w:val="24"/>
          <w14:textFill>
            <w14:solidFill>
              <w14:schemeClr w14:val="tx1"/>
            </w14:solidFill>
          </w14:textFill>
        </w:rPr>
        <w:t>）：        年     月      日</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采购人</w:t>
            </w:r>
          </w:p>
        </w:tc>
        <w:tc>
          <w:tcPr>
            <w:tcW w:w="1406"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项目名称</w:t>
            </w:r>
          </w:p>
        </w:tc>
        <w:tc>
          <w:tcPr>
            <w:tcW w:w="1656"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投标（响应）供应商</w:t>
            </w:r>
          </w:p>
        </w:tc>
        <w:tc>
          <w:tcPr>
            <w:tcW w:w="1406"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供应商统一社会信用代码</w:t>
            </w:r>
          </w:p>
        </w:tc>
        <w:tc>
          <w:tcPr>
            <w:tcW w:w="1656"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vAlign w:val="center"/>
          </w:tcPr>
          <w:p>
            <w:pPr>
              <w:widowControl/>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1223" w:type="pct"/>
            <w:gridSpan w:val="2"/>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职务</w:t>
            </w:r>
          </w:p>
        </w:tc>
        <w:tc>
          <w:tcPr>
            <w:tcW w:w="543" w:type="pct"/>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姓名</w:t>
            </w:r>
          </w:p>
        </w:tc>
        <w:tc>
          <w:tcPr>
            <w:tcW w:w="1188" w:type="pct"/>
            <w:gridSpan w:val="2"/>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身份证号码</w:t>
            </w:r>
          </w:p>
        </w:tc>
        <w:tc>
          <w:tcPr>
            <w:tcW w:w="821" w:type="pct"/>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劳动合同</w:t>
            </w:r>
          </w:p>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关系单位</w:t>
            </w:r>
          </w:p>
        </w:tc>
        <w:tc>
          <w:tcPr>
            <w:tcW w:w="835" w:type="pct"/>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缴纳社会</w:t>
            </w:r>
          </w:p>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项目投标授权代表人（必填项）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p>
        </w:tc>
        <w:tc>
          <w:tcPr>
            <w:tcW w:w="1223" w:type="pct"/>
            <w:gridSpan w:val="2"/>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项目负责人（如有）</w:t>
            </w:r>
          </w:p>
        </w:tc>
        <w:tc>
          <w:tcPr>
            <w:tcW w:w="543" w:type="pct"/>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w:t>
            </w:r>
          </w:p>
        </w:tc>
        <w:tc>
          <w:tcPr>
            <w:tcW w:w="1223"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主要技术人员（如有）</w:t>
            </w:r>
          </w:p>
        </w:tc>
        <w:tc>
          <w:tcPr>
            <w:tcW w:w="543"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w:t>
            </w:r>
          </w:p>
        </w:tc>
        <w:tc>
          <w:tcPr>
            <w:tcW w:w="1223"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投标文件编制人员（必填项）</w:t>
            </w:r>
          </w:p>
        </w:tc>
        <w:tc>
          <w:tcPr>
            <w:tcW w:w="543"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widowControl/>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说明：1.同一职务有多人担任（如主要技术人员），应分行填写。</w:t>
            </w:r>
          </w:p>
          <w:p>
            <w:pPr>
              <w:pStyle w:val="5"/>
              <w:ind w:firstLine="723" w:firstLineChars="300"/>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pPr>
              <w:widowControl/>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关联关系类型</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控股股东（必填项）</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widowControl/>
              <w:snapToGrid w:val="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说明：</w:t>
            </w:r>
          </w:p>
          <w:p>
            <w:pPr>
              <w:widowControl/>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1.同一关联关系类型有多个主体的，应分行填写。</w:t>
            </w:r>
          </w:p>
          <w:p>
            <w:pPr>
              <w:pStyle w:val="5"/>
              <w:ind w:firstLine="0" w:firstLineChars="0"/>
              <w:rPr>
                <w:rFonts w:hint="eastAsia"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2.上述规定的控股、管理关系仅限于直接控股、直接管理关系，不包括间接的控股或管理关系。</w:t>
            </w:r>
          </w:p>
        </w:tc>
      </w:tr>
    </w:tbl>
    <w:p>
      <w:pPr>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备注：注明“必填项”的必须填写；未注明“必填项”的，如供应商未填写则视为未安排（或无）。</w:t>
      </w:r>
    </w:p>
    <w:p>
      <w:pPr>
        <w:widowControl/>
        <w:snapToGrid w:val="0"/>
        <w:rPr>
          <w:rFonts w:hint="eastAsia" w:ascii="宋体" w:hAnsi="宋体" w:cs="宋体"/>
          <w:b/>
          <w:color w:val="000000" w:themeColor="text1"/>
          <w:sz w:val="24"/>
          <w14:textFill>
            <w14:solidFill>
              <w14:schemeClr w14:val="tx1"/>
            </w14:solidFill>
          </w14:textFill>
        </w:rPr>
      </w:pPr>
    </w:p>
    <w:p>
      <w:pPr>
        <w:snapToGrid w:val="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2.社保</w:t>
      </w:r>
      <w:bookmarkStart w:id="41" w:name="OLE_LINK9"/>
      <w:r>
        <w:rPr>
          <w:rFonts w:hint="eastAsia" w:ascii="宋体" w:hAnsi="宋体" w:cs="宋体"/>
          <w:b/>
          <w:color w:val="000000" w:themeColor="text1"/>
          <w:sz w:val="28"/>
          <w:szCs w:val="28"/>
          <w14:textFill>
            <w14:solidFill>
              <w14:schemeClr w14:val="tx1"/>
            </w14:solidFill>
          </w14:textFill>
        </w:rPr>
        <w:t>证明</w:t>
      </w:r>
      <w:bookmarkEnd w:id="41"/>
      <w:r>
        <w:rPr>
          <w:rFonts w:hint="eastAsia" w:ascii="宋体" w:hAnsi="宋体" w:cs="宋体"/>
          <w:b/>
          <w:color w:val="000000" w:themeColor="text1"/>
          <w:sz w:val="28"/>
          <w:szCs w:val="28"/>
          <w14:textFill>
            <w14:solidFill>
              <w14:schemeClr w14:val="tx1"/>
            </w14:solidFill>
          </w14:textFill>
        </w:rPr>
        <w:t>材料：</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（1）法定代表人/单位负责人/主要经营负责人</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bCs/>
          <w:color w:val="000000" w:themeColor="text1"/>
          <w:sz w:val="24"/>
          <w:szCs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（2）投标授权代表人</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身份证复印件（正反面）：</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bCs/>
          <w:color w:val="000000" w:themeColor="text1"/>
          <w:sz w:val="24"/>
          <w:szCs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（3）项目负责人（如本项目未安排，可不提供）</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bCs/>
          <w:color w:val="000000" w:themeColor="text1"/>
          <w:sz w:val="24"/>
          <w:szCs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（4）主要技术人员（如本项目未安排，可不提供）</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身份证复印件（正反面）：</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bCs/>
          <w:color w:val="000000" w:themeColor="text1"/>
          <w:sz w:val="24"/>
          <w:szCs w:val="24"/>
          <w14:textFill>
            <w14:solidFill>
              <w14:schemeClr w14:val="tx1"/>
            </w14:solidFill>
          </w14:textFill>
        </w:rPr>
      </w:pPr>
    </w:p>
    <w:p>
      <w:pPr>
        <w:widowControl/>
        <w:numPr>
          <w:ilvl w:val="0"/>
          <w:numId w:val="14"/>
        </w:numPr>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投标文件编制人员</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身份证复印件（正反面）：</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color w:val="000000" w:themeColor="text1"/>
          <w:sz w:val="24"/>
          <w:szCs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1.如开标前近一个月的社保材料因社保部门原因暂时无法取得，则可以往前顺延一个月。其中项目负责人及主要技术人员社保证明须由供应商缴纳。</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2.供应商的项目投标授权代表人与法定代表人为同一人的，则须提供法定代表人的社保证明；本项目未安排项目负责人的，则无须提供项目负责人的社保证明。</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3.如无法按上述要求提供人员社会保险证明材料的，提交以下材料亦视为符合：</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如法定代表人未在投标单位缴纳社保，则还需提供缴纳社保的公司与投标单位的相关关联关系说明。</w:t>
      </w:r>
    </w:p>
    <w:p>
      <w:pPr>
        <w:snapToGrid w:val="0"/>
        <w:rPr>
          <w:rFonts w:hint="eastAsia" w:ascii="宋体" w:hAnsi="宋体" w:cs="宋体"/>
          <w:b/>
          <w:color w:val="000000" w:themeColor="text1"/>
          <w:sz w:val="28"/>
          <w:szCs w:val="28"/>
          <w14:textFill>
            <w14:solidFill>
              <w14:schemeClr w14:val="tx1"/>
            </w14:solidFill>
          </w14:textFill>
        </w:rPr>
      </w:pPr>
    </w:p>
    <w:p>
      <w:pPr>
        <w:snapToGrid w:val="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3.</w:t>
      </w:r>
      <w:bookmarkStart w:id="42" w:name="OLE_LINK10"/>
      <w:r>
        <w:rPr>
          <w:rFonts w:hint="eastAsia" w:ascii="宋体" w:hAnsi="宋体" w:cs="宋体"/>
          <w:b/>
          <w:color w:val="000000" w:themeColor="text1"/>
          <w:sz w:val="28"/>
          <w:szCs w:val="28"/>
          <w14:textFill>
            <w14:solidFill>
              <w14:schemeClr w14:val="tx1"/>
            </w14:solidFill>
          </w14:textFill>
        </w:rPr>
        <w:t>股权关系证明</w:t>
      </w:r>
      <w:bookmarkEnd w:id="42"/>
      <w:r>
        <w:rPr>
          <w:rFonts w:hint="eastAsia" w:ascii="宋体" w:hAnsi="宋体" w:cs="宋体"/>
          <w:b/>
          <w:color w:val="000000" w:themeColor="text1"/>
          <w:sz w:val="28"/>
          <w:szCs w:val="28"/>
          <w14:textFill>
            <w14:solidFill>
              <w14:schemeClr w14:val="tx1"/>
            </w14:solidFill>
          </w14:textFill>
        </w:rPr>
        <w:t>材料：</w:t>
      </w:r>
    </w:p>
    <w:p>
      <w:pPr>
        <w:widowControl/>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（1）股权（或管理）关系证明材料：</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cs="宋体"/>
          <w:color w:val="000000" w:themeColor="text1"/>
          <w:sz w:val="24"/>
          <w14:textFill>
            <w14:solidFill>
              <w14:schemeClr w14:val="tx1"/>
            </w14:solidFill>
          </w14:textFill>
        </w:rPr>
      </w:pPr>
    </w:p>
    <w:p>
      <w:pPr>
        <w:widowControl/>
        <w:snapToGrid w:val="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（2）股权关系情况承诺函</w:t>
      </w:r>
    </w:p>
    <w:p>
      <w:pPr>
        <w:widowControl/>
        <w:snapToGrid w:val="0"/>
        <w:ind w:firstLine="482" w:firstLineChars="20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《股权关系情况承诺函》</w:t>
      </w:r>
    </w:p>
    <w:p>
      <w:pPr>
        <w:widowControl/>
        <w:snapToGrid w:val="0"/>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我公司申请参加</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项目（项目编号为</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）的投标，并作出如下承诺：</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我公司承诺所填的股权关系情况真实、准确、完整。</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特此承诺！</w:t>
      </w:r>
    </w:p>
    <w:p>
      <w:pPr>
        <w:widowControl/>
        <w:snapToGrid w:val="0"/>
        <w:rPr>
          <w:rFonts w:hint="eastAsia" w:ascii="宋体" w:hAnsi="宋体" w:cs="宋体"/>
          <w:bCs/>
          <w:color w:val="000000" w:themeColor="text1"/>
          <w:sz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供应商名称（加盖公章</w:t>
      </w:r>
      <w:r>
        <w:rPr>
          <w:rFonts w:hint="eastAsia" w:ascii="宋体" w:hAnsi="宋体" w:cs="宋体"/>
          <w:bCs/>
          <w:color w:val="000000" w:themeColor="text1"/>
          <w:sz w:val="24"/>
          <w14:textFill>
            <w14:solidFill>
              <w14:schemeClr w14:val="tx1"/>
            </w14:solidFill>
          </w14:textFill>
        </w:rPr>
        <w:tab/>
      </w:r>
      <w:r>
        <w:rPr>
          <w:rFonts w:hint="eastAsia" w:ascii="宋体" w:hAnsi="宋体" w:cs="宋体"/>
          <w:bCs/>
          <w:color w:val="000000" w:themeColor="text1"/>
          <w:sz w:val="24"/>
          <w14:textFill>
            <w14:solidFill>
              <w14:schemeClr w14:val="tx1"/>
            </w14:solidFill>
          </w14:textFill>
        </w:rPr>
        <w:t xml:space="preserve">）： </w:t>
      </w:r>
    </w:p>
    <w:p>
      <w:pPr>
        <w:widowControl/>
        <w:snapToGrid w:val="0"/>
        <w:ind w:firstLine="3840" w:firstLineChars="16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日  期：       年    月   日</w:t>
      </w:r>
    </w:p>
    <w:p>
      <w:pPr>
        <w:widowControl/>
        <w:snapToGrid w:val="0"/>
        <w:rPr>
          <w:rFonts w:hint="eastAsia" w:ascii="宋体" w:hAnsi="宋体" w:cs="宋体"/>
          <w:bCs/>
          <w:color w:val="000000" w:themeColor="text1"/>
          <w:sz w:val="24"/>
          <w14:textFill>
            <w14:solidFill>
              <w14:schemeClr w14:val="tx1"/>
            </w14:solidFill>
          </w14:textFill>
        </w:rPr>
      </w:pPr>
    </w:p>
    <w:p>
      <w:pPr>
        <w:tabs>
          <w:tab w:val="left" w:pos="640"/>
          <w:tab w:val="left" w:pos="840"/>
          <w:tab w:val="left" w:pos="1260"/>
          <w:tab w:val="left" w:pos="1418"/>
        </w:tabs>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注：代理机构将于截标当日同步通过上述网站进行查询，查询结果与供应商填报信息不一致的，以代理机构于截标当日的查询结果为准。</w:t>
      </w:r>
    </w:p>
    <w:p>
      <w:pP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br w:type="page"/>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（三）技术部分</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spacing w:after="78"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用户需求响应表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据招标文件要求，我公司承诺响应如下：</w:t>
      </w:r>
    </w:p>
    <w:tbl>
      <w:tblPr>
        <w:tblStyle w:val="18"/>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jc w:val="center"/>
        </w:trPr>
        <w:tc>
          <w:tcPr>
            <w:tcW w:w="878"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3507"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招标文件要求</w:t>
            </w:r>
          </w:p>
        </w:tc>
        <w:tc>
          <w:tcPr>
            <w:tcW w:w="3052"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投标文件响应</w:t>
            </w:r>
          </w:p>
        </w:tc>
        <w:tc>
          <w:tcPr>
            <w:tcW w:w="2106"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3507" w:type="dxa"/>
            <w:vAlign w:val="center"/>
          </w:tcPr>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本项目“用户需求书”的全部内容为项目正常开展的基本要求，投标人必须完全响应满足招标文件“第五章 用户需求书”的全部内容，否则将导致投标无效</w:t>
            </w:r>
            <w:r>
              <w:rPr>
                <w:rFonts w:hint="eastAsia" w:ascii="宋体" w:hAnsi="宋体" w:cs="宋体"/>
                <w:bCs/>
                <w:color w:val="000000" w:themeColor="text1"/>
                <w:sz w:val="24"/>
                <w14:textFill>
                  <w14:solidFill>
                    <w14:schemeClr w14:val="tx1"/>
                  </w14:solidFill>
                </w14:textFill>
              </w:rPr>
              <w:t>。如投标人中标后被发现不能满足招标文件“第五章 用户需求书”的，采购单位有权拒绝签订合同，一切后果由投标人承担。</w:t>
            </w:r>
          </w:p>
        </w:tc>
        <w:tc>
          <w:tcPr>
            <w:tcW w:w="3052" w:type="dxa"/>
            <w:vAlign w:val="center"/>
          </w:tcPr>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无需另行编制填写内容。</w:t>
            </w:r>
          </w:p>
        </w:tc>
        <w:tc>
          <w:tcPr>
            <w:tcW w:w="2106"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p>
        </w:tc>
      </w:tr>
    </w:tbl>
    <w:p>
      <w:pPr>
        <w:spacing w:after="78" w:line="360" w:lineRule="auto"/>
        <w:rPr>
          <w:rFonts w:hint="eastAsia" w:ascii="宋体" w:hAnsi="宋体" w:cs="宋体"/>
          <w:bCs/>
          <w:color w:val="000000" w:themeColor="text1"/>
          <w:sz w:val="24"/>
          <w14:textFill>
            <w14:solidFill>
              <w14:schemeClr w14:val="tx1"/>
            </w14:solidFill>
          </w14:textFill>
        </w:rPr>
      </w:pP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若响应情况优于招标要求，应作详细说明；“偏离情况”栏中根据响应情况填写，没有达到要求的填“负偏离”，达到要求的填“无偏离”，优于要求的填“正偏离”。</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7"/>
        <w:spacing w:line="360" w:lineRule="auto"/>
        <w:rPr>
          <w:color w:val="000000" w:themeColor="text1"/>
          <w:lang w:val="fr-CH"/>
          <w14:textFill>
            <w14:solidFill>
              <w14:schemeClr w14:val="tx1"/>
            </w14:solidFill>
          </w14:textFill>
        </w:rPr>
      </w:pP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br w:type="page"/>
      </w:r>
      <w:r>
        <w:rPr>
          <w:rFonts w:hint="eastAsia" w:ascii="宋体" w:hAnsi="宋体" w:cs="宋体"/>
          <w:color w:val="000000" w:themeColor="text1"/>
          <w:sz w:val="24"/>
          <w:lang w:val="sq-AL"/>
          <w14:textFill>
            <w14:solidFill>
              <w14:schemeClr w14:val="tx1"/>
            </w14:solidFill>
          </w14:textFill>
        </w:rPr>
        <w:t>项目实施方案；</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质量保障措施及方案；</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项目重难点分析及相关的合理化建议；</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项目完成（服务期满）后的服务承诺；</w:t>
      </w: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投标人认为有必要提供的其他材料。</w:t>
      </w:r>
      <w:bookmarkEnd w:id="35"/>
    </w:p>
    <w:p>
      <w:pPr>
        <w:tabs>
          <w:tab w:val="left" w:pos="360"/>
        </w:tabs>
        <w:spacing w:line="300" w:lineRule="auto"/>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bookmarkStart w:id="43" w:name="_Toc6251"/>
      <w:bookmarkStart w:id="44" w:name="_Toc742"/>
      <w:r>
        <w:rPr>
          <w:rFonts w:hint="eastAsia" w:ascii="宋体" w:hAnsi="宋体" w:cs="宋体"/>
          <w:b/>
          <w:bCs/>
          <w:color w:val="000000" w:themeColor="text1"/>
          <w:sz w:val="24"/>
          <w14:textFill>
            <w14:solidFill>
              <w14:schemeClr w14:val="tx1"/>
            </w14:solidFill>
          </w14:textFill>
        </w:rPr>
        <w:t>附件：相关政策</w:t>
      </w:r>
      <w:bookmarkEnd w:id="43"/>
      <w:bookmarkEnd w:id="44"/>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1、财政部、工业和信息化部《关于印发〈政府采购促进中小企业发展管理办法〉的通知》（财库〔2020〕46 号）</w:t>
      </w:r>
    </w:p>
    <w:p>
      <w:pPr>
        <w:pStyle w:val="7"/>
        <w:tabs>
          <w:tab w:val="left" w:pos="562"/>
          <w:tab w:val="left" w:pos="3372"/>
          <w:tab w:val="left" w:pos="3653"/>
        </w:tabs>
        <w:rPr>
          <w:rFonts w:hint="eastAsia" w:ascii="宋体" w:hAnsi="宋体" w:cs="宋体"/>
          <w:color w:val="000000" w:themeColor="text1"/>
          <w14:textFill>
            <w14:solidFill>
              <w14:schemeClr w14:val="tx1"/>
            </w14:solidFill>
          </w14:textFill>
        </w:rPr>
      </w:pPr>
    </w:p>
    <w:p>
      <w:pPr>
        <w:widowControl/>
        <w:shd w:val="clear" w:color="auto" w:fill="FFFFFF"/>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关于印发《政府采购促进中小企业发展管理办法》的通知</w:t>
      </w:r>
    </w:p>
    <w:p>
      <w:pPr>
        <w:widowControl/>
        <w:shd w:val="clear" w:color="auto" w:fill="FFFFFF"/>
        <w:spacing w:after="24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财库〔2020〕46号</w:t>
      </w:r>
    </w:p>
    <w:p>
      <w:pPr>
        <w:widowControl/>
        <w:shd w:val="clear" w:color="auto" w:fill="FFFFFF"/>
        <w:spacing w:after="24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附件：政府采购促进中小企业发展管理办法</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  政  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工业和信息化部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2020年12月18日</w:t>
      </w:r>
    </w:p>
    <w:p>
      <w:pPr>
        <w:autoSpaceDE w:val="0"/>
        <w:autoSpaceDN w:val="0"/>
        <w:adjustRightInd w:val="0"/>
        <w:jc w:val="left"/>
        <w:rPr>
          <w:rFonts w:hint="eastAsia" w:ascii="宋体" w:hAnsi="宋体" w:cs="宋体"/>
          <w:color w:val="000000" w:themeColor="text1"/>
          <w:kern w:val="0"/>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政府采购促进中小企业发展管理办法</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第四条 在政府采购活动中，供应商提供的货物、工程或者服务符合下列情形的，享受本办法规定的中小企业扶持政策：</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（一）在货物采购项目中，货物由中小企业制造，即货 物由中小企业生产且使用该中小企业商号或者注册商标；</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（二）在工程采购项目中，工程由中小企业承建，即工 程施工单位为中小企业；</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（三）在服务采购项目中，服务由中小企业承接，即提供服务的人员为中小企业依照《中华人民共和国劳动合同法》订立劳动合同的从业人员。</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在货物采购项目中，供应商提供的货物既有中小企业制造货物，也有大型企业制造货物的，不享受本办法规定的中小企业扶持政策。</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7"/>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符合下列情形之一的，可不专门面向中小企业预留采购</w:t>
      </w:r>
      <w:r>
        <w:rPr>
          <w:rFonts w:hint="eastAsia" w:ascii="宋体" w:hAnsi="宋体" w:cs="宋体"/>
          <w:color w:val="000000" w:themeColor="text1"/>
          <w14:textFill>
            <w14:solidFill>
              <w14:schemeClr w14:val="tx1"/>
            </w14:solidFill>
          </w14:textFill>
        </w:rPr>
        <w:t>份额：</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（一）法律法规和国家有关政策明确规定优先或者应当面向事业单位、社会组织等非企业主体采购的；</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（二）因确需使用不可替代的专利、专有技术，基础设施限制，或者提供特定公共服务等原因，只能从中小企业之外的供应商处采购的；</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（三）按照本办法规定预留采购份额无法确保充分供应、充分竞争，或者存在可能影响政府采购目标实现的情形；</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（四）框架协议采购项目；</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（五）省级以上人民政府财政部门规定的其他情形。 除上述情形外，其他均为适宜由中小企业提供的情形。</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第七条采购限额标准以上，200万元以下的货物和服务采购项目、400 万元以下的工程采购项目，适宜由中小企业提供的，采购人应当专门面向中小企业采购。</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（一）将采购项目整体或者设置采购包专门面向中小企业采购；</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（二）要求供应商以联合体形式参加采购活动，且联合体中中小企业承担的部分达到一定比例；</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（三）要求获得采购合同的供应商将采购项目中的一定比例分包给一家或者多家中小企业。</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组成联合体或者接受分包合同的中小企业与联合体内 其他企业、分包企业之间不得存在直接控股、管理关系。</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第十二条 采购项目涉及中小企业采购的，采购文件应当明确以下内容：</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（一）预留份额的采购项目或者采购包，明确该项目或相关采购包专门面向中小企业采购，以及相关标的及预算金额；</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（二）要求以联合体形式参加或者合同分包的，明确联合协议或者分包意向协议中中小企业合同金额应当达到的 比例，并作为供应商资格条件；</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（三）非预留份额的采购项目或者采购包，明确有关价格扣除比例或者价格分加分比例；</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（四）规定依据本办法规定享受扶持政策获得政府采购合同的，小微企业不得将合同分包给大中型企业，中型企业不得将合同分包给大型企业；</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（五）采购人认为具备相关条件的，明确对中小企业在资金支付期限、预付款比例等方面的优惠措施；</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（六）明确采购标的对应的中小企业划分标准所属行业；</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（七）法律法规和省级以上人民政府财政部门规定的其他事项。</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适用招标投标法的政府采购工程建设项目，应当在公示中标候选人时公开中标候选人的《中小企业声明函》。</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政府采购监督检查、投诉处理及政府采购行政处罚中对中小企业的认定，由货物制造商或者工程、服务供应商注册登记所在地的县级以上人民政府中小企业主管部门负责。</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中小企业主管部门应当在收到财政部门或者有关招标 投标行政监督部门关于协助开展中小企业认定函后 10 个工作日内做出书面答复。</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第二十条 供应商按照本办法规定提供声明函内容不实的，属于提供虚假材料谋取中标、成交，依照《中华人民共和国政府采购法》等国家有关规定追究相应责任。</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适用招标投标法的政府采购工程建设项目，投标人按照 本办法规定提供声明函内容不实的，属于弄虚作假骗取中标，依照《中华人民共和国招标投标法》等国家有关规定追究相应责任。</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第二十二条 对外援助项目、国家相关资格或者资质管理制度另有规定的项目，不适用本办法。</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第二十三条 关于视同中小企业的其他主体的政府采购扶持政策，由财政部会同有关部门另行规定。</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第二十四条 省级财政部门可以会同中小企业主管部门根据本办法的规定制定具体实施办法。</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pPr>
        <w:pStyle w:val="7"/>
        <w:tabs>
          <w:tab w:val="left" w:pos="562"/>
          <w:tab w:val="left" w:pos="3372"/>
          <w:tab w:val="left" w:pos="3653"/>
        </w:tabs>
        <w:spacing w:before="5"/>
        <w:rPr>
          <w:rFonts w:hint="eastAsia" w:ascii="宋体" w:hAnsi="宋体" w:cs="宋体"/>
          <w:color w:val="000000" w:themeColor="text1"/>
          <w14:textFill>
            <w14:solidFill>
              <w14:schemeClr w14:val="tx1"/>
            </w14:solidFill>
          </w14:textFill>
        </w:rPr>
      </w:pPr>
    </w:p>
    <w:p>
      <w:pPr>
        <w:pStyle w:val="7"/>
        <w:tabs>
          <w:tab w:val="left" w:pos="562"/>
          <w:tab w:val="left" w:pos="3372"/>
          <w:tab w:val="left" w:pos="3653"/>
        </w:tabs>
        <w:ind w:firstLine="480" w:firstLineChars="200"/>
        <w:outlineLvl w:val="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附：1.中小企业声明函</w:t>
      </w:r>
    </w:p>
    <w:p>
      <w:pPr>
        <w:pStyle w:val="7"/>
        <w:tabs>
          <w:tab w:val="left" w:pos="562"/>
          <w:tab w:val="left" w:pos="3372"/>
          <w:tab w:val="left" w:pos="3653"/>
        </w:tabs>
        <w:ind w:firstLine="960" w:firstLineChars="4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2.面向中小企业预留项目执行情况公告</w:t>
      </w:r>
    </w:p>
    <w:p>
      <w:pPr>
        <w:pStyle w:val="7"/>
        <w:tabs>
          <w:tab w:val="left" w:pos="562"/>
          <w:tab w:val="left" w:pos="3372"/>
          <w:tab w:val="left" w:pos="3653"/>
        </w:tabs>
        <w:spacing w:before="30"/>
        <w:outlineLvl w:val="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1</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中小企业声明函（货物）</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）采购活动，提供的货物全部由符合政策要求的中小企业制造。相关企业（含联合体中的中小企业、签订分包意向协议的中小企业） 的具体情况如下：</w:t>
      </w:r>
    </w:p>
    <w:p>
      <w:pPr>
        <w:pStyle w:val="7"/>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u w:val="single"/>
          <w14:textFill>
            <w14:solidFill>
              <w14:schemeClr w14:val="tx1"/>
            </w14:solidFill>
          </w14:textFill>
        </w:rPr>
        <w:t>标的名称</w:t>
      </w:r>
      <w:r>
        <w:rPr>
          <w:rFonts w:hint="eastAsia" w:ascii="宋体" w:hAnsi="宋体" w:cs="宋体"/>
          <w:color w:val="000000" w:themeColor="text1"/>
          <w:kern w:val="0"/>
          <w14:textFill>
            <w14:solidFill>
              <w14:schemeClr w14:val="tx1"/>
            </w14:solidFill>
          </w14:textFill>
        </w:rPr>
        <w:t>），属于（</w:t>
      </w:r>
      <w:r>
        <w:rPr>
          <w:rFonts w:hint="eastAsia" w:ascii="宋体" w:hAnsi="宋体" w:cs="宋体"/>
          <w:color w:val="000000" w:themeColor="text1"/>
          <w:kern w:val="0"/>
          <w:u w:val="single"/>
          <w14:textFill>
            <w14:solidFill>
              <w14:schemeClr w14:val="tx1"/>
            </w14:solidFill>
          </w14:textFill>
        </w:rPr>
        <w:t>采购文件中明确的所属行业</w:t>
      </w:r>
      <w:r>
        <w:rPr>
          <w:rFonts w:hint="eastAsia" w:ascii="宋体" w:hAnsi="宋体" w:cs="宋体"/>
          <w:color w:val="000000" w:themeColor="text1"/>
          <w:kern w:val="0"/>
          <w14:textFill>
            <w14:solidFill>
              <w14:schemeClr w14:val="tx1"/>
            </w14:solidFill>
          </w14:textFill>
        </w:rPr>
        <w:t>）；制造商为（</w:t>
      </w:r>
      <w:r>
        <w:rPr>
          <w:rFonts w:hint="eastAsia" w:ascii="宋体" w:hAnsi="宋体" w:cs="宋体"/>
          <w:color w:val="000000" w:themeColor="text1"/>
          <w:kern w:val="0"/>
          <w:u w:val="single"/>
          <w14:textFill>
            <w14:solidFill>
              <w14:schemeClr w14:val="tx1"/>
            </w14:solidFill>
          </w14:textFill>
        </w:rPr>
        <w:t>企业名称</w:t>
      </w:r>
      <w:r>
        <w:rPr>
          <w:rFonts w:hint="eastAsia" w:ascii="宋体" w:hAnsi="宋体" w:cs="宋体"/>
          <w:color w:val="000000" w:themeColor="text1"/>
          <w:kern w:val="0"/>
          <w14:textFill>
            <w14:solidFill>
              <w14:schemeClr w14:val="tx1"/>
            </w14:solidFill>
          </w14:textFill>
        </w:rPr>
        <w:t>），从业人员</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 xml:space="preserve">人，营业收入为 </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万元，资产总额为</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万元，属于（</w:t>
      </w:r>
      <w:r>
        <w:rPr>
          <w:rFonts w:hint="eastAsia" w:ascii="宋体" w:hAnsi="宋体" w:cs="宋体"/>
          <w:color w:val="000000" w:themeColor="text1"/>
          <w:kern w:val="0"/>
          <w:u w:val="single"/>
          <w14:textFill>
            <w14:solidFill>
              <w14:schemeClr w14:val="tx1"/>
            </w14:solidFill>
          </w14:textFill>
        </w:rPr>
        <w:t>中型企业、小型企业、微型企业</w:t>
      </w:r>
      <w:r>
        <w:rPr>
          <w:rFonts w:hint="eastAsia" w:ascii="宋体" w:hAnsi="宋体" w:cs="宋体"/>
          <w:color w:val="000000" w:themeColor="text1"/>
          <w:kern w:val="0"/>
          <w14:textFill>
            <w14:solidFill>
              <w14:schemeClr w14:val="tx1"/>
            </w14:solidFill>
          </w14:textFill>
        </w:rPr>
        <w:t>）；</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）；制造商为（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ind w:left="4200" w:leftChars="20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7"/>
        <w:tabs>
          <w:tab w:val="left" w:pos="562"/>
          <w:tab w:val="left" w:pos="3372"/>
          <w:tab w:val="left" w:pos="3653"/>
        </w:tabs>
        <w:jc w:val="center"/>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中小企业声明函（工程、服务）</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 ；承建（承接）企业为（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p>
    <w:p>
      <w:pPr>
        <w:pStyle w:val="7"/>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注意事项：</w:t>
      </w:r>
    </w:p>
    <w:p>
      <w:pPr>
        <w:pStyle w:val="7"/>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1.从业人员、营业收入、资产总额填报上一年度数据，无上一年度数据的新成立企业可不填报。</w:t>
      </w:r>
    </w:p>
    <w:p>
      <w:pPr>
        <w:pStyle w:val="7"/>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7"/>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3.事业单位、社会组织等非企业主体不享受中小企业扶持政策，但事业单位、社会组织等非企业主体提供全部由中小企业制造的货物参加货物采购项目的除外。</w:t>
      </w:r>
    </w:p>
    <w:p>
      <w:pPr>
        <w:pStyle w:val="7"/>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4.相关承接/承建企业的所属行业应当与采购标的所属行业（采购文件中明确的行业）相一致。</w:t>
      </w:r>
    </w:p>
    <w:p>
      <w:pPr>
        <w:pStyle w:val="7"/>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p>
    <w:p>
      <w:pPr>
        <w:pStyle w:val="7"/>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7"/>
        <w:tabs>
          <w:tab w:val="left" w:pos="562"/>
          <w:tab w:val="left" w:pos="3372"/>
          <w:tab w:val="left" w:pos="3653"/>
        </w:tabs>
        <w:spacing w:before="3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r>
        <w:rPr>
          <w:rFonts w:hint="eastAsia" w:ascii="宋体" w:hAnsi="宋体" w:cs="宋体"/>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2</w:t>
      </w:r>
    </w:p>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pacing w:val="-3"/>
          <w:sz w:val="24"/>
          <w:u w:val="single" w:color="000000"/>
          <w14:textFill>
            <w14:solidFill>
              <w14:schemeClr w14:val="tx1"/>
            </w14:solidFill>
          </w14:textFill>
        </w:rPr>
        <w:t>（单位名称）</w:t>
      </w:r>
      <w:r>
        <w:rPr>
          <w:rFonts w:hint="eastAsia" w:ascii="宋体" w:hAnsi="宋体" w:cs="宋体"/>
          <w:color w:val="000000" w:themeColor="text1"/>
          <w:spacing w:val="-29"/>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年面向中小企业预留项目执行情况公告</w:t>
      </w:r>
    </w:p>
    <w:p>
      <w:pPr>
        <w:pStyle w:val="7"/>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根据《政府采购促进中小企业发展管理办法》（财库﹝2020﹞46</w:t>
      </w:r>
      <w:r>
        <w:rPr>
          <w:rFonts w:hint="eastAsia" w:ascii="宋体" w:hAnsi="宋体" w:cs="宋体"/>
          <w:color w:val="000000" w:themeColor="text1"/>
          <w:spacing w:val="-47"/>
          <w14:textFill>
            <w14:solidFill>
              <w14:schemeClr w14:val="tx1"/>
            </w14:solidFill>
          </w14:textFill>
        </w:rPr>
        <w:t xml:space="preserve"> 号</w:t>
      </w:r>
      <w:r>
        <w:rPr>
          <w:rFonts w:hint="eastAsia" w:ascii="宋体" w:hAnsi="宋体" w:cs="宋体"/>
          <w:color w:val="000000" w:themeColor="text1"/>
          <w:spacing w:val="-22"/>
          <w14:textFill>
            <w14:solidFill>
              <w14:schemeClr w14:val="tx1"/>
            </w14:solidFill>
          </w14:textFill>
        </w:rPr>
        <w:t>）</w:t>
      </w:r>
      <w:r>
        <w:rPr>
          <w:rFonts w:hint="eastAsia" w:ascii="宋体" w:hAnsi="宋体" w:cs="宋体"/>
          <w:color w:val="000000" w:themeColor="text1"/>
          <w:spacing w:val="-7"/>
          <w14:textFill>
            <w14:solidFill>
              <w14:schemeClr w14:val="tx1"/>
            </w14:solidFill>
          </w14:textFill>
        </w:rPr>
        <w:t>要求，现对本部门</w:t>
      </w:r>
      <w:r>
        <w:rPr>
          <w:rFonts w:hint="eastAsia" w:ascii="宋体" w:hAnsi="宋体" w:cs="宋体"/>
          <w:color w:val="000000" w:themeColor="text1"/>
          <w:spacing w:val="-3"/>
          <w14:textFill>
            <w14:solidFill>
              <w14:schemeClr w14:val="tx1"/>
            </w14:solidFill>
          </w14:textFill>
        </w:rPr>
        <w:t>（</w:t>
      </w:r>
      <w:r>
        <w:rPr>
          <w:rFonts w:hint="eastAsia" w:ascii="宋体" w:hAnsi="宋体" w:cs="宋体"/>
          <w:color w:val="000000" w:themeColor="text1"/>
          <w14:textFill>
            <w14:solidFill>
              <w14:schemeClr w14:val="tx1"/>
            </w14:solidFill>
          </w14:textFill>
        </w:rPr>
        <w:t>单位</w:t>
      </w:r>
      <w:r>
        <w:rPr>
          <w:rFonts w:hint="eastAsia" w:ascii="宋体" w:hAnsi="宋体" w:cs="宋体"/>
          <w:color w:val="000000" w:themeColor="text1"/>
          <w:spacing w:val="-7"/>
          <w14:textFill>
            <w14:solidFill>
              <w14:schemeClr w14:val="tx1"/>
            </w14:solidFill>
          </w14:textFill>
        </w:rPr>
        <w:t>）</w:t>
      </w:r>
      <w:r>
        <w:rPr>
          <w:rFonts w:hint="eastAsia" w:ascii="宋体" w:hAnsi="宋体" w:cs="宋体"/>
          <w:color w:val="000000" w:themeColor="text1"/>
          <w:spacing w:val="-4"/>
          <w14:textFill>
            <w14:solidFill>
              <w14:schemeClr w14:val="tx1"/>
            </w14:solidFill>
          </w14:textFill>
        </w:rPr>
        <w:t>××年面向中小企业预留项目执行情况公告如下：</w:t>
      </w:r>
    </w:p>
    <w:p>
      <w:pPr>
        <w:pStyle w:val="7"/>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本部门（单位）××年预留项目面向中小企业采购共计××万元，其中，面向小微企业采购××万元，占××%。</w:t>
      </w:r>
    </w:p>
    <w:p>
      <w:pPr>
        <w:pStyle w:val="7"/>
        <w:tabs>
          <w:tab w:val="left" w:pos="562"/>
          <w:tab w:val="left" w:pos="3372"/>
          <w:tab w:val="left" w:pos="3653"/>
        </w:tabs>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面向中小企业预留项目明细</w:t>
      </w:r>
    </w:p>
    <w:tbl>
      <w:tblPr>
        <w:tblStyle w:val="18"/>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序号</w:t>
            </w:r>
          </w:p>
        </w:tc>
        <w:tc>
          <w:tcPr>
            <w:tcW w:w="1866" w:type="dxa"/>
            <w:vAlign w:val="center"/>
          </w:tcPr>
          <w:p>
            <w:pPr>
              <w:pStyle w:val="2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2010" w:type="dxa"/>
            <w:vAlign w:val="center"/>
          </w:tcPr>
          <w:p>
            <w:pPr>
              <w:pStyle w:val="2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预留选项</w:t>
            </w:r>
          </w:p>
        </w:tc>
        <w:tc>
          <w:tcPr>
            <w:tcW w:w="2296" w:type="dxa"/>
            <w:vAlign w:val="center"/>
          </w:tcPr>
          <w:p>
            <w:pPr>
              <w:pStyle w:val="2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面向中小企业采购金额</w:t>
            </w:r>
          </w:p>
        </w:tc>
        <w:tc>
          <w:tcPr>
            <w:tcW w:w="1784" w:type="dxa"/>
            <w:vAlign w:val="center"/>
          </w:tcPr>
          <w:p>
            <w:pPr>
              <w:pStyle w:val="28"/>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8"/>
              <w:jc w:val="center"/>
              <w:rPr>
                <w:rFonts w:hint="eastAsia"/>
                <w:color w:val="000000" w:themeColor="text1"/>
                <w:sz w:val="24"/>
                <w:szCs w:val="24"/>
                <w14:textFill>
                  <w14:solidFill>
                    <w14:schemeClr w14:val="tx1"/>
                  </w14:solidFill>
                </w14:textFill>
              </w:rPr>
            </w:pPr>
          </w:p>
        </w:tc>
        <w:tc>
          <w:tcPr>
            <w:tcW w:w="1866" w:type="dxa"/>
            <w:tcBorders>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（填写“采购项</w:t>
            </w:r>
          </w:p>
        </w:tc>
        <w:tc>
          <w:tcPr>
            <w:tcW w:w="2296" w:type="dxa"/>
            <w:tcBorders>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restart"/>
            <w:vAlign w:val="center"/>
          </w:tcPr>
          <w:p>
            <w:pPr>
              <w:pStyle w:val="28"/>
              <w:jc w:val="center"/>
              <w:rPr>
                <w:rFonts w:hint="eastAsia"/>
                <w:color w:val="000000" w:themeColor="text1"/>
                <w:sz w:val="24"/>
                <w:szCs w:val="24"/>
                <w14:textFill>
                  <w14:solidFill>
                    <w14:schemeClr w14:val="tx1"/>
                  </w14:solidFill>
                </w14:textFill>
              </w:rPr>
            </w:pPr>
          </w:p>
          <w:p>
            <w:pPr>
              <w:pStyle w:val="28"/>
              <w:jc w:val="center"/>
              <w:rPr>
                <w:rFonts w:hint="eastAsia"/>
                <w:color w:val="000000" w:themeColor="text1"/>
                <w:sz w:val="24"/>
                <w:szCs w:val="24"/>
                <w14:textFill>
                  <w14:solidFill>
                    <w14:schemeClr w14:val="tx1"/>
                  </w14:solidFill>
                </w14:textFill>
              </w:rPr>
            </w:pPr>
          </w:p>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目整体预留”、</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“设置专门采购</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（填写集中采</w:t>
            </w: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包”、“要求以</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购目录以内或</w:t>
            </w: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联合体形式参</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（精确到万元）</w:t>
            </w: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者采购限额标</w:t>
            </w: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加”或者“要求</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准以上的采购项目</w:t>
            </w: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合同分包”，除</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“采购项目全部</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预留”外，还应</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当填写预留给中</w:t>
            </w:r>
          </w:p>
        </w:tc>
        <w:tc>
          <w:tcPr>
            <w:tcW w:w="2296" w:type="dxa"/>
            <w:tcBorders>
              <w:top w:val="nil"/>
              <w:bottom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tcBorders>
            <w:vAlign w:val="center"/>
          </w:tcPr>
          <w:p>
            <w:pPr>
              <w:pStyle w:val="28"/>
              <w:jc w:val="center"/>
              <w:rPr>
                <w:rFonts w:hint="eastAsia"/>
                <w:color w:val="000000" w:themeColor="text1"/>
                <w:sz w:val="24"/>
                <w:szCs w:val="24"/>
                <w14:textFill>
                  <w14:solidFill>
                    <w14:schemeClr w14:val="tx1"/>
                  </w14:solidFill>
                </w14:textFill>
              </w:rPr>
            </w:pPr>
          </w:p>
        </w:tc>
        <w:tc>
          <w:tcPr>
            <w:tcW w:w="2010" w:type="dxa"/>
            <w:tcBorders>
              <w:top w:val="nil"/>
            </w:tcBorders>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小企业的比例）</w:t>
            </w:r>
          </w:p>
        </w:tc>
        <w:tc>
          <w:tcPr>
            <w:tcW w:w="2296" w:type="dxa"/>
            <w:tcBorders>
              <w:top w:val="nil"/>
            </w:tcBorders>
            <w:vAlign w:val="center"/>
          </w:tcPr>
          <w:p>
            <w:pPr>
              <w:pStyle w:val="28"/>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866" w:type="dxa"/>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010" w:type="dxa"/>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296" w:type="dxa"/>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84" w:type="dxa"/>
            <w:vAlign w:val="center"/>
          </w:tcPr>
          <w:p>
            <w:pPr>
              <w:pStyle w:val="28"/>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bl>
    <w:p>
      <w:pPr>
        <w:pStyle w:val="7"/>
        <w:tabs>
          <w:tab w:val="left" w:pos="562"/>
          <w:tab w:val="left" w:pos="3372"/>
          <w:tab w:val="left" w:pos="3653"/>
        </w:tabs>
        <w:spacing w:before="128"/>
        <w:ind w:left="4220" w:right="1843"/>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部门（单位）名称： 日期：</w:t>
      </w:r>
    </w:p>
    <w:p>
      <w:pPr>
        <w:pStyle w:val="7"/>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5"/>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2、工业和信息化部、国家统计局、国家发展和改革委员会、财政部《关于印发〈中小企业划型标准规定〉的通知》（工信部联企〔2011〕300 号）</w:t>
      </w:r>
    </w:p>
    <w:p>
      <w:pPr>
        <w:pStyle w:val="7"/>
        <w:tabs>
          <w:tab w:val="left" w:pos="562"/>
          <w:tab w:val="left" w:pos="3372"/>
          <w:tab w:val="left" w:pos="3653"/>
        </w:tabs>
        <w:rPr>
          <w:rFonts w:hint="eastAsia" w:ascii="宋体" w:hAnsi="宋体" w:cs="宋体"/>
          <w:color w:val="000000" w:themeColor="text1"/>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关于印发中小企业划型标准规定的通知</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工信部联企业〔2011〕300号</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各省、自治区、直辖市人民政府，国务院各部委、各直属机构及有关单位：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工业和信息化部 国家统计局</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国家发展和改革委员会 财政部</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二○一一年六月十八日</w:t>
      </w: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中小企业划型标准规定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000000" w:themeColor="text1"/>
          <w:sz w:val="24"/>
          <w14:textFill>
            <w14:solidFill>
              <w14:schemeClr w14:val="tx1"/>
            </w14:solidFill>
          </w14:textFill>
        </w:rPr>
      </w:pPr>
    </w:p>
    <w:p>
      <w:pPr>
        <w:pStyle w:val="15"/>
        <w:jc w:val="both"/>
        <w:outlineLvl w:val="9"/>
        <w:rPr>
          <w:rFonts w:hint="eastAsia" w:ascii="宋体" w:hAnsi="宋体" w:eastAsia="宋体" w:cs="宋体"/>
          <w:color w:val="000000" w:themeColor="text1"/>
          <w:sz w:val="24"/>
          <w:szCs w:val="24"/>
          <w14:textFill>
            <w14:solidFill>
              <w14:schemeClr w14:val="tx1"/>
            </w14:solidFill>
          </w14:textFill>
        </w:rPr>
      </w:pPr>
    </w:p>
    <w:p>
      <w:pPr>
        <w:pStyle w:val="15"/>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3、国家统计局《关于印发〈统计上大中小微型企业划分办法（2017）〉的通知》</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p>
    <w:p>
      <w:pPr>
        <w:widowControl/>
        <w:shd w:val="clear" w:color="auto" w:fill="FFFFFF"/>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国家统计局关于印发《统计上大中小微型企业划分办法（2017）》的通知</w:t>
      </w:r>
    </w:p>
    <w:p>
      <w:pPr>
        <w:widowControl/>
        <w:shd w:val="clear" w:color="auto" w:fill="FFFFFF"/>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附件：《统计上大中小微型企业划分办法（2017）》修订说明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国家统计局</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2017年12月28日</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统计上大中小微型企业划分办法（2017）</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附表：统计上大中小微型企业划分标准</w:t>
      </w:r>
    </w:p>
    <w:p>
      <w:pPr>
        <w:widowControl/>
        <w:jc w:val="left"/>
        <w:rPr>
          <w:rFonts w:hint="eastAsia" w:ascii="宋体" w:hAnsi="宋体" w:cs="宋体"/>
          <w:color w:val="000000" w:themeColor="text1"/>
          <w:kern w:val="0"/>
          <w:sz w:val="24"/>
          <w14:textFill>
            <w14:solidFill>
              <w14:schemeClr w14:val="tx1"/>
            </w14:solidFill>
          </w14:textFill>
        </w:rPr>
      </w:pPr>
    </w:p>
    <w:p>
      <w:pPr>
        <w:widowControl/>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统计上大中小微型企业划分标准</w:t>
      </w:r>
    </w:p>
    <w:tbl>
      <w:tblPr>
        <w:tblStyle w:val="1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行业名称</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指标名称</w:t>
            </w:r>
          </w:p>
        </w:tc>
        <w:tc>
          <w:tcPr>
            <w:tcW w:w="727" w:type="dxa"/>
            <w:vAlign w:val="center"/>
          </w:tcPr>
          <w:p>
            <w:pPr>
              <w:widowControl/>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计量</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大型</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农、林、牧、渔业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50≤Y＜500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 *</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2000≤Y＜40000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300≤Y＜2000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建筑业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Y≥80000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6000≤Y＜80000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300≤Y＜6000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Z≥80000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5000≤Z＜80000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300≤Z＜5000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批发业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20≤X＜200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5≤X＜20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5000≤Y＜40000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零售业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10≤X＜50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100≤Y＜500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交通运输业 *</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3000≤Y＜30000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200≤Y＜3000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仓储业*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1000≤Y＜30000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邮政业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2000≤Y＜30000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住宿业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餐饮业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信息传输业 *</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软件和信息技术服务业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房地产开发经营</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1000≤Y＜200000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5000≤Z＜10000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2000≤Z＜5000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物业管理</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租赁和商务服务业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Z≥120000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8000≤Z＜120000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100≤Z＜8000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其他未列明行业 *</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bl>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7"/>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5"/>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4、财政部、民政部、中国残联《关于促进残疾人就业政府采购政策的通知》（财库〔2017〕141 号）</w:t>
      </w:r>
    </w:p>
    <w:p>
      <w:pPr>
        <w:shd w:val="clear" w:color="auto" w:fill="FFFFFF"/>
        <w:rPr>
          <w:rFonts w:hint="eastAsia" w:ascii="宋体" w:hAnsi="宋体" w:cs="宋体"/>
          <w:bCs/>
          <w:color w:val="000000" w:themeColor="text1"/>
          <w:sz w:val="24"/>
          <w14:textFill>
            <w14:solidFill>
              <w14:schemeClr w14:val="tx1"/>
            </w14:solidFill>
          </w14:textFill>
        </w:rPr>
      </w:pPr>
    </w:p>
    <w:p>
      <w:pPr>
        <w:shd w:val="clear" w:color="auto" w:fill="FFFFFF"/>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关于促进残疾人就业政府采购政策的通知</w:t>
      </w:r>
    </w:p>
    <w:p>
      <w:pPr>
        <w:pStyle w:val="14"/>
        <w:shd w:val="clear" w:color="auto" w:fill="FFFFFF"/>
        <w:spacing w:before="0" w:beforeAutospacing="0" w:after="0" w:afterAutospacing="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bookmarkStart w:id="45" w:name="sendNo"/>
      <w:r>
        <w:rPr>
          <w:rFonts w:hint="eastAsia"/>
          <w:color w:val="000000" w:themeColor="text1"/>
          <w14:textFill>
            <w14:solidFill>
              <w14:schemeClr w14:val="tx1"/>
            </w14:solidFill>
          </w14:textFill>
        </w:rPr>
        <w:t>财库〔</w:t>
      </w:r>
      <w:bookmarkEnd w:id="45"/>
      <w:r>
        <w:rPr>
          <w:rFonts w:hint="eastAsia"/>
          <w:color w:val="000000" w:themeColor="text1"/>
          <w14:textFill>
            <w14:solidFill>
              <w14:schemeClr w14:val="tx1"/>
            </w14:solidFill>
          </w14:textFill>
        </w:rPr>
        <w:t>2017〕141号</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bookmarkStart w:id="46" w:name="toDeptId"/>
      <w:r>
        <w:rPr>
          <w:rFonts w:hint="eastAsia"/>
          <w:color w:val="000000" w:themeColor="text1"/>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46"/>
      <w:r>
        <w:rPr>
          <w:rFonts w:hint="eastAsia"/>
          <w:color w:val="000000" w:themeColor="text1"/>
          <w14:textFill>
            <w14:solidFill>
              <w14:schemeClr w14:val="tx1"/>
            </w14:solidFill>
          </w14:textFill>
        </w:rPr>
        <w:t>：</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一、享受政府采购支持政策的残疾人福利性单位应当同时满足以下条件：</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（一）安置的残疾人占本单位在职职工人数的比例不低于25%（含25%），并且安置的残疾人人数不少于10人（含10人）；</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（二）依法与安置的每位残疾人签订了一年以上（含一年）的劳动合同或服务协议；</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（三）为安置的每位残疾人按月足额缴纳了基本养老保险、基本医疗保险、失业保险、工伤保险和生育保险等社会保险费；</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（四）通过银行等金融机构向安置的每位残疾人，按月支付了不低于单位所在区县适用的经省级人民政府批准的月最低工资标准的工资；</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中标、成交供应商为残疾人福利性单位的，采购人或者其委托的采购代理机构应当随中标、成交结果同时公告其《残疾人福利性单位声明函》，接受社会监督。</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供应商提供的《残疾人福利性单位声明函》与事实不符的，依照《政府采购法》第七十七条第一款的规定追究法律责任。</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4"/>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pPr>
        <w:pStyle w:val="14"/>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4"/>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4"/>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七、本通知自2017年10月1日起执行。</w:t>
      </w:r>
    </w:p>
    <w:p>
      <w:pPr>
        <w:pStyle w:val="14"/>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财政部 民政部 中国残疾人联合会</w:t>
      </w:r>
    </w:p>
    <w:p>
      <w:pPr>
        <w:pStyle w:val="14"/>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2017年8月22日</w:t>
      </w:r>
    </w:p>
    <w:p>
      <w:pPr>
        <w:pStyle w:val="29"/>
        <w:shd w:val="clear" w:color="auto" w:fill="FFFFFF"/>
        <w:spacing w:before="0" w:beforeAutospacing="0" w:after="0" w:afterAutospacing="0" w:line="56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w:t>
      </w:r>
    </w:p>
    <w:p>
      <w:pPr>
        <w:pStyle w:val="29"/>
        <w:shd w:val="clear" w:color="auto" w:fill="FFFFFF"/>
        <w:spacing w:before="0" w:beforeAutospacing="0" w:after="0" w:afterAutospacing="0" w:line="560" w:lineRule="exact"/>
        <w:ind w:firstLine="482" w:firstLineChars="200"/>
        <w:jc w:val="center"/>
        <w:rPr>
          <w:rFonts w:hint="eastAsia"/>
          <w:color w:val="000000" w:themeColor="text1"/>
          <w14:textFill>
            <w14:solidFill>
              <w14:schemeClr w14:val="tx1"/>
            </w14:solidFill>
          </w14:textFill>
        </w:rPr>
      </w:pPr>
      <w:r>
        <w:rPr>
          <w:rStyle w:val="30"/>
          <w:rFonts w:hint="eastAsia"/>
          <w:b/>
          <w:bCs/>
          <w:color w:val="000000" w:themeColor="text1"/>
          <w14:textFill>
            <w14:solidFill>
              <w14:schemeClr w14:val="tx1"/>
            </w14:solidFill>
          </w14:textFill>
        </w:rPr>
        <w:t>残疾人福利性单位声明函</w:t>
      </w:r>
    </w:p>
    <w:p>
      <w:pPr>
        <w:pStyle w:val="29"/>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30"/>
          <w:rFonts w:hint="eastAsia"/>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9"/>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30"/>
          <w:rFonts w:hint="eastAsia"/>
          <w:color w:val="000000" w:themeColor="text1"/>
          <w14:textFill>
            <w14:solidFill>
              <w14:schemeClr w14:val="tx1"/>
            </w14:solidFill>
          </w14:textFill>
        </w:rPr>
        <w:t>本单位对上述声明的真实性负责。如有虚假，将依法承担相应责任。</w:t>
      </w:r>
    </w:p>
    <w:p>
      <w:pPr>
        <w:pStyle w:val="29"/>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投标人已知悉《关于促进残疾人就业政府采购政策的通知》（财库〔2017〕141 号）的规定，承诺提供的声明函内容是真实的，如提供声明函内容不实，则依法追究相关法律责任。</w:t>
      </w:r>
    </w:p>
    <w:p>
      <w:pPr>
        <w:pStyle w:val="29"/>
        <w:shd w:val="clear" w:color="auto" w:fill="FFFFFF"/>
        <w:spacing w:before="0" w:beforeAutospacing="0" w:after="0" w:afterAutospacing="0" w:line="560" w:lineRule="exact"/>
        <w:ind w:right="2100" w:rightChars="1000"/>
        <w:jc w:val="right"/>
        <w:rPr>
          <w:rFonts w:hint="eastAsia"/>
          <w:color w:val="000000" w:themeColor="text1"/>
          <w14:textFill>
            <w14:solidFill>
              <w14:schemeClr w14:val="tx1"/>
            </w14:solidFill>
          </w14:textFill>
        </w:rPr>
      </w:pPr>
      <w:r>
        <w:rPr>
          <w:rStyle w:val="30"/>
          <w:rFonts w:hint="eastAsia"/>
          <w:color w:val="000000" w:themeColor="text1"/>
          <w14:textFill>
            <w14:solidFill>
              <w14:schemeClr w14:val="tx1"/>
            </w14:solidFill>
          </w14:textFill>
        </w:rPr>
        <w:t>单位名称（盖章）：</w:t>
      </w:r>
    </w:p>
    <w:p>
      <w:pPr>
        <w:pStyle w:val="29"/>
        <w:shd w:val="clear" w:color="auto" w:fill="FFFFFF"/>
        <w:spacing w:before="0" w:beforeAutospacing="0" w:after="0" w:afterAutospacing="0" w:line="560" w:lineRule="exact"/>
        <w:ind w:right="2100" w:rightChars="1000"/>
        <w:jc w:val="right"/>
        <w:rPr>
          <w:rFonts w:hint="eastAsia"/>
          <w:color w:val="000000" w:themeColor="text1"/>
          <w:lang w:val="fr-CH"/>
          <w14:textFill>
            <w14:solidFill>
              <w14:schemeClr w14:val="tx1"/>
            </w14:solidFill>
          </w14:textFill>
        </w:rPr>
      </w:pPr>
      <w:r>
        <w:rPr>
          <w:rStyle w:val="30"/>
          <w:rFonts w:hint="eastAsia"/>
          <w:color w:val="000000" w:themeColor="text1"/>
          <w14:textFill>
            <w14:solidFill>
              <w14:schemeClr w14:val="tx1"/>
            </w14:solidFill>
          </w14:textFill>
        </w:rPr>
        <w:t>日 期：</w:t>
      </w:r>
    </w:p>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pPr>
    </w:p>
    <w:p>
      <w:pPr>
        <w:rPr>
          <w:color w:val="000000" w:themeColor="text1"/>
          <w14:textFill>
            <w14:solidFill>
              <w14:schemeClr w14:val="tx1"/>
            </w14:solidFill>
          </w14:textFill>
        </w:rPr>
      </w:pPr>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45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49D8398"/>
    <w:multiLevelType w:val="singleLevel"/>
    <w:tmpl w:val="B49D8398"/>
    <w:lvl w:ilvl="0" w:tentative="0">
      <w:start w:val="1"/>
      <w:numFmt w:val="chineseCounting"/>
      <w:suff w:val="nothing"/>
      <w:lvlText w:val="（%1）"/>
      <w:lvlJc w:val="left"/>
      <w:rPr>
        <w:rFonts w:hint="eastAsia"/>
      </w:rPr>
    </w:lvl>
  </w:abstractNum>
  <w:abstractNum w:abstractNumId="5">
    <w:nsid w:val="B60EDFBE"/>
    <w:multiLevelType w:val="singleLevel"/>
    <w:tmpl w:val="B60EDFBE"/>
    <w:lvl w:ilvl="0" w:tentative="0">
      <w:start w:val="1"/>
      <w:numFmt w:val="decimal"/>
      <w:suff w:val="nothing"/>
      <w:lvlText w:val="（%1）"/>
      <w:lvlJc w:val="left"/>
    </w:lvl>
  </w:abstractNum>
  <w:abstractNum w:abstractNumId="6">
    <w:nsid w:val="CA944F70"/>
    <w:multiLevelType w:val="singleLevel"/>
    <w:tmpl w:val="CA944F70"/>
    <w:lvl w:ilvl="0" w:tentative="0">
      <w:start w:val="1"/>
      <w:numFmt w:val="decimal"/>
      <w:lvlText w:val="%1."/>
      <w:lvlJc w:val="left"/>
      <w:pPr>
        <w:tabs>
          <w:tab w:val="left" w:pos="312"/>
        </w:tabs>
      </w:pPr>
    </w:lvl>
  </w:abstractNum>
  <w:abstractNum w:abstractNumId="7">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8">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9">
    <w:nsid w:val="200A2FAF"/>
    <w:multiLevelType w:val="singleLevel"/>
    <w:tmpl w:val="200A2FAF"/>
    <w:lvl w:ilvl="0" w:tentative="0">
      <w:start w:val="5"/>
      <w:numFmt w:val="decimal"/>
      <w:suff w:val="nothing"/>
      <w:lvlText w:val="（%1）"/>
      <w:lvlJc w:val="left"/>
    </w:lvl>
  </w:abstractNum>
  <w:abstractNum w:abstractNumId="10">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1">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2">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3">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4">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4"/>
  </w:num>
  <w:num w:numId="2">
    <w:abstractNumId w:val="5"/>
  </w:num>
  <w:num w:numId="3">
    <w:abstractNumId w:val="2"/>
  </w:num>
  <w:num w:numId="4">
    <w:abstractNumId w:val="10"/>
  </w:num>
  <w:num w:numId="5">
    <w:abstractNumId w:val="11"/>
  </w:num>
  <w:num w:numId="6">
    <w:abstractNumId w:val="4"/>
  </w:num>
  <w:num w:numId="7">
    <w:abstractNumId w:val="6"/>
  </w:num>
  <w:num w:numId="8">
    <w:abstractNumId w:val="3"/>
  </w:num>
  <w:num w:numId="9">
    <w:abstractNumId w:val="7"/>
  </w:num>
  <w:num w:numId="10">
    <w:abstractNumId w:val="1"/>
  </w:num>
  <w:num w:numId="11">
    <w:abstractNumId w:val="0"/>
  </w:num>
  <w:num w:numId="12">
    <w:abstractNumId w:val="8"/>
  </w:num>
  <w:num w:numId="13">
    <w:abstractNumId w:val="1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E6E37"/>
    <w:rsid w:val="00002D9F"/>
    <w:rsid w:val="00004FE6"/>
    <w:rsid w:val="00017862"/>
    <w:rsid w:val="00054471"/>
    <w:rsid w:val="001C60B0"/>
    <w:rsid w:val="003A4DB8"/>
    <w:rsid w:val="006E4653"/>
    <w:rsid w:val="00771B68"/>
    <w:rsid w:val="0089189B"/>
    <w:rsid w:val="00B82957"/>
    <w:rsid w:val="00C93875"/>
    <w:rsid w:val="00D62CC9"/>
    <w:rsid w:val="00E747E3"/>
    <w:rsid w:val="00F46D15"/>
    <w:rsid w:val="00F72CA9"/>
    <w:rsid w:val="00FF40AC"/>
    <w:rsid w:val="01145951"/>
    <w:rsid w:val="011663ED"/>
    <w:rsid w:val="01211AD4"/>
    <w:rsid w:val="012515C4"/>
    <w:rsid w:val="012D0479"/>
    <w:rsid w:val="0157618B"/>
    <w:rsid w:val="01B446F6"/>
    <w:rsid w:val="01D628BE"/>
    <w:rsid w:val="01EF572E"/>
    <w:rsid w:val="020442FF"/>
    <w:rsid w:val="020E3E06"/>
    <w:rsid w:val="02477318"/>
    <w:rsid w:val="02A80FA1"/>
    <w:rsid w:val="02B81FC4"/>
    <w:rsid w:val="032558AB"/>
    <w:rsid w:val="032F4898"/>
    <w:rsid w:val="036839EA"/>
    <w:rsid w:val="036D7252"/>
    <w:rsid w:val="037800D1"/>
    <w:rsid w:val="037C7496"/>
    <w:rsid w:val="038D16A3"/>
    <w:rsid w:val="038E26A7"/>
    <w:rsid w:val="03993BA4"/>
    <w:rsid w:val="03B24C65"/>
    <w:rsid w:val="03B54992"/>
    <w:rsid w:val="03BB1D6C"/>
    <w:rsid w:val="03E5503B"/>
    <w:rsid w:val="03FF0592"/>
    <w:rsid w:val="03FF56E1"/>
    <w:rsid w:val="040C3CF2"/>
    <w:rsid w:val="044E26AD"/>
    <w:rsid w:val="04972A57"/>
    <w:rsid w:val="049A4077"/>
    <w:rsid w:val="04A919F3"/>
    <w:rsid w:val="04AC3B33"/>
    <w:rsid w:val="04D035F5"/>
    <w:rsid w:val="04D255BF"/>
    <w:rsid w:val="04E15802"/>
    <w:rsid w:val="050D4546"/>
    <w:rsid w:val="05525F81"/>
    <w:rsid w:val="05A30D0A"/>
    <w:rsid w:val="05D438B9"/>
    <w:rsid w:val="05F15671"/>
    <w:rsid w:val="05F652DD"/>
    <w:rsid w:val="05F94DCD"/>
    <w:rsid w:val="060A7F0C"/>
    <w:rsid w:val="06416BB8"/>
    <w:rsid w:val="06456265"/>
    <w:rsid w:val="06CE1F71"/>
    <w:rsid w:val="06E415DA"/>
    <w:rsid w:val="07000B16"/>
    <w:rsid w:val="07200C9D"/>
    <w:rsid w:val="072645A6"/>
    <w:rsid w:val="073A5410"/>
    <w:rsid w:val="0754675F"/>
    <w:rsid w:val="076B39F3"/>
    <w:rsid w:val="080A5070"/>
    <w:rsid w:val="084E684E"/>
    <w:rsid w:val="084F5179"/>
    <w:rsid w:val="08AE6343"/>
    <w:rsid w:val="08AF2F0D"/>
    <w:rsid w:val="08EF6AC2"/>
    <w:rsid w:val="09185F2E"/>
    <w:rsid w:val="092C2AB7"/>
    <w:rsid w:val="097815DF"/>
    <w:rsid w:val="098E31D7"/>
    <w:rsid w:val="09C149B3"/>
    <w:rsid w:val="09D57431"/>
    <w:rsid w:val="09D9508C"/>
    <w:rsid w:val="09E75EDE"/>
    <w:rsid w:val="09F47D86"/>
    <w:rsid w:val="09F90D53"/>
    <w:rsid w:val="0A3B3CB9"/>
    <w:rsid w:val="0A3D797F"/>
    <w:rsid w:val="0A3E54A5"/>
    <w:rsid w:val="0A570314"/>
    <w:rsid w:val="0A7F6940"/>
    <w:rsid w:val="0A904DFA"/>
    <w:rsid w:val="0B1D330C"/>
    <w:rsid w:val="0B8D66E4"/>
    <w:rsid w:val="0BA12829"/>
    <w:rsid w:val="0BCB720C"/>
    <w:rsid w:val="0BE85AA6"/>
    <w:rsid w:val="0BF0642E"/>
    <w:rsid w:val="0C23344D"/>
    <w:rsid w:val="0C2506CA"/>
    <w:rsid w:val="0C393981"/>
    <w:rsid w:val="0C3B7EEE"/>
    <w:rsid w:val="0C4310EE"/>
    <w:rsid w:val="0CA03970"/>
    <w:rsid w:val="0CEE48A7"/>
    <w:rsid w:val="0D0B2017"/>
    <w:rsid w:val="0D373A0B"/>
    <w:rsid w:val="0D5D3E94"/>
    <w:rsid w:val="0D907DC5"/>
    <w:rsid w:val="0D9F44AC"/>
    <w:rsid w:val="0DAC6849"/>
    <w:rsid w:val="0DCF21C8"/>
    <w:rsid w:val="0DDA54E4"/>
    <w:rsid w:val="0DFE5677"/>
    <w:rsid w:val="0E19425F"/>
    <w:rsid w:val="0E2624D8"/>
    <w:rsid w:val="0E4219DB"/>
    <w:rsid w:val="0ED35847"/>
    <w:rsid w:val="0F072309"/>
    <w:rsid w:val="0F6B6D3C"/>
    <w:rsid w:val="0F851480"/>
    <w:rsid w:val="0FA1450C"/>
    <w:rsid w:val="0FDC3796"/>
    <w:rsid w:val="0FF74205"/>
    <w:rsid w:val="1008458B"/>
    <w:rsid w:val="100D4B83"/>
    <w:rsid w:val="106D0892"/>
    <w:rsid w:val="108F25B6"/>
    <w:rsid w:val="10947BCD"/>
    <w:rsid w:val="11286567"/>
    <w:rsid w:val="1131366D"/>
    <w:rsid w:val="11AC7198"/>
    <w:rsid w:val="11B22B48"/>
    <w:rsid w:val="11E20D72"/>
    <w:rsid w:val="124318AA"/>
    <w:rsid w:val="12631F4C"/>
    <w:rsid w:val="129C720C"/>
    <w:rsid w:val="136071FB"/>
    <w:rsid w:val="13660293"/>
    <w:rsid w:val="137B7981"/>
    <w:rsid w:val="138959E3"/>
    <w:rsid w:val="138F7287"/>
    <w:rsid w:val="139B1132"/>
    <w:rsid w:val="139B74C4"/>
    <w:rsid w:val="13E87CB7"/>
    <w:rsid w:val="141650CD"/>
    <w:rsid w:val="145533A6"/>
    <w:rsid w:val="14740441"/>
    <w:rsid w:val="148443FC"/>
    <w:rsid w:val="149F2FE4"/>
    <w:rsid w:val="14A423A8"/>
    <w:rsid w:val="153100AC"/>
    <w:rsid w:val="154F67B8"/>
    <w:rsid w:val="158D6BDD"/>
    <w:rsid w:val="15E92BC7"/>
    <w:rsid w:val="15FD3709"/>
    <w:rsid w:val="16157A01"/>
    <w:rsid w:val="16493207"/>
    <w:rsid w:val="16685D83"/>
    <w:rsid w:val="167A7865"/>
    <w:rsid w:val="168B1A72"/>
    <w:rsid w:val="16C32C88"/>
    <w:rsid w:val="16C358AF"/>
    <w:rsid w:val="16D637FC"/>
    <w:rsid w:val="16F76FA7"/>
    <w:rsid w:val="172A3039"/>
    <w:rsid w:val="1763654B"/>
    <w:rsid w:val="1773288D"/>
    <w:rsid w:val="178D1D96"/>
    <w:rsid w:val="17966920"/>
    <w:rsid w:val="17F35B20"/>
    <w:rsid w:val="180B1483"/>
    <w:rsid w:val="183459BE"/>
    <w:rsid w:val="183D7B1A"/>
    <w:rsid w:val="184F3D45"/>
    <w:rsid w:val="18BE7B6B"/>
    <w:rsid w:val="18E37943"/>
    <w:rsid w:val="18FA239B"/>
    <w:rsid w:val="191C4C03"/>
    <w:rsid w:val="194D3428"/>
    <w:rsid w:val="195B397D"/>
    <w:rsid w:val="19946E8F"/>
    <w:rsid w:val="199E39C2"/>
    <w:rsid w:val="19A8293B"/>
    <w:rsid w:val="19B4308D"/>
    <w:rsid w:val="19E219A9"/>
    <w:rsid w:val="19E73463"/>
    <w:rsid w:val="1A332204"/>
    <w:rsid w:val="1A7F3E24"/>
    <w:rsid w:val="1AC217DA"/>
    <w:rsid w:val="1AFE2C2B"/>
    <w:rsid w:val="1B1F09DB"/>
    <w:rsid w:val="1B6F1962"/>
    <w:rsid w:val="1B982FF3"/>
    <w:rsid w:val="1BD971F4"/>
    <w:rsid w:val="1C0F2CE1"/>
    <w:rsid w:val="1C224C26"/>
    <w:rsid w:val="1C762226"/>
    <w:rsid w:val="1CA8197B"/>
    <w:rsid w:val="1D1C78C7"/>
    <w:rsid w:val="1D864D41"/>
    <w:rsid w:val="1DC64109"/>
    <w:rsid w:val="1DD821DB"/>
    <w:rsid w:val="1DD84EE2"/>
    <w:rsid w:val="1DEA52D0"/>
    <w:rsid w:val="1E2702D2"/>
    <w:rsid w:val="1EC575F3"/>
    <w:rsid w:val="1F126AC2"/>
    <w:rsid w:val="1F515A39"/>
    <w:rsid w:val="1F7C63FB"/>
    <w:rsid w:val="1F9803AC"/>
    <w:rsid w:val="203D01A7"/>
    <w:rsid w:val="2087367A"/>
    <w:rsid w:val="209F2A54"/>
    <w:rsid w:val="20B47E17"/>
    <w:rsid w:val="20D73ACA"/>
    <w:rsid w:val="20FD1BD4"/>
    <w:rsid w:val="20FD356C"/>
    <w:rsid w:val="211B1C44"/>
    <w:rsid w:val="21671CF6"/>
    <w:rsid w:val="218E0668"/>
    <w:rsid w:val="21B856E5"/>
    <w:rsid w:val="21E93AF0"/>
    <w:rsid w:val="21ED1832"/>
    <w:rsid w:val="227B6E3E"/>
    <w:rsid w:val="228D764F"/>
    <w:rsid w:val="229C6DE9"/>
    <w:rsid w:val="22D64075"/>
    <w:rsid w:val="22E76282"/>
    <w:rsid w:val="231150AD"/>
    <w:rsid w:val="233E412D"/>
    <w:rsid w:val="2349026B"/>
    <w:rsid w:val="23BD5235"/>
    <w:rsid w:val="23C465C3"/>
    <w:rsid w:val="23CD1D77"/>
    <w:rsid w:val="24281889"/>
    <w:rsid w:val="24577437"/>
    <w:rsid w:val="24961D0D"/>
    <w:rsid w:val="24B403E6"/>
    <w:rsid w:val="24C90A33"/>
    <w:rsid w:val="24F074D1"/>
    <w:rsid w:val="25022231"/>
    <w:rsid w:val="251A0B90"/>
    <w:rsid w:val="251A3303"/>
    <w:rsid w:val="2547125A"/>
    <w:rsid w:val="25545725"/>
    <w:rsid w:val="25710085"/>
    <w:rsid w:val="2593449F"/>
    <w:rsid w:val="25CA1509"/>
    <w:rsid w:val="25EC437E"/>
    <w:rsid w:val="260450DB"/>
    <w:rsid w:val="26625BC2"/>
    <w:rsid w:val="26BE19EF"/>
    <w:rsid w:val="26E054C2"/>
    <w:rsid w:val="270645C5"/>
    <w:rsid w:val="2707406D"/>
    <w:rsid w:val="27191DB9"/>
    <w:rsid w:val="275639D6"/>
    <w:rsid w:val="2781787A"/>
    <w:rsid w:val="27B5694E"/>
    <w:rsid w:val="27CE5C62"/>
    <w:rsid w:val="27DF39CB"/>
    <w:rsid w:val="28355CE1"/>
    <w:rsid w:val="28440A5B"/>
    <w:rsid w:val="284C045D"/>
    <w:rsid w:val="28846049"/>
    <w:rsid w:val="28E31299"/>
    <w:rsid w:val="29540304"/>
    <w:rsid w:val="29A5570A"/>
    <w:rsid w:val="29A63C37"/>
    <w:rsid w:val="29B570DA"/>
    <w:rsid w:val="29D62BAC"/>
    <w:rsid w:val="2A900FAD"/>
    <w:rsid w:val="2AA119FC"/>
    <w:rsid w:val="2AF27EBA"/>
    <w:rsid w:val="2AFC0D9C"/>
    <w:rsid w:val="2B794137"/>
    <w:rsid w:val="2B7F70A5"/>
    <w:rsid w:val="2BBF0C1C"/>
    <w:rsid w:val="2BFA5278"/>
    <w:rsid w:val="2C005095"/>
    <w:rsid w:val="2C17011F"/>
    <w:rsid w:val="2C1D2D14"/>
    <w:rsid w:val="2C2B3086"/>
    <w:rsid w:val="2C387B4E"/>
    <w:rsid w:val="2C525562"/>
    <w:rsid w:val="2C610E53"/>
    <w:rsid w:val="2C755D0D"/>
    <w:rsid w:val="2CA13945"/>
    <w:rsid w:val="2CAC2A7B"/>
    <w:rsid w:val="2CC24314"/>
    <w:rsid w:val="2CDD07AF"/>
    <w:rsid w:val="2CF90D9F"/>
    <w:rsid w:val="2D69418A"/>
    <w:rsid w:val="2D9B2143"/>
    <w:rsid w:val="2D9E319D"/>
    <w:rsid w:val="2DB33930"/>
    <w:rsid w:val="2DB86843"/>
    <w:rsid w:val="2DE57862"/>
    <w:rsid w:val="2DED474D"/>
    <w:rsid w:val="2DFE6E37"/>
    <w:rsid w:val="2E1741F6"/>
    <w:rsid w:val="2E36630F"/>
    <w:rsid w:val="2ED31DB0"/>
    <w:rsid w:val="2EDD0C2B"/>
    <w:rsid w:val="2F223C93"/>
    <w:rsid w:val="2F3445FD"/>
    <w:rsid w:val="2F57653D"/>
    <w:rsid w:val="2F6B1FE9"/>
    <w:rsid w:val="2F762E67"/>
    <w:rsid w:val="30413E8E"/>
    <w:rsid w:val="304271ED"/>
    <w:rsid w:val="3075313F"/>
    <w:rsid w:val="30963095"/>
    <w:rsid w:val="30F45B82"/>
    <w:rsid w:val="30FA3624"/>
    <w:rsid w:val="310426F5"/>
    <w:rsid w:val="312D57A8"/>
    <w:rsid w:val="312E5FEB"/>
    <w:rsid w:val="31A6555A"/>
    <w:rsid w:val="31C76D4C"/>
    <w:rsid w:val="31D356B0"/>
    <w:rsid w:val="31E00A6C"/>
    <w:rsid w:val="32463916"/>
    <w:rsid w:val="324A23F5"/>
    <w:rsid w:val="326276D3"/>
    <w:rsid w:val="32851613"/>
    <w:rsid w:val="32954E27"/>
    <w:rsid w:val="32BF7DFB"/>
    <w:rsid w:val="32C97752"/>
    <w:rsid w:val="33323549"/>
    <w:rsid w:val="33751688"/>
    <w:rsid w:val="338A7FAD"/>
    <w:rsid w:val="339C4E66"/>
    <w:rsid w:val="34207846"/>
    <w:rsid w:val="3434236D"/>
    <w:rsid w:val="34916467"/>
    <w:rsid w:val="349A75F8"/>
    <w:rsid w:val="34BD5AEB"/>
    <w:rsid w:val="34C46423"/>
    <w:rsid w:val="34EB7E53"/>
    <w:rsid w:val="35156C7E"/>
    <w:rsid w:val="35213875"/>
    <w:rsid w:val="353A66E5"/>
    <w:rsid w:val="353F5AA9"/>
    <w:rsid w:val="35586B6B"/>
    <w:rsid w:val="35A3428A"/>
    <w:rsid w:val="35BE328B"/>
    <w:rsid w:val="35C30A55"/>
    <w:rsid w:val="35C661CB"/>
    <w:rsid w:val="35D07049"/>
    <w:rsid w:val="35E11256"/>
    <w:rsid w:val="35EF65E1"/>
    <w:rsid w:val="35F74A58"/>
    <w:rsid w:val="35FE5964"/>
    <w:rsid w:val="36034D29"/>
    <w:rsid w:val="365E5169"/>
    <w:rsid w:val="366D4BC8"/>
    <w:rsid w:val="366E760D"/>
    <w:rsid w:val="367B6FB5"/>
    <w:rsid w:val="369066FC"/>
    <w:rsid w:val="369334DC"/>
    <w:rsid w:val="36AC7588"/>
    <w:rsid w:val="36D33C63"/>
    <w:rsid w:val="36F318CB"/>
    <w:rsid w:val="37023232"/>
    <w:rsid w:val="375E2A17"/>
    <w:rsid w:val="377744E3"/>
    <w:rsid w:val="379E11AD"/>
    <w:rsid w:val="37F708BD"/>
    <w:rsid w:val="38082ACA"/>
    <w:rsid w:val="38314519"/>
    <w:rsid w:val="38336D98"/>
    <w:rsid w:val="386C3059"/>
    <w:rsid w:val="3891486E"/>
    <w:rsid w:val="38E60960"/>
    <w:rsid w:val="38F512A1"/>
    <w:rsid w:val="39406294"/>
    <w:rsid w:val="39416F45"/>
    <w:rsid w:val="394A3E0E"/>
    <w:rsid w:val="394B1EE3"/>
    <w:rsid w:val="396B1563"/>
    <w:rsid w:val="396E1053"/>
    <w:rsid w:val="39E3546E"/>
    <w:rsid w:val="3A257964"/>
    <w:rsid w:val="3A3A5061"/>
    <w:rsid w:val="3A3C6A5B"/>
    <w:rsid w:val="3A4678DA"/>
    <w:rsid w:val="3A4727AD"/>
    <w:rsid w:val="3A555D6F"/>
    <w:rsid w:val="3A571AE7"/>
    <w:rsid w:val="3A8D375B"/>
    <w:rsid w:val="3AAA60BB"/>
    <w:rsid w:val="3AD84A09"/>
    <w:rsid w:val="3B0D21A6"/>
    <w:rsid w:val="3B247C1B"/>
    <w:rsid w:val="3B5878C5"/>
    <w:rsid w:val="3B7A5A8D"/>
    <w:rsid w:val="3B903503"/>
    <w:rsid w:val="3BA05290"/>
    <w:rsid w:val="3C2459F9"/>
    <w:rsid w:val="3C3A2B60"/>
    <w:rsid w:val="3C4B567C"/>
    <w:rsid w:val="3C6C6886"/>
    <w:rsid w:val="3C710A9B"/>
    <w:rsid w:val="3C740B22"/>
    <w:rsid w:val="3C942B7F"/>
    <w:rsid w:val="3C9613C2"/>
    <w:rsid w:val="3CAB3899"/>
    <w:rsid w:val="3CE75344"/>
    <w:rsid w:val="3CF76527"/>
    <w:rsid w:val="3D463DBE"/>
    <w:rsid w:val="3D4B05F7"/>
    <w:rsid w:val="3D536F54"/>
    <w:rsid w:val="3D8F1598"/>
    <w:rsid w:val="3D934BE4"/>
    <w:rsid w:val="3D995F73"/>
    <w:rsid w:val="3DE2791A"/>
    <w:rsid w:val="3DFD7B27"/>
    <w:rsid w:val="3E22515D"/>
    <w:rsid w:val="3E263CAA"/>
    <w:rsid w:val="3E396CAE"/>
    <w:rsid w:val="3E506F79"/>
    <w:rsid w:val="3E78202C"/>
    <w:rsid w:val="3EA62247"/>
    <w:rsid w:val="3EC82FB3"/>
    <w:rsid w:val="3F0F473E"/>
    <w:rsid w:val="3F6251B6"/>
    <w:rsid w:val="3F7E3CCE"/>
    <w:rsid w:val="3F9115F7"/>
    <w:rsid w:val="3FB65AD9"/>
    <w:rsid w:val="3FE05723"/>
    <w:rsid w:val="40185875"/>
    <w:rsid w:val="40452C81"/>
    <w:rsid w:val="405D1A2A"/>
    <w:rsid w:val="405E0525"/>
    <w:rsid w:val="41151DB4"/>
    <w:rsid w:val="41A05B22"/>
    <w:rsid w:val="41EA3241"/>
    <w:rsid w:val="41FF4F3E"/>
    <w:rsid w:val="42312C1E"/>
    <w:rsid w:val="423408FB"/>
    <w:rsid w:val="42925DB2"/>
    <w:rsid w:val="42B52A5A"/>
    <w:rsid w:val="42EB4309"/>
    <w:rsid w:val="435C016E"/>
    <w:rsid w:val="437159C8"/>
    <w:rsid w:val="43AE09CA"/>
    <w:rsid w:val="43C95804"/>
    <w:rsid w:val="4403491A"/>
    <w:rsid w:val="445826D6"/>
    <w:rsid w:val="44703ED1"/>
    <w:rsid w:val="447F4114"/>
    <w:rsid w:val="448917EC"/>
    <w:rsid w:val="44C1472D"/>
    <w:rsid w:val="44CD30D2"/>
    <w:rsid w:val="44D3620E"/>
    <w:rsid w:val="450D39DC"/>
    <w:rsid w:val="452F78E8"/>
    <w:rsid w:val="45686B2D"/>
    <w:rsid w:val="457F1EF2"/>
    <w:rsid w:val="46032B23"/>
    <w:rsid w:val="46B81CA9"/>
    <w:rsid w:val="46E62229"/>
    <w:rsid w:val="46FA3F26"/>
    <w:rsid w:val="470C6541"/>
    <w:rsid w:val="47266AC9"/>
    <w:rsid w:val="47C84024"/>
    <w:rsid w:val="47F40975"/>
    <w:rsid w:val="48054931"/>
    <w:rsid w:val="482F5E51"/>
    <w:rsid w:val="483B0352"/>
    <w:rsid w:val="486758C4"/>
    <w:rsid w:val="487C41DD"/>
    <w:rsid w:val="48931F3C"/>
    <w:rsid w:val="495B760C"/>
    <w:rsid w:val="49677321"/>
    <w:rsid w:val="4974292D"/>
    <w:rsid w:val="498B5C77"/>
    <w:rsid w:val="49B27967"/>
    <w:rsid w:val="49CA6C64"/>
    <w:rsid w:val="49DF0B35"/>
    <w:rsid w:val="49EF5898"/>
    <w:rsid w:val="4A0D488A"/>
    <w:rsid w:val="4A2A75AB"/>
    <w:rsid w:val="4A4554B8"/>
    <w:rsid w:val="4A9511DA"/>
    <w:rsid w:val="4AC705C3"/>
    <w:rsid w:val="4ACF1226"/>
    <w:rsid w:val="4AD4683C"/>
    <w:rsid w:val="4AD60806"/>
    <w:rsid w:val="4AF54F29"/>
    <w:rsid w:val="4B007631"/>
    <w:rsid w:val="4B232DA2"/>
    <w:rsid w:val="4B5670C1"/>
    <w:rsid w:val="4BCD6803"/>
    <w:rsid w:val="4C1E1B11"/>
    <w:rsid w:val="4C63431C"/>
    <w:rsid w:val="4C637F6F"/>
    <w:rsid w:val="4C7D7357"/>
    <w:rsid w:val="4C891FD4"/>
    <w:rsid w:val="4CA010CC"/>
    <w:rsid w:val="4D0C636D"/>
    <w:rsid w:val="4D1D67F6"/>
    <w:rsid w:val="4D562C80"/>
    <w:rsid w:val="4D7560B4"/>
    <w:rsid w:val="4D77225E"/>
    <w:rsid w:val="4D7D31BB"/>
    <w:rsid w:val="4D930C30"/>
    <w:rsid w:val="4D9E721C"/>
    <w:rsid w:val="4DAB1AD6"/>
    <w:rsid w:val="4EE73FDF"/>
    <w:rsid w:val="4F1A44F5"/>
    <w:rsid w:val="4F3A01B4"/>
    <w:rsid w:val="4F3A75B6"/>
    <w:rsid w:val="4F561F16"/>
    <w:rsid w:val="4F585C8E"/>
    <w:rsid w:val="4F6208BA"/>
    <w:rsid w:val="4F7A5C04"/>
    <w:rsid w:val="4F8C3B89"/>
    <w:rsid w:val="4F936CC6"/>
    <w:rsid w:val="4F9812E6"/>
    <w:rsid w:val="50137E07"/>
    <w:rsid w:val="501D6F9B"/>
    <w:rsid w:val="501E0C85"/>
    <w:rsid w:val="50402E5B"/>
    <w:rsid w:val="509314F5"/>
    <w:rsid w:val="50B45146"/>
    <w:rsid w:val="50B91612"/>
    <w:rsid w:val="50C57353"/>
    <w:rsid w:val="50EC2B32"/>
    <w:rsid w:val="51037E7B"/>
    <w:rsid w:val="511676E7"/>
    <w:rsid w:val="51625CF9"/>
    <w:rsid w:val="51890380"/>
    <w:rsid w:val="51932FAD"/>
    <w:rsid w:val="522602C5"/>
    <w:rsid w:val="523227C6"/>
    <w:rsid w:val="52376968"/>
    <w:rsid w:val="5268268C"/>
    <w:rsid w:val="527252B8"/>
    <w:rsid w:val="52B551A5"/>
    <w:rsid w:val="52BB0A0D"/>
    <w:rsid w:val="52DE1FCB"/>
    <w:rsid w:val="532A1B08"/>
    <w:rsid w:val="536852EA"/>
    <w:rsid w:val="5386726D"/>
    <w:rsid w:val="538961A4"/>
    <w:rsid w:val="53A45945"/>
    <w:rsid w:val="53A6324B"/>
    <w:rsid w:val="53CB1124"/>
    <w:rsid w:val="54297BF9"/>
    <w:rsid w:val="544B176B"/>
    <w:rsid w:val="549F7EBB"/>
    <w:rsid w:val="54BB7C66"/>
    <w:rsid w:val="55264138"/>
    <w:rsid w:val="553B5952"/>
    <w:rsid w:val="554B4D08"/>
    <w:rsid w:val="5566710A"/>
    <w:rsid w:val="55853555"/>
    <w:rsid w:val="558E2409"/>
    <w:rsid w:val="55B160F8"/>
    <w:rsid w:val="560721BC"/>
    <w:rsid w:val="56E12A0D"/>
    <w:rsid w:val="56E322E1"/>
    <w:rsid w:val="56F02C50"/>
    <w:rsid w:val="572B18A4"/>
    <w:rsid w:val="576176AA"/>
    <w:rsid w:val="57822B16"/>
    <w:rsid w:val="579B7990"/>
    <w:rsid w:val="57A53A3A"/>
    <w:rsid w:val="58191461"/>
    <w:rsid w:val="581E3FA7"/>
    <w:rsid w:val="583D33C0"/>
    <w:rsid w:val="58D17250"/>
    <w:rsid w:val="58F5454D"/>
    <w:rsid w:val="58F76517"/>
    <w:rsid w:val="590B5B1F"/>
    <w:rsid w:val="590D1897"/>
    <w:rsid w:val="591E1BC3"/>
    <w:rsid w:val="59691FED"/>
    <w:rsid w:val="597162CA"/>
    <w:rsid w:val="597638E0"/>
    <w:rsid w:val="598C3730"/>
    <w:rsid w:val="59BD32BD"/>
    <w:rsid w:val="59D46859"/>
    <w:rsid w:val="5A094F9B"/>
    <w:rsid w:val="5A19111B"/>
    <w:rsid w:val="5A276988"/>
    <w:rsid w:val="5A5B0D0C"/>
    <w:rsid w:val="5A8D7F61"/>
    <w:rsid w:val="5A981634"/>
    <w:rsid w:val="5AD54636"/>
    <w:rsid w:val="5AF26F96"/>
    <w:rsid w:val="5B977B3E"/>
    <w:rsid w:val="5B9E0ECC"/>
    <w:rsid w:val="5BCF63A9"/>
    <w:rsid w:val="5C2C4F2D"/>
    <w:rsid w:val="5C5679F9"/>
    <w:rsid w:val="5C7120A1"/>
    <w:rsid w:val="5C797243"/>
    <w:rsid w:val="5C806824"/>
    <w:rsid w:val="5CB52971"/>
    <w:rsid w:val="5CD32DF8"/>
    <w:rsid w:val="5CFD7E74"/>
    <w:rsid w:val="5D63417B"/>
    <w:rsid w:val="5D775E79"/>
    <w:rsid w:val="5D8B36D2"/>
    <w:rsid w:val="5D8F4F70"/>
    <w:rsid w:val="5D924A61"/>
    <w:rsid w:val="5DAF116F"/>
    <w:rsid w:val="5DD30284"/>
    <w:rsid w:val="5E162F9C"/>
    <w:rsid w:val="5E5B30A5"/>
    <w:rsid w:val="5E8545C5"/>
    <w:rsid w:val="5E875C48"/>
    <w:rsid w:val="5EC7698C"/>
    <w:rsid w:val="5ECB7E0E"/>
    <w:rsid w:val="5EE70977"/>
    <w:rsid w:val="5F17346F"/>
    <w:rsid w:val="5FD217D5"/>
    <w:rsid w:val="602045A6"/>
    <w:rsid w:val="608B78E2"/>
    <w:rsid w:val="609B1E7E"/>
    <w:rsid w:val="60B85F03"/>
    <w:rsid w:val="60DC361E"/>
    <w:rsid w:val="613227E3"/>
    <w:rsid w:val="613B24C6"/>
    <w:rsid w:val="614C4F26"/>
    <w:rsid w:val="615564D1"/>
    <w:rsid w:val="616933C9"/>
    <w:rsid w:val="61A15272"/>
    <w:rsid w:val="61B74A96"/>
    <w:rsid w:val="61C4171F"/>
    <w:rsid w:val="61F93300"/>
    <w:rsid w:val="621D48D8"/>
    <w:rsid w:val="624A77E6"/>
    <w:rsid w:val="62854B94"/>
    <w:rsid w:val="631E435E"/>
    <w:rsid w:val="63213CF4"/>
    <w:rsid w:val="633345F0"/>
    <w:rsid w:val="63AC7EFE"/>
    <w:rsid w:val="63B079EF"/>
    <w:rsid w:val="63C85D77"/>
    <w:rsid w:val="63C94F54"/>
    <w:rsid w:val="63D86F45"/>
    <w:rsid w:val="6420377A"/>
    <w:rsid w:val="644606A8"/>
    <w:rsid w:val="6450412D"/>
    <w:rsid w:val="64602371"/>
    <w:rsid w:val="64CA053B"/>
    <w:rsid w:val="64CA31F0"/>
    <w:rsid w:val="64D771FD"/>
    <w:rsid w:val="64DA367B"/>
    <w:rsid w:val="64DD4813"/>
    <w:rsid w:val="64E14962"/>
    <w:rsid w:val="64F61D79"/>
    <w:rsid w:val="65282833"/>
    <w:rsid w:val="652E26F9"/>
    <w:rsid w:val="65366619"/>
    <w:rsid w:val="65416DD3"/>
    <w:rsid w:val="65727C4B"/>
    <w:rsid w:val="658554FB"/>
    <w:rsid w:val="65883BF7"/>
    <w:rsid w:val="658B6DC7"/>
    <w:rsid w:val="659F7D1B"/>
    <w:rsid w:val="65AA3925"/>
    <w:rsid w:val="65E676F8"/>
    <w:rsid w:val="660B3602"/>
    <w:rsid w:val="660C6F8D"/>
    <w:rsid w:val="662D5327"/>
    <w:rsid w:val="667C62AE"/>
    <w:rsid w:val="668F2A3A"/>
    <w:rsid w:val="66903B07"/>
    <w:rsid w:val="669058B5"/>
    <w:rsid w:val="66A23F66"/>
    <w:rsid w:val="66AD4998"/>
    <w:rsid w:val="66B5531C"/>
    <w:rsid w:val="66BA7997"/>
    <w:rsid w:val="66E14363"/>
    <w:rsid w:val="66E16111"/>
    <w:rsid w:val="672524A2"/>
    <w:rsid w:val="673301D2"/>
    <w:rsid w:val="676A395C"/>
    <w:rsid w:val="67713939"/>
    <w:rsid w:val="67CD5013"/>
    <w:rsid w:val="67DD2D7C"/>
    <w:rsid w:val="684C2884"/>
    <w:rsid w:val="68662D72"/>
    <w:rsid w:val="68A33BCF"/>
    <w:rsid w:val="68B61551"/>
    <w:rsid w:val="68F8698C"/>
    <w:rsid w:val="6931512E"/>
    <w:rsid w:val="69EE74C3"/>
    <w:rsid w:val="69FF3DA6"/>
    <w:rsid w:val="6A0A597F"/>
    <w:rsid w:val="6A250690"/>
    <w:rsid w:val="6A5938E3"/>
    <w:rsid w:val="6A9516EC"/>
    <w:rsid w:val="6AA803E7"/>
    <w:rsid w:val="6AE90161"/>
    <w:rsid w:val="6B054AC4"/>
    <w:rsid w:val="6B2947D1"/>
    <w:rsid w:val="6B865960"/>
    <w:rsid w:val="6BB87D88"/>
    <w:rsid w:val="6BD60F99"/>
    <w:rsid w:val="6BE26BB3"/>
    <w:rsid w:val="6BFF0DBE"/>
    <w:rsid w:val="6C0A54C0"/>
    <w:rsid w:val="6C7C2B64"/>
    <w:rsid w:val="6D0D3798"/>
    <w:rsid w:val="6D360A56"/>
    <w:rsid w:val="6D746AAD"/>
    <w:rsid w:val="6D79369D"/>
    <w:rsid w:val="6D866288"/>
    <w:rsid w:val="6DA5433C"/>
    <w:rsid w:val="6E0A1704"/>
    <w:rsid w:val="6E315BD0"/>
    <w:rsid w:val="6E3631E6"/>
    <w:rsid w:val="6E495542"/>
    <w:rsid w:val="6E70494A"/>
    <w:rsid w:val="6E7855AD"/>
    <w:rsid w:val="6E7D42EE"/>
    <w:rsid w:val="6ECD3B4B"/>
    <w:rsid w:val="6ED26B2E"/>
    <w:rsid w:val="6EF70BC7"/>
    <w:rsid w:val="6F062BB9"/>
    <w:rsid w:val="6F751AEC"/>
    <w:rsid w:val="6F7B1AEF"/>
    <w:rsid w:val="6F8C57B4"/>
    <w:rsid w:val="6F997ED1"/>
    <w:rsid w:val="703025E3"/>
    <w:rsid w:val="703379DD"/>
    <w:rsid w:val="707216B3"/>
    <w:rsid w:val="709A7A5C"/>
    <w:rsid w:val="70B52AE8"/>
    <w:rsid w:val="70B7060E"/>
    <w:rsid w:val="70BC3E77"/>
    <w:rsid w:val="70F3716D"/>
    <w:rsid w:val="70F829D5"/>
    <w:rsid w:val="711C7DEE"/>
    <w:rsid w:val="715A543E"/>
    <w:rsid w:val="71A87053"/>
    <w:rsid w:val="71B132B0"/>
    <w:rsid w:val="71BB5EDC"/>
    <w:rsid w:val="71CA611F"/>
    <w:rsid w:val="71CB5851"/>
    <w:rsid w:val="72101EA0"/>
    <w:rsid w:val="7218332F"/>
    <w:rsid w:val="724F1FEB"/>
    <w:rsid w:val="72757DB1"/>
    <w:rsid w:val="728F462D"/>
    <w:rsid w:val="729B7F48"/>
    <w:rsid w:val="72AE77EF"/>
    <w:rsid w:val="72B017B9"/>
    <w:rsid w:val="72BB1F0C"/>
    <w:rsid w:val="72D1172F"/>
    <w:rsid w:val="72F316A6"/>
    <w:rsid w:val="73020FF3"/>
    <w:rsid w:val="739048A5"/>
    <w:rsid w:val="73B862A1"/>
    <w:rsid w:val="745F28C4"/>
    <w:rsid w:val="747C78F7"/>
    <w:rsid w:val="747F7695"/>
    <w:rsid w:val="7483115A"/>
    <w:rsid w:val="74CE5F27"/>
    <w:rsid w:val="74DF6386"/>
    <w:rsid w:val="750A2372"/>
    <w:rsid w:val="750E6C6B"/>
    <w:rsid w:val="756E14B8"/>
    <w:rsid w:val="75864A53"/>
    <w:rsid w:val="75CF06D9"/>
    <w:rsid w:val="75D1787A"/>
    <w:rsid w:val="75DF032D"/>
    <w:rsid w:val="76045978"/>
    <w:rsid w:val="760F4A49"/>
    <w:rsid w:val="76133B2A"/>
    <w:rsid w:val="76530DD9"/>
    <w:rsid w:val="767A350B"/>
    <w:rsid w:val="76A77C3C"/>
    <w:rsid w:val="77083846"/>
    <w:rsid w:val="779A2861"/>
    <w:rsid w:val="77F205C7"/>
    <w:rsid w:val="78120820"/>
    <w:rsid w:val="78126A72"/>
    <w:rsid w:val="781400F4"/>
    <w:rsid w:val="78144598"/>
    <w:rsid w:val="783B1B25"/>
    <w:rsid w:val="783E6762"/>
    <w:rsid w:val="785610A2"/>
    <w:rsid w:val="78615304"/>
    <w:rsid w:val="78D76F87"/>
    <w:rsid w:val="79226841"/>
    <w:rsid w:val="794B223C"/>
    <w:rsid w:val="79752E15"/>
    <w:rsid w:val="7999158E"/>
    <w:rsid w:val="79C75A4A"/>
    <w:rsid w:val="79D51B05"/>
    <w:rsid w:val="79F71A7C"/>
    <w:rsid w:val="7A08012D"/>
    <w:rsid w:val="7A0F3269"/>
    <w:rsid w:val="7A1B6D05"/>
    <w:rsid w:val="7A1E0906"/>
    <w:rsid w:val="7A41719B"/>
    <w:rsid w:val="7A5E1074"/>
    <w:rsid w:val="7A644541"/>
    <w:rsid w:val="7A856043"/>
    <w:rsid w:val="7AA716F4"/>
    <w:rsid w:val="7ACA5211"/>
    <w:rsid w:val="7B000A80"/>
    <w:rsid w:val="7B475882"/>
    <w:rsid w:val="7B7F6999"/>
    <w:rsid w:val="7B8B5094"/>
    <w:rsid w:val="7B8E2477"/>
    <w:rsid w:val="7BB4552D"/>
    <w:rsid w:val="7C1D11E6"/>
    <w:rsid w:val="7C5238E1"/>
    <w:rsid w:val="7C547659"/>
    <w:rsid w:val="7CE7399F"/>
    <w:rsid w:val="7D226E2B"/>
    <w:rsid w:val="7D781125"/>
    <w:rsid w:val="7D8628FA"/>
    <w:rsid w:val="7D943A85"/>
    <w:rsid w:val="7DAF266D"/>
    <w:rsid w:val="7DB05310"/>
    <w:rsid w:val="7DC77AC8"/>
    <w:rsid w:val="7DE42E8D"/>
    <w:rsid w:val="7DF12C86"/>
    <w:rsid w:val="7E0712F2"/>
    <w:rsid w:val="7E292420"/>
    <w:rsid w:val="7EA877E8"/>
    <w:rsid w:val="7EAA7A04"/>
    <w:rsid w:val="7EB25E33"/>
    <w:rsid w:val="7EC42148"/>
    <w:rsid w:val="7EE33B7E"/>
    <w:rsid w:val="7EEF3F71"/>
    <w:rsid w:val="7EF43FBB"/>
    <w:rsid w:val="7F01339C"/>
    <w:rsid w:val="7F160BF6"/>
    <w:rsid w:val="7F364DF4"/>
    <w:rsid w:val="7FA2248A"/>
    <w:rsid w:val="7FDD39BD"/>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6"/>
    <w:basedOn w:val="1"/>
    <w:next w:val="1"/>
    <w:qFormat/>
    <w:uiPriority w:val="0"/>
    <w:pPr>
      <w:spacing w:before="60" w:after="60" w:line="360" w:lineRule="auto"/>
      <w:outlineLvl w:val="5"/>
    </w:pPr>
    <w:rPr>
      <w:b/>
      <w:bCs/>
      <w:kern w:val="0"/>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0"/>
    </w:rPr>
  </w:style>
  <w:style w:type="paragraph" w:styleId="6">
    <w:name w:val="annotation text"/>
    <w:basedOn w:val="1"/>
    <w:link w:val="35"/>
    <w:unhideWhenUsed/>
    <w:qFormat/>
    <w:uiPriority w:val="0"/>
    <w:pPr>
      <w:jc w:val="left"/>
    </w:pPr>
    <w:rPr>
      <w:kern w:val="0"/>
      <w:sz w:val="20"/>
    </w:rPr>
  </w:style>
  <w:style w:type="paragraph" w:styleId="7">
    <w:name w:val="Body Text"/>
    <w:basedOn w:val="1"/>
    <w:next w:val="1"/>
    <w:unhideWhenUsed/>
    <w:qFormat/>
    <w:uiPriority w:val="0"/>
    <w:pPr>
      <w:spacing w:after="120"/>
    </w:pPr>
    <w:rPr>
      <w:sz w:val="24"/>
    </w:rPr>
  </w:style>
  <w:style w:type="paragraph" w:styleId="8">
    <w:name w:val="Body Text Indent"/>
    <w:basedOn w:val="1"/>
    <w:unhideWhenUsed/>
    <w:qFormat/>
    <w:uiPriority w:val="99"/>
    <w:pPr>
      <w:spacing w:after="120"/>
      <w:ind w:left="420" w:leftChars="200"/>
    </w:pPr>
    <w:rPr>
      <w:kern w:val="0"/>
      <w:sz w:val="20"/>
      <w:szCs w:val="20"/>
    </w:rPr>
  </w:style>
  <w:style w:type="paragraph" w:styleId="9">
    <w:name w:val="Plain Text"/>
    <w:basedOn w:val="1"/>
    <w:qFormat/>
    <w:uiPriority w:val="0"/>
    <w:rPr>
      <w:rFonts w:ascii="宋体" w:hAnsi="Courier New"/>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link w:val="34"/>
    <w:qFormat/>
    <w:uiPriority w:val="0"/>
    <w:pP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Body Text 2"/>
    <w:basedOn w:val="1"/>
    <w:qFormat/>
    <w:uiPriority w:val="99"/>
    <w:pPr>
      <w:spacing w:before="240"/>
    </w:pPr>
    <w:rPr>
      <w:rFonts w:ascii="Calibri" w:hAnsi="Calibri"/>
      <w:color w:val="FF0000"/>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jc w:val="center"/>
      <w:outlineLvl w:val="0"/>
    </w:pPr>
    <w:rPr>
      <w:rFonts w:ascii="Arial" w:hAnsi="Arial" w:eastAsia="隶书"/>
      <w:b/>
      <w:bCs/>
      <w:sz w:val="32"/>
      <w:szCs w:val="32"/>
    </w:rPr>
  </w:style>
  <w:style w:type="paragraph" w:styleId="16">
    <w:name w:val="annotation subject"/>
    <w:basedOn w:val="6"/>
    <w:next w:val="6"/>
    <w:link w:val="36"/>
    <w:qFormat/>
    <w:uiPriority w:val="0"/>
    <w:rPr>
      <w:b/>
      <w:bCs/>
      <w:kern w:val="2"/>
      <w:sz w:val="21"/>
    </w:rPr>
  </w:style>
  <w:style w:type="paragraph" w:styleId="17">
    <w:name w:val="Body Text First Indent"/>
    <w:basedOn w:val="7"/>
    <w:qFormat/>
    <w:uiPriority w:val="0"/>
    <w:pPr>
      <w:snapToGrid w:val="0"/>
      <w:spacing w:line="560" w:lineRule="exact"/>
      <w:ind w:firstLine="200" w:firstLineChars="200"/>
    </w:pPr>
    <w:rPr>
      <w:rFonts w:ascii="仿宋" w:hAnsi="仿宋" w:cs="仿宋"/>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rPr>
  </w:style>
  <w:style w:type="character" w:styleId="22">
    <w:name w:val="page number"/>
    <w:qFormat/>
    <w:uiPriority w:val="0"/>
  </w:style>
  <w:style w:type="character" w:styleId="23">
    <w:name w:val="annotation reference"/>
    <w:basedOn w:val="20"/>
    <w:qFormat/>
    <w:uiPriority w:val="0"/>
    <w:rPr>
      <w:sz w:val="21"/>
      <w:szCs w:val="21"/>
    </w:rPr>
  </w:style>
  <w:style w:type="paragraph" w:styleId="24">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5">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6">
    <w:name w:val="List Paragraph"/>
    <w:basedOn w:val="1"/>
    <w:qFormat/>
    <w:uiPriority w:val="34"/>
    <w:pPr>
      <w:ind w:firstLine="420" w:firstLineChars="200"/>
    </w:pPr>
  </w:style>
  <w:style w:type="character" w:customStyle="1" w:styleId="27">
    <w:name w:val="NormalCharacter"/>
    <w:qFormat/>
    <w:uiPriority w:val="0"/>
    <w:rPr>
      <w:kern w:val="2"/>
      <w:sz w:val="21"/>
      <w:szCs w:val="24"/>
      <w:lang w:val="en-US" w:eastAsia="zh-CN" w:bidi="ar-SA"/>
    </w:rPr>
  </w:style>
  <w:style w:type="paragraph" w:customStyle="1" w:styleId="28">
    <w:name w:val="Table Paragraph"/>
    <w:basedOn w:val="1"/>
    <w:qFormat/>
    <w:uiPriority w:val="0"/>
    <w:pPr>
      <w:autoSpaceDE w:val="0"/>
      <w:autoSpaceDN w:val="0"/>
      <w:jc w:val="left"/>
    </w:pPr>
    <w:rPr>
      <w:rFonts w:ascii="宋体" w:hAnsi="宋体" w:cs="宋体"/>
      <w:kern w:val="0"/>
      <w:sz w:val="22"/>
      <w:szCs w:val="22"/>
    </w:rPr>
  </w:style>
  <w:style w:type="paragraph" w:customStyle="1" w:styleId="29">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qowt-font5-gb2312"/>
    <w:qFormat/>
    <w:uiPriority w:val="0"/>
  </w:style>
  <w:style w:type="paragraph" w:customStyle="1" w:styleId="31">
    <w:name w:val="正文格式"/>
    <w:basedOn w:val="8"/>
    <w:qFormat/>
    <w:uiPriority w:val="99"/>
    <w:pPr>
      <w:spacing w:after="0" w:line="360" w:lineRule="auto"/>
      <w:ind w:left="0" w:leftChars="0" w:firstLine="600"/>
    </w:pPr>
    <w:rPr>
      <w:rFonts w:eastAsia="仿宋_GB2312"/>
      <w:sz w:val="30"/>
      <w:szCs w:val="30"/>
    </w:rPr>
  </w:style>
  <w:style w:type="paragraph" w:customStyle="1" w:styleId="32">
    <w:name w:val="msolistparagraph"/>
    <w:basedOn w:val="1"/>
    <w:qFormat/>
    <w:uiPriority w:val="0"/>
    <w:pPr>
      <w:ind w:firstLine="420" w:firstLineChars="200"/>
    </w:pPr>
  </w:style>
  <w:style w:type="paragraph" w:customStyle="1" w:styleId="3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4">
    <w:name w:val="页眉 字符"/>
    <w:basedOn w:val="20"/>
    <w:link w:val="11"/>
    <w:qFormat/>
    <w:uiPriority w:val="0"/>
    <w:rPr>
      <w:kern w:val="2"/>
      <w:sz w:val="18"/>
      <w:szCs w:val="18"/>
    </w:rPr>
  </w:style>
  <w:style w:type="character" w:customStyle="1" w:styleId="35">
    <w:name w:val="批注文字 字符"/>
    <w:basedOn w:val="20"/>
    <w:link w:val="6"/>
    <w:qFormat/>
    <w:uiPriority w:val="0"/>
    <w:rPr>
      <w:szCs w:val="24"/>
    </w:rPr>
  </w:style>
  <w:style w:type="character" w:customStyle="1" w:styleId="36">
    <w:name w:val="批注主题 字符"/>
    <w:basedOn w:val="35"/>
    <w:link w:val="16"/>
    <w:qFormat/>
    <w:uiPriority w:val="0"/>
    <w:rPr>
      <w:b/>
      <w:bCs/>
      <w:kern w:val="2"/>
      <w:sz w:val="21"/>
      <w:szCs w:val="24"/>
    </w:rPr>
  </w:style>
  <w:style w:type="paragraph" w:customStyle="1" w:styleId="37">
    <w:name w:val="9前海 正文"/>
    <w:basedOn w:val="38"/>
    <w:qFormat/>
    <w:uiPriority w:val="0"/>
    <w:pPr>
      <w:ind w:firstLine="640"/>
    </w:pPr>
    <w:rPr>
      <w:rFonts w:ascii="仿宋_GB2312" w:eastAsia="仿宋_GB2312"/>
    </w:rPr>
  </w:style>
  <w:style w:type="paragraph" w:customStyle="1" w:styleId="38">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39">
    <w:name w:val="列出段落2"/>
    <w:basedOn w:val="1"/>
    <w:qFormat/>
    <w:uiPriority w:val="34"/>
    <w:pPr>
      <w:ind w:firstLine="420" w:firstLineChars="200"/>
    </w:pPr>
  </w:style>
  <w:style w:type="paragraph" w:customStyle="1" w:styleId="4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15835</Words>
  <Characters>16443</Characters>
  <Lines>5243</Lines>
  <Paragraphs>2645</Paragraphs>
  <TotalTime>2</TotalTime>
  <ScaleCrop>false</ScaleCrop>
  <LinksUpToDate>false</LinksUpToDate>
  <CharactersWithSpaces>16686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2025-02-12T01:50:00Z</dcterms:created>
  <dc:creator>黎俊</dc:creator>
  <cp:lastModifiedBy>黎俊</cp:lastModifiedBy>
  <cp:lastPrinted>2025-09-26T00:37:00Z</cp:lastPrinted>
  <dcterms:modified xsi:type="dcterms:W3CDTF">2025-10-11T03:00:54Z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KSOTemplateDocerSaveRecord">
    <vt:lpwstr>eyJoZGlkIjoiMmVhYjIwYTFkMDUyN2RmOGI2OTNiMWRjYmY5MjBlYTUiLCJ1c2VySWQiOiIzOTQyODIxNTkifQ==</vt:lpwstr>
  </property>
  <property fmtid="{D5CDD505-2E9C-101B-9397-08002B2CF9AE}" pid="4" name="ICV">
    <vt:lpwstr>833036A87C1D4BBF8BFE03AA683245D3_13</vt:lpwstr>
  </property>
</Properties>
</file>