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E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B9A4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29B2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前海关于促进外贸稳定增长的若干措施</w:t>
      </w:r>
    </w:p>
    <w:p w14:paraId="3D023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 w14:paraId="10FC5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41290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全面贯彻党的二十大和二十届二中、三中全会精神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，落实商务部《关于促进外贸稳定增长的若干政策措施》《深圳市促进外贸稳定增长若干措施》等文件要求，深入实施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highlight w:val="none"/>
          <w:lang w:val="en-US" w:eastAsia="zh-CN" w:bidi="ar-SA"/>
        </w:rPr>
        <w:t>《前海进出口贸易倍增行动计划》《前海关于促进供应链龙头企业集聚的行动计划》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，推动前海外贸稳规模、优结构、拓品种、提能级，打造高水平对外开放门户枢纽，特制定本措施。</w:t>
      </w:r>
    </w:p>
    <w:p w14:paraId="4911380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textAlignment w:val="auto"/>
        <w:outlineLvl w:val="9"/>
        <w:rPr>
          <w:rFonts w:hint="default" w:ascii="FangSong_GB2312" w:hAnsi="FangSong_GB2312" w:eastAsia="FangSong_GB2312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鼓励企业参与海关、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税务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监管创新试点。</w:t>
      </w:r>
      <w:r>
        <w:rPr>
          <w:rFonts w:hint="default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支持企业</w:t>
      </w:r>
      <w:r>
        <w:rPr>
          <w:rFonts w:hint="default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参与前海综保区</w:t>
      </w:r>
      <w:r>
        <w:rPr>
          <w:rFonts w:hint="default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“一线直通、智联监管”通关监管</w:t>
      </w:r>
      <w:r>
        <w:rPr>
          <w:rFonts w:hint="eastAsia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创新</w:t>
      </w:r>
      <w:r>
        <w:rPr>
          <w:rFonts w:hint="default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，对企业因参与海关</w:t>
      </w:r>
      <w:r>
        <w:rPr>
          <w:rFonts w:hint="eastAsia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税务</w:t>
      </w:r>
      <w:r>
        <w:rPr>
          <w:rFonts w:hint="default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监管试点创新而投入新建的数字化系统、物理设施费用，</w:t>
      </w:r>
      <w:r>
        <w:rPr>
          <w:rFonts w:hint="eastAsia" w:ascii="仿宋_GB2312" w:hAnsi="仿宋_GB2312" w:eastAsia="仿宋_GB2312" w:cs="仿宋_GB2312"/>
          <w:b w:val="0"/>
          <w:sz w:val="32"/>
          <w:highlight w:val="none"/>
          <w:lang w:eastAsia="zh-CN"/>
        </w:rPr>
        <w:t>按其投入总额的</w:t>
      </w:r>
      <w:r>
        <w:rPr>
          <w:rFonts w:hint="eastAsia" w:ascii="仿宋_GB2312" w:hAnsi="仿宋_GB2312" w:eastAsia="仿宋_GB2312" w:cs="仿宋_GB2312"/>
          <w:b w:val="0"/>
          <w:sz w:val="32"/>
          <w:highlight w:val="non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sz w:val="32"/>
          <w:highlight w:val="none"/>
          <w:lang w:eastAsia="zh-CN"/>
        </w:rPr>
        <w:t>给予一次性</w:t>
      </w:r>
      <w:r>
        <w:rPr>
          <w:rFonts w:hint="eastAsia" w:ascii="仿宋_GB2312" w:hAnsi="仿宋_GB2312" w:eastAsia="仿宋_GB2312" w:cs="仿宋_GB2312"/>
          <w:b w:val="0"/>
          <w:sz w:val="32"/>
          <w:highlight w:val="none"/>
          <w:lang w:val="en-US" w:eastAsia="zh-CN"/>
        </w:rPr>
        <w:t>补贴</w:t>
      </w:r>
      <w:r>
        <w:rPr>
          <w:rFonts w:hint="default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，单家企业最高</w:t>
      </w:r>
      <w:r>
        <w:rPr>
          <w:rFonts w:hint="eastAsia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FangSong_GB2312" w:hAnsi="FangSong_GB2312" w:eastAsia="FangSong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00万元</w:t>
      </w:r>
      <w:r>
        <w:rPr>
          <w:rFonts w:hint="default" w:ascii="FangSong_GB2312" w:hAnsi="FangSong_GB2312" w:eastAsia="FangSong_GB2312" w:cs="Times New Roman"/>
          <w:b w:val="0"/>
          <w:sz w:val="32"/>
          <w:szCs w:val="32"/>
          <w:highlight w:val="none"/>
          <w:lang w:val="en-US" w:eastAsia="zh-CN"/>
        </w:rPr>
        <w:t>。</w:t>
      </w:r>
    </w:p>
    <w:p w14:paraId="5B8BD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二、降低企业通关查验成本。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优化前海综合保税区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通关环境、降低企业通关成本，对在前海综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合保税区通关查验合规的企业，全额支持其吊装、移位、仓储等费用。对在跨境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电商监管场站通关的企业，按其通关相关费用的50%给予支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持，单个企业每年最高300万元，扶持资金按季度兑现。</w:t>
      </w:r>
    </w:p>
    <w:p w14:paraId="730FA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三、支持链主型跨境电商平台打造生态体系。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鼓励链主型跨境电商平台服务前海企业，打造以平台为主导的跨境电商生态体系，对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跨境电商平台企业订舱、报关、运输等物流成本的50%给予补贴，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单个企业每年最高800万元。鼓励跨境电商企业借助跨境电商平台、社交媒体、搜索引擎等开展品牌推广，对年度销售额5000万元以上的企业，按其品牌推广、咨询服务费用的30%给予补贴，单个企业最高100万元。</w:t>
      </w:r>
    </w:p>
    <w:p w14:paraId="4025A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四、鼓励大宗商品交易拓展规模。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>鼓励前海大宗企业建立农产品、有色金属、化工能源等大宗生产性原材料进口供应链运营中心，对年度跨境资金收付金额不少于1亿元的大宗贸易企业，按其跨境资金收付金额的0.05%给予奖励，单个企业每年最高300万元。对整合产业链资源、提升贸易规模、促进产业集聚等方面具有积极推进作用的大宗商品交易平台，平台交易额超过30亿元、50亿元、100亿元、200亿元，且同比增长15%以上的，给予50万元、100万元、150万元和200万元的奖励。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shd w:val="clear" w:color="auto" w:fill="auto"/>
          <w:lang w:val="zh-CN" w:eastAsia="zh-CN"/>
        </w:rPr>
        <w:t>支持大宗商品贸易企业做大做强，对年度销售额10亿元以上且较上年同期增长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shd w:val="clear" w:color="auto" w:fill="auto"/>
          <w:lang w:val="zh-CN" w:eastAsia="zh-CN"/>
        </w:rPr>
        <w:t>0%以上的大宗商品贸易企业，给予30万元资金奖励，年度销售额每增加1亿元，年度奖励增加3万元，每家企业每年最高奖励100万元。</w:t>
      </w:r>
    </w:p>
    <w:p w14:paraId="7CF19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val="en-US" w:eastAsia="zh-CN"/>
        </w:rPr>
        <w:t>五、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40"/>
          <w:highlight w:val="none"/>
        </w:rPr>
        <w:t>打造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eastAsia="zh-CN"/>
        </w:rPr>
        <w:t>具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40"/>
          <w:highlight w:val="none"/>
        </w:rPr>
        <w:t>有显示度的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eastAsia="zh-CN"/>
        </w:rPr>
        <w:t>产业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40"/>
          <w:highlight w:val="none"/>
        </w:rPr>
        <w:t>集聚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eastAsia="zh-CN"/>
        </w:rPr>
        <w:t>区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40"/>
          <w:highlight w:val="none"/>
        </w:rPr>
        <w:t>。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/>
        </w:rPr>
        <w:t>支持利用前海合作区产业载体打造具有显示度的大宗商品贸易、物流供应链、跨境电商集聚发展楼宇。对集聚大宗商品贸易企业不少于20家、30家、40家或去化面积不低于1万平方米、1.5万平方米、2万平方米，且入驻大宗商品贸易企业年交易额分别不少于80亿元、120亿元、160亿元的办公楼宇，分别给予园区运营主体50万元、100万元、150万元资金奖励。</w:t>
      </w:r>
    </w:p>
    <w:p w14:paraId="7702C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/>
        </w:rPr>
        <w:t>对新引进实地经营规模以上物流及供应链企业分别不少于20家、30家、40家，且新引进企业转化为规上企业不低于20%，年度去化面积分别不低于1万平方米、1.5万平方米、2万平方米的办公楼宇，分别给予园区运营主体240万元、360万元、480万元资金奖励。</w:t>
      </w:r>
    </w:p>
    <w:p w14:paraId="4121D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highlight w:val="none"/>
          <w:lang w:val="en-US" w:eastAsia="zh-CN"/>
        </w:rPr>
        <w:t>对运营跨境电商园区面积分别不低于1万平方米、1.5万平方米、2万平方米，且入驻跨境电商企业数量分别不少于20家、30家、40家的园区，分别给予园区运营主体240万元、360万元、480万元资金奖励。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同一园区同一年度仅限申请一类产业园区奖励。支持在跨境电商集聚园区打造集合选品中心、产业带展示中心、培训中心等多功能的产业综合服务平台，按其实际投入金额的40%给予补贴，最高不超过300万元。</w:t>
      </w:r>
    </w:p>
    <w:p w14:paraId="35472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六、建设跨境电商阳光化示范基地。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支持前海跨境电商贸易型企业参与跨境电商阳光化试点，增强通关申报、收结汇、税收等全链条合规发展水平，对年度开展跨境电商业务且相应阳光化收付汇率超过30%的企业，按照结汇额0.3%给予奖励，单个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最高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500万元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。推动跨境电商货物全链条可追溯，支持企业通过海外仓方式开展跨境电商业务，对租赁海外仓面积不低于500平方米的企业，按其租赁海外仓费用的50%给予补贴，单个企业最高50万元。</w:t>
      </w:r>
    </w:p>
    <w:p w14:paraId="7A4B0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七、支持易货贸易在前海先行试点。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鼓励企业建设服务易货贸易在进出口、物流、仓储、交易、收付汇等关键环节的数字化系统，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对于新增系统开发费用达到100万元以上，且接入前海跨境贸易大数据平台的易货贸易企业，按照系统开发费用的20%给予一次性补助，单个企业最高补助金额不超过100万元。</w:t>
      </w:r>
    </w:p>
    <w:p w14:paraId="6EC0A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八、支持新型离岸贸易拓规模。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大宗商品贸易、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电子元器件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等企业拓展离岸贸易业务，对通过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前海离岸贸易服务平台开展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离岸贸易跨境收付汇业务，年度离岸贸易跨境结算收支金额不少于（含）3亿元、5亿元、10亿元、20亿元的企业，分别给予30万元、50万元、100万元、200万元支持，单个企业每年最高200万元。</w:t>
      </w:r>
    </w:p>
    <w:p w14:paraId="2B0FF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九、附则</w:t>
      </w:r>
    </w:p>
    <w:p w14:paraId="70E65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（一）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享受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本措施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扶持资金的机构应当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前海深港现代服务业合作区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实际经营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lang w:eastAsia="zh-Hans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即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lang w:eastAsia="zh-Hans" w:bidi="ar"/>
          <w14:textFill>
            <w14:solidFill>
              <w14:schemeClr w14:val="tx1"/>
            </w14:solidFill>
          </w14:textFill>
        </w:rPr>
        <w:t>生产经营、人员、账务等在前海合作区。</w:t>
      </w:r>
    </w:p>
    <w:p w14:paraId="70C60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二）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资金规模受产业资金规模限制。同一主体同一事项若同时符合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前海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其他同类若干措施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，或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宝安区、南山区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出台的政策</w:t>
      </w: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，由企业自主选择申报，不重复享受。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本资助政策可与深圳市一级同类型资助政策叠加享受。</w:t>
      </w:r>
    </w:p>
    <w:p w14:paraId="0CD47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）单一企业主体享受该措施财政奖补的，合计奖补金额原则上不超过3000万元，且奖补金额受当年前海管理局年度专项资金总规模限制。</w:t>
      </w:r>
    </w:p>
    <w:p w14:paraId="331D0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default" w:ascii="仿宋_GB2312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lang w:bidi="zh-CN"/>
        </w:rPr>
        <w:t>本措施所称“不少于”“不低于”“不超过”“以上”均含本数，“少于”“低于”“超过”“以下”不含本数。</w:t>
      </w:r>
    </w:p>
    <w:p w14:paraId="7BEC8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印发之日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有效期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年，具体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由</w:t>
      </w:r>
      <w:r>
        <w:rPr>
          <w:rFonts w:hint="eastAsia" w:ascii="仿宋_GB2312" w:hAnsi="宋体" w:eastAsia="仿宋_GB2312" w:cs="宋体"/>
          <w:sz w:val="32"/>
          <w:szCs w:val="32"/>
          <w:lang w:bidi="zh-CN"/>
        </w:rPr>
        <w:t>深圳市前海管理局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负责解释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340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F876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7F876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A15CBC"/>
    <w:rsid w:val="01192C1F"/>
    <w:rsid w:val="014337F8"/>
    <w:rsid w:val="01635C49"/>
    <w:rsid w:val="01CE3A0A"/>
    <w:rsid w:val="020967F0"/>
    <w:rsid w:val="023E2713"/>
    <w:rsid w:val="028B36A9"/>
    <w:rsid w:val="03343D40"/>
    <w:rsid w:val="03465822"/>
    <w:rsid w:val="03561F09"/>
    <w:rsid w:val="03823C90"/>
    <w:rsid w:val="03D8291E"/>
    <w:rsid w:val="03F92894"/>
    <w:rsid w:val="044109F2"/>
    <w:rsid w:val="048E7480"/>
    <w:rsid w:val="04B24242"/>
    <w:rsid w:val="0636392C"/>
    <w:rsid w:val="06D01FD2"/>
    <w:rsid w:val="07CA6A21"/>
    <w:rsid w:val="07F876A6"/>
    <w:rsid w:val="08341E94"/>
    <w:rsid w:val="095D5673"/>
    <w:rsid w:val="099C263F"/>
    <w:rsid w:val="09BB2E89"/>
    <w:rsid w:val="09E85885"/>
    <w:rsid w:val="09F93064"/>
    <w:rsid w:val="09F93DAC"/>
    <w:rsid w:val="0A2F0DBE"/>
    <w:rsid w:val="0A353A4C"/>
    <w:rsid w:val="0A9425DE"/>
    <w:rsid w:val="0AA572D2"/>
    <w:rsid w:val="0AB363EF"/>
    <w:rsid w:val="0B093D05"/>
    <w:rsid w:val="0BEB6F66"/>
    <w:rsid w:val="0CDE106E"/>
    <w:rsid w:val="0D2B61B4"/>
    <w:rsid w:val="0D4C1C87"/>
    <w:rsid w:val="0D755681"/>
    <w:rsid w:val="0DFA16E3"/>
    <w:rsid w:val="0DFCA34B"/>
    <w:rsid w:val="0E172295"/>
    <w:rsid w:val="0F5C08A7"/>
    <w:rsid w:val="0FA7589A"/>
    <w:rsid w:val="101926E0"/>
    <w:rsid w:val="1029043F"/>
    <w:rsid w:val="108A1444"/>
    <w:rsid w:val="108D2CE2"/>
    <w:rsid w:val="10A1642E"/>
    <w:rsid w:val="10DB57FB"/>
    <w:rsid w:val="11002FB7"/>
    <w:rsid w:val="112A22DF"/>
    <w:rsid w:val="112C24FB"/>
    <w:rsid w:val="113C6F19"/>
    <w:rsid w:val="115630D4"/>
    <w:rsid w:val="11632468"/>
    <w:rsid w:val="117D68B3"/>
    <w:rsid w:val="11816503"/>
    <w:rsid w:val="11DF131B"/>
    <w:rsid w:val="11E41B11"/>
    <w:rsid w:val="125251FE"/>
    <w:rsid w:val="131D154C"/>
    <w:rsid w:val="13B63B73"/>
    <w:rsid w:val="13D860B8"/>
    <w:rsid w:val="141D612B"/>
    <w:rsid w:val="143E4A1F"/>
    <w:rsid w:val="14883EEC"/>
    <w:rsid w:val="14AD5701"/>
    <w:rsid w:val="14CB5B87"/>
    <w:rsid w:val="14D709D0"/>
    <w:rsid w:val="14EA425F"/>
    <w:rsid w:val="158C3568"/>
    <w:rsid w:val="161C0D90"/>
    <w:rsid w:val="161D0664"/>
    <w:rsid w:val="16707AF8"/>
    <w:rsid w:val="16F119F4"/>
    <w:rsid w:val="176C18A3"/>
    <w:rsid w:val="179C380B"/>
    <w:rsid w:val="17F12F10"/>
    <w:rsid w:val="17F6116D"/>
    <w:rsid w:val="18357EE7"/>
    <w:rsid w:val="18A94431"/>
    <w:rsid w:val="19744A3F"/>
    <w:rsid w:val="198B64AB"/>
    <w:rsid w:val="19E35721"/>
    <w:rsid w:val="1A0A7151"/>
    <w:rsid w:val="1A2C531A"/>
    <w:rsid w:val="1ACD2659"/>
    <w:rsid w:val="1AFC40D4"/>
    <w:rsid w:val="1B041DF3"/>
    <w:rsid w:val="1BAA4748"/>
    <w:rsid w:val="1BB67591"/>
    <w:rsid w:val="1D126A49"/>
    <w:rsid w:val="1DF74B00"/>
    <w:rsid w:val="1E4B251F"/>
    <w:rsid w:val="1EA01E32"/>
    <w:rsid w:val="1F3507CD"/>
    <w:rsid w:val="1F5E41C7"/>
    <w:rsid w:val="1F664E2A"/>
    <w:rsid w:val="1F9824ED"/>
    <w:rsid w:val="1FF40B48"/>
    <w:rsid w:val="1FFB37C4"/>
    <w:rsid w:val="200A1C59"/>
    <w:rsid w:val="202268F6"/>
    <w:rsid w:val="20956EAD"/>
    <w:rsid w:val="2104283E"/>
    <w:rsid w:val="214F008E"/>
    <w:rsid w:val="21CD2F3E"/>
    <w:rsid w:val="228A7081"/>
    <w:rsid w:val="22FE5379"/>
    <w:rsid w:val="234E4553"/>
    <w:rsid w:val="23E9602A"/>
    <w:rsid w:val="25381017"/>
    <w:rsid w:val="25D77F7D"/>
    <w:rsid w:val="272A2BE1"/>
    <w:rsid w:val="276612B9"/>
    <w:rsid w:val="27803121"/>
    <w:rsid w:val="27880CFF"/>
    <w:rsid w:val="27DD40F7"/>
    <w:rsid w:val="284003BB"/>
    <w:rsid w:val="286078D7"/>
    <w:rsid w:val="29211DC2"/>
    <w:rsid w:val="292F2731"/>
    <w:rsid w:val="29826D04"/>
    <w:rsid w:val="2A27165A"/>
    <w:rsid w:val="2AAE0339"/>
    <w:rsid w:val="2B035C23"/>
    <w:rsid w:val="2C5A5D16"/>
    <w:rsid w:val="2D0D2D89"/>
    <w:rsid w:val="2D394412"/>
    <w:rsid w:val="2D834DF9"/>
    <w:rsid w:val="2DB37C21"/>
    <w:rsid w:val="2DDB1BC2"/>
    <w:rsid w:val="2DE735DA"/>
    <w:rsid w:val="2E0A0099"/>
    <w:rsid w:val="2E24038A"/>
    <w:rsid w:val="2E4554E1"/>
    <w:rsid w:val="2EA63495"/>
    <w:rsid w:val="2EF835C5"/>
    <w:rsid w:val="2F2919D0"/>
    <w:rsid w:val="2F6A45FD"/>
    <w:rsid w:val="2FBB3DF1"/>
    <w:rsid w:val="2FF62D3D"/>
    <w:rsid w:val="2FF90159"/>
    <w:rsid w:val="30137CF7"/>
    <w:rsid w:val="30297150"/>
    <w:rsid w:val="308B2942"/>
    <w:rsid w:val="30B55C11"/>
    <w:rsid w:val="31321010"/>
    <w:rsid w:val="31974468"/>
    <w:rsid w:val="31DD71CE"/>
    <w:rsid w:val="31E15586"/>
    <w:rsid w:val="3296737C"/>
    <w:rsid w:val="32D72D60"/>
    <w:rsid w:val="32E75E2A"/>
    <w:rsid w:val="331F3816"/>
    <w:rsid w:val="338611ED"/>
    <w:rsid w:val="34473024"/>
    <w:rsid w:val="346F257B"/>
    <w:rsid w:val="34A455D3"/>
    <w:rsid w:val="350B22A4"/>
    <w:rsid w:val="35DB7EC8"/>
    <w:rsid w:val="36152B33"/>
    <w:rsid w:val="369342FF"/>
    <w:rsid w:val="36A24542"/>
    <w:rsid w:val="370D726E"/>
    <w:rsid w:val="37695060"/>
    <w:rsid w:val="38126F39"/>
    <w:rsid w:val="386A72E1"/>
    <w:rsid w:val="38D74829"/>
    <w:rsid w:val="39292CF8"/>
    <w:rsid w:val="394B7113"/>
    <w:rsid w:val="39BA23D6"/>
    <w:rsid w:val="3A213355"/>
    <w:rsid w:val="3AD66EB0"/>
    <w:rsid w:val="3B2F036E"/>
    <w:rsid w:val="3BB07701"/>
    <w:rsid w:val="3BE74A70"/>
    <w:rsid w:val="3C4F6F1A"/>
    <w:rsid w:val="3C843817"/>
    <w:rsid w:val="3C946963"/>
    <w:rsid w:val="3CA803D8"/>
    <w:rsid w:val="3D3B5BE3"/>
    <w:rsid w:val="3DA05553"/>
    <w:rsid w:val="3DF17B5D"/>
    <w:rsid w:val="3E38096B"/>
    <w:rsid w:val="3E611186"/>
    <w:rsid w:val="3E7A5DA4"/>
    <w:rsid w:val="3ECE039E"/>
    <w:rsid w:val="3F8C2233"/>
    <w:rsid w:val="3FCA4B09"/>
    <w:rsid w:val="40E13EB9"/>
    <w:rsid w:val="40F55BB6"/>
    <w:rsid w:val="41B90209"/>
    <w:rsid w:val="424B1F31"/>
    <w:rsid w:val="42772D26"/>
    <w:rsid w:val="435B43F6"/>
    <w:rsid w:val="439B2A45"/>
    <w:rsid w:val="44564BBE"/>
    <w:rsid w:val="44602D2F"/>
    <w:rsid w:val="44F86D1E"/>
    <w:rsid w:val="452C0173"/>
    <w:rsid w:val="45806396"/>
    <w:rsid w:val="46054B10"/>
    <w:rsid w:val="461E47A9"/>
    <w:rsid w:val="462B3D10"/>
    <w:rsid w:val="46805F22"/>
    <w:rsid w:val="46843C64"/>
    <w:rsid w:val="46C41D6B"/>
    <w:rsid w:val="47794A11"/>
    <w:rsid w:val="479559FD"/>
    <w:rsid w:val="47E50732"/>
    <w:rsid w:val="47F00E85"/>
    <w:rsid w:val="480E2480"/>
    <w:rsid w:val="48853D73"/>
    <w:rsid w:val="48A417CD"/>
    <w:rsid w:val="4A101518"/>
    <w:rsid w:val="4A1947CF"/>
    <w:rsid w:val="4A4F053C"/>
    <w:rsid w:val="4E086F29"/>
    <w:rsid w:val="4E37780E"/>
    <w:rsid w:val="4E864E89"/>
    <w:rsid w:val="4F0911AA"/>
    <w:rsid w:val="4F1E1DD5"/>
    <w:rsid w:val="4F4026F2"/>
    <w:rsid w:val="4FD035BF"/>
    <w:rsid w:val="500C074B"/>
    <w:rsid w:val="501A2F43"/>
    <w:rsid w:val="50245C6A"/>
    <w:rsid w:val="50733852"/>
    <w:rsid w:val="508D7BB9"/>
    <w:rsid w:val="50E377D9"/>
    <w:rsid w:val="51703763"/>
    <w:rsid w:val="51736DAF"/>
    <w:rsid w:val="51D93273"/>
    <w:rsid w:val="51DD06CC"/>
    <w:rsid w:val="51F40267"/>
    <w:rsid w:val="52C11811"/>
    <w:rsid w:val="530D4FE1"/>
    <w:rsid w:val="53220A8C"/>
    <w:rsid w:val="53A80420"/>
    <w:rsid w:val="54C65448"/>
    <w:rsid w:val="553B7BE4"/>
    <w:rsid w:val="55762895"/>
    <w:rsid w:val="55FB1BC9"/>
    <w:rsid w:val="561B17C3"/>
    <w:rsid w:val="56AF6ADB"/>
    <w:rsid w:val="56DE4CCA"/>
    <w:rsid w:val="572538F9"/>
    <w:rsid w:val="579B0E0D"/>
    <w:rsid w:val="57B41ECF"/>
    <w:rsid w:val="580F00F8"/>
    <w:rsid w:val="58783407"/>
    <w:rsid w:val="58E32A6C"/>
    <w:rsid w:val="59C04B5B"/>
    <w:rsid w:val="5A0C7DA1"/>
    <w:rsid w:val="5A2D2EF6"/>
    <w:rsid w:val="5AB741B0"/>
    <w:rsid w:val="5AD76600"/>
    <w:rsid w:val="5BEA4111"/>
    <w:rsid w:val="5C076A71"/>
    <w:rsid w:val="5C86208C"/>
    <w:rsid w:val="5CDA473C"/>
    <w:rsid w:val="5CE9261B"/>
    <w:rsid w:val="5CFF02C0"/>
    <w:rsid w:val="5D521F6E"/>
    <w:rsid w:val="5D722610"/>
    <w:rsid w:val="5DB94316"/>
    <w:rsid w:val="5DEB10FE"/>
    <w:rsid w:val="5EA17159"/>
    <w:rsid w:val="5EB50A07"/>
    <w:rsid w:val="5F5609D7"/>
    <w:rsid w:val="5FAD7930"/>
    <w:rsid w:val="60BB2F6E"/>
    <w:rsid w:val="60D158A0"/>
    <w:rsid w:val="610F77E0"/>
    <w:rsid w:val="61572249"/>
    <w:rsid w:val="61706E67"/>
    <w:rsid w:val="63471E49"/>
    <w:rsid w:val="637075F2"/>
    <w:rsid w:val="63F773CC"/>
    <w:rsid w:val="640C0727"/>
    <w:rsid w:val="64151F48"/>
    <w:rsid w:val="646B7DB9"/>
    <w:rsid w:val="653B3C30"/>
    <w:rsid w:val="65613696"/>
    <w:rsid w:val="66406866"/>
    <w:rsid w:val="666B31F4"/>
    <w:rsid w:val="66703465"/>
    <w:rsid w:val="66C7577B"/>
    <w:rsid w:val="67AF09A7"/>
    <w:rsid w:val="67B11F87"/>
    <w:rsid w:val="680622D9"/>
    <w:rsid w:val="68464DC5"/>
    <w:rsid w:val="68AF4719"/>
    <w:rsid w:val="68D66938"/>
    <w:rsid w:val="69117181"/>
    <w:rsid w:val="692C7B17"/>
    <w:rsid w:val="69A3405A"/>
    <w:rsid w:val="6A3C022E"/>
    <w:rsid w:val="6A6B784E"/>
    <w:rsid w:val="6A6D08D3"/>
    <w:rsid w:val="6A7D7D36"/>
    <w:rsid w:val="6A7E25F5"/>
    <w:rsid w:val="6A994672"/>
    <w:rsid w:val="6AAC450A"/>
    <w:rsid w:val="6B0265FD"/>
    <w:rsid w:val="6B5B4551"/>
    <w:rsid w:val="6B670D50"/>
    <w:rsid w:val="6BA54C7D"/>
    <w:rsid w:val="6C0E5BFA"/>
    <w:rsid w:val="6C16685D"/>
    <w:rsid w:val="6C395048"/>
    <w:rsid w:val="6CF41704"/>
    <w:rsid w:val="6CFE5C6F"/>
    <w:rsid w:val="6D2334B1"/>
    <w:rsid w:val="6D5E670D"/>
    <w:rsid w:val="6DB141CC"/>
    <w:rsid w:val="6E0D2C11"/>
    <w:rsid w:val="6F2B0871"/>
    <w:rsid w:val="6F4F27B2"/>
    <w:rsid w:val="6F867D89"/>
    <w:rsid w:val="6F944668"/>
    <w:rsid w:val="6F9E036B"/>
    <w:rsid w:val="6FC22F83"/>
    <w:rsid w:val="70497201"/>
    <w:rsid w:val="705D2CAC"/>
    <w:rsid w:val="70707E0D"/>
    <w:rsid w:val="707F0E75"/>
    <w:rsid w:val="711C438B"/>
    <w:rsid w:val="71526589"/>
    <w:rsid w:val="718B3849"/>
    <w:rsid w:val="72181581"/>
    <w:rsid w:val="725105EF"/>
    <w:rsid w:val="73484E1D"/>
    <w:rsid w:val="73D414D7"/>
    <w:rsid w:val="73D6524F"/>
    <w:rsid w:val="73EC383B"/>
    <w:rsid w:val="73F47DE9"/>
    <w:rsid w:val="74130252"/>
    <w:rsid w:val="75082BA1"/>
    <w:rsid w:val="75E023B5"/>
    <w:rsid w:val="76463CCB"/>
    <w:rsid w:val="768A2321"/>
    <w:rsid w:val="768FAF95"/>
    <w:rsid w:val="76FD10FC"/>
    <w:rsid w:val="77130569"/>
    <w:rsid w:val="771A36A5"/>
    <w:rsid w:val="77472A61"/>
    <w:rsid w:val="77AE203F"/>
    <w:rsid w:val="77FE796C"/>
    <w:rsid w:val="78232A2D"/>
    <w:rsid w:val="7883171E"/>
    <w:rsid w:val="78947487"/>
    <w:rsid w:val="78FD4AD1"/>
    <w:rsid w:val="7908404B"/>
    <w:rsid w:val="796C3F60"/>
    <w:rsid w:val="798B088A"/>
    <w:rsid w:val="79B778D1"/>
    <w:rsid w:val="79D0520C"/>
    <w:rsid w:val="7BF1074D"/>
    <w:rsid w:val="7BF64053"/>
    <w:rsid w:val="7CCC3693"/>
    <w:rsid w:val="7CDE0692"/>
    <w:rsid w:val="7CF46746"/>
    <w:rsid w:val="7DC600E3"/>
    <w:rsid w:val="7DFC1D56"/>
    <w:rsid w:val="7EE527EB"/>
    <w:rsid w:val="7F4600F2"/>
    <w:rsid w:val="7FBC447F"/>
    <w:rsid w:val="7FC5136D"/>
    <w:rsid w:val="7FFA7456"/>
    <w:rsid w:val="7FFB603E"/>
    <w:rsid w:val="CF39FA84"/>
    <w:rsid w:val="FA75C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  <w:jc w:val="center"/>
    </w:pPr>
    <w:rPr>
      <w:rFonts w:ascii="仿宋_GB2312" w:hAnsi="Times New Roman"/>
      <w:b/>
      <w:bCs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 w:cs="Arial"/>
      <w:b/>
      <w:bCs/>
      <w:sz w:val="32"/>
      <w:szCs w:val="32"/>
    </w:rPr>
  </w:style>
  <w:style w:type="paragraph" w:styleId="7">
    <w:name w:val="Body Text First Indent"/>
    <w:basedOn w:val="2"/>
    <w:qFormat/>
    <w:uiPriority w:val="99"/>
    <w:pPr>
      <w:ind w:firstLine="420" w:firstLineChars="100"/>
    </w:pPr>
  </w:style>
  <w:style w:type="paragraph" w:customStyle="1" w:styleId="10">
    <w:name w:val="正文_0"/>
    <w:next w:val="3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楷体三号 Char"/>
    <w:link w:val="12"/>
    <w:qFormat/>
    <w:uiPriority w:val="0"/>
    <w:rPr>
      <w:rFonts w:hint="eastAsia" w:ascii="黑体" w:hAnsi="黑体" w:eastAsia="楷体_GB2312" w:cs="黑体"/>
      <w:color w:val="000000"/>
      <w:lang w:val="en-US"/>
    </w:rPr>
  </w:style>
  <w:style w:type="paragraph" w:customStyle="1" w:styleId="12">
    <w:name w:val="楷体三号"/>
    <w:basedOn w:val="1"/>
    <w:link w:val="11"/>
    <w:qFormat/>
    <w:uiPriority w:val="0"/>
    <w:pPr>
      <w:jc w:val="left"/>
    </w:pPr>
    <w:rPr>
      <w:rFonts w:hint="eastAsia" w:ascii="黑体" w:hAnsi="黑体" w:eastAsia="楷体_GB2312" w:cs="黑体"/>
      <w:color w:val="00000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2148</Words>
  <Characters>2268</Characters>
  <Lines>0</Lines>
  <Paragraphs>0</Paragraphs>
  <TotalTime>1</TotalTime>
  <ScaleCrop>false</ScaleCrop>
  <LinksUpToDate>false</LinksUpToDate>
  <CharactersWithSpaces>2268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lyt</cp:lastModifiedBy>
  <dcterms:modified xsi:type="dcterms:W3CDTF">2025-09-22T10:52:48Z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eyJoZGlkIjoiZTVkZmVlZTY2NTBhYTc3NDk2MzUwMjYzZjRhMzFmZDgiLCJ1c2VySWQiOiIyODY5NDQzMDYifQ==</vt:lpwstr>
  </property>
  <property fmtid="{D5CDD505-2E9C-101B-9397-08002B2CF9AE}" pid="4" name="ICV">
    <vt:lpwstr>1E6077B71F0C4EACAB8149240DE284EC_13</vt:lpwstr>
  </property>
</Properties>
</file>