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 xml:space="preserve">  </w:t>
      </w:r>
    </w:p>
    <w:p>
      <w:pPr>
        <w:jc w:val="center"/>
        <w:rPr>
          <w:rFonts w:ascii="宋体" w:hAnsi="宋体" w:cs="宋体"/>
          <w:b/>
          <w:color w:val="auto"/>
          <w:sz w:val="72"/>
          <w:szCs w:val="7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ascii="宋体" w:hAnsi="宋体" w:cs="宋体"/>
          <w:color w:val="auto"/>
          <w:highlight w:val="none"/>
        </w:rPr>
      </w:pPr>
    </w:p>
    <w:p>
      <w:pPr>
        <w:rPr>
          <w:rFonts w:ascii="宋体" w:hAnsi="宋体" w:cs="宋体"/>
          <w:color w:val="auto"/>
          <w:highlight w:val="none"/>
        </w:rPr>
      </w:pPr>
    </w:p>
    <w:p>
      <w:pPr>
        <w:pStyle w:val="28"/>
        <w:ind w:firstLine="420"/>
        <w:rPr>
          <w:rFonts w:ascii="宋体" w:hAnsi="宋体" w:cs="宋体"/>
          <w:color w:val="auto"/>
          <w:highlight w:val="none"/>
        </w:rPr>
      </w:pPr>
    </w:p>
    <w:p>
      <w:pPr>
        <w:pStyle w:val="28"/>
        <w:ind w:firstLine="420"/>
        <w:rPr>
          <w:rFonts w:ascii="宋体" w:hAnsi="宋体" w:cs="宋体"/>
          <w:color w:val="auto"/>
          <w:highlight w:val="none"/>
        </w:rPr>
      </w:pPr>
    </w:p>
    <w:p>
      <w:pPr>
        <w:rPr>
          <w:rFonts w:ascii="宋体" w:hAnsi="宋体" w:cs="宋体"/>
          <w:b/>
          <w:color w:val="auto"/>
          <w:sz w:val="44"/>
          <w:highlight w:val="none"/>
        </w:rPr>
      </w:pPr>
    </w:p>
    <w:p>
      <w:pPr>
        <w:ind w:right="-319" w:rightChars="-152" w:firstLine="904" w:firstLineChars="250"/>
        <w:rPr>
          <w:rFonts w:ascii="宋体" w:hAnsi="宋体" w:cs="宋体"/>
          <w:b/>
          <w:color w:val="auto"/>
          <w:sz w:val="36"/>
          <w:szCs w:val="36"/>
          <w:highlight w:val="none"/>
        </w:rPr>
      </w:pPr>
      <w:r>
        <w:rPr>
          <w:rFonts w:hint="eastAsia" w:ascii="宋体" w:hAnsi="宋体" w:cs="宋体"/>
          <w:b/>
          <w:color w:val="auto"/>
          <w:sz w:val="36"/>
          <w:szCs w:val="36"/>
          <w:highlight w:val="none"/>
        </w:rPr>
        <w:t>招标编号：QH2025070</w:t>
      </w:r>
    </w:p>
    <w:p>
      <w:pPr>
        <w:pStyle w:val="28"/>
        <w:ind w:firstLine="420"/>
        <w:rPr>
          <w:rFonts w:ascii="宋体" w:hAnsi="宋体" w:cs="宋体"/>
          <w:color w:val="auto"/>
          <w:highlight w:val="none"/>
        </w:rPr>
      </w:pPr>
    </w:p>
    <w:p>
      <w:pPr>
        <w:pStyle w:val="28"/>
        <w:ind w:firstLine="420"/>
        <w:rPr>
          <w:rFonts w:ascii="宋体" w:hAnsi="宋体" w:cs="宋体"/>
          <w:color w:val="auto"/>
          <w:highlight w:val="none"/>
        </w:rPr>
      </w:pPr>
    </w:p>
    <w:p>
      <w:pPr>
        <w:ind w:right="-319" w:rightChars="-152" w:firstLine="904" w:firstLineChars="25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招标项目：前海湾片区产业发展规划研究</w:t>
      </w:r>
    </w:p>
    <w:p>
      <w:pPr>
        <w:ind w:firstLine="3264" w:firstLineChars="739"/>
        <w:rPr>
          <w:rFonts w:ascii="宋体" w:hAnsi="宋体" w:cs="宋体"/>
          <w:b/>
          <w:color w:val="auto"/>
          <w:sz w:val="44"/>
          <w:highlight w:val="none"/>
        </w:rPr>
      </w:pPr>
    </w:p>
    <w:p>
      <w:pPr>
        <w:pStyle w:val="17"/>
      </w:pPr>
    </w:p>
    <w:p>
      <w:pPr>
        <w:pStyle w:val="28"/>
        <w:ind w:firstLine="0" w:firstLineChars="0"/>
        <w:rPr>
          <w:rFonts w:ascii="宋体" w:hAnsi="宋体" w:cs="宋体"/>
          <w:color w:val="auto"/>
          <w:highlight w:val="none"/>
        </w:rPr>
      </w:pPr>
    </w:p>
    <w:p>
      <w:pPr>
        <w:rPr>
          <w:rFonts w:ascii="宋体" w:hAnsi="宋体" w:cs="宋体"/>
          <w:b/>
          <w:color w:val="auto"/>
          <w:sz w:val="44"/>
          <w:highlight w:val="none"/>
        </w:rPr>
      </w:pPr>
    </w:p>
    <w:p>
      <w:pPr>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罚款、取消参与政府采购资格、吊销营业执照等处罚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构成犯罪的，依法追究刑事责任。</w:t>
      </w:r>
    </w:p>
    <w:tbl>
      <w:tblPr>
        <w:tblStyle w:val="2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highlight w:val="none"/>
        </w:rPr>
      </w:pPr>
      <w:r>
        <w:rPr>
          <w:rStyle w:val="22"/>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spacing w:before="0" w:beforeAutospacing="0" w:after="0" w:afterAutospacing="0" w:line="240" w:lineRule="auto"/>
        <w:ind w:firstLine="480" w:firstLineChars="200"/>
        <w:rPr>
          <w:color w:val="auto"/>
          <w:highlight w:val="none"/>
        </w:rPr>
      </w:pPr>
      <w:bookmarkStart w:id="1" w:name="_Toc2750"/>
      <w:r>
        <w:rPr>
          <w:rFonts w:hint="eastAsia"/>
          <w:color w:val="auto"/>
          <w:highlight w:val="none"/>
        </w:rPr>
        <w:t>（一）在采购活动中应当回避而未回避的；</w:t>
      </w:r>
      <w:bookmarkEnd w:id="1"/>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（二）未按照本条例规定签订、履行采购合同，造成严重后果的；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（三）隐瞒真实情况，提供虚假资料的；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（四）以非法手段排斥其他供应商参与竞争的；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（五）与其他采购参加人串通投标的；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（六）恶意投诉的；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（七）向采购项目相关人行贿或者提供其他不当利益的；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（八）阻碍、抗拒主管部门监督检查的；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highlight w:val="none"/>
        </w:rPr>
      </w:pPr>
    </w:p>
    <w:p>
      <w:pPr>
        <w:shd w:val="clea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240" w:lineRule="auto"/>
        <w:ind w:firstLine="480" w:firstLineChars="200"/>
        <w:rPr>
          <w:rFonts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240" w:lineRule="auto"/>
        <w:ind w:firstLine="482" w:firstLineChars="200"/>
        <w:jc w:val="left"/>
        <w:rPr>
          <w:rFonts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highlight w:val="none"/>
          <w:lang w:eastAsia="zh-CN"/>
        </w:rPr>
      </w:pPr>
    </w:p>
    <w:p>
      <w:pPr>
        <w:autoSpaceDE w:val="0"/>
        <w:autoSpaceDN w:val="0"/>
        <w:adjustRightInd w:val="0"/>
        <w:spacing w:line="240" w:lineRule="auto"/>
        <w:jc w:val="center"/>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关于在相关自由贸易试验区和自由贸易港开展推动解决政府采购异常低价问题试点工作的通知</w:t>
      </w:r>
      <w:r>
        <w:rPr>
          <w:rFonts w:hint="eastAsia" w:ascii="宋体" w:hAnsi="宋体" w:cs="宋体"/>
          <w:b/>
          <w:color w:val="auto"/>
          <w:kern w:val="0"/>
          <w:sz w:val="24"/>
          <w:highlight w:val="none"/>
          <w:lang w:eastAsia="zh-CN"/>
        </w:rPr>
        <w:t>》</w:t>
      </w:r>
    </w:p>
    <w:p>
      <w:pPr>
        <w:autoSpaceDE w:val="0"/>
        <w:autoSpaceDN w:val="0"/>
        <w:adjustRightInd w:val="0"/>
        <w:spacing w:line="240" w:lineRule="auto"/>
        <w:jc w:val="left"/>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rPr>
        <w:t>强化政府采购异常低价审查</w:t>
      </w:r>
      <w:r>
        <w:rPr>
          <w:rFonts w:hint="eastAsia" w:ascii="宋体" w:hAnsi="宋体" w:cs="宋体"/>
          <w:b/>
          <w:color w:val="auto"/>
          <w:kern w:val="0"/>
          <w:sz w:val="24"/>
          <w:highlight w:val="none"/>
          <w:lang w:eastAsia="zh-CN"/>
        </w:rPr>
        <w:t>：</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color w:val="auto"/>
          <w:sz w:val="32"/>
          <w:szCs w:val="40"/>
          <w:highlight w:val="none"/>
        </w:rPr>
      </w:pPr>
      <w:r>
        <w:rPr>
          <w:rFonts w:ascii="宋体" w:hAnsi="宋体"/>
          <w:b/>
          <w:bCs/>
          <w:color w:val="auto"/>
          <w:sz w:val="32"/>
          <w:szCs w:val="40"/>
          <w:highlight w:val="none"/>
          <w:u w:val="single"/>
        </w:rPr>
        <w:br w:type="page"/>
      </w:r>
      <w:bookmarkStart w:id="6" w:name="_Toc30761"/>
      <w:r>
        <w:rPr>
          <w:rFonts w:ascii="宋体" w:hAnsi="宋体"/>
          <w:b/>
          <w:bCs/>
          <w:color w:val="auto"/>
          <w:sz w:val="32"/>
          <w:szCs w:val="40"/>
          <w:highlight w:val="none"/>
        </w:rPr>
        <w:t>目录</w:t>
      </w:r>
      <w:bookmarkEnd w:id="0"/>
      <w:bookmarkEnd w:id="6"/>
    </w:p>
    <w:p>
      <w:pPr>
        <w:pStyle w:val="14"/>
        <w:tabs>
          <w:tab w:val="right" w:leader="dot" w:pos="8306"/>
        </w:tabs>
        <w:spacing w:line="480" w:lineRule="auto"/>
        <w:rPr>
          <w:b/>
          <w:bCs/>
          <w:color w:val="auto"/>
          <w:sz w:val="24"/>
          <w:szCs w:val="32"/>
          <w:highlight w:val="none"/>
        </w:rPr>
      </w:pPr>
    </w:p>
    <w:p>
      <w:pPr>
        <w:pStyle w:val="14"/>
        <w:tabs>
          <w:tab w:val="right" w:leader="dot" w:pos="8306"/>
        </w:tabs>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"_Toc28255"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w:t>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9</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"_Toc18857"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_Toc18857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"_Toc1635"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_Toc1635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"_Toc793"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_Toc793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"_Toc6457"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_Toc6457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"_Toc834"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default" w:ascii="宋体" w:hAnsi="宋体" w:eastAsia="宋体" w:cs="宋体"/>
          <w:b/>
          <w:bCs/>
          <w:color w:val="auto"/>
          <w:sz w:val="24"/>
          <w:highlight w:val="none"/>
          <w:lang w:val="en-US" w:eastAsia="zh-CN"/>
        </w:rPr>
      </w:pPr>
      <w:r>
        <w:rPr>
          <w:color w:val="auto"/>
          <w:highlight w:val="none"/>
        </w:rPr>
        <w:fldChar w:fldCharType="begin"/>
      </w:r>
      <w:r>
        <w:rPr>
          <w:color w:val="auto"/>
          <w:highlight w:val="none"/>
        </w:rPr>
        <w:instrText xml:space="preserve"> HYPERLINK \l "_Toc3166"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57</w:t>
      </w:r>
    </w:p>
    <w:p>
      <w:pPr>
        <w:spacing w:line="360" w:lineRule="auto"/>
        <w:rPr>
          <w:color w:val="auto"/>
          <w:highlight w:val="none"/>
        </w:rPr>
      </w:pPr>
      <w:r>
        <w:rPr>
          <w:rFonts w:hint="eastAsia" w:ascii="宋体" w:hAnsi="宋体" w:cs="宋体"/>
          <w:b/>
          <w:bCs/>
          <w:color w:val="auto"/>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7" w:name="_Toc28255"/>
      <w:r>
        <w:rPr>
          <w:rFonts w:hint="eastAsia" w:ascii="宋体" w:hAnsi="宋体" w:cs="宋体"/>
          <w:b/>
          <w:bCs/>
          <w:color w:val="auto"/>
          <w:sz w:val="24"/>
          <w:highlight w:val="none"/>
        </w:rPr>
        <w:t>招标公告</w:t>
      </w:r>
      <w:bookmarkEnd w:id="7"/>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u w:val="single"/>
          <w:lang w:val="en-US" w:eastAsia="zh-CN"/>
        </w:rPr>
        <w:t>前海湾片区产业发展规划研究</w:t>
      </w:r>
      <w:r>
        <w:rPr>
          <w:rFonts w:hint="eastAsia" w:ascii="宋体" w:hAnsi="宋体" w:cs="宋体"/>
          <w:color w:val="auto"/>
          <w:sz w:val="24"/>
          <w:highlight w:val="none"/>
        </w:rPr>
        <w:t>（招标编号：QH2025070）采用公开征集供应商简易招标方式采购，欢迎符合投标</w:t>
      </w:r>
      <w:r>
        <w:rPr>
          <w:rFonts w:ascii="宋体" w:hAnsi="宋体" w:cs="宋体"/>
          <w:color w:val="auto"/>
          <w:kern w:val="0"/>
          <w:sz w:val="24"/>
          <w:szCs w:val="20"/>
          <w:highlight w:val="none"/>
        </w:rPr>
        <w:t>单位</w:t>
      </w:r>
      <w:r>
        <w:rPr>
          <w:rFonts w:hint="eastAsia" w:ascii="宋体" w:hAnsi="宋体" w:cs="宋体"/>
          <w:color w:val="auto"/>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highlight w:val="none"/>
              </w:rPr>
            </w:pPr>
            <w:r>
              <w:rPr>
                <w:rFonts w:hint="eastAsia" w:ascii="宋体" w:hAnsi="宋体" w:cs="宋体"/>
                <w:color w:val="auto"/>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QH2025070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前海湾片区产业发展规划研究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cs="宋体"/>
                <w:color w:val="auto"/>
                <w:sz w:val="24"/>
                <w:highlight w:val="none"/>
              </w:rPr>
              <w:t>贯彻落实党的二十大和二十届三中全会</w:t>
            </w:r>
            <w:r>
              <w:rPr>
                <w:rFonts w:hint="eastAsia" w:ascii="宋体" w:hAnsi="宋体" w:cs="宋体"/>
                <w:color w:val="auto"/>
                <w:sz w:val="24"/>
                <w:highlight w:val="none"/>
                <w:lang w:val="en-US" w:eastAsia="zh-CN"/>
              </w:rPr>
              <w:t>精神</w:t>
            </w:r>
            <w:r>
              <w:rPr>
                <w:rFonts w:hint="eastAsia" w:ascii="宋体" w:hAnsi="宋体" w:cs="宋体"/>
                <w:color w:val="auto"/>
                <w:sz w:val="24"/>
                <w:highlight w:val="none"/>
              </w:rPr>
              <w:t>和《前海方案》《前海规划》任务要求，围绕前海深港现代服务业合作区发展定位，结合区位优势、资源禀赋以及金融、港航、专业服务等因素，系统梳理前海湾片区产业基础、发展条件和存在短板等，研判国内外产业发展趋势，对标研究同类区域产业发展案例，研究明确前海湾片区产业发展方向、产业布局和近期重点举措</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，形成前海湾片区产业发展规划报告和发展建议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sz w:val="24"/>
                <w:highlight w:val="none"/>
              </w:rPr>
            </w:pPr>
            <w:r>
              <w:rPr>
                <w:rFonts w:hint="default" w:ascii="宋体" w:hAnsi="宋体" w:cs="宋体"/>
                <w:color w:val="auto"/>
                <w:sz w:val="24"/>
                <w:highlight w:val="none"/>
                <w:lang w:val="en-US" w:eastAsia="zh-CN"/>
              </w:rPr>
              <w:t>22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000</w:t>
            </w:r>
            <w:r>
              <w:rPr>
                <w:rFonts w:hint="eastAsia" w:ascii="宋体" w:hAnsi="宋体" w:cs="宋体"/>
                <w:color w:val="auto"/>
                <w:sz w:val="24"/>
                <w:highlight w:val="none"/>
              </w:rPr>
              <w:t>.00（人民币</w:t>
            </w:r>
            <w:r>
              <w:rPr>
                <w:rFonts w:hint="eastAsia" w:ascii="宋体" w:hAnsi="宋体" w:cs="宋体"/>
                <w:color w:val="auto"/>
                <w:sz w:val="24"/>
                <w:lang w:val="en-US" w:eastAsia="zh-CN"/>
              </w:rPr>
              <w:t>贰</w:t>
            </w:r>
            <w:r>
              <w:rPr>
                <w:rFonts w:hint="eastAsia" w:ascii="宋体" w:hAnsi="宋体" w:cs="宋体"/>
                <w:color w:val="auto"/>
                <w:sz w:val="24"/>
                <w:highlight w:val="none"/>
                <w:lang w:val="en-US" w:eastAsia="zh-CN"/>
              </w:rPr>
              <w:t>拾</w:t>
            </w:r>
            <w:r>
              <w:rPr>
                <w:rFonts w:hint="eastAsia" w:ascii="宋体" w:hAnsi="宋体" w:cs="宋体"/>
                <w:color w:val="auto"/>
                <w:sz w:val="24"/>
                <w:lang w:val="en-US" w:eastAsia="zh-CN"/>
              </w:rPr>
              <w:t>贰</w:t>
            </w:r>
            <w:r>
              <w:rPr>
                <w:rFonts w:hint="eastAsia" w:ascii="宋体" w:hAnsi="宋体" w:cs="宋体"/>
                <w:color w:val="auto"/>
                <w:sz w:val="24"/>
                <w:highlight w:val="none"/>
                <w:lang w:val="en-US" w:eastAsia="zh-CN"/>
              </w:rPr>
              <w:t>万元整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highlight w:val="none"/>
                <w:lang w:bidi="ar"/>
              </w:rPr>
            </w:pPr>
            <w:r>
              <w:rPr>
                <w:rFonts w:hint="eastAsia" w:ascii="宋体" w:hAnsi="宋体" w:cs="宋体"/>
                <w:color w:val="auto"/>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color w:val="auto"/>
                <w:kern w:val="0"/>
                <w:sz w:val="24"/>
                <w:highlight w:val="none"/>
                <w:lang w:bidi="ar"/>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color w:val="auto"/>
                <w:kern w:val="0"/>
                <w:sz w:val="24"/>
                <w:highlight w:val="none"/>
                <w:lang w:bidi="ar"/>
              </w:rPr>
              <w:t>202</w:t>
            </w:r>
            <w:r>
              <w:rPr>
                <w:rFonts w:hint="eastAsia" w:ascii="宋体" w:hAnsi="宋体" w:cs="宋体"/>
                <w:b w:val="0"/>
                <w:color w:val="auto"/>
                <w:kern w:val="0"/>
                <w:sz w:val="24"/>
                <w:highlight w:val="none"/>
                <w:lang w:val="en-US" w:eastAsia="zh-CN" w:bidi="ar"/>
              </w:rPr>
              <w:t>5</w:t>
            </w:r>
            <w:r>
              <w:rPr>
                <w:rFonts w:hint="eastAsia" w:ascii="宋体" w:hAnsi="宋体" w:cs="宋体"/>
                <w:b w:val="0"/>
                <w:color w:val="auto"/>
                <w:kern w:val="0"/>
                <w:sz w:val="24"/>
                <w:highlight w:val="none"/>
                <w:lang w:bidi="ar"/>
              </w:rPr>
              <w:t>年</w:t>
            </w:r>
            <w:r>
              <w:rPr>
                <w:rFonts w:hint="eastAsia" w:ascii="宋体" w:hAnsi="宋体" w:cs="宋体"/>
                <w:b w:val="0"/>
                <w:color w:val="auto"/>
                <w:kern w:val="0"/>
                <w:sz w:val="24"/>
                <w:highlight w:val="none"/>
                <w:lang w:val="en-US" w:eastAsia="zh-CN" w:bidi="ar"/>
              </w:rPr>
              <w:t>9</w:t>
            </w:r>
            <w:r>
              <w:rPr>
                <w:rFonts w:hint="eastAsia" w:ascii="宋体" w:hAnsi="宋体" w:cs="宋体"/>
                <w:b w:val="0"/>
                <w:color w:val="auto"/>
                <w:kern w:val="0"/>
                <w:sz w:val="24"/>
                <w:highlight w:val="none"/>
                <w:lang w:bidi="ar"/>
              </w:rPr>
              <w:t>月</w:t>
            </w:r>
            <w:r>
              <w:rPr>
                <w:rFonts w:hint="eastAsia" w:ascii="宋体" w:hAnsi="宋体" w:cs="宋体"/>
                <w:b w:val="0"/>
                <w:color w:val="auto"/>
                <w:kern w:val="0"/>
                <w:sz w:val="24"/>
                <w:highlight w:val="none"/>
                <w:lang w:val="en-US" w:eastAsia="zh-CN" w:bidi="ar"/>
              </w:rPr>
              <w:t>2</w:t>
            </w:r>
            <w:r>
              <w:rPr>
                <w:rFonts w:hint="eastAsia" w:ascii="宋体" w:hAnsi="宋体" w:cs="宋体"/>
                <w:b w:val="0"/>
                <w:color w:val="auto"/>
                <w:kern w:val="0"/>
                <w:sz w:val="24"/>
                <w:highlight w:val="none"/>
                <w:lang w:bidi="ar"/>
              </w:rPr>
              <w:t>日1</w:t>
            </w:r>
            <w:r>
              <w:rPr>
                <w:rFonts w:hint="eastAsia" w:ascii="宋体" w:hAnsi="宋体" w:cs="宋体"/>
                <w:b w:val="0"/>
                <w:color w:val="auto"/>
                <w:kern w:val="0"/>
                <w:sz w:val="24"/>
                <w:highlight w:val="none"/>
                <w:lang w:val="en-US" w:eastAsia="zh-CN" w:bidi="ar"/>
              </w:rPr>
              <w:t>5</w:t>
            </w:r>
            <w:r>
              <w:rPr>
                <w:rFonts w:hint="eastAsia" w:ascii="宋体" w:hAnsi="宋体" w:cs="宋体"/>
                <w:b w:val="0"/>
                <w:color w:val="auto"/>
                <w:kern w:val="0"/>
                <w:sz w:val="24"/>
                <w:highlight w:val="none"/>
                <w:lang w:bidi="ar"/>
              </w:rPr>
              <w:t>:00时（北京时间）前送达（现场递交</w:t>
            </w:r>
            <w:r>
              <w:rPr>
                <w:rFonts w:hint="eastAsia" w:ascii="宋体" w:hAnsi="宋体" w:cs="宋体"/>
                <w:b w:val="0"/>
                <w:color w:val="auto"/>
                <w:kern w:val="0"/>
                <w:sz w:val="24"/>
                <w:highlight w:val="none"/>
                <w:lang w:val="en-US" w:eastAsia="zh-CN" w:bidi="ar"/>
              </w:rPr>
              <w:t>或邮寄</w:t>
            </w:r>
            <w:r>
              <w:rPr>
                <w:rFonts w:hint="eastAsia" w:ascii="宋体" w:hAnsi="宋体" w:cs="宋体"/>
                <w:b w:val="0"/>
                <w:color w:val="auto"/>
                <w:kern w:val="0"/>
                <w:sz w:val="24"/>
                <w:highlight w:val="none"/>
                <w:lang w:bidi="ar"/>
              </w:rPr>
              <w:t>）</w:t>
            </w:r>
            <w:r>
              <w:rPr>
                <w:rFonts w:hint="eastAsia" w:ascii="宋体" w:hAnsi="宋体" w:cs="宋体"/>
                <w:color w:val="auto"/>
                <w:kern w:val="0"/>
                <w:sz w:val="24"/>
                <w:highlight w:val="none"/>
                <w:lang w:bidi="ar"/>
              </w:rPr>
              <w:t>至</w:t>
            </w:r>
            <w:r>
              <w:rPr>
                <w:rFonts w:hint="eastAsia" w:ascii="宋体" w:hAnsi="宋体" w:cs="宋体"/>
                <w:b w:val="0"/>
                <w:color w:val="auto"/>
                <w:kern w:val="0"/>
                <w:sz w:val="24"/>
                <w:highlight w:val="none"/>
                <w:lang w:bidi="ar"/>
              </w:rPr>
              <w:t>深圳市前海深港现代服务业合作区桂湾五路123号前海大厦T1栋</w:t>
            </w:r>
            <w:r>
              <w:rPr>
                <w:rFonts w:hint="eastAsia" w:ascii="宋体" w:hAnsi="宋体" w:cs="宋体"/>
                <w:color w:val="auto"/>
                <w:sz w:val="24"/>
                <w:highlight w:val="none"/>
                <w:lang w:val="en-US" w:eastAsia="zh-CN"/>
              </w:rPr>
              <w:t>2519</w:t>
            </w:r>
            <w:r>
              <w:rPr>
                <w:rFonts w:hint="eastAsia" w:ascii="宋体" w:hAnsi="宋体" w:cs="宋体"/>
                <w:b w:val="0"/>
                <w:color w:val="auto"/>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联系人：</w:t>
            </w:r>
            <w:r>
              <w:rPr>
                <w:rFonts w:hint="eastAsia" w:ascii="宋体" w:hAnsi="宋体" w:cs="宋体"/>
                <w:color w:val="auto"/>
                <w:kern w:val="0"/>
                <w:sz w:val="24"/>
                <w:highlight w:val="none"/>
                <w:lang w:eastAsia="zh-CN" w:bidi="ar"/>
              </w:rPr>
              <w:t>方</w:t>
            </w:r>
            <w:r>
              <w:rPr>
                <w:rFonts w:hint="eastAsia" w:ascii="宋体" w:hAnsi="宋体" w:cs="宋体"/>
                <w:color w:val="auto"/>
                <w:kern w:val="0"/>
                <w:sz w:val="24"/>
                <w:highlight w:val="none"/>
                <w:lang w:val="en-US" w:eastAsia="zh-CN" w:bidi="ar"/>
              </w:rPr>
              <w:t xml:space="preserve">工     </w:t>
            </w:r>
            <w:r>
              <w:rPr>
                <w:rFonts w:hint="eastAsia" w:ascii="宋体" w:hAnsi="宋体" w:cs="宋体"/>
                <w:color w:val="auto"/>
                <w:kern w:val="0"/>
                <w:sz w:val="24"/>
                <w:highlight w:val="none"/>
                <w:lang w:bidi="ar"/>
              </w:rPr>
              <w:t>联系电话：</w:t>
            </w:r>
            <w:r>
              <w:rPr>
                <w:rFonts w:hint="eastAsia" w:ascii="宋体" w:hAnsi="宋体" w:cs="宋体"/>
                <w:color w:val="auto"/>
                <w:kern w:val="0"/>
                <w:sz w:val="24"/>
                <w:highlight w:val="none"/>
              </w:rPr>
              <w:t>0755-</w:t>
            </w:r>
            <w:r>
              <w:rPr>
                <w:rFonts w:hint="eastAsia" w:ascii="宋体" w:hAnsi="宋体" w:cs="宋体"/>
                <w:color w:val="auto"/>
                <w:kern w:val="0"/>
                <w:sz w:val="24"/>
                <w:highlight w:val="none"/>
                <w:lang w:val="en-US" w:eastAsia="zh-CN"/>
              </w:rPr>
              <w:t>881051</w:t>
            </w:r>
            <w:r>
              <w:rPr>
                <w:rFonts w:hint="default" w:ascii="宋体" w:hAnsi="宋体" w:cs="宋体"/>
                <w:color w:val="auto"/>
                <w:kern w:val="0"/>
                <w:sz w:val="24"/>
                <w:highlight w:val="none"/>
                <w:lang w:val="en-US" w:eastAsia="zh-CN"/>
              </w:rPr>
              <w:t>18</w:t>
            </w:r>
            <w:r>
              <w:rPr>
                <w:rFonts w:hint="eastAsia" w:ascii="宋体" w:hAnsi="宋体" w:cs="宋体"/>
                <w:color w:val="auto"/>
                <w:kern w:val="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b w:val="0"/>
                <w:bCs w:val="0"/>
                <w:color w:val="auto"/>
                <w:kern w:val="0"/>
                <w:sz w:val="24"/>
                <w:highlight w:val="none"/>
                <w:lang w:val="en-US" w:eastAsia="zh-CN"/>
              </w:rPr>
              <w:t>具有独立承担民事责任能力的法人或其他组织（提供营业执照或事业单位法人证书等证明资料复印件或扫描件，原件备查）。如果参与投标的供应商为分支机构（或分所）则须提供分支机构（或分所）营业执照、其所属总公司（或总所）等具有独立法人资格的组织出具的授权函或承诺书，但只接受直接授权，不接受逐级授权，并同时提供总公司（或总所）营业执照。不接受同一总公司（或总所）授权两家或以上分支机构（或分所）同时参与本项目投标，也不接受总公司（或总所）与分支机构（或分所）同时参与本项目投标，如出现上述情形，该两家或以上供应商的投标文件均按无效投标处理）。个体工商户参与投标的需注明经营者信息。</w:t>
            </w:r>
            <w:r>
              <w:rPr>
                <w:rFonts w:hint="eastAsia" w:ascii="宋体" w:hAnsi="宋体" w:cs="宋体"/>
                <w:b/>
                <w:bCs/>
                <w:color w:val="auto"/>
                <w:kern w:val="0"/>
                <w:sz w:val="24"/>
                <w:highlight w:val="none"/>
                <w:lang w:val="en-US" w:eastAsia="zh-CN"/>
              </w:rPr>
              <w:t>以上证明材料均需提供加盖投标人单位公章的复印件或扫描件，原件备查。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default" w:eastAsia="宋体"/>
                <w:color w:val="auto"/>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本次投标为总价包干，投标报价总价作为中标人与采购人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的合同金额。项目预算控制</w:t>
            </w:r>
            <w:r>
              <w:rPr>
                <w:rFonts w:hint="default" w:ascii="宋体" w:hAnsi="宋体" w:cs="宋体"/>
                <w:color w:val="auto"/>
                <w:sz w:val="24"/>
                <w:highlight w:val="none"/>
                <w:lang w:val="en-US" w:eastAsia="zh-CN"/>
              </w:rPr>
              <w:t>22</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w:t>
            </w:r>
            <w:r>
              <w:rPr>
                <w:rFonts w:hint="eastAsia" w:ascii="宋体" w:hAnsi="宋体" w:cs="宋体"/>
                <w:color w:val="auto"/>
                <w:kern w:val="0"/>
                <w:sz w:val="24"/>
                <w:highlight w:val="none"/>
              </w:rPr>
              <w:t>预算（限价），否则投标人的投标文件视同无效。项目服务费</w:t>
            </w:r>
            <w:r>
              <w:rPr>
                <w:rFonts w:hint="eastAsia" w:ascii="宋体" w:hAnsi="宋体" w:cs="宋体"/>
                <w:color w:val="auto"/>
                <w:kern w:val="0"/>
                <w:sz w:val="24"/>
                <w:highlight w:val="none"/>
                <w:lang w:eastAsia="zh-CN"/>
              </w:rPr>
              <w:t>包括但不限于</w:t>
            </w: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eastAsia="zh-CN"/>
              </w:rPr>
              <w:t>中标人为采购人所提供的所有技术支持费用；</w:t>
            </w: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eastAsia="zh-CN"/>
              </w:rPr>
              <w:t>项目调研费用、专家咨询费；</w:t>
            </w: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lang w:eastAsia="zh-CN"/>
              </w:rPr>
              <w:t>中标人工作人员工资、差旅费；</w:t>
            </w: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lang w:eastAsia="zh-CN"/>
              </w:rPr>
              <w:t>中标人的办公、通讯、交通费用；</w:t>
            </w:r>
            <w:r>
              <w:rPr>
                <w:rFonts w:hint="eastAsia" w:ascii="宋体" w:hAnsi="宋体" w:cs="宋体"/>
                <w:color w:val="auto"/>
                <w:kern w:val="0"/>
                <w:sz w:val="24"/>
                <w:highlight w:val="none"/>
                <w:lang w:val="en-US" w:eastAsia="zh-CN"/>
              </w:rPr>
              <w:t>⑤</w:t>
            </w:r>
            <w:r>
              <w:rPr>
                <w:rFonts w:hint="eastAsia" w:ascii="宋体" w:hAnsi="宋体" w:cs="宋体"/>
                <w:color w:val="auto"/>
                <w:kern w:val="0"/>
                <w:sz w:val="24"/>
                <w:highlight w:val="none"/>
                <w:lang w:eastAsia="zh-CN"/>
              </w:rPr>
              <w:t>项目材料统计、分析费用；</w:t>
            </w:r>
            <w:r>
              <w:rPr>
                <w:rFonts w:hint="eastAsia" w:ascii="宋体" w:hAnsi="宋体" w:cs="宋体"/>
                <w:color w:val="auto"/>
                <w:kern w:val="0"/>
                <w:sz w:val="24"/>
                <w:highlight w:val="none"/>
                <w:lang w:val="en-US" w:eastAsia="zh-CN"/>
              </w:rPr>
              <w:t>⑥</w:t>
            </w:r>
            <w:r>
              <w:rPr>
                <w:rFonts w:hint="eastAsia" w:ascii="宋体" w:hAnsi="宋体" w:cs="宋体"/>
                <w:color w:val="auto"/>
                <w:kern w:val="0"/>
                <w:sz w:val="24"/>
                <w:highlight w:val="none"/>
                <w:lang w:eastAsia="zh-CN"/>
              </w:rPr>
              <w:t>项目成果文本印刷费用；</w:t>
            </w:r>
            <w:r>
              <w:rPr>
                <w:rFonts w:hint="eastAsia" w:ascii="宋体" w:hAnsi="宋体" w:cs="宋体"/>
                <w:color w:val="auto"/>
                <w:kern w:val="0"/>
                <w:sz w:val="24"/>
                <w:highlight w:val="none"/>
                <w:lang w:val="en-US" w:eastAsia="zh-CN"/>
              </w:rPr>
              <w:t>⑦</w:t>
            </w:r>
            <w:r>
              <w:rPr>
                <w:rFonts w:hint="eastAsia" w:ascii="宋体" w:hAnsi="宋体" w:cs="宋体"/>
                <w:color w:val="auto"/>
                <w:kern w:val="0"/>
                <w:sz w:val="24"/>
                <w:highlight w:val="none"/>
                <w:lang w:eastAsia="zh-CN"/>
              </w:rPr>
              <w:t>中标人以各种方式将文件资料发送至采购人的费用；</w:t>
            </w:r>
            <w:r>
              <w:rPr>
                <w:rFonts w:hint="eastAsia" w:ascii="宋体" w:hAnsi="宋体" w:cs="宋体"/>
                <w:color w:val="auto"/>
                <w:kern w:val="0"/>
                <w:sz w:val="24"/>
                <w:highlight w:val="none"/>
                <w:lang w:val="en-US" w:eastAsia="zh-CN"/>
              </w:rPr>
              <w:t>⑧</w:t>
            </w:r>
            <w:r>
              <w:rPr>
                <w:rFonts w:hint="eastAsia" w:ascii="宋体" w:hAnsi="宋体" w:cs="宋体"/>
                <w:color w:val="auto"/>
                <w:kern w:val="0"/>
                <w:sz w:val="24"/>
                <w:highlight w:val="none"/>
                <w:lang w:eastAsia="zh-CN"/>
              </w:rPr>
              <w:t>本合同项下产生的一切税费；</w:t>
            </w:r>
            <w:r>
              <w:rPr>
                <w:rFonts w:hint="eastAsia" w:ascii="宋体" w:hAnsi="宋体" w:cs="宋体"/>
                <w:color w:val="auto"/>
                <w:kern w:val="0"/>
                <w:sz w:val="24"/>
                <w:highlight w:val="none"/>
                <w:lang w:val="en-US" w:eastAsia="zh-CN"/>
              </w:rPr>
              <w:t>⑨后续服务期所产生的相关费用；⑩</w:t>
            </w:r>
            <w:r>
              <w:rPr>
                <w:rFonts w:hint="eastAsia" w:ascii="宋体" w:hAnsi="宋体" w:cs="宋体"/>
                <w:color w:val="auto"/>
                <w:kern w:val="0"/>
                <w:sz w:val="24"/>
                <w:highlight w:val="none"/>
                <w:lang w:eastAsia="zh-CN"/>
              </w:rPr>
              <w:t>本合同项下产生的其他合理费用，并提供合同要求的成果文件，以及其它相关服务的全部费用</w:t>
            </w:r>
            <w:r>
              <w:rPr>
                <w:rFonts w:hint="eastAsia" w:ascii="宋体" w:hAnsi="宋体" w:cs="宋体"/>
                <w:color w:val="auto"/>
                <w:sz w:val="24"/>
                <w:highlight w:val="none"/>
              </w:rPr>
              <w:t>。</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名      称：深圳市前海深港现代服务业合作区管理局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default" w:ascii="宋体" w:hAnsi="宋体" w:cs="宋体"/>
                <w:color w:val="auto"/>
                <w:kern w:val="0"/>
                <w:sz w:val="24"/>
                <w:highlight w:val="none"/>
              </w:rPr>
              <w:t>地      址：深圳市前海深港现代服务业合作区桂湾五路123号前海大厦T1栋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方工</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w:t>
            </w:r>
            <w:r>
              <w:rPr>
                <w:rFonts w:hint="eastAsia" w:ascii="宋体" w:hAnsi="宋体" w:cs="宋体"/>
                <w:color w:val="auto"/>
                <w:kern w:val="0"/>
                <w:sz w:val="24"/>
                <w:highlight w:val="none"/>
                <w:lang w:val="en-US" w:eastAsia="zh-CN"/>
              </w:rPr>
              <w:t xml:space="preserve">88105118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曹茜</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电      话：18599127733、15322282509</w:t>
            </w:r>
          </w:p>
        </w:tc>
      </w:tr>
    </w:tbl>
    <w:p>
      <w:pPr>
        <w:adjustRightInd w:val="0"/>
        <w:snapToGrid w:val="0"/>
        <w:spacing w:line="360" w:lineRule="auto"/>
        <w:ind w:firstLine="480" w:firstLineChars="200"/>
        <w:jc w:val="right"/>
        <w:rPr>
          <w:rFonts w:hint="eastAsia" w:ascii="宋体" w:hAnsi="宋体" w:cs="宋体"/>
          <w:color w:val="auto"/>
          <w:sz w:val="24"/>
          <w:highlight w:val="none"/>
        </w:rPr>
      </w:pP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8" w:name="_Toc16734"/>
      <w:r>
        <w:rPr>
          <w:rFonts w:hint="eastAsia" w:ascii="宋体" w:hAnsi="宋体" w:cs="宋体"/>
          <w:b/>
          <w:bCs/>
          <w:color w:val="auto"/>
          <w:sz w:val="24"/>
          <w:highlight w:val="none"/>
        </w:rPr>
        <w:t>投标须知</w:t>
      </w:r>
      <w:bookmarkEnd w:id="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lang w:val="en-US" w:eastAsia="zh-CN"/>
        </w:rPr>
        <w:t>前海湾片区产业发展规划研究</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color w:val="auto"/>
          <w:sz w:val="24"/>
          <w:highlight w:val="none"/>
          <w:lang w:val="en-US" w:eastAsia="zh-CN"/>
        </w:rPr>
        <w:t>深圳交易咨询集团</w:t>
      </w:r>
      <w:r>
        <w:rPr>
          <w:rFonts w:hint="eastAsia" w:ascii="宋体" w:hAnsi="宋体" w:cs="宋体"/>
          <w:color w:val="auto"/>
          <w:sz w:val="24"/>
          <w:highlight w:val="none"/>
        </w:rPr>
        <w:t>有限公司受深圳市前海深港现代服务业合作区管理局委托</w:t>
      </w:r>
      <w:r>
        <w:rPr>
          <w:rFonts w:hint="eastAsia" w:ascii="宋体" w:hAnsi="宋体" w:cs="宋体"/>
          <w:color w:val="auto"/>
          <w:sz w:val="24"/>
          <w:highlight w:val="none"/>
          <w:lang w:eastAsia="zh-CN"/>
        </w:rPr>
        <w:t>以简易招标方式</w:t>
      </w:r>
      <w:r>
        <w:rPr>
          <w:rFonts w:hint="eastAsia" w:ascii="宋体" w:hAnsi="宋体" w:cs="宋体"/>
          <w:color w:val="auto"/>
          <w:sz w:val="24"/>
          <w:highlight w:val="none"/>
        </w:rPr>
        <w:t>组织采购。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3、本项目根据项目的实际情况，公开征集符合投标</w:t>
      </w:r>
      <w:r>
        <w:rPr>
          <w:rFonts w:ascii="宋体" w:hAnsi="宋体" w:cs="宋体"/>
          <w:color w:val="auto"/>
          <w:sz w:val="24"/>
          <w:highlight w:val="none"/>
        </w:rPr>
        <w:t>单位</w:t>
      </w:r>
      <w:r>
        <w:rPr>
          <w:rFonts w:hint="eastAsia" w:ascii="宋体" w:hAnsi="宋体" w:cs="宋体"/>
          <w:color w:val="auto"/>
          <w:sz w:val="24"/>
          <w:highlight w:val="none"/>
        </w:rPr>
        <w:t>资格的供应商。请各供应商根据本文件的要求，准备</w:t>
      </w:r>
      <w:r>
        <w:rPr>
          <w:rFonts w:hint="eastAsia" w:ascii="宋体" w:hAnsi="宋体" w:cs="宋体"/>
          <w:b/>
          <w:bCs/>
          <w:color w:val="auto"/>
          <w:sz w:val="24"/>
          <w:highlight w:val="none"/>
        </w:rPr>
        <w:t>5套（1套正本，4套副本，附电子版，电子版是以光盘、U盘或硬盘等移动存储介质提交的加盖公章的PDF电子投标文件）</w:t>
      </w:r>
      <w:r>
        <w:rPr>
          <w:rFonts w:hint="eastAsia" w:ascii="宋体" w:hAnsi="宋体" w:cs="宋体"/>
          <w:color w:val="auto"/>
          <w:sz w:val="24"/>
          <w:highlight w:val="none"/>
        </w:rPr>
        <w:t>完备的资料进行投标，副本可以是正本的复印件。</w:t>
      </w:r>
    </w:p>
    <w:p>
      <w:pPr>
        <w:spacing w:line="360" w:lineRule="auto"/>
        <w:ind w:firstLine="482" w:firstLineChars="200"/>
        <w:rPr>
          <w:color w:val="auto"/>
          <w:highlight w:val="none"/>
        </w:rPr>
      </w:pPr>
      <w:r>
        <w:rPr>
          <w:rFonts w:hint="eastAsia" w:ascii="宋体" w:hAnsi="宋体" w:cs="宋体"/>
          <w:b/>
          <w:bCs/>
          <w:color w:val="auto"/>
          <w:sz w:val="24"/>
          <w:highlight w:val="none"/>
        </w:rPr>
        <w:t>注：投标文件需根据目录内容编写页码，正本不得活页装订。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6、项目的报价要求。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p>
    <w:p>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采购</w:t>
      </w:r>
      <w:r>
        <w:rPr>
          <w:rFonts w:ascii="宋体" w:hAnsi="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8、如采购</w:t>
      </w:r>
      <w:r>
        <w:rPr>
          <w:rFonts w:ascii="宋体" w:hAnsi="宋体" w:cs="宋体"/>
          <w:color w:val="auto"/>
          <w:sz w:val="24"/>
          <w:highlight w:val="none"/>
        </w:rPr>
        <w:t>单位</w:t>
      </w:r>
      <w:r>
        <w:rPr>
          <w:rFonts w:hint="eastAsia" w:ascii="宋体" w:hAnsi="宋体" w:cs="宋体"/>
          <w:color w:val="auto"/>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9、采购</w:t>
      </w:r>
      <w:r>
        <w:rPr>
          <w:rFonts w:ascii="宋体" w:hAnsi="宋体" w:cs="宋体"/>
          <w:color w:val="auto"/>
          <w:sz w:val="24"/>
          <w:highlight w:val="none"/>
        </w:rPr>
        <w:t>单位</w:t>
      </w:r>
      <w:r>
        <w:rPr>
          <w:rFonts w:hint="eastAsia" w:ascii="宋体" w:hAnsi="宋体" w:cs="宋体"/>
          <w:color w:val="auto"/>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10、本次采购凡涉及知识产权问题，由项目供应商负责。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11、采购</w:t>
      </w:r>
      <w:r>
        <w:rPr>
          <w:rFonts w:ascii="宋体" w:hAnsi="宋体" w:cs="宋体"/>
          <w:color w:val="auto"/>
          <w:sz w:val="24"/>
          <w:highlight w:val="none"/>
        </w:rPr>
        <w:t>单位</w:t>
      </w:r>
      <w:r>
        <w:rPr>
          <w:rFonts w:hint="eastAsia" w:ascii="宋体" w:hAnsi="宋体" w:cs="宋体"/>
          <w:color w:val="auto"/>
          <w:sz w:val="24"/>
          <w:highlight w:val="none"/>
        </w:rPr>
        <w:t>将组成评审委员会，评审工作由评审委员会独立负责。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12、供应商应在规定的时间内现场递交</w:t>
      </w:r>
      <w:r>
        <w:rPr>
          <w:rFonts w:hint="eastAsia" w:ascii="宋体" w:hAnsi="宋体" w:cs="宋体"/>
          <w:color w:val="auto"/>
          <w:sz w:val="24"/>
          <w:highlight w:val="none"/>
          <w:lang w:val="en-US" w:eastAsia="zh-CN"/>
        </w:rPr>
        <w:t>或邮寄</w:t>
      </w:r>
      <w:r>
        <w:rPr>
          <w:rFonts w:hint="eastAsia" w:ascii="宋体" w:hAnsi="宋体" w:cs="宋体"/>
          <w:color w:val="auto"/>
          <w:sz w:val="24"/>
          <w:highlight w:val="none"/>
        </w:rPr>
        <w:t>投标文件。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13、采用综合评分法的情况：评审委员会将分别对供应商递交的投标文件进行评审。</w:t>
      </w:r>
    </w:p>
    <w:p>
      <w:pPr>
        <w:pStyle w:val="28"/>
        <w:numPr>
          <w:ilvl w:val="1"/>
          <w:numId w:val="5"/>
        </w:numPr>
        <w:snapToGrid w:val="0"/>
        <w:spacing w:line="360" w:lineRule="auto"/>
        <w:ind w:firstLineChars="0"/>
        <w:rPr>
          <w:rFonts w:ascii="宋体" w:hAnsi="宋体" w:cs="宋体"/>
          <w:color w:val="auto"/>
          <w:sz w:val="24"/>
          <w:highlight w:val="none"/>
        </w:rPr>
      </w:pPr>
      <w:r>
        <w:rPr>
          <w:rFonts w:hint="eastAsia" w:ascii="宋体" w:hAnsi="宋体" w:cs="宋体"/>
          <w:color w:val="auto"/>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highlight w:val="none"/>
        </w:rPr>
        <w:t>第一</w:t>
      </w:r>
      <w:r>
        <w:rPr>
          <w:rFonts w:hint="eastAsia" w:ascii="宋体" w:hAnsi="宋体" w:cs="宋体"/>
          <w:color w:val="auto"/>
          <w:kern w:val="2"/>
          <w:sz w:val="24"/>
          <w:szCs w:val="24"/>
          <w:highlight w:val="none"/>
        </w:rPr>
        <w:t>中标候选人；</w:t>
      </w:r>
    </w:p>
    <w:p>
      <w:pPr>
        <w:pStyle w:val="28"/>
        <w:numPr>
          <w:ilvl w:val="1"/>
          <w:numId w:val="5"/>
        </w:numPr>
        <w:snapToGrid w:val="0"/>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14、采用谈判的情况：如参与投标且符合招标文件要求的供应商仅有1家</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原则上成交价不超过最初报价的95%。</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15、供应商不得将本项目转包给其他人。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16、所有的评审/谈判内容都必须保密。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17、招标代理服务收费：</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color w:val="auto"/>
          <w:sz w:val="24"/>
          <w:highlight w:val="none"/>
        </w:rPr>
      </w:pPr>
    </w:p>
    <w:p>
      <w:pPr>
        <w:adjustRightInd w:val="0"/>
        <w:snapToGrid w:val="0"/>
        <w:spacing w:line="360" w:lineRule="auto"/>
        <w:ind w:right="26"/>
        <w:jc w:val="left"/>
        <w:rPr>
          <w:rFonts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kern w:val="0"/>
          <w:sz w:val="24"/>
          <w:highlight w:val="none"/>
        </w:rPr>
        <w:t>深圳交易咨询集团有限公司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银行</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r>
        <w:rPr>
          <w:rFonts w:ascii="宋体" w:hAnsi="宋体" w:cs="宋体"/>
          <w:color w:val="auto"/>
          <w:sz w:val="24"/>
          <w:highlight w:val="none"/>
        </w:rPr>
        <w:t>11002982389701</w:t>
      </w:r>
    </w:p>
    <w:p>
      <w:pPr>
        <w:spacing w:line="360" w:lineRule="auto"/>
        <w:rPr>
          <w:rFonts w:ascii="宋体" w:hAnsi="宋体" w:cs="宋体"/>
          <w:b/>
          <w:bCs/>
          <w:color w:val="auto"/>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r>
        <w:rPr>
          <w:rFonts w:hint="eastAsia" w:ascii="宋体" w:hAnsi="宋体" w:cs="宋体"/>
          <w:color w:val="auto"/>
          <w:sz w:val="24"/>
          <w:highlight w:val="none"/>
        </w:rPr>
        <w:t>开户银行：平安银行深圳江苏大厦支行</w:t>
      </w: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9" w:name="_Toc18857"/>
      <w:r>
        <w:rPr>
          <w:rFonts w:hint="eastAsia" w:ascii="宋体" w:hAnsi="宋体" w:cs="宋体"/>
          <w:b/>
          <w:bCs/>
          <w:color w:val="auto"/>
          <w:sz w:val="24"/>
          <w:highlight w:val="none"/>
        </w:rPr>
        <w:t>评标程序</w:t>
      </w:r>
      <w:bookmarkEnd w:id="9"/>
    </w:p>
    <w:p>
      <w:pPr>
        <w:numPr>
          <w:ilvl w:val="0"/>
          <w:numId w:val="7"/>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二、参加会议人员：项目负责代表、评审委员会成员、监督部门代表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eastAsia" w:ascii="宋体" w:hAnsi="宋体" w:cs="宋体"/>
          <w:color w:val="auto"/>
          <w:kern w:val="2"/>
          <w:sz w:val="24"/>
          <w:highlight w:val="none"/>
        </w:rPr>
        <w:t>开标评标会议由招标代理机构主持</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四、投标截止时间：202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:00时（北京时间）。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:00时（北京时间）前送达（现场递交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eastAsia" w:ascii="宋体" w:hAnsi="宋体" w:cs="宋体"/>
          <w:color w:val="auto"/>
          <w:sz w:val="24"/>
          <w:highlight w:val="none"/>
          <w:lang w:val="en-US" w:eastAsia="zh-CN"/>
        </w:rPr>
        <w:t>2519</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如需</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5、采用谈判的情况：如参与投标且符合招标文件要求的供应商仅有一家，评审委员会将与投标供应商进行谈判。</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5.1供应商在谈判时由项目负责人与评审委员会进行谈判；</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5.2原则上成交价不超过最初报价的95%。</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10" w:name="_Toc1635"/>
      <w:r>
        <w:rPr>
          <w:rFonts w:hint="eastAsia" w:ascii="宋体" w:hAnsi="宋体" w:cs="宋体"/>
          <w:b/>
          <w:bCs/>
          <w:color w:val="auto"/>
          <w:sz w:val="24"/>
          <w:highlight w:val="none"/>
        </w:rPr>
        <w:t>合同格式及合同条款</w:t>
      </w:r>
      <w:bookmarkEnd w:id="10"/>
    </w:p>
    <w:p>
      <w:pPr>
        <w:spacing w:line="360" w:lineRule="auto"/>
        <w:ind w:firstLine="470" w:firstLineChars="196"/>
        <w:jc w:val="center"/>
        <w:rPr>
          <w:rFonts w:ascii="宋体" w:hAnsi="宋体" w:cs="宋体"/>
          <w:color w:val="auto"/>
          <w:sz w:val="24"/>
          <w:highlight w:val="none"/>
        </w:rPr>
      </w:pPr>
      <w:bookmarkStart w:id="11" w:name="_Toc73518163"/>
      <w:bookmarkStart w:id="12" w:name="_Toc84303603"/>
      <w:bookmarkStart w:id="13" w:name="_Toc100052414"/>
      <w:bookmarkStart w:id="14" w:name="_Toc73521680"/>
      <w:bookmarkStart w:id="15" w:name="_Toc101074886"/>
      <w:bookmarkStart w:id="16" w:name="_Toc73521592"/>
      <w:bookmarkStart w:id="17" w:name="_Toc73517685"/>
    </w:p>
    <w:bookmarkEnd w:id="11"/>
    <w:bookmarkEnd w:id="12"/>
    <w:bookmarkEnd w:id="13"/>
    <w:bookmarkEnd w:id="14"/>
    <w:bookmarkEnd w:id="15"/>
    <w:bookmarkEnd w:id="16"/>
    <w:bookmarkEnd w:id="17"/>
    <w:p>
      <w:pPr>
        <w:spacing w:line="360" w:lineRule="auto"/>
        <w:ind w:firstLine="470" w:firstLineChars="196"/>
        <w:rPr>
          <w:rFonts w:ascii="宋体" w:hAnsi="宋体" w:cs="宋体"/>
          <w:color w:val="auto"/>
          <w:sz w:val="24"/>
          <w:highlight w:val="none"/>
        </w:rPr>
      </w:pPr>
    </w:p>
    <w:p>
      <w:pPr>
        <w:pStyle w:val="28"/>
        <w:spacing w:line="360" w:lineRule="auto"/>
        <w:ind w:left="1475" w:right="1470" w:hanging="1475" w:hangingChars="612"/>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28"/>
        <w:spacing w:line="360" w:lineRule="auto"/>
        <w:ind w:left="1675" w:right="1470" w:hanging="1675" w:hangingChars="695"/>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28"/>
        <w:spacing w:line="360" w:lineRule="auto"/>
        <w:ind w:left="1470" w:right="1470" w:firstLine="482"/>
        <w:jc w:val="center"/>
        <w:rPr>
          <w:rFonts w:ascii="宋体" w:hAnsi="宋体" w:cs="宋体"/>
          <w:b/>
          <w:color w:val="auto"/>
          <w:sz w:val="24"/>
          <w:szCs w:val="24"/>
          <w:highlight w:val="none"/>
        </w:rPr>
      </w:pPr>
    </w:p>
    <w:p>
      <w:pPr>
        <w:pStyle w:val="28"/>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8"/>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8"/>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“前海湾片区产业发展规划研究”项目</w:t>
      </w:r>
      <w:r>
        <w:rPr>
          <w:rFonts w:hint="eastAsia" w:ascii="宋体" w:hAnsi="宋体" w:cs="宋体"/>
          <w:b/>
          <w:color w:val="auto"/>
          <w:sz w:val="28"/>
          <w:szCs w:val="28"/>
          <w:highlight w:val="none"/>
        </w:rPr>
        <w:t>委托合同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pStyle w:val="28"/>
        <w:spacing w:line="360" w:lineRule="auto"/>
        <w:ind w:right="1470" w:firstLine="482"/>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项目名称：</w:t>
      </w:r>
      <w:r>
        <w:rPr>
          <w:rFonts w:hint="eastAsia" w:ascii="宋体" w:hAnsi="宋体" w:cs="宋体"/>
          <w:b w:val="0"/>
          <w:bCs/>
          <w:color w:val="auto"/>
          <w:sz w:val="24"/>
          <w:highlight w:val="none"/>
          <w:u w:val="single"/>
          <w:lang w:val="en-US" w:eastAsia="zh-CN"/>
        </w:rPr>
        <w:t xml:space="preserve">     “前海湾片区产业发展规划研究”项目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jc w:val="center"/>
        <w:outlineLvl w:val="1"/>
        <w:rPr>
          <w:rFonts w:ascii="宋体" w:hAnsi="宋体" w:cs="宋体"/>
          <w:color w:val="auto"/>
          <w:sz w:val="24"/>
          <w:highlight w:val="none"/>
        </w:rPr>
      </w:pPr>
      <w:r>
        <w:rPr>
          <w:rFonts w:hint="eastAsia" w:ascii="宋体" w:hAnsi="宋体" w:cs="宋体"/>
          <w:color w:val="auto"/>
          <w:sz w:val="24"/>
          <w:highlight w:val="none"/>
        </w:rPr>
        <w:t>二〇二</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深圳市前海深港现代服务业合作区桂湾五路123号前海大厦T1栋</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统一</w:t>
      </w:r>
      <w:r>
        <w:rPr>
          <w:rFonts w:hint="eastAsia" w:ascii="宋体" w:hAnsi="宋体" w:cs="宋体"/>
          <w:b/>
          <w:bCs/>
          <w:color w:val="auto"/>
          <w:sz w:val="24"/>
          <w:highlight w:val="none"/>
          <w:lang w:val="en-US" w:eastAsia="zh-CN"/>
        </w:rPr>
        <w:t>社会</w:t>
      </w:r>
      <w:r>
        <w:rPr>
          <w:rFonts w:hint="eastAsia" w:ascii="宋体" w:hAnsi="宋体" w:cs="宋体"/>
          <w:b/>
          <w:bCs/>
          <w:color w:val="auto"/>
          <w:sz w:val="24"/>
          <w:highlight w:val="none"/>
        </w:rPr>
        <w:t>信用代码：</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lang w:val="en-US" w:eastAsia="zh-CN"/>
        </w:rPr>
        <w:t>QH2025070</w:t>
      </w:r>
      <w:r>
        <w:rPr>
          <w:rFonts w:hint="eastAsia" w:ascii="宋体" w:hAnsi="宋体" w:cs="宋体"/>
          <w:color w:val="auto"/>
          <w:sz w:val="24"/>
          <w:highlight w:val="none"/>
        </w:rPr>
        <w:t>】招标项目的中标结果，由【   】单位（以下简称乙方）为中标</w:t>
      </w:r>
      <w:r>
        <w:rPr>
          <w:rFonts w:ascii="宋体" w:hAnsi="宋体" w:cs="宋体"/>
          <w:color w:val="auto"/>
          <w:sz w:val="24"/>
          <w:highlight w:val="none"/>
        </w:rPr>
        <w:t>单位</w:t>
      </w:r>
      <w:r>
        <w:rPr>
          <w:rFonts w:hint="eastAsia" w:ascii="宋体" w:hAnsi="宋体" w:cs="宋体"/>
          <w:color w:val="auto"/>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color w:val="auto"/>
          <w:kern w:val="0"/>
          <w:sz w:val="24"/>
          <w:highlight w:val="none"/>
          <w:u w:val="single"/>
          <w:lang w:val="en-US" w:eastAsia="zh-CN"/>
        </w:rPr>
        <w:t>“前海湾片区产业发展规划研究”项目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第一条  项目内容</w:t>
      </w:r>
    </w:p>
    <w:p>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项目名称：</w:t>
      </w:r>
      <w:r>
        <w:rPr>
          <w:rFonts w:hint="eastAsia" w:ascii="宋体" w:hAnsi="宋体" w:cs="宋体"/>
          <w:color w:val="auto"/>
          <w:sz w:val="24"/>
          <w:highlight w:val="none"/>
          <w:lang w:val="en-US" w:eastAsia="zh-CN"/>
        </w:rPr>
        <w:t>“前海湾片区产业发展规划研究”项目</w:t>
      </w:r>
    </w:p>
    <w:p>
      <w:pPr>
        <w:spacing w:line="360" w:lineRule="auto"/>
        <w:ind w:firstLine="504" w:firstLineChars="200"/>
        <w:outlineLvl w:val="2"/>
        <w:rPr>
          <w:rFonts w:hint="eastAsia" w:cs="Times New Roman"/>
          <w:color w:val="auto"/>
          <w:spacing w:val="6"/>
          <w:sz w:val="24"/>
          <w:szCs w:val="24"/>
          <w:highlight w:val="none"/>
          <w:lang w:val="en-US" w:eastAsia="zh-CN"/>
        </w:rPr>
      </w:pPr>
      <w:r>
        <w:rPr>
          <w:rFonts w:hint="eastAsia" w:cs="Times New Roman"/>
          <w:color w:val="auto"/>
          <w:spacing w:val="6"/>
          <w:sz w:val="24"/>
          <w:szCs w:val="24"/>
          <w:highlight w:val="none"/>
          <w:lang w:val="en-US" w:eastAsia="zh-CN"/>
        </w:rPr>
        <w:t>一、工作内容</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rPr>
        <w:t>贯彻落实党的二十大和二十届三中全会</w:t>
      </w:r>
      <w:r>
        <w:rPr>
          <w:rFonts w:hint="eastAsia" w:ascii="宋体" w:hAnsi="宋体" w:cs="宋体"/>
          <w:color w:val="auto"/>
          <w:sz w:val="24"/>
          <w:highlight w:val="none"/>
          <w:lang w:val="en-US" w:eastAsia="zh-CN"/>
        </w:rPr>
        <w:t>精神</w:t>
      </w:r>
      <w:r>
        <w:rPr>
          <w:rFonts w:hint="eastAsia" w:ascii="宋体" w:hAnsi="宋体" w:cs="宋体"/>
          <w:color w:val="auto"/>
          <w:sz w:val="24"/>
          <w:highlight w:val="none"/>
        </w:rPr>
        <w:t>和《前海方案》《前海规划》任务要求，在前海合作区构建现代化产业体系框架下，系统梳理前海湾片区产业基础、发展条件和存在短板等，研判国内外产业发展趋势，对标研究同类城区产业发展案例，研究明确前海湾片区产业发展方向和重点举措，形成前海湾片区产业发展规划报告。具体包括以下方面。</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全面摸底片区产业基础。基于片区内四上企业等情况，系统梳理前海湾片区的产业基础条件、产业空间分布、重大项目布局等发展情况。</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科学筛选片区重点产业。统筹衔接《前海方案》《前海规划》《前海国土空间规划》等，深入对接深圳“20+8”产业体系，结合区域产业基础、资源禀赋条件、重大项目布局、产业发展趋势等，筛选形成前海湾片区重点产业方向和重点业态。围绕产业链补链延链强链、完善产业公共服务平台、承接重大项目落地等方向，提出一系列促进产业发展的重点举措，支撑前海湾片区产业高质量发展。</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研究优化片区产业空间布局。在空间容量、空间布局、项目落位等方面与空间规划深入衔接，实现产业发展和空间布局的深入耦合，促进产城融合、供需匹配、功能完备。</w:t>
      </w:r>
    </w:p>
    <w:p>
      <w:pPr>
        <w:widowControl/>
        <w:spacing w:before="0" w:beforeAutospacing="0" w:after="0" w:afterAutospacing="0" w:line="360" w:lineRule="auto"/>
        <w:ind w:firstLine="504" w:firstLineChars="200"/>
        <w:jc w:val="both"/>
        <w:outlineLvl w:val="2"/>
        <w:rPr>
          <w:rFonts w:ascii="Times New Roman" w:hAnsi="Times New Roman" w:eastAsia="宋体" w:cs="Times New Roman"/>
          <w:color w:val="auto"/>
          <w:spacing w:val="6"/>
          <w:kern w:val="0"/>
          <w:sz w:val="24"/>
          <w:szCs w:val="24"/>
          <w:highlight w:val="none"/>
          <w:lang w:val="en-US" w:eastAsia="zh-CN" w:bidi="ar-SA"/>
        </w:rPr>
      </w:pPr>
      <w:r>
        <w:rPr>
          <w:rFonts w:hint="eastAsia" w:cs="Times New Roman"/>
          <w:color w:val="auto"/>
          <w:spacing w:val="6"/>
          <w:kern w:val="0"/>
          <w:sz w:val="24"/>
          <w:szCs w:val="24"/>
          <w:highlight w:val="none"/>
          <w:lang w:val="en-US" w:eastAsia="zh-CN" w:bidi="ar-SA"/>
        </w:rPr>
        <w:t>二、</w:t>
      </w:r>
      <w:r>
        <w:rPr>
          <w:rFonts w:ascii="Times New Roman" w:hAnsi="Times New Roman" w:eastAsia="宋体" w:cs="Times New Roman"/>
          <w:color w:val="auto"/>
          <w:spacing w:val="6"/>
          <w:kern w:val="0"/>
          <w:sz w:val="24"/>
          <w:szCs w:val="24"/>
          <w:highlight w:val="none"/>
          <w:lang w:val="en-US" w:eastAsia="zh-CN" w:bidi="ar-SA"/>
        </w:rPr>
        <w:t>工作成果</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rPr>
        <w:t>1.规划报告：编制形成《前海湾片区产业发展规划研究报告》（</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PPT成果）；</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rPr>
        <w:t>2.成果转化：在</w:t>
      </w:r>
      <w:r>
        <w:rPr>
          <w:rFonts w:hint="eastAsia" w:ascii="宋体" w:hAnsi="宋体" w:cs="宋体"/>
          <w:color w:val="auto"/>
          <w:sz w:val="24"/>
          <w:highlight w:val="none"/>
          <w:lang w:val="en-US" w:eastAsia="zh-CN"/>
        </w:rPr>
        <w:t>规划</w:t>
      </w:r>
      <w:r>
        <w:rPr>
          <w:rFonts w:hint="eastAsia" w:ascii="宋体" w:hAnsi="宋体" w:cs="宋体"/>
          <w:color w:val="auto"/>
          <w:sz w:val="24"/>
          <w:highlight w:val="none"/>
        </w:rPr>
        <w:t>报告的基础上，服务前海湾片区产业高质量发展，提出具有较强可落地性的产业发展建议，形成供</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决策参考的《前海湾片区产业高质量发展专题研究报告》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含报告摘要</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rPr>
        <w:t>项目最终成果以Word文本、</w:t>
      </w:r>
      <w:r>
        <w:rPr>
          <w:rFonts w:hint="eastAsia" w:ascii="宋体" w:hAnsi="宋体" w:cs="宋体"/>
          <w:color w:val="auto"/>
          <w:sz w:val="24"/>
          <w:highlight w:val="none"/>
          <w:lang w:val="en-US" w:eastAsia="zh-CN"/>
        </w:rPr>
        <w:t>PPT</w:t>
      </w:r>
      <w:r>
        <w:rPr>
          <w:rFonts w:hint="eastAsia" w:ascii="宋体" w:hAnsi="宋体" w:cs="宋体"/>
          <w:color w:val="auto"/>
          <w:sz w:val="24"/>
          <w:highlight w:val="none"/>
        </w:rPr>
        <w:t>等形式呈现，提交书面纸质版（5份）和电子版两个版本。</w:t>
      </w:r>
    </w:p>
    <w:p>
      <w:pPr>
        <w:pStyle w:val="28"/>
        <w:ind w:firstLine="482"/>
        <w:outlineLvl w:val="1"/>
        <w:rPr>
          <w:rFonts w:hint="default" w:eastAsia="宋体"/>
          <w:color w:val="auto"/>
          <w:highlight w:val="none"/>
          <w:lang w:val="en-US" w:eastAsia="zh-CN"/>
        </w:rPr>
      </w:pPr>
      <w:r>
        <w:rPr>
          <w:rFonts w:hint="eastAsia"/>
          <w:b/>
          <w:bCs/>
          <w:color w:val="auto"/>
          <w:sz w:val="24"/>
          <w:szCs w:val="24"/>
          <w:highlight w:val="none"/>
          <w:lang w:val="en-US" w:eastAsia="zh-CN"/>
        </w:rPr>
        <w:t xml:space="preserve">第二条  </w:t>
      </w:r>
      <w:r>
        <w:rPr>
          <w:rFonts w:hint="eastAsia" w:ascii="宋体" w:hAnsi="宋体" w:cs="宋体"/>
          <w:b/>
          <w:bCs/>
          <w:color w:val="auto"/>
          <w:sz w:val="24"/>
          <w:szCs w:val="24"/>
          <w:highlight w:val="none"/>
        </w:rPr>
        <w:t xml:space="preserve"> 服务期限</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进度要求及后续服务</w:t>
      </w:r>
    </w:p>
    <w:p>
      <w:pPr>
        <w:pStyle w:val="28"/>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w:t>
      </w:r>
      <w:r>
        <w:rPr>
          <w:rFonts w:hint="eastAsia" w:ascii="宋体" w:hAnsi="宋体" w:cs="宋体"/>
          <w:color w:val="auto"/>
          <w:sz w:val="24"/>
          <w:highlight w:val="none"/>
        </w:rPr>
        <w:t>服务期限</w:t>
      </w:r>
    </w:p>
    <w:p>
      <w:pPr>
        <w:pStyle w:val="28"/>
        <w:ind w:firstLine="482"/>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项目服务期限：</w:t>
      </w:r>
      <w:r>
        <w:rPr>
          <w:rFonts w:hint="eastAsia" w:ascii="宋体" w:hAnsi="宋体" w:cs="宋体"/>
          <w:color w:val="auto"/>
          <w:sz w:val="24"/>
          <w:highlight w:val="none"/>
          <w:lang w:val="en-US" w:eastAsia="zh-CN"/>
        </w:rPr>
        <w:t>自合同签订之日起3个月内完成。本项目不属于长期服务项目。</w:t>
      </w:r>
    </w:p>
    <w:p>
      <w:pPr>
        <w:pStyle w:val="28"/>
        <w:numPr>
          <w:ilvl w:val="-1"/>
          <w:numId w:val="0"/>
        </w:numPr>
        <w:ind w:firstLine="482"/>
        <w:rPr>
          <w:rFonts w:hint="eastAsia" w:ascii="宋体" w:hAnsi="宋体" w:cs="宋体"/>
          <w:color w:val="auto"/>
          <w:sz w:val="24"/>
          <w:highlight w:val="none"/>
          <w:lang w:val="en-US" w:eastAsia="zh-CN"/>
        </w:rPr>
      </w:pPr>
      <w:r>
        <w:rPr>
          <w:rFonts w:hint="eastAsia" w:ascii="宋体" w:hAnsi="宋体" w:cs="宋体"/>
          <w:color w:val="auto"/>
          <w:kern w:val="0"/>
          <w:sz w:val="24"/>
          <w:szCs w:val="20"/>
          <w:highlight w:val="none"/>
          <w:lang w:val="en-US" w:eastAsia="zh-CN" w:bidi="ar-SA"/>
        </w:rPr>
        <w:t>（二）</w:t>
      </w:r>
      <w:r>
        <w:rPr>
          <w:rFonts w:hint="eastAsia" w:ascii="宋体" w:hAnsi="宋体" w:cs="宋体"/>
          <w:color w:val="auto"/>
          <w:sz w:val="24"/>
          <w:highlight w:val="none"/>
          <w:lang w:val="en-US" w:eastAsia="zh-CN"/>
        </w:rPr>
        <w:t>进度要求</w:t>
      </w:r>
    </w:p>
    <w:p>
      <w:pPr>
        <w:pStyle w:val="28"/>
        <w:ind w:firstLine="482"/>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1.开展前期调研、起草形成《前海湾片区产业发展规划研究报告》及相关PPT配套文件，后续配合进行成果完善，并提供汇报支持。自合同签订之日起1个月内完成；</w:t>
      </w:r>
    </w:p>
    <w:p>
      <w:pPr>
        <w:pStyle w:val="28"/>
        <w:ind w:firstLine="482"/>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2.形成《前海湾片区产业高质量发展专题研究报告》。自合同签订之日起3个月内完成。</w:t>
      </w:r>
    </w:p>
    <w:p>
      <w:pPr>
        <w:pStyle w:val="28"/>
        <w:ind w:firstLine="482"/>
        <w:rPr>
          <w:color w:val="auto"/>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lang w:eastAsia="zh-CN"/>
        </w:rPr>
        <w:t>）</w:t>
      </w:r>
      <w:r>
        <w:rPr>
          <w:rFonts w:hint="eastAsia" w:ascii="宋体" w:hAnsi="宋体" w:cs="宋体"/>
          <w:color w:val="auto"/>
          <w:sz w:val="24"/>
          <w:highlight w:val="none"/>
        </w:rPr>
        <w:t>后续服务</w:t>
      </w:r>
    </w:p>
    <w:p>
      <w:pPr>
        <w:pStyle w:val="28"/>
        <w:ind w:firstLine="482"/>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乙方</w:t>
      </w:r>
      <w:r>
        <w:rPr>
          <w:rFonts w:hint="default" w:ascii="宋体" w:hAnsi="宋体" w:cs="宋体"/>
          <w:color w:val="auto"/>
          <w:sz w:val="24"/>
          <w:highlight w:val="none"/>
          <w:lang w:val="en-US" w:eastAsia="zh-CN"/>
        </w:rPr>
        <w:t>提交的本项目最终成果通过</w:t>
      </w:r>
      <w:r>
        <w:rPr>
          <w:rFonts w:hint="eastAsia" w:ascii="宋体" w:hAnsi="宋体" w:cs="宋体"/>
          <w:color w:val="auto"/>
          <w:sz w:val="24"/>
          <w:highlight w:val="none"/>
          <w:lang w:val="en-US" w:eastAsia="zh-CN"/>
        </w:rPr>
        <w:t>甲方</w:t>
      </w:r>
      <w:r>
        <w:rPr>
          <w:rFonts w:hint="default" w:ascii="宋体" w:hAnsi="宋体" w:cs="宋体"/>
          <w:color w:val="auto"/>
          <w:sz w:val="24"/>
          <w:highlight w:val="none"/>
          <w:lang w:val="en-US" w:eastAsia="zh-CN"/>
        </w:rPr>
        <w:t>审查验收之日起6个月为本合同后续服务期。服务期内</w:t>
      </w:r>
      <w:r>
        <w:rPr>
          <w:rFonts w:hint="eastAsia" w:ascii="宋体" w:hAnsi="宋体" w:cs="宋体"/>
          <w:color w:val="auto"/>
          <w:sz w:val="24"/>
          <w:highlight w:val="none"/>
          <w:lang w:val="en-US" w:eastAsia="zh-CN"/>
        </w:rPr>
        <w:t>乙方</w:t>
      </w:r>
      <w:r>
        <w:rPr>
          <w:rFonts w:hint="default" w:ascii="宋体" w:hAnsi="宋体" w:cs="宋体"/>
          <w:color w:val="auto"/>
          <w:sz w:val="24"/>
          <w:highlight w:val="none"/>
          <w:lang w:val="en-US" w:eastAsia="zh-CN"/>
        </w:rPr>
        <w:t>应向</w:t>
      </w:r>
      <w:r>
        <w:rPr>
          <w:rFonts w:hint="eastAsia" w:ascii="宋体" w:hAnsi="宋体" w:cs="宋体"/>
          <w:color w:val="auto"/>
          <w:sz w:val="24"/>
          <w:highlight w:val="none"/>
          <w:lang w:val="en-US" w:eastAsia="zh-CN"/>
        </w:rPr>
        <w:t>甲方</w:t>
      </w:r>
      <w:r>
        <w:rPr>
          <w:rFonts w:hint="default" w:ascii="宋体" w:hAnsi="宋体" w:cs="宋体"/>
          <w:color w:val="auto"/>
          <w:sz w:val="24"/>
          <w:highlight w:val="none"/>
          <w:lang w:val="en-US" w:eastAsia="zh-CN"/>
        </w:rPr>
        <w:t>提供后续的专业技术支持与咨询服务。</w:t>
      </w:r>
      <w:r>
        <w:rPr>
          <w:rFonts w:hint="eastAsia" w:ascii="宋体" w:hAnsi="宋体" w:cs="宋体"/>
          <w:color w:val="auto"/>
          <w:sz w:val="24"/>
          <w:highlight w:val="none"/>
          <w:lang w:val="en-US" w:eastAsia="zh-CN"/>
        </w:rPr>
        <w:t>乙方</w:t>
      </w:r>
      <w:r>
        <w:rPr>
          <w:rFonts w:hint="default" w:ascii="宋体" w:hAnsi="宋体" w:cs="宋体"/>
          <w:color w:val="auto"/>
          <w:sz w:val="24"/>
          <w:highlight w:val="none"/>
          <w:lang w:val="en-US" w:eastAsia="zh-CN"/>
        </w:rPr>
        <w:t>应配合</w:t>
      </w:r>
      <w:r>
        <w:rPr>
          <w:rFonts w:hint="eastAsia" w:ascii="宋体" w:hAnsi="宋体" w:cs="宋体"/>
          <w:color w:val="auto"/>
          <w:sz w:val="24"/>
          <w:highlight w:val="none"/>
          <w:lang w:val="en-US" w:eastAsia="zh-CN"/>
        </w:rPr>
        <w:t>甲方</w:t>
      </w:r>
      <w:r>
        <w:rPr>
          <w:rFonts w:hint="default" w:ascii="宋体" w:hAnsi="宋体" w:cs="宋体"/>
          <w:color w:val="auto"/>
          <w:sz w:val="24"/>
          <w:highlight w:val="none"/>
          <w:lang w:val="en-US" w:eastAsia="zh-CN"/>
        </w:rPr>
        <w:t>需要协助完成相关事项审计、事后评估等工作。</w:t>
      </w:r>
    </w:p>
    <w:p>
      <w:pPr>
        <w:spacing w:line="360" w:lineRule="auto"/>
        <w:ind w:firstLine="482" w:firstLineChars="200"/>
        <w:outlineLvl w:val="1"/>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第三条   </w:t>
      </w:r>
      <w:r>
        <w:rPr>
          <w:rFonts w:hint="eastAsia" w:ascii="宋体" w:hAnsi="宋体" w:cs="宋体"/>
          <w:b/>
          <w:bCs/>
          <w:color w:val="auto"/>
          <w:sz w:val="24"/>
          <w:szCs w:val="24"/>
          <w:highlight w:val="none"/>
        </w:rPr>
        <w:t>项目资料归属</w:t>
      </w:r>
    </w:p>
    <w:p>
      <w:pPr>
        <w:pStyle w:val="1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各方的权利义务</w:t>
      </w:r>
    </w:p>
    <w:p>
      <w:pPr>
        <w:spacing w:line="360" w:lineRule="auto"/>
        <w:ind w:firstLine="480" w:firstLineChars="200"/>
        <w:outlineLvl w:val="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（一）甲方的权利义务</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1.甲方有权向乙方询问项目工作进展及相关情况，并要求乙方在指定时间内做出答复。</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2.甲方有权对乙方提供的服务</w:t>
      </w:r>
      <w:r>
        <w:rPr>
          <w:rFonts w:hint="eastAsia" w:ascii="Times New Roman" w:hAnsi="Times New Roman" w:eastAsia="宋体" w:cs="Times New Roman"/>
          <w:color w:val="auto"/>
          <w:sz w:val="24"/>
          <w:szCs w:val="24"/>
          <w:highlight w:val="none"/>
        </w:rPr>
        <w:t>进行</w:t>
      </w:r>
      <w:r>
        <w:rPr>
          <w:rFonts w:ascii="Times New Roman" w:hAnsi="Times New Roman" w:eastAsia="宋体" w:cs="Times New Roman"/>
          <w:color w:val="auto"/>
          <w:sz w:val="24"/>
          <w:szCs w:val="24"/>
          <w:highlight w:val="none"/>
        </w:rPr>
        <w:t>验收，有权对乙方提交的</w:t>
      </w:r>
      <w:r>
        <w:rPr>
          <w:rFonts w:hint="eastAsia" w:ascii="Times New Roman" w:hAnsi="Times New Roman" w:eastAsia="宋体" w:cs="Times New Roman"/>
          <w:color w:val="auto"/>
          <w:sz w:val="24"/>
          <w:szCs w:val="24"/>
          <w:highlight w:val="none"/>
        </w:rPr>
        <w:t>项目成果</w:t>
      </w:r>
      <w:r>
        <w:rPr>
          <w:rFonts w:ascii="Times New Roman" w:hAnsi="Times New Roman" w:eastAsia="宋体" w:cs="Times New Roman"/>
          <w:color w:val="auto"/>
          <w:sz w:val="24"/>
          <w:szCs w:val="24"/>
          <w:highlight w:val="none"/>
        </w:rPr>
        <w:t>文件进行审核并提出修改意见。</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5.如乙方所提供的服务、最终成果报告</w:t>
      </w:r>
      <w:r>
        <w:rPr>
          <w:rFonts w:hint="eastAsia" w:ascii="Times New Roman" w:hAnsi="Times New Roman" w:eastAsia="宋体" w:cs="Times New Roman"/>
          <w:color w:val="auto"/>
          <w:sz w:val="24"/>
          <w:szCs w:val="24"/>
          <w:highlight w:val="none"/>
        </w:rPr>
        <w:t>等</w:t>
      </w:r>
      <w:r>
        <w:rPr>
          <w:rFonts w:ascii="Times New Roman" w:hAnsi="Times New Roman" w:eastAsia="宋体" w:cs="Times New Roman"/>
          <w:color w:val="auto"/>
          <w:sz w:val="24"/>
          <w:szCs w:val="24"/>
          <w:highlight w:val="none"/>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w:t>
      </w:r>
      <w:r>
        <w:rPr>
          <w:rFonts w:hint="eastAsia" w:ascii="Times New Roman" w:hAnsi="Times New Roman" w:eastAsia="宋体" w:cs="Times New Roman"/>
          <w:color w:val="auto"/>
          <w:sz w:val="24"/>
          <w:szCs w:val="24"/>
          <w:highlight w:val="none"/>
        </w:rPr>
        <w:t>甲方要求乙方比本合同约定时间提前交付成果时，须征得乙方同意。因此而增加工作量，经协商确认并签订书面补充协议，甲方应向乙方支付必要的费用，费用金额不超过本合同服务费用的10%。</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9.甲方应按照本合同的约定向乙方支付服务费用。</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10.甲方指定项目联系人：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姓名：</w:t>
      </w:r>
      <w:r>
        <w:rPr>
          <w:rFonts w:hint="eastAsia" w:cs="Times New Roman"/>
          <w:color w:val="auto"/>
          <w:sz w:val="24"/>
          <w:szCs w:val="24"/>
          <w:highlight w:val="none"/>
          <w:lang w:val="en-US" w:eastAsia="zh-CN"/>
        </w:rPr>
        <w:t xml:space="preserve">    </w:t>
      </w:r>
    </w:p>
    <w:p>
      <w:pPr>
        <w:spacing w:line="360" w:lineRule="auto"/>
        <w:ind w:firstLine="480" w:firstLineChars="200"/>
        <w:rPr>
          <w:rFonts w:hint="default" w:ascii="Times New Roman" w:hAnsi="Times New Roman" w:eastAsia="宋体" w:cs="Times New Roman"/>
          <w:color w:val="auto"/>
          <w:sz w:val="24"/>
          <w:szCs w:val="24"/>
          <w:highlight w:val="none"/>
          <w:lang w:val="en-US"/>
        </w:rPr>
      </w:pPr>
      <w:r>
        <w:rPr>
          <w:rFonts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rPr>
        <w:t>0755-</w:t>
      </w:r>
      <w:r>
        <w:rPr>
          <w:rFonts w:hint="eastAsia" w:cs="Times New Roman"/>
          <w:color w:val="auto"/>
          <w:sz w:val="24"/>
          <w:szCs w:val="24"/>
          <w:highlight w:val="none"/>
          <w:lang w:val="en-US" w:eastAsia="zh-CN"/>
        </w:rPr>
        <w:t xml:space="preserve">   </w:t>
      </w:r>
    </w:p>
    <w:p>
      <w:pPr>
        <w:spacing w:line="360" w:lineRule="auto"/>
        <w:ind w:firstLine="480" w:firstLineChars="200"/>
        <w:outlineLvl w:val="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（二）乙方的权利义务</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.乙方所提供的建议、请示、报告和通知均应采用书面形式</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.乙方应及时完成各项工作，并充分考虑甲方评审所需时间要求。</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.乙方应充分协调内部资源，保证工作质量。</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．乙方应接受甲方对工作进展的询问、监督和指导，严格按本合同约定的内容、标准和期限完成项目工作，并向甲方提交</w:t>
      </w:r>
      <w:r>
        <w:rPr>
          <w:rFonts w:hint="eastAsia" w:cs="Times New Roman"/>
          <w:color w:val="auto"/>
          <w:sz w:val="24"/>
          <w:szCs w:val="24"/>
          <w:highlight w:val="none"/>
          <w:lang w:val="en-US" w:eastAsia="zh-CN"/>
        </w:rPr>
        <w:t>响应的报告</w:t>
      </w:r>
      <w:r>
        <w:rPr>
          <w:rFonts w:ascii="Times New Roman" w:hAnsi="Times New Roman" w:eastAsia="宋体" w:cs="Times New Roman"/>
          <w:color w:val="auto"/>
          <w:sz w:val="24"/>
          <w:szCs w:val="24"/>
          <w:highlight w:val="none"/>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.乙方应采取必要措施配合甲方验收人员的工作</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8</w:t>
      </w:r>
      <w:r>
        <w:rPr>
          <w:rFonts w:ascii="Times New Roman" w:hAnsi="Times New Roman" w:eastAsia="宋体" w:cs="Times New Roman"/>
          <w:color w:val="auto"/>
          <w:sz w:val="24"/>
          <w:szCs w:val="24"/>
          <w:highlight w:val="none"/>
        </w:rPr>
        <w:t>.乙方有维护甲方声誉的义务，乙方不能以甲方名义从事与本项目无关的任何事务，否则甲方有权追究其相关责任。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9</w:t>
      </w:r>
      <w:r>
        <w:rPr>
          <w:rFonts w:ascii="Times New Roman" w:hAnsi="Times New Roman" w:eastAsia="宋体" w:cs="Times New Roman"/>
          <w:color w:val="auto"/>
          <w:sz w:val="24"/>
          <w:szCs w:val="24"/>
          <w:highlight w:val="none"/>
        </w:rPr>
        <w:t>.乙方应独立完成本项目。未经甲方书面在先同意，乙方不得向任何第三方全部或部分转让本项目。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0</w:t>
      </w:r>
      <w:r>
        <w:rPr>
          <w:rFonts w:ascii="Times New Roman" w:hAnsi="Times New Roman" w:eastAsia="宋体" w:cs="Times New Roman"/>
          <w:color w:val="auto"/>
          <w:sz w:val="24"/>
          <w:szCs w:val="24"/>
          <w:highlight w:val="none"/>
        </w:rPr>
        <w:t>.本合同期满或提前解除、终止后，乙方应将甲方的档案资料、信息数据等交还甲方，并应销毁或删除所有备份。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1</w:t>
      </w:r>
      <w:r>
        <w:rPr>
          <w:rFonts w:ascii="Times New Roman" w:hAnsi="Times New Roman" w:eastAsia="宋体" w:cs="Times New Roman"/>
          <w:color w:val="auto"/>
          <w:sz w:val="24"/>
          <w:szCs w:val="24"/>
          <w:highlight w:val="none"/>
        </w:rPr>
        <w:t>.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乙方在完成本项目过程中，不得损害其他任何第三方的知识产权等合法权益，否则由此造成的相关责任应当由乙方自行承担，与甲方无关。若因此导致甲方支付赔偿或其他费用，甲方有权要求乙方全部偿还。</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.乙方指定项目联系人：</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宋体" w:hAnsi="宋体" w:cs="宋体"/>
          <w:b/>
          <w:bCs/>
          <w:color w:val="auto"/>
          <w:sz w:val="24"/>
          <w:highlight w:val="none"/>
        </w:rPr>
      </w:pPr>
      <w:r>
        <w:rPr>
          <w:rFonts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人员要求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拟任</w:t>
            </w:r>
            <w:r>
              <w:rPr>
                <w:rFonts w:hint="default" w:ascii="宋体" w:hAnsi="宋体" w:cs="宋体"/>
                <w:color w:val="auto"/>
                <w:sz w:val="24"/>
                <w:szCs w:val="24"/>
                <w:highlight w:val="none"/>
              </w:rPr>
              <w:t>团队</w:t>
            </w:r>
            <w:r>
              <w:rPr>
                <w:rFonts w:hint="eastAsia" w:ascii="宋体" w:hAnsi="宋体" w:cs="宋体"/>
                <w:color w:val="auto"/>
                <w:sz w:val="24"/>
                <w:szCs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1.参加本项目编制的人员配置若需调整需经甲方</w:t>
      </w:r>
      <w:r>
        <w:rPr>
          <w:rFonts w:ascii="宋体" w:hAnsi="宋体" w:cs="宋体"/>
          <w:color w:val="auto"/>
          <w:sz w:val="24"/>
          <w:szCs w:val="24"/>
          <w:highlight w:val="none"/>
        </w:rPr>
        <w:t>书面</w:t>
      </w:r>
      <w:r>
        <w:rPr>
          <w:rFonts w:hint="eastAsia" w:ascii="宋体" w:hAnsi="宋体" w:cs="宋体"/>
          <w:color w:val="auto"/>
          <w:sz w:val="24"/>
          <w:szCs w:val="24"/>
          <w:highlight w:val="none"/>
        </w:rPr>
        <w:t>同意后，方可变更。</w:t>
      </w:r>
    </w:p>
    <w:p>
      <w:pPr>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2.必须以乙方直属人员</w:t>
      </w:r>
      <w:r>
        <w:rPr>
          <w:rFonts w:ascii="宋体" w:hAnsi="宋体" w:cs="宋体"/>
          <w:color w:val="auto"/>
          <w:sz w:val="24"/>
          <w:szCs w:val="24"/>
          <w:highlight w:val="none"/>
        </w:rPr>
        <w:t>（直属人员指</w:t>
      </w:r>
      <w:r>
        <w:rPr>
          <w:rFonts w:hint="eastAsia" w:ascii="宋体" w:hAnsi="宋体" w:cs="宋体"/>
          <w:color w:val="auto"/>
          <w:sz w:val="24"/>
          <w:szCs w:val="24"/>
          <w:highlight w:val="none"/>
        </w:rPr>
        <w:t>劳动合同、社会保险等劳动关系</w:t>
      </w:r>
      <w:r>
        <w:rPr>
          <w:rFonts w:ascii="宋体" w:hAnsi="宋体" w:cs="宋体"/>
          <w:color w:val="auto"/>
          <w:sz w:val="24"/>
          <w:szCs w:val="24"/>
          <w:highlight w:val="none"/>
        </w:rPr>
        <w:t>在乙方</w:t>
      </w:r>
      <w:r>
        <w:rPr>
          <w:rFonts w:ascii="宋体" w:hAnsi="宋体" w:eastAsia="宋体" w:cs="宋体"/>
          <w:color w:val="auto"/>
          <w:sz w:val="24"/>
          <w:szCs w:val="24"/>
          <w:highlight w:val="none"/>
        </w:rPr>
        <w:t>的人员）</w:t>
      </w:r>
      <w:r>
        <w:rPr>
          <w:rFonts w:hint="eastAsia" w:ascii="宋体" w:hAnsi="宋体" w:eastAsia="宋体" w:cs="宋体"/>
          <w:color w:val="auto"/>
          <w:sz w:val="24"/>
          <w:szCs w:val="24"/>
          <w:highlight w:val="none"/>
        </w:rPr>
        <w:t>参与本项目服务，不得使用挂靠队伍。</w:t>
      </w:r>
    </w:p>
    <w:p>
      <w:pPr>
        <w:spacing w:line="360" w:lineRule="auto"/>
        <w:ind w:firstLine="482" w:firstLineChars="200"/>
        <w:outlineLvl w:val="1"/>
        <w:rPr>
          <w:rFonts w:ascii="宋体" w:hAnsi="宋体" w:cs="宋体"/>
          <w:b/>
          <w:bCs/>
          <w:color w:val="auto"/>
          <w:sz w:val="24"/>
          <w:highlight w:val="none"/>
        </w:rPr>
      </w:pPr>
      <w:r>
        <w:rPr>
          <w:rFonts w:hint="default" w:ascii="宋体" w:hAnsi="宋体" w:cs="宋体"/>
          <w:b/>
          <w:bCs/>
          <w:color w:val="auto"/>
          <w:sz w:val="24"/>
          <w:highlight w:val="none"/>
        </w:rPr>
        <w:t>第</w:t>
      </w:r>
      <w:r>
        <w:rPr>
          <w:rFonts w:hint="default" w:ascii="宋体" w:hAnsi="宋体" w:eastAsia="宋体" w:cs="宋体"/>
          <w:b/>
          <w:bCs/>
          <w:color w:val="auto"/>
          <w:sz w:val="24"/>
          <w:highlight w:val="none"/>
          <w:lang w:val="en-US" w:eastAsia="zh-CN"/>
        </w:rPr>
        <w:t>六</w:t>
      </w:r>
      <w:r>
        <w:rPr>
          <w:rFonts w:hint="default" w:ascii="宋体" w:hAnsi="宋体" w:cs="宋体"/>
          <w:b/>
          <w:bCs/>
          <w:color w:val="auto"/>
          <w:sz w:val="24"/>
          <w:highlight w:val="none"/>
        </w:rPr>
        <w:t xml:space="preserve">条  </w:t>
      </w:r>
      <w:r>
        <w:rPr>
          <w:rFonts w:hint="eastAsia" w:ascii="宋体" w:hAnsi="宋体" w:cs="宋体"/>
          <w:b/>
          <w:bCs/>
          <w:color w:val="auto"/>
          <w:sz w:val="24"/>
          <w:szCs w:val="24"/>
          <w:highlight w:val="none"/>
        </w:rPr>
        <w:t>成果权属与知识产权</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保全费、律师费、鉴定评估费用、调查费用、和解金额或生效法律文书中规定的赔偿金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保全费、律师费、鉴定评估费用、调查费用、和解金额或生效法律文书中规定的赔偿金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5.乙方完成本合同项目的研究开发人员享有在有关技术成果材料上写明技术成果完成者的权利和与甲方共同获得有关荣誉证书、奖励的权利。</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保密条款</w:t>
      </w:r>
    </w:p>
    <w:p>
      <w:pPr>
        <w:widowControl/>
        <w:spacing w:line="360" w:lineRule="auto"/>
        <w:ind w:firstLine="480" w:firstLineChars="200"/>
        <w:rPr>
          <w:rFonts w:ascii="宋体" w:hAnsi="宋体" w:cs="宋体"/>
          <w:color w:val="auto"/>
          <w:sz w:val="24"/>
          <w:szCs w:val="24"/>
          <w:highlight w:val="none"/>
        </w:rPr>
      </w:pPr>
      <w:bookmarkStart w:id="18" w:name="_Toc216520223"/>
      <w:r>
        <w:rPr>
          <w:rFonts w:hint="eastAsia" w:ascii="宋体" w:hAnsi="宋体" w:cs="宋体"/>
          <w:color w:val="auto"/>
          <w:sz w:val="24"/>
          <w:szCs w:val="24"/>
          <w:highlight w:val="none"/>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4.乙方实施项目的程序应符合国家安全、保密的有关规定和标准。</w:t>
      </w:r>
    </w:p>
    <w:p>
      <w:pPr>
        <w:widowControl/>
        <w:spacing w:line="360" w:lineRule="auto"/>
        <w:ind w:firstLine="480" w:firstLineChars="200"/>
        <w:rPr>
          <w:rFonts w:ascii="宋体" w:hAnsi="宋体" w:cs="宋体"/>
          <w:color w:val="auto"/>
          <w:sz w:val="24"/>
          <w:szCs w:val="24"/>
          <w:highlight w:val="none"/>
        </w:rPr>
      </w:pPr>
      <w:bookmarkStart w:id="19" w:name="_Toc216520224"/>
      <w:r>
        <w:rPr>
          <w:rFonts w:hint="eastAsia" w:ascii="宋体" w:hAnsi="宋体" w:cs="宋体"/>
          <w:color w:val="auto"/>
          <w:sz w:val="24"/>
          <w:szCs w:val="24"/>
          <w:highlight w:val="none"/>
        </w:rPr>
        <w:t>5</w:t>
      </w:r>
      <w:bookmarkEnd w:id="19"/>
      <w:bookmarkStart w:id="20" w:name="_Toc216520226"/>
      <w:r>
        <w:rPr>
          <w:rFonts w:hint="eastAsia" w:ascii="宋体" w:hAnsi="宋体" w:cs="宋体"/>
          <w:color w:val="auto"/>
          <w:sz w:val="24"/>
          <w:szCs w:val="24"/>
          <w:highlight w:val="none"/>
        </w:rPr>
        <w:t>.上述保密义务不适用以下情况：</w:t>
      </w:r>
      <w:bookmarkEnd w:id="20"/>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（1）获取的信息已被合法公开；</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（2）获得信息拥有方书面许可并在该许可范围内披露；</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（3）国家法律、法规规定的情形。</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保全费、律师费、鉴定评估费用、调查费用、和解金额或生效法律文书中规定的赔偿金额。</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验收方式</w:t>
      </w:r>
    </w:p>
    <w:p>
      <w:pPr>
        <w:pStyle w:val="2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.项目最终成果验收合格的标志为：通过甲方组织的专家评审和结题会审查并同意结题。评审通过的，乙方应结合评审意见对课题研究报告进行修改完善，并将最终成果提交甲方进行验收。</w:t>
      </w:r>
    </w:p>
    <w:p>
      <w:pPr>
        <w:pStyle w:val="2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.项目最终成果未通过评审的，乙方应继续开展研究，并于两个月内提请甲方再次组织评审。再次评审不通过的，课题提前终止，并按本合同第十四条追究违约责任。</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项目服务费用及付款方式</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（一）本合同项下服务费总金额共计人民币</w:t>
      </w:r>
      <w:r>
        <w:rPr>
          <w:rFonts w:ascii="Times New Roman" w:hAnsi="Times New Roman" w:eastAsia="宋体" w:cs="Times New Roman"/>
          <w:color w:val="auto"/>
          <w:sz w:val="24"/>
          <w:szCs w:val="24"/>
          <w:highlight w:val="none"/>
          <w:u w:val="single"/>
        </w:rPr>
        <w:t xml:space="preserve"> </w:t>
      </w:r>
      <w:r>
        <w:rPr>
          <w:rFonts w:hint="default" w:cs="Times New Roman"/>
          <w:color w:val="auto"/>
          <w:sz w:val="24"/>
          <w:szCs w:val="24"/>
          <w:highlight w:val="none"/>
          <w:u w:val="single"/>
        </w:rPr>
        <w:t>XXXX</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元整（￥</w:t>
      </w:r>
      <w:r>
        <w:rPr>
          <w:rFonts w:hint="default"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。服务费</w:t>
      </w:r>
      <w:r>
        <w:rPr>
          <w:rFonts w:hint="eastAsia" w:ascii="宋体" w:hAnsi="宋体" w:cs="宋体"/>
          <w:color w:val="auto"/>
          <w:sz w:val="24"/>
          <w:highlight w:val="none"/>
          <w:lang w:eastAsia="zh-CN"/>
        </w:rPr>
        <w:t>包括但不限于</w:t>
      </w:r>
      <w:r>
        <w:rPr>
          <w:rFonts w:hint="eastAsia" w:ascii="宋体" w:hAnsi="宋体" w:cs="宋体"/>
          <w:color w:val="auto"/>
          <w:sz w:val="24"/>
          <w:highlight w:val="none"/>
          <w:lang w:val="en-US" w:eastAsia="zh-CN"/>
        </w:rPr>
        <w:t>1.乙方为甲方所提供的所有技术支持费用；2.项目调研费用、专家咨询费；3.乙方工作人员工资、差旅费；4.乙方的办公、通讯、交通费用；5.项目材料统计、分析费用；6.项目成果文本印刷费用；7.乙方以各种方式将文件资料发送至甲方的费用；8.本合同项下产生的一切税费；9.后续服务期所产生的相关费用；10.本合同项下产生的其他合理费用，并提供合同要求的成果文件，以及其它相关服务的全部费用。</w:t>
      </w:r>
      <w:bookmarkStart w:id="35" w:name="_GoBack"/>
      <w:bookmarkEnd w:id="35"/>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（二）付款方式：</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本</w:t>
      </w:r>
      <w:r>
        <w:rPr>
          <w:rFonts w:hint="eastAsia" w:ascii="Times New Roman" w:hAnsi="Times New Roman" w:eastAsia="宋体" w:cs="Times New Roman"/>
          <w:color w:val="auto"/>
          <w:sz w:val="24"/>
          <w:szCs w:val="24"/>
          <w:highlight w:val="none"/>
        </w:rPr>
        <w:t>项目费用分两期支付，第一期自合同签订后，根据</w:t>
      </w:r>
      <w:r>
        <w:rPr>
          <w:rFonts w:hint="eastAsia" w:cs="Times New Roman"/>
          <w:color w:val="auto"/>
          <w:sz w:val="24"/>
          <w:szCs w:val="24"/>
          <w:highlight w:val="none"/>
          <w:lang w:val="en-US" w:eastAsia="zh-CN"/>
        </w:rPr>
        <w:t>乙</w:t>
      </w:r>
      <w:r>
        <w:rPr>
          <w:rFonts w:hint="eastAsia" w:ascii="Times New Roman" w:hAnsi="Times New Roman" w:eastAsia="宋体" w:cs="Times New Roman"/>
          <w:color w:val="auto"/>
          <w:sz w:val="24"/>
          <w:szCs w:val="24"/>
          <w:highlight w:val="none"/>
        </w:rPr>
        <w:t>方提出的付款申请及开具的载明相应金额的正式发票后，按规定支付合同总价款的50%</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即</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元</w:t>
      </w:r>
      <w:r>
        <w:rPr>
          <w:rFonts w:hint="eastAsia" w:ascii="Times New Roman" w:hAnsi="Times New Roman" w:eastAsia="宋体" w:cs="Times New Roman"/>
          <w:color w:val="auto"/>
          <w:sz w:val="24"/>
          <w:szCs w:val="24"/>
          <w:highlight w:val="none"/>
        </w:rPr>
        <w:t>；第二期自</w:t>
      </w:r>
      <w:r>
        <w:rPr>
          <w:rFonts w:hint="eastAsia" w:cs="Times New Roman"/>
          <w:color w:val="auto"/>
          <w:sz w:val="24"/>
          <w:szCs w:val="24"/>
          <w:highlight w:val="none"/>
          <w:lang w:val="en-US" w:eastAsia="zh-CN"/>
        </w:rPr>
        <w:t>乙</w:t>
      </w:r>
      <w:r>
        <w:rPr>
          <w:rFonts w:hint="eastAsia" w:ascii="Times New Roman" w:hAnsi="Times New Roman" w:eastAsia="宋体" w:cs="Times New Roman"/>
          <w:color w:val="auto"/>
          <w:sz w:val="24"/>
          <w:szCs w:val="24"/>
          <w:highlight w:val="none"/>
        </w:rPr>
        <w:t>方完成最终项目且成果验收合格后，根据</w:t>
      </w:r>
      <w:r>
        <w:rPr>
          <w:rFonts w:hint="eastAsia" w:cs="Times New Roman"/>
          <w:color w:val="auto"/>
          <w:sz w:val="24"/>
          <w:szCs w:val="24"/>
          <w:highlight w:val="none"/>
          <w:lang w:val="en-US" w:eastAsia="zh-CN"/>
        </w:rPr>
        <w:t>乙</w:t>
      </w:r>
      <w:r>
        <w:rPr>
          <w:rFonts w:hint="eastAsia" w:ascii="Times New Roman" w:hAnsi="Times New Roman" w:eastAsia="宋体" w:cs="Times New Roman"/>
          <w:color w:val="auto"/>
          <w:sz w:val="24"/>
          <w:szCs w:val="24"/>
          <w:highlight w:val="none"/>
        </w:rPr>
        <w:t>方提出的付款申请及开具的载明相应金额的正式发票后，按规定支付合同总价款的剩余50%</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即</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元</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本合同执行中相关的一切税费均由乙方承担。</w:t>
      </w:r>
    </w:p>
    <w:p>
      <w:pPr>
        <w:spacing w:line="360" w:lineRule="auto"/>
        <w:ind w:firstLine="480" w:firstLineChars="200"/>
        <w:rPr>
          <w:rFonts w:hint="eastAsia"/>
          <w:color w:val="auto"/>
          <w:sz w:val="24"/>
          <w:highlight w:val="none"/>
        </w:rPr>
      </w:pPr>
      <w:r>
        <w:rPr>
          <w:rFonts w:hint="eastAsia"/>
          <w:color w:val="auto"/>
          <w:sz w:val="24"/>
          <w:highlight w:val="none"/>
        </w:rPr>
        <w:t>本合同项下各期款项均在甲方收到乙方开具的载明相应金额的正式发票后向乙方指定银行账户支付，如甲方未及时收到乙方开具的正式发票，甲方付款时间相应顺延。若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（三）乙方银行账户信息：</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r>
        <w:rPr>
          <w:rFonts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户名：</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宋体" w:hAnsi="宋体" w:cs="宋体"/>
          <w:color w:val="auto"/>
          <w:sz w:val="24"/>
          <w:highlight w:val="none"/>
        </w:rPr>
      </w:pPr>
      <w:r>
        <w:rPr>
          <w:rFonts w:ascii="Times New Roman" w:hAnsi="Times New Roman" w:eastAsia="宋体" w:cs="Times New Roman"/>
          <w:color w:val="auto"/>
          <w:sz w:val="24"/>
          <w:szCs w:val="24"/>
          <w:highlight w:val="none"/>
        </w:rPr>
        <w:t>账号：</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 xml:space="preserve">第十条  </w:t>
      </w:r>
      <w:r>
        <w:rPr>
          <w:rFonts w:hint="eastAsia" w:ascii="宋体" w:hAnsi="宋体" w:cs="宋体"/>
          <w:b/>
          <w:bCs/>
          <w:color w:val="auto"/>
          <w:sz w:val="24"/>
          <w:szCs w:val="24"/>
          <w:highlight w:val="none"/>
        </w:rPr>
        <w:t>合同提前终止</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w:t>
      </w:r>
      <w:r>
        <w:rPr>
          <w:rFonts w:hint="eastAsia" w:ascii="Times New Roman" w:hAnsi="Times New Roman" w:eastAsia="宋体" w:cs="Times New Roman"/>
          <w:color w:val="auto"/>
          <w:sz w:val="24"/>
          <w:szCs w:val="24"/>
          <w:highlight w:val="none"/>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1.甲方的职能发生转变，不再具有委托职能。</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color w:val="auto"/>
          <w:sz w:val="24"/>
          <w:highlight w:val="none"/>
        </w:rPr>
      </w:pPr>
      <w:r>
        <w:rPr>
          <w:rFonts w:ascii="Times New Roman" w:hAnsi="Times New Roman" w:eastAsia="宋体" w:cs="Times New Roman"/>
          <w:color w:val="auto"/>
          <w:sz w:val="24"/>
          <w:szCs w:val="24"/>
          <w:highlight w:val="none"/>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color w:val="auto"/>
          <w:sz w:val="24"/>
          <w:highlight w:val="none"/>
        </w:rPr>
        <w:t>。</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争议解决办法</w:t>
      </w:r>
    </w:p>
    <w:p>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szCs w:val="24"/>
          <w:highlight w:val="none"/>
        </w:rPr>
        <w:t>因本合同的履行发生的或与本合同有关的争议或纠纷，由甲乙双方协商解决。协商不成的，任意一方有权向深圳前海合作区人民法院提起诉讼</w:t>
      </w:r>
      <w:r>
        <w:rPr>
          <w:rFonts w:hint="eastAsia" w:ascii="宋体" w:hAnsi="宋体" w:eastAsia="宋体" w:cs="宋体"/>
          <w:color w:val="auto"/>
          <w:sz w:val="24"/>
          <w:highlight w:val="none"/>
        </w:rPr>
        <w:t>。</w:t>
      </w:r>
    </w:p>
    <w:p>
      <w:pPr>
        <w:numPr>
          <w:ilvl w:val="0"/>
          <w:numId w:val="0"/>
        </w:numPr>
        <w:spacing w:line="360" w:lineRule="auto"/>
        <w:ind w:firstLine="482" w:firstLineChars="200"/>
        <w:outlineLvl w:val="1"/>
        <w:rPr>
          <w:rFonts w:hint="eastAsia"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第十二条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highlight w:val="none"/>
        </w:rPr>
        <w:t xml:space="preserve"> </w:t>
      </w:r>
      <w:r>
        <w:rPr>
          <w:rFonts w:hint="eastAsia" w:ascii="宋体" w:hAnsi="宋体" w:cs="宋体"/>
          <w:b/>
          <w:bCs/>
          <w:color w:val="auto"/>
          <w:sz w:val="24"/>
          <w:szCs w:val="24"/>
          <w:highlight w:val="none"/>
        </w:rPr>
        <w:t>项目变更</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（一）本合同履行过程中的需求变更和进度调整，以甲乙双方达成一致的书面文件为准。</w:t>
      </w:r>
    </w:p>
    <w:p>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（二）乙方</w:t>
      </w:r>
      <w:r>
        <w:rPr>
          <w:rFonts w:hint="eastAsia" w:ascii="宋体" w:hAnsi="宋体" w:cs="宋体"/>
          <w:color w:val="auto"/>
          <w:sz w:val="24"/>
          <w:szCs w:val="24"/>
          <w:highlight w:val="none"/>
        </w:rPr>
        <w:t>遇到</w:t>
      </w:r>
      <w:r>
        <w:rPr>
          <w:rFonts w:ascii="Times New Roman" w:hAnsi="Times New Roman" w:eastAsia="宋体" w:cs="Times New Roman"/>
          <w:color w:val="auto"/>
          <w:sz w:val="24"/>
          <w:szCs w:val="24"/>
          <w:highlight w:val="none"/>
        </w:rPr>
        <w:t>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default"/>
          <w:color w:val="auto"/>
          <w:sz w:val="24"/>
          <w:highlight w:val="none"/>
        </w:rPr>
      </w:pPr>
      <w:r>
        <w:rPr>
          <w:rFonts w:ascii="Times New Roman" w:hAnsi="Times New Roman" w:eastAsia="宋体" w:cs="Times New Roman"/>
          <w:color w:val="auto"/>
          <w:sz w:val="24"/>
          <w:szCs w:val="24"/>
          <w:highlight w:val="none"/>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第十三条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风险责任</w:t>
      </w:r>
    </w:p>
    <w:p>
      <w:pPr>
        <w:spacing w:line="360" w:lineRule="auto"/>
        <w:ind w:firstLine="480" w:firstLineChars="200"/>
        <w:rPr>
          <w:color w:val="auto"/>
          <w:highlight w:val="none"/>
        </w:rPr>
      </w:pPr>
      <w:r>
        <w:rPr>
          <w:rFonts w:hint="eastAsia" w:ascii="宋体" w:hAnsi="宋体" w:cs="宋体"/>
          <w:color w:val="auto"/>
          <w:sz w:val="24"/>
          <w:szCs w:val="24"/>
          <w:highlight w:val="none"/>
        </w:rPr>
        <w:t>乙方应完全地按照【</w:t>
      </w:r>
      <w:r>
        <w:rPr>
          <w:rFonts w:hint="default" w:ascii="宋体" w:hAnsi="宋体" w:cs="宋体"/>
          <w:color w:val="auto"/>
          <w:sz w:val="24"/>
          <w:szCs w:val="24"/>
          <w:highlight w:val="none"/>
          <w:lang w:eastAsia="zh-CN"/>
        </w:rPr>
        <w:t>QH2025070</w:t>
      </w:r>
      <w:r>
        <w:rPr>
          <w:rFonts w:hint="eastAsia" w:ascii="宋体" w:hAnsi="宋体" w:cs="宋体"/>
          <w:color w:val="auto"/>
          <w:sz w:val="24"/>
          <w:szCs w:val="24"/>
          <w:highlight w:val="none"/>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1"/>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第十四条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违约责任</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（二）本合同履行期间，发生下述情形时，甲方有权解除本合同，乙方除应退还甲方已支付的全部款项外</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1.乙方未能按合同约定的日期(含协商延缓的日期)完成</w:t>
      </w:r>
      <w:r>
        <w:rPr>
          <w:rFonts w:hint="eastAsia" w:ascii="Times New Roman" w:hAnsi="Times New Roman" w:eastAsia="宋体" w:cs="Times New Roman"/>
          <w:color w:val="auto"/>
          <w:sz w:val="24"/>
          <w:szCs w:val="24"/>
          <w:highlight w:val="none"/>
        </w:rPr>
        <w:t>经甲方审核通过的</w:t>
      </w:r>
      <w:r>
        <w:rPr>
          <w:rFonts w:ascii="Times New Roman" w:hAnsi="Times New Roman" w:eastAsia="宋体" w:cs="Times New Roman"/>
          <w:color w:val="auto"/>
          <w:sz w:val="24"/>
          <w:szCs w:val="24"/>
          <w:highlight w:val="none"/>
        </w:rPr>
        <w:t>，延误时间超过10个工作日；</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2.因乙方工作的错误或遗漏造成成果质量不符合本合同要求，且乙方未按甲方要求采取及时有效的补救措施的；</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3.乙方虽如期提报活动方案、阶段成果、活动总结等总结性成果资料，但最终成果两次专家评审均未验收通过的</w:t>
      </w:r>
      <w:r>
        <w:rPr>
          <w:rFonts w:hint="eastAsia" w:cs="Times New Roman"/>
          <w:color w:val="auto"/>
          <w:sz w:val="24"/>
          <w:szCs w:val="24"/>
          <w:highlight w:val="none"/>
          <w:lang w:eastAsia="zh-CN"/>
        </w:rPr>
        <w:t>；</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4.未经甲方书面在先同意，乙方擅自将本合同项目与任何第三方合作，或将本合同标的全部或部分擅自转包或分包给任何第三方，且未按甲方的要求终止与第三方的协议的；</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5.发现乙方或乙方工作人员出现全部或部分丧失履行委托服务能力的情况，甲方有权通知乙方限期整改或更换工作人员，期限届满乙方并未进行改善的；</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6.乙方明确表示或者以自己的行为表明不履行本合同的。</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四）上述违约责任各自独立且可累加。如本合同所约定的违约金无法弥补因违约行为所造成的损失，违约方应补偿上述不足部分的损失，包括但不限于上述索赔或责任所产生的诉讼费用、保全费、律师费、鉴定评估费用、调查费用、和解金额或生效法律文书中规定的赔偿金额。</w:t>
      </w:r>
    </w:p>
    <w:p>
      <w:pPr>
        <w:numPr>
          <w:ilvl w:val="0"/>
          <w:numId w:val="0"/>
        </w:numPr>
        <w:spacing w:line="360" w:lineRule="auto"/>
        <w:ind w:firstLine="482" w:firstLineChars="200"/>
        <w:outlineLvl w:val="1"/>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第十五条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（1）合同书及补充协议；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（3）招标文件（编号：</w:t>
      </w:r>
      <w:r>
        <w:rPr>
          <w:rFonts w:hint="eastAsia" w:ascii="宋体" w:hAnsi="宋体" w:cs="宋体"/>
          <w:color w:val="auto"/>
          <w:sz w:val="24"/>
          <w:highlight w:val="none"/>
          <w:lang w:val="en-US" w:eastAsia="zh-CN"/>
        </w:rPr>
        <w:t>QH2025070</w:t>
      </w:r>
      <w:r>
        <w:rPr>
          <w:rFonts w:hint="eastAsia" w:ascii="宋体" w:hAnsi="宋体" w:cs="宋体"/>
          <w:color w:val="auto"/>
          <w:sz w:val="24"/>
          <w:highlight w:val="none"/>
        </w:rPr>
        <w:t>）及其澄清、补正公告；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3、本合同各条标题仅为提示之用，应以条文内容确定各方的权利义务。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4、本合同未尽事宜，由双方协商签订补充协议进行约定。补充协议应以书面形式作成，经双方法定代表人或其授权代表签字、盖章后与本合同具有同等法律效力。</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7、如果本合同的任何条款在任何时候变成不合法、无效或不可强制执行而不从根本上影响本合同的效力时，本合同的其他条款不受影响。</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9、任何一方未经另一方同意不得向任何第三方透露本合同的签订及其内容。甲方向其关联公司透露前述内容的，不受此限。</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11、本合同自盖章</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法定代表人或其授权代表签字之日起生效，有效期至后续服务期满之日止。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12、本合同一式六份，甲、乙方各执三份，均具有同等法律效力。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（以下无正文，为签章栏）</w:t>
      </w:r>
    </w:p>
    <w:p>
      <w:pPr>
        <w:adjustRightInd w:val="0"/>
        <w:snapToGrid w:val="0"/>
        <w:spacing w:line="360" w:lineRule="auto"/>
        <w:ind w:firstLine="200"/>
        <w:rPr>
          <w:rFonts w:ascii="宋体" w:hAnsi="宋体" w:cs="宋体"/>
          <w:color w:val="auto"/>
          <w:sz w:val="24"/>
          <w:highlight w:val="none"/>
        </w:rPr>
      </w:pP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甲方（盖章）：</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乙方（盖章）： </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shd w:val="clear" w:color="auto"/>
        <w:adjustRightInd w:val="0"/>
        <w:snapToGrid w:val="0"/>
        <w:spacing w:line="360" w:lineRule="auto"/>
        <w:rPr>
          <w:rFonts w:hint="eastAsia" w:ascii="宋体" w:hAnsi="宋体" w:cs="宋体"/>
          <w:color w:val="auto"/>
          <w:sz w:val="24"/>
          <w:highlight w:val="none"/>
        </w:rPr>
      </w:pPr>
    </w:p>
    <w:p>
      <w:pPr>
        <w:shd w:val="clear" w:color="auto"/>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color w:val="auto"/>
          <w:sz w:val="24"/>
          <w:highlight w:val="none"/>
        </w:rPr>
        <w:sectPr>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bookmarkStart w:id="21" w:name="_Toc793"/>
      <w:r>
        <w:rPr>
          <w:rFonts w:hint="eastAsia" w:ascii="宋体" w:hAnsi="宋体" w:cs="宋体"/>
          <w:b/>
          <w:bCs/>
          <w:color w:val="auto"/>
          <w:sz w:val="24"/>
          <w:highlight w:val="none"/>
        </w:rPr>
        <w:t>用户需求书</w:t>
      </w:r>
      <w:bookmarkEnd w:id="21"/>
    </w:p>
    <w:p>
      <w:pPr>
        <w:numPr>
          <w:ilvl w:val="0"/>
          <w:numId w:val="8"/>
        </w:numPr>
        <w:spacing w:line="360" w:lineRule="auto"/>
        <w:ind w:firstLine="482" w:firstLineChars="200"/>
        <w:outlineLvl w:val="1"/>
        <w:rPr>
          <w:rFonts w:hint="eastAsia" w:ascii="宋体" w:hAnsi="宋体" w:cs="宋体"/>
          <w:b/>
          <w:color w:val="auto"/>
          <w:sz w:val="24"/>
          <w:highlight w:val="none"/>
        </w:rPr>
      </w:pPr>
      <w:bookmarkStart w:id="22" w:name="_Toc96337997"/>
      <w:bookmarkStart w:id="23" w:name="_Toc51746099"/>
      <w:r>
        <w:rPr>
          <w:rFonts w:hint="eastAsia" w:ascii="宋体" w:hAnsi="宋体" w:cs="宋体"/>
          <w:b/>
          <w:color w:val="auto"/>
          <w:sz w:val="24"/>
          <w:highlight w:val="none"/>
        </w:rPr>
        <w:t>项目背景</w:t>
      </w:r>
      <w:bookmarkEnd w:id="22"/>
    </w:p>
    <w:p>
      <w:pPr>
        <w:pStyle w:val="29"/>
        <w:tabs>
          <w:tab w:val="left" w:pos="720"/>
        </w:tabs>
        <w:autoSpaceDE w:val="0"/>
        <w:autoSpaceDN w:val="0"/>
        <w:adjustRightInd w:val="0"/>
        <w:spacing w:line="360" w:lineRule="auto"/>
        <w:ind w:right="17" w:firstLine="482"/>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前海湾片区是《前海规划》提出的“一心一带双港五区”空间结构中“前海城市新中心”的主要载体，总面积约34平方公里，涵盖三湾片区（约15平方公里）、宝中片区（约7.2平方公里）及大铲湾片区（约6平方公里），是支撑前海合作区产业高质量发展的重要功能片区，承担着“着力提升全球资源配置能力，大力发展高能级总部经济、高流量贸易经济、高端化服务经济、高层次会展经济，打造湾区‘国际会客厅’”的重要任务。</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当前，前海湾片区步入产业资源导入和城市品质提升的关键阶段，需强化对前海湾片区产业高质量发展的整体性谋划，全面系统地回答前海湾片区产业发展“现状产业基础如何” “聚焦哪些重点领域”“产业怎么布局”“谋划哪些项目抓手”“如何强化产业与城市空间耦合”等关键问题，需通过加强战略引导、系统谋划和精准实施，全面提升前海湾片区的城市品质与产业能级，为支撑前海合作区奋力打造现代服务业高质量发展高地探索“前海湾样本”。</w:t>
      </w:r>
    </w:p>
    <w:bookmarkEnd w:id="23"/>
    <w:p>
      <w:pPr>
        <w:pStyle w:val="29"/>
        <w:numPr>
          <w:ilvl w:val="0"/>
          <w:numId w:val="8"/>
        </w:numPr>
        <w:tabs>
          <w:tab w:val="left" w:pos="720"/>
        </w:tabs>
        <w:autoSpaceDE w:val="0"/>
        <w:autoSpaceDN w:val="0"/>
        <w:adjustRightInd w:val="0"/>
        <w:spacing w:line="360" w:lineRule="auto"/>
        <w:ind w:left="0" w:leftChars="0" w:right="17" w:rightChars="0" w:firstLine="482" w:firstLineChars="200"/>
        <w:jc w:val="left"/>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工作内容</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rPr>
        <w:t>贯彻落实党的二十大和二十届三中全会</w:t>
      </w:r>
      <w:r>
        <w:rPr>
          <w:rFonts w:hint="eastAsia" w:ascii="宋体" w:hAnsi="宋体" w:cs="宋体"/>
          <w:color w:val="auto"/>
          <w:sz w:val="24"/>
          <w:highlight w:val="none"/>
          <w:lang w:val="en-US" w:eastAsia="zh-CN"/>
        </w:rPr>
        <w:t>精神</w:t>
      </w:r>
      <w:r>
        <w:rPr>
          <w:rFonts w:hint="eastAsia" w:ascii="宋体" w:hAnsi="宋体" w:cs="宋体"/>
          <w:color w:val="auto"/>
          <w:sz w:val="24"/>
          <w:highlight w:val="none"/>
        </w:rPr>
        <w:t>和《前海方案》《前海规划》任务要求，在前海合作区构建现代化产业体系框架下，系统梳理前海湾片区产业基础、发展条件和存在短板等，研判国内外产业发展趋势，对标研究同类城区产业发展案例，研究明确前海湾片区产业发展方向和重点举措，形成前海湾片区产业发展规划报告。具体包括以下方面。</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全面摸底片区产业基础。基于片区内四上企业等情况，系统梳理前海湾片区的产业基础条件、产业空间分布、重大项目布局等发展情况。</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科学筛选片区重点产业。统筹衔接《前海方案》《前海规划》《前海国土空间规划》等，深入对接深圳“20+8”产业体系，结合区域产业基础、资源禀赋条件、重大项目布局、产业发展趋势等，筛选形成前海湾片区重点产业方向和重点业态。围绕产业链补链延链强链、完善产业公共服务平台、承接重大项目落地等方向，提出一系列促进产业发展的重点举措，支撑前海湾片区产业高质量发展。</w:t>
      </w:r>
    </w:p>
    <w:p>
      <w:pPr>
        <w:pStyle w:val="29"/>
        <w:tabs>
          <w:tab w:val="left" w:pos="720"/>
        </w:tabs>
        <w:autoSpaceDE w:val="0"/>
        <w:autoSpaceDN w:val="0"/>
        <w:adjustRightInd w:val="0"/>
        <w:spacing w:line="360" w:lineRule="auto"/>
        <w:ind w:right="17" w:firstLine="482" w:firstLineChars="0"/>
        <w:jc w:val="left"/>
        <w:outlineLvl w:val="9"/>
        <w:rPr>
          <w:rFonts w:hint="eastAsia" w:ascii="宋体" w:hAnsi="宋体" w:eastAsia="宋体" w:cs="宋体"/>
          <w:b w:val="0"/>
          <w:bCs w:val="0"/>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研究优化片区产业空间布局。在空间容量、空间布局、项目落位等方面与空间规划深入衔接，实现产业发展和空间布局的深入耦合，促进产城融合、供需匹配、功能完备。</w:t>
      </w:r>
    </w:p>
    <w:p>
      <w:pPr>
        <w:pStyle w:val="39"/>
        <w:numPr>
          <w:ilvl w:val="0"/>
          <w:numId w:val="8"/>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工作成果</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rPr>
        <w:t>1.规划报告：编制形成《前海湾片区产业发展规划研究报告》（</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PPT成果）</w:t>
      </w:r>
      <w:r>
        <w:rPr>
          <w:rFonts w:hint="eastAsia" w:ascii="宋体" w:hAnsi="宋体" w:eastAsia="宋体" w:cs="宋体"/>
          <w:color w:val="auto"/>
          <w:sz w:val="24"/>
          <w:highlight w:val="none"/>
        </w:rPr>
        <w:t>；</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2.成果转化：在</w:t>
      </w:r>
      <w:r>
        <w:rPr>
          <w:rFonts w:hint="eastAsia" w:ascii="宋体" w:hAnsi="宋体" w:cs="宋体"/>
          <w:color w:val="auto"/>
          <w:sz w:val="24"/>
          <w:highlight w:val="none"/>
          <w:lang w:val="en-US" w:eastAsia="zh-CN"/>
        </w:rPr>
        <w:t>规划</w:t>
      </w:r>
      <w:r>
        <w:rPr>
          <w:rFonts w:hint="eastAsia" w:ascii="宋体" w:hAnsi="宋体" w:eastAsia="宋体" w:cs="宋体"/>
          <w:color w:val="auto"/>
          <w:sz w:val="24"/>
          <w:highlight w:val="none"/>
        </w:rPr>
        <w:t>报告的基础上，服务前海湾片区产业高质量发展，提出具有较强可落地性的产业发展建议，形成供</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决策参考的《前海湾片区产业高质量发展专题研究报告》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含报告摘要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项目最终成果以Word文本、PPT等形式呈现，提交书面纸质版（5份）和电子版两个版本。</w:t>
      </w:r>
    </w:p>
    <w:p>
      <w:pPr>
        <w:pStyle w:val="39"/>
        <w:numPr>
          <w:ilvl w:val="0"/>
          <w:numId w:val="8"/>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人员要求</w:t>
      </w:r>
    </w:p>
    <w:p>
      <w:pPr>
        <w:pStyle w:val="29"/>
        <w:tabs>
          <w:tab w:val="left" w:pos="720"/>
        </w:tabs>
        <w:autoSpaceDE w:val="0"/>
        <w:autoSpaceDN w:val="0"/>
        <w:adjustRightInd w:val="0"/>
        <w:spacing w:line="360" w:lineRule="auto"/>
        <w:ind w:right="17" w:firstLine="482"/>
        <w:jc w:val="right"/>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投标人需组建项目团队，包含项目负责人1人，其他团队成员不少于3人。</w:t>
      </w:r>
    </w:p>
    <w:p>
      <w:pPr>
        <w:pStyle w:val="39"/>
        <w:numPr>
          <w:ilvl w:val="0"/>
          <w:numId w:val="8"/>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color w:val="auto"/>
          <w:sz w:val="24"/>
          <w:highlight w:val="none"/>
        </w:rPr>
      </w:pPr>
      <w:r>
        <w:rPr>
          <w:rFonts w:hint="eastAsia" w:ascii="宋体" w:hAnsi="宋体" w:cs="宋体"/>
          <w:b/>
          <w:color w:val="auto"/>
          <w:sz w:val="24"/>
          <w:highlight w:val="none"/>
        </w:rPr>
        <w:t>后续服务</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中标人提交的本项目最终成果通过采购人审查验收之日起6个月为本合同后续服务期。服务期内中标人应向采购人提供后续的专业技术支持与咨询服务。中标人应配合采购人需要协助完成相关事项审计、事后评估等工作。</w:t>
      </w:r>
    </w:p>
    <w:p>
      <w:pPr>
        <w:pStyle w:val="39"/>
        <w:numPr>
          <w:ilvl w:val="0"/>
          <w:numId w:val="8"/>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进度要求</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1.开展前期调研、起草形成《前海湾片区产业发展规划报告》及相关PPT配套文件，后续配合进行成果完善，并提供汇报支持。自合同签订之日起1个月内完成；</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2.形成《前海湾片区产业高质量发展专题研究报告》。自合同签订之日起3个月内完成。</w:t>
      </w:r>
    </w:p>
    <w:p>
      <w:pPr>
        <w:pStyle w:val="39"/>
        <w:tabs>
          <w:tab w:val="left" w:pos="720"/>
        </w:tabs>
        <w:autoSpaceDE w:val="0"/>
        <w:autoSpaceDN w:val="0"/>
        <w:adjustRightInd w:val="0"/>
        <w:spacing w:line="360" w:lineRule="auto"/>
        <w:ind w:right="17" w:firstLine="489"/>
        <w:jc w:val="left"/>
        <w:outlineLvl w:val="1"/>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验收方式</w:t>
      </w:r>
    </w:p>
    <w:p>
      <w:pPr>
        <w:pStyle w:val="2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.项目最终成果验收合格的标志为：通过</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组织的专家评审和结题会审查并同意结题。评审通过的，</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应结合评审意见对课题研究报告进行修改完善，并将最终成果提交</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进行验收。</w:t>
      </w:r>
    </w:p>
    <w:p>
      <w:pPr>
        <w:pStyle w:val="2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.项目最终成果未通过评审的，</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应继续开展研究，并于两个月内提请</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再次组织评审。再次评审不通过的，课题提前终止，并按本合同第十四条追究违约责任。</w:t>
      </w:r>
    </w:p>
    <w:p>
      <w:pPr>
        <w:pStyle w:val="29"/>
        <w:tabs>
          <w:tab w:val="left" w:pos="720"/>
        </w:tabs>
        <w:autoSpaceDE w:val="0"/>
        <w:autoSpaceDN w:val="0"/>
        <w:adjustRightInd w:val="0"/>
        <w:spacing w:line="360" w:lineRule="auto"/>
        <w:ind w:right="17" w:firstLine="482"/>
        <w:jc w:val="left"/>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auto"/>
          <w:sz w:val="24"/>
          <w:highlight w:val="none"/>
        </w:rPr>
      </w:pPr>
      <w:r>
        <w:rPr>
          <w:rFonts w:hint="eastAsia" w:ascii="宋体" w:hAnsi="宋体" w:cs="宋体"/>
          <w:b/>
          <w:bCs/>
          <w:color w:val="auto"/>
          <w:kern w:val="0"/>
          <w:sz w:val="24"/>
          <w:highlight w:val="none"/>
        </w:rPr>
        <w:t>（一）服务期限</w:t>
      </w:r>
    </w:p>
    <w:p>
      <w:pPr>
        <w:spacing w:after="156" w:afterLines="50"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rPr>
        <w:t>本项目服务期限</w:t>
      </w:r>
      <w:r>
        <w:rPr>
          <w:rFonts w:hint="eastAsia" w:ascii="宋体" w:hAnsi="宋体" w:cs="宋体"/>
          <w:color w:val="auto"/>
          <w:sz w:val="24"/>
          <w:highlight w:val="none"/>
          <w:lang w:eastAsia="zh-CN"/>
        </w:rPr>
        <w:t>：</w:t>
      </w: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3个月内完成</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本项目不属于长期服务项目。</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（二）报价要求</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的合同金额。项目预算控制</w:t>
      </w:r>
      <w:r>
        <w:rPr>
          <w:rFonts w:hint="default" w:ascii="宋体" w:hAnsi="宋体" w:cs="宋体"/>
          <w:color w:val="auto"/>
          <w:sz w:val="24"/>
          <w:highlight w:val="none"/>
          <w:lang w:val="en-US" w:eastAsia="zh-CN"/>
        </w:rPr>
        <w:t>22</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，投标人的报价不可高于预算（限价），否则投标人的投标文件视同无效。项目服务费</w:t>
      </w:r>
      <w:r>
        <w:rPr>
          <w:rFonts w:hint="eastAsia" w:ascii="宋体" w:hAnsi="宋体" w:cs="宋体"/>
          <w:color w:val="auto"/>
          <w:sz w:val="24"/>
          <w:highlight w:val="none"/>
          <w:lang w:eastAsia="zh-CN"/>
        </w:rPr>
        <w:t>包括但不限于</w:t>
      </w:r>
      <w:r>
        <w:rPr>
          <w:rFonts w:hint="eastAsia" w:ascii="宋体" w:hAnsi="宋体" w:cs="宋体"/>
          <w:color w:val="auto"/>
          <w:sz w:val="24"/>
          <w:highlight w:val="none"/>
          <w:lang w:val="en-US" w:eastAsia="zh-CN"/>
        </w:rPr>
        <w:t>①中标人为采购人所提供的所有技术支持费用；②项目调研费用、专家咨询费；③中标人工作人员工资、差旅费；④中标人的办公、通讯、交通费用；⑤项目材料统计、分析费用；⑥项目成果文本印刷费用；⑦中标人以各种方式将文件资料发送至采购人的费用；⑧本合同项下产生的一切税费；⑨后续服务期所产生的相关费用；⑩本合同项下产生的其他合理费用，并提供合同要求的成果文件，以及其它相关服务的全部费用。</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（三）付款方式</w:t>
      </w:r>
    </w:p>
    <w:p>
      <w:pPr>
        <w:widowControl/>
        <w:autoSpaceDE/>
        <w:autoSpaceDN/>
        <w:adjustRightInd/>
        <w:spacing w:line="360" w:lineRule="auto"/>
        <w:ind w:right="0" w:firstLine="480" w:firstLineChars="200"/>
        <w:outlineLvl w:val="9"/>
        <w:rPr>
          <w:rFonts w:hint="eastAsia" w:ascii="宋体" w:hAnsi="宋体" w:cs="宋体"/>
          <w:b w:val="0"/>
          <w:bCs w:val="0"/>
          <w:color w:val="auto"/>
          <w:kern w:val="2"/>
          <w:sz w:val="24"/>
          <w:highlight w:val="none"/>
          <w:lang w:eastAsia="zh-CN"/>
        </w:rPr>
      </w:pPr>
      <w:r>
        <w:rPr>
          <w:rFonts w:hint="eastAsia" w:ascii="宋体" w:hAnsi="宋体" w:cs="宋体"/>
          <w:b w:val="0"/>
          <w:bCs w:val="0"/>
          <w:color w:val="auto"/>
          <w:kern w:val="2"/>
          <w:sz w:val="24"/>
          <w:highlight w:val="none"/>
          <w:lang w:val="en-US" w:eastAsia="zh-CN"/>
        </w:rPr>
        <w:t>本</w:t>
      </w:r>
      <w:r>
        <w:rPr>
          <w:rFonts w:hint="eastAsia" w:ascii="宋体" w:hAnsi="宋体" w:cs="宋体"/>
          <w:b w:val="0"/>
          <w:bCs w:val="0"/>
          <w:color w:val="auto"/>
          <w:kern w:val="2"/>
          <w:sz w:val="24"/>
          <w:highlight w:val="none"/>
        </w:rPr>
        <w:t>项目费用分两期支付</w:t>
      </w:r>
      <w:r>
        <w:rPr>
          <w:rFonts w:hint="eastAsia" w:ascii="宋体" w:hAnsi="宋体" w:cs="宋体"/>
          <w:b w:val="0"/>
          <w:bCs w:val="0"/>
          <w:color w:val="auto"/>
          <w:kern w:val="2"/>
          <w:sz w:val="24"/>
          <w:highlight w:val="none"/>
          <w:lang w:eastAsia="zh-CN"/>
        </w:rPr>
        <w:t>。</w:t>
      </w:r>
    </w:p>
    <w:p>
      <w:pPr>
        <w:widowControl/>
        <w:autoSpaceDE/>
        <w:autoSpaceDN/>
        <w:adjustRightInd/>
        <w:spacing w:line="360" w:lineRule="auto"/>
        <w:ind w:right="0" w:firstLine="480" w:firstLineChars="200"/>
        <w:outlineLvl w:val="9"/>
        <w:rPr>
          <w:rFonts w:hint="eastAsia" w:ascii="宋体" w:hAnsi="宋体" w:cs="宋体"/>
          <w:b w:val="0"/>
          <w:bCs w:val="0"/>
          <w:color w:val="auto"/>
          <w:kern w:val="2"/>
          <w:sz w:val="24"/>
          <w:highlight w:val="none"/>
          <w:lang w:eastAsia="zh-CN"/>
        </w:rPr>
      </w:pPr>
      <w:r>
        <w:rPr>
          <w:rFonts w:hint="eastAsia" w:ascii="宋体" w:hAnsi="宋体" w:cs="宋体"/>
          <w:b w:val="0"/>
          <w:bCs w:val="0"/>
          <w:color w:val="auto"/>
          <w:kern w:val="2"/>
          <w:sz w:val="24"/>
          <w:highlight w:val="none"/>
        </w:rPr>
        <w:t>第一期</w:t>
      </w:r>
      <w:r>
        <w:rPr>
          <w:rFonts w:hint="eastAsia" w:ascii="宋体" w:hAnsi="宋体" w:cs="宋体"/>
          <w:b w:val="0"/>
          <w:bCs w:val="0"/>
          <w:color w:val="auto"/>
          <w:kern w:val="2"/>
          <w:sz w:val="24"/>
          <w:highlight w:val="none"/>
          <w:lang w:eastAsia="zh-CN"/>
        </w:rPr>
        <w:t>：</w:t>
      </w:r>
      <w:r>
        <w:rPr>
          <w:rFonts w:hint="eastAsia" w:ascii="宋体" w:hAnsi="宋体" w:cs="宋体"/>
          <w:b w:val="0"/>
          <w:bCs w:val="0"/>
          <w:color w:val="auto"/>
          <w:kern w:val="2"/>
          <w:sz w:val="24"/>
          <w:highlight w:val="none"/>
        </w:rPr>
        <w:t>自合同签订后，根据</w:t>
      </w:r>
      <w:r>
        <w:rPr>
          <w:rFonts w:hint="eastAsia" w:ascii="宋体" w:hAnsi="宋体" w:cs="宋体"/>
          <w:b w:val="0"/>
          <w:bCs w:val="0"/>
          <w:color w:val="auto"/>
          <w:kern w:val="2"/>
          <w:sz w:val="24"/>
          <w:highlight w:val="none"/>
          <w:lang w:val="en-US" w:eastAsia="zh-CN"/>
        </w:rPr>
        <w:t>中标人</w:t>
      </w:r>
      <w:r>
        <w:rPr>
          <w:rFonts w:hint="eastAsia" w:ascii="宋体" w:hAnsi="宋体" w:cs="宋体"/>
          <w:b w:val="0"/>
          <w:bCs w:val="0"/>
          <w:color w:val="auto"/>
          <w:kern w:val="2"/>
          <w:sz w:val="24"/>
          <w:highlight w:val="none"/>
        </w:rPr>
        <w:t>提出的付款申请及开具的载明相应金额的正式发票后，按规定支付合同总价款的50%</w:t>
      </w:r>
      <w:r>
        <w:rPr>
          <w:rFonts w:hint="eastAsia" w:ascii="宋体" w:hAnsi="宋体" w:cs="宋体"/>
          <w:b w:val="0"/>
          <w:bCs w:val="0"/>
          <w:color w:val="auto"/>
          <w:kern w:val="2"/>
          <w:sz w:val="24"/>
          <w:highlight w:val="none"/>
          <w:lang w:eastAsia="zh-CN"/>
        </w:rPr>
        <w:t>。</w:t>
      </w:r>
    </w:p>
    <w:p>
      <w:pPr>
        <w:widowControl/>
        <w:autoSpaceDE/>
        <w:autoSpaceDN/>
        <w:adjustRightInd/>
        <w:spacing w:line="360" w:lineRule="auto"/>
        <w:ind w:right="0" w:firstLine="480" w:firstLineChars="200"/>
        <w:outlineLvl w:val="9"/>
        <w:rPr>
          <w:rFonts w:hint="eastAsia" w:ascii="宋体" w:hAnsi="宋体" w:cs="宋体"/>
          <w:b w:val="0"/>
          <w:bCs w:val="0"/>
          <w:color w:val="auto"/>
          <w:kern w:val="2"/>
          <w:sz w:val="24"/>
          <w:highlight w:val="none"/>
        </w:rPr>
      </w:pPr>
      <w:r>
        <w:rPr>
          <w:rFonts w:hint="eastAsia" w:ascii="宋体" w:hAnsi="宋体" w:cs="宋体"/>
          <w:b w:val="0"/>
          <w:bCs w:val="0"/>
          <w:color w:val="auto"/>
          <w:kern w:val="2"/>
          <w:sz w:val="24"/>
          <w:highlight w:val="none"/>
        </w:rPr>
        <w:t>第二期</w:t>
      </w:r>
      <w:r>
        <w:rPr>
          <w:rFonts w:hint="eastAsia" w:ascii="宋体" w:hAnsi="宋体" w:cs="宋体"/>
          <w:b w:val="0"/>
          <w:bCs w:val="0"/>
          <w:color w:val="auto"/>
          <w:kern w:val="2"/>
          <w:sz w:val="24"/>
          <w:highlight w:val="none"/>
          <w:lang w:eastAsia="zh-CN"/>
        </w:rPr>
        <w:t>：</w:t>
      </w:r>
      <w:r>
        <w:rPr>
          <w:rFonts w:hint="eastAsia" w:ascii="宋体" w:hAnsi="宋体" w:cs="宋体"/>
          <w:b w:val="0"/>
          <w:bCs w:val="0"/>
          <w:color w:val="auto"/>
          <w:kern w:val="2"/>
          <w:sz w:val="24"/>
          <w:highlight w:val="none"/>
        </w:rPr>
        <w:t>自</w:t>
      </w:r>
      <w:r>
        <w:rPr>
          <w:rFonts w:hint="eastAsia" w:ascii="宋体" w:hAnsi="宋体" w:cs="宋体"/>
          <w:b w:val="0"/>
          <w:bCs w:val="0"/>
          <w:color w:val="auto"/>
          <w:kern w:val="2"/>
          <w:sz w:val="24"/>
          <w:highlight w:val="none"/>
          <w:lang w:val="en-US" w:eastAsia="zh-CN"/>
        </w:rPr>
        <w:t>中标人</w:t>
      </w:r>
      <w:r>
        <w:rPr>
          <w:rFonts w:hint="eastAsia" w:ascii="宋体" w:hAnsi="宋体" w:cs="宋体"/>
          <w:b w:val="0"/>
          <w:bCs w:val="0"/>
          <w:color w:val="auto"/>
          <w:kern w:val="2"/>
          <w:sz w:val="24"/>
          <w:highlight w:val="none"/>
        </w:rPr>
        <w:t>完成最终项目且成果验收合格后，根据</w:t>
      </w:r>
      <w:r>
        <w:rPr>
          <w:rFonts w:hint="eastAsia" w:ascii="宋体" w:hAnsi="宋体" w:cs="宋体"/>
          <w:b w:val="0"/>
          <w:bCs w:val="0"/>
          <w:color w:val="auto"/>
          <w:kern w:val="2"/>
          <w:sz w:val="24"/>
          <w:highlight w:val="none"/>
          <w:lang w:val="en-US" w:eastAsia="zh-CN"/>
        </w:rPr>
        <w:t>中标人</w:t>
      </w:r>
      <w:r>
        <w:rPr>
          <w:rFonts w:hint="eastAsia" w:ascii="宋体" w:hAnsi="宋体" w:cs="宋体"/>
          <w:b w:val="0"/>
          <w:bCs w:val="0"/>
          <w:color w:val="auto"/>
          <w:kern w:val="2"/>
          <w:sz w:val="24"/>
          <w:highlight w:val="none"/>
        </w:rPr>
        <w:t>提出的付款申请及开具的载明相应金额的正式发票后，按规定支付合同总价款的剩余50%。</w:t>
      </w:r>
    </w:p>
    <w:p>
      <w:pPr>
        <w:widowControl/>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本合同项下各期款项均在</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收到</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开具的载明相应金额的正式发票后向</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指定银行账户支付，如</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未及时收到</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开具的正式发票，</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付款时间相应顺延。若因</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付款审批影响支付进度，请</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予以谅解，并不得就此向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（四）成果权属与知识产权</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1.双方对本合同有关的知识产权以及与之相关的所有权利归属约定如下： 本项目全部阶段性成果和最终成果（包括为后续服务范围所编制的材料）的知识产权以及与之相关的所有权利归</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所有；本合同签署前双方已经拥有的知识产权权利，仍归各自所有。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2.双方确定，</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有权利用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按照本合同约定提供的研究开发成果，进行后续改进。由此产生的具有实质性或创造性技术进步特征的新的技术成果及其权利归属，全部由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享有。具体相关利益的分配办法如下：</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100%。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承担，同时，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保留要求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赔偿相应损失的权利，包括但不限于上述索赔或责任所产生的诉讼费用、</w:t>
      </w:r>
      <w:r>
        <w:rPr>
          <w:rFonts w:hint="eastAsia" w:ascii="宋体" w:hAnsi="宋体" w:cs="宋体"/>
          <w:color w:val="auto"/>
          <w:sz w:val="24"/>
          <w:szCs w:val="24"/>
          <w:highlight w:val="none"/>
        </w:rPr>
        <w:t>保全费、</w:t>
      </w:r>
      <w:r>
        <w:rPr>
          <w:rFonts w:hint="eastAsia" w:ascii="宋体" w:hAnsi="宋体" w:cs="宋体"/>
          <w:color w:val="auto"/>
          <w:sz w:val="24"/>
          <w:highlight w:val="none"/>
        </w:rPr>
        <w:t>合律师费、鉴定评估费用、调查费用、和解金额或生效法律文书中规定的赔偿金额。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书面在先同意，</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不得将本项目的中间成果和最终成果材料及任何数据、资料、软件向任何第三方转让、授权任何第三方使用或用于本合同项目外的其他项目。如发生以上情况，</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支付本合同总价款20%的违约金，如果违约金无法弥补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的损失，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赔偿全部损失，包括但不限于上述索赔或责任所产生的诉讼费用、</w:t>
      </w:r>
      <w:r>
        <w:rPr>
          <w:rFonts w:hint="eastAsia" w:ascii="宋体" w:hAnsi="宋体" w:cs="宋体"/>
          <w:color w:val="auto"/>
          <w:sz w:val="24"/>
          <w:szCs w:val="24"/>
          <w:highlight w:val="none"/>
        </w:rPr>
        <w:t>保全费、</w:t>
      </w:r>
      <w:r>
        <w:rPr>
          <w:rFonts w:hint="eastAsia" w:ascii="宋体" w:hAnsi="宋体" w:cs="宋体"/>
          <w:color w:val="auto"/>
          <w:sz w:val="24"/>
          <w:highlight w:val="none"/>
        </w:rPr>
        <w:t>律师费、鉴定评估费用、调查费用、和解金额或生效法律文书中规定的赔偿金额。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完成本合同项目的研究开发人员享有在有关技术成果材料上写明技术成果完成者的权利和与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共同获得有关荣誉证书、奖励的权利。</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（五）</w:t>
      </w:r>
      <w:r>
        <w:rPr>
          <w:rFonts w:hint="eastAsia" w:ascii="宋体" w:hAnsi="宋体" w:cs="宋体"/>
          <w:b/>
          <w:bCs/>
          <w:color w:val="auto"/>
          <w:sz w:val="24"/>
          <w:highlight w:val="none"/>
        </w:rPr>
        <w:t>保密条款</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在履行本合同过程中所获得或接触到的任何</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内部数据资料。</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须以保密方式处理在编制本项目成果材料过程中自</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工作人员或</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关联机构获得的相关信息、资料、图纸、数据等，或由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在履行本合同过程中明确指明为秘密的任何信息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以及</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因本项目工作所直接或间接取得、处理或接触的任何其他资料。未经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实施项目的程序应符合国家安全、保密的有关规定和标准。</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5.上述保密义务不适用以下情况：</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（1）获取的信息已被合法公开；</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（2）获得信息拥有方书面许可并在该许可范围内披露；</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（3）国家法律、法规规定的情形。</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违反上述保密条款，</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有权解除本合同，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应在合同解除通知发出之日起10日内向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支付本合同服务费总金额20%的违约金，如果违约金无法弥补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损失，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保留要求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赔偿全部损失的权利，包括但不限于前述责任所产生的诉讼费用、保全费、律师费、鉴定评估费用、调查费用、和解金额或生效法律文书中规定的赔偿金额。</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违约责任</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未按照本合同约定的时间完成本项目各阶段工作，每迟延一日，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有权自尚未支付的合同款项中扣除本合同服务费总金额的1‰的逾期违约金。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（二）本合同履行期间，发生下述情形时，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有权解除本合同，</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还应在合同解除通知发出之日起10日内向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支付合同总价款10%的违约金。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应同时将已完成的项目成果移交给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，并将全部有关资料退还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未能按合同约定的日期(含协商延缓的日期)完成经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审核通过的，延误时间超过10个工作日；</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工作的错误或遗漏造成成果质量不符合本合同要求，且</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要求采取及时有效的补救措施的；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虽如期提报活动方案、阶段成果、活动总结等总结性成果资料，但最终成果连续二次未能通过</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验收的；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书面在先同意，</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擅自将本合同项目与任何第三方合作，或将本合同标的全部或部分擅自转包或分包给任何第三方，且未按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的要求终止与第三方的协议的；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5.发现</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工作人员出现全部或部分丧失履行委托服务能力的情况，</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有权通知</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限期整改或更换工作人员，期限届满</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并未进行改善的；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明确表示或者以自己的行为表明不履行本合同的。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未按照本合同约定的时间支付服务费，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书面催告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并给予不少于30个工作日的履行期限后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仍未支付的，</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有权自该期限届满之日起要求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支付该阶段应付而未付合同价款每日1‰的逾期违约金。</w:t>
      </w:r>
    </w:p>
    <w:p>
      <w:pPr>
        <w:spacing w:line="560" w:lineRule="exact"/>
        <w:ind w:firstLine="480" w:firstLineChars="20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（四）上述违约责任各自独立且可累加。如本合同所约定的违约金无法弥补因违约行为所造成的损失，违约方应补偿上述不足部分的损失，包括但不限于上述索赔或责任所产生的诉讼费用、</w:t>
      </w:r>
      <w:r>
        <w:rPr>
          <w:rFonts w:hint="eastAsia" w:ascii="Times New Roman" w:hAnsi="Times New Roman" w:eastAsia="宋体" w:cs="Times New Roman"/>
          <w:color w:val="auto"/>
          <w:sz w:val="24"/>
          <w:szCs w:val="24"/>
          <w:highlight w:val="none"/>
        </w:rPr>
        <w:t>保全费、</w:t>
      </w:r>
      <w:r>
        <w:rPr>
          <w:rFonts w:hint="eastAsia" w:ascii="宋体" w:hAnsi="宋体" w:cs="宋体"/>
          <w:color w:val="auto"/>
          <w:sz w:val="24"/>
          <w:highlight w:val="none"/>
        </w:rPr>
        <w:t>律师费、鉴定评估费用、调查费用、和解金额或生效法律文书中规定的赔偿金额</w:t>
      </w:r>
      <w:r>
        <w:rPr>
          <w:rFonts w:hint="eastAsia" w:ascii="宋体" w:hAnsi="宋体" w:eastAsia="宋体" w:cs="宋体"/>
          <w:color w:val="auto"/>
          <w:sz w:val="24"/>
          <w:highlight w:val="none"/>
        </w:rPr>
        <w:t>。</w:t>
      </w:r>
    </w:p>
    <w:p>
      <w:pPr>
        <w:spacing w:line="360" w:lineRule="auto"/>
        <w:jc w:val="center"/>
        <w:outlineLvl w:val="0"/>
        <w:rPr>
          <w:rFonts w:ascii="宋体" w:cs="宋体"/>
          <w:b/>
          <w:bCs/>
          <w:color w:val="auto"/>
          <w:sz w:val="24"/>
          <w:highlight w:val="none"/>
        </w:rPr>
      </w:pPr>
      <w:r>
        <w:rPr>
          <w:rFonts w:hint="eastAsia" w:ascii="宋体" w:hAnsi="宋体" w:cs="宋体"/>
          <w:color w:val="auto"/>
          <w:sz w:val="24"/>
          <w:highlight w:val="none"/>
        </w:rPr>
        <w:br w:type="page"/>
      </w:r>
      <w:bookmarkStart w:id="24" w:name="_Toc6457"/>
      <w:r>
        <w:rPr>
          <w:rFonts w:hint="eastAsia" w:ascii="宋体" w:cs="宋体"/>
          <w:b/>
          <w:bCs/>
          <w:color w:val="auto"/>
          <w:sz w:val="24"/>
          <w:highlight w:val="none"/>
        </w:rPr>
        <w:t>第六章 投标文件初审及招标项目评分表</w:t>
      </w:r>
      <w:bookmarkEnd w:id="24"/>
    </w:p>
    <w:p>
      <w:pPr>
        <w:autoSpaceDE w:val="0"/>
        <w:autoSpaceDN w:val="0"/>
        <w:adjustRightInd w:val="0"/>
        <w:spacing w:line="240" w:lineRule="auto"/>
        <w:jc w:val="center"/>
        <w:outlineLvl w:val="1"/>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投标文件初审表（不可偏离条款）</w:t>
      </w:r>
    </w:p>
    <w:p>
      <w:pPr>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7108" w:type="dxa"/>
            <w:noWrap w:val="0"/>
            <w:vAlign w:val="center"/>
          </w:tcPr>
          <w:p>
            <w:pPr>
              <w:keepNext w:val="0"/>
              <w:keepLines w:val="0"/>
              <w:suppressLineNumbers w:val="0"/>
              <w:spacing w:before="0" w:beforeAutospacing="0" w:after="0" w:afterAutospacing="0" w:line="240" w:lineRule="auto"/>
              <w:ind w:left="0" w:right="0"/>
              <w:rPr>
                <w:rFonts w:hint="eastAsia" w:ascii="宋体" w:hAnsi="宋体" w:cs="宋体"/>
                <w:color w:val="auto"/>
                <w:sz w:val="24"/>
                <w:highlight w:val="none"/>
              </w:rPr>
            </w:pPr>
            <w:r>
              <w:rPr>
                <w:rFonts w:hint="eastAsia" w:ascii="宋体" w:hAnsi="宋体" w:cs="宋体"/>
                <w:color w:val="auto"/>
                <w:sz w:val="24"/>
                <w:highlight w:val="none"/>
              </w:rPr>
              <w:t>供应商基本情况表</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社保缴纳</w:t>
            </w:r>
            <w:r>
              <w:rPr>
                <w:rFonts w:hint="eastAsia" w:ascii="宋体" w:hAnsi="宋体" w:cs="宋体"/>
                <w:color w:val="auto"/>
                <w:sz w:val="24"/>
                <w:highlight w:val="none"/>
                <w:lang w:val="en-US" w:eastAsia="zh-CN"/>
              </w:rPr>
              <w:t>及</w:t>
            </w:r>
            <w:r>
              <w:rPr>
                <w:rFonts w:hint="eastAsia" w:ascii="宋体" w:hAnsi="宋体" w:eastAsia="宋体" w:cs="宋体"/>
                <w:color w:val="auto"/>
                <w:sz w:val="24"/>
                <w:highlight w:val="none"/>
                <w:lang w:val="en-US" w:eastAsia="zh-CN"/>
              </w:rPr>
              <w:t>股权关系证明材料</w:t>
            </w:r>
          </w:p>
          <w:p>
            <w:pPr>
              <w:keepNext w:val="0"/>
              <w:keepLines w:val="0"/>
              <w:suppressLineNumbers w:val="0"/>
              <w:spacing w:before="0" w:beforeAutospacing="0" w:after="0" w:afterAutospacing="0" w:line="240" w:lineRule="auto"/>
              <w:ind w:left="0" w:right="0"/>
              <w:rPr>
                <w:rFonts w:hint="eastAsia" w:ascii="宋体" w:hAnsi="宋体" w:cs="宋体"/>
                <w:color w:val="auto"/>
                <w:sz w:val="24"/>
                <w:highlight w:val="none"/>
              </w:rPr>
            </w:pPr>
            <w:r>
              <w:rPr>
                <w:rFonts w:hint="eastAsia" w:ascii="宋体" w:hAnsi="宋体" w:cs="宋体"/>
                <w:color w:val="auto"/>
                <w:sz w:val="24"/>
                <w:highlight w:val="none"/>
              </w:rPr>
              <w:t>包括但不限于：①不同供应商的法定代表人、投标授权代表人、项目负责人（如有）是否为同一人或在同一单位缴纳社会保险；②是否存在直接控股、管理关系；③未加盖公章；④未按要求提供、未按要求填写的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出现下列情形之一的，评审委员会应当启动异常低价投标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审查程序，要求</w:t>
            </w:r>
            <w:r>
              <w:rPr>
                <w:rFonts w:hint="eastAsia" w:ascii="宋体" w:hAnsi="宋体" w:eastAsia="宋体" w:cs="宋体"/>
                <w:color w:val="auto"/>
                <w:sz w:val="24"/>
                <w:highlight w:val="none"/>
                <w:lang w:val="en-US" w:eastAsia="zh-CN"/>
              </w:rPr>
              <w:t>相关供应商</w:t>
            </w:r>
            <w:r>
              <w:rPr>
                <w:rFonts w:hint="eastAsia" w:ascii="宋体" w:hAnsi="宋体" w:eastAsia="宋体" w:cs="宋体"/>
                <w:color w:val="auto"/>
                <w:sz w:val="24"/>
                <w:highlight w:val="none"/>
              </w:rPr>
              <w:t>在评标现场合理的时间内提供书面说明</w:t>
            </w:r>
            <w:r>
              <w:rPr>
                <w:rFonts w:hint="eastAsia" w:ascii="宋体" w:hAnsi="宋体" w:eastAsia="宋体" w:cs="宋体"/>
                <w:color w:val="auto"/>
                <w:sz w:val="24"/>
                <w:highlight w:val="none"/>
                <w:lang w:val="en-US" w:eastAsia="zh-CN"/>
              </w:rPr>
              <w:t>及必要的</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rPr>
          <w:rFonts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2107"/>
        <w:gridCol w:w="4968"/>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一、价格部分（</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lang w:val="zh-CN"/>
              </w:rPr>
            </w:pPr>
            <w:r>
              <w:rPr>
                <w:rFonts w:hint="eastAsia" w:ascii="宋体" w:hAnsi="宋体" w:cs="宋体"/>
                <w:b/>
                <w:color w:val="auto"/>
                <w:sz w:val="24"/>
                <w:highlight w:val="none"/>
              </w:rPr>
              <w:t>投标报价</w:t>
            </w:r>
          </w:p>
        </w:tc>
        <w:tc>
          <w:tcPr>
            <w:tcW w:w="4968" w:type="dxa"/>
            <w:noWrap w:val="0"/>
            <w:vAlign w:val="center"/>
          </w:tcPr>
          <w:p>
            <w:pPr>
              <w:pStyle w:val="7"/>
              <w:spacing w:line="240"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 xml:space="preserve">采用低价优先法计算，即满足招标文件要求且投标价格最低的投标报价为评标基准价，其价格分为满分。其他投标人的价格分统一按照下列公式计算： </w:t>
            </w:r>
          </w:p>
          <w:p>
            <w:pPr>
              <w:pStyle w:val="7"/>
              <w:spacing w:line="24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投标报价得分=(评标基准价／投标报价)×</w:t>
            </w:r>
            <w:r>
              <w:rPr>
                <w:rFonts w:hint="eastAsia" w:ascii="宋体" w:hAnsi="宋体" w:cs="宋体"/>
                <w:color w:val="auto"/>
                <w:kern w:val="0"/>
                <w:sz w:val="24"/>
                <w:highlight w:val="none"/>
                <w:lang w:val="en-US" w:eastAsia="zh-CN"/>
              </w:rPr>
              <w:t>10</w:t>
            </w:r>
          </w:p>
          <w:p>
            <w:pPr>
              <w:pStyle w:val="7"/>
              <w:spacing w:line="240" w:lineRule="auto"/>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rPr>
              <w:t>价格评分仅限于有效投标人，当价格分&lt;0时，取0</w:t>
            </w:r>
            <w:r>
              <w:rPr>
                <w:rFonts w:hint="eastAsia" w:ascii="宋体" w:hAnsi="宋体" w:eastAsia="宋体" w:cs="宋体"/>
                <w:color w:val="auto"/>
                <w:kern w:val="0"/>
                <w:sz w:val="24"/>
                <w:szCs w:val="21"/>
                <w:highlight w:val="none"/>
                <w:lang w:eastAsia="zh-CN"/>
              </w:rPr>
              <w:t>。</w:t>
            </w:r>
          </w:p>
          <w:p>
            <w:pPr>
              <w:pStyle w:val="7"/>
              <w:spacing w:line="240" w:lineRule="auto"/>
              <w:jc w:val="left"/>
              <w:rPr>
                <w:rFonts w:hint="eastAsia" w:ascii="宋体" w:hAnsi="宋体" w:cs="宋体"/>
                <w:color w:val="auto"/>
                <w:kern w:val="0"/>
                <w:sz w:val="24"/>
                <w:highlight w:val="none"/>
              </w:rPr>
            </w:pPr>
            <w:r>
              <w:rPr>
                <w:rFonts w:hint="eastAsia" w:ascii="宋体" w:hAnsi="宋体" w:eastAsia="宋体" w:cs="宋体"/>
                <w:bCs w:val="0"/>
                <w:color w:val="auto"/>
                <w:kern w:val="0"/>
                <w:sz w:val="24"/>
                <w:szCs w:val="21"/>
                <w:highlight w:val="none"/>
              </w:rPr>
              <w:t>评标过程中，不得去掉报价中的最高报价和最低报价。本项目非专门面向中小企业的项目，</w:t>
            </w:r>
            <w:r>
              <w:rPr>
                <w:rFonts w:hint="eastAsia" w:ascii="宋体" w:hAnsi="宋体" w:cs="宋体"/>
                <w:color w:val="auto"/>
                <w:kern w:val="0"/>
                <w:sz w:val="24"/>
                <w:highlight w:val="none"/>
                <w:lang w:val="en-US" w:eastAsia="zh-CN"/>
              </w:rPr>
              <w:t>对于</w:t>
            </w:r>
            <w:r>
              <w:rPr>
                <w:rFonts w:hint="eastAsia" w:ascii="宋体" w:hAnsi="宋体" w:cs="宋体"/>
                <w:color w:val="auto"/>
                <w:kern w:val="0"/>
                <w:sz w:val="24"/>
                <w:highlight w:val="none"/>
              </w:rPr>
              <w:t>小型企业、微型企业、监狱企业、残疾人福利性单位承接服务，对其价格给予10%的扣除，用扣除后的价格参与评审。满足多项优惠政策的企业，不重复享受多项价格扣除政策。</w:t>
            </w:r>
          </w:p>
          <w:p>
            <w:pPr>
              <w:pStyle w:val="7"/>
              <w:spacing w:line="24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%扣除，用扣除后的价格参加评审。联合体各方均为小微企业的，价格扣除比例为10%。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本项目不适用</w:t>
            </w:r>
            <w:r>
              <w:rPr>
                <w:rFonts w:hint="eastAsia" w:ascii="宋体" w:hAnsi="宋体" w:cs="宋体"/>
                <w:color w:val="auto"/>
                <w:kern w:val="0"/>
                <w:sz w:val="24"/>
                <w:highlight w:val="none"/>
                <w:lang w:eastAsia="zh-CN"/>
              </w:rPr>
              <w:t>）</w:t>
            </w:r>
          </w:p>
          <w:p>
            <w:pPr>
              <w:pStyle w:val="7"/>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二、技术部分（</w:t>
            </w:r>
            <w:r>
              <w:rPr>
                <w:rFonts w:hint="eastAsia" w:ascii="宋体" w:hAnsi="宋体" w:cs="宋体"/>
                <w:b/>
                <w:color w:val="auto"/>
                <w:sz w:val="24"/>
                <w:highlight w:val="none"/>
                <w:lang w:val="en-US" w:eastAsia="zh-CN"/>
              </w:rPr>
              <w:t>40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zh-CN"/>
              </w:rPr>
              <w:t>1</w:t>
            </w:r>
          </w:p>
        </w:tc>
        <w:tc>
          <w:tcPr>
            <w:tcW w:w="2107"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sq-AL" w:eastAsia="zh-CN" w:bidi="ar"/>
              </w:rPr>
            </w:pPr>
            <w:r>
              <w:rPr>
                <w:rFonts w:hint="default" w:ascii="宋体" w:hAnsi="宋体" w:eastAsia="宋体" w:cs="宋体"/>
                <w:color w:val="auto"/>
                <w:kern w:val="2"/>
                <w:sz w:val="24"/>
                <w:szCs w:val="24"/>
                <w:highlight w:val="none"/>
                <w:lang w:val="zh-CN" w:eastAsia="zh-CN" w:bidi="ar"/>
              </w:rPr>
              <w:t>对项目需求的响应及理解</w:t>
            </w:r>
          </w:p>
        </w:tc>
        <w:tc>
          <w:tcPr>
            <w:tcW w:w="4968"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（一）评分内容：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考察对项目需求、研究目的、研究内容是否有完整的理解，进行综合比较。包含但不限于以下内容：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1.对背景的理解；</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2.对项目需求及目的解读；</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3.对研究内容整体解读。</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（二）评分标准：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满足以上三项内容得7分，满足任意两项内容得5分，满足任意一项内容得2分；在此基础上，对投标人响应情况进行分档评分：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优：理解准确到位，概括性强。</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良：理解到位，具有一定概括性。</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中：理解有缺漏但基本到位，概括性低。</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差：理解有严重缺漏，无概括性。</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根据投标文件比较，评价为优加3分；评价为良加2分；评价为中加1分；评价为差不加分。</w:t>
            </w:r>
            <w:r>
              <w:rPr>
                <w:rFonts w:hint="eastAsia" w:ascii="宋体" w:hAnsi="宋体" w:eastAsia="宋体" w:cs="宋体"/>
                <w:color w:val="auto"/>
                <w:kern w:val="2"/>
                <w:sz w:val="24"/>
                <w:szCs w:val="24"/>
                <w:highlight w:val="none"/>
                <w:lang w:val="zh-CN" w:eastAsia="zh-CN" w:bidi="ar"/>
              </w:rPr>
              <w:t>评价为“差”的，评委需说明情况。</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zh-CN"/>
              </w:rPr>
              <w:t>2</w:t>
            </w:r>
          </w:p>
        </w:tc>
        <w:tc>
          <w:tcPr>
            <w:tcW w:w="2107"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sq-AL" w:eastAsia="zh-CN" w:bidi="ar"/>
              </w:rPr>
            </w:pPr>
            <w:r>
              <w:rPr>
                <w:rFonts w:hint="default" w:ascii="宋体" w:hAnsi="宋体" w:eastAsia="宋体" w:cs="宋体"/>
                <w:color w:val="auto"/>
                <w:kern w:val="2"/>
                <w:sz w:val="24"/>
                <w:szCs w:val="24"/>
                <w:highlight w:val="none"/>
                <w:lang w:val="zh-CN" w:eastAsia="zh-CN" w:bidi="ar"/>
              </w:rPr>
              <w:t>工作方案（项目背景、项目目标、研究方法、工作内容、成果构成）</w:t>
            </w:r>
          </w:p>
        </w:tc>
        <w:tc>
          <w:tcPr>
            <w:tcW w:w="4968" w:type="dxa"/>
            <w:shd w:val="clear" w:color="auto" w:fill="auto"/>
            <w:noWrap w:val="0"/>
            <w:vAlign w:val="top"/>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（一）评分内容：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投标人须针对本项目需求提出工作方案，包括下述内容：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1.项目背景；</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2.项目目标；</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3.研究方法；</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4.工作内容；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5.成果构成。</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（二）评分标准：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满足以上5项要求得5分，满足以上4项要求得4分，满足以上3项要求得3分，满足以上2项要求得2分，满足以上1项要求得1分，其他不得分。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在此基础上，按照下列要求进行加分：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优：内容完整详细且符合项目实际，可行性强；</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良：内容完整，可行性较好；</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中：内容能符合项目部分要求，较贴近项目实际；</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差：内容不符合项目实际的。</w:t>
            </w:r>
          </w:p>
          <w:p>
            <w:pPr>
              <w:pStyle w:val="16"/>
              <w:keepNext w:val="0"/>
              <w:keepLines w:val="0"/>
              <w:suppressLineNumbers w:val="0"/>
              <w:spacing w:before="0" w:beforeAutospacing="0" w:after="0" w:afterAutospacing="0" w:line="240" w:lineRule="auto"/>
              <w:ind w:left="0" w:leftChars="0" w:right="0" w:rightChars="0"/>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b w:val="0"/>
                <w:bCs w:val="0"/>
                <w:color w:val="auto"/>
                <w:kern w:val="2"/>
                <w:sz w:val="24"/>
                <w:szCs w:val="24"/>
                <w:highlight w:val="none"/>
                <w:lang w:val="zh-CN" w:eastAsia="zh-CN" w:bidi="ar"/>
              </w:rPr>
              <w:t>根据投标文件比较，评价为优的加5分；评价为良的加4分；评价为中的加2分；评价为差的不加分。</w:t>
            </w:r>
            <w:r>
              <w:rPr>
                <w:rFonts w:hint="eastAsia" w:ascii="宋体" w:hAnsi="宋体" w:eastAsia="宋体" w:cs="宋体"/>
                <w:color w:val="auto"/>
                <w:kern w:val="2"/>
                <w:sz w:val="24"/>
                <w:szCs w:val="24"/>
                <w:highlight w:val="none"/>
                <w:lang w:val="zh-CN" w:eastAsia="zh-CN" w:bidi="ar"/>
              </w:rPr>
              <w:t>评价为“差”的，评委需说明情况。</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zh-CN"/>
              </w:rPr>
              <w:t>3</w:t>
            </w:r>
          </w:p>
        </w:tc>
        <w:tc>
          <w:tcPr>
            <w:tcW w:w="2107"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sq-AL" w:eastAsia="zh-CN" w:bidi="ar"/>
              </w:rPr>
            </w:pPr>
            <w:r>
              <w:rPr>
                <w:rFonts w:hint="default" w:ascii="宋体" w:hAnsi="宋体" w:eastAsia="宋体" w:cs="宋体"/>
                <w:color w:val="auto"/>
                <w:kern w:val="2"/>
                <w:sz w:val="24"/>
                <w:szCs w:val="24"/>
                <w:highlight w:val="none"/>
                <w:lang w:val="zh-CN" w:eastAsia="zh-CN" w:bidi="ar"/>
              </w:rPr>
              <w:t>项目重点难点分析、应对措施及相关的合理化建议</w:t>
            </w:r>
          </w:p>
        </w:tc>
        <w:tc>
          <w:tcPr>
            <w:tcW w:w="4968" w:type="dxa"/>
            <w:shd w:val="clear" w:color="auto" w:fill="auto"/>
            <w:noWrap w:val="0"/>
            <w:vAlign w:val="top"/>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（一）评分内容：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具有服务目标、工作目标；</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zh-CN" w:eastAsia="zh-CN" w:bidi="ar"/>
              </w:rPr>
              <w:t>对项目服务中可能出现的重点难点进行分析，并提出解决方案；</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zh-CN" w:eastAsia="zh-CN" w:bidi="ar"/>
              </w:rPr>
              <w:t>能提出重点难点事项的应对措施及相关的合理化建议。</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4"/>
                <w:szCs w:val="24"/>
                <w:highlight w:val="none"/>
                <w:lang w:val="zh-CN" w:bidi="ar"/>
              </w:rPr>
            </w:pPr>
            <w:r>
              <w:rPr>
                <w:rFonts w:hint="eastAsia" w:ascii="宋体" w:hAnsi="宋体" w:eastAsia="宋体" w:cs="宋体"/>
                <w:b w:val="0"/>
                <w:bCs w:val="0"/>
                <w:color w:val="auto"/>
                <w:kern w:val="2"/>
                <w:sz w:val="24"/>
                <w:szCs w:val="24"/>
                <w:highlight w:val="none"/>
                <w:lang w:val="zh-CN" w:eastAsia="zh-CN" w:bidi="ar"/>
              </w:rPr>
              <w:t>（二）评分标准：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ascii="宋体" w:hAnsi="宋体" w:eastAsia="宋体" w:cs="宋体"/>
                <w:color w:val="auto"/>
                <w:kern w:val="2"/>
                <w:sz w:val="24"/>
                <w:szCs w:val="24"/>
                <w:highlight w:val="none"/>
                <w:lang w:val="zh-CN" w:eastAsia="zh-CN" w:bidi="ar"/>
              </w:rPr>
              <w:t>满足以上三点得5分，满足任意两点得3分；满足任意一点得1分；不满足不得分。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ascii="宋体" w:hAnsi="宋体" w:eastAsia="宋体" w:cs="宋体"/>
                <w:color w:val="auto"/>
                <w:kern w:val="2"/>
                <w:sz w:val="24"/>
                <w:szCs w:val="24"/>
                <w:highlight w:val="none"/>
                <w:lang w:val="zh-CN" w:eastAsia="zh-CN" w:bidi="ar"/>
              </w:rPr>
              <w:t>在此基础上，评委根据各供应商的具体响应内容进行进一步评审：</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服务目标、工作目标清晰明确，整体检测技术流程及解决方案完整清晰，措施完善可行的评价为优，加5分；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zh-CN" w:eastAsia="zh-CN" w:bidi="ar"/>
              </w:rPr>
              <w:t>服务目标、工作目标较清晰明确，整体检测技术流程及解决方案较完整清晰，措施较完善可行的评价为良，加3分；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bidi="ar"/>
              </w:rPr>
            </w:pPr>
            <w:r>
              <w:rPr>
                <w:rFonts w:hint="eastAsia"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zh-CN" w:eastAsia="zh-CN" w:bidi="ar"/>
              </w:rPr>
              <w:t>服务目标、工作目标一般清晰明确，整体检测技术流程及解决方案一般完整清晰，措施一般完善可行的评价为中，加1分；</w:t>
            </w:r>
          </w:p>
          <w:p>
            <w:pPr>
              <w:pStyle w:val="16"/>
              <w:keepNext w:val="0"/>
              <w:keepLines w:val="0"/>
              <w:suppressLineNumbers w:val="0"/>
              <w:spacing w:before="0" w:beforeAutospacing="0" w:after="0" w:afterAutospacing="0" w:line="240" w:lineRule="auto"/>
              <w:ind w:left="0" w:leftChars="0" w:right="0" w:rightChars="0"/>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zh-CN" w:eastAsia="zh-CN" w:bidi="ar"/>
              </w:rPr>
              <w:t>服务目标、工作目标不清晰明确，整体检测技术流程及解决方案不完整清晰，措施不完善可行的评价为差，不加分。评价为“差”的，评委需说明情况。</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107"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auto"/>
                <w:kern w:val="2"/>
                <w:sz w:val="24"/>
                <w:szCs w:val="24"/>
                <w:highlight w:val="none"/>
                <w:lang w:val="en-US" w:eastAsia="zh-CN" w:bidi="ar"/>
              </w:rPr>
            </w:pPr>
            <w:r>
              <w:rPr>
                <w:rFonts w:hint="default" w:ascii="宋体" w:hAnsi="宋体" w:eastAsia="宋体" w:cs="宋体"/>
                <w:color w:val="auto"/>
                <w:kern w:val="2"/>
                <w:sz w:val="24"/>
                <w:szCs w:val="24"/>
                <w:highlight w:val="none"/>
                <w:lang w:val="zh-CN" w:eastAsia="zh-CN" w:bidi="ar"/>
              </w:rPr>
              <w:t>质量（完成时间、安全）保障措施及方案</w:t>
            </w:r>
          </w:p>
        </w:tc>
        <w:tc>
          <w:tcPr>
            <w:tcW w:w="4968" w:type="dxa"/>
            <w:shd w:val="clear" w:color="auto" w:fill="auto"/>
            <w:noWrap w:val="0"/>
            <w:vAlign w:val="top"/>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（一）评分内容：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质量、安全保障措施；</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zh-CN" w:eastAsia="zh-CN" w:bidi="ar"/>
              </w:rPr>
              <w:t>工期保障能力；</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zh-CN" w:eastAsia="zh-CN" w:bidi="ar"/>
              </w:rPr>
              <w:t>其他保障措施。</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（二）评分标准：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满足以上三点得3分，满足任意两点得2分；满足任意一点得1分；不满足不得分。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在此基础上，评委根据各供应商的具体响应内容进行进一步评审：</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保障措施完整，工期保障能力强的评价为优，加2分；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zh-CN" w:eastAsia="zh-CN" w:bidi="ar"/>
              </w:rPr>
              <w:t>保障措施较完整，工期保障能力较强的评价为良，加1.5分；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zh-CN" w:eastAsia="zh-CN" w:bidi="ar"/>
              </w:rPr>
              <w:t>保障措施一般完整，工期保障能力一般的评价为中，加1分；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zh-CN" w:eastAsia="zh-CN" w:bidi="ar"/>
              </w:rPr>
              <w:t>保障措施不完整，工期保障能力差的评价为差，不加分；评价为“差”的，评委需说明情况。</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107"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en-US" w:eastAsia="zh-CN" w:bidi="ar"/>
              </w:rPr>
            </w:pPr>
            <w:r>
              <w:rPr>
                <w:rFonts w:hint="default" w:ascii="宋体" w:hAnsi="宋体" w:eastAsia="宋体" w:cs="宋体"/>
                <w:color w:val="auto"/>
                <w:kern w:val="2"/>
                <w:sz w:val="24"/>
                <w:szCs w:val="24"/>
                <w:highlight w:val="none"/>
                <w:lang w:val="zh-CN" w:eastAsia="zh-CN" w:bidi="ar"/>
              </w:rPr>
              <w:t>服务应急预案</w:t>
            </w:r>
          </w:p>
        </w:tc>
        <w:tc>
          <w:tcPr>
            <w:tcW w:w="4968" w:type="dxa"/>
            <w:shd w:val="clear" w:color="auto" w:fill="auto"/>
            <w:noWrap w:val="0"/>
            <w:vAlign w:val="center"/>
          </w:tcPr>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（一）评分内容：</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针对突发事件的处理措施；</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zh-CN" w:eastAsia="zh-CN" w:bidi="ar"/>
              </w:rPr>
              <w:t>应急预案及措施。</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（二）评分标准：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满足以上两点得3分；满足任意一点得1.5分；不满足不得分。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在此基础上，评委根据各供应商的具体响应内容进行进一步评审：</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zh-CN" w:eastAsia="zh-CN" w:bidi="ar"/>
              </w:rPr>
              <w:t>理解到位、分析准确的评价为优，加2分。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zh-CN" w:eastAsia="zh-CN" w:bidi="ar"/>
              </w:rPr>
              <w:t>理解较好、分析较好的评价为良，加1.5分。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zh-CN" w:eastAsia="zh-CN" w:bidi="ar"/>
              </w:rPr>
              <w:t>理解一般、分析一般的评价为中，加1分。</w:t>
            </w:r>
          </w:p>
          <w:p>
            <w:pPr>
              <w:pStyle w:val="16"/>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lang w:val="zh-CN" w:eastAsia="zh-CN" w:bidi="ar"/>
              </w:rPr>
            </w:pPr>
            <w:r>
              <w:rPr>
                <w:rFonts w:hint="eastAsia" w:cs="宋体"/>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zh-CN" w:eastAsia="zh-CN" w:bidi="ar"/>
              </w:rPr>
              <w:t>理解差、分析差的评价为差，不加分；评价为“差”的，评委需说明情况。</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三、商务部分（</w:t>
            </w:r>
            <w:r>
              <w:rPr>
                <w:rFonts w:hint="eastAsia" w:ascii="宋体" w:hAnsi="宋体" w:cs="宋体"/>
                <w:b/>
                <w:color w:val="auto"/>
                <w:sz w:val="24"/>
                <w:highlight w:val="none"/>
                <w:lang w:val="en-US" w:eastAsia="zh-CN"/>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rPr>
              <w:t>1</w:t>
            </w:r>
          </w:p>
        </w:tc>
        <w:tc>
          <w:tcPr>
            <w:tcW w:w="2107" w:type="dxa"/>
            <w:noWrap w:val="0"/>
            <w:vAlign w:val="center"/>
          </w:tcPr>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投标人同类项目经验情况</w:t>
            </w:r>
          </w:p>
        </w:tc>
        <w:tc>
          <w:tcPr>
            <w:tcW w:w="4968" w:type="dxa"/>
            <w:noWrap w:val="0"/>
            <w:vAlign w:val="top"/>
          </w:tcPr>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（一）评分内容：</w:t>
            </w:r>
            <w:r>
              <w:rPr>
                <w:rFonts w:hint="eastAsia" w:cs="宋体"/>
                <w:color w:val="auto"/>
                <w:kern w:val="2"/>
                <w:highlight w:val="none"/>
                <w:lang w:val="en-US" w:eastAsia="zh-CN" w:bidi="ar"/>
              </w:rPr>
              <w:t>自2015年1月1日</w:t>
            </w:r>
            <w:r>
              <w:rPr>
                <w:rFonts w:hint="default" w:ascii="宋体" w:hAnsi="宋体" w:eastAsia="宋体" w:cs="宋体"/>
                <w:color w:val="auto"/>
                <w:kern w:val="2"/>
                <w:highlight w:val="none"/>
                <w:lang w:val="zh-CN" w:bidi="ar"/>
              </w:rPr>
              <w:t>至本项目投标截止时间之日（以合同签订日期为准）：</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具备国内外城市或地区产业规划</w:t>
            </w:r>
            <w:r>
              <w:rPr>
                <w:rFonts w:hint="eastAsia" w:cs="宋体"/>
                <w:color w:val="auto"/>
                <w:kern w:val="2"/>
                <w:highlight w:val="none"/>
                <w:lang w:val="zh-CN" w:bidi="ar"/>
              </w:rPr>
              <w:t>研究</w:t>
            </w:r>
            <w:r>
              <w:rPr>
                <w:rFonts w:hint="default" w:ascii="宋体" w:hAnsi="宋体" w:eastAsia="宋体" w:cs="宋体"/>
                <w:color w:val="auto"/>
                <w:kern w:val="2"/>
                <w:highlight w:val="none"/>
                <w:lang w:val="zh-CN" w:bidi="ar"/>
              </w:rPr>
              <w:t>或产业政策研究相关业绩的得7分，每多一项加2分，累计上限得15分</w:t>
            </w:r>
            <w:r>
              <w:rPr>
                <w:rFonts w:hint="eastAsia" w:ascii="宋体" w:hAnsi="宋体" w:eastAsia="宋体" w:cs="宋体"/>
                <w:color w:val="auto"/>
                <w:kern w:val="2"/>
                <w:highlight w:val="none"/>
                <w:lang w:val="zh-CN" w:bidi="ar"/>
              </w:rPr>
              <w:t>。</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（二）评分依据：提供合同关键页（包括但不限于合同封面、合作内容、合同金额、签订时间、双方盖章页等）</w:t>
            </w:r>
            <w:r>
              <w:rPr>
                <w:rFonts w:hint="eastAsia" w:cs="宋体"/>
                <w:color w:val="auto"/>
                <w:kern w:val="2"/>
                <w:highlight w:val="none"/>
                <w:lang w:val="en-US" w:eastAsia="zh-CN" w:bidi="ar"/>
              </w:rPr>
              <w:t>复印件或</w:t>
            </w:r>
            <w:r>
              <w:rPr>
                <w:rFonts w:hint="default" w:ascii="宋体" w:hAnsi="宋体" w:eastAsia="宋体" w:cs="宋体"/>
                <w:color w:val="auto"/>
                <w:kern w:val="2"/>
                <w:highlight w:val="none"/>
                <w:lang w:val="zh-CN" w:bidi="ar"/>
              </w:rPr>
              <w:t>扫描件加盖公章，未按照要求提供或提供不清晰导致专家无法判断的不得分，原件备查。</w:t>
            </w:r>
          </w:p>
        </w:tc>
        <w:tc>
          <w:tcPr>
            <w:tcW w:w="860" w:type="dxa"/>
            <w:noWrap w:val="0"/>
            <w:vAlign w:val="center"/>
          </w:tcPr>
          <w:p>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15</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rPr>
              <w:t>2</w:t>
            </w:r>
          </w:p>
        </w:tc>
        <w:tc>
          <w:tcPr>
            <w:tcW w:w="2107" w:type="dxa"/>
            <w:noWrap w:val="0"/>
            <w:vAlign w:val="center"/>
          </w:tcPr>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拟派本项目负责人（1人）</w:t>
            </w:r>
          </w:p>
        </w:tc>
        <w:tc>
          <w:tcPr>
            <w:tcW w:w="4968" w:type="dxa"/>
            <w:noWrap w:val="0"/>
            <w:vAlign w:val="top"/>
          </w:tcPr>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（一）评分内容</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投标单位拟投入一名项目负责人，需为投标人自有员工，否则本项不得分</w:t>
            </w:r>
            <w:r>
              <w:rPr>
                <w:rFonts w:hint="eastAsia" w:cs="宋体"/>
                <w:color w:val="auto"/>
                <w:kern w:val="2"/>
                <w:highlight w:val="none"/>
                <w:lang w:val="zh-CN" w:bidi="ar"/>
              </w:rPr>
              <w:t>，</w:t>
            </w:r>
            <w:r>
              <w:rPr>
                <w:rFonts w:hint="eastAsia" w:cs="宋体"/>
                <w:color w:val="auto"/>
                <w:kern w:val="2"/>
                <w:highlight w:val="none"/>
                <w:lang w:val="en-US" w:eastAsia="zh-CN" w:bidi="ar"/>
              </w:rPr>
              <w:t>在此基础上</w:t>
            </w:r>
            <w:r>
              <w:rPr>
                <w:rFonts w:hint="default" w:ascii="宋体" w:hAnsi="宋体" w:eastAsia="宋体" w:cs="宋体"/>
                <w:color w:val="auto"/>
                <w:kern w:val="2"/>
                <w:highlight w:val="none"/>
                <w:lang w:val="zh-CN" w:bidi="ar"/>
              </w:rPr>
              <w:t>：</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en-US" w:eastAsia="zh-CN" w:bidi="ar"/>
              </w:rPr>
            </w:pPr>
            <w:r>
              <w:rPr>
                <w:rFonts w:hint="default" w:ascii="宋体" w:hAnsi="宋体" w:eastAsia="宋体" w:cs="宋体"/>
                <w:color w:val="auto"/>
                <w:kern w:val="2"/>
                <w:highlight w:val="none"/>
                <w:lang w:val="zh-CN" w:bidi="ar"/>
              </w:rPr>
              <w:t>1.学历：具备经管类相关专业的硕士研究生或以上学历的，得</w:t>
            </w:r>
            <w:r>
              <w:rPr>
                <w:rFonts w:hint="eastAsia" w:cs="宋体"/>
                <w:color w:val="auto"/>
                <w:kern w:val="2"/>
                <w:highlight w:val="none"/>
                <w:lang w:val="en-US" w:eastAsia="zh-CN" w:bidi="ar"/>
              </w:rPr>
              <w:t>4</w:t>
            </w:r>
            <w:r>
              <w:rPr>
                <w:rFonts w:hint="default" w:ascii="宋体" w:hAnsi="宋体" w:eastAsia="宋体" w:cs="宋体"/>
                <w:color w:val="auto"/>
                <w:kern w:val="2"/>
                <w:highlight w:val="none"/>
                <w:lang w:val="zh-CN" w:bidi="ar"/>
              </w:rPr>
              <w:t>分；具备经管类相关专业本科学历的，得</w:t>
            </w:r>
            <w:r>
              <w:rPr>
                <w:rFonts w:hint="eastAsia" w:cs="宋体"/>
                <w:color w:val="auto"/>
                <w:kern w:val="2"/>
                <w:highlight w:val="none"/>
                <w:lang w:val="en-US" w:eastAsia="zh-CN" w:bidi="ar"/>
              </w:rPr>
              <w:t>2</w:t>
            </w:r>
            <w:r>
              <w:rPr>
                <w:rFonts w:hint="default" w:ascii="宋体" w:hAnsi="宋体" w:eastAsia="宋体" w:cs="宋体"/>
                <w:color w:val="auto"/>
                <w:kern w:val="2"/>
                <w:highlight w:val="none"/>
                <w:lang w:val="zh-CN" w:bidi="ar"/>
              </w:rPr>
              <w:t>分。</w:t>
            </w:r>
            <w:r>
              <w:rPr>
                <w:rFonts w:hint="eastAsia" w:cs="宋体"/>
                <w:color w:val="auto"/>
                <w:kern w:val="2"/>
                <w:highlight w:val="none"/>
                <w:lang w:val="en-US" w:eastAsia="zh-CN" w:bidi="ar"/>
              </w:rPr>
              <w:t>本项最高得4分。</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en-US" w:eastAsia="zh-CN" w:bidi="ar"/>
              </w:rPr>
            </w:pPr>
            <w:r>
              <w:rPr>
                <w:rFonts w:hint="eastAsia" w:cs="宋体"/>
                <w:color w:val="auto"/>
                <w:kern w:val="2"/>
                <w:highlight w:val="none"/>
                <w:lang w:val="en-US" w:eastAsia="zh-CN" w:bidi="ar"/>
              </w:rPr>
              <w:t>2.职称：具备经济类副高级或以上职称的，得4分；具备经济类中级职称的，得2分。本项最高得4分。</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en-US" w:eastAsia="zh-CN" w:bidi="ar"/>
              </w:rPr>
            </w:pPr>
            <w:r>
              <w:rPr>
                <w:rFonts w:hint="eastAsia" w:cs="宋体"/>
                <w:color w:val="auto"/>
                <w:kern w:val="2"/>
                <w:highlight w:val="none"/>
                <w:lang w:val="en-US" w:eastAsia="zh-CN" w:bidi="ar"/>
              </w:rPr>
              <w:t>3</w:t>
            </w:r>
            <w:r>
              <w:rPr>
                <w:rFonts w:hint="default" w:ascii="宋体" w:hAnsi="宋体" w:eastAsia="宋体" w:cs="宋体"/>
                <w:color w:val="auto"/>
                <w:kern w:val="2"/>
                <w:highlight w:val="none"/>
                <w:lang w:val="zh-CN" w:bidi="ar"/>
              </w:rPr>
              <w:t>.项目经验：</w:t>
            </w:r>
            <w:r>
              <w:rPr>
                <w:rFonts w:hint="eastAsia" w:cs="宋体"/>
                <w:color w:val="auto"/>
                <w:kern w:val="2"/>
                <w:highlight w:val="none"/>
                <w:lang w:val="en-US" w:eastAsia="zh-CN" w:bidi="ar"/>
              </w:rPr>
              <w:t>自2020年1月1日</w:t>
            </w:r>
            <w:r>
              <w:rPr>
                <w:rFonts w:hint="default" w:ascii="宋体" w:hAnsi="宋体" w:eastAsia="宋体" w:cs="宋体"/>
                <w:color w:val="auto"/>
                <w:kern w:val="2"/>
                <w:highlight w:val="none"/>
                <w:lang w:val="zh-CN" w:bidi="ar"/>
              </w:rPr>
              <w:t>至本项目投标截止时间之日</w:t>
            </w:r>
            <w:r>
              <w:rPr>
                <w:rFonts w:hint="eastAsia" w:cs="宋体"/>
                <w:color w:val="auto"/>
                <w:kern w:val="2"/>
                <w:highlight w:val="none"/>
                <w:lang w:val="zh-CN" w:bidi="ar"/>
              </w:rPr>
              <w:t>（</w:t>
            </w:r>
            <w:r>
              <w:rPr>
                <w:rFonts w:hint="eastAsia" w:cs="宋体"/>
                <w:color w:val="auto"/>
                <w:kern w:val="2"/>
                <w:highlight w:val="none"/>
                <w:lang w:val="en-US" w:eastAsia="zh-CN" w:bidi="ar"/>
              </w:rPr>
              <w:t>以合同签订时间为准</w:t>
            </w:r>
            <w:r>
              <w:rPr>
                <w:rFonts w:hint="eastAsia" w:cs="宋体"/>
                <w:color w:val="auto"/>
                <w:kern w:val="2"/>
                <w:highlight w:val="none"/>
                <w:lang w:val="zh-CN" w:bidi="ar"/>
              </w:rPr>
              <w:t>）</w:t>
            </w:r>
            <w:r>
              <w:rPr>
                <w:rFonts w:hint="default" w:ascii="宋体" w:hAnsi="宋体" w:eastAsia="宋体" w:cs="宋体"/>
                <w:color w:val="auto"/>
                <w:kern w:val="2"/>
                <w:highlight w:val="none"/>
                <w:lang w:val="zh-CN" w:bidi="ar"/>
              </w:rPr>
              <w:t>，项目负责人曾主持或参与过国内外城市或地区产业规划、产业政策研究类项目经验，项目数量≥</w:t>
            </w:r>
            <w:r>
              <w:rPr>
                <w:rFonts w:hint="eastAsia" w:cs="宋体"/>
                <w:color w:val="auto"/>
                <w:kern w:val="2"/>
                <w:highlight w:val="none"/>
                <w:lang w:val="en-US" w:eastAsia="zh-CN" w:bidi="ar"/>
              </w:rPr>
              <w:t>3</w:t>
            </w:r>
            <w:r>
              <w:rPr>
                <w:rFonts w:hint="default" w:ascii="宋体" w:hAnsi="宋体" w:eastAsia="宋体" w:cs="宋体"/>
                <w:color w:val="auto"/>
                <w:kern w:val="2"/>
                <w:highlight w:val="none"/>
                <w:lang w:val="zh-CN" w:bidi="ar"/>
              </w:rPr>
              <w:t>个得</w:t>
            </w:r>
            <w:r>
              <w:rPr>
                <w:rFonts w:hint="eastAsia" w:cs="宋体"/>
                <w:color w:val="auto"/>
                <w:kern w:val="2"/>
                <w:highlight w:val="none"/>
                <w:lang w:val="en-US" w:eastAsia="zh-CN" w:bidi="ar"/>
              </w:rPr>
              <w:t>7</w:t>
            </w:r>
            <w:r>
              <w:rPr>
                <w:rFonts w:hint="default" w:ascii="宋体" w:hAnsi="宋体" w:eastAsia="宋体" w:cs="宋体"/>
                <w:color w:val="auto"/>
                <w:kern w:val="2"/>
                <w:highlight w:val="none"/>
                <w:lang w:val="zh-CN" w:bidi="ar"/>
              </w:rPr>
              <w:t>分；</w:t>
            </w:r>
            <w:r>
              <w:rPr>
                <w:rFonts w:hint="eastAsia" w:cs="宋体"/>
                <w:color w:val="auto"/>
                <w:kern w:val="2"/>
                <w:highlight w:val="none"/>
                <w:lang w:val="en-US" w:eastAsia="zh-CN" w:bidi="ar"/>
              </w:rPr>
              <w:t>3</w:t>
            </w:r>
            <w:r>
              <w:rPr>
                <w:rFonts w:hint="default" w:ascii="宋体" w:hAnsi="宋体" w:eastAsia="宋体" w:cs="宋体"/>
                <w:color w:val="auto"/>
                <w:kern w:val="2"/>
                <w:highlight w:val="none"/>
                <w:lang w:val="zh-CN" w:bidi="ar"/>
              </w:rPr>
              <w:t>个&gt;项目数量≥</w:t>
            </w:r>
            <w:r>
              <w:rPr>
                <w:rFonts w:hint="eastAsia" w:cs="宋体"/>
                <w:color w:val="auto"/>
                <w:kern w:val="2"/>
                <w:highlight w:val="none"/>
                <w:lang w:val="en-US" w:eastAsia="zh-CN" w:bidi="ar"/>
              </w:rPr>
              <w:t>2</w:t>
            </w:r>
            <w:r>
              <w:rPr>
                <w:rFonts w:hint="default" w:ascii="宋体" w:hAnsi="宋体" w:eastAsia="宋体" w:cs="宋体"/>
                <w:color w:val="auto"/>
                <w:kern w:val="2"/>
                <w:highlight w:val="none"/>
                <w:lang w:val="zh-CN" w:bidi="ar"/>
              </w:rPr>
              <w:t>个得</w:t>
            </w:r>
            <w:r>
              <w:rPr>
                <w:rFonts w:hint="eastAsia" w:cs="宋体"/>
                <w:color w:val="auto"/>
                <w:kern w:val="2"/>
                <w:highlight w:val="none"/>
                <w:lang w:val="en-US" w:eastAsia="zh-CN" w:bidi="ar"/>
              </w:rPr>
              <w:t>4</w:t>
            </w:r>
            <w:r>
              <w:rPr>
                <w:rFonts w:hint="default" w:ascii="宋体" w:hAnsi="宋体" w:eastAsia="宋体" w:cs="宋体"/>
                <w:color w:val="auto"/>
                <w:kern w:val="2"/>
                <w:highlight w:val="none"/>
                <w:lang w:val="zh-CN" w:bidi="ar"/>
              </w:rPr>
              <w:t>分；</w:t>
            </w:r>
            <w:r>
              <w:rPr>
                <w:rFonts w:hint="eastAsia" w:cs="宋体"/>
                <w:color w:val="auto"/>
                <w:kern w:val="2"/>
                <w:highlight w:val="none"/>
                <w:lang w:val="en-US" w:eastAsia="zh-CN" w:bidi="ar"/>
              </w:rPr>
              <w:t>2</w:t>
            </w:r>
            <w:r>
              <w:rPr>
                <w:rFonts w:hint="default" w:ascii="宋体" w:hAnsi="宋体" w:eastAsia="宋体" w:cs="宋体"/>
                <w:color w:val="auto"/>
                <w:kern w:val="2"/>
                <w:highlight w:val="none"/>
                <w:lang w:val="zh-CN" w:bidi="ar"/>
              </w:rPr>
              <w:t>个&gt;项目数量≥1个；得2分。</w:t>
            </w:r>
            <w:r>
              <w:rPr>
                <w:rFonts w:hint="eastAsia" w:cs="宋体"/>
                <w:color w:val="auto"/>
                <w:kern w:val="2"/>
                <w:highlight w:val="none"/>
                <w:lang w:val="en-US" w:eastAsia="zh-CN" w:bidi="ar"/>
              </w:rPr>
              <w:t>同一项目续签合同按一个项目计取。</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（二）证明材料：提供项目负责人近三个月任意一个月投标单位缴纳社保证明（不含退休返聘人员），如供应商为新成立单位且成立时间不足一个月的，可提供情况说明</w:t>
            </w:r>
            <w:r>
              <w:rPr>
                <w:rFonts w:hint="eastAsia" w:ascii="宋体" w:hAnsi="宋体" w:eastAsia="宋体" w:cs="宋体"/>
                <w:color w:val="auto"/>
                <w:kern w:val="2"/>
                <w:highlight w:val="none"/>
                <w:lang w:val="zh-CN" w:bidi="ar"/>
              </w:rPr>
              <w:t>的</w:t>
            </w:r>
            <w:r>
              <w:rPr>
                <w:rFonts w:hint="default" w:ascii="宋体" w:hAnsi="宋体" w:eastAsia="宋体" w:cs="宋体"/>
                <w:color w:val="auto"/>
                <w:kern w:val="2"/>
                <w:highlight w:val="none"/>
                <w:lang w:val="zh-CN" w:bidi="ar"/>
              </w:rPr>
              <w:t>亦视为符合、学历证</w:t>
            </w:r>
            <w:r>
              <w:rPr>
                <w:rFonts w:hint="eastAsia" w:cs="宋体"/>
                <w:color w:val="auto"/>
                <w:kern w:val="2"/>
                <w:highlight w:val="none"/>
                <w:lang w:val="en-US" w:eastAsia="zh-CN" w:bidi="ar"/>
              </w:rPr>
              <w:t>明</w:t>
            </w:r>
            <w:r>
              <w:rPr>
                <w:rFonts w:hint="default" w:ascii="宋体" w:hAnsi="宋体" w:eastAsia="宋体" w:cs="宋体"/>
                <w:color w:val="auto"/>
                <w:kern w:val="2"/>
                <w:highlight w:val="none"/>
                <w:lang w:val="zh-CN" w:bidi="ar"/>
              </w:rPr>
              <w:t>（提供毕业证书复印件</w:t>
            </w:r>
            <w:r>
              <w:rPr>
                <w:rFonts w:hint="eastAsia" w:cs="宋体"/>
                <w:color w:val="auto"/>
                <w:kern w:val="2"/>
                <w:highlight w:val="none"/>
                <w:lang w:val="en-US" w:eastAsia="zh-CN" w:bidi="ar"/>
              </w:rPr>
              <w:t>或扫描件</w:t>
            </w:r>
            <w:r>
              <w:rPr>
                <w:rFonts w:hint="eastAsia" w:cs="宋体"/>
                <w:color w:val="auto"/>
                <w:kern w:val="2"/>
                <w:highlight w:val="none"/>
                <w:lang w:val="zh-CN" w:bidi="ar"/>
              </w:rPr>
              <w:t>）</w:t>
            </w:r>
            <w:r>
              <w:rPr>
                <w:rFonts w:hint="default" w:ascii="宋体" w:hAnsi="宋体" w:eastAsia="宋体" w:cs="宋体"/>
                <w:color w:val="auto"/>
                <w:kern w:val="2"/>
                <w:highlight w:val="none"/>
                <w:lang w:val="zh-CN" w:bidi="ar"/>
              </w:rPr>
              <w:t>以及学信网查询记录</w:t>
            </w:r>
            <w:r>
              <w:rPr>
                <w:rFonts w:hint="eastAsia" w:cs="宋体"/>
                <w:color w:val="auto"/>
                <w:kern w:val="2"/>
                <w:highlight w:val="none"/>
                <w:lang w:val="zh-CN" w:bidi="ar"/>
              </w:rPr>
              <w:t>（</w:t>
            </w:r>
            <w:r>
              <w:rPr>
                <w:rFonts w:hint="default" w:ascii="宋体" w:hAnsi="宋体" w:eastAsia="宋体" w:cs="宋体"/>
                <w:color w:val="auto"/>
                <w:kern w:val="2"/>
                <w:highlight w:val="none"/>
                <w:lang w:val="zh-CN" w:bidi="ar"/>
              </w:rPr>
              <w:t>学信网无法查询的，提供毕业院校或者人社部门等颁发机构或者监管机构等单位出具的证明，若为境外留学学历，无需提供学信网查询记录，需提供教育部留学服务中心出具的学历学位认证书）、职称证书（提供证书复印件</w:t>
            </w:r>
            <w:r>
              <w:rPr>
                <w:rFonts w:hint="eastAsia" w:cs="宋体"/>
                <w:color w:val="auto"/>
                <w:kern w:val="2"/>
                <w:highlight w:val="none"/>
                <w:lang w:val="en-US" w:eastAsia="zh-CN" w:bidi="ar"/>
              </w:rPr>
              <w:t>或扫描件</w:t>
            </w:r>
            <w:r>
              <w:rPr>
                <w:rFonts w:hint="default" w:ascii="宋体" w:hAnsi="宋体" w:eastAsia="宋体" w:cs="宋体"/>
                <w:color w:val="auto"/>
                <w:kern w:val="2"/>
                <w:highlight w:val="none"/>
                <w:lang w:val="zh-CN" w:bidi="ar"/>
              </w:rPr>
              <w:t>）</w:t>
            </w:r>
            <w:r>
              <w:rPr>
                <w:rFonts w:hint="eastAsia" w:cs="宋体"/>
                <w:color w:val="auto"/>
                <w:kern w:val="2"/>
                <w:highlight w:val="none"/>
                <w:lang w:val="zh-CN" w:bidi="ar"/>
              </w:rPr>
              <w:t>、</w:t>
            </w:r>
            <w:r>
              <w:rPr>
                <w:rFonts w:hint="default" w:ascii="宋体" w:hAnsi="宋体" w:eastAsia="宋体" w:cs="宋体"/>
                <w:color w:val="auto"/>
                <w:kern w:val="2"/>
                <w:highlight w:val="none"/>
                <w:lang w:val="zh-CN" w:bidi="ar"/>
              </w:rPr>
              <w:t>项目经验证明材料（需提供能体现其相关经验的项目合同关键页，包括但不限于合同封面、合作内容、签订时间、双方盖章页等，需体现人员名称，如合同无法体现人员名称，须同时提供具有合同采购人盖章出具的证明复印件，原件备查。未提供或无法分辨的不得分），以上资料出具</w:t>
            </w:r>
            <w:r>
              <w:rPr>
                <w:rFonts w:hint="eastAsia" w:cs="宋体"/>
                <w:color w:val="auto"/>
                <w:kern w:val="2"/>
                <w:highlight w:val="none"/>
                <w:lang w:val="en-US" w:eastAsia="zh-CN" w:bidi="ar"/>
              </w:rPr>
              <w:t>复印件或</w:t>
            </w:r>
            <w:r>
              <w:rPr>
                <w:rFonts w:hint="default" w:ascii="宋体" w:hAnsi="宋体" w:eastAsia="宋体" w:cs="宋体"/>
                <w:color w:val="auto"/>
                <w:kern w:val="2"/>
                <w:highlight w:val="none"/>
                <w:lang w:val="zh-CN" w:bidi="ar"/>
              </w:rPr>
              <w:t>扫描件加盖公章，原件备查，未按照要求提供或提供不清晰导致专家无法判断的不得分。</w:t>
            </w:r>
          </w:p>
        </w:tc>
        <w:tc>
          <w:tcPr>
            <w:tcW w:w="860" w:type="dxa"/>
            <w:noWrap w:val="0"/>
            <w:vAlign w:val="center"/>
          </w:tcPr>
          <w:p>
            <w:pPr>
              <w:keepNext w:val="0"/>
              <w:keepLines w:val="0"/>
              <w:suppressLineNumbers w:val="0"/>
              <w:wordWrap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szCs w:val="24"/>
                <w:highlight w:val="none"/>
                <w:lang w:val="en-US" w:eastAsia="zh-CN"/>
              </w:rPr>
              <w:t>15</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rPr>
              <w:t>3</w:t>
            </w:r>
          </w:p>
        </w:tc>
        <w:tc>
          <w:tcPr>
            <w:tcW w:w="2107" w:type="dxa"/>
            <w:noWrap w:val="0"/>
            <w:vAlign w:val="center"/>
          </w:tcPr>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项目团队人员情况（不含项目负责人）</w:t>
            </w:r>
          </w:p>
        </w:tc>
        <w:tc>
          <w:tcPr>
            <w:tcW w:w="4968" w:type="dxa"/>
            <w:noWrap w:val="0"/>
            <w:vAlign w:val="top"/>
          </w:tcPr>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（一）评分内容</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投标人安排项目团队人员须为投标人自有员工，人数不少于</w:t>
            </w:r>
            <w:r>
              <w:rPr>
                <w:rFonts w:hint="eastAsia" w:cs="宋体"/>
                <w:color w:val="auto"/>
                <w:kern w:val="2"/>
                <w:highlight w:val="none"/>
                <w:lang w:val="en-US" w:eastAsia="zh-CN" w:bidi="ar"/>
              </w:rPr>
              <w:t>3</w:t>
            </w:r>
            <w:r>
              <w:rPr>
                <w:rFonts w:hint="default" w:ascii="宋体" w:hAnsi="宋体" w:eastAsia="宋体" w:cs="宋体"/>
                <w:color w:val="auto"/>
                <w:kern w:val="2"/>
                <w:highlight w:val="none"/>
                <w:lang w:val="zh-CN" w:bidi="ar"/>
              </w:rPr>
              <w:t>人（</w:t>
            </w:r>
            <w:r>
              <w:rPr>
                <w:rFonts w:hint="eastAsia" w:cs="宋体"/>
                <w:color w:val="auto"/>
                <w:kern w:val="2"/>
                <w:highlight w:val="none"/>
                <w:lang w:val="zh-CN" w:bidi="ar"/>
              </w:rPr>
              <w:t>不</w:t>
            </w:r>
            <w:r>
              <w:rPr>
                <w:rFonts w:hint="default" w:ascii="宋体" w:hAnsi="宋体" w:eastAsia="宋体" w:cs="宋体"/>
                <w:color w:val="auto"/>
                <w:kern w:val="2"/>
                <w:highlight w:val="none"/>
                <w:lang w:val="zh-CN" w:bidi="ar"/>
              </w:rPr>
              <w:t>含项目负责人），否则不得分</w:t>
            </w:r>
            <w:r>
              <w:rPr>
                <w:rFonts w:hint="eastAsia" w:cs="宋体"/>
                <w:color w:val="auto"/>
                <w:kern w:val="2"/>
                <w:highlight w:val="none"/>
                <w:lang w:val="zh-CN" w:bidi="ar"/>
              </w:rPr>
              <w:t>，</w:t>
            </w:r>
            <w:r>
              <w:rPr>
                <w:rFonts w:hint="eastAsia" w:cs="宋体"/>
                <w:color w:val="auto"/>
                <w:kern w:val="2"/>
                <w:highlight w:val="none"/>
                <w:lang w:val="en-US" w:eastAsia="zh-CN" w:bidi="ar"/>
              </w:rPr>
              <w:t>在此基础上</w:t>
            </w:r>
            <w:r>
              <w:rPr>
                <w:rFonts w:hint="default" w:ascii="宋体" w:hAnsi="宋体" w:eastAsia="宋体" w:cs="宋体"/>
                <w:color w:val="auto"/>
                <w:kern w:val="2"/>
                <w:highlight w:val="none"/>
                <w:lang w:val="zh-CN" w:bidi="ar"/>
              </w:rPr>
              <w:t>：</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1.学历：项目成员具备经管类相关专业硕士研究生或以上学历的，每提供一人得1分；具备经管类相关专业本科学历的，每提供一人得0.5分；最高不超过5分；</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en-US" w:eastAsia="zh-CN" w:bidi="ar"/>
              </w:rPr>
            </w:pPr>
            <w:r>
              <w:rPr>
                <w:rFonts w:hint="default" w:ascii="宋体" w:hAnsi="宋体" w:eastAsia="宋体" w:cs="宋体"/>
                <w:color w:val="auto"/>
                <w:kern w:val="2"/>
                <w:highlight w:val="none"/>
                <w:lang w:val="zh-CN" w:bidi="ar"/>
              </w:rPr>
              <w:t>2.项目经验：项目团队每有1名参与国内外城市或地区产业规划、产业政策研究类项目经验的得2分。本小项最高得10分。</w:t>
            </w:r>
            <w:r>
              <w:rPr>
                <w:rFonts w:hint="eastAsia" w:cs="宋体"/>
                <w:color w:val="auto"/>
                <w:kern w:val="2"/>
                <w:highlight w:val="none"/>
                <w:lang w:val="en-US" w:eastAsia="zh-CN" w:bidi="ar"/>
              </w:rPr>
              <w:t>同一项目多人参与可重复计分。</w:t>
            </w:r>
          </w:p>
          <w:p>
            <w:pPr>
              <w:pStyle w:val="16"/>
              <w:keepNext w:val="0"/>
              <w:keepLines w:val="0"/>
              <w:suppressLineNumbers w:val="0"/>
              <w:spacing w:before="0" w:beforeAutospacing="0" w:after="0" w:afterAutospacing="0" w:line="240" w:lineRule="auto"/>
              <w:ind w:left="0" w:right="0"/>
              <w:rPr>
                <w:rFonts w:hint="default"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同一人员满足以上两项条件可同时得分，以上按最优得分，合计最高15分。</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default" w:ascii="宋体" w:hAnsi="宋体" w:eastAsia="宋体" w:cs="宋体"/>
                <w:color w:val="auto"/>
                <w:kern w:val="2"/>
                <w:highlight w:val="none"/>
                <w:lang w:val="zh-CN" w:bidi="ar"/>
              </w:rPr>
              <w:t>（二）证明材料：提供项目负责人近三个月任意一个月投标单位缴纳社保证明（不含退休返聘人员），如供应商为新成立单位且成立时间不足一个月的，可提供情况说明</w:t>
            </w:r>
            <w:r>
              <w:rPr>
                <w:rFonts w:hint="eastAsia" w:ascii="宋体" w:hAnsi="宋体" w:eastAsia="宋体" w:cs="宋体"/>
                <w:color w:val="auto"/>
                <w:kern w:val="2"/>
                <w:highlight w:val="none"/>
                <w:lang w:val="zh-CN" w:bidi="ar"/>
              </w:rPr>
              <w:t>的</w:t>
            </w:r>
            <w:r>
              <w:rPr>
                <w:rFonts w:hint="default" w:ascii="宋体" w:hAnsi="宋体" w:eastAsia="宋体" w:cs="宋体"/>
                <w:color w:val="auto"/>
                <w:kern w:val="2"/>
                <w:highlight w:val="none"/>
                <w:lang w:val="zh-CN" w:bidi="ar"/>
              </w:rPr>
              <w:t>亦视为符合、学历证</w:t>
            </w:r>
            <w:r>
              <w:rPr>
                <w:rFonts w:hint="eastAsia" w:cs="宋体"/>
                <w:color w:val="auto"/>
                <w:kern w:val="2"/>
                <w:highlight w:val="none"/>
                <w:lang w:val="en-US" w:eastAsia="zh-CN" w:bidi="ar"/>
              </w:rPr>
              <w:t>明</w:t>
            </w:r>
            <w:r>
              <w:rPr>
                <w:rFonts w:hint="default" w:ascii="宋体" w:hAnsi="宋体" w:eastAsia="宋体" w:cs="宋体"/>
                <w:color w:val="auto"/>
                <w:kern w:val="2"/>
                <w:highlight w:val="none"/>
                <w:lang w:val="zh-CN" w:bidi="ar"/>
              </w:rPr>
              <w:t>（提供毕业证书复印件</w:t>
            </w:r>
            <w:r>
              <w:rPr>
                <w:rFonts w:hint="eastAsia" w:cs="宋体"/>
                <w:color w:val="auto"/>
                <w:kern w:val="2"/>
                <w:highlight w:val="none"/>
                <w:lang w:val="en-US" w:eastAsia="zh-CN" w:bidi="ar"/>
              </w:rPr>
              <w:t>或扫描件</w:t>
            </w:r>
            <w:r>
              <w:rPr>
                <w:rFonts w:hint="eastAsia" w:cs="宋体"/>
                <w:color w:val="auto"/>
                <w:kern w:val="2"/>
                <w:highlight w:val="none"/>
                <w:lang w:val="zh-CN" w:bidi="ar"/>
              </w:rPr>
              <w:t>）</w:t>
            </w:r>
            <w:r>
              <w:rPr>
                <w:rFonts w:hint="default" w:ascii="宋体" w:hAnsi="宋体" w:eastAsia="宋体" w:cs="宋体"/>
                <w:color w:val="auto"/>
                <w:kern w:val="2"/>
                <w:highlight w:val="none"/>
                <w:lang w:val="zh-CN" w:bidi="ar"/>
              </w:rPr>
              <w:t>以及学信网查询记录</w:t>
            </w:r>
            <w:r>
              <w:rPr>
                <w:rFonts w:hint="eastAsia" w:cs="宋体"/>
                <w:color w:val="auto"/>
                <w:kern w:val="2"/>
                <w:highlight w:val="none"/>
                <w:lang w:val="zh-CN" w:bidi="ar"/>
              </w:rPr>
              <w:t>（</w:t>
            </w:r>
            <w:r>
              <w:rPr>
                <w:rFonts w:hint="default" w:ascii="宋体" w:hAnsi="宋体" w:eastAsia="宋体" w:cs="宋体"/>
                <w:color w:val="auto"/>
                <w:kern w:val="2"/>
                <w:highlight w:val="none"/>
                <w:lang w:val="zh-CN" w:bidi="ar"/>
              </w:rPr>
              <w:t>学信网无法查询的，提供毕业院校或者人社部门等颁发机构或者监管机构等单位出具的证明，若为境外留学学历，无需提供学信网查询记录，需提供教育部留学服务中心出具的学历学位认证书）、项目经验证明材料（需提供能体现其相关经验的项目合同关键页，包括但不限于合同封面、合作内容、签订时间、双方盖章页等，需体现人员名称，如合同无法体现人员名称，须同时提供具有合同采购人盖章出具的证明复印件，原件备查。未提供或无法分辨的不得分），以上资料出具</w:t>
            </w:r>
            <w:r>
              <w:rPr>
                <w:rFonts w:hint="eastAsia" w:cs="宋体"/>
                <w:color w:val="auto"/>
                <w:kern w:val="2"/>
                <w:highlight w:val="none"/>
                <w:lang w:val="en-US" w:eastAsia="zh-CN" w:bidi="ar"/>
              </w:rPr>
              <w:t>复印件或</w:t>
            </w:r>
            <w:r>
              <w:rPr>
                <w:rFonts w:hint="default" w:ascii="宋体" w:hAnsi="宋体" w:eastAsia="宋体" w:cs="宋体"/>
                <w:color w:val="auto"/>
                <w:kern w:val="2"/>
                <w:highlight w:val="none"/>
                <w:lang w:val="zh-CN" w:bidi="ar"/>
              </w:rPr>
              <w:t>扫描件加盖公章，原件备查，未按照要求提供或提供不清晰导致专家无法判断的不得分。</w:t>
            </w:r>
          </w:p>
        </w:tc>
        <w:tc>
          <w:tcPr>
            <w:tcW w:w="860" w:type="dxa"/>
            <w:noWrap w:val="0"/>
            <w:vAlign w:val="center"/>
          </w:tcPr>
          <w:p>
            <w:pPr>
              <w:keepNext w:val="0"/>
              <w:keepLines w:val="0"/>
              <w:suppressLineNumbers w:val="0"/>
              <w:wordWrap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szCs w:val="24"/>
                <w:highlight w:val="none"/>
                <w:lang w:val="en-US" w:eastAsia="zh-CN"/>
              </w:rPr>
              <w:t>15</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highlight w:val="none"/>
                <w:lang w:val="zh-CN" w:eastAsia="zh-CN" w:bidi="ar"/>
              </w:rPr>
            </w:pPr>
            <w:r>
              <w:rPr>
                <w:rFonts w:hint="eastAsia" w:ascii="宋体" w:hAnsi="宋体" w:eastAsia="宋体" w:cs="宋体"/>
                <w:b/>
                <w:color w:val="auto"/>
                <w:kern w:val="2"/>
                <w:sz w:val="24"/>
                <w:highlight w:val="none"/>
                <w:lang w:val="zh-CN" w:bidi="ar"/>
              </w:rPr>
              <w:t>三、</w:t>
            </w:r>
            <w:r>
              <w:rPr>
                <w:rFonts w:hint="eastAsia" w:ascii="宋体" w:hAnsi="宋体" w:eastAsia="宋体" w:cs="宋体"/>
                <w:b/>
                <w:color w:val="auto"/>
                <w:kern w:val="2"/>
                <w:sz w:val="24"/>
                <w:highlight w:val="none"/>
                <w:lang w:val="zh-CN" w:eastAsia="zh-CN" w:bidi="ar"/>
              </w:rPr>
              <w:t>诚信情况</w:t>
            </w:r>
            <w:r>
              <w:rPr>
                <w:rFonts w:hint="eastAsia" w:ascii="宋体" w:hAnsi="宋体" w:eastAsia="宋体" w:cs="宋体"/>
                <w:b/>
                <w:color w:val="auto"/>
                <w:kern w:val="2"/>
                <w:sz w:val="24"/>
                <w:highlight w:val="none"/>
                <w:lang w:val="zh-CN" w:bidi="ar"/>
              </w:rPr>
              <w:t>（</w:t>
            </w:r>
            <w:r>
              <w:rPr>
                <w:rFonts w:hint="eastAsia" w:ascii="宋体" w:hAnsi="宋体" w:eastAsia="宋体" w:cs="宋体"/>
                <w:b/>
                <w:color w:val="auto"/>
                <w:kern w:val="2"/>
                <w:sz w:val="24"/>
                <w:highlight w:val="none"/>
                <w:lang w:val="zh-CN" w:eastAsia="zh-CN" w:bidi="ar"/>
              </w:rPr>
              <w:t>5</w:t>
            </w:r>
            <w:r>
              <w:rPr>
                <w:rFonts w:hint="eastAsia" w:ascii="宋体" w:hAnsi="宋体" w:eastAsia="宋体" w:cs="宋体"/>
                <w:b/>
                <w:color w:val="auto"/>
                <w:kern w:val="2"/>
                <w:sz w:val="24"/>
                <w:highlight w:val="none"/>
                <w:lang w:val="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rPr>
              <w:t>5</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sq" w:bidi="ar"/>
              </w:rPr>
              <w:t>企业诚信</w:t>
            </w:r>
          </w:p>
        </w:tc>
        <w:tc>
          <w:tcPr>
            <w:tcW w:w="4968" w:type="dxa"/>
            <w:shd w:val="clear" w:color="auto" w:fill="auto"/>
            <w:noWrap w:val="0"/>
            <w:vAlign w:val="center"/>
          </w:tcPr>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（一）评审内容：</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供应商存在《深圳市财政局政府采购供应商信用信息管理办法》（深财规〔2023〕3号）列明的一般行政处罚信息、一般违法失信记录信息的，本项不得分，不存在上述情形的本项得</w:t>
            </w:r>
            <w:r>
              <w:rPr>
                <w:rFonts w:hint="eastAsia" w:cs="宋体"/>
                <w:color w:val="auto"/>
                <w:kern w:val="2"/>
                <w:highlight w:val="none"/>
                <w:lang w:val="en-US" w:eastAsia="zh-CN" w:bidi="ar"/>
              </w:rPr>
              <w:t>5</w:t>
            </w:r>
            <w:r>
              <w:rPr>
                <w:rFonts w:hint="eastAsia" w:ascii="宋体" w:hAnsi="宋体" w:eastAsia="宋体" w:cs="宋体"/>
                <w:color w:val="auto"/>
                <w:kern w:val="2"/>
                <w:highlight w:val="none"/>
                <w:lang w:val="zh-CN" w:bidi="ar"/>
              </w:rPr>
              <w:t>分。供应商无需提供任何证明材料，评标过程中由工作人员向评审委员会提供有关供应商诚信查询结果。</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（二）评分标准：</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bidi="ar"/>
              </w:rPr>
            </w:pPr>
            <w:r>
              <w:rPr>
                <w:rFonts w:hint="eastAsia" w:ascii="宋体" w:hAnsi="宋体" w:eastAsia="宋体" w:cs="宋体"/>
                <w:color w:val="auto"/>
                <w:kern w:val="2"/>
                <w:highlight w:val="none"/>
                <w:lang w:val="zh-CN" w:bidi="ar"/>
              </w:rPr>
              <w:t>查询渠道：通过“信用中国”（www.creditchina.gov.cn，下载信用信息报告）、“中国政府采购网”（www.ccgp.gov.cn）以及“深圳市政府采购监管网”（http://zfcg.sz.gov.cn）查询供应商信用信息，信用信息以开标当日的查询结果为准。</w:t>
            </w:r>
          </w:p>
          <w:p>
            <w:pPr>
              <w:pStyle w:val="16"/>
              <w:keepNext w:val="0"/>
              <w:keepLines w:val="0"/>
              <w:suppressLineNumbers w:val="0"/>
              <w:spacing w:before="0" w:beforeAutospacing="0" w:after="0" w:afterAutospacing="0" w:line="240" w:lineRule="auto"/>
              <w:ind w:left="0" w:right="0"/>
              <w:rPr>
                <w:rFonts w:hint="eastAsia" w:ascii="宋体" w:hAnsi="宋体" w:eastAsia="宋体" w:cs="宋体"/>
                <w:color w:val="auto"/>
                <w:kern w:val="2"/>
                <w:highlight w:val="none"/>
                <w:lang w:val="zh-CN" w:eastAsia="zh-CN" w:bidi="ar"/>
              </w:rPr>
            </w:pPr>
            <w:r>
              <w:rPr>
                <w:rFonts w:hint="default" w:ascii="宋体" w:hAnsi="宋体" w:eastAsia="宋体" w:cs="宋体"/>
                <w:color w:val="auto"/>
                <w:kern w:val="2"/>
                <w:highlight w:val="none"/>
                <w:lang w:val="en-US" w:eastAsia="zh-CN" w:bidi="ar"/>
              </w:rPr>
              <w:t>联合体投标</w:t>
            </w:r>
            <w:r>
              <w:rPr>
                <w:rFonts w:hint="eastAsia" w:ascii="宋体" w:hAnsi="宋体" w:eastAsia="宋体" w:cs="宋体"/>
                <w:color w:val="auto"/>
                <w:kern w:val="2"/>
                <w:highlight w:val="none"/>
                <w:lang w:val="en-US" w:eastAsia="zh-CN" w:bidi="ar"/>
              </w:rPr>
              <w:t>的，联合体牵头方提供承诺即可得分。</w:t>
            </w:r>
          </w:p>
        </w:tc>
        <w:tc>
          <w:tcPr>
            <w:tcW w:w="860"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bidi="ar"/>
              </w:rPr>
              <w:t>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评审委员打分</w:t>
            </w:r>
          </w:p>
        </w:tc>
      </w:tr>
    </w:tbl>
    <w:p>
      <w:pPr>
        <w:spacing w:line="360" w:lineRule="auto"/>
        <w:jc w:val="center"/>
        <w:rPr>
          <w:rFonts w:hint="eastAsia" w:ascii="宋体" w:hAnsi="宋体" w:cs="宋体"/>
          <w:b/>
          <w:bCs/>
          <w:color w:val="auto"/>
          <w:sz w:val="24"/>
          <w:highlight w:val="none"/>
        </w:rPr>
      </w:pPr>
    </w:p>
    <w:p>
      <w:pPr>
        <w:spacing w:line="360" w:lineRule="auto"/>
        <w:jc w:val="center"/>
        <w:outlineLvl w:val="0"/>
        <w:rPr>
          <w:rFonts w:ascii="宋体" w:hAnsi="宋体" w:cs="宋体"/>
          <w:b/>
          <w:bCs/>
          <w:color w:val="auto"/>
          <w:sz w:val="24"/>
          <w:highlight w:val="none"/>
        </w:rPr>
        <w:sectPr>
          <w:pgSz w:w="11906" w:h="16838"/>
          <w:pgMar w:top="1440" w:right="1650" w:bottom="1440" w:left="1650" w:header="851" w:footer="992" w:gutter="0"/>
          <w:pgNumType w:fmt="decimal"/>
          <w:cols w:space="720" w:num="1"/>
          <w:docGrid w:type="lines" w:linePitch="319" w:charSpace="0"/>
        </w:sectPr>
      </w:pPr>
      <w:bookmarkStart w:id="25" w:name="_Toc834"/>
      <w:bookmarkStart w:id="26" w:name="_Hlk28269117"/>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第七章 附件（投标文件格式）</w:t>
      </w:r>
      <w:bookmarkEnd w:id="25"/>
    </w:p>
    <w:p>
      <w:pPr>
        <w:keepNext/>
        <w:keepLines/>
        <w:spacing w:before="260" w:after="260" w:line="360" w:lineRule="auto"/>
        <w:jc w:val="center"/>
        <w:outlineLvl w:val="1"/>
        <w:rPr>
          <w:rFonts w:ascii="宋体" w:hAnsi="宋体" w:cs="宋体"/>
          <w:b/>
          <w:bCs/>
          <w:color w:val="auto"/>
          <w:sz w:val="24"/>
          <w:highlight w:val="none"/>
        </w:rPr>
      </w:pPr>
      <w:bookmarkStart w:id="27" w:name="_Toc6548"/>
      <w:bookmarkStart w:id="28" w:name="_Toc5116"/>
      <w:bookmarkStart w:id="29" w:name="_Toc19494"/>
      <w:bookmarkStart w:id="30" w:name="_Toc31827"/>
      <w:r>
        <w:rPr>
          <w:rFonts w:hint="eastAsia" w:ascii="宋体" w:hAnsi="宋体" w:cs="宋体"/>
          <w:b/>
          <w:color w:val="auto"/>
          <w:sz w:val="24"/>
          <w:highlight w:val="none"/>
        </w:rPr>
        <w:t>一、</w:t>
      </w:r>
      <w:r>
        <w:rPr>
          <w:rFonts w:hint="eastAsia" w:ascii="宋体" w:hAnsi="宋体" w:cs="宋体"/>
          <w:b/>
          <w:bCs/>
          <w:color w:val="auto"/>
          <w:sz w:val="24"/>
          <w:highlight w:val="none"/>
        </w:rPr>
        <w:t>投标文件包装封面参考</w:t>
      </w:r>
      <w:bookmarkEnd w:id="27"/>
      <w:bookmarkEnd w:id="28"/>
      <w:bookmarkEnd w:id="29"/>
      <w:bookmarkEnd w:id="30"/>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color w:val="auto"/>
                <w:sz w:val="72"/>
                <w:szCs w:val="72"/>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color w:val="auto"/>
                <w:sz w:val="72"/>
                <w:szCs w:val="72"/>
                <w:highlight w:val="none"/>
              </w:rPr>
            </w:pPr>
            <w:r>
              <w:rPr>
                <w:rFonts w:hint="eastAsia" w:ascii="黑体" w:eastAsia="黑体"/>
                <w:b/>
                <w:color w:val="auto"/>
                <w:sz w:val="72"/>
                <w:szCs w:val="72"/>
                <w:highlight w:val="none"/>
              </w:rPr>
              <w:t>投 标 文 件</w:t>
            </w:r>
          </w:p>
          <w:p>
            <w:pPr>
              <w:pStyle w:val="2"/>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color w:val="auto"/>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p>
          <w:p>
            <w:pPr>
              <w:keepNext w:val="0"/>
              <w:keepLines w:val="0"/>
              <w:suppressLineNumbers w:val="0"/>
              <w:spacing w:before="0" w:beforeAutospacing="0" w:after="0" w:afterAutospacing="0"/>
              <w:ind w:left="0" w:right="0"/>
              <w:rPr>
                <w:rFonts w:hint="default"/>
                <w:color w:val="auto"/>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28"/>
                <w:szCs w:val="28"/>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项目编号：</w:t>
            </w: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32"/>
                <w:highlight w:val="none"/>
              </w:rPr>
            </w:pPr>
            <w:r>
              <w:rPr>
                <w:rFonts w:hint="eastAsia" w:ascii="仿宋_GB2312" w:eastAsia="仿宋_GB2312"/>
                <w:b/>
                <w:color w:val="auto"/>
                <w:sz w:val="28"/>
                <w:szCs w:val="28"/>
                <w:highlight w:val="none"/>
              </w:rPr>
              <w:t xml:space="preserve">投标人地址：           </w:t>
            </w:r>
          </w:p>
        </w:tc>
      </w:tr>
    </w:tbl>
    <w:p>
      <w:pPr>
        <w:tabs>
          <w:tab w:val="left" w:pos="640"/>
        </w:tabs>
        <w:spacing w:line="360" w:lineRule="auto"/>
        <w:ind w:firstLine="482" w:firstLineChars="200"/>
        <w:rPr>
          <w:rFonts w:hint="eastAsia" w:ascii="宋体" w:eastAsia="宋体" w:cs="宋体"/>
          <w:b/>
          <w:color w:val="auto"/>
          <w:sz w:val="24"/>
          <w:highlight w:val="none"/>
        </w:rPr>
      </w:pPr>
    </w:p>
    <w:p>
      <w:pPr>
        <w:pStyle w:val="4"/>
        <w:rPr>
          <w:rFonts w:ascii="宋体" w:cs="宋体"/>
          <w:b/>
          <w:color w:val="auto"/>
          <w:sz w:val="24"/>
          <w:highlight w:val="none"/>
        </w:rPr>
      </w:pPr>
      <w:r>
        <w:rPr>
          <w:rFonts w:hint="eastAsia" w:ascii="宋体" w:eastAsia="宋体" w:cs="宋体"/>
          <w:b/>
          <w:color w:val="auto"/>
          <w:sz w:val="24"/>
          <w:highlight w:val="none"/>
        </w:rPr>
        <w:t>二、投标文件—目录</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1、投标一览表；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报价明细表；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highlight w:val="none"/>
          <w:u w:val="wave"/>
        </w:rPr>
      </w:pPr>
      <w:r>
        <w:rPr>
          <w:rFonts w:hint="eastAsia" w:ascii="宋体" w:hAnsi="宋体" w:cs="宋体"/>
          <w:b/>
          <w:bCs/>
          <w:color w:val="auto"/>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1、投标响应书；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eastAsia="宋体" w:cs="宋体"/>
          <w:color w:val="auto"/>
          <w:sz w:val="24"/>
          <w:highlight w:val="none"/>
          <w:lang w:val="fr-CH" w:eastAsia="zh-CN"/>
        </w:rPr>
        <w:t>2、</w:t>
      </w:r>
      <w:r>
        <w:rPr>
          <w:rFonts w:hint="eastAsia" w:ascii="宋体" w:hAnsi="宋体" w:eastAsia="宋体" w:cs="宋体"/>
          <w:color w:val="auto"/>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color w:val="auto"/>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fr-CH"/>
        </w:rPr>
        <w:t>、关于资格的声明函；</w:t>
      </w:r>
    </w:p>
    <w:p>
      <w:pPr>
        <w:pStyle w:val="28"/>
        <w:spacing w:line="360" w:lineRule="auto"/>
        <w:ind w:firstLine="480"/>
        <w:rPr>
          <w:color w:val="auto"/>
          <w:highlight w:val="none"/>
          <w:lang w:val="fr-CH"/>
        </w:rPr>
      </w:pP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fr-CH"/>
        </w:rPr>
        <w:t>法</w:t>
      </w:r>
      <w:r>
        <w:rPr>
          <w:rFonts w:hint="eastAsia" w:ascii="宋体" w:hAnsi="宋体" w:cs="宋体"/>
          <w:color w:val="auto"/>
          <w:sz w:val="24"/>
          <w:highlight w:val="none"/>
          <w:lang w:val="en-US" w:eastAsia="zh-CN"/>
        </w:rPr>
        <w:t>定</w:t>
      </w:r>
      <w:r>
        <w:rPr>
          <w:rFonts w:hint="eastAsia" w:ascii="宋体" w:hAnsi="宋体" w:cs="宋体"/>
          <w:color w:val="auto"/>
          <w:sz w:val="24"/>
          <w:highlight w:val="none"/>
          <w:lang w:val="fr-CH"/>
        </w:rPr>
        <w:t>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val="fr-CH"/>
        </w:rPr>
        <w:t>、投标人简介</w:t>
      </w:r>
      <w:r>
        <w:rPr>
          <w:rFonts w:hint="eastAsia" w:ascii="宋体" w:hAnsi="宋体" w:cs="宋体"/>
          <w:color w:val="auto"/>
          <w:sz w:val="24"/>
          <w:highlight w:val="none"/>
          <w:lang w:val="fr-CH" w:eastAsia="zh-CN"/>
        </w:rPr>
        <w:t>（供应商基本情况表）</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fr-CH"/>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fr-CH"/>
        </w:rPr>
        <w:t>、投标人同类项目经验情况</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fr-CH"/>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fr-CH"/>
        </w:rPr>
        <w:t>、拟派本项目负责人（1人）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zh-CN"/>
        </w:rPr>
        <w:t>项目团队人员情况（不含项目负责人）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fr-CH"/>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rPr>
        <w:t>格式自拟</w:t>
      </w:r>
      <w:r>
        <w:rPr>
          <w:rFonts w:hint="eastAsia" w:ascii="宋体" w:hAnsi="宋体" w:cs="宋体"/>
          <w:color w:val="auto"/>
          <w:sz w:val="24"/>
          <w:highlight w:val="none"/>
          <w:lang w:val="fr-CH"/>
        </w:rPr>
        <w:t>）</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2、</w:t>
      </w:r>
      <w:r>
        <w:rPr>
          <w:rFonts w:hint="eastAsia" w:ascii="宋体" w:hAnsi="宋体" w:cs="宋体"/>
          <w:color w:val="auto"/>
          <w:sz w:val="24"/>
          <w:highlight w:val="none"/>
          <w:lang w:val="zh-CN"/>
        </w:rPr>
        <w:t>对项目需求的响应及理解</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3、工作方案（项目背景、项目目标、研究方法、工作内容、成果构成）</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4、项目难点重点分析及相关的合理化建议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fr-CH"/>
        </w:rPr>
        <w:t>、</w:t>
      </w:r>
      <w:r>
        <w:rPr>
          <w:rFonts w:hint="default" w:ascii="宋体" w:hAnsi="宋体" w:eastAsia="宋体" w:cs="宋体"/>
          <w:color w:val="auto"/>
          <w:kern w:val="2"/>
          <w:sz w:val="24"/>
          <w:szCs w:val="24"/>
          <w:highlight w:val="none"/>
          <w:lang w:val="zh-CN" w:eastAsia="zh-CN" w:bidi="ar"/>
        </w:rPr>
        <w:t>质量（完成时间、安全）保障措施及方案</w:t>
      </w:r>
    </w:p>
    <w:p>
      <w:pPr>
        <w:tabs>
          <w:tab w:val="left" w:pos="640"/>
          <w:tab w:val="left" w:pos="1260"/>
          <w:tab w:val="left" w:pos="1418"/>
        </w:tabs>
        <w:spacing w:line="360" w:lineRule="auto"/>
        <w:ind w:right="-420" w:rightChars="-200" w:firstLine="480" w:firstLineChars="200"/>
        <w:rPr>
          <w:rFonts w:hint="eastAsia"/>
          <w:color w:val="auto"/>
          <w:highlight w:val="none"/>
          <w:lang w:val="fr-CH"/>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fr-CH"/>
        </w:rPr>
        <w:t>、服务应急预案</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lang w:val="fr-CH" w:bidi="ar"/>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1、投标一览表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Style w:val="28"/>
        <w:ind w:firstLine="0" w:firstLineChars="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2、分项报价清单</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auto"/>
                <w:kern w:val="0"/>
                <w:sz w:val="24"/>
                <w:highlight w:val="none"/>
                <w:lang w:bidi="ar"/>
              </w:rPr>
            </w:pPr>
            <w:r>
              <w:rPr>
                <w:rFonts w:hint="eastAsia" w:ascii="黑体" w:hAnsi="黑体" w:eastAsia="黑体" w:cs="黑体"/>
                <w:b/>
                <w:bCs/>
                <w:color w:val="auto"/>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auto"/>
                <w:kern w:val="0"/>
                <w:sz w:val="24"/>
                <w:highlight w:val="none"/>
                <w:lang w:bidi="zh-CN"/>
              </w:rPr>
            </w:pPr>
            <w:r>
              <w:rPr>
                <w:rFonts w:hint="eastAsia" w:ascii="仿宋_GB2312" w:hAnsi="仿宋_GB2312" w:eastAsia="仿宋_GB2312" w:cs="仿宋_GB2312"/>
                <w:b/>
                <w:bCs/>
                <w:color w:val="auto"/>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3、《中小企业声明函》或《残疾人福利性单位声明函》或《监狱企业声明函》（参与价格扣减的投标人应提供）；</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（具体详见“附件：相关政策”）</w:t>
      </w:r>
      <w:r>
        <w:rPr>
          <w:rFonts w:hint="eastAsia" w:ascii="宋体" w:hAnsi="宋体" w:cs="宋体"/>
          <w:b/>
          <w:bCs/>
          <w:color w:val="auto"/>
          <w:sz w:val="24"/>
          <w:highlight w:val="none"/>
        </w:rPr>
        <w:br w:type="page"/>
      </w:r>
      <w:r>
        <w:rPr>
          <w:rFonts w:hint="eastAsia" w:ascii="宋体" w:hAnsi="宋体" w:cs="宋体"/>
          <w:b/>
          <w:bCs/>
          <w:color w:val="auto"/>
          <w:sz w:val="24"/>
          <w:highlight w:val="none"/>
        </w:rPr>
        <w:t>商务部分</w:t>
      </w:r>
    </w:p>
    <w:p>
      <w:pPr>
        <w:pStyle w:val="28"/>
        <w:ind w:firstLine="0" w:firstLineChars="0"/>
        <w:rPr>
          <w:color w:val="auto"/>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1、投标响应书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w:t>
      </w:r>
      <w:r>
        <w:rPr>
          <w:rFonts w:hint="eastAsia" w:ascii="宋体" w:hAnsi="宋体" w:cs="宋体"/>
          <w:color w:val="auto"/>
          <w:sz w:val="24"/>
          <w:highlight w:val="none"/>
        </w:rPr>
        <w:t>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2"/>
        <w:spacing w:line="360" w:lineRule="auto"/>
        <w:rPr>
          <w:color w:val="auto"/>
          <w:highlight w:val="none"/>
        </w:rPr>
      </w:pPr>
    </w:p>
    <w:p>
      <w:pPr>
        <w:tabs>
          <w:tab w:val="left" w:pos="640"/>
          <w:tab w:val="left" w:pos="1260"/>
          <w:tab w:val="left" w:pos="1418"/>
        </w:tabs>
        <w:spacing w:line="360" w:lineRule="auto"/>
        <w:jc w:val="center"/>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kern w:val="2"/>
          <w:sz w:val="24"/>
          <w:szCs w:val="24"/>
          <w:highlight w:val="none"/>
          <w:lang w:val="en-US" w:eastAsia="zh-CN" w:bidi="ar-SA"/>
        </w:rPr>
        <w:t>2</w:t>
      </w:r>
      <w:r>
        <w:rPr>
          <w:rFonts w:hint="eastAsia" w:ascii="宋体" w:hAnsi="宋体" w:cs="宋体"/>
          <w:b/>
          <w:bCs/>
          <w:color w:val="auto"/>
          <w:sz w:val="24"/>
          <w:highlight w:val="none"/>
          <w:lang w:val="fr-CH"/>
        </w:rPr>
        <w:t>、营业执照</w:t>
      </w:r>
    </w:p>
    <w:p>
      <w:pPr>
        <w:tabs>
          <w:tab w:val="left" w:pos="640"/>
          <w:tab w:val="left" w:pos="1260"/>
          <w:tab w:val="left" w:pos="1418"/>
        </w:tabs>
        <w:spacing w:line="360" w:lineRule="auto"/>
        <w:rPr>
          <w:rFonts w:ascii="宋体" w:hAnsi="宋体" w:cs="宋体"/>
          <w:color w:val="auto"/>
          <w:sz w:val="24"/>
          <w:highlight w:val="none"/>
          <w:lang w:val="fr-CH"/>
        </w:rPr>
      </w:pPr>
      <w:r>
        <w:rPr>
          <w:rFonts w:hint="eastAsia" w:ascii="宋体" w:hAnsi="宋体" w:cs="宋体"/>
          <w:color w:val="auto"/>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r>
        <w:rPr>
          <w:rFonts w:hint="eastAsia" w:ascii="宋体" w:hAnsi="宋体" w:cs="宋体"/>
          <w:b/>
          <w:bCs/>
          <w:color w:val="auto"/>
          <w:sz w:val="24"/>
          <w:highlight w:val="none"/>
          <w:lang w:val="fr-CH"/>
        </w:rPr>
        <w:t>政府采购投标及履约承诺函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4.我单位具备《中华人民共和国政府采购法》第二十二条的条件。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6.我单位不存在单位法定代表人为同一人或者存在直接控股、管理关系的不同供应商，同时参加本项目投标之情形；我公司未为本项目提供过整体设计、规范编制或者项目管理、监理、检测等服务。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auto"/>
          <w:sz w:val="24"/>
          <w:highlight w:val="none"/>
          <w:lang w:eastAsia="zh-CN"/>
        </w:rPr>
        <w:t>我单位承诺与其他不同供应商的法定代表人、主要经营负责人、投标授权代表人、项目负责人（如有）、</w:t>
      </w:r>
      <w:r>
        <w:rPr>
          <w:rFonts w:hint="eastAsia" w:ascii="宋体" w:hAnsi="宋体" w:cs="宋体"/>
          <w:color w:val="auto"/>
          <w:sz w:val="24"/>
          <w:highlight w:val="none"/>
          <w:lang w:val="en-US" w:eastAsia="zh-CN"/>
        </w:rPr>
        <w:t>主要技术人员（如有）</w:t>
      </w:r>
      <w:r>
        <w:rPr>
          <w:rFonts w:hint="eastAsia" w:ascii="宋体" w:hAnsi="宋体" w:cs="宋体"/>
          <w:color w:val="auto"/>
          <w:sz w:val="24"/>
          <w:highlight w:val="none"/>
          <w:lang w:eastAsia="zh-CN"/>
        </w:rPr>
        <w:t>不存在为同一人、属同一单位或者在同一单位缴纳社会保险的情形。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.我单位承诺本项目的报价不低于我单位的成本价，不恶意低价谋取中标；对</w:t>
      </w:r>
      <w:r>
        <w:rPr>
          <w:rFonts w:hint="eastAsia" w:ascii="宋体" w:hAnsi="宋体" w:cs="宋体"/>
          <w:color w:val="auto"/>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以上承诺，如有违反，愿依照国家相关法律处理</w:t>
      </w:r>
      <w:r>
        <w:rPr>
          <w:rFonts w:hint="eastAsia" w:ascii="宋体" w:hAnsi="宋体" w:cs="宋体"/>
          <w:color w:val="auto"/>
          <w:sz w:val="24"/>
          <w:highlight w:val="none"/>
        </w:rPr>
        <w:t>，并承担由此给采购人带来的损失。</w:t>
      </w:r>
    </w:p>
    <w:p>
      <w:pPr>
        <w:spacing w:line="360" w:lineRule="auto"/>
        <w:ind w:firstLine="480" w:firstLineChars="200"/>
        <w:rPr>
          <w:rFonts w:ascii="宋体" w:hAnsi="宋体" w:cs="宋体"/>
          <w:color w:val="auto"/>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日期：   年  月   日</w:t>
      </w:r>
    </w:p>
    <w:p>
      <w:pPr>
        <w:pStyle w:val="2"/>
        <w:spacing w:line="560" w:lineRule="exact"/>
        <w:jc w:val="center"/>
        <w:rPr>
          <w:b/>
          <w:color w:val="auto"/>
          <w:sz w:val="24"/>
          <w:highlight w:val="none"/>
          <w:lang w:val="fr-CH"/>
        </w:rPr>
      </w:pPr>
      <w:r>
        <w:rPr>
          <w:rFonts w:hint="eastAsia" w:hAnsi="宋体" w:cs="宋体"/>
          <w:color w:val="auto"/>
          <w:highlight w:val="none"/>
        </w:rPr>
        <w:br w:type="page"/>
      </w:r>
      <w:r>
        <w:rPr>
          <w:rFonts w:hint="eastAsia"/>
          <w:b/>
          <w:color w:val="auto"/>
          <w:sz w:val="24"/>
          <w:highlight w:val="none"/>
          <w:lang w:val="en-US" w:eastAsia="zh-CN"/>
        </w:rPr>
        <w:t>4</w:t>
      </w:r>
      <w:r>
        <w:rPr>
          <w:rFonts w:hint="eastAsia"/>
          <w:b/>
          <w:color w:val="auto"/>
          <w:sz w:val="24"/>
          <w:highlight w:val="none"/>
          <w:lang w:val="fr-CH"/>
        </w:rPr>
        <w:t>、政府采购违法行为风险知悉确认书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spacing w:after="120" w:line="560" w:lineRule="exact"/>
        <w:rPr>
          <w:color w:val="auto"/>
          <w:sz w:val="24"/>
          <w:highlight w:val="none"/>
          <w:lang w:val="fr-CH"/>
        </w:rPr>
      </w:pPr>
      <w:r>
        <w:rPr>
          <w:rFonts w:hint="eastAsia"/>
          <w:color w:val="auto"/>
          <w:sz w:val="24"/>
          <w:highlight w:val="none"/>
          <w:lang w:val="fr-CH"/>
        </w:rPr>
        <w:t>日期：</w:t>
      </w:r>
    </w:p>
    <w:p>
      <w:pPr>
        <w:pStyle w:val="2"/>
        <w:rPr>
          <w:color w:val="auto"/>
          <w:highlight w:val="none"/>
          <w:lang w:val="fr-CH"/>
        </w:rPr>
      </w:pPr>
    </w:p>
    <w:p>
      <w:pPr>
        <w:tabs>
          <w:tab w:val="left" w:pos="640"/>
          <w:tab w:val="left" w:pos="1260"/>
          <w:tab w:val="left" w:pos="1418"/>
        </w:tabs>
        <w:spacing w:line="360" w:lineRule="auto"/>
        <w:jc w:val="center"/>
        <w:rPr>
          <w:rFonts w:ascii="宋体" w:hAnsi="宋体" w:cs="宋体"/>
          <w:b/>
          <w:bCs/>
          <w:color w:val="auto"/>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、关于资格的声明函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ascii="宋体" w:hAnsi="宋体" w:cs="宋体"/>
          <w:color w:val="auto"/>
          <w:sz w:val="24"/>
          <w:highlight w:val="none"/>
        </w:rPr>
      </w:pPr>
    </w:p>
    <w:p>
      <w:pPr>
        <w:pStyle w:val="10"/>
        <w:spacing w:line="360" w:lineRule="auto"/>
        <w:jc w:val="center"/>
        <w:rPr>
          <w:rFonts w:hAnsi="宋体" w:cs="宋体"/>
          <w:color w:val="auto"/>
          <w:sz w:val="24"/>
          <w:highlight w:val="none"/>
        </w:rPr>
      </w:pPr>
      <w:r>
        <w:rPr>
          <w:rFonts w:hint="eastAsia" w:hAnsi="宋体" w:cs="宋体"/>
          <w:color w:val="auto"/>
          <w:sz w:val="24"/>
          <w:highlight w:val="none"/>
        </w:rPr>
        <w:t xml:space="preserve">                投标人名称（投标人法人公章）：</w:t>
      </w:r>
    </w:p>
    <w:p>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 xml:space="preserve">             承诺日期：   年     月     日</w:t>
      </w:r>
    </w:p>
    <w:p>
      <w:pPr>
        <w:tabs>
          <w:tab w:val="left" w:pos="640"/>
          <w:tab w:val="left" w:pos="1260"/>
          <w:tab w:val="left" w:pos="1418"/>
        </w:tabs>
        <w:spacing w:line="360" w:lineRule="auto"/>
        <w:rPr>
          <w:rFonts w:ascii="宋体" w:hAnsi="宋体" w:cs="宋体"/>
          <w:color w:val="auto"/>
          <w:sz w:val="24"/>
          <w:highlight w:val="none"/>
          <w:lang w:val="fr-CH"/>
        </w:rPr>
      </w:pPr>
    </w:p>
    <w:p>
      <w:pPr>
        <w:spacing w:before="120" w:after="120" w:line="360" w:lineRule="auto"/>
        <w:jc w:val="center"/>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0"/>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0"/>
        <w:spacing w:line="360" w:lineRule="auto"/>
        <w:jc w:val="left"/>
        <w:rPr>
          <w:rFonts w:hAnsi="宋体" w:cs="宋体"/>
          <w:color w:val="auto"/>
          <w:sz w:val="24"/>
          <w:highlight w:val="none"/>
        </w:rPr>
      </w:pPr>
    </w:p>
    <w:p>
      <w:pPr>
        <w:pStyle w:val="10"/>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2"/>
        <w:spacing w:line="360" w:lineRule="auto"/>
        <w:rPr>
          <w:color w:val="auto"/>
          <w:highlight w:val="none"/>
          <w:lang w:val="fr-CH"/>
        </w:rPr>
      </w:pPr>
    </w:p>
    <w:p>
      <w:pPr>
        <w:rPr>
          <w:color w:val="auto"/>
          <w:highlight w:val="none"/>
          <w:lang w:val="fr-CH"/>
        </w:rPr>
      </w:pPr>
    </w:p>
    <w:p>
      <w:pPr>
        <w:pStyle w:val="28"/>
        <w:ind w:firstLine="420"/>
        <w:rPr>
          <w:color w:val="auto"/>
          <w:highlight w:val="none"/>
          <w:lang w:val="fr-CH"/>
        </w:rPr>
      </w:pPr>
    </w:p>
    <w:p>
      <w:pPr>
        <w:pStyle w:val="28"/>
        <w:ind w:firstLine="420"/>
        <w:rPr>
          <w:color w:val="auto"/>
          <w:highlight w:val="none"/>
          <w:lang w:val="fr-CH"/>
        </w:rPr>
      </w:pPr>
    </w:p>
    <w:p>
      <w:pPr>
        <w:pStyle w:val="28"/>
        <w:ind w:firstLine="420"/>
        <w:rPr>
          <w:color w:val="auto"/>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jc w:val="left"/>
        <w:rPr>
          <w:rFonts w:ascii="宋体" w:hAnsi="宋体" w:cs="宋体"/>
          <w:b/>
          <w:color w:val="auto"/>
          <w:sz w:val="24"/>
          <w:highlight w:val="none"/>
        </w:rPr>
      </w:pPr>
      <w:r>
        <w:rPr>
          <w:rFonts w:hint="eastAsia" w:ascii="宋体" w:hAnsi="宋体" w:cs="宋体"/>
          <w:b/>
          <w:color w:val="auto"/>
          <w:sz w:val="24"/>
          <w:highlight w:val="none"/>
        </w:rPr>
        <w:br w:type="page"/>
      </w:r>
    </w:p>
    <w:p>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、法定代表人</w:t>
      </w:r>
      <w:r>
        <w:rPr>
          <w:rFonts w:hint="eastAsia" w:ascii="宋体" w:hAnsi="宋体" w:cs="宋体"/>
          <w:b/>
          <w:color w:val="auto"/>
          <w:sz w:val="24"/>
          <w:highlight w:val="none"/>
          <w:lang w:val="fr-CH"/>
        </w:rPr>
        <w:t>/单位负责人</w:t>
      </w:r>
      <w:r>
        <w:rPr>
          <w:rFonts w:hint="eastAsia" w:ascii="宋体" w:hAnsi="宋体" w:cs="宋体"/>
          <w:b/>
          <w:color w:val="auto"/>
          <w:sz w:val="24"/>
          <w:highlight w:val="none"/>
        </w:rPr>
        <w:t>证明书</w:t>
      </w:r>
      <w:r>
        <w:rPr>
          <w:rFonts w:hint="eastAsia" w:ascii="宋体" w:hAnsi="宋体" w:cs="宋体"/>
          <w:b/>
          <w:color w:val="auto"/>
          <w:sz w:val="24"/>
          <w:highlight w:val="none"/>
          <w:lang w:val="fr-CH"/>
        </w:rPr>
        <w:t>及身份证明</w:t>
      </w:r>
    </w:p>
    <w:p>
      <w:pPr>
        <w:spacing w:line="360" w:lineRule="auto"/>
        <w:rPr>
          <w:rFonts w:ascii="宋体" w:hAnsi="宋体" w:cs="宋体"/>
          <w:color w:val="auto"/>
          <w:sz w:val="24"/>
          <w:highlight w:val="none"/>
          <w:u w:val="singl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同志，现任我单位职务，为法定代表人/单位负责人，特此证明。</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ascii="宋体" w:hAnsi="宋体" w:cs="宋体"/>
          <w:color w:val="auto"/>
          <w:sz w:val="24"/>
          <w:highlight w:val="none"/>
        </w:rPr>
      </w:pPr>
      <w:r>
        <w:rPr>
          <w:rFonts w:hint="eastAsia" w:ascii="宋体" w:hAnsi="宋体" w:cs="宋体"/>
          <w:color w:val="auto"/>
          <w:sz w:val="24"/>
          <w:highlight w:val="none"/>
        </w:rPr>
        <w:t>说明：1、法定代表人/单位负责人为企业事业单位、国家机关、社会团体的主要行政负责人。</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p>
    <w:p>
      <w:pPr>
        <w:tabs>
          <w:tab w:val="left" w:pos="3780"/>
        </w:tabs>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before="120" w:after="120" w:line="360" w:lineRule="auto"/>
        <w:jc w:val="left"/>
        <w:rPr>
          <w:rFonts w:ascii="宋体" w:hAnsi="宋体" w:cs="宋体"/>
          <w:color w:val="auto"/>
          <w:szCs w:val="21"/>
          <w:highlight w:val="none"/>
        </w:rPr>
      </w:pPr>
    </w:p>
    <w:p>
      <w:pPr>
        <w:rPr>
          <w:rFonts w:ascii="宋体" w:hAnsi="宋体" w:cs="宋体"/>
          <w:color w:val="auto"/>
          <w:szCs w:val="21"/>
          <w:highlight w:val="none"/>
        </w:rPr>
      </w:pPr>
    </w:p>
    <w:p>
      <w:pPr>
        <w:rPr>
          <w:color w:val="auto"/>
          <w:highlight w:val="none"/>
        </w:rPr>
      </w:pPr>
    </w:p>
    <w:p>
      <w:pPr>
        <w:spacing w:before="120" w:after="120" w:line="360" w:lineRule="auto"/>
        <w:jc w:val="left"/>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pStyle w:val="10"/>
        <w:spacing w:line="360" w:lineRule="auto"/>
        <w:jc w:val="center"/>
        <w:rPr>
          <w:rFonts w:hAnsi="宋体" w:cs="宋体"/>
          <w:b/>
          <w:color w:val="auto"/>
          <w:sz w:val="24"/>
          <w:highlight w:val="none"/>
        </w:rPr>
      </w:pPr>
      <w:r>
        <w:rPr>
          <w:rFonts w:hint="eastAsia" w:hAnsi="宋体" w:cs="宋体"/>
          <w:b/>
          <w:color w:val="auto"/>
          <w:sz w:val="24"/>
          <w:highlight w:val="none"/>
          <w:lang w:val="en-US" w:eastAsia="zh-CN"/>
        </w:rPr>
        <w:t>8</w:t>
      </w:r>
      <w:r>
        <w:rPr>
          <w:rFonts w:hint="eastAsia" w:hAnsi="宋体" w:cs="宋体"/>
          <w:b/>
          <w:color w:val="auto"/>
          <w:sz w:val="24"/>
          <w:highlight w:val="none"/>
        </w:rPr>
        <w:t>、法定代表人/单位负责人授权书</w:t>
      </w:r>
      <w:r>
        <w:rPr>
          <w:rFonts w:hint="eastAsia" w:hAnsi="宋体" w:cs="宋体"/>
          <w:b/>
          <w:color w:val="auto"/>
          <w:sz w:val="24"/>
          <w:highlight w:val="none"/>
          <w:lang w:val="fr-CH"/>
        </w:rPr>
        <w:t>及身份证明</w:t>
      </w:r>
    </w:p>
    <w:p>
      <w:pPr>
        <w:pStyle w:val="10"/>
        <w:spacing w:line="360" w:lineRule="auto"/>
        <w:rPr>
          <w:rFonts w:hAnsi="宋体" w:cs="宋体"/>
          <w:color w:val="auto"/>
          <w:sz w:val="24"/>
          <w:highlight w:val="none"/>
        </w:rPr>
      </w:pPr>
    </w:p>
    <w:p>
      <w:pPr>
        <w:pStyle w:val="10"/>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10"/>
        <w:spacing w:line="360" w:lineRule="auto"/>
        <w:ind w:firstLine="420"/>
        <w:rPr>
          <w:rFonts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（法定代表人/单位负责人姓名、职务）代表本公司授权在下面签字的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0"/>
        <w:spacing w:line="360" w:lineRule="auto"/>
        <w:rPr>
          <w:rFonts w:hAnsi="宋体" w:cs="宋体"/>
          <w:color w:val="auto"/>
          <w:sz w:val="24"/>
          <w:highlight w:val="none"/>
        </w:rPr>
      </w:pPr>
    </w:p>
    <w:p>
      <w:pPr>
        <w:spacing w:line="360" w:lineRule="auto"/>
        <w:ind w:firstLine="570"/>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被授权人联系方式（手机）：</w:t>
      </w:r>
    </w:p>
    <w:p>
      <w:pPr>
        <w:spacing w:line="360" w:lineRule="auto"/>
        <w:rPr>
          <w:rFonts w:ascii="宋体" w:hAnsi="宋体" w:cs="宋体"/>
          <w:color w:val="auto"/>
          <w:sz w:val="24"/>
          <w:highlight w:val="none"/>
        </w:rPr>
      </w:pPr>
      <w:r>
        <w:rPr>
          <w:rFonts w:hint="eastAsia" w:ascii="宋体" w:hAnsi="宋体" w:cs="宋体"/>
          <w:color w:val="auto"/>
          <w:sz w:val="24"/>
          <w:highlight w:val="none"/>
        </w:rPr>
        <w:t>被授权人邮箱：</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line="360" w:lineRule="auto"/>
        <w:jc w:val="left"/>
        <w:rPr>
          <w:rFonts w:ascii="宋体" w:hAnsi="宋体" w:cs="宋体"/>
          <w:b/>
          <w:bCs/>
          <w:color w:val="auto"/>
          <w:sz w:val="24"/>
          <w:highlight w:val="none"/>
        </w:rPr>
      </w:pPr>
      <w:r>
        <w:rPr>
          <w:rFonts w:hint="eastAsia" w:ascii="宋体" w:hAnsi="宋体" w:cs="宋体"/>
          <w:b/>
          <w:bCs/>
          <w:color w:val="auto"/>
          <w:spacing w:val="20"/>
          <w:sz w:val="24"/>
          <w:highlight w:val="none"/>
        </w:rPr>
        <w:t>被授权人（签字或盖章）</w:t>
      </w:r>
      <w:r>
        <w:rPr>
          <w:rFonts w:hint="eastAsia" w:ascii="宋体" w:hAnsi="宋体" w:cs="宋体"/>
          <w:b/>
          <w:bCs/>
          <w:color w:val="auto"/>
          <w:sz w:val="24"/>
          <w:highlight w:val="none"/>
        </w:rPr>
        <w:t>：</w:t>
      </w:r>
    </w:p>
    <w:p>
      <w:pPr>
        <w:tabs>
          <w:tab w:val="left" w:pos="640"/>
          <w:tab w:val="left" w:pos="1260"/>
          <w:tab w:val="left" w:pos="1418"/>
        </w:tabs>
        <w:spacing w:line="360" w:lineRule="auto"/>
        <w:rPr>
          <w:rFonts w:ascii="宋体" w:hAnsi="宋体" w:cs="宋体"/>
          <w:b/>
          <w:color w:val="auto"/>
          <w:sz w:val="24"/>
          <w:highlight w:val="none"/>
        </w:rPr>
      </w:pPr>
    </w:p>
    <w:p>
      <w:pPr>
        <w:pStyle w:val="2"/>
        <w:rPr>
          <w:rFonts w:ascii="宋体" w:hAnsi="宋体" w:cs="宋体"/>
          <w:b/>
          <w:color w:val="auto"/>
          <w:sz w:val="24"/>
          <w:highlight w:val="none"/>
        </w:rPr>
      </w:pPr>
    </w:p>
    <w:p>
      <w:pPr>
        <w:rPr>
          <w:rFonts w:ascii="宋体" w:hAnsi="宋体" w:cs="宋体"/>
          <w:b/>
          <w:color w:val="auto"/>
          <w:sz w:val="24"/>
          <w:highlight w:val="none"/>
        </w:rPr>
      </w:pPr>
    </w:p>
    <w:p>
      <w:pPr>
        <w:pStyle w:val="2"/>
        <w:rPr>
          <w:rFonts w:ascii="宋体" w:hAnsi="宋体" w:cs="宋体"/>
          <w:b/>
          <w:color w:val="auto"/>
          <w:sz w:val="24"/>
          <w:highlight w:val="none"/>
        </w:rPr>
      </w:pPr>
    </w:p>
    <w:p>
      <w:pPr>
        <w:rPr>
          <w:rFonts w:ascii="宋体" w:hAnsi="宋体" w:cs="宋体"/>
          <w:b/>
          <w:color w:val="auto"/>
          <w:sz w:val="24"/>
          <w:highlight w:val="none"/>
        </w:rPr>
      </w:pPr>
    </w:p>
    <w:p>
      <w:pPr>
        <w:pStyle w:val="2"/>
        <w:rPr>
          <w:color w:val="auto"/>
          <w:highlight w:val="none"/>
        </w:rPr>
      </w:pPr>
    </w:p>
    <w:p>
      <w:pPr>
        <w:tabs>
          <w:tab w:val="left" w:pos="640"/>
          <w:tab w:val="left" w:pos="1260"/>
          <w:tab w:val="left" w:pos="1418"/>
        </w:tabs>
        <w:spacing w:line="360" w:lineRule="auto"/>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color w:val="auto"/>
          <w:sz w:val="24"/>
          <w:highlight w:val="none"/>
          <w:lang w:val="fr-CH"/>
        </w:rPr>
      </w:pPr>
    </w:p>
    <w:p>
      <w:pPr>
        <w:widowControl/>
        <w:autoSpaceDE w:val="0"/>
        <w:autoSpaceDN w:val="0"/>
        <w:spacing w:line="360" w:lineRule="auto"/>
        <w:ind w:right="26"/>
        <w:jc w:val="center"/>
        <w:textAlignment w:val="bottom"/>
        <w:rPr>
          <w:rFonts w:ascii="宋体" w:hAnsi="宋体" w:cs="宋体"/>
          <w:b/>
          <w:bCs/>
          <w:color w:val="auto"/>
          <w:sz w:val="24"/>
          <w:highlight w:val="none"/>
          <w:lang w:val="fr-CH"/>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w:t>
      </w: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项目（货物/服务/工程）招标中若获中标（招标文件编号：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），我们保证在收到中标通知书后5日内按招标文件的规定，以现金或电汇向贵公司即深圳交易咨询集团有限公司指定的银行</w:t>
      </w:r>
      <w:r>
        <w:rPr>
          <w:rFonts w:hint="eastAsia" w:ascii="宋体" w:hAnsi="宋体" w:cs="宋体"/>
          <w:color w:val="auto"/>
          <w:sz w:val="24"/>
          <w:highlight w:val="none"/>
          <w:lang w:eastAsia="zh-CN"/>
        </w:rPr>
        <w:t>账</w:t>
      </w:r>
      <w:r>
        <w:rPr>
          <w:rFonts w:hint="eastAsia" w:ascii="宋体" w:hAnsi="宋体" w:cs="宋体"/>
          <w:color w:val="auto"/>
          <w:sz w:val="24"/>
          <w:highlight w:val="none"/>
        </w:rPr>
        <w:t>号支付全额招标代理服务费。招标代理服务费按照</w:t>
      </w:r>
      <w:r>
        <w:rPr>
          <w:rFonts w:hint="eastAsia" w:ascii="宋体" w:hAnsi="宋体" w:cs="宋体"/>
          <w:color w:val="auto"/>
          <w:sz w:val="24"/>
          <w:highlight w:val="none"/>
          <w:u w:val="single"/>
        </w:rPr>
        <w:t>招标文件中的规定以差额定率累进法</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特此承诺。</w:t>
      </w:r>
    </w:p>
    <w:p>
      <w:pPr>
        <w:widowControl/>
        <w:autoSpaceDE w:val="0"/>
        <w:autoSpaceDN w:val="0"/>
        <w:spacing w:line="360" w:lineRule="auto"/>
        <w:ind w:left="359" w:right="26" w:hanging="357"/>
        <w:textAlignment w:val="bottom"/>
        <w:rPr>
          <w:rFonts w:ascii="宋体" w:hAnsi="宋体" w:cs="宋体"/>
          <w:color w:val="auto"/>
          <w:sz w:val="24"/>
          <w:highlight w:val="none"/>
          <w:u w:val="single"/>
        </w:rPr>
      </w:pPr>
      <w:r>
        <w:rPr>
          <w:rFonts w:hint="eastAsia" w:ascii="宋体" w:hAnsi="宋体" w:cs="宋体"/>
          <w:color w:val="auto"/>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地址：</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承诺日期：</w:t>
      </w:r>
    </w:p>
    <w:p>
      <w:pPr>
        <w:pStyle w:val="2"/>
        <w:spacing w:line="360" w:lineRule="auto"/>
        <w:rPr>
          <w:color w:val="auto"/>
          <w:highlight w:val="none"/>
          <w:lang w:val="fr-CH"/>
        </w:rPr>
      </w:pPr>
    </w:p>
    <w:p>
      <w:pPr>
        <w:tabs>
          <w:tab w:val="left" w:pos="640"/>
          <w:tab w:val="left" w:pos="1260"/>
          <w:tab w:val="left" w:pos="1418"/>
        </w:tabs>
        <w:spacing w:line="360" w:lineRule="auto"/>
        <w:rPr>
          <w:rFonts w:ascii="宋体" w:hAnsi="宋体" w:cs="宋体"/>
          <w:color w:val="auto"/>
          <w:sz w:val="24"/>
          <w:highlight w:val="none"/>
          <w:lang w:val="fr-CH"/>
        </w:rPr>
      </w:pPr>
    </w:p>
    <w:p>
      <w:pPr>
        <w:tabs>
          <w:tab w:val="left" w:pos="640"/>
          <w:tab w:val="left" w:pos="1260"/>
          <w:tab w:val="left" w:pos="1418"/>
        </w:tabs>
        <w:spacing w:line="360" w:lineRule="auto"/>
        <w:rPr>
          <w:rFonts w:ascii="宋体" w:hAnsi="宋体" w:cs="宋体"/>
          <w:color w:val="auto"/>
          <w:sz w:val="24"/>
          <w:highlight w:val="none"/>
        </w:rPr>
      </w:pPr>
      <w:r>
        <w:rPr>
          <w:rFonts w:hint="eastAsia" w:ascii="宋体" w:hAnsi="宋体" w:cs="宋体"/>
          <w:color w:val="auto"/>
          <w:sz w:val="24"/>
          <w:highlight w:val="none"/>
          <w:lang w:val="fr-CH"/>
        </w:rPr>
        <w:br w:type="page"/>
      </w:r>
    </w:p>
    <w:p>
      <w:pPr>
        <w:widowControl/>
        <w:autoSpaceDE w:val="0"/>
        <w:autoSpaceDN w:val="0"/>
        <w:spacing w:line="360" w:lineRule="auto"/>
        <w:ind w:right="26"/>
        <w:jc w:val="center"/>
        <w:textAlignment w:val="bottom"/>
        <w:rPr>
          <w:rFonts w:hint="eastAsia" w:ascii="宋体" w:hAnsi="宋体" w:eastAsia="宋体" w:cs="宋体"/>
          <w:b/>
          <w:bCs/>
          <w:color w:val="auto"/>
          <w:sz w:val="24"/>
          <w:highlight w:val="none"/>
          <w:lang w:val="fr-CH"/>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fr-CH"/>
        </w:rPr>
        <w:t>投标人简介</w:t>
      </w:r>
    </w:p>
    <w:p>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供应商基本情况表</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color w:val="auto"/>
          <w:sz w:val="28"/>
          <w:szCs w:val="36"/>
          <w:highlight w:val="none"/>
        </w:rPr>
      </w:pPr>
      <w:r>
        <w:rPr>
          <w:rFonts w:hint="eastAsia"/>
          <w:b/>
          <w:bCs/>
          <w:color w:val="auto"/>
          <w:sz w:val="28"/>
          <w:szCs w:val="36"/>
          <w:highlight w:val="none"/>
        </w:rPr>
        <w:t>填表单位：（加盖单位公章）</w:t>
      </w:r>
      <w:r>
        <w:rPr>
          <w:rFonts w:hint="eastAsia"/>
          <w:b/>
          <w:bCs/>
          <w:color w:val="auto"/>
          <w:sz w:val="28"/>
          <w:szCs w:val="36"/>
          <w:highlight w:val="none"/>
        </w:rPr>
        <w:tab/>
      </w:r>
      <w:r>
        <w:rPr>
          <w:rFonts w:hint="eastAsia"/>
          <w:b/>
          <w:bCs/>
          <w:color w:val="auto"/>
          <w:sz w:val="28"/>
          <w:szCs w:val="36"/>
          <w:highlight w:val="none"/>
        </w:rPr>
        <w:tab/>
      </w:r>
      <w:r>
        <w:rPr>
          <w:rFonts w:hint="eastAsia"/>
          <w:b/>
          <w:bCs/>
          <w:color w:val="auto"/>
          <w:sz w:val="28"/>
          <w:szCs w:val="36"/>
          <w:highlight w:val="none"/>
        </w:rPr>
        <w:t xml:space="preserve">   填表日期：    年   月   日</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282" w:type="dxa"/>
            <w:gridSpan w:val="2"/>
            <w:noWrap w:val="0"/>
            <w:vAlign w:val="center"/>
          </w:tcPr>
          <w:p>
            <w:pPr>
              <w:pStyle w:val="6"/>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color w:val="auto"/>
          <w:szCs w:val="21"/>
          <w:highlight w:val="none"/>
        </w:rPr>
      </w:pPr>
      <w:r>
        <w:rPr>
          <w:rFonts w:hint="eastAsia" w:ascii="宋体" w:hAnsi="宋体"/>
          <w:b/>
          <w:bCs/>
          <w:color w:val="auto"/>
          <w:szCs w:val="21"/>
          <w:highlight w:val="none"/>
        </w:rPr>
        <w:t>注：</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2、投标人需如实填写上述信息，如查实上述信息与实际不符，视为提供虚假证明材料骗取中标，投标人应承担相应法律后果。</w:t>
      </w:r>
    </w:p>
    <w:p>
      <w:pPr>
        <w:spacing w:line="440" w:lineRule="exact"/>
        <w:rPr>
          <w:rFonts w:ascii="宋体" w:hAnsi="宋体" w:eastAsia="宋体"/>
          <w:color w:val="auto"/>
          <w:highlight w:val="none"/>
        </w:rPr>
      </w:pPr>
    </w:p>
    <w:p>
      <w:pPr>
        <w:numPr>
          <w:ilvl w:val="0"/>
          <w:numId w:val="0"/>
        </w:num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eastAsia="宋体"/>
          <w:b/>
          <w:color w:val="auto"/>
          <w:highlight w:val="none"/>
        </w:rPr>
        <w:t>备注：</w:t>
      </w:r>
      <w:r>
        <w:rPr>
          <w:rFonts w:hint="eastAsia" w:ascii="宋体" w:hAnsi="宋体" w:eastAsia="宋体"/>
          <w:color w:val="auto"/>
          <w:highlight w:val="none"/>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val="fr-CH"/>
        </w:rPr>
        <w:t>、</w:t>
      </w:r>
      <w:r>
        <w:rPr>
          <w:rFonts w:hint="eastAsia" w:ascii="宋体" w:hAnsi="宋体" w:eastAsia="宋体" w:cs="宋体"/>
          <w:b/>
          <w:bCs/>
          <w:color w:val="auto"/>
          <w:kern w:val="2"/>
          <w:sz w:val="24"/>
          <w:highlight w:val="none"/>
          <w:lang w:val="fr-CH" w:bidi="ar"/>
        </w:rPr>
        <w:t>投标人同类项目经验情况</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val="fr-CH"/>
        </w:rPr>
        <w:t>、</w:t>
      </w:r>
      <w:r>
        <w:rPr>
          <w:rFonts w:hint="eastAsia" w:ascii="宋体" w:hAnsi="宋体" w:eastAsia="宋体" w:cs="宋体"/>
          <w:b/>
          <w:bCs/>
          <w:color w:val="auto"/>
          <w:kern w:val="2"/>
          <w:sz w:val="24"/>
          <w:highlight w:val="none"/>
          <w:lang w:val="fr-CH" w:bidi="ar"/>
        </w:rPr>
        <w:t>拟派本项目负责人（1人）</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fr-CH"/>
        </w:rPr>
        <w:t>、</w:t>
      </w:r>
      <w:r>
        <w:rPr>
          <w:rFonts w:hint="eastAsia" w:ascii="宋体" w:hAnsi="宋体" w:eastAsia="宋体" w:cs="宋体"/>
          <w:b/>
          <w:bCs/>
          <w:color w:val="auto"/>
          <w:kern w:val="2"/>
          <w:sz w:val="24"/>
          <w:highlight w:val="none"/>
          <w:lang w:val="fr-CH" w:bidi="ar"/>
        </w:rPr>
        <w:t>项目团队人员情况（不含项目负责人）</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eastAsia="zh-CN"/>
        </w:rPr>
        <w:t>1</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val="fr-CH" w:eastAsia="zh-CN"/>
        </w:rPr>
        <w:t>、</w:t>
      </w:r>
      <w:r>
        <w:rPr>
          <w:rFonts w:hint="eastAsia" w:ascii="宋体" w:hAnsi="宋体" w:cs="宋体"/>
          <w:b/>
          <w:bCs/>
          <w:color w:val="auto"/>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color w:val="auto"/>
          <w:sz w:val="24"/>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spacing w:line="360" w:lineRule="auto"/>
        <w:outlineLvl w:val="9"/>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spacing w:after="78" w:line="360" w:lineRule="auto"/>
        <w:jc w:val="center"/>
        <w:rPr>
          <w:rFonts w:ascii="宋体" w:hAnsi="宋体" w:cs="宋体"/>
          <w:b/>
          <w:bCs/>
          <w:color w:val="auto"/>
          <w:sz w:val="24"/>
          <w:highlight w:val="none"/>
          <w:lang w:val="fr-CH"/>
        </w:rPr>
      </w:pPr>
    </w:p>
    <w:p>
      <w:pPr>
        <w:spacing w:after="78" w:line="360" w:lineRule="auto"/>
        <w:jc w:val="center"/>
        <w:rPr>
          <w:rFonts w:ascii="宋体" w:hAnsi="宋体" w:cs="宋体"/>
          <w:b/>
          <w:bCs/>
          <w:color w:val="auto"/>
          <w:sz w:val="24"/>
          <w:highlight w:val="none"/>
          <w:lang w:val="fr-CH"/>
        </w:rPr>
      </w:pPr>
      <w:r>
        <w:rPr>
          <w:rFonts w:hint="eastAsia" w:ascii="宋体" w:hAnsi="宋体" w:cs="宋体"/>
          <w:b/>
          <w:bCs/>
          <w:color w:val="auto"/>
          <w:sz w:val="24"/>
          <w:highlight w:val="none"/>
        </w:rPr>
        <w:t>1、</w:t>
      </w:r>
      <w:r>
        <w:rPr>
          <w:rFonts w:hint="eastAsia" w:ascii="宋体" w:hAnsi="宋体" w:cs="宋体"/>
          <w:b/>
          <w:bCs/>
          <w:color w:val="auto"/>
          <w:sz w:val="24"/>
          <w:highlight w:val="none"/>
          <w:lang w:val="fr-CH"/>
        </w:rPr>
        <w:t>用户需求响应表</w:t>
      </w:r>
    </w:p>
    <w:p>
      <w:pPr>
        <w:spacing w:after="78" w:line="360" w:lineRule="auto"/>
        <w:rPr>
          <w:rFonts w:ascii="宋体" w:hAnsi="宋体" w:cs="宋体"/>
          <w:color w:val="auto"/>
          <w:sz w:val="24"/>
          <w:highlight w:val="none"/>
        </w:rPr>
      </w:pPr>
      <w:r>
        <w:rPr>
          <w:rFonts w:hint="eastAsia" w:ascii="宋体" w:hAnsi="宋体" w:cs="宋体"/>
          <w:color w:val="auto"/>
          <w:sz w:val="24"/>
          <w:highlight w:val="none"/>
        </w:rPr>
        <w:t>投标人名称____________________          招标编号____________________</w:t>
      </w: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p>
        </w:tc>
      </w:tr>
    </w:tbl>
    <w:p>
      <w:pPr>
        <w:spacing w:after="78" w:line="360" w:lineRule="auto"/>
        <w:rPr>
          <w:rFonts w:ascii="宋体" w:hAnsi="宋体" w:cs="宋体"/>
          <w:bCs/>
          <w:color w:val="auto"/>
          <w:sz w:val="24"/>
          <w:highlight w:val="none"/>
        </w:rPr>
      </w:pP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color w:val="auto"/>
          <w:sz w:val="24"/>
          <w:highlight w:val="none"/>
        </w:rPr>
      </w:pPr>
    </w:p>
    <w:p>
      <w:pPr>
        <w:pStyle w:val="10"/>
        <w:spacing w:line="360" w:lineRule="auto"/>
        <w:rPr>
          <w:rFonts w:hAnsi="宋体" w:cs="宋体"/>
          <w:bCs/>
          <w:color w:val="auto"/>
          <w:sz w:val="24"/>
          <w:highlight w:val="none"/>
        </w:rPr>
      </w:pPr>
    </w:p>
    <w:p>
      <w:pPr>
        <w:pStyle w:val="10"/>
        <w:spacing w:line="360" w:lineRule="auto"/>
        <w:ind w:firstLine="5760" w:firstLineChars="2400"/>
        <w:rPr>
          <w:rFonts w:hAnsi="宋体" w:cs="宋体"/>
          <w:bCs/>
          <w:color w:val="auto"/>
          <w:sz w:val="24"/>
          <w:highlight w:val="none"/>
        </w:rPr>
      </w:pPr>
      <w:r>
        <w:rPr>
          <w:rFonts w:hint="eastAsia" w:hAnsi="宋体" w:cs="宋体"/>
          <w:bCs/>
          <w:color w:val="auto"/>
          <w:sz w:val="24"/>
          <w:highlight w:val="none"/>
        </w:rPr>
        <w:t>供应商：（公章）</w:t>
      </w:r>
    </w:p>
    <w:p>
      <w:pPr>
        <w:spacing w:line="360" w:lineRule="auto"/>
        <w:ind w:firstLine="5589" w:firstLineChars="2329"/>
        <w:rPr>
          <w:rFonts w:ascii="宋体" w:hAnsi="宋体" w:cs="宋体"/>
          <w:bCs/>
          <w:color w:val="auto"/>
          <w:sz w:val="24"/>
          <w:highlight w:val="none"/>
        </w:rPr>
      </w:pPr>
      <w:r>
        <w:rPr>
          <w:rFonts w:hint="eastAsia" w:ascii="宋体" w:hAnsi="宋体" w:cs="宋体"/>
          <w:bCs/>
          <w:color w:val="auto"/>
          <w:sz w:val="24"/>
          <w:highlight w:val="none"/>
        </w:rPr>
        <w:t>日期：  年   月  日</w:t>
      </w:r>
    </w:p>
    <w:p>
      <w:pPr>
        <w:pStyle w:val="2"/>
        <w:spacing w:line="360" w:lineRule="auto"/>
        <w:rPr>
          <w:color w:val="auto"/>
          <w:highlight w:val="none"/>
          <w:lang w:val="fr-CH"/>
        </w:rPr>
      </w:pPr>
    </w:p>
    <w:p>
      <w:p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cs="宋体"/>
          <w:color w:val="auto"/>
          <w:sz w:val="24"/>
          <w:highlight w:val="none"/>
          <w:lang w:val="sq-AL"/>
        </w:rPr>
        <w:br w:type="page"/>
      </w:r>
      <w:r>
        <w:rPr>
          <w:rFonts w:hint="eastAsia" w:ascii="宋体" w:hAnsi="宋体" w:cs="宋体"/>
          <w:b/>
          <w:bCs/>
          <w:color w:val="auto"/>
          <w:sz w:val="24"/>
          <w:highlight w:val="none"/>
          <w:lang w:val="fr-CH"/>
        </w:rPr>
        <w:t>2、对项目需求的响应及理解（格式自拟）</w:t>
      </w:r>
    </w:p>
    <w:p>
      <w:p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fr-CH"/>
        </w:rPr>
        <w:t>、工作方案（项目背景、项目目标、研究方法、工作内容、成果构成）（格式自拟）</w:t>
      </w:r>
    </w:p>
    <w:p>
      <w:p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val="fr-CH"/>
        </w:rPr>
        <w:t>、项目重点难点分析、应对措施及相关的合理化建议（格式自拟）</w:t>
      </w:r>
    </w:p>
    <w:p>
      <w:p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lang w:val="fr-CH"/>
        </w:rPr>
        <w:t>、质量（完成时间、安全）保障措施及方案（格式自拟）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val="fr-CH"/>
        </w:rPr>
        <w:t>服务应急预案（格式自拟）</w:t>
      </w:r>
    </w:p>
    <w:p>
      <w:pPr>
        <w:tabs>
          <w:tab w:val="left" w:pos="640"/>
          <w:tab w:val="left" w:pos="1260"/>
          <w:tab w:val="left" w:pos="1418"/>
        </w:tabs>
        <w:spacing w:line="360" w:lineRule="auto"/>
        <w:rPr>
          <w:rFonts w:hint="eastAsia" w:ascii="宋体" w:hAnsi="宋体" w:cs="宋体"/>
          <w:b/>
          <w:bCs/>
          <w:color w:val="auto"/>
          <w:sz w:val="24"/>
          <w:highlight w:val="none"/>
          <w:lang w:val="fr-CH"/>
        </w:rPr>
      </w:pP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p>
    <w:p>
      <w:pP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br w:type="page"/>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lang w:val="fr-CH"/>
        </w:rPr>
        <w:t>、投标单位认为有必要提供的其他材料（</w:t>
      </w:r>
      <w:r>
        <w:rPr>
          <w:rFonts w:hint="eastAsia" w:ascii="宋体" w:hAnsi="宋体" w:cs="宋体"/>
          <w:b/>
          <w:bCs/>
          <w:color w:val="auto"/>
          <w:sz w:val="24"/>
          <w:highlight w:val="none"/>
          <w:lang w:val="en-US" w:eastAsia="zh-CN"/>
        </w:rPr>
        <w:t>包括但不限于以下内容</w:t>
      </w:r>
      <w:r>
        <w:rPr>
          <w:rFonts w:hint="eastAsia" w:ascii="宋体" w:hAnsi="宋体" w:cs="宋体"/>
          <w:b/>
          <w:bCs/>
          <w:color w:val="auto"/>
          <w:sz w:val="24"/>
          <w:highlight w:val="none"/>
          <w:lang w:val="fr-CH"/>
        </w:rPr>
        <w:t>）</w:t>
      </w:r>
    </w:p>
    <w:p>
      <w:pPr>
        <w:numPr>
          <w:ilvl w:val="0"/>
          <w:numId w:val="0"/>
        </w:numPr>
        <w:spacing w:line="44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最近三年本公司牵涉的主要诉讼案件</w:t>
      </w:r>
    </w:p>
    <w:p>
      <w:pPr>
        <w:spacing w:line="440" w:lineRule="exact"/>
        <w:jc w:val="left"/>
        <w:rPr>
          <w:rFonts w:hint="eastAsia" w:ascii="宋体" w:hAnsi="宋体"/>
          <w:color w:val="auto"/>
          <w:szCs w:val="21"/>
          <w:highlight w:val="none"/>
        </w:rPr>
      </w:pPr>
    </w:p>
    <w:p>
      <w:pPr>
        <w:spacing w:line="440" w:lineRule="exact"/>
        <w:jc w:val="left"/>
        <w:rPr>
          <w:rFonts w:hint="eastAsia" w:ascii="宋体" w:hAnsi="宋体"/>
          <w:color w:val="auto"/>
          <w:highlight w:val="none"/>
        </w:rPr>
      </w:pPr>
      <w:r>
        <w:rPr>
          <w:rFonts w:hint="eastAsia" w:ascii="宋体" w:hAnsi="宋体"/>
          <w:color w:val="auto"/>
          <w:szCs w:val="21"/>
          <w:highlight w:val="none"/>
        </w:rPr>
        <w:t>2、</w:t>
      </w:r>
      <w:r>
        <w:rPr>
          <w:rFonts w:hint="eastAsia" w:ascii="宋体" w:hAnsi="宋体"/>
          <w:b/>
          <w:bCs/>
          <w:color w:val="auto"/>
          <w:highlight w:val="none"/>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color w:val="auto"/>
          <w:highlight w:val="none"/>
        </w:rPr>
      </w:pPr>
      <w:r>
        <w:rPr>
          <w:rFonts w:hint="eastAsia" w:ascii="宋体" w:hAnsi="宋体"/>
          <w:color w:val="auto"/>
          <w:highlight w:val="none"/>
        </w:rPr>
        <w:t>注：</w:t>
      </w:r>
    </w:p>
    <w:p>
      <w:pPr>
        <w:spacing w:line="440" w:lineRule="exact"/>
        <w:jc w:val="left"/>
        <w:rPr>
          <w:rFonts w:hint="eastAsia" w:ascii="宋体" w:hAnsi="宋体"/>
          <w:color w:val="auto"/>
          <w:highlight w:val="none"/>
        </w:rPr>
      </w:pPr>
      <w:r>
        <w:rPr>
          <w:rFonts w:hint="eastAsia" w:ascii="宋体" w:hAnsi="宋体"/>
          <w:color w:val="auto"/>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color w:val="auto"/>
          <w:highlight w:val="none"/>
        </w:rPr>
      </w:pPr>
      <w:r>
        <w:rPr>
          <w:rFonts w:hint="eastAsia" w:ascii="宋体" w:hAnsi="宋体"/>
          <w:color w:val="auto"/>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color w:val="auto"/>
          <w:highlight w:val="none"/>
        </w:rPr>
      </w:pPr>
      <w:r>
        <w:rPr>
          <w:rFonts w:hint="eastAsia" w:ascii="宋体" w:hAnsi="宋体"/>
          <w:color w:val="auto"/>
          <w:highlight w:val="none"/>
        </w:rPr>
        <w:t>3.若为退休人员，提供退休证明。</w:t>
      </w:r>
    </w:p>
    <w:p>
      <w:pPr>
        <w:spacing w:line="440" w:lineRule="exact"/>
        <w:jc w:val="left"/>
        <w:rPr>
          <w:rFonts w:hint="eastAsia" w:ascii="宋体" w:hAnsi="宋体"/>
          <w:color w:val="auto"/>
          <w:highlight w:val="none"/>
        </w:rPr>
      </w:pPr>
      <w:r>
        <w:rPr>
          <w:rFonts w:hint="eastAsia" w:ascii="宋体" w:hAnsi="宋体"/>
          <w:color w:val="auto"/>
          <w:highlight w:val="none"/>
        </w:rPr>
        <w:t>4.如依法不需要缴纳社会保险的，应提供相应文件证明。</w:t>
      </w:r>
    </w:p>
    <w:p>
      <w:pPr>
        <w:spacing w:line="440" w:lineRule="exact"/>
        <w:jc w:val="left"/>
        <w:rPr>
          <w:rFonts w:hint="eastAsia" w:ascii="宋体" w:hAnsi="宋体"/>
          <w:color w:val="auto"/>
          <w:highlight w:val="none"/>
        </w:rPr>
      </w:pPr>
      <w:r>
        <w:rPr>
          <w:rFonts w:hint="eastAsia" w:ascii="宋体" w:hAnsi="宋体"/>
          <w:color w:val="auto"/>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color w:val="auto"/>
          <w:highlight w:val="none"/>
        </w:rPr>
      </w:pPr>
      <w:r>
        <w:rPr>
          <w:rFonts w:hint="eastAsia" w:ascii="宋体" w:hAnsi="宋体"/>
          <w:color w:val="auto"/>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.如是联合体投标的，需提供各方的。</w:t>
      </w:r>
    </w:p>
    <w:p>
      <w:pPr>
        <w:spacing w:line="440" w:lineRule="exact"/>
        <w:jc w:val="left"/>
        <w:rPr>
          <w:rFonts w:hint="eastAsia" w:ascii="宋体" w:hAnsi="宋体"/>
          <w:color w:val="auto"/>
          <w:highlight w:val="none"/>
        </w:rPr>
      </w:pPr>
    </w:p>
    <w:p>
      <w:pPr>
        <w:tabs>
          <w:tab w:val="left" w:pos="640"/>
          <w:tab w:val="left" w:pos="1260"/>
          <w:tab w:val="left" w:pos="1418"/>
        </w:tabs>
        <w:spacing w:line="360" w:lineRule="auto"/>
        <w:rPr>
          <w:rFonts w:ascii="宋体" w:hAnsi="宋体" w:cs="宋体"/>
          <w:b/>
          <w:bCs/>
          <w:color w:val="auto"/>
          <w:sz w:val="24"/>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其他招标文件要求和投标人认为有必要的内容</w:t>
      </w:r>
      <w:r>
        <w:rPr>
          <w:rFonts w:hint="eastAsia" w:ascii="宋体" w:hAnsi="宋体" w:cs="宋体"/>
          <w:color w:val="auto"/>
          <w:sz w:val="24"/>
          <w:highlight w:val="none"/>
          <w:lang w:val="fr-CH"/>
        </w:rPr>
        <w:br w:type="page"/>
      </w:r>
      <w:r>
        <w:rPr>
          <w:rFonts w:hint="eastAsia" w:ascii="宋体" w:hAnsi="宋体" w:cs="宋体"/>
          <w:b/>
          <w:bCs/>
          <w:color w:val="auto"/>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color w:val="auto"/>
          <w:sz w:val="24"/>
          <w:highlight w:val="none"/>
        </w:rPr>
      </w:pPr>
      <w:r>
        <w:rPr>
          <w:rFonts w:hint="eastAsia" w:ascii="宋体" w:hAnsi="宋体" w:cs="宋体"/>
          <w:color w:val="auto"/>
          <w:sz w:val="24"/>
          <w:highlight w:val="none"/>
          <w:lang w:val="fr-CH"/>
        </w:rPr>
        <w:br w:type="page"/>
      </w:r>
      <w:bookmarkEnd w:id="26"/>
      <w:bookmarkStart w:id="31" w:name="_Toc6251"/>
      <w:bookmarkStart w:id="32" w:name="_Toc3166"/>
      <w:r>
        <w:rPr>
          <w:rFonts w:hint="eastAsia" w:ascii="宋体" w:hAnsi="宋体" w:cs="宋体"/>
          <w:b/>
          <w:bCs/>
          <w:color w:val="auto"/>
          <w:sz w:val="24"/>
          <w:highlight w:val="none"/>
        </w:rPr>
        <w:t>附件：相关政策</w:t>
      </w:r>
      <w:bookmarkEnd w:id="31"/>
      <w:bookmarkEnd w:id="32"/>
    </w:p>
    <w:p>
      <w:pPr>
        <w:tabs>
          <w:tab w:val="left" w:pos="360"/>
        </w:tabs>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ascii="宋体" w:hAnsi="宋体" w:cs="宋体"/>
          <w:color w:val="auto"/>
          <w:sz w:val="24"/>
          <w:highlight w:val="none"/>
        </w:rPr>
      </w:pPr>
    </w:p>
    <w:p>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spacing w:line="360" w:lineRule="auto"/>
        <w:jc w:val="left"/>
        <w:rPr>
          <w:rFonts w:ascii="宋体" w:hAnsi="宋体" w:cs="宋体"/>
          <w:color w:val="auto"/>
          <w:kern w:val="0"/>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符合下列情形之一的，可不专门面向中小企业预留采购</w:t>
      </w:r>
      <w:r>
        <w:rPr>
          <w:rFonts w:hint="eastAsia" w:ascii="宋体" w:hAnsi="宋体" w:cs="宋体"/>
          <w:color w:val="auto"/>
          <w:sz w:val="24"/>
          <w:highlight w:val="none"/>
        </w:rPr>
        <w:t>份额：</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（四）框架协议采购项目；</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第七条</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（一）将采购项目整体或者设置采购包专门面向中小企业采购；</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（六）明确采购标的对应的中小企业划分标准所属行业；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（七）法律法规和省级以上人民政府财政部门规定的其他事项。</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ascii="宋体" w:hAnsi="宋体" w:cs="宋体"/>
          <w:color w:val="auto"/>
          <w:sz w:val="24"/>
          <w:highlight w:val="none"/>
        </w:rPr>
      </w:pP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附：1.中小企业声明函</w:t>
      </w:r>
    </w:p>
    <w:p>
      <w:pPr>
        <w:pStyle w:val="2"/>
        <w:tabs>
          <w:tab w:val="left" w:pos="562"/>
          <w:tab w:val="left" w:pos="3372"/>
          <w:tab w:val="left" w:pos="3653"/>
        </w:tabs>
        <w:spacing w:line="360" w:lineRule="auto"/>
        <w:ind w:firstLine="960" w:firstLineChars="400"/>
        <w:rPr>
          <w:rFonts w:ascii="宋体" w:hAnsi="宋体" w:cs="宋体"/>
          <w:color w:val="auto"/>
          <w:kern w:val="0"/>
          <w:sz w:val="24"/>
          <w:highlight w:val="none"/>
        </w:rPr>
      </w:pPr>
      <w:r>
        <w:rPr>
          <w:rFonts w:hint="eastAsia" w:ascii="宋体" w:hAnsi="宋体" w:cs="宋体"/>
          <w:color w:val="auto"/>
          <w:kern w:val="0"/>
          <w:sz w:val="24"/>
          <w:highlight w:val="none"/>
        </w:rPr>
        <w:t>2.面向中小企业预留项目执行情况公告</w:t>
      </w:r>
    </w:p>
    <w:p>
      <w:pPr>
        <w:pStyle w:val="2"/>
        <w:tabs>
          <w:tab w:val="left" w:pos="562"/>
          <w:tab w:val="left" w:pos="3372"/>
          <w:tab w:val="left" w:pos="3653"/>
        </w:tabs>
        <w:spacing w:before="30" w:line="360" w:lineRule="auto"/>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 1</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t>中小企业声明函（货物）</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kern w:val="0"/>
          <w:sz w:val="24"/>
          <w:highlight w:val="none"/>
        </w:rPr>
        <w:t>）；制造商为（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人，营业收入为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spacing w:val="-2"/>
          <w:sz w:val="24"/>
          <w:highlight w:val="none"/>
        </w:rPr>
        <w:t>）；制造商为（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color w:val="auto"/>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spacing w:line="360" w:lineRule="auto"/>
        <w:jc w:val="left"/>
        <w:rPr>
          <w:rFonts w:ascii="宋体" w:hAnsi="宋体" w:cs="宋体"/>
          <w:color w:val="auto"/>
          <w:spacing w:val="-2"/>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lang w:val="en-US" w:eastAsia="zh-CN"/>
        </w:rPr>
        <w:t xml:space="preserve">    </w:t>
      </w:r>
      <w:r>
        <w:rPr>
          <w:rFonts w:hint="eastAsia" w:ascii="宋体" w:hAnsi="宋体" w:cs="宋体"/>
          <w:color w:val="auto"/>
          <w:spacing w:val="-2"/>
          <w:sz w:val="24"/>
          <w:highlight w:val="none"/>
        </w:rPr>
        <w:t>）；承建（承接）企业为（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lang w:val="en-US" w:eastAsia="zh-CN"/>
        </w:rPr>
        <w:t xml:space="preserve">     </w:t>
      </w:r>
      <w:r>
        <w:rPr>
          <w:rFonts w:hint="eastAsia" w:ascii="宋体" w:hAnsi="宋体" w:cs="宋体"/>
          <w:color w:val="auto"/>
          <w:spacing w:val="-2"/>
          <w:sz w:val="24"/>
          <w:highlight w:val="none"/>
        </w:rPr>
        <w:t>） ；承建（承接）企业为（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color w:val="auto"/>
          <w:spacing w:val="-2"/>
          <w:sz w:val="24"/>
          <w:highlight w:val="none"/>
        </w:rPr>
      </w:pPr>
    </w:p>
    <w:p>
      <w:pPr>
        <w:pStyle w:val="2"/>
        <w:tabs>
          <w:tab w:val="left" w:pos="562"/>
          <w:tab w:val="left" w:pos="3372"/>
          <w:tab w:val="left" w:pos="3653"/>
        </w:tabs>
        <w:spacing w:line="360" w:lineRule="auto"/>
        <w:ind w:left="4200" w:leftChars="2000"/>
        <w:rPr>
          <w:rFonts w:ascii="宋体" w:hAnsi="宋体" w:cs="宋体"/>
          <w:color w:val="auto"/>
          <w:spacing w:val="-2"/>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spacing w:before="30" w:line="360" w:lineRule="auto"/>
        <w:rPr>
          <w:rFonts w:ascii="宋体" w:hAnsi="宋体" w:cs="宋体"/>
          <w:color w:val="auto"/>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r>
        <w:rPr>
          <w:rFonts w:hint="eastAsia" w:ascii="宋体" w:hAnsi="宋体" w:cs="宋体"/>
          <w:color w:val="auto"/>
          <w:sz w:val="24"/>
          <w:highlight w:val="none"/>
        </w:rPr>
        <w:br w:type="page"/>
      </w:r>
      <w:r>
        <w:rPr>
          <w:rFonts w:hint="eastAsia" w:ascii="宋体" w:hAnsi="宋体" w:cs="宋体"/>
          <w:b/>
          <w:bCs/>
          <w:color w:val="auto"/>
          <w:sz w:val="24"/>
          <w:highlight w:val="none"/>
        </w:rPr>
        <w:t>附 2</w:t>
      </w:r>
    </w:p>
    <w:p>
      <w:pPr>
        <w:jc w:val="center"/>
        <w:rPr>
          <w:rFonts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2"/>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w:t>
      </w:r>
      <w:r>
        <w:rPr>
          <w:rFonts w:hint="eastAsia" w:ascii="宋体" w:hAnsi="宋体" w:cs="宋体"/>
          <w:color w:val="auto"/>
          <w:spacing w:val="-47"/>
          <w:sz w:val="24"/>
          <w:highlight w:val="none"/>
        </w:rPr>
        <w:t xml:space="preserve"> 号</w:t>
      </w:r>
      <w:r>
        <w:rPr>
          <w:rFonts w:hint="eastAsia" w:ascii="宋体" w:hAnsi="宋体" w:cs="宋体"/>
          <w:color w:val="auto"/>
          <w:spacing w:val="-22"/>
          <w:sz w:val="24"/>
          <w:highlight w:val="none"/>
        </w:rPr>
        <w:t>）</w:t>
      </w:r>
      <w:r>
        <w:rPr>
          <w:rFonts w:hint="eastAsia" w:ascii="宋体" w:hAnsi="宋体" w:cs="宋体"/>
          <w:color w:val="auto"/>
          <w:spacing w:val="-7"/>
          <w:sz w:val="24"/>
          <w:highlight w:val="none"/>
        </w:rPr>
        <w:t>要求，现对本部门</w:t>
      </w:r>
      <w:r>
        <w:rPr>
          <w:rFonts w:hint="eastAsia" w:ascii="宋体" w:hAnsi="宋体" w:cs="宋体"/>
          <w:color w:val="auto"/>
          <w:spacing w:val="-3"/>
          <w:sz w:val="24"/>
          <w:highlight w:val="none"/>
        </w:rPr>
        <w:t>（</w:t>
      </w:r>
      <w:r>
        <w:rPr>
          <w:rFonts w:hint="eastAsia" w:ascii="宋体" w:hAnsi="宋体" w:cs="宋体"/>
          <w:color w:val="auto"/>
          <w:sz w:val="24"/>
          <w:highlight w:val="none"/>
        </w:rPr>
        <w:t>单位</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××年面向中小企业预留项目执行情况公告如下：</w:t>
      </w:r>
    </w:p>
    <w:p>
      <w:pPr>
        <w:pStyle w:val="2"/>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color w:val="auto"/>
          <w:sz w:val="24"/>
          <w:highlight w:val="none"/>
        </w:rPr>
      </w:pPr>
      <w:r>
        <w:rPr>
          <w:rFonts w:hint="eastAsia" w:ascii="宋体" w:hAnsi="宋体" w:cs="宋体"/>
          <w:b/>
          <w:bCs/>
          <w:color w:val="auto"/>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序号</w:t>
            </w:r>
          </w:p>
        </w:tc>
        <w:tc>
          <w:tcPr>
            <w:tcW w:w="1866"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项目名称</w:t>
            </w:r>
          </w:p>
        </w:tc>
        <w:tc>
          <w:tcPr>
            <w:tcW w:w="2010"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预留选项</w:t>
            </w:r>
          </w:p>
        </w:tc>
        <w:tc>
          <w:tcPr>
            <w:tcW w:w="2296"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86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restart"/>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866"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010"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296"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784"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r>
    </w:tbl>
    <w:p>
      <w:pPr>
        <w:pStyle w:val="2"/>
        <w:tabs>
          <w:tab w:val="left" w:pos="562"/>
          <w:tab w:val="left" w:pos="3372"/>
          <w:tab w:val="left" w:pos="3653"/>
        </w:tabs>
        <w:spacing w:before="128"/>
        <w:ind w:left="4220" w:right="1843"/>
        <w:rPr>
          <w:rFonts w:hint="eastAsia" w:ascii="宋体" w:hAnsi="宋体" w:cs="宋体"/>
          <w:color w:val="auto"/>
          <w:sz w:val="24"/>
          <w:highlight w:val="none"/>
        </w:rPr>
      </w:pPr>
    </w:p>
    <w:p>
      <w:pPr>
        <w:pStyle w:val="2"/>
        <w:tabs>
          <w:tab w:val="left" w:pos="562"/>
          <w:tab w:val="left" w:pos="3372"/>
          <w:tab w:val="left" w:pos="3653"/>
        </w:tabs>
        <w:spacing w:before="128"/>
        <w:ind w:left="4220" w:right="1843"/>
        <w:rPr>
          <w:rFonts w:hint="eastAsia" w:ascii="宋体" w:hAnsi="宋体" w:cs="宋体"/>
          <w:color w:val="auto"/>
          <w:sz w:val="24"/>
          <w:highlight w:val="none"/>
        </w:rPr>
      </w:pPr>
      <w:r>
        <w:rPr>
          <w:rFonts w:hint="eastAsia" w:ascii="宋体" w:hAnsi="宋体" w:cs="宋体"/>
          <w:color w:val="auto"/>
          <w:sz w:val="24"/>
          <w:highlight w:val="none"/>
        </w:rPr>
        <w:t xml:space="preserve">部门（单位）名称： </w:t>
      </w:r>
    </w:p>
    <w:p>
      <w:pPr>
        <w:pStyle w:val="2"/>
        <w:tabs>
          <w:tab w:val="left" w:pos="562"/>
          <w:tab w:val="left" w:pos="3372"/>
          <w:tab w:val="left" w:pos="3653"/>
        </w:tabs>
        <w:spacing w:before="128"/>
        <w:ind w:left="4220" w:right="1843"/>
        <w:rPr>
          <w:rFonts w:ascii="宋体" w:hAnsi="宋体" w:cs="宋体"/>
          <w:color w:val="auto"/>
          <w:sz w:val="24"/>
          <w:highlight w:val="none"/>
        </w:rPr>
      </w:pPr>
      <w:r>
        <w:rPr>
          <w:rFonts w:hint="eastAsia" w:ascii="宋体" w:hAnsi="宋体" w:cs="宋体"/>
          <w:color w:val="auto"/>
          <w:sz w:val="24"/>
          <w:highlight w:val="none"/>
        </w:rPr>
        <w:t>日期：</w:t>
      </w:r>
    </w:p>
    <w:p>
      <w:pPr>
        <w:pStyle w:val="2"/>
        <w:tabs>
          <w:tab w:val="left" w:pos="562"/>
          <w:tab w:val="left" w:pos="3372"/>
          <w:tab w:val="left" w:pos="3653"/>
        </w:tabs>
        <w:rPr>
          <w:rFonts w:ascii="宋体" w:hAnsi="宋体" w:cs="宋体"/>
          <w:color w:val="auto"/>
          <w:sz w:val="24"/>
          <w:highlight w:val="none"/>
        </w:rPr>
      </w:pPr>
    </w:p>
    <w:p>
      <w:pPr>
        <w:pStyle w:val="17"/>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w:t>
      </w:r>
      <w:r>
        <w:rPr>
          <w:rFonts w:hint="eastAsia" w:ascii="宋体" w:hAnsi="宋体" w:cs="宋体"/>
          <w:b/>
          <w:bCs/>
          <w:color w:val="auto"/>
          <w:sz w:val="24"/>
          <w:highlight w:val="none"/>
          <w:lang w:val="en-US" w:eastAsia="zh-CN"/>
        </w:rPr>
        <w:t>和</w:t>
      </w:r>
      <w:r>
        <w:rPr>
          <w:rFonts w:hint="eastAsia" w:ascii="宋体" w:hAnsi="宋体" w:cs="宋体"/>
          <w:b/>
          <w:bCs/>
          <w:color w:val="auto"/>
          <w:sz w:val="24"/>
          <w:highlight w:val="none"/>
        </w:rPr>
        <w:t>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工信部联企业〔2011〕300号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工业和信息化部 国家统计局</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国家发展和改革委员会 财政部</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二○一一年六月十八日</w:t>
      </w:r>
    </w:p>
    <w:p>
      <w:pPr>
        <w:spacing w:line="360" w:lineRule="auto"/>
        <w:ind w:firstLine="480" w:firstLineChars="200"/>
        <w:rPr>
          <w:rFonts w:ascii="宋体" w:hAnsi="宋体" w:cs="宋体"/>
          <w:color w:val="auto"/>
          <w:sz w:val="24"/>
          <w:highlight w:val="none"/>
        </w:rPr>
      </w:pPr>
    </w:p>
    <w:p>
      <w:pPr>
        <w:pStyle w:val="2"/>
        <w:rPr>
          <w:rFonts w:ascii="宋体" w:hAnsi="宋体" w:cs="宋体"/>
          <w:color w:val="auto"/>
          <w:sz w:val="24"/>
          <w:highlight w:val="none"/>
        </w:rPr>
      </w:pPr>
    </w:p>
    <w:p>
      <w:pPr>
        <w:rPr>
          <w:rFonts w:ascii="宋体" w:hAnsi="宋体" w:cs="宋体"/>
          <w:color w:val="auto"/>
          <w:sz w:val="24"/>
          <w:highlight w:val="none"/>
        </w:rPr>
      </w:pPr>
    </w:p>
    <w:p>
      <w:pPr>
        <w:pStyle w:val="2"/>
        <w:rPr>
          <w:rFonts w:ascii="宋体" w:hAnsi="宋体" w:cs="宋体"/>
          <w:color w:val="auto"/>
          <w:sz w:val="24"/>
          <w:highlight w:val="none"/>
        </w:rPr>
      </w:pPr>
    </w:p>
    <w:p>
      <w:pPr>
        <w:rPr>
          <w:rFonts w:ascii="宋体" w:hAnsi="宋体" w:cs="宋体"/>
          <w:color w:val="auto"/>
          <w:sz w:val="24"/>
          <w:highlight w:val="none"/>
        </w:rPr>
      </w:pPr>
    </w:p>
    <w:p>
      <w:pPr>
        <w:rPr>
          <w:color w:val="auto"/>
          <w:highlight w:val="none"/>
        </w:rPr>
      </w:pPr>
    </w:p>
    <w:p>
      <w:pPr>
        <w:pStyle w:val="2"/>
        <w:rPr>
          <w:color w:val="auto"/>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color w:val="auto"/>
          <w:sz w:val="24"/>
          <w:highlight w:val="none"/>
        </w:rPr>
      </w:pPr>
    </w:p>
    <w:p>
      <w:pPr>
        <w:pStyle w:val="17"/>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color w:val="auto"/>
          <w:kern w:val="0"/>
          <w:sz w:val="24"/>
          <w:highlight w:val="none"/>
        </w:rPr>
      </w:pPr>
    </w:p>
    <w:p>
      <w:pPr>
        <w:widowControl/>
        <w:shd w:val="clear" w:color="auto" w:fill="FFFFFF"/>
        <w:spacing w:line="360" w:lineRule="auto"/>
        <w:jc w:val="center"/>
        <w:rPr>
          <w:rFonts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2"/>
        <w:rPr>
          <w:rFonts w:ascii="宋体" w:hAnsi="宋体" w:cs="宋体"/>
          <w:color w:val="auto"/>
          <w:kern w:val="0"/>
          <w:sz w:val="24"/>
          <w:highlight w:val="none"/>
        </w:rPr>
      </w:pPr>
    </w:p>
    <w:p>
      <w:pPr>
        <w:rPr>
          <w:rFonts w:ascii="宋体" w:hAnsi="宋体" w:cs="宋体"/>
          <w:color w:val="auto"/>
          <w:kern w:val="0"/>
          <w:sz w:val="24"/>
          <w:highlight w:val="none"/>
        </w:rPr>
      </w:pPr>
    </w:p>
    <w:p>
      <w:pPr>
        <w:pStyle w:val="2"/>
        <w:rPr>
          <w:rFonts w:ascii="宋体" w:hAnsi="宋体" w:cs="宋体"/>
          <w:color w:val="auto"/>
          <w:kern w:val="0"/>
          <w:sz w:val="24"/>
          <w:highlight w:val="none"/>
        </w:rPr>
      </w:pPr>
    </w:p>
    <w:p>
      <w:pPr>
        <w:rPr>
          <w:color w:val="auto"/>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spacing w:line="360" w:lineRule="auto"/>
        <w:jc w:val="left"/>
        <w:rPr>
          <w:rFonts w:ascii="宋体" w:hAnsi="宋体" w:cs="宋体"/>
          <w:color w:val="auto"/>
          <w:kern w:val="0"/>
          <w:sz w:val="24"/>
          <w:highlight w:val="none"/>
        </w:rPr>
      </w:pPr>
    </w:p>
    <w:p>
      <w:pPr>
        <w:pStyle w:val="2"/>
        <w:rPr>
          <w:color w:val="auto"/>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附表：</w:t>
      </w:r>
    </w:p>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ascii="宋体" w:hAnsi="宋体" w:cs="宋体"/>
          <w:color w:val="auto"/>
          <w:sz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color w:val="auto"/>
          <w:sz w:val="24"/>
          <w:highlight w:val="none"/>
        </w:rPr>
      </w:pPr>
    </w:p>
    <w:p>
      <w:pPr>
        <w:shd w:val="clear" w:color="auto" w:fill="FFFFFF"/>
        <w:spacing w:line="360" w:lineRule="auto"/>
        <w:rPr>
          <w:rFonts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6"/>
        <w:shd w:val="clear" w:color="auto" w:fill="FFFFFF"/>
        <w:spacing w:before="0" w:beforeAutospacing="0" w:after="0" w:afterAutospacing="0" w:line="360" w:lineRule="auto"/>
        <w:jc w:val="center"/>
        <w:rPr>
          <w:color w:val="auto"/>
          <w:highlight w:val="none"/>
        </w:rPr>
      </w:pPr>
      <w:r>
        <w:rPr>
          <w:rFonts w:hint="eastAsia"/>
          <w:color w:val="auto"/>
          <w:highlight w:val="none"/>
        </w:rPr>
        <w:t>　　</w:t>
      </w:r>
      <w:bookmarkStart w:id="33" w:name="sendNo"/>
      <w:r>
        <w:rPr>
          <w:rFonts w:hint="eastAsia"/>
          <w:color w:val="auto"/>
          <w:highlight w:val="none"/>
        </w:rPr>
        <w:t>财库〔</w:t>
      </w:r>
      <w:bookmarkEnd w:id="33"/>
      <w:r>
        <w:rPr>
          <w:rFonts w:hint="eastAsia"/>
          <w:color w:val="auto"/>
          <w:highlight w:val="none"/>
        </w:rPr>
        <w:t>2017〕141号</w:t>
      </w:r>
    </w:p>
    <w:p>
      <w:pPr>
        <w:pStyle w:val="16"/>
        <w:shd w:val="clear" w:color="auto" w:fill="FFFFFF"/>
        <w:spacing w:before="0" w:beforeAutospacing="0" w:after="0" w:afterAutospacing="0" w:line="360" w:lineRule="auto"/>
        <w:ind w:firstLine="480" w:firstLineChars="200"/>
        <w:rPr>
          <w:color w:val="auto"/>
          <w:highlight w:val="none"/>
        </w:rPr>
      </w:pPr>
      <w:bookmarkStart w:id="34"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4"/>
      <w:r>
        <w:rPr>
          <w:rFonts w:hint="eastAsia"/>
          <w:color w:val="auto"/>
          <w:highlight w:val="none"/>
        </w:rPr>
        <w:t>：</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2017年8月22日</w:t>
      </w: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rPr>
          <w:color w:val="auto"/>
          <w:highlight w:val="none"/>
        </w:rPr>
      </w:pPr>
      <w:r>
        <w:rPr>
          <w:rFonts w:hint="eastAsia"/>
          <w:color w:val="auto"/>
          <w:highlight w:val="none"/>
        </w:rPr>
        <w:br w:type="page"/>
      </w:r>
    </w:p>
    <w:p>
      <w:pPr>
        <w:pStyle w:val="31"/>
        <w:shd w:val="clear" w:color="auto" w:fill="FFFFFF"/>
        <w:spacing w:before="0" w:beforeAutospacing="0" w:after="0" w:afterAutospacing="0" w:line="360" w:lineRule="auto"/>
        <w:jc w:val="both"/>
        <w:rPr>
          <w:color w:val="auto"/>
          <w:highlight w:val="none"/>
        </w:rPr>
      </w:pPr>
      <w:r>
        <w:rPr>
          <w:rFonts w:hint="eastAsia"/>
          <w:color w:val="auto"/>
          <w:highlight w:val="none"/>
        </w:rPr>
        <w:t>附件：</w:t>
      </w:r>
    </w:p>
    <w:p>
      <w:pPr>
        <w:pStyle w:val="31"/>
        <w:shd w:val="clear" w:color="auto" w:fill="FFFFFF"/>
        <w:spacing w:before="0" w:beforeAutospacing="0" w:after="0" w:afterAutospacing="0" w:line="360" w:lineRule="auto"/>
        <w:ind w:firstLine="482" w:firstLineChars="200"/>
        <w:jc w:val="center"/>
        <w:rPr>
          <w:color w:val="auto"/>
          <w:highlight w:val="none"/>
        </w:rPr>
      </w:pPr>
      <w:r>
        <w:rPr>
          <w:rStyle w:val="32"/>
          <w:rFonts w:hint="eastAsia"/>
          <w:b/>
          <w:bCs/>
          <w:color w:val="auto"/>
          <w:highlight w:val="none"/>
        </w:rPr>
        <w:t>残疾人福利性单位声明函</w:t>
      </w:r>
    </w:p>
    <w:p>
      <w:pPr>
        <w:pStyle w:val="31"/>
        <w:shd w:val="clear" w:color="auto" w:fill="FFFFFF"/>
        <w:spacing w:before="0" w:beforeAutospacing="0" w:after="0" w:afterAutospacing="0" w:line="360" w:lineRule="auto"/>
        <w:ind w:firstLine="480" w:firstLineChars="200"/>
        <w:jc w:val="both"/>
        <w:rPr>
          <w:color w:val="auto"/>
          <w:highlight w:val="none"/>
        </w:rPr>
      </w:pPr>
    </w:p>
    <w:p>
      <w:pPr>
        <w:pStyle w:val="31"/>
        <w:shd w:val="clear" w:color="auto" w:fill="FFFFFF"/>
        <w:spacing w:before="0" w:beforeAutospacing="0" w:after="0" w:afterAutospacing="0" w:line="360" w:lineRule="auto"/>
        <w:ind w:firstLine="480" w:firstLineChars="200"/>
        <w:jc w:val="both"/>
        <w:rPr>
          <w:color w:val="auto"/>
          <w:highlight w:val="none"/>
        </w:rPr>
      </w:pPr>
      <w:r>
        <w:rPr>
          <w:rStyle w:val="32"/>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color w:val="auto"/>
          <w:highlight w:val="none"/>
        </w:rPr>
      </w:pPr>
      <w:r>
        <w:rPr>
          <w:rStyle w:val="32"/>
          <w:rFonts w:hint="eastAsia"/>
          <w:color w:val="auto"/>
          <w:highlight w:val="none"/>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color w:val="auto"/>
          <w:highlight w:val="none"/>
        </w:rPr>
      </w:pPr>
    </w:p>
    <w:p>
      <w:pPr>
        <w:pStyle w:val="31"/>
        <w:shd w:val="clear" w:color="auto" w:fill="FFFFFF"/>
        <w:spacing w:before="0" w:beforeAutospacing="0" w:after="0" w:afterAutospacing="0" w:line="360" w:lineRule="auto"/>
        <w:ind w:right="2100" w:rightChars="1000"/>
        <w:jc w:val="right"/>
        <w:rPr>
          <w:color w:val="auto"/>
          <w:highlight w:val="none"/>
        </w:rPr>
      </w:pPr>
      <w:r>
        <w:rPr>
          <w:rStyle w:val="32"/>
          <w:rFonts w:hint="eastAsia"/>
          <w:color w:val="auto"/>
          <w:highlight w:val="none"/>
        </w:rPr>
        <w:t>单位名称（盖章）：</w:t>
      </w:r>
    </w:p>
    <w:p>
      <w:pPr>
        <w:pStyle w:val="31"/>
        <w:shd w:val="clear" w:color="auto" w:fill="FFFFFF"/>
        <w:spacing w:before="0" w:beforeAutospacing="0" w:after="0" w:afterAutospacing="0" w:line="360" w:lineRule="auto"/>
        <w:ind w:right="2100" w:rightChars="1000"/>
        <w:jc w:val="right"/>
        <w:rPr>
          <w:color w:val="auto"/>
          <w:highlight w:val="none"/>
          <w:lang w:val="fr-CH"/>
        </w:rPr>
      </w:pPr>
      <w:r>
        <w:rPr>
          <w:rStyle w:val="32"/>
          <w:rFonts w:hint="eastAsia"/>
          <w:color w:val="auto"/>
          <w:highlight w:val="none"/>
        </w:rPr>
        <w:t>日 期：</w:t>
      </w:r>
    </w:p>
    <w:p>
      <w:pPr>
        <w:tabs>
          <w:tab w:val="left" w:pos="640"/>
          <w:tab w:val="left" w:pos="1260"/>
          <w:tab w:val="left" w:pos="1418"/>
        </w:tabs>
        <w:spacing w:line="360" w:lineRule="auto"/>
        <w:ind w:right="-420" w:rightChars="-200"/>
        <w:rPr>
          <w:rFonts w:ascii="宋体" w:hAnsi="宋体" w:cs="宋体"/>
          <w:color w:val="auto"/>
          <w:sz w:val="24"/>
          <w:highlight w:val="none"/>
          <w:lang w:val="fr-CH"/>
        </w:rPr>
      </w:pPr>
    </w:p>
    <w:p>
      <w:pPr>
        <w:rPr>
          <w:color w:val="auto"/>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6CE87"/>
    <w:multiLevelType w:val="singleLevel"/>
    <w:tmpl w:val="8456CE87"/>
    <w:lvl w:ilvl="0" w:tentative="0">
      <w:start w:val="1"/>
      <w:numFmt w:val="chineseCounting"/>
      <w:suff w:val="nothing"/>
      <w:lvlText w:val="%1、"/>
      <w:lvlJc w:val="left"/>
      <w:rPr>
        <w:rFonts w:hint="eastAsia"/>
      </w:rPr>
    </w:lvl>
  </w:abstractNum>
  <w:abstractNum w:abstractNumId="1">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4"/>
  </w:num>
  <w:num w:numId="2">
    <w:abstractNumId w:val="7"/>
  </w:num>
  <w:num w:numId="3">
    <w:abstractNumId w:val="2"/>
  </w:num>
  <w:num w:numId="4">
    <w:abstractNumId w:val="1"/>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3752C8"/>
    <w:rsid w:val="00390C1F"/>
    <w:rsid w:val="00427844"/>
    <w:rsid w:val="00523433"/>
    <w:rsid w:val="00531F14"/>
    <w:rsid w:val="005B0D49"/>
    <w:rsid w:val="00621A13"/>
    <w:rsid w:val="00770252"/>
    <w:rsid w:val="007A52F5"/>
    <w:rsid w:val="00821404"/>
    <w:rsid w:val="00B7098E"/>
    <w:rsid w:val="00C26D89"/>
    <w:rsid w:val="00D05268"/>
    <w:rsid w:val="00E04AD1"/>
    <w:rsid w:val="00E75D82"/>
    <w:rsid w:val="010C37B8"/>
    <w:rsid w:val="01510345"/>
    <w:rsid w:val="016F05E9"/>
    <w:rsid w:val="01905378"/>
    <w:rsid w:val="01A11967"/>
    <w:rsid w:val="01BD17FD"/>
    <w:rsid w:val="02B9090A"/>
    <w:rsid w:val="02BD3216"/>
    <w:rsid w:val="031107FC"/>
    <w:rsid w:val="03344889"/>
    <w:rsid w:val="03510688"/>
    <w:rsid w:val="03C80805"/>
    <w:rsid w:val="04220A01"/>
    <w:rsid w:val="05024E58"/>
    <w:rsid w:val="05690583"/>
    <w:rsid w:val="05BE1FE7"/>
    <w:rsid w:val="05D84CA5"/>
    <w:rsid w:val="05EB2641"/>
    <w:rsid w:val="063313B4"/>
    <w:rsid w:val="07552703"/>
    <w:rsid w:val="077AF5D6"/>
    <w:rsid w:val="07BB105D"/>
    <w:rsid w:val="07D06FDE"/>
    <w:rsid w:val="07DB29DD"/>
    <w:rsid w:val="085A6660"/>
    <w:rsid w:val="086A2F6F"/>
    <w:rsid w:val="088C4E09"/>
    <w:rsid w:val="08941CC3"/>
    <w:rsid w:val="08C71150"/>
    <w:rsid w:val="08D31906"/>
    <w:rsid w:val="09153CCC"/>
    <w:rsid w:val="09173EE8"/>
    <w:rsid w:val="09A36B41"/>
    <w:rsid w:val="0A183285"/>
    <w:rsid w:val="0AD025A1"/>
    <w:rsid w:val="0B1A27AE"/>
    <w:rsid w:val="0B30205B"/>
    <w:rsid w:val="0B9650E5"/>
    <w:rsid w:val="0BB30DED"/>
    <w:rsid w:val="0BB772BD"/>
    <w:rsid w:val="0BCC6A37"/>
    <w:rsid w:val="0BD45EF5"/>
    <w:rsid w:val="0BF67D6A"/>
    <w:rsid w:val="0C4D7368"/>
    <w:rsid w:val="0C6C4A39"/>
    <w:rsid w:val="0CCB3933"/>
    <w:rsid w:val="0D376BE5"/>
    <w:rsid w:val="0D411534"/>
    <w:rsid w:val="0DB46393"/>
    <w:rsid w:val="0DBFF8A4"/>
    <w:rsid w:val="0E0636C2"/>
    <w:rsid w:val="0E541CB6"/>
    <w:rsid w:val="0EDB7E39"/>
    <w:rsid w:val="0F226313"/>
    <w:rsid w:val="0F260153"/>
    <w:rsid w:val="0F9B909F"/>
    <w:rsid w:val="0FA94F43"/>
    <w:rsid w:val="0FBC28CC"/>
    <w:rsid w:val="0FFE3C2D"/>
    <w:rsid w:val="10762E0F"/>
    <w:rsid w:val="10C12E9A"/>
    <w:rsid w:val="11184B23"/>
    <w:rsid w:val="1149469A"/>
    <w:rsid w:val="12117034"/>
    <w:rsid w:val="122F0D51"/>
    <w:rsid w:val="126D9995"/>
    <w:rsid w:val="12EA61D9"/>
    <w:rsid w:val="12ED74B0"/>
    <w:rsid w:val="12F47048"/>
    <w:rsid w:val="12F47908"/>
    <w:rsid w:val="139E0D62"/>
    <w:rsid w:val="13BB0907"/>
    <w:rsid w:val="140D3389"/>
    <w:rsid w:val="14F9525F"/>
    <w:rsid w:val="15297246"/>
    <w:rsid w:val="156E66B6"/>
    <w:rsid w:val="15787C5B"/>
    <w:rsid w:val="162D45A8"/>
    <w:rsid w:val="16816E45"/>
    <w:rsid w:val="168B5553"/>
    <w:rsid w:val="1717300A"/>
    <w:rsid w:val="175D30A4"/>
    <w:rsid w:val="178E628A"/>
    <w:rsid w:val="17974DC1"/>
    <w:rsid w:val="1797A8E8"/>
    <w:rsid w:val="17AFCD58"/>
    <w:rsid w:val="17BF9709"/>
    <w:rsid w:val="17DFB82A"/>
    <w:rsid w:val="17E41A7D"/>
    <w:rsid w:val="17F917F2"/>
    <w:rsid w:val="18235CAA"/>
    <w:rsid w:val="18270E2D"/>
    <w:rsid w:val="182D42C1"/>
    <w:rsid w:val="18B65219"/>
    <w:rsid w:val="18BD7EDC"/>
    <w:rsid w:val="18BE612E"/>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215235"/>
    <w:rsid w:val="1C381D54"/>
    <w:rsid w:val="1CAF6DFF"/>
    <w:rsid w:val="1CBF97F2"/>
    <w:rsid w:val="1D087A91"/>
    <w:rsid w:val="1D9A259A"/>
    <w:rsid w:val="1DEBDB17"/>
    <w:rsid w:val="1E2C0FC6"/>
    <w:rsid w:val="1E4210A3"/>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725D08"/>
    <w:rsid w:val="2185500C"/>
    <w:rsid w:val="21A92B96"/>
    <w:rsid w:val="2260669D"/>
    <w:rsid w:val="227D45A9"/>
    <w:rsid w:val="229D6DB5"/>
    <w:rsid w:val="22E21BC4"/>
    <w:rsid w:val="2374556A"/>
    <w:rsid w:val="23BF0D43"/>
    <w:rsid w:val="23D13C15"/>
    <w:rsid w:val="23D64C00"/>
    <w:rsid w:val="24495099"/>
    <w:rsid w:val="248D3582"/>
    <w:rsid w:val="25747400"/>
    <w:rsid w:val="25801095"/>
    <w:rsid w:val="25D977F1"/>
    <w:rsid w:val="260D2D7B"/>
    <w:rsid w:val="263C7034"/>
    <w:rsid w:val="2675E140"/>
    <w:rsid w:val="26E2701C"/>
    <w:rsid w:val="26E31456"/>
    <w:rsid w:val="271C5A1C"/>
    <w:rsid w:val="271F938A"/>
    <w:rsid w:val="2734033D"/>
    <w:rsid w:val="27636103"/>
    <w:rsid w:val="276E6F72"/>
    <w:rsid w:val="27BE2A52"/>
    <w:rsid w:val="27E880B4"/>
    <w:rsid w:val="27F26299"/>
    <w:rsid w:val="27F55E0F"/>
    <w:rsid w:val="27FE33CE"/>
    <w:rsid w:val="28641D7B"/>
    <w:rsid w:val="286533D6"/>
    <w:rsid w:val="28977EA2"/>
    <w:rsid w:val="289A3AA3"/>
    <w:rsid w:val="28F72F97"/>
    <w:rsid w:val="29A1025D"/>
    <w:rsid w:val="2A3F4BF5"/>
    <w:rsid w:val="2AA607D0"/>
    <w:rsid w:val="2AADC391"/>
    <w:rsid w:val="2AAF4215"/>
    <w:rsid w:val="2AB928BF"/>
    <w:rsid w:val="2ADF707C"/>
    <w:rsid w:val="2AF54989"/>
    <w:rsid w:val="2B2B082F"/>
    <w:rsid w:val="2B7D0165"/>
    <w:rsid w:val="2BB9C8F2"/>
    <w:rsid w:val="2BFB6E8B"/>
    <w:rsid w:val="2BFFB032"/>
    <w:rsid w:val="2C252010"/>
    <w:rsid w:val="2C4F242F"/>
    <w:rsid w:val="2C5FE643"/>
    <w:rsid w:val="2C667A3B"/>
    <w:rsid w:val="2C7C2E07"/>
    <w:rsid w:val="2CD0422B"/>
    <w:rsid w:val="2D8C184B"/>
    <w:rsid w:val="2DAE0518"/>
    <w:rsid w:val="2DC86A18"/>
    <w:rsid w:val="2DDF7CF0"/>
    <w:rsid w:val="2DFF5839"/>
    <w:rsid w:val="2E3E806D"/>
    <w:rsid w:val="2E5F5866"/>
    <w:rsid w:val="2EBC3384"/>
    <w:rsid w:val="2EEF79C5"/>
    <w:rsid w:val="2EF45D6A"/>
    <w:rsid w:val="2EF7EE3A"/>
    <w:rsid w:val="2F212B1B"/>
    <w:rsid w:val="2F32348A"/>
    <w:rsid w:val="2F4C0476"/>
    <w:rsid w:val="2F6F2DA0"/>
    <w:rsid w:val="2F6F565C"/>
    <w:rsid w:val="2F7FF788"/>
    <w:rsid w:val="2F9B0E34"/>
    <w:rsid w:val="2FB77A4C"/>
    <w:rsid w:val="2FBE65BC"/>
    <w:rsid w:val="2FEAA120"/>
    <w:rsid w:val="2FFDCAA5"/>
    <w:rsid w:val="308A48AC"/>
    <w:rsid w:val="310061F3"/>
    <w:rsid w:val="31644F41"/>
    <w:rsid w:val="317F7117"/>
    <w:rsid w:val="319B575E"/>
    <w:rsid w:val="31B72E5C"/>
    <w:rsid w:val="31E33CFD"/>
    <w:rsid w:val="32AE6949"/>
    <w:rsid w:val="32E2287F"/>
    <w:rsid w:val="32F40FD3"/>
    <w:rsid w:val="32F977F1"/>
    <w:rsid w:val="32FF0317"/>
    <w:rsid w:val="3317670F"/>
    <w:rsid w:val="337AE2D6"/>
    <w:rsid w:val="338813BB"/>
    <w:rsid w:val="33DEF139"/>
    <w:rsid w:val="33E52AA0"/>
    <w:rsid w:val="33F915CE"/>
    <w:rsid w:val="33F9C19C"/>
    <w:rsid w:val="346DC6E6"/>
    <w:rsid w:val="34D5481E"/>
    <w:rsid w:val="3535527B"/>
    <w:rsid w:val="35B20971"/>
    <w:rsid w:val="35E75334"/>
    <w:rsid w:val="35EB6C31"/>
    <w:rsid w:val="35F7ACF4"/>
    <w:rsid w:val="36A22794"/>
    <w:rsid w:val="36B772DB"/>
    <w:rsid w:val="36BDDA7C"/>
    <w:rsid w:val="36CF3F96"/>
    <w:rsid w:val="36EE6EF7"/>
    <w:rsid w:val="36F7F178"/>
    <w:rsid w:val="36FDBDE3"/>
    <w:rsid w:val="373DBD37"/>
    <w:rsid w:val="3769533B"/>
    <w:rsid w:val="376B0DD8"/>
    <w:rsid w:val="376B13D8"/>
    <w:rsid w:val="3774DA36"/>
    <w:rsid w:val="377DF0D3"/>
    <w:rsid w:val="37AA06DF"/>
    <w:rsid w:val="37B63894"/>
    <w:rsid w:val="37BFE1FD"/>
    <w:rsid w:val="37DD7DB5"/>
    <w:rsid w:val="37EBD977"/>
    <w:rsid w:val="37F73822"/>
    <w:rsid w:val="37FF5767"/>
    <w:rsid w:val="38607A0E"/>
    <w:rsid w:val="386F48F8"/>
    <w:rsid w:val="38791C4D"/>
    <w:rsid w:val="38A96204"/>
    <w:rsid w:val="38DCE36B"/>
    <w:rsid w:val="3948288A"/>
    <w:rsid w:val="397B1CE6"/>
    <w:rsid w:val="397E758C"/>
    <w:rsid w:val="399333C8"/>
    <w:rsid w:val="39A5214C"/>
    <w:rsid w:val="3A257964"/>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5D085"/>
    <w:rsid w:val="3CFC7333"/>
    <w:rsid w:val="3D146668"/>
    <w:rsid w:val="3D5358A8"/>
    <w:rsid w:val="3D6F35BF"/>
    <w:rsid w:val="3D84435C"/>
    <w:rsid w:val="3DB03A24"/>
    <w:rsid w:val="3DBDE794"/>
    <w:rsid w:val="3DBFC698"/>
    <w:rsid w:val="3DDF4999"/>
    <w:rsid w:val="3DEAAE5D"/>
    <w:rsid w:val="3DFEF73F"/>
    <w:rsid w:val="3E31A9C9"/>
    <w:rsid w:val="3EAA2D67"/>
    <w:rsid w:val="3EAF264F"/>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A96941"/>
    <w:rsid w:val="3FAA090B"/>
    <w:rsid w:val="3FB3B736"/>
    <w:rsid w:val="3FCDAA70"/>
    <w:rsid w:val="3FCF161C"/>
    <w:rsid w:val="3FD7C333"/>
    <w:rsid w:val="3FDF7814"/>
    <w:rsid w:val="3FDFE01C"/>
    <w:rsid w:val="3FEFC185"/>
    <w:rsid w:val="3FF72816"/>
    <w:rsid w:val="3FFB77CB"/>
    <w:rsid w:val="3FFB87EC"/>
    <w:rsid w:val="3FFD2741"/>
    <w:rsid w:val="3FFDCBCA"/>
    <w:rsid w:val="3FFEAECC"/>
    <w:rsid w:val="3FFF03B9"/>
    <w:rsid w:val="4001677D"/>
    <w:rsid w:val="40226BDD"/>
    <w:rsid w:val="4050335B"/>
    <w:rsid w:val="40810FC8"/>
    <w:rsid w:val="40907B01"/>
    <w:rsid w:val="41CA7043"/>
    <w:rsid w:val="41CF6829"/>
    <w:rsid w:val="420B4568"/>
    <w:rsid w:val="42337B3F"/>
    <w:rsid w:val="427D40B5"/>
    <w:rsid w:val="433A1882"/>
    <w:rsid w:val="435603F3"/>
    <w:rsid w:val="440918F1"/>
    <w:rsid w:val="447D7569"/>
    <w:rsid w:val="44A70D01"/>
    <w:rsid w:val="44B52210"/>
    <w:rsid w:val="44CB1698"/>
    <w:rsid w:val="44F324D8"/>
    <w:rsid w:val="455B5B96"/>
    <w:rsid w:val="457620AE"/>
    <w:rsid w:val="459C5D66"/>
    <w:rsid w:val="459E2651"/>
    <w:rsid w:val="459F5CA0"/>
    <w:rsid w:val="45C41A3D"/>
    <w:rsid w:val="462C02CC"/>
    <w:rsid w:val="462D6801"/>
    <w:rsid w:val="466C2476"/>
    <w:rsid w:val="469D7925"/>
    <w:rsid w:val="46EA32A6"/>
    <w:rsid w:val="47053F7C"/>
    <w:rsid w:val="4706073F"/>
    <w:rsid w:val="47775721"/>
    <w:rsid w:val="478563C6"/>
    <w:rsid w:val="47C60945"/>
    <w:rsid w:val="47E9A1A0"/>
    <w:rsid w:val="48002B88"/>
    <w:rsid w:val="480E6DE3"/>
    <w:rsid w:val="484F4B48"/>
    <w:rsid w:val="485F07D8"/>
    <w:rsid w:val="48605FCE"/>
    <w:rsid w:val="48C06477"/>
    <w:rsid w:val="48C3322B"/>
    <w:rsid w:val="48F14BF7"/>
    <w:rsid w:val="4945059D"/>
    <w:rsid w:val="49BEA124"/>
    <w:rsid w:val="49CC6CB6"/>
    <w:rsid w:val="49E140B7"/>
    <w:rsid w:val="4A6202EB"/>
    <w:rsid w:val="4A770F5E"/>
    <w:rsid w:val="4A7C4FC1"/>
    <w:rsid w:val="4A9A6CAF"/>
    <w:rsid w:val="4A9C5875"/>
    <w:rsid w:val="4AF3760A"/>
    <w:rsid w:val="4AFD4615"/>
    <w:rsid w:val="4B454A0A"/>
    <w:rsid w:val="4B5A3FD8"/>
    <w:rsid w:val="4B887951"/>
    <w:rsid w:val="4BAD3F10"/>
    <w:rsid w:val="4BC20883"/>
    <w:rsid w:val="4C251B2D"/>
    <w:rsid w:val="4CF92E7B"/>
    <w:rsid w:val="4CFB6B2C"/>
    <w:rsid w:val="4D1DB812"/>
    <w:rsid w:val="4D357CE0"/>
    <w:rsid w:val="4DAFC284"/>
    <w:rsid w:val="4DBA1DA6"/>
    <w:rsid w:val="4DBB3E33"/>
    <w:rsid w:val="4DD3102D"/>
    <w:rsid w:val="4DD54DA5"/>
    <w:rsid w:val="4DE3154B"/>
    <w:rsid w:val="4DF5D2BF"/>
    <w:rsid w:val="4E5655E3"/>
    <w:rsid w:val="4EA76741"/>
    <w:rsid w:val="4ECD7EB5"/>
    <w:rsid w:val="4EDE35AC"/>
    <w:rsid w:val="4F5C46DB"/>
    <w:rsid w:val="4F640F18"/>
    <w:rsid w:val="4F7E3902"/>
    <w:rsid w:val="4F9A44F8"/>
    <w:rsid w:val="4F9F214B"/>
    <w:rsid w:val="4FF395E6"/>
    <w:rsid w:val="4FFA569E"/>
    <w:rsid w:val="4FFF7B66"/>
    <w:rsid w:val="51487335"/>
    <w:rsid w:val="51BCFBE2"/>
    <w:rsid w:val="51DB4692"/>
    <w:rsid w:val="51E01C33"/>
    <w:rsid w:val="51E44568"/>
    <w:rsid w:val="51F15DFD"/>
    <w:rsid w:val="51FF628E"/>
    <w:rsid w:val="522BBFAA"/>
    <w:rsid w:val="522D533A"/>
    <w:rsid w:val="530F6646"/>
    <w:rsid w:val="53252976"/>
    <w:rsid w:val="53401509"/>
    <w:rsid w:val="53543ED7"/>
    <w:rsid w:val="536433D3"/>
    <w:rsid w:val="536F6462"/>
    <w:rsid w:val="53BD2119"/>
    <w:rsid w:val="547C1168"/>
    <w:rsid w:val="549324D8"/>
    <w:rsid w:val="54A14BC2"/>
    <w:rsid w:val="54C469E3"/>
    <w:rsid w:val="553C7A36"/>
    <w:rsid w:val="5567BD2F"/>
    <w:rsid w:val="557D857A"/>
    <w:rsid w:val="557F84E0"/>
    <w:rsid w:val="55A211BE"/>
    <w:rsid w:val="55C7591B"/>
    <w:rsid w:val="55E7D38E"/>
    <w:rsid w:val="55F80356"/>
    <w:rsid w:val="55FF196E"/>
    <w:rsid w:val="567B2EA4"/>
    <w:rsid w:val="56AB6FEB"/>
    <w:rsid w:val="56C4574F"/>
    <w:rsid w:val="56C7BF65"/>
    <w:rsid w:val="56DEF74B"/>
    <w:rsid w:val="56F52AF0"/>
    <w:rsid w:val="57380BEA"/>
    <w:rsid w:val="575DDB48"/>
    <w:rsid w:val="57A782E9"/>
    <w:rsid w:val="57A927F5"/>
    <w:rsid w:val="57BD2EED"/>
    <w:rsid w:val="57BFE2CB"/>
    <w:rsid w:val="57F758DB"/>
    <w:rsid w:val="57FF3DFF"/>
    <w:rsid w:val="57FF4AD2"/>
    <w:rsid w:val="57FFB7BC"/>
    <w:rsid w:val="58325FAE"/>
    <w:rsid w:val="585A0DAA"/>
    <w:rsid w:val="58BC5FE4"/>
    <w:rsid w:val="58E55E64"/>
    <w:rsid w:val="593739B8"/>
    <w:rsid w:val="593E081A"/>
    <w:rsid w:val="59C9319A"/>
    <w:rsid w:val="59D63A74"/>
    <w:rsid w:val="59D714F6"/>
    <w:rsid w:val="59DFFD93"/>
    <w:rsid w:val="59EF1DFC"/>
    <w:rsid w:val="59F842F5"/>
    <w:rsid w:val="5A4947D3"/>
    <w:rsid w:val="5ABB1050"/>
    <w:rsid w:val="5AF93469"/>
    <w:rsid w:val="5B3B3860"/>
    <w:rsid w:val="5B5D2F92"/>
    <w:rsid w:val="5B7DDC28"/>
    <w:rsid w:val="5B7F624A"/>
    <w:rsid w:val="5BAF68EF"/>
    <w:rsid w:val="5BE72AE1"/>
    <w:rsid w:val="5BEB75A4"/>
    <w:rsid w:val="5BF42BBB"/>
    <w:rsid w:val="5BFFD5F5"/>
    <w:rsid w:val="5C337866"/>
    <w:rsid w:val="5CF634E9"/>
    <w:rsid w:val="5D355CB4"/>
    <w:rsid w:val="5D5D99E9"/>
    <w:rsid w:val="5D7FC7C9"/>
    <w:rsid w:val="5D9952E5"/>
    <w:rsid w:val="5D9A46F0"/>
    <w:rsid w:val="5DAD523C"/>
    <w:rsid w:val="5DAF0801"/>
    <w:rsid w:val="5DE20A0F"/>
    <w:rsid w:val="5DEE2A2A"/>
    <w:rsid w:val="5DEEFCE9"/>
    <w:rsid w:val="5DF7BECE"/>
    <w:rsid w:val="5DFB6840"/>
    <w:rsid w:val="5DFDE687"/>
    <w:rsid w:val="5E14F78C"/>
    <w:rsid w:val="5E1F6A54"/>
    <w:rsid w:val="5E3EC090"/>
    <w:rsid w:val="5E87441E"/>
    <w:rsid w:val="5EB735A1"/>
    <w:rsid w:val="5EBAD936"/>
    <w:rsid w:val="5EBD38F4"/>
    <w:rsid w:val="5EBE3DE0"/>
    <w:rsid w:val="5EC6A0C8"/>
    <w:rsid w:val="5EDF719A"/>
    <w:rsid w:val="5EE02E3C"/>
    <w:rsid w:val="5EE707FD"/>
    <w:rsid w:val="5EF9E1D9"/>
    <w:rsid w:val="5EFD1774"/>
    <w:rsid w:val="5EFD63A1"/>
    <w:rsid w:val="5F2D046E"/>
    <w:rsid w:val="5F3C7A35"/>
    <w:rsid w:val="5F3EE51C"/>
    <w:rsid w:val="5F4E1719"/>
    <w:rsid w:val="5F4ED10A"/>
    <w:rsid w:val="5F5C7FA9"/>
    <w:rsid w:val="5F622E52"/>
    <w:rsid w:val="5F7D5BE8"/>
    <w:rsid w:val="5F7F3DD2"/>
    <w:rsid w:val="5F7F49C8"/>
    <w:rsid w:val="5FA01D10"/>
    <w:rsid w:val="5FA77A2C"/>
    <w:rsid w:val="5FD650D9"/>
    <w:rsid w:val="5FDF10FF"/>
    <w:rsid w:val="5FDFE6D0"/>
    <w:rsid w:val="5FED422E"/>
    <w:rsid w:val="5FF48D17"/>
    <w:rsid w:val="5FF6893A"/>
    <w:rsid w:val="5FF8AACB"/>
    <w:rsid w:val="5FFB4E30"/>
    <w:rsid w:val="5FFB4F3D"/>
    <w:rsid w:val="5FFD8CB0"/>
    <w:rsid w:val="5FFF5037"/>
    <w:rsid w:val="5FFFE862"/>
    <w:rsid w:val="607D3748"/>
    <w:rsid w:val="60AB5263"/>
    <w:rsid w:val="610C3A9C"/>
    <w:rsid w:val="611B38AB"/>
    <w:rsid w:val="615C31E8"/>
    <w:rsid w:val="61B62DA1"/>
    <w:rsid w:val="61FF5178"/>
    <w:rsid w:val="6243437A"/>
    <w:rsid w:val="625702B8"/>
    <w:rsid w:val="62616D7C"/>
    <w:rsid w:val="628D14F2"/>
    <w:rsid w:val="62BD4574"/>
    <w:rsid w:val="6325773C"/>
    <w:rsid w:val="634C1706"/>
    <w:rsid w:val="63601ED7"/>
    <w:rsid w:val="63B63069"/>
    <w:rsid w:val="63E57C7D"/>
    <w:rsid w:val="64155696"/>
    <w:rsid w:val="64AD3F2E"/>
    <w:rsid w:val="64C200F2"/>
    <w:rsid w:val="64F57139"/>
    <w:rsid w:val="650A75D2"/>
    <w:rsid w:val="65655C60"/>
    <w:rsid w:val="6593F782"/>
    <w:rsid w:val="65BE74B1"/>
    <w:rsid w:val="65FD1E19"/>
    <w:rsid w:val="65FE0871"/>
    <w:rsid w:val="6609095A"/>
    <w:rsid w:val="66390EEC"/>
    <w:rsid w:val="66613576"/>
    <w:rsid w:val="66720F9F"/>
    <w:rsid w:val="66BB5DAD"/>
    <w:rsid w:val="66E7865B"/>
    <w:rsid w:val="66F7B9BD"/>
    <w:rsid w:val="66FF70F4"/>
    <w:rsid w:val="672F4BD5"/>
    <w:rsid w:val="67317098"/>
    <w:rsid w:val="67572F4E"/>
    <w:rsid w:val="67A30EFF"/>
    <w:rsid w:val="67CD7F64"/>
    <w:rsid w:val="67E75822"/>
    <w:rsid w:val="67FBCA81"/>
    <w:rsid w:val="67FEC540"/>
    <w:rsid w:val="67FF8842"/>
    <w:rsid w:val="6808604B"/>
    <w:rsid w:val="68174789"/>
    <w:rsid w:val="688B16B1"/>
    <w:rsid w:val="68C201F7"/>
    <w:rsid w:val="692A7449"/>
    <w:rsid w:val="696D3286"/>
    <w:rsid w:val="69926A05"/>
    <w:rsid w:val="69C272EA"/>
    <w:rsid w:val="6A4176E3"/>
    <w:rsid w:val="6AE517EE"/>
    <w:rsid w:val="6B0F7019"/>
    <w:rsid w:val="6B5B4715"/>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543AE1"/>
    <w:rsid w:val="6DBDB722"/>
    <w:rsid w:val="6DD84B86"/>
    <w:rsid w:val="6DDFE8A4"/>
    <w:rsid w:val="6DF2085E"/>
    <w:rsid w:val="6DF5168E"/>
    <w:rsid w:val="6DFF2102"/>
    <w:rsid w:val="6E4C4A24"/>
    <w:rsid w:val="6E6B3D34"/>
    <w:rsid w:val="6E7E4B13"/>
    <w:rsid w:val="6EA2262A"/>
    <w:rsid w:val="6EAF2D51"/>
    <w:rsid w:val="6EB255EB"/>
    <w:rsid w:val="6EBC37D9"/>
    <w:rsid w:val="6ED72C6E"/>
    <w:rsid w:val="6EE10092"/>
    <w:rsid w:val="6EFDCD2D"/>
    <w:rsid w:val="6EFF612F"/>
    <w:rsid w:val="6F18680E"/>
    <w:rsid w:val="6F1F37FC"/>
    <w:rsid w:val="6F59F9E4"/>
    <w:rsid w:val="6F5FAB1B"/>
    <w:rsid w:val="6F81415B"/>
    <w:rsid w:val="6F8E58D6"/>
    <w:rsid w:val="6FA10B33"/>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C236C4"/>
    <w:rsid w:val="70F12FC6"/>
    <w:rsid w:val="712D6B22"/>
    <w:rsid w:val="713F17D9"/>
    <w:rsid w:val="71A52EE1"/>
    <w:rsid w:val="71AC1F64"/>
    <w:rsid w:val="71BF5DB7"/>
    <w:rsid w:val="71E85758"/>
    <w:rsid w:val="72100F31"/>
    <w:rsid w:val="72445F08"/>
    <w:rsid w:val="72671BC0"/>
    <w:rsid w:val="72BD5FD5"/>
    <w:rsid w:val="72BF09DC"/>
    <w:rsid w:val="72EB5790"/>
    <w:rsid w:val="72F25D68"/>
    <w:rsid w:val="72F34105"/>
    <w:rsid w:val="72F3DFB7"/>
    <w:rsid w:val="73156CA1"/>
    <w:rsid w:val="733EE3F5"/>
    <w:rsid w:val="735EF94D"/>
    <w:rsid w:val="735F9F05"/>
    <w:rsid w:val="737B2761"/>
    <w:rsid w:val="737F118B"/>
    <w:rsid w:val="73AF6EDB"/>
    <w:rsid w:val="73B384CE"/>
    <w:rsid w:val="73DF4221"/>
    <w:rsid w:val="73DF49F4"/>
    <w:rsid w:val="73E84ED7"/>
    <w:rsid w:val="73F5007A"/>
    <w:rsid w:val="73F51A73"/>
    <w:rsid w:val="73FEB008"/>
    <w:rsid w:val="73FF3C21"/>
    <w:rsid w:val="74077D93"/>
    <w:rsid w:val="742F2BB2"/>
    <w:rsid w:val="74383DB9"/>
    <w:rsid w:val="743F2389"/>
    <w:rsid w:val="74AE9EF4"/>
    <w:rsid w:val="74B15673"/>
    <w:rsid w:val="74B83297"/>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446B04"/>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7F16E0"/>
    <w:rsid w:val="799E691A"/>
    <w:rsid w:val="799F4D91"/>
    <w:rsid w:val="79BA2FEC"/>
    <w:rsid w:val="79DA45DF"/>
    <w:rsid w:val="79DC10E6"/>
    <w:rsid w:val="79EF2068"/>
    <w:rsid w:val="79EFC2ED"/>
    <w:rsid w:val="79FF532C"/>
    <w:rsid w:val="7A301431"/>
    <w:rsid w:val="7A3EA76F"/>
    <w:rsid w:val="7A6BC49B"/>
    <w:rsid w:val="7A7719EE"/>
    <w:rsid w:val="7ABE8A3B"/>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7E46D6"/>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77378E"/>
    <w:rsid w:val="7E9F9FFA"/>
    <w:rsid w:val="7EA1C8FE"/>
    <w:rsid w:val="7EADA532"/>
    <w:rsid w:val="7EB588E9"/>
    <w:rsid w:val="7ECFC5A0"/>
    <w:rsid w:val="7ED50BC3"/>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9586C"/>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8FEAE18C"/>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DFFC090"/>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3FB596"/>
    <w:rsid w:val="BD5F71F8"/>
    <w:rsid w:val="BDBB51BC"/>
    <w:rsid w:val="BDCD8A47"/>
    <w:rsid w:val="BDD73F79"/>
    <w:rsid w:val="BDDD276F"/>
    <w:rsid w:val="BDF4583F"/>
    <w:rsid w:val="BDFF82DD"/>
    <w:rsid w:val="BDFF9C0A"/>
    <w:rsid w:val="BDFFB145"/>
    <w:rsid w:val="BE5F2542"/>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7D3809"/>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C7359"/>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4"/>
    <w:unhideWhenUsed/>
    <w:qFormat/>
    <w:uiPriority w:val="99"/>
    <w:pPr>
      <w:spacing w:after="120"/>
    </w:pPr>
  </w:style>
  <w:style w:type="paragraph" w:styleId="6">
    <w:name w:val="Normal Indent"/>
    <w:basedOn w:val="1"/>
    <w:next w:val="2"/>
    <w:qFormat/>
    <w:uiPriority w:val="0"/>
    <w:pPr>
      <w:ind w:firstLine="420" w:firstLineChars="200"/>
    </w:pPr>
    <w:rPr>
      <w:szCs w:val="20"/>
    </w:r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2"/>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customStyle="1" w:styleId="25">
    <w:name w:val="表格文字"/>
    <w:basedOn w:val="1"/>
    <w:next w:val="1"/>
    <w:qFormat/>
    <w:uiPriority w:val="0"/>
    <w:pPr>
      <w:spacing w:before="25" w:after="25"/>
      <w:jc w:val="left"/>
    </w:pPr>
    <w:rPr>
      <w:spacing w:val="10"/>
      <w:kern w:val="0"/>
      <w:sz w:val="24"/>
      <w:szCs w:val="20"/>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2"/>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11450</Words>
  <Characters>11922</Characters>
  <Lines>1</Lines>
  <Paragraphs>1</Paragraphs>
  <TotalTime>42</TotalTime>
  <ScaleCrop>false</ScaleCrop>
  <LinksUpToDate>false</LinksUpToDate>
  <CharactersWithSpaces>12213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2023-09-29T04:34:00Z</dcterms:created>
  <dc:creator>黄雅静</dc:creator>
  <cp:lastModifiedBy>黎俊</cp:lastModifiedBy>
  <cp:lastPrinted>2023-11-13T03:12:00Z</cp:lastPrinted>
  <dcterms:modified xsi:type="dcterms:W3CDTF">2025-09-04T07:22:22Z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8FF0EF381E144452A1E02C9F1EB623C9_13</vt:lpwstr>
  </property>
  <property fmtid="{D5CDD505-2E9C-101B-9397-08002B2CF9AE}" pid="4" name="KSOTemplateDocerSaveRecord">
    <vt:lpwstr>eyJoZGlkIjoiMWViNjU1YjYxMmE1ZjA1ZGI4YzZiMWU4ZDg3Zjk4MWMiLCJ1c2VySWQiOiIxNDg2ODI2MzgyIn0=</vt:lpwstr>
  </property>
</Properties>
</file>