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highlight w:val="none"/>
        </w:rPr>
      </w:pPr>
    </w:p>
    <w:p>
      <w:pPr>
        <w:rPr>
          <w:color w:val="auto"/>
          <w:highlight w:val="none"/>
        </w:rPr>
      </w:pPr>
    </w:p>
    <w:p>
      <w:pPr>
        <w:rPr>
          <w:color w:val="auto"/>
          <w:highlight w:val="none"/>
        </w:rPr>
      </w:pPr>
    </w:p>
    <w:p>
      <w:pPr>
        <w:jc w:val="center"/>
        <w:rPr>
          <w:rFonts w:ascii="宋体" w:hAnsi="宋体" w:cs="宋体"/>
          <w:b/>
          <w:color w:val="auto"/>
          <w:sz w:val="72"/>
          <w:szCs w:val="72"/>
          <w:highlight w:val="none"/>
        </w:rPr>
      </w:pPr>
      <w:r>
        <w:rPr>
          <w:rFonts w:hint="eastAsia" w:ascii="宋体" w:hAnsi="宋体" w:cs="宋体"/>
          <w:b/>
          <w:color w:val="auto"/>
          <w:sz w:val="72"/>
          <w:szCs w:val="72"/>
          <w:highlight w:val="none"/>
        </w:rPr>
        <w:t>简易招标文件</w:t>
      </w:r>
    </w:p>
    <w:p>
      <w:pPr>
        <w:jc w:val="center"/>
        <w:rPr>
          <w:rFonts w:ascii="宋体" w:hAnsi="宋体" w:cs="宋体"/>
          <w:color w:val="auto"/>
          <w:highlight w:val="none"/>
        </w:rPr>
      </w:pPr>
    </w:p>
    <w:p>
      <w:pPr>
        <w:rPr>
          <w:rFonts w:ascii="宋体" w:hAnsi="宋体" w:cs="宋体"/>
          <w:color w:val="auto"/>
          <w:highlight w:val="none"/>
        </w:rPr>
      </w:pPr>
    </w:p>
    <w:p>
      <w:pPr>
        <w:pStyle w:val="32"/>
        <w:ind w:firstLine="420"/>
        <w:rPr>
          <w:rFonts w:ascii="宋体" w:hAnsi="宋体" w:cs="宋体"/>
          <w:color w:val="auto"/>
          <w:highlight w:val="none"/>
        </w:rPr>
      </w:pPr>
    </w:p>
    <w:p>
      <w:pPr>
        <w:pStyle w:val="32"/>
        <w:ind w:firstLine="420"/>
        <w:rPr>
          <w:rFonts w:ascii="宋体" w:hAnsi="宋体" w:cs="宋体"/>
          <w:color w:val="auto"/>
          <w:highlight w:val="none"/>
        </w:rPr>
      </w:pPr>
    </w:p>
    <w:p>
      <w:pPr>
        <w:rPr>
          <w:rFonts w:ascii="宋体" w:hAnsi="宋体" w:cs="宋体"/>
          <w:b/>
          <w:color w:val="auto"/>
          <w:sz w:val="44"/>
          <w:highlight w:val="none"/>
        </w:rPr>
      </w:pPr>
    </w:p>
    <w:p>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招标编号：</w:t>
      </w:r>
      <w:r>
        <w:rPr>
          <w:rFonts w:hint="eastAsia" w:ascii="宋体" w:hAnsi="宋体" w:cs="宋体"/>
          <w:b/>
          <w:color w:val="auto"/>
          <w:sz w:val="36"/>
          <w:szCs w:val="36"/>
          <w:highlight w:val="none"/>
          <w:lang w:eastAsia="zh-CN"/>
        </w:rPr>
        <w:t>QH2025090</w:t>
      </w:r>
    </w:p>
    <w:p>
      <w:pPr>
        <w:pStyle w:val="32"/>
        <w:ind w:firstLine="420"/>
        <w:rPr>
          <w:rFonts w:ascii="宋体" w:hAnsi="宋体" w:cs="宋体"/>
          <w:color w:val="auto"/>
          <w:highlight w:val="none"/>
        </w:rPr>
      </w:pPr>
    </w:p>
    <w:p>
      <w:pPr>
        <w:pStyle w:val="32"/>
        <w:ind w:firstLine="420"/>
        <w:rPr>
          <w:rFonts w:ascii="宋体" w:hAnsi="宋体" w:cs="宋体"/>
          <w:color w:val="auto"/>
          <w:highlight w:val="none"/>
        </w:rPr>
      </w:pPr>
    </w:p>
    <w:p>
      <w:pPr>
        <w:pStyle w:val="32"/>
        <w:ind w:firstLine="420"/>
        <w:rPr>
          <w:rFonts w:ascii="宋体" w:hAnsi="宋体" w:cs="宋体"/>
          <w:color w:val="auto"/>
          <w:highlight w:val="none"/>
        </w:rPr>
      </w:pPr>
    </w:p>
    <w:p>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招标项目：</w:t>
      </w:r>
      <w:r>
        <w:rPr>
          <w:rFonts w:hint="eastAsia" w:ascii="宋体" w:hAnsi="宋体" w:cs="宋体"/>
          <w:b/>
          <w:color w:val="auto"/>
          <w:sz w:val="36"/>
          <w:szCs w:val="36"/>
          <w:highlight w:val="none"/>
          <w:lang w:eastAsia="zh-CN"/>
        </w:rPr>
        <w:t>前海MiC发展顶层设计项目（二次）</w:t>
      </w:r>
    </w:p>
    <w:p>
      <w:pPr>
        <w:ind w:firstLine="3264" w:firstLineChars="739"/>
        <w:rPr>
          <w:rFonts w:ascii="宋体" w:hAnsi="宋体" w:cs="宋体"/>
          <w:b/>
          <w:color w:val="auto"/>
          <w:sz w:val="44"/>
          <w:highlight w:val="none"/>
        </w:rPr>
      </w:pPr>
    </w:p>
    <w:p>
      <w:pPr>
        <w:ind w:left="1260" w:leftChars="600" w:firstLine="1855" w:firstLineChars="420"/>
        <w:rPr>
          <w:rFonts w:ascii="宋体" w:hAnsi="宋体" w:cs="宋体"/>
          <w:b/>
          <w:color w:val="auto"/>
          <w:sz w:val="44"/>
          <w:highlight w:val="none"/>
        </w:rPr>
      </w:pPr>
    </w:p>
    <w:p>
      <w:pPr>
        <w:rPr>
          <w:rFonts w:ascii="宋体" w:hAnsi="宋体" w:cs="宋体"/>
          <w:b/>
          <w:color w:val="auto"/>
          <w:sz w:val="44"/>
          <w:highlight w:val="none"/>
        </w:rPr>
      </w:pPr>
    </w:p>
    <w:p>
      <w:pPr>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202</w:t>
      </w:r>
      <w:r>
        <w:rPr>
          <w:rFonts w:hint="eastAsia" w:ascii="宋体" w:hAnsi="宋体" w:cs="宋体"/>
          <w:b/>
          <w:bCs/>
          <w:color w:val="auto"/>
          <w:sz w:val="36"/>
          <w:szCs w:val="36"/>
          <w:highlight w:val="none"/>
          <w:lang w:val="en-US" w:eastAsia="zh-CN"/>
        </w:rPr>
        <w:t>5</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8</w:t>
      </w:r>
      <w:r>
        <w:rPr>
          <w:rFonts w:hint="eastAsia" w:ascii="宋体" w:hAnsi="宋体" w:cs="宋体"/>
          <w:b/>
          <w:bCs/>
          <w:color w:val="auto"/>
          <w:sz w:val="36"/>
          <w:szCs w:val="36"/>
          <w:highlight w:val="none"/>
        </w:rPr>
        <w:t>月</w:t>
      </w:r>
    </w:p>
    <w:p>
      <w:pPr>
        <w:autoSpaceDE w:val="0"/>
        <w:autoSpaceDN w:val="0"/>
        <w:adjustRightInd w:val="0"/>
        <w:spacing w:line="360" w:lineRule="auto"/>
        <w:jc w:val="center"/>
        <w:rPr>
          <w:rFonts w:ascii="宋体" w:hAnsi="宋体" w:cs="仿宋_GB2312"/>
          <w:b/>
          <w:bCs/>
          <w:color w:val="auto"/>
          <w:kern w:val="0"/>
          <w:sz w:val="22"/>
          <w:szCs w:val="22"/>
          <w:highlight w:val="none"/>
        </w:rPr>
      </w:pPr>
      <w:bookmarkStart w:id="0" w:name="_Toc12932"/>
      <w:r>
        <w:rPr>
          <w:rFonts w:ascii="宋体" w:hAnsi="宋体"/>
          <w:b/>
          <w:bCs/>
          <w:color w:val="auto"/>
          <w:sz w:val="32"/>
          <w:szCs w:val="40"/>
          <w:highlight w:val="none"/>
          <w:u w:val="single"/>
        </w:rPr>
        <w:br w:type="page"/>
      </w:r>
    </w:p>
    <w:p>
      <w:pPr>
        <w:autoSpaceDE w:val="0"/>
        <w:autoSpaceDN w:val="0"/>
        <w:adjustRightInd w:val="0"/>
        <w:spacing w:line="360" w:lineRule="auto"/>
        <w:jc w:val="center"/>
        <w:rPr>
          <w:color w:val="auto"/>
          <w:highlight w:val="none"/>
        </w:rPr>
      </w:pPr>
      <w:r>
        <w:rPr>
          <w:rFonts w:hint="eastAsia" w:ascii="宋体" w:hAnsi="宋体" w:cs="宋体"/>
          <w:b/>
          <w:bCs/>
          <w:color w:val="auto"/>
          <w:kern w:val="0"/>
          <w:sz w:val="36"/>
          <w:szCs w:val="36"/>
          <w:highlight w:val="none"/>
        </w:rPr>
        <w:t>特别警示条款</w:t>
      </w:r>
    </w:p>
    <w:p>
      <w:pPr>
        <w:spacing w:line="240" w:lineRule="auto"/>
        <w:ind w:firstLine="420" w:firstLineChars="200"/>
        <w:rPr>
          <w:rFonts w:hint="eastAsia" w:ascii="宋体" w:hAnsi="宋体" w:eastAsia="宋体" w:cs="宋体"/>
          <w:color w:val="auto"/>
          <w:sz w:val="21"/>
          <w:szCs w:val="21"/>
          <w:highlight w:val="none"/>
        </w:rPr>
      </w:pPr>
      <w:bookmarkStart w:id="1" w:name="OLE_LINK38"/>
      <w:r>
        <w:rPr>
          <w:rFonts w:hint="eastAsia" w:ascii="宋体" w:hAnsi="宋体" w:eastAsia="宋体" w:cs="宋体"/>
          <w:color w:val="auto"/>
          <w:sz w:val="21"/>
          <w:szCs w:val="21"/>
          <w:highlight w:val="none"/>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罚款、取消参与政府采购资格、吊销营业执照等处罚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构成犯罪的，依法追究刑事责任。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4482" w:type="pct"/>
            <w:noWrap w:val="0"/>
            <w:vAlign w:val="center"/>
          </w:tcPr>
          <w:p>
            <w:pPr>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eastAsia="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eastAsia="宋体" w:cs="宋体"/>
                <w:b w:val="0"/>
                <w:bCs w:val="0"/>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eastAsia="宋体" w:cs="宋体"/>
                <w:b w:val="0"/>
                <w:bCs w:val="0"/>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eastAsia="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eastAsia="宋体" w:cs="宋体"/>
                <w:color w:val="auto"/>
                <w:sz w:val="21"/>
                <w:szCs w:val="21"/>
                <w:highlight w:val="none"/>
                <w:vertAlign w:val="baseline"/>
                <w:lang w:eastAsia="zh-CN"/>
              </w:rPr>
              <w:t>。</w:t>
            </w:r>
          </w:p>
        </w:tc>
      </w:tr>
      <w:bookmarkEnd w:id="1"/>
    </w:tbl>
    <w:p>
      <w:pPr>
        <w:autoSpaceDE w:val="0"/>
        <w:autoSpaceDN w:val="0"/>
        <w:adjustRightInd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《深圳经济特区政府采购条例》</w:t>
      </w:r>
    </w:p>
    <w:p>
      <w:pPr>
        <w:autoSpaceDE w:val="0"/>
        <w:autoSpaceDN w:val="0"/>
        <w:adjustRightInd w:val="0"/>
        <w:spacing w:line="360" w:lineRule="auto"/>
        <w:ind w:firstLine="482" w:firstLineChars="200"/>
        <w:jc w:val="left"/>
        <w:rPr>
          <w:rFonts w:ascii="宋体" w:hAnsi="宋体" w:cs="宋体"/>
          <w:color w:val="auto"/>
          <w:sz w:val="24"/>
          <w:highlight w:val="none"/>
        </w:rPr>
      </w:pPr>
      <w:r>
        <w:rPr>
          <w:rStyle w:val="21"/>
          <w:rFonts w:hint="eastAsia" w:ascii="宋体" w:hAnsi="宋体" w:cs="宋体"/>
          <w:color w:val="auto"/>
          <w:sz w:val="24"/>
          <w:highlight w:val="none"/>
        </w:rPr>
        <w:t>第五十七条</w:t>
      </w:r>
      <w:r>
        <w:rPr>
          <w:rFonts w:hint="eastAsia" w:ascii="宋体" w:hAnsi="宋体" w:cs="宋体"/>
          <w:color w:val="auto"/>
          <w:sz w:val="24"/>
          <w:highlight w:val="none"/>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5"/>
        <w:shd w:val="clear" w:color="auto" w:fill="FFFFFF"/>
        <w:spacing w:before="0" w:beforeAutospacing="0" w:after="0" w:afterAutospacing="0" w:line="360" w:lineRule="auto"/>
        <w:ind w:firstLine="480" w:firstLineChars="200"/>
        <w:rPr>
          <w:color w:val="auto"/>
          <w:highlight w:val="none"/>
        </w:rPr>
      </w:pPr>
      <w:bookmarkStart w:id="2" w:name="_Toc2750"/>
      <w:r>
        <w:rPr>
          <w:rFonts w:hint="eastAsia"/>
          <w:color w:val="auto"/>
          <w:highlight w:val="none"/>
        </w:rPr>
        <w:t>（一）在采购活动中应当回避而未回避的；</w:t>
      </w:r>
      <w:bookmarkEnd w:id="2"/>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（二）未按照本条例规定签订、履行采购合同，造成严重后果的；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（三）隐瞒真实情况，提供虚假资料的；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（四）以非法手段排斥其他供应商参与竞争的；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（五）与其他采购参加人串通投标的；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（六）恶意投诉的；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（七）向采购项目相关人行贿或者提供其他不当利益的；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（八）阻碍、抗拒主管部门监督检查的；</w:t>
      </w:r>
    </w:p>
    <w:p>
      <w:pPr>
        <w:pStyle w:val="15"/>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（九）其他违反本条例规定的行为。</w:t>
      </w:r>
    </w:p>
    <w:p>
      <w:pPr>
        <w:autoSpaceDE w:val="0"/>
        <w:autoSpaceDN w:val="0"/>
        <w:adjustRightInd w:val="0"/>
        <w:spacing w:line="360" w:lineRule="auto"/>
        <w:ind w:firstLine="360" w:firstLineChars="150"/>
        <w:jc w:val="left"/>
        <w:rPr>
          <w:rFonts w:hint="eastAsia" w:ascii="宋体" w:hAnsi="宋体" w:eastAsia="宋体" w:cs="宋体"/>
          <w:color w:val="auto"/>
          <w:kern w:val="0"/>
          <w:sz w:val="24"/>
          <w:highlight w:val="none"/>
          <w:lang w:val="en-US" w:eastAsia="zh-CN"/>
        </w:rPr>
      </w:pPr>
    </w:p>
    <w:p>
      <w:pPr>
        <w:pStyle w:val="2"/>
        <w:rPr>
          <w:rFonts w:hint="eastAsia" w:ascii="宋体" w:hAnsi="宋体" w:eastAsia="宋体" w:cs="宋体"/>
          <w:color w:val="auto"/>
          <w:kern w:val="0"/>
          <w:sz w:val="24"/>
          <w:highlight w:val="none"/>
          <w:lang w:val="en-US" w:eastAsia="zh-CN"/>
        </w:rPr>
      </w:pPr>
    </w:p>
    <w:p>
      <w:pPr>
        <w:pStyle w:val="2"/>
        <w:rPr>
          <w:rFonts w:hint="eastAsia" w:ascii="宋体" w:hAnsi="宋体" w:eastAsia="宋体" w:cs="宋体"/>
          <w:color w:val="auto"/>
          <w:kern w:val="0"/>
          <w:sz w:val="24"/>
          <w:highlight w:val="none"/>
          <w:lang w:val="en-US" w:eastAsia="zh-CN"/>
        </w:rPr>
      </w:pPr>
    </w:p>
    <w:p>
      <w:pPr>
        <w:autoSpaceDE w:val="0"/>
        <w:autoSpaceDN w:val="0"/>
        <w:adjustRightInd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《深圳经济特区政府采购条例实施细则》</w:t>
      </w:r>
    </w:p>
    <w:p>
      <w:pPr>
        <w:keepLines/>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第七十五条</w:t>
      </w:r>
      <w:r>
        <w:rPr>
          <w:rFonts w:hint="eastAsia" w:ascii="宋体" w:hAnsi="宋体" w:cs="宋体"/>
          <w:color w:val="auto"/>
          <w:sz w:val="24"/>
          <w:highlight w:val="none"/>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color w:val="auto"/>
          <w:sz w:val="24"/>
          <w:highlight w:val="none"/>
        </w:rPr>
      </w:pPr>
      <w:bookmarkStart w:id="3" w:name="_Toc6281"/>
      <w:r>
        <w:rPr>
          <w:rFonts w:hint="eastAsia" w:ascii="宋体" w:hAnsi="宋体" w:cs="宋体"/>
          <w:color w:val="auto"/>
          <w:sz w:val="24"/>
          <w:highlight w:val="none"/>
        </w:rPr>
        <w:t>（一）投标供应商之间相互约定给予未中标的供应商利益补偿；</w:t>
      </w:r>
      <w:bookmarkEnd w:id="3"/>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（三）不同投标供应商的投标文件由同一单位或者同一人编制，或者由同一人分阶段参与编制的；</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（四）不同投标供应商的投标文件或部分投标文件相互混装；</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（五）不同投标供应商的投标文件内容存在非正常一致；</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（六）由同一单位工作人员为两家以上（含两家）供应商进行同一项投标活动的；</w:t>
      </w:r>
    </w:p>
    <w:p>
      <w:pPr>
        <w:keepLines/>
        <w:spacing w:line="360" w:lineRule="auto"/>
        <w:ind w:firstLine="480" w:firstLineChars="200"/>
        <w:rPr>
          <w:rFonts w:ascii="宋体" w:hAnsi="宋体" w:cs="宋体"/>
          <w:color w:val="auto"/>
          <w:sz w:val="24"/>
          <w:highlight w:val="none"/>
        </w:rPr>
      </w:pPr>
      <w:bookmarkStart w:id="4" w:name="_Toc31089"/>
      <w:r>
        <w:rPr>
          <w:rFonts w:hint="eastAsia" w:ascii="宋体" w:hAnsi="宋体" w:cs="宋体"/>
          <w:color w:val="auto"/>
          <w:sz w:val="24"/>
          <w:highlight w:val="none"/>
        </w:rPr>
        <w:t>（七）主管部门依照法律、法规认定的其他情形。</w:t>
      </w:r>
      <w:bookmarkEnd w:id="4"/>
    </w:p>
    <w:p>
      <w:pPr>
        <w:keepLines/>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第七十七条</w:t>
      </w:r>
      <w:r>
        <w:rPr>
          <w:rFonts w:hint="eastAsia" w:ascii="宋体" w:hAnsi="宋体" w:cs="宋体"/>
          <w:color w:val="auto"/>
          <w:sz w:val="24"/>
          <w:highlight w:val="none"/>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（一）通过转让或者租借等方式从其他单位获取资格或者资质证书投标的；</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（二）由其他单位或者其他单位负责人在投标供应商编制的投标文件上加盖印章或者签字的；</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（三）项目负责人或者主要技术人员不是本单位人员的；</w:t>
      </w:r>
    </w:p>
    <w:p>
      <w:pPr>
        <w:keepLine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（四）投标保证金不是从投标供应商基本账户转出的；</w:t>
      </w:r>
    </w:p>
    <w:p>
      <w:pPr>
        <w:keepLine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（五）其他隐瞒真实情况、提供虚假资料的行为。</w:t>
      </w:r>
    </w:p>
    <w:p>
      <w:pPr>
        <w:keepLine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投标供应商不能提供项目负责人或者主要技术人员的劳动合同、社会保险等劳动关系证明材料的，视为存在前款第（三）项规定的情形。</w:t>
      </w:r>
    </w:p>
    <w:p>
      <w:pPr>
        <w:pStyle w:val="2"/>
        <w:tabs>
          <w:tab w:val="left" w:pos="562"/>
          <w:tab w:val="left" w:pos="3372"/>
          <w:tab w:val="left" w:pos="3653"/>
        </w:tabs>
        <w:spacing w:line="360" w:lineRule="auto"/>
        <w:rPr>
          <w:rFonts w:ascii="宋体" w:hAnsi="宋体" w:cs="宋体"/>
          <w:color w:val="auto"/>
          <w:highlight w:val="none"/>
        </w:rPr>
      </w:pPr>
    </w:p>
    <w:p>
      <w:pPr>
        <w:autoSpaceDE w:val="0"/>
        <w:autoSpaceDN w:val="0"/>
        <w:adjustRightInd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 xml:space="preserve">《中华人民共和国政府采购法实施条例》 </w:t>
      </w:r>
    </w:p>
    <w:p>
      <w:pPr>
        <w:spacing w:line="360" w:lineRule="auto"/>
        <w:ind w:firstLine="482" w:firstLineChars="200"/>
        <w:jc w:val="left"/>
        <w:rPr>
          <w:rFonts w:ascii="宋体" w:hAnsi="宋体" w:cs="宋体"/>
          <w:color w:val="auto"/>
          <w:sz w:val="24"/>
          <w:highlight w:val="none"/>
        </w:rPr>
      </w:pPr>
      <w:bookmarkStart w:id="5" w:name="_Toc10451"/>
      <w:r>
        <w:rPr>
          <w:rFonts w:hint="eastAsia" w:ascii="宋体" w:hAnsi="宋体" w:cs="宋体"/>
          <w:b/>
          <w:bCs/>
          <w:color w:val="auto"/>
          <w:sz w:val="24"/>
          <w:highlight w:val="none"/>
        </w:rPr>
        <w:t>第十八条</w:t>
      </w:r>
      <w:r>
        <w:rPr>
          <w:rFonts w:hint="eastAsia" w:ascii="宋体" w:hAnsi="宋体" w:cs="宋体"/>
          <w:color w:val="auto"/>
          <w:sz w:val="24"/>
          <w:highlight w:val="none"/>
        </w:rPr>
        <w:t xml:space="preserve"> 单位负责人为同一人或者存在直接控股、管理关系的不同供应商，不得参加同一合同项下的政府采购活动。</w:t>
      </w:r>
      <w:bookmarkEnd w:id="5"/>
    </w:p>
    <w:p>
      <w:pPr>
        <w:spacing w:line="360" w:lineRule="auto"/>
        <w:ind w:firstLine="480" w:firstLineChars="200"/>
        <w:jc w:val="left"/>
        <w:rPr>
          <w:rFonts w:ascii="宋体" w:hAnsi="宋体" w:cs="宋体"/>
          <w:color w:val="auto"/>
          <w:sz w:val="24"/>
          <w:highlight w:val="none"/>
        </w:rPr>
      </w:pPr>
      <w:bookmarkStart w:id="6" w:name="_Toc4495"/>
      <w:r>
        <w:rPr>
          <w:rFonts w:hint="eastAsia" w:ascii="宋体" w:hAnsi="宋体" w:cs="宋体"/>
          <w:color w:val="auto"/>
          <w:sz w:val="24"/>
          <w:highlight w:val="none"/>
        </w:rPr>
        <w:t>除单一来源采购项目外，为采购项目提供整体设计、规范编制或者项目管理、监 理、检测等服务的供应商，不得再参加该采购项目的其他采购活动。</w:t>
      </w:r>
      <w:bookmarkEnd w:id="6"/>
    </w:p>
    <w:p>
      <w:pPr>
        <w:pStyle w:val="2"/>
        <w:tabs>
          <w:tab w:val="left" w:pos="562"/>
          <w:tab w:val="left" w:pos="3372"/>
          <w:tab w:val="left" w:pos="3653"/>
        </w:tabs>
        <w:spacing w:line="360" w:lineRule="auto"/>
        <w:rPr>
          <w:rFonts w:ascii="宋体" w:hAnsi="宋体" w:cs="宋体"/>
          <w:color w:val="auto"/>
          <w:highlight w:val="none"/>
        </w:rPr>
      </w:pPr>
    </w:p>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b/>
          <w:color w:val="auto"/>
          <w:kern w:val="0"/>
          <w:sz w:val="24"/>
          <w:highlight w:val="none"/>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hint="eastAsia" w:ascii="宋体" w:hAnsi="宋体" w:cs="宋体"/>
          <w:color w:val="auto"/>
          <w:highlight w:val="none"/>
          <w:lang w:eastAsia="zh-CN"/>
        </w:rPr>
      </w:pPr>
      <w:r>
        <w:rPr>
          <w:rFonts w:hint="eastAsia" w:ascii="宋体" w:hAnsi="宋体" w:cs="宋体"/>
          <w:color w:val="auto"/>
          <w:highlight w:val="none"/>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r>
        <w:rPr>
          <w:rFonts w:hint="eastAsia" w:ascii="宋体" w:hAnsi="宋体" w:cs="宋体"/>
          <w:color w:val="auto"/>
          <w:highlight w:val="none"/>
          <w:lang w:eastAsia="zh-CN"/>
        </w:rPr>
        <w:t>。</w:t>
      </w:r>
    </w:p>
    <w:p>
      <w:pPr>
        <w:autoSpaceDE w:val="0"/>
        <w:autoSpaceDN w:val="0"/>
        <w:adjustRightInd w:val="0"/>
        <w:spacing w:line="240" w:lineRule="auto"/>
        <w:jc w:val="center"/>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关于在相关自由贸易试验区和自由贸易港开展推动解决政府采购异常低价问题试点工作的通知</w:t>
      </w:r>
      <w:r>
        <w:rPr>
          <w:rFonts w:hint="eastAsia" w:ascii="宋体" w:hAnsi="宋体" w:cs="宋体"/>
          <w:b/>
          <w:color w:val="auto"/>
          <w:kern w:val="0"/>
          <w:sz w:val="24"/>
          <w:highlight w:val="none"/>
          <w:lang w:eastAsia="zh-CN"/>
        </w:rPr>
        <w:t>》</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textAlignment w:val="auto"/>
        <w:rPr>
          <w:rFonts w:hint="eastAsia" w:ascii="宋体" w:hAnsi="宋体" w:cs="宋体"/>
          <w:b/>
          <w:bCs/>
          <w:color w:val="auto"/>
          <w:highlight w:val="none"/>
          <w:lang w:eastAsia="zh-CN"/>
        </w:rPr>
      </w:pPr>
      <w:r>
        <w:rPr>
          <w:rFonts w:hint="eastAsia" w:ascii="宋体" w:hAnsi="宋体" w:cs="宋体"/>
          <w:b/>
          <w:bCs/>
          <w:color w:val="auto"/>
          <w:highlight w:val="none"/>
        </w:rPr>
        <w:t>强化政府采购异常低价审查</w:t>
      </w:r>
      <w:r>
        <w:rPr>
          <w:rFonts w:hint="eastAsia" w:ascii="宋体" w:hAnsi="宋体" w:cs="宋体"/>
          <w:b/>
          <w:bCs/>
          <w:color w:val="auto"/>
          <w:highlight w:val="none"/>
          <w:lang w:eastAsia="zh-CN"/>
        </w:rPr>
        <w:t>：</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试点地区采购人应当在采购文件中明确异常低价投标（响应）审查的有关内容，主要包括：</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2"/>
        <w:tabs>
          <w:tab w:val="left" w:pos="562"/>
          <w:tab w:val="left" w:pos="3372"/>
          <w:tab w:val="left" w:pos="3653"/>
        </w:tabs>
        <w:spacing w:line="360" w:lineRule="auto"/>
        <w:ind w:firstLine="480" w:firstLineChars="200"/>
        <w:rPr>
          <w:rFonts w:hint="eastAsia" w:ascii="宋体" w:hAnsi="宋体" w:cs="宋体"/>
          <w:color w:val="auto"/>
          <w:highlight w:val="none"/>
          <w:lang w:eastAsia="zh-CN"/>
        </w:rPr>
      </w:pPr>
      <w:r>
        <w:rPr>
          <w:rFonts w:hint="eastAsia" w:ascii="宋体" w:hAnsi="宋体" w:cs="宋体"/>
          <w:color w:val="auto"/>
          <w:highlight w:val="none"/>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2"/>
        <w:tabs>
          <w:tab w:val="left" w:pos="562"/>
          <w:tab w:val="left" w:pos="3372"/>
          <w:tab w:val="left" w:pos="3653"/>
        </w:tabs>
        <w:spacing w:line="360" w:lineRule="auto"/>
        <w:ind w:firstLine="480" w:firstLineChars="200"/>
        <w:rPr>
          <w:rFonts w:hint="eastAsia" w:ascii="宋体" w:hAnsi="宋体" w:cs="宋体"/>
          <w:color w:val="auto"/>
          <w:highlight w:val="none"/>
          <w:lang w:eastAsia="zh-CN"/>
        </w:rPr>
      </w:pPr>
    </w:p>
    <w:p>
      <w:pPr>
        <w:pStyle w:val="2"/>
        <w:tabs>
          <w:tab w:val="left" w:pos="562"/>
          <w:tab w:val="left" w:pos="3372"/>
          <w:tab w:val="left" w:pos="3653"/>
        </w:tabs>
        <w:spacing w:line="360" w:lineRule="auto"/>
        <w:ind w:firstLine="480" w:firstLineChars="200"/>
        <w:rPr>
          <w:rFonts w:ascii="宋体" w:hAnsi="宋体" w:cs="宋体"/>
          <w:color w:val="auto"/>
          <w:highlight w:val="none"/>
        </w:rPr>
      </w:pPr>
    </w:p>
    <w:p>
      <w:pPr>
        <w:pStyle w:val="2"/>
        <w:tabs>
          <w:tab w:val="left" w:pos="562"/>
          <w:tab w:val="left" w:pos="3372"/>
          <w:tab w:val="left" w:pos="3653"/>
        </w:tabs>
        <w:spacing w:line="360" w:lineRule="auto"/>
        <w:ind w:firstLine="480" w:firstLineChars="200"/>
        <w:rPr>
          <w:rFonts w:ascii="宋体" w:hAnsi="宋体" w:cs="宋体"/>
          <w:color w:val="auto"/>
          <w:highlight w:val="none"/>
        </w:rPr>
      </w:pPr>
    </w:p>
    <w:p>
      <w:pPr>
        <w:jc w:val="center"/>
        <w:outlineLvl w:val="0"/>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bookmarkStart w:id="7" w:name="_Toc20243"/>
      <w:bookmarkStart w:id="8" w:name="_Toc20808"/>
      <w:r>
        <w:rPr>
          <w:rFonts w:hint="eastAsia" w:ascii="宋体" w:hAnsi="宋体" w:cs="宋体"/>
          <w:b/>
          <w:bCs/>
          <w:color w:val="auto"/>
          <w:sz w:val="36"/>
          <w:szCs w:val="36"/>
          <w:highlight w:val="none"/>
          <w:lang w:val="zh-CN"/>
        </w:rPr>
        <w:t>目录</w:t>
      </w:r>
      <w:bookmarkEnd w:id="0"/>
      <w:bookmarkEnd w:id="7"/>
      <w:bookmarkEnd w:id="8"/>
    </w:p>
    <w:p>
      <w:pPr>
        <w:pStyle w:val="13"/>
        <w:tabs>
          <w:tab w:val="right" w:leader="dot" w:pos="8306"/>
        </w:tabs>
        <w:spacing w:line="480" w:lineRule="auto"/>
        <w:rPr>
          <w:b/>
          <w:bCs/>
          <w:color w:val="auto"/>
          <w:sz w:val="24"/>
          <w:szCs w:val="32"/>
          <w:highlight w:val="none"/>
        </w:rPr>
      </w:pP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TOC \o "1-1" \h \u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_Toc15219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第一章 招标邀请书（招标公告）</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_Toc15219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6</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_Toc30172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第二章 投标须知</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_Toc30172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_Toc25974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第三章 评标程序</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_Toc25974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_Toc8663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第四章 合同格式及合同条款</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_Toc8663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15</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_Toc11333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第五章 用户需求书</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_Toc11333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27</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_Toc10061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第六章 投标文件初审及招标项目评分表</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_Toc10061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32</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_Toc31322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第七章 附件（投标文件格式）</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_Toc31322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40</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\l _Toc2231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附件：相关政策</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PAGEREF _Toc2231 \h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72</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fldChar w:fldCharType="end"/>
      </w:r>
    </w:p>
    <w:p>
      <w:pPr>
        <w:pStyle w:val="13"/>
        <w:tabs>
          <w:tab w:val="right" w:leader="dot" w:pos="8306"/>
        </w:tabs>
        <w:spacing w:line="360" w:lineRule="auto"/>
        <w:rPr>
          <w:rFonts w:ascii="宋体" w:hAnsi="宋体" w:cs="宋体"/>
          <w:b/>
          <w:color w:val="auto"/>
          <w:sz w:val="24"/>
          <w:highlight w:val="none"/>
        </w:rPr>
      </w:pPr>
      <w:r>
        <w:rPr>
          <w:rFonts w:hint="eastAsia" w:ascii="宋体" w:hAnsi="宋体" w:eastAsia="宋体" w:cs="宋体"/>
          <w:b/>
          <w:bCs/>
          <w:color w:val="auto"/>
          <w:sz w:val="24"/>
          <w:highlight w:val="none"/>
        </w:rPr>
        <w:fldChar w:fldCharType="end"/>
      </w:r>
    </w:p>
    <w:p>
      <w:pPr>
        <w:spacing w:line="360" w:lineRule="auto"/>
        <w:rPr>
          <w:color w:val="auto"/>
          <w:highlight w:val="none"/>
        </w:rPr>
      </w:pPr>
    </w:p>
    <w:p>
      <w:pPr>
        <w:numPr>
          <w:ilvl w:val="0"/>
          <w:numId w:val="1"/>
        </w:numPr>
        <w:spacing w:line="360" w:lineRule="auto"/>
        <w:jc w:val="center"/>
        <w:outlineLvl w:val="0"/>
        <w:rPr>
          <w:rFonts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9" w:name="_Toc17273"/>
      <w:bookmarkStart w:id="10" w:name="_Toc15219"/>
      <w:r>
        <w:rPr>
          <w:rFonts w:hint="eastAsia" w:ascii="宋体" w:hAnsi="宋体" w:cs="宋体"/>
          <w:b/>
          <w:bCs/>
          <w:color w:val="auto"/>
          <w:sz w:val="24"/>
          <w:highlight w:val="none"/>
        </w:rPr>
        <w:t>招标邀请书（招标公告）</w:t>
      </w:r>
      <w:bookmarkEnd w:id="9"/>
      <w:bookmarkEnd w:id="10"/>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北京国际招标有限公司</w:t>
      </w:r>
      <w:r>
        <w:rPr>
          <w:rFonts w:hint="eastAsia" w:ascii="宋体" w:hAnsi="宋体" w:cs="宋体"/>
          <w:color w:val="auto"/>
          <w:sz w:val="24"/>
          <w:highlight w:val="none"/>
        </w:rPr>
        <w:t>（以下简称采购代理机构）受深圳市前海深港现代服务业合作区管理局委托就</w:t>
      </w:r>
      <w:r>
        <w:rPr>
          <w:rFonts w:hint="eastAsia" w:ascii="宋体" w:hAnsi="宋体" w:cs="宋体"/>
          <w:color w:val="auto"/>
          <w:sz w:val="24"/>
          <w:highlight w:val="none"/>
          <w:u w:val="single"/>
          <w:lang w:eastAsia="zh-CN"/>
        </w:rPr>
        <w:t>前海MiC发展顶层设计</w:t>
      </w:r>
      <w:r>
        <w:rPr>
          <w:rFonts w:hint="eastAsia" w:ascii="宋体" w:hAnsi="宋体" w:cs="宋体"/>
          <w:color w:val="auto"/>
          <w:sz w:val="24"/>
          <w:highlight w:val="none"/>
          <w:u w:val="none"/>
          <w:lang w:eastAsia="zh-CN"/>
        </w:rPr>
        <w:t>采购项目（二次）</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QH2025090）</w:t>
      </w:r>
      <w:r>
        <w:rPr>
          <w:rFonts w:hint="eastAsia" w:ascii="宋体" w:hAnsi="宋体" w:cs="宋体"/>
          <w:color w:val="auto"/>
          <w:sz w:val="24"/>
          <w:highlight w:val="none"/>
        </w:rPr>
        <w:t>采用简易招标方式采购，欢迎符合投标人资格要求的专业供应商积极参加投标。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招标编号</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QH2025090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招标项目名称</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前海MiC发展顶层设计项目（二次）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标的内容</w:t>
            </w:r>
          </w:p>
        </w:tc>
        <w:tc>
          <w:tcPr>
            <w:tcW w:w="7015" w:type="dxa"/>
            <w:noWrap w:val="0"/>
            <w:vAlign w:val="center"/>
          </w:tcPr>
          <w:p>
            <w:pPr>
              <w:spacing w:line="360" w:lineRule="auto"/>
              <w:rPr>
                <w:color w:val="auto"/>
                <w:highlight w:val="none"/>
              </w:rPr>
            </w:pPr>
            <w:r>
              <w:rPr>
                <w:rFonts w:hint="eastAsia" w:ascii="宋体" w:hAnsi="宋体" w:cs="宋体"/>
                <w:color w:val="auto"/>
                <w:sz w:val="24"/>
                <w:highlight w:val="none"/>
                <w:lang w:val="en-US" w:eastAsia="zh-CN"/>
              </w:rPr>
              <w:t>充分借鉴香港发展MiC成功经验，以支持前海合作区模块化建筑产业良性发展为支撑，以促进粤港澳大湾区建筑业融合发展为目标，以“前海MiC发展顶层设计”为起点，逐步构建前海合作区模块化建筑政策体系及标准。</w:t>
            </w:r>
            <w:r>
              <w:rPr>
                <w:rFonts w:hint="eastAsia" w:ascii="宋体" w:hAnsi="宋体" w:cs="宋体"/>
                <w:color w:val="auto"/>
                <w:sz w:val="24"/>
                <w:highlight w:val="none"/>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项目预算</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（最高限价）</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¥995,700.00（人民币玖拾玖万伍仟柒佰元整）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676" w:type="dxa"/>
            <w:noWrap w:val="0"/>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noWrap w:val="0"/>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w:t>
            </w:r>
            <w:r>
              <w:rPr>
                <w:rFonts w:hint="eastAsia" w:ascii="宋体" w:hAnsi="宋体" w:cs="宋体"/>
                <w:color w:val="auto"/>
                <w:kern w:val="0"/>
                <w:sz w:val="24"/>
                <w:highlight w:val="none"/>
                <w:lang w:val="en-US" w:eastAsia="zh-CN"/>
              </w:rPr>
              <w:t>政务公开-采购</w:t>
            </w:r>
            <w:r>
              <w:rPr>
                <w:rFonts w:hint="eastAsia" w:ascii="宋体" w:hAnsi="宋体" w:cs="宋体"/>
                <w:color w:val="auto"/>
                <w:kern w:val="0"/>
                <w:sz w:val="24"/>
                <w:highlight w:val="none"/>
              </w:rPr>
              <w:t>信息-招标公告栏目）(</w:t>
            </w:r>
            <w:bookmarkStart w:id="11" w:name="OLE_LINK46"/>
            <w:r>
              <w:rPr>
                <w:rFonts w:hint="eastAsia" w:ascii="宋体" w:hAnsi="宋体" w:cs="宋体"/>
                <w:color w:val="auto"/>
                <w:kern w:val="0"/>
                <w:sz w:val="24"/>
                <w:highlight w:val="none"/>
              </w:rPr>
              <w:t>http://qh.sz.gov.cn/</w:t>
            </w:r>
            <w:bookmarkEnd w:id="11"/>
            <w:r>
              <w:rPr>
                <w:rFonts w:hint="eastAsia" w:ascii="宋体" w:hAnsi="宋体" w:cs="宋体"/>
                <w:color w:val="auto"/>
                <w:kern w:val="0"/>
                <w:sz w:val="24"/>
                <w:highlight w:val="none"/>
              </w:rPr>
              <w:t>)免费下载。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报名方式</w:t>
            </w:r>
          </w:p>
        </w:tc>
        <w:tc>
          <w:tcPr>
            <w:tcW w:w="7015" w:type="dxa"/>
            <w:noWrap w:val="0"/>
            <w:vAlign w:val="center"/>
          </w:tcPr>
          <w:p>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将投标文件密封并在</w:t>
            </w:r>
            <w:r>
              <w:rPr>
                <w:rFonts w:hint="eastAsia" w:ascii="宋体" w:hAnsi="宋体" w:cs="宋体"/>
                <w:b/>
                <w:bCs/>
                <w:color w:val="auto"/>
                <w:kern w:val="0"/>
                <w:sz w:val="24"/>
                <w:highlight w:val="none"/>
                <w:lang w:eastAsia="zh-CN"/>
              </w:rPr>
              <w:t>2025年8月19日</w:t>
            </w:r>
            <w:r>
              <w:rPr>
                <w:rFonts w:hint="eastAsia" w:ascii="宋体" w:hAnsi="宋体" w:cs="宋体"/>
                <w:b/>
                <w:bCs/>
                <w:color w:val="auto"/>
                <w:kern w:val="0"/>
                <w:sz w:val="24"/>
                <w:highlight w:val="none"/>
                <w:lang w:val="en-US" w:eastAsia="zh-CN"/>
              </w:rPr>
              <w:t>上</w:t>
            </w:r>
            <w:r>
              <w:rPr>
                <w:rFonts w:hint="eastAsia" w:ascii="宋体" w:hAnsi="宋体" w:cs="宋体"/>
                <w:b/>
                <w:bCs/>
                <w:color w:val="auto"/>
                <w:kern w:val="0"/>
                <w:sz w:val="24"/>
                <w:highlight w:val="none"/>
              </w:rPr>
              <w:t>午1</w:t>
            </w:r>
            <w:r>
              <w:rPr>
                <w:rFonts w:hint="eastAsia" w:ascii="宋体" w:hAnsi="宋体" w:cs="宋体"/>
                <w:b/>
                <w:bCs/>
                <w:color w:val="auto"/>
                <w:kern w:val="0"/>
                <w:sz w:val="24"/>
                <w:highlight w:val="none"/>
                <w:lang w:val="en-US" w:eastAsia="zh-CN"/>
              </w:rPr>
              <w:t>0</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0时（北京时间）</w:t>
            </w:r>
            <w:r>
              <w:rPr>
                <w:rFonts w:hint="eastAsia" w:ascii="宋体" w:hAnsi="宋体" w:cs="宋体"/>
                <w:color w:val="auto"/>
                <w:kern w:val="0"/>
                <w:sz w:val="24"/>
                <w:highlight w:val="none"/>
              </w:rPr>
              <w:t>前送达（现场递交或邮寄）至深圳</w:t>
            </w:r>
            <w:r>
              <w:rPr>
                <w:rFonts w:hint="eastAsia" w:ascii="宋体" w:hAnsi="宋体" w:eastAsia="宋体" w:cs="宋体"/>
                <w:color w:val="auto"/>
                <w:kern w:val="0"/>
                <w:sz w:val="24"/>
                <w:highlight w:val="none"/>
              </w:rPr>
              <w:t>市南山区前海深港合作区桂湾五路123号前海管理局前海大厦T1栋2405室</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w:t>
            </w:r>
            <w:r>
              <w:rPr>
                <w:rFonts w:hint="eastAsia" w:ascii="宋体" w:hAnsi="宋体" w:eastAsia="宋体" w:cs="宋体"/>
                <w:color w:val="auto"/>
                <w:kern w:val="0"/>
                <w:sz w:val="24"/>
                <w:highlight w:val="none"/>
              </w:rPr>
              <w:t xml:space="preserve">  系  人：唐工</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xml:space="preserve">电      </w:t>
            </w:r>
            <w:r>
              <w:rPr>
                <w:rFonts w:hint="eastAsia" w:ascii="宋体" w:hAnsi="宋体" w:eastAsia="宋体" w:cs="宋体"/>
                <w:color w:val="auto"/>
                <w:kern w:val="0"/>
                <w:sz w:val="24"/>
                <w:highlight w:val="none"/>
              </w:rPr>
              <w:t>话：0755-88105489</w:t>
            </w:r>
          </w:p>
          <w:p>
            <w:pPr>
              <w:adjustRightInd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noWrap w:val="0"/>
            <w:vAlign w:val="center"/>
          </w:tcPr>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在中华人民共和国境内注册的具有独立法人资格或具有独立承担民事责任的能力的其他组织</w:t>
            </w:r>
            <w:r>
              <w:rPr>
                <w:rFonts w:hint="eastAsia" w:ascii="宋体" w:hAnsi="宋体" w:cs="宋体"/>
                <w:b/>
                <w:bCs/>
                <w:color w:val="auto"/>
                <w:kern w:val="0"/>
                <w:sz w:val="24"/>
                <w:highlight w:val="none"/>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kern w:val="0"/>
                <w:sz w:val="24"/>
                <w:highlight w:val="non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参与政府采购项目投标的供应商近三年内无行贿犯罪记录</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投标人承诺“本单位（公司）不存在《深圳市财政局政府采购供应商信用信息管理办法》（深财规〔2023〕3号）列明的严重违法失信行为”</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auto"/>
                <w:kern w:val="0"/>
                <w:sz w:val="24"/>
                <w:highlight w:val="none"/>
              </w:rPr>
              <w:t>（由</w:t>
            </w:r>
            <w:r>
              <w:rPr>
                <w:rFonts w:hint="eastAsia" w:ascii="宋体" w:hAnsi="宋体" w:cs="宋体"/>
                <w:b/>
                <w:bCs/>
                <w:color w:val="auto"/>
                <w:kern w:val="0"/>
                <w:sz w:val="24"/>
                <w:highlight w:val="none"/>
                <w:lang w:val="en-US" w:eastAsia="zh-CN"/>
              </w:rPr>
              <w:t>投标人</w:t>
            </w:r>
            <w:r>
              <w:rPr>
                <w:rFonts w:hint="eastAsia" w:ascii="宋体" w:hAnsi="宋体" w:cs="宋体"/>
                <w:b/>
                <w:bCs/>
                <w:color w:val="auto"/>
                <w:kern w:val="0"/>
                <w:sz w:val="24"/>
                <w:highlight w:val="none"/>
              </w:rPr>
              <w:t>提供《供应商基本情况表》并加盖公章，同时提供</w:t>
            </w:r>
            <w:r>
              <w:rPr>
                <w:rFonts w:hint="eastAsia" w:ascii="宋体" w:hAnsi="宋体" w:cs="宋体"/>
                <w:b/>
                <w:bCs/>
                <w:color w:val="auto"/>
                <w:kern w:val="0"/>
                <w:sz w:val="24"/>
                <w:highlight w:val="none"/>
                <w:lang w:val="en-US" w:eastAsia="zh-CN"/>
              </w:rPr>
              <w:t>投标人的</w:t>
            </w:r>
            <w:r>
              <w:rPr>
                <w:rFonts w:hint="eastAsia" w:ascii="宋体" w:hAnsi="宋体" w:cs="宋体"/>
                <w:b/>
                <w:bCs/>
                <w:color w:val="auto"/>
                <w:kern w:val="0"/>
                <w:sz w:val="24"/>
                <w:highlight w:val="none"/>
              </w:rPr>
              <w:t>社保缴纳证明材料及股权关系证明材料，格式见</w:t>
            </w:r>
            <w:r>
              <w:rPr>
                <w:rFonts w:hint="eastAsia" w:ascii="宋体" w:hAnsi="宋体" w:cs="宋体"/>
                <w:b/>
                <w:bCs/>
                <w:color w:val="auto"/>
                <w:kern w:val="0"/>
                <w:sz w:val="24"/>
                <w:highlight w:val="none"/>
                <w:lang w:val="en-US" w:eastAsia="zh-CN"/>
              </w:rPr>
              <w:t>-</w:t>
            </w:r>
            <w:r>
              <w:rPr>
                <w:rFonts w:hint="eastAsia" w:ascii="宋体" w:hAnsi="宋体" w:cs="宋体"/>
                <w:b/>
                <w:bCs/>
                <w:color w:val="auto"/>
                <w:kern w:val="0"/>
                <w:sz w:val="24"/>
                <w:highlight w:val="none"/>
              </w:rPr>
              <w:t>投标文件格式</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为此项目提供整体设计、规范编制或者项目管理、监理、检测等服务的供应商，不得再参加此项目的其他招标采购活动</w:t>
            </w:r>
            <w:r>
              <w:rPr>
                <w:rFonts w:hint="eastAsia" w:ascii="宋体" w:hAnsi="宋体" w:cs="宋体"/>
                <w:b/>
                <w:bCs/>
                <w:color w:val="auto"/>
                <w:kern w:val="0"/>
                <w:sz w:val="24"/>
                <w:highlight w:val="none"/>
              </w:rPr>
              <w:t>（由投标人在《政府采购投标及履约承诺函》中作出声明）；</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落实政府采购政策需满足的资格要求：本项目不属于专门面向特定企业（单位）的采购项目，本项目采购标的对应的中小企业划分标准所属行业为：</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w:t>
            </w:r>
          </w:p>
          <w:p>
            <w:pPr>
              <w:numPr>
                <w:ilvl w:val="0"/>
                <w:numId w:val="2"/>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本项目不接受联合体投标、不允许非法分包、转包</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noWrap w:val="0"/>
            <w:vAlign w:val="center"/>
          </w:tcPr>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本项目服务费采用包干制，应包括专业服务费、法定税费、企业的利润和驻场人员办公场地费用等为完成本项目服务所发生的全部相关费用。本项目总价包括但不限于差旅费、住宿费、餐费、交通费、资料费、调研费、通信费、税费等相关费用及后期费用；由企业根据招标文件所提供的资料自行测算投标报价；一经中标，投标报价总价作为中标单位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的合同金额，不随因采购人建设需求导致的设备数量增加或通货膨胀的影响而波动。</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color w:val="auto"/>
                <w:sz w:val="24"/>
                <w:highlight w:val="none"/>
              </w:rPr>
            </w:pPr>
            <w:r>
              <w:rPr>
                <w:rFonts w:hint="eastAsia" w:ascii="宋体" w:hAnsi="宋体" w:cs="宋体"/>
                <w:color w:val="auto"/>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noWrap w:val="0"/>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spacing w:line="360" w:lineRule="auto"/>
              <w:rPr>
                <w:rFonts w:ascii="宋体" w:hAnsi="宋体" w:cs="宋体"/>
                <w:color w:val="auto"/>
                <w:kern w:val="0"/>
                <w:sz w:val="24"/>
                <w:highlight w:val="none"/>
              </w:rPr>
            </w:pPr>
            <w:bookmarkStart w:id="12" w:name="_Toc28359009"/>
            <w:bookmarkStart w:id="13" w:name="_Toc28359086"/>
            <w:r>
              <w:rPr>
                <w:rFonts w:hint="eastAsia" w:ascii="宋体" w:hAnsi="宋体" w:cs="宋体"/>
                <w:color w:val="auto"/>
                <w:kern w:val="0"/>
                <w:sz w:val="24"/>
                <w:highlight w:val="none"/>
              </w:rPr>
              <w:t>名  称：深圳市前海深港现代服务业合作区管理局</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  址：深圳市南山区前海深港合作区桂湾五路123号前海管理局前海大厦T1栋　　　　　　　　　</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联系人：唐工</w:t>
            </w:r>
          </w:p>
          <w:p>
            <w:pPr>
              <w:spacing w:line="360" w:lineRule="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电  话：0755-88105489</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2.采购代理机构信息</w:t>
            </w:r>
            <w:bookmarkEnd w:id="12"/>
            <w:bookmarkEnd w:id="13"/>
          </w:p>
          <w:p>
            <w:pPr>
              <w:spacing w:line="360" w:lineRule="auto"/>
              <w:rPr>
                <w:rFonts w:ascii="宋体" w:hAnsi="宋体" w:cs="宋体"/>
                <w:color w:val="auto"/>
                <w:kern w:val="0"/>
                <w:sz w:val="24"/>
                <w:highlight w:val="none"/>
              </w:rPr>
            </w:pPr>
            <w:bookmarkStart w:id="14" w:name="_Toc28359010"/>
            <w:bookmarkStart w:id="15" w:name="_Toc28359087"/>
            <w:r>
              <w:rPr>
                <w:rFonts w:hint="eastAsia" w:ascii="宋体" w:hAnsi="宋体" w:cs="宋体"/>
                <w:color w:val="auto"/>
                <w:kern w:val="0"/>
                <w:sz w:val="24"/>
                <w:highlight w:val="none"/>
              </w:rPr>
              <w:t>名  称：</w:t>
            </w:r>
            <w:r>
              <w:rPr>
                <w:rFonts w:hint="eastAsia" w:ascii="宋体" w:hAnsi="宋体" w:cs="宋体"/>
                <w:color w:val="auto"/>
                <w:kern w:val="0"/>
                <w:sz w:val="24"/>
                <w:highlight w:val="none"/>
                <w:lang w:val="en-US" w:eastAsia="zh-CN"/>
              </w:rPr>
              <w:t>北京国际招标有限公司</w:t>
            </w:r>
          </w:p>
          <w:p>
            <w:pPr>
              <w:spacing w:line="360" w:lineRule="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深圳市南山区卓越前海壹号大厦A座1403B</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张先生</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0755-83629963</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邮</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箱</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759017044@qq.com</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3.项目联系方式</w:t>
            </w:r>
            <w:bookmarkEnd w:id="14"/>
            <w:bookmarkEnd w:id="15"/>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项目联系人：张先生</w:t>
            </w:r>
          </w:p>
          <w:p>
            <w:pPr>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eastAsia="zh-CN"/>
              </w:rPr>
              <w:t>0755-83629963</w:t>
            </w:r>
          </w:p>
        </w:tc>
      </w:tr>
    </w:tbl>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lang w:val="en-US" w:eastAsia="zh-CN"/>
        </w:rPr>
        <w:t>北京国际招标有限公司</w:t>
      </w:r>
    </w:p>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w:t>
      </w: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16" w:name="_Toc10214"/>
      <w:bookmarkStart w:id="17" w:name="_Toc30172"/>
      <w:r>
        <w:rPr>
          <w:rFonts w:hint="eastAsia" w:ascii="宋体" w:hAnsi="宋体" w:cs="宋体"/>
          <w:b/>
          <w:bCs/>
          <w:color w:val="auto"/>
          <w:sz w:val="24"/>
          <w:highlight w:val="none"/>
        </w:rPr>
        <w:t>投标须知</w:t>
      </w:r>
      <w:bookmarkEnd w:id="16"/>
      <w:bookmarkEnd w:id="17"/>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1、本项目是深圳市前海深港现代服务业合作区管理局的</w:t>
      </w:r>
      <w:r>
        <w:rPr>
          <w:rFonts w:hint="eastAsia" w:ascii="宋体" w:hAnsi="宋体" w:cs="宋体"/>
          <w:color w:val="auto"/>
          <w:sz w:val="24"/>
          <w:highlight w:val="none"/>
          <w:lang w:eastAsia="zh-CN"/>
        </w:rPr>
        <w:t>前海MiC发展顶层设计项目（二次）</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本项目不属于《深圳市2025—2026年政府集中采购目录及限额标准》规定应集中采购项目，根据《中华人民共和国政府采购法》《深圳经济特区政府采购条例》的有关规定，北京国际招标有限公司受深圳市前海深港现代服务业合作区管理局委托组织采购。</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2.2、对于重新组织简易招标(公开征集)，仍出现有效投标供应商不足3家的情形，按以下流程执行：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a.有效投标人为2家的，可在2家有效投标人中取得分最高者为中标供应商；</w:t>
      </w:r>
    </w:p>
    <w:p>
      <w:pPr>
        <w:spacing w:line="360" w:lineRule="auto"/>
        <w:rPr>
          <w:rFonts w:ascii="宋体" w:hAnsi="宋体" w:cs="宋体"/>
          <w:color w:val="auto"/>
          <w:sz w:val="24"/>
          <w:highlight w:val="none"/>
        </w:rPr>
      </w:pPr>
      <w:r>
        <w:rPr>
          <w:rFonts w:hint="eastAsia" w:ascii="宋体" w:hAnsi="宋体" w:cs="宋体"/>
          <w:color w:val="auto"/>
          <w:sz w:val="24"/>
          <w:highlight w:val="none"/>
        </w:rPr>
        <w:t>b.如参与投标且符合招标文件要求的供应商仅有1家，评审委员会应与投标供应商进行谈判，原则上成交价不超过最初报价的95%。</w:t>
      </w:r>
    </w:p>
    <w:p>
      <w:pPr>
        <w:spacing w:line="360" w:lineRule="auto"/>
        <w:rPr>
          <w:rFonts w:ascii="宋体" w:hAnsi="宋体" w:cs="宋体"/>
          <w:color w:val="auto"/>
          <w:sz w:val="24"/>
          <w:highlight w:val="none"/>
        </w:rPr>
      </w:pPr>
      <w:r>
        <w:rPr>
          <w:rFonts w:hint="eastAsia" w:ascii="宋体" w:hAnsi="宋体" w:cs="宋体"/>
          <w:color w:val="auto"/>
          <w:sz w:val="24"/>
          <w:highlight w:val="none"/>
        </w:rPr>
        <w:t>3、本项目根据项目的实际情况，公开征集符合投标人资格的供应商。请各供应商根据本文件的要求，准备</w:t>
      </w:r>
      <w:r>
        <w:rPr>
          <w:rFonts w:hint="eastAsia" w:ascii="宋体" w:hAnsi="宋体" w:cs="宋体"/>
          <w:b/>
          <w:bCs/>
          <w:color w:val="auto"/>
          <w:sz w:val="24"/>
          <w:highlight w:val="none"/>
        </w:rPr>
        <w:t>5套（1套正本，4套副本</w:t>
      </w:r>
      <w:bookmarkStart w:id="18" w:name="OLE_LINK1"/>
      <w:r>
        <w:rPr>
          <w:rFonts w:hint="eastAsia" w:ascii="宋体" w:hAnsi="宋体" w:cs="宋体"/>
          <w:b/>
          <w:bCs/>
          <w:color w:val="auto"/>
          <w:sz w:val="24"/>
          <w:highlight w:val="none"/>
        </w:rPr>
        <w:t>，</w:t>
      </w:r>
      <w:bookmarkStart w:id="19" w:name="OLE_LINK3"/>
      <w:r>
        <w:rPr>
          <w:rFonts w:hint="eastAsia" w:ascii="宋体" w:hAnsi="宋体" w:cs="宋体"/>
          <w:b/>
          <w:color w:val="auto"/>
          <w:sz w:val="24"/>
          <w:highlight w:val="none"/>
          <w:lang w:val="en-US" w:eastAsia="zh-CN"/>
        </w:rPr>
        <w:t>1份</w:t>
      </w:r>
      <w:bookmarkEnd w:id="18"/>
      <w:bookmarkEnd w:id="19"/>
      <w:r>
        <w:rPr>
          <w:rFonts w:hint="eastAsia" w:ascii="宋体" w:hAnsi="宋体" w:cs="宋体"/>
          <w:b/>
          <w:color w:val="auto"/>
          <w:sz w:val="24"/>
          <w:highlight w:val="none"/>
          <w:lang w:val="en-US" w:eastAsia="zh-CN"/>
        </w:rPr>
        <w:t>电子文档【电子文档包括：PDF格式的正本投标文件扫描件、与正本一致的word文档格式的投标文件】</w:t>
      </w:r>
      <w:r>
        <w:rPr>
          <w:rFonts w:hint="eastAsia" w:ascii="宋体" w:hAnsi="宋体" w:cs="宋体"/>
          <w:b/>
          <w:bCs/>
          <w:color w:val="auto"/>
          <w:sz w:val="24"/>
          <w:highlight w:val="none"/>
        </w:rPr>
        <w:t>）</w:t>
      </w:r>
      <w:r>
        <w:rPr>
          <w:rFonts w:hint="eastAsia" w:ascii="宋体" w:hAnsi="宋体" w:cs="宋体"/>
          <w:color w:val="auto"/>
          <w:sz w:val="24"/>
          <w:highlight w:val="none"/>
        </w:rPr>
        <w:t>完备的资料进行投标。</w:t>
      </w:r>
    </w:p>
    <w:p>
      <w:pPr>
        <w:spacing w:line="360" w:lineRule="auto"/>
        <w:rPr>
          <w:rFonts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价格部分；</w:t>
      </w:r>
    </w:p>
    <w:p>
      <w:pPr>
        <w:numPr>
          <w:ilvl w:val="0"/>
          <w:numId w:val="4"/>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商务部分；</w:t>
      </w:r>
    </w:p>
    <w:p>
      <w:pPr>
        <w:numPr>
          <w:ilvl w:val="0"/>
          <w:numId w:val="4"/>
        </w:numPr>
        <w:tabs>
          <w:tab w:val="clear" w:pos="-420"/>
        </w:tabs>
        <w:snapToGrid w:val="0"/>
        <w:spacing w:after="78" w:afterLines="25" w:line="360" w:lineRule="auto"/>
        <w:ind w:left="1050" w:hanging="420"/>
        <w:rPr>
          <w:rFonts w:ascii="宋体" w:hAnsi="宋体" w:cs="宋体"/>
          <w:color w:val="auto"/>
          <w:sz w:val="24"/>
          <w:highlight w:val="none"/>
        </w:rPr>
      </w:pPr>
      <w:r>
        <w:rPr>
          <w:rFonts w:hint="eastAsia" w:ascii="宋体" w:hAnsi="宋体" w:cs="宋体"/>
          <w:color w:val="auto"/>
          <w:sz w:val="24"/>
          <w:highlight w:val="none"/>
        </w:rPr>
        <w:t>技术部分。</w:t>
      </w:r>
    </w:p>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采购人会对本次招标的项目确定一个最高限价，最终成交价格超出最高限价将会被当作投标无效处理。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9、本次采购凡涉及知识产权问题，由项目供应商负责。</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10、采购人将组成评审委员会，评审工作由评审委员会独立负责。</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12、采用综合评分法的情况：评审委员会将分别对供应商递交的投标文件进行评审。</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（2）如果二个及以上供应商的综合评分相同时，取投标价格低者为第一中标候选人。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（3）如果二个及以上供应商的综合评分相同，且投标价格也相同时，取技术部分得分高者为第一中标候选人。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（1）供应商在谈判时由项目负责人与评审委员会进行谈判；</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（2）原则上成交价不超过最初报价的95%。</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14、所有的评审/谈判内容都必须保密。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15、招标代理服务收费：</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以《深圳市财政委员会关于规范深圳市社会采购代理机构管理有关事项的补充通知》（深财购〔2018〕27号）代理费用参考标准的</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%按差额定率累进法进行计费，若以上计算金额小于3000元，则按3000元收取。</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ascii="宋体" w:hAnsi="宋体" w:cs="宋体"/>
                <w:b/>
                <w:bCs/>
                <w:color w:val="auto"/>
                <w:sz w:val="24"/>
                <w:highlight w:val="none"/>
              </w:rPr>
            </w:pPr>
          </w:p>
        </w:tc>
        <w:tc>
          <w:tcPr>
            <w:tcW w:w="1843" w:type="dxa"/>
            <w:shd w:val="clear" w:color="auto" w:fill="D7D7D7"/>
            <w:noWrap w:val="0"/>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noWrap w:val="0"/>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noWrap w:val="0"/>
            <w:vAlign w:val="center"/>
          </w:tcPr>
          <w:p>
            <w:pPr>
              <w:adjustRightInd w:val="0"/>
              <w:snapToGrid w:val="0"/>
              <w:spacing w:line="360" w:lineRule="auto"/>
              <w:ind w:right="26"/>
              <w:jc w:val="center"/>
              <w:rPr>
                <w:rFonts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100万元以下</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1.5%</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1.1%</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0.8%</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0.8%</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0.45%</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0.5%</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0.25%</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5000万元（含）-1亿元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0.25%</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0.1%</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1亿元（含）-5亿元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0.05%</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0.05%</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5亿元（含）-10亿元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0.035%</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0.035%</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10亿元（含）-50亿元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0.008%</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0.008%</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50亿元（含）-100亿元</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0.006%</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0.006%</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100亿元（含）以上</w:t>
            </w:r>
          </w:p>
        </w:tc>
        <w:tc>
          <w:tcPr>
            <w:tcW w:w="1843" w:type="dxa"/>
            <w:noWrap w:val="0"/>
            <w:vAlign w:val="center"/>
          </w:tcPr>
          <w:p>
            <w:pPr>
              <w:adjustRightInd w:val="0"/>
              <w:snapToGrid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0.004%</w:t>
            </w:r>
          </w:p>
        </w:tc>
        <w:tc>
          <w:tcPr>
            <w:tcW w:w="1755"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0.004%</w:t>
            </w:r>
          </w:p>
        </w:tc>
        <w:tc>
          <w:tcPr>
            <w:tcW w:w="1897" w:type="dxa"/>
            <w:noWrap w:val="0"/>
            <w:vAlign w:val="center"/>
          </w:tcPr>
          <w:p>
            <w:pPr>
              <w:adjustRightInd w:val="0"/>
              <w:snapToGrid w:val="0"/>
              <w:spacing w:line="360" w:lineRule="auto"/>
              <w:ind w:right="28"/>
              <w:jc w:val="center"/>
              <w:rPr>
                <w:rFonts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招标代理服务费缴纳至：</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开户名称：北京国际招标有限公司深圳分公司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银行账号：15063366666619</w:t>
      </w:r>
    </w:p>
    <w:p>
      <w:pPr>
        <w:spacing w:line="360" w:lineRule="auto"/>
        <w:rPr>
          <w:rFonts w:ascii="宋体" w:hAnsi="宋体" w:cs="宋体"/>
          <w:b/>
          <w:bCs/>
          <w:color w:val="auto"/>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开户银行：平安银行深圳分行营业部</w:t>
      </w: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20" w:name="_Toc25974"/>
      <w:bookmarkStart w:id="21" w:name="_Toc20176"/>
      <w:r>
        <w:rPr>
          <w:rFonts w:hint="eastAsia" w:ascii="宋体" w:hAnsi="宋体" w:cs="宋体"/>
          <w:b/>
          <w:bCs/>
          <w:color w:val="auto"/>
          <w:sz w:val="24"/>
          <w:highlight w:val="none"/>
        </w:rPr>
        <w:t>评标程序</w:t>
      </w:r>
      <w:bookmarkEnd w:id="20"/>
      <w:bookmarkEnd w:id="21"/>
    </w:p>
    <w:p>
      <w:pPr>
        <w:spacing w:line="360" w:lineRule="auto"/>
        <w:rPr>
          <w:rFonts w:ascii="宋体" w:hAnsi="宋体" w:cs="宋体"/>
          <w:color w:val="auto"/>
          <w:sz w:val="24"/>
          <w:highlight w:val="none"/>
        </w:rPr>
      </w:pPr>
      <w:r>
        <w:rPr>
          <w:rFonts w:hint="eastAsia" w:ascii="宋体" w:hAnsi="宋体" w:cs="宋体"/>
          <w:color w:val="auto"/>
          <w:sz w:val="24"/>
          <w:highlight w:val="none"/>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color w:val="auto"/>
          <w:sz w:val="24"/>
          <w:highlight w:val="none"/>
        </w:rPr>
      </w:pPr>
      <w:r>
        <w:rPr>
          <w:rFonts w:hint="eastAsia" w:ascii="宋体" w:hAnsi="宋体" w:cs="宋体"/>
          <w:color w:val="auto"/>
          <w:sz w:val="24"/>
          <w:highlight w:val="none"/>
        </w:rPr>
        <w:t>二、参加会议人员：投标人代表（如需）、项目负责代表、评审委员会成员、监督部门代表（如需）、采购代理机构代表。</w:t>
      </w:r>
    </w:p>
    <w:p>
      <w:pPr>
        <w:spacing w:line="360" w:lineRule="auto"/>
        <w:rPr>
          <w:rFonts w:ascii="宋体" w:hAnsi="宋体" w:cs="宋体"/>
          <w:color w:val="auto"/>
          <w:sz w:val="24"/>
          <w:highlight w:val="none"/>
        </w:rPr>
      </w:pPr>
      <w:r>
        <w:rPr>
          <w:rFonts w:hint="eastAsia" w:ascii="宋体" w:hAnsi="宋体" w:cs="宋体"/>
          <w:color w:val="auto"/>
          <w:sz w:val="24"/>
          <w:highlight w:val="none"/>
        </w:rPr>
        <w:t>三、会议主持人：</w:t>
      </w:r>
      <w:r>
        <w:rPr>
          <w:rFonts w:hint="eastAsia" w:ascii="宋体" w:hAnsi="宋体" w:cs="宋体"/>
          <w:color w:val="auto"/>
          <w:sz w:val="24"/>
          <w:highlight w:val="none"/>
          <w:lang w:val="en-US" w:eastAsia="zh-CN"/>
        </w:rPr>
        <w:t>北京国际招标有限公司</w:t>
      </w:r>
      <w:r>
        <w:rPr>
          <w:rFonts w:hint="eastAsia" w:ascii="宋体" w:hAnsi="宋体" w:cs="宋体"/>
          <w:color w:val="auto"/>
          <w:sz w:val="24"/>
          <w:highlight w:val="none"/>
        </w:rPr>
        <w:t>工作人员 。</w:t>
      </w:r>
    </w:p>
    <w:p>
      <w:pPr>
        <w:spacing w:line="360" w:lineRule="auto"/>
        <w:rPr>
          <w:rFonts w:ascii="宋体" w:hAnsi="宋体" w:cs="宋体"/>
          <w:color w:val="auto"/>
          <w:sz w:val="24"/>
          <w:highlight w:val="none"/>
        </w:rPr>
      </w:pPr>
      <w:r>
        <w:rPr>
          <w:rFonts w:hint="eastAsia" w:ascii="宋体" w:hAnsi="宋体" w:cs="宋体"/>
          <w:color w:val="auto"/>
          <w:sz w:val="24"/>
          <w:highlight w:val="none"/>
        </w:rPr>
        <w:t>四、开标时间：</w:t>
      </w:r>
      <w:r>
        <w:rPr>
          <w:rFonts w:hint="eastAsia" w:ascii="宋体" w:hAnsi="宋体" w:cs="宋体"/>
          <w:color w:val="auto"/>
          <w:sz w:val="24"/>
          <w:highlight w:val="none"/>
          <w:lang w:eastAsia="zh-CN"/>
        </w:rPr>
        <w:t>2025年8月19日</w:t>
      </w:r>
      <w:r>
        <w:rPr>
          <w:rFonts w:hint="eastAsia" w:ascii="宋体" w:hAnsi="宋体" w:cs="宋体"/>
          <w:color w:val="auto"/>
          <w:sz w:val="24"/>
          <w:highlight w:val="none"/>
        </w:rPr>
        <w:t>上午10：30时（北京时间）。</w:t>
      </w:r>
    </w:p>
    <w:p>
      <w:pPr>
        <w:spacing w:line="360" w:lineRule="auto"/>
        <w:rPr>
          <w:rFonts w:ascii="宋体" w:hAnsi="宋体" w:cs="宋体"/>
          <w:color w:val="auto"/>
          <w:sz w:val="24"/>
          <w:highlight w:val="none"/>
        </w:rPr>
      </w:pPr>
      <w:r>
        <w:rPr>
          <w:rFonts w:hint="eastAsia" w:ascii="宋体" w:hAnsi="宋体" w:cs="宋体"/>
          <w:color w:val="auto"/>
          <w:sz w:val="24"/>
          <w:highlight w:val="none"/>
        </w:rPr>
        <w:t>五、会议开始：</w:t>
      </w:r>
      <w:r>
        <w:rPr>
          <w:rFonts w:hint="eastAsia" w:ascii="宋体" w:hAnsi="宋体" w:cs="宋体"/>
          <w:color w:val="auto"/>
          <w:sz w:val="24"/>
          <w:highlight w:val="none"/>
          <w:lang w:eastAsia="zh-CN"/>
        </w:rPr>
        <w:t>2025年8月19日</w:t>
      </w:r>
      <w:r>
        <w:rPr>
          <w:rFonts w:hint="eastAsia" w:ascii="宋体" w:hAnsi="宋体" w:cs="宋体"/>
          <w:color w:val="auto"/>
          <w:sz w:val="24"/>
          <w:highlight w:val="none"/>
        </w:rPr>
        <w:t>上午10：30时（北京时间）由会议主持人宣布定标会议开始。</w:t>
      </w:r>
    </w:p>
    <w:p>
      <w:pPr>
        <w:spacing w:line="360" w:lineRule="auto"/>
        <w:rPr>
          <w:rFonts w:ascii="宋体" w:hAnsi="宋体" w:cs="宋体"/>
          <w:color w:val="auto"/>
          <w:sz w:val="24"/>
          <w:highlight w:val="none"/>
        </w:rPr>
      </w:pPr>
      <w:r>
        <w:rPr>
          <w:rFonts w:hint="eastAsia" w:ascii="宋体" w:hAnsi="宋体" w:cs="宋体"/>
          <w:color w:val="auto"/>
          <w:sz w:val="24"/>
          <w:highlight w:val="none"/>
        </w:rPr>
        <w:t>六、项目负责代表向采购代理机构代表送交投标文件，监督部门代表（如有）确认投标文件密封完整，未密封投标文件将作为投标无效处理。</w:t>
      </w:r>
    </w:p>
    <w:p>
      <w:pPr>
        <w:spacing w:line="360" w:lineRule="auto"/>
        <w:rPr>
          <w:rFonts w:ascii="宋体" w:hAnsi="宋体" w:cs="宋体"/>
          <w:color w:val="auto"/>
          <w:sz w:val="24"/>
          <w:highlight w:val="none"/>
        </w:rPr>
      </w:pPr>
      <w:r>
        <w:rPr>
          <w:rFonts w:hint="eastAsia" w:ascii="宋体" w:hAnsi="宋体" w:cs="宋体"/>
          <w:color w:val="auto"/>
          <w:sz w:val="24"/>
          <w:highlight w:val="none"/>
        </w:rPr>
        <w:t>七、由采购代理机构代表现场拆封投标文件，并分发给评审委员会成员。</w:t>
      </w:r>
    </w:p>
    <w:p>
      <w:pPr>
        <w:spacing w:line="360" w:lineRule="auto"/>
        <w:rPr>
          <w:rFonts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pPr>
        <w:spacing w:line="360" w:lineRule="auto"/>
        <w:rPr>
          <w:rFonts w:ascii="宋体" w:hAnsi="宋体" w:cs="宋体"/>
          <w:color w:val="auto"/>
          <w:sz w:val="24"/>
          <w:highlight w:val="none"/>
        </w:rPr>
      </w:pPr>
      <w:r>
        <w:rPr>
          <w:rFonts w:hint="eastAsia" w:ascii="宋体" w:hAnsi="宋体" w:cs="宋体"/>
          <w:color w:val="auto"/>
          <w:sz w:val="24"/>
          <w:highlight w:val="none"/>
        </w:rPr>
        <w:t>九、评审委员会按以下工作程序进行：</w:t>
      </w:r>
    </w:p>
    <w:p>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pPr>
        <w:spacing w:line="360" w:lineRule="auto"/>
        <w:rPr>
          <w:rFonts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pPr>
        <w:spacing w:line="360" w:lineRule="auto"/>
        <w:rPr>
          <w:rFonts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pPr>
        <w:spacing w:line="360" w:lineRule="auto"/>
        <w:rPr>
          <w:rFonts w:ascii="宋体" w:hAnsi="宋体" w:cs="宋体"/>
          <w:color w:val="auto"/>
          <w:sz w:val="24"/>
          <w:highlight w:val="none"/>
        </w:rPr>
      </w:pPr>
      <w:r>
        <w:rPr>
          <w:rFonts w:hint="eastAsia" w:ascii="宋体" w:hAnsi="宋体" w:cs="宋体"/>
          <w:color w:val="auto"/>
          <w:sz w:val="24"/>
          <w:highlight w:val="none"/>
        </w:rPr>
        <w:t>4、采用综合评分法的情况：评审委员会将分别对供应商递交的投标文件进行评审。</w:t>
      </w:r>
    </w:p>
    <w:p>
      <w:pPr>
        <w:spacing w:line="360" w:lineRule="auto"/>
        <w:rPr>
          <w:rFonts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auto"/>
          <w:sz w:val="24"/>
          <w:highlight w:val="none"/>
        </w:rPr>
      </w:pPr>
      <w:r>
        <w:rPr>
          <w:rFonts w:hint="eastAsia" w:ascii="宋体" w:hAnsi="宋体" w:cs="宋体"/>
          <w:color w:val="auto"/>
          <w:sz w:val="24"/>
          <w:highlight w:val="none"/>
        </w:rPr>
        <w:t>4.2如果二个及以上供应商的综合评分相同时，取投标价格低者为第一中标候选人。</w:t>
      </w:r>
    </w:p>
    <w:p>
      <w:pPr>
        <w:spacing w:line="360" w:lineRule="auto"/>
        <w:rPr>
          <w:rFonts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pPr>
        <w:spacing w:line="360" w:lineRule="auto"/>
        <w:rPr>
          <w:rFonts w:ascii="宋体" w:hAnsi="宋体" w:cs="宋体"/>
          <w:color w:val="auto"/>
          <w:sz w:val="24"/>
          <w:highlight w:val="none"/>
        </w:rPr>
      </w:pPr>
      <w:r>
        <w:rPr>
          <w:rFonts w:hint="eastAsia" w:ascii="宋体" w:hAnsi="宋体" w:cs="宋体"/>
          <w:color w:val="auto"/>
          <w:sz w:val="24"/>
          <w:highlight w:val="none"/>
        </w:rPr>
        <w:t>5、采用谈判的情况：参与投标且符合招标文件要求的供应商仅有一家，评审委员会将与投标供应商进行谈判。</w:t>
      </w:r>
    </w:p>
    <w:p>
      <w:pPr>
        <w:spacing w:line="360" w:lineRule="auto"/>
        <w:rPr>
          <w:rFonts w:ascii="宋体" w:hAnsi="宋体" w:cs="宋体"/>
          <w:color w:val="auto"/>
          <w:sz w:val="24"/>
          <w:highlight w:val="none"/>
        </w:rPr>
      </w:pPr>
      <w:r>
        <w:rPr>
          <w:rFonts w:hint="eastAsia" w:ascii="宋体" w:hAnsi="宋体" w:cs="宋体"/>
          <w:color w:val="auto"/>
          <w:sz w:val="24"/>
          <w:highlight w:val="none"/>
        </w:rPr>
        <w:t>5.1 供应商在谈判时由项目负责人与评审委员会进行谈判；</w:t>
      </w:r>
    </w:p>
    <w:p>
      <w:pPr>
        <w:spacing w:line="360" w:lineRule="auto"/>
        <w:rPr>
          <w:rFonts w:ascii="宋体" w:hAnsi="宋体" w:cs="宋体"/>
          <w:color w:val="auto"/>
          <w:sz w:val="24"/>
          <w:highlight w:val="none"/>
        </w:rPr>
      </w:pPr>
      <w:r>
        <w:rPr>
          <w:rFonts w:hint="eastAsia" w:ascii="宋体" w:hAnsi="宋体" w:cs="宋体"/>
          <w:color w:val="auto"/>
          <w:sz w:val="24"/>
          <w:highlight w:val="none"/>
        </w:rPr>
        <w:t>5.2 原则上成交价不超过最初报价的95%。</w:t>
      </w:r>
    </w:p>
    <w:p>
      <w:pPr>
        <w:spacing w:line="360" w:lineRule="auto"/>
        <w:rPr>
          <w:rFonts w:ascii="宋体" w:hAnsi="宋体" w:cs="宋体"/>
          <w:color w:val="auto"/>
          <w:sz w:val="24"/>
          <w:highlight w:val="none"/>
        </w:rPr>
      </w:pPr>
      <w:r>
        <w:rPr>
          <w:rFonts w:hint="eastAsia" w:ascii="宋体" w:hAnsi="宋体" w:cs="宋体"/>
          <w:color w:val="auto"/>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auto"/>
          <w:sz w:val="24"/>
          <w:highlight w:val="none"/>
        </w:rPr>
      </w:pPr>
      <w:r>
        <w:rPr>
          <w:rFonts w:hint="eastAsia" w:ascii="宋体" w:hAnsi="宋体" w:cs="宋体"/>
          <w:color w:val="auto"/>
          <w:sz w:val="24"/>
          <w:highlight w:val="none"/>
        </w:rPr>
        <w:t>6、评审委员会按照本项目招标文件中规定的评标方法确定中标供应商。</w:t>
      </w:r>
    </w:p>
    <w:p>
      <w:pPr>
        <w:spacing w:line="360" w:lineRule="auto"/>
        <w:rPr>
          <w:rFonts w:ascii="宋体" w:hAnsi="宋体" w:cs="宋体"/>
          <w:color w:val="auto"/>
          <w:sz w:val="24"/>
          <w:highlight w:val="none"/>
        </w:rPr>
      </w:pPr>
      <w:r>
        <w:rPr>
          <w:rFonts w:hint="eastAsia" w:ascii="宋体" w:hAnsi="宋体" w:cs="宋体"/>
          <w:color w:val="auto"/>
          <w:sz w:val="24"/>
          <w:highlight w:val="none"/>
        </w:rPr>
        <w:t>十、根据本次采购的结果，1</w:t>
      </w:r>
      <w:r>
        <w:rPr>
          <w:rFonts w:ascii="宋体" w:hAnsi="宋体" w:cs="宋体"/>
          <w:color w:val="auto"/>
          <w:sz w:val="24"/>
          <w:highlight w:val="none"/>
        </w:rPr>
        <w:t>0</w:t>
      </w:r>
      <w:r>
        <w:rPr>
          <w:rFonts w:hint="eastAsia" w:ascii="宋体" w:hAnsi="宋体" w:cs="宋体"/>
          <w:color w:val="auto"/>
          <w:sz w:val="24"/>
          <w:highlight w:val="none"/>
        </w:rPr>
        <w:t>个工作日内与中标供应商签订合同。</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pStyle w:val="2"/>
        <w:rPr>
          <w:rFonts w:ascii="宋体" w:hAnsi="宋体" w:cs="宋体"/>
          <w:color w:val="auto"/>
          <w:highlight w:val="none"/>
        </w:rPr>
      </w:pPr>
      <w:r>
        <w:rPr>
          <w:rFonts w:hint="eastAsia"/>
          <w:color w:val="auto"/>
          <w:highlight w:val="none"/>
        </w:rPr>
        <w:br w:type="page"/>
      </w:r>
    </w:p>
    <w:p>
      <w:pPr>
        <w:numPr>
          <w:ilvl w:val="0"/>
          <w:numId w:val="1"/>
        </w:numPr>
        <w:spacing w:line="360" w:lineRule="auto"/>
        <w:jc w:val="center"/>
        <w:outlineLvl w:val="0"/>
        <w:rPr>
          <w:rFonts w:ascii="宋体" w:hAnsi="宋体" w:cs="宋体"/>
          <w:b/>
          <w:bCs/>
          <w:color w:val="auto"/>
          <w:sz w:val="24"/>
          <w:highlight w:val="none"/>
        </w:rPr>
      </w:pPr>
      <w:bookmarkStart w:id="22" w:name="_Toc3567"/>
      <w:bookmarkStart w:id="23" w:name="_Toc8663"/>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合同格式及合同条款</w:t>
      </w:r>
      <w:bookmarkEnd w:id="22"/>
      <w:bookmarkEnd w:id="23"/>
    </w:p>
    <w:p>
      <w:pPr>
        <w:spacing w:line="360" w:lineRule="auto"/>
        <w:ind w:firstLine="470" w:firstLineChars="196"/>
        <w:jc w:val="center"/>
        <w:rPr>
          <w:rFonts w:ascii="宋体" w:hAnsi="宋体" w:cs="宋体"/>
          <w:color w:val="auto"/>
          <w:sz w:val="24"/>
          <w:highlight w:val="none"/>
        </w:rPr>
      </w:pPr>
      <w:bookmarkStart w:id="24" w:name="_Toc73517685"/>
      <w:bookmarkStart w:id="25" w:name="_Toc73521592"/>
      <w:bookmarkStart w:id="26" w:name="_Toc84303603"/>
      <w:bookmarkStart w:id="27" w:name="_Toc101074886"/>
      <w:bookmarkStart w:id="28" w:name="_Toc100052414"/>
      <w:bookmarkStart w:id="29" w:name="_Toc73518163"/>
      <w:bookmarkStart w:id="30" w:name="_Toc73521680"/>
    </w:p>
    <w:bookmarkEnd w:id="24"/>
    <w:bookmarkEnd w:id="25"/>
    <w:bookmarkEnd w:id="26"/>
    <w:bookmarkEnd w:id="27"/>
    <w:bookmarkEnd w:id="28"/>
    <w:bookmarkEnd w:id="29"/>
    <w:bookmarkEnd w:id="30"/>
    <w:p>
      <w:pPr>
        <w:ind w:left="241" w:hanging="241" w:hangingChars="100"/>
        <w:jc w:val="right"/>
        <w:outlineLvl w:val="0"/>
        <w:rPr>
          <w:b/>
          <w:bCs/>
          <w:color w:val="000000"/>
          <w:sz w:val="24"/>
          <w:u w:val="single"/>
        </w:rPr>
      </w:pPr>
      <w:r>
        <w:rPr>
          <w:rFonts w:hint="eastAsia" w:ascii="宋体" w:hAnsi="宋体" w:cs="宋体"/>
          <w:b/>
          <w:color w:val="auto"/>
          <w:sz w:val="24"/>
          <w:szCs w:val="24"/>
          <w:highlight w:val="none"/>
        </w:rPr>
        <w:t xml:space="preserve">                        </w:t>
      </w:r>
      <w:r>
        <w:rPr>
          <w:rFonts w:hint="eastAsia"/>
          <w:b/>
          <w:bCs/>
          <w:color w:val="000000"/>
          <w:sz w:val="24"/>
        </w:rPr>
        <w:t>合同编号：</w:t>
      </w:r>
      <w:r>
        <w:rPr>
          <w:rFonts w:hint="eastAsia"/>
          <w:b/>
          <w:bCs/>
          <w:color w:val="000000"/>
          <w:sz w:val="24"/>
          <w:u w:val="single"/>
        </w:rPr>
        <w:t xml:space="preserve">     </w:t>
      </w:r>
      <w:r>
        <w:rPr>
          <w:rFonts w:hint="eastAsia"/>
          <w:b/>
          <w:bCs/>
          <w:color w:val="000000"/>
          <w:sz w:val="24"/>
        </w:rPr>
        <w:t xml:space="preserve"> </w:t>
      </w:r>
      <w:r>
        <w:rPr>
          <w:rFonts w:hint="eastAsia"/>
          <w:b/>
          <w:bCs/>
          <w:color w:val="000000"/>
          <w:sz w:val="24"/>
        </w:rPr>
        <w:br w:type="textWrapping"/>
      </w:r>
      <w:r>
        <w:rPr>
          <w:rFonts w:hint="eastAsia"/>
          <w:b/>
          <w:bCs/>
          <w:color w:val="000000"/>
          <w:sz w:val="24"/>
          <w:u w:val="single"/>
        </w:rPr>
        <w:br w:type="textWrapping"/>
      </w:r>
    </w:p>
    <w:p>
      <w:pPr>
        <w:ind w:left="241" w:hanging="241" w:hangingChars="100"/>
        <w:rPr>
          <w:b/>
          <w:bCs/>
          <w:color w:val="000000"/>
          <w:sz w:val="24"/>
          <w:u w:val="single"/>
        </w:rPr>
      </w:pPr>
    </w:p>
    <w:p>
      <w:pPr>
        <w:ind w:left="241" w:hanging="241" w:hangingChars="100"/>
        <w:rPr>
          <w:b/>
          <w:bCs/>
          <w:color w:val="000000"/>
          <w:sz w:val="24"/>
          <w:u w:val="single"/>
        </w:rPr>
      </w:pPr>
    </w:p>
    <w:p>
      <w:pPr>
        <w:ind w:left="241" w:hanging="241" w:hangingChars="100"/>
        <w:jc w:val="center"/>
        <w:outlineLvl w:val="0"/>
        <w:rPr>
          <w:b/>
          <w:bCs/>
          <w:color w:val="000000"/>
          <w:sz w:val="24"/>
          <w:u w:val="single"/>
        </w:rPr>
      </w:pPr>
    </w:p>
    <w:p>
      <w:pPr>
        <w:ind w:left="241" w:hanging="241" w:hangingChars="100"/>
        <w:jc w:val="center"/>
        <w:outlineLvl w:val="0"/>
        <w:rPr>
          <w:b/>
          <w:bCs/>
          <w:color w:val="000000"/>
          <w:sz w:val="24"/>
          <w:u w:val="single"/>
        </w:rPr>
      </w:pPr>
    </w:p>
    <w:p>
      <w:pPr>
        <w:ind w:left="442" w:hanging="241" w:hangingChars="100"/>
        <w:jc w:val="center"/>
        <w:outlineLvl w:val="0"/>
        <w:rPr>
          <w:rFonts w:hint="eastAsia" w:ascii="宋体" w:hAnsi="宋体" w:eastAsia="宋体" w:cs="宋体"/>
          <w:b/>
          <w:bCs/>
          <w:color w:val="000000"/>
          <w:sz w:val="52"/>
          <w:szCs w:val="52"/>
          <w:u w:val="none"/>
          <w:lang w:eastAsia="zh-CN"/>
        </w:rPr>
      </w:pPr>
      <w:r>
        <w:rPr>
          <w:rFonts w:hint="eastAsia"/>
          <w:b/>
          <w:bCs/>
          <w:color w:val="000000"/>
          <w:sz w:val="24"/>
          <w:u w:val="single"/>
        </w:rPr>
        <w:br w:type="textWrapping"/>
      </w:r>
      <w:r>
        <w:rPr>
          <w:rFonts w:hint="eastAsia"/>
          <w:b/>
          <w:bCs/>
          <w:color w:val="000000"/>
          <w:sz w:val="24"/>
          <w:u w:val="single"/>
        </w:rPr>
        <w:br w:type="textWrapping"/>
      </w:r>
      <w:r>
        <w:rPr>
          <w:rFonts w:hint="eastAsia"/>
          <w:b/>
          <w:bCs/>
          <w:color w:val="000000"/>
          <w:sz w:val="24"/>
          <w:u w:val="single"/>
        </w:rPr>
        <w:br w:type="textWrapping"/>
      </w:r>
      <w:r>
        <w:rPr>
          <w:rFonts w:hint="eastAsia" w:ascii="宋体" w:hAnsi="宋体" w:cs="宋体"/>
          <w:b/>
          <w:bCs/>
          <w:color w:val="000000"/>
          <w:sz w:val="52"/>
          <w:szCs w:val="52"/>
          <w:u w:val="none"/>
          <w:lang w:eastAsia="zh-CN"/>
        </w:rPr>
        <w:t>前海MiC发展顶层设计项目（二次）</w:t>
      </w:r>
    </w:p>
    <w:p>
      <w:pPr>
        <w:ind w:left="479" w:leftChars="228"/>
        <w:rPr>
          <w:rFonts w:hint="eastAsia" w:ascii="宋体" w:hAnsi="宋体" w:cs="宋体"/>
          <w:b/>
          <w:bCs/>
          <w:color w:val="000000"/>
          <w:sz w:val="44"/>
          <w:szCs w:val="44"/>
        </w:rPr>
      </w:pPr>
      <w:r>
        <w:rPr>
          <w:rFonts w:hint="eastAsia" w:ascii="宋体" w:hAnsi="宋体" w:cs="宋体"/>
          <w:b/>
          <w:bCs/>
          <w:color w:val="000000"/>
          <w:sz w:val="44"/>
          <w:szCs w:val="44"/>
        </w:rPr>
        <w:br w:type="textWrapping"/>
      </w:r>
    </w:p>
    <w:p>
      <w:pPr>
        <w:ind w:left="479" w:leftChars="228"/>
        <w:rPr>
          <w:rFonts w:hint="eastAsia" w:ascii="宋体" w:hAnsi="宋体" w:cs="宋体"/>
          <w:b/>
          <w:bCs/>
          <w:color w:val="000000"/>
          <w:sz w:val="44"/>
          <w:szCs w:val="44"/>
        </w:rPr>
      </w:pPr>
    </w:p>
    <w:p>
      <w:pPr>
        <w:spacing w:before="120" w:after="120"/>
        <w:jc w:val="center"/>
        <w:outlineLvl w:val="0"/>
        <w:rPr>
          <w:rFonts w:hint="eastAsia" w:ascii="宋体" w:hAnsi="宋体" w:cs="宋体"/>
          <w:b/>
          <w:bCs/>
          <w:color w:val="000000"/>
          <w:kern w:val="44"/>
          <w:sz w:val="44"/>
          <w:szCs w:val="44"/>
        </w:rPr>
      </w:pPr>
    </w:p>
    <w:p>
      <w:pPr>
        <w:rPr>
          <w:color w:val="000000"/>
        </w:rPr>
      </w:pPr>
    </w:p>
    <w:p>
      <w:pPr>
        <w:ind w:left="300" w:leftChars="143"/>
        <w:outlineLvl w:val="0"/>
        <w:rPr>
          <w:rFonts w:hint="eastAsia" w:ascii="宋体" w:hAnsi="宋体" w:cs="宋体"/>
          <w:b/>
          <w:bCs/>
          <w:color w:val="000000"/>
          <w:sz w:val="30"/>
          <w:szCs w:val="30"/>
          <w:u w:val="single"/>
        </w:rPr>
      </w:pPr>
      <w:r>
        <w:rPr>
          <w:rFonts w:hint="eastAsia" w:ascii="宋体" w:hAnsi="宋体" w:cs="宋体"/>
          <w:b/>
          <w:bCs/>
          <w:color w:val="000000"/>
          <w:sz w:val="30"/>
          <w:szCs w:val="30"/>
        </w:rPr>
        <w:t>甲方（采购单位）：</w:t>
      </w:r>
      <w:r>
        <w:rPr>
          <w:rFonts w:hint="eastAsia" w:ascii="宋体" w:hAnsi="宋体" w:cs="宋体"/>
          <w:b/>
          <w:bCs/>
          <w:color w:val="000000"/>
          <w:sz w:val="30"/>
          <w:szCs w:val="30"/>
          <w:u w:val="single"/>
        </w:rPr>
        <w:t>深圳市前海深港现代服务业合作区管理局</w:t>
      </w:r>
    </w:p>
    <w:p>
      <w:pPr>
        <w:ind w:left="301" w:hanging="301" w:hangingChars="100"/>
        <w:rPr>
          <w:rFonts w:hint="eastAsia" w:ascii="宋体" w:hAnsi="宋体" w:cs="宋体"/>
          <w:b/>
          <w:bCs/>
          <w:color w:val="000000"/>
          <w:sz w:val="30"/>
          <w:szCs w:val="30"/>
          <w:u w:val="single"/>
        </w:rPr>
      </w:pPr>
    </w:p>
    <w:p>
      <w:pPr>
        <w:ind w:left="3312" w:leftChars="143" w:hanging="3012" w:hangingChars="1000"/>
        <w:outlineLvl w:val="0"/>
        <w:rPr>
          <w:rFonts w:hint="eastAsia" w:ascii="宋体" w:hAnsi="宋体" w:cs="宋体"/>
          <w:b/>
          <w:bCs/>
          <w:color w:val="000000"/>
          <w:sz w:val="30"/>
          <w:szCs w:val="30"/>
          <w:u w:val="single"/>
        </w:rPr>
      </w:pPr>
      <w:r>
        <w:rPr>
          <w:rFonts w:hint="eastAsia" w:ascii="宋体" w:hAnsi="宋体" w:cs="宋体"/>
          <w:b/>
          <w:bCs/>
          <w:color w:val="000000"/>
          <w:sz w:val="30"/>
          <w:szCs w:val="30"/>
        </w:rPr>
        <w:t xml:space="preserve">乙方（服务单位）：  </w:t>
      </w:r>
      <w:r>
        <w:rPr>
          <w:rFonts w:hint="eastAsia" w:ascii="宋体" w:hAnsi="宋体" w:cs="宋体"/>
          <w:b/>
          <w:bCs/>
          <w:color w:val="000000"/>
          <w:sz w:val="30"/>
          <w:szCs w:val="30"/>
          <w:u w:val="single"/>
        </w:rPr>
        <w:t xml:space="preserve">                                 </w:t>
      </w:r>
    </w:p>
    <w:p>
      <w:pPr>
        <w:ind w:left="479" w:leftChars="228"/>
        <w:rPr>
          <w:rFonts w:hint="eastAsia" w:ascii="宋体" w:hAnsi="宋体" w:cs="宋体"/>
          <w:b/>
          <w:bCs/>
          <w:color w:val="000000"/>
          <w:sz w:val="44"/>
          <w:szCs w:val="44"/>
        </w:rPr>
      </w:pPr>
    </w:p>
    <w:p>
      <w:pPr>
        <w:ind w:left="300" w:leftChars="143" w:firstLine="1807" w:firstLineChars="600"/>
        <w:outlineLvl w:val="0"/>
        <w:rPr>
          <w:rFonts w:hint="eastAsia" w:ascii="宋体" w:hAnsi="宋体" w:cs="宋体"/>
          <w:b/>
          <w:bCs/>
          <w:color w:val="000000"/>
          <w:sz w:val="30"/>
          <w:szCs w:val="30"/>
        </w:rPr>
      </w:pPr>
    </w:p>
    <w:p>
      <w:pPr>
        <w:jc w:val="center"/>
        <w:rPr>
          <w:rFonts w:hint="eastAsia" w:ascii="宋体" w:hAnsi="宋体" w:cs="宋体"/>
          <w:b/>
          <w:bCs/>
          <w:color w:val="000000"/>
          <w:sz w:val="30"/>
          <w:szCs w:val="30"/>
        </w:rPr>
      </w:pPr>
      <w:r>
        <w:rPr>
          <w:rFonts w:hint="eastAsia" w:ascii="宋体" w:hAnsi="宋体" w:cs="宋体"/>
          <w:b/>
          <w:bCs/>
          <w:color w:val="000000"/>
          <w:sz w:val="30"/>
          <w:szCs w:val="30"/>
        </w:rPr>
        <w:t xml:space="preserve">合同日期： 2025年 </w:t>
      </w:r>
      <w:r>
        <w:rPr>
          <w:rFonts w:hint="eastAsia" w:ascii="宋体" w:hAnsi="宋体" w:cs="宋体"/>
          <w:b/>
          <w:bCs/>
          <w:color w:val="000000"/>
          <w:sz w:val="30"/>
          <w:szCs w:val="30"/>
          <w:lang w:val="en-US" w:eastAsia="zh-CN"/>
        </w:rPr>
        <w:t xml:space="preserve"> </w:t>
      </w:r>
      <w:r>
        <w:rPr>
          <w:rFonts w:hint="eastAsia" w:ascii="宋体" w:hAnsi="宋体" w:cs="宋体"/>
          <w:b/>
          <w:bCs/>
          <w:color w:val="000000"/>
          <w:sz w:val="30"/>
          <w:szCs w:val="30"/>
        </w:rPr>
        <w:t>月  日</w:t>
      </w:r>
    </w:p>
    <w:p>
      <w:r>
        <w:br w:type="page"/>
      </w:r>
    </w:p>
    <w:p>
      <w:pPr>
        <w:adjustRightInd w:val="0"/>
        <w:snapToGrid w:val="0"/>
        <w:spacing w:line="360" w:lineRule="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甲方（采购单位）：深圳市前海深港现代服务业合作区管理局</w:t>
      </w:r>
    </w:p>
    <w:p>
      <w:pPr>
        <w:adjustRightInd w:val="0"/>
        <w:snapToGrid w:val="0"/>
        <w:spacing w:line="360" w:lineRule="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法定代表人：王守睿</w:t>
      </w:r>
    </w:p>
    <w:p>
      <w:pPr>
        <w:adjustRightInd w:val="0"/>
        <w:snapToGrid w:val="0"/>
        <w:spacing w:line="360" w:lineRule="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 xml:space="preserve">地址：深圳市前海深港合作区南山街道桂湾五路123号前海大厦T1栋 </w:t>
      </w:r>
    </w:p>
    <w:p>
      <w:pPr>
        <w:adjustRightInd w:val="0"/>
        <w:snapToGrid w:val="0"/>
        <w:spacing w:line="360" w:lineRule="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乙方（服务单位）：</w:t>
      </w:r>
    </w:p>
    <w:p>
      <w:pPr>
        <w:adjustRightInd w:val="0"/>
        <w:snapToGrid w:val="0"/>
        <w:spacing w:line="360" w:lineRule="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法定代表人：</w:t>
      </w:r>
    </w:p>
    <w:p>
      <w:pPr>
        <w:tabs>
          <w:tab w:val="left" w:pos="562"/>
          <w:tab w:val="left" w:pos="3372"/>
          <w:tab w:val="left" w:pos="3653"/>
        </w:tabs>
        <w:adjustRightInd w:val="0"/>
        <w:snapToGrid w:val="0"/>
        <w:spacing w:line="360" w:lineRule="auto"/>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t xml:space="preserve">地址：  </w:t>
      </w:r>
    </w:p>
    <w:p>
      <w:pPr>
        <w:adjustRightInd w:val="0"/>
        <w:snapToGrid w:val="0"/>
        <w:spacing w:line="360" w:lineRule="auto"/>
        <w:ind w:firstLine="480" w:firstLineChars="200"/>
        <w:rPr>
          <w:rFonts w:hint="eastAsia" w:ascii="仿宋_GB2312" w:hAnsi="仿宋_GB2312" w:eastAsia="仿宋_GB2312" w:cs="仿宋_GB2312"/>
          <w:color w:val="000000"/>
          <w:sz w:val="24"/>
        </w:rPr>
      </w:pPr>
    </w:p>
    <w:p>
      <w:pPr>
        <w:adjustRightInd w:val="0"/>
        <w:snapToGrid w:val="0"/>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根据《中华人民共和国民法典》等法律、法规的相关规定和编号</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招标项目的中标结果，甲、乙双方经友好协商，就甲方委托乙方承担</w:t>
      </w:r>
      <w:r>
        <w:rPr>
          <w:rFonts w:hint="eastAsia" w:ascii="仿宋_GB2312" w:hAnsi="仿宋_GB2312" w:eastAsia="仿宋_GB2312" w:cs="仿宋_GB2312"/>
          <w:color w:val="auto"/>
          <w:sz w:val="24"/>
          <w:lang w:eastAsia="zh-CN"/>
        </w:rPr>
        <w:t>前海MiC发展顶层设计项目（二次）</w:t>
      </w:r>
      <w:r>
        <w:rPr>
          <w:rFonts w:hint="eastAsia" w:ascii="仿宋_GB2312" w:hAnsi="仿宋_GB2312" w:eastAsia="仿宋_GB2312" w:cs="仿宋_GB2312"/>
          <w:color w:val="auto"/>
          <w:sz w:val="24"/>
        </w:rPr>
        <w:t>，达成以下合同条款：</w:t>
      </w:r>
    </w:p>
    <w:p>
      <w:pPr>
        <w:tabs>
          <w:tab w:val="left" w:pos="1631"/>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color w:val="auto"/>
          <w:w w:val="95"/>
          <w:kern w:val="0"/>
          <w:sz w:val="24"/>
        </w:rPr>
      </w:pPr>
      <w:r>
        <w:rPr>
          <w:rFonts w:hint="eastAsia" w:ascii="仿宋_GB2312" w:hAnsi="仿宋_GB2312" w:eastAsia="仿宋_GB2312" w:cs="仿宋_GB2312"/>
          <w:b/>
          <w:bCs/>
          <w:color w:val="auto"/>
          <w:kern w:val="0"/>
          <w:sz w:val="24"/>
        </w:rPr>
        <w:t>第一条</w:t>
      </w:r>
      <w:r>
        <w:rPr>
          <w:rFonts w:hint="eastAsia" w:ascii="仿宋_GB2312" w:hAnsi="仿宋_GB2312" w:eastAsia="仿宋_GB2312" w:cs="仿宋_GB2312"/>
          <w:color w:val="auto"/>
          <w:kern w:val="0"/>
          <w:sz w:val="24"/>
        </w:rPr>
        <w:t xml:space="preserve"> 项目内容及服务要求</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充分借鉴香港发展MiC成功经验，以支持前海合作区模块化建筑产业良性发展为支撑，以促进粤港澳大湾区建筑业融合发展为目标，以“前海MiC发展顶层设计”为起点，逐步构建前海合作区模块化建筑政策体系及标准。项目内容主要包括：</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深入开展前期调研，综合考虑目前全球、中国、大湾区、深圳及前海建造业政策经济环境，结合MiC发展趋势及技术要求，分析前海发展MiC的“社会-技术”机遇与挑战，开展相关数据收集及访谈，以及政策与标准研究、规范对比分析、文件框架设计、报告编制等。</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参考全球及香港MiC发展历程，结合前海建筑领域发展实际需求，以满足安全、经济、便利和可操作性作为基础，建立前海MiC发展顶层框架，制定短、中、长期发展目标，设计前海MiC发展政策路线图，提出详细的研究框架和技术路径。</w:t>
      </w:r>
    </w:p>
    <w:p>
      <w:pPr>
        <w:tabs>
          <w:tab w:val="left" w:pos="1631"/>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第二条 服务期限及服务地点</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1.服务期限</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自合同签订之日起8个月内。</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2.服务地点</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深圳市前海合作区</w:t>
      </w:r>
      <w:r>
        <w:rPr>
          <w:rFonts w:hint="eastAsia" w:ascii="仿宋_GB2312" w:hAnsi="仿宋_GB2312" w:eastAsia="仿宋_GB2312" w:cs="仿宋_GB2312"/>
          <w:color w:val="auto"/>
          <w:kern w:val="0"/>
          <w:sz w:val="24"/>
        </w:rPr>
        <w:t>。</w:t>
      </w:r>
    </w:p>
    <w:p>
      <w:pPr>
        <w:tabs>
          <w:tab w:val="left" w:pos="1000"/>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第三条 进度计划、成果要求</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1.进度计划</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本项目总体时间预计8个月。</w:t>
      </w:r>
    </w:p>
    <w:p>
      <w:pPr>
        <w:pStyle w:val="2"/>
        <w:rPr>
          <w:rFonts w:hint="eastAsia"/>
        </w:rPr>
      </w:pP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3971"/>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时间</w:t>
            </w:r>
          </w:p>
        </w:tc>
        <w:tc>
          <w:tcPr>
            <w:tcW w:w="2332"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主要工作内容</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2025年9月</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至10月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开展M</w:t>
            </w:r>
            <w:r>
              <w:rPr>
                <w:rFonts w:hint="eastAsia" w:ascii="仿宋" w:hAnsi="仿宋" w:eastAsia="仿宋" w:cs="仿宋"/>
                <w:color w:val="auto"/>
                <w:sz w:val="21"/>
                <w:szCs w:val="21"/>
                <w:lang w:val="en-US" w:eastAsia="zh-CN"/>
              </w:rPr>
              <w:t>i</w:t>
            </w:r>
            <w:r>
              <w:rPr>
                <w:rFonts w:hint="eastAsia" w:ascii="仿宋" w:hAnsi="仿宋" w:eastAsia="仿宋" w:cs="仿宋"/>
                <w:color w:val="auto"/>
                <w:kern w:val="2"/>
                <w:sz w:val="21"/>
                <w:szCs w:val="21"/>
                <w:lang w:val="en-US" w:eastAsia="zh-CN" w:bidi="ar-SA"/>
              </w:rPr>
              <w:t>C相关调研工作，包括政策与标准研究、规范对比分析、文件框架设计、报告编制等。</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《前海M</w:t>
            </w:r>
            <w:r>
              <w:rPr>
                <w:rFonts w:hint="eastAsia" w:ascii="仿宋" w:hAnsi="仿宋" w:eastAsia="仿宋" w:cs="仿宋"/>
                <w:color w:val="auto"/>
                <w:sz w:val="21"/>
                <w:szCs w:val="21"/>
                <w:lang w:val="en-US" w:eastAsia="zh-CN"/>
              </w:rPr>
              <w:t>i</w:t>
            </w:r>
            <w:r>
              <w:rPr>
                <w:rFonts w:hint="eastAsia" w:ascii="仿宋" w:hAnsi="仿宋" w:eastAsia="仿宋" w:cs="仿宋"/>
                <w:color w:val="auto"/>
                <w:sz w:val="21"/>
                <w:szCs w:val="21"/>
              </w:rPr>
              <w:t>C发展调研报告》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2025年11月至2026年2月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明确发展目标、实施路径、政策框架及创新机制，完成各章节框架设计及条文编写，形成征求意见稿。</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《前海M</w:t>
            </w:r>
            <w:r>
              <w:rPr>
                <w:rFonts w:hint="eastAsia" w:ascii="仿宋" w:hAnsi="仿宋" w:eastAsia="仿宋" w:cs="仿宋"/>
                <w:color w:val="auto"/>
                <w:sz w:val="21"/>
                <w:szCs w:val="21"/>
                <w:lang w:val="en-US" w:eastAsia="zh-CN"/>
              </w:rPr>
              <w:t>i</w:t>
            </w:r>
            <w:r>
              <w:rPr>
                <w:rFonts w:hint="eastAsia" w:ascii="仿宋" w:hAnsi="仿宋" w:eastAsia="仿宋" w:cs="仿宋"/>
                <w:color w:val="auto"/>
                <w:kern w:val="2"/>
                <w:sz w:val="21"/>
                <w:szCs w:val="21"/>
                <w:lang w:val="en-US" w:eastAsia="zh-CN" w:bidi="ar-SA"/>
              </w:rPr>
              <w:t>C发展顶层设计》</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2026年3月</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至4月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征求局内外意见，召开局内外会议审议等，收集整理审查意见以及意见答复与条文修改，形成送审稿。</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《前海M</w:t>
            </w:r>
            <w:r>
              <w:rPr>
                <w:rFonts w:hint="eastAsia" w:ascii="仿宋" w:hAnsi="仿宋" w:eastAsia="仿宋" w:cs="仿宋"/>
                <w:color w:val="auto"/>
                <w:sz w:val="21"/>
                <w:szCs w:val="21"/>
                <w:lang w:val="en-US" w:eastAsia="zh-CN"/>
              </w:rPr>
              <w:t>i</w:t>
            </w:r>
            <w:r>
              <w:rPr>
                <w:rFonts w:hint="eastAsia" w:ascii="仿宋" w:hAnsi="仿宋" w:eastAsia="仿宋" w:cs="仿宋"/>
                <w:color w:val="auto"/>
                <w:kern w:val="2"/>
                <w:sz w:val="21"/>
                <w:szCs w:val="21"/>
                <w:lang w:val="en-US" w:eastAsia="zh-CN" w:bidi="ar-SA"/>
              </w:rPr>
              <w:t>C发展顶层设计》</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2026年4月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项目成果文件出台。</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《前海M</w:t>
            </w:r>
            <w:r>
              <w:rPr>
                <w:rFonts w:hint="eastAsia" w:ascii="仿宋" w:hAnsi="仿宋" w:eastAsia="仿宋" w:cs="仿宋"/>
                <w:color w:val="auto"/>
                <w:sz w:val="21"/>
                <w:szCs w:val="21"/>
                <w:lang w:val="en-US" w:eastAsia="zh-CN"/>
              </w:rPr>
              <w:t>i</w:t>
            </w:r>
            <w:r>
              <w:rPr>
                <w:rFonts w:hint="eastAsia" w:ascii="仿宋" w:hAnsi="仿宋" w:eastAsia="仿宋" w:cs="仿宋"/>
                <w:color w:val="auto"/>
                <w:kern w:val="2"/>
                <w:sz w:val="21"/>
                <w:szCs w:val="21"/>
                <w:lang w:val="en-US" w:eastAsia="zh-CN" w:bidi="ar-SA"/>
              </w:rPr>
              <w:t>C发展顶层设计》</w:t>
            </w:r>
          </w:p>
        </w:tc>
      </w:tr>
    </w:tbl>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2.成果要求</w:t>
      </w:r>
    </w:p>
    <w:p>
      <w:pPr>
        <w:pStyle w:val="45"/>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开展该项目预计形成以下2份报告：</w:t>
      </w:r>
    </w:p>
    <w:p>
      <w:pPr>
        <w:pStyle w:val="45"/>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报告一：《前海MiC发展调研报告》</w:t>
      </w:r>
    </w:p>
    <w:p>
      <w:pPr>
        <w:pStyle w:val="45"/>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报告二：《前海MiC发展顶层设计》</w:t>
      </w:r>
    </w:p>
    <w:p>
      <w:pPr>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四</w:t>
      </w:r>
      <w:r>
        <w:rPr>
          <w:rFonts w:hint="eastAsia" w:ascii="仿宋_GB2312" w:hAnsi="仿宋_GB2312" w:eastAsia="仿宋_GB2312" w:cs="仿宋_GB2312"/>
          <w:b/>
          <w:bCs/>
          <w:kern w:val="0"/>
          <w:sz w:val="24"/>
        </w:rPr>
        <w:t>条  人员要求</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以下为本项目团队</w:t>
      </w:r>
      <w:r>
        <w:rPr>
          <w:rFonts w:hint="eastAsia" w:ascii="仿宋_GB2312" w:hAnsi="仿宋_GB2312" w:eastAsia="仿宋_GB2312" w:cs="仿宋_GB2312"/>
          <w:kern w:val="0"/>
          <w:sz w:val="24"/>
          <w:lang w:eastAsia="zh-CN"/>
        </w:rPr>
        <w:t>成员情况（含项目负责人），总人数不少于</w:t>
      </w:r>
      <w:r>
        <w:rPr>
          <w:rFonts w:hint="eastAsia" w:ascii="仿宋_GB2312" w:hAnsi="仿宋_GB2312" w:eastAsia="仿宋_GB2312" w:cs="仿宋_GB2312"/>
          <w:kern w:val="0"/>
          <w:sz w:val="24"/>
          <w:lang w:val="en-US" w:eastAsia="zh-CN"/>
        </w:rPr>
        <w:t>6人</w:t>
      </w:r>
      <w:r>
        <w:rPr>
          <w:rFonts w:hint="eastAsia" w:ascii="仿宋_GB2312" w:hAnsi="仿宋_GB2312" w:eastAsia="仿宋_GB2312" w:cs="仿宋_GB2312"/>
          <w:kern w:val="0"/>
          <w:sz w:val="24"/>
        </w:rPr>
        <w:t>。</w:t>
      </w:r>
    </w:p>
    <w:tbl>
      <w:tblPr>
        <w:tblStyle w:val="18"/>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left="240" w:hanging="240" w:hangingChars="10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序</w:t>
            </w:r>
            <w:r>
              <w:rPr>
                <w:rFonts w:hint="eastAsia" w:ascii="仿宋_GB2312" w:hAnsi="仿宋_GB2312" w:eastAsia="仿宋_GB2312" w:cs="仿宋_GB2312"/>
                <w:kern w:val="0"/>
                <w:sz w:val="24"/>
                <w:lang w:eastAsia="zh-CN"/>
              </w:rPr>
              <w:t>号</w:t>
            </w:r>
          </w:p>
        </w:tc>
        <w:tc>
          <w:tcPr>
            <w:tcW w:w="116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年龄</w:t>
            </w: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学历</w:t>
            </w:r>
          </w:p>
        </w:tc>
        <w:tc>
          <w:tcPr>
            <w:tcW w:w="1392"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职称、职务</w:t>
            </w:r>
          </w:p>
        </w:tc>
        <w:tc>
          <w:tcPr>
            <w:tcW w:w="290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拟任</w:t>
            </w:r>
            <w:r>
              <w:rPr>
                <w:rFonts w:hint="default" w:ascii="仿宋_GB2312" w:hAnsi="仿宋_GB2312" w:eastAsia="仿宋_GB2312" w:cs="仿宋_GB2312"/>
                <w:kern w:val="0"/>
                <w:sz w:val="24"/>
              </w:rPr>
              <w:t>团队</w:t>
            </w:r>
            <w:r>
              <w:rPr>
                <w:rFonts w:hint="eastAsia" w:ascii="仿宋_GB2312" w:hAnsi="仿宋_GB2312" w:eastAsia="仿宋_GB2312" w:cs="仿宋_GB2312"/>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16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1392"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290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6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1392"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290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p>
        </w:tc>
        <w:tc>
          <w:tcPr>
            <w:tcW w:w="116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677"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1392"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c>
          <w:tcPr>
            <w:tcW w:w="2909" w:type="dxa"/>
            <w:tcBorders>
              <w:top w:val="single" w:color="auto" w:sz="4" w:space="0"/>
              <w:left w:val="nil"/>
              <w:bottom w:val="single" w:color="auto" w:sz="4" w:space="0"/>
              <w:right w:val="single" w:color="auto" w:sz="4" w:space="0"/>
            </w:tcBorders>
            <w:noWrap w:val="0"/>
            <w:vAlign w:val="center"/>
          </w:tcPr>
          <w:p>
            <w:pPr>
              <w:tabs>
                <w:tab w:val="left" w:pos="1000"/>
              </w:tabs>
              <w:wordWrap w:val="0"/>
              <w:overflowPunct w:val="0"/>
              <w:autoSpaceDE w:val="0"/>
              <w:autoSpaceDN w:val="0"/>
              <w:adjustRightInd w:val="0"/>
              <w:spacing w:line="360" w:lineRule="auto"/>
              <w:ind w:firstLine="480" w:firstLineChars="200"/>
              <w:jc w:val="center"/>
              <w:rPr>
                <w:rFonts w:hint="eastAsia" w:ascii="仿宋_GB2312" w:hAnsi="仿宋_GB2312" w:eastAsia="仿宋_GB2312" w:cs="仿宋_GB2312"/>
                <w:kern w:val="0"/>
                <w:sz w:val="24"/>
              </w:rPr>
            </w:pPr>
          </w:p>
        </w:tc>
      </w:tr>
    </w:tbl>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color w:val="auto"/>
          <w:kern w:val="0"/>
          <w:sz w:val="24"/>
        </w:rPr>
        <w:t>.</w:t>
      </w:r>
      <w:r>
        <w:rPr>
          <w:rFonts w:hint="eastAsia" w:ascii="仿宋_GB2312" w:hAnsi="仿宋_GB2312" w:eastAsia="仿宋_GB2312" w:cs="仿宋_GB2312"/>
          <w:kern w:val="0"/>
          <w:sz w:val="24"/>
        </w:rPr>
        <w:t>参加本项目的人员必须具有国家和有关部门规定的相应资质。</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color w:val="auto"/>
          <w:kern w:val="0"/>
          <w:sz w:val="24"/>
        </w:rPr>
        <w:t>.</w:t>
      </w:r>
      <w:r>
        <w:rPr>
          <w:rFonts w:hint="eastAsia" w:ascii="仿宋_GB2312" w:hAnsi="仿宋_GB2312" w:eastAsia="仿宋_GB2312" w:cs="仿宋_GB2312"/>
          <w:kern w:val="0"/>
          <w:sz w:val="24"/>
        </w:rPr>
        <w:t>参加本项目的人员配置必须与合同中的项目成员组成一致，若需调整需经甲方书面同意后，方可变更。</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color w:val="auto"/>
          <w:kern w:val="0"/>
          <w:sz w:val="24"/>
        </w:rPr>
        <w:t>.</w:t>
      </w:r>
      <w:r>
        <w:rPr>
          <w:rFonts w:hint="eastAsia" w:ascii="仿宋_GB2312" w:hAnsi="仿宋_GB2312" w:eastAsia="仿宋_GB2312" w:cs="仿宋_GB2312"/>
          <w:kern w:val="0"/>
          <w:sz w:val="24"/>
        </w:rPr>
        <w:t>必须以乙方直属人员（直属人员指劳动合同、社会保险等劳动关系在乙方的人员）参与本项目服务，不得使用挂靠队伍。</w:t>
      </w:r>
    </w:p>
    <w:p>
      <w:pPr>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五</w:t>
      </w:r>
      <w:r>
        <w:rPr>
          <w:rFonts w:hint="eastAsia" w:ascii="仿宋_GB2312" w:hAnsi="仿宋_GB2312" w:eastAsia="仿宋_GB2312" w:cs="仿宋_GB2312"/>
          <w:b/>
          <w:bCs/>
          <w:kern w:val="0"/>
          <w:sz w:val="24"/>
        </w:rPr>
        <w:t>条 成果权属与知识产权</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1.本项目全部阶段性成果和最终成果的所有权、知识产权以及与之相关的所有权利归</w:t>
      </w:r>
      <w:r>
        <w:rPr>
          <w:rFonts w:hint="eastAsia" w:ascii="仿宋_GB2312" w:hAnsi="仿宋_GB2312" w:eastAsia="仿宋_GB2312" w:cs="仿宋_GB2312"/>
          <w:kern w:val="0"/>
          <w:sz w:val="24"/>
          <w:lang w:val="en-US" w:eastAsia="zh-CN"/>
        </w:rPr>
        <w:t>甲乙双方共同</w:t>
      </w:r>
      <w:r>
        <w:rPr>
          <w:rFonts w:hint="eastAsia" w:ascii="仿宋_GB2312" w:hAnsi="仿宋_GB2312" w:eastAsia="仿宋_GB2312" w:cs="仿宋_GB2312"/>
          <w:kern w:val="0"/>
          <w:sz w:val="24"/>
        </w:rPr>
        <w:t>所有。</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2.双方确定，甲方有权利用乙方按照本合同约定提供的成果，进行后续改进。由此产生的具有实质性或创造性技术进步特征的新的技术成果及其权利归属，全部由</w:t>
      </w:r>
      <w:r>
        <w:rPr>
          <w:rFonts w:hint="eastAsia" w:ascii="仿宋_GB2312" w:hAnsi="仿宋_GB2312" w:eastAsia="仿宋_GB2312" w:cs="仿宋_GB2312"/>
          <w:kern w:val="0"/>
          <w:sz w:val="24"/>
          <w:lang w:val="en-US" w:eastAsia="zh-CN"/>
        </w:rPr>
        <w:t>甲乙双方共同</w:t>
      </w:r>
      <w:r>
        <w:rPr>
          <w:rFonts w:hint="eastAsia" w:ascii="仿宋_GB2312" w:hAnsi="仿宋_GB2312" w:eastAsia="仿宋_GB2312" w:cs="仿宋_GB2312"/>
          <w:kern w:val="0"/>
          <w:sz w:val="24"/>
        </w:rPr>
        <w:t>享有。</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乙方所提交的全部阶段性成果和最终成果文件及任何数据、资料、软件等不得侵犯任何第三方的知识产权或其他权利，由于该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4.未经对方书面在先同意，双方不得将本项目的阶段性成果和/或最终成果文件及任何数据、资料、软件向任何第三方转让、授权任何第三方使用或用于本合同项目外的其他项目。</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5.乙方完成本合同项目的研究开发人员享有在有关成果文件上写明成果完成者的权利和与甲方共同获得有关荣誉证书、奖励的权利。</w:t>
      </w:r>
    </w:p>
    <w:p>
      <w:pPr>
        <w:tabs>
          <w:tab w:val="left" w:pos="1631"/>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六</w:t>
      </w:r>
      <w:r>
        <w:rPr>
          <w:rFonts w:hint="eastAsia" w:ascii="仿宋_GB2312" w:hAnsi="仿宋_GB2312" w:eastAsia="仿宋_GB2312" w:cs="仿宋_GB2312"/>
          <w:b/>
          <w:bCs/>
          <w:kern w:val="0"/>
          <w:sz w:val="24"/>
        </w:rPr>
        <w:t>条 甲方的权利与义务</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1.甲方有权向乙方询问项目工作进展及相关情况，并要求乙方在指定时间内做出答复。</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2.甲方有权对乙方提供的最终成果送审稿等相关文件进行审核并提出修改意见。</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3.如甲方确认乙方工作人员未按照本合同要求履行职责，甲方有权要求乙方限期更换人员， 直至终止合同并要求乙方承担相应赔偿责任。</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4.甲方对乙方在委托权限范围内完成委托事项有指导、监督权利。</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5.如乙方所提供的最终成果报告不符合本合同的要求，甲方有权要求乙方重新执行相应的工作服务，由此产生的全部费用由乙方自行承担，同时，甲方的付款时间相应顺延。</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6.甲方有权要求乙方全面履行合同。甲方不接受部分履行，如本合同项下部分成果文件未能按时交付则视为整体延误。</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7.甲方要求乙方比本合同约定时间提前交付成果时，须征得乙方同意。因此而增加工作量， 经协商确认，甲方应向乙方支付必要的费用。</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8.甲方应将项目所需相关档案资料、信息数据等移交给乙方，并要求乙方签收甲方提供的材料清单。</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9.甲方应按照本合同的约定向乙方支付服务费用。</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10.甲方指定项目负责人：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联系方式：</w:t>
      </w:r>
    </w:p>
    <w:p>
      <w:pPr>
        <w:tabs>
          <w:tab w:val="left" w:pos="1631"/>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七</w:t>
      </w:r>
      <w:r>
        <w:rPr>
          <w:rFonts w:hint="eastAsia" w:ascii="仿宋_GB2312" w:hAnsi="仿宋_GB2312" w:eastAsia="仿宋_GB2312" w:cs="仿宋_GB2312"/>
          <w:b/>
          <w:bCs/>
          <w:kern w:val="0"/>
          <w:sz w:val="24"/>
        </w:rPr>
        <w:t>条 乙方的权利与义务</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为保证项目成果的质量，乙方在合同履行期间，应按照本项目工作内容要求组织专业的项目团队，团队成员要求应与投标文件一致。团队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2.乙方应按国家、省及深圳的有关法律法规、设计标准、技术规范以及本合同约定的工作内容、工作进度等要求提供服务，并对其提交的工作成果负责。</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3.乙方应接受甲方对工作进展的询问、监督和指导，严格按本合同约定的内容、标准和期限完成项目工作，并向甲方提交项目成果。项目工作完成后，乙方应按照甲方要求将完成本项目的工作总结和相关台</w:t>
      </w:r>
      <w:r>
        <w:rPr>
          <w:rFonts w:hint="eastAsia" w:ascii="仿宋_GB2312" w:hAnsi="仿宋_GB2312" w:eastAsia="仿宋_GB2312" w:cs="仿宋_GB2312"/>
          <w:kern w:val="0"/>
          <w:sz w:val="24"/>
          <w:lang w:eastAsia="zh-CN"/>
        </w:rPr>
        <w:t>账</w:t>
      </w:r>
      <w:r>
        <w:rPr>
          <w:rFonts w:hint="eastAsia" w:ascii="仿宋_GB2312" w:hAnsi="仿宋_GB2312" w:eastAsia="仿宋_GB2312" w:cs="仿宋_GB2312"/>
          <w:kern w:val="0"/>
          <w:sz w:val="24"/>
        </w:rPr>
        <w:t>资料交给甲方。</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4.乙方有维护甲方声誉的义务，乙方不能以甲方名义从事与本项目无关的任何事务，否则甲方有权追究其相关责任。</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5.乙方应采取必要措施配合专家评审会及甲方验收人员的工作</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对于评审验收过程中发现的问题，乙方应在发现问题之日起 3 天内进行改正，以符合甲方的需要。</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6.乙方应独立完成本项目。未经甲方书面在先同意，乙方不得向任何第三方全部或部分转让本项目。</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7.本合同期满或提前解除、终止后，乙方应将甲方的档案资料、信息数据等交还甲方，并应销毁或删除所有备份。</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9.乙方在完成本项目过程中，不得损害其他任何第三方的知识产权等合法权益，否则由此造成的相关责任应当由乙方自行承担，与甲方无关。</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10.针对甲方就乙方提交的成果、工作报告等相关文件提出的修改意见，乙方应当在甲方指定的修改时间内完成修改。</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11.乙方指定的项目负责人：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姓名</w:t>
      </w:r>
      <w:r>
        <w:rPr>
          <w:rFonts w:hint="eastAsia" w:ascii="仿宋_GB2312" w:hAnsi="仿宋_GB2312" w:eastAsia="仿宋_GB2312" w:cs="仿宋_GB2312"/>
          <w:kern w:val="0"/>
          <w:sz w:val="24"/>
          <w:lang w:eastAsia="zh-CN"/>
        </w:rPr>
        <w:t>：</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联系方式：</w:t>
      </w:r>
    </w:p>
    <w:p>
      <w:pPr>
        <w:tabs>
          <w:tab w:val="left" w:pos="1631"/>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八</w:t>
      </w:r>
      <w:r>
        <w:rPr>
          <w:rFonts w:hint="eastAsia" w:ascii="仿宋_GB2312" w:hAnsi="仿宋_GB2312" w:eastAsia="仿宋_GB2312" w:cs="仿宋_GB2312"/>
          <w:b/>
          <w:bCs/>
          <w:kern w:val="0"/>
          <w:sz w:val="24"/>
        </w:rPr>
        <w:t>条 合同价款及支付方式</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1.合同价款：合同总价为</w:t>
      </w:r>
      <w:r>
        <w:rPr>
          <w:rFonts w:hint="eastAsia" w:ascii="仿宋_GB2312" w:hAnsi="仿宋_GB2312" w:eastAsia="仿宋_GB2312" w:cs="仿宋_GB2312"/>
          <w:kern w:val="0"/>
          <w:sz w:val="24"/>
          <w:u w:val="single"/>
        </w:rPr>
        <w:t xml:space="preserve">  万元（¥ ）</w:t>
      </w:r>
      <w:r>
        <w:rPr>
          <w:rFonts w:hint="eastAsia" w:ascii="仿宋_GB2312" w:hAnsi="仿宋_GB2312" w:eastAsia="仿宋_GB2312" w:cs="仿宋_GB2312"/>
          <w:kern w:val="0"/>
          <w:sz w:val="24"/>
        </w:rPr>
        <w:t>，应包括专业服务费、法定税费、企业的利润和驻场人员办公场地费用等为完成本项目服务所发生的全部相关费用。本合同总价包括但不限于差旅费、住宿费、餐费、交通费、资料费、调研费、通信费、税费等相关费用及后期费用。合同总价包括乙方履行本合同义务所发生的一切费用和支出和以各种方式寄送技术资料到甲方办公室所发生的费用。</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2.费用支付</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合同金额由甲方分2期支付至乙方指定银行账户：</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第一期：合同签订后，根据乙方提出的付款申请，甲方在15个工作日内支付合同总额的50%，即人民币  元整，小写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第二期：在乙方提交通过审查的成果</w:t>
      </w:r>
      <w:r>
        <w:rPr>
          <w:rFonts w:hint="eastAsia" w:ascii="仿宋_GB2312" w:hAnsi="仿宋_GB2312" w:eastAsia="仿宋_GB2312" w:cs="仿宋_GB2312"/>
          <w:color w:val="auto"/>
          <w:kern w:val="0"/>
          <w:sz w:val="24"/>
          <w:lang w:val="en-US" w:eastAsia="zh-CN"/>
        </w:rPr>
        <w:t>《前海MiC发展顶层设计》（送审稿）</w:t>
      </w:r>
      <w:r>
        <w:rPr>
          <w:rFonts w:hint="eastAsia" w:ascii="仿宋_GB2312" w:hAnsi="仿宋_GB2312" w:eastAsia="仿宋_GB2312" w:cs="仿宋_GB2312"/>
          <w:color w:val="auto"/>
          <w:kern w:val="0"/>
          <w:sz w:val="24"/>
        </w:rPr>
        <w:t>后，根据乙方提出的付款申请，甲方在15个工作日内支付合同总额的50%，即人民币  元整，小写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3.支付方式 </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上述每期款项均在满足付款条件，且甲方收到乙方开具的载明相应金额的合格发票后15个工作日内付至乙方指定银行账户。如未及时收到发票，则甲方相应付款时间顺延。因甲方付款审批影响支付进度，请乙方予以谅解，并不得就此向甲方索赔。</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甲方将合同款项转账支付至乙方指定银行账户： </w:t>
      </w:r>
    </w:p>
    <w:p>
      <w:pPr>
        <w:wordWrap w:val="0"/>
        <w:overflowPunct w:val="0"/>
        <w:autoSpaceDE w:val="0"/>
        <w:autoSpaceDN w:val="0"/>
        <w:adjustRightInd w:val="0"/>
        <w:spacing w:line="360" w:lineRule="auto"/>
        <w:ind w:firstLine="472" w:firstLineChars="200"/>
        <w:rPr>
          <w:rFonts w:hint="eastAsia" w:ascii="仿宋_GB2312" w:hAnsi="仿宋_GB2312" w:eastAsia="仿宋_GB2312" w:cs="仿宋_GB2312"/>
          <w:spacing w:val="-2"/>
          <w:kern w:val="0"/>
          <w:sz w:val="24"/>
        </w:rPr>
      </w:pPr>
      <w:r>
        <w:rPr>
          <w:rFonts w:hint="eastAsia" w:ascii="仿宋_GB2312" w:hAnsi="仿宋_GB2312" w:eastAsia="仿宋_GB2312" w:cs="仿宋_GB2312"/>
          <w:spacing w:val="-2"/>
          <w:kern w:val="0"/>
          <w:sz w:val="24"/>
        </w:rPr>
        <w:t xml:space="preserve">户名： </w:t>
      </w:r>
    </w:p>
    <w:p>
      <w:pPr>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银行账号：  </w:t>
      </w:r>
    </w:p>
    <w:p>
      <w:pPr>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开户银行： </w:t>
      </w:r>
    </w:p>
    <w:p>
      <w:pPr>
        <w:wordWrap w:val="0"/>
        <w:overflowPunct w:val="0"/>
        <w:autoSpaceDE w:val="0"/>
        <w:autoSpaceDN w:val="0"/>
        <w:adjustRightInd w:val="0"/>
        <w:spacing w:line="360" w:lineRule="auto"/>
        <w:ind w:firstLine="468" w:firstLineChars="200"/>
        <w:rPr>
          <w:rFonts w:hint="eastAsia" w:ascii="仿宋_GB2312" w:hAnsi="仿宋_GB2312" w:eastAsia="仿宋_GB2312" w:cs="仿宋_GB2312"/>
          <w:spacing w:val="-5"/>
          <w:kern w:val="0"/>
          <w:sz w:val="24"/>
        </w:rPr>
      </w:pPr>
      <w:r>
        <w:rPr>
          <w:rFonts w:hint="eastAsia" w:ascii="仿宋_GB2312" w:hAnsi="仿宋_GB2312" w:eastAsia="仿宋_GB2312" w:cs="仿宋_GB2312"/>
          <w:spacing w:val="-3"/>
          <w:kern w:val="0"/>
          <w:sz w:val="24"/>
        </w:rPr>
        <w:t xml:space="preserve">若上述账户信息有任何变动，乙方应当提前 </w:t>
      </w:r>
      <w:r>
        <w:rPr>
          <w:rFonts w:hint="eastAsia" w:ascii="仿宋_GB2312" w:hAnsi="仿宋_GB2312" w:eastAsia="仿宋_GB2312" w:cs="仿宋_GB2312"/>
          <w:kern w:val="0"/>
          <w:sz w:val="24"/>
        </w:rPr>
        <w:t>10</w:t>
      </w:r>
      <w:r>
        <w:rPr>
          <w:rFonts w:hint="eastAsia" w:ascii="仿宋_GB2312" w:hAnsi="仿宋_GB2312" w:eastAsia="仿宋_GB2312" w:cs="仿宋_GB2312"/>
          <w:spacing w:val="-5"/>
          <w:kern w:val="0"/>
          <w:sz w:val="24"/>
        </w:rPr>
        <w:t xml:space="preserve"> 个工作日书面通知甲方；若乙方未按本条约定将账户信息变动情况书面通知甲方，由此导致甲方付款时间延迟或出现其他无法付款的情形， 甲方不承担逾期付款的违约责任。</w:t>
      </w:r>
    </w:p>
    <w:p>
      <w:pPr>
        <w:tabs>
          <w:tab w:val="left" w:pos="1631"/>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九</w:t>
      </w:r>
      <w:r>
        <w:rPr>
          <w:rFonts w:hint="eastAsia" w:ascii="仿宋_GB2312" w:hAnsi="仿宋_GB2312" w:eastAsia="仿宋_GB2312" w:cs="仿宋_GB2312"/>
          <w:b/>
          <w:bCs/>
          <w:kern w:val="0"/>
          <w:sz w:val="24"/>
        </w:rPr>
        <w:t>条 保密条款</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3.乙方实施项目的程序应符合国家安全、保密的有关规定和标准。</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4.上述保密义务不适用以下情况：</w:t>
      </w:r>
    </w:p>
    <w:p>
      <w:pPr>
        <w:tabs>
          <w:tab w:val="left" w:pos="1314"/>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（1）获取的信息已被合法公开；</w:t>
      </w:r>
    </w:p>
    <w:p>
      <w:pPr>
        <w:tabs>
          <w:tab w:val="left" w:pos="1314"/>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（2）获得信息拥有方书面许可并在该许可范围内披露；</w:t>
      </w:r>
    </w:p>
    <w:p>
      <w:pPr>
        <w:tabs>
          <w:tab w:val="left" w:pos="1314"/>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（3）国家法律、法规规定的情形。</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5.如乙方违反上述保密条款，甲方有权解除本合同，乙方应在合同解除通知发出之日起 10 日内向甲方支付本合同服务费总金额 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6.无论本项目其他条款是否有效，本保密条款始终约束双方。国家秘密的保密期限由国家有关部门确定，工作秘密的保密期限由</w:t>
      </w:r>
      <w:r>
        <w:rPr>
          <w:rFonts w:hint="eastAsia" w:ascii="仿宋_GB2312" w:hAnsi="仿宋_GB2312" w:eastAsia="仿宋_GB2312" w:cs="仿宋_GB2312"/>
          <w:kern w:val="0"/>
          <w:sz w:val="24"/>
          <w:lang w:eastAsia="zh-CN"/>
        </w:rPr>
        <w:t>双</w:t>
      </w:r>
      <w:r>
        <w:rPr>
          <w:rFonts w:hint="eastAsia" w:ascii="仿宋_GB2312" w:hAnsi="仿宋_GB2312" w:eastAsia="仿宋_GB2312" w:cs="仿宋_GB2312"/>
          <w:kern w:val="0"/>
          <w:sz w:val="24"/>
        </w:rPr>
        <w:t>方确定。</w:t>
      </w:r>
    </w:p>
    <w:p>
      <w:pPr>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w:t>
      </w:r>
      <w:r>
        <w:rPr>
          <w:rFonts w:hint="eastAsia" w:ascii="仿宋_GB2312" w:hAnsi="仿宋_GB2312" w:eastAsia="仿宋_GB2312" w:cs="仿宋_GB2312"/>
          <w:b/>
          <w:bCs/>
          <w:kern w:val="0"/>
          <w:sz w:val="24"/>
          <w:lang w:eastAsia="zh-CN"/>
        </w:rPr>
        <w:t>十</w:t>
      </w:r>
      <w:r>
        <w:rPr>
          <w:rFonts w:hint="eastAsia" w:ascii="仿宋_GB2312" w:hAnsi="仿宋_GB2312" w:eastAsia="仿宋_GB2312" w:cs="仿宋_GB2312"/>
          <w:b/>
          <w:bCs/>
          <w:kern w:val="0"/>
          <w:sz w:val="24"/>
        </w:rPr>
        <w:t>条 项目变更</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1.本合同履行过程中的需求变更和进度调整，以甲乙双方达成一致的书面文件为准。</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2.乙方遇到不能按期完成工作的情况，应及时以书面形式将不能按期完成工作的理由、延误时间通知甲方。甲方在收到乙方通知后，根据情况决定是否延长完成时间。如同意延长，则乙方责任期也相应延长。</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3.因非乙方责任造成项目进度推迟或延误，无法按照本合同约定的日期完成相应工作，双方经过协商可以进一步约定完成的日期，乙方的责任期也随之顺延。</w:t>
      </w:r>
    </w:p>
    <w:p>
      <w:pPr>
        <w:tabs>
          <w:tab w:val="left" w:pos="1000"/>
        </w:tabs>
        <w:wordWrap w:val="0"/>
        <w:overflowPunct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4.在本项目进展过程中，经双方同意的工作内容等方面的增减，如所涉增加费用的金额不超过本合同项下服务费总金额的 10%</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由双方商定变更内容及具体价格后签订书面补充协议予以确认。</w:t>
      </w:r>
    </w:p>
    <w:p>
      <w:pPr>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第十一条 合同提前终止</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1.双方协商同意提前终止本合同的，按双方协商约定的方式进行清算执行。</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2.如果一方发生破产、解散、被依法关闭、撤销或已进入清算阶段等情形，发生上述情形的一方有义务在事由发生后 15 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eastAsia="仿宋_GB2312"/>
          <w:lang w:val="en-US" w:eastAsia="zh-CN"/>
        </w:rPr>
      </w:pPr>
      <w:r>
        <w:rPr>
          <w:rFonts w:hint="eastAsia" w:ascii="仿宋_GB2312" w:hAnsi="仿宋_GB2312" w:eastAsia="仿宋_GB2312" w:cs="仿宋_GB2312"/>
          <w:kern w:val="0"/>
          <w:sz w:val="24"/>
          <w:lang w:val="en-US" w:eastAsia="zh-CN"/>
        </w:rPr>
        <w:t>3.对于甲方未按要求支付款项且经乙方书面催促无果后，已由乙方完成的工作，其成果及相对应的知识产权由乙方所有。</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.有下列情形之一的，本合同自甲方向乙方发出书面通知之日起终止：</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.1.甲方的职能发生转变，不再具有委托职能。</w:t>
      </w:r>
    </w:p>
    <w:p>
      <w:pPr>
        <w:keepNext w:val="0"/>
        <w:keepLines w:val="0"/>
        <w:pageBreakBefore w:val="0"/>
        <w:widowControl w:val="0"/>
        <w:tabs>
          <w:tab w:val="left" w:pos="1000"/>
        </w:tabs>
        <w:kinsoku/>
        <w:wordWrap w:val="0"/>
        <w:overflowPunct w:val="0"/>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2.本合同签订时适用的法律法规或政策发生变化，且对本合同的继续履行造成重大影响。发生以上情形，甲方已向乙方支付的款项不退还，尚未支付的款项不再支付，同时乙方应向甲方提交在合同终止日前完成的所有项目文件和相关资料。</w:t>
      </w:r>
    </w:p>
    <w:p>
      <w:pPr>
        <w:pStyle w:val="45"/>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.如发生不可抗力或其他超出合同双方控制的事件，致使一方无法履行合同，本合同解除。</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 48 小时内受影响方应向对方通报受影响情况。如不可抗力事件持续发生，受影响方应每隔 7 天向对方书面报告一次受影响情况。不可抗力事件结束后 14 天内，受影响方应向对方提交正式报告及有关部门开具的证明材料。</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.2发生不可抗力，甲乙双方承担各自的损失。由于其中一方迟延履行合同义务后发生不可抗力的，其违约责任不能免除。</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第十二条 违约责任</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1.因乙方原因，未能按规定时间完成有关工作的，每延误一天，甲方自尚未支付的合同款项中扣除合同服务总金额的 5‰的逾期违约金。</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2.如乙方提供的服务或成果不符合质量要求，必须在甲方提出要求后 7 个日历日内无条件修改，其费用由乙方承担。</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3.本合同履行期间，发生下述情形时，甲方有权解除本合同，乙方除应退还甲方已支付的全部款项外</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还应在合同解除通知发出之日起 10 日内向甲方支付合同总价款 20%的违约金。乙方应同时将已完成的项目成果移交给甲方，并将全部有关资料退还甲方：</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（1）因乙方工作的错误或遗漏造成成果质量不符合本合同要求，且乙方未按甲方要求采取及时有效的补救措施的；</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（2）乙方未能按合同约定的日期(含协商延缓的日期)提交工作成果，延误时间超过 30 个工作日；或乙方虽如期提交阶段性成果和最终成果，但最终成果连续二次未能通过评审验收的；</w:t>
      </w:r>
    </w:p>
    <w:p>
      <w:pPr>
        <w:keepNext w:val="0"/>
        <w:keepLines w:val="0"/>
        <w:pageBreakBefore w:val="0"/>
        <w:widowControl w:val="0"/>
        <w:tabs>
          <w:tab w:val="left" w:pos="1000"/>
        </w:tabs>
        <w:kinsoku/>
        <w:wordWrap w:val="0"/>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（3）发现乙方或乙方工作人员出现全部或部分丧失履行委托服务能力的情况，甲方有权通知乙方限期整改或更换工作人员，期限届满乙方并未进行改善的；</w:t>
      </w:r>
    </w:p>
    <w:p>
      <w:pPr>
        <w:pStyle w:val="45"/>
        <w:keepNext w:val="0"/>
        <w:keepLines w:val="0"/>
        <w:pageBreakBefore w:val="0"/>
        <w:widowControl w:val="0"/>
        <w:kinsoku/>
        <w:overflowPunct/>
        <w:topLinePunct w:val="0"/>
        <w:bidi w:val="0"/>
        <w:snapToGrid/>
        <w:spacing w:line="360" w:lineRule="auto"/>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（4）未经甲方书面在先同意，乙方擅自将本合同项目与任何第三方合作，或将本合同标的全部或部分擅自转包给任何第三方，且未按甲方的要求终止与第三方的合同的；</w:t>
      </w:r>
    </w:p>
    <w:p>
      <w:pPr>
        <w:keepNext w:val="0"/>
        <w:keepLines w:val="0"/>
        <w:pageBreakBefore w:val="0"/>
        <w:widowControl w:val="0"/>
        <w:tabs>
          <w:tab w:val="left" w:pos="1000"/>
        </w:tabs>
        <w:kinsoku/>
        <w:wordWrap w:val="0"/>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（5）乙方明确表示或者以自己的行为表明不履行本合同的。</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4.除因审批流程及财政部门预算下达延误影响甲方支出进度外，如甲方未按照本合同约定的时间支付服务费，乙方书面催告甲方并给予不少于 15 个工作日的履行期限后甲方仍未支付的， 乙方有权自该期限届满之日起要求甲方支付该阶段应付而未付合同价款每日 1‰ 的逾期违约金。如甲方无正当理由拒绝接受服务，到期明确表示拒付服务款项，乙方有权要求甲方支付本合同项下服务费总金额 10%的违约金。</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5.上述违约责任各自独立且可累加。如本合同所约定的违约金无法弥补因违约行为所造成的损失，违约方应补偿上述不足部分的损失。</w:t>
      </w:r>
    </w:p>
    <w:p>
      <w:pPr>
        <w:tabs>
          <w:tab w:val="left" w:pos="210"/>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第十三条 争议解决办法</w:t>
      </w:r>
    </w:p>
    <w:p>
      <w:pPr>
        <w:tabs>
          <w:tab w:val="left" w:pos="21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因本合同的履行或合同本身发生的争议或纠纷，双方应协商解决。协商不成，双方可依法向深圳前海合作区人民法院起诉。</w:t>
      </w:r>
    </w:p>
    <w:p>
      <w:pPr>
        <w:tabs>
          <w:tab w:val="left" w:pos="210"/>
        </w:tabs>
        <w:wordWrap w:val="0"/>
        <w:overflowPunct w:val="0"/>
        <w:autoSpaceDE w:val="0"/>
        <w:autoSpaceDN w:val="0"/>
        <w:adjustRightInd w:val="0"/>
        <w:spacing w:line="360" w:lineRule="auto"/>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第十</w:t>
      </w:r>
      <w:r>
        <w:rPr>
          <w:rFonts w:hint="eastAsia" w:ascii="仿宋_GB2312" w:hAnsi="仿宋_GB2312" w:eastAsia="仿宋_GB2312" w:cs="仿宋_GB2312"/>
          <w:b/>
          <w:bCs/>
          <w:kern w:val="0"/>
          <w:sz w:val="24"/>
          <w:lang w:eastAsia="zh-CN"/>
        </w:rPr>
        <w:t>四</w:t>
      </w:r>
      <w:r>
        <w:rPr>
          <w:rFonts w:hint="eastAsia" w:ascii="仿宋_GB2312" w:hAnsi="仿宋_GB2312" w:eastAsia="仿宋_GB2312" w:cs="仿宋_GB2312"/>
          <w:b/>
          <w:bCs/>
          <w:kern w:val="0"/>
          <w:sz w:val="24"/>
        </w:rPr>
        <w:t>条 其他</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（1）合同书及补充协议；</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（2）中标通知书；</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（3）招标文件（编号：</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）及其澄清、补正公告；</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（4）投标书。</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2.本合同附件（如有）为合同不可分割的组成部分，与本合同一并加盖骑缝章后具有同等法律效力。若附件与合同正文有任何冲突，以合同正文为准。</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3.本合同各条标题仅为提示之用，应以条文内容确定各方的权利义务。</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4.本合同未尽事宜，由双方协商签订补充协议进行约定。补充协议应以书面形式作成，经双方法定代表人或其授权代表签字、盖章后与本合同具有同等法律效力。</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5.本合同约定的权利和义务不因合同双方发生收购、兼并、重组、分立而发生变化。如果发生上述情形，则本合同约定的权利和义务随之转移至收购、兼并、重组或分立后成立的单位。</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6.本合同在国家法律、法规和规章规定的范围内执行。当国家法律、法规和规章发生变化导致本合同有关条款与之抵触时，双方协商变更或废止该条款，在此情况下，双方互不承担责任。</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7.如果本合同的任何条款在任何时候变成不合法、无效或不可强制执行而不从根本上影响本合同的效力时，本合同的其他条款不受影响。</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9.本合同的任何内容不应被视为或解释为双方之间具有合资、合伙、代理关系。</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10.任何一方未经另一方同意不得向任何第三方透露本合同的签订及其内容。甲方向其关联公司透露前述内容的，不受此限。</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12.本合同自双方法定代表人或其授权代表签字、盖章之日起生效，有效期至后续服务期满之日止。</w:t>
      </w:r>
    </w:p>
    <w:p>
      <w:pPr>
        <w:tabs>
          <w:tab w:val="left" w:pos="1000"/>
        </w:tabs>
        <w:wordWrap w:val="0"/>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13.本合同一式六份正本，甲方与乙方各执三份，均具同等法律效力。</w:t>
      </w:r>
    </w:p>
    <w:p>
      <w:pPr>
        <w:pStyle w:val="5"/>
        <w:adjustRightInd w:val="0"/>
        <w:spacing w:before="0" w:after="0" w:line="360" w:lineRule="auto"/>
        <w:rPr>
          <w:rFonts w:hint="eastAsia" w:ascii="仿宋_GB2312" w:hAnsi="仿宋_GB2312" w:eastAsia="仿宋_GB2312" w:cs="仿宋_GB2312"/>
          <w:kern w:val="0"/>
          <w:sz w:val="24"/>
          <w:szCs w:val="24"/>
        </w:rPr>
      </w:pPr>
    </w:p>
    <w:p>
      <w:pPr>
        <w:adjustRightInd w:val="0"/>
        <w:spacing w:line="360" w:lineRule="auto"/>
        <w:rPr>
          <w:rFonts w:hint="eastAsia" w:ascii="仿宋_GB2312" w:hAnsi="仿宋_GB2312" w:eastAsia="仿宋_GB2312" w:cs="仿宋_GB2312"/>
          <w:sz w:val="24"/>
        </w:rPr>
      </w:pPr>
    </w:p>
    <w:p>
      <w:pPr>
        <w:pStyle w:val="3"/>
        <w:keepNext w:val="0"/>
        <w:keepLines w:val="0"/>
        <w:wordWrap w:val="0"/>
        <w:adjustRightInd w:val="0"/>
        <w:spacing w:before="0" w:after="0" w:line="360" w:lineRule="auto"/>
        <w:rPr>
          <w:rFonts w:hint="eastAsia" w:ascii="仿宋_GB2312" w:hAnsi="仿宋_GB2312" w:eastAsia="仿宋_GB2312" w:cs="仿宋_GB2312"/>
          <w:sz w:val="24"/>
        </w:rPr>
      </w:pPr>
    </w:p>
    <w:p>
      <w:pPr>
        <w:snapToGrid w:val="0"/>
        <w:spacing w:line="360" w:lineRule="auto"/>
        <w:ind w:left="6240" w:hanging="6240" w:hangingChars="26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甲方：深圳市前海深港现代服务业          乙方：</w:t>
      </w:r>
      <w:r>
        <w:rPr>
          <w:rFonts w:hint="eastAsia" w:ascii="仿宋_GB2312" w:hAnsi="仿宋_GB2312" w:eastAsia="仿宋_GB2312" w:cs="仿宋_GB2312"/>
          <w:sz w:val="24"/>
        </w:rPr>
        <w:t xml:space="preserve"> </w:t>
      </w:r>
    </w:p>
    <w:p>
      <w:pPr>
        <w:snapToGrid w:val="0"/>
        <w:spacing w:line="360" w:lineRule="auto"/>
        <w:ind w:left="6238" w:leftChars="342" w:hanging="5520" w:hangingChars="23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合作区管理局                           </w:t>
      </w:r>
      <w:r>
        <w:rPr>
          <w:rFonts w:hint="eastAsia" w:ascii="仿宋_GB2312" w:hAnsi="仿宋_GB2312" w:eastAsia="仿宋_GB2312" w:cs="仿宋_GB2312"/>
          <w:color w:val="000000"/>
          <w:sz w:val="24"/>
        </w:rPr>
        <w:br w:type="textWrapping"/>
      </w:r>
    </w:p>
    <w:p>
      <w:pPr>
        <w:snapToGrid w:val="0"/>
        <w:spacing w:line="360" w:lineRule="auto"/>
        <w:ind w:left="4320" w:hanging="4320" w:hangingChars="18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地址：深圳市前海深港合作区南山街道       地址：</w:t>
      </w:r>
      <w:r>
        <w:rPr>
          <w:rFonts w:hint="eastAsia" w:ascii="仿宋_GB2312" w:hAnsi="仿宋_GB2312" w:eastAsia="仿宋_GB2312" w:cs="仿宋_GB2312"/>
          <w:color w:val="000000"/>
          <w:sz w:val="24"/>
        </w:rPr>
        <w:br w:type="textWrapping"/>
      </w:r>
    </w:p>
    <w:p>
      <w:pPr>
        <w:pStyle w:val="4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法定代表人：王守睿                       法定代表人：</w:t>
      </w:r>
    </w:p>
    <w:p>
      <w:pPr>
        <w:pStyle w:val="45"/>
        <w:ind w:firstLine="480" w:firstLineChars="200"/>
        <w:rPr>
          <w:rFonts w:hint="eastAsia" w:ascii="仿宋_GB2312" w:hAnsi="仿宋_GB2312" w:eastAsia="仿宋_GB2312" w:cs="仿宋_GB2312"/>
          <w:color w:val="000000"/>
          <w:sz w:val="24"/>
          <w:szCs w:val="24"/>
        </w:rPr>
      </w:pPr>
    </w:p>
    <w:p>
      <w:pPr>
        <w:snapToGrid w:val="0"/>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委托代理人：                             委托代理人：</w:t>
      </w:r>
      <w:r>
        <w:rPr>
          <w:rFonts w:hint="eastAsia" w:ascii="仿宋_GB2312" w:hAnsi="仿宋_GB2312" w:eastAsia="仿宋_GB2312" w:cs="仿宋_GB2312"/>
          <w:color w:val="000000"/>
          <w:sz w:val="24"/>
          <w:highlight w:val="yellow"/>
        </w:rPr>
        <w:br w:type="textWrapping"/>
      </w:r>
    </w:p>
    <w:p>
      <w:pPr>
        <w:snapToGrid w:val="0"/>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电话：                                   电话：</w:t>
      </w:r>
      <w:r>
        <w:rPr>
          <w:rFonts w:hint="eastAsia" w:ascii="仿宋_GB2312" w:hAnsi="仿宋_GB2312" w:eastAsia="仿宋_GB2312" w:cs="仿宋_GB2312"/>
          <w:color w:val="000000"/>
          <w:sz w:val="24"/>
        </w:rPr>
        <w:br w:type="textWrapping"/>
      </w:r>
    </w:p>
    <w:p>
      <w:pPr>
        <w:snapToGrid w:val="0"/>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开户银行：                               开户银行：</w:t>
      </w:r>
      <w:r>
        <w:rPr>
          <w:rFonts w:hint="eastAsia" w:ascii="仿宋_GB2312" w:hAnsi="仿宋_GB2312" w:eastAsia="仿宋_GB2312" w:cs="仿宋_GB2312"/>
          <w:color w:val="000000"/>
          <w:sz w:val="24"/>
        </w:rPr>
        <w:br w:type="textWrapping"/>
      </w:r>
      <w:r>
        <w:rPr>
          <w:rFonts w:hint="eastAsia" w:ascii="仿宋_GB2312" w:hAnsi="仿宋_GB2312" w:eastAsia="仿宋_GB2312" w:cs="仿宋_GB2312"/>
          <w:color w:val="000000"/>
          <w:sz w:val="24"/>
        </w:rPr>
        <w:t xml:space="preserve">                                                    </w:t>
      </w:r>
    </w:p>
    <w:p>
      <w:pPr>
        <w:rPr>
          <w:rFonts w:hint="eastAsia" w:ascii="仿宋_GB2312" w:hAnsi="仿宋_GB2312" w:eastAsia="仿宋_GB2312" w:cs="仿宋_GB2312"/>
          <w:b/>
          <w:bCs/>
          <w:color w:val="000000"/>
          <w:sz w:val="24"/>
        </w:rPr>
      </w:pPr>
      <w:r>
        <w:rPr>
          <w:rFonts w:hint="eastAsia" w:ascii="仿宋_GB2312" w:hAnsi="仿宋_GB2312" w:eastAsia="仿宋_GB2312" w:cs="仿宋_GB2312"/>
          <w:color w:val="000000"/>
          <w:sz w:val="24"/>
          <w:lang w:eastAsia="zh-CN"/>
        </w:rPr>
        <w:t>账号</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eastAsia="zh-CN"/>
        </w:rPr>
        <w:t>账号</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rPr>
        <w:br w:type="textWrapping"/>
      </w:r>
      <w:r>
        <w:rPr>
          <w:rFonts w:hint="eastAsia" w:ascii="仿宋_GB2312" w:hAnsi="仿宋_GB2312" w:eastAsia="仿宋_GB2312" w:cs="仿宋_GB2312"/>
          <w:color w:val="000000"/>
          <w:sz w:val="24"/>
        </w:rPr>
        <w:br w:type="textWrapping"/>
      </w:r>
      <w:r>
        <w:rPr>
          <w:rFonts w:hint="eastAsia" w:ascii="仿宋_GB2312" w:hAnsi="仿宋_GB2312" w:eastAsia="仿宋_GB2312" w:cs="仿宋_GB2312"/>
          <w:color w:val="000000"/>
          <w:sz w:val="24"/>
        </w:rPr>
        <w:t xml:space="preserve">签约时间：     年   月   日              签约时间：     年   月   </w:t>
      </w:r>
    </w:p>
    <w:p>
      <w:pPr>
        <w:spacing w:line="360" w:lineRule="auto"/>
        <w:ind w:firstLine="720" w:firstLineChars="300"/>
        <w:rPr>
          <w:rFonts w:ascii="宋体" w:hAnsi="宋体" w:cs="宋体"/>
          <w:color w:val="auto"/>
          <w:sz w:val="24"/>
          <w:highlight w:val="none"/>
        </w:rPr>
      </w:pPr>
    </w:p>
    <w:p>
      <w:pPr>
        <w:rPr>
          <w:rFonts w:ascii="仿宋" w:hAnsi="仿宋" w:eastAsia="仿宋" w:cs="仿宋"/>
          <w:color w:val="auto"/>
          <w:szCs w:val="21"/>
          <w:highlight w:val="none"/>
        </w:rPr>
      </w:pPr>
    </w:p>
    <w:p>
      <w:pPr>
        <w:ind w:left="11" w:firstLine="630" w:firstLineChars="300"/>
        <w:rPr>
          <w:rFonts w:ascii="仿宋" w:hAnsi="仿宋" w:eastAsia="仿宋" w:cs="仿宋"/>
          <w:color w:val="auto"/>
          <w:szCs w:val="21"/>
          <w:highlight w:val="none"/>
        </w:rPr>
      </w:pPr>
    </w:p>
    <w:p>
      <w:pPr>
        <w:adjustRightInd w:val="0"/>
        <w:snapToGrid w:val="0"/>
        <w:spacing w:line="360" w:lineRule="auto"/>
        <w:rPr>
          <w:rFonts w:ascii="宋体" w:hAnsi="宋体" w:cs="宋体"/>
          <w:color w:val="auto"/>
          <w:sz w:val="24"/>
          <w:highlight w:val="none"/>
        </w:rPr>
      </w:pPr>
      <w:r>
        <w:rPr>
          <w:rFonts w:hint="eastAsia" w:ascii="宋体" w:hAnsi="宋体"/>
          <w:b/>
          <w:bCs/>
          <w:color w:val="auto"/>
          <w:szCs w:val="21"/>
          <w:highlight w:val="none"/>
        </w:rPr>
        <w:t>注：本合同样本仅供参考，具体条款内容采购人和中标人按前海管理局合同样本签订。实际合同样本不改变本招标文件的实质条件</w:t>
      </w:r>
      <w:r>
        <w:rPr>
          <w:rFonts w:hint="eastAsia" w:ascii="宋体" w:hAnsi="宋体" w:cs="宋体"/>
          <w:b/>
          <w:bCs/>
          <w:color w:val="auto"/>
          <w:sz w:val="24"/>
          <w:highlight w:val="none"/>
        </w:rPr>
        <w:t>。</w:t>
      </w:r>
    </w:p>
    <w:p>
      <w:pPr>
        <w:snapToGrid w:val="0"/>
        <w:spacing w:line="360" w:lineRule="auto"/>
        <w:rPr>
          <w:rFonts w:ascii="宋体" w:hAnsi="宋体" w:cs="宋体"/>
          <w:color w:val="auto"/>
          <w:sz w:val="24"/>
          <w:highlight w:val="none"/>
        </w:rPr>
      </w:pPr>
    </w:p>
    <w:p>
      <w:pPr>
        <w:numPr>
          <w:ilvl w:val="0"/>
          <w:numId w:val="1"/>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31" w:name="_Toc11333"/>
      <w:bookmarkStart w:id="32" w:name="_Toc25518"/>
      <w:r>
        <w:rPr>
          <w:rFonts w:hint="eastAsia" w:ascii="宋体" w:hAnsi="宋体" w:cs="宋体"/>
          <w:b/>
          <w:bCs/>
          <w:color w:val="auto"/>
          <w:sz w:val="24"/>
          <w:highlight w:val="none"/>
        </w:rPr>
        <w:t>用户需求书</w:t>
      </w:r>
      <w:bookmarkEnd w:id="31"/>
      <w:bookmarkEnd w:id="32"/>
    </w:p>
    <w:p>
      <w:pPr>
        <w:pStyle w:val="33"/>
        <w:tabs>
          <w:tab w:val="left" w:pos="720"/>
        </w:tabs>
        <w:autoSpaceDE w:val="0"/>
        <w:autoSpaceDN w:val="0"/>
        <w:adjustRightInd w:val="0"/>
        <w:spacing w:line="360" w:lineRule="auto"/>
        <w:ind w:right="17" w:firstLine="482"/>
        <w:jc w:val="left"/>
        <w:outlineLvl w:val="9"/>
        <w:rPr>
          <w:rFonts w:ascii="宋体" w:hAnsi="宋体" w:cs="宋体"/>
          <w:b/>
          <w:color w:val="auto"/>
          <w:sz w:val="24"/>
          <w:highlight w:val="none"/>
        </w:rPr>
      </w:pPr>
      <w:bookmarkStart w:id="33" w:name="_Toc23726"/>
      <w:bookmarkStart w:id="34" w:name="_Toc11045"/>
      <w:r>
        <w:rPr>
          <w:rFonts w:hint="eastAsia" w:ascii="宋体" w:hAnsi="宋体" w:cs="宋体"/>
          <w:b/>
          <w:color w:val="auto"/>
          <w:sz w:val="24"/>
          <w:highlight w:val="none"/>
        </w:rPr>
        <w:t>说明：本章“用户需求书”的全部内容为本项目正常开展的基本要求，投标人必须</w:t>
      </w:r>
      <w:r>
        <w:rPr>
          <w:rFonts w:hint="eastAsia" w:ascii="宋体" w:hAnsi="宋体" w:eastAsia="宋体" w:cs="宋体"/>
          <w:b/>
          <w:color w:val="auto"/>
          <w:sz w:val="24"/>
          <w:highlight w:val="none"/>
        </w:rPr>
        <w:t>完全响应</w:t>
      </w:r>
      <w:r>
        <w:rPr>
          <w:rFonts w:hint="eastAsia" w:ascii="宋体" w:hAnsi="宋体" w:cs="宋体"/>
          <w:b/>
          <w:color w:val="auto"/>
          <w:sz w:val="24"/>
          <w:highlight w:val="none"/>
        </w:rPr>
        <w:t>，否则将导致投标无效。</w:t>
      </w:r>
    </w:p>
    <w:p>
      <w:pPr>
        <w:pStyle w:val="33"/>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rPr>
        <w:t>一、</w:t>
      </w:r>
      <w:bookmarkEnd w:id="33"/>
      <w:bookmarkEnd w:id="34"/>
      <w:bookmarkStart w:id="35" w:name="_Toc51746099"/>
      <w:r>
        <w:rPr>
          <w:rFonts w:hint="eastAsia" w:ascii="宋体" w:hAnsi="宋体" w:cs="宋体"/>
          <w:b/>
          <w:color w:val="auto"/>
          <w:sz w:val="24"/>
          <w:highlight w:val="none"/>
        </w:rPr>
        <w:t>项目背景</w:t>
      </w:r>
    </w:p>
    <w:bookmarkEnd w:id="35"/>
    <w:p>
      <w:pPr>
        <w:pStyle w:val="2"/>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2025年李强总理在《政府工作报告》中提出，“适应人民群众高品质居住需要，完善标准规范，推动建设安全、舒适、绿色、智慧的“好房子”。住建部提出要像造汽车一样造房子，实现新型建筑工业化与智能化协同发展。模块组合建造（MiC）是一种创新的项目交付方式，具有快速建造、低碳环保、智能化等优势，是建筑业转型升级的重要方向。MiC于2017年由香港大学与香港特区政府发展局共同提出并命名。2017年以来，MiC已连续8年被写入香港</w:t>
      </w:r>
      <w:r>
        <w:rPr>
          <w:rFonts w:hint="eastAsia" w:ascii="宋体" w:hAnsi="宋体" w:cs="宋体"/>
          <w:color w:val="auto"/>
          <w:sz w:val="24"/>
          <w:highlight w:val="none"/>
          <w:lang w:val="en-US" w:eastAsia="zh-CN"/>
        </w:rPr>
        <w:t>特区</w:t>
      </w:r>
      <w:bookmarkStart w:id="79" w:name="_GoBack"/>
      <w:bookmarkEnd w:id="79"/>
      <w:r>
        <w:rPr>
          <w:rFonts w:hint="eastAsia" w:ascii="宋体" w:hAnsi="宋体" w:eastAsia="宋体" w:cs="宋体"/>
          <w:color w:val="auto"/>
          <w:sz w:val="24"/>
          <w:highlight w:val="none"/>
          <w:lang w:val="en-US" w:eastAsia="zh-CN"/>
        </w:rPr>
        <w:t>政府特首施政纲领，以实现房屋发展提量、提速、提效、提质。</w:t>
      </w:r>
    </w:p>
    <w:p>
      <w:pPr>
        <w:pStyle w:val="2"/>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近年来，前海合作区积极推动装配式建筑发展，系统谋划装配式建筑标准建设、项目推广，以创新驱动构建装配式建筑发展新范式，努力打造智能建造“前海样本”。2024年12月，“支持前海试行与香港接轨的绿色建筑环评标准和模块化建筑（MiC）规则”被列入《前海合作区党工委、前海管理局2025年度工作要点》。2025年2月20日，前海管理局印发《关于推进前海合作区新型建筑工业化发展的通知》，明确提出“借鉴香港工程建设模式和技术标准、制度规则，推广由香港专业人士和专业机构服务模块化建筑项目的建设”。</w:t>
      </w:r>
    </w:p>
    <w:p>
      <w:pPr>
        <w:pStyle w:val="2"/>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在此背景下，需要在更高层次上系统探索MiC前海发展举措，推动前海建筑产业链智能化、绿色化发展，建议开展前海合作区MiC发展顶层设计，推动前海新型建筑工业化快速发展。</w:t>
      </w:r>
    </w:p>
    <w:p>
      <w:pPr>
        <w:pStyle w:val="33"/>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lang w:val="zh-CN"/>
        </w:rPr>
        <w:t>二、项目内容</w:t>
      </w:r>
    </w:p>
    <w:p>
      <w:pPr>
        <w:pStyle w:val="2"/>
        <w:spacing w:after="0" w:line="360" w:lineRule="auto"/>
        <w:ind w:firstLine="480" w:firstLineChars="200"/>
        <w:rPr>
          <w:rFonts w:hint="eastAsia"/>
          <w:color w:val="auto"/>
          <w:highlight w:val="none"/>
        </w:rPr>
      </w:pPr>
      <w:r>
        <w:rPr>
          <w:rFonts w:hint="eastAsia"/>
          <w:color w:val="auto"/>
          <w:highlight w:val="none"/>
        </w:rPr>
        <w:t>充分借鉴香港发展MiC成功经验，以支持前海合作区模块化建筑产业良性发展为支撑，以促进粤港澳大湾区建筑业融合发展为目标，以“前海MiC发展顶层设计”为起点，逐步构建前海合作区模块化建筑政策体系及标准。项目内容主要包括：</w:t>
      </w:r>
    </w:p>
    <w:p>
      <w:pPr>
        <w:pStyle w:val="2"/>
        <w:spacing w:after="0" w:line="360" w:lineRule="auto"/>
        <w:ind w:firstLine="480" w:firstLineChars="200"/>
        <w:rPr>
          <w:rFonts w:hint="eastAsia"/>
          <w:color w:val="auto"/>
          <w:highlight w:val="none"/>
        </w:rPr>
      </w:pPr>
      <w:r>
        <w:rPr>
          <w:rFonts w:hint="eastAsia"/>
          <w:color w:val="auto"/>
          <w:highlight w:val="none"/>
        </w:rPr>
        <w:t>1.深入开展前期调研，综合考虑目前全球、中国、大湾区、深圳及前海建造业政策经济环境，结合MiC发展趋势及技术要求，分析前海发展MiC的“社会-技术”机遇与挑战，开展相关数据收集及访谈，以及政策与标准研究、规范对比分析、文件框架设计、报告编制等。</w:t>
      </w:r>
    </w:p>
    <w:p>
      <w:pPr>
        <w:pStyle w:val="2"/>
        <w:spacing w:after="0" w:line="360" w:lineRule="auto"/>
        <w:ind w:firstLine="480" w:firstLineChars="200"/>
        <w:rPr>
          <w:color w:val="auto"/>
          <w:highlight w:val="none"/>
        </w:rPr>
      </w:pPr>
      <w:r>
        <w:rPr>
          <w:rFonts w:hint="eastAsia"/>
          <w:color w:val="auto"/>
          <w:highlight w:val="none"/>
        </w:rPr>
        <w:t>2.参考全球及香港MiC发展历程，结合前海建筑领域发展实际需求，以满足安全、经济、便利和可操作性作为基础，建立前海MiC发展顶层框架，制定短、中、长期发展目标，设计前海MiC发展政策路线图，提出详细的研究框架和技术路径。</w:t>
      </w:r>
    </w:p>
    <w:p>
      <w:pPr>
        <w:pStyle w:val="33"/>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bookmarkStart w:id="36" w:name="OLE_LINK16"/>
      <w:r>
        <w:rPr>
          <w:rFonts w:hint="eastAsia" w:ascii="宋体" w:hAnsi="宋体" w:cs="宋体"/>
          <w:b/>
          <w:color w:val="auto"/>
          <w:sz w:val="24"/>
          <w:highlight w:val="none"/>
        </w:rPr>
        <w:t>三、项目意义</w:t>
      </w:r>
    </w:p>
    <w:p>
      <w:pPr>
        <w:pStyle w:val="33"/>
        <w:tabs>
          <w:tab w:val="left" w:pos="720"/>
        </w:tabs>
        <w:autoSpaceDE w:val="0"/>
        <w:autoSpaceDN w:val="0"/>
        <w:adjustRightInd w:val="0"/>
        <w:spacing w:line="360" w:lineRule="auto"/>
        <w:ind w:right="17" w:firstLine="48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（一）有利于深化建造业领域深港合作</w:t>
      </w:r>
    </w:p>
    <w:p>
      <w:pPr>
        <w:pStyle w:val="33"/>
        <w:tabs>
          <w:tab w:val="left" w:pos="720"/>
        </w:tabs>
        <w:autoSpaceDE w:val="0"/>
        <w:autoSpaceDN w:val="0"/>
        <w:adjustRightInd w:val="0"/>
        <w:spacing w:line="360" w:lineRule="auto"/>
        <w:ind w:right="17" w:firstLine="48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通过充分借鉴香港MiC发展经验，建立前海模块化建筑标准及政策体系，将有助于促进深港两地MiC相关制度、技术、专业人才与市场要素流动，加速香港国际化的建造管理体系与内地规模化应用场景深度融合，为粤港澳大湾区建筑业规则衔接提供先行示范。</w:t>
      </w:r>
    </w:p>
    <w:p>
      <w:pPr>
        <w:pStyle w:val="33"/>
        <w:tabs>
          <w:tab w:val="left" w:pos="720"/>
        </w:tabs>
        <w:autoSpaceDE w:val="0"/>
        <w:autoSpaceDN w:val="0"/>
        <w:adjustRightInd w:val="0"/>
        <w:spacing w:line="360" w:lineRule="auto"/>
        <w:ind w:right="17" w:firstLine="48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（二）有利于将前海打造成全国MiC技术应用标杆</w:t>
      </w:r>
    </w:p>
    <w:p>
      <w:pPr>
        <w:pStyle w:val="33"/>
        <w:tabs>
          <w:tab w:val="left" w:pos="720"/>
        </w:tabs>
        <w:autoSpaceDE w:val="0"/>
        <w:autoSpaceDN w:val="0"/>
        <w:adjustRightInd w:val="0"/>
        <w:spacing w:line="360" w:lineRule="auto"/>
        <w:ind w:right="17" w:firstLine="48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通过建立制定涵盖战略路径、技术标准监管机制的前海MiC顶层设计及管理方案，打造具有前海特色、全国示范效应的标志性MiC试点项目，有助于将前海打造成全国MiC技术应用标杆，推动前海合作区建筑行业向工业化、智能化转型，为全国新型建筑工业化提供“前海经验”。</w:t>
      </w:r>
    </w:p>
    <w:p>
      <w:pPr>
        <w:pStyle w:val="33"/>
        <w:tabs>
          <w:tab w:val="left" w:pos="720"/>
        </w:tabs>
        <w:autoSpaceDE w:val="0"/>
        <w:autoSpaceDN w:val="0"/>
        <w:adjustRightInd w:val="0"/>
        <w:spacing w:line="360" w:lineRule="auto"/>
        <w:ind w:right="17" w:firstLine="48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（三）有利于助力前海实现“双碳”目标</w:t>
      </w:r>
    </w:p>
    <w:p>
      <w:pPr>
        <w:pStyle w:val="33"/>
        <w:tabs>
          <w:tab w:val="left" w:pos="720"/>
        </w:tabs>
        <w:autoSpaceDE w:val="0"/>
        <w:autoSpaceDN w:val="0"/>
        <w:adjustRightInd w:val="0"/>
        <w:spacing w:line="360" w:lineRule="auto"/>
        <w:ind w:right="17" w:firstLine="48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通过推广MiC技术，大幅降低建筑全生命周期碳排放，促进资源高效利用，构建低碳产业生态，将显著提升前海合作区建筑领域的低碳化水平，为落实国家“碳达峰、碳中和”战略提供可复制的实践路径。</w:t>
      </w:r>
    </w:p>
    <w:p>
      <w:pPr>
        <w:pStyle w:val="33"/>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、成果形式</w:t>
      </w:r>
    </w:p>
    <w:p>
      <w:pPr>
        <w:pStyle w:val="3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开展该项目预计形成以下2份报告：</w:t>
      </w:r>
    </w:p>
    <w:p>
      <w:pPr>
        <w:pStyle w:val="3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报告一：《前海MiC发展调研报告》</w:t>
      </w:r>
    </w:p>
    <w:p>
      <w:pPr>
        <w:pStyle w:val="33"/>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报告二：《前海MiC发展顶层设计》</w:t>
      </w:r>
    </w:p>
    <w:p>
      <w:pPr>
        <w:pStyle w:val="33"/>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、人员要求</w:t>
      </w:r>
    </w:p>
    <w:p>
      <w:pPr>
        <w:pStyle w:val="33"/>
        <w:tabs>
          <w:tab w:val="left" w:pos="720"/>
        </w:tabs>
        <w:autoSpaceDE w:val="0"/>
        <w:autoSpaceDN w:val="0"/>
        <w:adjustRightInd w:val="0"/>
        <w:spacing w:line="360" w:lineRule="auto"/>
        <w:ind w:right="17" w:firstLine="480"/>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团队人员（含项目负责人）数量不少于</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eastAsia="zh-CN"/>
        </w:rPr>
        <w:t>人。</w:t>
      </w:r>
    </w:p>
    <w:p>
      <w:pPr>
        <w:pStyle w:val="33"/>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六、进度计划</w:t>
      </w:r>
    </w:p>
    <w:p>
      <w:pPr>
        <w:pStyle w:val="33"/>
        <w:tabs>
          <w:tab w:val="left" w:pos="720"/>
        </w:tabs>
        <w:autoSpaceDE w:val="0"/>
        <w:autoSpaceDN w:val="0"/>
        <w:adjustRightInd w:val="0"/>
        <w:spacing w:line="360" w:lineRule="auto"/>
        <w:ind w:right="17" w:firstLine="48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本项目总体时间预计8个月。</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3971"/>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时间</w:t>
            </w:r>
          </w:p>
        </w:tc>
        <w:tc>
          <w:tcPr>
            <w:tcW w:w="2332"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主要工作内容</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2025年9月</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至10月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开展MIC相关调研工作，包括政策与标准研究、规范对比分析、文件框架设计、报告编制等。</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《前海MiC发展调研报告》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2025年11月至2026年2月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明确发展目标、实施路径、政策框架及创新机制，完成各章节框架设计及条文编写，形成征求意见稿。</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《前海MiC发展顶层设计》</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2026年3月</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至4月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征求局内外意见，召开局内外会议审议等，收集整理审查意见以及意见答复与条文修改，形成送审稿。</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《前海MiC发展顶层设计》</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1"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2026年4月</w:t>
            </w:r>
          </w:p>
        </w:tc>
        <w:tc>
          <w:tcPr>
            <w:tcW w:w="2332" w:type="pct"/>
            <w:noWrap w:val="0"/>
            <w:vAlign w:val="center"/>
          </w:tcPr>
          <w:p>
            <w:pPr>
              <w:pStyle w:val="33"/>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项目成果文件出台。</w:t>
            </w:r>
          </w:p>
        </w:tc>
        <w:tc>
          <w:tcPr>
            <w:tcW w:w="1705" w:type="pct"/>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《前海MiC发展顶层设计》</w:t>
            </w:r>
          </w:p>
        </w:tc>
      </w:tr>
    </w:tbl>
    <w:p>
      <w:pPr>
        <w:pStyle w:val="33"/>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eastAsia="宋体" w:cs="宋体"/>
          <w:b/>
          <w:color w:val="auto"/>
          <w:sz w:val="24"/>
          <w:highlight w:val="none"/>
          <w:lang w:val="en-US" w:eastAsia="zh-CN"/>
        </w:rPr>
        <w:t>七、</w:t>
      </w:r>
      <w:r>
        <w:rPr>
          <w:rFonts w:hint="eastAsia" w:ascii="宋体" w:hAnsi="宋体" w:cs="宋体"/>
          <w:b/>
          <w:color w:val="auto"/>
          <w:sz w:val="24"/>
          <w:highlight w:val="none"/>
        </w:rPr>
        <w:t>商务要求</w:t>
      </w:r>
    </w:p>
    <w:bookmarkEnd w:id="36"/>
    <w:p>
      <w:pPr>
        <w:spacing w:line="240" w:lineRule="auto"/>
        <w:ind w:firstLine="482" w:firstLineChars="200"/>
        <w:outlineLvl w:val="2"/>
        <w:rPr>
          <w:rFonts w:hint="eastAsia" w:ascii="宋体" w:hAnsi="宋体" w:eastAsia="宋体" w:cs="宋体"/>
          <w:b/>
          <w:bCs/>
          <w:color w:val="auto"/>
          <w:sz w:val="24"/>
          <w:szCs w:val="24"/>
        </w:rPr>
      </w:pPr>
      <w:bookmarkStart w:id="37" w:name="_Toc16195"/>
      <w:bookmarkStart w:id="38" w:name="_Toc6017"/>
      <w:r>
        <w:rPr>
          <w:rFonts w:hint="eastAsia" w:ascii="宋体" w:hAnsi="宋体" w:eastAsia="宋体" w:cs="宋体"/>
          <w:b/>
          <w:bCs/>
          <w:color w:val="auto"/>
          <w:sz w:val="24"/>
          <w:szCs w:val="24"/>
        </w:rPr>
        <w:t>（一）服务期限</w:t>
      </w:r>
      <w:bookmarkEnd w:id="37"/>
      <w:bookmarkEnd w:id="38"/>
    </w:p>
    <w:p>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rPr>
        <w:t>合同签订之日起8个月内。</w:t>
      </w:r>
    </w:p>
    <w:p>
      <w:pPr>
        <w:spacing w:line="240" w:lineRule="auto"/>
        <w:ind w:firstLine="482" w:firstLineChars="200"/>
        <w:outlineLvl w:val="2"/>
        <w:rPr>
          <w:rFonts w:hint="eastAsia" w:ascii="宋体" w:hAnsi="宋体" w:eastAsia="宋体" w:cs="宋体"/>
          <w:b/>
          <w:bCs/>
          <w:color w:val="auto"/>
          <w:sz w:val="24"/>
          <w:szCs w:val="24"/>
        </w:rPr>
      </w:pPr>
      <w:bookmarkStart w:id="39" w:name="_Toc10463"/>
      <w:bookmarkStart w:id="40" w:name="_Toc15471"/>
      <w:r>
        <w:rPr>
          <w:rFonts w:hint="eastAsia" w:ascii="宋体" w:hAnsi="宋体" w:eastAsia="宋体" w:cs="宋体"/>
          <w:b/>
          <w:bCs/>
          <w:color w:val="auto"/>
          <w:sz w:val="24"/>
          <w:szCs w:val="24"/>
        </w:rPr>
        <w:t>（二）服务地点</w:t>
      </w:r>
      <w:bookmarkEnd w:id="39"/>
      <w:bookmarkEnd w:id="40"/>
    </w:p>
    <w:p>
      <w:pPr>
        <w:autoSpaceDE w:val="0"/>
        <w:autoSpaceDN w:val="0"/>
        <w:adjustRightInd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深圳市前海合作区</w:t>
      </w:r>
      <w:r>
        <w:rPr>
          <w:rFonts w:hint="eastAsia" w:ascii="宋体" w:hAnsi="宋体" w:eastAsia="宋体" w:cs="宋体"/>
          <w:color w:val="auto"/>
          <w:sz w:val="24"/>
          <w:szCs w:val="24"/>
        </w:rPr>
        <w:t>。</w:t>
      </w:r>
    </w:p>
    <w:p>
      <w:pPr>
        <w:spacing w:line="240" w:lineRule="auto"/>
        <w:ind w:firstLine="482" w:firstLineChars="200"/>
        <w:outlineLvl w:val="2"/>
        <w:rPr>
          <w:rFonts w:hint="eastAsia" w:ascii="宋体" w:hAnsi="宋体" w:eastAsia="宋体" w:cs="宋体"/>
          <w:b/>
          <w:bCs/>
          <w:color w:val="auto"/>
          <w:sz w:val="24"/>
          <w:szCs w:val="24"/>
        </w:rPr>
      </w:pPr>
      <w:bookmarkStart w:id="41" w:name="_Toc368"/>
      <w:bookmarkStart w:id="42" w:name="_Toc32196"/>
      <w:r>
        <w:rPr>
          <w:rFonts w:hint="eastAsia" w:ascii="宋体" w:hAnsi="宋体" w:eastAsia="宋体" w:cs="宋体"/>
          <w:b/>
          <w:bCs/>
          <w:color w:val="auto"/>
          <w:sz w:val="24"/>
          <w:szCs w:val="24"/>
        </w:rPr>
        <w:t>（三）付款方式</w:t>
      </w:r>
      <w:bookmarkEnd w:id="41"/>
      <w:bookmarkEnd w:id="42"/>
    </w:p>
    <w:p>
      <w:pPr>
        <w:widowControl/>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1.合同金额由</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分2期支付至</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指定银行账户：</w:t>
      </w:r>
    </w:p>
    <w:p>
      <w:pPr>
        <w:widowControl/>
        <w:spacing w:line="24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1.1.第一期：合同签订后，根据</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提出的付款申请，</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在15个工作日内支付合同总额的50%</w:t>
      </w:r>
      <w:r>
        <w:rPr>
          <w:rFonts w:hint="eastAsia" w:ascii="宋体" w:hAnsi="宋体" w:eastAsia="宋体" w:cs="宋体"/>
          <w:color w:val="auto"/>
          <w:sz w:val="24"/>
          <w:szCs w:val="24"/>
          <w:lang w:eastAsia="zh-CN"/>
        </w:rPr>
        <w:t>；</w:t>
      </w:r>
    </w:p>
    <w:p>
      <w:pPr>
        <w:widowControl/>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1.2.第二期：在</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提交通过审查的成果《前海MiC发展顶层设计》（送审稿）后，根据</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提出的付款申请，</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在15个工作日内支付合同总额的50%。</w:t>
      </w:r>
    </w:p>
    <w:p>
      <w:pPr>
        <w:widowControl/>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1.3.上述每期款项均在满足付款条件，且</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收到</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开具的载明相应金额的合格发票后15个工作日内付至</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指定银行账户。如未及时收到发票，则</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相应付款时间顺延。因</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付款审批影响支付进度，请</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予以谅解，并不得就此向</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索赔。</w:t>
      </w:r>
    </w:p>
    <w:p>
      <w:pPr>
        <w:spacing w:line="240" w:lineRule="auto"/>
        <w:ind w:firstLine="482" w:firstLineChars="200"/>
        <w:outlineLvl w:val="2"/>
        <w:rPr>
          <w:rFonts w:hint="eastAsia" w:ascii="宋体" w:hAnsi="宋体" w:eastAsia="宋体" w:cs="宋体"/>
          <w:b/>
          <w:sz w:val="24"/>
          <w:szCs w:val="24"/>
        </w:rPr>
      </w:pPr>
      <w:bookmarkStart w:id="43" w:name="_Toc16091"/>
      <w:bookmarkStart w:id="44" w:name="_Toc16130"/>
      <w:r>
        <w:rPr>
          <w:rFonts w:hint="eastAsia" w:ascii="宋体" w:hAnsi="宋体" w:eastAsia="宋体" w:cs="宋体"/>
          <w:b/>
          <w:sz w:val="24"/>
          <w:szCs w:val="24"/>
        </w:rPr>
        <w:t>（四）投标报价</w:t>
      </w:r>
      <w:bookmarkEnd w:id="43"/>
      <w:bookmarkEnd w:id="44"/>
    </w:p>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1.本项目服务费采用包干制，应包括专业服务费、法定税费、企业的利润和驻场人员办公场地费用等为完成本项目服务所发生的全部相关费用。本项目总价包括但不限于差旅费、住宿费、餐费、交通费、资料费、调研费、通信费、税费等相关费用及后期费用；由企业根据招标文件所提供的资料自行测算投标报价；一经中标，投标报价总价作为中标单位与采购人</w:t>
      </w:r>
      <w:r>
        <w:rPr>
          <w:rFonts w:hint="eastAsia" w:ascii="宋体" w:hAnsi="宋体" w:cs="宋体"/>
          <w:sz w:val="24"/>
          <w:szCs w:val="24"/>
          <w:lang w:eastAsia="zh-CN"/>
        </w:rPr>
        <w:t>签订</w:t>
      </w:r>
      <w:r>
        <w:rPr>
          <w:rFonts w:hint="eastAsia" w:ascii="宋体" w:hAnsi="宋体" w:eastAsia="宋体" w:cs="宋体"/>
          <w:sz w:val="24"/>
          <w:szCs w:val="24"/>
        </w:rPr>
        <w:t>的合同金额，不随因采购人建设需求导致的设备数量增加或通货膨胀的影响而波动。</w:t>
      </w:r>
    </w:p>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投标人的投标报价，应是本项目招标范围和招标文件及合同条款上所列的各项内容中所述的全部，不得以任何理由予以重复，并以投标人在投标文件中提出的综合单价或总价为依据。</w:t>
      </w:r>
    </w:p>
    <w:p>
      <w:pPr>
        <w:pStyle w:val="6"/>
        <w:spacing w:line="24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投标人应充分了解项目的位置、情况、道路及任何其他足以影响投标报价的情况，任何因忽视或误解项目情况而导致的索赔或服务期限延长申请将不获批准。</w:t>
      </w:r>
    </w:p>
    <w:p>
      <w:pPr>
        <w:pStyle w:val="6"/>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spacing w:line="240" w:lineRule="auto"/>
        <w:ind w:firstLine="482" w:firstLineChars="200"/>
        <w:outlineLvl w:val="2"/>
        <w:rPr>
          <w:rFonts w:hint="eastAsia" w:ascii="宋体" w:hAnsi="宋体" w:eastAsia="宋体" w:cs="宋体"/>
          <w:b/>
          <w:bCs/>
          <w:sz w:val="24"/>
          <w:szCs w:val="24"/>
        </w:rPr>
      </w:pPr>
      <w:bookmarkStart w:id="45" w:name="_Toc7539"/>
      <w:bookmarkStart w:id="46" w:name="_Toc10430"/>
      <w:r>
        <w:rPr>
          <w:rFonts w:hint="eastAsia" w:ascii="宋体" w:hAnsi="宋体" w:eastAsia="宋体" w:cs="宋体"/>
          <w:b/>
          <w:bCs/>
          <w:sz w:val="24"/>
          <w:szCs w:val="24"/>
        </w:rPr>
        <w:t>（五）知识产权</w:t>
      </w:r>
      <w:bookmarkEnd w:id="45"/>
      <w:bookmarkEnd w:id="46"/>
    </w:p>
    <w:p>
      <w:pPr>
        <w:pStyle w:val="2"/>
        <w:spacing w:after="0" w:line="24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1.本项目全部阶段性成果和最终成果的所有权、知识产权以及与之相关的所有权利归采购方</w:t>
      </w:r>
      <w:r>
        <w:rPr>
          <w:rFonts w:hint="eastAsia" w:ascii="宋体" w:hAnsi="宋体" w:cs="宋体"/>
          <w:b w:val="0"/>
          <w:bCs w:val="0"/>
          <w:kern w:val="2"/>
          <w:sz w:val="24"/>
          <w:szCs w:val="24"/>
          <w:lang w:val="en-US" w:eastAsia="zh-CN" w:bidi="ar-SA"/>
        </w:rPr>
        <w:t>和中标单位共同</w:t>
      </w:r>
      <w:r>
        <w:rPr>
          <w:rFonts w:hint="eastAsia" w:ascii="宋体" w:hAnsi="宋体" w:eastAsia="宋体" w:cs="宋体"/>
          <w:b w:val="0"/>
          <w:bCs w:val="0"/>
          <w:kern w:val="2"/>
          <w:sz w:val="24"/>
          <w:szCs w:val="24"/>
          <w:lang w:val="en-US" w:eastAsia="zh-CN" w:bidi="ar-SA"/>
        </w:rPr>
        <w:t>所有。</w:t>
      </w:r>
    </w:p>
    <w:p>
      <w:pPr>
        <w:pStyle w:val="2"/>
        <w:spacing w:after="0" w:line="24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2.双方确定，采购方有权利用中标单位按照本合同约定提供的成果，进行后续改进。由此产生的具有实质性或创造性技术进步特征的新的技术成果及其权利归属，全部由采购方</w:t>
      </w:r>
      <w:r>
        <w:rPr>
          <w:rFonts w:hint="eastAsia" w:ascii="宋体" w:hAnsi="宋体" w:cs="宋体"/>
          <w:b w:val="0"/>
          <w:bCs w:val="0"/>
          <w:kern w:val="2"/>
          <w:sz w:val="24"/>
          <w:szCs w:val="24"/>
          <w:lang w:val="en-US" w:eastAsia="zh-CN" w:bidi="ar-SA"/>
        </w:rPr>
        <w:t>和中标单位共同</w:t>
      </w:r>
      <w:r>
        <w:rPr>
          <w:rFonts w:hint="eastAsia" w:ascii="宋体" w:hAnsi="宋体" w:eastAsia="宋体" w:cs="宋体"/>
          <w:b w:val="0"/>
          <w:bCs w:val="0"/>
          <w:kern w:val="2"/>
          <w:sz w:val="24"/>
          <w:szCs w:val="24"/>
          <w:lang w:val="en-US" w:eastAsia="zh-CN" w:bidi="ar-SA"/>
        </w:rPr>
        <w:t>享有。</w:t>
      </w:r>
    </w:p>
    <w:p>
      <w:pPr>
        <w:pStyle w:val="2"/>
        <w:spacing w:after="0" w:line="24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中标单位所提交的全部阶段性成果和最终成果文件及任何数据、资料、软件等不得侵犯任何第三方的知识产权或其他权利，由于该文件、数据、资料、软件侵权所导致的任何索赔或责任均由中标单位承担。同时，采购方有权要求中标单位修改成果至不侵权或解除合同，并保留要求中标单位赔偿全部损失的权利，包括但不限于上述索赔或责任所产生的诉讼费用、合理的律师费用、鉴定评估费用、调查费用、和解金额或生效法律文书中规定的赔偿金额。</w:t>
      </w:r>
    </w:p>
    <w:p>
      <w:pPr>
        <w:pStyle w:val="2"/>
        <w:spacing w:after="0" w:line="24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未经采购方书面在先同意，中标单位不得将本项目的阶段性成果和/或最终成果文件及任何数据、资料、软件向任何第三方转让、授权任何第三方使用或用于本合同项目外的其他项目。如发生以上情况，中标单位应向采购方支付本合同总价款20%的违约金，如果违约金无法弥补采购方的损失，采购方有权要求中标单位赔偿全部损失，包括但不限于上述索赔或责任所产生的诉讼费用、合理的律师费用、鉴定评估费用、调查费用、和解金额或生效法律文书中规定的赔偿金额。</w:t>
      </w:r>
    </w:p>
    <w:p>
      <w:pPr>
        <w:pStyle w:val="2"/>
        <w:spacing w:after="0" w:line="24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5.中标单位完成本合同项目的研究开发人员享有在有关成果文件上写明成果完成者的权利和与采购方共同获得有关荣誉证书、奖励的权利。</w:t>
      </w:r>
    </w:p>
    <w:p>
      <w:pPr>
        <w:spacing w:line="240" w:lineRule="auto"/>
        <w:ind w:firstLine="482" w:firstLineChars="200"/>
        <w:outlineLvl w:val="2"/>
        <w:rPr>
          <w:rFonts w:hint="eastAsia" w:ascii="宋体" w:hAnsi="宋体" w:eastAsia="宋体" w:cs="宋体"/>
          <w:b/>
          <w:bCs/>
          <w:sz w:val="24"/>
          <w:szCs w:val="24"/>
        </w:rPr>
      </w:pPr>
      <w:bookmarkStart w:id="47" w:name="_Toc14469"/>
      <w:bookmarkStart w:id="48" w:name="_Toc27553"/>
      <w:r>
        <w:rPr>
          <w:rFonts w:hint="eastAsia" w:ascii="宋体" w:hAnsi="宋体" w:eastAsia="宋体" w:cs="宋体"/>
          <w:b/>
          <w:bCs/>
          <w:sz w:val="24"/>
          <w:szCs w:val="24"/>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）违约责任</w:t>
      </w:r>
      <w:bookmarkEnd w:id="47"/>
      <w:bookmarkEnd w:id="48"/>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1.因中标单位原因，未能按规定时间完成有关工作的，每延误一天，采购方自尚未支付的合同款项中扣除合同服务总金额的5‰的逾期违约金。</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2.如中标单位提供的服务或成果不符合质量要求，必须在采购方提出要求后7个日历日内无条件修改，其费用由中标单位承担。</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3.本合同履行期间，发生下述情形时，采购方有权解除本合同，中标单位除应退还采购方已支付的全部款项外</w:t>
      </w:r>
      <w:r>
        <w:rPr>
          <w:rFonts w:hint="eastAsia" w:ascii="宋体" w:hAnsi="宋体" w:cs="宋体"/>
          <w:b w:val="0"/>
          <w:bCs w:val="0"/>
          <w:kern w:val="2"/>
          <w:sz w:val="24"/>
          <w:szCs w:val="24"/>
          <w:lang w:eastAsia="zh-CN"/>
        </w:rPr>
        <w:t>，</w:t>
      </w:r>
      <w:r>
        <w:rPr>
          <w:rFonts w:hint="eastAsia" w:ascii="宋体" w:hAnsi="宋体" w:eastAsia="宋体" w:cs="宋体"/>
          <w:b w:val="0"/>
          <w:bCs w:val="0"/>
          <w:kern w:val="2"/>
          <w:sz w:val="24"/>
          <w:szCs w:val="24"/>
        </w:rPr>
        <w:t>还应在合同解除通知发出之日起10日内向采购方支付合同总价款20%的违约金。中标单位应同时将已完成的项目成果移交给采购方，并将全部有关资料退还采购方：</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(1)因中标单位工作的错误或遗漏造成成果质量不符合本合同要求，且中标单位未按采购方要求采取及时有效的补救措施的；</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(2)中标单位未能按合同约定的日期(含协商延缓的日期)提交工作成果，延误时间超过30个工作日；或中标单位虽如期提交阶段性成果和最终成果，但最终成果连续二次未能通过验收的；</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(3)发现中标单位或中标单位工作人员出现全部或部分丧失履行委托服务能力的情况，采购方有权通知中标单位限期整改或更换工作人员，期限届满中标单位并未进行改善的；</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(4)未经采购单位书面在先同意，中标单位擅自将本合同项目与任何第三方合作，或将本合同标的全部或部分擅自转包给任何第三方，且未按采购单位的要求终止与第三方的合同的；</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（5）中标单位明确表示或者以自己的行为表明不履行本合同的。</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4.除因审批流程及财政部门预算下达延误影响采购方支出进度外，如采购方未按照本合同约定的时间支付服务费，中标单位书面催告采购方并给予不少于15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10%的违约金。 </w:t>
      </w:r>
    </w:p>
    <w:p>
      <w:pPr>
        <w:pStyle w:val="2"/>
        <w:spacing w:after="0" w:line="240" w:lineRule="auto"/>
        <w:ind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5.上述违约责任各自独立且可累加。如本合同所约定的违约金无法弥补因违约行为所造成的损失，违约方应补偿上述不足部分的损失，包括但不限于前述责任所产生的诉讼费用、合理的律师费用、鉴定评估费用、调查费用、和解金额或生效法律文书中规定的赔偿金额。</w:t>
      </w:r>
    </w:p>
    <w:p>
      <w:pPr>
        <w:spacing w:line="240" w:lineRule="auto"/>
        <w:ind w:firstLine="482" w:firstLineChars="200"/>
        <w:outlineLvl w:val="2"/>
        <w:rPr>
          <w:rFonts w:hint="eastAsia" w:ascii="宋体" w:hAnsi="宋体" w:eastAsia="宋体" w:cs="宋体"/>
          <w:b/>
          <w:bCs/>
          <w:sz w:val="24"/>
          <w:szCs w:val="24"/>
        </w:rPr>
      </w:pPr>
      <w:bookmarkStart w:id="49" w:name="_Toc11364"/>
      <w:bookmarkStart w:id="50" w:name="_Toc31814"/>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）保密条款</w:t>
      </w:r>
      <w:bookmarkEnd w:id="49"/>
      <w:bookmarkEnd w:id="50"/>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中标单位应以保密方式处理在编制本项目成果文件过程中自采购方、采购方工作人员或采购方关联机构获得的相关信息、资料、图纸、数据等，或由采购方在履行本合同过程中明确指明为秘密的任何信息，以及中标单位因本项目工作内容所直接或间接取得、处理或接触的任何其他资料。未经采购方书面在先同意，中标单位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3.中标单位实施项目的程序应符合国家安全、保密的有关规定和标准。</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4.上述保密义务不适用以下情况：</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（1）获取的信息已被合法公开；</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（2）获得信息拥有方书面许可并在该许可范围内披露；</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（3）国家法律、法规规定的情形。</w:t>
      </w:r>
    </w:p>
    <w:p>
      <w:pPr>
        <w:autoSpaceDE w:val="0"/>
        <w:autoSpaceDN w:val="0"/>
        <w:adjustRightIn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如中标单位违反上述保密条款，采购方有权解除本合同，中标单位应在合同解除通知发出之日起10日内向采购方支付本合同服务费总金额20%的违约金，如果违约金无法弥补采购人损失，采购人保留要求中标单位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jc w:val="left"/>
        <w:rPr>
          <w:rFonts w:ascii="宋体" w:hAnsi="宋体" w:cs="宋体"/>
          <w:color w:val="auto"/>
          <w:sz w:val="24"/>
          <w:szCs w:val="24"/>
          <w:highlight w:val="none"/>
        </w:rPr>
      </w:pPr>
      <w:r>
        <w:rPr>
          <w:rFonts w:hint="eastAsia" w:ascii="宋体" w:hAnsi="宋体" w:eastAsia="宋体" w:cs="宋体"/>
          <w:sz w:val="24"/>
          <w:szCs w:val="24"/>
        </w:rPr>
        <w:t>6.无论本项目其他条款是否有效，本保密条款始终约束双方。国家秘密的保密期限由国家有关部门确定，工作秘密的保密期限由采购人确定。</w:t>
      </w:r>
    </w:p>
    <w:p>
      <w:pPr>
        <w:numPr>
          <w:ilvl w:val="0"/>
          <w:numId w:val="1"/>
        </w:numPr>
        <w:spacing w:line="360" w:lineRule="auto"/>
        <w:jc w:val="center"/>
        <w:outlineLvl w:val="0"/>
        <w:rPr>
          <w:rFonts w:hint="eastAsia" w:ascii="宋体" w:hAnsi="宋体" w:eastAsia="宋体" w:cs="宋体"/>
          <w:b/>
          <w:bCs/>
          <w:color w:val="auto"/>
          <w:sz w:val="24"/>
          <w:highlight w:val="none"/>
        </w:rPr>
      </w:pPr>
      <w:r>
        <w:rPr>
          <w:rFonts w:hint="eastAsia" w:ascii="宋体" w:hAnsi="宋体" w:cs="宋体"/>
          <w:color w:val="auto"/>
          <w:sz w:val="24"/>
          <w:highlight w:val="none"/>
        </w:rPr>
        <w:br w:type="page"/>
      </w:r>
      <w:bookmarkStart w:id="51" w:name="_Toc23822"/>
      <w:bookmarkStart w:id="52" w:name="_Toc10061"/>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投标文件初审及招标项目评分表</w:t>
      </w:r>
      <w:bookmarkEnd w:id="51"/>
      <w:bookmarkEnd w:id="52"/>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投标文件初审表（不可偏离条款）</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7108"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7108" w:type="dxa"/>
            <w:noWrap w:val="0"/>
            <w:vAlign w:val="center"/>
          </w:tcPr>
          <w:p>
            <w:pPr>
              <w:spacing w:line="360" w:lineRule="auto"/>
              <w:rPr>
                <w:rFonts w:ascii="宋体" w:hAnsi="宋体" w:cs="宋体"/>
                <w:b/>
                <w:bCs/>
                <w:color w:val="auto"/>
                <w:sz w:val="24"/>
                <w:highlight w:val="none"/>
              </w:rPr>
            </w:pPr>
            <w:r>
              <w:rPr>
                <w:rFonts w:hint="eastAsia" w:ascii="宋体" w:hAnsi="宋体" w:cs="宋体"/>
                <w:color w:val="auto"/>
                <w:sz w:val="24"/>
                <w:highlight w:val="none"/>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未出现“所投货物或工程或服务在质量、技术、方案等方面没有实质性满足招标文件要求”的情形</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7108" w:type="dxa"/>
            <w:noWrap w:val="0"/>
            <w:vAlign w:val="center"/>
          </w:tcPr>
          <w:p>
            <w:pPr>
              <w:pStyle w:val="16"/>
              <w:spacing w:before="0" w:after="0" w:line="240" w:lineRule="auto"/>
              <w:jc w:val="left"/>
              <w:outlineLvl w:val="2"/>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报价合理性审查</w:t>
            </w:r>
          </w:p>
          <w:p>
            <w:pPr>
              <w:pStyle w:val="16"/>
              <w:spacing w:before="0" w:after="0" w:line="240" w:lineRule="auto"/>
              <w:jc w:val="left"/>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pStyle w:val="16"/>
              <w:spacing w:before="0" w:after="0" w:line="240" w:lineRule="auto"/>
              <w:jc w:val="left"/>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（一）投标（响应）报价低于全部通过符合性审查供应商投标（响应）报价平均值50%的，即投标（响应）报价&lt;全部通过符合性审查供应商投标（响应）报价平均值×50%；</w:t>
            </w:r>
          </w:p>
          <w:p>
            <w:pPr>
              <w:pStyle w:val="16"/>
              <w:spacing w:before="0" w:after="0" w:line="240" w:lineRule="auto"/>
              <w:jc w:val="left"/>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（二）投标（响应）报价低于通过符合性审查且报价次低供应商投标（响应）报价50%的，即投标（响应）报价&lt;通过符合性审查且报价次低供应商投标（响应）报价×50%；</w:t>
            </w:r>
          </w:p>
          <w:p>
            <w:pPr>
              <w:pStyle w:val="16"/>
              <w:spacing w:before="0" w:after="0" w:line="240" w:lineRule="auto"/>
              <w:jc w:val="left"/>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（三）投标（响应）报价低于采购项目最高限价45%的，即投标（响应）报价&lt;采购项目最高限价×45%；</w:t>
            </w:r>
          </w:p>
          <w:p>
            <w:pPr>
              <w:pStyle w:val="16"/>
              <w:spacing w:before="0" w:after="0" w:line="240" w:lineRule="auto"/>
              <w:jc w:val="left"/>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（四）其他评审委员会认为供应商报价过低，有可能影响产品质量或者不能诚信履约的情形。</w:t>
            </w:r>
          </w:p>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7108"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未出现法律、法规规定的其他情形</w:t>
            </w:r>
          </w:p>
        </w:tc>
      </w:tr>
    </w:tbl>
    <w:p>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bookmarkStart w:id="53" w:name="_Toc9548"/>
      <w:bookmarkStart w:id="54" w:name="_Hlk28269117"/>
      <w:r>
        <w:rPr>
          <w:rFonts w:hint="eastAsia" w:ascii="宋体" w:hAnsi="宋体" w:cs="宋体"/>
          <w:b/>
          <w:bCs/>
          <w:color w:val="auto"/>
          <w:sz w:val="24"/>
          <w:highlight w:val="none"/>
        </w:rPr>
        <w:t>招标项目评分表</w:t>
      </w:r>
    </w:p>
    <w:tbl>
      <w:tblPr>
        <w:tblStyle w:val="18"/>
        <w:tblW w:w="86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135"/>
        <w:gridCol w:w="750"/>
        <w:gridCol w:w="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noWrap w:val="0"/>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bookmarkStart w:id="55" w:name="OLE_LINK24"/>
            <w:r>
              <w:rPr>
                <w:rFonts w:hint="eastAsia" w:ascii="宋体" w:hAnsi="宋体" w:eastAsia="宋体" w:cs="宋体"/>
                <w:b/>
                <w:color w:val="auto"/>
                <w:sz w:val="24"/>
                <w:szCs w:val="24"/>
                <w:highlight w:val="none"/>
                <w:lang w:val="zh-CN"/>
              </w:rPr>
              <w:t>一、价格部分（</w:t>
            </w:r>
            <w:r>
              <w:rPr>
                <w:rFonts w:hint="eastAsia" w:ascii="宋体" w:hAnsi="宋体" w:eastAsia="宋体" w:cs="宋体"/>
                <w:b/>
                <w:color w:val="auto"/>
                <w:sz w:val="24"/>
                <w:szCs w:val="24"/>
                <w:highlight w:val="none"/>
              </w:rPr>
              <w:t>10</w:t>
            </w:r>
            <w:r>
              <w:rPr>
                <w:rFonts w:hint="eastAsia" w:ascii="宋体" w:hAnsi="宋体" w:eastAsia="宋体" w:cs="宋体"/>
                <w:b/>
                <w:color w:val="auto"/>
                <w:sz w:val="24"/>
                <w:szCs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内容</w:t>
            </w:r>
          </w:p>
        </w:tc>
        <w:tc>
          <w:tcPr>
            <w:tcW w:w="5135"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评分规则</w:t>
            </w:r>
          </w:p>
        </w:tc>
        <w:tc>
          <w:tcPr>
            <w:tcW w:w="7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权重</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投标报价</w:t>
            </w:r>
          </w:p>
        </w:tc>
        <w:tc>
          <w:tcPr>
            <w:tcW w:w="5135" w:type="dxa"/>
            <w:noWrap w:val="0"/>
            <w:vAlign w:val="center"/>
          </w:tcPr>
          <w:p>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采用低价优先法计算，即满足招标文件要求且投标价格最低的投标报价为评标基准价，其价格分为满分。其他投标人的价格分统一按照下列公式计算：</w:t>
            </w:r>
          </w:p>
          <w:p>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投标报价得分=(评标基准价／投标报价)×10</w:t>
            </w:r>
          </w:p>
          <w:p>
            <w:pPr>
              <w:numPr>
                <w:ilvl w:val="0"/>
                <w:numId w:val="5"/>
              </w:numPr>
              <w:spacing w:line="360" w:lineRule="auto"/>
              <w:ind w:left="250" w:hanging="249" w:hangingChars="10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价格评分仅限于有效投标人，</w:t>
            </w:r>
            <w:r>
              <w:rPr>
                <w:rFonts w:hint="eastAsia" w:ascii="宋体" w:hAnsi="宋体" w:eastAsia="宋体" w:cs="宋体"/>
                <w:color w:val="auto"/>
                <w:sz w:val="24"/>
                <w:szCs w:val="24"/>
                <w:highlight w:val="none"/>
              </w:rPr>
              <w:t>当价格分&lt;0时，取0。</w:t>
            </w:r>
          </w:p>
          <w:p>
            <w:pPr>
              <w:numPr>
                <w:ilvl w:val="0"/>
                <w:numId w:val="5"/>
              </w:numPr>
              <w:spacing w:line="360" w:lineRule="auto"/>
              <w:ind w:left="0" w:hanging="9"/>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根据财库〔2020〕46号、财库〔2014〕68号及财库〔2017〕141号及（深财购〔2022〕31号）文件规定：</w:t>
            </w:r>
            <w:r>
              <w:rPr>
                <w:rFonts w:hint="eastAsia" w:ascii="宋体" w:hAnsi="宋体" w:eastAsia="宋体" w:cs="宋体"/>
                <w:b/>
                <w:color w:val="auto"/>
                <w:sz w:val="24"/>
                <w:szCs w:val="24"/>
                <w:highlight w:val="none"/>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监狱企业应当提供由省级以上监狱管理局、戒毒管理局（含新疆生产建设兵团）出具的属于监狱企业的证明文件，中小企业提供中小企业声明函，残疾人福利性企业提供残疾人福利性企业声明函。</w:t>
            </w:r>
          </w:p>
        </w:tc>
        <w:tc>
          <w:tcPr>
            <w:tcW w:w="7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611" w:type="dxa"/>
            <w:gridSpan w:val="5"/>
            <w:shd w:val="clear" w:color="auto" w:fill="D9D9D9"/>
            <w:noWrap w:val="0"/>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二、商务部分（</w:t>
            </w:r>
            <w:r>
              <w:rPr>
                <w:rFonts w:hint="eastAsia" w:ascii="宋体" w:hAnsi="宋体" w:cs="宋体"/>
                <w:b/>
                <w:bCs/>
                <w:color w:val="auto"/>
                <w:kern w:val="0"/>
                <w:sz w:val="24"/>
                <w:szCs w:val="24"/>
                <w:highlight w:val="none"/>
                <w:lang w:val="en-US" w:eastAsia="zh-CN" w:bidi="ar"/>
              </w:rPr>
              <w:t>40</w:t>
            </w:r>
            <w:r>
              <w:rPr>
                <w:rFonts w:hint="eastAsia" w:ascii="宋体" w:hAnsi="宋体" w:eastAsia="宋体" w:cs="宋体"/>
                <w:b/>
                <w:color w:val="auto"/>
                <w:sz w:val="24"/>
                <w:szCs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内容</w:t>
            </w:r>
          </w:p>
        </w:tc>
        <w:tc>
          <w:tcPr>
            <w:tcW w:w="5135"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评分规则</w:t>
            </w:r>
          </w:p>
        </w:tc>
        <w:tc>
          <w:tcPr>
            <w:tcW w:w="7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权重</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bookmarkStart w:id="56" w:name="OLE_LINK28" w:colFirst="1" w:colLast="1"/>
            <w:r>
              <w:rPr>
                <w:rFonts w:hint="eastAsia" w:ascii="宋体" w:hAnsi="宋体" w:eastAsia="宋体" w:cs="宋体"/>
                <w:color w:val="auto"/>
                <w:sz w:val="24"/>
                <w:szCs w:val="24"/>
                <w:highlight w:val="none"/>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val="en-US" w:eastAsia="zh-CN"/>
              </w:rPr>
              <w:t>情况</w:t>
            </w:r>
          </w:p>
        </w:tc>
        <w:tc>
          <w:tcPr>
            <w:tcW w:w="5135" w:type="dxa"/>
            <w:noWrap w:val="0"/>
            <w:vAlign w:val="top"/>
          </w:tcPr>
          <w:p>
            <w:pPr>
              <w:keepNext w:val="0"/>
              <w:keepLines w:val="0"/>
              <w:suppressLineNumbers w:val="0"/>
              <w:wordWrap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(一)评分内容：</w:t>
            </w:r>
          </w:p>
          <w:p>
            <w:pPr>
              <w:keepNext w:val="0"/>
              <w:keepLines w:val="0"/>
              <w:pageBreakBefore w:val="0"/>
              <w:widowControl w:val="0"/>
              <w:suppressLineNumbers w:val="0"/>
              <w:kinsoku/>
              <w:overflowPunct/>
              <w:topLinePunct w:val="0"/>
              <w:autoSpaceDE w:val="0"/>
              <w:autoSpaceDN w:val="0"/>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项目负责人需为投标人自有员工，否则该项不得分</w:t>
            </w:r>
            <w:r>
              <w:rPr>
                <w:rFonts w:hint="eastAsia" w:ascii="宋体" w:hAnsi="宋体" w:eastAsia="宋体" w:cs="宋体"/>
                <w:color w:val="auto"/>
                <w:sz w:val="24"/>
                <w:szCs w:val="24"/>
                <w:lang w:eastAsia="zh-CN"/>
              </w:rPr>
              <w:t>：</w:t>
            </w:r>
          </w:p>
          <w:p>
            <w:pPr>
              <w:keepNext w:val="0"/>
              <w:keepLines w:val="0"/>
              <w:pageBreakBefore w:val="0"/>
              <w:widowControl w:val="0"/>
              <w:suppressLineNumbers w:val="0"/>
              <w:kinsoku/>
              <w:overflowPunct/>
              <w:topLinePunct w:val="0"/>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（1）具备</w:t>
            </w:r>
            <w:r>
              <w:rPr>
                <w:rFonts w:hint="eastAsia" w:ascii="宋体" w:hAnsi="宋体" w:eastAsia="宋体" w:cs="宋体"/>
                <w:color w:val="auto"/>
                <w:sz w:val="24"/>
                <w:szCs w:val="24"/>
                <w:lang w:val="en-US" w:eastAsia="zh-CN"/>
              </w:rPr>
              <w:t>博士</w:t>
            </w:r>
            <w:r>
              <w:rPr>
                <w:rFonts w:hint="eastAsia" w:ascii="宋体" w:hAnsi="宋体" w:eastAsia="宋体" w:cs="宋体"/>
                <w:color w:val="auto"/>
                <w:sz w:val="24"/>
                <w:szCs w:val="24"/>
              </w:rPr>
              <w:t>研究生学历，得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widowControl w:val="0"/>
              <w:suppressLineNumbers w:val="0"/>
              <w:kinsoku/>
              <w:wordWrap w:val="0"/>
              <w:overflowPunct/>
              <w:topLinePunct w:val="0"/>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w:t>
            </w:r>
            <w:r>
              <w:rPr>
                <w:rFonts w:hint="eastAsia" w:ascii="宋体" w:hAnsi="宋体" w:eastAsia="宋体" w:cs="宋体"/>
                <w:b/>
                <w:bCs/>
                <w:color w:val="auto"/>
                <w:sz w:val="24"/>
                <w:szCs w:val="24"/>
              </w:rPr>
              <w:t>建设工程</w:t>
            </w:r>
            <w:r>
              <w:rPr>
                <w:rFonts w:hint="eastAsia" w:ascii="宋体" w:hAnsi="宋体" w:eastAsia="宋体" w:cs="宋体"/>
                <w:color w:val="auto"/>
                <w:sz w:val="24"/>
                <w:szCs w:val="24"/>
              </w:rPr>
              <w:t>相关</w:t>
            </w:r>
            <w:r>
              <w:rPr>
                <w:rFonts w:hint="eastAsia" w:ascii="宋体" w:hAnsi="宋体" w:eastAsia="宋体" w:cs="宋体"/>
                <w:color w:val="auto"/>
                <w:sz w:val="24"/>
                <w:szCs w:val="24"/>
                <w:lang w:val="en-US" w:eastAsia="zh-CN"/>
              </w:rPr>
              <w:t>领域</w:t>
            </w:r>
            <w:r>
              <w:rPr>
                <w:rFonts w:hint="eastAsia" w:ascii="宋体" w:hAnsi="宋体" w:eastAsia="宋体" w:cs="宋体"/>
                <w:color w:val="auto"/>
                <w:sz w:val="24"/>
                <w:szCs w:val="24"/>
                <w:lang w:eastAsia="zh-CN"/>
              </w:rPr>
              <w:t>正高级</w:t>
            </w:r>
            <w:r>
              <w:rPr>
                <w:rFonts w:hint="eastAsia" w:ascii="宋体" w:hAnsi="宋体" w:eastAsia="宋体" w:cs="宋体"/>
                <w:color w:val="auto"/>
                <w:sz w:val="24"/>
                <w:szCs w:val="24"/>
              </w:rPr>
              <w:t>或以上职称</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pPr>
              <w:pStyle w:val="2"/>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具备同类模块组合建造（MiC）项目相关咨询或顾问</w:t>
            </w:r>
            <w:r>
              <w:rPr>
                <w:rFonts w:hint="eastAsia" w:ascii="宋体" w:hAnsi="宋体" w:cs="宋体"/>
                <w:b w:val="0"/>
                <w:bCs w:val="0"/>
                <w:color w:val="auto"/>
                <w:sz w:val="24"/>
                <w:szCs w:val="24"/>
                <w:lang w:val="en-US" w:eastAsia="zh-CN"/>
              </w:rPr>
              <w:t>或科研</w:t>
            </w:r>
            <w:r>
              <w:rPr>
                <w:rFonts w:hint="eastAsia" w:ascii="宋体" w:hAnsi="宋体" w:eastAsia="宋体" w:cs="宋体"/>
                <w:b w:val="0"/>
                <w:bCs w:val="0"/>
                <w:color w:val="auto"/>
                <w:sz w:val="24"/>
                <w:szCs w:val="24"/>
                <w:lang w:val="en-US" w:eastAsia="zh-CN"/>
              </w:rPr>
              <w:t>项目经验的，每提供一项得</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分，本小项最高得</w:t>
            </w: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分。</w:t>
            </w:r>
          </w:p>
          <w:p>
            <w:pPr>
              <w:pStyle w:val="2"/>
              <w:keepNext w:val="0"/>
              <w:keepLines w:val="0"/>
              <w:pageBreakBefore w:val="0"/>
              <w:widowControl w:val="0"/>
              <w:kinsoku/>
              <w:overflowPunct/>
              <w:topLinePunct w:val="0"/>
              <w:bidi w:val="0"/>
              <w:adjustRightInd/>
              <w:snapToGrid/>
              <w:spacing w:line="240" w:lineRule="auto"/>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（4）发布过</w:t>
            </w:r>
            <w:r>
              <w:rPr>
                <w:rFonts w:hint="eastAsia" w:ascii="宋体" w:hAnsi="宋体" w:eastAsia="宋体" w:cs="宋体"/>
                <w:b w:val="0"/>
                <w:bCs w:val="0"/>
                <w:color w:val="auto"/>
                <w:sz w:val="24"/>
                <w:szCs w:val="24"/>
                <w:lang w:val="en-US" w:eastAsia="zh-CN"/>
              </w:rPr>
              <w:t>MiC</w:t>
            </w:r>
            <w:r>
              <w:rPr>
                <w:rFonts w:hint="eastAsia" w:ascii="宋体" w:hAnsi="宋体" w:cs="宋体"/>
                <w:b w:val="0"/>
                <w:bCs w:val="0"/>
                <w:color w:val="auto"/>
                <w:sz w:val="24"/>
                <w:szCs w:val="24"/>
                <w:lang w:val="en-US" w:eastAsia="zh-CN"/>
              </w:rPr>
              <w:t>相关书籍出版物的，每个得1分，</w:t>
            </w:r>
            <w:r>
              <w:rPr>
                <w:rFonts w:hint="eastAsia" w:ascii="宋体" w:hAnsi="宋体" w:eastAsia="宋体" w:cs="宋体"/>
                <w:b w:val="0"/>
                <w:bCs w:val="0"/>
                <w:color w:val="auto"/>
                <w:sz w:val="24"/>
                <w:szCs w:val="24"/>
                <w:lang w:val="en-US" w:eastAsia="zh-CN"/>
              </w:rPr>
              <w:t>本小项最高得</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分。</w:t>
            </w:r>
          </w:p>
          <w:p>
            <w:pPr>
              <w:pStyle w:val="2"/>
              <w:keepNext w:val="0"/>
              <w:keepLines w:val="0"/>
              <w:pageBreakBefore w:val="0"/>
              <w:widowControl w:val="0"/>
              <w:kinsoku/>
              <w:overflowPunct/>
              <w:topLinePunct w:val="0"/>
              <w:bidi w:val="0"/>
              <w:adjustRightInd/>
              <w:snapToGrid/>
              <w:spacing w:line="240" w:lineRule="auto"/>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（5）具备</w:t>
            </w:r>
            <w:r>
              <w:rPr>
                <w:rFonts w:hint="eastAsia" w:ascii="宋体" w:hAnsi="宋体" w:eastAsia="宋体" w:cs="宋体"/>
                <w:b w:val="0"/>
                <w:bCs w:val="0"/>
                <w:color w:val="auto"/>
                <w:sz w:val="24"/>
                <w:szCs w:val="24"/>
                <w:lang w:val="en-US" w:eastAsia="zh-CN"/>
              </w:rPr>
              <w:t>MiC相关</w:t>
            </w:r>
            <w:r>
              <w:rPr>
                <w:rFonts w:hint="eastAsia" w:ascii="宋体" w:hAnsi="宋体" w:cs="宋体"/>
                <w:b w:val="0"/>
                <w:bCs w:val="0"/>
                <w:color w:val="auto"/>
                <w:sz w:val="24"/>
                <w:szCs w:val="24"/>
                <w:lang w:val="en-US" w:eastAsia="zh-CN"/>
              </w:rPr>
              <w:t>发明创造专利的，每个得1分，</w:t>
            </w:r>
            <w:r>
              <w:rPr>
                <w:rFonts w:hint="eastAsia" w:ascii="宋体" w:hAnsi="宋体" w:eastAsia="宋体" w:cs="宋体"/>
                <w:b w:val="0"/>
                <w:bCs w:val="0"/>
                <w:color w:val="auto"/>
                <w:sz w:val="24"/>
                <w:szCs w:val="24"/>
                <w:lang w:val="en-US" w:eastAsia="zh-CN"/>
              </w:rPr>
              <w:t>本小项最高得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分。</w:t>
            </w:r>
          </w:p>
          <w:p>
            <w:pPr>
              <w:pStyle w:val="2"/>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以上</w:t>
            </w:r>
            <w:r>
              <w:rPr>
                <w:rFonts w:hint="eastAsia" w:ascii="宋体" w:hAnsi="宋体" w:cs="宋体"/>
                <w:b w:val="0"/>
                <w:bCs w:val="0"/>
                <w:color w:val="auto"/>
                <w:sz w:val="24"/>
                <w:szCs w:val="24"/>
                <w:lang w:val="en-US" w:eastAsia="zh-CN"/>
              </w:rPr>
              <w:t>五</w:t>
            </w:r>
            <w:r>
              <w:rPr>
                <w:rFonts w:hint="eastAsia" w:ascii="宋体" w:hAnsi="宋体" w:eastAsia="宋体" w:cs="宋体"/>
                <w:b w:val="0"/>
                <w:bCs w:val="0"/>
                <w:color w:val="auto"/>
                <w:sz w:val="24"/>
                <w:szCs w:val="24"/>
                <w:lang w:val="en-US" w:eastAsia="zh-CN"/>
              </w:rPr>
              <w:t>项累计最高得</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lang w:val="en-US" w:eastAsia="zh-CN"/>
              </w:rPr>
              <w:t>分。</w:t>
            </w:r>
          </w:p>
          <w:p>
            <w:pPr>
              <w:keepNext w:val="0"/>
              <w:keepLines w:val="0"/>
              <w:suppressLineNumbers w:val="0"/>
              <w:wordWrap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（二）评分依据：</w:t>
            </w:r>
          </w:p>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kern w:val="0"/>
                <w:sz w:val="24"/>
                <w:szCs w:val="24"/>
              </w:rPr>
              <w:t>提供由投标人为其缴交的载有社</w:t>
            </w:r>
            <w:r>
              <w:rPr>
                <w:rFonts w:hint="eastAsia" w:ascii="宋体" w:hAnsi="宋体" w:eastAsia="宋体" w:cs="宋体"/>
                <w:color w:val="000000"/>
                <w:kern w:val="0"/>
                <w:sz w:val="24"/>
                <w:szCs w:val="24"/>
              </w:rPr>
              <w:t>保部门或税务部门公章的近1个月的社保缴交证明材料和相关聘任合同（或聘任证明文件）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如投标截止日前一个月的社保材料因社保部门或税务部门原因暂时无法取得，则可以往前</w:t>
            </w:r>
            <w:r>
              <w:rPr>
                <w:rFonts w:hint="eastAsia" w:ascii="宋体" w:hAnsi="宋体" w:eastAsia="宋体" w:cs="宋体"/>
                <w:kern w:val="0"/>
                <w:sz w:val="24"/>
                <w:szCs w:val="24"/>
              </w:rPr>
              <w:t>顺延一个月。如供应商为新成立企业且成立时间不足1个月的</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可提供情况说明或其他相关证明材料</w:t>
            </w:r>
            <w:r>
              <w:rPr>
                <w:rFonts w:hint="eastAsia" w:ascii="宋体" w:hAnsi="宋体" w:eastAsia="宋体" w:cs="宋体"/>
                <w:kern w:val="0"/>
                <w:sz w:val="24"/>
                <w:szCs w:val="24"/>
                <w:lang w:eastAsia="zh-CN"/>
              </w:rPr>
              <w:t>，无需提供相关人员社保，亦可得分</w:t>
            </w:r>
            <w:r>
              <w:rPr>
                <w:rFonts w:hint="eastAsia" w:ascii="宋体" w:hAnsi="宋体" w:eastAsia="宋体" w:cs="宋体"/>
                <w:kern w:val="0"/>
                <w:sz w:val="24"/>
                <w:szCs w:val="24"/>
              </w:rPr>
              <w:t>。</w:t>
            </w:r>
            <w:r>
              <w:rPr>
                <w:rFonts w:hint="eastAsia" w:ascii="宋体" w:hAnsi="宋体" w:eastAsia="宋体" w:cs="宋体"/>
                <w:color w:val="FF0000"/>
                <w:kern w:val="0"/>
                <w:sz w:val="24"/>
                <w:szCs w:val="24"/>
              </w:rPr>
              <w:t>本项目不接受退休返聘人员</w:t>
            </w:r>
            <w:r>
              <w:rPr>
                <w:rFonts w:hint="eastAsia" w:ascii="宋体" w:hAnsi="宋体" w:eastAsia="宋体" w:cs="宋体"/>
                <w:color w:val="FF0000"/>
                <w:sz w:val="24"/>
                <w:szCs w:val="24"/>
              </w:rPr>
              <w:t>。</w:t>
            </w:r>
          </w:p>
          <w:p>
            <w:pPr>
              <w:keepNext w:val="0"/>
              <w:keepLines w:val="0"/>
              <w:suppressLineNumbers w:val="0"/>
              <w:autoSpaceDE w:val="0"/>
              <w:autoSpaceDN w:val="0"/>
              <w:spacing w:before="0" w:beforeAutospacing="0" w:after="0" w:afterAutospacing="0"/>
              <w:ind w:left="-31" w:right="0"/>
              <w:rPr>
                <w:rFonts w:hint="eastAsia" w:ascii="宋体" w:hAnsi="宋体" w:eastAsia="宋体" w:cs="宋体"/>
                <w:color w:val="auto"/>
                <w:sz w:val="24"/>
                <w:szCs w:val="24"/>
              </w:rPr>
            </w:pPr>
            <w:r>
              <w:rPr>
                <w:rFonts w:hint="eastAsia" w:ascii="宋体" w:hAnsi="宋体" w:eastAsia="宋体" w:cs="宋体"/>
                <w:color w:val="auto"/>
                <w:sz w:val="24"/>
                <w:szCs w:val="24"/>
              </w:rPr>
              <w:t>（2）学历证明：提供学历证书，还需提供学历认证报告或学信网（https://www.chsi.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（3）提供项目负责人</w:t>
            </w:r>
            <w:r>
              <w:rPr>
                <w:rFonts w:hint="eastAsia" w:ascii="宋体" w:hAnsi="宋体" w:eastAsia="宋体" w:cs="宋体"/>
                <w:color w:val="auto"/>
                <w:sz w:val="24"/>
                <w:szCs w:val="24"/>
                <w:lang w:val="en-US" w:eastAsia="zh-CN"/>
              </w:rPr>
              <w:t>的</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rPr>
              <w:t>职称（资格）</w:t>
            </w:r>
            <w:r>
              <w:rPr>
                <w:rFonts w:hint="eastAsia" w:ascii="宋体" w:hAnsi="宋体" w:cs="宋体"/>
                <w:color w:val="auto"/>
                <w:sz w:val="24"/>
                <w:szCs w:val="24"/>
                <w:lang w:val="en-US" w:eastAsia="zh-CN"/>
              </w:rPr>
              <w:t>证明材料</w:t>
            </w:r>
            <w:r>
              <w:rPr>
                <w:rFonts w:hint="eastAsia" w:ascii="宋体" w:hAnsi="宋体" w:eastAsia="宋体" w:cs="宋体"/>
                <w:color w:val="auto"/>
                <w:sz w:val="24"/>
                <w:szCs w:val="24"/>
                <w:lang w:eastAsia="zh-CN"/>
              </w:rPr>
              <w:t>。</w:t>
            </w:r>
          </w:p>
          <w:p>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项目经验：提供可体现相关人员姓名的合同关键页（包括但不仅限于：合同的项目名称页、服务内容页、签订时间页、双方盖章页等）或提供可体现相关人员姓名的政府主管部门认可的项目组织架构图或往来信函等可以证明其参与项目的证明材料。如合同关键页无法体现评分要求的，可同时补充提供合同甲方出具并加盖甲方公章或业务章的证明材料；未提供或提供不符合要求的不得分。</w:t>
            </w:r>
          </w:p>
          <w:p>
            <w:pPr>
              <w:keepNext w:val="0"/>
              <w:keepLines w:val="0"/>
              <w:suppressLineNumbers w:val="0"/>
              <w:wordWrap w:val="0"/>
              <w:spacing w:before="0" w:beforeAutospacing="0" w:after="0" w:afterAutospacing="0"/>
              <w:ind w:left="0" w:right="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提供能体现项目负责人姓名的相关出版物证明文件关键页（关键页至少包含出版物封面页、人员姓名页和书号）。</w:t>
            </w:r>
          </w:p>
          <w:p>
            <w:pPr>
              <w:keepNext w:val="0"/>
              <w:keepLines w:val="0"/>
              <w:suppressLineNumbers w:val="0"/>
              <w:wordWrap w:val="0"/>
              <w:spacing w:before="0" w:beforeAutospacing="0" w:after="0" w:afterAutospacing="0"/>
              <w:ind w:left="0" w:right="0"/>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提供相关专利证明文件。</w:t>
            </w:r>
          </w:p>
          <w:p>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w:t>
            </w:r>
            <w:r>
              <w:rPr>
                <w:rFonts w:hint="eastAsia" w:ascii="宋体" w:hAnsi="宋体" w:eastAsia="宋体" w:cs="宋体"/>
                <w:color w:val="auto"/>
                <w:sz w:val="24"/>
                <w:szCs w:val="24"/>
              </w:rPr>
              <w:t>以上证明文件为外文版本的需同时提供中文译本，具体评审以中文译本内容为准。</w:t>
            </w:r>
          </w:p>
          <w:p>
            <w:pPr>
              <w:keepNext w:val="0"/>
              <w:keepLines w:val="0"/>
              <w:suppressLineNumbers w:val="0"/>
              <w:wordWrap w:val="0"/>
              <w:spacing w:before="0" w:beforeAutospacing="0" w:after="0" w:afterAutospacing="0"/>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）以上资料须提供加盖投标人公章的复印件或扫描件，评分中若出现无证明资料或无法凭所提供资料判断是否得分的情况，一律作不得分处理。</w:t>
            </w:r>
          </w:p>
        </w:tc>
        <w:tc>
          <w:tcPr>
            <w:tcW w:w="750" w:type="dxa"/>
            <w:noWrap w:val="0"/>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20</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团队成员（项目负责人除外）</w:t>
            </w:r>
          </w:p>
        </w:tc>
        <w:tc>
          <w:tcPr>
            <w:tcW w:w="5135"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（一）评分内容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项目团队</w:t>
            </w:r>
            <w:r>
              <w:rPr>
                <w:rFonts w:hint="eastAsia" w:ascii="宋体" w:hAnsi="宋体" w:eastAsia="宋体" w:cs="宋体"/>
                <w:color w:val="auto"/>
                <w:kern w:val="0"/>
                <w:sz w:val="24"/>
                <w:szCs w:val="24"/>
                <w:lang w:val="en-US" w:eastAsia="zh-CN"/>
              </w:rPr>
              <w:t>成员</w:t>
            </w:r>
            <w:r>
              <w:rPr>
                <w:rFonts w:hint="eastAsia" w:ascii="宋体" w:hAnsi="宋体" w:eastAsia="宋体" w:cs="宋体"/>
                <w:color w:val="auto"/>
                <w:sz w:val="24"/>
                <w:szCs w:val="24"/>
                <w:lang w:bidi="ar"/>
              </w:rPr>
              <w:t>需为投标人自有员工，否则该项不得分</w:t>
            </w:r>
            <w:r>
              <w:rPr>
                <w:rFonts w:hint="eastAsia" w:ascii="宋体" w:hAnsi="宋体" w:eastAsia="宋体" w:cs="宋体"/>
                <w:color w:val="auto"/>
                <w:kern w:val="0"/>
                <w:sz w:val="24"/>
                <w:szCs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（1）具备本科学历的，每个得0.5分；具备硕士研究生学历的，每个得1分；具备</w:t>
            </w:r>
            <w:r>
              <w:rPr>
                <w:rFonts w:hint="eastAsia" w:ascii="宋体" w:hAnsi="宋体" w:eastAsia="宋体" w:cs="宋体"/>
                <w:color w:val="auto"/>
                <w:sz w:val="24"/>
                <w:szCs w:val="24"/>
                <w:lang w:val="en-US" w:eastAsia="zh-CN"/>
              </w:rPr>
              <w:t>博士</w:t>
            </w:r>
            <w:r>
              <w:rPr>
                <w:rFonts w:hint="eastAsia" w:ascii="宋体" w:hAnsi="宋体" w:eastAsia="宋体" w:cs="宋体"/>
                <w:color w:val="auto"/>
                <w:sz w:val="24"/>
                <w:szCs w:val="24"/>
              </w:rPr>
              <w:t>研究生学历</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每个得2分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本小项最高</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每有1人具备同类模块组合建造（MiC）项目相关咨询或顾问</w:t>
            </w:r>
            <w:r>
              <w:rPr>
                <w:rFonts w:hint="eastAsia" w:ascii="宋体" w:hAnsi="宋体" w:cs="宋体"/>
                <w:b w:val="0"/>
                <w:bCs w:val="0"/>
                <w:color w:val="auto"/>
                <w:sz w:val="24"/>
                <w:szCs w:val="24"/>
                <w:lang w:val="en-US" w:eastAsia="zh-CN"/>
              </w:rPr>
              <w:t>或科研</w:t>
            </w:r>
            <w:r>
              <w:rPr>
                <w:rFonts w:hint="eastAsia" w:ascii="宋体" w:hAnsi="宋体" w:eastAsia="宋体" w:cs="宋体"/>
                <w:b w:val="0"/>
                <w:bCs w:val="0"/>
                <w:color w:val="auto"/>
                <w:sz w:val="24"/>
                <w:szCs w:val="24"/>
                <w:lang w:val="en-US" w:eastAsia="zh-CN"/>
              </w:rPr>
              <w:t>项目经验的，得</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分，本小项最高得5分。同一项目多人参与均可得分。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（3）每有1人参与编制或</w:t>
            </w:r>
            <w:r>
              <w:rPr>
                <w:rFonts w:hint="eastAsia" w:ascii="宋体" w:hAnsi="宋体" w:cs="宋体"/>
                <w:b w:val="0"/>
                <w:bCs w:val="0"/>
                <w:color w:val="auto"/>
                <w:sz w:val="24"/>
                <w:szCs w:val="24"/>
                <w:lang w:val="en-US" w:eastAsia="zh-CN"/>
              </w:rPr>
              <w:t>发布过</w:t>
            </w:r>
            <w:r>
              <w:rPr>
                <w:rFonts w:hint="eastAsia" w:ascii="宋体" w:hAnsi="宋体" w:eastAsia="宋体" w:cs="宋体"/>
                <w:b w:val="0"/>
                <w:bCs w:val="0"/>
                <w:color w:val="auto"/>
                <w:sz w:val="24"/>
                <w:szCs w:val="24"/>
                <w:lang w:val="en-US" w:eastAsia="zh-CN"/>
              </w:rPr>
              <w:t>MiC</w:t>
            </w:r>
            <w:r>
              <w:rPr>
                <w:rFonts w:hint="eastAsia" w:ascii="宋体" w:hAnsi="宋体" w:cs="宋体"/>
                <w:b w:val="0"/>
                <w:bCs w:val="0"/>
                <w:color w:val="auto"/>
                <w:sz w:val="24"/>
                <w:szCs w:val="24"/>
                <w:lang w:val="en-US" w:eastAsia="zh-CN"/>
              </w:rPr>
              <w:t>相关书籍出版物的，得1分，</w:t>
            </w:r>
            <w:r>
              <w:rPr>
                <w:rFonts w:hint="eastAsia" w:ascii="宋体" w:hAnsi="宋体" w:eastAsia="宋体" w:cs="宋体"/>
                <w:b w:val="0"/>
                <w:bCs w:val="0"/>
                <w:color w:val="auto"/>
                <w:sz w:val="24"/>
                <w:szCs w:val="24"/>
                <w:lang w:val="en-US" w:eastAsia="zh-CN"/>
              </w:rPr>
              <w:t>本小项最高得3分。同一出版物多人参编均可得分。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以上</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项累计最高得1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pPr>
              <w:keepNext w:val="0"/>
              <w:keepLines w:val="0"/>
              <w:suppressLineNumbers w:val="0"/>
              <w:spacing w:before="0" w:beforeAutospacing="0" w:after="0" w:afterAutospacing="0"/>
              <w:ind w:left="0" w:right="0"/>
              <w:rPr>
                <w:rFonts w:hint="eastAsia" w:ascii="宋体" w:hAnsi="宋体" w:eastAsia="宋体" w:cs="宋体"/>
                <w:b/>
                <w:bCs/>
                <w:color w:val="auto"/>
                <w:sz w:val="24"/>
                <w:szCs w:val="24"/>
              </w:rPr>
            </w:pPr>
            <w:r>
              <w:rPr>
                <w:rFonts w:hint="eastAsia" w:ascii="宋体" w:hAnsi="宋体" w:eastAsia="宋体" w:cs="宋体"/>
                <w:b/>
                <w:bCs/>
                <w:color w:val="auto"/>
                <w:sz w:val="24"/>
                <w:szCs w:val="24"/>
              </w:rPr>
              <w:t>（二）评分依据</w:t>
            </w:r>
          </w:p>
          <w:p>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kern w:val="0"/>
                <w:sz w:val="24"/>
                <w:szCs w:val="24"/>
              </w:rPr>
              <w:t>提供由投标人为</w:t>
            </w:r>
            <w:r>
              <w:rPr>
                <w:rFonts w:hint="eastAsia" w:ascii="宋体" w:hAnsi="宋体" w:eastAsia="宋体" w:cs="宋体"/>
                <w:kern w:val="0"/>
                <w:sz w:val="24"/>
                <w:szCs w:val="24"/>
                <w:lang w:val="en-US" w:eastAsia="zh-CN"/>
              </w:rPr>
              <w:t>团队成员</w:t>
            </w:r>
            <w:r>
              <w:rPr>
                <w:rFonts w:hint="eastAsia" w:ascii="宋体" w:hAnsi="宋体" w:eastAsia="宋体" w:cs="宋体"/>
                <w:kern w:val="0"/>
                <w:sz w:val="24"/>
                <w:szCs w:val="24"/>
              </w:rPr>
              <w:t>缴交的载有社</w:t>
            </w:r>
            <w:r>
              <w:rPr>
                <w:rFonts w:hint="eastAsia" w:ascii="宋体" w:hAnsi="宋体" w:eastAsia="宋体" w:cs="宋体"/>
                <w:color w:val="000000"/>
                <w:kern w:val="0"/>
                <w:sz w:val="24"/>
                <w:szCs w:val="24"/>
              </w:rPr>
              <w:t>保部门或税务部门公章的近1个月的社保缴交证明材料和相关聘任合同（或聘任证明文件）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如投标截止日前一个月的社保材料因社保部门或税务部门原因暂时无法取得，则可以往前</w:t>
            </w:r>
            <w:r>
              <w:rPr>
                <w:rFonts w:hint="eastAsia" w:ascii="宋体" w:hAnsi="宋体" w:eastAsia="宋体" w:cs="宋体"/>
                <w:kern w:val="0"/>
                <w:sz w:val="24"/>
                <w:szCs w:val="24"/>
              </w:rPr>
              <w:t>顺延一个月。如供应商为新成立企业且成立时间不足1个月的</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可提供情况说明或其他相关证明材料</w:t>
            </w:r>
            <w:r>
              <w:rPr>
                <w:rFonts w:hint="eastAsia" w:ascii="宋体" w:hAnsi="宋体" w:eastAsia="宋体" w:cs="宋体"/>
                <w:kern w:val="0"/>
                <w:sz w:val="24"/>
                <w:szCs w:val="24"/>
                <w:lang w:eastAsia="zh-CN"/>
              </w:rPr>
              <w:t>，无需提供相关人员社保，亦可得分</w:t>
            </w:r>
            <w:r>
              <w:rPr>
                <w:rFonts w:hint="eastAsia" w:ascii="宋体" w:hAnsi="宋体" w:eastAsia="宋体" w:cs="宋体"/>
                <w:kern w:val="0"/>
                <w:sz w:val="24"/>
                <w:szCs w:val="24"/>
              </w:rPr>
              <w:t>。</w:t>
            </w:r>
            <w:r>
              <w:rPr>
                <w:rFonts w:hint="eastAsia" w:ascii="宋体" w:hAnsi="宋体" w:eastAsia="宋体" w:cs="宋体"/>
                <w:color w:val="FF0000"/>
                <w:kern w:val="0"/>
                <w:sz w:val="24"/>
                <w:szCs w:val="24"/>
              </w:rPr>
              <w:t>本项目不接受退休返聘人员</w:t>
            </w:r>
            <w:r>
              <w:rPr>
                <w:rFonts w:hint="eastAsia" w:ascii="宋体" w:hAnsi="宋体" w:eastAsia="宋体" w:cs="宋体"/>
                <w:color w:val="FF0000"/>
                <w:sz w:val="24"/>
                <w:szCs w:val="24"/>
              </w:rPr>
              <w:t>。</w:t>
            </w:r>
          </w:p>
          <w:p>
            <w:pPr>
              <w:keepNext w:val="0"/>
              <w:keepLines w:val="0"/>
              <w:suppressLineNumbers w:val="0"/>
              <w:autoSpaceDE w:val="0"/>
              <w:autoSpaceDN w:val="0"/>
              <w:spacing w:before="0" w:beforeAutospacing="0" w:after="0" w:afterAutospacing="0"/>
              <w:ind w:left="-31" w:right="0"/>
              <w:rPr>
                <w:rFonts w:hint="eastAsia" w:ascii="宋体" w:hAnsi="宋体" w:eastAsia="宋体" w:cs="宋体"/>
                <w:color w:val="auto"/>
                <w:sz w:val="24"/>
                <w:szCs w:val="24"/>
              </w:rPr>
            </w:pPr>
            <w:r>
              <w:rPr>
                <w:rFonts w:hint="eastAsia" w:ascii="宋体" w:hAnsi="宋体" w:eastAsia="宋体" w:cs="宋体"/>
                <w:color w:val="auto"/>
                <w:sz w:val="24"/>
                <w:szCs w:val="24"/>
              </w:rPr>
              <w:t>（2）学历证明：提供学历证书，还需提供学历认证报告或学信网（https://www.chsi.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项目经验：提供可体现相关人员姓名的合同关键页（包括但不仅限于：合同的项目名称页、服务内容页、签订时间页、双方盖章页等）或提供可体现相关人员姓名的政府主管部门认可的项目组织架构图或往来信函等可以证明其参与项目的证明材料。如合同关键页无法体现评分要求的，可同时补充提供合同甲方出具并加盖甲方公章或业务章的证明材料；未提供或提供不符合要求的不得分。</w:t>
            </w:r>
          </w:p>
          <w:p>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）提供能体现</w:t>
            </w:r>
            <w:r>
              <w:rPr>
                <w:rFonts w:hint="eastAsia" w:ascii="宋体" w:hAnsi="宋体" w:cs="宋体"/>
                <w:color w:val="auto"/>
                <w:sz w:val="24"/>
                <w:szCs w:val="24"/>
                <w:lang w:val="en-US" w:eastAsia="zh-CN"/>
              </w:rPr>
              <w:t>相关人员</w:t>
            </w:r>
            <w:r>
              <w:rPr>
                <w:rFonts w:hint="eastAsia" w:ascii="宋体" w:hAnsi="宋体" w:eastAsia="宋体" w:cs="宋体"/>
                <w:color w:val="auto"/>
                <w:sz w:val="24"/>
                <w:szCs w:val="24"/>
                <w:lang w:eastAsia="zh-CN"/>
              </w:rPr>
              <w:t>姓名的相关出版物证明文件关键页（关键页至少包含出版物封面页、人员姓名页和书号）。</w:t>
            </w:r>
          </w:p>
          <w:p>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以上证明文件为外文版本的需同时提供中文译本，具体评审以中文译本内容为准。</w:t>
            </w:r>
          </w:p>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）以上资料须提供加盖投标人公章的复印件或扫描件，评分中若出现无证明资料或无法凭所提供资料判断是否得分的情况，一律作不得分处理。</w:t>
            </w:r>
          </w:p>
        </w:tc>
        <w:tc>
          <w:tcPr>
            <w:tcW w:w="7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bookmarkEnd w:id="5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诚信声明与承诺</w:t>
            </w:r>
          </w:p>
        </w:tc>
        <w:tc>
          <w:tcPr>
            <w:tcW w:w="5135"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（一）评分内容：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（二）评分依据：</w:t>
            </w:r>
          </w:p>
          <w:p>
            <w:pPr>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1、投标人提供诚信声明与承诺加盖公章；</w:t>
            </w:r>
          </w:p>
          <w:p>
            <w:pPr>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eastAsia="宋体" w:cs="宋体"/>
                <w:color w:val="auto"/>
                <w:sz w:val="24"/>
                <w:szCs w:val="24"/>
                <w:highlight w:val="none"/>
              </w:rPr>
              <w:t>。</w:t>
            </w:r>
          </w:p>
        </w:tc>
        <w:tc>
          <w:tcPr>
            <w:tcW w:w="7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36" w:type="dxa"/>
            <w:noWrap w:val="0"/>
            <w:vAlign w:val="center"/>
          </w:tcPr>
          <w:p>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611" w:type="dxa"/>
            <w:gridSpan w:val="5"/>
            <w:shd w:val="clear" w:color="auto" w:fill="D9D9D9"/>
            <w:noWrap w:val="0"/>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三、技术部分（</w:t>
            </w:r>
            <w:r>
              <w:rPr>
                <w:rFonts w:hint="eastAsia" w:ascii="宋体" w:hAnsi="宋体" w:cs="宋体"/>
                <w:b/>
                <w:color w:val="auto"/>
                <w:sz w:val="24"/>
                <w:szCs w:val="24"/>
                <w:highlight w:val="none"/>
                <w:lang w:val="en-US" w:eastAsia="zh-CN"/>
              </w:rPr>
              <w:t>50</w:t>
            </w:r>
            <w:r>
              <w:rPr>
                <w:rFonts w:hint="eastAsia" w:ascii="宋体" w:hAnsi="宋体" w:eastAsia="宋体" w:cs="宋体"/>
                <w:b/>
                <w:color w:val="auto"/>
                <w:sz w:val="24"/>
                <w:szCs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内容</w:t>
            </w:r>
          </w:p>
        </w:tc>
        <w:tc>
          <w:tcPr>
            <w:tcW w:w="5135"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评分规则</w:t>
            </w:r>
          </w:p>
        </w:tc>
        <w:tc>
          <w:tcPr>
            <w:tcW w:w="750"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权重</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8" w:type="dxa"/>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rPr>
              <w:t>实施方案</w:t>
            </w:r>
          </w:p>
        </w:tc>
        <w:tc>
          <w:tcPr>
            <w:tcW w:w="5135" w:type="dxa"/>
            <w:noWrap w:val="0"/>
            <w:vAlign w:val="top"/>
          </w:tcPr>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（一）评分内容</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（1）对项目背景理解；</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（2）对项目工作意义、工作目的认识；</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（3）对本项目提出清晰、全面、具有可实施性的工作方法；</w:t>
            </w:r>
          </w:p>
          <w:p>
            <w:pPr>
              <w:widowControl/>
              <w:spacing w:line="24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（4）对本项目提出整体工作思路。</w:t>
            </w:r>
          </w:p>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（二）评分标准</w:t>
            </w:r>
          </w:p>
          <w:p>
            <w:pPr>
              <w:spacing w:line="240" w:lineRule="auto"/>
              <w:jc w:val="left"/>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内容包含以上四项要求的，得</w:t>
            </w:r>
            <w:r>
              <w:rPr>
                <w:rFonts w:hint="eastAsia" w:ascii="宋体" w:hAnsi="宋体" w:cs="宋体"/>
                <w:bCs/>
                <w:color w:val="auto"/>
                <w:kern w:val="0"/>
                <w:sz w:val="24"/>
                <w:szCs w:val="24"/>
                <w:highlight w:val="none"/>
                <w:lang w:val="en-US" w:eastAsia="zh-CN" w:bidi="ar"/>
              </w:rPr>
              <w:t>10</w:t>
            </w:r>
            <w:r>
              <w:rPr>
                <w:rFonts w:hint="eastAsia" w:ascii="宋体" w:hAnsi="宋体" w:eastAsia="宋体" w:cs="宋体"/>
                <w:bCs/>
                <w:color w:val="auto"/>
                <w:kern w:val="0"/>
                <w:sz w:val="24"/>
                <w:szCs w:val="24"/>
                <w:highlight w:val="none"/>
                <w:lang w:bidi="ar"/>
              </w:rPr>
              <w:t>分，每缺少一项内容扣</w:t>
            </w:r>
            <w:r>
              <w:rPr>
                <w:rFonts w:hint="eastAsia" w:ascii="宋体" w:hAnsi="宋体" w:eastAsia="宋体" w:cs="宋体"/>
                <w:bCs/>
                <w:color w:val="auto"/>
                <w:kern w:val="0"/>
                <w:sz w:val="24"/>
                <w:szCs w:val="24"/>
                <w:highlight w:val="none"/>
                <w:lang w:val="en-US" w:eastAsia="zh-CN" w:bidi="ar"/>
              </w:rPr>
              <w:t>2</w:t>
            </w:r>
            <w:r>
              <w:rPr>
                <w:rFonts w:hint="eastAsia" w:ascii="宋体" w:hAnsi="宋体" w:cs="宋体"/>
                <w:bCs/>
                <w:color w:val="auto"/>
                <w:kern w:val="0"/>
                <w:sz w:val="24"/>
                <w:szCs w:val="24"/>
                <w:highlight w:val="none"/>
                <w:lang w:val="en-US" w:eastAsia="zh-CN" w:bidi="ar"/>
              </w:rPr>
              <w:t>.5</w:t>
            </w:r>
            <w:r>
              <w:rPr>
                <w:rFonts w:hint="eastAsia" w:ascii="宋体" w:hAnsi="宋体" w:eastAsia="宋体" w:cs="宋体"/>
                <w:bCs/>
                <w:color w:val="auto"/>
                <w:kern w:val="0"/>
                <w:sz w:val="24"/>
                <w:szCs w:val="24"/>
                <w:highlight w:val="none"/>
                <w:lang w:bidi="ar"/>
              </w:rPr>
              <w:t>分</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bidi="ar"/>
              </w:rPr>
              <w:t>在</w:t>
            </w:r>
            <w:r>
              <w:rPr>
                <w:rFonts w:hint="eastAsia" w:ascii="宋体" w:hAnsi="宋体" w:eastAsia="宋体" w:cs="宋体"/>
                <w:bCs/>
                <w:color w:val="auto"/>
                <w:kern w:val="0"/>
                <w:sz w:val="24"/>
                <w:szCs w:val="24"/>
                <w:highlight w:val="none"/>
                <w:lang w:val="en-US" w:eastAsia="zh-CN" w:bidi="ar"/>
              </w:rPr>
              <w:t>以上内容</w:t>
            </w:r>
            <w:r>
              <w:rPr>
                <w:rFonts w:hint="eastAsia" w:ascii="宋体" w:hAnsi="宋体" w:eastAsia="宋体" w:cs="宋体"/>
                <w:bCs/>
                <w:color w:val="auto"/>
                <w:kern w:val="0"/>
                <w:sz w:val="24"/>
                <w:szCs w:val="24"/>
                <w:highlight w:val="none"/>
                <w:lang w:bidi="ar"/>
              </w:rPr>
              <w:t>不缺项的基础上对投标人</w:t>
            </w:r>
            <w:r>
              <w:rPr>
                <w:rFonts w:hint="eastAsia" w:ascii="宋体" w:hAnsi="宋体" w:eastAsia="宋体" w:cs="宋体"/>
                <w:bCs/>
                <w:color w:val="auto"/>
                <w:kern w:val="0"/>
                <w:sz w:val="24"/>
                <w:szCs w:val="24"/>
                <w:highlight w:val="none"/>
                <w:lang w:val="en-US" w:eastAsia="zh-CN" w:bidi="ar"/>
              </w:rPr>
              <w:t>的</w:t>
            </w:r>
            <w:r>
              <w:rPr>
                <w:rFonts w:hint="eastAsia" w:ascii="宋体" w:hAnsi="宋体" w:eastAsia="宋体" w:cs="宋体"/>
                <w:bCs/>
                <w:color w:val="auto"/>
                <w:kern w:val="0"/>
                <w:sz w:val="24"/>
                <w:szCs w:val="24"/>
                <w:highlight w:val="none"/>
                <w:lang w:bidi="ar"/>
              </w:rPr>
              <w:t>响应情况进行</w:t>
            </w:r>
            <w:r>
              <w:rPr>
                <w:rFonts w:hint="eastAsia" w:ascii="宋体" w:hAnsi="宋体" w:eastAsia="宋体" w:cs="宋体"/>
                <w:bCs/>
                <w:color w:val="auto"/>
                <w:kern w:val="0"/>
                <w:sz w:val="24"/>
                <w:szCs w:val="24"/>
                <w:highlight w:val="none"/>
                <w:lang w:val="en-US" w:eastAsia="zh-CN" w:bidi="ar"/>
              </w:rPr>
              <w:t>评审（如缺项，以下评审不得分）。</w:t>
            </w:r>
            <w:r>
              <w:rPr>
                <w:rFonts w:hint="eastAsia" w:ascii="宋体" w:hAnsi="宋体" w:eastAsia="宋体" w:cs="宋体"/>
                <w:bCs/>
                <w:color w:val="auto"/>
                <w:kern w:val="0"/>
                <w:sz w:val="24"/>
                <w:szCs w:val="24"/>
                <w:highlight w:val="none"/>
                <w:lang w:bidi="ar"/>
              </w:rPr>
              <w:t>最高累计得</w:t>
            </w:r>
            <w:r>
              <w:rPr>
                <w:rFonts w:hint="eastAsia" w:ascii="宋体" w:hAnsi="宋体" w:cs="宋体"/>
                <w:bCs/>
                <w:color w:val="auto"/>
                <w:kern w:val="0"/>
                <w:sz w:val="24"/>
                <w:szCs w:val="24"/>
                <w:highlight w:val="none"/>
                <w:lang w:val="en-US" w:eastAsia="zh-CN" w:bidi="ar"/>
              </w:rPr>
              <w:t>20</w:t>
            </w:r>
            <w:r>
              <w:rPr>
                <w:rFonts w:hint="eastAsia" w:ascii="宋体" w:hAnsi="宋体" w:eastAsia="宋体" w:cs="宋体"/>
                <w:bCs/>
                <w:color w:val="auto"/>
                <w:kern w:val="0"/>
                <w:sz w:val="24"/>
                <w:szCs w:val="24"/>
                <w:highlight w:val="none"/>
                <w:lang w:bidi="ar"/>
              </w:rPr>
              <w:t>分：</w:t>
            </w:r>
          </w:p>
          <w:p>
            <w:pPr>
              <w:rPr>
                <w:rFonts w:hint="eastAsia" w:ascii="宋体" w:hAnsi="宋体" w:eastAsia="宋体" w:cs="宋体"/>
                <w:b w:val="0"/>
                <w:bCs/>
                <w:i w:val="0"/>
                <w:iCs/>
                <w:color w:val="auto"/>
                <w:sz w:val="24"/>
                <w:szCs w:val="24"/>
                <w:u w:val="none"/>
              </w:rPr>
            </w:pP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lang w:val="en-US" w:eastAsia="zh-CN"/>
              </w:rPr>
              <w:t>1</w:t>
            </w: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rPr>
              <w:t>对实施方案进行了详细阐述，提出的实施方案具有针对性且符合项目需求，得</w:t>
            </w:r>
            <w:r>
              <w:rPr>
                <w:rFonts w:hint="eastAsia" w:ascii="宋体" w:hAnsi="宋体" w:cs="宋体"/>
                <w:b w:val="0"/>
                <w:bCs/>
                <w:i w:val="0"/>
                <w:iCs/>
                <w:color w:val="auto"/>
                <w:sz w:val="24"/>
                <w:szCs w:val="24"/>
                <w:u w:val="none"/>
                <w:lang w:val="en-US" w:eastAsia="zh-CN"/>
              </w:rPr>
              <w:t>10</w:t>
            </w:r>
            <w:r>
              <w:rPr>
                <w:rFonts w:hint="eastAsia" w:ascii="宋体" w:hAnsi="宋体" w:eastAsia="宋体" w:cs="宋体"/>
                <w:b w:val="0"/>
                <w:bCs/>
                <w:i w:val="0"/>
                <w:iCs/>
                <w:color w:val="auto"/>
                <w:sz w:val="24"/>
                <w:szCs w:val="24"/>
                <w:u w:val="none"/>
              </w:rPr>
              <w:t xml:space="preserve">分； </w:t>
            </w:r>
          </w:p>
          <w:p>
            <w:pPr>
              <w:rPr>
                <w:rFonts w:hint="eastAsia" w:ascii="宋体" w:hAnsi="宋体" w:eastAsia="宋体" w:cs="宋体"/>
                <w:b w:val="0"/>
                <w:bCs/>
                <w:i w:val="0"/>
                <w:iCs/>
                <w:color w:val="auto"/>
                <w:sz w:val="24"/>
                <w:szCs w:val="24"/>
                <w:u w:val="none"/>
              </w:rPr>
            </w:pP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lang w:val="en-US" w:eastAsia="zh-CN"/>
              </w:rPr>
              <w:t>2</w:t>
            </w: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rPr>
              <w:t>对实施方案进行了阐述且符合项目需求，但阐述不够详细，得</w:t>
            </w:r>
            <w:r>
              <w:rPr>
                <w:rFonts w:hint="eastAsia" w:ascii="宋体" w:hAnsi="宋体" w:cs="宋体"/>
                <w:b w:val="0"/>
                <w:bCs/>
                <w:i w:val="0"/>
                <w:iCs/>
                <w:color w:val="auto"/>
                <w:sz w:val="24"/>
                <w:szCs w:val="24"/>
                <w:u w:val="none"/>
                <w:lang w:val="en-US" w:eastAsia="zh-CN"/>
              </w:rPr>
              <w:t>7</w:t>
            </w:r>
            <w:r>
              <w:rPr>
                <w:rFonts w:hint="eastAsia" w:ascii="宋体" w:hAnsi="宋体" w:eastAsia="宋体" w:cs="宋体"/>
                <w:b w:val="0"/>
                <w:bCs/>
                <w:i w:val="0"/>
                <w:iCs/>
                <w:color w:val="auto"/>
                <w:sz w:val="24"/>
                <w:szCs w:val="24"/>
                <w:u w:val="none"/>
              </w:rPr>
              <w:t>分；</w:t>
            </w:r>
          </w:p>
          <w:p>
            <w:pPr>
              <w:rPr>
                <w:rFonts w:hint="eastAsia" w:ascii="宋体" w:hAnsi="宋体" w:eastAsia="宋体" w:cs="宋体"/>
                <w:b w:val="0"/>
                <w:bCs/>
                <w:i w:val="0"/>
                <w:iCs/>
                <w:color w:val="auto"/>
                <w:sz w:val="24"/>
                <w:szCs w:val="24"/>
                <w:u w:val="none"/>
              </w:rPr>
            </w:pP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lang w:val="en-US" w:eastAsia="zh-CN"/>
              </w:rPr>
              <w:t>3</w:t>
            </w: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rPr>
              <w:t>虽然对实施方案进行了阐述，但提出的实施方案与采购需求存在一定差异，或理解的内容存在部分偏差，得</w:t>
            </w:r>
            <w:r>
              <w:rPr>
                <w:rFonts w:hint="eastAsia" w:ascii="宋体" w:hAnsi="宋体" w:cs="宋体"/>
                <w:b w:val="0"/>
                <w:bCs/>
                <w:i w:val="0"/>
                <w:iCs/>
                <w:color w:val="auto"/>
                <w:sz w:val="24"/>
                <w:szCs w:val="24"/>
                <w:u w:val="none"/>
                <w:lang w:val="en-US" w:eastAsia="zh-CN"/>
              </w:rPr>
              <w:t>4</w:t>
            </w:r>
            <w:r>
              <w:rPr>
                <w:rFonts w:hint="eastAsia" w:ascii="宋体" w:hAnsi="宋体" w:eastAsia="宋体" w:cs="宋体"/>
                <w:b w:val="0"/>
                <w:bCs/>
                <w:i w:val="0"/>
                <w:iCs/>
                <w:color w:val="auto"/>
                <w:sz w:val="24"/>
                <w:szCs w:val="24"/>
                <w:u w:val="none"/>
              </w:rPr>
              <w:t>分；</w:t>
            </w:r>
          </w:p>
          <w:p>
            <w:pPr>
              <w:rPr>
                <w:rFonts w:hint="eastAsia" w:ascii="宋体" w:hAnsi="宋体" w:eastAsia="宋体" w:cs="宋体"/>
                <w:color w:val="auto"/>
                <w:sz w:val="24"/>
                <w:szCs w:val="24"/>
                <w:highlight w:val="none"/>
              </w:rPr>
            </w:pP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lang w:val="en-US" w:eastAsia="zh-CN"/>
              </w:rPr>
              <w:t>4</w:t>
            </w:r>
            <w:r>
              <w:rPr>
                <w:rFonts w:hint="eastAsia" w:ascii="宋体" w:hAnsi="宋体" w:eastAsia="宋体" w:cs="宋体"/>
                <w:b w:val="0"/>
                <w:bCs/>
                <w:i w:val="0"/>
                <w:iCs/>
                <w:color w:val="auto"/>
                <w:sz w:val="24"/>
                <w:szCs w:val="24"/>
                <w:u w:val="none"/>
                <w:lang w:eastAsia="zh-CN"/>
              </w:rPr>
              <w:t>）</w:t>
            </w:r>
            <w:r>
              <w:rPr>
                <w:rFonts w:hint="eastAsia" w:ascii="宋体" w:hAnsi="宋体" w:eastAsia="宋体" w:cs="宋体"/>
                <w:b w:val="0"/>
                <w:bCs/>
                <w:i w:val="0"/>
                <w:iCs/>
                <w:color w:val="auto"/>
                <w:sz w:val="24"/>
                <w:szCs w:val="24"/>
                <w:u w:val="none"/>
              </w:rPr>
              <w:t>仅简单阐述实施方案或直接照抄招标文件或阐述内容均无法满足采购需求的，得0分。</w:t>
            </w:r>
          </w:p>
        </w:tc>
        <w:tc>
          <w:tcPr>
            <w:tcW w:w="750"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20</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p>
        </w:tc>
        <w:tc>
          <w:tcPr>
            <w:tcW w:w="1168" w:type="dxa"/>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rPr>
              <w:t>项目重点难点分析、应对措施及相关的合理化建议</w:t>
            </w:r>
          </w:p>
        </w:tc>
        <w:tc>
          <w:tcPr>
            <w:tcW w:w="5135" w:type="dxa"/>
            <w:noWrap w:val="0"/>
            <w:vAlign w:val="top"/>
          </w:tcPr>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（一）评分内容</w:t>
            </w:r>
          </w:p>
          <w:p>
            <w:pPr>
              <w:widowControl/>
              <w:spacing w:line="24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（1）对重点问题的把握与分析；</w:t>
            </w:r>
          </w:p>
          <w:p>
            <w:pPr>
              <w:widowControl/>
              <w:spacing w:line="24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（2）对难点问题的把握与分析；</w:t>
            </w:r>
          </w:p>
          <w:p>
            <w:pPr>
              <w:widowControl/>
              <w:spacing w:line="24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（3）解决思路和方法。</w:t>
            </w:r>
          </w:p>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（二）评分标准</w:t>
            </w:r>
          </w:p>
          <w:p>
            <w:pPr>
              <w:widowControl/>
              <w:spacing w:line="240" w:lineRule="auto"/>
              <w:textAlignment w:val="top"/>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内容包含以上三项要求的，得</w:t>
            </w:r>
            <w:r>
              <w:rPr>
                <w:rFonts w:hint="eastAsia" w:ascii="宋体" w:hAnsi="宋体" w:cs="宋体"/>
                <w:bCs/>
                <w:color w:val="auto"/>
                <w:kern w:val="0"/>
                <w:sz w:val="24"/>
                <w:szCs w:val="24"/>
                <w:highlight w:val="none"/>
                <w:lang w:val="en-US" w:eastAsia="zh-CN" w:bidi="ar"/>
              </w:rPr>
              <w:t>9</w:t>
            </w:r>
            <w:r>
              <w:rPr>
                <w:rFonts w:hint="eastAsia" w:ascii="宋体" w:hAnsi="宋体" w:eastAsia="宋体" w:cs="宋体"/>
                <w:bCs/>
                <w:color w:val="auto"/>
                <w:kern w:val="0"/>
                <w:sz w:val="24"/>
                <w:szCs w:val="24"/>
                <w:highlight w:val="none"/>
                <w:lang w:bidi="ar"/>
              </w:rPr>
              <w:t>分，每缺少一项内容扣</w:t>
            </w:r>
            <w:r>
              <w:rPr>
                <w:rFonts w:hint="eastAsia" w:ascii="宋体" w:hAnsi="宋体" w:cs="宋体"/>
                <w:bCs/>
                <w:color w:val="auto"/>
                <w:kern w:val="0"/>
                <w:sz w:val="24"/>
                <w:szCs w:val="24"/>
                <w:highlight w:val="none"/>
                <w:lang w:val="en-US" w:eastAsia="zh-CN" w:bidi="ar"/>
              </w:rPr>
              <w:t>3</w:t>
            </w:r>
            <w:r>
              <w:rPr>
                <w:rFonts w:hint="eastAsia" w:ascii="宋体" w:hAnsi="宋体" w:eastAsia="宋体" w:cs="宋体"/>
                <w:bCs/>
                <w:color w:val="auto"/>
                <w:kern w:val="0"/>
                <w:sz w:val="24"/>
                <w:szCs w:val="24"/>
                <w:highlight w:val="none"/>
                <w:lang w:bidi="ar"/>
              </w:rPr>
              <w:t>分</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bidi="ar"/>
              </w:rPr>
              <w:t>在</w:t>
            </w:r>
            <w:r>
              <w:rPr>
                <w:rFonts w:hint="eastAsia" w:ascii="宋体" w:hAnsi="宋体" w:eastAsia="宋体" w:cs="宋体"/>
                <w:bCs/>
                <w:color w:val="auto"/>
                <w:kern w:val="0"/>
                <w:sz w:val="24"/>
                <w:szCs w:val="24"/>
                <w:highlight w:val="none"/>
                <w:lang w:val="en-US" w:eastAsia="zh-CN" w:bidi="ar"/>
              </w:rPr>
              <w:t>以上内容</w:t>
            </w:r>
            <w:r>
              <w:rPr>
                <w:rFonts w:hint="eastAsia" w:ascii="宋体" w:hAnsi="宋体" w:eastAsia="宋体" w:cs="宋体"/>
                <w:bCs/>
                <w:color w:val="auto"/>
                <w:kern w:val="0"/>
                <w:sz w:val="24"/>
                <w:szCs w:val="24"/>
                <w:highlight w:val="none"/>
                <w:lang w:bidi="ar"/>
              </w:rPr>
              <w:t>不缺项的基础上对投标人</w:t>
            </w:r>
            <w:r>
              <w:rPr>
                <w:rFonts w:hint="eastAsia" w:ascii="宋体" w:hAnsi="宋体" w:eastAsia="宋体" w:cs="宋体"/>
                <w:bCs/>
                <w:color w:val="auto"/>
                <w:kern w:val="0"/>
                <w:sz w:val="24"/>
                <w:szCs w:val="24"/>
                <w:highlight w:val="none"/>
                <w:lang w:val="en-US" w:eastAsia="zh-CN" w:bidi="ar"/>
              </w:rPr>
              <w:t>的</w:t>
            </w:r>
            <w:r>
              <w:rPr>
                <w:rFonts w:hint="eastAsia" w:ascii="宋体" w:hAnsi="宋体" w:eastAsia="宋体" w:cs="宋体"/>
                <w:bCs/>
                <w:color w:val="auto"/>
                <w:kern w:val="0"/>
                <w:sz w:val="24"/>
                <w:szCs w:val="24"/>
                <w:highlight w:val="none"/>
                <w:lang w:bidi="ar"/>
              </w:rPr>
              <w:t>响应情况进行</w:t>
            </w:r>
            <w:r>
              <w:rPr>
                <w:rFonts w:hint="eastAsia" w:ascii="宋体" w:hAnsi="宋体" w:eastAsia="宋体" w:cs="宋体"/>
                <w:bCs/>
                <w:color w:val="auto"/>
                <w:kern w:val="0"/>
                <w:sz w:val="24"/>
                <w:szCs w:val="24"/>
                <w:highlight w:val="none"/>
                <w:lang w:val="en-US" w:eastAsia="zh-CN" w:bidi="ar"/>
              </w:rPr>
              <w:t>评审（如缺项，以下评审不得分）。</w:t>
            </w:r>
            <w:r>
              <w:rPr>
                <w:rFonts w:hint="eastAsia" w:ascii="宋体" w:hAnsi="宋体" w:eastAsia="宋体" w:cs="宋体"/>
                <w:bCs/>
                <w:color w:val="auto"/>
                <w:kern w:val="0"/>
                <w:sz w:val="24"/>
                <w:szCs w:val="24"/>
                <w:highlight w:val="none"/>
                <w:lang w:bidi="ar"/>
              </w:rPr>
              <w:t>最高累计得</w:t>
            </w:r>
            <w:r>
              <w:rPr>
                <w:rFonts w:hint="eastAsia" w:ascii="宋体" w:hAnsi="宋体" w:cs="宋体"/>
                <w:bCs/>
                <w:color w:val="auto"/>
                <w:kern w:val="0"/>
                <w:sz w:val="24"/>
                <w:szCs w:val="24"/>
                <w:highlight w:val="none"/>
                <w:lang w:val="en-US" w:eastAsia="zh-CN" w:bidi="ar"/>
              </w:rPr>
              <w:t>20</w:t>
            </w:r>
            <w:r>
              <w:rPr>
                <w:rFonts w:hint="eastAsia" w:ascii="宋体" w:hAnsi="宋体" w:eastAsia="宋体" w:cs="宋体"/>
                <w:bCs/>
                <w:color w:val="auto"/>
                <w:kern w:val="0"/>
                <w:sz w:val="24"/>
                <w:szCs w:val="24"/>
                <w:highlight w:val="none"/>
                <w:lang w:bidi="ar"/>
              </w:rPr>
              <w:t>分：</w:t>
            </w:r>
          </w:p>
          <w:p>
            <w:pPr>
              <w:widowControl/>
              <w:spacing w:line="240" w:lineRule="auto"/>
              <w:textAlignment w:val="top"/>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1</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bidi="ar"/>
              </w:rPr>
              <w:t>对</w:t>
            </w:r>
            <w:r>
              <w:rPr>
                <w:rFonts w:hint="eastAsia" w:ascii="宋体" w:hAnsi="宋体" w:eastAsia="宋体" w:cs="宋体"/>
                <w:bCs/>
                <w:color w:val="auto"/>
                <w:kern w:val="0"/>
                <w:sz w:val="24"/>
                <w:szCs w:val="24"/>
                <w:highlight w:val="none"/>
                <w:lang w:val="en-US" w:eastAsia="zh-CN" w:bidi="ar"/>
              </w:rPr>
              <w:t>重点难点问题</w:t>
            </w:r>
            <w:r>
              <w:rPr>
                <w:rFonts w:hint="eastAsia" w:ascii="宋体" w:hAnsi="宋体" w:eastAsia="宋体" w:cs="宋体"/>
                <w:bCs/>
                <w:color w:val="auto"/>
                <w:kern w:val="0"/>
                <w:sz w:val="24"/>
                <w:szCs w:val="24"/>
                <w:highlight w:val="none"/>
                <w:lang w:bidi="ar"/>
              </w:rPr>
              <w:t>理解正确，论述详细，分析完全符合要求，得</w:t>
            </w:r>
            <w:r>
              <w:rPr>
                <w:rFonts w:hint="eastAsia" w:ascii="宋体" w:hAnsi="宋体" w:cs="宋体"/>
                <w:bCs/>
                <w:color w:val="auto"/>
                <w:kern w:val="0"/>
                <w:sz w:val="24"/>
                <w:szCs w:val="24"/>
                <w:highlight w:val="none"/>
                <w:lang w:val="en-US" w:eastAsia="zh-CN" w:bidi="ar"/>
              </w:rPr>
              <w:t>11</w:t>
            </w:r>
            <w:r>
              <w:rPr>
                <w:rFonts w:hint="eastAsia" w:ascii="宋体" w:hAnsi="宋体" w:eastAsia="宋体" w:cs="宋体"/>
                <w:bCs/>
                <w:color w:val="auto"/>
                <w:kern w:val="0"/>
                <w:sz w:val="24"/>
                <w:szCs w:val="24"/>
                <w:highlight w:val="none"/>
                <w:lang w:bidi="ar"/>
              </w:rPr>
              <w:t>分；</w:t>
            </w:r>
          </w:p>
          <w:p>
            <w:pPr>
              <w:widowControl/>
              <w:spacing w:line="240" w:lineRule="auto"/>
              <w:textAlignment w:val="top"/>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2</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bidi="ar"/>
              </w:rPr>
              <w:t>对</w:t>
            </w:r>
            <w:r>
              <w:rPr>
                <w:rFonts w:hint="eastAsia" w:ascii="宋体" w:hAnsi="宋体" w:eastAsia="宋体" w:cs="宋体"/>
                <w:bCs/>
                <w:color w:val="auto"/>
                <w:kern w:val="0"/>
                <w:sz w:val="24"/>
                <w:szCs w:val="24"/>
                <w:highlight w:val="none"/>
                <w:lang w:val="en-US" w:eastAsia="zh-CN" w:bidi="ar"/>
              </w:rPr>
              <w:t>重点难点问题</w:t>
            </w:r>
            <w:r>
              <w:rPr>
                <w:rFonts w:hint="eastAsia" w:ascii="宋体" w:hAnsi="宋体" w:eastAsia="宋体" w:cs="宋体"/>
                <w:bCs/>
                <w:color w:val="auto"/>
                <w:kern w:val="0"/>
                <w:sz w:val="24"/>
                <w:szCs w:val="24"/>
                <w:highlight w:val="none"/>
                <w:lang w:bidi="ar"/>
              </w:rPr>
              <w:t>理解正确，但未贴合项目进行分析论述或描述过于简单，能满足项目需求，得</w:t>
            </w:r>
            <w:r>
              <w:rPr>
                <w:rFonts w:hint="eastAsia" w:ascii="宋体" w:hAnsi="宋体" w:cs="宋体"/>
                <w:bCs/>
                <w:color w:val="auto"/>
                <w:kern w:val="0"/>
                <w:sz w:val="24"/>
                <w:szCs w:val="24"/>
                <w:highlight w:val="none"/>
                <w:lang w:val="en-US" w:eastAsia="zh-CN" w:bidi="ar"/>
              </w:rPr>
              <w:t>8</w:t>
            </w:r>
            <w:r>
              <w:rPr>
                <w:rFonts w:hint="eastAsia" w:ascii="宋体" w:hAnsi="宋体" w:eastAsia="宋体" w:cs="宋体"/>
                <w:bCs/>
                <w:color w:val="auto"/>
                <w:kern w:val="0"/>
                <w:sz w:val="24"/>
                <w:szCs w:val="24"/>
                <w:highlight w:val="none"/>
                <w:lang w:bidi="ar"/>
              </w:rPr>
              <w:t>分；</w:t>
            </w:r>
          </w:p>
          <w:p>
            <w:pPr>
              <w:widowControl/>
              <w:spacing w:line="240" w:lineRule="auto"/>
              <w:textAlignment w:val="top"/>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3</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对重点难点问题</w:t>
            </w:r>
            <w:r>
              <w:rPr>
                <w:rFonts w:hint="eastAsia" w:ascii="宋体" w:hAnsi="宋体" w:eastAsia="宋体" w:cs="宋体"/>
                <w:bCs/>
                <w:color w:val="auto"/>
                <w:kern w:val="0"/>
                <w:sz w:val="24"/>
                <w:szCs w:val="24"/>
                <w:highlight w:val="none"/>
                <w:lang w:bidi="ar"/>
              </w:rPr>
              <w:t>理解片面，或只对部分内容理解正确，或分析与需求存在偏差，得</w:t>
            </w:r>
            <w:r>
              <w:rPr>
                <w:rFonts w:hint="eastAsia" w:ascii="宋体" w:hAnsi="宋体" w:cs="宋体"/>
                <w:bCs/>
                <w:color w:val="auto"/>
                <w:kern w:val="0"/>
                <w:sz w:val="24"/>
                <w:szCs w:val="24"/>
                <w:highlight w:val="none"/>
                <w:lang w:val="en-US" w:eastAsia="zh-CN" w:bidi="ar"/>
              </w:rPr>
              <w:t>4</w:t>
            </w:r>
            <w:r>
              <w:rPr>
                <w:rFonts w:hint="eastAsia" w:ascii="宋体" w:hAnsi="宋体" w:eastAsia="宋体" w:cs="宋体"/>
                <w:bCs/>
                <w:color w:val="auto"/>
                <w:kern w:val="0"/>
                <w:sz w:val="24"/>
                <w:szCs w:val="24"/>
                <w:highlight w:val="none"/>
                <w:lang w:bidi="ar"/>
              </w:rPr>
              <w:t>分；</w:t>
            </w:r>
          </w:p>
          <w:p>
            <w:pPr>
              <w:widowControl/>
              <w:spacing w:line="240" w:lineRule="auto"/>
              <w:textAlignment w:val="top"/>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4</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val="en-US" w:eastAsia="zh-CN" w:bidi="ar"/>
              </w:rPr>
              <w:t>对重点难点问题</w:t>
            </w:r>
            <w:r>
              <w:rPr>
                <w:rFonts w:hint="eastAsia" w:ascii="宋体" w:hAnsi="宋体" w:eastAsia="宋体" w:cs="宋体"/>
                <w:bCs/>
                <w:color w:val="auto"/>
                <w:kern w:val="0"/>
                <w:sz w:val="24"/>
                <w:szCs w:val="24"/>
                <w:highlight w:val="none"/>
                <w:lang w:bidi="ar"/>
              </w:rPr>
              <w:t>分析与事实不符，</w:t>
            </w:r>
            <w:r>
              <w:rPr>
                <w:rFonts w:hint="eastAsia" w:ascii="宋体" w:hAnsi="宋体" w:eastAsia="宋体" w:cs="宋体"/>
                <w:bCs/>
                <w:color w:val="auto"/>
                <w:kern w:val="0"/>
                <w:sz w:val="24"/>
                <w:szCs w:val="24"/>
                <w:highlight w:val="none"/>
                <w:lang w:val="en-US" w:eastAsia="zh-CN" w:bidi="ar"/>
              </w:rPr>
              <w:t>或</w:t>
            </w:r>
            <w:r>
              <w:rPr>
                <w:rFonts w:hint="eastAsia" w:ascii="宋体" w:hAnsi="宋体" w:eastAsia="宋体" w:cs="宋体"/>
                <w:bCs/>
                <w:color w:val="auto"/>
                <w:kern w:val="0"/>
                <w:sz w:val="24"/>
                <w:szCs w:val="24"/>
                <w:highlight w:val="none"/>
                <w:lang w:bidi="ar"/>
              </w:rPr>
              <w:t>描述出现前后内容不一致或逻辑错误，得</w:t>
            </w:r>
            <w:r>
              <w:rPr>
                <w:rFonts w:hint="eastAsia" w:ascii="宋体" w:hAnsi="宋体" w:eastAsia="宋体" w:cs="宋体"/>
                <w:bCs/>
                <w:color w:val="auto"/>
                <w:kern w:val="0"/>
                <w:sz w:val="24"/>
                <w:szCs w:val="24"/>
                <w:highlight w:val="none"/>
                <w:lang w:val="en-US" w:eastAsia="zh-CN" w:bidi="ar"/>
              </w:rPr>
              <w:t>0</w:t>
            </w:r>
            <w:r>
              <w:rPr>
                <w:rFonts w:hint="eastAsia" w:ascii="宋体" w:hAnsi="宋体" w:eastAsia="宋体" w:cs="宋体"/>
                <w:bCs/>
                <w:color w:val="auto"/>
                <w:kern w:val="0"/>
                <w:sz w:val="24"/>
                <w:szCs w:val="24"/>
                <w:highlight w:val="none"/>
                <w:lang w:bidi="ar"/>
              </w:rPr>
              <w:t>分</w:t>
            </w:r>
            <w:r>
              <w:rPr>
                <w:rFonts w:hint="eastAsia" w:ascii="宋体" w:hAnsi="宋体" w:eastAsia="宋体" w:cs="宋体"/>
                <w:bCs/>
                <w:color w:val="auto"/>
                <w:kern w:val="0"/>
                <w:sz w:val="24"/>
                <w:szCs w:val="24"/>
                <w:highlight w:val="none"/>
                <w:lang w:eastAsia="zh-CN" w:bidi="ar"/>
              </w:rPr>
              <w:t>。</w:t>
            </w:r>
          </w:p>
        </w:tc>
        <w:tc>
          <w:tcPr>
            <w:tcW w:w="750"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20</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68" w:type="dxa"/>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rPr>
              <w:t>质量保障措施及方案</w:t>
            </w:r>
          </w:p>
        </w:tc>
        <w:tc>
          <w:tcPr>
            <w:tcW w:w="5135" w:type="dxa"/>
            <w:noWrap w:val="0"/>
            <w:vAlign w:val="center"/>
          </w:tcPr>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（一）评分内容</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质量管理措施</w:t>
            </w:r>
            <w:r>
              <w:rPr>
                <w:rFonts w:hint="eastAsia" w:ascii="宋体" w:hAnsi="宋体" w:eastAsia="宋体" w:cs="宋体"/>
                <w:color w:val="auto"/>
                <w:sz w:val="24"/>
                <w:szCs w:val="24"/>
                <w:highlight w:val="none"/>
              </w:rPr>
              <w:t>；</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（2）组织管理规章制度；</w:t>
            </w:r>
          </w:p>
          <w:p>
            <w:pPr>
              <w:widowControl/>
              <w:spacing w:line="24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（3）进度</w:t>
            </w:r>
            <w:r>
              <w:rPr>
                <w:rFonts w:hint="eastAsia" w:ascii="宋体" w:hAnsi="宋体" w:eastAsia="宋体" w:cs="宋体"/>
                <w:color w:val="auto"/>
                <w:sz w:val="24"/>
                <w:szCs w:val="24"/>
                <w:highlight w:val="none"/>
                <w:lang w:val="en-US" w:eastAsia="zh-CN"/>
              </w:rPr>
              <w:t>保障措施</w:t>
            </w:r>
            <w:r>
              <w:rPr>
                <w:rFonts w:hint="eastAsia" w:ascii="宋体" w:hAnsi="宋体" w:eastAsia="宋体" w:cs="宋体"/>
                <w:color w:val="auto"/>
                <w:sz w:val="24"/>
                <w:szCs w:val="24"/>
                <w:highlight w:val="none"/>
              </w:rPr>
              <w:t>。</w:t>
            </w:r>
          </w:p>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（二）评分标准</w:t>
            </w:r>
          </w:p>
          <w:p>
            <w:pPr>
              <w:widowControl/>
              <w:spacing w:line="240" w:lineRule="auto"/>
              <w:textAlignment w:val="top"/>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内容包含以上三项要求的，得</w:t>
            </w:r>
            <w:r>
              <w:rPr>
                <w:rFonts w:hint="eastAsia" w:ascii="宋体" w:hAnsi="宋体" w:cs="宋体"/>
                <w:bCs/>
                <w:color w:val="auto"/>
                <w:kern w:val="0"/>
                <w:sz w:val="24"/>
                <w:szCs w:val="24"/>
                <w:highlight w:val="none"/>
                <w:lang w:val="en-US" w:eastAsia="zh-CN" w:bidi="ar"/>
              </w:rPr>
              <w:t>3</w:t>
            </w:r>
            <w:r>
              <w:rPr>
                <w:rFonts w:hint="eastAsia" w:ascii="宋体" w:hAnsi="宋体" w:eastAsia="宋体" w:cs="宋体"/>
                <w:bCs/>
                <w:color w:val="auto"/>
                <w:kern w:val="0"/>
                <w:sz w:val="24"/>
                <w:szCs w:val="24"/>
                <w:highlight w:val="none"/>
                <w:lang w:bidi="ar"/>
              </w:rPr>
              <w:t>分，每缺少一项内容扣</w:t>
            </w:r>
            <w:r>
              <w:rPr>
                <w:rFonts w:hint="eastAsia" w:ascii="宋体" w:hAnsi="宋体" w:cs="宋体"/>
                <w:bCs/>
                <w:color w:val="auto"/>
                <w:kern w:val="0"/>
                <w:sz w:val="24"/>
                <w:szCs w:val="24"/>
                <w:highlight w:val="none"/>
                <w:lang w:val="en-US" w:eastAsia="zh-CN" w:bidi="ar"/>
              </w:rPr>
              <w:t>1</w:t>
            </w:r>
            <w:r>
              <w:rPr>
                <w:rFonts w:hint="eastAsia" w:ascii="宋体" w:hAnsi="宋体" w:eastAsia="宋体" w:cs="宋体"/>
                <w:bCs/>
                <w:color w:val="auto"/>
                <w:kern w:val="0"/>
                <w:sz w:val="24"/>
                <w:szCs w:val="24"/>
                <w:highlight w:val="none"/>
                <w:lang w:bidi="ar"/>
              </w:rPr>
              <w:t>分</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bidi="ar"/>
              </w:rPr>
              <w:t>在</w:t>
            </w:r>
            <w:r>
              <w:rPr>
                <w:rFonts w:hint="eastAsia" w:ascii="宋体" w:hAnsi="宋体" w:eastAsia="宋体" w:cs="宋体"/>
                <w:bCs/>
                <w:color w:val="auto"/>
                <w:kern w:val="0"/>
                <w:sz w:val="24"/>
                <w:szCs w:val="24"/>
                <w:highlight w:val="none"/>
                <w:lang w:val="en-US" w:eastAsia="zh-CN" w:bidi="ar"/>
              </w:rPr>
              <w:t>以上内容</w:t>
            </w:r>
            <w:r>
              <w:rPr>
                <w:rFonts w:hint="eastAsia" w:ascii="宋体" w:hAnsi="宋体" w:eastAsia="宋体" w:cs="宋体"/>
                <w:bCs/>
                <w:color w:val="auto"/>
                <w:kern w:val="0"/>
                <w:sz w:val="24"/>
                <w:szCs w:val="24"/>
                <w:highlight w:val="none"/>
                <w:lang w:bidi="ar"/>
              </w:rPr>
              <w:t>不缺项的基础上对投标人</w:t>
            </w:r>
            <w:r>
              <w:rPr>
                <w:rFonts w:hint="eastAsia" w:ascii="宋体" w:hAnsi="宋体" w:eastAsia="宋体" w:cs="宋体"/>
                <w:bCs/>
                <w:color w:val="auto"/>
                <w:kern w:val="0"/>
                <w:sz w:val="24"/>
                <w:szCs w:val="24"/>
                <w:highlight w:val="none"/>
                <w:lang w:val="en-US" w:eastAsia="zh-CN" w:bidi="ar"/>
              </w:rPr>
              <w:t>的</w:t>
            </w:r>
            <w:r>
              <w:rPr>
                <w:rFonts w:hint="eastAsia" w:ascii="宋体" w:hAnsi="宋体" w:eastAsia="宋体" w:cs="宋体"/>
                <w:bCs/>
                <w:color w:val="auto"/>
                <w:kern w:val="0"/>
                <w:sz w:val="24"/>
                <w:szCs w:val="24"/>
                <w:highlight w:val="none"/>
                <w:lang w:bidi="ar"/>
              </w:rPr>
              <w:t>响应情况进行</w:t>
            </w:r>
            <w:r>
              <w:rPr>
                <w:rFonts w:hint="eastAsia" w:ascii="宋体" w:hAnsi="宋体" w:eastAsia="宋体" w:cs="宋体"/>
                <w:bCs/>
                <w:color w:val="auto"/>
                <w:kern w:val="0"/>
                <w:sz w:val="24"/>
                <w:szCs w:val="24"/>
                <w:highlight w:val="none"/>
                <w:lang w:val="en-US" w:eastAsia="zh-CN" w:bidi="ar"/>
              </w:rPr>
              <w:t>评审（如缺项，以下评审不得分）。</w:t>
            </w:r>
            <w:r>
              <w:rPr>
                <w:rFonts w:hint="eastAsia" w:ascii="宋体" w:hAnsi="宋体" w:eastAsia="宋体" w:cs="宋体"/>
                <w:bCs/>
                <w:color w:val="auto"/>
                <w:kern w:val="0"/>
                <w:sz w:val="24"/>
                <w:szCs w:val="24"/>
                <w:highlight w:val="none"/>
                <w:lang w:bidi="ar"/>
              </w:rPr>
              <w:t>最高累计得</w:t>
            </w:r>
            <w:r>
              <w:rPr>
                <w:rFonts w:hint="eastAsia" w:ascii="宋体" w:hAnsi="宋体" w:cs="宋体"/>
                <w:bCs/>
                <w:color w:val="auto"/>
                <w:kern w:val="0"/>
                <w:sz w:val="24"/>
                <w:szCs w:val="24"/>
                <w:highlight w:val="none"/>
                <w:lang w:val="en-US" w:eastAsia="zh-CN" w:bidi="ar"/>
              </w:rPr>
              <w:t>5</w:t>
            </w:r>
            <w:r>
              <w:rPr>
                <w:rFonts w:hint="eastAsia" w:ascii="宋体" w:hAnsi="宋体" w:eastAsia="宋体" w:cs="宋体"/>
                <w:bCs/>
                <w:color w:val="auto"/>
                <w:kern w:val="0"/>
                <w:sz w:val="24"/>
                <w:szCs w:val="24"/>
                <w:highlight w:val="none"/>
                <w:lang w:bidi="ar"/>
              </w:rPr>
              <w:t>分：</w:t>
            </w:r>
          </w:p>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措施详尽完善，方案中有具体的实施细节及有效措施，完全契合项目实际需求的，得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措施</w:t>
            </w:r>
            <w:r>
              <w:rPr>
                <w:rFonts w:hint="eastAsia" w:ascii="宋体" w:hAnsi="宋体" w:eastAsia="宋体" w:cs="宋体"/>
                <w:color w:val="auto"/>
                <w:sz w:val="24"/>
                <w:szCs w:val="24"/>
                <w:lang w:val="en-US" w:eastAsia="zh-CN"/>
              </w:rPr>
              <w:t>贴合实际</w:t>
            </w:r>
            <w:r>
              <w:rPr>
                <w:rFonts w:hint="eastAsia" w:ascii="宋体" w:hAnsi="宋体" w:eastAsia="宋体" w:cs="宋体"/>
                <w:color w:val="auto"/>
                <w:sz w:val="24"/>
                <w:szCs w:val="24"/>
              </w:rPr>
              <w:t>，方案中有具体的实施细节及有效措施，</w:t>
            </w:r>
            <w:r>
              <w:rPr>
                <w:rFonts w:hint="eastAsia" w:ascii="宋体" w:hAnsi="宋体" w:eastAsia="宋体" w:cs="宋体"/>
                <w:color w:val="auto"/>
                <w:sz w:val="24"/>
                <w:szCs w:val="24"/>
                <w:lang w:val="en-US" w:eastAsia="zh-CN"/>
              </w:rPr>
              <w:t>能满足</w:t>
            </w:r>
            <w:r>
              <w:rPr>
                <w:rFonts w:hint="eastAsia" w:ascii="宋体" w:hAnsi="宋体" w:eastAsia="宋体" w:cs="宋体"/>
                <w:color w:val="auto"/>
                <w:sz w:val="24"/>
                <w:szCs w:val="24"/>
              </w:rPr>
              <w:t>项目实际需求的，得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措施未贴合项目实际情况进行详细论述，或方案中未包括具体实施细节及措施的，得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措施内容阐述过于简单或与实际需求不符，得0分。</w:t>
            </w:r>
          </w:p>
        </w:tc>
        <w:tc>
          <w:tcPr>
            <w:tcW w:w="750"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5</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68" w:type="dxa"/>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rPr>
              <w:t>项目完成（服务期满）后的服务</w:t>
            </w:r>
            <w:r>
              <w:rPr>
                <w:rFonts w:hint="eastAsia" w:ascii="宋体" w:hAnsi="宋体" w:eastAsia="宋体" w:cs="宋体"/>
                <w:color w:val="auto"/>
                <w:sz w:val="24"/>
                <w:szCs w:val="24"/>
                <w:lang w:val="en-US" w:eastAsia="zh-CN"/>
              </w:rPr>
              <w:t>方案</w:t>
            </w:r>
          </w:p>
        </w:tc>
        <w:tc>
          <w:tcPr>
            <w:tcW w:w="5135" w:type="dxa"/>
            <w:noWrap w:val="0"/>
            <w:vAlign w:val="center"/>
          </w:tcPr>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（一）评分内容</w:t>
            </w:r>
          </w:p>
          <w:p>
            <w:pPr>
              <w:widowControl/>
              <w:spacing w:line="24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（1）提供详细的</w:t>
            </w:r>
            <w:r>
              <w:rPr>
                <w:rFonts w:hint="eastAsia" w:ascii="宋体" w:hAnsi="宋体" w:eastAsia="宋体" w:cs="宋体"/>
                <w:color w:val="auto"/>
                <w:kern w:val="0"/>
                <w:sz w:val="24"/>
                <w:szCs w:val="24"/>
                <w:highlight w:val="none"/>
                <w:lang w:val="en-US" w:eastAsia="zh-CN" w:bidi="ar"/>
              </w:rPr>
              <w:t>后续</w:t>
            </w:r>
            <w:r>
              <w:rPr>
                <w:rFonts w:hint="eastAsia" w:ascii="宋体" w:hAnsi="宋体" w:eastAsia="宋体" w:cs="宋体"/>
                <w:color w:val="auto"/>
                <w:kern w:val="0"/>
                <w:sz w:val="24"/>
                <w:szCs w:val="24"/>
                <w:highlight w:val="none"/>
                <w:lang w:bidi="ar"/>
              </w:rPr>
              <w:t>服务承诺书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格式自拟</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p>
          <w:p>
            <w:pPr>
              <w:widowControl/>
              <w:spacing w:line="24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说明具体的</w:t>
            </w:r>
            <w:r>
              <w:rPr>
                <w:rFonts w:hint="eastAsia" w:ascii="宋体" w:hAnsi="宋体" w:eastAsia="宋体" w:cs="宋体"/>
                <w:color w:val="auto"/>
                <w:kern w:val="0"/>
                <w:sz w:val="24"/>
                <w:szCs w:val="24"/>
                <w:highlight w:val="none"/>
                <w:lang w:bidi="ar"/>
              </w:rPr>
              <w:t>服务内容；</w:t>
            </w:r>
          </w:p>
          <w:p>
            <w:pPr>
              <w:widowControl/>
              <w:spacing w:line="24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（3）安排专人负责</w:t>
            </w:r>
            <w:r>
              <w:rPr>
                <w:rFonts w:hint="eastAsia" w:ascii="宋体" w:hAnsi="宋体" w:eastAsia="宋体" w:cs="宋体"/>
                <w:color w:val="auto"/>
                <w:kern w:val="0"/>
                <w:sz w:val="24"/>
                <w:szCs w:val="24"/>
                <w:highlight w:val="none"/>
                <w:lang w:val="en-US" w:eastAsia="zh-CN" w:bidi="ar"/>
              </w:rPr>
              <w:t>服务</w:t>
            </w:r>
            <w:r>
              <w:rPr>
                <w:rFonts w:hint="eastAsia" w:ascii="宋体" w:hAnsi="宋体" w:eastAsia="宋体" w:cs="宋体"/>
                <w:color w:val="auto"/>
                <w:kern w:val="0"/>
                <w:sz w:val="24"/>
                <w:szCs w:val="24"/>
                <w:highlight w:val="none"/>
                <w:lang w:bidi="ar"/>
              </w:rPr>
              <w:t>咨询，并提供其联系手机、</w:t>
            </w:r>
            <w:r>
              <w:rPr>
                <w:rFonts w:hint="eastAsia" w:ascii="宋体" w:hAnsi="宋体" w:eastAsia="宋体" w:cs="宋体"/>
                <w:color w:val="auto"/>
                <w:kern w:val="0"/>
                <w:sz w:val="24"/>
                <w:szCs w:val="24"/>
                <w:highlight w:val="none"/>
                <w:lang w:val="en-US" w:eastAsia="zh-CN" w:bidi="ar"/>
              </w:rPr>
              <w:t>电子邮箱</w:t>
            </w:r>
            <w:r>
              <w:rPr>
                <w:rFonts w:hint="eastAsia" w:ascii="宋体" w:hAnsi="宋体" w:eastAsia="宋体" w:cs="宋体"/>
                <w:color w:val="auto"/>
                <w:kern w:val="0"/>
                <w:sz w:val="24"/>
                <w:szCs w:val="24"/>
                <w:highlight w:val="none"/>
                <w:lang w:bidi="ar"/>
              </w:rPr>
              <w:t>。</w:t>
            </w:r>
          </w:p>
          <w:p>
            <w:pPr>
              <w:widowControl/>
              <w:spacing w:line="24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（二）评分标准</w:t>
            </w:r>
          </w:p>
          <w:p>
            <w:pPr>
              <w:widowControl/>
              <w:spacing w:line="240" w:lineRule="auto"/>
              <w:textAlignment w:val="top"/>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内容包含以上三项要求的，得</w:t>
            </w:r>
            <w:r>
              <w:rPr>
                <w:rFonts w:hint="eastAsia" w:ascii="宋体" w:hAnsi="宋体" w:cs="宋体"/>
                <w:bCs/>
                <w:color w:val="auto"/>
                <w:kern w:val="0"/>
                <w:sz w:val="24"/>
                <w:szCs w:val="24"/>
                <w:highlight w:val="none"/>
                <w:lang w:val="en-US" w:eastAsia="zh-CN" w:bidi="ar"/>
              </w:rPr>
              <w:t>3</w:t>
            </w:r>
            <w:r>
              <w:rPr>
                <w:rFonts w:hint="eastAsia" w:ascii="宋体" w:hAnsi="宋体" w:eastAsia="宋体" w:cs="宋体"/>
                <w:bCs/>
                <w:color w:val="auto"/>
                <w:kern w:val="0"/>
                <w:sz w:val="24"/>
                <w:szCs w:val="24"/>
                <w:highlight w:val="none"/>
                <w:lang w:bidi="ar"/>
              </w:rPr>
              <w:t>分，每缺少一项内容扣</w:t>
            </w:r>
            <w:r>
              <w:rPr>
                <w:rFonts w:hint="eastAsia" w:ascii="宋体" w:hAnsi="宋体" w:cs="宋体"/>
                <w:bCs/>
                <w:color w:val="auto"/>
                <w:kern w:val="0"/>
                <w:sz w:val="24"/>
                <w:szCs w:val="24"/>
                <w:highlight w:val="none"/>
                <w:lang w:val="en-US" w:eastAsia="zh-CN" w:bidi="ar"/>
              </w:rPr>
              <w:t>1</w:t>
            </w:r>
            <w:r>
              <w:rPr>
                <w:rFonts w:hint="eastAsia" w:ascii="宋体" w:hAnsi="宋体" w:eastAsia="宋体" w:cs="宋体"/>
                <w:bCs/>
                <w:color w:val="auto"/>
                <w:kern w:val="0"/>
                <w:sz w:val="24"/>
                <w:szCs w:val="24"/>
                <w:highlight w:val="none"/>
                <w:lang w:bidi="ar"/>
              </w:rPr>
              <w:t>分</w:t>
            </w:r>
            <w:r>
              <w:rPr>
                <w:rFonts w:hint="eastAsia" w:ascii="宋体" w:hAnsi="宋体" w:eastAsia="宋体" w:cs="宋体"/>
                <w:bCs/>
                <w:color w:val="auto"/>
                <w:kern w:val="0"/>
                <w:sz w:val="24"/>
                <w:szCs w:val="24"/>
                <w:highlight w:val="none"/>
                <w:lang w:eastAsia="zh-CN" w:bidi="ar"/>
              </w:rPr>
              <w:t>。</w:t>
            </w:r>
            <w:r>
              <w:rPr>
                <w:rFonts w:hint="eastAsia" w:ascii="宋体" w:hAnsi="宋体" w:eastAsia="宋体" w:cs="宋体"/>
                <w:bCs/>
                <w:color w:val="auto"/>
                <w:kern w:val="0"/>
                <w:sz w:val="24"/>
                <w:szCs w:val="24"/>
                <w:highlight w:val="none"/>
                <w:lang w:bidi="ar"/>
              </w:rPr>
              <w:t>在</w:t>
            </w:r>
            <w:r>
              <w:rPr>
                <w:rFonts w:hint="eastAsia" w:ascii="宋体" w:hAnsi="宋体" w:eastAsia="宋体" w:cs="宋体"/>
                <w:bCs/>
                <w:color w:val="auto"/>
                <w:kern w:val="0"/>
                <w:sz w:val="24"/>
                <w:szCs w:val="24"/>
                <w:highlight w:val="none"/>
                <w:lang w:val="en-US" w:eastAsia="zh-CN" w:bidi="ar"/>
              </w:rPr>
              <w:t>以上内容</w:t>
            </w:r>
            <w:r>
              <w:rPr>
                <w:rFonts w:hint="eastAsia" w:ascii="宋体" w:hAnsi="宋体" w:eastAsia="宋体" w:cs="宋体"/>
                <w:bCs/>
                <w:color w:val="auto"/>
                <w:kern w:val="0"/>
                <w:sz w:val="24"/>
                <w:szCs w:val="24"/>
                <w:highlight w:val="none"/>
                <w:lang w:bidi="ar"/>
              </w:rPr>
              <w:t>不缺项的基础上对投标人</w:t>
            </w:r>
            <w:r>
              <w:rPr>
                <w:rFonts w:hint="eastAsia" w:ascii="宋体" w:hAnsi="宋体" w:eastAsia="宋体" w:cs="宋体"/>
                <w:bCs/>
                <w:color w:val="auto"/>
                <w:kern w:val="0"/>
                <w:sz w:val="24"/>
                <w:szCs w:val="24"/>
                <w:highlight w:val="none"/>
                <w:lang w:val="en-US" w:eastAsia="zh-CN" w:bidi="ar"/>
              </w:rPr>
              <w:t>的</w:t>
            </w:r>
            <w:r>
              <w:rPr>
                <w:rFonts w:hint="eastAsia" w:ascii="宋体" w:hAnsi="宋体" w:eastAsia="宋体" w:cs="宋体"/>
                <w:bCs/>
                <w:color w:val="auto"/>
                <w:kern w:val="0"/>
                <w:sz w:val="24"/>
                <w:szCs w:val="24"/>
                <w:highlight w:val="none"/>
                <w:lang w:bidi="ar"/>
              </w:rPr>
              <w:t>响应情况进行</w:t>
            </w:r>
            <w:r>
              <w:rPr>
                <w:rFonts w:hint="eastAsia" w:ascii="宋体" w:hAnsi="宋体" w:eastAsia="宋体" w:cs="宋体"/>
                <w:bCs/>
                <w:color w:val="auto"/>
                <w:kern w:val="0"/>
                <w:sz w:val="24"/>
                <w:szCs w:val="24"/>
                <w:highlight w:val="none"/>
                <w:lang w:val="en-US" w:eastAsia="zh-CN" w:bidi="ar"/>
              </w:rPr>
              <w:t>评审（如缺项，以下评审不得分）。</w:t>
            </w:r>
            <w:r>
              <w:rPr>
                <w:rFonts w:hint="eastAsia" w:ascii="宋体" w:hAnsi="宋体" w:eastAsia="宋体" w:cs="宋体"/>
                <w:bCs/>
                <w:color w:val="auto"/>
                <w:kern w:val="0"/>
                <w:sz w:val="24"/>
                <w:szCs w:val="24"/>
                <w:highlight w:val="none"/>
                <w:lang w:bidi="ar"/>
              </w:rPr>
              <w:t>最高累计得</w:t>
            </w:r>
            <w:r>
              <w:rPr>
                <w:rFonts w:hint="eastAsia" w:ascii="宋体" w:hAnsi="宋体" w:cs="宋体"/>
                <w:bCs/>
                <w:color w:val="auto"/>
                <w:kern w:val="0"/>
                <w:sz w:val="24"/>
                <w:szCs w:val="24"/>
                <w:highlight w:val="none"/>
                <w:lang w:val="en-US" w:eastAsia="zh-CN" w:bidi="ar"/>
              </w:rPr>
              <w:t>5</w:t>
            </w:r>
            <w:r>
              <w:rPr>
                <w:rFonts w:hint="eastAsia" w:ascii="宋体" w:hAnsi="宋体" w:eastAsia="宋体" w:cs="宋体"/>
                <w:bCs/>
                <w:color w:val="auto"/>
                <w:kern w:val="0"/>
                <w:sz w:val="24"/>
                <w:szCs w:val="24"/>
                <w:highlight w:val="none"/>
                <w:lang w:bidi="ar"/>
              </w:rPr>
              <w:t>分：</w:t>
            </w:r>
          </w:p>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对服务内容进行了详细阐述，提出的方案具有针对性且符合项目需求，得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分； </w:t>
            </w:r>
          </w:p>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kern w:val="0"/>
                <w:sz w:val="24"/>
                <w:szCs w:val="24"/>
                <w:highlight w:val="none"/>
                <w:lang w:bidi="ar"/>
              </w:rPr>
              <w:t>服务内容</w:t>
            </w:r>
            <w:r>
              <w:rPr>
                <w:rFonts w:hint="eastAsia" w:ascii="宋体" w:hAnsi="宋体" w:eastAsia="宋体" w:cs="宋体"/>
                <w:color w:val="auto"/>
                <w:sz w:val="24"/>
                <w:szCs w:val="24"/>
              </w:rPr>
              <w:t>进行了阐述且符合项目需求，但阐述不够详细，得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p>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虽然对</w:t>
            </w:r>
            <w:r>
              <w:rPr>
                <w:rFonts w:hint="eastAsia" w:ascii="宋体" w:hAnsi="宋体" w:eastAsia="宋体" w:cs="宋体"/>
                <w:color w:val="auto"/>
                <w:kern w:val="0"/>
                <w:sz w:val="24"/>
                <w:szCs w:val="24"/>
                <w:highlight w:val="none"/>
                <w:lang w:bidi="ar"/>
              </w:rPr>
              <w:t>服务内容</w:t>
            </w:r>
            <w:r>
              <w:rPr>
                <w:rFonts w:hint="eastAsia" w:ascii="宋体" w:hAnsi="宋体" w:eastAsia="宋体" w:cs="宋体"/>
                <w:color w:val="auto"/>
                <w:sz w:val="24"/>
                <w:szCs w:val="24"/>
              </w:rPr>
              <w:t>进行了阐述，但提出的</w:t>
            </w:r>
            <w:r>
              <w:rPr>
                <w:rFonts w:hint="eastAsia" w:ascii="宋体" w:hAnsi="宋体" w:eastAsia="宋体" w:cs="宋体"/>
                <w:color w:val="auto"/>
                <w:kern w:val="0"/>
                <w:sz w:val="24"/>
                <w:szCs w:val="24"/>
                <w:highlight w:val="none"/>
                <w:lang w:bidi="ar"/>
              </w:rPr>
              <w:t>服务内容</w:t>
            </w:r>
            <w:r>
              <w:rPr>
                <w:rFonts w:hint="eastAsia" w:ascii="宋体" w:hAnsi="宋体" w:eastAsia="宋体" w:cs="宋体"/>
                <w:color w:val="auto"/>
                <w:sz w:val="24"/>
                <w:szCs w:val="24"/>
              </w:rPr>
              <w:t>与采购需求存在一定差异，或理解的内容存在部分偏差，得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仅简单阐述</w:t>
            </w:r>
            <w:r>
              <w:rPr>
                <w:rFonts w:hint="eastAsia" w:ascii="宋体" w:hAnsi="宋体" w:eastAsia="宋体" w:cs="宋体"/>
                <w:color w:val="auto"/>
                <w:sz w:val="24"/>
                <w:szCs w:val="24"/>
                <w:lang w:val="en-US" w:eastAsia="zh-CN"/>
              </w:rPr>
              <w:t>服务内容</w:t>
            </w:r>
            <w:r>
              <w:rPr>
                <w:rFonts w:hint="eastAsia" w:ascii="宋体" w:hAnsi="宋体" w:eastAsia="宋体" w:cs="宋体"/>
                <w:color w:val="auto"/>
                <w:sz w:val="24"/>
                <w:szCs w:val="24"/>
              </w:rPr>
              <w:t>或阐述内容无法满足采购需求的，得0分</w:t>
            </w:r>
            <w:r>
              <w:rPr>
                <w:rFonts w:hint="eastAsia" w:ascii="宋体" w:hAnsi="宋体" w:eastAsia="宋体" w:cs="宋体"/>
                <w:color w:val="auto"/>
                <w:sz w:val="24"/>
                <w:szCs w:val="24"/>
                <w:lang w:eastAsia="zh-CN"/>
              </w:rPr>
              <w:t>。</w:t>
            </w:r>
          </w:p>
        </w:tc>
        <w:tc>
          <w:tcPr>
            <w:tcW w:w="750"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none"/>
                <w:lang w:val="en-US" w:eastAsia="zh-CN"/>
              </w:rPr>
              <w:t>5</w:t>
            </w:r>
          </w:p>
        </w:tc>
        <w:tc>
          <w:tcPr>
            <w:tcW w:w="836"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评审委员打分</w:t>
            </w:r>
          </w:p>
        </w:tc>
      </w:tr>
      <w:bookmarkEnd w:id="55"/>
    </w:tbl>
    <w:p>
      <w:pPr>
        <w:tabs>
          <w:tab w:val="left" w:pos="640"/>
          <w:tab w:val="left" w:pos="1260"/>
          <w:tab w:val="left" w:pos="1418"/>
        </w:tabs>
        <w:spacing w:line="360" w:lineRule="auto"/>
        <w:ind w:right="-420" w:rightChars="-200"/>
        <w:rPr>
          <w:rFonts w:hint="eastAsia" w:ascii="宋体" w:hAnsi="宋体" w:cs="宋体"/>
          <w:color w:val="auto"/>
          <w:sz w:val="24"/>
          <w:highlight w:val="none"/>
          <w:lang w:val="fr-CH"/>
        </w:rPr>
        <w:sectPr>
          <w:pgSz w:w="11906" w:h="16838"/>
          <w:pgMar w:top="149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color w:val="auto"/>
          <w:sz w:val="24"/>
          <w:highlight w:val="none"/>
        </w:rPr>
      </w:pPr>
      <w:bookmarkStart w:id="57" w:name="_Toc31322"/>
      <w:r>
        <w:rPr>
          <w:rFonts w:hint="eastAsia" w:ascii="宋体" w:hAnsi="宋体" w:cs="宋体"/>
          <w:b/>
          <w:bCs/>
          <w:color w:val="auto"/>
          <w:sz w:val="24"/>
          <w:highlight w:val="none"/>
        </w:rPr>
        <w:t>第七章 附件（投标文件格式）</w:t>
      </w:r>
      <w:bookmarkEnd w:id="53"/>
      <w:bookmarkEnd w:id="57"/>
    </w:p>
    <w:p>
      <w:pPr>
        <w:keepNext/>
        <w:keepLines/>
        <w:spacing w:before="260" w:after="260" w:line="440" w:lineRule="exact"/>
        <w:jc w:val="center"/>
        <w:outlineLvl w:val="1"/>
        <w:rPr>
          <w:rFonts w:ascii="宋体" w:hAnsi="宋体" w:cs="宋体"/>
          <w:b/>
          <w:bCs/>
          <w:color w:val="auto"/>
          <w:sz w:val="24"/>
          <w:highlight w:val="none"/>
        </w:rPr>
      </w:pPr>
      <w:bookmarkStart w:id="58" w:name="_Toc31827"/>
      <w:bookmarkStart w:id="59" w:name="_Toc6548"/>
      <w:bookmarkStart w:id="60" w:name="_Toc19494"/>
      <w:bookmarkStart w:id="61" w:name="_Toc5116"/>
      <w:r>
        <w:rPr>
          <w:rFonts w:hint="eastAsia" w:ascii="宋体" w:hAnsi="宋体" w:cs="宋体"/>
          <w:b/>
          <w:bCs/>
          <w:color w:val="auto"/>
          <w:sz w:val="24"/>
          <w:highlight w:val="none"/>
        </w:rPr>
        <w:t>1、投标文件密封袋/封面参考</w:t>
      </w:r>
      <w:bookmarkEnd w:id="58"/>
      <w:bookmarkEnd w:id="59"/>
      <w:bookmarkEnd w:id="60"/>
      <w:bookmarkEnd w:id="61"/>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noWrap w:val="0"/>
            <w:vAlign w:val="top"/>
          </w:tcPr>
          <w:p>
            <w:pPr>
              <w:pStyle w:val="2"/>
              <w:tabs>
                <w:tab w:val="left" w:pos="562"/>
                <w:tab w:val="left" w:pos="3372"/>
                <w:tab w:val="left" w:pos="3653"/>
              </w:tabs>
              <w:spacing w:line="360" w:lineRule="auto"/>
              <w:rPr>
                <w:rFonts w:ascii="仿宋_GB2312" w:eastAsia="仿宋_GB2312"/>
                <w:b/>
                <w:color w:val="auto"/>
                <w:sz w:val="32"/>
                <w:highlight w:val="none"/>
              </w:rPr>
            </w:pPr>
          </w:p>
          <w:p>
            <w:pPr>
              <w:pStyle w:val="2"/>
              <w:tabs>
                <w:tab w:val="left" w:pos="562"/>
                <w:tab w:val="left" w:pos="3372"/>
                <w:tab w:val="left" w:pos="3653"/>
              </w:tabs>
              <w:spacing w:line="360" w:lineRule="auto"/>
              <w:jc w:val="center"/>
              <w:rPr>
                <w:rFonts w:ascii="黑体" w:eastAsia="黑体"/>
                <w:b/>
                <w:color w:val="auto"/>
                <w:sz w:val="72"/>
                <w:szCs w:val="72"/>
                <w:highlight w:val="none"/>
              </w:rPr>
            </w:pPr>
          </w:p>
          <w:p>
            <w:pPr>
              <w:pStyle w:val="2"/>
              <w:tabs>
                <w:tab w:val="left" w:pos="562"/>
                <w:tab w:val="left" w:pos="3372"/>
                <w:tab w:val="left" w:pos="3653"/>
              </w:tabs>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2"/>
              <w:tabs>
                <w:tab w:val="left" w:pos="562"/>
                <w:tab w:val="left" w:pos="3372"/>
                <w:tab w:val="left" w:pos="3653"/>
              </w:tabs>
              <w:spacing w:line="360" w:lineRule="auto"/>
              <w:jc w:val="center"/>
              <w:rPr>
                <w:rFonts w:ascii="黑体" w:eastAsia="黑体"/>
                <w:b/>
                <w:strike/>
                <w:color w:val="auto"/>
                <w:sz w:val="32"/>
                <w:highlight w:val="none"/>
              </w:rPr>
            </w:pP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pPr>
              <w:pStyle w:val="2"/>
              <w:tabs>
                <w:tab w:val="left" w:pos="562"/>
                <w:tab w:val="left" w:pos="3372"/>
                <w:tab w:val="left" w:pos="3653"/>
              </w:tabs>
              <w:spacing w:line="360" w:lineRule="auto"/>
              <w:rPr>
                <w:rFonts w:ascii="仿宋_GB2312" w:eastAsia="仿宋_GB2312"/>
                <w:b/>
                <w:color w:val="auto"/>
                <w:sz w:val="32"/>
                <w:highlight w:val="none"/>
              </w:rPr>
            </w:pPr>
          </w:p>
          <w:p>
            <w:pPr>
              <w:rPr>
                <w:color w:val="auto"/>
                <w:highlight w:val="none"/>
              </w:rPr>
            </w:pPr>
          </w:p>
          <w:p>
            <w:pPr>
              <w:pStyle w:val="2"/>
              <w:tabs>
                <w:tab w:val="left" w:pos="562"/>
                <w:tab w:val="left" w:pos="3372"/>
                <w:tab w:val="left" w:pos="3653"/>
              </w:tabs>
              <w:spacing w:line="400" w:lineRule="exact"/>
              <w:ind w:firstLine="900" w:firstLineChars="320"/>
              <w:rPr>
                <w:rFonts w:ascii="仿宋_GB2312" w:eastAsia="仿宋_GB2312"/>
                <w:b/>
                <w:color w:val="auto"/>
                <w:sz w:val="28"/>
                <w:szCs w:val="28"/>
                <w:highlight w:val="none"/>
              </w:rPr>
            </w:pP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项目名称：</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r>
              <w:rPr>
                <w:rFonts w:hint="eastAsia" w:ascii="宋体" w:hAnsi="宋体" w:cs="Arial"/>
                <w:b/>
                <w:bCs/>
                <w:color w:val="auto"/>
                <w:sz w:val="28"/>
                <w:szCs w:val="28"/>
                <w:highlight w:val="none"/>
                <w:u w:val="single"/>
              </w:rPr>
              <w:t xml:space="preserve">                     （加盖公章）</w:t>
            </w:r>
          </w:p>
          <w:p>
            <w:pPr>
              <w:pStyle w:val="2"/>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rPr>
            </w:pPr>
            <w:r>
              <w:rPr>
                <w:rFonts w:hint="eastAsia" w:ascii="宋体" w:hAnsi="宋体" w:cs="宋体"/>
                <w:b/>
                <w:color w:val="auto"/>
                <w:sz w:val="28"/>
                <w:szCs w:val="28"/>
                <w:highlight w:val="none"/>
              </w:rPr>
              <w:t>投标人地址：</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rPr>
            </w:pPr>
            <w:r>
              <w:rPr>
                <w:rFonts w:hint="eastAsia" w:ascii="宋体" w:hAnsi="宋体" w:cs="Arial"/>
                <w:b/>
                <w:bCs/>
                <w:color w:val="auto"/>
                <w:sz w:val="28"/>
                <w:szCs w:val="28"/>
                <w:highlight w:val="none"/>
              </w:rPr>
              <w:t>法定代表人/被授权人：</w:t>
            </w:r>
            <w:r>
              <w:rPr>
                <w:rFonts w:hint="eastAsia" w:ascii="宋体" w:hAnsi="宋体" w:cs="Arial"/>
                <w:b/>
                <w:bCs/>
                <w:color w:val="auto"/>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rPr>
            </w:pPr>
            <w:r>
              <w:rPr>
                <w:rFonts w:hint="eastAsia" w:ascii="宋体" w:hAnsi="宋体" w:cs="Arial"/>
                <w:b/>
                <w:bCs/>
                <w:color w:val="auto"/>
                <w:sz w:val="28"/>
                <w:szCs w:val="28"/>
                <w:highlight w:val="none"/>
              </w:rPr>
              <w:t>联系电话：</w:t>
            </w:r>
            <w:r>
              <w:rPr>
                <w:rFonts w:hint="eastAsia" w:ascii="宋体" w:hAnsi="宋体" w:cs="Arial"/>
                <w:b/>
                <w:bCs/>
                <w:color w:val="auto"/>
                <w:sz w:val="28"/>
                <w:szCs w:val="28"/>
                <w:highlight w:val="none"/>
                <w:u w:val="single"/>
              </w:rPr>
              <w:t xml:space="preserve">                                   </w:t>
            </w:r>
          </w:p>
          <w:p>
            <w:pPr>
              <w:spacing w:line="360" w:lineRule="auto"/>
              <w:jc w:val="center"/>
              <w:rPr>
                <w:rFonts w:ascii="宋体" w:hAnsi="宋体" w:cs="Arial"/>
                <w:b/>
                <w:bCs/>
                <w:color w:val="auto"/>
                <w:sz w:val="28"/>
                <w:szCs w:val="28"/>
                <w:highlight w:val="none"/>
              </w:rPr>
            </w:pPr>
          </w:p>
          <w:p>
            <w:pPr>
              <w:spacing w:line="360" w:lineRule="auto"/>
              <w:jc w:val="center"/>
              <w:rPr>
                <w:rFonts w:ascii="宋体" w:hAnsi="宋体" w:cs="Arial"/>
                <w:b/>
                <w:bCs/>
                <w:color w:val="auto"/>
                <w:sz w:val="28"/>
                <w:szCs w:val="28"/>
                <w:highlight w:val="none"/>
              </w:rPr>
            </w:pPr>
          </w:p>
          <w:p>
            <w:pPr>
              <w:spacing w:line="360" w:lineRule="auto"/>
              <w:jc w:val="center"/>
              <w:rPr>
                <w:rFonts w:ascii="仿宋_GB2312" w:eastAsia="仿宋_GB2312"/>
                <w:b/>
                <w:color w:val="auto"/>
                <w:sz w:val="32"/>
                <w:highlight w:val="none"/>
              </w:rPr>
            </w:pPr>
            <w:r>
              <w:rPr>
                <w:rFonts w:hint="eastAsia" w:ascii="宋体" w:hAnsi="宋体" w:cs="Arial"/>
                <w:b/>
                <w:bCs/>
                <w:color w:val="auto"/>
                <w:sz w:val="28"/>
                <w:szCs w:val="28"/>
                <w:highlight w:val="none"/>
              </w:rPr>
              <w:t>【年月日时分之前不得启封。】</w:t>
            </w:r>
          </w:p>
        </w:tc>
      </w:tr>
    </w:tbl>
    <w:p>
      <w:pPr>
        <w:spacing w:line="360" w:lineRule="auto"/>
        <w:jc w:val="center"/>
        <w:rPr>
          <w:rFonts w:ascii="宋体" w:hAnsi="宋体" w:cs="宋体"/>
          <w:b/>
          <w:bCs/>
          <w:color w:val="auto"/>
          <w:sz w:val="24"/>
          <w:highlight w:val="none"/>
        </w:rPr>
      </w:pPr>
    </w:p>
    <w:p>
      <w:pPr>
        <w:spacing w:before="100" w:beforeAutospacing="1" w:after="100" w:afterAutospacing="1"/>
        <w:jc w:val="center"/>
        <w:outlineLvl w:val="1"/>
        <w:rPr>
          <w:rFonts w:ascii="宋体" w:hAnsi="宋体" w:cs="宋体"/>
          <w:b/>
          <w:color w:val="auto"/>
          <w:sz w:val="24"/>
          <w:highlight w:val="none"/>
        </w:rPr>
      </w:pPr>
      <w:bookmarkStart w:id="62" w:name="_Toc16724"/>
      <w:r>
        <w:rPr>
          <w:rFonts w:hint="eastAsia" w:ascii="宋体" w:hAnsi="宋体" w:cs="宋体"/>
          <w:b/>
          <w:color w:val="auto"/>
          <w:sz w:val="24"/>
          <w:highlight w:val="none"/>
        </w:rPr>
        <w:t>2、投标文件—目录</w:t>
      </w:r>
      <w:bookmarkEnd w:id="62"/>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6"/>
        </w:numPr>
        <w:tabs>
          <w:tab w:val="left" w:pos="640"/>
          <w:tab w:val="clear" w:pos="425"/>
        </w:tabs>
        <w:spacing w:line="360" w:lineRule="auto"/>
        <w:ind w:left="625" w:hanging="625"/>
        <w:rPr>
          <w:rFonts w:ascii="宋体" w:hAnsi="宋体" w:cs="宋体"/>
          <w:color w:val="auto"/>
          <w:sz w:val="24"/>
          <w:highlight w:val="none"/>
        </w:rPr>
      </w:pPr>
      <w:r>
        <w:rPr>
          <w:rFonts w:hint="eastAsia" w:ascii="宋体" w:hAnsi="宋体" w:cs="宋体"/>
          <w:color w:val="auto"/>
          <w:sz w:val="24"/>
          <w:highlight w:val="none"/>
        </w:rPr>
        <w:t>投标一览表；</w:t>
      </w:r>
    </w:p>
    <w:p>
      <w:pPr>
        <w:numPr>
          <w:ilvl w:val="0"/>
          <w:numId w:val="6"/>
        </w:numPr>
        <w:tabs>
          <w:tab w:val="left" w:pos="640"/>
          <w:tab w:val="clear" w:pos="425"/>
        </w:tabs>
        <w:spacing w:line="360" w:lineRule="auto"/>
        <w:ind w:left="625" w:hanging="625"/>
        <w:rPr>
          <w:rFonts w:ascii="宋体" w:hAnsi="宋体" w:cs="宋体"/>
          <w:color w:val="auto"/>
          <w:sz w:val="24"/>
          <w:highlight w:val="none"/>
        </w:rPr>
      </w:pPr>
      <w:r>
        <w:rPr>
          <w:rFonts w:hint="eastAsia" w:ascii="宋体" w:hAnsi="宋体" w:cs="宋体"/>
          <w:color w:val="auto"/>
          <w:sz w:val="24"/>
          <w:highlight w:val="none"/>
        </w:rPr>
        <w:t>分类报价明细表；</w:t>
      </w:r>
    </w:p>
    <w:p>
      <w:pPr>
        <w:spacing w:line="360" w:lineRule="auto"/>
        <w:rPr>
          <w:rFonts w:ascii="宋体" w:hAnsi="宋体" w:cs="宋体"/>
          <w:b/>
          <w:bCs/>
          <w:color w:val="auto"/>
          <w:sz w:val="24"/>
          <w:highlight w:val="none"/>
          <w:u w:val="wave"/>
        </w:rPr>
      </w:pPr>
      <w:r>
        <w:rPr>
          <w:rFonts w:hint="eastAsia" w:ascii="宋体" w:hAnsi="宋体" w:cs="宋体"/>
          <w:b/>
          <w:bCs/>
          <w:color w:val="auto"/>
          <w:sz w:val="24"/>
          <w:highlight w:val="none"/>
        </w:rPr>
        <w:t>（二）商务部分</w:t>
      </w:r>
    </w:p>
    <w:p>
      <w:pPr>
        <w:numPr>
          <w:ilvl w:val="0"/>
          <w:numId w:val="7"/>
        </w:numPr>
        <w:tabs>
          <w:tab w:val="left" w:pos="6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投标响应书；</w:t>
      </w:r>
    </w:p>
    <w:p>
      <w:pPr>
        <w:numPr>
          <w:ilvl w:val="0"/>
          <w:numId w:val="7"/>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7"/>
        </w:numPr>
        <w:tabs>
          <w:tab w:val="left" w:pos="640"/>
          <w:tab w:val="left" w:pos="1260"/>
          <w:tab w:val="left" w:pos="1418"/>
        </w:tabs>
        <w:spacing w:line="360" w:lineRule="auto"/>
        <w:ind w:left="645" w:hanging="645"/>
        <w:rPr>
          <w:rFonts w:ascii="宋体" w:hAnsi="宋体" w:cs="宋体"/>
          <w:b/>
          <w:bCs/>
          <w:color w:val="auto"/>
          <w:sz w:val="24"/>
          <w:highlight w:val="none"/>
          <w:lang w:val="fr-CH"/>
        </w:rPr>
      </w:pPr>
      <w:r>
        <w:rPr>
          <w:rFonts w:hint="eastAsia" w:ascii="宋体" w:hAnsi="宋体" w:cs="宋体"/>
          <w:color w:val="auto"/>
          <w:sz w:val="24"/>
          <w:highlight w:val="none"/>
          <w:lang w:val="fr-CH"/>
        </w:rPr>
        <w:t>政府采购投标及履约承诺函；</w:t>
      </w:r>
    </w:p>
    <w:p>
      <w:pPr>
        <w:numPr>
          <w:ilvl w:val="0"/>
          <w:numId w:val="7"/>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关于资格的声明函；</w:t>
      </w:r>
    </w:p>
    <w:p>
      <w:pPr>
        <w:numPr>
          <w:ilvl w:val="0"/>
          <w:numId w:val="7"/>
        </w:numPr>
        <w:tabs>
          <w:tab w:val="left" w:pos="640"/>
          <w:tab w:val="left" w:pos="1260"/>
          <w:tab w:val="left" w:pos="1418"/>
        </w:tabs>
        <w:spacing w:line="360" w:lineRule="auto"/>
        <w:ind w:left="645" w:hanging="645"/>
        <w:rPr>
          <w:rFonts w:ascii="宋体" w:hAnsi="宋体" w:cs="宋体"/>
          <w:b/>
          <w:bCs/>
          <w:color w:val="auto"/>
          <w:sz w:val="24"/>
          <w:highlight w:val="none"/>
          <w:lang w:val="fr-CH"/>
        </w:rPr>
      </w:pPr>
      <w:r>
        <w:rPr>
          <w:rFonts w:hint="eastAsia" w:ascii="宋体" w:hAnsi="宋体" w:cs="宋体"/>
          <w:color w:val="auto"/>
          <w:sz w:val="24"/>
          <w:highlight w:val="none"/>
          <w:lang w:val="fr-CH"/>
        </w:rPr>
        <w:t>法人代表证明书及身份证明；</w:t>
      </w:r>
    </w:p>
    <w:p>
      <w:pPr>
        <w:numPr>
          <w:ilvl w:val="0"/>
          <w:numId w:val="7"/>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法定代表人授权书及身份证明；</w:t>
      </w:r>
    </w:p>
    <w:p>
      <w:pPr>
        <w:numPr>
          <w:ilvl w:val="0"/>
          <w:numId w:val="7"/>
        </w:numPr>
        <w:tabs>
          <w:tab w:val="left" w:pos="640"/>
          <w:tab w:val="left" w:pos="1260"/>
          <w:tab w:val="left" w:pos="1418"/>
        </w:tabs>
        <w:spacing w:line="360" w:lineRule="auto"/>
        <w:ind w:left="845" w:hanging="845"/>
        <w:rPr>
          <w:rFonts w:ascii="宋体" w:hAnsi="宋体" w:cs="宋体"/>
          <w:b/>
          <w:bCs/>
          <w:color w:val="auto"/>
          <w:sz w:val="24"/>
          <w:highlight w:val="none"/>
          <w:lang w:val="fr-CH"/>
        </w:rPr>
      </w:pPr>
      <w:r>
        <w:rPr>
          <w:rFonts w:hint="eastAsia" w:ascii="宋体" w:hAnsi="宋体" w:cs="宋体"/>
          <w:color w:val="auto"/>
          <w:sz w:val="24"/>
          <w:highlight w:val="none"/>
          <w:lang w:val="fr-CH"/>
        </w:rPr>
        <w:t>招标代理服务费承诺书；</w:t>
      </w:r>
    </w:p>
    <w:p>
      <w:pPr>
        <w:numPr>
          <w:ilvl w:val="0"/>
          <w:numId w:val="7"/>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投标人简介；</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bookmarkStart w:id="63" w:name="OLE_LINK29"/>
      <w:r>
        <w:rPr>
          <w:rFonts w:hint="eastAsia" w:ascii="宋体" w:hAnsi="宋体" w:cs="宋体"/>
          <w:color w:val="auto"/>
          <w:sz w:val="24"/>
          <w:highlight w:val="none"/>
          <w:lang w:val="fr-CH"/>
        </w:rPr>
        <w:t>项目负责人情况</w:t>
      </w:r>
      <w:r>
        <w:rPr>
          <w:rFonts w:hint="eastAsia" w:ascii="宋体" w:hAnsi="宋体" w:cs="宋体"/>
          <w:color w:val="auto"/>
          <w:sz w:val="24"/>
          <w:highlight w:val="none"/>
          <w:lang w:val="fr-CH" w:eastAsia="zh-CN"/>
        </w:rPr>
        <w:t>；</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团队成员（项目负责人除外）</w:t>
      </w:r>
      <w:r>
        <w:rPr>
          <w:rFonts w:hint="eastAsia" w:ascii="宋体" w:hAnsi="宋体" w:cs="宋体"/>
          <w:color w:val="auto"/>
          <w:sz w:val="24"/>
          <w:highlight w:val="none"/>
          <w:lang w:val="fr-CH" w:eastAsia="zh-CN"/>
        </w:rPr>
        <w:t>；</w:t>
      </w:r>
    </w:p>
    <w:bookmarkEnd w:id="63"/>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t>诚信声明与承诺；</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政府采购违法行为风险知悉确认书；</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参与价格扣除的证明文件；</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rPr>
      </w:pPr>
      <w:bookmarkStart w:id="64" w:name="OLE_LINK45"/>
      <w:r>
        <w:rPr>
          <w:rFonts w:hint="eastAsia" w:ascii="宋体" w:hAnsi="宋体" w:cs="宋体"/>
          <w:color w:val="auto"/>
          <w:sz w:val="24"/>
          <w:highlight w:val="none"/>
        </w:rPr>
        <w:t>供应商基本情况表、社保证明及股权关系证明</w:t>
      </w:r>
      <w:bookmarkEnd w:id="64"/>
      <w:r>
        <w:rPr>
          <w:rFonts w:hint="eastAsia" w:ascii="宋体" w:hAnsi="宋体" w:cs="宋体"/>
          <w:color w:val="auto"/>
          <w:sz w:val="24"/>
          <w:highlight w:val="none"/>
        </w:rPr>
        <w:t>；</w:t>
      </w:r>
    </w:p>
    <w:p>
      <w:pPr>
        <w:numPr>
          <w:ilvl w:val="0"/>
          <w:numId w:val="7"/>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投标人认为有必要提供的其他材料。</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（三）技术部分</w:t>
      </w:r>
    </w:p>
    <w:p>
      <w:pPr>
        <w:numPr>
          <w:ilvl w:val="0"/>
          <w:numId w:val="8"/>
        </w:numPr>
        <w:tabs>
          <w:tab w:val="left" w:pos="640"/>
          <w:tab w:val="left" w:pos="1260"/>
          <w:tab w:val="left" w:pos="1418"/>
        </w:tabs>
        <w:spacing w:line="360" w:lineRule="auto"/>
        <w:ind w:left="640" w:right="-420" w:rightChars="-200" w:hanging="640"/>
        <w:rPr>
          <w:rFonts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bookmarkStart w:id="65" w:name="OLE_LINK30"/>
      <w:r>
        <w:rPr>
          <w:rFonts w:hint="eastAsia" w:ascii="宋体" w:hAnsi="宋体" w:cs="宋体"/>
          <w:color w:val="auto"/>
          <w:sz w:val="24"/>
          <w:highlight w:val="none"/>
          <w:lang w:val="fr-CH"/>
        </w:rPr>
        <w:t>实施方案</w:t>
      </w:r>
      <w:r>
        <w:rPr>
          <w:rFonts w:hint="eastAsia" w:ascii="宋体" w:hAnsi="宋体" w:cs="宋体"/>
          <w:color w:val="auto"/>
          <w:sz w:val="24"/>
          <w:highlight w:val="none"/>
          <w:lang w:val="fr-CH" w:eastAsia="zh-CN"/>
        </w:rPr>
        <w:t>；</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项目重点难点分析、应对措施及相关的合理化建议</w:t>
      </w:r>
      <w:r>
        <w:rPr>
          <w:rFonts w:hint="eastAsia" w:ascii="宋体" w:hAnsi="宋体" w:cs="宋体"/>
          <w:color w:val="auto"/>
          <w:sz w:val="24"/>
          <w:highlight w:val="none"/>
          <w:lang w:val="fr-CH" w:eastAsia="zh-CN"/>
        </w:rPr>
        <w:t>；</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质量保障措施及方案</w:t>
      </w:r>
      <w:r>
        <w:rPr>
          <w:rFonts w:hint="eastAsia" w:ascii="宋体" w:hAnsi="宋体" w:cs="宋体"/>
          <w:color w:val="auto"/>
          <w:sz w:val="24"/>
          <w:highlight w:val="none"/>
          <w:lang w:val="fr-CH" w:eastAsia="zh-CN"/>
        </w:rPr>
        <w:t>；</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项目完成（服务期满）后的服务方案</w:t>
      </w:r>
      <w:r>
        <w:rPr>
          <w:rFonts w:hint="eastAsia" w:ascii="宋体" w:hAnsi="宋体" w:cs="宋体"/>
          <w:color w:val="auto"/>
          <w:sz w:val="24"/>
          <w:highlight w:val="none"/>
          <w:lang w:val="fr-CH" w:eastAsia="zh-CN"/>
        </w:rPr>
        <w:t>；</w:t>
      </w:r>
    </w:p>
    <w:bookmarkEnd w:id="65"/>
    <w:p>
      <w:pPr>
        <w:numPr>
          <w:ilvl w:val="0"/>
          <w:numId w:val="8"/>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t>投标人认为有必要提供的其他材料。</w:t>
      </w:r>
    </w:p>
    <w:p>
      <w:pPr>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9"/>
        </w:numPr>
        <w:tabs>
          <w:tab w:val="left" w:pos="640"/>
          <w:tab w:val="clear" w:pos="425"/>
        </w:tabs>
        <w:ind w:left="625" w:hanging="625"/>
        <w:rPr>
          <w:rFonts w:ascii="宋体" w:hAnsi="宋体" w:cs="宋体"/>
          <w:color w:val="auto"/>
          <w:sz w:val="24"/>
          <w:highlight w:val="none"/>
        </w:rPr>
      </w:pPr>
      <w:r>
        <w:rPr>
          <w:rFonts w:hint="eastAsia" w:ascii="宋体" w:hAnsi="宋体" w:cs="宋体"/>
          <w:color w:val="auto"/>
          <w:sz w:val="24"/>
          <w:highlight w:val="none"/>
        </w:rPr>
        <w:t>投标一览表；</w:t>
      </w:r>
    </w:p>
    <w:p>
      <w:pPr>
        <w:spacing w:line="360" w:lineRule="auto"/>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投标一览表</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896" w:type="dxa"/>
            <w:noWrap w:val="0"/>
            <w:vAlign w:val="center"/>
          </w:tcPr>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投标价</w:t>
            </w:r>
          </w:p>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（人民币）</w:t>
            </w:r>
          </w:p>
        </w:tc>
        <w:tc>
          <w:tcPr>
            <w:tcW w:w="1318" w:type="dxa"/>
            <w:noWrap w:val="0"/>
            <w:vAlign w:val="center"/>
          </w:tcPr>
          <w:p>
            <w:pPr>
              <w:spacing w:after="60"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ascii="宋体" w:hAnsi="宋体" w:cs="宋体"/>
                <w:color w:val="auto"/>
                <w:sz w:val="24"/>
                <w:highlight w:val="none"/>
                <w:u w:val="single"/>
              </w:rPr>
            </w:pPr>
          </w:p>
        </w:tc>
        <w:tc>
          <w:tcPr>
            <w:tcW w:w="2896" w:type="dxa"/>
            <w:noWrap w:val="0"/>
            <w:vAlign w:val="center"/>
          </w:tcPr>
          <w:p>
            <w:pPr>
              <w:spacing w:line="360" w:lineRule="auto"/>
              <w:jc w:val="center"/>
              <w:rPr>
                <w:rFonts w:ascii="宋体" w:hAnsi="宋体" w:cs="宋体"/>
                <w:color w:val="auto"/>
                <w:sz w:val="24"/>
                <w:highlight w:val="none"/>
                <w:u w:val="single"/>
              </w:rPr>
            </w:pPr>
          </w:p>
        </w:tc>
        <w:tc>
          <w:tcPr>
            <w:tcW w:w="1318" w:type="dxa"/>
            <w:noWrap w:val="0"/>
            <w:vAlign w:val="center"/>
          </w:tcPr>
          <w:p>
            <w:pPr>
              <w:spacing w:line="360" w:lineRule="auto"/>
              <w:jc w:val="center"/>
              <w:rPr>
                <w:rFonts w:ascii="宋体" w:hAnsi="宋体" w:cs="宋体"/>
                <w:color w:val="auto"/>
                <w:sz w:val="24"/>
                <w:highlight w:val="none"/>
                <w:u w:val="singl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2"/>
        <w:rPr>
          <w:color w:val="auto"/>
          <w:highlight w:val="none"/>
        </w:rPr>
      </w:pPr>
    </w:p>
    <w:p>
      <w:pPr>
        <w:numPr>
          <w:ilvl w:val="0"/>
          <w:numId w:val="9"/>
        </w:numPr>
        <w:tabs>
          <w:tab w:val="left" w:pos="640"/>
          <w:tab w:val="clear" w:pos="425"/>
        </w:tabs>
        <w:ind w:left="625" w:hanging="625"/>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分项报价清单；</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分项报价清单</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序号</w:t>
            </w:r>
          </w:p>
        </w:tc>
        <w:tc>
          <w:tcPr>
            <w:tcW w:w="2212" w:type="dxa"/>
            <w:noWrap w:val="0"/>
            <w:vAlign w:val="center"/>
          </w:tcPr>
          <w:p>
            <w:pPr>
              <w:pStyle w:val="9"/>
              <w:spacing w:line="360" w:lineRule="auto"/>
              <w:jc w:val="center"/>
              <w:rPr>
                <w:rFonts w:hAnsi="宋体" w:cs="宋体"/>
                <w:color w:val="auto"/>
                <w:sz w:val="24"/>
                <w:highlight w:val="none"/>
              </w:rPr>
            </w:pPr>
            <w:r>
              <w:rPr>
                <w:rFonts w:hint="eastAsia" w:hAnsi="宋体" w:cs="宋体"/>
                <w:color w:val="auto"/>
                <w:sz w:val="24"/>
                <w:highlight w:val="none"/>
              </w:rPr>
              <w:t>项目名称、内容</w:t>
            </w:r>
          </w:p>
        </w:tc>
        <w:tc>
          <w:tcPr>
            <w:tcW w:w="720" w:type="dxa"/>
            <w:noWrap w:val="0"/>
            <w:vAlign w:val="center"/>
          </w:tcPr>
          <w:p>
            <w:pPr>
              <w:pStyle w:val="9"/>
              <w:spacing w:line="360" w:lineRule="auto"/>
              <w:jc w:val="center"/>
              <w:rPr>
                <w:rFonts w:hAnsi="宋体" w:cs="宋体"/>
                <w:color w:val="auto"/>
                <w:sz w:val="24"/>
                <w:highlight w:val="none"/>
              </w:rPr>
            </w:pPr>
            <w:r>
              <w:rPr>
                <w:rFonts w:hint="eastAsia" w:hAnsi="宋体" w:cs="宋体"/>
                <w:color w:val="auto"/>
                <w:sz w:val="24"/>
                <w:highlight w:val="none"/>
              </w:rPr>
              <w:t>单位</w:t>
            </w:r>
          </w:p>
        </w:tc>
        <w:tc>
          <w:tcPr>
            <w:tcW w:w="1800" w:type="dxa"/>
            <w:noWrap w:val="0"/>
            <w:vAlign w:val="center"/>
          </w:tcPr>
          <w:p>
            <w:pPr>
              <w:pStyle w:val="9"/>
              <w:spacing w:line="360" w:lineRule="auto"/>
              <w:jc w:val="center"/>
              <w:rPr>
                <w:rFonts w:hAnsi="宋体" w:cs="宋体"/>
                <w:color w:val="auto"/>
                <w:sz w:val="24"/>
                <w:highlight w:val="none"/>
              </w:rPr>
            </w:pPr>
            <w:r>
              <w:rPr>
                <w:rFonts w:hint="eastAsia" w:hAnsi="宋体" w:cs="宋体"/>
                <w:color w:val="auto"/>
                <w:sz w:val="24"/>
                <w:highlight w:val="none"/>
              </w:rPr>
              <w:t>数量（工作量）</w:t>
            </w:r>
          </w:p>
        </w:tc>
        <w:tc>
          <w:tcPr>
            <w:tcW w:w="1620" w:type="dxa"/>
            <w:noWrap w:val="0"/>
            <w:vAlign w:val="center"/>
          </w:tcPr>
          <w:p>
            <w:pPr>
              <w:pStyle w:val="9"/>
              <w:spacing w:line="360" w:lineRule="auto"/>
              <w:jc w:val="center"/>
              <w:rPr>
                <w:rFonts w:hAnsi="宋体" w:cs="宋体"/>
                <w:color w:val="auto"/>
                <w:sz w:val="24"/>
                <w:highlight w:val="none"/>
              </w:rPr>
            </w:pPr>
            <w:r>
              <w:rPr>
                <w:rFonts w:hint="eastAsia" w:hAnsi="宋体" w:cs="宋体"/>
                <w:color w:val="auto"/>
                <w:sz w:val="24"/>
                <w:highlight w:val="none"/>
              </w:rPr>
              <w:t>单价</w:t>
            </w:r>
          </w:p>
        </w:tc>
        <w:tc>
          <w:tcPr>
            <w:tcW w:w="1620" w:type="dxa"/>
            <w:noWrap w:val="0"/>
            <w:vAlign w:val="center"/>
          </w:tcPr>
          <w:p>
            <w:pPr>
              <w:pStyle w:val="9"/>
              <w:spacing w:line="360" w:lineRule="auto"/>
              <w:jc w:val="center"/>
              <w:rPr>
                <w:rFonts w:hAnsi="宋体" w:cs="宋体"/>
                <w:color w:val="auto"/>
                <w:sz w:val="24"/>
                <w:highlight w:val="none"/>
              </w:rPr>
            </w:pPr>
            <w:r>
              <w:rPr>
                <w:rFonts w:hint="eastAsia" w:hAnsi="宋体" w:cs="宋体"/>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1</w:t>
            </w:r>
          </w:p>
        </w:tc>
        <w:tc>
          <w:tcPr>
            <w:tcW w:w="2212" w:type="dxa"/>
            <w:noWrap w:val="0"/>
            <w:vAlign w:val="center"/>
          </w:tcPr>
          <w:p>
            <w:pPr>
              <w:pStyle w:val="9"/>
              <w:spacing w:line="360" w:lineRule="auto"/>
              <w:jc w:val="center"/>
              <w:rPr>
                <w:rFonts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2</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3</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4</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5</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6</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7</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8</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9</w:t>
            </w:r>
          </w:p>
        </w:tc>
        <w:tc>
          <w:tcPr>
            <w:tcW w:w="2212" w:type="dxa"/>
            <w:noWrap w:val="0"/>
            <w:vAlign w:val="center"/>
          </w:tcPr>
          <w:p>
            <w:pPr>
              <w:autoSpaceDE w:val="0"/>
              <w:autoSpaceDN w:val="0"/>
              <w:adjustRightInd w:val="0"/>
              <w:spacing w:line="360" w:lineRule="auto"/>
              <w:jc w:val="center"/>
              <w:rPr>
                <w:rFonts w:ascii="宋体" w:hAnsi="宋体" w:cs="宋体"/>
                <w:color w:val="auto"/>
                <w:sz w:val="24"/>
                <w:highlight w:val="none"/>
              </w:rPr>
            </w:pP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Ansi="宋体" w:cs="宋体"/>
                <w:color w:val="auto"/>
                <w:sz w:val="24"/>
                <w:highlight w:val="none"/>
              </w:rPr>
            </w:pPr>
            <w:r>
              <w:rPr>
                <w:rFonts w:hint="eastAsia" w:hAnsi="宋体" w:cs="宋体"/>
                <w:color w:val="auto"/>
                <w:sz w:val="24"/>
                <w:highlight w:val="none"/>
              </w:rPr>
              <w:t>…</w:t>
            </w:r>
          </w:p>
        </w:tc>
        <w:tc>
          <w:tcPr>
            <w:tcW w:w="2212" w:type="dxa"/>
            <w:noWrap w:val="0"/>
            <w:vAlign w:val="center"/>
          </w:tcPr>
          <w:p>
            <w:pPr>
              <w:pStyle w:val="9"/>
              <w:spacing w:line="360" w:lineRule="auto"/>
              <w:jc w:val="center"/>
              <w:rPr>
                <w:rFonts w:hAnsi="宋体" w:cs="宋体"/>
                <w:color w:val="auto"/>
                <w:sz w:val="24"/>
                <w:highlight w:val="none"/>
              </w:rPr>
            </w:pPr>
            <w:r>
              <w:rPr>
                <w:rFonts w:hint="eastAsia" w:hAnsi="宋体" w:cs="宋体"/>
                <w:color w:val="auto"/>
                <w:sz w:val="24"/>
                <w:highlight w:val="none"/>
              </w:rPr>
              <w:t>…</w:t>
            </w:r>
          </w:p>
        </w:tc>
        <w:tc>
          <w:tcPr>
            <w:tcW w:w="720" w:type="dxa"/>
            <w:noWrap w:val="0"/>
            <w:vAlign w:val="center"/>
          </w:tcPr>
          <w:p>
            <w:pPr>
              <w:pStyle w:val="9"/>
              <w:spacing w:line="360" w:lineRule="auto"/>
              <w:jc w:val="center"/>
              <w:rPr>
                <w:rFonts w:hAnsi="宋体" w:cs="宋体"/>
                <w:color w:val="auto"/>
                <w:sz w:val="24"/>
                <w:highlight w:val="none"/>
              </w:rPr>
            </w:pPr>
          </w:p>
        </w:tc>
        <w:tc>
          <w:tcPr>
            <w:tcW w:w="180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c>
          <w:tcPr>
            <w:tcW w:w="1620" w:type="dxa"/>
            <w:noWrap w:val="0"/>
            <w:vAlign w:val="center"/>
          </w:tcPr>
          <w:p>
            <w:pPr>
              <w:pStyle w:val="9"/>
              <w:spacing w:line="360" w:lineRule="auto"/>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9"/>
              <w:spacing w:line="360" w:lineRule="auto"/>
              <w:rPr>
                <w:rFonts w:hAnsi="宋体" w:cs="宋体"/>
                <w:color w:val="auto"/>
                <w:sz w:val="24"/>
                <w:highlight w:val="none"/>
              </w:rPr>
            </w:pPr>
            <w:r>
              <w:rPr>
                <w:rFonts w:hint="eastAsia" w:hAnsi="宋体" w:cs="宋体"/>
                <w:color w:val="auto"/>
                <w:sz w:val="24"/>
                <w:highlight w:val="none"/>
              </w:rPr>
              <w:t>报价合计</w:t>
            </w: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 ________________________</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outlineLvl w:val="2"/>
        <w:rPr>
          <w:rFonts w:ascii="宋体" w:hAnsi="宋体" w:cs="宋体"/>
          <w:b/>
          <w:bCs/>
          <w:color w:val="auto"/>
          <w:sz w:val="24"/>
          <w:highlight w:val="none"/>
          <w:u w:val="wav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（二）商务部分</w:t>
      </w:r>
    </w:p>
    <w:p>
      <w:pPr>
        <w:numPr>
          <w:ilvl w:val="0"/>
          <w:numId w:val="10"/>
        </w:numPr>
        <w:tabs>
          <w:tab w:val="left" w:pos="6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t>投标响应书；</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投标响应书</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ind w:firstLine="494" w:firstLineChars="206"/>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         ），签字代表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一份正本四份副本以及</w:t>
      </w:r>
      <w:bookmarkStart w:id="66" w:name="OLE_LINK2"/>
      <w:r>
        <w:rPr>
          <w:rFonts w:hint="eastAsia" w:ascii="宋体" w:hAnsi="宋体" w:cs="宋体"/>
          <w:b/>
          <w:color w:val="auto"/>
          <w:sz w:val="24"/>
          <w:highlight w:val="none"/>
          <w:lang w:val="en-US" w:eastAsia="zh-CN"/>
        </w:rPr>
        <w:t>一份</w:t>
      </w:r>
      <w:r>
        <w:rPr>
          <w:rFonts w:hint="eastAsia" w:ascii="宋体" w:hAnsi="宋体" w:cs="宋体"/>
          <w:b/>
          <w:color w:val="auto"/>
          <w:sz w:val="24"/>
          <w:highlight w:val="none"/>
        </w:rPr>
        <w:t>PDF格式的正本投标文件扫描件的</w:t>
      </w:r>
      <w:bookmarkEnd w:id="66"/>
      <w:r>
        <w:rPr>
          <w:rFonts w:hint="eastAsia" w:ascii="宋体" w:hAnsi="宋体" w:cs="宋体"/>
          <w:color w:val="auto"/>
          <w:sz w:val="24"/>
          <w:highlight w:val="none"/>
        </w:rPr>
        <w:t>投标文件。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pPr>
        <w:spacing w:line="360" w:lineRule="auto"/>
        <w:rPr>
          <w:rFonts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投标供应商授权代表、职务（印刷体）：</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pStyle w:val="2"/>
        <w:rPr>
          <w:color w:val="auto"/>
          <w:highlight w:val="none"/>
        </w:rPr>
      </w:pPr>
    </w:p>
    <w:p>
      <w:pPr>
        <w:numPr>
          <w:ilvl w:val="0"/>
          <w:numId w:val="10"/>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sz w:val="24"/>
          <w:highlight w:val="none"/>
          <w:lang w:val="fr-CH"/>
        </w:rPr>
        <w:br w:type="page"/>
      </w:r>
    </w:p>
    <w:p>
      <w:pPr>
        <w:numPr>
          <w:ilvl w:val="0"/>
          <w:numId w:val="10"/>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t>政府采购投标及履约承诺函；</w:t>
      </w:r>
    </w:p>
    <w:p>
      <w:pPr>
        <w:spacing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lang w:val="fr-CH"/>
        </w:rPr>
        <w:t>政府采购投标及履约承诺函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及其法定代表人近三年内（投标人成立不足三年的可从成立之日起算）无行贿犯罪记录；</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我单位具备《中华人民共和国政府采购法》第二十二条第一款的条件。</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bidi="ar"/>
        </w:rPr>
        <w:t>符合财政部和深圳市财政局关于诚信管理的要求，</w:t>
      </w:r>
      <w:r>
        <w:rPr>
          <w:rFonts w:hint="eastAsia" w:ascii="宋体" w:hAnsi="宋体" w:cs="宋体"/>
          <w:color w:val="auto"/>
          <w:kern w:val="0"/>
          <w:sz w:val="24"/>
          <w:highlight w:val="none"/>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auto"/>
          <w:sz w:val="24"/>
          <w:highlight w:val="none"/>
        </w:rPr>
        <w:t>。</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以上承诺，如有违反，愿依照国家相关法律处理，并承担由此给采购人带来的损失。</w:t>
      </w:r>
    </w:p>
    <w:p>
      <w:pPr>
        <w:spacing w:line="360" w:lineRule="auto"/>
        <w:ind w:firstLine="480" w:firstLineChars="200"/>
        <w:rPr>
          <w:rFonts w:ascii="宋体" w:hAnsi="宋体" w:cs="宋体"/>
          <w:color w:val="auto"/>
          <w:sz w:val="24"/>
          <w:highlight w:val="none"/>
        </w:rPr>
      </w:pPr>
    </w:p>
    <w:p>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auto"/>
          <w:sz w:val="24"/>
          <w:highlight w:val="none"/>
        </w:rPr>
      </w:pPr>
      <w:r>
        <w:rPr>
          <w:rFonts w:hint="eastAsia" w:ascii="宋体" w:hAnsi="宋体" w:cs="宋体"/>
          <w:color w:val="auto"/>
          <w:sz w:val="24"/>
          <w:highlight w:val="none"/>
        </w:rPr>
        <w:t>日期：   年  月   日</w:t>
      </w:r>
    </w:p>
    <w:p>
      <w:pPr>
        <w:numPr>
          <w:ilvl w:val="0"/>
          <w:numId w:val="10"/>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hAnsi="宋体" w:cs="宋体"/>
          <w:color w:val="auto"/>
          <w:highlight w:val="none"/>
        </w:rPr>
        <w:br w:type="page"/>
      </w:r>
      <w:r>
        <w:rPr>
          <w:rFonts w:hint="eastAsia" w:ascii="宋体" w:hAnsi="宋体" w:cs="宋体"/>
          <w:color w:val="auto"/>
          <w:sz w:val="24"/>
          <w:highlight w:val="none"/>
        </w:rPr>
        <w:t>关于资格的声明函；</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关于资格的声明函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left="420"/>
        <w:rPr>
          <w:rFonts w:ascii="宋体" w:hAnsi="宋体" w:cs="宋体"/>
          <w:color w:val="auto"/>
          <w:sz w:val="24"/>
          <w:highlight w:val="none"/>
        </w:rPr>
      </w:pPr>
    </w:p>
    <w:p>
      <w:pPr>
        <w:tabs>
          <w:tab w:val="left" w:pos="4860"/>
        </w:tabs>
        <w:adjustRightInd w:val="0"/>
        <w:snapToGrid w:val="0"/>
        <w:spacing w:line="360" w:lineRule="auto"/>
        <w:ind w:right="105" w:rightChars="50"/>
        <w:rPr>
          <w:rFonts w:ascii="宋体" w:hAnsi="宋体" w:cs="宋体"/>
          <w:color w:val="auto"/>
          <w:sz w:val="24"/>
          <w:highlight w:val="none"/>
        </w:rPr>
      </w:pPr>
      <w:r>
        <w:rPr>
          <w:rFonts w:hint="eastAsia" w:ascii="宋体" w:hAnsi="宋体" w:cs="宋体"/>
          <w:color w:val="auto"/>
          <w:sz w:val="24"/>
          <w:highlight w:val="none"/>
        </w:rPr>
        <w:t>投标供应商名称（盖章）：</w:t>
      </w:r>
    </w:p>
    <w:p>
      <w:pPr>
        <w:spacing w:line="360" w:lineRule="auto"/>
        <w:rPr>
          <w:rFonts w:ascii="宋体" w:hAnsi="宋体" w:cs="宋体"/>
          <w:color w:val="auto"/>
          <w:kern w:val="0"/>
          <w:sz w:val="24"/>
          <w:highlight w:val="none"/>
        </w:rPr>
      </w:pPr>
      <w:r>
        <w:rPr>
          <w:rFonts w:hint="eastAsia" w:ascii="宋体" w:hAnsi="宋体" w:cs="宋体"/>
          <w:color w:val="auto"/>
          <w:sz w:val="24"/>
          <w:highlight w:val="none"/>
        </w:rPr>
        <w:t>日期：   年     月     日</w:t>
      </w:r>
    </w:p>
    <w:p>
      <w:pPr>
        <w:numPr>
          <w:ilvl w:val="0"/>
          <w:numId w:val="10"/>
        </w:numPr>
        <w:tabs>
          <w:tab w:val="left" w:pos="640"/>
          <w:tab w:val="left" w:pos="1260"/>
          <w:tab w:val="left" w:pos="1418"/>
        </w:tabs>
        <w:spacing w:line="360" w:lineRule="auto"/>
        <w:ind w:left="645" w:hanging="6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法定代表人证明书及身份证明；</w:t>
      </w:r>
    </w:p>
    <w:p>
      <w:pPr>
        <w:spacing w:before="120" w:after="120" w:line="360" w:lineRule="auto"/>
        <w:jc w:val="center"/>
        <w:rPr>
          <w:rFonts w:ascii="宋体" w:hAnsi="宋体" w:cs="宋体"/>
          <w:b/>
          <w:color w:val="auto"/>
          <w:sz w:val="24"/>
          <w:highlight w:val="none"/>
        </w:rPr>
      </w:pPr>
    </w:p>
    <w:p>
      <w:pPr>
        <w:spacing w:before="120" w:after="120" w:line="360" w:lineRule="auto"/>
        <w:jc w:val="center"/>
        <w:rPr>
          <w:rFonts w:ascii="宋体" w:hAnsi="宋体" w:cs="宋体"/>
          <w:color w:val="auto"/>
          <w:sz w:val="24"/>
          <w:highlight w:val="none"/>
          <w:u w:val="single"/>
        </w:rPr>
      </w:pPr>
      <w:r>
        <w:rPr>
          <w:rFonts w:hint="eastAsia" w:ascii="宋体" w:hAnsi="宋体" w:cs="宋体"/>
          <w:b/>
          <w:color w:val="auto"/>
          <w:sz w:val="24"/>
          <w:highlight w:val="none"/>
        </w:rPr>
        <w:t>法定代表人证明书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同志，现任我单位职务，为法定代表人，特此证明。</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签发日期：             有效日期：         单位：              </w:t>
      </w:r>
    </w:p>
    <w:p>
      <w:pPr>
        <w:spacing w:line="360" w:lineRule="auto"/>
        <w:rPr>
          <w:rFonts w:ascii="宋体" w:hAnsi="宋体" w:cs="宋体"/>
          <w:color w:val="auto"/>
          <w:sz w:val="24"/>
          <w:highlight w:val="none"/>
        </w:rPr>
      </w:pPr>
      <w:r>
        <w:rPr>
          <w:rFonts w:hint="eastAsia" w:ascii="宋体" w:hAnsi="宋体" w:cs="宋体"/>
          <w:color w:val="auto"/>
          <w:sz w:val="24"/>
          <w:highlight w:val="none"/>
        </w:rPr>
        <w:t>附：代表人性别：   年龄：      身份证号码：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营业执照号码：                 经济性质：</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进口物品经营许可证号码：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w:t>
      </w:r>
    </w:p>
    <w:p>
      <w:pPr>
        <w:spacing w:line="360" w:lineRule="auto"/>
        <w:rPr>
          <w:rFonts w:ascii="宋体" w:hAnsi="宋体" w:cs="宋体"/>
          <w:color w:val="auto"/>
          <w:sz w:val="24"/>
          <w:highlight w:val="none"/>
        </w:rPr>
      </w:pPr>
      <w:r>
        <w:rPr>
          <w:rFonts w:hint="eastAsia" w:ascii="宋体" w:hAnsi="宋体" w:cs="宋体"/>
          <w:color w:val="auto"/>
          <w:sz w:val="24"/>
          <w:highlight w:val="none"/>
        </w:rPr>
        <w:t>说明：1、法定代表人为企业事业单位、国家机关、社会团体的主要行政负责人。</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2、内容必须填写真实、清楚，涂改无效，不得转让、买卖</w:t>
      </w:r>
      <w:r>
        <w:rPr>
          <w:rFonts w:hint="eastAsia" w:ascii="宋体" w:hAnsi="宋体" w:cs="宋体"/>
          <w:color w:val="auto"/>
          <w:sz w:val="24"/>
          <w:highlight w:val="none"/>
          <w:lang w:eastAsia="zh-CN"/>
        </w:rPr>
        <w:t>。</w:t>
      </w:r>
    </w:p>
    <w:p>
      <w:pPr>
        <w:tabs>
          <w:tab w:val="left" w:pos="3780"/>
        </w:tabs>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法定代表人（签字或签章）：</w:t>
      </w:r>
    </w:p>
    <w:p>
      <w:pPr>
        <w:spacing w:before="120" w:after="120"/>
        <w:jc w:val="left"/>
        <w:rPr>
          <w:rFonts w:ascii="宋体" w:hAnsi="宋体" w:cs="宋体"/>
          <w:color w:val="auto"/>
          <w:szCs w:val="21"/>
          <w:highlight w:val="none"/>
        </w:rPr>
      </w:pPr>
    </w:p>
    <w:p>
      <w:pPr>
        <w:spacing w:before="120" w:after="120" w:line="360" w:lineRule="auto"/>
        <w:jc w:val="left"/>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9"/>
              <w:spacing w:line="360" w:lineRule="auto"/>
              <w:rPr>
                <w:rFonts w:ascii="Arial Narrow" w:hAnsi="Arial Narrow"/>
                <w:b/>
                <w:bCs/>
                <w:color w:val="auto"/>
                <w:szCs w:val="21"/>
                <w:highlight w:val="none"/>
              </w:rPr>
            </w:pPr>
          </w:p>
        </w:tc>
        <w:tc>
          <w:tcPr>
            <w:tcW w:w="4240" w:type="dxa"/>
            <w:noWrap w:val="0"/>
            <w:vAlign w:val="top"/>
          </w:tcPr>
          <w:p>
            <w:pPr>
              <w:pStyle w:val="9"/>
              <w:spacing w:line="360" w:lineRule="auto"/>
              <w:rPr>
                <w:rFonts w:ascii="Arial Narrow" w:hAnsi="Arial Narrow"/>
                <w:b/>
                <w:bCs/>
                <w:color w:val="auto"/>
                <w:szCs w:val="21"/>
                <w:highlight w:val="none"/>
              </w:rPr>
            </w:pPr>
          </w:p>
        </w:tc>
      </w:tr>
    </w:tbl>
    <w:p>
      <w:pPr>
        <w:tabs>
          <w:tab w:val="left" w:pos="640"/>
          <w:tab w:val="left" w:pos="1260"/>
          <w:tab w:val="left" w:pos="1418"/>
        </w:tabs>
        <w:spacing w:line="360" w:lineRule="auto"/>
        <w:rPr>
          <w:rFonts w:hint="eastAsia" w:ascii="Times New Roman" w:hAnsi="Times New Roman" w:eastAsia="宋体" w:cs="Times New Roman"/>
          <w:b w:val="0"/>
          <w:bCs w:val="0"/>
          <w:color w:val="auto"/>
          <w:sz w:val="21"/>
          <w:szCs w:val="21"/>
          <w:highlight w:val="none"/>
          <w:lang w:val="en-US" w:eastAsia="zh-CN"/>
        </w:rPr>
      </w:pPr>
    </w:p>
    <w:p>
      <w:pPr>
        <w:tabs>
          <w:tab w:val="left" w:pos="640"/>
          <w:tab w:val="left" w:pos="1260"/>
          <w:tab w:val="left" w:pos="1418"/>
        </w:tabs>
        <w:spacing w:line="360" w:lineRule="auto"/>
        <w:rPr>
          <w:rFonts w:hint="eastAsia" w:ascii="Times New Roman" w:hAnsi="Times New Roman" w:eastAsia="宋体" w:cs="Times New Roman"/>
          <w:b w:val="0"/>
          <w:bCs w:val="0"/>
          <w:color w:val="auto"/>
          <w:sz w:val="21"/>
          <w:szCs w:val="21"/>
          <w:highlight w:val="none"/>
          <w:lang w:val="fr-CH" w:eastAsia="zh-CN"/>
        </w:rPr>
      </w:pPr>
      <w:bookmarkStart w:id="67" w:name="OLE_LINK4"/>
      <w:r>
        <w:rPr>
          <w:rFonts w:hint="eastAsia" w:ascii="Times New Roman" w:hAnsi="Times New Roman" w:eastAsia="宋体" w:cs="Times New Roman"/>
          <w:b w:val="0"/>
          <w:bCs w:val="0"/>
          <w:color w:val="auto"/>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bookmarkEnd w:id="67"/>
    </w:p>
    <w:p>
      <w:pPr>
        <w:numPr>
          <w:ilvl w:val="0"/>
          <w:numId w:val="10"/>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法定代表人授权书及身份证明；</w:t>
      </w:r>
    </w:p>
    <w:p>
      <w:pPr>
        <w:pStyle w:val="9"/>
        <w:spacing w:line="360" w:lineRule="auto"/>
        <w:jc w:val="center"/>
        <w:rPr>
          <w:rFonts w:hAnsi="宋体" w:cs="宋体"/>
          <w:b/>
          <w:color w:val="auto"/>
          <w:sz w:val="24"/>
          <w:highlight w:val="none"/>
        </w:rPr>
      </w:pPr>
    </w:p>
    <w:p>
      <w:pPr>
        <w:pStyle w:val="9"/>
        <w:spacing w:line="360" w:lineRule="auto"/>
        <w:jc w:val="center"/>
        <w:rPr>
          <w:rFonts w:hAnsi="宋体" w:cs="宋体"/>
          <w:b/>
          <w:color w:val="auto"/>
          <w:sz w:val="24"/>
          <w:highlight w:val="none"/>
        </w:rPr>
      </w:pPr>
      <w:r>
        <w:rPr>
          <w:rFonts w:hint="eastAsia" w:hAnsi="宋体" w:cs="宋体"/>
          <w:b/>
          <w:color w:val="auto"/>
          <w:sz w:val="24"/>
          <w:highlight w:val="none"/>
        </w:rPr>
        <w:t>法定代表人授权书</w:t>
      </w:r>
    </w:p>
    <w:p>
      <w:pPr>
        <w:pStyle w:val="9"/>
        <w:spacing w:line="360" w:lineRule="auto"/>
        <w:rPr>
          <w:rFonts w:hAnsi="宋体" w:cs="宋体"/>
          <w:color w:val="auto"/>
          <w:sz w:val="24"/>
          <w:highlight w:val="none"/>
        </w:rPr>
      </w:pPr>
    </w:p>
    <w:p>
      <w:pPr>
        <w:pStyle w:val="9"/>
        <w:spacing w:line="360" w:lineRule="auto"/>
        <w:rPr>
          <w:rFonts w:hAnsi="宋体" w:cs="宋体"/>
          <w:color w:val="auto"/>
          <w:sz w:val="24"/>
          <w:highlight w:val="none"/>
        </w:rPr>
      </w:pPr>
      <w:r>
        <w:rPr>
          <w:rFonts w:hint="eastAsia" w:hAnsi="宋体" w:cs="宋体"/>
          <w:b/>
          <w:color w:val="auto"/>
          <w:sz w:val="24"/>
          <w:highlight w:val="none"/>
        </w:rPr>
        <w:t>深圳市前海深港现代服务业合作区管理局：</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（法定代表人姓名、职务）代表本公司授权在下面签字的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（被授权人的姓名、职务）为本公司的合法代表人，就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pPr>
        <w:pStyle w:val="9"/>
        <w:spacing w:line="360" w:lineRule="auto"/>
        <w:rPr>
          <w:rFonts w:hAnsi="宋体" w:cs="宋体"/>
          <w:color w:val="auto"/>
          <w:sz w:val="24"/>
          <w:highlight w:val="none"/>
        </w:rPr>
      </w:pPr>
    </w:p>
    <w:p>
      <w:pPr>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法定代表人（签字或签章）：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被授权人代表（签字或签章）：</w:t>
      </w:r>
    </w:p>
    <w:p>
      <w:pPr>
        <w:tabs>
          <w:tab w:val="left" w:pos="640"/>
          <w:tab w:val="left" w:pos="1260"/>
          <w:tab w:val="left" w:pos="1418"/>
        </w:tabs>
        <w:spacing w:line="360" w:lineRule="auto"/>
        <w:rPr>
          <w:rFonts w:ascii="宋体" w:hAnsi="宋体" w:cs="宋体"/>
          <w:b/>
          <w:color w:val="auto"/>
          <w:sz w:val="24"/>
          <w:highlight w:val="none"/>
        </w:rPr>
      </w:pPr>
    </w:p>
    <w:p>
      <w:pPr>
        <w:tabs>
          <w:tab w:val="left" w:pos="640"/>
          <w:tab w:val="left" w:pos="1260"/>
          <w:tab w:val="left" w:pos="1418"/>
        </w:tabs>
        <w:spacing w:line="360" w:lineRule="auto"/>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9"/>
              <w:spacing w:line="360" w:lineRule="auto"/>
              <w:rPr>
                <w:rFonts w:ascii="Arial Narrow" w:hAnsi="Arial Narrow"/>
                <w:b/>
                <w:bCs/>
                <w:color w:val="auto"/>
                <w:szCs w:val="21"/>
                <w:highlight w:val="none"/>
              </w:rPr>
            </w:pPr>
          </w:p>
        </w:tc>
        <w:tc>
          <w:tcPr>
            <w:tcW w:w="4677" w:type="dxa"/>
            <w:noWrap w:val="0"/>
            <w:vAlign w:val="top"/>
          </w:tcPr>
          <w:p>
            <w:pPr>
              <w:pStyle w:val="9"/>
              <w:spacing w:line="360" w:lineRule="auto"/>
              <w:rPr>
                <w:rFonts w:ascii="Arial Narrow" w:hAnsi="Arial Narrow"/>
                <w:b/>
                <w:bCs/>
                <w:color w:val="auto"/>
                <w:szCs w:val="21"/>
                <w:highlight w:val="none"/>
              </w:rPr>
            </w:pPr>
          </w:p>
        </w:tc>
      </w:tr>
    </w:tbl>
    <w:p>
      <w:pPr>
        <w:tabs>
          <w:tab w:val="left" w:pos="640"/>
          <w:tab w:val="left" w:pos="1260"/>
          <w:tab w:val="left" w:pos="1418"/>
        </w:tabs>
        <w:spacing w:line="360" w:lineRule="auto"/>
        <w:rPr>
          <w:rFonts w:hint="eastAsia"/>
          <w:b w:val="0"/>
          <w:bCs w:val="0"/>
          <w:color w:val="auto"/>
          <w:sz w:val="21"/>
          <w:szCs w:val="21"/>
          <w:highlight w:val="none"/>
          <w:lang w:val="en-US" w:eastAsia="zh-CN"/>
        </w:rPr>
      </w:pPr>
    </w:p>
    <w:p>
      <w:pPr>
        <w:tabs>
          <w:tab w:val="left" w:pos="640"/>
          <w:tab w:val="left" w:pos="1260"/>
          <w:tab w:val="left" w:pos="1418"/>
        </w:tabs>
        <w:spacing w:line="360" w:lineRule="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0"/>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p>
    <w:p>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r>
        <w:rPr>
          <w:rFonts w:hint="eastAsia" w:ascii="宋体" w:hAnsi="宋体" w:cs="宋体"/>
          <w:b/>
          <w:bCs/>
          <w:color w:val="auto"/>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lang w:val="en-US" w:eastAsia="zh-CN"/>
        </w:rPr>
        <w:t>北京国际招标有限公司</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auto"/>
          <w:sz w:val="24"/>
          <w:highlight w:val="none"/>
          <w:u w:val="single"/>
        </w:rPr>
        <w:t>招标文件中的规定</w:t>
      </w:r>
      <w:r>
        <w:rPr>
          <w:rFonts w:hint="eastAsia" w:ascii="宋体" w:hAnsi="宋体" w:cs="宋体"/>
          <w:color w:val="auto"/>
          <w:sz w:val="24"/>
          <w:highlight w:val="none"/>
        </w:rPr>
        <w:t>计算。</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特此承诺。</w:t>
      </w:r>
    </w:p>
    <w:p>
      <w:pPr>
        <w:tabs>
          <w:tab w:val="left" w:pos="3780"/>
        </w:tabs>
        <w:spacing w:line="360" w:lineRule="auto"/>
        <w:jc w:val="left"/>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投标供应商地址：</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pPr>
        <w:pStyle w:val="2"/>
        <w:rPr>
          <w:color w:val="auto"/>
          <w:highlight w:val="none"/>
          <w:lang w:val="fr-CH"/>
        </w:rPr>
      </w:pPr>
    </w:p>
    <w:p>
      <w:pPr>
        <w:tabs>
          <w:tab w:val="left" w:pos="640"/>
          <w:tab w:val="left" w:pos="1260"/>
          <w:tab w:val="left" w:pos="1418"/>
        </w:tabs>
        <w:spacing w:line="360" w:lineRule="auto"/>
        <w:rPr>
          <w:rFonts w:ascii="宋体" w:hAnsi="宋体" w:cs="宋体"/>
          <w:color w:val="auto"/>
          <w:sz w:val="24"/>
          <w:highlight w:val="none"/>
          <w:lang w:val="fr-CH"/>
        </w:rPr>
      </w:pPr>
    </w:p>
    <w:p>
      <w:pPr>
        <w:numPr>
          <w:ilvl w:val="0"/>
          <w:numId w:val="10"/>
        </w:numPr>
        <w:tabs>
          <w:tab w:val="left" w:pos="6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rPr>
        <w:t>供应商</w:t>
      </w:r>
      <w:r>
        <w:rPr>
          <w:rFonts w:hint="eastAsia" w:ascii="宋体" w:hAnsi="宋体" w:cs="宋体"/>
          <w:color w:val="auto"/>
          <w:sz w:val="24"/>
          <w:highlight w:val="none"/>
          <w:lang w:val="fr-CH"/>
        </w:rPr>
        <w:t>简介；</w:t>
      </w:r>
    </w:p>
    <w:p>
      <w:pPr>
        <w:pStyle w:val="9"/>
        <w:spacing w:line="360" w:lineRule="auto"/>
        <w:jc w:val="center"/>
        <w:rPr>
          <w:rFonts w:hAnsi="宋体" w:cs="宋体"/>
          <w:b/>
          <w:bCs/>
          <w:color w:val="auto"/>
          <w:sz w:val="24"/>
          <w:highlight w:val="none"/>
        </w:rPr>
      </w:pPr>
      <w:r>
        <w:rPr>
          <w:rFonts w:hint="eastAsia" w:hAnsi="宋体" w:cs="宋体"/>
          <w:b/>
          <w:bCs/>
          <w:color w:val="auto"/>
          <w:sz w:val="24"/>
          <w:highlight w:val="none"/>
        </w:rPr>
        <w:t>供应商基本情况一览表</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1．名称及概况：</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（1）供应商名称：_______________________________________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（2）地址：______________________________________________</w:t>
      </w:r>
    </w:p>
    <w:p>
      <w:pPr>
        <w:pStyle w:val="9"/>
        <w:spacing w:line="360" w:lineRule="auto"/>
        <w:ind w:firstLine="660" w:firstLineChars="275"/>
        <w:rPr>
          <w:rFonts w:hAnsi="宋体" w:cs="宋体"/>
          <w:color w:val="auto"/>
          <w:sz w:val="24"/>
          <w:highlight w:val="none"/>
        </w:rPr>
      </w:pPr>
      <w:r>
        <w:rPr>
          <w:rFonts w:hint="eastAsia" w:hAnsi="宋体" w:cs="宋体"/>
          <w:color w:val="auto"/>
          <w:sz w:val="24"/>
          <w:highlight w:val="none"/>
        </w:rPr>
        <w:t xml:space="preserve">   邮政编码：___________________________________________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电话号码：___________________________________________ </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传真号码：___________________________________________ </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（3）成立和／或注册日期：_________________________________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（4）法人代表：___________________________________________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（5）开户银行：___________________________________________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（6）开户</w:t>
      </w:r>
      <w:r>
        <w:rPr>
          <w:rFonts w:hint="eastAsia" w:hAnsi="宋体" w:cs="宋体"/>
          <w:color w:val="auto"/>
          <w:sz w:val="24"/>
          <w:highlight w:val="none"/>
          <w:lang w:eastAsia="zh-CN"/>
        </w:rPr>
        <w:t>账号</w:t>
      </w:r>
      <w:r>
        <w:rPr>
          <w:rFonts w:hint="eastAsia" w:hAnsi="宋体" w:cs="宋体"/>
          <w:color w:val="auto"/>
          <w:sz w:val="24"/>
          <w:highlight w:val="none"/>
        </w:rPr>
        <w:t>：___________________________________________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（7）注册资金：___________________________________________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（8）近两年财务基本情况</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①货币资金期末数：_____________________________________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③年营业总额（值）：___________________________________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③资产负债率：_________________________________________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④销售利润率：_________________________________________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 xml:space="preserve">    ⑤资本收益率：_________________________________________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（9）项目主要联系人（姓名、职务、通讯）：</w:t>
      </w:r>
    </w:p>
    <w:p>
      <w:pPr>
        <w:pStyle w:val="9"/>
        <w:spacing w:line="360" w:lineRule="auto"/>
        <w:rPr>
          <w:rFonts w:hAnsi="宋体" w:cs="宋体"/>
          <w:color w:val="auto"/>
          <w:sz w:val="24"/>
          <w:highlight w:val="none"/>
        </w:rPr>
      </w:pPr>
      <w:r>
        <w:rPr>
          <w:rFonts w:hint="eastAsia" w:hAnsi="宋体" w:cs="宋体"/>
          <w:color w:val="auto"/>
          <w:sz w:val="24"/>
          <w:highlight w:val="none"/>
        </w:rPr>
        <w:t>_____________________________________________________________________</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（10）公司概况；</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（11）公司组织机构；</w:t>
      </w:r>
    </w:p>
    <w:p>
      <w:pPr>
        <w:pStyle w:val="9"/>
        <w:spacing w:line="360" w:lineRule="auto"/>
        <w:ind w:firstLine="420"/>
        <w:rPr>
          <w:rFonts w:hAnsi="宋体" w:cs="宋体"/>
          <w:color w:val="auto"/>
          <w:sz w:val="24"/>
          <w:highlight w:val="none"/>
        </w:rPr>
      </w:pPr>
      <w:r>
        <w:rPr>
          <w:rFonts w:hint="eastAsia" w:hAnsi="宋体" w:cs="宋体"/>
          <w:color w:val="auto"/>
          <w:sz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pPr>
        <w:pStyle w:val="2"/>
        <w:rPr>
          <w:color w:val="auto"/>
          <w:highlight w:val="none"/>
          <w:lang w:val="fr-CH"/>
        </w:rPr>
      </w:pPr>
    </w:p>
    <w:p>
      <w:pPr>
        <w:numPr>
          <w:ilvl w:val="0"/>
          <w:numId w:val="0"/>
        </w:numPr>
        <w:tabs>
          <w:tab w:val="left" w:pos="640"/>
        </w:tabs>
        <w:spacing w:line="360" w:lineRule="auto"/>
        <w:ind w:leftChars="0"/>
        <w:rPr>
          <w:rFonts w:ascii="宋体" w:hAnsi="宋体" w:cs="宋体"/>
          <w:color w:val="auto"/>
          <w:sz w:val="24"/>
          <w:highlight w:val="none"/>
          <w:lang w:val="fr-CH"/>
        </w:rPr>
      </w:pPr>
      <w:r>
        <w:rPr>
          <w:rFonts w:hint="eastAsia" w:ascii="宋体" w:hAnsi="宋体" w:cs="宋体"/>
          <w:color w:val="auto"/>
          <w:sz w:val="24"/>
          <w:highlight w:val="none"/>
          <w:lang w:val="fr-CH"/>
        </w:rPr>
        <w:br w:type="page"/>
      </w:r>
    </w:p>
    <w:p>
      <w:pPr>
        <w:numPr>
          <w:ilvl w:val="0"/>
          <w:numId w:val="10"/>
        </w:numPr>
        <w:tabs>
          <w:tab w:val="left" w:pos="640"/>
        </w:tabs>
        <w:spacing w:line="360" w:lineRule="auto"/>
        <w:ind w:left="845" w:hanging="845"/>
        <w:rPr>
          <w:rFonts w:hint="eastAsia" w:ascii="宋体" w:hAnsi="宋体" w:cs="宋体"/>
          <w:color w:val="auto"/>
          <w:sz w:val="24"/>
          <w:highlight w:val="none"/>
        </w:rPr>
      </w:pPr>
      <w:bookmarkStart w:id="68" w:name="OLE_LINK31"/>
      <w:r>
        <w:rPr>
          <w:rFonts w:hint="eastAsia" w:ascii="宋体" w:hAnsi="宋体" w:cs="宋体"/>
          <w:color w:val="auto"/>
          <w:sz w:val="24"/>
          <w:highlight w:val="none"/>
        </w:rPr>
        <w:t>项目负责人情况</w:t>
      </w:r>
      <w:r>
        <w:rPr>
          <w:rFonts w:hint="eastAsia" w:ascii="宋体" w:hAnsi="宋体" w:cs="宋体"/>
          <w:color w:val="auto"/>
          <w:sz w:val="24"/>
          <w:highlight w:val="none"/>
          <w:lang w:eastAsia="zh-CN"/>
        </w:rPr>
        <w:t>；</w:t>
      </w:r>
    </w:p>
    <w:p>
      <w:pPr>
        <w:numPr>
          <w:ilvl w:val="0"/>
          <w:numId w:val="10"/>
        </w:numPr>
        <w:tabs>
          <w:tab w:val="left" w:pos="640"/>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团队成员（项目负责人除外）</w:t>
      </w:r>
      <w:r>
        <w:rPr>
          <w:rFonts w:hint="eastAsia" w:ascii="宋体" w:hAnsi="宋体" w:cs="宋体"/>
          <w:color w:val="auto"/>
          <w:sz w:val="24"/>
          <w:highlight w:val="none"/>
          <w:lang w:eastAsia="zh-CN"/>
        </w:rPr>
        <w:t>；</w:t>
      </w:r>
    </w:p>
    <w:bookmarkEnd w:id="68"/>
    <w:p>
      <w:pPr>
        <w:tabs>
          <w:tab w:val="left" w:pos="640"/>
          <w:tab w:val="left" w:pos="1260"/>
          <w:tab w:val="left" w:pos="1418"/>
        </w:tabs>
        <w:jc w:val="center"/>
        <w:rPr>
          <w:rFonts w:ascii="宋体" w:hAnsi="宋体" w:cs="宋体"/>
          <w:b/>
          <w:bCs/>
          <w:color w:val="auto"/>
          <w:szCs w:val="21"/>
          <w:highlight w:val="none"/>
        </w:rPr>
      </w:pPr>
    </w:p>
    <w:p>
      <w:pPr>
        <w:tabs>
          <w:tab w:val="left" w:pos="640"/>
          <w:tab w:val="left" w:pos="1260"/>
          <w:tab w:val="left" w:pos="1418"/>
        </w:tabs>
        <w:jc w:val="center"/>
        <w:rPr>
          <w:rFonts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sz w:val="24"/>
          <w:highlight w:val="none"/>
          <w:lang w:val="fr-CH"/>
        </w:rPr>
        <w:t>诚信</w:t>
      </w:r>
      <w:r>
        <w:rPr>
          <w:rFonts w:hint="eastAsia" w:ascii="宋体" w:hAnsi="宋体" w:cs="宋体"/>
          <w:b/>
          <w:bCs/>
          <w:color w:val="auto"/>
          <w:sz w:val="24"/>
          <w:highlight w:val="none"/>
        </w:rPr>
        <w:t>声明与承诺</w:t>
      </w:r>
      <w:r>
        <w:rPr>
          <w:rFonts w:hint="eastAsia" w:ascii="宋体" w:hAnsi="宋体" w:cs="宋体"/>
          <w:b/>
          <w:bCs/>
          <w:color w:val="auto"/>
          <w:sz w:val="24"/>
          <w:highlight w:val="none"/>
          <w:lang w:val="fr-CH"/>
        </w:rPr>
        <w:t>；</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诚信声明与承诺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北京国际招标有限公司</w:t>
      </w:r>
      <w:r>
        <w:rPr>
          <w:rFonts w:hint="eastAsia" w:ascii="宋体" w:hAnsi="宋体" w:cs="宋体"/>
          <w:b/>
          <w:bCs/>
          <w:color w:val="auto"/>
          <w:sz w:val="24"/>
          <w:highlight w:val="none"/>
        </w:rPr>
        <w:t>：</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特此声明与承诺！</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日期：  年  月   日</w:t>
      </w:r>
    </w:p>
    <w:p>
      <w:pPr>
        <w:pStyle w:val="9"/>
        <w:spacing w:line="360" w:lineRule="auto"/>
        <w:jc w:val="left"/>
        <w:rPr>
          <w:rFonts w:hAnsi="宋体" w:cs="宋体"/>
          <w:color w:val="auto"/>
          <w:sz w:val="24"/>
          <w:highlight w:val="none"/>
        </w:rPr>
      </w:pPr>
    </w:p>
    <w:p>
      <w:pPr>
        <w:pStyle w:val="9"/>
        <w:spacing w:line="360" w:lineRule="auto"/>
        <w:jc w:val="left"/>
        <w:rPr>
          <w:rFonts w:hAnsi="宋体" w:cs="宋体"/>
          <w:color w:val="auto"/>
          <w:sz w:val="24"/>
          <w:highlight w:val="none"/>
        </w:rPr>
      </w:pPr>
    </w:p>
    <w:p>
      <w:pPr>
        <w:spacing w:before="100" w:beforeAutospacing="1" w:after="100" w:afterAutospacing="1" w:line="360" w:lineRule="auto"/>
        <w:rPr>
          <w:rFonts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pPr>
        <w:pStyle w:val="2"/>
        <w:rPr>
          <w:color w:val="auto"/>
          <w:highlight w:val="none"/>
          <w:lang w:val="fr-CH"/>
        </w:rPr>
      </w:pP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政府采购违法行为风险知悉确认书</w:t>
      </w:r>
    </w:p>
    <w:p>
      <w:pPr>
        <w:spacing w:line="360" w:lineRule="auto"/>
        <w:ind w:left="420"/>
        <w:jc w:val="center"/>
        <w:outlineLvl w:val="9"/>
        <w:rPr>
          <w:rFonts w:ascii="宋体"/>
          <w:b/>
          <w:color w:val="auto"/>
          <w:sz w:val="24"/>
          <w:highlight w:val="none"/>
        </w:rPr>
      </w:pPr>
      <w:r>
        <w:rPr>
          <w:rFonts w:hint="eastAsia" w:ascii="宋体"/>
          <w:b/>
          <w:color w:val="auto"/>
          <w:sz w:val="24"/>
          <w:highlight w:val="none"/>
        </w:rPr>
        <w:t>政府采购违法行为风险知悉确认书</w:t>
      </w:r>
    </w:p>
    <w:p>
      <w:pPr>
        <w:autoSpaceDE w:val="0"/>
        <w:autoSpaceDN w:val="0"/>
        <w:adjustRightInd w:val="0"/>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本公司（单位）在投标前已充分知悉以下情形为参与政府采购活动时的重大风险事项，并承诺已对下述风险提示事项重点排查，</w:t>
      </w:r>
      <w:r>
        <w:rPr>
          <w:rFonts w:hint="eastAsia" w:ascii="宋体" w:hAnsi="宋体" w:eastAsia="宋体" w:cs="宋体"/>
          <w:color w:val="auto"/>
          <w:kern w:val="0"/>
          <w:sz w:val="24"/>
          <w:szCs w:val="24"/>
          <w:highlight w:val="none"/>
          <w:lang w:val="en-US" w:eastAsia="zh-CN"/>
        </w:rPr>
        <w:t>若存在下述情况，我单位愿意依法承担被记入供应商诚信档案、罚款、取消参与政府采购资格、吊销营业执照等处罚；构成犯罪的，依法承担刑事责任。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b/>
                <w:bCs/>
                <w:color w:val="auto"/>
                <w:sz w:val="24"/>
                <w:szCs w:val="24"/>
                <w:highlight w:val="none"/>
                <w:vertAlign w:val="baseline"/>
                <w:lang w:val="en-US" w:eastAsia="zh-CN"/>
              </w:rPr>
            </w:pPr>
            <w:bookmarkStart w:id="69" w:name="OLE_LINK6"/>
            <w:r>
              <w:rPr>
                <w:rFonts w:hint="eastAsia" w:ascii="宋体" w:hAnsi="宋体" w:eastAsia="宋体" w:cs="宋体"/>
                <w:b/>
                <w:bCs/>
                <w:color w:val="auto"/>
                <w:sz w:val="24"/>
                <w:szCs w:val="24"/>
                <w:highlight w:val="none"/>
                <w:vertAlign w:val="baseline"/>
                <w:lang w:val="en-US" w:eastAsia="zh-CN"/>
              </w:rPr>
              <w:t>序号</w:t>
            </w:r>
          </w:p>
        </w:tc>
        <w:tc>
          <w:tcPr>
            <w:tcW w:w="7607" w:type="dxa"/>
            <w:noWrap w:val="0"/>
            <w:vAlign w:val="center"/>
          </w:tcPr>
          <w:p>
            <w:pPr>
              <w:jc w:val="center"/>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jc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7607" w:type="dxa"/>
            <w:noWrap w:val="0"/>
            <w:vAlign w:val="center"/>
          </w:tcPr>
          <w:p>
            <w:pPr>
              <w:jc w:val="left"/>
              <w:outlineLvl w:val="9"/>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bookmarkEnd w:id="69"/>
    </w:tbl>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（一）通过转让或者租借等方式从其他单位获取资格或者资质证书投标的。</w:t>
      </w:r>
    </w:p>
    <w:p>
      <w:pPr>
        <w:autoSpaceDE w:val="0"/>
        <w:autoSpaceDN w:val="0"/>
        <w:adjustRightInd w:val="0"/>
        <w:spacing w:line="360" w:lineRule="auto"/>
        <w:ind w:firstLine="600" w:firstLineChars="2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（三）项目负责人或者主要技术人员不是本单位人员的。</w:t>
      </w:r>
    </w:p>
    <w:p>
      <w:pPr>
        <w:autoSpaceDE w:val="0"/>
        <w:autoSpaceDN w:val="0"/>
        <w:adjustRightInd w:val="0"/>
        <w:spacing w:line="360" w:lineRule="auto"/>
        <w:ind w:firstLine="600" w:firstLineChars="2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（四）投标保证金不是从投标供应商基本账户转出的。</w:t>
      </w:r>
    </w:p>
    <w:p>
      <w:pPr>
        <w:autoSpaceDE w:val="0"/>
        <w:autoSpaceDN w:val="0"/>
        <w:adjustRightInd w:val="0"/>
        <w:spacing w:line="360" w:lineRule="auto"/>
        <w:ind w:firstLine="600" w:firstLineChars="2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（五）其他隐瞒真实情况、提供虚假资料的行为。</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（一）投标供应商之间相互约定给予未中标的供应商利益补偿。</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（四）不同投标供应商的投标文件或部分投标文件相互混装。</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（五）不同投标供应商的投标文件内容存在非正常一致。</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（六）由同一单位工作人员为两家以上（含两家）供应商进行同一项投标活动的。</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（七）不同投标人的投标报价呈规律性差异。</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（八）不同投标人的投标保证金从同一单位或者个人的账户转出。</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（九）主管部门依照法律、法规认定的其他情形。</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outlineLvl w:val="9"/>
        <w:rPr>
          <w:rFonts w:ascii="宋体" w:hAnsi="宋体" w:cs="仿宋_GB2312"/>
          <w:color w:val="auto"/>
          <w:kern w:val="0"/>
          <w:sz w:val="24"/>
          <w:highlight w:val="none"/>
        </w:rPr>
      </w:pP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以下文字请投标供应商</w:t>
      </w:r>
      <w:r>
        <w:rPr>
          <w:rFonts w:hint="eastAsia" w:ascii="宋体" w:hAnsi="宋体" w:cs="仿宋_GB2312"/>
          <w:b/>
          <w:bCs/>
          <w:color w:val="auto"/>
          <w:kern w:val="0"/>
          <w:sz w:val="24"/>
          <w:highlight w:val="none"/>
        </w:rPr>
        <w:t>抄写并确认</w:t>
      </w:r>
      <w:r>
        <w:rPr>
          <w:rFonts w:hint="eastAsia" w:ascii="宋体" w:hAnsi="宋体" w:cs="仿宋_GB2312"/>
          <w:color w:val="auto"/>
          <w:kern w:val="0"/>
          <w:sz w:val="24"/>
          <w:highlight w:val="none"/>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outlineLvl w:val="9"/>
        <w:rPr>
          <w:rFonts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jc w:val="left"/>
        <w:outlineLvl w:val="9"/>
        <w:rPr>
          <w:rFonts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jc w:val="left"/>
        <w:outlineLvl w:val="9"/>
        <w:rPr>
          <w:rFonts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jc w:val="left"/>
        <w:outlineLvl w:val="9"/>
        <w:rPr>
          <w:rFonts w:ascii="宋体" w:hAnsi="宋体" w:cs="仿宋_GB2312"/>
          <w:color w:val="auto"/>
          <w:kern w:val="0"/>
          <w:sz w:val="24"/>
          <w:highlight w:val="none"/>
          <w:u w:val="single"/>
        </w:rPr>
      </w:pP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p>
    <w:p>
      <w:pPr>
        <w:autoSpaceDE w:val="0"/>
        <w:autoSpaceDN w:val="0"/>
        <w:adjustRightInd w:val="0"/>
        <w:spacing w:line="360" w:lineRule="auto"/>
        <w:ind w:firstLine="480" w:firstLineChars="200"/>
        <w:jc w:val="left"/>
        <w:outlineLvl w:val="9"/>
        <w:rPr>
          <w:rFonts w:ascii="宋体" w:hAnsi="宋体" w:cs="仿宋_GB2312"/>
          <w:color w:val="auto"/>
          <w:kern w:val="0"/>
          <w:sz w:val="24"/>
          <w:highlight w:val="none"/>
        </w:rPr>
      </w:pPr>
    </w:p>
    <w:p>
      <w:pPr>
        <w:autoSpaceDE w:val="0"/>
        <w:autoSpaceDN w:val="0"/>
        <w:adjustRightInd w:val="0"/>
        <w:spacing w:line="360" w:lineRule="auto"/>
        <w:ind w:firstLine="3840" w:firstLineChars="1600"/>
        <w:jc w:val="left"/>
        <w:outlineLvl w:val="9"/>
        <w:rPr>
          <w:rFonts w:ascii="宋体" w:hAnsi="宋体" w:cs="仿宋_GB2312"/>
          <w:color w:val="auto"/>
          <w:kern w:val="0"/>
          <w:sz w:val="24"/>
          <w:highlight w:val="none"/>
          <w:u w:val="single"/>
        </w:rPr>
      </w:pPr>
      <w:r>
        <w:rPr>
          <w:rFonts w:hint="eastAsia" w:ascii="宋体" w:hAnsi="宋体" w:cs="仿宋_GB2312"/>
          <w:color w:val="auto"/>
          <w:kern w:val="0"/>
          <w:sz w:val="24"/>
          <w:highlight w:val="none"/>
        </w:rPr>
        <w:t>负责人</w:t>
      </w:r>
      <w:r>
        <w:rPr>
          <w:rFonts w:ascii="宋体" w:hAnsi="宋体" w:cs="仿宋_GB2312"/>
          <w:color w:val="auto"/>
          <w:kern w:val="0"/>
          <w:sz w:val="24"/>
          <w:highlight w:val="none"/>
        </w:rPr>
        <w:t>/</w:t>
      </w:r>
      <w:r>
        <w:rPr>
          <w:rFonts w:hint="eastAsia" w:ascii="宋体" w:hAnsi="宋体" w:cs="仿宋_GB2312"/>
          <w:color w:val="auto"/>
          <w:kern w:val="0"/>
          <w:sz w:val="24"/>
          <w:highlight w:val="none"/>
        </w:rPr>
        <w:t>投标授权代表签名：</w:t>
      </w:r>
      <w:r>
        <w:rPr>
          <w:rFonts w:hint="eastAsia" w:ascii="宋体" w:hAnsi="宋体" w:cs="仿宋_GB2312"/>
          <w:color w:val="auto"/>
          <w:kern w:val="0"/>
          <w:sz w:val="24"/>
          <w:highlight w:val="none"/>
          <w:u w:val="single"/>
        </w:rPr>
        <w:t xml:space="preserve">                </w:t>
      </w:r>
    </w:p>
    <w:p>
      <w:pPr>
        <w:autoSpaceDE w:val="0"/>
        <w:autoSpaceDN w:val="0"/>
        <w:adjustRightInd w:val="0"/>
        <w:spacing w:line="360" w:lineRule="auto"/>
        <w:ind w:firstLine="4920" w:firstLineChars="2050"/>
        <w:jc w:val="left"/>
        <w:outlineLvl w:val="9"/>
        <w:rPr>
          <w:rFonts w:ascii="宋体" w:hAnsi="宋体" w:cs="仿宋_GB2312"/>
          <w:color w:val="auto"/>
          <w:kern w:val="0"/>
          <w:sz w:val="24"/>
          <w:highlight w:val="none"/>
        </w:rPr>
      </w:pPr>
      <w:r>
        <w:rPr>
          <w:rFonts w:hint="eastAsia" w:ascii="宋体" w:hAnsi="宋体" w:cs="仿宋_GB2312"/>
          <w:color w:val="auto"/>
          <w:kern w:val="0"/>
          <w:sz w:val="24"/>
          <w:highlight w:val="none"/>
        </w:rPr>
        <w:t>知悉人（公章）：</w:t>
      </w:r>
    </w:p>
    <w:p>
      <w:pPr>
        <w:spacing w:line="360" w:lineRule="auto"/>
        <w:jc w:val="right"/>
        <w:outlineLvl w:val="9"/>
        <w:rPr>
          <w:rFonts w:hint="eastAsia" w:ascii="宋体" w:hAnsi="宋体" w:cs="仿宋_GB2312"/>
          <w:color w:val="auto"/>
          <w:kern w:val="0"/>
          <w:sz w:val="24"/>
          <w:highlight w:val="none"/>
        </w:rPr>
      </w:pPr>
      <w:r>
        <w:rPr>
          <w:rFonts w:hint="eastAsia" w:ascii="宋体" w:hAnsi="宋体" w:cs="仿宋_GB2312"/>
          <w:color w:val="auto"/>
          <w:kern w:val="0"/>
          <w:sz w:val="24"/>
          <w:highlight w:val="none"/>
        </w:rPr>
        <w:t>日期： 202  年   月   日</w:t>
      </w: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参与</w:t>
      </w:r>
      <w:r>
        <w:rPr>
          <w:rFonts w:hint="eastAsia" w:ascii="宋体" w:hAnsi="宋体" w:eastAsia="宋体" w:cs="宋体"/>
          <w:color w:val="auto"/>
          <w:sz w:val="24"/>
          <w:highlight w:val="none"/>
        </w:rPr>
        <w:t>价格</w:t>
      </w:r>
      <w:r>
        <w:rPr>
          <w:rFonts w:hint="eastAsia" w:ascii="宋体" w:hAnsi="宋体" w:cs="宋体"/>
          <w:color w:val="auto"/>
          <w:sz w:val="24"/>
          <w:highlight w:val="none"/>
        </w:rPr>
        <w:t>扣除的证明文件</w:t>
      </w:r>
    </w:p>
    <w:p>
      <w:pPr>
        <w:keepNext/>
        <w:keepLines/>
        <w:jc w:val="center"/>
        <w:outlineLvl w:val="9"/>
        <w:rPr>
          <w:rFonts w:ascii="宋体" w:hAnsi="宋体" w:cs="宋体"/>
          <w:bCs/>
          <w:color w:val="auto"/>
          <w:kern w:val="44"/>
          <w:sz w:val="24"/>
          <w:highlight w:val="none"/>
        </w:rPr>
      </w:pPr>
      <w:r>
        <w:rPr>
          <w:rFonts w:hint="eastAsia" w:ascii="宋体" w:hAnsi="宋体" w:cs="宋体"/>
          <w:b/>
          <w:bCs/>
          <w:color w:val="auto"/>
          <w:sz w:val="24"/>
          <w:highlight w:val="none"/>
        </w:rPr>
        <w:t>①中小企业声明函（工程、服务）</w:t>
      </w:r>
    </w:p>
    <w:p>
      <w:pPr>
        <w:widowControl/>
        <w:ind w:firstLine="480" w:firstLineChars="200"/>
        <w:textAlignment w:val="baseline"/>
        <w:rPr>
          <w:rFonts w:ascii="宋体" w:hAnsi="宋体" w:cs="宋体"/>
          <w:color w:val="auto"/>
          <w:sz w:val="24"/>
          <w:highlight w:val="none"/>
        </w:rPr>
      </w:pP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w:t>
      </w: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ab/>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w:t>
      </w: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widowControl/>
        <w:ind w:firstLine="482" w:firstLineChars="200"/>
        <w:jc w:val="right"/>
        <w:textAlignment w:val="baseline"/>
        <w:rPr>
          <w:rFonts w:ascii="宋体" w:hAnsi="宋体" w:cs="宋体"/>
          <w:b/>
          <w:bCs/>
          <w:color w:val="auto"/>
          <w:sz w:val="24"/>
          <w:highlight w:val="none"/>
        </w:rPr>
      </w:pPr>
      <w:r>
        <w:rPr>
          <w:rFonts w:hint="eastAsia" w:ascii="宋体" w:hAnsi="宋体" w:cs="宋体"/>
          <w:b/>
          <w:bCs/>
          <w:color w:val="auto"/>
          <w:sz w:val="24"/>
          <w:highlight w:val="none"/>
        </w:rPr>
        <w:t>企业名称（盖章）</w:t>
      </w:r>
    </w:p>
    <w:p>
      <w:pPr>
        <w:widowControl/>
        <w:ind w:firstLine="482" w:firstLineChars="200"/>
        <w:jc w:val="right"/>
        <w:textAlignment w:val="baseline"/>
        <w:rPr>
          <w:rFonts w:ascii="宋体" w:hAnsi="宋体" w:cs="宋体"/>
          <w:b/>
          <w:bCs/>
          <w:color w:val="auto"/>
          <w:sz w:val="24"/>
          <w:highlight w:val="none"/>
        </w:rPr>
      </w:pPr>
      <w:r>
        <w:rPr>
          <w:rFonts w:hint="eastAsia" w:ascii="宋体" w:hAnsi="宋体" w:cs="宋体"/>
          <w:b/>
          <w:bCs/>
          <w:color w:val="auto"/>
          <w:sz w:val="24"/>
          <w:highlight w:val="none"/>
        </w:rPr>
        <w:t>日期：</w:t>
      </w:r>
    </w:p>
    <w:p>
      <w:pPr>
        <w:widowControl/>
        <w:ind w:firstLine="480" w:firstLineChars="200"/>
        <w:textAlignment w:val="baseline"/>
        <w:rPr>
          <w:rFonts w:ascii="宋体" w:hAnsi="宋体" w:cs="宋体"/>
          <w:color w:val="auto"/>
          <w:sz w:val="24"/>
          <w:highlight w:val="none"/>
        </w:rPr>
      </w:pPr>
    </w:p>
    <w:p>
      <w:pPr>
        <w:widowControl/>
        <w:ind w:firstLine="480" w:firstLineChars="200"/>
        <w:textAlignment w:val="baseline"/>
        <w:rPr>
          <w:rFonts w:ascii="宋体" w:hAnsi="宋体" w:cs="宋体"/>
          <w:color w:val="auto"/>
          <w:sz w:val="24"/>
          <w:highlight w:val="none"/>
        </w:rPr>
      </w:pPr>
    </w:p>
    <w:p>
      <w:pPr>
        <w:jc w:val="left"/>
        <w:rPr>
          <w:rFonts w:ascii="宋体" w:hAnsi="宋体" w:cs="宋体"/>
          <w:b/>
          <w:bCs/>
          <w:color w:val="auto"/>
          <w:sz w:val="24"/>
          <w:highlight w:val="none"/>
        </w:rPr>
      </w:pPr>
      <w:r>
        <w:rPr>
          <w:rFonts w:hint="eastAsia" w:ascii="宋体" w:hAnsi="宋体" w:cs="宋体"/>
          <w:b/>
          <w:bCs/>
          <w:color w:val="auto"/>
          <w:sz w:val="24"/>
          <w:highlight w:val="none"/>
        </w:rPr>
        <w:t>注意事项：</w:t>
      </w:r>
    </w:p>
    <w:p>
      <w:pPr>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1.从业人员、营业收入、资产总额填报上一年度数据，无上一年度数据的新成立企业可不填报；</w:t>
      </w:r>
    </w:p>
    <w:p>
      <w:pPr>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4.相关承接/承建企业的所属行业应当与采购标的所属行业（采购文件中明确的行业）相一致。</w:t>
      </w:r>
    </w:p>
    <w:p>
      <w:pPr>
        <w:ind w:firstLine="480" w:firstLineChars="200"/>
        <w:rPr>
          <w:rFonts w:ascii="宋体" w:hAnsi="宋体" w:cs="宋体"/>
          <w:b/>
          <w:color w:val="auto"/>
          <w:sz w:val="24"/>
          <w:highlight w:val="none"/>
        </w:rPr>
      </w:pPr>
      <w:r>
        <w:rPr>
          <w:rFonts w:hint="eastAsia" w:ascii="宋体" w:hAnsi="宋体" w:cs="宋体"/>
          <w:color w:val="auto"/>
          <w:sz w:val="24"/>
          <w:highlight w:val="none"/>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附：中小企业划型标准规定</w:t>
      </w:r>
    </w:p>
    <w:p>
      <w:pPr>
        <w:rPr>
          <w:rFonts w:ascii="宋体" w:hAnsi="宋体" w:cs="宋体"/>
          <w:color w:val="auto"/>
          <w:sz w:val="24"/>
          <w:highlight w:val="none"/>
        </w:rPr>
      </w:pP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一、根据《中华人民共和国中小企业促进法》和《国务院关于进一步促进中小企业发展的若干意见》(国发〔2009〕36号)，制定本规定。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四、各行业划型标准为：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9"/>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②残疾人福利性单位声明函（样表）</w:t>
      </w:r>
    </w:p>
    <w:p>
      <w:pPr>
        <w:spacing w:line="620" w:lineRule="exact"/>
        <w:ind w:firstLine="480" w:firstLineChars="200"/>
        <w:rPr>
          <w:rFonts w:ascii="宋体" w:hAnsi="宋体" w:cs="宋体"/>
          <w:color w:val="auto"/>
          <w:spacing w:val="6"/>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auto"/>
          <w:spacing w:val="6"/>
          <w:sz w:val="24"/>
          <w:highlight w:val="none"/>
        </w:rPr>
        <w:t>单位参加</w:t>
      </w:r>
      <w:r>
        <w:rPr>
          <w:rFonts w:hint="eastAsia" w:ascii="宋体" w:hAnsi="宋体" w:cs="宋体"/>
          <w:color w:val="auto"/>
          <w:spacing w:val="6"/>
          <w:sz w:val="24"/>
          <w:highlight w:val="none"/>
          <w:u w:val="single"/>
        </w:rPr>
        <w:t xml:space="preserve"> （采购单位名称） </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rPr>
        <w:t xml:space="preserve"> （采购项目名称） </w:t>
      </w:r>
      <w:r>
        <w:rPr>
          <w:rFonts w:hint="eastAsia" w:ascii="宋体" w:hAnsi="宋体" w:cs="宋体"/>
          <w:color w:val="auto"/>
          <w:spacing w:val="6"/>
          <w:sz w:val="24"/>
          <w:highlight w:val="none"/>
        </w:rPr>
        <w:t>项目</w:t>
      </w:r>
      <w:r>
        <w:rPr>
          <w:rFonts w:hint="eastAsia" w:ascii="宋体" w:hAnsi="宋体" w:cs="宋体"/>
          <w:color w:val="auto"/>
          <w:kern w:val="0"/>
          <w:sz w:val="24"/>
          <w:highlight w:val="none"/>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620" w:lineRule="exact"/>
        <w:ind w:firstLine="504" w:firstLineChars="200"/>
        <w:rPr>
          <w:rFonts w:ascii="宋体" w:hAnsi="宋体" w:cs="宋体"/>
          <w:color w:val="auto"/>
          <w:spacing w:val="6"/>
          <w:sz w:val="24"/>
          <w:highlight w:val="none"/>
        </w:rPr>
      </w:pPr>
    </w:p>
    <w:p>
      <w:pPr>
        <w:spacing w:line="620" w:lineRule="exact"/>
        <w:ind w:firstLine="504" w:firstLineChars="200"/>
        <w:rPr>
          <w:rFonts w:ascii="宋体" w:hAnsi="宋体" w:cs="宋体"/>
          <w:color w:val="auto"/>
          <w:spacing w:val="6"/>
          <w:sz w:val="24"/>
          <w:highlight w:val="none"/>
        </w:rPr>
      </w:pPr>
    </w:p>
    <w:p>
      <w:pPr>
        <w:tabs>
          <w:tab w:val="left" w:pos="4860"/>
        </w:tabs>
        <w:spacing w:line="620"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620" w:lineRule="exact"/>
        <w:ind w:right="1560" w:firstLine="504" w:firstLineChars="200"/>
        <w:jc w:val="center"/>
        <w:rPr>
          <w:rStyle w:val="42"/>
          <w:rFonts w:ascii="宋体" w:hAnsi="宋体" w:cs="宋体"/>
          <w:color w:val="auto"/>
          <w:sz w:val="24"/>
          <w:highlight w:val="none"/>
        </w:rPr>
      </w:pPr>
      <w:r>
        <w:rPr>
          <w:rFonts w:hint="eastAsia" w:ascii="宋体" w:hAnsi="宋体" w:cs="宋体"/>
          <w:color w:val="auto"/>
          <w:spacing w:val="6"/>
          <w:sz w:val="24"/>
          <w:highlight w:val="none"/>
        </w:rPr>
        <w:t xml:space="preserve">                        日  期：</w:t>
      </w:r>
    </w:p>
    <w:p>
      <w:pPr>
        <w:snapToGrid w:val="0"/>
        <w:spacing w:line="360" w:lineRule="auto"/>
        <w:ind w:firstLine="480" w:firstLineChars="200"/>
        <w:jc w:val="left"/>
        <w:textAlignment w:val="baseline"/>
        <w:rPr>
          <w:rStyle w:val="42"/>
          <w:rFonts w:ascii="宋体" w:hAnsi="宋体" w:cs="宋体"/>
          <w:color w:val="auto"/>
          <w:sz w:val="24"/>
          <w:highlight w:val="none"/>
        </w:rPr>
      </w:pPr>
    </w:p>
    <w:p>
      <w:pPr>
        <w:snapToGrid w:val="0"/>
        <w:spacing w:line="360" w:lineRule="auto"/>
        <w:ind w:firstLine="482" w:firstLineChars="200"/>
        <w:jc w:val="left"/>
        <w:textAlignment w:val="baseline"/>
        <w:rPr>
          <w:rStyle w:val="42"/>
          <w:rFonts w:ascii="宋体" w:hAnsi="宋体" w:cs="宋体"/>
          <w:b/>
          <w:color w:val="auto"/>
          <w:sz w:val="24"/>
          <w:highlight w:val="none"/>
        </w:rPr>
      </w:pPr>
      <w:r>
        <w:rPr>
          <w:rStyle w:val="42"/>
          <w:rFonts w:hint="eastAsia" w:ascii="宋体" w:hAnsi="宋体" w:cs="宋体"/>
          <w:b/>
          <w:color w:val="auto"/>
          <w:sz w:val="24"/>
          <w:highlight w:val="none"/>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9"/>
        <w:rPr>
          <w:rStyle w:val="42"/>
          <w:rFonts w:ascii="宋体" w:hAnsi="宋体" w:cs="宋体"/>
          <w:b/>
          <w:color w:val="auto"/>
          <w:sz w:val="24"/>
          <w:highlight w:val="none"/>
        </w:rPr>
      </w:pPr>
      <w:r>
        <w:rPr>
          <w:rStyle w:val="42"/>
          <w:rFonts w:hint="eastAsia" w:ascii="宋体" w:hAnsi="宋体" w:cs="宋体"/>
          <w:b/>
          <w:color w:val="auto"/>
          <w:sz w:val="24"/>
          <w:highlight w:val="none"/>
        </w:rPr>
        <w:br w:type="page"/>
      </w:r>
      <w:r>
        <w:rPr>
          <w:rStyle w:val="42"/>
          <w:rFonts w:hint="eastAsia" w:ascii="宋体" w:hAnsi="宋体" w:cs="宋体"/>
          <w:b/>
          <w:color w:val="auto"/>
          <w:sz w:val="24"/>
          <w:highlight w:val="none"/>
        </w:rPr>
        <w:t>③监狱企业声明函</w:t>
      </w:r>
    </w:p>
    <w:p>
      <w:pPr>
        <w:snapToGrid w:val="0"/>
        <w:spacing w:line="620" w:lineRule="exact"/>
        <w:ind w:firstLine="504" w:firstLineChars="200"/>
        <w:textAlignment w:val="baseline"/>
        <w:rPr>
          <w:rStyle w:val="42"/>
          <w:rFonts w:ascii="宋体" w:hAnsi="宋体" w:cs="宋体"/>
          <w:color w:val="auto"/>
          <w:spacing w:val="6"/>
          <w:sz w:val="24"/>
          <w:highlight w:val="none"/>
        </w:rPr>
      </w:pPr>
      <w:r>
        <w:rPr>
          <w:rStyle w:val="42"/>
          <w:rFonts w:hint="eastAsia" w:ascii="宋体" w:hAnsi="宋体" w:cs="宋体"/>
          <w:color w:val="auto"/>
          <w:spacing w:val="6"/>
          <w:sz w:val="24"/>
          <w:highlight w:val="none"/>
        </w:rPr>
        <w:t>本单位郑重声明，根据《财政部司法部关于政府采购支持监狱企业发展有关问题的通知》（财库〔2014〕68号）的规定，本单位为符合条件的监狱企业，且本单位参加</w:t>
      </w:r>
      <w:r>
        <w:rPr>
          <w:rStyle w:val="42"/>
          <w:rFonts w:hint="eastAsia" w:ascii="宋体" w:hAnsi="宋体" w:cs="宋体"/>
          <w:color w:val="auto"/>
          <w:spacing w:val="6"/>
          <w:sz w:val="24"/>
          <w:highlight w:val="none"/>
          <w:u w:val="single"/>
        </w:rPr>
        <w:t xml:space="preserve"> （采购单位名称） </w:t>
      </w:r>
      <w:r>
        <w:rPr>
          <w:rStyle w:val="42"/>
          <w:rFonts w:hint="eastAsia" w:ascii="宋体" w:hAnsi="宋体" w:cs="宋体"/>
          <w:color w:val="auto"/>
          <w:spacing w:val="6"/>
          <w:sz w:val="24"/>
          <w:highlight w:val="none"/>
        </w:rPr>
        <w:t>单位的</w:t>
      </w:r>
      <w:r>
        <w:rPr>
          <w:rStyle w:val="42"/>
          <w:rFonts w:hint="eastAsia" w:ascii="宋体" w:hAnsi="宋体" w:cs="宋体"/>
          <w:color w:val="auto"/>
          <w:spacing w:val="6"/>
          <w:sz w:val="24"/>
          <w:highlight w:val="none"/>
          <w:u w:val="single"/>
        </w:rPr>
        <w:t xml:space="preserve"> （采购项目名称） </w:t>
      </w:r>
      <w:r>
        <w:rPr>
          <w:rStyle w:val="42"/>
          <w:rFonts w:hint="eastAsia" w:ascii="宋体" w:hAnsi="宋体" w:cs="宋体"/>
          <w:color w:val="auto"/>
          <w:spacing w:val="6"/>
          <w:sz w:val="24"/>
          <w:highlight w:val="none"/>
        </w:rPr>
        <w:t>项目采购</w:t>
      </w:r>
      <w:r>
        <w:rPr>
          <w:rStyle w:val="42"/>
          <w:rFonts w:hint="eastAsia" w:ascii="宋体" w:hAnsi="宋体" w:cs="宋体"/>
          <w:color w:val="auto"/>
          <w:kern w:val="0"/>
          <w:sz w:val="24"/>
          <w:highlight w:val="none"/>
        </w:rPr>
        <w:t>活动，并提供：□本单位制造的货物；□由本单位承担的工程、提供服务；□提供其他监狱企业制造的货物（承诺人在□处打√）</w:t>
      </w:r>
      <w:r>
        <w:rPr>
          <w:rStyle w:val="42"/>
          <w:rFonts w:hint="eastAsia" w:ascii="宋体" w:hAnsi="宋体" w:cs="宋体"/>
          <w:color w:val="auto"/>
          <w:spacing w:val="6"/>
          <w:sz w:val="24"/>
          <w:highlight w:val="none"/>
        </w:rPr>
        <w:t>。</w:t>
      </w:r>
      <w:r>
        <w:rPr>
          <w:rStyle w:val="42"/>
          <w:rFonts w:hint="eastAsia" w:ascii="宋体" w:hAnsi="宋体" w:cs="宋体"/>
          <w:color w:val="auto"/>
          <w:kern w:val="0"/>
          <w:sz w:val="24"/>
          <w:highlight w:val="none"/>
        </w:rPr>
        <w:t>本条所称货物是指单一产品采购项目中的货物，或者非单一产品采购项目中的核心产品（货物）。</w:t>
      </w:r>
    </w:p>
    <w:p>
      <w:pPr>
        <w:snapToGrid w:val="0"/>
        <w:spacing w:line="620" w:lineRule="exact"/>
        <w:ind w:firstLine="504" w:firstLineChars="200"/>
        <w:textAlignment w:val="baseline"/>
        <w:rPr>
          <w:rStyle w:val="42"/>
          <w:rFonts w:ascii="宋体" w:hAnsi="宋体" w:cs="宋体"/>
          <w:color w:val="auto"/>
          <w:spacing w:val="6"/>
          <w:sz w:val="24"/>
          <w:highlight w:val="none"/>
        </w:rPr>
      </w:pPr>
      <w:r>
        <w:rPr>
          <w:rStyle w:val="42"/>
          <w:rFonts w:hint="eastAsia" w:ascii="宋体" w:hAnsi="宋体" w:cs="宋体"/>
          <w:color w:val="auto"/>
          <w:spacing w:val="6"/>
          <w:sz w:val="24"/>
          <w:highlight w:val="none"/>
        </w:rPr>
        <w:t>本单位对上述声明的真实性负责。如有虚假，将依法承担相应责任。</w:t>
      </w:r>
    </w:p>
    <w:p>
      <w:pPr>
        <w:snapToGrid w:val="0"/>
        <w:spacing w:line="620" w:lineRule="exact"/>
        <w:ind w:firstLine="504" w:firstLineChars="200"/>
        <w:textAlignment w:val="baseline"/>
        <w:rPr>
          <w:rStyle w:val="42"/>
          <w:rFonts w:ascii="宋体" w:hAnsi="宋体" w:cs="宋体"/>
          <w:color w:val="auto"/>
          <w:spacing w:val="6"/>
          <w:sz w:val="24"/>
          <w:highlight w:val="none"/>
        </w:rPr>
      </w:pPr>
      <w:r>
        <w:rPr>
          <w:rStyle w:val="42"/>
          <w:rFonts w:hint="eastAsia" w:ascii="宋体" w:hAnsi="宋体" w:cs="宋体"/>
          <w:color w:val="auto"/>
          <w:spacing w:val="6"/>
          <w:sz w:val="24"/>
          <w:highlight w:val="none"/>
        </w:rPr>
        <w:t>附：省级以上监狱管理局、戒毒管理局（含新疆生产建设兵团）出具的监狱企业证明文件。</w:t>
      </w:r>
    </w:p>
    <w:p>
      <w:pPr>
        <w:snapToGrid w:val="0"/>
        <w:spacing w:line="620" w:lineRule="exact"/>
        <w:ind w:firstLine="504" w:firstLineChars="200"/>
        <w:textAlignment w:val="baseline"/>
        <w:rPr>
          <w:rStyle w:val="42"/>
          <w:rFonts w:ascii="宋体" w:hAnsi="宋体" w:cs="宋体"/>
          <w:color w:val="auto"/>
          <w:spacing w:val="6"/>
          <w:sz w:val="24"/>
          <w:highlight w:val="none"/>
        </w:rPr>
      </w:pPr>
    </w:p>
    <w:p>
      <w:pPr>
        <w:snapToGrid w:val="0"/>
        <w:spacing w:line="620" w:lineRule="exact"/>
        <w:ind w:firstLine="504" w:firstLineChars="200"/>
        <w:textAlignment w:val="baseline"/>
        <w:rPr>
          <w:rStyle w:val="42"/>
          <w:rFonts w:ascii="宋体" w:hAnsi="宋体" w:cs="宋体"/>
          <w:color w:val="auto"/>
          <w:spacing w:val="6"/>
          <w:sz w:val="24"/>
          <w:highlight w:val="none"/>
        </w:rPr>
      </w:pPr>
    </w:p>
    <w:p>
      <w:pPr>
        <w:tabs>
          <w:tab w:val="left" w:pos="4860"/>
        </w:tabs>
        <w:snapToGrid w:val="0"/>
        <w:spacing w:line="620" w:lineRule="exact"/>
        <w:ind w:right="1560" w:firstLine="504" w:firstLineChars="200"/>
        <w:jc w:val="center"/>
        <w:textAlignment w:val="baseline"/>
        <w:rPr>
          <w:rStyle w:val="42"/>
          <w:rFonts w:ascii="宋体" w:hAnsi="宋体" w:cs="宋体"/>
          <w:color w:val="auto"/>
          <w:spacing w:val="6"/>
          <w:sz w:val="24"/>
          <w:highlight w:val="none"/>
        </w:rPr>
      </w:pPr>
      <w:r>
        <w:rPr>
          <w:rStyle w:val="42"/>
          <w:rFonts w:hint="eastAsia" w:ascii="宋体" w:hAnsi="宋体" w:cs="宋体"/>
          <w:color w:val="auto"/>
          <w:spacing w:val="6"/>
          <w:sz w:val="24"/>
          <w:highlight w:val="none"/>
        </w:rPr>
        <w:t xml:space="preserve">               单位名称（盖章）：</w:t>
      </w:r>
    </w:p>
    <w:p>
      <w:pPr>
        <w:numPr>
          <w:ilvl w:val="0"/>
          <w:numId w:val="0"/>
        </w:numPr>
        <w:tabs>
          <w:tab w:val="left" w:pos="640"/>
          <w:tab w:val="left" w:pos="840"/>
          <w:tab w:val="left" w:pos="1260"/>
          <w:tab w:val="left" w:pos="1418"/>
        </w:tabs>
        <w:spacing w:line="360" w:lineRule="auto"/>
        <w:ind w:leftChars="0"/>
        <w:rPr>
          <w:rFonts w:hint="eastAsia" w:ascii="宋体" w:hAnsi="宋体" w:cs="宋体"/>
          <w:color w:val="auto"/>
          <w:spacing w:val="6"/>
          <w:sz w:val="24"/>
          <w:highlight w:val="none"/>
        </w:rPr>
      </w:pPr>
      <w:r>
        <w:rPr>
          <w:rStyle w:val="42"/>
          <w:rFonts w:hint="eastAsia" w:ascii="宋体" w:hAnsi="宋体" w:cs="宋体"/>
          <w:color w:val="auto"/>
          <w:spacing w:val="6"/>
          <w:sz w:val="24"/>
          <w:highlight w:val="none"/>
        </w:rPr>
        <w:t xml:space="preserve">                          日  期</w:t>
      </w:r>
      <w:r>
        <w:rPr>
          <w:rFonts w:hint="eastAsia" w:ascii="宋体" w:hAnsi="宋体" w:cs="宋体"/>
          <w:color w:val="auto"/>
          <w:spacing w:val="6"/>
          <w:sz w:val="24"/>
          <w:highlight w:val="none"/>
        </w:rPr>
        <w:t>：</w:t>
      </w:r>
    </w:p>
    <w:p>
      <w:pPr>
        <w:rPr>
          <w:color w:val="auto"/>
          <w:highlight w:val="none"/>
        </w:rPr>
      </w:pPr>
      <w:r>
        <w:rPr>
          <w:rFonts w:hint="eastAsia" w:ascii="宋体" w:hAnsi="宋体" w:cs="宋体"/>
          <w:color w:val="auto"/>
          <w:spacing w:val="6"/>
          <w:sz w:val="24"/>
          <w:highlight w:val="none"/>
        </w:rPr>
        <w:br w:type="page"/>
      </w:r>
    </w:p>
    <w:p>
      <w:pPr>
        <w:numPr>
          <w:ilvl w:val="0"/>
          <w:numId w:val="10"/>
        </w:numPr>
        <w:tabs>
          <w:tab w:val="left" w:pos="640"/>
          <w:tab w:val="left" w:pos="840"/>
          <w:tab w:val="left" w:pos="1260"/>
          <w:tab w:val="left" w:pos="1418"/>
        </w:tabs>
        <w:spacing w:line="360" w:lineRule="auto"/>
        <w:ind w:left="845" w:hanging="845"/>
        <w:rPr>
          <w:rFonts w:ascii="宋体" w:hAnsi="宋体" w:cs="宋体"/>
          <w:b w:val="0"/>
          <w:bCs w:val="0"/>
          <w:color w:val="auto"/>
          <w:sz w:val="24"/>
          <w:highlight w:val="none"/>
        </w:rPr>
      </w:pPr>
      <w:r>
        <w:rPr>
          <w:rFonts w:hint="eastAsia" w:ascii="宋体" w:hAnsi="宋体" w:cs="宋体"/>
          <w:b w:val="0"/>
          <w:bCs w:val="0"/>
          <w:color w:val="auto"/>
          <w:sz w:val="24"/>
          <w:highlight w:val="none"/>
          <w:lang w:eastAsia="zh-CN"/>
        </w:rPr>
        <w:t>供应商基本情况表、社保证明及股权关系证明</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highlight w:val="none"/>
          <w:lang w:eastAsia="zh-CN"/>
        </w:rPr>
      </w:pPr>
      <w:bookmarkStart w:id="70" w:name="OLE_LINK18"/>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注：根据《深圳经济特区政府采购条例实施细则》第七十五条规定，以下内容将作为判定本项目不同投标供应商是否涉嫌、属于串通投标的重要依据，请供应商认真填报，并保证所填信息的真实、准确和完整。）</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1.《供应商基本情况表》</w:t>
      </w:r>
    </w:p>
    <w:p>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填表单位（</w:t>
      </w:r>
      <w:r>
        <w:rPr>
          <w:rFonts w:hint="eastAsia" w:ascii="宋体" w:hAnsi="宋体" w:eastAsia="宋体" w:cs="宋体"/>
          <w:b/>
          <w:bCs/>
          <w:color w:val="auto"/>
          <w:sz w:val="24"/>
          <w:szCs w:val="24"/>
          <w:highlight w:val="none"/>
        </w:rPr>
        <w:t>加盖单位公章，必填项</w:t>
      </w:r>
      <w:r>
        <w:rPr>
          <w:rFonts w:hint="eastAsia" w:ascii="宋体" w:hAnsi="宋体" w:eastAsia="宋体" w:cs="宋体"/>
          <w:color w:val="auto"/>
          <w:sz w:val="24"/>
          <w:szCs w:val="24"/>
          <w:highlight w:val="none"/>
        </w:rPr>
        <w:t>）：</w:t>
      </w:r>
    </w:p>
    <w:p>
      <w:pPr>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填表日期（</w:t>
      </w:r>
      <w:r>
        <w:rPr>
          <w:rFonts w:hint="eastAsia" w:ascii="宋体" w:hAnsi="宋体" w:eastAsia="宋体" w:cs="宋体"/>
          <w:b/>
          <w:bCs/>
          <w:color w:val="auto"/>
          <w:sz w:val="24"/>
          <w:szCs w:val="24"/>
          <w:highlight w:val="none"/>
        </w:rPr>
        <w:t>必填项</w:t>
      </w:r>
      <w:r>
        <w:rPr>
          <w:rFonts w:hint="eastAsia" w:ascii="宋体" w:hAnsi="宋体" w:eastAsia="宋体" w:cs="宋体"/>
          <w:color w:val="auto"/>
          <w:sz w:val="24"/>
          <w:szCs w:val="24"/>
          <w:highlight w:val="none"/>
        </w:rPr>
        <w:t>）：        年     月      日</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采购人</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投标（响应）供应商</w:t>
            </w:r>
          </w:p>
        </w:tc>
        <w:tc>
          <w:tcPr>
            <w:tcW w:w="140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ind w:left="0" w:leftChars="0" w:firstLine="0" w:firstLineChars="0"/>
              <w:jc w:val="center"/>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供应商统一社会信用代码</w:t>
            </w:r>
          </w:p>
        </w:tc>
        <w:tc>
          <w:tcPr>
            <w:tcW w:w="1656"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1223"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职务</w:t>
            </w:r>
          </w:p>
        </w:tc>
        <w:tc>
          <w:tcPr>
            <w:tcW w:w="543"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姓名</w:t>
            </w:r>
          </w:p>
        </w:tc>
        <w:tc>
          <w:tcPr>
            <w:tcW w:w="1188" w:type="pct"/>
            <w:gridSpan w:val="2"/>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身份证号码</w:t>
            </w:r>
          </w:p>
        </w:tc>
        <w:tc>
          <w:tcPr>
            <w:tcW w:w="821"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劳动合同</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关系单位</w:t>
            </w:r>
          </w:p>
        </w:tc>
        <w:tc>
          <w:tcPr>
            <w:tcW w:w="835" w:type="pct"/>
            <w:tcBorders>
              <w:bottom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缴纳社会</w:t>
            </w:r>
          </w:p>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项目投标授权代表人（必填项）</w:t>
            </w:r>
          </w:p>
        </w:tc>
        <w:tc>
          <w:tcPr>
            <w:tcW w:w="5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118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1223"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项目负责人（如有）</w:t>
            </w:r>
          </w:p>
        </w:tc>
        <w:tc>
          <w:tcPr>
            <w:tcW w:w="543"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1188" w:type="pct"/>
            <w:gridSpan w:val="2"/>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21"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35" w:type="pct"/>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主要技术人员（如有）</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223"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投标文件编制人员（必填项）</w:t>
            </w:r>
          </w:p>
        </w:tc>
        <w:tc>
          <w:tcPr>
            <w:tcW w:w="543"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1188" w:type="pct"/>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21"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835"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说明：1.同一职务有多人担任（如主要技术人员），应分行填写。</w:t>
            </w:r>
          </w:p>
          <w:p>
            <w:pPr>
              <w:pStyle w:val="6"/>
              <w:ind w:firstLine="723" w:firstLineChars="3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关联关系类型</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控股股东（必填项）</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宋体" w:hAnsi="宋体" w:eastAsia="宋体" w:cs="宋体"/>
                <w:b w:val="0"/>
                <w:bCs/>
                <w:color w:val="auto"/>
                <w:sz w:val="24"/>
                <w:szCs w:val="24"/>
                <w:highlight w:val="none"/>
                <w:lang w:val="en-US" w:eastAsia="zh-CN"/>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说明：</w:t>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1.同一关联关系类型有多个主体的，应分行填写。</w:t>
            </w:r>
          </w:p>
          <w:p>
            <w:pPr>
              <w:pStyle w:val="6"/>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2.上述规定的控股、管理关系仅限于直接控股、直接管理关系，不包括间接的控股或管理关系。</w:t>
            </w:r>
          </w:p>
        </w:tc>
      </w:tr>
    </w:tbl>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备注：注明“必填项”的必须填写；未注明“必填项”的，如供应商未填写则视为未安排（或无）。</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2.社保</w:t>
      </w:r>
      <w:bookmarkStart w:id="71" w:name="OLE_LINK9"/>
      <w:r>
        <w:rPr>
          <w:rFonts w:hint="eastAsia" w:ascii="宋体" w:hAnsi="宋体" w:eastAsia="宋体" w:cs="宋体"/>
          <w:b/>
          <w:color w:val="auto"/>
          <w:sz w:val="28"/>
          <w:szCs w:val="28"/>
          <w:highlight w:val="none"/>
          <w:lang w:val="en-US" w:eastAsia="zh-CN"/>
        </w:rPr>
        <w:t>证明</w:t>
      </w:r>
      <w:bookmarkEnd w:id="71"/>
      <w:r>
        <w:rPr>
          <w:rFonts w:hint="eastAsia" w:ascii="宋体" w:hAnsi="宋体" w:eastAsia="宋体" w:cs="宋体"/>
          <w:b/>
          <w:color w:val="auto"/>
          <w:sz w:val="28"/>
          <w:szCs w:val="28"/>
          <w:highlight w:val="none"/>
          <w:lang w:val="en-US" w:eastAsia="zh-CN"/>
        </w:rPr>
        <w:t>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法定代表人/单位负责人/主要经营负责人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开标前一个月的社保缴纳凭证：</w:t>
      </w:r>
    </w:p>
    <w:p>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（2）投标授权代表人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开标前一个月的社保缴纳凭证：</w:t>
      </w:r>
    </w:p>
    <w:p>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（3）项目负责人（如本项目未安排，可不提供）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开标前一个月的社保缴纳凭证：</w:t>
      </w:r>
    </w:p>
    <w:p>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（4）主要技术人员（如本项目未安排，可不提供）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开标前一个月的社保缴纳凭证：</w:t>
      </w:r>
    </w:p>
    <w:p>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highlight w:val="none"/>
          <w:lang w:val="en-US" w:eastAsia="zh-CN"/>
        </w:rPr>
      </w:pPr>
    </w:p>
    <w:p>
      <w:pPr>
        <w:keepNext w:val="0"/>
        <w:keepLines w:val="0"/>
        <w:pageBreakBefore w:val="0"/>
        <w:widowControl/>
        <w:numPr>
          <w:ilvl w:val="0"/>
          <w:numId w:val="12"/>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投标文件编制人员</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开标前一个月的社保缴纳凭证：</w:t>
      </w:r>
    </w:p>
    <w:p>
      <w:pPr>
        <w:pStyle w:val="6"/>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1.如开标前近一个月的社保材料因社保部门原因暂时无法取得，则可以往前顺延一个月。其中项目负责人及主要技术人员社保证明须由供应商缴纳。</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2.供应商的项目投标授权代表人与法定代表人为同一人的，则须提供法定代表人的社保证明；本项目未安排项目负责人的，则无须提供项目负责人的社保证明。</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3.如无法按上述要求提供人员社会保险证明材料的，提交以下材料亦视为符合：</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3.</w:t>
      </w:r>
      <w:bookmarkStart w:id="72" w:name="OLE_LINK10"/>
      <w:r>
        <w:rPr>
          <w:rFonts w:hint="eastAsia" w:ascii="宋体" w:hAnsi="宋体" w:eastAsia="宋体" w:cs="宋体"/>
          <w:b/>
          <w:color w:val="auto"/>
          <w:sz w:val="28"/>
          <w:szCs w:val="28"/>
          <w:highlight w:val="none"/>
          <w:lang w:val="en-US" w:eastAsia="zh-CN"/>
        </w:rPr>
        <w:t>股权关系证明</w:t>
      </w:r>
      <w:bookmarkEnd w:id="72"/>
      <w:r>
        <w:rPr>
          <w:rFonts w:hint="eastAsia" w:ascii="宋体" w:hAnsi="宋体" w:eastAsia="宋体" w:cs="宋体"/>
          <w:b/>
          <w:color w:val="auto"/>
          <w:sz w:val="28"/>
          <w:szCs w:val="28"/>
          <w:highlight w:val="none"/>
          <w:lang w:val="en-US" w:eastAsia="zh-CN"/>
        </w:rPr>
        <w:t>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（1）股权（或管理）关系证明材料：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eastAsia="宋体" w:cs="宋体"/>
          <w:color w:val="auto"/>
          <w:sz w:val="24"/>
          <w:szCs w:val="2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我公司申请参加</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项目（项目编号为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）的投标，并作出如下承诺：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我公司承诺所填的股权关系情况真实、准确、完整。</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特此承诺！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供应商名称（加盖公章</w:t>
      </w:r>
      <w:r>
        <w:rPr>
          <w:rFonts w:hint="eastAsia" w:ascii="宋体" w:hAnsi="宋体" w:eastAsia="宋体" w:cs="宋体"/>
          <w:b w:val="0"/>
          <w:bCs/>
          <w:color w:val="auto"/>
          <w:sz w:val="24"/>
          <w:szCs w:val="24"/>
          <w:highlight w:val="none"/>
          <w:lang w:val="en-US" w:eastAsia="zh-CN"/>
        </w:rPr>
        <w:tab/>
      </w:r>
      <w:r>
        <w:rPr>
          <w:rFonts w:hint="eastAsia" w:ascii="宋体" w:hAnsi="宋体" w:eastAsia="宋体" w:cs="宋体"/>
          <w:b w:val="0"/>
          <w:bCs/>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ind w:firstLine="3840" w:firstLineChars="16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日  期：       年    月   日</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highlight w:val="none"/>
          <w:lang w:val="en-US" w:eastAsia="zh-CN"/>
        </w:rPr>
      </w:pPr>
    </w:p>
    <w:p>
      <w:pPr>
        <w:numPr>
          <w:ilvl w:val="0"/>
          <w:numId w:val="0"/>
        </w:numPr>
        <w:tabs>
          <w:tab w:val="left" w:pos="640"/>
          <w:tab w:val="left" w:pos="840"/>
          <w:tab w:val="left" w:pos="1260"/>
          <w:tab w:val="left" w:pos="1418"/>
        </w:tabs>
        <w:spacing w:line="360" w:lineRule="auto"/>
        <w:ind w:left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注：代理机构将于截标当日同步通过上述网站进行查询，查询结果与供应商填报信息不一致的，以代理机构于截标当日的查询结果为准。</w:t>
      </w:r>
      <w:bookmarkEnd w:id="70"/>
    </w:p>
    <w:p>
      <w:pPr>
        <w:numPr>
          <w:ilvl w:val="0"/>
          <w:numId w:val="0"/>
        </w:numPr>
        <w:tabs>
          <w:tab w:val="left" w:pos="840"/>
          <w:tab w:val="left" w:pos="1119"/>
          <w:tab w:val="left" w:pos="1418"/>
        </w:tabs>
        <w:spacing w:line="360" w:lineRule="auto"/>
        <w:ind w:leftChars="0"/>
        <w:rPr>
          <w:rFonts w:ascii="宋体" w:hAnsi="宋体" w:cs="宋体"/>
          <w:color w:val="auto"/>
          <w:sz w:val="24"/>
          <w:highlight w:val="none"/>
        </w:rPr>
      </w:pPr>
    </w:p>
    <w:p>
      <w:pPr>
        <w:jc w:val="both"/>
        <w:outlineLvl w:val="9"/>
        <w:rPr>
          <w:color w:val="auto"/>
          <w:highlight w:val="none"/>
        </w:rPr>
      </w:pP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rPr>
          <w:color w:val="auto"/>
          <w:highlight w:val="none"/>
        </w:rPr>
      </w:pPr>
    </w:p>
    <w:p>
      <w:pPr>
        <w:numPr>
          <w:ilvl w:val="0"/>
          <w:numId w:val="10"/>
        </w:numPr>
        <w:tabs>
          <w:tab w:val="left" w:pos="640"/>
          <w:tab w:val="left" w:pos="840"/>
          <w:tab w:val="left" w:pos="1260"/>
          <w:tab w:val="left" w:pos="1418"/>
        </w:tabs>
        <w:spacing w:line="360" w:lineRule="auto"/>
        <w:ind w:left="845" w:hanging="845"/>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投标人认为有必要提供的其他材料。</w:t>
      </w:r>
    </w:p>
    <w:p>
      <w:pPr>
        <w:spacing w:line="360" w:lineRule="auto"/>
        <w:rPr>
          <w:rFonts w:ascii="宋体" w:hAnsi="宋体" w:cs="宋体"/>
          <w:color w:val="auto"/>
          <w:sz w:val="24"/>
          <w:highlight w:val="none"/>
        </w:rPr>
      </w:pPr>
    </w:p>
    <w:p>
      <w:p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（三）技术部分</w:t>
      </w:r>
    </w:p>
    <w:p>
      <w:pPr>
        <w:numPr>
          <w:ilvl w:val="0"/>
          <w:numId w:val="13"/>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spacing w:after="78"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lang w:val="fr-CH"/>
        </w:rPr>
        <w:t>用户需求响应表</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据招标文件要求，我公司承诺响应如下：</w:t>
      </w:r>
    </w:p>
    <w:tbl>
      <w:tblPr>
        <w:tblStyle w:val="18"/>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3507"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招标文件要求</w:t>
            </w:r>
          </w:p>
        </w:tc>
        <w:tc>
          <w:tcPr>
            <w:tcW w:w="3052"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投标文件响应</w:t>
            </w:r>
          </w:p>
        </w:tc>
        <w:tc>
          <w:tcPr>
            <w:tcW w:w="2106"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ascii="宋体" w:hAnsi="宋体" w:cs="宋体"/>
                <w:bCs/>
                <w:color w:val="auto"/>
                <w:sz w:val="24"/>
                <w:highlight w:val="none"/>
              </w:rPr>
            </w:pPr>
            <w:r>
              <w:rPr>
                <w:rFonts w:hint="eastAsia" w:ascii="宋体" w:hAnsi="宋体" w:cs="宋体"/>
                <w:bCs/>
                <w:color w:val="auto"/>
                <w:sz w:val="24"/>
                <w:highlight w:val="none"/>
              </w:rPr>
              <w:t>1</w:t>
            </w:r>
          </w:p>
        </w:tc>
        <w:tc>
          <w:tcPr>
            <w:tcW w:w="3507" w:type="dxa"/>
            <w:noWrap w:val="0"/>
            <w:vAlign w:val="center"/>
          </w:tcPr>
          <w:p>
            <w:pPr>
              <w:spacing w:after="78" w:line="360" w:lineRule="auto"/>
              <w:rPr>
                <w:rFonts w:ascii="宋体" w:hAnsi="宋体" w:cs="宋体"/>
                <w:bCs/>
                <w:color w:val="auto"/>
                <w:sz w:val="24"/>
                <w:highlight w:val="none"/>
              </w:rPr>
            </w:pPr>
            <w:r>
              <w:rPr>
                <w:rFonts w:hint="eastAsia" w:ascii="宋体" w:hAnsi="宋体" w:cs="宋体"/>
                <w:b/>
                <w:color w:val="auto"/>
                <w:sz w:val="24"/>
                <w:highlight w:val="none"/>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auto"/>
                <w:sz w:val="24"/>
                <w:highlight w:val="none"/>
              </w:rPr>
              <w:t>。如投标人中标后被发现不能满足招标文件“第五章 用户需求书”的，采购单位有权拒绝签订合同，一切后果由投标人承担。</w:t>
            </w:r>
          </w:p>
        </w:tc>
        <w:tc>
          <w:tcPr>
            <w:tcW w:w="3052" w:type="dxa"/>
            <w:noWrap w:val="0"/>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2106" w:type="dxa"/>
            <w:noWrap w:val="0"/>
            <w:vAlign w:val="center"/>
          </w:tcPr>
          <w:p>
            <w:pPr>
              <w:spacing w:line="360" w:lineRule="auto"/>
              <w:jc w:val="center"/>
              <w:rPr>
                <w:rFonts w:ascii="宋体" w:hAnsi="宋体" w:cs="宋体"/>
                <w:bCs/>
                <w:color w:val="auto"/>
                <w:sz w:val="24"/>
                <w:highlight w:val="none"/>
              </w:rPr>
            </w:pPr>
          </w:p>
        </w:tc>
      </w:tr>
    </w:tbl>
    <w:p>
      <w:pPr>
        <w:spacing w:after="78" w:line="360" w:lineRule="auto"/>
        <w:rPr>
          <w:rFonts w:ascii="宋体" w:hAnsi="宋体" w:cs="宋体"/>
          <w:bCs/>
          <w:color w:val="auto"/>
          <w:sz w:val="24"/>
          <w:highlight w:val="none"/>
        </w:rPr>
      </w:pP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2"/>
        <w:spacing w:line="360" w:lineRule="auto"/>
        <w:rPr>
          <w:color w:val="auto"/>
          <w:highlight w:val="none"/>
          <w:lang w:val="fr-CH"/>
        </w:rPr>
      </w:pP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br w:type="page"/>
      </w:r>
      <w:bookmarkStart w:id="73" w:name="OLE_LINK32"/>
      <w:r>
        <w:rPr>
          <w:rFonts w:hint="eastAsia" w:ascii="宋体" w:hAnsi="宋体" w:cs="宋体"/>
          <w:color w:val="auto"/>
          <w:sz w:val="24"/>
          <w:highlight w:val="none"/>
          <w:lang w:val="sq-AL"/>
        </w:rPr>
        <w:t>实施方案</w:t>
      </w:r>
      <w:r>
        <w:rPr>
          <w:rFonts w:hint="eastAsia" w:ascii="宋体" w:hAnsi="宋体" w:cs="宋体"/>
          <w:color w:val="auto"/>
          <w:sz w:val="24"/>
          <w:highlight w:val="none"/>
          <w:lang w:val="sq-AL" w:eastAsia="zh-CN"/>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项目重点难点分析、应对措施及相关的合理化建议</w:t>
      </w:r>
      <w:r>
        <w:rPr>
          <w:rFonts w:hint="eastAsia" w:ascii="宋体" w:hAnsi="宋体" w:cs="宋体"/>
          <w:color w:val="auto"/>
          <w:sz w:val="24"/>
          <w:highlight w:val="none"/>
          <w:lang w:val="sq-AL" w:eastAsia="zh-CN"/>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质量保障措施及方案</w:t>
      </w:r>
      <w:r>
        <w:rPr>
          <w:rFonts w:hint="eastAsia" w:ascii="宋体" w:hAnsi="宋体" w:cs="宋体"/>
          <w:color w:val="auto"/>
          <w:sz w:val="24"/>
          <w:highlight w:val="none"/>
          <w:lang w:val="sq-AL" w:eastAsia="zh-CN"/>
        </w:rPr>
        <w:t>；</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sq-AL"/>
        </w:rPr>
      </w:pPr>
      <w:r>
        <w:rPr>
          <w:rFonts w:hint="eastAsia" w:ascii="宋体" w:hAnsi="宋体" w:cs="宋体"/>
          <w:color w:val="auto"/>
          <w:sz w:val="24"/>
          <w:highlight w:val="none"/>
          <w:lang w:val="sq-AL"/>
        </w:rPr>
        <w:t>项目完成（服务期满）后的服务方案</w:t>
      </w:r>
      <w:r>
        <w:rPr>
          <w:rFonts w:hint="eastAsia" w:ascii="宋体" w:hAnsi="宋体" w:cs="宋体"/>
          <w:color w:val="auto"/>
          <w:sz w:val="24"/>
          <w:highlight w:val="none"/>
          <w:lang w:val="sq-AL" w:eastAsia="zh-CN"/>
        </w:rPr>
        <w:t>；</w:t>
      </w:r>
    </w:p>
    <w:bookmarkEnd w:id="73"/>
    <w:p>
      <w:pPr>
        <w:tabs>
          <w:tab w:val="left" w:pos="640"/>
          <w:tab w:val="left" w:pos="1260"/>
          <w:tab w:val="left" w:pos="1418"/>
        </w:tabs>
        <w:jc w:val="center"/>
        <w:rPr>
          <w:rFonts w:ascii="宋体" w:hAnsi="宋体" w:cs="宋体"/>
          <w:b/>
          <w:bCs/>
          <w:color w:val="auto"/>
          <w:sz w:val="24"/>
          <w:highlight w:val="none"/>
        </w:rPr>
      </w:pPr>
    </w:p>
    <w:p>
      <w:pPr>
        <w:tabs>
          <w:tab w:val="left" w:pos="640"/>
          <w:tab w:val="left" w:pos="1260"/>
          <w:tab w:val="left" w:pos="1418"/>
        </w:tabs>
        <w:jc w:val="center"/>
        <w:rPr>
          <w:rFonts w:ascii="宋体" w:hAnsi="宋体" w:cs="宋体"/>
          <w:b/>
          <w:bCs/>
          <w:color w:val="auto"/>
          <w:sz w:val="24"/>
          <w:highlight w:val="none"/>
        </w:rPr>
      </w:pPr>
    </w:p>
    <w:p>
      <w:pPr>
        <w:tabs>
          <w:tab w:val="left" w:pos="640"/>
          <w:tab w:val="left" w:pos="1260"/>
          <w:tab w:val="left" w:pos="1418"/>
        </w:tabs>
        <w:jc w:val="center"/>
        <w:rPr>
          <w:rFonts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3"/>
        </w:numPr>
        <w:tabs>
          <w:tab w:val="left" w:pos="640"/>
          <w:tab w:val="left" w:pos="1260"/>
          <w:tab w:val="left" w:pos="1418"/>
        </w:tabs>
        <w:spacing w:line="360" w:lineRule="auto"/>
        <w:ind w:left="845" w:right="-420" w:rightChars="-200" w:hanging="845"/>
        <w:rPr>
          <w:rFonts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投标人认为有必要提供的其他材料。</w:t>
      </w:r>
      <w:bookmarkEnd w:id="54"/>
    </w:p>
    <w:p>
      <w:pPr>
        <w:tabs>
          <w:tab w:val="left" w:pos="360"/>
        </w:tabs>
        <w:spacing w:line="300" w:lineRule="auto"/>
        <w:outlineLvl w:val="0"/>
        <w:rPr>
          <w:rFonts w:ascii="宋体" w:hAnsi="宋体" w:cs="宋体"/>
          <w:b/>
          <w:bCs/>
          <w:color w:val="auto"/>
          <w:sz w:val="24"/>
          <w:highlight w:val="none"/>
        </w:rPr>
      </w:pPr>
      <w:r>
        <w:rPr>
          <w:rFonts w:hint="eastAsia" w:ascii="宋体" w:hAnsi="宋体" w:cs="宋体"/>
          <w:color w:val="auto"/>
          <w:sz w:val="24"/>
          <w:highlight w:val="none"/>
          <w:lang w:val="fr-CH"/>
        </w:rPr>
        <w:br w:type="page"/>
      </w:r>
      <w:bookmarkStart w:id="74" w:name="_Toc2231"/>
      <w:bookmarkStart w:id="75" w:name="_Toc6251"/>
      <w:bookmarkStart w:id="76" w:name="_Toc742"/>
      <w:r>
        <w:rPr>
          <w:rFonts w:hint="eastAsia" w:ascii="宋体" w:hAnsi="宋体" w:cs="宋体"/>
          <w:b/>
          <w:bCs/>
          <w:color w:val="auto"/>
          <w:sz w:val="24"/>
          <w:highlight w:val="none"/>
        </w:rPr>
        <w:t>附件：相关政策</w:t>
      </w:r>
      <w:bookmarkEnd w:id="74"/>
      <w:bookmarkEnd w:id="75"/>
      <w:bookmarkEnd w:id="76"/>
    </w:p>
    <w:p>
      <w:pPr>
        <w:tabs>
          <w:tab w:val="left" w:pos="360"/>
        </w:tabs>
        <w:outlineLvl w:val="1"/>
        <w:rPr>
          <w:rFonts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2"/>
        <w:tabs>
          <w:tab w:val="left" w:pos="562"/>
          <w:tab w:val="left" w:pos="3372"/>
          <w:tab w:val="left" w:pos="3653"/>
        </w:tabs>
        <w:rPr>
          <w:rFonts w:ascii="宋体" w:hAnsi="宋体" w:cs="宋体"/>
          <w:color w:val="auto"/>
          <w:highlight w:val="none"/>
        </w:rPr>
      </w:pPr>
    </w:p>
    <w:p>
      <w:pPr>
        <w:widowControl/>
        <w:shd w:val="clear" w:color="auto" w:fill="FFFFFF"/>
        <w:jc w:val="center"/>
        <w:rPr>
          <w:rFonts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FFFFFF"/>
        <w:spacing w:after="240"/>
        <w:jc w:val="center"/>
        <w:rPr>
          <w:rFonts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FFFFFF"/>
        <w:spacing w:after="240"/>
        <w:jc w:val="left"/>
        <w:rPr>
          <w:rFonts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FFFFFF"/>
        <w:jc w:val="right"/>
        <w:rPr>
          <w:rFonts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jc w:val="left"/>
        <w:rPr>
          <w:rFonts w:ascii="宋体" w:hAnsi="宋体" w:cs="宋体"/>
          <w:color w:val="auto"/>
          <w:kern w:val="0"/>
          <w:sz w:val="24"/>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（二）在工程采购项目中，工程由中小企业承建，即工 程施工单位为中小企业；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kern w:val="0"/>
          <w:highlight w:val="none"/>
        </w:rPr>
        <w:t>符合下列情形之一的，可不专门面向中小企业预留采购</w:t>
      </w:r>
      <w:r>
        <w:rPr>
          <w:rFonts w:hint="eastAsia" w:ascii="宋体" w:hAnsi="宋体" w:cs="宋体"/>
          <w:color w:val="auto"/>
          <w:highlight w:val="none"/>
        </w:rPr>
        <w:t>份额：</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（四）框架协议采购项目；</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（一）将采购项目整体或者设置采购包专门面向中小企业采购；</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第十二条 采购项目涉及中小企业采购的，采购文件应当明确以下内容：</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（三）非预留份额的采购项目或者采购包，明确有关价格扣除比例或者价格分加分比例；</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（六）明确采购标的对应的中小企业划分标准所属行业；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（七）法律法规和省级以上人民政府财政部门规定的其他事项。</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ascii="宋体" w:hAnsi="宋体" w:cs="宋体"/>
          <w:color w:val="auto"/>
          <w:highlight w:val="none"/>
        </w:rPr>
      </w:pP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附：1.中小企业声明函</w:t>
      </w:r>
    </w:p>
    <w:p>
      <w:pPr>
        <w:pStyle w:val="2"/>
        <w:tabs>
          <w:tab w:val="left" w:pos="562"/>
          <w:tab w:val="left" w:pos="3372"/>
          <w:tab w:val="left" w:pos="3653"/>
        </w:tabs>
        <w:ind w:firstLine="960" w:firstLineChars="400"/>
        <w:rPr>
          <w:rFonts w:ascii="宋体" w:hAnsi="宋体" w:cs="宋体"/>
          <w:color w:val="auto"/>
          <w:kern w:val="0"/>
          <w:highlight w:val="none"/>
        </w:rPr>
      </w:pPr>
      <w:r>
        <w:rPr>
          <w:rFonts w:hint="eastAsia" w:ascii="宋体" w:hAnsi="宋体" w:cs="宋体"/>
          <w:color w:val="auto"/>
          <w:kern w:val="0"/>
          <w:highlight w:val="none"/>
        </w:rPr>
        <w:t>2.面向中小企业预留项目执行情况公告</w:t>
      </w:r>
    </w:p>
    <w:p>
      <w:pPr>
        <w:pStyle w:val="2"/>
        <w:tabs>
          <w:tab w:val="left" w:pos="562"/>
          <w:tab w:val="left" w:pos="3372"/>
          <w:tab w:val="left" w:pos="3653"/>
        </w:tabs>
        <w:spacing w:before="30"/>
        <w:rPr>
          <w:rFonts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附 1</w:t>
      </w:r>
    </w:p>
    <w:p>
      <w:pPr>
        <w:spacing w:after="319" w:afterLines="100"/>
        <w:jc w:val="center"/>
        <w:rPr>
          <w:rFonts w:ascii="宋体" w:hAnsi="宋体" w:cs="宋体"/>
          <w:color w:val="auto"/>
          <w:sz w:val="24"/>
          <w:highlight w:val="none"/>
        </w:rPr>
      </w:pPr>
      <w:r>
        <w:rPr>
          <w:rFonts w:hint="eastAsia" w:ascii="宋体" w:hAnsi="宋体" w:cs="宋体"/>
          <w:color w:val="auto"/>
          <w:sz w:val="24"/>
          <w:highlight w:val="none"/>
        </w:rPr>
        <w:t>中小企业声明函（货物）</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标的名称</w:t>
      </w:r>
      <w:r>
        <w:rPr>
          <w:rFonts w:hint="eastAsia" w:ascii="宋体" w:hAnsi="宋体" w:cs="宋体"/>
          <w:color w:val="auto"/>
          <w:kern w:val="0"/>
          <w:highlight w:val="none"/>
        </w:rPr>
        <w:t>），属于（</w:t>
      </w:r>
      <w:r>
        <w:rPr>
          <w:rFonts w:hint="eastAsia" w:ascii="宋体" w:hAnsi="宋体" w:cs="宋体"/>
          <w:color w:val="auto"/>
          <w:kern w:val="0"/>
          <w:highlight w:val="none"/>
          <w:u w:val="single"/>
        </w:rPr>
        <w:t>采购文件中明确的所属行业</w:t>
      </w:r>
      <w:r>
        <w:rPr>
          <w:rFonts w:hint="eastAsia" w:ascii="宋体" w:hAnsi="宋体" w:cs="宋体"/>
          <w:color w:val="auto"/>
          <w:kern w:val="0"/>
          <w:highlight w:val="none"/>
        </w:rPr>
        <w:t>）；制造商为（</w:t>
      </w:r>
      <w:r>
        <w:rPr>
          <w:rFonts w:hint="eastAsia" w:ascii="宋体" w:hAnsi="宋体" w:cs="宋体"/>
          <w:color w:val="auto"/>
          <w:kern w:val="0"/>
          <w:highlight w:val="none"/>
          <w:u w:val="single"/>
        </w:rPr>
        <w:t>企业名称</w:t>
      </w:r>
      <w:r>
        <w:rPr>
          <w:rFonts w:hint="eastAsia" w:ascii="宋体" w:hAnsi="宋体" w:cs="宋体"/>
          <w:color w:val="auto"/>
          <w:kern w:val="0"/>
          <w:highlight w:val="none"/>
        </w:rPr>
        <w:t>），从业人员</w:t>
      </w:r>
      <w:r>
        <w:rPr>
          <w:rFonts w:hint="eastAsia" w:ascii="宋体" w:hAnsi="宋体" w:cs="宋体"/>
          <w:color w:val="auto"/>
          <w:kern w:val="0"/>
          <w:highlight w:val="none"/>
          <w:u w:val="single"/>
        </w:rPr>
        <w:tab/>
      </w:r>
      <w:r>
        <w:rPr>
          <w:rFonts w:hint="eastAsia" w:ascii="宋体" w:hAnsi="宋体" w:cs="宋体"/>
          <w:color w:val="auto"/>
          <w:kern w:val="0"/>
          <w:highlight w:val="none"/>
        </w:rPr>
        <w:t xml:space="preserve">人，营业收入为 </w:t>
      </w:r>
      <w:r>
        <w:rPr>
          <w:rFonts w:hint="eastAsia" w:ascii="宋体" w:hAnsi="宋体" w:cs="宋体"/>
          <w:color w:val="auto"/>
          <w:kern w:val="0"/>
          <w:highlight w:val="none"/>
          <w:u w:val="single"/>
        </w:rPr>
        <w:tab/>
      </w:r>
      <w:r>
        <w:rPr>
          <w:rFonts w:hint="eastAsia" w:ascii="宋体" w:hAnsi="宋体" w:cs="宋体"/>
          <w:color w:val="auto"/>
          <w:kern w:val="0"/>
          <w:highlight w:val="none"/>
        </w:rPr>
        <w:t>万元，资产总额为</w:t>
      </w:r>
      <w:r>
        <w:rPr>
          <w:rFonts w:hint="eastAsia" w:ascii="宋体" w:hAnsi="宋体" w:cs="宋体"/>
          <w:color w:val="auto"/>
          <w:kern w:val="0"/>
          <w:highlight w:val="none"/>
          <w:u w:val="single"/>
        </w:rPr>
        <w:tab/>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万元，属于（</w:t>
      </w:r>
      <w:r>
        <w:rPr>
          <w:rFonts w:hint="eastAsia" w:ascii="宋体" w:hAnsi="宋体" w:cs="宋体"/>
          <w:color w:val="auto"/>
          <w:kern w:val="0"/>
          <w:highlight w:val="none"/>
          <w:u w:val="single"/>
        </w:rPr>
        <w:t>中型企业、小型企业、微型企业</w:t>
      </w:r>
      <w:r>
        <w:rPr>
          <w:rFonts w:hint="eastAsia" w:ascii="宋体" w:hAnsi="宋体" w:cs="宋体"/>
          <w:color w:val="auto"/>
          <w:kern w:val="0"/>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）；制造商为（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color w:val="auto"/>
          <w:highlight w:val="none"/>
        </w:rPr>
      </w:pPr>
      <w:r>
        <w:rPr>
          <w:rFonts w:hint="eastAsia" w:ascii="宋体" w:hAnsi="宋体" w:cs="宋体"/>
          <w:color w:val="auto"/>
          <w:spacing w:val="-2"/>
          <w:highlight w:val="none"/>
        </w:rPr>
        <w:t>企业名称（盖章）日期：</w:t>
      </w:r>
    </w:p>
    <w:p>
      <w:pPr>
        <w:pStyle w:val="2"/>
        <w:tabs>
          <w:tab w:val="left" w:pos="562"/>
          <w:tab w:val="left" w:pos="3372"/>
          <w:tab w:val="left" w:pos="3653"/>
        </w:tabs>
        <w:jc w:val="center"/>
        <w:rPr>
          <w:rFonts w:ascii="宋体" w:hAnsi="宋体" w:cs="宋体"/>
          <w:color w:val="auto"/>
          <w:spacing w:val="-2"/>
          <w:highlight w:val="none"/>
        </w:rPr>
      </w:pPr>
      <w:r>
        <w:rPr>
          <w:rFonts w:hint="eastAsia" w:ascii="宋体" w:hAnsi="宋体" w:cs="宋体"/>
          <w:color w:val="auto"/>
          <w:spacing w:val="-2"/>
          <w:highlight w:val="none"/>
        </w:rPr>
        <w:t>从业人员、营业收入、资产总额填报上一年度数据，无上一年度数据的新成立企业可不填报。</w:t>
      </w:r>
    </w:p>
    <w:p>
      <w:pPr>
        <w:spacing w:after="319" w:afterLines="100"/>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中小企业声明函（工程、服务）</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1、（</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 ；承建（承接）企业为（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color w:val="auto"/>
          <w:spacing w:val="-2"/>
          <w:highlight w:val="none"/>
        </w:rPr>
      </w:pPr>
    </w:p>
    <w:p>
      <w:pPr>
        <w:pStyle w:val="2"/>
        <w:tabs>
          <w:tab w:val="left" w:pos="562"/>
          <w:tab w:val="left" w:pos="3372"/>
          <w:tab w:val="left" w:pos="3653"/>
        </w:tabs>
        <w:ind w:firstLine="472" w:firstLineChars="200"/>
        <w:rPr>
          <w:rFonts w:ascii="宋体" w:hAnsi="宋体" w:cs="宋体"/>
          <w:color w:val="auto"/>
          <w:spacing w:val="-2"/>
          <w:highlight w:val="none"/>
        </w:rPr>
      </w:pPr>
      <w:r>
        <w:rPr>
          <w:rFonts w:hint="eastAsia" w:ascii="宋体" w:hAnsi="宋体" w:cs="宋体"/>
          <w:color w:val="auto"/>
          <w:spacing w:val="-2"/>
          <w:highlight w:val="none"/>
        </w:rPr>
        <w:t>注意事项：</w:t>
      </w:r>
    </w:p>
    <w:p>
      <w:pPr>
        <w:pStyle w:val="2"/>
        <w:tabs>
          <w:tab w:val="left" w:pos="562"/>
          <w:tab w:val="left" w:pos="3372"/>
          <w:tab w:val="left" w:pos="3653"/>
        </w:tabs>
        <w:spacing w:after="0"/>
        <w:ind w:firstLine="472" w:firstLineChars="200"/>
        <w:rPr>
          <w:rFonts w:ascii="宋体" w:hAnsi="宋体" w:cs="宋体"/>
          <w:color w:val="auto"/>
          <w:spacing w:val="-2"/>
          <w:highlight w:val="none"/>
        </w:rPr>
      </w:pPr>
      <w:r>
        <w:rPr>
          <w:rFonts w:hint="eastAsia" w:ascii="宋体" w:hAnsi="宋体" w:cs="宋体"/>
          <w:color w:val="auto"/>
          <w:spacing w:val="-2"/>
          <w:highlight w:val="none"/>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ascii="宋体" w:hAnsi="宋体" w:cs="宋体"/>
          <w:color w:val="auto"/>
          <w:spacing w:val="-2"/>
          <w:highlight w:val="none"/>
        </w:rPr>
      </w:pPr>
      <w:r>
        <w:rPr>
          <w:rFonts w:hint="eastAsia" w:ascii="宋体" w:hAnsi="宋体" w:cs="宋体"/>
          <w:color w:val="auto"/>
          <w:spacing w:val="-2"/>
          <w:highlight w:val="none"/>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ascii="宋体" w:hAnsi="宋体" w:cs="宋体"/>
          <w:color w:val="auto"/>
          <w:spacing w:val="-2"/>
          <w:highlight w:val="none"/>
        </w:rPr>
      </w:pPr>
      <w:r>
        <w:rPr>
          <w:rFonts w:hint="eastAsia" w:ascii="宋体" w:hAnsi="宋体" w:cs="宋体"/>
          <w:color w:val="auto"/>
          <w:spacing w:val="-2"/>
          <w:highlight w:val="none"/>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ascii="宋体" w:hAnsi="宋体" w:cs="宋体"/>
          <w:color w:val="auto"/>
          <w:spacing w:val="-2"/>
          <w:highlight w:val="none"/>
        </w:rPr>
      </w:pPr>
      <w:r>
        <w:rPr>
          <w:rFonts w:hint="eastAsia" w:ascii="宋体" w:hAnsi="宋体" w:cs="宋体"/>
          <w:color w:val="auto"/>
          <w:spacing w:val="-2"/>
          <w:highlight w:val="none"/>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color w:val="auto"/>
          <w:spacing w:val="-2"/>
          <w:highlight w:val="none"/>
        </w:rPr>
      </w:pPr>
    </w:p>
    <w:p>
      <w:pPr>
        <w:pStyle w:val="2"/>
        <w:tabs>
          <w:tab w:val="left" w:pos="562"/>
          <w:tab w:val="left" w:pos="3372"/>
          <w:tab w:val="left" w:pos="3653"/>
        </w:tabs>
        <w:ind w:left="4200" w:leftChars="2000"/>
        <w:rPr>
          <w:rFonts w:ascii="宋体" w:hAnsi="宋体" w:cs="宋体"/>
          <w:color w:val="auto"/>
          <w:spacing w:val="-2"/>
          <w:highlight w:val="none"/>
        </w:rPr>
      </w:pPr>
      <w:r>
        <w:rPr>
          <w:rFonts w:hint="eastAsia" w:ascii="宋体" w:hAnsi="宋体" w:cs="宋体"/>
          <w:color w:val="auto"/>
          <w:spacing w:val="-2"/>
          <w:highlight w:val="none"/>
        </w:rPr>
        <w:t>企业名称（盖章）日期：</w:t>
      </w:r>
    </w:p>
    <w:p>
      <w:pPr>
        <w:pStyle w:val="2"/>
        <w:tabs>
          <w:tab w:val="left" w:pos="562"/>
          <w:tab w:val="left" w:pos="3372"/>
          <w:tab w:val="left" w:pos="3653"/>
        </w:tabs>
        <w:spacing w:before="30"/>
        <w:rPr>
          <w:rFonts w:ascii="宋体" w:hAnsi="宋体" w:cs="宋体"/>
          <w:color w:val="auto"/>
          <w:highlight w:val="none"/>
        </w:rPr>
      </w:pPr>
      <w:r>
        <w:rPr>
          <w:rFonts w:hint="eastAsia" w:ascii="宋体" w:hAnsi="宋体" w:cs="宋体"/>
          <w:color w:val="auto"/>
          <w:spacing w:val="-2"/>
          <w:highlight w:val="none"/>
        </w:rPr>
        <w:t>从业人员、营业收入、资产总额填报上一年度数据，无上一年度数据的新成立企业可不填报。</w:t>
      </w:r>
      <w:r>
        <w:rPr>
          <w:rFonts w:hint="eastAsia" w:ascii="宋体" w:hAnsi="宋体" w:cs="宋体"/>
          <w:color w:val="auto"/>
          <w:highlight w:val="none"/>
        </w:rPr>
        <w:br w:type="page"/>
      </w:r>
      <w:r>
        <w:rPr>
          <w:rFonts w:hint="eastAsia" w:ascii="宋体" w:hAnsi="宋体" w:cs="宋体"/>
          <w:b/>
          <w:bCs/>
          <w:color w:val="auto"/>
          <w:highlight w:val="none"/>
        </w:rPr>
        <w:t>附 2</w:t>
      </w:r>
    </w:p>
    <w:p>
      <w:pPr>
        <w:jc w:val="center"/>
        <w:rPr>
          <w:rFonts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pPr>
        <w:pStyle w:val="2"/>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w:t>
      </w:r>
      <w:r>
        <w:rPr>
          <w:rFonts w:hint="eastAsia" w:ascii="宋体" w:hAnsi="宋体" w:cs="宋体"/>
          <w:color w:val="auto"/>
          <w:spacing w:val="-47"/>
          <w:highlight w:val="none"/>
        </w:rPr>
        <w:t xml:space="preserve"> 号</w:t>
      </w:r>
      <w:r>
        <w:rPr>
          <w:rFonts w:hint="eastAsia" w:ascii="宋体" w:hAnsi="宋体" w:cs="宋体"/>
          <w:color w:val="auto"/>
          <w:spacing w:val="-22"/>
          <w:highlight w:val="none"/>
        </w:rPr>
        <w:t>）</w:t>
      </w:r>
      <w:r>
        <w:rPr>
          <w:rFonts w:hint="eastAsia" w:ascii="宋体" w:hAnsi="宋体" w:cs="宋体"/>
          <w:color w:val="auto"/>
          <w:spacing w:val="-7"/>
          <w:highlight w:val="none"/>
        </w:rPr>
        <w:t>要求，现对本部门</w:t>
      </w:r>
      <w:r>
        <w:rPr>
          <w:rFonts w:hint="eastAsia" w:ascii="宋体" w:hAnsi="宋体" w:cs="宋体"/>
          <w:color w:val="auto"/>
          <w:spacing w:val="-3"/>
          <w:highlight w:val="none"/>
        </w:rPr>
        <w:t>（</w:t>
      </w:r>
      <w:r>
        <w:rPr>
          <w:rFonts w:hint="eastAsia" w:ascii="宋体" w:hAnsi="宋体" w:cs="宋体"/>
          <w:color w:val="auto"/>
          <w:highlight w:val="none"/>
        </w:rPr>
        <w:t>单位</w:t>
      </w:r>
      <w:r>
        <w:rPr>
          <w:rFonts w:hint="eastAsia" w:ascii="宋体" w:hAnsi="宋体" w:cs="宋体"/>
          <w:color w:val="auto"/>
          <w:spacing w:val="-7"/>
          <w:highlight w:val="none"/>
        </w:rPr>
        <w:t>）</w:t>
      </w:r>
      <w:r>
        <w:rPr>
          <w:rFonts w:hint="eastAsia" w:ascii="宋体" w:hAnsi="宋体" w:cs="宋体"/>
          <w:color w:val="auto"/>
          <w:spacing w:val="-4"/>
          <w:highlight w:val="none"/>
        </w:rPr>
        <w:t>××年面向中小企业预留项目执行情况公告如下：</w:t>
      </w:r>
    </w:p>
    <w:p>
      <w:pPr>
        <w:pStyle w:val="2"/>
        <w:tabs>
          <w:tab w:val="left" w:pos="562"/>
          <w:tab w:val="left" w:pos="3372"/>
          <w:tab w:val="left" w:pos="3653"/>
        </w:tabs>
        <w:ind w:firstLine="480" w:firstLineChars="200"/>
        <w:rPr>
          <w:rFonts w:ascii="宋体" w:hAnsi="宋体" w:cs="宋体"/>
          <w:color w:val="auto"/>
          <w:highlight w:val="none"/>
        </w:rPr>
      </w:pPr>
      <w:r>
        <w:rPr>
          <w:rFonts w:hint="eastAsia" w:ascii="宋体" w:hAnsi="宋体" w:cs="宋体"/>
          <w:color w:val="auto"/>
          <w:highlight w:val="none"/>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color w:val="auto"/>
          <w:highlight w:val="none"/>
        </w:rPr>
      </w:pPr>
      <w:r>
        <w:rPr>
          <w:rFonts w:hint="eastAsia" w:ascii="宋体" w:hAnsi="宋体" w:cs="宋体"/>
          <w:b/>
          <w:bCs/>
          <w:color w:val="auto"/>
          <w:highlight w:val="none"/>
        </w:rPr>
        <w:t>面向中小企业预留项目明细</w:t>
      </w:r>
    </w:p>
    <w:tbl>
      <w:tblPr>
        <w:tblStyle w:val="18"/>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5"/>
              <w:jc w:val="center"/>
              <w:rPr>
                <w:b/>
                <w:color w:val="auto"/>
                <w:sz w:val="24"/>
                <w:szCs w:val="24"/>
                <w:highlight w:val="none"/>
              </w:rPr>
            </w:pPr>
            <w:r>
              <w:rPr>
                <w:rFonts w:hint="eastAsia"/>
                <w:b/>
                <w:color w:val="auto"/>
                <w:sz w:val="24"/>
                <w:szCs w:val="24"/>
                <w:highlight w:val="none"/>
              </w:rPr>
              <w:t>序号</w:t>
            </w:r>
          </w:p>
        </w:tc>
        <w:tc>
          <w:tcPr>
            <w:tcW w:w="1866" w:type="dxa"/>
            <w:noWrap w:val="0"/>
            <w:vAlign w:val="center"/>
          </w:tcPr>
          <w:p>
            <w:pPr>
              <w:pStyle w:val="35"/>
              <w:jc w:val="center"/>
              <w:rPr>
                <w:b/>
                <w:color w:val="auto"/>
                <w:sz w:val="24"/>
                <w:szCs w:val="24"/>
                <w:highlight w:val="none"/>
              </w:rPr>
            </w:pPr>
            <w:r>
              <w:rPr>
                <w:rFonts w:hint="eastAsia"/>
                <w:b/>
                <w:color w:val="auto"/>
                <w:sz w:val="24"/>
                <w:szCs w:val="24"/>
                <w:highlight w:val="none"/>
              </w:rPr>
              <w:t>项目名称</w:t>
            </w:r>
          </w:p>
        </w:tc>
        <w:tc>
          <w:tcPr>
            <w:tcW w:w="2010" w:type="dxa"/>
            <w:noWrap w:val="0"/>
            <w:vAlign w:val="center"/>
          </w:tcPr>
          <w:p>
            <w:pPr>
              <w:pStyle w:val="35"/>
              <w:jc w:val="center"/>
              <w:rPr>
                <w:b/>
                <w:color w:val="auto"/>
                <w:sz w:val="24"/>
                <w:szCs w:val="24"/>
                <w:highlight w:val="none"/>
              </w:rPr>
            </w:pPr>
            <w:r>
              <w:rPr>
                <w:rFonts w:hint="eastAsia"/>
                <w:b/>
                <w:color w:val="auto"/>
                <w:sz w:val="24"/>
                <w:szCs w:val="24"/>
                <w:highlight w:val="none"/>
              </w:rPr>
              <w:t>预留选项</w:t>
            </w:r>
          </w:p>
        </w:tc>
        <w:tc>
          <w:tcPr>
            <w:tcW w:w="2296" w:type="dxa"/>
            <w:noWrap w:val="0"/>
            <w:vAlign w:val="center"/>
          </w:tcPr>
          <w:p>
            <w:pPr>
              <w:pStyle w:val="35"/>
              <w:jc w:val="center"/>
              <w:rPr>
                <w:b/>
                <w:color w:val="auto"/>
                <w:sz w:val="24"/>
                <w:szCs w:val="24"/>
                <w:highlight w:val="none"/>
              </w:rPr>
            </w:pPr>
            <w:r>
              <w:rPr>
                <w:rFonts w:hint="eastAsia"/>
                <w:b/>
                <w:color w:val="auto"/>
                <w:sz w:val="24"/>
                <w:szCs w:val="24"/>
                <w:highlight w:val="none"/>
              </w:rPr>
              <w:t>面向中小企业采购金额</w:t>
            </w:r>
          </w:p>
        </w:tc>
        <w:tc>
          <w:tcPr>
            <w:tcW w:w="1784" w:type="dxa"/>
            <w:noWrap w:val="0"/>
            <w:vAlign w:val="center"/>
          </w:tcPr>
          <w:p>
            <w:pPr>
              <w:pStyle w:val="35"/>
              <w:jc w:val="center"/>
              <w:rPr>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35"/>
              <w:jc w:val="center"/>
              <w:rPr>
                <w:color w:val="auto"/>
                <w:sz w:val="24"/>
                <w:szCs w:val="24"/>
                <w:highlight w:val="none"/>
              </w:rPr>
            </w:pPr>
          </w:p>
        </w:tc>
        <w:tc>
          <w:tcPr>
            <w:tcW w:w="1866" w:type="dxa"/>
            <w:tcBorders>
              <w:bottom w:val="nil"/>
            </w:tcBorders>
            <w:noWrap w:val="0"/>
            <w:vAlign w:val="center"/>
          </w:tcPr>
          <w:p>
            <w:pPr>
              <w:pStyle w:val="35"/>
              <w:jc w:val="center"/>
              <w:rPr>
                <w:color w:val="auto"/>
                <w:sz w:val="24"/>
                <w:szCs w:val="24"/>
                <w:highlight w:val="none"/>
              </w:rPr>
            </w:pPr>
          </w:p>
        </w:tc>
        <w:tc>
          <w:tcPr>
            <w:tcW w:w="2010" w:type="dxa"/>
            <w:tcBorders>
              <w:bottom w:val="nil"/>
            </w:tcBorders>
            <w:noWrap w:val="0"/>
            <w:vAlign w:val="center"/>
          </w:tcPr>
          <w:p>
            <w:pPr>
              <w:pStyle w:val="35"/>
              <w:jc w:val="center"/>
              <w:rPr>
                <w:color w:val="auto"/>
                <w:sz w:val="24"/>
                <w:szCs w:val="24"/>
                <w:highlight w:val="none"/>
              </w:rPr>
            </w:pPr>
            <w:r>
              <w:rPr>
                <w:rFonts w:hint="eastAsia"/>
                <w:color w:val="auto"/>
                <w:sz w:val="24"/>
                <w:szCs w:val="24"/>
                <w:highlight w:val="none"/>
              </w:rPr>
              <w:t>（填写“采购项</w:t>
            </w:r>
          </w:p>
        </w:tc>
        <w:tc>
          <w:tcPr>
            <w:tcW w:w="2296" w:type="dxa"/>
            <w:tcBorders>
              <w:bottom w:val="nil"/>
            </w:tcBorders>
            <w:noWrap w:val="0"/>
            <w:vAlign w:val="center"/>
          </w:tcPr>
          <w:p>
            <w:pPr>
              <w:pStyle w:val="35"/>
              <w:jc w:val="center"/>
              <w:rPr>
                <w:color w:val="auto"/>
                <w:sz w:val="24"/>
                <w:szCs w:val="24"/>
                <w:highlight w:val="none"/>
              </w:rPr>
            </w:pPr>
          </w:p>
        </w:tc>
        <w:tc>
          <w:tcPr>
            <w:tcW w:w="1784" w:type="dxa"/>
            <w:vMerge w:val="restart"/>
            <w:noWrap w:val="0"/>
            <w:vAlign w:val="center"/>
          </w:tcPr>
          <w:p>
            <w:pPr>
              <w:pStyle w:val="35"/>
              <w:jc w:val="center"/>
              <w:rPr>
                <w:color w:val="auto"/>
                <w:sz w:val="24"/>
                <w:szCs w:val="24"/>
                <w:highlight w:val="none"/>
              </w:rPr>
            </w:pPr>
          </w:p>
          <w:p>
            <w:pPr>
              <w:pStyle w:val="35"/>
              <w:jc w:val="center"/>
              <w:rPr>
                <w:color w:val="auto"/>
                <w:sz w:val="24"/>
                <w:szCs w:val="24"/>
                <w:highlight w:val="none"/>
              </w:rPr>
            </w:pPr>
          </w:p>
          <w:p>
            <w:pPr>
              <w:pStyle w:val="35"/>
              <w:jc w:val="center"/>
              <w:rPr>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目整体预留”、</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（填写集中采</w:t>
            </w: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包”、“要求以</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加”或者“要求</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合同分包”，除</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预留”外，还应</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bottom w:val="nil"/>
            </w:tcBorders>
            <w:noWrap w:val="0"/>
            <w:vAlign w:val="center"/>
          </w:tcPr>
          <w:p>
            <w:pPr>
              <w:pStyle w:val="35"/>
              <w:jc w:val="center"/>
              <w:rPr>
                <w:color w:val="auto"/>
                <w:sz w:val="24"/>
                <w:szCs w:val="24"/>
                <w:highlight w:val="none"/>
              </w:rPr>
            </w:pPr>
          </w:p>
        </w:tc>
        <w:tc>
          <w:tcPr>
            <w:tcW w:w="2010" w:type="dxa"/>
            <w:tcBorders>
              <w:top w:val="nil"/>
              <w:bottom w:val="nil"/>
            </w:tcBorders>
            <w:noWrap w:val="0"/>
            <w:vAlign w:val="center"/>
          </w:tcPr>
          <w:p>
            <w:pPr>
              <w:pStyle w:val="35"/>
              <w:jc w:val="center"/>
              <w:rPr>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ascii="宋体" w:hAnsi="宋体" w:cs="宋体"/>
                <w:color w:val="auto"/>
                <w:sz w:val="24"/>
                <w:highlight w:val="none"/>
              </w:rPr>
            </w:pPr>
          </w:p>
        </w:tc>
        <w:tc>
          <w:tcPr>
            <w:tcW w:w="1866" w:type="dxa"/>
            <w:tcBorders>
              <w:top w:val="nil"/>
            </w:tcBorders>
            <w:noWrap w:val="0"/>
            <w:vAlign w:val="center"/>
          </w:tcPr>
          <w:p>
            <w:pPr>
              <w:pStyle w:val="35"/>
              <w:jc w:val="center"/>
              <w:rPr>
                <w:color w:val="auto"/>
                <w:sz w:val="24"/>
                <w:szCs w:val="24"/>
                <w:highlight w:val="none"/>
              </w:rPr>
            </w:pPr>
          </w:p>
        </w:tc>
        <w:tc>
          <w:tcPr>
            <w:tcW w:w="2010" w:type="dxa"/>
            <w:tcBorders>
              <w:top w:val="nil"/>
            </w:tcBorders>
            <w:noWrap w:val="0"/>
            <w:vAlign w:val="center"/>
          </w:tcPr>
          <w:p>
            <w:pPr>
              <w:pStyle w:val="35"/>
              <w:jc w:val="center"/>
              <w:rPr>
                <w:color w:val="auto"/>
                <w:sz w:val="24"/>
                <w:szCs w:val="24"/>
                <w:highlight w:val="none"/>
              </w:rPr>
            </w:pPr>
            <w:r>
              <w:rPr>
                <w:rFonts w:hint="eastAsia"/>
                <w:color w:val="auto"/>
                <w:sz w:val="24"/>
                <w:szCs w:val="24"/>
                <w:highlight w:val="none"/>
              </w:rPr>
              <w:t>小企业的比例）</w:t>
            </w:r>
          </w:p>
        </w:tc>
        <w:tc>
          <w:tcPr>
            <w:tcW w:w="2296" w:type="dxa"/>
            <w:tcBorders>
              <w:top w:val="nil"/>
            </w:tcBorders>
            <w:noWrap w:val="0"/>
            <w:vAlign w:val="center"/>
          </w:tcPr>
          <w:p>
            <w:pPr>
              <w:pStyle w:val="35"/>
              <w:jc w:val="center"/>
              <w:rPr>
                <w:color w:val="auto"/>
                <w:sz w:val="24"/>
                <w:szCs w:val="24"/>
                <w:highlight w:val="none"/>
              </w:rPr>
            </w:pPr>
          </w:p>
        </w:tc>
        <w:tc>
          <w:tcPr>
            <w:tcW w:w="1784" w:type="dxa"/>
            <w:vMerge w:val="continue"/>
            <w:tcBorders>
              <w:top w:val="nil"/>
            </w:tcBorders>
            <w:noWrap w:val="0"/>
            <w:vAlign w:val="center"/>
          </w:tcPr>
          <w:p>
            <w:pPr>
              <w:jc w:val="center"/>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35"/>
              <w:jc w:val="center"/>
              <w:rPr>
                <w:color w:val="auto"/>
                <w:sz w:val="24"/>
                <w:szCs w:val="24"/>
                <w:highlight w:val="none"/>
              </w:rPr>
            </w:pPr>
            <w:r>
              <w:rPr>
                <w:rFonts w:hint="eastAsia"/>
                <w:color w:val="auto"/>
                <w:sz w:val="24"/>
                <w:szCs w:val="24"/>
                <w:highlight w:val="none"/>
              </w:rPr>
              <w:t>……</w:t>
            </w:r>
          </w:p>
        </w:tc>
        <w:tc>
          <w:tcPr>
            <w:tcW w:w="1866" w:type="dxa"/>
            <w:noWrap w:val="0"/>
            <w:vAlign w:val="center"/>
          </w:tcPr>
          <w:p>
            <w:pPr>
              <w:pStyle w:val="35"/>
              <w:jc w:val="center"/>
              <w:rPr>
                <w:color w:val="auto"/>
                <w:sz w:val="24"/>
                <w:szCs w:val="24"/>
                <w:highlight w:val="none"/>
              </w:rPr>
            </w:pPr>
            <w:r>
              <w:rPr>
                <w:rFonts w:hint="eastAsia"/>
                <w:color w:val="auto"/>
                <w:sz w:val="24"/>
                <w:szCs w:val="24"/>
                <w:highlight w:val="none"/>
              </w:rPr>
              <w:t>……</w:t>
            </w:r>
          </w:p>
        </w:tc>
        <w:tc>
          <w:tcPr>
            <w:tcW w:w="2010" w:type="dxa"/>
            <w:noWrap w:val="0"/>
            <w:vAlign w:val="center"/>
          </w:tcPr>
          <w:p>
            <w:pPr>
              <w:pStyle w:val="35"/>
              <w:jc w:val="center"/>
              <w:rPr>
                <w:color w:val="auto"/>
                <w:sz w:val="24"/>
                <w:szCs w:val="24"/>
                <w:highlight w:val="none"/>
              </w:rPr>
            </w:pPr>
            <w:r>
              <w:rPr>
                <w:rFonts w:hint="eastAsia"/>
                <w:color w:val="auto"/>
                <w:sz w:val="24"/>
                <w:szCs w:val="24"/>
                <w:highlight w:val="none"/>
              </w:rPr>
              <w:t>……</w:t>
            </w:r>
          </w:p>
        </w:tc>
        <w:tc>
          <w:tcPr>
            <w:tcW w:w="2296" w:type="dxa"/>
            <w:noWrap w:val="0"/>
            <w:vAlign w:val="center"/>
          </w:tcPr>
          <w:p>
            <w:pPr>
              <w:pStyle w:val="35"/>
              <w:jc w:val="center"/>
              <w:rPr>
                <w:color w:val="auto"/>
                <w:sz w:val="24"/>
                <w:szCs w:val="24"/>
                <w:highlight w:val="none"/>
              </w:rPr>
            </w:pPr>
            <w:r>
              <w:rPr>
                <w:rFonts w:hint="eastAsia"/>
                <w:color w:val="auto"/>
                <w:sz w:val="24"/>
                <w:szCs w:val="24"/>
                <w:highlight w:val="none"/>
              </w:rPr>
              <w:t>……</w:t>
            </w:r>
          </w:p>
        </w:tc>
        <w:tc>
          <w:tcPr>
            <w:tcW w:w="1784" w:type="dxa"/>
            <w:noWrap w:val="0"/>
            <w:vAlign w:val="center"/>
          </w:tcPr>
          <w:p>
            <w:pPr>
              <w:pStyle w:val="35"/>
              <w:jc w:val="center"/>
              <w:rPr>
                <w:color w:val="auto"/>
                <w:sz w:val="24"/>
                <w:szCs w:val="24"/>
                <w:highlight w:val="none"/>
              </w:rPr>
            </w:pPr>
            <w:r>
              <w:rPr>
                <w:rFonts w:hint="eastAsia"/>
                <w:color w:val="auto"/>
                <w:sz w:val="24"/>
                <w:szCs w:val="24"/>
                <w:highlight w:val="none"/>
              </w:rPr>
              <w:t>……</w:t>
            </w:r>
          </w:p>
        </w:tc>
      </w:tr>
    </w:tbl>
    <w:p>
      <w:pPr>
        <w:pStyle w:val="2"/>
        <w:tabs>
          <w:tab w:val="left" w:pos="562"/>
          <w:tab w:val="left" w:pos="3372"/>
          <w:tab w:val="left" w:pos="3653"/>
        </w:tabs>
        <w:spacing w:before="128"/>
        <w:ind w:left="4220" w:right="1843"/>
        <w:rPr>
          <w:rFonts w:ascii="宋体" w:hAnsi="宋体" w:cs="宋体"/>
          <w:color w:val="auto"/>
          <w:highlight w:val="none"/>
        </w:rPr>
      </w:pPr>
      <w:r>
        <w:rPr>
          <w:rFonts w:hint="eastAsia" w:ascii="宋体" w:hAnsi="宋体" w:cs="宋体"/>
          <w:color w:val="auto"/>
          <w:highlight w:val="none"/>
        </w:rPr>
        <w:t>部门（单位）名称： 日期：</w:t>
      </w:r>
    </w:p>
    <w:p>
      <w:pPr>
        <w:pStyle w:val="2"/>
        <w:tabs>
          <w:tab w:val="left" w:pos="562"/>
          <w:tab w:val="left" w:pos="3372"/>
          <w:tab w:val="left" w:pos="3653"/>
        </w:tabs>
        <w:rPr>
          <w:rFonts w:ascii="宋体" w:hAnsi="宋体" w:cs="宋体"/>
          <w:color w:val="auto"/>
          <w:highlight w:val="none"/>
        </w:rPr>
      </w:pPr>
    </w:p>
    <w:p>
      <w:pPr>
        <w:pStyle w:val="16"/>
        <w:jc w:val="both"/>
        <w:outlineLvl w:val="9"/>
        <w:rPr>
          <w:rFonts w:ascii="宋体" w:hAnsi="宋体" w:eastAsia="宋体" w:cs="宋体"/>
          <w:color w:val="auto"/>
          <w:sz w:val="24"/>
          <w:szCs w:val="24"/>
          <w:highlight w:val="none"/>
        </w:rPr>
      </w:pPr>
    </w:p>
    <w:p>
      <w:pPr>
        <w:tabs>
          <w:tab w:val="left" w:pos="360"/>
        </w:tabs>
        <w:outlineLvl w:val="1"/>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ascii="宋体" w:hAnsi="宋体" w:cs="宋体"/>
          <w:color w:val="auto"/>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pPr>
        <w:jc w:val="center"/>
        <w:rPr>
          <w:rFonts w:ascii="宋体" w:hAnsi="宋体" w:cs="宋体"/>
          <w:color w:val="auto"/>
          <w:sz w:val="24"/>
          <w:highlight w:val="none"/>
        </w:rPr>
      </w:pPr>
      <w:r>
        <w:rPr>
          <w:rFonts w:hint="eastAsia" w:ascii="宋体" w:hAnsi="宋体" w:cs="宋体"/>
          <w:color w:val="auto"/>
          <w:sz w:val="24"/>
          <w:highlight w:val="none"/>
        </w:rPr>
        <w:t>工信部联企业〔2011〕300号</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工业和信息化部 国家统计局</w:t>
      </w:r>
    </w:p>
    <w:p>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国家发展和改革委员会 财政部</w:t>
      </w:r>
    </w:p>
    <w:p>
      <w:pPr>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二○一一年六月十八日</w:t>
      </w:r>
    </w:p>
    <w:p>
      <w:pPr>
        <w:ind w:firstLine="480" w:firstLineChars="200"/>
        <w:rPr>
          <w:rFonts w:ascii="宋体" w:hAnsi="宋体" w:cs="宋体"/>
          <w:color w:val="auto"/>
          <w:sz w:val="24"/>
          <w:highlight w:val="none"/>
        </w:rPr>
      </w:pPr>
    </w:p>
    <w:p>
      <w:pPr>
        <w:ind w:firstLine="480" w:firstLineChars="200"/>
        <w:rPr>
          <w:rFonts w:ascii="宋体" w:hAnsi="宋体" w:cs="宋体"/>
          <w:color w:val="auto"/>
          <w:sz w:val="24"/>
          <w:highlight w:val="none"/>
        </w:rPr>
      </w:pPr>
    </w:p>
    <w:p>
      <w:pPr>
        <w:ind w:firstLine="480" w:firstLineChars="200"/>
        <w:rPr>
          <w:rFonts w:ascii="宋体" w:hAnsi="宋体" w:cs="宋体"/>
          <w:color w:val="auto"/>
          <w:sz w:val="24"/>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四、各行业划型标准为：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color w:val="auto"/>
          <w:sz w:val="24"/>
          <w:highlight w:val="none"/>
        </w:rPr>
      </w:pPr>
    </w:p>
    <w:p>
      <w:pPr>
        <w:pStyle w:val="16"/>
        <w:jc w:val="both"/>
        <w:outlineLvl w:val="9"/>
        <w:rPr>
          <w:rFonts w:ascii="宋体" w:hAnsi="宋体" w:eastAsia="宋体" w:cs="宋体"/>
          <w:color w:val="auto"/>
          <w:sz w:val="24"/>
          <w:szCs w:val="24"/>
          <w:highlight w:val="none"/>
        </w:rPr>
      </w:pPr>
    </w:p>
    <w:p>
      <w:pPr>
        <w:pStyle w:val="16"/>
        <w:jc w:val="both"/>
        <w:outlineLvl w:val="9"/>
        <w:rPr>
          <w:rFonts w:ascii="宋体" w:hAnsi="宋体" w:eastAsia="宋体" w:cs="宋体"/>
          <w:color w:val="auto"/>
          <w:sz w:val="24"/>
          <w:szCs w:val="24"/>
          <w:highlight w:val="none"/>
        </w:rPr>
      </w:pPr>
    </w:p>
    <w:p>
      <w:pPr>
        <w:tabs>
          <w:tab w:val="left" w:pos="360"/>
        </w:tabs>
        <w:outlineLvl w:val="1"/>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pPr>
        <w:widowControl/>
        <w:shd w:val="clear" w:color="auto" w:fill="FFFFFF"/>
        <w:jc w:val="center"/>
        <w:rPr>
          <w:rFonts w:ascii="宋体" w:hAnsi="宋体" w:cs="宋体"/>
          <w:b/>
          <w:bCs/>
          <w:color w:val="auto"/>
          <w:kern w:val="0"/>
          <w:sz w:val="24"/>
          <w:highlight w:val="none"/>
        </w:rPr>
      </w:pPr>
    </w:p>
    <w:p>
      <w:pPr>
        <w:widowControl/>
        <w:shd w:val="clear" w:color="auto" w:fill="FFFFFF"/>
        <w:jc w:val="center"/>
        <w:rPr>
          <w:rFonts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FFFFFF"/>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FFFFFF"/>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jc w:val="left"/>
        <w:rPr>
          <w:rFonts w:ascii="宋体" w:hAnsi="宋体" w:cs="宋体"/>
          <w:color w:val="auto"/>
          <w:kern w:val="0"/>
          <w:sz w:val="24"/>
          <w:highlight w:val="none"/>
        </w:rPr>
      </w:pP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附表：</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计量</w:t>
            </w:r>
          </w:p>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ascii="宋体" w:hAnsi="宋体" w:cs="宋体"/>
                <w:color w:val="auto"/>
                <w:kern w:val="0"/>
                <w:sz w:val="24"/>
                <w:highlight w:val="none"/>
              </w:rPr>
            </w:pP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X＜10</w:t>
            </w:r>
          </w:p>
        </w:tc>
      </w:tr>
    </w:tbl>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ascii="宋体" w:hAnsi="宋体" w:cs="宋体"/>
          <w:color w:val="auto"/>
          <w:highlight w:val="none"/>
        </w:rPr>
      </w:pPr>
    </w:p>
    <w:p>
      <w:pPr>
        <w:pStyle w:val="16"/>
        <w:outlineLvl w:val="9"/>
        <w:rPr>
          <w:rFonts w:ascii="宋体" w:hAnsi="宋体" w:eastAsia="宋体" w:cs="宋体"/>
          <w:color w:val="auto"/>
          <w:sz w:val="24"/>
          <w:szCs w:val="24"/>
          <w:highlight w:val="none"/>
        </w:rPr>
      </w:pPr>
    </w:p>
    <w:p>
      <w:pPr>
        <w:tabs>
          <w:tab w:val="left" w:pos="360"/>
        </w:tabs>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pPr>
        <w:shd w:val="clear" w:color="auto" w:fill="FFFFFF"/>
        <w:rPr>
          <w:rFonts w:ascii="宋体" w:hAnsi="宋体" w:cs="宋体"/>
          <w:bCs/>
          <w:color w:val="auto"/>
          <w:sz w:val="24"/>
          <w:highlight w:val="none"/>
        </w:rPr>
      </w:pPr>
    </w:p>
    <w:p>
      <w:pPr>
        <w:shd w:val="clear" w:color="auto" w:fill="FFFFFF"/>
        <w:rPr>
          <w:rFonts w:ascii="宋体" w:hAnsi="宋体" w:cs="宋体"/>
          <w:bCs/>
          <w:color w:val="auto"/>
          <w:sz w:val="24"/>
          <w:highlight w:val="none"/>
        </w:rPr>
      </w:pPr>
      <w:r>
        <w:rPr>
          <w:rFonts w:hint="eastAsia" w:ascii="宋体" w:hAnsi="宋体" w:cs="宋体"/>
          <w:bCs/>
          <w:color w:val="auto"/>
          <w:sz w:val="24"/>
          <w:highlight w:val="none"/>
        </w:rPr>
        <w:t>关于促进残疾人就业政府采购政策的通知</w:t>
      </w:r>
    </w:p>
    <w:p>
      <w:pPr>
        <w:pStyle w:val="15"/>
        <w:shd w:val="clear" w:color="auto" w:fill="FFFFFF"/>
        <w:spacing w:before="0" w:beforeAutospacing="0" w:after="0" w:afterAutospacing="0"/>
        <w:jc w:val="center"/>
        <w:rPr>
          <w:color w:val="auto"/>
          <w:highlight w:val="none"/>
        </w:rPr>
      </w:pPr>
      <w:r>
        <w:rPr>
          <w:rFonts w:hint="eastAsia"/>
          <w:color w:val="auto"/>
          <w:highlight w:val="none"/>
        </w:rPr>
        <w:t>　　</w:t>
      </w:r>
      <w:bookmarkStart w:id="77" w:name="sendNo"/>
      <w:r>
        <w:rPr>
          <w:rFonts w:hint="eastAsia"/>
          <w:color w:val="auto"/>
          <w:highlight w:val="none"/>
        </w:rPr>
        <w:t>财库〔</w:t>
      </w:r>
      <w:bookmarkEnd w:id="77"/>
      <w:r>
        <w:rPr>
          <w:rFonts w:hint="eastAsia"/>
          <w:color w:val="auto"/>
          <w:highlight w:val="none"/>
        </w:rPr>
        <w:t>2017〕141号</w:t>
      </w:r>
    </w:p>
    <w:p>
      <w:pPr>
        <w:pStyle w:val="15"/>
        <w:shd w:val="clear" w:color="auto" w:fill="FFFFFF"/>
        <w:spacing w:before="0" w:beforeAutospacing="0" w:after="0" w:afterAutospacing="0"/>
        <w:ind w:firstLine="480" w:firstLineChars="200"/>
        <w:rPr>
          <w:color w:val="auto"/>
          <w:highlight w:val="none"/>
        </w:rPr>
      </w:pPr>
      <w:bookmarkStart w:id="78"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8"/>
      <w:r>
        <w:rPr>
          <w:rFonts w:hint="eastAsia"/>
          <w:color w:val="auto"/>
          <w:highlight w:val="none"/>
        </w:rPr>
        <w:t>：</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一、享受政府采购支持政策的残疾人福利性单位应当同时满足以下条件：</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（一）安置的残疾人占本单位在职职工人数的比例不低于25%（含25%），并且安置的残疾人人数不少于10人（含10人）；</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（二）依法与安置的每位残疾人签订了一年以上（含一年）的劳动合同或服务协议；</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（三）为安置的每位残疾人按月足额缴纳了基本养老保险、基本医疗保险、失业保险、工伤保险和生育保险等社会保险费；</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供应商提供的《残疾人福利性单位声明函》与事实不符的，依照《政府采购法》第七十七条第一款的规定追究法律责任。</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5"/>
        <w:shd w:val="clear" w:color="auto" w:fill="FFFFFF"/>
        <w:spacing w:before="0" w:beforeAutospacing="0" w:after="0" w:afterAutospacing="0"/>
        <w:ind w:firstLine="480" w:firstLineChars="200"/>
        <w:rPr>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pPr>
        <w:pStyle w:val="15"/>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5"/>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5"/>
        <w:shd w:val="clear" w:color="auto" w:fill="FFFFFF"/>
        <w:spacing w:before="0" w:beforeAutospacing="0" w:after="0" w:afterAutospacing="0" w:line="560" w:lineRule="exact"/>
        <w:ind w:firstLine="480" w:firstLineChars="200"/>
        <w:rPr>
          <w:color w:val="auto"/>
          <w:highlight w:val="none"/>
        </w:rPr>
      </w:pPr>
      <w:r>
        <w:rPr>
          <w:rFonts w:hint="eastAsia"/>
          <w:color w:val="auto"/>
          <w:highlight w:val="none"/>
        </w:rPr>
        <w:t>七、本通知自2017年10月1日起执行。</w:t>
      </w:r>
    </w:p>
    <w:p>
      <w:pPr>
        <w:pStyle w:val="15"/>
        <w:shd w:val="clear" w:color="auto" w:fill="FFFFFF"/>
        <w:spacing w:before="0" w:beforeAutospacing="0" w:after="0" w:afterAutospacing="0" w:line="560" w:lineRule="exact"/>
        <w:ind w:firstLine="480" w:firstLineChars="200"/>
        <w:jc w:val="right"/>
        <w:rPr>
          <w:color w:val="auto"/>
          <w:highlight w:val="none"/>
        </w:rPr>
      </w:pPr>
      <w:r>
        <w:rPr>
          <w:rFonts w:hint="eastAsia"/>
          <w:color w:val="auto"/>
          <w:highlight w:val="none"/>
        </w:rPr>
        <w:t>财政部 民政部 中国残疾人联合会</w:t>
      </w:r>
    </w:p>
    <w:p>
      <w:pPr>
        <w:pStyle w:val="15"/>
        <w:shd w:val="clear" w:color="auto" w:fill="FFFFFF"/>
        <w:spacing w:before="0" w:beforeAutospacing="0" w:after="0" w:afterAutospacing="0" w:line="560" w:lineRule="exact"/>
        <w:ind w:firstLine="480" w:firstLineChars="200"/>
        <w:jc w:val="right"/>
        <w:rPr>
          <w:color w:val="auto"/>
          <w:highlight w:val="none"/>
        </w:rPr>
      </w:pPr>
      <w:r>
        <w:rPr>
          <w:rFonts w:hint="eastAsia"/>
          <w:color w:val="auto"/>
          <w:highlight w:val="none"/>
        </w:rPr>
        <w:t>2017年8月22日</w:t>
      </w:r>
    </w:p>
    <w:p>
      <w:pPr>
        <w:pStyle w:val="36"/>
        <w:shd w:val="clear" w:color="auto" w:fill="FFFFFF"/>
        <w:spacing w:before="0" w:beforeAutospacing="0" w:after="0" w:afterAutospacing="0" w:line="560" w:lineRule="exact"/>
        <w:jc w:val="both"/>
        <w:rPr>
          <w:color w:val="auto"/>
          <w:highlight w:val="none"/>
        </w:rPr>
      </w:pPr>
      <w:r>
        <w:rPr>
          <w:rFonts w:hint="eastAsia"/>
          <w:color w:val="auto"/>
          <w:highlight w:val="none"/>
        </w:rPr>
        <w:t>附件：</w:t>
      </w:r>
    </w:p>
    <w:p>
      <w:pPr>
        <w:pStyle w:val="36"/>
        <w:shd w:val="clear" w:color="auto" w:fill="FFFFFF"/>
        <w:spacing w:before="0" w:beforeAutospacing="0" w:after="0" w:afterAutospacing="0" w:line="560" w:lineRule="exact"/>
        <w:ind w:firstLine="482" w:firstLineChars="200"/>
        <w:jc w:val="center"/>
        <w:rPr>
          <w:color w:val="auto"/>
          <w:highlight w:val="none"/>
        </w:rPr>
      </w:pPr>
      <w:r>
        <w:rPr>
          <w:rStyle w:val="37"/>
          <w:rFonts w:hint="eastAsia"/>
          <w:b/>
          <w:bCs/>
          <w:color w:val="auto"/>
          <w:highlight w:val="none"/>
        </w:rPr>
        <w:t>残疾人福利性单位声明函</w:t>
      </w:r>
    </w:p>
    <w:p>
      <w:pPr>
        <w:pStyle w:val="36"/>
        <w:shd w:val="clear" w:color="auto" w:fill="FFFFFF"/>
        <w:spacing w:before="0" w:beforeAutospacing="0" w:after="0" w:afterAutospacing="0" w:line="560" w:lineRule="exact"/>
        <w:ind w:firstLine="480" w:firstLineChars="200"/>
        <w:jc w:val="both"/>
        <w:rPr>
          <w:color w:val="auto"/>
          <w:highlight w:val="none"/>
        </w:rPr>
      </w:pPr>
      <w:r>
        <w:rPr>
          <w:rStyle w:val="37"/>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6"/>
        <w:shd w:val="clear" w:color="auto" w:fill="FFFFFF"/>
        <w:spacing w:before="0" w:beforeAutospacing="0" w:after="0" w:afterAutospacing="0" w:line="560" w:lineRule="exact"/>
        <w:ind w:firstLine="480" w:firstLineChars="200"/>
        <w:jc w:val="both"/>
        <w:rPr>
          <w:color w:val="auto"/>
          <w:highlight w:val="none"/>
        </w:rPr>
      </w:pPr>
      <w:r>
        <w:rPr>
          <w:rStyle w:val="37"/>
          <w:rFonts w:hint="eastAsia"/>
          <w:color w:val="auto"/>
          <w:highlight w:val="none"/>
        </w:rPr>
        <w:t>本单位对上述声明的真实性负责。如有虚假，将依法承担相应责任。</w:t>
      </w:r>
    </w:p>
    <w:p>
      <w:pPr>
        <w:pStyle w:val="36"/>
        <w:shd w:val="clear" w:color="auto" w:fill="FFFFFF"/>
        <w:spacing w:before="0" w:beforeAutospacing="0" w:after="0" w:afterAutospacing="0" w:line="560" w:lineRule="exact"/>
        <w:ind w:firstLine="480" w:firstLineChars="200"/>
        <w:jc w:val="both"/>
        <w:rPr>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36"/>
        <w:shd w:val="clear" w:color="auto" w:fill="FFFFFF"/>
        <w:spacing w:before="0" w:beforeAutospacing="0" w:after="0" w:afterAutospacing="0" w:line="560" w:lineRule="exact"/>
        <w:ind w:right="2100" w:rightChars="1000"/>
        <w:jc w:val="right"/>
        <w:rPr>
          <w:color w:val="auto"/>
          <w:highlight w:val="none"/>
        </w:rPr>
      </w:pPr>
      <w:r>
        <w:rPr>
          <w:rStyle w:val="37"/>
          <w:rFonts w:hint="eastAsia"/>
          <w:color w:val="auto"/>
          <w:highlight w:val="none"/>
        </w:rPr>
        <w:t>单位名称（盖章）：</w:t>
      </w:r>
    </w:p>
    <w:p>
      <w:pPr>
        <w:pStyle w:val="36"/>
        <w:shd w:val="clear" w:color="auto" w:fill="FFFFFF"/>
        <w:spacing w:before="0" w:beforeAutospacing="0" w:after="0" w:afterAutospacing="0" w:line="560" w:lineRule="exact"/>
        <w:ind w:right="2100" w:rightChars="1000"/>
        <w:jc w:val="right"/>
        <w:rPr>
          <w:rFonts w:ascii="宋体" w:hAnsi="宋体" w:cs="宋体"/>
          <w:color w:val="auto"/>
          <w:sz w:val="24"/>
          <w:highlight w:val="none"/>
          <w:lang w:val="fr-CH"/>
        </w:rPr>
      </w:pPr>
      <w:r>
        <w:rPr>
          <w:rStyle w:val="37"/>
          <w:rFonts w:hint="eastAsia"/>
          <w:color w:val="auto"/>
          <w:highlight w:val="none"/>
        </w:rPr>
        <w:t>日 期：</w:t>
      </w:r>
    </w:p>
    <w:p>
      <w:pPr>
        <w:pStyle w:val="31"/>
        <w:rPr>
          <w:color w:val="auto"/>
          <w:highlight w:val="none"/>
          <w:lang w:val="fr-CH"/>
        </w:rPr>
      </w:pPr>
    </w:p>
    <w:p>
      <w:pPr>
        <w:rPr>
          <w:color w:val="auto"/>
          <w:highlight w:val="none"/>
        </w:rPr>
      </w:pPr>
    </w:p>
    <w:sectPr>
      <w:headerReference r:id="rId7" w:type="first"/>
      <w:headerReference r:id="rId5" w:type="default"/>
      <w:headerReference r:id="rId6" w:type="even"/>
      <w:pgSz w:w="11906" w:h="16838"/>
      <w:pgMar w:top="1270" w:right="1803" w:bottom="1288"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200A2FAF"/>
    <w:multiLevelType w:val="singleLevel"/>
    <w:tmpl w:val="200A2FAF"/>
    <w:lvl w:ilvl="0" w:tentative="0">
      <w:start w:val="5"/>
      <w:numFmt w:val="decimal"/>
      <w:suff w:val="nothing"/>
      <w:lvlText w:val="（%1）"/>
      <w:lvlJc w:val="left"/>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1">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4"/>
  </w:num>
  <w:num w:numId="3">
    <w:abstractNumId w:val="2"/>
  </w:num>
  <w:num w:numId="4">
    <w:abstractNumId w:val="8"/>
  </w:num>
  <w:num w:numId="5">
    <w:abstractNumId w:val="9"/>
  </w:num>
  <w:num w:numId="6">
    <w:abstractNumId w:val="3"/>
  </w:num>
  <w:num w:numId="7">
    <w:abstractNumId w:val="5"/>
  </w:num>
  <w:num w:numId="8">
    <w:abstractNumId w:val="1"/>
  </w:num>
  <w:num w:numId="9">
    <w:abstractNumId w:val="0"/>
  </w:num>
  <w:num w:numId="10">
    <w:abstractNumId w:val="6"/>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6c52a594-fa24-4eda-8bdf-1df5baad3362"/>
  </w:docVars>
  <w:rsids>
    <w:rsidRoot w:val="6F152D9A"/>
    <w:rsid w:val="000404DC"/>
    <w:rsid w:val="000821F1"/>
    <w:rsid w:val="001109FF"/>
    <w:rsid w:val="001F7F7E"/>
    <w:rsid w:val="00291AA1"/>
    <w:rsid w:val="00304B53"/>
    <w:rsid w:val="003168D7"/>
    <w:rsid w:val="00350E7B"/>
    <w:rsid w:val="0046340A"/>
    <w:rsid w:val="004819BA"/>
    <w:rsid w:val="004B5B75"/>
    <w:rsid w:val="004E616D"/>
    <w:rsid w:val="00576960"/>
    <w:rsid w:val="00591ED4"/>
    <w:rsid w:val="005B3EB6"/>
    <w:rsid w:val="006A5E20"/>
    <w:rsid w:val="007743C7"/>
    <w:rsid w:val="00785F49"/>
    <w:rsid w:val="007F6682"/>
    <w:rsid w:val="00832935"/>
    <w:rsid w:val="00870BFD"/>
    <w:rsid w:val="008E095A"/>
    <w:rsid w:val="00924AE0"/>
    <w:rsid w:val="009A69A0"/>
    <w:rsid w:val="009C337D"/>
    <w:rsid w:val="009D033E"/>
    <w:rsid w:val="009E70F5"/>
    <w:rsid w:val="009F1B47"/>
    <w:rsid w:val="00A73F84"/>
    <w:rsid w:val="00A81D22"/>
    <w:rsid w:val="00A955D9"/>
    <w:rsid w:val="00AC7D6D"/>
    <w:rsid w:val="00BE0740"/>
    <w:rsid w:val="00BF1095"/>
    <w:rsid w:val="00C33D8C"/>
    <w:rsid w:val="00C7677C"/>
    <w:rsid w:val="00CA5316"/>
    <w:rsid w:val="00D2452C"/>
    <w:rsid w:val="00DE5743"/>
    <w:rsid w:val="00DF15AF"/>
    <w:rsid w:val="00E6198E"/>
    <w:rsid w:val="00F3460E"/>
    <w:rsid w:val="00F52A8D"/>
    <w:rsid w:val="00F80C5D"/>
    <w:rsid w:val="00F87FEB"/>
    <w:rsid w:val="00FC1BE0"/>
    <w:rsid w:val="01070590"/>
    <w:rsid w:val="011D7606"/>
    <w:rsid w:val="01211AD4"/>
    <w:rsid w:val="012952B3"/>
    <w:rsid w:val="012B1DC1"/>
    <w:rsid w:val="013B4944"/>
    <w:rsid w:val="0140411C"/>
    <w:rsid w:val="014E4E03"/>
    <w:rsid w:val="0159301C"/>
    <w:rsid w:val="01623C7B"/>
    <w:rsid w:val="01683444"/>
    <w:rsid w:val="017E0CD4"/>
    <w:rsid w:val="018C0929"/>
    <w:rsid w:val="018F6A3E"/>
    <w:rsid w:val="019978BC"/>
    <w:rsid w:val="01AA3877"/>
    <w:rsid w:val="01AF6971"/>
    <w:rsid w:val="01B12E58"/>
    <w:rsid w:val="01B8192A"/>
    <w:rsid w:val="01BA0A50"/>
    <w:rsid w:val="01CC1A40"/>
    <w:rsid w:val="01E27A17"/>
    <w:rsid w:val="022618D2"/>
    <w:rsid w:val="02274EC8"/>
    <w:rsid w:val="02306473"/>
    <w:rsid w:val="023A5F04"/>
    <w:rsid w:val="02555717"/>
    <w:rsid w:val="026305F6"/>
    <w:rsid w:val="02685C0C"/>
    <w:rsid w:val="02881E0B"/>
    <w:rsid w:val="02947948"/>
    <w:rsid w:val="02A92B78"/>
    <w:rsid w:val="02AD5464"/>
    <w:rsid w:val="02CB7F49"/>
    <w:rsid w:val="02CC7BBA"/>
    <w:rsid w:val="02DC6BB1"/>
    <w:rsid w:val="02DE4536"/>
    <w:rsid w:val="02EB738D"/>
    <w:rsid w:val="031134B4"/>
    <w:rsid w:val="031C47EB"/>
    <w:rsid w:val="0334777F"/>
    <w:rsid w:val="0341645D"/>
    <w:rsid w:val="03634626"/>
    <w:rsid w:val="036D53D0"/>
    <w:rsid w:val="0375269E"/>
    <w:rsid w:val="0375603F"/>
    <w:rsid w:val="037A0E7B"/>
    <w:rsid w:val="038A0222"/>
    <w:rsid w:val="03990047"/>
    <w:rsid w:val="03A82039"/>
    <w:rsid w:val="03BE360A"/>
    <w:rsid w:val="03D96696"/>
    <w:rsid w:val="03DD6186"/>
    <w:rsid w:val="03DF1EFE"/>
    <w:rsid w:val="03E219EE"/>
    <w:rsid w:val="03EC2D32"/>
    <w:rsid w:val="03F5191B"/>
    <w:rsid w:val="040556DD"/>
    <w:rsid w:val="04137DFA"/>
    <w:rsid w:val="04152DE3"/>
    <w:rsid w:val="041A1188"/>
    <w:rsid w:val="04213AC4"/>
    <w:rsid w:val="042277B0"/>
    <w:rsid w:val="0433224A"/>
    <w:rsid w:val="043343BF"/>
    <w:rsid w:val="044004C3"/>
    <w:rsid w:val="0442248D"/>
    <w:rsid w:val="04474B37"/>
    <w:rsid w:val="04567CE7"/>
    <w:rsid w:val="04724631"/>
    <w:rsid w:val="049E5173"/>
    <w:rsid w:val="04A005CC"/>
    <w:rsid w:val="04A35474"/>
    <w:rsid w:val="04B50EB1"/>
    <w:rsid w:val="04C63705"/>
    <w:rsid w:val="04E377CC"/>
    <w:rsid w:val="04FF037E"/>
    <w:rsid w:val="05062697"/>
    <w:rsid w:val="051A4FE6"/>
    <w:rsid w:val="052E47BF"/>
    <w:rsid w:val="053973EC"/>
    <w:rsid w:val="054239F3"/>
    <w:rsid w:val="054B35C3"/>
    <w:rsid w:val="055E50A5"/>
    <w:rsid w:val="05695981"/>
    <w:rsid w:val="056D52E8"/>
    <w:rsid w:val="057C4BBE"/>
    <w:rsid w:val="057E6B51"/>
    <w:rsid w:val="05804BC2"/>
    <w:rsid w:val="058E7EB0"/>
    <w:rsid w:val="0594022D"/>
    <w:rsid w:val="05C80C71"/>
    <w:rsid w:val="05CD1439"/>
    <w:rsid w:val="05D74AE1"/>
    <w:rsid w:val="05D9775C"/>
    <w:rsid w:val="06336033"/>
    <w:rsid w:val="068A098C"/>
    <w:rsid w:val="069E458D"/>
    <w:rsid w:val="06A74AA2"/>
    <w:rsid w:val="06BC14B2"/>
    <w:rsid w:val="06BE2A9A"/>
    <w:rsid w:val="06C44D16"/>
    <w:rsid w:val="06C50397"/>
    <w:rsid w:val="06CC4290"/>
    <w:rsid w:val="06D00EEB"/>
    <w:rsid w:val="06D51397"/>
    <w:rsid w:val="06E23AB3"/>
    <w:rsid w:val="06E332E1"/>
    <w:rsid w:val="06F30D45"/>
    <w:rsid w:val="06F32700"/>
    <w:rsid w:val="07046BC9"/>
    <w:rsid w:val="070D6D82"/>
    <w:rsid w:val="070E3767"/>
    <w:rsid w:val="07235607"/>
    <w:rsid w:val="072A7934"/>
    <w:rsid w:val="072D6233"/>
    <w:rsid w:val="072F63A4"/>
    <w:rsid w:val="07397904"/>
    <w:rsid w:val="07521B5C"/>
    <w:rsid w:val="07593D76"/>
    <w:rsid w:val="0769037B"/>
    <w:rsid w:val="07787DB5"/>
    <w:rsid w:val="077961C6"/>
    <w:rsid w:val="079648D0"/>
    <w:rsid w:val="07994850"/>
    <w:rsid w:val="07AA45D1"/>
    <w:rsid w:val="07AC659B"/>
    <w:rsid w:val="07B13BB2"/>
    <w:rsid w:val="07CB4548"/>
    <w:rsid w:val="07E75482"/>
    <w:rsid w:val="07E8334B"/>
    <w:rsid w:val="07FD54F6"/>
    <w:rsid w:val="080A32D3"/>
    <w:rsid w:val="08206FE1"/>
    <w:rsid w:val="082A04D3"/>
    <w:rsid w:val="08497AA6"/>
    <w:rsid w:val="087C541A"/>
    <w:rsid w:val="088300A5"/>
    <w:rsid w:val="088F5575"/>
    <w:rsid w:val="08920DDF"/>
    <w:rsid w:val="08950582"/>
    <w:rsid w:val="08CA6A34"/>
    <w:rsid w:val="08CE609D"/>
    <w:rsid w:val="08E57A87"/>
    <w:rsid w:val="08E92ED7"/>
    <w:rsid w:val="08F43C68"/>
    <w:rsid w:val="090306E4"/>
    <w:rsid w:val="090931C4"/>
    <w:rsid w:val="090A34E0"/>
    <w:rsid w:val="090C38B9"/>
    <w:rsid w:val="09300B06"/>
    <w:rsid w:val="093305F6"/>
    <w:rsid w:val="09336848"/>
    <w:rsid w:val="093822B1"/>
    <w:rsid w:val="09451867"/>
    <w:rsid w:val="09491BC8"/>
    <w:rsid w:val="09575898"/>
    <w:rsid w:val="09592469"/>
    <w:rsid w:val="09695D52"/>
    <w:rsid w:val="096F55F7"/>
    <w:rsid w:val="097B41C8"/>
    <w:rsid w:val="097D1872"/>
    <w:rsid w:val="09823515"/>
    <w:rsid w:val="09A42169"/>
    <w:rsid w:val="09AF2373"/>
    <w:rsid w:val="09C84ED3"/>
    <w:rsid w:val="09F33C46"/>
    <w:rsid w:val="09F77876"/>
    <w:rsid w:val="0A0C5A96"/>
    <w:rsid w:val="0A2A768E"/>
    <w:rsid w:val="0A3B3C06"/>
    <w:rsid w:val="0A466A41"/>
    <w:rsid w:val="0A570F70"/>
    <w:rsid w:val="0A5B7D15"/>
    <w:rsid w:val="0A5E16A3"/>
    <w:rsid w:val="0A602146"/>
    <w:rsid w:val="0A6A44EC"/>
    <w:rsid w:val="0A7809B7"/>
    <w:rsid w:val="0A882EA0"/>
    <w:rsid w:val="0A896457"/>
    <w:rsid w:val="0A8A693C"/>
    <w:rsid w:val="0A97236A"/>
    <w:rsid w:val="0A99092D"/>
    <w:rsid w:val="0AA51080"/>
    <w:rsid w:val="0AA72E75"/>
    <w:rsid w:val="0AB80AEB"/>
    <w:rsid w:val="0AB85257"/>
    <w:rsid w:val="0ACC485F"/>
    <w:rsid w:val="0AD731CB"/>
    <w:rsid w:val="0AE20526"/>
    <w:rsid w:val="0B0C40B2"/>
    <w:rsid w:val="0B140280"/>
    <w:rsid w:val="0B246449"/>
    <w:rsid w:val="0B260413"/>
    <w:rsid w:val="0B352F5D"/>
    <w:rsid w:val="0B445AA4"/>
    <w:rsid w:val="0B7B37EB"/>
    <w:rsid w:val="0B925AA8"/>
    <w:rsid w:val="0B984E94"/>
    <w:rsid w:val="0BAB25C9"/>
    <w:rsid w:val="0BAE21B6"/>
    <w:rsid w:val="0BAF665A"/>
    <w:rsid w:val="0BB275A6"/>
    <w:rsid w:val="0BB91DF1"/>
    <w:rsid w:val="0BCB4B16"/>
    <w:rsid w:val="0BD240F7"/>
    <w:rsid w:val="0BD31C1D"/>
    <w:rsid w:val="0BE62205"/>
    <w:rsid w:val="0BF92B66"/>
    <w:rsid w:val="0C115BEF"/>
    <w:rsid w:val="0C137505"/>
    <w:rsid w:val="0C2B0B3A"/>
    <w:rsid w:val="0C3E38D0"/>
    <w:rsid w:val="0C45359F"/>
    <w:rsid w:val="0C68338A"/>
    <w:rsid w:val="0C70493E"/>
    <w:rsid w:val="0C7A124E"/>
    <w:rsid w:val="0C822ACA"/>
    <w:rsid w:val="0C946488"/>
    <w:rsid w:val="0CAB21EE"/>
    <w:rsid w:val="0CAC4948"/>
    <w:rsid w:val="0CB0538F"/>
    <w:rsid w:val="0CB70393"/>
    <w:rsid w:val="0CBB0F79"/>
    <w:rsid w:val="0CBB2DDD"/>
    <w:rsid w:val="0CCE0642"/>
    <w:rsid w:val="0CE56A55"/>
    <w:rsid w:val="0CEF0CD8"/>
    <w:rsid w:val="0CF93490"/>
    <w:rsid w:val="0CF956B3"/>
    <w:rsid w:val="0CFA3905"/>
    <w:rsid w:val="0D0429D6"/>
    <w:rsid w:val="0D046532"/>
    <w:rsid w:val="0D1954AC"/>
    <w:rsid w:val="0D1F336B"/>
    <w:rsid w:val="0D200E92"/>
    <w:rsid w:val="0D2C7836"/>
    <w:rsid w:val="0D31309F"/>
    <w:rsid w:val="0D396D82"/>
    <w:rsid w:val="0D3F1CF7"/>
    <w:rsid w:val="0D4402D3"/>
    <w:rsid w:val="0D447276"/>
    <w:rsid w:val="0D5374B9"/>
    <w:rsid w:val="0D5C54A5"/>
    <w:rsid w:val="0D624FA8"/>
    <w:rsid w:val="0D6E7E4F"/>
    <w:rsid w:val="0D7E4CC4"/>
    <w:rsid w:val="0D9B4B4C"/>
    <w:rsid w:val="0D9F3011"/>
    <w:rsid w:val="0DC34AA9"/>
    <w:rsid w:val="0DD46C7B"/>
    <w:rsid w:val="0DD67766"/>
    <w:rsid w:val="0DDA3736"/>
    <w:rsid w:val="0DDC6E3D"/>
    <w:rsid w:val="0DF052B3"/>
    <w:rsid w:val="0E01691E"/>
    <w:rsid w:val="0E303356"/>
    <w:rsid w:val="0E3C1CFB"/>
    <w:rsid w:val="0E430BBB"/>
    <w:rsid w:val="0E4B0853"/>
    <w:rsid w:val="0E59465B"/>
    <w:rsid w:val="0E6800DA"/>
    <w:rsid w:val="0E731448"/>
    <w:rsid w:val="0E745939"/>
    <w:rsid w:val="0E9953A0"/>
    <w:rsid w:val="0EA37FCC"/>
    <w:rsid w:val="0EA53D44"/>
    <w:rsid w:val="0EA77ABC"/>
    <w:rsid w:val="0EB6623E"/>
    <w:rsid w:val="0EB66783"/>
    <w:rsid w:val="0EB86C56"/>
    <w:rsid w:val="0EC73CBB"/>
    <w:rsid w:val="0ED40186"/>
    <w:rsid w:val="0EDC703A"/>
    <w:rsid w:val="0EDF7256"/>
    <w:rsid w:val="0EE83D6C"/>
    <w:rsid w:val="0EE85080"/>
    <w:rsid w:val="0EEE550D"/>
    <w:rsid w:val="0F18170A"/>
    <w:rsid w:val="0F274759"/>
    <w:rsid w:val="0F2A5DFB"/>
    <w:rsid w:val="0F3570A3"/>
    <w:rsid w:val="0F474BA3"/>
    <w:rsid w:val="0F601A19"/>
    <w:rsid w:val="0F6063AF"/>
    <w:rsid w:val="0F670FFA"/>
    <w:rsid w:val="0F7D081D"/>
    <w:rsid w:val="0F8605B0"/>
    <w:rsid w:val="0F932761"/>
    <w:rsid w:val="0FAC4C5F"/>
    <w:rsid w:val="0FB3724D"/>
    <w:rsid w:val="0FDF48E7"/>
    <w:rsid w:val="0FE254EF"/>
    <w:rsid w:val="0FE96BFE"/>
    <w:rsid w:val="0FF1669A"/>
    <w:rsid w:val="0FF5D091"/>
    <w:rsid w:val="0FF73826"/>
    <w:rsid w:val="0FFF663B"/>
    <w:rsid w:val="10134CDE"/>
    <w:rsid w:val="102C5B1A"/>
    <w:rsid w:val="102D2243"/>
    <w:rsid w:val="10365E2E"/>
    <w:rsid w:val="10394744"/>
    <w:rsid w:val="105B0B5E"/>
    <w:rsid w:val="105B405A"/>
    <w:rsid w:val="105B7F98"/>
    <w:rsid w:val="105E064F"/>
    <w:rsid w:val="10634BF3"/>
    <w:rsid w:val="10655A74"/>
    <w:rsid w:val="10661611"/>
    <w:rsid w:val="10686DD7"/>
    <w:rsid w:val="10792762"/>
    <w:rsid w:val="10795E9B"/>
    <w:rsid w:val="10813049"/>
    <w:rsid w:val="10857989"/>
    <w:rsid w:val="108B0D18"/>
    <w:rsid w:val="108B4148"/>
    <w:rsid w:val="10B0301F"/>
    <w:rsid w:val="10B40C48"/>
    <w:rsid w:val="10DB1C9F"/>
    <w:rsid w:val="10EA0134"/>
    <w:rsid w:val="10FB7C09"/>
    <w:rsid w:val="111B2557"/>
    <w:rsid w:val="112A3AAF"/>
    <w:rsid w:val="1130036A"/>
    <w:rsid w:val="113F222E"/>
    <w:rsid w:val="116E61A6"/>
    <w:rsid w:val="117D68B3"/>
    <w:rsid w:val="11933975"/>
    <w:rsid w:val="119473B4"/>
    <w:rsid w:val="119F4A7B"/>
    <w:rsid w:val="11C113C0"/>
    <w:rsid w:val="11CF6607"/>
    <w:rsid w:val="11D42AA6"/>
    <w:rsid w:val="11DC5CCF"/>
    <w:rsid w:val="11E20E0C"/>
    <w:rsid w:val="11E60541"/>
    <w:rsid w:val="11E626AA"/>
    <w:rsid w:val="11E64EC6"/>
    <w:rsid w:val="11FE3E97"/>
    <w:rsid w:val="1209283C"/>
    <w:rsid w:val="12220029"/>
    <w:rsid w:val="123376EC"/>
    <w:rsid w:val="12431D83"/>
    <w:rsid w:val="12437AFC"/>
    <w:rsid w:val="12522CB6"/>
    <w:rsid w:val="125B755A"/>
    <w:rsid w:val="125C6E10"/>
    <w:rsid w:val="12723F3D"/>
    <w:rsid w:val="12771554"/>
    <w:rsid w:val="12820336"/>
    <w:rsid w:val="128B66A0"/>
    <w:rsid w:val="12AA7B7B"/>
    <w:rsid w:val="12D149BF"/>
    <w:rsid w:val="12D65CA8"/>
    <w:rsid w:val="12E0359D"/>
    <w:rsid w:val="12E91C37"/>
    <w:rsid w:val="12FC6E07"/>
    <w:rsid w:val="13000F86"/>
    <w:rsid w:val="13021765"/>
    <w:rsid w:val="130D18FD"/>
    <w:rsid w:val="130F4553"/>
    <w:rsid w:val="13160D6D"/>
    <w:rsid w:val="13242E4C"/>
    <w:rsid w:val="13426006"/>
    <w:rsid w:val="13441D7E"/>
    <w:rsid w:val="13623D17"/>
    <w:rsid w:val="1369544C"/>
    <w:rsid w:val="137139FA"/>
    <w:rsid w:val="1373154F"/>
    <w:rsid w:val="13732C15"/>
    <w:rsid w:val="137B2173"/>
    <w:rsid w:val="137FA8DD"/>
    <w:rsid w:val="138A5087"/>
    <w:rsid w:val="13951544"/>
    <w:rsid w:val="139B74C4"/>
    <w:rsid w:val="13A1291C"/>
    <w:rsid w:val="13CE1647"/>
    <w:rsid w:val="13D76995"/>
    <w:rsid w:val="13DA0C71"/>
    <w:rsid w:val="13E90B4A"/>
    <w:rsid w:val="13F57F6C"/>
    <w:rsid w:val="14096B23"/>
    <w:rsid w:val="140E7C96"/>
    <w:rsid w:val="14207760"/>
    <w:rsid w:val="14263231"/>
    <w:rsid w:val="142C0FF0"/>
    <w:rsid w:val="14362E80"/>
    <w:rsid w:val="144E5BAF"/>
    <w:rsid w:val="145911D3"/>
    <w:rsid w:val="145B077C"/>
    <w:rsid w:val="14691987"/>
    <w:rsid w:val="146A5583"/>
    <w:rsid w:val="146A69C0"/>
    <w:rsid w:val="14721A72"/>
    <w:rsid w:val="147D7C24"/>
    <w:rsid w:val="148E53CB"/>
    <w:rsid w:val="148F7029"/>
    <w:rsid w:val="14904B4F"/>
    <w:rsid w:val="149363ED"/>
    <w:rsid w:val="149A5B83"/>
    <w:rsid w:val="14BE346A"/>
    <w:rsid w:val="14C64A14"/>
    <w:rsid w:val="14CF4106"/>
    <w:rsid w:val="14D02400"/>
    <w:rsid w:val="14D17C89"/>
    <w:rsid w:val="14D83808"/>
    <w:rsid w:val="14D94748"/>
    <w:rsid w:val="14FE7D0A"/>
    <w:rsid w:val="15153347"/>
    <w:rsid w:val="1528122B"/>
    <w:rsid w:val="15293404"/>
    <w:rsid w:val="152D2403"/>
    <w:rsid w:val="15334DC3"/>
    <w:rsid w:val="15347304"/>
    <w:rsid w:val="15392B59"/>
    <w:rsid w:val="153B4ABB"/>
    <w:rsid w:val="15567B46"/>
    <w:rsid w:val="15610299"/>
    <w:rsid w:val="1569013A"/>
    <w:rsid w:val="15897F1C"/>
    <w:rsid w:val="1597466A"/>
    <w:rsid w:val="15A52514"/>
    <w:rsid w:val="15BC1451"/>
    <w:rsid w:val="15C70A44"/>
    <w:rsid w:val="15E05662"/>
    <w:rsid w:val="15F12E86"/>
    <w:rsid w:val="16027A14"/>
    <w:rsid w:val="160C1181"/>
    <w:rsid w:val="162A366D"/>
    <w:rsid w:val="16322361"/>
    <w:rsid w:val="1633052E"/>
    <w:rsid w:val="163F247B"/>
    <w:rsid w:val="164B3423"/>
    <w:rsid w:val="16610551"/>
    <w:rsid w:val="167A7865"/>
    <w:rsid w:val="16817906"/>
    <w:rsid w:val="16B46578"/>
    <w:rsid w:val="16C3745D"/>
    <w:rsid w:val="16C52AF8"/>
    <w:rsid w:val="16CF7BB0"/>
    <w:rsid w:val="16D8450A"/>
    <w:rsid w:val="16E62092"/>
    <w:rsid w:val="17033CFE"/>
    <w:rsid w:val="171D5762"/>
    <w:rsid w:val="171F4A71"/>
    <w:rsid w:val="1732767F"/>
    <w:rsid w:val="17361B83"/>
    <w:rsid w:val="17396DCE"/>
    <w:rsid w:val="173F4503"/>
    <w:rsid w:val="174A0D2D"/>
    <w:rsid w:val="176431CF"/>
    <w:rsid w:val="178A03DE"/>
    <w:rsid w:val="17A322AC"/>
    <w:rsid w:val="17A4103D"/>
    <w:rsid w:val="17B01E78"/>
    <w:rsid w:val="17C70A77"/>
    <w:rsid w:val="17CF4241"/>
    <w:rsid w:val="17EC24A9"/>
    <w:rsid w:val="17EE22B8"/>
    <w:rsid w:val="17FD60AF"/>
    <w:rsid w:val="180C2F5C"/>
    <w:rsid w:val="180D7774"/>
    <w:rsid w:val="184B770B"/>
    <w:rsid w:val="184F0D8B"/>
    <w:rsid w:val="18561A31"/>
    <w:rsid w:val="186A4456"/>
    <w:rsid w:val="18822A00"/>
    <w:rsid w:val="18A72F8C"/>
    <w:rsid w:val="18B169F7"/>
    <w:rsid w:val="18C46036"/>
    <w:rsid w:val="18D25736"/>
    <w:rsid w:val="18E667DE"/>
    <w:rsid w:val="19045FB6"/>
    <w:rsid w:val="190B1AB7"/>
    <w:rsid w:val="190E1E92"/>
    <w:rsid w:val="190E4E8A"/>
    <w:rsid w:val="191E2C88"/>
    <w:rsid w:val="191E47AE"/>
    <w:rsid w:val="19213D00"/>
    <w:rsid w:val="192E19B5"/>
    <w:rsid w:val="193E2DCB"/>
    <w:rsid w:val="194A5C14"/>
    <w:rsid w:val="194B4539"/>
    <w:rsid w:val="19524450"/>
    <w:rsid w:val="195A7AB6"/>
    <w:rsid w:val="19677F5C"/>
    <w:rsid w:val="196D6F0D"/>
    <w:rsid w:val="198729C4"/>
    <w:rsid w:val="199367A5"/>
    <w:rsid w:val="199FA76B"/>
    <w:rsid w:val="19A15F01"/>
    <w:rsid w:val="19A170D7"/>
    <w:rsid w:val="19A8293B"/>
    <w:rsid w:val="19AA0461"/>
    <w:rsid w:val="19B1216E"/>
    <w:rsid w:val="19C137C8"/>
    <w:rsid w:val="19D63004"/>
    <w:rsid w:val="19ED121F"/>
    <w:rsid w:val="19EF3664"/>
    <w:rsid w:val="1A0256C7"/>
    <w:rsid w:val="1A0F6EBC"/>
    <w:rsid w:val="1A1D6E85"/>
    <w:rsid w:val="1A3C3E2A"/>
    <w:rsid w:val="1A3D12D5"/>
    <w:rsid w:val="1A571CAA"/>
    <w:rsid w:val="1A680537"/>
    <w:rsid w:val="1A8A3DEE"/>
    <w:rsid w:val="1A8E78C8"/>
    <w:rsid w:val="1A914D5C"/>
    <w:rsid w:val="1A9609E5"/>
    <w:rsid w:val="1A9A2283"/>
    <w:rsid w:val="1A9B5FFB"/>
    <w:rsid w:val="1AAE5E28"/>
    <w:rsid w:val="1AC27A2C"/>
    <w:rsid w:val="1AD46734"/>
    <w:rsid w:val="1AD87250"/>
    <w:rsid w:val="1ADF413A"/>
    <w:rsid w:val="1AED4941"/>
    <w:rsid w:val="1AED6666"/>
    <w:rsid w:val="1AF264E1"/>
    <w:rsid w:val="1AF745BC"/>
    <w:rsid w:val="1B155DAE"/>
    <w:rsid w:val="1B417F7A"/>
    <w:rsid w:val="1B5508A0"/>
    <w:rsid w:val="1B5E1503"/>
    <w:rsid w:val="1B5E3AB8"/>
    <w:rsid w:val="1B822B4E"/>
    <w:rsid w:val="1B834AAE"/>
    <w:rsid w:val="1B9637E8"/>
    <w:rsid w:val="1BB235FD"/>
    <w:rsid w:val="1BB9498B"/>
    <w:rsid w:val="1BC947C4"/>
    <w:rsid w:val="1BCA47EE"/>
    <w:rsid w:val="1BD27C70"/>
    <w:rsid w:val="1BD96DDB"/>
    <w:rsid w:val="1BDB6FF7"/>
    <w:rsid w:val="1C00080C"/>
    <w:rsid w:val="1C0F6CA1"/>
    <w:rsid w:val="1C2344FA"/>
    <w:rsid w:val="1C2529FF"/>
    <w:rsid w:val="1C27223D"/>
    <w:rsid w:val="1C2C33AF"/>
    <w:rsid w:val="1C427076"/>
    <w:rsid w:val="1C522596"/>
    <w:rsid w:val="1C5648D0"/>
    <w:rsid w:val="1C5B5A42"/>
    <w:rsid w:val="1C6F14EE"/>
    <w:rsid w:val="1C735482"/>
    <w:rsid w:val="1C9211BE"/>
    <w:rsid w:val="1CA23671"/>
    <w:rsid w:val="1CA266AD"/>
    <w:rsid w:val="1CAA52F6"/>
    <w:rsid w:val="1CB425E3"/>
    <w:rsid w:val="1CB43DBF"/>
    <w:rsid w:val="1CC5619F"/>
    <w:rsid w:val="1CD31A7D"/>
    <w:rsid w:val="1CEF358F"/>
    <w:rsid w:val="1CF7709A"/>
    <w:rsid w:val="1D0B56BA"/>
    <w:rsid w:val="1D174D30"/>
    <w:rsid w:val="1D274825"/>
    <w:rsid w:val="1D2B18B9"/>
    <w:rsid w:val="1D2E12C2"/>
    <w:rsid w:val="1D44297A"/>
    <w:rsid w:val="1D552DD9"/>
    <w:rsid w:val="1D734FE3"/>
    <w:rsid w:val="1D7414B2"/>
    <w:rsid w:val="1D815FCC"/>
    <w:rsid w:val="1D927B8A"/>
    <w:rsid w:val="1D9D43F0"/>
    <w:rsid w:val="1DAF2AC9"/>
    <w:rsid w:val="1DB26E14"/>
    <w:rsid w:val="1DC42A0B"/>
    <w:rsid w:val="1DCA2E80"/>
    <w:rsid w:val="1DCF4116"/>
    <w:rsid w:val="1DEC593A"/>
    <w:rsid w:val="1DFB6F31"/>
    <w:rsid w:val="1E024641"/>
    <w:rsid w:val="1E03038B"/>
    <w:rsid w:val="1E25455A"/>
    <w:rsid w:val="1E2F362A"/>
    <w:rsid w:val="1E340C41"/>
    <w:rsid w:val="1E403142"/>
    <w:rsid w:val="1E533D63"/>
    <w:rsid w:val="1E595AFD"/>
    <w:rsid w:val="1E6B7566"/>
    <w:rsid w:val="1E781388"/>
    <w:rsid w:val="1E851C27"/>
    <w:rsid w:val="1E923BA9"/>
    <w:rsid w:val="1E9B2886"/>
    <w:rsid w:val="1EA47B74"/>
    <w:rsid w:val="1EAE454F"/>
    <w:rsid w:val="1EB234A9"/>
    <w:rsid w:val="1EB25197"/>
    <w:rsid w:val="1EC51899"/>
    <w:rsid w:val="1ECC5479"/>
    <w:rsid w:val="1EEF7754"/>
    <w:rsid w:val="1EF46E21"/>
    <w:rsid w:val="1F18526B"/>
    <w:rsid w:val="1F237321"/>
    <w:rsid w:val="1F27593E"/>
    <w:rsid w:val="1F394761"/>
    <w:rsid w:val="1F4D21A9"/>
    <w:rsid w:val="1F4F2B8D"/>
    <w:rsid w:val="1F6A2B6C"/>
    <w:rsid w:val="1F902E99"/>
    <w:rsid w:val="1F9BB067"/>
    <w:rsid w:val="1FA31BDA"/>
    <w:rsid w:val="1FB47A5D"/>
    <w:rsid w:val="1FCF0C21"/>
    <w:rsid w:val="1FF42436"/>
    <w:rsid w:val="1FFF00F8"/>
    <w:rsid w:val="200655C0"/>
    <w:rsid w:val="200E78F3"/>
    <w:rsid w:val="20126D60"/>
    <w:rsid w:val="201C198C"/>
    <w:rsid w:val="20266068"/>
    <w:rsid w:val="20717F2A"/>
    <w:rsid w:val="207417C9"/>
    <w:rsid w:val="207A09B0"/>
    <w:rsid w:val="2094622D"/>
    <w:rsid w:val="209C776B"/>
    <w:rsid w:val="20AA3CDC"/>
    <w:rsid w:val="20B23D8A"/>
    <w:rsid w:val="20C56C00"/>
    <w:rsid w:val="20D54766"/>
    <w:rsid w:val="20D626D7"/>
    <w:rsid w:val="20DD55C0"/>
    <w:rsid w:val="20F546B7"/>
    <w:rsid w:val="20F86993"/>
    <w:rsid w:val="20FD531A"/>
    <w:rsid w:val="21037F10"/>
    <w:rsid w:val="213760C2"/>
    <w:rsid w:val="213D22F1"/>
    <w:rsid w:val="213F6706"/>
    <w:rsid w:val="2165078C"/>
    <w:rsid w:val="21667363"/>
    <w:rsid w:val="216A647F"/>
    <w:rsid w:val="217557F8"/>
    <w:rsid w:val="218B0B78"/>
    <w:rsid w:val="21A63C04"/>
    <w:rsid w:val="21A734D8"/>
    <w:rsid w:val="21C8784B"/>
    <w:rsid w:val="21CF315A"/>
    <w:rsid w:val="21F030D1"/>
    <w:rsid w:val="220646A2"/>
    <w:rsid w:val="22180E56"/>
    <w:rsid w:val="221C2372"/>
    <w:rsid w:val="2221328A"/>
    <w:rsid w:val="22235254"/>
    <w:rsid w:val="22266AF2"/>
    <w:rsid w:val="22274D44"/>
    <w:rsid w:val="222F3BF9"/>
    <w:rsid w:val="2245341D"/>
    <w:rsid w:val="22462A8A"/>
    <w:rsid w:val="22543B20"/>
    <w:rsid w:val="22574EFE"/>
    <w:rsid w:val="22631AF5"/>
    <w:rsid w:val="22696FF6"/>
    <w:rsid w:val="22916066"/>
    <w:rsid w:val="22993768"/>
    <w:rsid w:val="229B431D"/>
    <w:rsid w:val="229F2035"/>
    <w:rsid w:val="229F66F7"/>
    <w:rsid w:val="22B67E76"/>
    <w:rsid w:val="22B7264E"/>
    <w:rsid w:val="22B73217"/>
    <w:rsid w:val="22C87E82"/>
    <w:rsid w:val="22D03538"/>
    <w:rsid w:val="22D12F02"/>
    <w:rsid w:val="22E03145"/>
    <w:rsid w:val="22E83DA8"/>
    <w:rsid w:val="22E9024C"/>
    <w:rsid w:val="23006025"/>
    <w:rsid w:val="230102D9"/>
    <w:rsid w:val="23052BAC"/>
    <w:rsid w:val="230B7162"/>
    <w:rsid w:val="230C1C0F"/>
    <w:rsid w:val="231A1DBF"/>
    <w:rsid w:val="232748D0"/>
    <w:rsid w:val="23353491"/>
    <w:rsid w:val="23445482"/>
    <w:rsid w:val="23517B9F"/>
    <w:rsid w:val="23531B69"/>
    <w:rsid w:val="235F43F3"/>
    <w:rsid w:val="23664217"/>
    <w:rsid w:val="236B0C61"/>
    <w:rsid w:val="238E2BA1"/>
    <w:rsid w:val="23915FA1"/>
    <w:rsid w:val="23A14774"/>
    <w:rsid w:val="23A5639B"/>
    <w:rsid w:val="23A67435"/>
    <w:rsid w:val="23B61558"/>
    <w:rsid w:val="23BC770E"/>
    <w:rsid w:val="23C9141B"/>
    <w:rsid w:val="23FE3883"/>
    <w:rsid w:val="23FF75FB"/>
    <w:rsid w:val="240708CD"/>
    <w:rsid w:val="240F5A90"/>
    <w:rsid w:val="24106476"/>
    <w:rsid w:val="24162D28"/>
    <w:rsid w:val="24293F8F"/>
    <w:rsid w:val="243674C1"/>
    <w:rsid w:val="24380CC8"/>
    <w:rsid w:val="243A63CC"/>
    <w:rsid w:val="243C084F"/>
    <w:rsid w:val="246C10ED"/>
    <w:rsid w:val="247E49C4"/>
    <w:rsid w:val="24904744"/>
    <w:rsid w:val="249F3FA9"/>
    <w:rsid w:val="24C745BD"/>
    <w:rsid w:val="24D83DB6"/>
    <w:rsid w:val="2505221B"/>
    <w:rsid w:val="25066BAB"/>
    <w:rsid w:val="25181323"/>
    <w:rsid w:val="251913F0"/>
    <w:rsid w:val="251F222D"/>
    <w:rsid w:val="25235572"/>
    <w:rsid w:val="252F6C1F"/>
    <w:rsid w:val="25333A00"/>
    <w:rsid w:val="25457290"/>
    <w:rsid w:val="25561143"/>
    <w:rsid w:val="25676DE9"/>
    <w:rsid w:val="256F64AA"/>
    <w:rsid w:val="257B7047"/>
    <w:rsid w:val="2584600A"/>
    <w:rsid w:val="25AC5561"/>
    <w:rsid w:val="25B43E15"/>
    <w:rsid w:val="25B44CD6"/>
    <w:rsid w:val="25D53C59"/>
    <w:rsid w:val="25DF401E"/>
    <w:rsid w:val="25DF4AD8"/>
    <w:rsid w:val="25E75A1D"/>
    <w:rsid w:val="25E76599"/>
    <w:rsid w:val="25F07BA6"/>
    <w:rsid w:val="25FA2770"/>
    <w:rsid w:val="25FC2044"/>
    <w:rsid w:val="26025181"/>
    <w:rsid w:val="260F2A28"/>
    <w:rsid w:val="26176E7E"/>
    <w:rsid w:val="26201D24"/>
    <w:rsid w:val="263107B3"/>
    <w:rsid w:val="26322643"/>
    <w:rsid w:val="263631A5"/>
    <w:rsid w:val="2637667A"/>
    <w:rsid w:val="26655E3B"/>
    <w:rsid w:val="268C3FB5"/>
    <w:rsid w:val="26912233"/>
    <w:rsid w:val="269F15EB"/>
    <w:rsid w:val="26A26863"/>
    <w:rsid w:val="26AA7CF2"/>
    <w:rsid w:val="26BE19EF"/>
    <w:rsid w:val="26C143D2"/>
    <w:rsid w:val="26D7485F"/>
    <w:rsid w:val="26E24FAE"/>
    <w:rsid w:val="26EF739B"/>
    <w:rsid w:val="26F326F6"/>
    <w:rsid w:val="26F7280B"/>
    <w:rsid w:val="26FD42C6"/>
    <w:rsid w:val="27167136"/>
    <w:rsid w:val="273048EF"/>
    <w:rsid w:val="274A5031"/>
    <w:rsid w:val="27545EB0"/>
    <w:rsid w:val="27615B88"/>
    <w:rsid w:val="2769150F"/>
    <w:rsid w:val="27734588"/>
    <w:rsid w:val="27781B9E"/>
    <w:rsid w:val="277F4CDB"/>
    <w:rsid w:val="2780146B"/>
    <w:rsid w:val="2786250D"/>
    <w:rsid w:val="278B2E18"/>
    <w:rsid w:val="27914CC8"/>
    <w:rsid w:val="27985D9D"/>
    <w:rsid w:val="27A42993"/>
    <w:rsid w:val="27AA2337"/>
    <w:rsid w:val="27AC7A9A"/>
    <w:rsid w:val="27C923FA"/>
    <w:rsid w:val="27CF7A19"/>
    <w:rsid w:val="27D019DA"/>
    <w:rsid w:val="27D52687"/>
    <w:rsid w:val="27D6739B"/>
    <w:rsid w:val="27DA0163"/>
    <w:rsid w:val="27E45F94"/>
    <w:rsid w:val="27F373E3"/>
    <w:rsid w:val="28131C63"/>
    <w:rsid w:val="28150C75"/>
    <w:rsid w:val="282464EB"/>
    <w:rsid w:val="282F222C"/>
    <w:rsid w:val="28626D75"/>
    <w:rsid w:val="286F3F95"/>
    <w:rsid w:val="287B7F79"/>
    <w:rsid w:val="28821E43"/>
    <w:rsid w:val="28916BE7"/>
    <w:rsid w:val="28A4024E"/>
    <w:rsid w:val="28B135BA"/>
    <w:rsid w:val="28B9528A"/>
    <w:rsid w:val="28BC481A"/>
    <w:rsid w:val="28C01A4F"/>
    <w:rsid w:val="28C1259F"/>
    <w:rsid w:val="28D92B11"/>
    <w:rsid w:val="28F0032A"/>
    <w:rsid w:val="28F24E95"/>
    <w:rsid w:val="28F434A6"/>
    <w:rsid w:val="28F93763"/>
    <w:rsid w:val="28FC23EA"/>
    <w:rsid w:val="29053273"/>
    <w:rsid w:val="290C61FF"/>
    <w:rsid w:val="291458F7"/>
    <w:rsid w:val="291E2E7B"/>
    <w:rsid w:val="29290FE4"/>
    <w:rsid w:val="292F7188"/>
    <w:rsid w:val="29352157"/>
    <w:rsid w:val="29376315"/>
    <w:rsid w:val="29501633"/>
    <w:rsid w:val="29567BFF"/>
    <w:rsid w:val="295F5B00"/>
    <w:rsid w:val="2973086F"/>
    <w:rsid w:val="298249CF"/>
    <w:rsid w:val="29980BDA"/>
    <w:rsid w:val="29A0362E"/>
    <w:rsid w:val="29AA3515"/>
    <w:rsid w:val="29AC50CB"/>
    <w:rsid w:val="29C25353"/>
    <w:rsid w:val="29CD4DD1"/>
    <w:rsid w:val="29D62BAC"/>
    <w:rsid w:val="29D86924"/>
    <w:rsid w:val="29DA6B40"/>
    <w:rsid w:val="29ED6BDD"/>
    <w:rsid w:val="29EF3D8C"/>
    <w:rsid w:val="29FA073B"/>
    <w:rsid w:val="2A042187"/>
    <w:rsid w:val="2A133DC8"/>
    <w:rsid w:val="2A200E38"/>
    <w:rsid w:val="2A350021"/>
    <w:rsid w:val="2A431C41"/>
    <w:rsid w:val="2A445BEE"/>
    <w:rsid w:val="2A5341FD"/>
    <w:rsid w:val="2A5A1A2F"/>
    <w:rsid w:val="2A602202"/>
    <w:rsid w:val="2A6237E6"/>
    <w:rsid w:val="2A777F01"/>
    <w:rsid w:val="2A7FF3BA"/>
    <w:rsid w:val="2A85159C"/>
    <w:rsid w:val="2A97058D"/>
    <w:rsid w:val="2AA1533C"/>
    <w:rsid w:val="2AAA7F7A"/>
    <w:rsid w:val="2ABE1FBE"/>
    <w:rsid w:val="2AC670C5"/>
    <w:rsid w:val="2ACB0237"/>
    <w:rsid w:val="2B004385"/>
    <w:rsid w:val="2B033E75"/>
    <w:rsid w:val="2B0674C1"/>
    <w:rsid w:val="2B1716CE"/>
    <w:rsid w:val="2B353322"/>
    <w:rsid w:val="2B37239C"/>
    <w:rsid w:val="2B3D7387"/>
    <w:rsid w:val="2B3E6C5B"/>
    <w:rsid w:val="2B5400F2"/>
    <w:rsid w:val="2B6A63EC"/>
    <w:rsid w:val="2B7348A5"/>
    <w:rsid w:val="2B94791E"/>
    <w:rsid w:val="2BB9468C"/>
    <w:rsid w:val="2BC2163A"/>
    <w:rsid w:val="2BC51EC5"/>
    <w:rsid w:val="2BD55811"/>
    <w:rsid w:val="2BD73CFD"/>
    <w:rsid w:val="2C155109"/>
    <w:rsid w:val="2C2422F5"/>
    <w:rsid w:val="2C2474F0"/>
    <w:rsid w:val="2C2A71DF"/>
    <w:rsid w:val="2C3562B0"/>
    <w:rsid w:val="2C372028"/>
    <w:rsid w:val="2C41042A"/>
    <w:rsid w:val="2C642FEA"/>
    <w:rsid w:val="2C6B0F62"/>
    <w:rsid w:val="2C6F14EE"/>
    <w:rsid w:val="2C7C04FF"/>
    <w:rsid w:val="2C882884"/>
    <w:rsid w:val="2C892158"/>
    <w:rsid w:val="2C8F2CCE"/>
    <w:rsid w:val="2C9C632F"/>
    <w:rsid w:val="2CB71165"/>
    <w:rsid w:val="2CC278F0"/>
    <w:rsid w:val="2CC7543A"/>
    <w:rsid w:val="2CCF5161"/>
    <w:rsid w:val="2CDA6E57"/>
    <w:rsid w:val="2D0D0C0E"/>
    <w:rsid w:val="2D546C0A"/>
    <w:rsid w:val="2D5B7F98"/>
    <w:rsid w:val="2D614E83"/>
    <w:rsid w:val="2D6D7CCB"/>
    <w:rsid w:val="2D6E5CBA"/>
    <w:rsid w:val="2D8017AD"/>
    <w:rsid w:val="2D9708A4"/>
    <w:rsid w:val="2DD077B2"/>
    <w:rsid w:val="2DF301D1"/>
    <w:rsid w:val="2DFC77E9"/>
    <w:rsid w:val="2E06340F"/>
    <w:rsid w:val="2E183793"/>
    <w:rsid w:val="2E1E4B22"/>
    <w:rsid w:val="2E220AB6"/>
    <w:rsid w:val="2E362C91"/>
    <w:rsid w:val="2E433D29"/>
    <w:rsid w:val="2E450CFC"/>
    <w:rsid w:val="2E615CCD"/>
    <w:rsid w:val="2E717347"/>
    <w:rsid w:val="2E9153AA"/>
    <w:rsid w:val="2EA35514"/>
    <w:rsid w:val="2EC01219"/>
    <w:rsid w:val="2EC34FDD"/>
    <w:rsid w:val="2EDFE9E8"/>
    <w:rsid w:val="2EF04710"/>
    <w:rsid w:val="2EF97A69"/>
    <w:rsid w:val="2F155F25"/>
    <w:rsid w:val="2F3445FD"/>
    <w:rsid w:val="2F37730B"/>
    <w:rsid w:val="2F4A02C4"/>
    <w:rsid w:val="2F4A1335"/>
    <w:rsid w:val="2F4D2835"/>
    <w:rsid w:val="2F7C41F6"/>
    <w:rsid w:val="2F827A5E"/>
    <w:rsid w:val="2F882261"/>
    <w:rsid w:val="2F8A6913"/>
    <w:rsid w:val="2F940B9B"/>
    <w:rsid w:val="2FAC3F69"/>
    <w:rsid w:val="2FAF6379"/>
    <w:rsid w:val="2FB83480"/>
    <w:rsid w:val="2FBE65BC"/>
    <w:rsid w:val="2FCE2B17"/>
    <w:rsid w:val="2FCF2577"/>
    <w:rsid w:val="2FE364D9"/>
    <w:rsid w:val="2FF11F73"/>
    <w:rsid w:val="2FF6EBD2"/>
    <w:rsid w:val="300761B5"/>
    <w:rsid w:val="30085A89"/>
    <w:rsid w:val="301E2414"/>
    <w:rsid w:val="302610FC"/>
    <w:rsid w:val="302E54F0"/>
    <w:rsid w:val="30403475"/>
    <w:rsid w:val="3043586B"/>
    <w:rsid w:val="30443CB5"/>
    <w:rsid w:val="304C5976"/>
    <w:rsid w:val="3058256D"/>
    <w:rsid w:val="305A38D0"/>
    <w:rsid w:val="306E648F"/>
    <w:rsid w:val="30766E97"/>
    <w:rsid w:val="308E41E1"/>
    <w:rsid w:val="309243C0"/>
    <w:rsid w:val="309511AA"/>
    <w:rsid w:val="309D2676"/>
    <w:rsid w:val="30A47610"/>
    <w:rsid w:val="30B33C47"/>
    <w:rsid w:val="30B71989"/>
    <w:rsid w:val="30C46588"/>
    <w:rsid w:val="30E33504"/>
    <w:rsid w:val="30F4201C"/>
    <w:rsid w:val="30F524B2"/>
    <w:rsid w:val="30FF4B22"/>
    <w:rsid w:val="310B6BF3"/>
    <w:rsid w:val="312B3FDA"/>
    <w:rsid w:val="3138414C"/>
    <w:rsid w:val="31501496"/>
    <w:rsid w:val="31532D34"/>
    <w:rsid w:val="315C727B"/>
    <w:rsid w:val="31666F0B"/>
    <w:rsid w:val="316B4522"/>
    <w:rsid w:val="316D0BA9"/>
    <w:rsid w:val="31A627B9"/>
    <w:rsid w:val="31A62D61"/>
    <w:rsid w:val="31BE28A4"/>
    <w:rsid w:val="31C630A7"/>
    <w:rsid w:val="31C9211B"/>
    <w:rsid w:val="31CC628B"/>
    <w:rsid w:val="31EB31CE"/>
    <w:rsid w:val="31F60A7B"/>
    <w:rsid w:val="31FC517A"/>
    <w:rsid w:val="32024E86"/>
    <w:rsid w:val="32075FF9"/>
    <w:rsid w:val="321A7A9C"/>
    <w:rsid w:val="32236C2E"/>
    <w:rsid w:val="32496611"/>
    <w:rsid w:val="32607DFF"/>
    <w:rsid w:val="3281224F"/>
    <w:rsid w:val="328F502D"/>
    <w:rsid w:val="329B2BE5"/>
    <w:rsid w:val="329E6B50"/>
    <w:rsid w:val="329F256E"/>
    <w:rsid w:val="329F32EA"/>
    <w:rsid w:val="32BB5035"/>
    <w:rsid w:val="32C43EEA"/>
    <w:rsid w:val="32C65EB4"/>
    <w:rsid w:val="32EB0B99"/>
    <w:rsid w:val="32EE540A"/>
    <w:rsid w:val="33154745"/>
    <w:rsid w:val="331704BD"/>
    <w:rsid w:val="33237E07"/>
    <w:rsid w:val="33265EB1"/>
    <w:rsid w:val="3330332D"/>
    <w:rsid w:val="3332198B"/>
    <w:rsid w:val="333D443C"/>
    <w:rsid w:val="335A65FC"/>
    <w:rsid w:val="335A7075"/>
    <w:rsid w:val="335D7410"/>
    <w:rsid w:val="336D3EA4"/>
    <w:rsid w:val="33835B53"/>
    <w:rsid w:val="3384586B"/>
    <w:rsid w:val="33951EF8"/>
    <w:rsid w:val="339A10EE"/>
    <w:rsid w:val="339C1E4B"/>
    <w:rsid w:val="33A342A9"/>
    <w:rsid w:val="33AC6E70"/>
    <w:rsid w:val="33B66E47"/>
    <w:rsid w:val="33C64EB5"/>
    <w:rsid w:val="33D44600"/>
    <w:rsid w:val="33DB629F"/>
    <w:rsid w:val="33DC674E"/>
    <w:rsid w:val="33E74334"/>
    <w:rsid w:val="33EC6C5A"/>
    <w:rsid w:val="33EE1BA0"/>
    <w:rsid w:val="33F22CD8"/>
    <w:rsid w:val="33F9299F"/>
    <w:rsid w:val="33FE78CF"/>
    <w:rsid w:val="340622E0"/>
    <w:rsid w:val="34306838"/>
    <w:rsid w:val="34316ACF"/>
    <w:rsid w:val="343E641F"/>
    <w:rsid w:val="344468FB"/>
    <w:rsid w:val="344D4C35"/>
    <w:rsid w:val="34526541"/>
    <w:rsid w:val="3464195E"/>
    <w:rsid w:val="348854D0"/>
    <w:rsid w:val="34897199"/>
    <w:rsid w:val="34924BC9"/>
    <w:rsid w:val="349873DC"/>
    <w:rsid w:val="349879D5"/>
    <w:rsid w:val="34C3106B"/>
    <w:rsid w:val="34C74165"/>
    <w:rsid w:val="34E00D83"/>
    <w:rsid w:val="34E751DD"/>
    <w:rsid w:val="34E924AB"/>
    <w:rsid w:val="34EB5A9A"/>
    <w:rsid w:val="34F1756F"/>
    <w:rsid w:val="35066A3B"/>
    <w:rsid w:val="35270760"/>
    <w:rsid w:val="352F64C7"/>
    <w:rsid w:val="3532618A"/>
    <w:rsid w:val="35351167"/>
    <w:rsid w:val="353C7D87"/>
    <w:rsid w:val="355552CD"/>
    <w:rsid w:val="35615866"/>
    <w:rsid w:val="35703BE5"/>
    <w:rsid w:val="358A409C"/>
    <w:rsid w:val="35A57EBA"/>
    <w:rsid w:val="35BF6BEA"/>
    <w:rsid w:val="35C012AA"/>
    <w:rsid w:val="35C249F4"/>
    <w:rsid w:val="35D17237"/>
    <w:rsid w:val="35F30AB5"/>
    <w:rsid w:val="35FC3D7E"/>
    <w:rsid w:val="36145188"/>
    <w:rsid w:val="362058DB"/>
    <w:rsid w:val="36246BDF"/>
    <w:rsid w:val="363330B1"/>
    <w:rsid w:val="36370634"/>
    <w:rsid w:val="363932F5"/>
    <w:rsid w:val="363D4FB8"/>
    <w:rsid w:val="363D6170"/>
    <w:rsid w:val="3642677E"/>
    <w:rsid w:val="36525CB0"/>
    <w:rsid w:val="3654343F"/>
    <w:rsid w:val="36570DD6"/>
    <w:rsid w:val="36590DED"/>
    <w:rsid w:val="367125DA"/>
    <w:rsid w:val="36760F87"/>
    <w:rsid w:val="36AF6603"/>
    <w:rsid w:val="36B87D9D"/>
    <w:rsid w:val="36C4095C"/>
    <w:rsid w:val="36C546D4"/>
    <w:rsid w:val="36D528EF"/>
    <w:rsid w:val="36F32FEF"/>
    <w:rsid w:val="37205FF6"/>
    <w:rsid w:val="372633C5"/>
    <w:rsid w:val="374E46CA"/>
    <w:rsid w:val="37602480"/>
    <w:rsid w:val="376676D7"/>
    <w:rsid w:val="3769770F"/>
    <w:rsid w:val="37865C12"/>
    <w:rsid w:val="379876F3"/>
    <w:rsid w:val="379A16BD"/>
    <w:rsid w:val="379F45EE"/>
    <w:rsid w:val="37CD1A92"/>
    <w:rsid w:val="37CE6DD4"/>
    <w:rsid w:val="37E06FFE"/>
    <w:rsid w:val="37E152F6"/>
    <w:rsid w:val="38233460"/>
    <w:rsid w:val="38287C31"/>
    <w:rsid w:val="3832770C"/>
    <w:rsid w:val="38337389"/>
    <w:rsid w:val="38387EA9"/>
    <w:rsid w:val="383907FA"/>
    <w:rsid w:val="383B1F8D"/>
    <w:rsid w:val="384855BD"/>
    <w:rsid w:val="386027CC"/>
    <w:rsid w:val="38624A88"/>
    <w:rsid w:val="38664899"/>
    <w:rsid w:val="386C12AB"/>
    <w:rsid w:val="38960E58"/>
    <w:rsid w:val="38A670D3"/>
    <w:rsid w:val="38AE714C"/>
    <w:rsid w:val="38B1729A"/>
    <w:rsid w:val="38B60778"/>
    <w:rsid w:val="38BC5693"/>
    <w:rsid w:val="38DC3EDC"/>
    <w:rsid w:val="38E5695C"/>
    <w:rsid w:val="38E92202"/>
    <w:rsid w:val="38F8669B"/>
    <w:rsid w:val="38FA68B7"/>
    <w:rsid w:val="38FB98C4"/>
    <w:rsid w:val="38FF20BA"/>
    <w:rsid w:val="390323DC"/>
    <w:rsid w:val="39096AFA"/>
    <w:rsid w:val="391B4A7F"/>
    <w:rsid w:val="39202096"/>
    <w:rsid w:val="39394B01"/>
    <w:rsid w:val="39403675"/>
    <w:rsid w:val="39561E39"/>
    <w:rsid w:val="396E2E01"/>
    <w:rsid w:val="39777F08"/>
    <w:rsid w:val="39874323"/>
    <w:rsid w:val="398B661E"/>
    <w:rsid w:val="3999642E"/>
    <w:rsid w:val="399A1E48"/>
    <w:rsid w:val="399B57E9"/>
    <w:rsid w:val="39A10E34"/>
    <w:rsid w:val="39A64349"/>
    <w:rsid w:val="39B62C55"/>
    <w:rsid w:val="39C03AB0"/>
    <w:rsid w:val="39CD5D7A"/>
    <w:rsid w:val="39D62E7E"/>
    <w:rsid w:val="39F50E2C"/>
    <w:rsid w:val="39F63BBE"/>
    <w:rsid w:val="3A241712"/>
    <w:rsid w:val="3A335905"/>
    <w:rsid w:val="3A47599D"/>
    <w:rsid w:val="3A6477A9"/>
    <w:rsid w:val="3A7E52C6"/>
    <w:rsid w:val="3A8E4BF9"/>
    <w:rsid w:val="3A950543"/>
    <w:rsid w:val="3A9E7716"/>
    <w:rsid w:val="3AA23F47"/>
    <w:rsid w:val="3AAA1C17"/>
    <w:rsid w:val="3ABE2449"/>
    <w:rsid w:val="3ADA56C8"/>
    <w:rsid w:val="3AE35129"/>
    <w:rsid w:val="3AF37A62"/>
    <w:rsid w:val="3B00217F"/>
    <w:rsid w:val="3B082DE1"/>
    <w:rsid w:val="3B20012B"/>
    <w:rsid w:val="3B2A60E9"/>
    <w:rsid w:val="3B2E4BFD"/>
    <w:rsid w:val="3B3360B0"/>
    <w:rsid w:val="3B4007CD"/>
    <w:rsid w:val="3B506A3A"/>
    <w:rsid w:val="3B561D9F"/>
    <w:rsid w:val="3B5B2B94"/>
    <w:rsid w:val="3B7566C9"/>
    <w:rsid w:val="3B7641EF"/>
    <w:rsid w:val="3B792ECF"/>
    <w:rsid w:val="3B827166"/>
    <w:rsid w:val="3B855DC3"/>
    <w:rsid w:val="3B9052B1"/>
    <w:rsid w:val="3B974891"/>
    <w:rsid w:val="3B9D279F"/>
    <w:rsid w:val="3BB16FD5"/>
    <w:rsid w:val="3BD056AD"/>
    <w:rsid w:val="3BD21711"/>
    <w:rsid w:val="3BD54987"/>
    <w:rsid w:val="3BD80F0D"/>
    <w:rsid w:val="3BDA2944"/>
    <w:rsid w:val="3BDB85C8"/>
    <w:rsid w:val="3BE467D1"/>
    <w:rsid w:val="3BFE66BE"/>
    <w:rsid w:val="3BFF8581"/>
    <w:rsid w:val="3C1C38AF"/>
    <w:rsid w:val="3C1C4D96"/>
    <w:rsid w:val="3C215F09"/>
    <w:rsid w:val="3C256A70"/>
    <w:rsid w:val="3C31001D"/>
    <w:rsid w:val="3C3A6AB5"/>
    <w:rsid w:val="3C4165AB"/>
    <w:rsid w:val="3C4B11D8"/>
    <w:rsid w:val="3C5D6EFF"/>
    <w:rsid w:val="3C6605CE"/>
    <w:rsid w:val="3C676D43"/>
    <w:rsid w:val="3C6F5B2F"/>
    <w:rsid w:val="3C7249B6"/>
    <w:rsid w:val="3C881B0B"/>
    <w:rsid w:val="3C926E07"/>
    <w:rsid w:val="3CAD59EE"/>
    <w:rsid w:val="3CB26F41"/>
    <w:rsid w:val="3CC17DD4"/>
    <w:rsid w:val="3CDC4526"/>
    <w:rsid w:val="3CDD2778"/>
    <w:rsid w:val="3CDE204C"/>
    <w:rsid w:val="3CE07F0B"/>
    <w:rsid w:val="3CE277AA"/>
    <w:rsid w:val="3CE8111C"/>
    <w:rsid w:val="3CEA279F"/>
    <w:rsid w:val="3CEC177B"/>
    <w:rsid w:val="3CF46FDB"/>
    <w:rsid w:val="3D0A1E56"/>
    <w:rsid w:val="3D1B6DFC"/>
    <w:rsid w:val="3D2A2A77"/>
    <w:rsid w:val="3D42082D"/>
    <w:rsid w:val="3D5F3C0A"/>
    <w:rsid w:val="3D7164EB"/>
    <w:rsid w:val="3D7737D1"/>
    <w:rsid w:val="3D7F382F"/>
    <w:rsid w:val="3D8F31BA"/>
    <w:rsid w:val="3D9B4E64"/>
    <w:rsid w:val="3D9F76BF"/>
    <w:rsid w:val="3DA70690"/>
    <w:rsid w:val="3DC54FBA"/>
    <w:rsid w:val="3DFB09DB"/>
    <w:rsid w:val="3E0205C4"/>
    <w:rsid w:val="3E0C3BB5"/>
    <w:rsid w:val="3E12336F"/>
    <w:rsid w:val="3E154BCF"/>
    <w:rsid w:val="3E342BCE"/>
    <w:rsid w:val="3E3A37E1"/>
    <w:rsid w:val="3E6432A1"/>
    <w:rsid w:val="3E6842C3"/>
    <w:rsid w:val="3E6B3DB3"/>
    <w:rsid w:val="3E90273A"/>
    <w:rsid w:val="3E955132"/>
    <w:rsid w:val="3EA352FB"/>
    <w:rsid w:val="3EA846BF"/>
    <w:rsid w:val="3EAD6F0F"/>
    <w:rsid w:val="3EBE3EE3"/>
    <w:rsid w:val="3EC62D97"/>
    <w:rsid w:val="3ED16F9D"/>
    <w:rsid w:val="3ED835C0"/>
    <w:rsid w:val="3EE14075"/>
    <w:rsid w:val="3EE22D6A"/>
    <w:rsid w:val="3EE33949"/>
    <w:rsid w:val="3EF7239A"/>
    <w:rsid w:val="3EF97772"/>
    <w:rsid w:val="3EFF671D"/>
    <w:rsid w:val="3F033FEC"/>
    <w:rsid w:val="3F1A33BE"/>
    <w:rsid w:val="3F2859A4"/>
    <w:rsid w:val="3F2F48E2"/>
    <w:rsid w:val="3F3C7CCF"/>
    <w:rsid w:val="3F5D194E"/>
    <w:rsid w:val="3F6031EC"/>
    <w:rsid w:val="3F6251B6"/>
    <w:rsid w:val="3F7722E4"/>
    <w:rsid w:val="3F7B6278"/>
    <w:rsid w:val="3F8C5D8F"/>
    <w:rsid w:val="3FBBF901"/>
    <w:rsid w:val="3FC4377B"/>
    <w:rsid w:val="3FCC669D"/>
    <w:rsid w:val="3FD00372"/>
    <w:rsid w:val="3FD753EE"/>
    <w:rsid w:val="3FD80FD4"/>
    <w:rsid w:val="3FDD241B"/>
    <w:rsid w:val="3FDD483D"/>
    <w:rsid w:val="3FE07E89"/>
    <w:rsid w:val="3FE69656"/>
    <w:rsid w:val="3FEE56A1"/>
    <w:rsid w:val="3FF77793"/>
    <w:rsid w:val="3FFA12B7"/>
    <w:rsid w:val="3FFF2802"/>
    <w:rsid w:val="402F22B4"/>
    <w:rsid w:val="404405EC"/>
    <w:rsid w:val="405110D6"/>
    <w:rsid w:val="406D6805"/>
    <w:rsid w:val="407A652F"/>
    <w:rsid w:val="407D110C"/>
    <w:rsid w:val="40827192"/>
    <w:rsid w:val="40864ED4"/>
    <w:rsid w:val="408C3992"/>
    <w:rsid w:val="40915918"/>
    <w:rsid w:val="40A05314"/>
    <w:rsid w:val="40B51B55"/>
    <w:rsid w:val="40B732E0"/>
    <w:rsid w:val="40E61FE6"/>
    <w:rsid w:val="40F71321"/>
    <w:rsid w:val="41140064"/>
    <w:rsid w:val="411B561D"/>
    <w:rsid w:val="41200E85"/>
    <w:rsid w:val="412519DB"/>
    <w:rsid w:val="41265961"/>
    <w:rsid w:val="41326E0A"/>
    <w:rsid w:val="41361B95"/>
    <w:rsid w:val="41515EEF"/>
    <w:rsid w:val="41526B64"/>
    <w:rsid w:val="41546D80"/>
    <w:rsid w:val="418A09F4"/>
    <w:rsid w:val="418A27A2"/>
    <w:rsid w:val="418D4040"/>
    <w:rsid w:val="418E2292"/>
    <w:rsid w:val="41970AE1"/>
    <w:rsid w:val="419E624E"/>
    <w:rsid w:val="41A35612"/>
    <w:rsid w:val="41AE7C60"/>
    <w:rsid w:val="41B617E9"/>
    <w:rsid w:val="41C37A62"/>
    <w:rsid w:val="41CC6917"/>
    <w:rsid w:val="41CE08E1"/>
    <w:rsid w:val="41D35EF7"/>
    <w:rsid w:val="41DD0B24"/>
    <w:rsid w:val="41E87DEF"/>
    <w:rsid w:val="41F1637D"/>
    <w:rsid w:val="420A5691"/>
    <w:rsid w:val="421C7965"/>
    <w:rsid w:val="422619BB"/>
    <w:rsid w:val="422C150A"/>
    <w:rsid w:val="423773F7"/>
    <w:rsid w:val="423A7D24"/>
    <w:rsid w:val="42436F8A"/>
    <w:rsid w:val="425410BD"/>
    <w:rsid w:val="425F778B"/>
    <w:rsid w:val="426009C5"/>
    <w:rsid w:val="426221F8"/>
    <w:rsid w:val="426D63FE"/>
    <w:rsid w:val="42724A9B"/>
    <w:rsid w:val="428F6994"/>
    <w:rsid w:val="42957651"/>
    <w:rsid w:val="4297632A"/>
    <w:rsid w:val="429E4757"/>
    <w:rsid w:val="42A15FF5"/>
    <w:rsid w:val="42B21705"/>
    <w:rsid w:val="42B32E08"/>
    <w:rsid w:val="42D31F27"/>
    <w:rsid w:val="42D55690"/>
    <w:rsid w:val="42DE3E28"/>
    <w:rsid w:val="42DF22D8"/>
    <w:rsid w:val="42E3216A"/>
    <w:rsid w:val="431C567C"/>
    <w:rsid w:val="43266677"/>
    <w:rsid w:val="432D2509"/>
    <w:rsid w:val="434075BC"/>
    <w:rsid w:val="43421586"/>
    <w:rsid w:val="434370AD"/>
    <w:rsid w:val="43470AA6"/>
    <w:rsid w:val="436E5EB8"/>
    <w:rsid w:val="43900783"/>
    <w:rsid w:val="43947392"/>
    <w:rsid w:val="439971FA"/>
    <w:rsid w:val="43A833B4"/>
    <w:rsid w:val="43AC4C52"/>
    <w:rsid w:val="43B42418"/>
    <w:rsid w:val="43BD6E5F"/>
    <w:rsid w:val="43D16909"/>
    <w:rsid w:val="43D42766"/>
    <w:rsid w:val="43F213F1"/>
    <w:rsid w:val="43F41FD8"/>
    <w:rsid w:val="43FD1DA6"/>
    <w:rsid w:val="44006D4C"/>
    <w:rsid w:val="440209A9"/>
    <w:rsid w:val="441B3B85"/>
    <w:rsid w:val="443C7F5E"/>
    <w:rsid w:val="444B19C8"/>
    <w:rsid w:val="446C30C9"/>
    <w:rsid w:val="44774926"/>
    <w:rsid w:val="448B0BED"/>
    <w:rsid w:val="449B01B0"/>
    <w:rsid w:val="44D65FFB"/>
    <w:rsid w:val="44DE708D"/>
    <w:rsid w:val="44F06447"/>
    <w:rsid w:val="44F833E9"/>
    <w:rsid w:val="44FF34A7"/>
    <w:rsid w:val="45061A4C"/>
    <w:rsid w:val="45120AE5"/>
    <w:rsid w:val="451C7579"/>
    <w:rsid w:val="45237196"/>
    <w:rsid w:val="45244CBC"/>
    <w:rsid w:val="452541DF"/>
    <w:rsid w:val="452B268D"/>
    <w:rsid w:val="4535500F"/>
    <w:rsid w:val="457271D8"/>
    <w:rsid w:val="457F1EF2"/>
    <w:rsid w:val="45857508"/>
    <w:rsid w:val="458D79D2"/>
    <w:rsid w:val="459E4D98"/>
    <w:rsid w:val="45DE28D0"/>
    <w:rsid w:val="45F66658"/>
    <w:rsid w:val="46115240"/>
    <w:rsid w:val="461A0599"/>
    <w:rsid w:val="461B60BF"/>
    <w:rsid w:val="462C3E28"/>
    <w:rsid w:val="46362EF9"/>
    <w:rsid w:val="4649255C"/>
    <w:rsid w:val="467265C4"/>
    <w:rsid w:val="46765CB1"/>
    <w:rsid w:val="467965F9"/>
    <w:rsid w:val="467E27F8"/>
    <w:rsid w:val="46841EBD"/>
    <w:rsid w:val="46843C64"/>
    <w:rsid w:val="46974134"/>
    <w:rsid w:val="469C746C"/>
    <w:rsid w:val="46A92635"/>
    <w:rsid w:val="46B10E38"/>
    <w:rsid w:val="46B651A1"/>
    <w:rsid w:val="46BC33FE"/>
    <w:rsid w:val="46C03289"/>
    <w:rsid w:val="46C978C9"/>
    <w:rsid w:val="46F245F5"/>
    <w:rsid w:val="470114A9"/>
    <w:rsid w:val="470703F1"/>
    <w:rsid w:val="47113E40"/>
    <w:rsid w:val="47120309"/>
    <w:rsid w:val="472015A9"/>
    <w:rsid w:val="47234906"/>
    <w:rsid w:val="47354BD4"/>
    <w:rsid w:val="474C3E81"/>
    <w:rsid w:val="474E4E09"/>
    <w:rsid w:val="47867568"/>
    <w:rsid w:val="479A733C"/>
    <w:rsid w:val="479D7445"/>
    <w:rsid w:val="47A00374"/>
    <w:rsid w:val="47CB7C64"/>
    <w:rsid w:val="47E57A30"/>
    <w:rsid w:val="47E66258"/>
    <w:rsid w:val="480014B3"/>
    <w:rsid w:val="48083249"/>
    <w:rsid w:val="480E7A25"/>
    <w:rsid w:val="48180B08"/>
    <w:rsid w:val="48483421"/>
    <w:rsid w:val="484E4529"/>
    <w:rsid w:val="485D6071"/>
    <w:rsid w:val="48614BFD"/>
    <w:rsid w:val="487B4BF3"/>
    <w:rsid w:val="48B1532F"/>
    <w:rsid w:val="48C26B67"/>
    <w:rsid w:val="48C81442"/>
    <w:rsid w:val="48E23D57"/>
    <w:rsid w:val="48E350EB"/>
    <w:rsid w:val="48E85B1A"/>
    <w:rsid w:val="48F051D0"/>
    <w:rsid w:val="490168B9"/>
    <w:rsid w:val="49080B7C"/>
    <w:rsid w:val="49296384"/>
    <w:rsid w:val="49465201"/>
    <w:rsid w:val="49523359"/>
    <w:rsid w:val="496E7D41"/>
    <w:rsid w:val="4989333F"/>
    <w:rsid w:val="498A4BF8"/>
    <w:rsid w:val="49964EEA"/>
    <w:rsid w:val="49997A26"/>
    <w:rsid w:val="49A62143"/>
    <w:rsid w:val="49C36851"/>
    <w:rsid w:val="49D36A87"/>
    <w:rsid w:val="49DA72EC"/>
    <w:rsid w:val="49DE06CA"/>
    <w:rsid w:val="49EF3AEA"/>
    <w:rsid w:val="49EF5898"/>
    <w:rsid w:val="4A034605"/>
    <w:rsid w:val="4A050411"/>
    <w:rsid w:val="4A182C5B"/>
    <w:rsid w:val="4A1B40A3"/>
    <w:rsid w:val="4A301681"/>
    <w:rsid w:val="4A314103"/>
    <w:rsid w:val="4A396B13"/>
    <w:rsid w:val="4A496D91"/>
    <w:rsid w:val="4A5E4C5F"/>
    <w:rsid w:val="4A6022F2"/>
    <w:rsid w:val="4A6F3D98"/>
    <w:rsid w:val="4A8D2E6D"/>
    <w:rsid w:val="4A8F7FB7"/>
    <w:rsid w:val="4A9560CC"/>
    <w:rsid w:val="4AA04DE4"/>
    <w:rsid w:val="4AB8212E"/>
    <w:rsid w:val="4ABD14F2"/>
    <w:rsid w:val="4AC408E4"/>
    <w:rsid w:val="4ACC3E2B"/>
    <w:rsid w:val="4ADD3943"/>
    <w:rsid w:val="4AE5022F"/>
    <w:rsid w:val="4AE7656F"/>
    <w:rsid w:val="4AF313B8"/>
    <w:rsid w:val="4AFE15E2"/>
    <w:rsid w:val="4B0C4228"/>
    <w:rsid w:val="4B1B2C46"/>
    <w:rsid w:val="4B2279C7"/>
    <w:rsid w:val="4B272E10"/>
    <w:rsid w:val="4B417485"/>
    <w:rsid w:val="4B470B88"/>
    <w:rsid w:val="4B4E4840"/>
    <w:rsid w:val="4B582E12"/>
    <w:rsid w:val="4B713354"/>
    <w:rsid w:val="4B74348F"/>
    <w:rsid w:val="4B7778F3"/>
    <w:rsid w:val="4B79502C"/>
    <w:rsid w:val="4B7D6ED4"/>
    <w:rsid w:val="4BA60AB1"/>
    <w:rsid w:val="4BA95231"/>
    <w:rsid w:val="4BAF1783"/>
    <w:rsid w:val="4BB078CC"/>
    <w:rsid w:val="4BB2670B"/>
    <w:rsid w:val="4BB365B5"/>
    <w:rsid w:val="4BC114B6"/>
    <w:rsid w:val="4BCB7C3F"/>
    <w:rsid w:val="4BE34546"/>
    <w:rsid w:val="4BE76F02"/>
    <w:rsid w:val="4BEB02E1"/>
    <w:rsid w:val="4BED22AB"/>
    <w:rsid w:val="4BF37AF5"/>
    <w:rsid w:val="4BF60521"/>
    <w:rsid w:val="4BF74ED8"/>
    <w:rsid w:val="4BF94C2F"/>
    <w:rsid w:val="4C0C0983"/>
    <w:rsid w:val="4C0E7ECE"/>
    <w:rsid w:val="4C121D12"/>
    <w:rsid w:val="4C2832E3"/>
    <w:rsid w:val="4C40062D"/>
    <w:rsid w:val="4C545E87"/>
    <w:rsid w:val="4C5A0B23"/>
    <w:rsid w:val="4C6A56AA"/>
    <w:rsid w:val="4C906769"/>
    <w:rsid w:val="4C942D3E"/>
    <w:rsid w:val="4CA666C3"/>
    <w:rsid w:val="4CA80573"/>
    <w:rsid w:val="4CA961D2"/>
    <w:rsid w:val="4CB61515"/>
    <w:rsid w:val="4CBD7ED0"/>
    <w:rsid w:val="4CCA439B"/>
    <w:rsid w:val="4CD929E2"/>
    <w:rsid w:val="4CE40E7D"/>
    <w:rsid w:val="4CE74F4D"/>
    <w:rsid w:val="4CF07945"/>
    <w:rsid w:val="4D1473C4"/>
    <w:rsid w:val="4D1A2C2C"/>
    <w:rsid w:val="4D2E2B7B"/>
    <w:rsid w:val="4D346504"/>
    <w:rsid w:val="4D3B0DF4"/>
    <w:rsid w:val="4D61085B"/>
    <w:rsid w:val="4D882DB8"/>
    <w:rsid w:val="4DB35167"/>
    <w:rsid w:val="4DDF102B"/>
    <w:rsid w:val="4DE33966"/>
    <w:rsid w:val="4DE96C85"/>
    <w:rsid w:val="4DEB6377"/>
    <w:rsid w:val="4E077171"/>
    <w:rsid w:val="4E1844A1"/>
    <w:rsid w:val="4E376C89"/>
    <w:rsid w:val="4E4179C0"/>
    <w:rsid w:val="4E4468A4"/>
    <w:rsid w:val="4E5B75AC"/>
    <w:rsid w:val="4E5E1120"/>
    <w:rsid w:val="4E5E5A81"/>
    <w:rsid w:val="4E6B6CEB"/>
    <w:rsid w:val="4E847155"/>
    <w:rsid w:val="4E9208C3"/>
    <w:rsid w:val="4EA62829"/>
    <w:rsid w:val="4ED35F6C"/>
    <w:rsid w:val="4ED46B7B"/>
    <w:rsid w:val="4ED60DD5"/>
    <w:rsid w:val="4EDE6657"/>
    <w:rsid w:val="4EE22FDD"/>
    <w:rsid w:val="4EF250B9"/>
    <w:rsid w:val="4EFB6C2C"/>
    <w:rsid w:val="4EFE20DA"/>
    <w:rsid w:val="4F082F58"/>
    <w:rsid w:val="4F0A0AD1"/>
    <w:rsid w:val="4F0C76FA"/>
    <w:rsid w:val="4F165675"/>
    <w:rsid w:val="4F212F50"/>
    <w:rsid w:val="4F226DC8"/>
    <w:rsid w:val="4F234ACC"/>
    <w:rsid w:val="4F2A7373"/>
    <w:rsid w:val="4F3B36A9"/>
    <w:rsid w:val="4F3E697A"/>
    <w:rsid w:val="4F493C9D"/>
    <w:rsid w:val="4F5C1026"/>
    <w:rsid w:val="4F5E53C7"/>
    <w:rsid w:val="4F6351A5"/>
    <w:rsid w:val="4F7702AB"/>
    <w:rsid w:val="4F7EFCB4"/>
    <w:rsid w:val="4F7F44DF"/>
    <w:rsid w:val="4F854876"/>
    <w:rsid w:val="4F912F4E"/>
    <w:rsid w:val="4FA71C3F"/>
    <w:rsid w:val="4FAE5BAC"/>
    <w:rsid w:val="4FB01626"/>
    <w:rsid w:val="4FB11910"/>
    <w:rsid w:val="4FB84E80"/>
    <w:rsid w:val="4FB854F8"/>
    <w:rsid w:val="4FBA3692"/>
    <w:rsid w:val="4FDC1ACA"/>
    <w:rsid w:val="4FE985C7"/>
    <w:rsid w:val="500C08AC"/>
    <w:rsid w:val="500E56FC"/>
    <w:rsid w:val="501C6CBB"/>
    <w:rsid w:val="501F0559"/>
    <w:rsid w:val="502703FE"/>
    <w:rsid w:val="502768E9"/>
    <w:rsid w:val="505C668F"/>
    <w:rsid w:val="50601F36"/>
    <w:rsid w:val="507329BF"/>
    <w:rsid w:val="507E7976"/>
    <w:rsid w:val="50811214"/>
    <w:rsid w:val="50964CC0"/>
    <w:rsid w:val="50966A6E"/>
    <w:rsid w:val="50AB003F"/>
    <w:rsid w:val="50B36711"/>
    <w:rsid w:val="50CF4561"/>
    <w:rsid w:val="50D25854"/>
    <w:rsid w:val="50D852D8"/>
    <w:rsid w:val="50FE0AB7"/>
    <w:rsid w:val="51042AC7"/>
    <w:rsid w:val="51085492"/>
    <w:rsid w:val="510A525F"/>
    <w:rsid w:val="512978E2"/>
    <w:rsid w:val="51346847"/>
    <w:rsid w:val="51475669"/>
    <w:rsid w:val="515D758B"/>
    <w:rsid w:val="5161537B"/>
    <w:rsid w:val="51655FC2"/>
    <w:rsid w:val="516A5418"/>
    <w:rsid w:val="516C5CF7"/>
    <w:rsid w:val="517174DB"/>
    <w:rsid w:val="517B1124"/>
    <w:rsid w:val="51866C59"/>
    <w:rsid w:val="51867B3E"/>
    <w:rsid w:val="51987112"/>
    <w:rsid w:val="519D3E2C"/>
    <w:rsid w:val="519D660F"/>
    <w:rsid w:val="51A56BA3"/>
    <w:rsid w:val="51A575B0"/>
    <w:rsid w:val="51C25FE7"/>
    <w:rsid w:val="51C969CF"/>
    <w:rsid w:val="51D33CF1"/>
    <w:rsid w:val="51FF4AE6"/>
    <w:rsid w:val="51FF6894"/>
    <w:rsid w:val="520677CB"/>
    <w:rsid w:val="520774F7"/>
    <w:rsid w:val="520C5A74"/>
    <w:rsid w:val="52555BF0"/>
    <w:rsid w:val="525564B4"/>
    <w:rsid w:val="525B75EF"/>
    <w:rsid w:val="526341EB"/>
    <w:rsid w:val="52666914"/>
    <w:rsid w:val="5267529D"/>
    <w:rsid w:val="5272350A"/>
    <w:rsid w:val="52732285"/>
    <w:rsid w:val="52741F4D"/>
    <w:rsid w:val="52902DFA"/>
    <w:rsid w:val="529B480F"/>
    <w:rsid w:val="52CC1C82"/>
    <w:rsid w:val="52DB2E5E"/>
    <w:rsid w:val="52DC2732"/>
    <w:rsid w:val="530E3233"/>
    <w:rsid w:val="53135B7C"/>
    <w:rsid w:val="5314011E"/>
    <w:rsid w:val="53146A66"/>
    <w:rsid w:val="531C0F71"/>
    <w:rsid w:val="53360094"/>
    <w:rsid w:val="5339302E"/>
    <w:rsid w:val="53490BB0"/>
    <w:rsid w:val="534F55FA"/>
    <w:rsid w:val="535521B1"/>
    <w:rsid w:val="536B200F"/>
    <w:rsid w:val="536B319B"/>
    <w:rsid w:val="536E11E4"/>
    <w:rsid w:val="53755060"/>
    <w:rsid w:val="537D2167"/>
    <w:rsid w:val="53A6051D"/>
    <w:rsid w:val="53AF2171"/>
    <w:rsid w:val="53B37937"/>
    <w:rsid w:val="53B60FA0"/>
    <w:rsid w:val="53B611D5"/>
    <w:rsid w:val="53B92BD0"/>
    <w:rsid w:val="53C27B7A"/>
    <w:rsid w:val="53C300EE"/>
    <w:rsid w:val="53D0016A"/>
    <w:rsid w:val="53E61F03"/>
    <w:rsid w:val="53E81EA7"/>
    <w:rsid w:val="53ED0769"/>
    <w:rsid w:val="53FB0263"/>
    <w:rsid w:val="5406215C"/>
    <w:rsid w:val="5429289E"/>
    <w:rsid w:val="542E6C2A"/>
    <w:rsid w:val="54413194"/>
    <w:rsid w:val="546315F6"/>
    <w:rsid w:val="54640C31"/>
    <w:rsid w:val="547215A0"/>
    <w:rsid w:val="547C0308"/>
    <w:rsid w:val="549C03CB"/>
    <w:rsid w:val="54A71B6F"/>
    <w:rsid w:val="54BE47E5"/>
    <w:rsid w:val="54BE5581"/>
    <w:rsid w:val="54C3413E"/>
    <w:rsid w:val="54C343AC"/>
    <w:rsid w:val="54E202BD"/>
    <w:rsid w:val="54E3424B"/>
    <w:rsid w:val="54E67898"/>
    <w:rsid w:val="54FA66E5"/>
    <w:rsid w:val="5507618C"/>
    <w:rsid w:val="550C37A2"/>
    <w:rsid w:val="55120B89"/>
    <w:rsid w:val="55124B31"/>
    <w:rsid w:val="55195ED1"/>
    <w:rsid w:val="55356592"/>
    <w:rsid w:val="5536081F"/>
    <w:rsid w:val="55363B79"/>
    <w:rsid w:val="553757FC"/>
    <w:rsid w:val="553920BD"/>
    <w:rsid w:val="553B086B"/>
    <w:rsid w:val="55523CC0"/>
    <w:rsid w:val="55561A9C"/>
    <w:rsid w:val="55683C90"/>
    <w:rsid w:val="55690BF5"/>
    <w:rsid w:val="556E259A"/>
    <w:rsid w:val="55807CEC"/>
    <w:rsid w:val="5587547F"/>
    <w:rsid w:val="55886BA1"/>
    <w:rsid w:val="55893CEF"/>
    <w:rsid w:val="55A0038E"/>
    <w:rsid w:val="55A531BA"/>
    <w:rsid w:val="55AD7ACE"/>
    <w:rsid w:val="55B00149"/>
    <w:rsid w:val="55CC3275"/>
    <w:rsid w:val="55D37310"/>
    <w:rsid w:val="55E4027B"/>
    <w:rsid w:val="55F12998"/>
    <w:rsid w:val="55F85AD5"/>
    <w:rsid w:val="56102E1E"/>
    <w:rsid w:val="56113BC9"/>
    <w:rsid w:val="561F12B3"/>
    <w:rsid w:val="562C774E"/>
    <w:rsid w:val="56323B98"/>
    <w:rsid w:val="563A60ED"/>
    <w:rsid w:val="563F6BD5"/>
    <w:rsid w:val="56466E93"/>
    <w:rsid w:val="56567054"/>
    <w:rsid w:val="565E627F"/>
    <w:rsid w:val="56621F53"/>
    <w:rsid w:val="56625644"/>
    <w:rsid w:val="566500E3"/>
    <w:rsid w:val="566D4FAA"/>
    <w:rsid w:val="566D64C3"/>
    <w:rsid w:val="5677F382"/>
    <w:rsid w:val="568052DE"/>
    <w:rsid w:val="568245C0"/>
    <w:rsid w:val="56867584"/>
    <w:rsid w:val="56AC60A3"/>
    <w:rsid w:val="56AD68BF"/>
    <w:rsid w:val="56AF6ADB"/>
    <w:rsid w:val="56B2576C"/>
    <w:rsid w:val="56B9194B"/>
    <w:rsid w:val="56C33BDD"/>
    <w:rsid w:val="56C553EB"/>
    <w:rsid w:val="56CD6678"/>
    <w:rsid w:val="56DA167E"/>
    <w:rsid w:val="56E40324"/>
    <w:rsid w:val="56EFBCE7"/>
    <w:rsid w:val="56F269C8"/>
    <w:rsid w:val="56F79C35"/>
    <w:rsid w:val="56FF5614"/>
    <w:rsid w:val="571006E4"/>
    <w:rsid w:val="57191362"/>
    <w:rsid w:val="57785D2A"/>
    <w:rsid w:val="579F5351"/>
    <w:rsid w:val="57AA1051"/>
    <w:rsid w:val="57D32355"/>
    <w:rsid w:val="57E502DB"/>
    <w:rsid w:val="581B1F4E"/>
    <w:rsid w:val="581F559B"/>
    <w:rsid w:val="583D01CF"/>
    <w:rsid w:val="5844151B"/>
    <w:rsid w:val="586475A6"/>
    <w:rsid w:val="5866141B"/>
    <w:rsid w:val="58810003"/>
    <w:rsid w:val="588A3598"/>
    <w:rsid w:val="58C61EBA"/>
    <w:rsid w:val="58C63C68"/>
    <w:rsid w:val="58D50A2B"/>
    <w:rsid w:val="58DE5456"/>
    <w:rsid w:val="58E56A80"/>
    <w:rsid w:val="58EB36CF"/>
    <w:rsid w:val="58EC0D07"/>
    <w:rsid w:val="58F702C5"/>
    <w:rsid w:val="58FA1B64"/>
    <w:rsid w:val="59034EBC"/>
    <w:rsid w:val="591A2160"/>
    <w:rsid w:val="591B07B9"/>
    <w:rsid w:val="5928031A"/>
    <w:rsid w:val="59367040"/>
    <w:rsid w:val="593F501F"/>
    <w:rsid w:val="59401C6C"/>
    <w:rsid w:val="59487733"/>
    <w:rsid w:val="594B23BF"/>
    <w:rsid w:val="59524CDB"/>
    <w:rsid w:val="596949DD"/>
    <w:rsid w:val="59707498"/>
    <w:rsid w:val="597F1167"/>
    <w:rsid w:val="59AC3549"/>
    <w:rsid w:val="59BD3A9E"/>
    <w:rsid w:val="59C363FA"/>
    <w:rsid w:val="59C74AA1"/>
    <w:rsid w:val="59D66164"/>
    <w:rsid w:val="59E25784"/>
    <w:rsid w:val="59E60318"/>
    <w:rsid w:val="59F111B9"/>
    <w:rsid w:val="5A0013FC"/>
    <w:rsid w:val="5A096502"/>
    <w:rsid w:val="5A407A4A"/>
    <w:rsid w:val="5A4E09B0"/>
    <w:rsid w:val="5A56B2A4"/>
    <w:rsid w:val="5A6A4308"/>
    <w:rsid w:val="5A736072"/>
    <w:rsid w:val="5A7B0A82"/>
    <w:rsid w:val="5A876EE7"/>
    <w:rsid w:val="5A8E633F"/>
    <w:rsid w:val="5A975B2D"/>
    <w:rsid w:val="5AA13369"/>
    <w:rsid w:val="5AA44386"/>
    <w:rsid w:val="5AA94A6E"/>
    <w:rsid w:val="5AB05047"/>
    <w:rsid w:val="5AB10D5E"/>
    <w:rsid w:val="5ABA15AB"/>
    <w:rsid w:val="5AE26D53"/>
    <w:rsid w:val="5AE34FA5"/>
    <w:rsid w:val="5AE723C6"/>
    <w:rsid w:val="5AEA041D"/>
    <w:rsid w:val="5AED3131"/>
    <w:rsid w:val="5AF01470"/>
    <w:rsid w:val="5B116199"/>
    <w:rsid w:val="5B176FD5"/>
    <w:rsid w:val="5B1834F7"/>
    <w:rsid w:val="5B264E92"/>
    <w:rsid w:val="5B2F7039"/>
    <w:rsid w:val="5B3F76D1"/>
    <w:rsid w:val="5B500161"/>
    <w:rsid w:val="5B505E97"/>
    <w:rsid w:val="5B985858"/>
    <w:rsid w:val="5BD743DE"/>
    <w:rsid w:val="5BE10428"/>
    <w:rsid w:val="5BF07EDE"/>
    <w:rsid w:val="5BF24C58"/>
    <w:rsid w:val="5BF60D08"/>
    <w:rsid w:val="5C0C052C"/>
    <w:rsid w:val="5C237623"/>
    <w:rsid w:val="5C2631A6"/>
    <w:rsid w:val="5C2740AC"/>
    <w:rsid w:val="5C276FB7"/>
    <w:rsid w:val="5C4D4754"/>
    <w:rsid w:val="5C4E644E"/>
    <w:rsid w:val="5C5C78A5"/>
    <w:rsid w:val="5C614DF7"/>
    <w:rsid w:val="5C6F429B"/>
    <w:rsid w:val="5C700ABB"/>
    <w:rsid w:val="5C7D6D34"/>
    <w:rsid w:val="5C966047"/>
    <w:rsid w:val="5C9C6B0B"/>
    <w:rsid w:val="5C9D3DA7"/>
    <w:rsid w:val="5CA249EC"/>
    <w:rsid w:val="5CA644DC"/>
    <w:rsid w:val="5CA7449A"/>
    <w:rsid w:val="5CB31B05"/>
    <w:rsid w:val="5CB9526D"/>
    <w:rsid w:val="5CBD35D4"/>
    <w:rsid w:val="5CC44962"/>
    <w:rsid w:val="5CC81D5B"/>
    <w:rsid w:val="5CCE6402"/>
    <w:rsid w:val="5CCE7ECF"/>
    <w:rsid w:val="5CDC6150"/>
    <w:rsid w:val="5CEC486A"/>
    <w:rsid w:val="5D071D68"/>
    <w:rsid w:val="5D131446"/>
    <w:rsid w:val="5D17158A"/>
    <w:rsid w:val="5D192F00"/>
    <w:rsid w:val="5D1A517B"/>
    <w:rsid w:val="5D1D4002"/>
    <w:rsid w:val="5D4476A0"/>
    <w:rsid w:val="5D605600"/>
    <w:rsid w:val="5D635829"/>
    <w:rsid w:val="5D6D3B91"/>
    <w:rsid w:val="5D801B4F"/>
    <w:rsid w:val="5DA9371D"/>
    <w:rsid w:val="5DB03139"/>
    <w:rsid w:val="5DB94316"/>
    <w:rsid w:val="5DBB5D65"/>
    <w:rsid w:val="5DBC1009"/>
    <w:rsid w:val="5DD230AF"/>
    <w:rsid w:val="5DE13D96"/>
    <w:rsid w:val="5DE80B25"/>
    <w:rsid w:val="5DEA6951"/>
    <w:rsid w:val="5DFC408A"/>
    <w:rsid w:val="5E162F9C"/>
    <w:rsid w:val="5E316028"/>
    <w:rsid w:val="5E343D6A"/>
    <w:rsid w:val="5E436EA1"/>
    <w:rsid w:val="5E473A9D"/>
    <w:rsid w:val="5E5426EE"/>
    <w:rsid w:val="5E6737F7"/>
    <w:rsid w:val="5E6B6806"/>
    <w:rsid w:val="5E6E5F24"/>
    <w:rsid w:val="5E9C4600"/>
    <w:rsid w:val="5EA06D09"/>
    <w:rsid w:val="5EAA5DDA"/>
    <w:rsid w:val="5EAB4A36"/>
    <w:rsid w:val="5EAC3900"/>
    <w:rsid w:val="5EAF0CFE"/>
    <w:rsid w:val="5EB21B8E"/>
    <w:rsid w:val="5EB729BA"/>
    <w:rsid w:val="5EEC0726"/>
    <w:rsid w:val="5EF07C91"/>
    <w:rsid w:val="5EFB2E92"/>
    <w:rsid w:val="5F105C3D"/>
    <w:rsid w:val="5F132FF0"/>
    <w:rsid w:val="5F1A6ABC"/>
    <w:rsid w:val="5F1E0A25"/>
    <w:rsid w:val="5F272D1C"/>
    <w:rsid w:val="5F2A371A"/>
    <w:rsid w:val="5F335DCF"/>
    <w:rsid w:val="5F337B7D"/>
    <w:rsid w:val="5F544336"/>
    <w:rsid w:val="5F5572F2"/>
    <w:rsid w:val="5F6103B4"/>
    <w:rsid w:val="5F6661A5"/>
    <w:rsid w:val="5F6CADD2"/>
    <w:rsid w:val="5F710660"/>
    <w:rsid w:val="5F820FCF"/>
    <w:rsid w:val="5FBD0C74"/>
    <w:rsid w:val="5FCA3AC6"/>
    <w:rsid w:val="5FD01870"/>
    <w:rsid w:val="5FE77D07"/>
    <w:rsid w:val="5FEFCB6A"/>
    <w:rsid w:val="5FF90DC7"/>
    <w:rsid w:val="60043CF7"/>
    <w:rsid w:val="60152F95"/>
    <w:rsid w:val="60204437"/>
    <w:rsid w:val="60211516"/>
    <w:rsid w:val="602D143E"/>
    <w:rsid w:val="60301004"/>
    <w:rsid w:val="60382473"/>
    <w:rsid w:val="603A72B2"/>
    <w:rsid w:val="603B26DF"/>
    <w:rsid w:val="603E67DA"/>
    <w:rsid w:val="604403A8"/>
    <w:rsid w:val="605E3790"/>
    <w:rsid w:val="606E0145"/>
    <w:rsid w:val="606F1089"/>
    <w:rsid w:val="607C3983"/>
    <w:rsid w:val="607E751E"/>
    <w:rsid w:val="60820DBC"/>
    <w:rsid w:val="60961758"/>
    <w:rsid w:val="609B1E7E"/>
    <w:rsid w:val="60CA5C5B"/>
    <w:rsid w:val="60E45417"/>
    <w:rsid w:val="60F87F99"/>
    <w:rsid w:val="61161505"/>
    <w:rsid w:val="613227E3"/>
    <w:rsid w:val="61333E65"/>
    <w:rsid w:val="613876CD"/>
    <w:rsid w:val="613E7BD6"/>
    <w:rsid w:val="614C5210"/>
    <w:rsid w:val="616404C2"/>
    <w:rsid w:val="616A6E87"/>
    <w:rsid w:val="618F2C11"/>
    <w:rsid w:val="61936344"/>
    <w:rsid w:val="619E1C26"/>
    <w:rsid w:val="61C97E28"/>
    <w:rsid w:val="61D3163F"/>
    <w:rsid w:val="61D94A0C"/>
    <w:rsid w:val="61E45BE1"/>
    <w:rsid w:val="61EF2482"/>
    <w:rsid w:val="61F25ACE"/>
    <w:rsid w:val="61FC06FB"/>
    <w:rsid w:val="6201191B"/>
    <w:rsid w:val="62052C58"/>
    <w:rsid w:val="620E7C5F"/>
    <w:rsid w:val="62136500"/>
    <w:rsid w:val="62143C96"/>
    <w:rsid w:val="621440AF"/>
    <w:rsid w:val="62161BC7"/>
    <w:rsid w:val="623B56C7"/>
    <w:rsid w:val="62403290"/>
    <w:rsid w:val="624F2F20"/>
    <w:rsid w:val="627209BD"/>
    <w:rsid w:val="627A1670"/>
    <w:rsid w:val="62944DD7"/>
    <w:rsid w:val="62966DA1"/>
    <w:rsid w:val="62991FE0"/>
    <w:rsid w:val="62AF39BF"/>
    <w:rsid w:val="62BD4C1D"/>
    <w:rsid w:val="62C162DF"/>
    <w:rsid w:val="62C31218"/>
    <w:rsid w:val="62C52604"/>
    <w:rsid w:val="62C54F90"/>
    <w:rsid w:val="62F56060"/>
    <w:rsid w:val="630E2E70"/>
    <w:rsid w:val="633F11E7"/>
    <w:rsid w:val="6341070D"/>
    <w:rsid w:val="63493E13"/>
    <w:rsid w:val="634C56B2"/>
    <w:rsid w:val="635D78BF"/>
    <w:rsid w:val="63770981"/>
    <w:rsid w:val="637901FC"/>
    <w:rsid w:val="638304BF"/>
    <w:rsid w:val="63882ED5"/>
    <w:rsid w:val="638C3E3F"/>
    <w:rsid w:val="63A075C4"/>
    <w:rsid w:val="63A53E53"/>
    <w:rsid w:val="63A92582"/>
    <w:rsid w:val="63BB361B"/>
    <w:rsid w:val="63C27722"/>
    <w:rsid w:val="63C52A41"/>
    <w:rsid w:val="63CA33E7"/>
    <w:rsid w:val="63D20A4A"/>
    <w:rsid w:val="63DD455C"/>
    <w:rsid w:val="63E40472"/>
    <w:rsid w:val="63EE0517"/>
    <w:rsid w:val="642C2FFF"/>
    <w:rsid w:val="64427DEE"/>
    <w:rsid w:val="644B139F"/>
    <w:rsid w:val="644E24FB"/>
    <w:rsid w:val="644F5459"/>
    <w:rsid w:val="64653612"/>
    <w:rsid w:val="64760C38"/>
    <w:rsid w:val="64793B97"/>
    <w:rsid w:val="649176F3"/>
    <w:rsid w:val="64C64FF0"/>
    <w:rsid w:val="64E421D7"/>
    <w:rsid w:val="64E536C8"/>
    <w:rsid w:val="64EF27FA"/>
    <w:rsid w:val="64FF0793"/>
    <w:rsid w:val="65000502"/>
    <w:rsid w:val="651A6FFA"/>
    <w:rsid w:val="653603C7"/>
    <w:rsid w:val="654900FB"/>
    <w:rsid w:val="65662D40"/>
    <w:rsid w:val="657611B4"/>
    <w:rsid w:val="658E3D60"/>
    <w:rsid w:val="65905D2A"/>
    <w:rsid w:val="65975ABE"/>
    <w:rsid w:val="65980C88"/>
    <w:rsid w:val="659A31F0"/>
    <w:rsid w:val="65E358B9"/>
    <w:rsid w:val="65FC3B45"/>
    <w:rsid w:val="65FE0EE5"/>
    <w:rsid w:val="66094559"/>
    <w:rsid w:val="660B1854"/>
    <w:rsid w:val="662B1179"/>
    <w:rsid w:val="66486604"/>
    <w:rsid w:val="66490BF1"/>
    <w:rsid w:val="664D59C9"/>
    <w:rsid w:val="665065E3"/>
    <w:rsid w:val="66542793"/>
    <w:rsid w:val="6677416F"/>
    <w:rsid w:val="667E2026"/>
    <w:rsid w:val="66903B07"/>
    <w:rsid w:val="66A5036A"/>
    <w:rsid w:val="66AD6C48"/>
    <w:rsid w:val="66CB066F"/>
    <w:rsid w:val="66D41C46"/>
    <w:rsid w:val="66D45B3F"/>
    <w:rsid w:val="66EA3BE6"/>
    <w:rsid w:val="66FE6CC3"/>
    <w:rsid w:val="671E3D39"/>
    <w:rsid w:val="6721001D"/>
    <w:rsid w:val="67334BBF"/>
    <w:rsid w:val="6739419F"/>
    <w:rsid w:val="674768BC"/>
    <w:rsid w:val="67584625"/>
    <w:rsid w:val="67591E9E"/>
    <w:rsid w:val="67696832"/>
    <w:rsid w:val="678629DB"/>
    <w:rsid w:val="679259FF"/>
    <w:rsid w:val="679744DF"/>
    <w:rsid w:val="67980EC5"/>
    <w:rsid w:val="679F2254"/>
    <w:rsid w:val="67A413F1"/>
    <w:rsid w:val="67A45ABC"/>
    <w:rsid w:val="67B51A77"/>
    <w:rsid w:val="67C47140"/>
    <w:rsid w:val="67CF572D"/>
    <w:rsid w:val="67E4410B"/>
    <w:rsid w:val="67FA392E"/>
    <w:rsid w:val="68014955"/>
    <w:rsid w:val="68117613"/>
    <w:rsid w:val="68282344"/>
    <w:rsid w:val="682E5386"/>
    <w:rsid w:val="68354427"/>
    <w:rsid w:val="6839704A"/>
    <w:rsid w:val="684352D5"/>
    <w:rsid w:val="686F41A0"/>
    <w:rsid w:val="6873723D"/>
    <w:rsid w:val="687C5E53"/>
    <w:rsid w:val="687E455F"/>
    <w:rsid w:val="68831B76"/>
    <w:rsid w:val="689C6793"/>
    <w:rsid w:val="68B25AF9"/>
    <w:rsid w:val="68B7625C"/>
    <w:rsid w:val="68CA77A4"/>
    <w:rsid w:val="68D12617"/>
    <w:rsid w:val="68DE6DAC"/>
    <w:rsid w:val="68E7003B"/>
    <w:rsid w:val="68F14D31"/>
    <w:rsid w:val="68F16ADF"/>
    <w:rsid w:val="68F55EA4"/>
    <w:rsid w:val="68FA02C2"/>
    <w:rsid w:val="68FB170C"/>
    <w:rsid w:val="68FB795E"/>
    <w:rsid w:val="68FC7232"/>
    <w:rsid w:val="68FE744E"/>
    <w:rsid w:val="69001CCB"/>
    <w:rsid w:val="69064ECD"/>
    <w:rsid w:val="69117181"/>
    <w:rsid w:val="691705A4"/>
    <w:rsid w:val="69180510"/>
    <w:rsid w:val="691B590A"/>
    <w:rsid w:val="692D4B35"/>
    <w:rsid w:val="69344C1E"/>
    <w:rsid w:val="6944742F"/>
    <w:rsid w:val="694F07A9"/>
    <w:rsid w:val="69613711"/>
    <w:rsid w:val="696C6E31"/>
    <w:rsid w:val="69746CC5"/>
    <w:rsid w:val="699A38B2"/>
    <w:rsid w:val="69B018C1"/>
    <w:rsid w:val="69C2047C"/>
    <w:rsid w:val="69DA3A17"/>
    <w:rsid w:val="69F85C4B"/>
    <w:rsid w:val="69FF1A78"/>
    <w:rsid w:val="6A010FA4"/>
    <w:rsid w:val="6A22006E"/>
    <w:rsid w:val="6A2A7525"/>
    <w:rsid w:val="6A436FC0"/>
    <w:rsid w:val="6A446A13"/>
    <w:rsid w:val="6A4E6E83"/>
    <w:rsid w:val="6A5F4F63"/>
    <w:rsid w:val="6A5F748C"/>
    <w:rsid w:val="6A745963"/>
    <w:rsid w:val="6A7C062B"/>
    <w:rsid w:val="6A841D70"/>
    <w:rsid w:val="6A850FAD"/>
    <w:rsid w:val="6A933BC6"/>
    <w:rsid w:val="6ADC37BF"/>
    <w:rsid w:val="6AE85CC0"/>
    <w:rsid w:val="6AF61265"/>
    <w:rsid w:val="6B083125"/>
    <w:rsid w:val="6B0A032C"/>
    <w:rsid w:val="6B0A3E88"/>
    <w:rsid w:val="6B0B007F"/>
    <w:rsid w:val="6B122D3D"/>
    <w:rsid w:val="6B1271E1"/>
    <w:rsid w:val="6B297183"/>
    <w:rsid w:val="6B8A321B"/>
    <w:rsid w:val="6BA53BB1"/>
    <w:rsid w:val="6BA66FDA"/>
    <w:rsid w:val="6BB549C4"/>
    <w:rsid w:val="6BB6110A"/>
    <w:rsid w:val="6BBA12EE"/>
    <w:rsid w:val="6BC57F00"/>
    <w:rsid w:val="6BC97EFC"/>
    <w:rsid w:val="6BCA6420"/>
    <w:rsid w:val="6BE26BB3"/>
    <w:rsid w:val="6BE741CA"/>
    <w:rsid w:val="6BEC4DD2"/>
    <w:rsid w:val="6C0C1E82"/>
    <w:rsid w:val="6C134FBF"/>
    <w:rsid w:val="6C1C3133"/>
    <w:rsid w:val="6C330ED2"/>
    <w:rsid w:val="6C3527D4"/>
    <w:rsid w:val="6C5B0466"/>
    <w:rsid w:val="6C643B3D"/>
    <w:rsid w:val="6C674CA3"/>
    <w:rsid w:val="6C7C7008"/>
    <w:rsid w:val="6C845EBC"/>
    <w:rsid w:val="6C847C6A"/>
    <w:rsid w:val="6C855934"/>
    <w:rsid w:val="6CA9147F"/>
    <w:rsid w:val="6CB85337"/>
    <w:rsid w:val="6CC369E5"/>
    <w:rsid w:val="6CC47E5A"/>
    <w:rsid w:val="6CD26C28"/>
    <w:rsid w:val="6CD96208"/>
    <w:rsid w:val="6CDE737B"/>
    <w:rsid w:val="6CED272F"/>
    <w:rsid w:val="6CF13C81"/>
    <w:rsid w:val="6CFE7A1D"/>
    <w:rsid w:val="6D055865"/>
    <w:rsid w:val="6D082649"/>
    <w:rsid w:val="6D152C7A"/>
    <w:rsid w:val="6D196605"/>
    <w:rsid w:val="6D1D512E"/>
    <w:rsid w:val="6D2154B9"/>
    <w:rsid w:val="6D3276C6"/>
    <w:rsid w:val="6D3708FB"/>
    <w:rsid w:val="6D3E250F"/>
    <w:rsid w:val="6D401DE3"/>
    <w:rsid w:val="6D5835D1"/>
    <w:rsid w:val="6D5C5AB8"/>
    <w:rsid w:val="6D632B13"/>
    <w:rsid w:val="6D7F40AB"/>
    <w:rsid w:val="6D8A305E"/>
    <w:rsid w:val="6D8C6AB1"/>
    <w:rsid w:val="6D8D2B4F"/>
    <w:rsid w:val="6D9050BE"/>
    <w:rsid w:val="6D964261"/>
    <w:rsid w:val="6DB36A59"/>
    <w:rsid w:val="6DB41A6A"/>
    <w:rsid w:val="6DC63DA8"/>
    <w:rsid w:val="6DD75C35"/>
    <w:rsid w:val="6DEA7FA1"/>
    <w:rsid w:val="6E0E0133"/>
    <w:rsid w:val="6E11327E"/>
    <w:rsid w:val="6E386F5E"/>
    <w:rsid w:val="6E4A456A"/>
    <w:rsid w:val="6E4E0530"/>
    <w:rsid w:val="6E5518BE"/>
    <w:rsid w:val="6E777A87"/>
    <w:rsid w:val="6E8333A7"/>
    <w:rsid w:val="6E9835C9"/>
    <w:rsid w:val="6E9A4D7A"/>
    <w:rsid w:val="6E9B56B7"/>
    <w:rsid w:val="6E9D0F19"/>
    <w:rsid w:val="6EA13F6B"/>
    <w:rsid w:val="6EB81E4D"/>
    <w:rsid w:val="6ED94E10"/>
    <w:rsid w:val="6EE71039"/>
    <w:rsid w:val="6EEA46FD"/>
    <w:rsid w:val="6F101C89"/>
    <w:rsid w:val="6F152D9A"/>
    <w:rsid w:val="6F3C2A7E"/>
    <w:rsid w:val="6F5B1846"/>
    <w:rsid w:val="6F600666"/>
    <w:rsid w:val="6F6766E2"/>
    <w:rsid w:val="6F692830"/>
    <w:rsid w:val="6F7F3C85"/>
    <w:rsid w:val="6F852BA1"/>
    <w:rsid w:val="6F87083E"/>
    <w:rsid w:val="6FA526CF"/>
    <w:rsid w:val="6FA64098"/>
    <w:rsid w:val="6FB865A9"/>
    <w:rsid w:val="6FD107B4"/>
    <w:rsid w:val="6FE4739E"/>
    <w:rsid w:val="6FEF5D43"/>
    <w:rsid w:val="6FF3138F"/>
    <w:rsid w:val="6FFA135B"/>
    <w:rsid w:val="6FFF7C0E"/>
    <w:rsid w:val="700D06A2"/>
    <w:rsid w:val="70311EB7"/>
    <w:rsid w:val="70357BF9"/>
    <w:rsid w:val="70384FF4"/>
    <w:rsid w:val="7049709F"/>
    <w:rsid w:val="704C4F43"/>
    <w:rsid w:val="70607750"/>
    <w:rsid w:val="706B361B"/>
    <w:rsid w:val="7073599E"/>
    <w:rsid w:val="70736AC3"/>
    <w:rsid w:val="707515C1"/>
    <w:rsid w:val="707FDCA3"/>
    <w:rsid w:val="70865C9C"/>
    <w:rsid w:val="708A4D58"/>
    <w:rsid w:val="708F6BDE"/>
    <w:rsid w:val="70A37239"/>
    <w:rsid w:val="70A42689"/>
    <w:rsid w:val="70AE6A31"/>
    <w:rsid w:val="70B52AE8"/>
    <w:rsid w:val="70C5742E"/>
    <w:rsid w:val="70CB04E6"/>
    <w:rsid w:val="70D27294"/>
    <w:rsid w:val="71286E22"/>
    <w:rsid w:val="71431EA2"/>
    <w:rsid w:val="7143236C"/>
    <w:rsid w:val="71434477"/>
    <w:rsid w:val="71544FA7"/>
    <w:rsid w:val="716F0EE9"/>
    <w:rsid w:val="717D5BC9"/>
    <w:rsid w:val="718F06FD"/>
    <w:rsid w:val="71A566B9"/>
    <w:rsid w:val="71B2527A"/>
    <w:rsid w:val="71CA25C3"/>
    <w:rsid w:val="71D376CA"/>
    <w:rsid w:val="71DB20DB"/>
    <w:rsid w:val="71DB657E"/>
    <w:rsid w:val="71DC5974"/>
    <w:rsid w:val="71F15DA2"/>
    <w:rsid w:val="72231699"/>
    <w:rsid w:val="722568D7"/>
    <w:rsid w:val="72273572"/>
    <w:rsid w:val="722C6DDA"/>
    <w:rsid w:val="722F7D75"/>
    <w:rsid w:val="723D0FE7"/>
    <w:rsid w:val="72552B3F"/>
    <w:rsid w:val="72583E79"/>
    <w:rsid w:val="725A654C"/>
    <w:rsid w:val="725B4947"/>
    <w:rsid w:val="72602357"/>
    <w:rsid w:val="727F7783"/>
    <w:rsid w:val="72872262"/>
    <w:rsid w:val="728A3B01"/>
    <w:rsid w:val="72C45265"/>
    <w:rsid w:val="72D134DE"/>
    <w:rsid w:val="72D60AF4"/>
    <w:rsid w:val="72DD425C"/>
    <w:rsid w:val="72EB459F"/>
    <w:rsid w:val="72F85FEB"/>
    <w:rsid w:val="73013DC3"/>
    <w:rsid w:val="73153BB6"/>
    <w:rsid w:val="731C29AB"/>
    <w:rsid w:val="731E31D8"/>
    <w:rsid w:val="73243F55"/>
    <w:rsid w:val="73305DFD"/>
    <w:rsid w:val="734D5117"/>
    <w:rsid w:val="734F61F6"/>
    <w:rsid w:val="735E0EFB"/>
    <w:rsid w:val="735F61C1"/>
    <w:rsid w:val="7365121C"/>
    <w:rsid w:val="736B508C"/>
    <w:rsid w:val="737547B1"/>
    <w:rsid w:val="737650A4"/>
    <w:rsid w:val="738531BD"/>
    <w:rsid w:val="738A2DD7"/>
    <w:rsid w:val="73905147"/>
    <w:rsid w:val="73915B78"/>
    <w:rsid w:val="73941CCC"/>
    <w:rsid w:val="739447BA"/>
    <w:rsid w:val="73993FFB"/>
    <w:rsid w:val="73AA26AC"/>
    <w:rsid w:val="73AC4C26"/>
    <w:rsid w:val="73AE12EC"/>
    <w:rsid w:val="73AF3118"/>
    <w:rsid w:val="73B272DC"/>
    <w:rsid w:val="73B452D9"/>
    <w:rsid w:val="73BBD34C"/>
    <w:rsid w:val="73C55CC8"/>
    <w:rsid w:val="73D46F1E"/>
    <w:rsid w:val="73D830DC"/>
    <w:rsid w:val="73F277FB"/>
    <w:rsid w:val="73F751C6"/>
    <w:rsid w:val="74035F8D"/>
    <w:rsid w:val="7416389E"/>
    <w:rsid w:val="74222C41"/>
    <w:rsid w:val="743467DF"/>
    <w:rsid w:val="74394BA4"/>
    <w:rsid w:val="743B1556"/>
    <w:rsid w:val="744213FF"/>
    <w:rsid w:val="744A1799"/>
    <w:rsid w:val="74714F78"/>
    <w:rsid w:val="74722479"/>
    <w:rsid w:val="74884070"/>
    <w:rsid w:val="7491607B"/>
    <w:rsid w:val="74962DDE"/>
    <w:rsid w:val="74B15F95"/>
    <w:rsid w:val="74B457E6"/>
    <w:rsid w:val="74DB6895"/>
    <w:rsid w:val="74DEE34C"/>
    <w:rsid w:val="74E0413E"/>
    <w:rsid w:val="74E670BC"/>
    <w:rsid w:val="74F31E31"/>
    <w:rsid w:val="74FE3011"/>
    <w:rsid w:val="74FE7FE0"/>
    <w:rsid w:val="751029E3"/>
    <w:rsid w:val="75322959"/>
    <w:rsid w:val="754B3A1B"/>
    <w:rsid w:val="755201BF"/>
    <w:rsid w:val="75521133"/>
    <w:rsid w:val="75532CC9"/>
    <w:rsid w:val="75640639"/>
    <w:rsid w:val="75672928"/>
    <w:rsid w:val="757F36C5"/>
    <w:rsid w:val="75A44F33"/>
    <w:rsid w:val="75AE7D3B"/>
    <w:rsid w:val="75B01F58"/>
    <w:rsid w:val="75B9544D"/>
    <w:rsid w:val="75BF1D13"/>
    <w:rsid w:val="75CB7DAE"/>
    <w:rsid w:val="75CE4A51"/>
    <w:rsid w:val="75D27C98"/>
    <w:rsid w:val="75DF5F11"/>
    <w:rsid w:val="75E901FC"/>
    <w:rsid w:val="75FD7964"/>
    <w:rsid w:val="75FF7042"/>
    <w:rsid w:val="7603295D"/>
    <w:rsid w:val="7607070F"/>
    <w:rsid w:val="760905A3"/>
    <w:rsid w:val="760925E8"/>
    <w:rsid w:val="76164217"/>
    <w:rsid w:val="76191423"/>
    <w:rsid w:val="76272F4D"/>
    <w:rsid w:val="7638546E"/>
    <w:rsid w:val="763C3364"/>
    <w:rsid w:val="76407334"/>
    <w:rsid w:val="76487F5B"/>
    <w:rsid w:val="764B6161"/>
    <w:rsid w:val="768F354A"/>
    <w:rsid w:val="76934ECB"/>
    <w:rsid w:val="7696746C"/>
    <w:rsid w:val="76A814B1"/>
    <w:rsid w:val="76B85B6F"/>
    <w:rsid w:val="76BD3B8F"/>
    <w:rsid w:val="76D57A40"/>
    <w:rsid w:val="76EF79DF"/>
    <w:rsid w:val="76F0340D"/>
    <w:rsid w:val="76F58E6F"/>
    <w:rsid w:val="76FD6F97"/>
    <w:rsid w:val="770164D0"/>
    <w:rsid w:val="77076AA4"/>
    <w:rsid w:val="770C0F88"/>
    <w:rsid w:val="77107490"/>
    <w:rsid w:val="771A4CBB"/>
    <w:rsid w:val="772269FE"/>
    <w:rsid w:val="77424D1F"/>
    <w:rsid w:val="7754671E"/>
    <w:rsid w:val="77597EB6"/>
    <w:rsid w:val="777233CA"/>
    <w:rsid w:val="77807586"/>
    <w:rsid w:val="77851A69"/>
    <w:rsid w:val="779C230C"/>
    <w:rsid w:val="77BC650A"/>
    <w:rsid w:val="77BD7388"/>
    <w:rsid w:val="77C11D73"/>
    <w:rsid w:val="77C61FA0"/>
    <w:rsid w:val="77CB0E43"/>
    <w:rsid w:val="77CD4BBB"/>
    <w:rsid w:val="77D17A45"/>
    <w:rsid w:val="77D744B6"/>
    <w:rsid w:val="77DA638B"/>
    <w:rsid w:val="77ED294E"/>
    <w:rsid w:val="77F543A4"/>
    <w:rsid w:val="77FE2FC7"/>
    <w:rsid w:val="7800397B"/>
    <w:rsid w:val="78055809"/>
    <w:rsid w:val="78125870"/>
    <w:rsid w:val="78267E28"/>
    <w:rsid w:val="78303C92"/>
    <w:rsid w:val="78336E8F"/>
    <w:rsid w:val="7836450F"/>
    <w:rsid w:val="783F195D"/>
    <w:rsid w:val="78454752"/>
    <w:rsid w:val="78485FF0"/>
    <w:rsid w:val="785A48DB"/>
    <w:rsid w:val="78623556"/>
    <w:rsid w:val="786728C9"/>
    <w:rsid w:val="786C7F30"/>
    <w:rsid w:val="78811502"/>
    <w:rsid w:val="788162CE"/>
    <w:rsid w:val="78827687"/>
    <w:rsid w:val="78833532"/>
    <w:rsid w:val="78867F50"/>
    <w:rsid w:val="78905C76"/>
    <w:rsid w:val="789574EF"/>
    <w:rsid w:val="78A7540C"/>
    <w:rsid w:val="78C22246"/>
    <w:rsid w:val="78E82ECC"/>
    <w:rsid w:val="78EB7C2E"/>
    <w:rsid w:val="78F74CE4"/>
    <w:rsid w:val="79061938"/>
    <w:rsid w:val="790F6B0E"/>
    <w:rsid w:val="79135078"/>
    <w:rsid w:val="79157058"/>
    <w:rsid w:val="7917664A"/>
    <w:rsid w:val="791B1604"/>
    <w:rsid w:val="79277E07"/>
    <w:rsid w:val="792D0CF6"/>
    <w:rsid w:val="793D4922"/>
    <w:rsid w:val="795471DE"/>
    <w:rsid w:val="795D5ACB"/>
    <w:rsid w:val="796B15F6"/>
    <w:rsid w:val="797362B4"/>
    <w:rsid w:val="797572B9"/>
    <w:rsid w:val="797D43BF"/>
    <w:rsid w:val="798153CC"/>
    <w:rsid w:val="79960FDD"/>
    <w:rsid w:val="799D3B64"/>
    <w:rsid w:val="79A26A4A"/>
    <w:rsid w:val="79A82AF9"/>
    <w:rsid w:val="79A90D10"/>
    <w:rsid w:val="79B0209F"/>
    <w:rsid w:val="79BF480D"/>
    <w:rsid w:val="79C67B14"/>
    <w:rsid w:val="79CE4C1B"/>
    <w:rsid w:val="79CF5E40"/>
    <w:rsid w:val="79D32B34"/>
    <w:rsid w:val="79E66321"/>
    <w:rsid w:val="7A0643B5"/>
    <w:rsid w:val="7A293F92"/>
    <w:rsid w:val="7A2F1E3C"/>
    <w:rsid w:val="7A2F7FBA"/>
    <w:rsid w:val="7A344A7E"/>
    <w:rsid w:val="7A4455AE"/>
    <w:rsid w:val="7A4D6A17"/>
    <w:rsid w:val="7A5F5873"/>
    <w:rsid w:val="7A613399"/>
    <w:rsid w:val="7A886B78"/>
    <w:rsid w:val="7A8C079F"/>
    <w:rsid w:val="7A9A7EC7"/>
    <w:rsid w:val="7AD048D5"/>
    <w:rsid w:val="7AF97A75"/>
    <w:rsid w:val="7B2C1BF9"/>
    <w:rsid w:val="7B315461"/>
    <w:rsid w:val="7B3B25D2"/>
    <w:rsid w:val="7B452056"/>
    <w:rsid w:val="7B4D23D0"/>
    <w:rsid w:val="7B5178B1"/>
    <w:rsid w:val="7B606A67"/>
    <w:rsid w:val="7B62561B"/>
    <w:rsid w:val="7B6A2721"/>
    <w:rsid w:val="7B707D38"/>
    <w:rsid w:val="7B7E4AEF"/>
    <w:rsid w:val="7B7F7F7B"/>
    <w:rsid w:val="7B9854E0"/>
    <w:rsid w:val="7B9D74A9"/>
    <w:rsid w:val="7BA615A2"/>
    <w:rsid w:val="7BAD2EC7"/>
    <w:rsid w:val="7BB8348D"/>
    <w:rsid w:val="7BBD1C97"/>
    <w:rsid w:val="7BBF715B"/>
    <w:rsid w:val="7BC23097"/>
    <w:rsid w:val="7BDE554C"/>
    <w:rsid w:val="7BDF6C6B"/>
    <w:rsid w:val="7BE14DA1"/>
    <w:rsid w:val="7BF54622"/>
    <w:rsid w:val="7BF546E1"/>
    <w:rsid w:val="7BF71835"/>
    <w:rsid w:val="7BFF585B"/>
    <w:rsid w:val="7C031C34"/>
    <w:rsid w:val="7C1459E2"/>
    <w:rsid w:val="7C1F175E"/>
    <w:rsid w:val="7C4756E9"/>
    <w:rsid w:val="7C5D696C"/>
    <w:rsid w:val="7C6F6241"/>
    <w:rsid w:val="7C7B014B"/>
    <w:rsid w:val="7C8616B1"/>
    <w:rsid w:val="7C883B40"/>
    <w:rsid w:val="7C8A5143"/>
    <w:rsid w:val="7C907F65"/>
    <w:rsid w:val="7CA0464C"/>
    <w:rsid w:val="7CA52CCA"/>
    <w:rsid w:val="7CAE2D60"/>
    <w:rsid w:val="7CBA4FE2"/>
    <w:rsid w:val="7CBB1486"/>
    <w:rsid w:val="7CCD2F68"/>
    <w:rsid w:val="7CD267D0"/>
    <w:rsid w:val="7CDFA69B"/>
    <w:rsid w:val="7CF209C2"/>
    <w:rsid w:val="7D07111F"/>
    <w:rsid w:val="7D0D15B6"/>
    <w:rsid w:val="7D171AF4"/>
    <w:rsid w:val="7D23036F"/>
    <w:rsid w:val="7D2A03BA"/>
    <w:rsid w:val="7D337C34"/>
    <w:rsid w:val="7D344D95"/>
    <w:rsid w:val="7D366D5F"/>
    <w:rsid w:val="7D382AD7"/>
    <w:rsid w:val="7D40373A"/>
    <w:rsid w:val="7D4A0A5C"/>
    <w:rsid w:val="7D580E3B"/>
    <w:rsid w:val="7D60202E"/>
    <w:rsid w:val="7D607334"/>
    <w:rsid w:val="7D7E6B8B"/>
    <w:rsid w:val="7D864FB5"/>
    <w:rsid w:val="7D9046C1"/>
    <w:rsid w:val="7DA168CE"/>
    <w:rsid w:val="7DB610ED"/>
    <w:rsid w:val="7DBFAEB0"/>
    <w:rsid w:val="7DC23DC2"/>
    <w:rsid w:val="7DCD02A0"/>
    <w:rsid w:val="7DD563A4"/>
    <w:rsid w:val="7DEB3451"/>
    <w:rsid w:val="7DF12C86"/>
    <w:rsid w:val="7DFD08B0"/>
    <w:rsid w:val="7DFF5852"/>
    <w:rsid w:val="7E144772"/>
    <w:rsid w:val="7E174A25"/>
    <w:rsid w:val="7E2748F9"/>
    <w:rsid w:val="7E3257BC"/>
    <w:rsid w:val="7E3D5ECB"/>
    <w:rsid w:val="7E4E1E86"/>
    <w:rsid w:val="7E584026"/>
    <w:rsid w:val="7E5F4093"/>
    <w:rsid w:val="7E641BD4"/>
    <w:rsid w:val="7E6B34F5"/>
    <w:rsid w:val="7E7B1E6F"/>
    <w:rsid w:val="7E7B3A3F"/>
    <w:rsid w:val="7E807A39"/>
    <w:rsid w:val="7E8B30DA"/>
    <w:rsid w:val="7E8C2368"/>
    <w:rsid w:val="7E9C6F9B"/>
    <w:rsid w:val="7EAB72D9"/>
    <w:rsid w:val="7EAF501B"/>
    <w:rsid w:val="7EB37063"/>
    <w:rsid w:val="7EBF4B32"/>
    <w:rsid w:val="7EC5039A"/>
    <w:rsid w:val="7EC562F5"/>
    <w:rsid w:val="7EC91358"/>
    <w:rsid w:val="7ED7DDCE"/>
    <w:rsid w:val="7EE610C3"/>
    <w:rsid w:val="7EEB3B79"/>
    <w:rsid w:val="7EED1546"/>
    <w:rsid w:val="7EF70770"/>
    <w:rsid w:val="7F07550C"/>
    <w:rsid w:val="7F0D1D41"/>
    <w:rsid w:val="7F141322"/>
    <w:rsid w:val="7F1453DB"/>
    <w:rsid w:val="7F1475B9"/>
    <w:rsid w:val="7F1629A4"/>
    <w:rsid w:val="7F1E1CCB"/>
    <w:rsid w:val="7F2876AC"/>
    <w:rsid w:val="7F341DFF"/>
    <w:rsid w:val="7F590AE3"/>
    <w:rsid w:val="7F5931D8"/>
    <w:rsid w:val="7F6F7026"/>
    <w:rsid w:val="7F7F184C"/>
    <w:rsid w:val="7F7FE64A"/>
    <w:rsid w:val="7F956761"/>
    <w:rsid w:val="7F9B49B0"/>
    <w:rsid w:val="7FB422C4"/>
    <w:rsid w:val="7FDC3989"/>
    <w:rsid w:val="7FEA09E2"/>
    <w:rsid w:val="7FEC1957"/>
    <w:rsid w:val="7FF37189"/>
    <w:rsid w:val="8DDC2330"/>
    <w:rsid w:val="9FBD6E3A"/>
    <w:rsid w:val="ABB51C1B"/>
    <w:rsid w:val="AFBBF067"/>
    <w:rsid w:val="B5FF2DC1"/>
    <w:rsid w:val="B7D75C42"/>
    <w:rsid w:val="B9F775B7"/>
    <w:rsid w:val="BC936312"/>
    <w:rsid w:val="BDFF1568"/>
    <w:rsid w:val="BDFFED4C"/>
    <w:rsid w:val="BEDF50DF"/>
    <w:rsid w:val="BF7F7A46"/>
    <w:rsid w:val="BFD75EF3"/>
    <w:rsid w:val="BFEA60F3"/>
    <w:rsid w:val="BFF4EE88"/>
    <w:rsid w:val="C6DF4D2C"/>
    <w:rsid w:val="CDDF8D29"/>
    <w:rsid w:val="CF7B6F3E"/>
    <w:rsid w:val="D2B781E6"/>
    <w:rsid w:val="D47FFD19"/>
    <w:rsid w:val="D6C7FF08"/>
    <w:rsid w:val="D8FF9E66"/>
    <w:rsid w:val="DB2EA37C"/>
    <w:rsid w:val="DEFAD7D8"/>
    <w:rsid w:val="DFB72C70"/>
    <w:rsid w:val="DFFA7DB7"/>
    <w:rsid w:val="E4EB1C6E"/>
    <w:rsid w:val="E75F9682"/>
    <w:rsid w:val="E7BBB46B"/>
    <w:rsid w:val="EA0B12A9"/>
    <w:rsid w:val="EBF68805"/>
    <w:rsid w:val="EEE7E7A4"/>
    <w:rsid w:val="EFF60C47"/>
    <w:rsid w:val="F1F511E9"/>
    <w:rsid w:val="F2CDE67B"/>
    <w:rsid w:val="F68F70A5"/>
    <w:rsid w:val="F7BBF211"/>
    <w:rsid w:val="F7DEF1EE"/>
    <w:rsid w:val="F7F38D57"/>
    <w:rsid w:val="F7FF55DE"/>
    <w:rsid w:val="F98567CE"/>
    <w:rsid w:val="F9BEFF0E"/>
    <w:rsid w:val="F9EFC684"/>
    <w:rsid w:val="FADDB4F8"/>
    <w:rsid w:val="FAE9CD5D"/>
    <w:rsid w:val="FB5F9FE3"/>
    <w:rsid w:val="FB692196"/>
    <w:rsid w:val="FBCF5740"/>
    <w:rsid w:val="FD7DC39C"/>
    <w:rsid w:val="FDAD4A42"/>
    <w:rsid w:val="FDEC5532"/>
    <w:rsid w:val="FDFDD994"/>
    <w:rsid w:val="FDFE196F"/>
    <w:rsid w:val="FDFFA531"/>
    <w:rsid w:val="FEBDE989"/>
    <w:rsid w:val="FEBF0BE3"/>
    <w:rsid w:val="FEF5BAD6"/>
    <w:rsid w:val="FF572B2E"/>
    <w:rsid w:val="FF7B3FA7"/>
    <w:rsid w:val="FFDF63B8"/>
    <w:rsid w:val="FFE70018"/>
    <w:rsid w:val="FFFAA7B2"/>
    <w:rsid w:val="FFFDC1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sz w:val="24"/>
    </w:rPr>
  </w:style>
  <w:style w:type="paragraph" w:styleId="6">
    <w:name w:val="Normal Indent"/>
    <w:basedOn w:val="1"/>
    <w:qFormat/>
    <w:uiPriority w:val="0"/>
    <w:pPr>
      <w:ind w:firstLine="420" w:firstLineChars="200"/>
    </w:pPr>
    <w:rPr>
      <w:szCs w:val="20"/>
    </w:rPr>
  </w:style>
  <w:style w:type="paragraph" w:styleId="7">
    <w:name w:val="annotation text"/>
    <w:basedOn w:val="1"/>
    <w:link w:val="26"/>
    <w:unhideWhenUsed/>
    <w:qFormat/>
    <w:uiPriority w:val="0"/>
    <w:pPr>
      <w:jc w:val="left"/>
    </w:pPr>
    <w:rPr>
      <w:kern w:val="0"/>
      <w:sz w:val="20"/>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qFormat/>
    <w:uiPriority w:val="0"/>
    <w:rPr>
      <w:rFonts w:ascii="宋体" w:hAnsi="Courier New"/>
    </w:rPr>
  </w:style>
  <w:style w:type="paragraph" w:styleId="10">
    <w:name w:val="Balloon Text"/>
    <w:basedOn w:val="1"/>
    <w:link w:val="27"/>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style>
  <w:style w:type="paragraph" w:styleId="14">
    <w:name w:val="toc 2"/>
    <w:basedOn w:val="1"/>
    <w:next w:val="1"/>
    <w:qFormat/>
    <w:uiPriority w:val="0"/>
    <w:pPr>
      <w:spacing w:line="600" w:lineRule="exact"/>
      <w:ind w:firstLine="880" w:firstLineChars="200"/>
    </w:pPr>
    <w:rPr>
      <w:rFonts w:eastAsia="仿宋_GB2312"/>
      <w:sz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eastAsia="隶书"/>
      <w:b/>
      <w:bCs/>
      <w:sz w:val="32"/>
      <w:szCs w:val="32"/>
    </w:rPr>
  </w:style>
  <w:style w:type="paragraph" w:styleId="17">
    <w:name w:val="annotation subject"/>
    <w:basedOn w:val="7"/>
    <w:next w:val="7"/>
    <w:link w:val="28"/>
    <w:qFormat/>
    <w:uiPriority w:val="0"/>
    <w:rPr>
      <w:b/>
      <w:bCs/>
      <w:kern w:val="2"/>
      <w:sz w:val="21"/>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FollowedHyperlink"/>
    <w:basedOn w:val="20"/>
    <w:qFormat/>
    <w:uiPriority w:val="0"/>
    <w:rPr>
      <w:color w:val="800080"/>
      <w:u w:val="none"/>
    </w:rPr>
  </w:style>
  <w:style w:type="character" w:styleId="24">
    <w:name w:val="Hyperlink"/>
    <w:basedOn w:val="20"/>
    <w:qFormat/>
    <w:uiPriority w:val="0"/>
    <w:rPr>
      <w:color w:val="0000FF"/>
      <w:u w:val="none"/>
    </w:rPr>
  </w:style>
  <w:style w:type="character" w:styleId="25">
    <w:name w:val="annotation reference"/>
    <w:basedOn w:val="20"/>
    <w:qFormat/>
    <w:uiPriority w:val="0"/>
    <w:rPr>
      <w:sz w:val="21"/>
      <w:szCs w:val="21"/>
    </w:rPr>
  </w:style>
  <w:style w:type="character" w:customStyle="1" w:styleId="26">
    <w:name w:val="批注文字 字符"/>
    <w:basedOn w:val="20"/>
    <w:link w:val="7"/>
    <w:qFormat/>
    <w:uiPriority w:val="0"/>
    <w:rPr>
      <w:szCs w:val="24"/>
    </w:rPr>
  </w:style>
  <w:style w:type="character" w:customStyle="1" w:styleId="27">
    <w:name w:val="批注框文本 字符"/>
    <w:basedOn w:val="20"/>
    <w:link w:val="10"/>
    <w:qFormat/>
    <w:uiPriority w:val="0"/>
    <w:rPr>
      <w:kern w:val="2"/>
      <w:sz w:val="18"/>
      <w:szCs w:val="18"/>
    </w:rPr>
  </w:style>
  <w:style w:type="character" w:customStyle="1" w:styleId="28">
    <w:name w:val="批注主题 字符"/>
    <w:basedOn w:val="26"/>
    <w:link w:val="17"/>
    <w:qFormat/>
    <w:uiPriority w:val="0"/>
    <w:rPr>
      <w:b/>
      <w:bCs/>
      <w:kern w:val="2"/>
      <w:sz w:val="21"/>
      <w:szCs w:val="24"/>
    </w:rPr>
  </w:style>
  <w:style w:type="paragraph" w:styleId="29">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1">
    <w:name w:val="正文格式"/>
    <w:basedOn w:val="8"/>
    <w:qFormat/>
    <w:uiPriority w:val="99"/>
    <w:pPr>
      <w:spacing w:after="0" w:line="360" w:lineRule="auto"/>
      <w:ind w:left="0" w:leftChars="0" w:firstLine="600"/>
    </w:pPr>
    <w:rPr>
      <w:rFonts w:eastAsia="仿宋_GB2312"/>
      <w:sz w:val="30"/>
      <w:szCs w:val="30"/>
    </w:rPr>
  </w:style>
  <w:style w:type="paragraph" w:customStyle="1" w:styleId="3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3">
    <w:name w:val="List Paragraph"/>
    <w:basedOn w:val="1"/>
    <w:qFormat/>
    <w:uiPriority w:val="34"/>
    <w:pPr>
      <w:ind w:firstLine="420" w:firstLineChars="200"/>
    </w:pPr>
  </w:style>
  <w:style w:type="paragraph" w:customStyle="1" w:styleId="34">
    <w:name w:val="（）列表模式"/>
    <w:basedOn w:val="1"/>
    <w:qFormat/>
    <w:uiPriority w:val="0"/>
    <w:pPr>
      <w:tabs>
        <w:tab w:val="left" w:pos="960"/>
        <w:tab w:val="left" w:pos="1470"/>
      </w:tabs>
      <w:spacing w:line="360" w:lineRule="auto"/>
      <w:ind w:left="1470" w:hanging="420"/>
    </w:pPr>
    <w:rPr>
      <w:sz w:val="24"/>
      <w:szCs w:val="20"/>
    </w:rPr>
  </w:style>
  <w:style w:type="paragraph" w:customStyle="1" w:styleId="35">
    <w:name w:val="Table Paragraph"/>
    <w:basedOn w:val="1"/>
    <w:qFormat/>
    <w:uiPriority w:val="0"/>
    <w:pPr>
      <w:autoSpaceDE w:val="0"/>
      <w:autoSpaceDN w:val="0"/>
      <w:jc w:val="left"/>
    </w:pPr>
    <w:rPr>
      <w:rFonts w:ascii="宋体" w:hAnsi="宋体" w:cs="宋体"/>
      <w:kern w:val="0"/>
      <w:sz w:val="22"/>
      <w:szCs w:val="22"/>
    </w:rPr>
  </w:style>
  <w:style w:type="paragraph" w:customStyle="1" w:styleId="36">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qowt-font5-gb2312"/>
    <w:qFormat/>
    <w:uiPriority w:val="0"/>
  </w:style>
  <w:style w:type="paragraph" w:customStyle="1" w:styleId="38">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9">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4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NormalCharacter"/>
    <w:qFormat/>
    <w:uiPriority w:val="0"/>
    <w:rPr>
      <w:kern w:val="2"/>
      <w:sz w:val="21"/>
      <w:szCs w:val="24"/>
      <w:lang w:val="en-US" w:eastAsia="zh-CN" w:bidi="ar-SA"/>
    </w:rPr>
  </w:style>
  <w:style w:type="paragraph" w:customStyle="1" w:styleId="43">
    <w:name w:val="Table Text"/>
    <w:basedOn w:val="1"/>
    <w:semiHidden/>
    <w:qFormat/>
    <w:uiPriority w:val="0"/>
    <w:rPr>
      <w:rFonts w:ascii="宋体" w:hAnsi="宋体" w:eastAsia="宋体" w:cs="宋体"/>
      <w:sz w:val="20"/>
      <w:szCs w:val="20"/>
    </w:rPr>
  </w:style>
  <w:style w:type="table" w:customStyle="1" w:styleId="44">
    <w:name w:val="Table Normal"/>
    <w:unhideWhenUsed/>
    <w:qFormat/>
    <w:uiPriority w:val="0"/>
    <w:tblPr>
      <w:tblCellMar>
        <w:top w:w="0" w:type="dxa"/>
        <w:left w:w="0" w:type="dxa"/>
        <w:bottom w:w="0" w:type="dxa"/>
        <w:right w:w="0" w:type="dxa"/>
      </w:tblCellMar>
    </w:tblPr>
  </w:style>
  <w:style w:type="paragraph" w:styleId="4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7814</Words>
  <Characters>8266</Characters>
  <Lines>356</Lines>
  <Paragraphs>100</Paragraphs>
  <TotalTime>1</TotalTime>
  <ScaleCrop>false</ScaleCrop>
  <LinksUpToDate>false</LinksUpToDate>
  <CharactersWithSpaces>8423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2023-11-16T12:59:00Z</dcterms:created>
  <dc:creator>姬崽</dc:creator>
  <cp:lastModifiedBy>黎俊</cp:lastModifiedBy>
  <cp:lastPrinted>2025-07-24T00:41:00Z</cp:lastPrinted>
  <dcterms:modified xsi:type="dcterms:W3CDTF">2025-08-13T04:25:05Z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C801E23572EB40809726A15E76B4EDDF_13</vt:lpwstr>
  </property>
  <property fmtid="{D5CDD505-2E9C-101B-9397-08002B2CF9AE}" pid="4" name="KSOTemplateDocerSaveRecord">
    <vt:lpwstr>eyJoZGlkIjoiMjg4YTgwZWNlYzllODgyY2ZiMzc5OWI4YzIzOTI0NWYiLCJ1c2VySWQiOiI1NDE3NDk4ODMifQ==</vt:lpwstr>
  </property>
</Properties>
</file>