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color w:val="auto"/>
          <w:highlight w:val="none"/>
        </w:rPr>
      </w:pPr>
    </w:p>
    <w:p>
      <w:pPr>
        <w:rPr>
          <w:color w:val="auto"/>
          <w:highlight w:val="none"/>
        </w:rPr>
      </w:pPr>
    </w:p>
    <w:p>
      <w:pPr>
        <w:rPr>
          <w:color w:val="auto"/>
          <w:highlight w:val="none"/>
        </w:rPr>
      </w:pPr>
    </w:p>
    <w:p>
      <w:pPr>
        <w:jc w:val="center"/>
        <w:rPr>
          <w:rFonts w:hint="eastAsia" w:ascii="宋体" w:hAnsi="宋体" w:cs="宋体"/>
          <w:b/>
          <w:color w:val="auto"/>
          <w:sz w:val="72"/>
          <w:szCs w:val="72"/>
          <w:highlight w:val="none"/>
        </w:rPr>
      </w:pPr>
      <w:r>
        <w:rPr>
          <w:rFonts w:hint="eastAsia" w:ascii="宋体" w:hAnsi="宋体" w:cs="宋体"/>
          <w:b/>
          <w:color w:val="auto"/>
          <w:sz w:val="72"/>
          <w:szCs w:val="72"/>
          <w:highlight w:val="none"/>
        </w:rPr>
        <w:t>简易招标文件</w:t>
      </w:r>
    </w:p>
    <w:p>
      <w:pPr>
        <w:jc w:val="center"/>
        <w:rPr>
          <w:rFonts w:hint="eastAsia" w:ascii="宋体" w:hAnsi="宋体" w:cs="宋体"/>
          <w:color w:val="auto"/>
          <w:highlight w:val="none"/>
        </w:rPr>
      </w:pPr>
    </w:p>
    <w:p>
      <w:pPr>
        <w:rPr>
          <w:rFonts w:hint="eastAsia" w:ascii="宋体" w:hAnsi="宋体" w:cs="宋体"/>
          <w:color w:val="auto"/>
          <w:highlight w:val="none"/>
        </w:rPr>
      </w:pPr>
    </w:p>
    <w:p>
      <w:pPr>
        <w:pStyle w:val="32"/>
        <w:ind w:firstLine="420"/>
        <w:rPr>
          <w:rFonts w:hint="eastAsia" w:ascii="宋体" w:hAnsi="宋体" w:cs="宋体"/>
          <w:color w:val="auto"/>
          <w:highlight w:val="none"/>
        </w:rPr>
      </w:pPr>
    </w:p>
    <w:p>
      <w:pPr>
        <w:pStyle w:val="32"/>
        <w:ind w:firstLine="420"/>
        <w:rPr>
          <w:rFonts w:hint="eastAsia" w:ascii="宋体" w:hAnsi="宋体" w:cs="宋体"/>
          <w:color w:val="auto"/>
          <w:highlight w:val="none"/>
        </w:rPr>
      </w:pPr>
    </w:p>
    <w:p>
      <w:pPr>
        <w:rPr>
          <w:rFonts w:hint="eastAsia" w:ascii="宋体" w:hAnsi="宋体" w:cs="宋体"/>
          <w:b/>
          <w:color w:val="auto"/>
          <w:sz w:val="44"/>
          <w:highlight w:val="none"/>
        </w:rPr>
      </w:pPr>
    </w:p>
    <w:p>
      <w:pPr>
        <w:ind w:left="2326" w:leftChars="247" w:right="-319" w:rightChars="-152" w:hanging="1807" w:hangingChars="500"/>
        <w:rPr>
          <w:rFonts w:hint="eastAsia" w:ascii="宋体" w:hAnsi="宋体" w:cs="宋体"/>
          <w:b/>
          <w:color w:val="auto"/>
          <w:sz w:val="36"/>
          <w:szCs w:val="36"/>
          <w:highlight w:val="none"/>
        </w:rPr>
      </w:pPr>
      <w:r>
        <w:rPr>
          <w:rFonts w:hint="eastAsia" w:ascii="宋体" w:hAnsi="宋体" w:cs="宋体"/>
          <w:b/>
          <w:color w:val="auto"/>
          <w:sz w:val="36"/>
          <w:szCs w:val="36"/>
          <w:highlight w:val="none"/>
        </w:rPr>
        <w:t>招标编号：QH2025088</w:t>
      </w:r>
    </w:p>
    <w:p>
      <w:pPr>
        <w:pStyle w:val="32"/>
        <w:ind w:firstLine="420"/>
        <w:rPr>
          <w:rFonts w:hint="eastAsia" w:ascii="宋体" w:hAnsi="宋体" w:cs="宋体"/>
          <w:color w:val="auto"/>
          <w:highlight w:val="none"/>
        </w:rPr>
      </w:pPr>
    </w:p>
    <w:p>
      <w:pPr>
        <w:pStyle w:val="32"/>
        <w:ind w:firstLine="420"/>
        <w:rPr>
          <w:rFonts w:hint="eastAsia" w:ascii="宋体" w:hAnsi="宋体" w:cs="宋体"/>
          <w:color w:val="auto"/>
          <w:highlight w:val="none"/>
        </w:rPr>
      </w:pPr>
    </w:p>
    <w:p>
      <w:pPr>
        <w:pStyle w:val="32"/>
        <w:ind w:firstLine="420"/>
        <w:rPr>
          <w:rFonts w:hint="eastAsia" w:ascii="宋体" w:hAnsi="宋体" w:cs="宋体"/>
          <w:color w:val="auto"/>
          <w:highlight w:val="none"/>
        </w:rPr>
      </w:pPr>
    </w:p>
    <w:p>
      <w:pPr>
        <w:ind w:left="2326" w:leftChars="247" w:right="-319" w:rightChars="-152" w:hanging="1807" w:hangingChars="500"/>
        <w:rPr>
          <w:rFonts w:hint="eastAsia" w:ascii="宋体" w:hAnsi="宋体" w:cs="宋体"/>
          <w:b/>
          <w:color w:val="auto"/>
          <w:sz w:val="36"/>
          <w:szCs w:val="36"/>
          <w:highlight w:val="none"/>
        </w:rPr>
      </w:pPr>
      <w:r>
        <w:rPr>
          <w:rFonts w:hint="eastAsia" w:ascii="宋体" w:hAnsi="宋体" w:cs="宋体"/>
          <w:b/>
          <w:color w:val="auto"/>
          <w:sz w:val="36"/>
          <w:szCs w:val="36"/>
          <w:highlight w:val="none"/>
        </w:rPr>
        <w:t>招标项目：前海综保区一线直通、智联监管项目可行性研究报告编制服务</w:t>
      </w:r>
    </w:p>
    <w:p>
      <w:pPr>
        <w:ind w:firstLine="3264" w:firstLineChars="739"/>
        <w:rPr>
          <w:rFonts w:hint="eastAsia" w:ascii="宋体" w:hAnsi="宋体" w:cs="宋体"/>
          <w:b/>
          <w:color w:val="auto"/>
          <w:sz w:val="44"/>
          <w:highlight w:val="none"/>
        </w:rPr>
      </w:pPr>
    </w:p>
    <w:p>
      <w:pPr>
        <w:ind w:left="1260" w:leftChars="600" w:firstLine="1855" w:firstLineChars="420"/>
        <w:rPr>
          <w:rFonts w:hint="eastAsia" w:ascii="宋体" w:hAnsi="宋体" w:cs="宋体"/>
          <w:b/>
          <w:color w:val="auto"/>
          <w:sz w:val="44"/>
          <w:highlight w:val="none"/>
        </w:rPr>
      </w:pPr>
    </w:p>
    <w:p>
      <w:pPr>
        <w:rPr>
          <w:rFonts w:hint="eastAsia" w:ascii="宋体" w:hAnsi="宋体" w:cs="宋体"/>
          <w:b/>
          <w:color w:val="auto"/>
          <w:sz w:val="44"/>
          <w:highlight w:val="none"/>
        </w:rPr>
      </w:pPr>
    </w:p>
    <w:p>
      <w:pPr>
        <w:jc w:val="center"/>
        <w:rPr>
          <w:rFonts w:hint="eastAsia" w:ascii="宋体" w:hAnsi="宋体" w:cs="宋体"/>
          <w:b/>
          <w:bCs/>
          <w:color w:val="auto"/>
          <w:sz w:val="36"/>
          <w:szCs w:val="36"/>
          <w:highlight w:val="none"/>
          <w:lang w:val="zh-CN"/>
        </w:rPr>
      </w:pPr>
      <w:r>
        <w:rPr>
          <w:rFonts w:hint="eastAsia" w:ascii="宋体" w:hAnsi="宋体" w:cs="宋体"/>
          <w:b/>
          <w:bCs/>
          <w:color w:val="auto"/>
          <w:sz w:val="36"/>
          <w:szCs w:val="36"/>
          <w:highlight w:val="none"/>
          <w:lang w:val="zh-CN"/>
        </w:rPr>
        <w:t>深圳市前海深港现代服务业合作区管理局</w:t>
      </w:r>
    </w:p>
    <w:p>
      <w:pPr>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2025年</w:t>
      </w:r>
      <w:r>
        <w:rPr>
          <w:rFonts w:hint="eastAsia" w:ascii="宋体" w:hAnsi="宋体" w:cs="宋体"/>
          <w:b/>
          <w:bCs/>
          <w:color w:val="auto"/>
          <w:sz w:val="36"/>
          <w:szCs w:val="36"/>
          <w:highlight w:val="none"/>
          <w:lang w:val="en-US" w:eastAsia="zh-CN"/>
        </w:rPr>
        <w:t>8</w:t>
      </w:r>
      <w:r>
        <w:rPr>
          <w:rFonts w:hint="eastAsia" w:ascii="宋体" w:hAnsi="宋体" w:cs="宋体"/>
          <w:b/>
          <w:bCs/>
          <w:color w:val="auto"/>
          <w:sz w:val="36"/>
          <w:szCs w:val="36"/>
          <w:highlight w:val="none"/>
        </w:rPr>
        <w:t>月</w:t>
      </w:r>
    </w:p>
    <w:p>
      <w:pPr>
        <w:autoSpaceDE w:val="0"/>
        <w:autoSpaceDN w:val="0"/>
        <w:adjustRightInd w:val="0"/>
        <w:spacing w:line="360" w:lineRule="auto"/>
        <w:jc w:val="center"/>
        <w:rPr>
          <w:rFonts w:hint="eastAsia" w:ascii="宋体" w:hAnsi="宋体" w:cs="仿宋_GB2312"/>
          <w:b/>
          <w:bCs/>
          <w:color w:val="auto"/>
          <w:kern w:val="0"/>
          <w:sz w:val="22"/>
          <w:szCs w:val="22"/>
          <w:highlight w:val="none"/>
        </w:rPr>
      </w:pPr>
      <w:bookmarkStart w:id="0" w:name="_Toc12932"/>
      <w:r>
        <w:rPr>
          <w:rFonts w:ascii="宋体" w:hAnsi="宋体"/>
          <w:b/>
          <w:bCs/>
          <w:color w:val="auto"/>
          <w:sz w:val="32"/>
          <w:szCs w:val="40"/>
          <w:highlight w:val="none"/>
          <w:u w:val="single"/>
        </w:rPr>
        <w:br w:type="page"/>
      </w:r>
    </w:p>
    <w:p>
      <w:pPr>
        <w:autoSpaceDE w:val="0"/>
        <w:autoSpaceDN w:val="0"/>
        <w:adjustRightInd w:val="0"/>
        <w:spacing w:line="360" w:lineRule="auto"/>
        <w:jc w:val="center"/>
        <w:rPr>
          <w:color w:val="auto"/>
          <w:highlight w:val="none"/>
        </w:rPr>
      </w:pPr>
      <w:r>
        <w:rPr>
          <w:rFonts w:hint="eastAsia" w:ascii="宋体" w:hAnsi="宋体" w:cs="宋体"/>
          <w:b/>
          <w:bCs/>
          <w:color w:val="auto"/>
          <w:kern w:val="0"/>
          <w:sz w:val="36"/>
          <w:szCs w:val="36"/>
          <w:highlight w:val="none"/>
        </w:rPr>
        <w:t>特别警示条款</w:t>
      </w:r>
    </w:p>
    <w:p>
      <w:pPr>
        <w:ind w:firstLine="420" w:firstLineChars="200"/>
        <w:rPr>
          <w:rFonts w:hint="eastAsia" w:ascii="宋体" w:hAnsi="宋体" w:cs="宋体"/>
          <w:color w:val="auto"/>
          <w:szCs w:val="21"/>
          <w:highlight w:val="none"/>
        </w:rPr>
      </w:pPr>
      <w:bookmarkStart w:id="1" w:name="OLE_LINK38"/>
      <w:r>
        <w:rPr>
          <w:rFonts w:hint="eastAsia" w:ascii="宋体" w:hAnsi="宋体" w:cs="宋体"/>
          <w:color w:val="auto"/>
          <w:szCs w:val="21"/>
          <w:highlight w:val="none"/>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7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shd w:val="clear" w:color="auto" w:fill="auto"/>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4482" w:type="pct"/>
            <w:shd w:val="clear" w:color="auto" w:fill="auto"/>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shd w:val="clear" w:color="auto" w:fill="auto"/>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4482" w:type="pct"/>
            <w:shd w:val="clear" w:color="auto" w:fill="auto"/>
            <w:vAlign w:val="center"/>
          </w:tcPr>
          <w:p>
            <w:pPr>
              <w:jc w:val="left"/>
              <w:rPr>
                <w:rFonts w:hint="eastAsia" w:ascii="宋体" w:hAnsi="宋体" w:cs="宋体"/>
                <w:color w:val="auto"/>
                <w:szCs w:val="21"/>
                <w:highlight w:val="none"/>
              </w:rPr>
            </w:pPr>
            <w:r>
              <w:rPr>
                <w:rFonts w:hint="eastAsia" w:ascii="宋体" w:hAnsi="宋体" w:cs="宋体"/>
                <w:color w:val="auto"/>
                <w:szCs w:val="21"/>
                <w:highlight w:val="none"/>
              </w:rPr>
              <w:t>与其他投标供应商的法定代表人、主要经营负责人、投标授权代表人、项目负责人、主要技术人员为</w:t>
            </w:r>
            <w:r>
              <w:rPr>
                <w:rFonts w:hint="eastAsia" w:ascii="宋体" w:hAnsi="宋体" w:cs="宋体"/>
                <w:b/>
                <w:bCs/>
                <w:color w:val="auto"/>
                <w:szCs w:val="21"/>
                <w:highlight w:val="none"/>
              </w:rPr>
              <w:t>同一人、属同一单位或者在同一单位缴纳社会保险</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shd w:val="clear" w:color="auto" w:fill="auto"/>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4482" w:type="pct"/>
            <w:shd w:val="clear" w:color="auto" w:fill="auto"/>
            <w:vAlign w:val="center"/>
          </w:tcPr>
          <w:p>
            <w:pPr>
              <w:jc w:val="left"/>
              <w:rPr>
                <w:rFonts w:hint="eastAsia" w:ascii="宋体" w:hAnsi="宋体" w:cs="宋体"/>
                <w:color w:val="auto"/>
                <w:szCs w:val="21"/>
                <w:highlight w:val="none"/>
              </w:rPr>
            </w:pPr>
            <w:r>
              <w:rPr>
                <w:rFonts w:hint="eastAsia" w:ascii="宋体" w:hAnsi="宋体" w:cs="宋体"/>
                <w:color w:val="auto"/>
                <w:szCs w:val="21"/>
                <w:highlight w:val="none"/>
              </w:rPr>
              <w:t>参与本项目政府采购活动时，与其他投标供应商存在单位负责人为</w:t>
            </w:r>
            <w:r>
              <w:rPr>
                <w:rFonts w:hint="eastAsia" w:ascii="宋体" w:hAnsi="宋体" w:cs="宋体"/>
                <w:b/>
                <w:bCs/>
                <w:color w:val="auto"/>
                <w:szCs w:val="21"/>
                <w:highlight w:val="none"/>
              </w:rPr>
              <w:t>同一人或直接控股、管理关系</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shd w:val="clear" w:color="auto" w:fill="auto"/>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4482" w:type="pct"/>
            <w:shd w:val="clear" w:color="auto" w:fill="auto"/>
            <w:vAlign w:val="center"/>
          </w:tcPr>
          <w:p>
            <w:pPr>
              <w:jc w:val="left"/>
              <w:rPr>
                <w:rFonts w:hint="eastAsia" w:ascii="宋体" w:hAnsi="宋体" w:cs="宋体"/>
                <w:color w:val="auto"/>
                <w:szCs w:val="21"/>
                <w:highlight w:val="none"/>
              </w:rPr>
            </w:pPr>
            <w:r>
              <w:rPr>
                <w:rFonts w:hint="eastAsia" w:ascii="宋体" w:hAnsi="宋体" w:cs="宋体"/>
                <w:color w:val="auto"/>
                <w:szCs w:val="21"/>
                <w:highlight w:val="none"/>
              </w:rPr>
              <w:t>与其他投标供应商的投标文件或部分投标文件</w:t>
            </w:r>
            <w:r>
              <w:rPr>
                <w:rFonts w:hint="eastAsia" w:ascii="宋体" w:hAnsi="宋体" w:cs="宋体"/>
                <w:b/>
                <w:bCs/>
                <w:color w:val="auto"/>
                <w:szCs w:val="21"/>
                <w:highlight w:val="none"/>
              </w:rPr>
              <w:t>相互混装或存在非正常一致</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shd w:val="clear" w:color="auto" w:fill="auto"/>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4482" w:type="pct"/>
            <w:shd w:val="clear" w:color="auto" w:fill="auto"/>
            <w:vAlign w:val="center"/>
          </w:tcPr>
          <w:p>
            <w:pPr>
              <w:jc w:val="left"/>
              <w:rPr>
                <w:rFonts w:hint="eastAsia" w:ascii="宋体" w:hAnsi="宋体" w:cs="宋体"/>
                <w:color w:val="auto"/>
                <w:szCs w:val="21"/>
                <w:highlight w:val="none"/>
              </w:rPr>
            </w:pPr>
            <w:r>
              <w:rPr>
                <w:rFonts w:hint="eastAsia" w:ascii="宋体" w:hAnsi="宋体" w:cs="宋体"/>
                <w:color w:val="auto"/>
                <w:szCs w:val="21"/>
                <w:highlight w:val="none"/>
              </w:rPr>
              <w:t>与其他投标供应商的投标文件由</w:t>
            </w:r>
            <w:r>
              <w:rPr>
                <w:rFonts w:hint="eastAsia" w:ascii="宋体" w:hAnsi="宋体" w:cs="宋体"/>
                <w:b/>
                <w:bCs/>
                <w:color w:val="auto"/>
                <w:szCs w:val="21"/>
                <w:highlight w:val="none"/>
              </w:rPr>
              <w:t>同一单位或者同一人编制</w:t>
            </w:r>
            <w:r>
              <w:rPr>
                <w:rFonts w:hint="eastAsia" w:ascii="宋体" w:hAnsi="宋体" w:cs="宋体"/>
                <w:color w:val="auto"/>
                <w:szCs w:val="21"/>
                <w:highlight w:val="none"/>
              </w:rPr>
              <w:t>，或者使用</w:t>
            </w:r>
            <w:r>
              <w:rPr>
                <w:rFonts w:hint="eastAsia" w:ascii="宋体" w:hAnsi="宋体" w:cs="宋体"/>
                <w:b/>
                <w:bCs/>
                <w:color w:val="auto"/>
                <w:szCs w:val="21"/>
                <w:highlight w:val="none"/>
              </w:rPr>
              <w:t>同一设备编制</w:t>
            </w:r>
            <w:r>
              <w:rPr>
                <w:rFonts w:hint="eastAsia" w:ascii="宋体" w:hAnsi="宋体" w:cs="宋体"/>
                <w:color w:val="auto"/>
                <w:szCs w:val="21"/>
                <w:highlight w:val="none"/>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shd w:val="clear" w:color="auto" w:fill="auto"/>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4482" w:type="pct"/>
            <w:shd w:val="clear" w:color="auto" w:fill="auto"/>
            <w:vAlign w:val="center"/>
          </w:tcPr>
          <w:p>
            <w:pPr>
              <w:jc w:val="left"/>
              <w:rPr>
                <w:rFonts w:hint="eastAsia" w:ascii="宋体" w:hAnsi="宋体" w:cs="宋体"/>
                <w:color w:val="auto"/>
                <w:szCs w:val="21"/>
                <w:highlight w:val="none"/>
              </w:rPr>
            </w:pPr>
            <w:r>
              <w:rPr>
                <w:rFonts w:hint="eastAsia" w:ascii="宋体" w:hAnsi="宋体" w:cs="宋体"/>
                <w:color w:val="auto"/>
                <w:szCs w:val="21"/>
                <w:highlight w:val="none"/>
              </w:rPr>
              <w:t>提供</w:t>
            </w:r>
            <w:r>
              <w:rPr>
                <w:rFonts w:hint="eastAsia" w:ascii="宋体" w:hAnsi="宋体" w:cs="宋体"/>
                <w:b/>
                <w:bCs/>
                <w:color w:val="auto"/>
                <w:szCs w:val="21"/>
                <w:highlight w:val="none"/>
              </w:rPr>
              <w:t>未经出具机构核实</w:t>
            </w:r>
            <w:r>
              <w:rPr>
                <w:rFonts w:hint="eastAsia" w:ascii="宋体" w:hAnsi="宋体" w:cs="宋体"/>
                <w:color w:val="auto"/>
                <w:szCs w:val="21"/>
                <w:highlight w:val="none"/>
              </w:rPr>
              <w:t>的虚假的检验检测报告、业绩材料、社保缴纳证明、学历学位证书、职称认证证书等材料。</w:t>
            </w:r>
          </w:p>
        </w:tc>
      </w:tr>
      <w:bookmarkEnd w:id="1"/>
    </w:tbl>
    <w:p>
      <w:pPr>
        <w:autoSpaceDE w:val="0"/>
        <w:autoSpaceDN w:val="0"/>
        <w:adjustRightInd w:val="0"/>
        <w:spacing w:line="360" w:lineRule="auto"/>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《深圳经济特区政府采购条例》</w:t>
      </w:r>
    </w:p>
    <w:p>
      <w:pPr>
        <w:autoSpaceDE w:val="0"/>
        <w:autoSpaceDN w:val="0"/>
        <w:adjustRightInd w:val="0"/>
        <w:spacing w:line="360" w:lineRule="auto"/>
        <w:ind w:firstLine="482" w:firstLineChars="200"/>
        <w:jc w:val="left"/>
        <w:rPr>
          <w:rFonts w:hint="eastAsia" w:ascii="宋体" w:hAnsi="宋体" w:cs="宋体"/>
          <w:color w:val="auto"/>
          <w:sz w:val="24"/>
          <w:highlight w:val="none"/>
        </w:rPr>
      </w:pPr>
      <w:r>
        <w:rPr>
          <w:rStyle w:val="21"/>
          <w:rFonts w:hint="eastAsia" w:ascii="宋体" w:hAnsi="宋体" w:cs="宋体"/>
          <w:color w:val="auto"/>
          <w:sz w:val="24"/>
          <w:highlight w:val="none"/>
        </w:rPr>
        <w:t>第五十七条</w:t>
      </w:r>
      <w:r>
        <w:rPr>
          <w:rFonts w:hint="eastAsia" w:ascii="宋体" w:hAnsi="宋体" w:cs="宋体"/>
          <w:color w:val="auto"/>
          <w:sz w:val="24"/>
          <w:highlight w:val="none"/>
        </w:rPr>
        <w:t> 供应商在政府采购中，有下列行为之一的，一至三年内禁止其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pPr>
        <w:pStyle w:val="15"/>
        <w:shd w:val="clear" w:color="auto" w:fill="FFFFFF"/>
        <w:spacing w:before="0" w:beforeAutospacing="0" w:after="0" w:afterAutospacing="0" w:line="360" w:lineRule="auto"/>
        <w:ind w:firstLine="480" w:firstLineChars="200"/>
        <w:rPr>
          <w:rFonts w:hint="eastAsia"/>
          <w:color w:val="auto"/>
          <w:highlight w:val="none"/>
        </w:rPr>
      </w:pPr>
      <w:bookmarkStart w:id="2" w:name="_Toc2750"/>
      <w:r>
        <w:rPr>
          <w:rFonts w:hint="eastAsia"/>
          <w:color w:val="auto"/>
          <w:highlight w:val="none"/>
        </w:rPr>
        <w:t>（一）在采购活动中应当回避而未回避的；</w:t>
      </w:r>
      <w:bookmarkEnd w:id="2"/>
    </w:p>
    <w:p>
      <w:pPr>
        <w:pStyle w:val="15"/>
        <w:shd w:val="clear" w:color="auto" w:fill="FFFFFF"/>
        <w:spacing w:before="0" w:beforeAutospacing="0" w:after="0" w:afterAutospacing="0" w:line="360" w:lineRule="auto"/>
        <w:ind w:firstLine="480" w:firstLineChars="200"/>
        <w:rPr>
          <w:rFonts w:hint="eastAsia"/>
          <w:color w:val="auto"/>
          <w:highlight w:val="none"/>
        </w:rPr>
      </w:pPr>
      <w:r>
        <w:rPr>
          <w:rFonts w:hint="eastAsia"/>
          <w:color w:val="auto"/>
          <w:highlight w:val="none"/>
        </w:rPr>
        <w:t>（二）未按照本条例规定签订、履行采购合同，造成严重后果的；</w:t>
      </w:r>
    </w:p>
    <w:p>
      <w:pPr>
        <w:pStyle w:val="15"/>
        <w:shd w:val="clear" w:color="auto" w:fill="FFFFFF"/>
        <w:spacing w:before="0" w:beforeAutospacing="0" w:after="0" w:afterAutospacing="0" w:line="360" w:lineRule="auto"/>
        <w:ind w:firstLine="480" w:firstLineChars="200"/>
        <w:rPr>
          <w:rFonts w:hint="eastAsia"/>
          <w:color w:val="auto"/>
          <w:highlight w:val="none"/>
        </w:rPr>
      </w:pPr>
      <w:r>
        <w:rPr>
          <w:rFonts w:hint="eastAsia"/>
          <w:color w:val="auto"/>
          <w:highlight w:val="none"/>
        </w:rPr>
        <w:t>（三）隐瞒真实情况，提供虚假资料的；</w:t>
      </w:r>
    </w:p>
    <w:p>
      <w:pPr>
        <w:pStyle w:val="15"/>
        <w:shd w:val="clear" w:color="auto" w:fill="FFFFFF"/>
        <w:spacing w:before="0" w:beforeAutospacing="0" w:after="0" w:afterAutospacing="0" w:line="360" w:lineRule="auto"/>
        <w:ind w:firstLine="480" w:firstLineChars="200"/>
        <w:rPr>
          <w:rFonts w:hint="eastAsia"/>
          <w:color w:val="auto"/>
          <w:highlight w:val="none"/>
        </w:rPr>
      </w:pPr>
      <w:r>
        <w:rPr>
          <w:rFonts w:hint="eastAsia"/>
          <w:color w:val="auto"/>
          <w:highlight w:val="none"/>
        </w:rPr>
        <w:t>（四）以非法手段排斥其他供应商参与竞争的；</w:t>
      </w:r>
    </w:p>
    <w:p>
      <w:pPr>
        <w:pStyle w:val="15"/>
        <w:shd w:val="clear" w:color="auto" w:fill="FFFFFF"/>
        <w:spacing w:before="0" w:beforeAutospacing="0" w:after="0" w:afterAutospacing="0" w:line="360" w:lineRule="auto"/>
        <w:ind w:firstLine="480" w:firstLineChars="200"/>
        <w:rPr>
          <w:rFonts w:hint="eastAsia"/>
          <w:color w:val="auto"/>
          <w:highlight w:val="none"/>
        </w:rPr>
      </w:pPr>
      <w:r>
        <w:rPr>
          <w:rFonts w:hint="eastAsia"/>
          <w:color w:val="auto"/>
          <w:highlight w:val="none"/>
        </w:rPr>
        <w:t>（五）与其他采购参加人串通投标的；</w:t>
      </w:r>
    </w:p>
    <w:p>
      <w:pPr>
        <w:pStyle w:val="15"/>
        <w:shd w:val="clear" w:color="auto" w:fill="FFFFFF"/>
        <w:spacing w:before="0" w:beforeAutospacing="0" w:after="0" w:afterAutospacing="0" w:line="360" w:lineRule="auto"/>
        <w:ind w:firstLine="480" w:firstLineChars="200"/>
        <w:rPr>
          <w:rFonts w:hint="eastAsia"/>
          <w:color w:val="auto"/>
          <w:highlight w:val="none"/>
        </w:rPr>
      </w:pPr>
      <w:r>
        <w:rPr>
          <w:rFonts w:hint="eastAsia"/>
          <w:color w:val="auto"/>
          <w:highlight w:val="none"/>
        </w:rPr>
        <w:t>（六）恶意投诉的；</w:t>
      </w:r>
    </w:p>
    <w:p>
      <w:pPr>
        <w:pStyle w:val="15"/>
        <w:shd w:val="clear" w:color="auto" w:fill="FFFFFF"/>
        <w:spacing w:before="0" w:beforeAutospacing="0" w:after="0" w:afterAutospacing="0" w:line="360" w:lineRule="auto"/>
        <w:ind w:firstLine="480" w:firstLineChars="200"/>
        <w:rPr>
          <w:rFonts w:hint="eastAsia"/>
          <w:color w:val="auto"/>
          <w:highlight w:val="none"/>
        </w:rPr>
      </w:pPr>
      <w:r>
        <w:rPr>
          <w:rFonts w:hint="eastAsia"/>
          <w:color w:val="auto"/>
          <w:highlight w:val="none"/>
        </w:rPr>
        <w:t>（七）向采购项目相关人行贿或者提供其他不当利益的；</w:t>
      </w:r>
    </w:p>
    <w:p>
      <w:pPr>
        <w:pStyle w:val="15"/>
        <w:shd w:val="clear" w:color="auto" w:fill="FFFFFF"/>
        <w:spacing w:before="0" w:beforeAutospacing="0" w:after="0" w:afterAutospacing="0" w:line="360" w:lineRule="auto"/>
        <w:ind w:firstLine="480" w:firstLineChars="200"/>
        <w:rPr>
          <w:rFonts w:hint="eastAsia"/>
          <w:color w:val="auto"/>
          <w:highlight w:val="none"/>
        </w:rPr>
      </w:pPr>
      <w:r>
        <w:rPr>
          <w:rFonts w:hint="eastAsia"/>
          <w:color w:val="auto"/>
          <w:highlight w:val="none"/>
        </w:rPr>
        <w:t>（八）阻碍、抗拒主管部门监督检查的；</w:t>
      </w:r>
    </w:p>
    <w:p>
      <w:pPr>
        <w:pStyle w:val="15"/>
        <w:shd w:val="clear" w:color="auto" w:fill="FFFFFF"/>
        <w:spacing w:before="0" w:beforeAutospacing="0" w:after="0" w:afterAutospacing="0" w:line="360" w:lineRule="auto"/>
        <w:ind w:firstLine="480" w:firstLineChars="200"/>
        <w:rPr>
          <w:rFonts w:hint="eastAsia"/>
          <w:color w:val="auto"/>
          <w:highlight w:val="none"/>
        </w:rPr>
      </w:pPr>
      <w:r>
        <w:rPr>
          <w:rFonts w:hint="eastAsia"/>
          <w:color w:val="auto"/>
          <w:highlight w:val="none"/>
        </w:rPr>
        <w:t>（九）其他违反本条例规定的行为。</w:t>
      </w:r>
    </w:p>
    <w:p>
      <w:pPr>
        <w:autoSpaceDE w:val="0"/>
        <w:autoSpaceDN w:val="0"/>
        <w:adjustRightInd w:val="0"/>
        <w:spacing w:line="360" w:lineRule="auto"/>
        <w:ind w:firstLine="360" w:firstLineChars="150"/>
        <w:jc w:val="left"/>
        <w:rPr>
          <w:rFonts w:hint="eastAsia" w:ascii="宋体" w:hAnsi="宋体" w:cs="宋体"/>
          <w:color w:val="auto"/>
          <w:kern w:val="0"/>
          <w:sz w:val="24"/>
          <w:highlight w:val="none"/>
        </w:rPr>
      </w:pPr>
    </w:p>
    <w:p>
      <w:pPr>
        <w:autoSpaceDE w:val="0"/>
        <w:autoSpaceDN w:val="0"/>
        <w:adjustRightInd w:val="0"/>
        <w:spacing w:line="360" w:lineRule="auto"/>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《深圳经济特区政府采购条例实施细则》</w:t>
      </w:r>
    </w:p>
    <w:p>
      <w:pPr>
        <w:keepLines/>
        <w:spacing w:line="360" w:lineRule="auto"/>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rPr>
        <w:t>第七十五条</w:t>
      </w:r>
      <w:r>
        <w:rPr>
          <w:rFonts w:hint="eastAsia" w:ascii="宋体" w:hAnsi="宋体" w:cs="宋体"/>
          <w:color w:val="auto"/>
          <w:sz w:val="24"/>
          <w:highlight w:val="none"/>
        </w:rPr>
        <w:t> 供应商有下列情形的，属于采购条例所称的串通投标行为，按照采购条例第五十七条有关规定处理：</w:t>
      </w:r>
    </w:p>
    <w:p>
      <w:pPr>
        <w:keepLines/>
        <w:spacing w:line="360" w:lineRule="auto"/>
        <w:ind w:firstLine="480" w:firstLineChars="200"/>
        <w:rPr>
          <w:rFonts w:hint="eastAsia" w:ascii="宋体" w:hAnsi="宋体" w:cs="宋体"/>
          <w:color w:val="auto"/>
          <w:sz w:val="24"/>
          <w:highlight w:val="none"/>
        </w:rPr>
      </w:pPr>
      <w:bookmarkStart w:id="3" w:name="_Toc6281"/>
      <w:r>
        <w:rPr>
          <w:rFonts w:hint="eastAsia" w:ascii="宋体" w:hAnsi="宋体" w:cs="宋体"/>
          <w:color w:val="auto"/>
          <w:sz w:val="24"/>
          <w:highlight w:val="none"/>
        </w:rPr>
        <w:t>（一）投标供应商之间相互约定给予未中标的供应商利益补偿；</w:t>
      </w:r>
      <w:bookmarkEnd w:id="3"/>
    </w:p>
    <w:p>
      <w:pPr>
        <w:keepLine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（二）不同投标供应商的法定代表人、主要经营负责人、项目投标授权代表人、项目负责人、主要技术人员为同一人、属同一单位或者在同一单位缴纳社会保险；　　　　 </w:t>
      </w:r>
    </w:p>
    <w:p>
      <w:pPr>
        <w:keepLine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（三）不同投标供应商的投标文件由同一单位或者同一人编制，或者由同一人分阶段参与编制的；</w:t>
      </w:r>
    </w:p>
    <w:p>
      <w:pPr>
        <w:keepLine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（四）不同投标供应商的投标文件或部分投标文件相互混装；</w:t>
      </w:r>
    </w:p>
    <w:p>
      <w:pPr>
        <w:keepLine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（五）不同投标供应商的投标文件内容存在非正常一致；</w:t>
      </w:r>
    </w:p>
    <w:p>
      <w:pPr>
        <w:keepLine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（六）由同一单位工作人员为两家以上（含两家）供应商进行同一项投标活动的；</w:t>
      </w:r>
    </w:p>
    <w:p>
      <w:pPr>
        <w:keepLines/>
        <w:spacing w:line="360" w:lineRule="auto"/>
        <w:ind w:firstLine="480" w:firstLineChars="200"/>
        <w:rPr>
          <w:rFonts w:hint="eastAsia" w:ascii="宋体" w:hAnsi="宋体" w:cs="宋体"/>
          <w:color w:val="auto"/>
          <w:sz w:val="24"/>
          <w:highlight w:val="none"/>
        </w:rPr>
      </w:pPr>
      <w:bookmarkStart w:id="4" w:name="_Toc31089"/>
      <w:r>
        <w:rPr>
          <w:rFonts w:hint="eastAsia" w:ascii="宋体" w:hAnsi="宋体" w:cs="宋体"/>
          <w:color w:val="auto"/>
          <w:sz w:val="24"/>
          <w:highlight w:val="none"/>
        </w:rPr>
        <w:t>（七）主管部门依照法律、法规认定的其他情形。</w:t>
      </w:r>
      <w:bookmarkEnd w:id="4"/>
    </w:p>
    <w:p>
      <w:pPr>
        <w:keepLines/>
        <w:spacing w:line="360" w:lineRule="auto"/>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rPr>
        <w:t>第七十七条</w:t>
      </w:r>
      <w:r>
        <w:rPr>
          <w:rFonts w:hint="eastAsia" w:ascii="宋体" w:hAnsi="宋体" w:cs="宋体"/>
          <w:color w:val="auto"/>
          <w:sz w:val="24"/>
          <w:highlight w:val="none"/>
        </w:rPr>
        <w:t> 供应商有下列情形之一的，属于隐瞒真实情况，提供虚假资料，按照采购条例第五十七条的有关规定处理：</w:t>
      </w:r>
    </w:p>
    <w:p>
      <w:pPr>
        <w:keepLine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（一）通过转让或者租借等方式从其他单位获取资格或者资质证书投标的；</w:t>
      </w:r>
    </w:p>
    <w:p>
      <w:pPr>
        <w:keepLine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（二）由其他单位或者其他单位负责人在投标供应商编制的投标文件上加盖印章或者签字的；</w:t>
      </w:r>
    </w:p>
    <w:p>
      <w:pPr>
        <w:keepLine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（三）项目负责人或者主要技术人员不是本单位人员的；</w:t>
      </w:r>
    </w:p>
    <w:p>
      <w:pPr>
        <w:keepLine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（四）投标保证金不是从投标供应商基本账户转出的；</w:t>
      </w:r>
    </w:p>
    <w:p>
      <w:pPr>
        <w:keepLines/>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（五）其他隐瞒真实情况、提供虚假资料的行为。</w:t>
      </w:r>
    </w:p>
    <w:p>
      <w:pPr>
        <w:keepLines/>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投标供应商不能提供项目负责人或者主要技术人员的劳动合同、社会保险等劳动关系证明材料的，视为存在前款第（三）项规定的情形。</w:t>
      </w:r>
    </w:p>
    <w:p>
      <w:pPr>
        <w:pStyle w:val="2"/>
        <w:tabs>
          <w:tab w:val="left" w:pos="562"/>
          <w:tab w:val="left" w:pos="3372"/>
          <w:tab w:val="left" w:pos="3653"/>
        </w:tabs>
        <w:spacing w:line="360" w:lineRule="auto"/>
        <w:rPr>
          <w:rFonts w:hint="eastAsia" w:ascii="宋体" w:hAnsi="宋体" w:cs="宋体"/>
          <w:color w:val="auto"/>
          <w:highlight w:val="none"/>
        </w:rPr>
      </w:pPr>
    </w:p>
    <w:p>
      <w:pPr>
        <w:autoSpaceDE w:val="0"/>
        <w:autoSpaceDN w:val="0"/>
        <w:adjustRightInd w:val="0"/>
        <w:spacing w:line="360" w:lineRule="auto"/>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 xml:space="preserve">《中华人民共和国政府采购法实施条例》 </w:t>
      </w:r>
    </w:p>
    <w:p>
      <w:pPr>
        <w:spacing w:line="360" w:lineRule="auto"/>
        <w:ind w:firstLine="482" w:firstLineChars="200"/>
        <w:jc w:val="left"/>
        <w:rPr>
          <w:rFonts w:hint="eastAsia" w:ascii="宋体" w:hAnsi="宋体" w:cs="宋体"/>
          <w:color w:val="auto"/>
          <w:sz w:val="24"/>
          <w:highlight w:val="none"/>
        </w:rPr>
      </w:pPr>
      <w:bookmarkStart w:id="5" w:name="_Toc10451"/>
      <w:r>
        <w:rPr>
          <w:rFonts w:hint="eastAsia" w:ascii="宋体" w:hAnsi="宋体" w:cs="宋体"/>
          <w:b/>
          <w:bCs/>
          <w:color w:val="auto"/>
          <w:sz w:val="24"/>
          <w:highlight w:val="none"/>
        </w:rPr>
        <w:t>第十八条</w:t>
      </w:r>
      <w:r>
        <w:rPr>
          <w:rFonts w:hint="eastAsia" w:ascii="宋体" w:hAnsi="宋体" w:cs="宋体"/>
          <w:color w:val="auto"/>
          <w:sz w:val="24"/>
          <w:highlight w:val="none"/>
        </w:rPr>
        <w:t xml:space="preserve"> 单位负责人为同一人或者存在直接控股、管理关系的不同供应商，不得参加同一合同项下的政府采购活动。</w:t>
      </w:r>
      <w:bookmarkEnd w:id="5"/>
    </w:p>
    <w:p>
      <w:pPr>
        <w:spacing w:line="360" w:lineRule="auto"/>
        <w:ind w:firstLine="480" w:firstLineChars="200"/>
        <w:jc w:val="left"/>
        <w:rPr>
          <w:rFonts w:hint="eastAsia" w:ascii="宋体" w:hAnsi="宋体" w:cs="宋体"/>
          <w:color w:val="auto"/>
          <w:sz w:val="24"/>
          <w:highlight w:val="none"/>
        </w:rPr>
      </w:pPr>
      <w:bookmarkStart w:id="6" w:name="_Toc4495"/>
      <w:r>
        <w:rPr>
          <w:rFonts w:hint="eastAsia" w:ascii="宋体" w:hAnsi="宋体" w:cs="宋体"/>
          <w:color w:val="auto"/>
          <w:sz w:val="24"/>
          <w:highlight w:val="none"/>
        </w:rPr>
        <w:t>除单一来源采购项目外，为采购项目提供整体设计、规范编制或者项目管理、监 理、检测等服务的供应商，不得再参加该采购项目的其他采购活动。</w:t>
      </w:r>
      <w:bookmarkEnd w:id="6"/>
    </w:p>
    <w:p>
      <w:pPr>
        <w:pStyle w:val="2"/>
        <w:tabs>
          <w:tab w:val="left" w:pos="562"/>
          <w:tab w:val="left" w:pos="3372"/>
          <w:tab w:val="left" w:pos="3653"/>
        </w:tabs>
        <w:spacing w:line="360" w:lineRule="auto"/>
        <w:rPr>
          <w:rFonts w:hint="eastAsia" w:ascii="宋体" w:hAnsi="宋体" w:cs="宋体"/>
          <w:color w:val="auto"/>
          <w:highlight w:val="none"/>
        </w:rPr>
      </w:pPr>
    </w:p>
    <w:p>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b/>
          <w:color w:val="auto"/>
          <w:kern w:val="0"/>
          <w:sz w:val="24"/>
          <w:highlight w:val="none"/>
        </w:rPr>
        <w:t xml:space="preserve">《深圳市财政局关于采购文件增加风险告知有关事项的通知》 </w:t>
      </w:r>
    </w:p>
    <w:p>
      <w:pPr>
        <w:pStyle w:val="2"/>
        <w:tabs>
          <w:tab w:val="left" w:pos="562"/>
          <w:tab w:val="left" w:pos="3372"/>
          <w:tab w:val="left" w:pos="3653"/>
        </w:tabs>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各投标供应商应按要求提交《政府采购违法行为风险知悉确认书》（详见第七章 附件（投标文件格式）《政府采购违法行为风险知悉确认书》）。该文件由负责人或投标授权代表签字并加盖单位公章后，与投标文件一并提交。需要注意的是，该风险知悉确认书用于对供应商违法行为的警示，不作为供应商资格性审查及符合性审查条件。</w:t>
      </w:r>
    </w:p>
    <w:p>
      <w:pPr>
        <w:autoSpaceDE w:val="0"/>
        <w:autoSpaceDN w:val="0"/>
        <w:adjustRightInd w:val="0"/>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《关于在相关自由贸易试验区和自由贸易港开展推动解决政府采购异常低价问题试点工作的通知》</w:t>
      </w:r>
    </w:p>
    <w:p>
      <w:pPr>
        <w:pStyle w:val="2"/>
        <w:tabs>
          <w:tab w:val="left" w:pos="562"/>
          <w:tab w:val="left" w:pos="3372"/>
          <w:tab w:val="left" w:pos="3653"/>
        </w:tabs>
        <w:spacing w:after="0"/>
        <w:rPr>
          <w:rFonts w:hint="eastAsia" w:ascii="宋体" w:hAnsi="宋体" w:cs="宋体"/>
          <w:b/>
          <w:bCs/>
          <w:color w:val="auto"/>
          <w:highlight w:val="none"/>
        </w:rPr>
      </w:pPr>
      <w:r>
        <w:rPr>
          <w:rFonts w:hint="eastAsia" w:ascii="宋体" w:hAnsi="宋体" w:cs="宋体"/>
          <w:b/>
          <w:bCs/>
          <w:color w:val="auto"/>
          <w:highlight w:val="none"/>
        </w:rPr>
        <w:t>强化政府采购异常低价审查：</w:t>
      </w:r>
    </w:p>
    <w:p>
      <w:pPr>
        <w:pStyle w:val="2"/>
        <w:tabs>
          <w:tab w:val="left" w:pos="562"/>
          <w:tab w:val="left" w:pos="3372"/>
          <w:tab w:val="left" w:pos="3653"/>
        </w:tabs>
        <w:spacing w:after="0"/>
        <w:ind w:firstLine="480" w:firstLineChars="200"/>
        <w:rPr>
          <w:rFonts w:hint="eastAsia" w:ascii="宋体" w:hAnsi="宋体" w:cs="宋体"/>
          <w:color w:val="auto"/>
          <w:highlight w:val="none"/>
        </w:rPr>
      </w:pPr>
      <w:r>
        <w:rPr>
          <w:rFonts w:hint="eastAsia" w:ascii="宋体" w:hAnsi="宋体" w:cs="宋体"/>
          <w:color w:val="auto"/>
          <w:highlight w:val="none"/>
        </w:rPr>
        <w:t>试点地区采购人应当在采购文件中明确异常低价投标（响应）审查的有关内容，主要包括：</w:t>
      </w:r>
    </w:p>
    <w:p>
      <w:pPr>
        <w:pStyle w:val="2"/>
        <w:tabs>
          <w:tab w:val="left" w:pos="562"/>
          <w:tab w:val="left" w:pos="3372"/>
          <w:tab w:val="left" w:pos="3653"/>
        </w:tabs>
        <w:spacing w:after="0"/>
        <w:ind w:firstLine="480" w:firstLineChars="200"/>
        <w:rPr>
          <w:rFonts w:hint="eastAsia" w:ascii="宋体" w:hAnsi="宋体" w:cs="宋体"/>
          <w:color w:val="auto"/>
          <w:highlight w:val="none"/>
        </w:rPr>
      </w:pPr>
      <w:r>
        <w:rPr>
          <w:rFonts w:hint="eastAsia" w:ascii="宋体" w:hAnsi="宋体" w:cs="宋体"/>
          <w:color w:val="auto"/>
          <w:highlight w:val="none"/>
        </w:rPr>
        <w:t>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w:t>
      </w:r>
    </w:p>
    <w:p>
      <w:pPr>
        <w:pStyle w:val="2"/>
        <w:tabs>
          <w:tab w:val="left" w:pos="562"/>
          <w:tab w:val="left" w:pos="3372"/>
          <w:tab w:val="left" w:pos="3653"/>
        </w:tabs>
        <w:spacing w:after="0"/>
        <w:ind w:firstLine="480" w:firstLineChars="200"/>
        <w:rPr>
          <w:rFonts w:hint="eastAsia" w:ascii="宋体" w:hAnsi="宋体" w:cs="宋体"/>
          <w:color w:val="auto"/>
          <w:highlight w:val="none"/>
        </w:rPr>
      </w:pPr>
      <w:r>
        <w:rPr>
          <w:rFonts w:hint="eastAsia" w:ascii="宋体" w:hAnsi="宋体" w:cs="宋体"/>
          <w:color w:val="auto"/>
          <w:highlight w:val="none"/>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w:t>
      </w:r>
    </w:p>
    <w:p>
      <w:pPr>
        <w:pStyle w:val="2"/>
        <w:tabs>
          <w:tab w:val="left" w:pos="562"/>
          <w:tab w:val="left" w:pos="3372"/>
          <w:tab w:val="left" w:pos="3653"/>
        </w:tabs>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pPr>
        <w:pStyle w:val="2"/>
        <w:tabs>
          <w:tab w:val="left" w:pos="562"/>
          <w:tab w:val="left" w:pos="3372"/>
          <w:tab w:val="left" w:pos="3653"/>
        </w:tabs>
        <w:spacing w:line="360" w:lineRule="auto"/>
        <w:ind w:firstLine="480" w:firstLineChars="200"/>
        <w:rPr>
          <w:rFonts w:hint="eastAsia" w:ascii="宋体" w:hAnsi="宋体" w:cs="宋体"/>
          <w:color w:val="auto"/>
          <w:highlight w:val="none"/>
        </w:rPr>
      </w:pPr>
    </w:p>
    <w:p>
      <w:pPr>
        <w:pStyle w:val="2"/>
        <w:tabs>
          <w:tab w:val="left" w:pos="562"/>
          <w:tab w:val="left" w:pos="3372"/>
          <w:tab w:val="left" w:pos="3653"/>
        </w:tabs>
        <w:spacing w:line="360" w:lineRule="auto"/>
        <w:ind w:firstLine="480" w:firstLineChars="200"/>
        <w:rPr>
          <w:rFonts w:hint="eastAsia" w:ascii="宋体" w:hAnsi="宋体" w:cs="宋体"/>
          <w:color w:val="auto"/>
          <w:highlight w:val="none"/>
        </w:rPr>
      </w:pPr>
    </w:p>
    <w:p>
      <w:pPr>
        <w:pStyle w:val="2"/>
        <w:tabs>
          <w:tab w:val="left" w:pos="562"/>
          <w:tab w:val="left" w:pos="3372"/>
          <w:tab w:val="left" w:pos="3653"/>
        </w:tabs>
        <w:spacing w:line="360" w:lineRule="auto"/>
        <w:ind w:firstLine="480" w:firstLineChars="200"/>
        <w:rPr>
          <w:rFonts w:hint="eastAsia" w:ascii="宋体" w:hAnsi="宋体" w:cs="宋体"/>
          <w:color w:val="auto"/>
          <w:highlight w:val="none"/>
        </w:rPr>
      </w:pPr>
    </w:p>
    <w:p>
      <w:pPr>
        <w:jc w:val="center"/>
        <w:outlineLvl w:val="0"/>
        <w:rPr>
          <w:rFonts w:hint="eastAsia" w:ascii="宋体" w:hAnsi="宋体" w:cs="宋体"/>
          <w:b/>
          <w:bCs/>
          <w:color w:val="auto"/>
          <w:sz w:val="36"/>
          <w:szCs w:val="36"/>
          <w:highlight w:val="none"/>
          <w:lang w:val="zh-CN"/>
        </w:rPr>
      </w:pPr>
      <w:r>
        <w:rPr>
          <w:rFonts w:hint="eastAsia" w:ascii="宋体" w:hAnsi="宋体" w:cs="宋体"/>
          <w:b/>
          <w:bCs/>
          <w:color w:val="auto"/>
          <w:sz w:val="36"/>
          <w:szCs w:val="36"/>
          <w:highlight w:val="none"/>
          <w:lang w:val="zh-CN"/>
        </w:rPr>
        <w:br w:type="page"/>
      </w:r>
      <w:bookmarkStart w:id="7" w:name="_Toc20243"/>
      <w:bookmarkStart w:id="8" w:name="_Toc20808"/>
      <w:r>
        <w:rPr>
          <w:rFonts w:hint="eastAsia" w:ascii="宋体" w:hAnsi="宋体" w:cs="宋体"/>
          <w:b/>
          <w:bCs/>
          <w:color w:val="auto"/>
          <w:sz w:val="36"/>
          <w:szCs w:val="36"/>
          <w:highlight w:val="none"/>
          <w:lang w:val="zh-CN"/>
        </w:rPr>
        <w:t>目录</w:t>
      </w:r>
      <w:bookmarkEnd w:id="0"/>
      <w:bookmarkEnd w:id="7"/>
      <w:bookmarkEnd w:id="8"/>
    </w:p>
    <w:p>
      <w:pPr>
        <w:pStyle w:val="13"/>
        <w:tabs>
          <w:tab w:val="right" w:leader="dot" w:pos="8306"/>
        </w:tabs>
        <w:spacing w:line="480" w:lineRule="auto"/>
        <w:rPr>
          <w:b/>
          <w:bCs/>
          <w:color w:val="auto"/>
          <w:sz w:val="24"/>
          <w:szCs w:val="32"/>
          <w:highlight w:val="none"/>
        </w:rPr>
      </w:pPr>
    </w:p>
    <w:p>
      <w:pPr>
        <w:pStyle w:val="13"/>
        <w:tabs>
          <w:tab w:val="right" w:leader="dot" w:pos="8306"/>
        </w:tabs>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TOC \o "1-1" \h \u </w:instrText>
      </w:r>
      <w:r>
        <w:rPr>
          <w:rFonts w:hint="eastAsia" w:ascii="宋体" w:hAnsi="宋体" w:cs="宋体"/>
          <w:b/>
          <w:bCs/>
          <w:color w:val="auto"/>
          <w:sz w:val="24"/>
          <w:highlight w:val="none"/>
        </w:rPr>
        <w:fldChar w:fldCharType="separate"/>
      </w:r>
      <w:r>
        <w:rPr>
          <w:color w:val="auto"/>
          <w:highlight w:val="none"/>
        </w:rPr>
        <w:fldChar w:fldCharType="begin"/>
      </w:r>
      <w:r>
        <w:rPr>
          <w:color w:val="auto"/>
          <w:highlight w:val="none"/>
        </w:rPr>
        <w:instrText xml:space="preserve"> HYPERLINK \l "_Toc15219" </w:instrText>
      </w:r>
      <w:r>
        <w:rPr>
          <w:color w:val="auto"/>
          <w:highlight w:val="none"/>
        </w:rPr>
        <w:fldChar w:fldCharType="separate"/>
      </w:r>
      <w:r>
        <w:rPr>
          <w:rFonts w:hint="eastAsia" w:ascii="宋体" w:hAnsi="宋体" w:cs="宋体"/>
          <w:b/>
          <w:bCs/>
          <w:color w:val="auto"/>
          <w:sz w:val="24"/>
          <w:highlight w:val="none"/>
        </w:rPr>
        <w:t>第一章 招标邀请书（招标公告）</w:t>
      </w:r>
      <w:r>
        <w:rPr>
          <w:rFonts w:hint="eastAsia" w:ascii="宋体" w:hAnsi="宋体" w:cs="宋体"/>
          <w:b/>
          <w:bCs/>
          <w:color w:val="auto"/>
          <w:sz w:val="24"/>
          <w:highlight w:val="none"/>
        </w:rPr>
        <w:tab/>
      </w: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PAGEREF _Toc15219 \h </w:instrText>
      </w:r>
      <w:r>
        <w:rPr>
          <w:rFonts w:hint="eastAsia" w:ascii="宋体" w:hAnsi="宋体" w:cs="宋体"/>
          <w:b/>
          <w:bCs/>
          <w:color w:val="auto"/>
          <w:sz w:val="24"/>
          <w:highlight w:val="none"/>
        </w:rPr>
        <w:fldChar w:fldCharType="separate"/>
      </w:r>
      <w:r>
        <w:rPr>
          <w:rFonts w:hint="eastAsia" w:ascii="宋体" w:hAnsi="宋体" w:cs="宋体"/>
          <w:b/>
          <w:bCs/>
          <w:color w:val="auto"/>
          <w:sz w:val="24"/>
          <w:highlight w:val="none"/>
        </w:rPr>
        <w:t>6</w:t>
      </w:r>
      <w:r>
        <w:rPr>
          <w:rFonts w:hint="eastAsia" w:ascii="宋体" w:hAnsi="宋体" w:cs="宋体"/>
          <w:b/>
          <w:bCs/>
          <w:color w:val="auto"/>
          <w:sz w:val="24"/>
          <w:highlight w:val="none"/>
        </w:rPr>
        <w:fldChar w:fldCharType="end"/>
      </w:r>
      <w:r>
        <w:rPr>
          <w:rFonts w:hint="eastAsia" w:ascii="宋体" w:hAnsi="宋体" w:cs="宋体"/>
          <w:b/>
          <w:bCs/>
          <w:color w:val="auto"/>
          <w:sz w:val="24"/>
          <w:highlight w:val="none"/>
        </w:rPr>
        <w:fldChar w:fldCharType="end"/>
      </w:r>
    </w:p>
    <w:p>
      <w:pPr>
        <w:pStyle w:val="13"/>
        <w:tabs>
          <w:tab w:val="right" w:leader="dot" w:pos="8306"/>
        </w:tabs>
        <w:spacing w:line="360" w:lineRule="auto"/>
        <w:rPr>
          <w:rFonts w:hint="eastAsia" w:ascii="宋体" w:hAnsi="宋体" w:cs="宋体"/>
          <w:b/>
          <w:bCs/>
          <w:color w:val="auto"/>
          <w:sz w:val="24"/>
          <w:highlight w:val="none"/>
        </w:rPr>
      </w:pPr>
      <w:r>
        <w:rPr>
          <w:color w:val="auto"/>
          <w:highlight w:val="none"/>
        </w:rPr>
        <w:fldChar w:fldCharType="begin"/>
      </w:r>
      <w:r>
        <w:rPr>
          <w:color w:val="auto"/>
          <w:highlight w:val="none"/>
        </w:rPr>
        <w:instrText xml:space="preserve"> HYPERLINK \l "_Toc30172" </w:instrText>
      </w:r>
      <w:r>
        <w:rPr>
          <w:color w:val="auto"/>
          <w:highlight w:val="none"/>
        </w:rPr>
        <w:fldChar w:fldCharType="separate"/>
      </w:r>
      <w:r>
        <w:rPr>
          <w:rFonts w:hint="eastAsia" w:ascii="宋体" w:hAnsi="宋体" w:cs="宋体"/>
          <w:b/>
          <w:bCs/>
          <w:color w:val="auto"/>
          <w:sz w:val="24"/>
          <w:highlight w:val="none"/>
        </w:rPr>
        <w:t>第二章 投标须知</w:t>
      </w:r>
      <w:r>
        <w:rPr>
          <w:rFonts w:hint="eastAsia" w:ascii="宋体" w:hAnsi="宋体" w:cs="宋体"/>
          <w:b/>
          <w:bCs/>
          <w:color w:val="auto"/>
          <w:sz w:val="24"/>
          <w:highlight w:val="none"/>
        </w:rPr>
        <w:tab/>
      </w: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PAGEREF _Toc30172 \h </w:instrText>
      </w:r>
      <w:r>
        <w:rPr>
          <w:rFonts w:hint="eastAsia" w:ascii="宋体" w:hAnsi="宋体" w:cs="宋体"/>
          <w:b/>
          <w:bCs/>
          <w:color w:val="auto"/>
          <w:sz w:val="24"/>
          <w:highlight w:val="none"/>
        </w:rPr>
        <w:fldChar w:fldCharType="separate"/>
      </w:r>
      <w:r>
        <w:rPr>
          <w:rFonts w:hint="eastAsia" w:ascii="宋体" w:hAnsi="宋体" w:cs="宋体"/>
          <w:b/>
          <w:bCs/>
          <w:color w:val="auto"/>
          <w:sz w:val="24"/>
          <w:highlight w:val="none"/>
        </w:rPr>
        <w:t>10</w:t>
      </w:r>
      <w:r>
        <w:rPr>
          <w:rFonts w:hint="eastAsia" w:ascii="宋体" w:hAnsi="宋体" w:cs="宋体"/>
          <w:b/>
          <w:bCs/>
          <w:color w:val="auto"/>
          <w:sz w:val="24"/>
          <w:highlight w:val="none"/>
        </w:rPr>
        <w:fldChar w:fldCharType="end"/>
      </w:r>
      <w:r>
        <w:rPr>
          <w:rFonts w:hint="eastAsia" w:ascii="宋体" w:hAnsi="宋体" w:cs="宋体"/>
          <w:b/>
          <w:bCs/>
          <w:color w:val="auto"/>
          <w:sz w:val="24"/>
          <w:highlight w:val="none"/>
        </w:rPr>
        <w:fldChar w:fldCharType="end"/>
      </w:r>
    </w:p>
    <w:p>
      <w:pPr>
        <w:pStyle w:val="13"/>
        <w:tabs>
          <w:tab w:val="right" w:leader="dot" w:pos="8306"/>
        </w:tabs>
        <w:spacing w:line="360" w:lineRule="auto"/>
        <w:rPr>
          <w:rFonts w:hint="eastAsia" w:ascii="宋体" w:hAnsi="宋体" w:cs="宋体"/>
          <w:b/>
          <w:bCs/>
          <w:color w:val="auto"/>
          <w:sz w:val="24"/>
          <w:highlight w:val="none"/>
        </w:rPr>
      </w:pPr>
      <w:r>
        <w:rPr>
          <w:color w:val="auto"/>
          <w:highlight w:val="none"/>
        </w:rPr>
        <w:fldChar w:fldCharType="begin"/>
      </w:r>
      <w:r>
        <w:rPr>
          <w:color w:val="auto"/>
          <w:highlight w:val="none"/>
        </w:rPr>
        <w:instrText xml:space="preserve"> HYPERLINK \l "_Toc25974" </w:instrText>
      </w:r>
      <w:r>
        <w:rPr>
          <w:color w:val="auto"/>
          <w:highlight w:val="none"/>
        </w:rPr>
        <w:fldChar w:fldCharType="separate"/>
      </w:r>
      <w:r>
        <w:rPr>
          <w:rFonts w:hint="eastAsia" w:ascii="宋体" w:hAnsi="宋体" w:cs="宋体"/>
          <w:b/>
          <w:bCs/>
          <w:color w:val="auto"/>
          <w:sz w:val="24"/>
          <w:highlight w:val="none"/>
        </w:rPr>
        <w:t>第三章 评标程序</w:t>
      </w:r>
      <w:r>
        <w:rPr>
          <w:rFonts w:hint="eastAsia" w:ascii="宋体" w:hAnsi="宋体" w:cs="宋体"/>
          <w:b/>
          <w:bCs/>
          <w:color w:val="auto"/>
          <w:sz w:val="24"/>
          <w:highlight w:val="none"/>
        </w:rPr>
        <w:tab/>
      </w: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PAGEREF _Toc25974 \h </w:instrText>
      </w:r>
      <w:r>
        <w:rPr>
          <w:rFonts w:hint="eastAsia" w:ascii="宋体" w:hAnsi="宋体" w:cs="宋体"/>
          <w:b/>
          <w:bCs/>
          <w:color w:val="auto"/>
          <w:sz w:val="24"/>
          <w:highlight w:val="none"/>
        </w:rPr>
        <w:fldChar w:fldCharType="separate"/>
      </w:r>
      <w:r>
        <w:rPr>
          <w:rFonts w:hint="eastAsia" w:ascii="宋体" w:hAnsi="宋体" w:cs="宋体"/>
          <w:b/>
          <w:bCs/>
          <w:color w:val="auto"/>
          <w:sz w:val="24"/>
          <w:highlight w:val="none"/>
        </w:rPr>
        <w:t>13</w:t>
      </w:r>
      <w:r>
        <w:rPr>
          <w:rFonts w:hint="eastAsia" w:ascii="宋体" w:hAnsi="宋体" w:cs="宋体"/>
          <w:b/>
          <w:bCs/>
          <w:color w:val="auto"/>
          <w:sz w:val="24"/>
          <w:highlight w:val="none"/>
        </w:rPr>
        <w:fldChar w:fldCharType="end"/>
      </w:r>
      <w:r>
        <w:rPr>
          <w:rFonts w:hint="eastAsia" w:ascii="宋体" w:hAnsi="宋体" w:cs="宋体"/>
          <w:b/>
          <w:bCs/>
          <w:color w:val="auto"/>
          <w:sz w:val="24"/>
          <w:highlight w:val="none"/>
        </w:rPr>
        <w:fldChar w:fldCharType="end"/>
      </w:r>
    </w:p>
    <w:p>
      <w:pPr>
        <w:pStyle w:val="13"/>
        <w:tabs>
          <w:tab w:val="right" w:leader="dot" w:pos="8306"/>
        </w:tabs>
        <w:spacing w:line="360" w:lineRule="auto"/>
        <w:rPr>
          <w:rFonts w:hint="eastAsia" w:ascii="宋体" w:hAnsi="宋体" w:cs="宋体"/>
          <w:b/>
          <w:bCs/>
          <w:color w:val="auto"/>
          <w:sz w:val="24"/>
          <w:highlight w:val="none"/>
        </w:rPr>
      </w:pPr>
      <w:r>
        <w:rPr>
          <w:color w:val="auto"/>
          <w:highlight w:val="none"/>
        </w:rPr>
        <w:fldChar w:fldCharType="begin"/>
      </w:r>
      <w:r>
        <w:rPr>
          <w:color w:val="auto"/>
          <w:highlight w:val="none"/>
        </w:rPr>
        <w:instrText xml:space="preserve"> HYPERLINK \l "_Toc8663" </w:instrText>
      </w:r>
      <w:r>
        <w:rPr>
          <w:color w:val="auto"/>
          <w:highlight w:val="none"/>
        </w:rPr>
        <w:fldChar w:fldCharType="separate"/>
      </w:r>
      <w:r>
        <w:rPr>
          <w:rFonts w:hint="eastAsia" w:ascii="宋体" w:hAnsi="宋体" w:cs="宋体"/>
          <w:b/>
          <w:bCs/>
          <w:color w:val="auto"/>
          <w:sz w:val="24"/>
          <w:highlight w:val="none"/>
        </w:rPr>
        <w:t>第四章 合同格式及合同条款</w:t>
      </w:r>
      <w:r>
        <w:rPr>
          <w:rFonts w:hint="eastAsia" w:ascii="宋体" w:hAnsi="宋体" w:cs="宋体"/>
          <w:b/>
          <w:bCs/>
          <w:color w:val="auto"/>
          <w:sz w:val="24"/>
          <w:highlight w:val="none"/>
        </w:rPr>
        <w:tab/>
      </w: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PAGEREF _Toc8663 \h </w:instrText>
      </w:r>
      <w:r>
        <w:rPr>
          <w:rFonts w:hint="eastAsia" w:ascii="宋体" w:hAnsi="宋体" w:cs="宋体"/>
          <w:b/>
          <w:bCs/>
          <w:color w:val="auto"/>
          <w:sz w:val="24"/>
          <w:highlight w:val="none"/>
        </w:rPr>
        <w:fldChar w:fldCharType="separate"/>
      </w:r>
      <w:r>
        <w:rPr>
          <w:rFonts w:hint="eastAsia" w:ascii="宋体" w:hAnsi="宋体" w:cs="宋体"/>
          <w:b/>
          <w:bCs/>
          <w:color w:val="auto"/>
          <w:sz w:val="24"/>
          <w:highlight w:val="none"/>
        </w:rPr>
        <w:t>15</w:t>
      </w:r>
      <w:r>
        <w:rPr>
          <w:rFonts w:hint="eastAsia" w:ascii="宋体" w:hAnsi="宋体" w:cs="宋体"/>
          <w:b/>
          <w:bCs/>
          <w:color w:val="auto"/>
          <w:sz w:val="24"/>
          <w:highlight w:val="none"/>
        </w:rPr>
        <w:fldChar w:fldCharType="end"/>
      </w:r>
      <w:r>
        <w:rPr>
          <w:rFonts w:hint="eastAsia" w:ascii="宋体" w:hAnsi="宋体" w:cs="宋体"/>
          <w:b/>
          <w:bCs/>
          <w:color w:val="auto"/>
          <w:sz w:val="24"/>
          <w:highlight w:val="none"/>
        </w:rPr>
        <w:fldChar w:fldCharType="end"/>
      </w:r>
    </w:p>
    <w:p>
      <w:pPr>
        <w:pStyle w:val="13"/>
        <w:tabs>
          <w:tab w:val="right" w:leader="dot" w:pos="8306"/>
        </w:tabs>
        <w:spacing w:line="360" w:lineRule="auto"/>
        <w:rPr>
          <w:rFonts w:hint="eastAsia" w:ascii="宋体" w:hAnsi="宋体" w:cs="宋体"/>
          <w:b/>
          <w:bCs/>
          <w:color w:val="auto"/>
          <w:sz w:val="24"/>
          <w:highlight w:val="none"/>
        </w:rPr>
      </w:pPr>
      <w:r>
        <w:rPr>
          <w:color w:val="auto"/>
          <w:highlight w:val="none"/>
        </w:rPr>
        <w:fldChar w:fldCharType="begin"/>
      </w:r>
      <w:r>
        <w:rPr>
          <w:color w:val="auto"/>
          <w:highlight w:val="none"/>
        </w:rPr>
        <w:instrText xml:space="preserve"> HYPERLINK \l "_Toc21532" </w:instrText>
      </w:r>
      <w:r>
        <w:rPr>
          <w:color w:val="auto"/>
          <w:highlight w:val="none"/>
        </w:rPr>
        <w:fldChar w:fldCharType="separate"/>
      </w:r>
      <w:r>
        <w:rPr>
          <w:rFonts w:hint="eastAsia" w:ascii="宋体" w:hAnsi="宋体" w:cs="宋体"/>
          <w:b/>
          <w:bCs/>
          <w:color w:val="auto"/>
          <w:sz w:val="24"/>
          <w:highlight w:val="none"/>
        </w:rPr>
        <w:t>附件1：服务团队名单</w:t>
      </w:r>
      <w:r>
        <w:rPr>
          <w:rFonts w:hint="eastAsia" w:ascii="宋体" w:hAnsi="宋体" w:cs="宋体"/>
          <w:b/>
          <w:bCs/>
          <w:color w:val="auto"/>
          <w:sz w:val="24"/>
          <w:highlight w:val="none"/>
        </w:rPr>
        <w:tab/>
      </w: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PAGEREF _Toc21532 \h </w:instrText>
      </w:r>
      <w:r>
        <w:rPr>
          <w:rFonts w:hint="eastAsia" w:ascii="宋体" w:hAnsi="宋体" w:cs="宋体"/>
          <w:b/>
          <w:bCs/>
          <w:color w:val="auto"/>
          <w:sz w:val="24"/>
          <w:highlight w:val="none"/>
        </w:rPr>
        <w:fldChar w:fldCharType="separate"/>
      </w:r>
      <w:r>
        <w:rPr>
          <w:rFonts w:hint="eastAsia" w:ascii="宋体" w:hAnsi="宋体" w:cs="宋体"/>
          <w:b/>
          <w:bCs/>
          <w:color w:val="auto"/>
          <w:sz w:val="24"/>
          <w:highlight w:val="none"/>
        </w:rPr>
        <w:t>27</w:t>
      </w:r>
      <w:r>
        <w:rPr>
          <w:rFonts w:hint="eastAsia" w:ascii="宋体" w:hAnsi="宋体" w:cs="宋体"/>
          <w:b/>
          <w:bCs/>
          <w:color w:val="auto"/>
          <w:sz w:val="24"/>
          <w:highlight w:val="none"/>
        </w:rPr>
        <w:fldChar w:fldCharType="end"/>
      </w:r>
      <w:r>
        <w:rPr>
          <w:rFonts w:hint="eastAsia" w:ascii="宋体" w:hAnsi="宋体" w:cs="宋体"/>
          <w:b/>
          <w:bCs/>
          <w:color w:val="auto"/>
          <w:sz w:val="24"/>
          <w:highlight w:val="none"/>
        </w:rPr>
        <w:fldChar w:fldCharType="end"/>
      </w:r>
    </w:p>
    <w:p>
      <w:pPr>
        <w:pStyle w:val="13"/>
        <w:tabs>
          <w:tab w:val="right" w:leader="dot" w:pos="8306"/>
        </w:tabs>
        <w:spacing w:line="360" w:lineRule="auto"/>
        <w:rPr>
          <w:rFonts w:hint="eastAsia" w:ascii="宋体" w:hAnsi="宋体" w:cs="宋体"/>
          <w:b/>
          <w:bCs/>
          <w:color w:val="auto"/>
          <w:sz w:val="24"/>
          <w:highlight w:val="none"/>
        </w:rPr>
      </w:pPr>
      <w:r>
        <w:rPr>
          <w:color w:val="auto"/>
          <w:highlight w:val="none"/>
        </w:rPr>
        <w:fldChar w:fldCharType="begin"/>
      </w:r>
      <w:r>
        <w:rPr>
          <w:color w:val="auto"/>
          <w:highlight w:val="none"/>
        </w:rPr>
        <w:instrText xml:space="preserve"> HYPERLINK \l "_Toc11333" </w:instrText>
      </w:r>
      <w:r>
        <w:rPr>
          <w:color w:val="auto"/>
          <w:highlight w:val="none"/>
        </w:rPr>
        <w:fldChar w:fldCharType="separate"/>
      </w:r>
      <w:r>
        <w:rPr>
          <w:rFonts w:hint="eastAsia" w:ascii="宋体" w:hAnsi="宋体" w:cs="宋体"/>
          <w:b/>
          <w:bCs/>
          <w:color w:val="auto"/>
          <w:sz w:val="24"/>
          <w:highlight w:val="none"/>
        </w:rPr>
        <w:t>第五章 用户需求书</w:t>
      </w:r>
      <w:r>
        <w:rPr>
          <w:rFonts w:hint="eastAsia" w:ascii="宋体" w:hAnsi="宋体" w:cs="宋体"/>
          <w:b/>
          <w:bCs/>
          <w:color w:val="auto"/>
          <w:sz w:val="24"/>
          <w:highlight w:val="none"/>
        </w:rPr>
        <w:tab/>
      </w: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PAGEREF _Toc11333 \h </w:instrText>
      </w:r>
      <w:r>
        <w:rPr>
          <w:rFonts w:hint="eastAsia" w:ascii="宋体" w:hAnsi="宋体" w:cs="宋体"/>
          <w:b/>
          <w:bCs/>
          <w:color w:val="auto"/>
          <w:sz w:val="24"/>
          <w:highlight w:val="none"/>
        </w:rPr>
        <w:fldChar w:fldCharType="separate"/>
      </w:r>
      <w:r>
        <w:rPr>
          <w:rFonts w:hint="eastAsia" w:ascii="宋体" w:hAnsi="宋体" w:cs="宋体"/>
          <w:b/>
          <w:bCs/>
          <w:color w:val="auto"/>
          <w:sz w:val="24"/>
          <w:highlight w:val="none"/>
        </w:rPr>
        <w:t>28</w:t>
      </w:r>
      <w:r>
        <w:rPr>
          <w:rFonts w:hint="eastAsia" w:ascii="宋体" w:hAnsi="宋体" w:cs="宋体"/>
          <w:b/>
          <w:bCs/>
          <w:color w:val="auto"/>
          <w:sz w:val="24"/>
          <w:highlight w:val="none"/>
        </w:rPr>
        <w:fldChar w:fldCharType="end"/>
      </w:r>
      <w:r>
        <w:rPr>
          <w:rFonts w:hint="eastAsia" w:ascii="宋体" w:hAnsi="宋体" w:cs="宋体"/>
          <w:b/>
          <w:bCs/>
          <w:color w:val="auto"/>
          <w:sz w:val="24"/>
          <w:highlight w:val="none"/>
        </w:rPr>
        <w:fldChar w:fldCharType="end"/>
      </w:r>
    </w:p>
    <w:p>
      <w:pPr>
        <w:pStyle w:val="13"/>
        <w:tabs>
          <w:tab w:val="right" w:leader="dot" w:pos="8306"/>
        </w:tabs>
        <w:spacing w:line="360" w:lineRule="auto"/>
        <w:rPr>
          <w:rFonts w:hint="eastAsia" w:ascii="宋体" w:hAnsi="宋体" w:cs="宋体"/>
          <w:b/>
          <w:bCs/>
          <w:color w:val="auto"/>
          <w:sz w:val="24"/>
          <w:highlight w:val="none"/>
        </w:rPr>
      </w:pPr>
      <w:r>
        <w:rPr>
          <w:color w:val="auto"/>
          <w:highlight w:val="none"/>
        </w:rPr>
        <w:fldChar w:fldCharType="begin"/>
      </w:r>
      <w:r>
        <w:rPr>
          <w:color w:val="auto"/>
          <w:highlight w:val="none"/>
        </w:rPr>
        <w:instrText xml:space="preserve"> HYPERLINK \l "_Toc10061" </w:instrText>
      </w:r>
      <w:r>
        <w:rPr>
          <w:color w:val="auto"/>
          <w:highlight w:val="none"/>
        </w:rPr>
        <w:fldChar w:fldCharType="separate"/>
      </w:r>
      <w:r>
        <w:rPr>
          <w:rFonts w:hint="eastAsia" w:ascii="宋体" w:hAnsi="宋体" w:cs="宋体"/>
          <w:b/>
          <w:bCs/>
          <w:color w:val="auto"/>
          <w:sz w:val="24"/>
          <w:highlight w:val="none"/>
        </w:rPr>
        <w:t>第六章 投标文件初审及招标项目评分表</w:t>
      </w:r>
      <w:r>
        <w:rPr>
          <w:rFonts w:hint="eastAsia" w:ascii="宋体" w:hAnsi="宋体" w:cs="宋体"/>
          <w:b/>
          <w:bCs/>
          <w:color w:val="auto"/>
          <w:sz w:val="24"/>
          <w:highlight w:val="none"/>
        </w:rPr>
        <w:tab/>
      </w: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PAGEREF _Toc10061 \h </w:instrText>
      </w:r>
      <w:r>
        <w:rPr>
          <w:rFonts w:hint="eastAsia" w:ascii="宋体" w:hAnsi="宋体" w:cs="宋体"/>
          <w:b/>
          <w:bCs/>
          <w:color w:val="auto"/>
          <w:sz w:val="24"/>
          <w:highlight w:val="none"/>
        </w:rPr>
        <w:fldChar w:fldCharType="separate"/>
      </w:r>
      <w:r>
        <w:rPr>
          <w:rFonts w:hint="eastAsia" w:ascii="宋体" w:hAnsi="宋体" w:cs="宋体"/>
          <w:b/>
          <w:bCs/>
          <w:color w:val="auto"/>
          <w:sz w:val="24"/>
          <w:highlight w:val="none"/>
        </w:rPr>
        <w:t>35</w:t>
      </w:r>
      <w:r>
        <w:rPr>
          <w:rFonts w:hint="eastAsia" w:ascii="宋体" w:hAnsi="宋体" w:cs="宋体"/>
          <w:b/>
          <w:bCs/>
          <w:color w:val="auto"/>
          <w:sz w:val="24"/>
          <w:highlight w:val="none"/>
        </w:rPr>
        <w:fldChar w:fldCharType="end"/>
      </w:r>
      <w:r>
        <w:rPr>
          <w:rFonts w:hint="eastAsia" w:ascii="宋体" w:hAnsi="宋体" w:cs="宋体"/>
          <w:b/>
          <w:bCs/>
          <w:color w:val="auto"/>
          <w:sz w:val="24"/>
          <w:highlight w:val="none"/>
        </w:rPr>
        <w:fldChar w:fldCharType="end"/>
      </w:r>
    </w:p>
    <w:p>
      <w:pPr>
        <w:pStyle w:val="13"/>
        <w:tabs>
          <w:tab w:val="right" w:leader="dot" w:pos="8306"/>
        </w:tabs>
        <w:spacing w:line="360" w:lineRule="auto"/>
        <w:rPr>
          <w:rFonts w:hint="eastAsia" w:ascii="宋体" w:hAnsi="宋体" w:cs="宋体"/>
          <w:b/>
          <w:bCs/>
          <w:color w:val="auto"/>
          <w:sz w:val="24"/>
          <w:highlight w:val="none"/>
        </w:rPr>
      </w:pPr>
      <w:r>
        <w:rPr>
          <w:color w:val="auto"/>
          <w:highlight w:val="none"/>
        </w:rPr>
        <w:fldChar w:fldCharType="begin"/>
      </w:r>
      <w:r>
        <w:rPr>
          <w:color w:val="auto"/>
          <w:highlight w:val="none"/>
        </w:rPr>
        <w:instrText xml:space="preserve"> HYPERLINK \l "_Toc31322" </w:instrText>
      </w:r>
      <w:r>
        <w:rPr>
          <w:color w:val="auto"/>
          <w:highlight w:val="none"/>
        </w:rPr>
        <w:fldChar w:fldCharType="separate"/>
      </w:r>
      <w:r>
        <w:rPr>
          <w:rFonts w:hint="eastAsia" w:ascii="宋体" w:hAnsi="宋体" w:cs="宋体"/>
          <w:b/>
          <w:bCs/>
          <w:color w:val="auto"/>
          <w:sz w:val="24"/>
          <w:highlight w:val="none"/>
        </w:rPr>
        <w:t>第七章 附件（投标文件格式）</w:t>
      </w:r>
      <w:r>
        <w:rPr>
          <w:rFonts w:hint="eastAsia" w:ascii="宋体" w:hAnsi="宋体" w:cs="宋体"/>
          <w:b/>
          <w:bCs/>
          <w:color w:val="auto"/>
          <w:sz w:val="24"/>
          <w:highlight w:val="none"/>
        </w:rPr>
        <w:tab/>
      </w: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PAGEREF _Toc31322 \h </w:instrText>
      </w:r>
      <w:r>
        <w:rPr>
          <w:rFonts w:hint="eastAsia" w:ascii="宋体" w:hAnsi="宋体" w:cs="宋体"/>
          <w:b/>
          <w:bCs/>
          <w:color w:val="auto"/>
          <w:sz w:val="24"/>
          <w:highlight w:val="none"/>
        </w:rPr>
        <w:fldChar w:fldCharType="separate"/>
      </w:r>
      <w:r>
        <w:rPr>
          <w:rFonts w:hint="eastAsia" w:ascii="宋体" w:hAnsi="宋体" w:cs="宋体"/>
          <w:b/>
          <w:bCs/>
          <w:color w:val="auto"/>
          <w:sz w:val="24"/>
          <w:highlight w:val="none"/>
        </w:rPr>
        <w:t>43</w:t>
      </w:r>
      <w:r>
        <w:rPr>
          <w:rFonts w:hint="eastAsia" w:ascii="宋体" w:hAnsi="宋体" w:cs="宋体"/>
          <w:b/>
          <w:bCs/>
          <w:color w:val="auto"/>
          <w:sz w:val="24"/>
          <w:highlight w:val="none"/>
        </w:rPr>
        <w:fldChar w:fldCharType="end"/>
      </w:r>
      <w:r>
        <w:rPr>
          <w:rFonts w:hint="eastAsia" w:ascii="宋体" w:hAnsi="宋体" w:cs="宋体"/>
          <w:b/>
          <w:bCs/>
          <w:color w:val="auto"/>
          <w:sz w:val="24"/>
          <w:highlight w:val="none"/>
        </w:rPr>
        <w:fldChar w:fldCharType="end"/>
      </w:r>
    </w:p>
    <w:p>
      <w:pPr>
        <w:pStyle w:val="13"/>
        <w:tabs>
          <w:tab w:val="right" w:leader="dot" w:pos="8306"/>
        </w:tabs>
        <w:spacing w:line="360" w:lineRule="auto"/>
        <w:rPr>
          <w:rFonts w:hint="eastAsia" w:ascii="宋体" w:hAnsi="宋体" w:cs="宋体"/>
          <w:b/>
          <w:bCs/>
          <w:color w:val="auto"/>
          <w:sz w:val="24"/>
          <w:highlight w:val="none"/>
        </w:rPr>
      </w:pPr>
      <w:r>
        <w:rPr>
          <w:color w:val="auto"/>
          <w:highlight w:val="none"/>
        </w:rPr>
        <w:fldChar w:fldCharType="begin"/>
      </w:r>
      <w:r>
        <w:rPr>
          <w:color w:val="auto"/>
          <w:highlight w:val="none"/>
        </w:rPr>
        <w:instrText xml:space="preserve"> HYPERLINK \l "_Toc2231" </w:instrText>
      </w:r>
      <w:r>
        <w:rPr>
          <w:color w:val="auto"/>
          <w:highlight w:val="none"/>
        </w:rPr>
        <w:fldChar w:fldCharType="separate"/>
      </w:r>
      <w:r>
        <w:rPr>
          <w:rFonts w:hint="eastAsia" w:ascii="宋体" w:hAnsi="宋体" w:cs="宋体"/>
          <w:b/>
          <w:bCs/>
          <w:color w:val="auto"/>
          <w:sz w:val="24"/>
          <w:highlight w:val="none"/>
        </w:rPr>
        <w:t>附件：相关政策</w:t>
      </w:r>
      <w:r>
        <w:rPr>
          <w:rFonts w:hint="eastAsia" w:ascii="宋体" w:hAnsi="宋体" w:cs="宋体"/>
          <w:b/>
          <w:bCs/>
          <w:color w:val="auto"/>
          <w:sz w:val="24"/>
          <w:highlight w:val="none"/>
        </w:rPr>
        <w:tab/>
      </w: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PAGEREF _Toc2231 \h </w:instrText>
      </w:r>
      <w:r>
        <w:rPr>
          <w:rFonts w:hint="eastAsia" w:ascii="宋体" w:hAnsi="宋体" w:cs="宋体"/>
          <w:b/>
          <w:bCs/>
          <w:color w:val="auto"/>
          <w:sz w:val="24"/>
          <w:highlight w:val="none"/>
        </w:rPr>
        <w:fldChar w:fldCharType="separate"/>
      </w:r>
      <w:r>
        <w:rPr>
          <w:rFonts w:hint="eastAsia" w:ascii="宋体" w:hAnsi="宋体" w:cs="宋体"/>
          <w:b/>
          <w:bCs/>
          <w:color w:val="auto"/>
          <w:sz w:val="24"/>
          <w:highlight w:val="none"/>
        </w:rPr>
        <w:t>74</w:t>
      </w:r>
      <w:r>
        <w:rPr>
          <w:rFonts w:hint="eastAsia" w:ascii="宋体" w:hAnsi="宋体" w:cs="宋体"/>
          <w:b/>
          <w:bCs/>
          <w:color w:val="auto"/>
          <w:sz w:val="24"/>
          <w:highlight w:val="none"/>
        </w:rPr>
        <w:fldChar w:fldCharType="end"/>
      </w:r>
      <w:r>
        <w:rPr>
          <w:rFonts w:hint="eastAsia" w:ascii="宋体" w:hAnsi="宋体" w:cs="宋体"/>
          <w:b/>
          <w:bCs/>
          <w:color w:val="auto"/>
          <w:sz w:val="24"/>
          <w:highlight w:val="none"/>
        </w:rPr>
        <w:fldChar w:fldCharType="end"/>
      </w:r>
    </w:p>
    <w:p>
      <w:pPr>
        <w:pStyle w:val="13"/>
        <w:tabs>
          <w:tab w:val="right" w:leader="dot" w:pos="8306"/>
        </w:tabs>
        <w:spacing w:line="360" w:lineRule="auto"/>
        <w:rPr>
          <w:rFonts w:hint="eastAsia" w:ascii="宋体" w:hAnsi="宋体" w:cs="宋体"/>
          <w:b/>
          <w:color w:val="auto"/>
          <w:sz w:val="24"/>
          <w:highlight w:val="none"/>
        </w:rPr>
      </w:pPr>
      <w:r>
        <w:rPr>
          <w:rFonts w:hint="eastAsia" w:ascii="宋体" w:hAnsi="宋体" w:cs="宋体"/>
          <w:b/>
          <w:bCs/>
          <w:color w:val="auto"/>
          <w:sz w:val="24"/>
          <w:highlight w:val="none"/>
        </w:rPr>
        <w:fldChar w:fldCharType="end"/>
      </w:r>
    </w:p>
    <w:p>
      <w:pPr>
        <w:spacing w:line="360" w:lineRule="auto"/>
        <w:rPr>
          <w:color w:val="auto"/>
          <w:highlight w:val="none"/>
        </w:rPr>
      </w:pPr>
    </w:p>
    <w:p>
      <w:pPr>
        <w:numPr>
          <w:ilvl w:val="0"/>
          <w:numId w:val="1"/>
        </w:numPr>
        <w:spacing w:line="360" w:lineRule="auto"/>
        <w:jc w:val="center"/>
        <w:outlineLvl w:val="0"/>
        <w:rPr>
          <w:rFonts w:hint="eastAsia" w:ascii="宋体" w:hAnsi="宋体" w:cs="宋体"/>
          <w:b/>
          <w:bCs/>
          <w:color w:val="auto"/>
          <w:sz w:val="24"/>
          <w:highlight w:val="none"/>
        </w:rPr>
      </w:pPr>
      <w:r>
        <w:rPr>
          <w:rFonts w:ascii="宋体"/>
          <w:b/>
          <w:bCs/>
          <w:color w:val="auto"/>
          <w:sz w:val="32"/>
          <w:szCs w:val="28"/>
          <w:highlight w:val="none"/>
        </w:rPr>
        <w:br w:type="page"/>
      </w:r>
      <w:r>
        <w:rPr>
          <w:rFonts w:hint="eastAsia" w:ascii="宋体"/>
          <w:b/>
          <w:bCs/>
          <w:color w:val="auto"/>
          <w:sz w:val="32"/>
          <w:szCs w:val="28"/>
          <w:highlight w:val="none"/>
        </w:rPr>
        <w:t xml:space="preserve"> </w:t>
      </w:r>
      <w:bookmarkStart w:id="9" w:name="_Toc17273"/>
      <w:bookmarkStart w:id="10" w:name="_Toc15219"/>
      <w:r>
        <w:rPr>
          <w:rFonts w:hint="eastAsia" w:ascii="宋体" w:hAnsi="宋体" w:cs="宋体"/>
          <w:b/>
          <w:bCs/>
          <w:color w:val="auto"/>
          <w:sz w:val="24"/>
          <w:highlight w:val="none"/>
        </w:rPr>
        <w:t>招标邀请书（招标公告）</w:t>
      </w:r>
      <w:bookmarkEnd w:id="9"/>
      <w:bookmarkEnd w:id="10"/>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北京国际招标有限公司（以下简称采购代理机构）受深圳市前海深港现代服务业合作区管理局委托就</w:t>
      </w:r>
      <w:r>
        <w:rPr>
          <w:rFonts w:hint="eastAsia" w:ascii="宋体" w:hAnsi="宋体" w:cs="宋体"/>
          <w:color w:val="auto"/>
          <w:sz w:val="24"/>
          <w:highlight w:val="none"/>
          <w:u w:val="single"/>
        </w:rPr>
        <w:t>前海综保区一线直通、智联监管项目可行性研究报告编制服务</w:t>
      </w:r>
      <w:r>
        <w:rPr>
          <w:rFonts w:hint="eastAsia" w:ascii="宋体" w:hAnsi="宋体" w:cs="宋体"/>
          <w:color w:val="auto"/>
          <w:sz w:val="24"/>
          <w:highlight w:val="none"/>
        </w:rPr>
        <w:t>采购项目（招标编号：</w:t>
      </w:r>
      <w:r>
        <w:rPr>
          <w:rFonts w:hint="eastAsia" w:ascii="宋体" w:hAnsi="宋体" w:cs="宋体"/>
          <w:color w:val="auto"/>
          <w:sz w:val="24"/>
          <w:highlight w:val="none"/>
          <w:u w:val="single"/>
        </w:rPr>
        <w:t>QH2025088）</w:t>
      </w:r>
      <w:r>
        <w:rPr>
          <w:rFonts w:hint="eastAsia" w:ascii="宋体" w:hAnsi="宋体" w:cs="宋体"/>
          <w:color w:val="auto"/>
          <w:sz w:val="24"/>
          <w:highlight w:val="none"/>
        </w:rPr>
        <w:t>采用简易招标方式采购，欢迎符合投标人资格要求的专业供应商积极参加投标。</w:t>
      </w:r>
    </w:p>
    <w:tbl>
      <w:tblPr>
        <w:tblStyle w:val="18"/>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招标编号</w:t>
            </w:r>
          </w:p>
        </w:tc>
        <w:tc>
          <w:tcPr>
            <w:tcW w:w="7015" w:type="dxa"/>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QH2025088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招标项目名称</w:t>
            </w:r>
          </w:p>
        </w:tc>
        <w:tc>
          <w:tcPr>
            <w:tcW w:w="7015" w:type="dxa"/>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前海综保区一线直通、智联监管项目可行性研究报告编制服务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标的内容</w:t>
            </w:r>
          </w:p>
        </w:tc>
        <w:tc>
          <w:tcPr>
            <w:tcW w:w="7015" w:type="dxa"/>
            <w:vAlign w:val="center"/>
          </w:tcPr>
          <w:p>
            <w:pPr>
              <w:spacing w:line="360" w:lineRule="auto"/>
              <w:rPr>
                <w:color w:val="auto"/>
                <w:highlight w:val="none"/>
              </w:rPr>
            </w:pPr>
            <w:r>
              <w:rPr>
                <w:rFonts w:hint="eastAsia" w:ascii="宋体" w:hAnsi="宋体" w:cs="宋体"/>
                <w:color w:val="auto"/>
                <w:sz w:val="24"/>
                <w:highlight w:val="none"/>
              </w:rPr>
              <w:t>按照《深圳经济特区政府投资项目管理条例》《深圳市前海管理局政府投资项目管理工作规程》《前海管理局政务信息化项目管理办法》等相关规定，开展“前海综保区一线直通、智联监管项目”可行性研究报告编制服务。具体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项目预算</w:t>
            </w: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（最高限价）</w:t>
            </w:r>
          </w:p>
        </w:tc>
        <w:tc>
          <w:tcPr>
            <w:tcW w:w="7015" w:type="dxa"/>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¥179,</w:t>
            </w:r>
            <w:r>
              <w:rPr>
                <w:rFonts w:ascii="宋体" w:hAnsi="宋体" w:cs="宋体"/>
                <w:color w:val="auto"/>
                <w:sz w:val="24"/>
                <w:highlight w:val="none"/>
              </w:rPr>
              <w:t>0</w:t>
            </w:r>
            <w:r>
              <w:rPr>
                <w:rFonts w:hint="eastAsia" w:ascii="宋体" w:hAnsi="宋体" w:cs="宋体"/>
                <w:color w:val="auto"/>
                <w:sz w:val="24"/>
                <w:highlight w:val="none"/>
              </w:rPr>
              <w:t>00.00（人民币壹拾柒万玖仟元整）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676" w:type="dxa"/>
            <w:vAlign w:val="center"/>
          </w:tcPr>
          <w:p>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标书获得办法</w:t>
            </w:r>
          </w:p>
        </w:tc>
        <w:tc>
          <w:tcPr>
            <w:tcW w:w="7015" w:type="dxa"/>
            <w:vAlign w:val="center"/>
          </w:tcPr>
          <w:p>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招标文件为电子版，投标人可在前海管理局官网（政务公开-采购信息-招标公告栏目）(</w:t>
            </w:r>
            <w:bookmarkStart w:id="11" w:name="OLE_LINK46"/>
            <w:r>
              <w:rPr>
                <w:rFonts w:hint="eastAsia" w:ascii="宋体" w:hAnsi="宋体" w:cs="宋体"/>
                <w:color w:val="auto"/>
                <w:kern w:val="0"/>
                <w:sz w:val="24"/>
                <w:highlight w:val="none"/>
              </w:rPr>
              <w:t>http://qh.sz.gov.cn/</w:t>
            </w:r>
            <w:bookmarkEnd w:id="11"/>
            <w:r>
              <w:rPr>
                <w:rFonts w:hint="eastAsia" w:ascii="宋体" w:hAnsi="宋体" w:cs="宋体"/>
                <w:color w:val="auto"/>
                <w:kern w:val="0"/>
                <w:sz w:val="24"/>
                <w:highlight w:val="none"/>
              </w:rPr>
              <w:t>)免费下载。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报名方式</w:t>
            </w:r>
          </w:p>
        </w:tc>
        <w:tc>
          <w:tcPr>
            <w:tcW w:w="7015" w:type="dxa"/>
            <w:vAlign w:val="center"/>
          </w:tcPr>
          <w:p>
            <w:pPr>
              <w:adjustRightInd w:val="0"/>
              <w:snapToGrid w:val="0"/>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将投标文件密封并在</w:t>
            </w:r>
            <w:r>
              <w:rPr>
                <w:rFonts w:hint="eastAsia" w:ascii="宋体" w:hAnsi="宋体" w:cs="宋体"/>
                <w:b/>
                <w:bCs/>
                <w:color w:val="auto"/>
                <w:kern w:val="0"/>
                <w:sz w:val="24"/>
                <w:highlight w:val="none"/>
              </w:rPr>
              <w:t>2025年</w:t>
            </w:r>
            <w:r>
              <w:rPr>
                <w:rFonts w:hint="eastAsia" w:ascii="宋体" w:hAnsi="宋体" w:cs="宋体"/>
                <w:b/>
                <w:bCs/>
                <w:color w:val="auto"/>
                <w:kern w:val="0"/>
                <w:sz w:val="24"/>
                <w:highlight w:val="none"/>
                <w:lang w:val="en-US" w:eastAsia="zh-CN"/>
              </w:rPr>
              <w:t>8</w:t>
            </w:r>
            <w:r>
              <w:rPr>
                <w:rFonts w:hint="eastAsia" w:ascii="宋体" w:hAnsi="宋体" w:cs="宋体"/>
                <w:b/>
                <w:bCs/>
                <w:color w:val="auto"/>
                <w:kern w:val="0"/>
                <w:sz w:val="24"/>
                <w:highlight w:val="none"/>
              </w:rPr>
              <w:t>月</w:t>
            </w:r>
            <w:r>
              <w:rPr>
                <w:rFonts w:hint="eastAsia" w:ascii="宋体" w:hAnsi="宋体" w:cs="宋体"/>
                <w:b/>
                <w:bCs/>
                <w:color w:val="auto"/>
                <w:kern w:val="0"/>
                <w:sz w:val="24"/>
                <w:highlight w:val="none"/>
                <w:lang w:val="en-US" w:eastAsia="zh-CN"/>
              </w:rPr>
              <w:t>18</w:t>
            </w:r>
            <w:r>
              <w:rPr>
                <w:rFonts w:hint="eastAsia" w:ascii="宋体" w:hAnsi="宋体" w:cs="宋体"/>
                <w:b/>
                <w:bCs/>
                <w:color w:val="auto"/>
                <w:kern w:val="0"/>
                <w:sz w:val="24"/>
                <w:highlight w:val="none"/>
              </w:rPr>
              <w:t>日上午10：00时（北京时间）</w:t>
            </w:r>
            <w:r>
              <w:rPr>
                <w:rFonts w:hint="eastAsia" w:ascii="宋体" w:hAnsi="宋体" w:cs="宋体"/>
                <w:color w:val="auto"/>
                <w:kern w:val="0"/>
                <w:sz w:val="24"/>
                <w:highlight w:val="none"/>
              </w:rPr>
              <w:t>前送达（现场递交或邮寄）至深圳市南山区前海深港合作区桂湾五路123号前海管理局前海大厦T1栋</w:t>
            </w:r>
            <w:r>
              <w:rPr>
                <w:rFonts w:ascii="宋体" w:hAnsi="宋体" w:cs="宋体"/>
                <w:color w:val="auto"/>
                <w:kern w:val="0"/>
                <w:sz w:val="24"/>
                <w:highlight w:val="none"/>
              </w:rPr>
              <w:t>2301</w:t>
            </w:r>
            <w:r>
              <w:rPr>
                <w:rFonts w:hint="eastAsia" w:ascii="宋体" w:hAnsi="宋体" w:cs="宋体"/>
                <w:color w:val="auto"/>
                <w:kern w:val="0"/>
                <w:sz w:val="24"/>
                <w:highlight w:val="none"/>
              </w:rPr>
              <w:t>室</w:t>
            </w:r>
          </w:p>
          <w:p>
            <w:pPr>
              <w:adjustRightInd w:val="0"/>
              <w:snapToGrid w:val="0"/>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联  系  人：万先生</w:t>
            </w:r>
          </w:p>
          <w:p>
            <w:pPr>
              <w:adjustRightInd w:val="0"/>
              <w:snapToGrid w:val="0"/>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电      话：0755-</w:t>
            </w:r>
            <w:r>
              <w:rPr>
                <w:rFonts w:ascii="宋体" w:hAnsi="宋体" w:cs="宋体"/>
                <w:color w:val="auto"/>
                <w:kern w:val="0"/>
                <w:sz w:val="24"/>
                <w:highlight w:val="none"/>
              </w:rPr>
              <w:t>88105325</w:t>
            </w:r>
          </w:p>
          <w:p>
            <w:pPr>
              <w:adjustRightInd w:val="0"/>
              <w:snapToGrid w:val="0"/>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注：如需现场谈判，投标人需在评标半小时内到达评标现场。若因特殊原因，可进行视频会议谈判。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vAlign w:val="center"/>
          </w:tcPr>
          <w:p>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投标人资格要求</w:t>
            </w:r>
          </w:p>
        </w:tc>
        <w:tc>
          <w:tcPr>
            <w:tcW w:w="7015" w:type="dxa"/>
            <w:vAlign w:val="center"/>
          </w:tcPr>
          <w:p>
            <w:pPr>
              <w:numPr>
                <w:ilvl w:val="0"/>
                <w:numId w:val="2"/>
              </w:num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在中华人民共和国境内注册的具有独立法人资格或具有独立承担民事责任的能力的其他组织</w:t>
            </w:r>
            <w:r>
              <w:rPr>
                <w:rFonts w:hint="eastAsia" w:ascii="宋体" w:hAnsi="宋体" w:cs="宋体"/>
                <w:b/>
                <w:bCs/>
                <w:color w:val="auto"/>
                <w:kern w:val="0"/>
                <w:sz w:val="24"/>
                <w:highlight w:val="none"/>
              </w:rPr>
              <w:t>（提供营业执照或事业单位法人证等法人证明复印件加盖投标人公章，分支机构投标须提供总公司(或总所)出具的愿为其参与本项目投标的行为以及履约等行为承担民事责任的承诺函，且同一家总公司(或总所)若有两家或两家以上的分支机构，总公司(或总所)只能授权一家参与投标）</w:t>
            </w:r>
            <w:r>
              <w:rPr>
                <w:rFonts w:hint="eastAsia" w:ascii="宋体" w:hAnsi="宋体" w:cs="宋体"/>
                <w:color w:val="auto"/>
                <w:kern w:val="0"/>
                <w:sz w:val="24"/>
                <w:highlight w:val="none"/>
              </w:rPr>
              <w:t>；</w:t>
            </w:r>
          </w:p>
          <w:p>
            <w:pPr>
              <w:numPr>
                <w:ilvl w:val="0"/>
                <w:numId w:val="2"/>
              </w:num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参与政府采购项目投标的供应商近三年内无行贿犯罪记录</w:t>
            </w:r>
            <w:r>
              <w:rPr>
                <w:rFonts w:hint="eastAsia" w:ascii="宋体" w:hAnsi="宋体" w:cs="宋体"/>
                <w:b/>
                <w:bCs/>
                <w:color w:val="auto"/>
                <w:kern w:val="0"/>
                <w:sz w:val="24"/>
                <w:highlight w:val="none"/>
              </w:rPr>
              <w:t>（由投标人在《政府采购投标及履约承诺函》中作出声明）</w:t>
            </w:r>
            <w:r>
              <w:rPr>
                <w:rFonts w:hint="eastAsia" w:ascii="宋体" w:hAnsi="宋体" w:cs="宋体"/>
                <w:color w:val="auto"/>
                <w:kern w:val="0"/>
                <w:sz w:val="24"/>
                <w:highlight w:val="none"/>
              </w:rPr>
              <w:t>；</w:t>
            </w:r>
          </w:p>
          <w:p>
            <w:pPr>
              <w:numPr>
                <w:ilvl w:val="0"/>
                <w:numId w:val="2"/>
              </w:num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参与本项目投标前三年内，在经营活动中没有重大违法记录以及不存在被有关部门禁止参与政府采购活动且在有效期内的情况</w:t>
            </w:r>
            <w:r>
              <w:rPr>
                <w:rFonts w:hint="eastAsia" w:ascii="宋体" w:hAnsi="宋体" w:cs="宋体"/>
                <w:b/>
                <w:bCs/>
                <w:color w:val="auto"/>
                <w:kern w:val="0"/>
                <w:sz w:val="24"/>
                <w:highlight w:val="none"/>
              </w:rPr>
              <w:t>（由投标人在《政府采购投标及履约承诺函》中作出声明）</w:t>
            </w:r>
            <w:r>
              <w:rPr>
                <w:rFonts w:hint="eastAsia" w:ascii="宋体" w:hAnsi="宋体" w:cs="宋体"/>
                <w:color w:val="auto"/>
                <w:kern w:val="0"/>
                <w:sz w:val="24"/>
                <w:highlight w:val="none"/>
              </w:rPr>
              <w:t>；</w:t>
            </w:r>
          </w:p>
          <w:p>
            <w:pPr>
              <w:numPr>
                <w:ilvl w:val="0"/>
                <w:numId w:val="2"/>
              </w:num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投标人承诺“本单位（公司）不存在《深圳市财政局政府采购供应商信用信息管理办法》（深财规〔2023〕3号）列明的严重违法失信行为”</w:t>
            </w:r>
            <w:r>
              <w:rPr>
                <w:rFonts w:hint="eastAsia" w:ascii="宋体" w:hAnsi="宋体" w:cs="宋体"/>
                <w:b/>
                <w:bCs/>
                <w:color w:val="auto"/>
                <w:kern w:val="0"/>
                <w:sz w:val="24"/>
                <w:highlight w:val="none"/>
              </w:rPr>
              <w:t>（由投标人在《政府采购投标及履约承诺函》中作出声明）</w:t>
            </w:r>
            <w:r>
              <w:rPr>
                <w:rFonts w:hint="eastAsia" w:ascii="宋体" w:hAnsi="宋体" w:cs="宋体"/>
                <w:color w:val="auto"/>
                <w:kern w:val="0"/>
                <w:sz w:val="24"/>
                <w:highlight w:val="none"/>
              </w:rPr>
              <w:t>；</w:t>
            </w:r>
          </w:p>
          <w:p>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numPr>
                <w:ilvl w:val="0"/>
                <w:numId w:val="2"/>
              </w:num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w:t>
            </w:r>
            <w:r>
              <w:rPr>
                <w:rFonts w:hint="eastAsia" w:ascii="宋体" w:hAnsi="宋体" w:cs="宋体"/>
                <w:b/>
                <w:bCs/>
                <w:color w:val="auto"/>
                <w:kern w:val="0"/>
                <w:sz w:val="24"/>
                <w:highlight w:val="none"/>
              </w:rPr>
              <w:t>（由投标人提供《供应商基本情况表》并加盖公章，同时提供投标人的社保缴纳证明材料及股权关系证明材料，格式见-投标文件格式）；</w:t>
            </w:r>
          </w:p>
          <w:p>
            <w:pPr>
              <w:numPr>
                <w:ilvl w:val="0"/>
                <w:numId w:val="2"/>
              </w:num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为此项目提供整体设计、规范编制或者项目管理、监理、检测等服务的供应商，不得再参加此项目的其他招标采购活动</w:t>
            </w:r>
            <w:r>
              <w:rPr>
                <w:rFonts w:hint="eastAsia" w:ascii="宋体" w:hAnsi="宋体" w:cs="宋体"/>
                <w:b/>
                <w:bCs/>
                <w:color w:val="auto"/>
                <w:kern w:val="0"/>
                <w:sz w:val="24"/>
                <w:highlight w:val="none"/>
              </w:rPr>
              <w:t>（由投标人在《政府采购投标及履约承诺函》中作出声明）；</w:t>
            </w:r>
          </w:p>
          <w:p>
            <w:pPr>
              <w:numPr>
                <w:ilvl w:val="0"/>
                <w:numId w:val="2"/>
              </w:num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落实政府采购政策需满足的资格要求：本项目不属于专门面向特定企业（单位）的采购项目，本项目采购标的对应的中小企业划分标准所属行业为：</w:t>
            </w:r>
            <w:bookmarkStart w:id="12" w:name="OLE_LINK5"/>
            <w:r>
              <w:rPr>
                <w:rFonts w:hint="eastAsia" w:ascii="宋体" w:hAnsi="宋体" w:cs="宋体"/>
                <w:color w:val="auto"/>
                <w:kern w:val="0"/>
                <w:sz w:val="24"/>
                <w:highlight w:val="none"/>
              </w:rPr>
              <w:t>软件和信息技术服务业。</w:t>
            </w:r>
            <w:bookmarkEnd w:id="12"/>
          </w:p>
          <w:p>
            <w:pPr>
              <w:numPr>
                <w:ilvl w:val="0"/>
                <w:numId w:val="2"/>
              </w:num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投标人属于在全国投资项目在线审批监管平台备案的工程咨询单位。</w:t>
            </w:r>
            <w:r>
              <w:rPr>
                <w:rFonts w:hint="eastAsia" w:ascii="宋体" w:hAnsi="宋体" w:cs="宋体"/>
                <w:b/>
                <w:bCs/>
                <w:color w:val="auto"/>
                <w:kern w:val="0"/>
                <w:sz w:val="24"/>
                <w:highlight w:val="none"/>
              </w:rPr>
              <w:t>（提供全国投资项目在线审批监管平台的查询截图）</w:t>
            </w:r>
          </w:p>
          <w:p>
            <w:pPr>
              <w:numPr>
                <w:ilvl w:val="0"/>
                <w:numId w:val="2"/>
              </w:num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本项目不接受联合体投标、不允许非法分包、转包。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报价要求</w:t>
            </w:r>
          </w:p>
        </w:tc>
        <w:tc>
          <w:tcPr>
            <w:tcW w:w="7015" w:type="dxa"/>
            <w:vAlign w:val="center"/>
          </w:tcPr>
          <w:p>
            <w:pPr>
              <w:numPr>
                <w:ilvl w:val="0"/>
                <w:numId w:val="3"/>
              </w:numPr>
              <w:spacing w:line="360" w:lineRule="auto"/>
              <w:rPr>
                <w:rFonts w:hint="eastAsia" w:ascii="宋体" w:hAnsi="宋体" w:cs="宋体"/>
                <w:color w:val="auto"/>
                <w:sz w:val="24"/>
                <w:highlight w:val="none"/>
              </w:rPr>
            </w:pPr>
            <w:bookmarkStart w:id="13" w:name="OLE_LINK11"/>
            <w:r>
              <w:rPr>
                <w:rFonts w:hint="eastAsia" w:ascii="宋体" w:hAnsi="宋体" w:cs="宋体"/>
                <w:color w:val="auto"/>
                <w:sz w:val="24"/>
                <w:highlight w:val="none"/>
              </w:rPr>
              <w:t>本次投标为总价包干，投标报价总价作为中标人与采购人签订的合同金额。投标人的报价不可高于</w:t>
            </w:r>
            <w:r>
              <w:rPr>
                <w:rFonts w:hint="eastAsia" w:ascii="宋体" w:hAnsi="宋体" w:cs="宋体"/>
                <w:color w:val="auto"/>
                <w:kern w:val="0"/>
                <w:sz w:val="24"/>
                <w:highlight w:val="none"/>
              </w:rPr>
              <w:t>预算（限价），否则投标人的投标文件视同无效。投标人的投标总价为完成项目及招标文件或合同条款所规定的工作内容的各项费用，应包括项目研究、成果报告编制、法定税费和企业的利润等为完成本项目服务所发生的全部相关费用。包含但不限于：人员费用及成果制作费、专家咨询费/评审费、车辆使用费、办公场所租赁费、差旅费、管理费、税费等</w:t>
            </w:r>
            <w:r>
              <w:rPr>
                <w:rFonts w:hint="eastAsia" w:ascii="宋体" w:hAnsi="宋体" w:cs="宋体"/>
                <w:color w:val="auto"/>
                <w:sz w:val="24"/>
                <w:highlight w:val="none"/>
              </w:rPr>
              <w:t>。一经中标，投标报价总价作为中标单位与采购人</w:t>
            </w:r>
            <w:r>
              <w:rPr>
                <w:rFonts w:hint="eastAsia" w:ascii="宋体" w:hAnsi="宋体" w:cs="宋体"/>
                <w:color w:val="auto"/>
                <w:sz w:val="24"/>
                <w:highlight w:val="none"/>
                <w:lang w:eastAsia="zh-CN"/>
              </w:rPr>
              <w:t>签订</w:t>
            </w:r>
            <w:r>
              <w:rPr>
                <w:rFonts w:hint="eastAsia" w:ascii="宋体" w:hAnsi="宋体" w:cs="宋体"/>
                <w:color w:val="auto"/>
                <w:sz w:val="24"/>
                <w:highlight w:val="none"/>
              </w:rPr>
              <w:t>的合同金额，合同期限内不做调整</w:t>
            </w:r>
            <w:bookmarkEnd w:id="13"/>
            <w:r>
              <w:rPr>
                <w:rFonts w:hint="eastAsia" w:ascii="宋体" w:hAnsi="宋体" w:cs="宋体"/>
                <w:color w:val="auto"/>
                <w:sz w:val="24"/>
                <w:highlight w:val="none"/>
              </w:rPr>
              <w:t>。</w:t>
            </w:r>
          </w:p>
          <w:p>
            <w:pPr>
              <w:numPr>
                <w:ilvl w:val="0"/>
                <w:numId w:val="3"/>
              </w:num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0"/>
                <w:numId w:val="3"/>
              </w:num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投标人的投标报价，应是本项目招标范围和招标文件及合同条款上所列的各项内容中所述的全部，不得以任何理由予以重复，并以投标人在投标文件中提出的综合单价或总价为依据。</w:t>
            </w:r>
          </w:p>
          <w:p>
            <w:pPr>
              <w:numPr>
                <w:ilvl w:val="0"/>
                <w:numId w:val="3"/>
              </w:num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投标人应充分了解项目的位置、情况、道路及任何其他足以影响投标报价的情况，任何因忽视或误解项目情况而导致的索赔或服务期限延长申请将不获批准。</w:t>
            </w:r>
          </w:p>
          <w:p>
            <w:pPr>
              <w:numPr>
                <w:ilvl w:val="0"/>
                <w:numId w:val="3"/>
              </w:numPr>
              <w:spacing w:line="360" w:lineRule="auto"/>
              <w:rPr>
                <w:rFonts w:hint="eastAsia" w:ascii="宋体" w:hAnsi="宋体" w:cs="宋体"/>
                <w:color w:val="auto"/>
                <w:sz w:val="24"/>
                <w:highlight w:val="none"/>
              </w:rPr>
            </w:pPr>
            <w:r>
              <w:rPr>
                <w:rFonts w:hint="eastAsia" w:ascii="宋体" w:hAnsi="宋体" w:cs="宋体"/>
                <w:color w:val="auto"/>
                <w:sz w:val="24"/>
                <w:highlight w:val="none"/>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联系方式</w:t>
            </w:r>
          </w:p>
        </w:tc>
        <w:tc>
          <w:tcPr>
            <w:tcW w:w="7015" w:type="dxa"/>
            <w:vAlign w:val="center"/>
          </w:tcPr>
          <w:p>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1.采购人信息</w:t>
            </w:r>
          </w:p>
          <w:p>
            <w:pPr>
              <w:spacing w:line="360" w:lineRule="auto"/>
              <w:rPr>
                <w:rFonts w:hint="eastAsia" w:ascii="宋体" w:hAnsi="宋体" w:cs="宋体"/>
                <w:color w:val="auto"/>
                <w:kern w:val="0"/>
                <w:sz w:val="24"/>
                <w:highlight w:val="none"/>
              </w:rPr>
            </w:pPr>
            <w:bookmarkStart w:id="14" w:name="_Toc28359086"/>
            <w:bookmarkStart w:id="15" w:name="_Toc28359009"/>
            <w:r>
              <w:rPr>
                <w:rFonts w:hint="eastAsia" w:ascii="宋体" w:hAnsi="宋体" w:cs="宋体"/>
                <w:color w:val="auto"/>
                <w:kern w:val="0"/>
                <w:sz w:val="24"/>
                <w:highlight w:val="none"/>
              </w:rPr>
              <w:t>名  称：深圳市前海深港现代服务业合作区管理局</w:t>
            </w:r>
          </w:p>
          <w:p>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地  址：深圳市南山区前海深港合作区桂湾五路123号前海管理局前海大厦T1栋　　　　　　　　　</w:t>
            </w:r>
          </w:p>
          <w:p>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联系人：万先生</w:t>
            </w:r>
          </w:p>
          <w:p>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电  话：0755-</w:t>
            </w:r>
            <w:r>
              <w:rPr>
                <w:rFonts w:ascii="宋体" w:hAnsi="宋体" w:cs="宋体"/>
                <w:color w:val="auto"/>
                <w:kern w:val="0"/>
                <w:sz w:val="24"/>
                <w:highlight w:val="none"/>
              </w:rPr>
              <w:t>88105325</w:t>
            </w:r>
          </w:p>
          <w:p>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2.采购代理机构信息</w:t>
            </w:r>
            <w:bookmarkEnd w:id="14"/>
            <w:bookmarkEnd w:id="15"/>
          </w:p>
          <w:p>
            <w:pPr>
              <w:spacing w:line="360" w:lineRule="auto"/>
              <w:rPr>
                <w:rFonts w:hint="eastAsia" w:ascii="宋体" w:hAnsi="宋体" w:cs="宋体"/>
                <w:color w:val="auto"/>
                <w:kern w:val="0"/>
                <w:sz w:val="24"/>
                <w:highlight w:val="none"/>
              </w:rPr>
            </w:pPr>
            <w:bookmarkStart w:id="16" w:name="_Toc28359087"/>
            <w:bookmarkStart w:id="17" w:name="_Toc28359010"/>
            <w:r>
              <w:rPr>
                <w:rFonts w:hint="eastAsia" w:ascii="宋体" w:hAnsi="宋体" w:cs="宋体"/>
                <w:color w:val="auto"/>
                <w:kern w:val="0"/>
                <w:sz w:val="24"/>
                <w:highlight w:val="none"/>
              </w:rPr>
              <w:t>名  称：北京国际招标有限公司</w:t>
            </w:r>
          </w:p>
          <w:p>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地  址：深圳市福田区莲花街道梅岭社区新闻路59号深茂商业中心10H-03</w:t>
            </w:r>
          </w:p>
          <w:p>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联系人：张先生</w:t>
            </w:r>
          </w:p>
          <w:p>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电  话：0755-83629963</w:t>
            </w:r>
          </w:p>
          <w:p>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邮  箱：759017044@qq.com</w:t>
            </w:r>
          </w:p>
          <w:p>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3.项目联系方式</w:t>
            </w:r>
            <w:bookmarkEnd w:id="16"/>
            <w:bookmarkEnd w:id="17"/>
          </w:p>
          <w:p>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项目联系人：张先生</w:t>
            </w:r>
          </w:p>
          <w:p>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电　话：0755-83629963</w:t>
            </w:r>
          </w:p>
        </w:tc>
      </w:tr>
    </w:tbl>
    <w:p>
      <w:pPr>
        <w:adjustRightInd w:val="0"/>
        <w:snapToGrid w:val="0"/>
        <w:spacing w:line="360" w:lineRule="auto"/>
        <w:ind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rPr>
        <w:t>北京国际招标有限公司</w:t>
      </w:r>
    </w:p>
    <w:p>
      <w:pPr>
        <w:adjustRightInd w:val="0"/>
        <w:snapToGrid w:val="0"/>
        <w:spacing w:line="360" w:lineRule="auto"/>
        <w:ind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 xml:space="preserve"> 2025年</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日</w:t>
      </w:r>
    </w:p>
    <w:p>
      <w:pPr>
        <w:numPr>
          <w:ilvl w:val="0"/>
          <w:numId w:val="1"/>
        </w:numPr>
        <w:spacing w:line="360" w:lineRule="auto"/>
        <w:jc w:val="center"/>
        <w:outlineLvl w:val="0"/>
        <w:rPr>
          <w:rFonts w:hint="eastAsia"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 xml:space="preserve"> </w:t>
      </w:r>
      <w:bookmarkStart w:id="18" w:name="_Toc30172"/>
      <w:bookmarkStart w:id="19" w:name="_Toc10214"/>
      <w:r>
        <w:rPr>
          <w:rFonts w:hint="eastAsia" w:ascii="宋体" w:hAnsi="宋体" w:cs="宋体"/>
          <w:b/>
          <w:bCs/>
          <w:color w:val="auto"/>
          <w:sz w:val="24"/>
          <w:highlight w:val="none"/>
        </w:rPr>
        <w:t>投标须知</w:t>
      </w:r>
      <w:bookmarkEnd w:id="18"/>
      <w:bookmarkEnd w:id="19"/>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1、本项目是深圳市前海深港现代服务业合作区管理局的前海综保区一线直通、智联监管项目可行性研究报告编制服务。</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本项目不属于《深圳市2025—2026年政府集中采购目录及限额标准》规定应集中采购项目，根据《中华人民共和国政府采购法》《深圳经济特区政府采购条例》的有关规定，北京国际招标有限公司受深圳市前海深港现代服务业合作区管理局委托组织采购。</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2.1、本次采购公开征集供应商，报名且符合招标文件初审的供应商满足3家或3家以上的，采用综合评分法的方式进行。报名且符合招标文件初审的供应商不足3家而导致招标失败的，应重新组织简易招标(公开征集)或转为其他采购方式采购。</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2.2、对于重新组织简易招标(公开征集)，仍出现有效投标供应商不足3家的情形，按以下流程执行：</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a.有效投标人为2家的，可在2家有效投标人中取得分最高者为中标供应商；</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b.如参与投标且符合招标文件要求的供应商仅有1家，评审委员会应与投标供应商进行谈判，原则上成交价不超过最初报价的95%。</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3、本项目根据项目的实际情况，公开征集符合投标人资格的供应商。请各供应商根据本文件的要求，准备</w:t>
      </w:r>
      <w:r>
        <w:rPr>
          <w:rFonts w:hint="eastAsia" w:ascii="宋体" w:hAnsi="宋体" w:cs="宋体"/>
          <w:b/>
          <w:bCs/>
          <w:color w:val="auto"/>
          <w:sz w:val="24"/>
          <w:highlight w:val="none"/>
        </w:rPr>
        <w:t>5套（1套正本，4套副本</w:t>
      </w:r>
      <w:bookmarkStart w:id="20" w:name="OLE_LINK1"/>
      <w:r>
        <w:rPr>
          <w:rFonts w:hint="eastAsia" w:ascii="宋体" w:hAnsi="宋体" w:cs="宋体"/>
          <w:b/>
          <w:bCs/>
          <w:color w:val="auto"/>
          <w:sz w:val="24"/>
          <w:highlight w:val="none"/>
        </w:rPr>
        <w:t>，</w:t>
      </w:r>
      <w:bookmarkStart w:id="21" w:name="OLE_LINK3"/>
      <w:r>
        <w:rPr>
          <w:rFonts w:hint="eastAsia" w:ascii="宋体" w:hAnsi="宋体" w:cs="宋体"/>
          <w:b/>
          <w:color w:val="auto"/>
          <w:sz w:val="24"/>
          <w:highlight w:val="none"/>
        </w:rPr>
        <w:t>1份</w:t>
      </w:r>
      <w:bookmarkEnd w:id="20"/>
      <w:bookmarkEnd w:id="21"/>
      <w:r>
        <w:rPr>
          <w:rFonts w:hint="eastAsia" w:ascii="宋体" w:hAnsi="宋体" w:cs="宋体"/>
          <w:b/>
          <w:color w:val="auto"/>
          <w:sz w:val="24"/>
          <w:highlight w:val="none"/>
        </w:rPr>
        <w:t>电子文档【电子文档包括：PDF格式的正本投标文件扫描件、与正本一致的word文档格式的投标文件】</w:t>
      </w:r>
      <w:r>
        <w:rPr>
          <w:rFonts w:hint="eastAsia" w:ascii="宋体" w:hAnsi="宋体" w:cs="宋体"/>
          <w:b/>
          <w:bCs/>
          <w:color w:val="auto"/>
          <w:sz w:val="24"/>
          <w:highlight w:val="none"/>
        </w:rPr>
        <w:t>）</w:t>
      </w:r>
      <w:r>
        <w:rPr>
          <w:rFonts w:hint="eastAsia" w:ascii="宋体" w:hAnsi="宋体" w:cs="宋体"/>
          <w:color w:val="auto"/>
          <w:sz w:val="24"/>
          <w:highlight w:val="none"/>
        </w:rPr>
        <w:t>完备的资料进行投标。</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4、本招标文件已对本次采购项目的商务条件和货物或服务的质量、技术要求、成果要求、交货要求、售后服务作出了明确的规定。</w:t>
      </w:r>
    </w:p>
    <w:p>
      <w:pPr>
        <w:snapToGrid w:val="0"/>
        <w:spacing w:after="78" w:afterLines="25" w:line="360" w:lineRule="auto"/>
        <w:rPr>
          <w:rFonts w:hint="eastAsia" w:ascii="宋体" w:hAnsi="宋体" w:cs="宋体"/>
          <w:color w:val="auto"/>
          <w:sz w:val="24"/>
          <w:highlight w:val="none"/>
        </w:rPr>
      </w:pPr>
      <w:r>
        <w:rPr>
          <w:rFonts w:hint="eastAsia" w:ascii="宋体" w:hAnsi="宋体" w:cs="宋体"/>
          <w:color w:val="auto"/>
          <w:sz w:val="24"/>
          <w:highlight w:val="none"/>
        </w:rPr>
        <w:t>5、响应文件要包括如下内容：</w:t>
      </w:r>
    </w:p>
    <w:p>
      <w:pPr>
        <w:numPr>
          <w:ilvl w:val="0"/>
          <w:numId w:val="4"/>
        </w:numPr>
        <w:tabs>
          <w:tab w:val="clear" w:pos="-420"/>
        </w:tabs>
        <w:snapToGrid w:val="0"/>
        <w:spacing w:after="78" w:afterLines="25" w:line="360" w:lineRule="auto"/>
        <w:ind w:left="1050" w:hanging="420"/>
        <w:rPr>
          <w:rFonts w:hint="eastAsia" w:ascii="宋体" w:hAnsi="宋体" w:cs="宋体"/>
          <w:color w:val="auto"/>
          <w:sz w:val="24"/>
          <w:highlight w:val="none"/>
        </w:rPr>
      </w:pPr>
      <w:r>
        <w:rPr>
          <w:rFonts w:hint="eastAsia" w:ascii="宋体" w:hAnsi="宋体" w:cs="宋体"/>
          <w:color w:val="auto"/>
          <w:sz w:val="24"/>
          <w:highlight w:val="none"/>
        </w:rPr>
        <w:t>价格部分；</w:t>
      </w:r>
    </w:p>
    <w:p>
      <w:pPr>
        <w:numPr>
          <w:ilvl w:val="0"/>
          <w:numId w:val="4"/>
        </w:numPr>
        <w:tabs>
          <w:tab w:val="clear" w:pos="-420"/>
        </w:tabs>
        <w:snapToGrid w:val="0"/>
        <w:spacing w:after="78" w:afterLines="25" w:line="360" w:lineRule="auto"/>
        <w:ind w:left="1050" w:hanging="420"/>
        <w:rPr>
          <w:rFonts w:hint="eastAsia" w:ascii="宋体" w:hAnsi="宋体" w:cs="宋体"/>
          <w:color w:val="auto"/>
          <w:sz w:val="24"/>
          <w:highlight w:val="none"/>
        </w:rPr>
      </w:pPr>
      <w:r>
        <w:rPr>
          <w:rFonts w:hint="eastAsia" w:ascii="宋体" w:hAnsi="宋体" w:cs="宋体"/>
          <w:color w:val="auto"/>
          <w:sz w:val="24"/>
          <w:highlight w:val="none"/>
        </w:rPr>
        <w:t>商务部分；</w:t>
      </w:r>
    </w:p>
    <w:p>
      <w:pPr>
        <w:numPr>
          <w:ilvl w:val="0"/>
          <w:numId w:val="4"/>
        </w:numPr>
        <w:tabs>
          <w:tab w:val="clear" w:pos="-420"/>
        </w:tabs>
        <w:snapToGrid w:val="0"/>
        <w:spacing w:after="78" w:afterLines="25" w:line="360" w:lineRule="auto"/>
        <w:ind w:left="1050" w:hanging="420"/>
        <w:rPr>
          <w:rFonts w:hint="eastAsia" w:ascii="宋体" w:hAnsi="宋体" w:cs="宋体"/>
          <w:color w:val="auto"/>
          <w:sz w:val="24"/>
          <w:highlight w:val="none"/>
        </w:rPr>
      </w:pPr>
      <w:r>
        <w:rPr>
          <w:rFonts w:hint="eastAsia" w:ascii="宋体" w:hAnsi="宋体" w:cs="宋体"/>
          <w:color w:val="auto"/>
          <w:sz w:val="24"/>
          <w:highlight w:val="none"/>
        </w:rPr>
        <w:t>技术部分。</w:t>
      </w:r>
    </w:p>
    <w:p>
      <w:pPr>
        <w:snapToGrid w:val="0"/>
        <w:spacing w:line="360" w:lineRule="auto"/>
        <w:rPr>
          <w:rFonts w:hint="eastAsia" w:ascii="宋体" w:hAnsi="宋体" w:cs="宋体"/>
          <w:b/>
          <w:color w:val="auto"/>
          <w:sz w:val="24"/>
          <w:highlight w:val="none"/>
        </w:rPr>
      </w:pPr>
      <w:r>
        <w:rPr>
          <w:rFonts w:hint="eastAsia" w:ascii="宋体" w:hAnsi="宋体" w:cs="宋体"/>
          <w:color w:val="auto"/>
          <w:sz w:val="24"/>
          <w:highlight w:val="none"/>
        </w:rPr>
        <w:t>6、</w:t>
      </w:r>
      <w:r>
        <w:rPr>
          <w:rFonts w:hint="eastAsia" w:ascii="宋体" w:hAnsi="宋体" w:cs="宋体"/>
          <w:bCs/>
          <w:color w:val="auto"/>
          <w:sz w:val="24"/>
          <w:highlight w:val="none"/>
        </w:rPr>
        <w:t>采购人会对本次招标的项目确定一个最高限价，最终成交价格超出最高限价将会被当作投标无效处理。</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7、如采购人要求参加投标的供应商需在现场述标时，要派出熟悉本项目情况的项目负责人和对报价有决策权的代表参加，供应商代表要有法人代表的授权，同时要提供法人代表证明。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8、采购人有权根据项目的实际情况提出质量标准、服务标准、交货标准、交货时间、验收方式、付款方式、履约保证、价格等方面的要求，并就这些内容进行评审，所有供应商都在同一标准下进行评审。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9、本次采购凡涉及知识产权问题，由项目供应商负责。</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10、采购人将组成评审委员会，评审工作由评审委员会独立负责。</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11、供应商应在规定的时间内提交投标文件，如需供应商代表到达现场，采购人或采购代理机构将至少在开标前一个工作日发出通知，供应商代表必须在规定的时间到达现场。</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12、采用综合评分法的情况：评审委员会将分别对供应商递交的投标文件进行评审。</w:t>
      </w:r>
    </w:p>
    <w:p>
      <w:pP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（1）评审委员会将根据供应商的供货能力、服务能力、货物的质量、是否满足本次采购的商务条件、报价等方面的情况进行综合评审，评标委员会依据得分情况，取综合得分最高的供应商为第一中标候选人。</w:t>
      </w:r>
    </w:p>
    <w:p>
      <w:pP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（2）如果二个及以上供应商的综合评分相同时，取投标价格低者为第一中标候选人。</w:t>
      </w:r>
    </w:p>
    <w:p>
      <w:pP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（3）如果二个及以上供应商的综合评分相同，且投标价格也相同时，取技术部分得分高者为第一中标候选人。</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13、采用谈判的情况：参与投标且符合招标文件要求的供应商仅有一家，评审委员会将与投标供应商进行谈判。</w:t>
      </w:r>
    </w:p>
    <w:p>
      <w:pP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（1）供应商在谈判时由项目负责人与评审委员会进行谈判；</w:t>
      </w:r>
    </w:p>
    <w:p>
      <w:pP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（2）原则上成交价不超过最初报价的95%。</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14、所有的评审/谈判内容都必须保密。</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15、招标代理服务收费：</w:t>
      </w:r>
    </w:p>
    <w:p>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具体计取费率标准如下表所示：</w:t>
      </w:r>
    </w:p>
    <w:tbl>
      <w:tblPr>
        <w:tblStyle w:val="18"/>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adjustRightInd w:val="0"/>
              <w:snapToGrid w:val="0"/>
              <w:spacing w:line="360" w:lineRule="auto"/>
              <w:ind w:right="26"/>
              <w:jc w:val="center"/>
              <w:rPr>
                <w:rFonts w:hint="eastAsia" w:ascii="宋体" w:hAnsi="宋体" w:cs="宋体"/>
                <w:b/>
                <w:bCs/>
                <w:color w:val="auto"/>
                <w:sz w:val="24"/>
                <w:highlight w:val="none"/>
              </w:rPr>
            </w:pPr>
            <w:r>
              <w:rPr>
                <w:rFonts w:hint="eastAsia" w:ascii="宋体" w:hAnsi="宋体" w:cs="宋体"/>
                <w:b/>
                <w:bCs/>
                <w:color w:val="auto"/>
                <w:sz w:val="24"/>
                <w:highlight w:val="none"/>
              </w:rPr>
              <w:t>中标金额</w:t>
            </w:r>
          </w:p>
        </w:tc>
        <w:tc>
          <w:tcPr>
            <w:tcW w:w="5495" w:type="dxa"/>
            <w:gridSpan w:val="3"/>
            <w:shd w:val="clear" w:color="auto" w:fill="D7D7D7"/>
            <w:vAlign w:val="center"/>
          </w:tcPr>
          <w:p>
            <w:pPr>
              <w:adjustRightInd w:val="0"/>
              <w:snapToGrid w:val="0"/>
              <w:spacing w:line="360" w:lineRule="auto"/>
              <w:ind w:right="26"/>
              <w:jc w:val="center"/>
              <w:rPr>
                <w:rFonts w:hint="eastAsia" w:ascii="宋体" w:hAnsi="宋体" w:cs="宋体"/>
                <w:b/>
                <w:bCs/>
                <w:color w:val="auto"/>
                <w:sz w:val="24"/>
                <w:highlight w:val="none"/>
              </w:rPr>
            </w:pPr>
            <w:r>
              <w:rPr>
                <w:rFonts w:hint="eastAsia" w:ascii="宋体" w:hAnsi="宋体" w:cs="宋体"/>
                <w:b/>
                <w:bCs/>
                <w:color w:val="auto"/>
                <w:sz w:val="24"/>
                <w:highlight w:val="none"/>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3124" w:type="dxa"/>
            <w:vMerge w:val="continue"/>
            <w:shd w:val="clear" w:color="auto" w:fill="D7D7D7"/>
            <w:vAlign w:val="center"/>
          </w:tcPr>
          <w:p>
            <w:pPr>
              <w:adjustRightInd w:val="0"/>
              <w:snapToGrid w:val="0"/>
              <w:spacing w:line="360" w:lineRule="auto"/>
              <w:ind w:right="26"/>
              <w:jc w:val="center"/>
              <w:rPr>
                <w:rFonts w:hint="eastAsia" w:ascii="宋体" w:hAnsi="宋体" w:cs="宋体"/>
                <w:b/>
                <w:bCs/>
                <w:color w:val="auto"/>
                <w:sz w:val="24"/>
                <w:highlight w:val="none"/>
              </w:rPr>
            </w:pPr>
          </w:p>
        </w:tc>
        <w:tc>
          <w:tcPr>
            <w:tcW w:w="1843" w:type="dxa"/>
            <w:shd w:val="clear" w:color="auto" w:fill="D7D7D7"/>
            <w:vAlign w:val="center"/>
          </w:tcPr>
          <w:p>
            <w:pPr>
              <w:adjustRightInd w:val="0"/>
              <w:snapToGrid w:val="0"/>
              <w:spacing w:line="360" w:lineRule="auto"/>
              <w:ind w:right="26"/>
              <w:jc w:val="center"/>
              <w:rPr>
                <w:rFonts w:hint="eastAsia" w:ascii="宋体" w:hAnsi="宋体" w:cs="宋体"/>
                <w:b/>
                <w:bCs/>
                <w:color w:val="auto"/>
                <w:sz w:val="24"/>
                <w:highlight w:val="none"/>
              </w:rPr>
            </w:pPr>
            <w:r>
              <w:rPr>
                <w:rFonts w:hint="eastAsia" w:ascii="宋体" w:hAnsi="宋体" w:cs="宋体"/>
                <w:b/>
                <w:bCs/>
                <w:color w:val="auto"/>
                <w:sz w:val="24"/>
                <w:highlight w:val="none"/>
              </w:rPr>
              <w:t>货物招标</w:t>
            </w:r>
          </w:p>
        </w:tc>
        <w:tc>
          <w:tcPr>
            <w:tcW w:w="1755" w:type="dxa"/>
            <w:shd w:val="clear" w:color="auto" w:fill="D7D7D7"/>
            <w:vAlign w:val="center"/>
          </w:tcPr>
          <w:p>
            <w:pPr>
              <w:adjustRightInd w:val="0"/>
              <w:snapToGrid w:val="0"/>
              <w:spacing w:line="360" w:lineRule="auto"/>
              <w:ind w:right="26"/>
              <w:jc w:val="center"/>
              <w:rPr>
                <w:rFonts w:hint="eastAsia" w:ascii="宋体" w:hAnsi="宋体" w:cs="宋体"/>
                <w:b/>
                <w:bCs/>
                <w:color w:val="auto"/>
                <w:sz w:val="24"/>
                <w:highlight w:val="none"/>
              </w:rPr>
            </w:pPr>
            <w:r>
              <w:rPr>
                <w:rFonts w:hint="eastAsia" w:ascii="宋体" w:hAnsi="宋体" w:cs="宋体"/>
                <w:b/>
                <w:bCs/>
                <w:color w:val="auto"/>
                <w:sz w:val="24"/>
                <w:highlight w:val="none"/>
              </w:rPr>
              <w:t>服务招标</w:t>
            </w:r>
          </w:p>
        </w:tc>
        <w:tc>
          <w:tcPr>
            <w:tcW w:w="1897" w:type="dxa"/>
            <w:shd w:val="clear" w:color="auto" w:fill="D7D7D7"/>
            <w:vAlign w:val="center"/>
          </w:tcPr>
          <w:p>
            <w:pPr>
              <w:adjustRightInd w:val="0"/>
              <w:snapToGrid w:val="0"/>
              <w:spacing w:line="360" w:lineRule="auto"/>
              <w:ind w:right="26"/>
              <w:jc w:val="center"/>
              <w:rPr>
                <w:rFonts w:hint="eastAsia" w:ascii="宋体" w:hAnsi="宋体" w:cs="宋体"/>
                <w:b/>
                <w:bCs/>
                <w:color w:val="auto"/>
                <w:sz w:val="24"/>
                <w:highlight w:val="none"/>
              </w:rPr>
            </w:pPr>
            <w:r>
              <w:rPr>
                <w:rFonts w:hint="eastAsia" w:ascii="宋体" w:hAnsi="宋体" w:cs="宋体"/>
                <w:b/>
                <w:bCs/>
                <w:color w:val="auto"/>
                <w:sz w:val="24"/>
                <w:highlight w:val="none"/>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100万元以下</w:t>
            </w:r>
          </w:p>
        </w:tc>
        <w:tc>
          <w:tcPr>
            <w:tcW w:w="1843" w:type="dxa"/>
            <w:vAlign w:val="center"/>
          </w:tcPr>
          <w:p>
            <w:pPr>
              <w:adjustRightInd w:val="0"/>
              <w:snapToGrid w:val="0"/>
              <w:spacing w:line="360" w:lineRule="auto"/>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1.5%</w:t>
            </w:r>
          </w:p>
        </w:tc>
        <w:tc>
          <w:tcPr>
            <w:tcW w:w="1755" w:type="dxa"/>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1.5%</w:t>
            </w:r>
          </w:p>
        </w:tc>
        <w:tc>
          <w:tcPr>
            <w:tcW w:w="1897" w:type="dxa"/>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100万元（含）-500万元</w:t>
            </w:r>
          </w:p>
        </w:tc>
        <w:tc>
          <w:tcPr>
            <w:tcW w:w="1843" w:type="dxa"/>
            <w:vAlign w:val="center"/>
          </w:tcPr>
          <w:p>
            <w:pPr>
              <w:adjustRightInd w:val="0"/>
              <w:snapToGrid w:val="0"/>
              <w:spacing w:line="360" w:lineRule="auto"/>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1755" w:type="dxa"/>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0.8%</w:t>
            </w:r>
          </w:p>
        </w:tc>
        <w:tc>
          <w:tcPr>
            <w:tcW w:w="1897" w:type="dxa"/>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500万元（含）-1000万元</w:t>
            </w:r>
          </w:p>
        </w:tc>
        <w:tc>
          <w:tcPr>
            <w:tcW w:w="1843" w:type="dxa"/>
            <w:vAlign w:val="center"/>
          </w:tcPr>
          <w:p>
            <w:pPr>
              <w:adjustRightInd w:val="0"/>
              <w:snapToGrid w:val="0"/>
              <w:spacing w:line="360" w:lineRule="auto"/>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0.8%</w:t>
            </w:r>
          </w:p>
        </w:tc>
        <w:tc>
          <w:tcPr>
            <w:tcW w:w="1755" w:type="dxa"/>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0.45%</w:t>
            </w:r>
          </w:p>
        </w:tc>
        <w:tc>
          <w:tcPr>
            <w:tcW w:w="1897" w:type="dxa"/>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1000万元（含）-5000万元</w:t>
            </w:r>
          </w:p>
        </w:tc>
        <w:tc>
          <w:tcPr>
            <w:tcW w:w="1843" w:type="dxa"/>
            <w:vAlign w:val="center"/>
          </w:tcPr>
          <w:p>
            <w:pPr>
              <w:adjustRightInd w:val="0"/>
              <w:snapToGrid w:val="0"/>
              <w:spacing w:line="360" w:lineRule="auto"/>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0.5%</w:t>
            </w:r>
          </w:p>
        </w:tc>
        <w:tc>
          <w:tcPr>
            <w:tcW w:w="1755" w:type="dxa"/>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0.25%</w:t>
            </w:r>
          </w:p>
        </w:tc>
        <w:tc>
          <w:tcPr>
            <w:tcW w:w="1897" w:type="dxa"/>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5000万元（含）-1亿元</w:t>
            </w:r>
          </w:p>
        </w:tc>
        <w:tc>
          <w:tcPr>
            <w:tcW w:w="1843" w:type="dxa"/>
            <w:vAlign w:val="center"/>
          </w:tcPr>
          <w:p>
            <w:pPr>
              <w:adjustRightInd w:val="0"/>
              <w:snapToGrid w:val="0"/>
              <w:spacing w:line="360" w:lineRule="auto"/>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0.25%</w:t>
            </w:r>
          </w:p>
        </w:tc>
        <w:tc>
          <w:tcPr>
            <w:tcW w:w="1755" w:type="dxa"/>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0.1%</w:t>
            </w:r>
          </w:p>
        </w:tc>
        <w:tc>
          <w:tcPr>
            <w:tcW w:w="1897" w:type="dxa"/>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1亿元（含）-5亿元</w:t>
            </w:r>
          </w:p>
        </w:tc>
        <w:tc>
          <w:tcPr>
            <w:tcW w:w="1843" w:type="dxa"/>
            <w:vAlign w:val="center"/>
          </w:tcPr>
          <w:p>
            <w:pPr>
              <w:adjustRightInd w:val="0"/>
              <w:snapToGrid w:val="0"/>
              <w:spacing w:line="360" w:lineRule="auto"/>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0.05%</w:t>
            </w:r>
          </w:p>
        </w:tc>
        <w:tc>
          <w:tcPr>
            <w:tcW w:w="1755" w:type="dxa"/>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0.05%</w:t>
            </w:r>
          </w:p>
        </w:tc>
        <w:tc>
          <w:tcPr>
            <w:tcW w:w="1897" w:type="dxa"/>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5亿元（含）-10亿元</w:t>
            </w:r>
          </w:p>
        </w:tc>
        <w:tc>
          <w:tcPr>
            <w:tcW w:w="1843" w:type="dxa"/>
            <w:vAlign w:val="center"/>
          </w:tcPr>
          <w:p>
            <w:pPr>
              <w:adjustRightInd w:val="0"/>
              <w:snapToGrid w:val="0"/>
              <w:spacing w:line="360" w:lineRule="auto"/>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0.035%</w:t>
            </w:r>
          </w:p>
        </w:tc>
        <w:tc>
          <w:tcPr>
            <w:tcW w:w="1755" w:type="dxa"/>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0.035%</w:t>
            </w:r>
          </w:p>
        </w:tc>
        <w:tc>
          <w:tcPr>
            <w:tcW w:w="1897" w:type="dxa"/>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10亿元（含）-50亿元</w:t>
            </w:r>
          </w:p>
        </w:tc>
        <w:tc>
          <w:tcPr>
            <w:tcW w:w="1843" w:type="dxa"/>
            <w:vAlign w:val="center"/>
          </w:tcPr>
          <w:p>
            <w:pPr>
              <w:adjustRightInd w:val="0"/>
              <w:snapToGrid w:val="0"/>
              <w:spacing w:line="360" w:lineRule="auto"/>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0.008%</w:t>
            </w:r>
          </w:p>
        </w:tc>
        <w:tc>
          <w:tcPr>
            <w:tcW w:w="1755" w:type="dxa"/>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0.008%</w:t>
            </w:r>
          </w:p>
        </w:tc>
        <w:tc>
          <w:tcPr>
            <w:tcW w:w="1897" w:type="dxa"/>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50亿元（含）-100亿元</w:t>
            </w:r>
          </w:p>
        </w:tc>
        <w:tc>
          <w:tcPr>
            <w:tcW w:w="1843" w:type="dxa"/>
            <w:vAlign w:val="center"/>
          </w:tcPr>
          <w:p>
            <w:pPr>
              <w:adjustRightInd w:val="0"/>
              <w:snapToGrid w:val="0"/>
              <w:spacing w:line="360" w:lineRule="auto"/>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0.006%</w:t>
            </w:r>
          </w:p>
        </w:tc>
        <w:tc>
          <w:tcPr>
            <w:tcW w:w="1755" w:type="dxa"/>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0.006%</w:t>
            </w:r>
          </w:p>
        </w:tc>
        <w:tc>
          <w:tcPr>
            <w:tcW w:w="1897" w:type="dxa"/>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100亿元（含）以上</w:t>
            </w:r>
          </w:p>
        </w:tc>
        <w:tc>
          <w:tcPr>
            <w:tcW w:w="1843" w:type="dxa"/>
            <w:vAlign w:val="center"/>
          </w:tcPr>
          <w:p>
            <w:pPr>
              <w:adjustRightInd w:val="0"/>
              <w:snapToGrid w:val="0"/>
              <w:spacing w:line="360" w:lineRule="auto"/>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0.004%</w:t>
            </w:r>
          </w:p>
        </w:tc>
        <w:tc>
          <w:tcPr>
            <w:tcW w:w="1755" w:type="dxa"/>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0.004%</w:t>
            </w:r>
          </w:p>
        </w:tc>
        <w:tc>
          <w:tcPr>
            <w:tcW w:w="1897" w:type="dxa"/>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0.004%</w:t>
            </w:r>
          </w:p>
        </w:tc>
      </w:tr>
    </w:tbl>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招标代理服务费缴纳至：</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开户名称：北京国际招标有限公司深圳分公司</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银行账号：15063366666619</w:t>
      </w:r>
    </w:p>
    <w:p>
      <w:pPr>
        <w:spacing w:line="360" w:lineRule="auto"/>
        <w:rPr>
          <w:rFonts w:hint="eastAsia" w:ascii="宋体" w:hAnsi="宋体" w:cs="宋体"/>
          <w:b/>
          <w:bCs/>
          <w:color w:val="auto"/>
          <w:sz w:val="24"/>
          <w:highlight w:val="none"/>
        </w:rPr>
        <w:sectPr>
          <w:footerReference r:id="rId3" w:type="default"/>
          <w:footerReference r:id="rId4" w:type="even"/>
          <w:pgSz w:w="11906" w:h="16838"/>
          <w:pgMar w:top="1440" w:right="1800" w:bottom="1440" w:left="1800" w:header="851" w:footer="992" w:gutter="0"/>
          <w:cols w:space="720" w:num="1"/>
          <w:docGrid w:type="lines" w:linePitch="312" w:charSpace="0"/>
        </w:sectPr>
      </w:pPr>
      <w:r>
        <w:rPr>
          <w:rFonts w:hint="eastAsia" w:ascii="宋体" w:hAnsi="宋体" w:cs="宋体"/>
          <w:color w:val="auto"/>
          <w:sz w:val="24"/>
          <w:highlight w:val="none"/>
        </w:rPr>
        <w:t>开户银行：平安银行深圳分行营业部</w:t>
      </w:r>
    </w:p>
    <w:p>
      <w:pPr>
        <w:numPr>
          <w:ilvl w:val="0"/>
          <w:numId w:val="1"/>
        </w:numPr>
        <w:spacing w:line="360" w:lineRule="auto"/>
        <w:jc w:val="center"/>
        <w:outlineLvl w:val="0"/>
        <w:rPr>
          <w:rFonts w:hint="eastAsia" w:ascii="宋体" w:hAnsi="宋体" w:cs="宋体"/>
          <w:b/>
          <w:bCs/>
          <w:color w:val="auto"/>
          <w:sz w:val="24"/>
          <w:highlight w:val="none"/>
        </w:rPr>
      </w:pPr>
      <w:r>
        <w:rPr>
          <w:rFonts w:hint="eastAsia" w:ascii="宋体" w:hAnsi="宋体" w:cs="宋体"/>
          <w:b/>
          <w:bCs/>
          <w:color w:val="auto"/>
          <w:sz w:val="24"/>
          <w:highlight w:val="none"/>
        </w:rPr>
        <w:t xml:space="preserve"> </w:t>
      </w:r>
      <w:bookmarkStart w:id="22" w:name="_Toc25974"/>
      <w:bookmarkStart w:id="23" w:name="_Toc20176"/>
      <w:r>
        <w:rPr>
          <w:rFonts w:hint="eastAsia" w:ascii="宋体" w:hAnsi="宋体" w:cs="宋体"/>
          <w:b/>
          <w:bCs/>
          <w:color w:val="auto"/>
          <w:sz w:val="24"/>
          <w:highlight w:val="none"/>
        </w:rPr>
        <w:t>评标程序</w:t>
      </w:r>
      <w:bookmarkEnd w:id="22"/>
      <w:bookmarkEnd w:id="23"/>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依法成立评审委员会。在投标截止日前由前海管理局授权招标代理机构在深圳市政府采购评审专家库中抽取专家，组建不少于3人（单数）的评审委员会，其中专家人数为1人，其他专家由采购主办部门委派，评审委员会在投标截止日前一天组成。</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二、参加会议人员：投标人代表（如需）、项目负责代表、评审委员会成员、监督部门代表（如需）、采购代理机构代表。</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三、会议主持人：北京国际招标有限公司工作人员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四、开标时间：2025年8月18日上午10：00时（北京时间）。</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五、会议开始：2025年8月18日上午10：00时（北京时间）由会议主持人宣布定标会议开始。</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六、项目负责代表向采购代理机构代表送交投标文件，监督部门代表（如有）确认投标文件密封完整，未密封投标文件将作为投标无效处理。</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七、由采购代理机构代表现场拆封投标文件，并分发给评审委员会成员。</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八、评审委员会审查供应商的投标文件，工作人员记录审查的情况。</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九、评审委员会按以下工作程序进行：</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1、评标委员会对各供应商的投标文件进行初审，对未能通过初审的投标文件作投标无效处理。</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2、对通过初审的供应商的投标文件进行详细的比较和评价。如需要，进行必要的澄清/说明工作。</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3、根据参与投标且符合招标文件要求的供应商数量情况，确定本项目的评审方法。</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4、采用综合评分法的情况：评审委员会将分别对供应商递交的投标文件进行评审。</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4.2如果二个及以上供应商的综合评分相同时，取投标价格低者为第一中标候选人。</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4.3如果二个及以上供应商的综合评分相同，且投标价格也相同时，取技术部分得分高者为第一中标候选人。</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5、采用谈判的情况：参与投标且符合招标文件要求的供应商仅有一家，评审委员会将与投标供应商进行谈判。</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5.1 供应商在谈判时由项目负责人与评审委员会进行谈判；</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5.2 原则上成交价不超过最初报价的95%。</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6、评审委员会按照本项目招标文件中规定的评标方法确定中标供应商。</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十、根据本次采购的结果，1</w:t>
      </w:r>
      <w:r>
        <w:rPr>
          <w:rFonts w:ascii="宋体" w:hAnsi="宋体" w:cs="宋体"/>
          <w:color w:val="auto"/>
          <w:sz w:val="24"/>
          <w:highlight w:val="none"/>
        </w:rPr>
        <w:t>0</w:t>
      </w:r>
      <w:r>
        <w:rPr>
          <w:rFonts w:hint="eastAsia" w:ascii="宋体" w:hAnsi="宋体" w:cs="宋体"/>
          <w:color w:val="auto"/>
          <w:sz w:val="24"/>
          <w:highlight w:val="none"/>
        </w:rPr>
        <w:t>个工作日内与中标供应商签订合同。</w:t>
      </w: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pStyle w:val="2"/>
        <w:rPr>
          <w:rFonts w:hint="eastAsia" w:ascii="宋体" w:hAnsi="宋体" w:cs="宋体"/>
          <w:color w:val="auto"/>
          <w:highlight w:val="none"/>
        </w:rPr>
      </w:pPr>
      <w:r>
        <w:rPr>
          <w:rFonts w:hint="eastAsia"/>
          <w:color w:val="auto"/>
          <w:highlight w:val="none"/>
        </w:rPr>
        <w:br w:type="page"/>
      </w:r>
    </w:p>
    <w:p>
      <w:pPr>
        <w:numPr>
          <w:ilvl w:val="0"/>
          <w:numId w:val="1"/>
        </w:numPr>
        <w:spacing w:line="360" w:lineRule="auto"/>
        <w:jc w:val="center"/>
        <w:outlineLvl w:val="0"/>
        <w:rPr>
          <w:rFonts w:hint="eastAsia" w:ascii="宋体" w:hAnsi="宋体" w:cs="宋体"/>
          <w:b/>
          <w:bCs/>
          <w:color w:val="auto"/>
          <w:sz w:val="24"/>
          <w:highlight w:val="none"/>
        </w:rPr>
      </w:pPr>
      <w:bookmarkStart w:id="24" w:name="_Toc8663"/>
      <w:bookmarkStart w:id="25" w:name="_Toc3567"/>
      <w:r>
        <w:rPr>
          <w:rFonts w:hint="eastAsia" w:ascii="宋体" w:hAnsi="宋体" w:cs="宋体"/>
          <w:b/>
          <w:bCs/>
          <w:color w:val="auto"/>
          <w:sz w:val="24"/>
          <w:highlight w:val="none"/>
        </w:rPr>
        <w:t xml:space="preserve"> 合同格式及合同条款</w:t>
      </w:r>
      <w:bookmarkEnd w:id="24"/>
      <w:bookmarkEnd w:id="25"/>
    </w:p>
    <w:p>
      <w:pPr>
        <w:spacing w:line="360" w:lineRule="auto"/>
        <w:ind w:firstLine="470" w:firstLineChars="196"/>
        <w:jc w:val="center"/>
        <w:rPr>
          <w:rFonts w:hint="eastAsia" w:ascii="宋体" w:hAnsi="宋体" w:cs="宋体"/>
          <w:color w:val="auto"/>
          <w:sz w:val="24"/>
          <w:highlight w:val="none"/>
        </w:rPr>
      </w:pPr>
      <w:bookmarkStart w:id="26" w:name="_Toc101074886"/>
      <w:bookmarkStart w:id="27" w:name="_Toc73521592"/>
      <w:bookmarkStart w:id="28" w:name="_Toc84303603"/>
      <w:bookmarkStart w:id="29" w:name="_Toc73521680"/>
      <w:bookmarkStart w:id="30" w:name="_Toc100052414"/>
      <w:bookmarkStart w:id="31" w:name="_Toc73517685"/>
      <w:bookmarkStart w:id="32" w:name="_Toc73518163"/>
    </w:p>
    <w:bookmarkEnd w:id="26"/>
    <w:bookmarkEnd w:id="27"/>
    <w:bookmarkEnd w:id="28"/>
    <w:bookmarkEnd w:id="29"/>
    <w:bookmarkEnd w:id="30"/>
    <w:bookmarkEnd w:id="31"/>
    <w:bookmarkEnd w:id="32"/>
    <w:p>
      <w:pPr>
        <w:pStyle w:val="32"/>
        <w:spacing w:line="360" w:lineRule="auto"/>
        <w:ind w:left="1470" w:right="1470" w:firstLine="482"/>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 xml:space="preserve">                        合同编号（甲方）：            </w:t>
      </w:r>
    </w:p>
    <w:p>
      <w:pPr>
        <w:pStyle w:val="32"/>
        <w:spacing w:line="360" w:lineRule="auto"/>
        <w:ind w:left="1470" w:right="1470" w:firstLine="482"/>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 xml:space="preserve">                        合同编号（乙方）：            </w:t>
      </w:r>
    </w:p>
    <w:p>
      <w:pPr>
        <w:pStyle w:val="32"/>
        <w:spacing w:line="360" w:lineRule="auto"/>
        <w:ind w:left="1470" w:right="1470" w:firstLine="482"/>
        <w:jc w:val="center"/>
        <w:rPr>
          <w:rFonts w:hint="eastAsia" w:ascii="宋体" w:hAnsi="宋体" w:cs="宋体"/>
          <w:b/>
          <w:color w:val="auto"/>
          <w:sz w:val="24"/>
          <w:szCs w:val="24"/>
          <w:highlight w:val="none"/>
        </w:rPr>
      </w:pPr>
    </w:p>
    <w:p>
      <w:pPr>
        <w:pStyle w:val="32"/>
        <w:spacing w:line="360" w:lineRule="auto"/>
        <w:ind w:left="1470" w:right="1470" w:firstLine="482"/>
        <w:rPr>
          <w:rFonts w:hint="eastAsia" w:ascii="宋体" w:hAnsi="宋体" w:cs="宋体"/>
          <w:b/>
          <w:color w:val="auto"/>
          <w:sz w:val="24"/>
          <w:szCs w:val="24"/>
          <w:highlight w:val="none"/>
        </w:rPr>
      </w:pPr>
      <w:r>
        <w:rPr>
          <w:rFonts w:hint="eastAsia" w:ascii="宋体" w:hAnsi="宋体" w:cs="宋体"/>
          <w:b/>
          <w:color w:val="auto"/>
          <w:sz w:val="24"/>
          <w:szCs w:val="24"/>
          <w:highlight w:val="none"/>
        </w:rPr>
        <w:t xml:space="preserve"> </w:t>
      </w:r>
    </w:p>
    <w:p>
      <w:pPr>
        <w:pStyle w:val="32"/>
        <w:spacing w:line="360" w:lineRule="auto"/>
        <w:ind w:left="1470" w:right="1470" w:firstLine="482"/>
        <w:rPr>
          <w:rFonts w:hint="eastAsia" w:ascii="宋体" w:hAnsi="宋体" w:cs="宋体"/>
          <w:b/>
          <w:color w:val="auto"/>
          <w:sz w:val="24"/>
          <w:szCs w:val="24"/>
          <w:highlight w:val="none"/>
        </w:rPr>
      </w:pPr>
      <w:r>
        <w:rPr>
          <w:rFonts w:hint="eastAsia" w:ascii="宋体" w:hAnsi="宋体" w:cs="宋体"/>
          <w:b/>
          <w:color w:val="auto"/>
          <w:sz w:val="24"/>
          <w:szCs w:val="24"/>
          <w:highlight w:val="none"/>
        </w:rPr>
        <w:t xml:space="preserve"> </w:t>
      </w:r>
    </w:p>
    <w:p>
      <w:pPr>
        <w:spacing w:line="360" w:lineRule="auto"/>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前海综保区一线直通、智联监管项目可行性研究报告编制服务</w:t>
      </w:r>
    </w:p>
    <w:p>
      <w:pPr>
        <w:spacing w:line="360" w:lineRule="auto"/>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委托合同</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pPr>
        <w:pStyle w:val="32"/>
        <w:spacing w:line="360" w:lineRule="auto"/>
        <w:ind w:left="1470" w:right="1470"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pPr>
        <w:pStyle w:val="32"/>
        <w:spacing w:line="360" w:lineRule="auto"/>
        <w:ind w:left="1470" w:right="1470"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 xml:space="preserve">  </w:t>
      </w:r>
    </w:p>
    <w:p>
      <w:pPr>
        <w:spacing w:line="360" w:lineRule="auto"/>
        <w:ind w:firstLine="720" w:firstLineChars="300"/>
        <w:rPr>
          <w:rFonts w:hint="eastAsia"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：前海综保区一线直通、智联监管项目可行性研究报告编制服务</w:t>
      </w:r>
    </w:p>
    <w:p>
      <w:pPr>
        <w:spacing w:line="360" w:lineRule="auto"/>
        <w:ind w:firstLine="720" w:firstLineChars="300"/>
        <w:rPr>
          <w:rFonts w:hint="eastAsia" w:ascii="宋体" w:hAnsi="宋体" w:cs="宋体"/>
          <w:color w:val="auto"/>
          <w:sz w:val="24"/>
          <w:highlight w:val="none"/>
          <w:u w:val="single"/>
        </w:rPr>
      </w:pPr>
      <w:r>
        <w:rPr>
          <w:rFonts w:hint="eastAsia" w:ascii="宋体" w:hAnsi="宋体" w:cs="宋体"/>
          <w:color w:val="auto"/>
          <w:sz w:val="24"/>
          <w:highlight w:val="none"/>
        </w:rPr>
        <w:t>项目类型：</w:t>
      </w:r>
      <w:r>
        <w:rPr>
          <w:rFonts w:hint="eastAsia" w:ascii="宋体" w:hAnsi="宋体" w:cs="宋体"/>
          <w:color w:val="auto"/>
          <w:sz w:val="24"/>
          <w:highlight w:val="none"/>
          <w:u w:val="single"/>
        </w:rPr>
        <w:t xml:space="preserve">           服务类       </w:t>
      </w:r>
      <w:r>
        <w:rPr>
          <w:rFonts w:ascii="宋体" w:hAnsi="宋体" w:cs="宋体"/>
          <w:color w:val="auto"/>
          <w:sz w:val="24"/>
          <w:highlight w:val="none"/>
          <w:u w:val="single"/>
        </w:rPr>
        <w:t xml:space="preserve">     </w:t>
      </w:r>
    </w:p>
    <w:p>
      <w:pPr>
        <w:spacing w:line="360" w:lineRule="auto"/>
        <w:ind w:firstLine="720" w:firstLineChars="300"/>
        <w:rPr>
          <w:rFonts w:hint="eastAsia" w:ascii="宋体" w:hAnsi="宋体" w:cs="宋体"/>
          <w:color w:val="auto"/>
          <w:sz w:val="24"/>
          <w:highlight w:val="none"/>
          <w:u w:val="single"/>
        </w:rPr>
      </w:pPr>
      <w:r>
        <w:rPr>
          <w:rFonts w:hint="eastAsia" w:ascii="宋体" w:hAnsi="宋体" w:cs="宋体"/>
          <w:color w:val="auto"/>
          <w:sz w:val="24"/>
          <w:highlight w:val="none"/>
        </w:rPr>
        <w:t>委托方（甲方）：</w:t>
      </w:r>
      <w:r>
        <w:rPr>
          <w:rFonts w:hint="eastAsia" w:ascii="宋体" w:hAnsi="宋体" w:cs="宋体"/>
          <w:color w:val="auto"/>
          <w:sz w:val="24"/>
          <w:highlight w:val="none"/>
          <w:u w:val="single"/>
        </w:rPr>
        <w:t xml:space="preserve">  深圳市前海深港现代服务业合作区管理局  </w:t>
      </w:r>
    </w:p>
    <w:p>
      <w:pPr>
        <w:spacing w:line="360" w:lineRule="auto"/>
        <w:ind w:firstLine="720" w:firstLineChars="300"/>
        <w:rPr>
          <w:rFonts w:hint="eastAsia" w:ascii="宋体" w:hAnsi="宋体" w:cs="宋体"/>
          <w:color w:val="auto"/>
          <w:sz w:val="24"/>
          <w:highlight w:val="none"/>
          <w:u w:val="single"/>
        </w:rPr>
      </w:pPr>
      <w:r>
        <w:rPr>
          <w:rFonts w:hint="eastAsia" w:ascii="宋体" w:hAnsi="宋体" w:cs="宋体"/>
          <w:color w:val="auto"/>
          <w:sz w:val="24"/>
          <w:highlight w:val="none"/>
        </w:rPr>
        <w:t>承接方（乙方）：</w:t>
      </w:r>
      <w:r>
        <w:rPr>
          <w:rFonts w:hint="eastAsia" w:ascii="宋体" w:hAnsi="宋体" w:cs="宋体"/>
          <w:color w:val="auto"/>
          <w:sz w:val="24"/>
          <w:highlight w:val="none"/>
          <w:u w:val="single"/>
        </w:rPr>
        <w:t xml:space="preserve">                                        </w:t>
      </w:r>
    </w:p>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 xml:space="preserve"> </w:t>
      </w:r>
    </w:p>
    <w:p>
      <w:pPr>
        <w:spacing w:line="360" w:lineRule="auto"/>
        <w:jc w:val="center"/>
        <w:rPr>
          <w:rFonts w:hint="eastAsia" w:ascii="宋体" w:hAnsi="宋体" w:cs="宋体"/>
          <w:color w:val="auto"/>
          <w:sz w:val="24"/>
          <w:highlight w:val="none"/>
        </w:rPr>
      </w:pP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二〇二五年  月</w:t>
      </w: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本合同共    页（不含封面）</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 xml:space="preserve">甲方： </w:t>
      </w:r>
      <w:r>
        <w:rPr>
          <w:rFonts w:hint="eastAsia" w:ascii="宋体" w:hAnsi="宋体" w:cs="宋体"/>
          <w:color w:val="auto"/>
          <w:sz w:val="24"/>
          <w:highlight w:val="none"/>
          <w:u w:val="single"/>
        </w:rPr>
        <w:t>深圳市前海深港现代服务业合作区管理局</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 xml:space="preserve">地址： </w:t>
      </w:r>
      <w:r>
        <w:rPr>
          <w:rFonts w:hint="eastAsia" w:ascii="宋体" w:hAnsi="宋体" w:cs="宋体"/>
          <w:color w:val="auto"/>
          <w:sz w:val="24"/>
          <w:highlight w:val="none"/>
          <w:u w:val="single"/>
        </w:rPr>
        <w:t>深圳市前海深港合作区</w:t>
      </w:r>
      <w:r>
        <w:rPr>
          <w:rFonts w:ascii="宋体" w:hAnsi="宋体" w:cs="宋体"/>
          <w:color w:val="auto"/>
          <w:sz w:val="24"/>
          <w:highlight w:val="none"/>
          <w:u w:val="single"/>
        </w:rPr>
        <w:t>桂湾五路123号前海大厦T1栋前海管理局</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 xml:space="preserve">法定代表人： </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 xml:space="preserve"> </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乙方：</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地址：</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法定代表人：</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 xml:space="preserve">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以下甲方和乙方合称“双方”。</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根据《中华人民共和国民法典》等法律、法规的相关规定和编号为【</w:t>
      </w:r>
      <w:r>
        <w:rPr>
          <w:rFonts w:hint="eastAsia" w:ascii="宋体" w:hAnsi="宋体" w:cs="宋体"/>
          <w:color w:val="auto"/>
          <w:sz w:val="24"/>
          <w:highlight w:val="none"/>
          <w:u w:val="single"/>
        </w:rPr>
        <w:t>QH2025</w:t>
      </w:r>
      <w:r>
        <w:rPr>
          <w:rFonts w:hint="default" w:ascii="宋体" w:hAnsi="宋体" w:cs="宋体"/>
          <w:color w:val="auto"/>
          <w:sz w:val="24"/>
          <w:highlight w:val="none"/>
          <w:u w:val="single"/>
          <w:lang w:val="en-US"/>
        </w:rPr>
        <w:t>088</w:t>
      </w:r>
      <w:r>
        <w:rPr>
          <w:rFonts w:hint="eastAsia" w:ascii="宋体" w:hAnsi="宋体" w:cs="宋体"/>
          <w:color w:val="auto"/>
          <w:sz w:val="24"/>
          <w:highlight w:val="none"/>
        </w:rPr>
        <w:t>】招标项目的中标结果，由【***】单位（以下简称乙方）为中标人。按照《中华人民共和国民法典》和《深圳经济特区政府采购条例》，经甲乙双方协商，就甲方委托</w:t>
      </w:r>
      <w:r>
        <w:rPr>
          <w:rFonts w:hint="eastAsia" w:ascii="宋体" w:hAnsi="宋体" w:cs="宋体"/>
          <w:b/>
          <w:bCs/>
          <w:color w:val="auto"/>
          <w:sz w:val="24"/>
          <w:highlight w:val="none"/>
          <w:u w:val="single"/>
        </w:rPr>
        <w:t>乙方开展</w:t>
      </w:r>
      <w:r>
        <w:rPr>
          <w:rFonts w:hint="eastAsia" w:ascii="宋体" w:hAnsi="宋体" w:cs="宋体"/>
          <w:color w:val="auto"/>
          <w:sz w:val="24"/>
          <w:highlight w:val="none"/>
          <w:u w:val="single"/>
        </w:rPr>
        <w:t>“前海综保区一线直通、智联监管项目可行性研究报告编制服务”</w:t>
      </w:r>
      <w:r>
        <w:rPr>
          <w:rFonts w:hint="eastAsia" w:ascii="宋体" w:hAnsi="宋体" w:cs="宋体"/>
          <w:b/>
          <w:bCs/>
          <w:color w:val="auto"/>
          <w:kern w:val="0"/>
          <w:sz w:val="24"/>
          <w:highlight w:val="none"/>
          <w:u w:val="single"/>
        </w:rPr>
        <w:t>（以下简称本项目）</w:t>
      </w:r>
      <w:r>
        <w:rPr>
          <w:rFonts w:hint="eastAsia" w:ascii="宋体" w:hAnsi="宋体" w:cs="宋体"/>
          <w:color w:val="auto"/>
          <w:sz w:val="24"/>
          <w:highlight w:val="none"/>
        </w:rPr>
        <w:t>，达成以下合同条款：</w:t>
      </w:r>
    </w:p>
    <w:p>
      <w:pPr>
        <w:numPr>
          <w:ilvl w:val="0"/>
          <w:numId w:val="5"/>
        </w:numPr>
        <w:spacing w:line="360" w:lineRule="auto"/>
        <w:ind w:left="11" w:firstLine="420"/>
        <w:rPr>
          <w:rFonts w:hint="eastAsia" w:ascii="宋体" w:hAnsi="宋体" w:cs="宋体"/>
          <w:b/>
          <w:bCs/>
          <w:color w:val="auto"/>
          <w:sz w:val="24"/>
          <w:highlight w:val="none"/>
        </w:rPr>
      </w:pPr>
      <w:r>
        <w:rPr>
          <w:rFonts w:hint="eastAsia" w:ascii="宋体" w:hAnsi="宋体" w:cs="宋体"/>
          <w:b/>
          <w:bCs/>
          <w:color w:val="auto"/>
          <w:sz w:val="24"/>
          <w:highlight w:val="none"/>
        </w:rPr>
        <w:t>建设内容</w:t>
      </w:r>
    </w:p>
    <w:p>
      <w:pPr>
        <w:adjustRightInd w:val="0"/>
        <w:spacing w:line="360" w:lineRule="auto"/>
        <w:ind w:left="11" w:firstLine="480" w:firstLineChars="200"/>
        <w:rPr>
          <w:rFonts w:hint="eastAsia" w:ascii="宋体" w:hAnsi="宋体" w:cs="宋体"/>
          <w:color w:val="auto"/>
          <w:sz w:val="24"/>
          <w:highlight w:val="none"/>
        </w:rPr>
      </w:pPr>
      <w:bookmarkStart w:id="33" w:name="OLE_LINK34"/>
      <w:bookmarkStart w:id="34" w:name="OLE_LINK35"/>
      <w:bookmarkStart w:id="35" w:name="_Toc23975"/>
      <w:r>
        <w:rPr>
          <w:rFonts w:hint="eastAsia" w:ascii="宋体" w:hAnsi="宋体" w:cs="宋体"/>
          <w:color w:val="auto"/>
          <w:sz w:val="24"/>
          <w:highlight w:val="none"/>
        </w:rPr>
        <w:t>探索构建实施安全便利高效的“一线直通、智联监管”模式，支持企业先行将货物从口岸提离入区，在区内理货、集拼后再转口出境，或转入保税账册管理。同时依托信息化、智能化监管技术，实现口岸监管、途中监管与区内可视化监管的全流程衔接，以关地协同管理强化综合治理，提高申报效率，缩短通关时间，降低企业成本，打造国际一流通关环境，建设高水平对外开放新格局。</w:t>
      </w:r>
    </w:p>
    <w:bookmarkEnd w:id="33"/>
    <w:p>
      <w:pPr>
        <w:numPr>
          <w:ilvl w:val="0"/>
          <w:numId w:val="5"/>
        </w:numPr>
        <w:adjustRightInd w:val="0"/>
        <w:spacing w:line="360" w:lineRule="auto"/>
        <w:ind w:left="11" w:firstLine="420"/>
        <w:rPr>
          <w:rFonts w:hint="eastAsia" w:ascii="宋体" w:hAnsi="宋体" w:cs="宋体"/>
          <w:b/>
          <w:bCs/>
          <w:color w:val="auto"/>
          <w:sz w:val="24"/>
          <w:highlight w:val="none"/>
        </w:rPr>
      </w:pPr>
      <w:r>
        <w:rPr>
          <w:rFonts w:hint="eastAsia" w:ascii="宋体" w:hAnsi="宋体" w:cs="宋体"/>
          <w:b/>
          <w:bCs/>
          <w:color w:val="auto"/>
          <w:sz w:val="24"/>
          <w:highlight w:val="none"/>
        </w:rPr>
        <w:t>服务内容</w:t>
      </w:r>
    </w:p>
    <w:p>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按照《深圳经济特区政府投资项目管理条例》《深圳市前海管理局政府投资项目管理工作规程》《前海管理局政务信息化项目管理办法》等相关规定，开展“前海综保区一线直通、智联监管项目”可行性研究报告编制服务。</w:t>
      </w:r>
    </w:p>
    <w:p>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从需求分析、场景设计、架构设计、数据设计、流程设计、标准规范、性能参数、功能指标、建设实施、测试方案、运行维护等方面进行总体设计，形成可行性研究报告。</w:t>
      </w:r>
    </w:p>
    <w:p>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可行性研究报告内容应按照国家有关编制要求及项目需求单位业务实际需要，符合《深圳市政府投资信息化工程建设项目可行性研究报告编制指南》和发改部门有关要求。</w:t>
      </w:r>
    </w:p>
    <w:bookmarkEnd w:id="34"/>
    <w:p>
      <w:pPr>
        <w:numPr>
          <w:ilvl w:val="0"/>
          <w:numId w:val="5"/>
        </w:numPr>
        <w:spacing w:line="360" w:lineRule="auto"/>
        <w:ind w:left="11" w:firstLine="420"/>
        <w:rPr>
          <w:rFonts w:hint="eastAsia" w:ascii="宋体" w:hAnsi="宋体" w:cs="宋体"/>
          <w:b/>
          <w:bCs/>
          <w:color w:val="auto"/>
          <w:sz w:val="24"/>
          <w:highlight w:val="none"/>
        </w:rPr>
      </w:pPr>
      <w:r>
        <w:rPr>
          <w:rFonts w:hint="eastAsia" w:ascii="宋体" w:hAnsi="宋体" w:cs="宋体"/>
          <w:b/>
          <w:bCs/>
          <w:color w:val="auto"/>
          <w:sz w:val="24"/>
          <w:highlight w:val="none"/>
        </w:rPr>
        <w:t>合同含税总价</w:t>
      </w:r>
      <w:bookmarkEnd w:id="35"/>
    </w:p>
    <w:p>
      <w:pPr>
        <w:adjustRightInd w:val="0"/>
        <w:spacing w:line="360" w:lineRule="auto"/>
        <w:ind w:left="11"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本项目合同含税总价为（大写）：_________________元（￥_______________元）人民币，总价包干。</w:t>
      </w:r>
    </w:p>
    <w:p>
      <w:pPr>
        <w:adjustRightInd w:val="0"/>
        <w:spacing w:line="360" w:lineRule="auto"/>
        <w:ind w:left="11"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合同金额应包括本项目可行性研究报告编制、法定税费和企业的利润等为完成本项目服务所发生的全部相关费用。服务费包含</w:t>
      </w:r>
      <w:r>
        <w:rPr>
          <w:rFonts w:hint="eastAsia" w:ascii="宋体" w:hAnsi="宋体" w:cs="宋体"/>
          <w:color w:val="auto"/>
          <w:sz w:val="24"/>
          <w:highlight w:val="none"/>
          <w:lang w:eastAsia="zh-Hans"/>
        </w:rPr>
        <w:t>但不限于</w:t>
      </w:r>
      <w:r>
        <w:rPr>
          <w:rFonts w:hint="eastAsia" w:ascii="宋体" w:hAnsi="宋体" w:cs="宋体"/>
          <w:color w:val="auto"/>
          <w:sz w:val="24"/>
          <w:highlight w:val="none"/>
        </w:rPr>
        <w:t>：</w:t>
      </w:r>
      <w:r>
        <w:rPr>
          <w:rFonts w:hint="eastAsia" w:ascii="宋体" w:hAnsi="宋体" w:cs="宋体"/>
          <w:color w:val="auto"/>
          <w:sz w:val="24"/>
          <w:highlight w:val="none"/>
          <w:lang w:eastAsia="zh-Hans"/>
        </w:rPr>
        <w:t>人员</w:t>
      </w:r>
      <w:r>
        <w:rPr>
          <w:rFonts w:hint="eastAsia" w:ascii="宋体" w:hAnsi="宋体" w:cs="宋体"/>
          <w:color w:val="auto"/>
          <w:sz w:val="24"/>
          <w:highlight w:val="none"/>
        </w:rPr>
        <w:t>费用及成果制作费、专家咨询费/评审费、车辆使用费、差旅费、管理费、税费等；在合同实施期间，除另签补充合同外，甲方不接受乙方以任何理由、任何名目提出增加费用的要求</w:t>
      </w:r>
      <w:r>
        <w:rPr>
          <w:rFonts w:hint="eastAsia" w:ascii="宋体" w:hAnsi="宋体" w:cs="宋体"/>
          <w:color w:val="auto"/>
          <w:sz w:val="24"/>
          <w:highlight w:val="none"/>
          <w:lang w:eastAsia="zh-CN"/>
        </w:rPr>
        <w:t>。</w:t>
      </w:r>
    </w:p>
    <w:p>
      <w:pPr>
        <w:adjustRightInd w:val="0"/>
        <w:spacing w:line="360" w:lineRule="auto"/>
        <w:ind w:left="11"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本项目合同最终支付总金额按照如下方式确定：</w:t>
      </w:r>
    </w:p>
    <w:p>
      <w:pPr>
        <w:adjustRightInd w:val="0"/>
        <w:spacing w:line="360" w:lineRule="auto"/>
        <w:ind w:left="11"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项目概算通过甲方发展改革部门批复后，如批复的可行性研究报告编制费用低于合同总价，则以批复费用作为合同总价。</w:t>
      </w:r>
    </w:p>
    <w:p>
      <w:pPr>
        <w:spacing w:line="360" w:lineRule="auto"/>
        <w:ind w:left="11" w:firstLine="420"/>
        <w:rPr>
          <w:rFonts w:hint="eastAsia" w:ascii="宋体" w:hAnsi="宋体" w:cs="宋体"/>
          <w:b/>
          <w:bCs/>
          <w:color w:val="auto"/>
          <w:sz w:val="24"/>
          <w:highlight w:val="none"/>
        </w:rPr>
      </w:pPr>
      <w:bookmarkStart w:id="36" w:name="_Toc30786"/>
      <w:r>
        <w:rPr>
          <w:rFonts w:hint="eastAsia" w:ascii="宋体" w:hAnsi="宋体" w:cs="宋体"/>
          <w:b/>
          <w:bCs/>
          <w:color w:val="auto"/>
          <w:sz w:val="24"/>
          <w:highlight w:val="none"/>
        </w:rPr>
        <w:t>三、技术资料</w:t>
      </w:r>
      <w:bookmarkEnd w:id="36"/>
    </w:p>
    <w:p>
      <w:pPr>
        <w:pStyle w:val="9"/>
        <w:snapToGrid w:val="0"/>
        <w:spacing w:line="360" w:lineRule="auto"/>
        <w:ind w:left="11" w:firstLine="480" w:firstLineChars="200"/>
        <w:rPr>
          <w:rFonts w:hint="eastAsia" w:hAnsi="宋体" w:cs="宋体"/>
          <w:color w:val="auto"/>
          <w:sz w:val="24"/>
          <w:highlight w:val="none"/>
        </w:rPr>
      </w:pPr>
      <w:r>
        <w:rPr>
          <w:rFonts w:hint="eastAsia" w:hAnsi="宋体" w:cs="宋体"/>
          <w:color w:val="auto"/>
          <w:sz w:val="24"/>
          <w:highlight w:val="none"/>
        </w:rPr>
        <w:t>1.乙方应按本合同规定的时间向甲方提供有关技术资料。</w:t>
      </w:r>
    </w:p>
    <w:p>
      <w:pPr>
        <w:pStyle w:val="9"/>
        <w:snapToGrid w:val="0"/>
        <w:spacing w:line="360" w:lineRule="auto"/>
        <w:ind w:left="11" w:firstLine="480" w:firstLineChars="200"/>
        <w:rPr>
          <w:rFonts w:hint="eastAsia" w:hAnsi="宋体" w:cs="宋体"/>
          <w:color w:val="auto"/>
          <w:sz w:val="24"/>
          <w:highlight w:val="none"/>
        </w:rPr>
      </w:pPr>
      <w:r>
        <w:rPr>
          <w:rFonts w:hint="eastAsia" w:hAnsi="宋体" w:cs="宋体"/>
          <w:color w:val="auto"/>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9"/>
        <w:snapToGrid w:val="0"/>
        <w:spacing w:line="360" w:lineRule="auto"/>
        <w:ind w:left="11" w:firstLine="480" w:firstLineChars="200"/>
        <w:rPr>
          <w:rFonts w:hint="eastAsia" w:hAnsi="宋体" w:cs="宋体"/>
          <w:color w:val="auto"/>
          <w:sz w:val="24"/>
          <w:highlight w:val="none"/>
        </w:rPr>
      </w:pPr>
      <w:r>
        <w:rPr>
          <w:rFonts w:hint="eastAsia" w:hAnsi="宋体" w:cs="宋体"/>
          <w:color w:val="auto"/>
          <w:sz w:val="24"/>
          <w:highlight w:val="none"/>
        </w:rPr>
        <w:t>3.合同履行完毕，未经甲方的书面同意，乙方不得保存在履行合同过程中所获得或接触到的任何内部数据资料。</w:t>
      </w:r>
    </w:p>
    <w:p>
      <w:pPr>
        <w:spacing w:line="360" w:lineRule="auto"/>
        <w:ind w:left="11" w:firstLine="420"/>
        <w:rPr>
          <w:rFonts w:hint="eastAsia" w:ascii="宋体" w:hAnsi="宋体" w:cs="宋体"/>
          <w:b/>
          <w:bCs/>
          <w:color w:val="auto"/>
          <w:sz w:val="24"/>
          <w:highlight w:val="none"/>
        </w:rPr>
      </w:pPr>
      <w:bookmarkStart w:id="37" w:name="_Toc9742"/>
      <w:r>
        <w:rPr>
          <w:rFonts w:hint="eastAsia" w:ascii="宋体" w:hAnsi="宋体" w:cs="宋体"/>
          <w:b/>
          <w:bCs/>
          <w:color w:val="auto"/>
          <w:sz w:val="24"/>
          <w:highlight w:val="none"/>
        </w:rPr>
        <w:t>四、知识产权</w:t>
      </w:r>
      <w:bookmarkEnd w:id="37"/>
    </w:p>
    <w:p>
      <w:pPr>
        <w:snapToGrid w:val="0"/>
        <w:spacing w:line="360" w:lineRule="auto"/>
        <w:ind w:left="11"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1.本项目全部阶段性成果和最终成果的所有权、知识产权以及与之相关的所有权利归甲方所有。</w:t>
      </w:r>
    </w:p>
    <w:p>
      <w:pPr>
        <w:snapToGrid w:val="0"/>
        <w:spacing w:line="360" w:lineRule="auto"/>
        <w:ind w:left="11"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2.双方确定，甲方有权利用乙方按照本合同约定提供的成果，进行后续改进。由此产生的具有实质性或创造性技术进步特征的新的成果及其权利归属，全部由甲方享有。具体相关利益的分配办法如下：甲方100%。</w:t>
      </w:r>
    </w:p>
    <w:p>
      <w:pPr>
        <w:snapToGrid w:val="0"/>
        <w:spacing w:line="360" w:lineRule="auto"/>
        <w:ind w:left="11"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3.乙方所提交的全部阶段性成果和最终成果文件及任何数据、资料、软件等不得侵犯任何第三方的知识产权或其他权利，由于该文件、数据、资料、软件侵权所导致的任何索赔或责任均由乙方承担。同时，甲方有权要求乙方修改成果至不侵权或解除合同，并保留要求乙方赔偿全部损失的权利，包括但不限于上述索赔或责任所产生的诉讼费用、保全费、律师费、鉴定评估费用、调查费用、和解金额或生效法律文书中规定的赔偿金额。</w:t>
      </w:r>
    </w:p>
    <w:p>
      <w:pPr>
        <w:snapToGrid w:val="0"/>
        <w:spacing w:line="360" w:lineRule="auto"/>
        <w:ind w:left="11"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未经甲方书面在先同意，乙方不得将本项目的阶段性成果和/或最终成果文件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包括但不限于上述索赔或责任所产生的诉讼费用、保全费、律师费、鉴定评估费用、调查费用、和解金额或生效法律文书中规定的赔偿金额。</w:t>
      </w:r>
    </w:p>
    <w:p>
      <w:pPr>
        <w:snapToGrid w:val="0"/>
        <w:spacing w:line="360" w:lineRule="auto"/>
        <w:ind w:left="11"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5.乙方完成本合同项目的研究开发人员享有在有关成果文件上写明成果完成者的权利和与甲方共同获得有关荣誉证书、奖励的权利。</w:t>
      </w:r>
    </w:p>
    <w:p>
      <w:pPr>
        <w:spacing w:line="360" w:lineRule="auto"/>
        <w:ind w:left="11" w:firstLine="420"/>
        <w:rPr>
          <w:rFonts w:hint="eastAsia" w:ascii="宋体" w:hAnsi="宋体" w:cs="宋体"/>
          <w:b/>
          <w:bCs/>
          <w:color w:val="auto"/>
          <w:sz w:val="24"/>
          <w:highlight w:val="none"/>
        </w:rPr>
      </w:pPr>
      <w:bookmarkStart w:id="38" w:name="_Toc16452"/>
      <w:r>
        <w:rPr>
          <w:rFonts w:hint="eastAsia" w:ascii="宋体" w:hAnsi="宋体" w:cs="宋体"/>
          <w:b/>
          <w:bCs/>
          <w:color w:val="auto"/>
          <w:sz w:val="24"/>
          <w:highlight w:val="none"/>
        </w:rPr>
        <w:t>五、甲方的权利与义务</w:t>
      </w:r>
      <w:bookmarkEnd w:id="38"/>
    </w:p>
    <w:p>
      <w:pPr>
        <w:pStyle w:val="9"/>
        <w:snapToGrid w:val="0"/>
        <w:spacing w:line="360" w:lineRule="auto"/>
        <w:ind w:left="11" w:firstLine="480" w:firstLineChars="200"/>
        <w:rPr>
          <w:rFonts w:hint="eastAsia" w:hAnsi="宋体" w:cs="宋体"/>
          <w:color w:val="auto"/>
          <w:sz w:val="24"/>
          <w:highlight w:val="none"/>
        </w:rPr>
      </w:pPr>
      <w:r>
        <w:rPr>
          <w:rFonts w:hint="eastAsia" w:hAnsi="宋体" w:cs="宋体"/>
          <w:color w:val="auto"/>
          <w:sz w:val="24"/>
          <w:highlight w:val="none"/>
        </w:rPr>
        <w:t>1.甲方的权利</w:t>
      </w:r>
    </w:p>
    <w:p>
      <w:pPr>
        <w:pStyle w:val="9"/>
        <w:snapToGrid w:val="0"/>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1.1甲方对项目研究过程的决策、控制、实施等环节实行全面管理，协调和监督项目工作开展，控制项目工作过程，进行项目成果验收。</w:t>
      </w:r>
    </w:p>
    <w:p>
      <w:pPr>
        <w:pStyle w:val="9"/>
        <w:snapToGrid w:val="0"/>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1.2检查乙方项目人员到位情况，如因人力、能力不足致使项目工作不能按计划完成时，可要求乙方增加或替换相应的技术人员，直至甲方认可，乙方不得拒绝。</w:t>
      </w:r>
    </w:p>
    <w:p>
      <w:pPr>
        <w:pStyle w:val="9"/>
        <w:snapToGrid w:val="0"/>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1.3甲方有权向乙方询问项目工作进展及相关情况，并要求乙方在指定时间内做出答复。</w:t>
      </w:r>
    </w:p>
    <w:p>
      <w:pPr>
        <w:pStyle w:val="9"/>
        <w:snapToGrid w:val="0"/>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1.4甲方有权对乙方提交的阶段性成果、最终成果等相关工作文件进行审核并提出修改意见，有权根据实际需要对成果进行综合优化、调整和修改。</w:t>
      </w:r>
    </w:p>
    <w:p>
      <w:pPr>
        <w:pStyle w:val="9"/>
        <w:snapToGrid w:val="0"/>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1.5如乙方所提供的用以说明和描述技术方案、研究成果、实施方案及步骤等项目成果文件，不具备实操性或实操性过低，影响最终方案、研究和设计成果文件的质量，甲方有权要求乙方重新执行相应的工作服务，由此产生的全部费用由乙方自行承担。同时，甲方的付款时间相应顺延。</w:t>
      </w:r>
    </w:p>
    <w:p>
      <w:pPr>
        <w:pStyle w:val="9"/>
        <w:snapToGrid w:val="0"/>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1.6甲方有权要求乙方全面履行合同。甲方不接受部分履行，如本合同项下部分成果文件未能按时交付则视为整体延误。</w:t>
      </w:r>
    </w:p>
    <w:p>
      <w:pPr>
        <w:pStyle w:val="9"/>
        <w:snapToGrid w:val="0"/>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1.7如甲方确认乙方工作人员未按照本合同要求履行职责，甲方有权要求乙方限期更换人员，直至终止合同并要求乙方承担相应赔偿责任。</w:t>
      </w:r>
    </w:p>
    <w:p>
      <w:pPr>
        <w:pStyle w:val="9"/>
        <w:snapToGrid w:val="0"/>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1.8甲方对乙方在委托权限范围内完成委托事项有指导、监督权利。</w:t>
      </w:r>
    </w:p>
    <w:p>
      <w:pPr>
        <w:pStyle w:val="9"/>
        <w:snapToGrid w:val="0"/>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2.甲方的义务</w:t>
      </w:r>
    </w:p>
    <w:p>
      <w:pPr>
        <w:pStyle w:val="9"/>
        <w:snapToGrid w:val="0"/>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2.1甲方应将项目所需相关档案资料、信息数据等移交给乙方，并要求乙方签收甲方提供的材料清单。</w:t>
      </w:r>
    </w:p>
    <w:p>
      <w:pPr>
        <w:pStyle w:val="9"/>
        <w:snapToGrid w:val="0"/>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2.2甲方对乙方按照合同约定所履行的服务提供必要的支持与协助。</w:t>
      </w:r>
    </w:p>
    <w:p>
      <w:pPr>
        <w:pStyle w:val="9"/>
        <w:snapToGrid w:val="0"/>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2.3根据合同约定的相关条款，按时支付乙方服务费用。</w:t>
      </w:r>
    </w:p>
    <w:p>
      <w:pPr>
        <w:pStyle w:val="9"/>
        <w:snapToGrid w:val="0"/>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2.4甲方指定项目联系人：</w:t>
      </w:r>
    </w:p>
    <w:p>
      <w:pPr>
        <w:pStyle w:val="9"/>
        <w:snapToGrid w:val="0"/>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 xml:space="preserve">姓名： </w:t>
      </w:r>
    </w:p>
    <w:p>
      <w:pPr>
        <w:pStyle w:val="9"/>
        <w:snapToGrid w:val="0"/>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联系方式：</w:t>
      </w:r>
    </w:p>
    <w:p>
      <w:pPr>
        <w:spacing w:line="360" w:lineRule="auto"/>
        <w:ind w:left="11" w:firstLine="420"/>
        <w:rPr>
          <w:rFonts w:hint="eastAsia" w:ascii="宋体" w:hAnsi="宋体" w:cs="宋体"/>
          <w:b/>
          <w:bCs/>
          <w:color w:val="auto"/>
          <w:sz w:val="24"/>
          <w:highlight w:val="none"/>
        </w:rPr>
      </w:pPr>
      <w:bookmarkStart w:id="39" w:name="_Toc29058"/>
      <w:r>
        <w:rPr>
          <w:rFonts w:hint="eastAsia" w:ascii="宋体" w:hAnsi="宋体" w:cs="宋体"/>
          <w:b/>
          <w:bCs/>
          <w:color w:val="auto"/>
          <w:sz w:val="24"/>
          <w:highlight w:val="none"/>
        </w:rPr>
        <w:t>六、乙方的权利与义务</w:t>
      </w:r>
      <w:bookmarkEnd w:id="39"/>
    </w:p>
    <w:p>
      <w:pPr>
        <w:pStyle w:val="9"/>
        <w:snapToGrid w:val="0"/>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1.乙方的权利</w:t>
      </w:r>
    </w:p>
    <w:p>
      <w:pPr>
        <w:pStyle w:val="9"/>
        <w:snapToGrid w:val="0"/>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1.1根据项目工作的需要，可要求甲方提供或协助乙方收集相关资料。</w:t>
      </w:r>
    </w:p>
    <w:p>
      <w:pPr>
        <w:pStyle w:val="9"/>
        <w:snapToGrid w:val="0"/>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1.2参与本项目服务相关的工作会议及技术会议。</w:t>
      </w:r>
    </w:p>
    <w:p>
      <w:pPr>
        <w:pStyle w:val="9"/>
        <w:snapToGrid w:val="0"/>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1.3根据合同约定收取相应的服务费。</w:t>
      </w:r>
    </w:p>
    <w:p>
      <w:pPr>
        <w:pStyle w:val="9"/>
        <w:snapToGrid w:val="0"/>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2.乙方的义务</w:t>
      </w:r>
    </w:p>
    <w:p>
      <w:pPr>
        <w:pStyle w:val="9"/>
        <w:snapToGrid w:val="0"/>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2.1乙方应按国家及深圳的有关法律法规、设计标准、技术规范以及本合同约定的工作内容、工作进度等要求提供项目服务，并对其提交的研究意见负责。对于与本项目工作内容相关的其他相关项目，乙方应进行充分了解并做好协调与衔接工作。</w:t>
      </w:r>
    </w:p>
    <w:p>
      <w:pPr>
        <w:pStyle w:val="9"/>
        <w:snapToGrid w:val="0"/>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2.2对甲方提出的合理的额外服务，不应予以拒绝。</w:t>
      </w:r>
    </w:p>
    <w:p>
      <w:pPr>
        <w:pStyle w:val="9"/>
        <w:snapToGrid w:val="0"/>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2.3如乙方提供的项目意见等成果文件不符合本合同要求，必须在甲方提出要求七个日历日内无条件修改，其费用由乙方自行承担。修改期间，甲方付款时间相应顺延。</w:t>
      </w:r>
    </w:p>
    <w:p>
      <w:pPr>
        <w:pStyle w:val="9"/>
        <w:snapToGrid w:val="0"/>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2.4乙方不得将本合同项下权利义务</w:t>
      </w:r>
      <w:r>
        <w:rPr>
          <w:rFonts w:hint="eastAsia" w:hAnsi="宋体" w:cs="宋体"/>
          <w:color w:val="auto"/>
          <w:sz w:val="24"/>
          <w:highlight w:val="none"/>
          <w:lang w:eastAsia="zh-Hans"/>
        </w:rPr>
        <w:t>部分或全部</w:t>
      </w:r>
      <w:r>
        <w:rPr>
          <w:rFonts w:hint="eastAsia" w:hAnsi="宋体" w:cs="宋体"/>
          <w:color w:val="auto"/>
          <w:sz w:val="24"/>
          <w:highlight w:val="none"/>
        </w:rPr>
        <w:t>转让给任何第三方。</w:t>
      </w:r>
    </w:p>
    <w:p>
      <w:pPr>
        <w:pStyle w:val="9"/>
        <w:snapToGrid w:val="0"/>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2.5乙方对其工作人员在合同履行期间的一切行为负责，期间发生的一切安全事故责任、其他人身损害以外及因此发生的人身损害赔偿和其他费用由乙方自行承担，概与甲方无关。若因此导致甲方支付赔偿及其他费用，乙方应全部偿还给甲方。</w:t>
      </w:r>
    </w:p>
    <w:p>
      <w:pPr>
        <w:pStyle w:val="9"/>
        <w:snapToGrid w:val="0"/>
        <w:spacing w:line="360" w:lineRule="auto"/>
        <w:ind w:firstLine="480" w:firstLineChars="200"/>
        <w:rPr>
          <w:rFonts w:hint="eastAsia" w:hAnsi="宋体" w:cs="宋体"/>
          <w:color w:val="auto"/>
          <w:kern w:val="0"/>
          <w:sz w:val="24"/>
          <w:highlight w:val="none"/>
        </w:rPr>
      </w:pPr>
      <w:r>
        <w:rPr>
          <w:rFonts w:hint="eastAsia" w:hAnsi="宋体" w:cs="宋体"/>
          <w:color w:val="auto"/>
          <w:kern w:val="0"/>
          <w:sz w:val="24"/>
          <w:highlight w:val="none"/>
        </w:rPr>
        <w:t>2.6为保证项目成果的质量，乙方在合同履行期间，应按照要求成立专门的项目小组，并保障项目团队成员（含项目负责人）到位。项目负责人负责对项目实施全过程进行组织和指导，并承担项目的实质性工作。乙方应保证本合同的主要核心成员在项目实施期间全程参与项目实质性工作。如确需更换项目团队成员（含项目负责人），乙方应事先征得甲方的书面同意，且接替人员的职位、资历应与原定成员相当，否则，每擅自更换一个项目团队成员（含项目负责人），乙方应向甲方支付本合同总价款5%的违约金。</w:t>
      </w:r>
    </w:p>
    <w:p>
      <w:pPr>
        <w:pStyle w:val="9"/>
        <w:snapToGrid w:val="0"/>
        <w:spacing w:line="360" w:lineRule="auto"/>
        <w:ind w:firstLine="480" w:firstLineChars="200"/>
        <w:rPr>
          <w:rFonts w:hint="eastAsia" w:hAnsi="宋体" w:cs="宋体"/>
          <w:color w:val="auto"/>
          <w:kern w:val="0"/>
          <w:sz w:val="24"/>
          <w:highlight w:val="none"/>
        </w:rPr>
      </w:pPr>
      <w:r>
        <w:rPr>
          <w:rFonts w:hint="eastAsia" w:hAnsi="宋体" w:cs="宋体"/>
          <w:color w:val="auto"/>
          <w:kern w:val="0"/>
          <w:sz w:val="24"/>
          <w:highlight w:val="none"/>
        </w:rPr>
        <w:t>2.7合同履行期间，乙方应按甲方的要求进行现场调研、阶段成果汇报和沟通讨论、审查修改的全部工作和会议。乙方必须按本合同约定的内容、标准和期限完成项目工作，并按照甲方要求将完成委托事项的相关资料交给甲方。如甲方需对工作进度进行调整，甲方、乙方应共同协商解决。</w:t>
      </w:r>
    </w:p>
    <w:p>
      <w:pPr>
        <w:pStyle w:val="9"/>
        <w:snapToGrid w:val="0"/>
        <w:spacing w:line="360" w:lineRule="auto"/>
        <w:ind w:firstLine="480" w:firstLineChars="200"/>
        <w:rPr>
          <w:rFonts w:hint="eastAsia" w:hAnsi="宋体" w:cs="宋体"/>
          <w:color w:val="auto"/>
          <w:kern w:val="0"/>
          <w:sz w:val="24"/>
          <w:highlight w:val="none"/>
        </w:rPr>
      </w:pPr>
      <w:r>
        <w:rPr>
          <w:rFonts w:hint="eastAsia" w:hAnsi="宋体" w:cs="宋体"/>
          <w:color w:val="auto"/>
          <w:kern w:val="0"/>
          <w:sz w:val="24"/>
          <w:highlight w:val="none"/>
        </w:rPr>
        <w:t>2.8乙方有维护甲方声誉的义务，乙方不能以甲方名义从事与本项目无关的任何事务。</w:t>
      </w:r>
    </w:p>
    <w:p>
      <w:pPr>
        <w:pStyle w:val="9"/>
        <w:snapToGrid w:val="0"/>
        <w:spacing w:line="360" w:lineRule="auto"/>
        <w:ind w:firstLine="480" w:firstLineChars="200"/>
        <w:rPr>
          <w:rFonts w:hint="eastAsia" w:hAnsi="宋体" w:cs="宋体"/>
          <w:color w:val="auto"/>
          <w:kern w:val="0"/>
          <w:sz w:val="24"/>
          <w:highlight w:val="none"/>
        </w:rPr>
      </w:pPr>
      <w:r>
        <w:rPr>
          <w:rFonts w:hint="eastAsia" w:hAnsi="宋体" w:cs="宋体"/>
          <w:color w:val="auto"/>
          <w:kern w:val="0"/>
          <w:sz w:val="24"/>
          <w:highlight w:val="none"/>
        </w:rPr>
        <w:t>2.9本合同期满或提前解除、终止后，乙方应将甲方的档案资料、信息数据等交还甲方，并应销毁或删除所有备份。</w:t>
      </w:r>
    </w:p>
    <w:p>
      <w:pPr>
        <w:pStyle w:val="9"/>
        <w:snapToGrid w:val="0"/>
        <w:spacing w:line="360" w:lineRule="auto"/>
        <w:ind w:firstLine="480" w:firstLineChars="200"/>
        <w:rPr>
          <w:rFonts w:hint="eastAsia" w:hAnsi="宋体" w:cs="宋体"/>
          <w:color w:val="auto"/>
          <w:kern w:val="0"/>
          <w:sz w:val="24"/>
          <w:highlight w:val="none"/>
        </w:rPr>
      </w:pPr>
      <w:r>
        <w:rPr>
          <w:rFonts w:hint="eastAsia" w:hAnsi="宋体" w:cs="宋体"/>
          <w:color w:val="auto"/>
          <w:kern w:val="0"/>
          <w:sz w:val="24"/>
          <w:highlight w:val="none"/>
        </w:rPr>
        <w:t>2.10乙方在完成本项目过程中，不得损害其他任何第三方的知识产权等合法权益，否则由此造成的相关责任应当由乙方自行承担，与甲方无关。若因此导致甲方支付赔偿及其他费用，乙方于甲方支付前述费用的三日内应全部偿还给甲方。</w:t>
      </w:r>
    </w:p>
    <w:p>
      <w:pPr>
        <w:pStyle w:val="9"/>
        <w:snapToGrid w:val="0"/>
        <w:spacing w:line="360" w:lineRule="auto"/>
        <w:ind w:firstLine="480" w:firstLineChars="200"/>
        <w:rPr>
          <w:rFonts w:hint="eastAsia" w:hAnsi="宋体" w:cs="宋体"/>
          <w:color w:val="auto"/>
          <w:kern w:val="0"/>
          <w:sz w:val="24"/>
          <w:highlight w:val="none"/>
        </w:rPr>
      </w:pPr>
      <w:r>
        <w:rPr>
          <w:rFonts w:hint="eastAsia" w:hAnsi="宋体" w:cs="宋体"/>
          <w:color w:val="auto"/>
          <w:kern w:val="0"/>
          <w:sz w:val="24"/>
          <w:highlight w:val="none"/>
        </w:rPr>
        <w:t>2.11乙方应采取必要措施配合甲方验收人员的工作</w:t>
      </w:r>
      <w:r>
        <w:rPr>
          <w:rFonts w:hint="eastAsia" w:hAnsi="宋体" w:cs="宋体"/>
          <w:color w:val="auto"/>
          <w:kern w:val="0"/>
          <w:sz w:val="24"/>
          <w:highlight w:val="none"/>
          <w:lang w:eastAsia="zh-CN"/>
        </w:rPr>
        <w:t>，</w:t>
      </w:r>
      <w:r>
        <w:rPr>
          <w:rFonts w:hint="eastAsia" w:hAnsi="宋体" w:cs="宋体"/>
          <w:color w:val="auto"/>
          <w:kern w:val="0"/>
          <w:sz w:val="24"/>
          <w:highlight w:val="none"/>
        </w:rPr>
        <w:t>对于验收过程中发现的问题，乙方应在发现问题之日起3天内进行改正，以符合甲方的需要。</w:t>
      </w:r>
    </w:p>
    <w:p>
      <w:pPr>
        <w:pStyle w:val="9"/>
        <w:snapToGrid w:val="0"/>
        <w:spacing w:line="360" w:lineRule="auto"/>
        <w:ind w:firstLine="480" w:firstLineChars="200"/>
        <w:rPr>
          <w:rFonts w:hint="eastAsia" w:hAnsi="宋体" w:cs="宋体"/>
          <w:color w:val="auto"/>
          <w:kern w:val="0"/>
          <w:sz w:val="24"/>
          <w:highlight w:val="none"/>
        </w:rPr>
      </w:pPr>
      <w:r>
        <w:rPr>
          <w:rFonts w:hint="eastAsia" w:hAnsi="宋体" w:cs="宋体"/>
          <w:color w:val="auto"/>
          <w:kern w:val="0"/>
          <w:sz w:val="24"/>
          <w:highlight w:val="none"/>
        </w:rPr>
        <w:t>2.12乙方指定项目联系人：</w:t>
      </w:r>
    </w:p>
    <w:p>
      <w:pPr>
        <w:pStyle w:val="9"/>
        <w:snapToGrid w:val="0"/>
        <w:spacing w:line="360" w:lineRule="auto"/>
        <w:ind w:firstLine="480" w:firstLineChars="200"/>
        <w:rPr>
          <w:rFonts w:hint="eastAsia" w:hAnsi="宋体" w:cs="宋体"/>
          <w:color w:val="auto"/>
          <w:kern w:val="0"/>
          <w:sz w:val="24"/>
          <w:highlight w:val="none"/>
        </w:rPr>
      </w:pPr>
      <w:r>
        <w:rPr>
          <w:rFonts w:hint="eastAsia" w:hAnsi="宋体" w:cs="宋体"/>
          <w:color w:val="auto"/>
          <w:kern w:val="0"/>
          <w:sz w:val="24"/>
          <w:highlight w:val="none"/>
        </w:rPr>
        <w:t xml:space="preserve">姓名： </w:t>
      </w:r>
    </w:p>
    <w:p>
      <w:pPr>
        <w:pStyle w:val="9"/>
        <w:snapToGrid w:val="0"/>
        <w:spacing w:line="360" w:lineRule="auto"/>
        <w:ind w:firstLine="480" w:firstLineChars="200"/>
        <w:rPr>
          <w:rFonts w:hint="eastAsia" w:hAnsi="宋体" w:cs="宋体"/>
          <w:color w:val="auto"/>
          <w:kern w:val="0"/>
          <w:sz w:val="24"/>
          <w:highlight w:val="none"/>
        </w:rPr>
      </w:pPr>
      <w:r>
        <w:rPr>
          <w:rFonts w:hint="eastAsia" w:hAnsi="宋体" w:cs="宋体"/>
          <w:color w:val="auto"/>
          <w:kern w:val="0"/>
          <w:sz w:val="24"/>
          <w:highlight w:val="none"/>
        </w:rPr>
        <w:t>联系方式：</w:t>
      </w:r>
    </w:p>
    <w:p>
      <w:pPr>
        <w:spacing w:line="360" w:lineRule="auto"/>
        <w:ind w:left="11" w:firstLine="420"/>
        <w:rPr>
          <w:rFonts w:hint="eastAsia" w:ascii="宋体" w:hAnsi="宋体" w:cs="宋体"/>
          <w:b/>
          <w:bCs/>
          <w:color w:val="auto"/>
          <w:sz w:val="24"/>
          <w:highlight w:val="none"/>
        </w:rPr>
      </w:pPr>
      <w:bookmarkStart w:id="40" w:name="_Toc24089"/>
      <w:r>
        <w:rPr>
          <w:rFonts w:hint="eastAsia" w:ascii="宋体" w:hAnsi="宋体" w:cs="宋体"/>
          <w:b/>
          <w:bCs/>
          <w:color w:val="auto"/>
          <w:sz w:val="24"/>
          <w:highlight w:val="none"/>
        </w:rPr>
        <w:t>七、合同履行时间、后续服务及履行地点</w:t>
      </w:r>
      <w:bookmarkEnd w:id="40"/>
    </w:p>
    <w:p>
      <w:pPr>
        <w:snapToGrid w:val="0"/>
        <w:spacing w:line="360" w:lineRule="auto"/>
        <w:ind w:left="11" w:firstLine="480" w:firstLineChars="200"/>
        <w:rPr>
          <w:rFonts w:hint="eastAsia" w:ascii="宋体" w:hAnsi="宋体" w:cs="宋体"/>
          <w:color w:val="auto"/>
          <w:sz w:val="24"/>
          <w:highlight w:val="none"/>
        </w:rPr>
      </w:pPr>
      <w:r>
        <w:rPr>
          <w:rFonts w:hint="eastAsia" w:ascii="宋体" w:hAnsi="宋体" w:cs="宋体"/>
          <w:color w:val="auto"/>
          <w:sz w:val="24"/>
          <w:highlight w:val="none"/>
        </w:rPr>
        <w:t>1.履行时间：</w:t>
      </w:r>
      <w:r>
        <w:rPr>
          <w:rFonts w:hint="eastAsia" w:ascii="宋体" w:hAnsi="宋体" w:cs="宋体"/>
          <w:bCs/>
          <w:color w:val="auto"/>
          <w:sz w:val="24"/>
          <w:highlight w:val="none"/>
        </w:rPr>
        <w:t>合同签订后2个月内完成《前海综保区一线直通、智联监管项目可行性研究报告》（送审稿）编制工作，并协助甲方按期完成本项目可行性研究报告批复（不包括招标人进行成果审核、发改部门审批和验收的时间）。</w:t>
      </w:r>
    </w:p>
    <w:p>
      <w:pPr>
        <w:snapToGrid w:val="0"/>
        <w:spacing w:line="360" w:lineRule="auto"/>
        <w:ind w:left="11" w:firstLine="480" w:firstLineChars="200"/>
        <w:rPr>
          <w:rFonts w:hint="eastAsia" w:ascii="宋体" w:hAnsi="宋体" w:cs="宋体"/>
          <w:color w:val="auto"/>
          <w:sz w:val="24"/>
          <w:highlight w:val="none"/>
        </w:rPr>
      </w:pPr>
      <w:r>
        <w:rPr>
          <w:rFonts w:hint="eastAsia" w:ascii="宋体" w:hAnsi="宋体" w:cs="宋体"/>
          <w:color w:val="auto"/>
          <w:sz w:val="24"/>
          <w:highlight w:val="none"/>
        </w:rPr>
        <w:t>2.后续服务：乙方需提供后续服务在项目实施过程中，若出现与报告相关的问题，乙方需提供必要的技术咨询与指导，助力项目顺利落地实施。</w:t>
      </w:r>
    </w:p>
    <w:p>
      <w:pPr>
        <w:snapToGrid w:val="0"/>
        <w:spacing w:line="360" w:lineRule="auto"/>
        <w:ind w:left="11" w:firstLine="480" w:firstLineChars="200"/>
        <w:rPr>
          <w:rFonts w:hint="eastAsia" w:ascii="宋体" w:hAnsi="宋体" w:cs="宋体"/>
          <w:color w:val="auto"/>
          <w:sz w:val="24"/>
          <w:highlight w:val="none"/>
        </w:rPr>
      </w:pPr>
      <w:r>
        <w:rPr>
          <w:rFonts w:hint="eastAsia" w:ascii="宋体" w:hAnsi="宋体" w:cs="宋体"/>
          <w:color w:val="auto"/>
          <w:sz w:val="24"/>
          <w:highlight w:val="none"/>
        </w:rPr>
        <w:t>3.履行地点：深圳市</w:t>
      </w:r>
    </w:p>
    <w:p>
      <w:pPr>
        <w:snapToGrid w:val="0"/>
        <w:spacing w:line="360" w:lineRule="auto"/>
        <w:ind w:left="11" w:firstLine="420"/>
        <w:rPr>
          <w:rFonts w:hint="eastAsia" w:ascii="宋体" w:hAnsi="宋体" w:cs="宋体"/>
          <w:b/>
          <w:bCs/>
          <w:color w:val="auto"/>
          <w:sz w:val="24"/>
          <w:highlight w:val="none"/>
        </w:rPr>
      </w:pPr>
      <w:bookmarkStart w:id="41" w:name="_Toc22413"/>
      <w:r>
        <w:rPr>
          <w:rFonts w:hint="eastAsia" w:ascii="宋体" w:hAnsi="宋体" w:cs="宋体"/>
          <w:b/>
          <w:bCs/>
          <w:color w:val="auto"/>
          <w:sz w:val="24"/>
          <w:highlight w:val="none"/>
        </w:rPr>
        <w:t>八、</w:t>
      </w:r>
      <w:bookmarkEnd w:id="41"/>
      <w:r>
        <w:rPr>
          <w:rFonts w:hint="eastAsia" w:ascii="宋体" w:hAnsi="宋体" w:cs="宋体"/>
          <w:b/>
          <w:bCs/>
          <w:color w:val="auto"/>
          <w:sz w:val="24"/>
          <w:highlight w:val="none"/>
        </w:rPr>
        <w:t>人员要求</w:t>
      </w:r>
    </w:p>
    <w:p>
      <w:pPr>
        <w:snapToGrid w:val="0"/>
        <w:spacing w:line="360" w:lineRule="auto"/>
        <w:ind w:left="11" w:firstLine="420"/>
        <w:rPr>
          <w:color w:val="auto"/>
          <w:sz w:val="24"/>
          <w:highlight w:val="none"/>
        </w:rPr>
      </w:pPr>
      <w:r>
        <w:rPr>
          <w:rFonts w:hint="eastAsia"/>
          <w:color w:val="auto"/>
          <w:sz w:val="24"/>
          <w:highlight w:val="none"/>
        </w:rPr>
        <w:t>乙方应根据项目特点，安排具备从事咨询业务的专业技术和类似工作经验的人员。甲方提出更换咨询人员要求，乙方需无条件一个月内完成更换，咨询人员的确定和变更，须事先经建设单位书面同意。咨询人员必须奉公守法，并具有高度的责任心。</w:t>
      </w:r>
    </w:p>
    <w:p>
      <w:pPr>
        <w:numPr>
          <w:ilvl w:val="0"/>
          <w:numId w:val="6"/>
        </w:numPr>
        <w:snapToGrid w:val="0"/>
        <w:spacing w:line="360" w:lineRule="auto"/>
        <w:ind w:left="11" w:firstLine="420"/>
        <w:rPr>
          <w:color w:val="auto"/>
          <w:sz w:val="24"/>
          <w:highlight w:val="none"/>
        </w:rPr>
      </w:pPr>
      <w:r>
        <w:rPr>
          <w:rFonts w:hint="eastAsia" w:ascii="宋体" w:hAnsi="宋体" w:cs="宋体"/>
          <w:color w:val="auto"/>
          <w:sz w:val="24"/>
          <w:highlight w:val="none"/>
        </w:rPr>
        <w:t>安排1名负责人应具备咨询工程师（投资）登记证书（专业：电子、信息工程（含通信、广电、信息化））</w:t>
      </w:r>
      <w:r>
        <w:rPr>
          <w:rFonts w:hint="eastAsia"/>
          <w:color w:val="auto"/>
          <w:sz w:val="24"/>
          <w:highlight w:val="none"/>
        </w:rPr>
        <w:t>，</w:t>
      </w:r>
      <w:bookmarkStart w:id="42" w:name="OLE_LINK17"/>
      <w:bookmarkStart w:id="43" w:name="OLE_LINK19"/>
      <w:r>
        <w:rPr>
          <w:rFonts w:hint="eastAsia"/>
          <w:color w:val="auto"/>
          <w:sz w:val="24"/>
          <w:highlight w:val="none"/>
        </w:rPr>
        <w:t>能够服从</w:t>
      </w:r>
      <w:bookmarkEnd w:id="42"/>
      <w:r>
        <w:rPr>
          <w:rFonts w:hint="eastAsia"/>
          <w:color w:val="auto"/>
          <w:sz w:val="24"/>
          <w:highlight w:val="none"/>
        </w:rPr>
        <w:t>甲方的工作安排，具备较强的专业素质，有优秀的书面表达能力、组织能力和沟通能力</w:t>
      </w:r>
      <w:bookmarkEnd w:id="43"/>
      <w:r>
        <w:rPr>
          <w:rFonts w:hint="eastAsia"/>
          <w:color w:val="auto"/>
          <w:sz w:val="24"/>
          <w:highlight w:val="none"/>
        </w:rPr>
        <w:t>。</w:t>
      </w:r>
    </w:p>
    <w:p>
      <w:pPr>
        <w:snapToGrid w:val="0"/>
        <w:spacing w:line="360" w:lineRule="auto"/>
        <w:ind w:left="11" w:firstLine="420"/>
        <w:rPr>
          <w:color w:val="auto"/>
          <w:sz w:val="24"/>
          <w:highlight w:val="none"/>
        </w:rPr>
      </w:pPr>
      <w:r>
        <w:rPr>
          <w:rFonts w:hint="eastAsia"/>
          <w:color w:val="auto"/>
          <w:sz w:val="24"/>
          <w:highlight w:val="none"/>
        </w:rPr>
        <w:t xml:space="preserve">2. </w:t>
      </w:r>
      <w:r>
        <w:rPr>
          <w:rFonts w:hint="eastAsia" w:ascii="宋体" w:hAnsi="宋体" w:cs="宋体"/>
          <w:color w:val="auto"/>
          <w:sz w:val="24"/>
          <w:highlight w:val="none"/>
        </w:rPr>
        <w:t>投标人应建立不少于</w:t>
      </w:r>
      <w:r>
        <w:rPr>
          <w:rFonts w:ascii="宋体" w:hAnsi="宋体" w:cs="宋体"/>
          <w:color w:val="auto"/>
          <w:sz w:val="24"/>
          <w:highlight w:val="none"/>
        </w:rPr>
        <w:t>4</w:t>
      </w:r>
      <w:r>
        <w:rPr>
          <w:rFonts w:hint="eastAsia" w:ascii="宋体" w:hAnsi="宋体" w:cs="宋体"/>
          <w:color w:val="auto"/>
          <w:sz w:val="24"/>
          <w:highlight w:val="none"/>
        </w:rPr>
        <w:t>人的项目咨询团队（不含负责人），根据项目需求提供咨询服务</w:t>
      </w:r>
      <w:r>
        <w:rPr>
          <w:rFonts w:hint="eastAsia"/>
          <w:color w:val="auto"/>
          <w:sz w:val="24"/>
          <w:highlight w:val="none"/>
        </w:rPr>
        <w:t>。</w:t>
      </w:r>
    </w:p>
    <w:p>
      <w:pPr>
        <w:snapToGrid w:val="0"/>
        <w:spacing w:line="360" w:lineRule="auto"/>
        <w:ind w:left="11" w:firstLine="480" w:firstLineChars="200"/>
        <w:rPr>
          <w:rFonts w:hint="eastAsia" w:ascii="宋体" w:hAnsi="宋体" w:cs="宋体"/>
          <w:color w:val="auto"/>
          <w:sz w:val="24"/>
          <w:highlight w:val="none"/>
        </w:rPr>
      </w:pPr>
      <w:r>
        <w:rPr>
          <w:rFonts w:hint="eastAsia" w:ascii="宋体" w:hAnsi="宋体" w:cs="宋体"/>
          <w:color w:val="auto"/>
          <w:sz w:val="24"/>
          <w:highlight w:val="none"/>
        </w:rPr>
        <w:t>以下为本项目核心团队。</w:t>
      </w:r>
    </w:p>
    <w:tbl>
      <w:tblPr>
        <w:tblStyle w:val="18"/>
        <w:tblW w:w="80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013"/>
        <w:gridCol w:w="798"/>
        <w:gridCol w:w="808"/>
        <w:gridCol w:w="912"/>
        <w:gridCol w:w="1500"/>
        <w:gridCol w:w="2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013"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姓名</w:t>
            </w:r>
          </w:p>
        </w:tc>
        <w:tc>
          <w:tcPr>
            <w:tcW w:w="798"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性别</w:t>
            </w:r>
          </w:p>
        </w:tc>
        <w:tc>
          <w:tcPr>
            <w:tcW w:w="808"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年龄</w:t>
            </w:r>
          </w:p>
        </w:tc>
        <w:tc>
          <w:tcPr>
            <w:tcW w:w="912"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学历</w:t>
            </w:r>
          </w:p>
        </w:tc>
        <w:tc>
          <w:tcPr>
            <w:tcW w:w="150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职称、职务</w:t>
            </w:r>
          </w:p>
        </w:tc>
        <w:tc>
          <w:tcPr>
            <w:tcW w:w="2192"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拟任</w:t>
            </w:r>
            <w:r>
              <w:rPr>
                <w:rFonts w:ascii="宋体" w:hAnsi="宋体" w:cs="宋体"/>
                <w:color w:val="auto"/>
                <w:sz w:val="24"/>
                <w:highlight w:val="none"/>
              </w:rPr>
              <w:t>团队</w:t>
            </w:r>
            <w:r>
              <w:rPr>
                <w:rFonts w:hint="eastAsia" w:ascii="宋体" w:hAnsi="宋体" w:cs="宋体"/>
                <w:color w:val="auto"/>
                <w:sz w:val="24"/>
                <w:highlight w:val="none"/>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013"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auto"/>
                <w:sz w:val="24"/>
                <w:highlight w:val="none"/>
              </w:rPr>
            </w:pPr>
          </w:p>
        </w:tc>
        <w:tc>
          <w:tcPr>
            <w:tcW w:w="798"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auto"/>
                <w:sz w:val="24"/>
                <w:highlight w:val="none"/>
              </w:rPr>
            </w:pPr>
          </w:p>
        </w:tc>
        <w:tc>
          <w:tcPr>
            <w:tcW w:w="808"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auto"/>
                <w:sz w:val="24"/>
                <w:highlight w:val="none"/>
              </w:rPr>
            </w:pPr>
          </w:p>
        </w:tc>
        <w:tc>
          <w:tcPr>
            <w:tcW w:w="912"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auto"/>
                <w:sz w:val="24"/>
                <w:highlight w:val="none"/>
              </w:rPr>
            </w:pPr>
          </w:p>
        </w:tc>
        <w:tc>
          <w:tcPr>
            <w:tcW w:w="150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auto"/>
                <w:sz w:val="24"/>
                <w:highlight w:val="none"/>
              </w:rPr>
            </w:pPr>
          </w:p>
        </w:tc>
        <w:tc>
          <w:tcPr>
            <w:tcW w:w="2192"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highlight w:val="none"/>
              </w:rPr>
            </w:pPr>
            <w:bookmarkStart w:id="44" w:name="OLE_LINK7" w:colFirst="0" w:colLast="6"/>
            <w:r>
              <w:rPr>
                <w:rFonts w:hint="eastAsia" w:ascii="宋体" w:hAnsi="宋体" w:cs="宋体"/>
                <w:color w:val="auto"/>
                <w:sz w:val="24"/>
                <w:highlight w:val="none"/>
              </w:rPr>
              <w:t>2</w:t>
            </w:r>
          </w:p>
        </w:tc>
        <w:tc>
          <w:tcPr>
            <w:tcW w:w="1013"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auto"/>
                <w:sz w:val="24"/>
                <w:highlight w:val="none"/>
              </w:rPr>
            </w:pPr>
          </w:p>
        </w:tc>
        <w:tc>
          <w:tcPr>
            <w:tcW w:w="798"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auto"/>
                <w:sz w:val="24"/>
                <w:highlight w:val="none"/>
              </w:rPr>
            </w:pPr>
          </w:p>
        </w:tc>
        <w:tc>
          <w:tcPr>
            <w:tcW w:w="808"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auto"/>
                <w:sz w:val="24"/>
                <w:highlight w:val="none"/>
              </w:rPr>
            </w:pPr>
          </w:p>
        </w:tc>
        <w:tc>
          <w:tcPr>
            <w:tcW w:w="912"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auto"/>
                <w:sz w:val="24"/>
                <w:highlight w:val="none"/>
              </w:rPr>
            </w:pPr>
          </w:p>
        </w:tc>
        <w:tc>
          <w:tcPr>
            <w:tcW w:w="150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auto"/>
                <w:sz w:val="24"/>
                <w:highlight w:val="none"/>
              </w:rPr>
            </w:pPr>
          </w:p>
        </w:tc>
        <w:tc>
          <w:tcPr>
            <w:tcW w:w="2192"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highlight w:val="none"/>
              </w:rPr>
            </w:pPr>
            <w:r>
              <w:rPr>
                <w:rFonts w:ascii="宋体" w:hAnsi="宋体" w:cs="宋体"/>
                <w:color w:val="auto"/>
                <w:sz w:val="24"/>
                <w:highlight w:val="none"/>
              </w:rPr>
              <w:t>3</w:t>
            </w:r>
          </w:p>
        </w:tc>
        <w:tc>
          <w:tcPr>
            <w:tcW w:w="1013"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auto"/>
                <w:sz w:val="24"/>
                <w:highlight w:val="none"/>
              </w:rPr>
            </w:pPr>
          </w:p>
        </w:tc>
        <w:tc>
          <w:tcPr>
            <w:tcW w:w="798"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auto"/>
                <w:sz w:val="24"/>
                <w:highlight w:val="none"/>
              </w:rPr>
            </w:pPr>
          </w:p>
        </w:tc>
        <w:tc>
          <w:tcPr>
            <w:tcW w:w="808"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auto"/>
                <w:sz w:val="24"/>
                <w:highlight w:val="none"/>
              </w:rPr>
            </w:pPr>
          </w:p>
        </w:tc>
        <w:tc>
          <w:tcPr>
            <w:tcW w:w="912"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auto"/>
                <w:sz w:val="24"/>
                <w:highlight w:val="none"/>
              </w:rPr>
            </w:pPr>
          </w:p>
        </w:tc>
        <w:tc>
          <w:tcPr>
            <w:tcW w:w="150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auto"/>
                <w:sz w:val="24"/>
                <w:highlight w:val="none"/>
              </w:rPr>
            </w:pPr>
          </w:p>
        </w:tc>
        <w:tc>
          <w:tcPr>
            <w:tcW w:w="2192"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auto"/>
                <w:sz w:val="24"/>
                <w:highlight w:val="none"/>
              </w:rPr>
            </w:pPr>
          </w:p>
        </w:tc>
      </w:tr>
      <w:bookmarkEnd w:id="44"/>
    </w:tbl>
    <w:p>
      <w:pPr>
        <w:snapToGrid w:val="0"/>
        <w:spacing w:line="360" w:lineRule="auto"/>
        <w:ind w:left="11" w:firstLine="480" w:firstLineChars="200"/>
        <w:rPr>
          <w:rFonts w:hint="eastAsia" w:ascii="宋体" w:hAnsi="宋体" w:cs="宋体"/>
          <w:color w:val="auto"/>
          <w:sz w:val="24"/>
          <w:highlight w:val="none"/>
        </w:rPr>
      </w:pPr>
      <w:r>
        <w:rPr>
          <w:rFonts w:hint="eastAsia" w:ascii="宋体" w:hAnsi="宋体" w:cs="宋体"/>
          <w:color w:val="auto"/>
          <w:sz w:val="24"/>
          <w:highlight w:val="none"/>
        </w:rPr>
        <w:t>1.参加本项目编制的人员必须具有国家和有关部门规定的相应资质。</w:t>
      </w:r>
    </w:p>
    <w:p>
      <w:pPr>
        <w:snapToGrid w:val="0"/>
        <w:spacing w:line="360" w:lineRule="auto"/>
        <w:ind w:left="11" w:firstLine="480" w:firstLineChars="200"/>
        <w:rPr>
          <w:rFonts w:hint="eastAsia" w:ascii="宋体" w:hAnsi="宋体" w:cs="宋体"/>
          <w:color w:val="auto"/>
          <w:sz w:val="24"/>
          <w:highlight w:val="none"/>
        </w:rPr>
      </w:pPr>
      <w:r>
        <w:rPr>
          <w:rFonts w:hint="eastAsia" w:ascii="宋体" w:hAnsi="宋体" w:cs="宋体"/>
          <w:color w:val="auto"/>
          <w:sz w:val="24"/>
          <w:highlight w:val="none"/>
        </w:rPr>
        <w:t>2.参加本项目编制的人员配置必须与合同中的项目成员组成一致，若需调整需经甲方书面同意后，方可变更。</w:t>
      </w:r>
    </w:p>
    <w:p>
      <w:pPr>
        <w:snapToGrid w:val="0"/>
        <w:spacing w:line="360" w:lineRule="auto"/>
        <w:ind w:left="11" w:firstLine="480" w:firstLineChars="200"/>
        <w:rPr>
          <w:rFonts w:hint="eastAsia" w:ascii="宋体" w:hAnsi="宋体" w:cs="宋体"/>
          <w:color w:val="auto"/>
          <w:sz w:val="24"/>
          <w:highlight w:val="none"/>
        </w:rPr>
      </w:pPr>
      <w:r>
        <w:rPr>
          <w:rFonts w:hint="eastAsia" w:ascii="宋体" w:hAnsi="宋体" w:cs="宋体"/>
          <w:color w:val="auto"/>
          <w:sz w:val="24"/>
          <w:highlight w:val="none"/>
        </w:rPr>
        <w:t>3.必须以乙方直属人员（直属人员指劳动合同、社会保险等劳动关系在乙方的人员）参与本项目服务，不得使用挂靠队伍。</w:t>
      </w:r>
    </w:p>
    <w:p>
      <w:pPr>
        <w:snapToGrid w:val="0"/>
        <w:spacing w:line="360" w:lineRule="auto"/>
        <w:ind w:left="11" w:firstLine="420"/>
        <w:rPr>
          <w:rFonts w:hint="eastAsia" w:ascii="宋体" w:hAnsi="宋体" w:cs="宋体"/>
          <w:color w:val="auto"/>
          <w:sz w:val="24"/>
          <w:highlight w:val="none"/>
        </w:rPr>
      </w:pPr>
      <w:r>
        <w:rPr>
          <w:rFonts w:hint="eastAsia" w:ascii="宋体" w:hAnsi="宋体" w:cs="宋体"/>
          <w:b/>
          <w:bCs/>
          <w:color w:val="auto"/>
          <w:sz w:val="24"/>
          <w:highlight w:val="none"/>
        </w:rPr>
        <w:t>九、成果内容及验收方式</w:t>
      </w:r>
    </w:p>
    <w:p>
      <w:pPr>
        <w:spacing w:line="360" w:lineRule="auto"/>
        <w:ind w:left="11" w:firstLine="420"/>
        <w:rPr>
          <w:rFonts w:hint="eastAsia" w:ascii="宋体" w:hAnsi="宋体" w:cs="宋体"/>
          <w:bCs/>
          <w:color w:val="auto"/>
          <w:sz w:val="24"/>
          <w:highlight w:val="none"/>
        </w:rPr>
      </w:pPr>
      <w:bookmarkStart w:id="45" w:name="_Toc11509"/>
      <w:r>
        <w:rPr>
          <w:rFonts w:hint="eastAsia" w:ascii="宋体" w:hAnsi="宋体" w:cs="宋体"/>
          <w:bCs/>
          <w:color w:val="auto"/>
          <w:sz w:val="24"/>
          <w:highlight w:val="none"/>
        </w:rPr>
        <w:t>1、咨询设计成果内容：乙方负责可行性研究报告编制，乙方向甲方提交项目可行性研究报告电子文件和纸质文档，纸质文档不少于3份，最终所需文档数量根据甲方实际情况而定。</w:t>
      </w:r>
    </w:p>
    <w:p>
      <w:pPr>
        <w:spacing w:line="360" w:lineRule="auto"/>
        <w:ind w:left="11" w:firstLine="420"/>
        <w:rPr>
          <w:rFonts w:hint="eastAsia" w:ascii="宋体" w:hAnsi="宋体" w:cs="宋体"/>
          <w:bCs/>
          <w:color w:val="auto"/>
          <w:sz w:val="24"/>
          <w:highlight w:val="none"/>
        </w:rPr>
      </w:pPr>
      <w:r>
        <w:rPr>
          <w:rFonts w:hint="eastAsia" w:ascii="宋体" w:hAnsi="宋体" w:cs="宋体"/>
          <w:bCs/>
          <w:color w:val="auto"/>
          <w:sz w:val="24"/>
          <w:highlight w:val="none"/>
        </w:rPr>
        <w:t>2、可行性研究报告验收方式：甲方根据国家、省、市和行业有关规范、规程、标准及本合同约定对乙方交付的最终成果进行验收，并取得甲方发展改革部门的批复。</w:t>
      </w:r>
    </w:p>
    <w:p>
      <w:pPr>
        <w:spacing w:line="360" w:lineRule="auto"/>
        <w:ind w:left="11" w:firstLine="420"/>
        <w:rPr>
          <w:rFonts w:hint="eastAsia" w:ascii="宋体" w:hAnsi="宋体" w:cs="宋体"/>
          <w:b/>
          <w:bCs/>
          <w:color w:val="auto"/>
          <w:sz w:val="24"/>
          <w:highlight w:val="none"/>
        </w:rPr>
      </w:pPr>
      <w:r>
        <w:rPr>
          <w:rFonts w:hint="eastAsia" w:ascii="宋体" w:hAnsi="宋体" w:cs="宋体"/>
          <w:b/>
          <w:bCs/>
          <w:color w:val="auto"/>
          <w:sz w:val="24"/>
          <w:highlight w:val="none"/>
        </w:rPr>
        <w:t>十、费用支付</w:t>
      </w:r>
      <w:bookmarkEnd w:id="45"/>
    </w:p>
    <w:p>
      <w:pPr>
        <w:pStyle w:val="15"/>
        <w:spacing w:before="0" w:beforeAutospacing="0" w:after="0" w:afterAutospacing="0" w:line="360" w:lineRule="auto"/>
        <w:ind w:left="11" w:firstLine="480" w:firstLineChars="200"/>
        <w:rPr>
          <w:rFonts w:hint="eastAsia"/>
          <w:color w:val="auto"/>
          <w:kern w:val="2"/>
          <w:highlight w:val="none"/>
        </w:rPr>
      </w:pPr>
      <w:r>
        <w:rPr>
          <w:rFonts w:hint="eastAsia"/>
          <w:color w:val="auto"/>
          <w:kern w:val="2"/>
          <w:highlight w:val="none"/>
        </w:rPr>
        <w:t>乙方提交的项目可行性研究报告经过甲方验收通过后，乙方开具有效增值税专用发票，甲方收到乙方提供发票审核无误后10个工作日内向乙方支付合同金额的100%。</w:t>
      </w:r>
    </w:p>
    <w:p>
      <w:pPr>
        <w:spacing w:line="360" w:lineRule="auto"/>
        <w:ind w:left="11"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本合同执行中相关的一切税费均由乙方负担。</w:t>
      </w:r>
    </w:p>
    <w:p>
      <w:pPr>
        <w:spacing w:line="360" w:lineRule="auto"/>
        <w:ind w:left="11" w:firstLine="480" w:firstLineChars="200"/>
        <w:rPr>
          <w:rFonts w:hint="eastAsia" w:ascii="宋体" w:hAnsi="宋体" w:cs="宋体"/>
          <w:color w:val="auto"/>
          <w:sz w:val="24"/>
          <w:highlight w:val="none"/>
        </w:rPr>
      </w:pPr>
      <w:r>
        <w:rPr>
          <w:rFonts w:hint="eastAsia" w:ascii="宋体" w:hAnsi="宋体" w:cs="宋体"/>
          <w:color w:val="auto"/>
          <w:sz w:val="24"/>
          <w:highlight w:val="none"/>
        </w:rPr>
        <w:t>3.合同价款由甲方分期付至乙方指定银行账户</w:t>
      </w:r>
    </w:p>
    <w:p>
      <w:pPr>
        <w:spacing w:line="360" w:lineRule="auto"/>
        <w:ind w:left="11"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乙方银行账户信息：</w:t>
      </w:r>
    </w:p>
    <w:p>
      <w:pPr>
        <w:spacing w:line="360" w:lineRule="auto"/>
        <w:ind w:left="11"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开户银行：       </w:t>
      </w:r>
    </w:p>
    <w:p>
      <w:pPr>
        <w:spacing w:line="360" w:lineRule="auto"/>
        <w:ind w:left="11"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户名：       </w:t>
      </w:r>
    </w:p>
    <w:p>
      <w:pPr>
        <w:snapToGrid w:val="0"/>
        <w:spacing w:line="360" w:lineRule="auto"/>
        <w:ind w:left="11"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账号： </w:t>
      </w:r>
    </w:p>
    <w:p>
      <w:pPr>
        <w:pStyle w:val="15"/>
        <w:spacing w:before="0" w:beforeAutospacing="0" w:after="0" w:afterAutospacing="0" w:line="360" w:lineRule="auto"/>
        <w:ind w:left="11" w:firstLine="480" w:firstLineChars="200"/>
        <w:rPr>
          <w:rFonts w:hint="eastAsia"/>
          <w:color w:val="auto"/>
          <w:kern w:val="2"/>
          <w:highlight w:val="none"/>
        </w:rPr>
      </w:pPr>
      <w:r>
        <w:rPr>
          <w:rFonts w:hint="eastAsia"/>
          <w:color w:val="auto"/>
          <w:kern w:val="2"/>
          <w:highlight w:val="none"/>
        </w:rPr>
        <w:t>若上述账户信息有任何变动，乙方应当提前10个工作日书面通知甲方；若乙方未按本条约定将账户信息变动情况书面通知甲方，由此导致甲方付款时间延迟或出现其他无法付款的情形，甲方不承担逾期付款的违约责任。若因甲方付款审批影响支付进度，请乙方予以谅解，并不得就此向甲方索赔。</w:t>
      </w:r>
    </w:p>
    <w:p>
      <w:pPr>
        <w:spacing w:line="360" w:lineRule="auto"/>
        <w:ind w:left="11" w:firstLine="420"/>
        <w:rPr>
          <w:rFonts w:hint="eastAsia" w:ascii="宋体" w:hAnsi="宋体" w:cs="宋体"/>
          <w:b/>
          <w:bCs/>
          <w:color w:val="auto"/>
          <w:sz w:val="24"/>
          <w:highlight w:val="none"/>
        </w:rPr>
      </w:pPr>
      <w:r>
        <w:rPr>
          <w:rFonts w:hint="eastAsia" w:ascii="宋体" w:hAnsi="宋体" w:cs="宋体"/>
          <w:b/>
          <w:bCs/>
          <w:color w:val="auto"/>
          <w:sz w:val="24"/>
          <w:highlight w:val="none"/>
        </w:rPr>
        <w:t>十一、合同提前终止</w:t>
      </w:r>
    </w:p>
    <w:p>
      <w:pPr>
        <w:snapToGrid w:val="0"/>
        <w:spacing w:line="360" w:lineRule="auto"/>
        <w:ind w:left="11" w:firstLine="480" w:firstLineChars="200"/>
        <w:rPr>
          <w:rFonts w:hint="eastAsia" w:ascii="宋体" w:hAnsi="宋体" w:cs="宋体"/>
          <w:color w:val="auto"/>
          <w:sz w:val="24"/>
          <w:highlight w:val="none"/>
        </w:rPr>
      </w:pPr>
      <w:r>
        <w:rPr>
          <w:rFonts w:hint="eastAsia" w:ascii="宋体" w:hAnsi="宋体" w:cs="宋体"/>
          <w:color w:val="auto"/>
          <w:sz w:val="24"/>
          <w:highlight w:val="none"/>
        </w:rPr>
        <w:t>1.甲、乙双方不得擅自变更、中止或者终止本合同。如本合同继续履行将损害国家利益和社会公共利益的，双方当事人应当变更、中止或者终止本合同。有过错的一方应当承担赔偿责任，双方都有过错的，各自承担相应的责任。双方协商同意提前终止本合同的，按双方协商约定的方式进行清算执行。</w:t>
      </w:r>
    </w:p>
    <w:p>
      <w:pPr>
        <w:snapToGrid w:val="0"/>
        <w:spacing w:line="360" w:lineRule="auto"/>
        <w:ind w:left="11" w:firstLine="480" w:firstLineChars="200"/>
        <w:rPr>
          <w:rFonts w:hint="eastAsia" w:ascii="宋体" w:hAnsi="宋体" w:cs="宋体"/>
          <w:color w:val="auto"/>
          <w:sz w:val="24"/>
          <w:highlight w:val="none"/>
        </w:rPr>
      </w:pPr>
      <w:r>
        <w:rPr>
          <w:rFonts w:hint="eastAsia" w:ascii="宋体" w:hAnsi="宋体" w:cs="宋体"/>
          <w:color w:val="auto"/>
          <w:sz w:val="24"/>
          <w:highlight w:val="none"/>
        </w:rPr>
        <w:t>2.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snapToGrid w:val="0"/>
        <w:spacing w:line="360" w:lineRule="auto"/>
        <w:ind w:left="11" w:firstLine="480" w:firstLineChars="200"/>
        <w:rPr>
          <w:rFonts w:hint="eastAsia" w:ascii="宋体" w:hAnsi="宋体" w:cs="宋体"/>
          <w:color w:val="auto"/>
          <w:sz w:val="24"/>
          <w:highlight w:val="none"/>
        </w:rPr>
      </w:pPr>
      <w:r>
        <w:rPr>
          <w:rFonts w:hint="eastAsia" w:ascii="宋体" w:hAnsi="宋体" w:cs="宋体"/>
          <w:color w:val="auto"/>
          <w:sz w:val="24"/>
          <w:highlight w:val="none"/>
        </w:rPr>
        <w:t>3.有下列情形之一的，本合同自甲方向乙方发出书面通知之日起终止：</w:t>
      </w:r>
    </w:p>
    <w:p>
      <w:pPr>
        <w:snapToGrid w:val="0"/>
        <w:spacing w:line="360" w:lineRule="auto"/>
        <w:ind w:left="11" w:firstLine="480" w:firstLineChars="200"/>
        <w:rPr>
          <w:rFonts w:hint="eastAsia" w:ascii="宋体" w:hAnsi="宋体" w:cs="宋体"/>
          <w:color w:val="auto"/>
          <w:sz w:val="24"/>
          <w:highlight w:val="none"/>
        </w:rPr>
      </w:pPr>
      <w:r>
        <w:rPr>
          <w:rFonts w:hint="eastAsia" w:ascii="宋体" w:hAnsi="宋体" w:cs="宋体"/>
          <w:color w:val="auto"/>
          <w:sz w:val="24"/>
          <w:highlight w:val="none"/>
        </w:rPr>
        <w:t>（1）甲方的职能发生转变，不再具有委托职能。</w:t>
      </w:r>
    </w:p>
    <w:p>
      <w:pPr>
        <w:snapToGrid w:val="0"/>
        <w:spacing w:line="360" w:lineRule="auto"/>
        <w:ind w:left="11" w:firstLine="480" w:firstLineChars="200"/>
        <w:rPr>
          <w:rFonts w:hint="eastAsia" w:ascii="宋体" w:hAnsi="宋体" w:cs="宋体"/>
          <w:color w:val="auto"/>
          <w:sz w:val="24"/>
          <w:highlight w:val="none"/>
        </w:rPr>
      </w:pPr>
      <w:r>
        <w:rPr>
          <w:rFonts w:hint="eastAsia" w:ascii="宋体" w:hAnsi="宋体" w:cs="宋体"/>
          <w:color w:val="auto"/>
          <w:sz w:val="24"/>
          <w:highlight w:val="none"/>
        </w:rPr>
        <w:t>（2）本合同签订时适用的法律法规或政策发生变化，且对本合同的继续履行造成重大影响。</w:t>
      </w:r>
    </w:p>
    <w:p>
      <w:pPr>
        <w:snapToGrid w:val="0"/>
        <w:spacing w:line="360" w:lineRule="auto"/>
        <w:ind w:left="11" w:firstLine="480" w:firstLineChars="200"/>
        <w:rPr>
          <w:rFonts w:hint="eastAsia" w:ascii="宋体" w:hAnsi="宋体" w:cs="宋体"/>
          <w:color w:val="auto"/>
          <w:sz w:val="24"/>
          <w:highlight w:val="none"/>
        </w:rPr>
      </w:pPr>
      <w:r>
        <w:rPr>
          <w:rFonts w:hint="eastAsia" w:ascii="宋体" w:hAnsi="宋体" w:cs="宋体"/>
          <w:color w:val="auto"/>
          <w:sz w:val="24"/>
          <w:highlight w:val="none"/>
        </w:rPr>
        <w:t>发生以上情形，甲方已向乙方支付的款项不退还，尚未支付的款项不再支付，同时乙方应向甲方提交在合同终止日前完成的所有项目文件和相关资料。</w:t>
      </w:r>
    </w:p>
    <w:p>
      <w:pPr>
        <w:snapToGrid w:val="0"/>
        <w:spacing w:line="360" w:lineRule="auto"/>
        <w:ind w:left="11" w:firstLine="480" w:firstLineChars="200"/>
        <w:rPr>
          <w:rFonts w:hint="eastAsia" w:ascii="宋体" w:hAnsi="宋体" w:cs="宋体"/>
          <w:color w:val="auto"/>
          <w:sz w:val="24"/>
          <w:highlight w:val="none"/>
        </w:rPr>
      </w:pPr>
      <w:r>
        <w:rPr>
          <w:rFonts w:hint="eastAsia" w:ascii="宋体" w:hAnsi="宋体" w:cs="宋体"/>
          <w:color w:val="auto"/>
          <w:sz w:val="24"/>
          <w:highlight w:val="none"/>
        </w:rPr>
        <w:t>4.如发生不可抗力或其他超出合同双方控制的事件，致使一方无法履行合同，本合同解除。</w:t>
      </w:r>
    </w:p>
    <w:p>
      <w:pPr>
        <w:snapToGrid w:val="0"/>
        <w:spacing w:line="360" w:lineRule="auto"/>
        <w:ind w:left="11" w:firstLine="480" w:firstLineChars="200"/>
        <w:rPr>
          <w:rFonts w:hint="eastAsia" w:ascii="宋体" w:hAnsi="宋体" w:cs="宋体"/>
          <w:color w:val="auto"/>
          <w:sz w:val="24"/>
          <w:highlight w:val="none"/>
        </w:rPr>
      </w:pPr>
      <w:r>
        <w:rPr>
          <w:rFonts w:hint="eastAsia" w:ascii="宋体" w:hAnsi="宋体" w:cs="宋体"/>
          <w:color w:val="auto"/>
          <w:sz w:val="24"/>
          <w:highlight w:val="none"/>
        </w:rPr>
        <w:t>（1）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snapToGrid w:val="0"/>
        <w:spacing w:line="360" w:lineRule="auto"/>
        <w:ind w:left="11" w:firstLine="480" w:firstLineChars="200"/>
        <w:rPr>
          <w:rFonts w:hint="eastAsia" w:ascii="宋体" w:hAnsi="宋体" w:cs="宋体"/>
          <w:color w:val="auto"/>
          <w:sz w:val="24"/>
          <w:highlight w:val="none"/>
        </w:rPr>
      </w:pPr>
      <w:r>
        <w:rPr>
          <w:rFonts w:hint="eastAsia" w:ascii="宋体" w:hAnsi="宋体" w:cs="宋体"/>
          <w:color w:val="auto"/>
          <w:sz w:val="24"/>
          <w:highlight w:val="none"/>
        </w:rPr>
        <w:t>（2）发生不可抗力，甲乙双方承担各自的损失。由于其中一方迟延履行合同义务后发生不可抗力的，其违约责任不能免除。</w:t>
      </w:r>
    </w:p>
    <w:p>
      <w:pPr>
        <w:snapToGrid w:val="0"/>
        <w:spacing w:line="360" w:lineRule="auto"/>
        <w:ind w:left="11"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不可抗力事件导致一方无法履行合同义务或继续履行已无意义，由双方协商终止本合同并进行清算，甲方应按照乙方已完成的工作量支付款项，同时乙方应向甲方提交在合同终止日前完成的所有项目文件和相关资料 </w:t>
      </w:r>
    </w:p>
    <w:p>
      <w:pPr>
        <w:spacing w:line="360" w:lineRule="auto"/>
        <w:ind w:left="11" w:firstLine="420"/>
        <w:rPr>
          <w:rFonts w:hint="eastAsia" w:ascii="宋体" w:hAnsi="宋体" w:cs="宋体"/>
          <w:b/>
          <w:bCs/>
          <w:color w:val="auto"/>
          <w:sz w:val="24"/>
          <w:highlight w:val="none"/>
        </w:rPr>
      </w:pPr>
      <w:bookmarkStart w:id="46" w:name="_Toc10529"/>
      <w:r>
        <w:rPr>
          <w:rFonts w:hint="eastAsia" w:ascii="宋体" w:hAnsi="宋体" w:cs="宋体"/>
          <w:b/>
          <w:bCs/>
          <w:color w:val="auto"/>
          <w:sz w:val="24"/>
          <w:highlight w:val="none"/>
        </w:rPr>
        <w:t>十二、争议解决</w:t>
      </w:r>
      <w:bookmarkEnd w:id="46"/>
    </w:p>
    <w:p>
      <w:pPr>
        <w:snapToGrid w:val="0"/>
        <w:spacing w:line="360" w:lineRule="auto"/>
        <w:ind w:left="11" w:firstLine="480" w:firstLineChars="200"/>
        <w:rPr>
          <w:rFonts w:hint="eastAsia" w:ascii="宋体" w:hAnsi="宋体" w:cs="宋体"/>
          <w:color w:val="auto"/>
          <w:sz w:val="24"/>
          <w:highlight w:val="none"/>
        </w:rPr>
      </w:pPr>
      <w:r>
        <w:rPr>
          <w:rFonts w:hint="eastAsia" w:ascii="宋体" w:hAnsi="宋体" w:cs="宋体"/>
          <w:color w:val="auto"/>
          <w:sz w:val="24"/>
          <w:highlight w:val="none"/>
        </w:rPr>
        <w:t>因本合同的履行发生的或与本合同有关的争议或纠纷，由双方协商解决，协商不成的，任意一方有权向深圳前海合作区人民法院提起诉讼。</w:t>
      </w:r>
    </w:p>
    <w:p>
      <w:pPr>
        <w:spacing w:line="360" w:lineRule="auto"/>
        <w:ind w:left="11" w:firstLine="420"/>
        <w:rPr>
          <w:rFonts w:hint="eastAsia" w:ascii="宋体" w:hAnsi="宋体" w:cs="宋体"/>
          <w:b/>
          <w:bCs/>
          <w:color w:val="auto"/>
          <w:sz w:val="24"/>
          <w:highlight w:val="none"/>
        </w:rPr>
      </w:pPr>
      <w:bookmarkStart w:id="47" w:name="_Toc14951"/>
      <w:r>
        <w:rPr>
          <w:rFonts w:hint="eastAsia" w:ascii="宋体" w:hAnsi="宋体" w:cs="宋体"/>
          <w:b/>
          <w:bCs/>
          <w:color w:val="auto"/>
          <w:sz w:val="24"/>
          <w:highlight w:val="none"/>
        </w:rPr>
        <w:t>十三、违约责任</w:t>
      </w:r>
      <w:bookmarkEnd w:id="47"/>
    </w:p>
    <w:p>
      <w:pPr>
        <w:pStyle w:val="9"/>
        <w:snapToGrid w:val="0"/>
        <w:spacing w:line="360" w:lineRule="auto"/>
        <w:ind w:left="11" w:firstLine="480" w:firstLineChars="200"/>
        <w:rPr>
          <w:rFonts w:hint="eastAsia" w:hAnsi="宋体" w:cs="宋体"/>
          <w:color w:val="auto"/>
          <w:sz w:val="24"/>
          <w:highlight w:val="none"/>
        </w:rPr>
      </w:pPr>
      <w:r>
        <w:rPr>
          <w:rFonts w:hint="eastAsia" w:hAnsi="宋体" w:cs="宋体"/>
          <w:color w:val="auto"/>
          <w:sz w:val="24"/>
          <w:highlight w:val="none"/>
        </w:rPr>
        <w:t>1.因乙方原因，未能按规定时间完成有关工作的，每延误一天，甲方有权自尚未支付的合同款项中扣除合同服务总金额的5‰的逾期违约金。</w:t>
      </w:r>
    </w:p>
    <w:p>
      <w:pPr>
        <w:pStyle w:val="9"/>
        <w:snapToGrid w:val="0"/>
        <w:spacing w:line="360" w:lineRule="auto"/>
        <w:ind w:left="11" w:firstLine="480" w:firstLineChars="200"/>
        <w:rPr>
          <w:rFonts w:hint="eastAsia" w:hAnsi="宋体" w:cs="宋体"/>
          <w:color w:val="auto"/>
          <w:sz w:val="24"/>
          <w:highlight w:val="none"/>
        </w:rPr>
      </w:pPr>
      <w:r>
        <w:rPr>
          <w:rFonts w:hint="eastAsia" w:hAnsi="宋体" w:cs="宋体"/>
          <w:color w:val="auto"/>
          <w:sz w:val="24"/>
          <w:highlight w:val="none"/>
        </w:rPr>
        <w:t>2.如乙方提供的服务或成果不符合质量要求，必须在甲方提出要求后7个日历日无条件修改，其费用由乙方承担。</w:t>
      </w:r>
    </w:p>
    <w:p>
      <w:pPr>
        <w:snapToGrid w:val="0"/>
        <w:spacing w:line="360" w:lineRule="auto"/>
        <w:ind w:left="11" w:firstLine="480" w:firstLineChars="200"/>
        <w:rPr>
          <w:rFonts w:hint="eastAsia" w:ascii="宋体" w:hAnsi="宋体" w:cs="宋体"/>
          <w:color w:val="auto"/>
          <w:sz w:val="24"/>
          <w:highlight w:val="none"/>
        </w:rPr>
      </w:pPr>
      <w:r>
        <w:rPr>
          <w:rFonts w:hint="eastAsia" w:ascii="宋体" w:hAnsi="宋体" w:cs="宋体"/>
          <w:color w:val="auto"/>
          <w:sz w:val="24"/>
          <w:highlight w:val="none"/>
        </w:rPr>
        <w:t>3.本合同履行期间，发生下述情形时，甲方有权解除本合同，乙方除应退还甲方已支付的全部款项外</w:t>
      </w:r>
      <w:r>
        <w:rPr>
          <w:rFonts w:hint="eastAsia" w:ascii="宋体" w:hAnsi="宋体" w:cs="宋体"/>
          <w:color w:val="auto"/>
          <w:sz w:val="24"/>
          <w:highlight w:val="none"/>
          <w:lang w:eastAsia="zh-CN"/>
        </w:rPr>
        <w:t>，</w:t>
      </w:r>
      <w:r>
        <w:rPr>
          <w:rFonts w:hint="eastAsia" w:ascii="宋体" w:hAnsi="宋体" w:cs="宋体"/>
          <w:color w:val="auto"/>
          <w:sz w:val="24"/>
          <w:highlight w:val="none"/>
        </w:rPr>
        <w:t>还应在合同解除通知发出之日起10日内向甲方支付合同总价款20%的违约金。乙方应同时将已完成的项目成果移交给甲方，并将全部有关资料退还甲方：</w:t>
      </w:r>
    </w:p>
    <w:p>
      <w:pPr>
        <w:snapToGrid w:val="0"/>
        <w:spacing w:line="360" w:lineRule="auto"/>
        <w:ind w:left="11" w:firstLine="480" w:firstLineChars="200"/>
        <w:rPr>
          <w:rFonts w:hint="eastAsia" w:ascii="宋体" w:hAnsi="宋体" w:cs="宋体"/>
          <w:color w:val="auto"/>
          <w:sz w:val="24"/>
          <w:highlight w:val="none"/>
        </w:rPr>
      </w:pPr>
      <w:r>
        <w:rPr>
          <w:rFonts w:hint="eastAsia" w:ascii="宋体" w:hAnsi="宋体" w:cs="宋体"/>
          <w:color w:val="auto"/>
          <w:sz w:val="24"/>
          <w:highlight w:val="none"/>
        </w:rPr>
        <w:t>3.1因乙方工作的错误或遗漏造成成果质量不符合本合同要求，且乙方未按甲方要求采取及时有效的补救措施的；</w:t>
      </w:r>
    </w:p>
    <w:p>
      <w:pPr>
        <w:snapToGrid w:val="0"/>
        <w:spacing w:line="360" w:lineRule="auto"/>
        <w:ind w:left="11" w:firstLine="480" w:firstLineChars="200"/>
        <w:rPr>
          <w:rFonts w:hint="eastAsia" w:ascii="宋体" w:hAnsi="宋体" w:cs="宋体"/>
          <w:color w:val="auto"/>
          <w:sz w:val="24"/>
          <w:highlight w:val="none"/>
        </w:rPr>
      </w:pPr>
      <w:r>
        <w:rPr>
          <w:rFonts w:hint="eastAsia" w:ascii="宋体" w:hAnsi="宋体" w:cs="宋体"/>
          <w:color w:val="auto"/>
          <w:sz w:val="24"/>
          <w:highlight w:val="none"/>
        </w:rPr>
        <w:t>3.2乙方未能按合同约定的日期(含协商延缓的日期)提交工作成果，延误时间超过30个工作日；或乙方虽如期提交阶段性成果和最终成果，但最终成果连续二次未能通过验收的；</w:t>
      </w:r>
    </w:p>
    <w:p>
      <w:pPr>
        <w:snapToGrid w:val="0"/>
        <w:spacing w:line="360" w:lineRule="auto"/>
        <w:ind w:left="11" w:firstLine="480" w:firstLineChars="200"/>
        <w:rPr>
          <w:rFonts w:hint="eastAsia" w:ascii="宋体" w:hAnsi="宋体" w:cs="宋体"/>
          <w:color w:val="auto"/>
          <w:sz w:val="24"/>
          <w:highlight w:val="none"/>
        </w:rPr>
      </w:pPr>
      <w:r>
        <w:rPr>
          <w:rFonts w:hint="eastAsia" w:ascii="宋体" w:hAnsi="宋体" w:cs="宋体"/>
          <w:color w:val="auto"/>
          <w:sz w:val="24"/>
          <w:highlight w:val="none"/>
        </w:rPr>
        <w:t>3.3发现乙方或乙方工作人员出现全部或部分丧失履行委托服务能力的情况，甲方有权通知乙方限期整改或更换工作人员，期限届满乙方并未进行改善的；</w:t>
      </w:r>
    </w:p>
    <w:p>
      <w:pPr>
        <w:snapToGrid w:val="0"/>
        <w:spacing w:line="360" w:lineRule="auto"/>
        <w:ind w:left="11" w:firstLine="480" w:firstLineChars="200"/>
        <w:rPr>
          <w:rFonts w:hint="eastAsia"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color w:val="auto"/>
          <w:sz w:val="24"/>
          <w:highlight w:val="none"/>
          <w:lang w:bidi="ar"/>
        </w:rPr>
        <w:t>未经甲方书面在先同意，乙方擅自将本合同项目与任何第三方合作，或将本合同标的全部或部分擅自转包给任何第三方，且未按甲方的要求终止与第三方的合同的</w:t>
      </w:r>
      <w:r>
        <w:rPr>
          <w:rFonts w:hint="eastAsia" w:ascii="宋体" w:hAnsi="宋体" w:cs="宋体"/>
          <w:color w:val="auto"/>
          <w:sz w:val="24"/>
          <w:highlight w:val="none"/>
          <w:lang w:eastAsia="zh-Hans" w:bidi="ar"/>
        </w:rPr>
        <w:t>；</w:t>
      </w:r>
    </w:p>
    <w:p>
      <w:pPr>
        <w:snapToGrid w:val="0"/>
        <w:spacing w:line="360" w:lineRule="auto"/>
        <w:ind w:left="11" w:firstLine="480" w:firstLineChars="200"/>
        <w:rPr>
          <w:rFonts w:hint="eastAsia" w:ascii="宋体" w:hAnsi="宋体" w:cs="宋体"/>
          <w:color w:val="auto"/>
          <w:sz w:val="24"/>
          <w:highlight w:val="none"/>
        </w:rPr>
      </w:pPr>
      <w:r>
        <w:rPr>
          <w:rFonts w:hint="eastAsia" w:ascii="宋体" w:hAnsi="宋体" w:cs="宋体"/>
          <w:color w:val="auto"/>
          <w:sz w:val="24"/>
          <w:highlight w:val="none"/>
        </w:rPr>
        <w:t>3.5乙方明确表示或者以自己的行为表明不履行本合同的；</w:t>
      </w:r>
    </w:p>
    <w:p>
      <w:pPr>
        <w:snapToGrid w:val="0"/>
        <w:spacing w:line="360" w:lineRule="auto"/>
        <w:ind w:left="11" w:firstLine="480" w:firstLineChars="200"/>
        <w:rPr>
          <w:rFonts w:hint="eastAsia" w:ascii="宋体" w:hAnsi="宋体" w:cs="宋体"/>
          <w:color w:val="auto"/>
          <w:sz w:val="24"/>
          <w:highlight w:val="none"/>
        </w:rPr>
      </w:pPr>
      <w:r>
        <w:rPr>
          <w:rFonts w:hint="eastAsia" w:ascii="宋体" w:hAnsi="宋体" w:cs="宋体"/>
          <w:color w:val="auto"/>
          <w:sz w:val="24"/>
          <w:highlight w:val="none"/>
        </w:rPr>
        <w:t>3.6乙方违反本合同项下保密义务的；</w:t>
      </w:r>
    </w:p>
    <w:p>
      <w:pPr>
        <w:snapToGrid w:val="0"/>
        <w:spacing w:line="360" w:lineRule="auto"/>
        <w:ind w:left="11" w:firstLine="480" w:firstLineChars="200"/>
        <w:rPr>
          <w:rFonts w:hint="eastAsia" w:ascii="宋体" w:hAnsi="宋体" w:cs="宋体"/>
          <w:color w:val="auto"/>
          <w:sz w:val="24"/>
          <w:highlight w:val="none"/>
        </w:rPr>
      </w:pPr>
      <w:r>
        <w:rPr>
          <w:rFonts w:hint="eastAsia" w:ascii="宋体" w:hAnsi="宋体" w:cs="宋体"/>
          <w:color w:val="auto"/>
          <w:sz w:val="24"/>
          <w:highlight w:val="none"/>
        </w:rPr>
        <w:t>3.7乙方不履行或不完全履行本合同第（六）条项下义务的</w:t>
      </w:r>
    </w:p>
    <w:p>
      <w:pPr>
        <w:snapToGrid w:val="0"/>
        <w:spacing w:line="360" w:lineRule="auto"/>
        <w:ind w:left="11" w:firstLine="480" w:firstLineChars="200"/>
        <w:rPr>
          <w:rFonts w:hint="eastAsia" w:ascii="宋体" w:hAnsi="宋体" w:cs="宋体"/>
          <w:color w:val="auto"/>
          <w:sz w:val="24"/>
          <w:highlight w:val="none"/>
        </w:rPr>
      </w:pPr>
      <w:r>
        <w:rPr>
          <w:rFonts w:hint="eastAsia" w:ascii="宋体" w:hAnsi="宋体" w:cs="宋体"/>
          <w:color w:val="auto"/>
          <w:sz w:val="24"/>
          <w:highlight w:val="none"/>
        </w:rPr>
        <w:t>4.除因审批流程及财政部门预算下达延误影响甲方支出进度外，如甲方未按照本合同约定的时间支付服务费，乙方书面催告甲方并给予不少于15个工作日的履行期限后甲方仍未支付的，乙方有权自该期限届满之日起要求甲方支付该阶段应付而未付合同价款每日1‰的逾期违约金。</w:t>
      </w:r>
    </w:p>
    <w:p>
      <w:pPr>
        <w:snapToGrid w:val="0"/>
        <w:spacing w:line="360" w:lineRule="auto"/>
        <w:ind w:left="11" w:firstLine="480" w:firstLineChars="200"/>
        <w:rPr>
          <w:rFonts w:hint="eastAsia" w:ascii="宋体" w:hAnsi="宋体" w:cs="宋体"/>
          <w:color w:val="auto"/>
          <w:sz w:val="24"/>
          <w:highlight w:val="none"/>
        </w:rPr>
      </w:pPr>
      <w:r>
        <w:rPr>
          <w:rFonts w:hint="eastAsia" w:ascii="宋体" w:hAnsi="宋体" w:cs="宋体"/>
          <w:color w:val="auto"/>
          <w:sz w:val="24"/>
          <w:highlight w:val="none"/>
        </w:rPr>
        <w:t>5.上述违约责任各自独立且可累加。如本合同所约定的违约金无法弥补因违约行为所造成的损失，违约方应补偿上述不足部分的损失，包括但不限于前述责任所产生的诉讼费用、合理的律师费用、鉴定评估费用、调查费用、和解金额或生效法律文书中规定的赔偿金额。</w:t>
      </w:r>
    </w:p>
    <w:p>
      <w:pPr>
        <w:spacing w:line="360" w:lineRule="auto"/>
        <w:ind w:left="11" w:firstLine="420"/>
        <w:rPr>
          <w:rFonts w:hint="eastAsia" w:ascii="宋体" w:hAnsi="宋体" w:cs="宋体"/>
          <w:b/>
          <w:bCs/>
          <w:color w:val="auto"/>
          <w:sz w:val="24"/>
          <w:highlight w:val="none"/>
        </w:rPr>
      </w:pPr>
      <w:bookmarkStart w:id="48" w:name="_Toc17510"/>
      <w:r>
        <w:rPr>
          <w:rFonts w:hint="eastAsia" w:ascii="宋体" w:hAnsi="宋体" w:cs="宋体"/>
          <w:b/>
          <w:bCs/>
          <w:color w:val="auto"/>
          <w:sz w:val="24"/>
          <w:highlight w:val="none"/>
        </w:rPr>
        <w:t>十四、项目变更</w:t>
      </w:r>
    </w:p>
    <w:p>
      <w:pPr>
        <w:snapToGrid w:val="0"/>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本合同履行过程中的需求变更和进度调整，以甲乙双方达成一致的书面文件为准。</w:t>
      </w:r>
    </w:p>
    <w:p>
      <w:pPr>
        <w:snapToGrid w:val="0"/>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乙方遇到不能按期完成工作的情况，应及时以书面形式将不能按期完成工作的理由、延误时间通知甲方。甲方在收到乙方通知后，根据情况决定是否延长完成时间。如同意延长，则乙方责任期也相应延长。由此产生的全部费用由乙方自行承担。</w:t>
      </w:r>
    </w:p>
    <w:p>
      <w:pPr>
        <w:snapToGrid w:val="0"/>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因非乙方责任造成项目进度推迟或延误，无法按照本合同约定的日期完成相应工作，双方经过协商可以进一步约定完成的日期，乙方的责任期也随之顺延。</w:t>
      </w:r>
    </w:p>
    <w:p>
      <w:pPr>
        <w:spacing w:line="360" w:lineRule="auto"/>
        <w:ind w:left="11" w:firstLine="420"/>
        <w:rPr>
          <w:rFonts w:hint="eastAsia" w:ascii="宋体" w:hAnsi="宋体" w:cs="宋体"/>
          <w:b/>
          <w:bCs/>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在本项目进展过程中，经双方同意的编制内容等方面的增减，如所涉增加费用的金额不超过本合同项下服务费总金额的10%，由双方商定变更内容及具体价格后签订书面补充协议予以确认。</w:t>
      </w:r>
    </w:p>
    <w:p>
      <w:pPr>
        <w:spacing w:line="360" w:lineRule="auto"/>
        <w:ind w:left="11" w:firstLine="420"/>
        <w:rPr>
          <w:rFonts w:hint="eastAsia" w:ascii="宋体" w:hAnsi="宋体" w:cs="宋体"/>
          <w:b/>
          <w:bCs/>
          <w:color w:val="auto"/>
          <w:sz w:val="24"/>
          <w:highlight w:val="none"/>
        </w:rPr>
      </w:pPr>
      <w:r>
        <w:rPr>
          <w:rFonts w:hint="eastAsia" w:ascii="宋体" w:hAnsi="宋体" w:cs="宋体"/>
          <w:b/>
          <w:bCs/>
          <w:color w:val="auto"/>
          <w:sz w:val="24"/>
          <w:highlight w:val="none"/>
        </w:rPr>
        <w:t>十五、保密条款</w:t>
      </w:r>
      <w:bookmarkEnd w:id="48"/>
    </w:p>
    <w:p>
      <w:pPr>
        <w:spacing w:line="360" w:lineRule="auto"/>
        <w:ind w:left="11" w:firstLine="480" w:firstLineChars="200"/>
        <w:rPr>
          <w:rFonts w:hint="eastAsia" w:ascii="宋体" w:hAnsi="宋体" w:cs="宋体"/>
          <w:color w:val="auto"/>
          <w:sz w:val="24"/>
          <w:highlight w:val="none"/>
        </w:rPr>
      </w:pPr>
      <w:r>
        <w:rPr>
          <w:rFonts w:hint="eastAsia" w:ascii="宋体" w:hAnsi="宋体" w:cs="宋体"/>
          <w:color w:val="auto"/>
          <w:sz w:val="24"/>
          <w:highlight w:val="none"/>
        </w:rPr>
        <w:t>1.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spacing w:line="360" w:lineRule="auto"/>
        <w:ind w:left="11" w:firstLine="480" w:firstLineChars="200"/>
        <w:rPr>
          <w:rFonts w:hint="eastAsia" w:ascii="宋体" w:hAnsi="宋体" w:cs="宋体"/>
          <w:color w:val="auto"/>
          <w:sz w:val="24"/>
          <w:highlight w:val="none"/>
        </w:rPr>
      </w:pPr>
      <w:r>
        <w:rPr>
          <w:rFonts w:hint="eastAsia" w:ascii="宋体" w:hAnsi="宋体" w:cs="宋体"/>
          <w:color w:val="auto"/>
          <w:sz w:val="24"/>
          <w:highlight w:val="none"/>
        </w:rPr>
        <w:t>2.乙方应以保密方式处理在编制本项目成果文件过程中自甲方、甲方工作人员或甲方关联机构获得的相关信息、资料、图纸、数据等，或由甲方在履行本合同过程中明确指明为秘密的任何信息，以及乙方因本项目工作内容所直接或间接取得、处理或接触的任何其他资料。未经甲方书面在先同意，乙方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w:t>
      </w:r>
    </w:p>
    <w:p>
      <w:pPr>
        <w:spacing w:line="360" w:lineRule="auto"/>
        <w:ind w:left="11" w:firstLine="480" w:firstLineChars="200"/>
        <w:rPr>
          <w:rFonts w:hint="eastAsia" w:ascii="宋体" w:hAnsi="宋体" w:cs="宋体"/>
          <w:color w:val="auto"/>
          <w:sz w:val="24"/>
          <w:highlight w:val="none"/>
        </w:rPr>
      </w:pPr>
      <w:r>
        <w:rPr>
          <w:rFonts w:hint="eastAsia" w:ascii="宋体" w:hAnsi="宋体" w:cs="宋体"/>
          <w:color w:val="auto"/>
          <w:sz w:val="24"/>
          <w:highlight w:val="none"/>
        </w:rPr>
        <w:t>3.乙方实施项目的程序应符合国家安全、保密的有关规定和标准。</w:t>
      </w:r>
    </w:p>
    <w:p>
      <w:pPr>
        <w:spacing w:line="360" w:lineRule="auto"/>
        <w:ind w:left="11" w:firstLine="480" w:firstLineChars="200"/>
        <w:rPr>
          <w:rFonts w:hint="eastAsia" w:ascii="宋体" w:hAnsi="宋体" w:cs="宋体"/>
          <w:color w:val="auto"/>
          <w:sz w:val="24"/>
          <w:highlight w:val="none"/>
        </w:rPr>
      </w:pPr>
      <w:r>
        <w:rPr>
          <w:rFonts w:hint="eastAsia" w:ascii="宋体" w:hAnsi="宋体" w:cs="宋体"/>
          <w:color w:val="auto"/>
          <w:sz w:val="24"/>
          <w:highlight w:val="none"/>
        </w:rPr>
        <w:t>4.上述保密义务不适用以下情况：</w:t>
      </w:r>
    </w:p>
    <w:p>
      <w:pPr>
        <w:spacing w:line="360" w:lineRule="auto"/>
        <w:ind w:left="11" w:firstLine="480" w:firstLineChars="200"/>
        <w:rPr>
          <w:rFonts w:hint="eastAsia" w:ascii="宋体" w:hAnsi="宋体" w:cs="宋体"/>
          <w:color w:val="auto"/>
          <w:sz w:val="24"/>
          <w:highlight w:val="none"/>
        </w:rPr>
      </w:pPr>
      <w:r>
        <w:rPr>
          <w:rFonts w:hint="eastAsia" w:ascii="宋体" w:hAnsi="宋体" w:cs="宋体"/>
          <w:color w:val="auto"/>
          <w:sz w:val="24"/>
          <w:highlight w:val="none"/>
        </w:rPr>
        <w:t>(1)获取的信息已被合法公开；</w:t>
      </w:r>
    </w:p>
    <w:p>
      <w:pPr>
        <w:spacing w:line="360" w:lineRule="auto"/>
        <w:ind w:left="11" w:firstLine="480" w:firstLineChars="200"/>
        <w:rPr>
          <w:rFonts w:hint="eastAsia" w:ascii="宋体" w:hAnsi="宋体" w:cs="宋体"/>
          <w:color w:val="auto"/>
          <w:sz w:val="24"/>
          <w:highlight w:val="none"/>
        </w:rPr>
      </w:pPr>
      <w:r>
        <w:rPr>
          <w:rFonts w:hint="eastAsia" w:ascii="宋体" w:hAnsi="宋体" w:cs="宋体"/>
          <w:color w:val="auto"/>
          <w:sz w:val="24"/>
          <w:highlight w:val="none"/>
        </w:rPr>
        <w:t>(2)获得信息拥有方书面许可并在该许可范围内披露；</w:t>
      </w:r>
    </w:p>
    <w:p>
      <w:pPr>
        <w:spacing w:line="360" w:lineRule="auto"/>
        <w:ind w:left="11" w:firstLine="480" w:firstLineChars="200"/>
        <w:rPr>
          <w:rFonts w:hint="eastAsia" w:ascii="宋体" w:hAnsi="宋体" w:cs="宋体"/>
          <w:color w:val="auto"/>
          <w:sz w:val="24"/>
          <w:highlight w:val="none"/>
        </w:rPr>
      </w:pPr>
      <w:r>
        <w:rPr>
          <w:rFonts w:hint="eastAsia" w:ascii="宋体" w:hAnsi="宋体" w:cs="宋体"/>
          <w:color w:val="auto"/>
          <w:sz w:val="24"/>
          <w:highlight w:val="none"/>
        </w:rPr>
        <w:t>(3)国家法律、法规规定的情形。</w:t>
      </w:r>
    </w:p>
    <w:p>
      <w:pPr>
        <w:spacing w:line="360" w:lineRule="auto"/>
        <w:ind w:left="11" w:firstLine="480" w:firstLineChars="200"/>
        <w:rPr>
          <w:rFonts w:hint="eastAsia" w:ascii="宋体" w:hAnsi="宋体" w:cs="宋体"/>
          <w:color w:val="auto"/>
          <w:sz w:val="24"/>
          <w:highlight w:val="none"/>
        </w:rPr>
      </w:pPr>
      <w:r>
        <w:rPr>
          <w:rFonts w:hint="eastAsia" w:ascii="宋体" w:hAnsi="宋体" w:cs="宋体"/>
          <w:color w:val="auto"/>
          <w:sz w:val="24"/>
          <w:highlight w:val="none"/>
        </w:rPr>
        <w:t>5.如乙方违反上述保密条款，甲方有权解除本合同，乙方应在合同解除通知发出之日起10日内向甲方支付本合同服务费总金额20%的违约金，如果违约金无法弥补甲方损失，甲方保留要求乙方赔偿全部损失的权利</w:t>
      </w:r>
      <w:r>
        <w:rPr>
          <w:rFonts w:hint="eastAsia" w:ascii="宋体" w:hAnsi="宋体" w:cs="宋体"/>
          <w:color w:val="auto"/>
          <w:kern w:val="0"/>
          <w:sz w:val="24"/>
          <w:highlight w:val="none"/>
        </w:rPr>
        <w:t>，包括但不限于上述索赔或责任所产生的诉讼费用、保全费、律师费、鉴定评估费用、调查费用、和解金额或生效法律文书中规定的赔偿金额。</w:t>
      </w:r>
    </w:p>
    <w:p>
      <w:pPr>
        <w:spacing w:line="360" w:lineRule="auto"/>
        <w:ind w:left="11" w:firstLine="480" w:firstLineChars="200"/>
        <w:rPr>
          <w:rFonts w:hint="eastAsia" w:ascii="宋体" w:hAnsi="宋体" w:cs="宋体"/>
          <w:color w:val="auto"/>
          <w:sz w:val="24"/>
          <w:highlight w:val="none"/>
        </w:rPr>
      </w:pPr>
      <w:r>
        <w:rPr>
          <w:rFonts w:hint="eastAsia" w:ascii="宋体" w:hAnsi="宋体" w:cs="宋体"/>
          <w:color w:val="auto"/>
          <w:sz w:val="24"/>
          <w:highlight w:val="none"/>
        </w:rPr>
        <w:t>6.无论本合同或本合同其他条款是否有效，本保密条款始终约束双方。国家秘密的保密期限由国家有关部门确定，工作秘密的保密期限由甲方确定。</w:t>
      </w:r>
    </w:p>
    <w:p>
      <w:pPr>
        <w:spacing w:line="360" w:lineRule="auto"/>
        <w:ind w:left="11" w:firstLine="420"/>
        <w:rPr>
          <w:rFonts w:hint="eastAsia" w:ascii="宋体" w:hAnsi="宋体" w:cs="宋体"/>
          <w:b/>
          <w:bCs/>
          <w:color w:val="auto"/>
          <w:sz w:val="24"/>
          <w:highlight w:val="none"/>
        </w:rPr>
      </w:pPr>
      <w:bookmarkStart w:id="49" w:name="_Toc16227"/>
      <w:r>
        <w:rPr>
          <w:rFonts w:hint="eastAsia" w:ascii="宋体" w:hAnsi="宋体" w:cs="宋体"/>
          <w:b/>
          <w:bCs/>
          <w:color w:val="auto"/>
          <w:sz w:val="24"/>
          <w:highlight w:val="none"/>
        </w:rPr>
        <w:t>十六、其他</w:t>
      </w:r>
      <w:bookmarkEnd w:id="49"/>
    </w:p>
    <w:p>
      <w:pPr>
        <w:snapToGrid w:val="0"/>
        <w:spacing w:line="360" w:lineRule="auto"/>
        <w:ind w:left="11" w:firstLine="480" w:firstLineChars="200"/>
        <w:rPr>
          <w:rFonts w:hint="eastAsia" w:ascii="宋体" w:hAnsi="宋体" w:cs="宋体"/>
          <w:color w:val="auto"/>
          <w:sz w:val="24"/>
          <w:highlight w:val="none"/>
        </w:rPr>
      </w:pPr>
      <w:r>
        <w:rPr>
          <w:rFonts w:hint="eastAsia" w:ascii="宋体" w:hAnsi="宋体" w:cs="宋体"/>
          <w:color w:val="auto"/>
          <w:sz w:val="24"/>
          <w:highlight w:val="none"/>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napToGrid w:val="0"/>
        <w:spacing w:line="360" w:lineRule="auto"/>
        <w:ind w:left="11" w:firstLine="480" w:firstLineChars="200"/>
        <w:rPr>
          <w:rFonts w:hint="eastAsia" w:ascii="宋体" w:hAnsi="宋体" w:cs="宋体"/>
          <w:color w:val="auto"/>
          <w:sz w:val="24"/>
          <w:highlight w:val="none"/>
        </w:rPr>
      </w:pPr>
      <w:r>
        <w:rPr>
          <w:rFonts w:hint="eastAsia" w:ascii="宋体" w:hAnsi="宋体" w:cs="宋体"/>
          <w:color w:val="auto"/>
          <w:sz w:val="24"/>
          <w:highlight w:val="none"/>
        </w:rPr>
        <w:t>（1）合同书及补充协议；</w:t>
      </w:r>
    </w:p>
    <w:p>
      <w:pPr>
        <w:snapToGrid w:val="0"/>
        <w:spacing w:line="360" w:lineRule="auto"/>
        <w:ind w:left="11" w:firstLine="480" w:firstLineChars="200"/>
        <w:rPr>
          <w:rFonts w:hint="eastAsia" w:ascii="宋体" w:hAnsi="宋体" w:cs="宋体"/>
          <w:color w:val="auto"/>
          <w:sz w:val="24"/>
          <w:highlight w:val="none"/>
        </w:rPr>
      </w:pPr>
      <w:r>
        <w:rPr>
          <w:rFonts w:hint="eastAsia" w:ascii="宋体" w:hAnsi="宋体" w:cs="宋体"/>
          <w:color w:val="auto"/>
          <w:sz w:val="24"/>
          <w:highlight w:val="none"/>
        </w:rPr>
        <w:t>（2）中标通知书；</w:t>
      </w:r>
    </w:p>
    <w:p>
      <w:pPr>
        <w:snapToGrid w:val="0"/>
        <w:spacing w:line="360" w:lineRule="auto"/>
        <w:ind w:left="11" w:firstLine="480" w:firstLineChars="200"/>
        <w:rPr>
          <w:rFonts w:hint="eastAsia" w:ascii="宋体" w:hAnsi="宋体" w:cs="宋体"/>
          <w:color w:val="auto"/>
          <w:sz w:val="24"/>
          <w:highlight w:val="none"/>
        </w:rPr>
      </w:pPr>
      <w:r>
        <w:rPr>
          <w:rFonts w:hint="eastAsia" w:ascii="宋体" w:hAnsi="宋体" w:cs="宋体"/>
          <w:color w:val="auto"/>
          <w:sz w:val="24"/>
          <w:highlight w:val="none"/>
        </w:rPr>
        <w:t>（3）招标文件（编号：    ）及其澄清、补正公告；</w:t>
      </w:r>
    </w:p>
    <w:p>
      <w:pPr>
        <w:snapToGrid w:val="0"/>
        <w:spacing w:line="360" w:lineRule="auto"/>
        <w:ind w:left="11" w:firstLine="480" w:firstLineChars="200"/>
        <w:rPr>
          <w:rFonts w:hint="eastAsia" w:ascii="宋体" w:hAnsi="宋体" w:cs="宋体"/>
          <w:color w:val="auto"/>
          <w:sz w:val="24"/>
          <w:highlight w:val="none"/>
        </w:rPr>
      </w:pPr>
      <w:r>
        <w:rPr>
          <w:rFonts w:hint="eastAsia" w:ascii="宋体" w:hAnsi="宋体" w:cs="宋体"/>
          <w:color w:val="auto"/>
          <w:sz w:val="24"/>
          <w:highlight w:val="none"/>
        </w:rPr>
        <w:t>（4）投标书。</w:t>
      </w:r>
    </w:p>
    <w:p>
      <w:pPr>
        <w:snapToGrid w:val="0"/>
        <w:spacing w:line="360" w:lineRule="auto"/>
        <w:ind w:left="11" w:firstLine="480" w:firstLineChars="200"/>
        <w:rPr>
          <w:rFonts w:hint="eastAsia" w:ascii="宋体" w:hAnsi="宋体" w:cs="宋体"/>
          <w:color w:val="auto"/>
          <w:sz w:val="24"/>
          <w:highlight w:val="none"/>
        </w:rPr>
      </w:pPr>
      <w:r>
        <w:rPr>
          <w:rFonts w:hint="eastAsia" w:ascii="宋体" w:hAnsi="宋体" w:cs="宋体"/>
          <w:color w:val="auto"/>
          <w:sz w:val="24"/>
          <w:highlight w:val="none"/>
        </w:rPr>
        <w:t>2.本合同替代此前双方所有关于本合同事项的口头或书面的纪要、备忘录、合同、协议。</w:t>
      </w:r>
    </w:p>
    <w:p>
      <w:pPr>
        <w:snapToGrid w:val="0"/>
        <w:spacing w:line="360" w:lineRule="auto"/>
        <w:ind w:left="11" w:firstLine="480" w:firstLineChars="200"/>
        <w:rPr>
          <w:rFonts w:hint="eastAsia" w:ascii="宋体" w:hAnsi="宋体" w:cs="宋体"/>
          <w:color w:val="auto"/>
          <w:sz w:val="24"/>
          <w:highlight w:val="none"/>
        </w:rPr>
      </w:pPr>
      <w:r>
        <w:rPr>
          <w:rFonts w:hint="eastAsia" w:ascii="宋体" w:hAnsi="宋体" w:cs="宋体"/>
          <w:color w:val="auto"/>
          <w:sz w:val="24"/>
          <w:highlight w:val="none"/>
        </w:rPr>
        <w:t>3.本合同附件（如有）为合同不可分割的组成部分，与本合同一并加盖骑缝章后具有同等法律效力。若附件与合同正文有任何冲突，以合同正文为准。</w:t>
      </w:r>
    </w:p>
    <w:p>
      <w:pPr>
        <w:snapToGrid w:val="0"/>
        <w:spacing w:line="360" w:lineRule="auto"/>
        <w:ind w:left="11" w:firstLine="480" w:firstLineChars="200"/>
        <w:rPr>
          <w:rFonts w:hint="eastAsia" w:ascii="宋体" w:hAnsi="宋体" w:cs="宋体"/>
          <w:color w:val="auto"/>
          <w:sz w:val="24"/>
          <w:highlight w:val="none"/>
        </w:rPr>
      </w:pPr>
      <w:r>
        <w:rPr>
          <w:rFonts w:hint="eastAsia" w:ascii="宋体" w:hAnsi="宋体" w:cs="宋体"/>
          <w:color w:val="auto"/>
          <w:sz w:val="24"/>
          <w:highlight w:val="none"/>
        </w:rPr>
        <w:t>4.本合同各条标题仅为提示之用，应以条文内容确定各方的权利义务。</w:t>
      </w:r>
    </w:p>
    <w:p>
      <w:pPr>
        <w:snapToGrid w:val="0"/>
        <w:spacing w:line="360" w:lineRule="auto"/>
        <w:ind w:left="11" w:firstLine="480" w:firstLineChars="200"/>
        <w:rPr>
          <w:rFonts w:hint="eastAsia" w:ascii="宋体" w:hAnsi="宋体" w:cs="宋体"/>
          <w:color w:val="auto"/>
          <w:sz w:val="24"/>
          <w:highlight w:val="none"/>
        </w:rPr>
      </w:pPr>
      <w:r>
        <w:rPr>
          <w:rFonts w:hint="eastAsia" w:ascii="宋体" w:hAnsi="宋体" w:cs="宋体"/>
          <w:color w:val="auto"/>
          <w:sz w:val="24"/>
          <w:highlight w:val="none"/>
        </w:rPr>
        <w:t>5.本合同未尽事宜，由双方协商签订补充协议进行约定。补充协议应以书面形式作成，经双方盖章后与本合同具有同等法律效力。</w:t>
      </w:r>
    </w:p>
    <w:p>
      <w:pPr>
        <w:snapToGrid w:val="0"/>
        <w:spacing w:line="360" w:lineRule="auto"/>
        <w:ind w:left="11" w:firstLine="480" w:firstLineChars="200"/>
        <w:rPr>
          <w:rFonts w:hint="eastAsia" w:ascii="宋体" w:hAnsi="宋体" w:cs="宋体"/>
          <w:color w:val="auto"/>
          <w:sz w:val="24"/>
          <w:highlight w:val="none"/>
        </w:rPr>
      </w:pPr>
      <w:r>
        <w:rPr>
          <w:rFonts w:hint="eastAsia" w:ascii="宋体" w:hAnsi="宋体" w:cs="宋体"/>
          <w:color w:val="auto"/>
          <w:sz w:val="24"/>
          <w:highlight w:val="none"/>
        </w:rPr>
        <w:t>6.本合同约定的权利和义务不因合同双方发生收购、兼并、重组、分立而发生变化。如果发生上述情形，则本合同约定的权利和义务随之转移至收购、兼并、重组或分立后成立的单位。</w:t>
      </w:r>
    </w:p>
    <w:p>
      <w:pPr>
        <w:snapToGrid w:val="0"/>
        <w:spacing w:line="360" w:lineRule="auto"/>
        <w:ind w:left="11" w:firstLine="480" w:firstLineChars="200"/>
        <w:rPr>
          <w:rFonts w:hint="eastAsia" w:ascii="宋体" w:hAnsi="宋体" w:cs="宋体"/>
          <w:color w:val="auto"/>
          <w:sz w:val="24"/>
          <w:highlight w:val="none"/>
        </w:rPr>
      </w:pPr>
      <w:r>
        <w:rPr>
          <w:rFonts w:hint="eastAsia" w:ascii="宋体" w:hAnsi="宋体" w:cs="宋体"/>
          <w:color w:val="auto"/>
          <w:sz w:val="24"/>
          <w:highlight w:val="none"/>
        </w:rPr>
        <w:t>7.如果本合同的任何条款在任何时候变成不合法、无效或不可强制执行而不从根本上影响本合同的效力时，本合同的其他条款不受影响。</w:t>
      </w:r>
    </w:p>
    <w:p>
      <w:pPr>
        <w:snapToGrid w:val="0"/>
        <w:spacing w:line="360" w:lineRule="auto"/>
        <w:ind w:left="11" w:firstLine="480" w:firstLineChars="200"/>
        <w:rPr>
          <w:rFonts w:hint="eastAsia" w:ascii="宋体" w:hAnsi="宋体" w:cs="宋体"/>
          <w:color w:val="auto"/>
          <w:sz w:val="24"/>
          <w:highlight w:val="none"/>
        </w:rPr>
      </w:pPr>
      <w:r>
        <w:rPr>
          <w:rFonts w:hint="eastAsia" w:ascii="宋体" w:hAnsi="宋体" w:cs="宋体"/>
          <w:color w:val="auto"/>
          <w:sz w:val="24"/>
          <w:highlight w:val="none"/>
        </w:rPr>
        <w:t>8.本合同的任何内容不应被视为或解释为双方之间具有合资、合伙、代理关系。</w:t>
      </w:r>
    </w:p>
    <w:p>
      <w:pPr>
        <w:snapToGrid w:val="0"/>
        <w:spacing w:line="360" w:lineRule="auto"/>
        <w:ind w:left="11" w:firstLine="480" w:firstLineChars="200"/>
        <w:rPr>
          <w:rFonts w:hint="eastAsia" w:ascii="宋体" w:hAnsi="宋体" w:cs="宋体"/>
          <w:color w:val="auto"/>
          <w:sz w:val="24"/>
          <w:highlight w:val="none"/>
        </w:rPr>
      </w:pPr>
      <w:r>
        <w:rPr>
          <w:rFonts w:hint="eastAsia" w:ascii="宋体" w:hAnsi="宋体" w:cs="宋体"/>
          <w:color w:val="auto"/>
          <w:sz w:val="24"/>
          <w:highlight w:val="none"/>
        </w:rPr>
        <w:t>9.任何一方未经另一方同意不得向任何第三方透露本合同的签订及其内容。甲方向其关联公司透露前述内容的，不受此限。</w:t>
      </w:r>
    </w:p>
    <w:p>
      <w:pPr>
        <w:snapToGrid w:val="0"/>
        <w:spacing w:line="360" w:lineRule="auto"/>
        <w:ind w:left="11" w:firstLine="480" w:firstLineChars="200"/>
        <w:rPr>
          <w:rFonts w:hint="eastAsia" w:ascii="宋体" w:hAnsi="宋体" w:cs="宋体"/>
          <w:color w:val="auto"/>
          <w:sz w:val="24"/>
          <w:highlight w:val="none"/>
        </w:rPr>
      </w:pPr>
      <w:r>
        <w:rPr>
          <w:rFonts w:hint="eastAsia" w:ascii="宋体" w:hAnsi="宋体" w:cs="宋体"/>
          <w:color w:val="auto"/>
          <w:sz w:val="24"/>
          <w:highlight w:val="none"/>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napToGrid w:val="0"/>
        <w:spacing w:line="360" w:lineRule="auto"/>
        <w:ind w:left="11" w:firstLine="480" w:firstLineChars="200"/>
        <w:rPr>
          <w:rFonts w:hint="eastAsia" w:ascii="宋体" w:hAnsi="宋体" w:cs="宋体"/>
          <w:color w:val="auto"/>
          <w:sz w:val="24"/>
          <w:highlight w:val="none"/>
        </w:rPr>
      </w:pPr>
      <w:r>
        <w:rPr>
          <w:rFonts w:hint="eastAsia" w:ascii="宋体" w:hAnsi="宋体" w:cs="宋体"/>
          <w:color w:val="auto"/>
          <w:sz w:val="24"/>
          <w:highlight w:val="none"/>
        </w:rPr>
        <w:t>11.本合同自双方盖章之日起生效，有效期至本合同全部权利义务履行完毕之日止。</w:t>
      </w:r>
    </w:p>
    <w:p>
      <w:pPr>
        <w:snapToGrid w:val="0"/>
        <w:spacing w:line="360" w:lineRule="auto"/>
        <w:ind w:left="11" w:firstLine="480" w:firstLineChars="200"/>
        <w:rPr>
          <w:rFonts w:hint="eastAsia" w:ascii="宋体" w:hAnsi="宋体" w:cs="宋体"/>
          <w:color w:val="auto"/>
          <w:sz w:val="24"/>
          <w:highlight w:val="none"/>
        </w:rPr>
      </w:pPr>
      <w:r>
        <w:rPr>
          <w:rFonts w:hint="eastAsia" w:ascii="宋体" w:hAnsi="宋体" w:cs="宋体"/>
          <w:color w:val="auto"/>
          <w:sz w:val="24"/>
          <w:highlight w:val="none"/>
        </w:rPr>
        <w:t>12.本合同一式六份正本，甲方与乙方各执三份，均具同等法律效力。（以下无正文）</w:t>
      </w:r>
    </w:p>
    <w:p>
      <w:pPr>
        <w:snapToGrid w:val="0"/>
        <w:spacing w:line="360" w:lineRule="auto"/>
        <w:ind w:left="11" w:firstLine="480" w:firstLineChars="200"/>
        <w:rPr>
          <w:rFonts w:hint="eastAsia" w:ascii="宋体" w:hAnsi="宋体" w:cs="宋体"/>
          <w:color w:val="auto"/>
          <w:sz w:val="24"/>
          <w:highlight w:val="none"/>
        </w:rPr>
      </w:pPr>
    </w:p>
    <w:p>
      <w:pPr>
        <w:pStyle w:val="9"/>
        <w:snapToGrid w:val="0"/>
        <w:spacing w:line="360" w:lineRule="auto"/>
        <w:ind w:left="11" w:firstLine="480" w:firstLineChars="200"/>
        <w:rPr>
          <w:rFonts w:hint="eastAsia" w:hAnsi="宋体" w:cs="宋体"/>
          <w:color w:val="auto"/>
          <w:sz w:val="24"/>
          <w:highlight w:val="none"/>
        </w:rPr>
      </w:pPr>
      <w:r>
        <w:rPr>
          <w:rFonts w:hint="eastAsia" w:hAnsi="宋体" w:cs="宋体"/>
          <w:color w:val="auto"/>
          <w:sz w:val="24"/>
          <w:highlight w:val="none"/>
        </w:rPr>
        <w:t>附件：</w:t>
      </w:r>
    </w:p>
    <w:p>
      <w:pPr>
        <w:snapToGrid w:val="0"/>
        <w:spacing w:line="360" w:lineRule="auto"/>
        <w:ind w:left="11" w:firstLine="480" w:firstLineChars="200"/>
        <w:rPr>
          <w:rFonts w:hint="eastAsia" w:ascii="宋体" w:hAnsi="宋体" w:cs="宋体"/>
          <w:color w:val="auto"/>
          <w:sz w:val="24"/>
          <w:highlight w:val="none"/>
        </w:rPr>
      </w:pPr>
      <w:r>
        <w:rPr>
          <w:rFonts w:hint="eastAsia" w:ascii="宋体" w:hAnsi="宋体" w:cs="宋体"/>
          <w:color w:val="auto"/>
          <w:sz w:val="24"/>
          <w:highlight w:val="none"/>
        </w:rPr>
        <w:t>1.《中标通知书》；</w:t>
      </w:r>
    </w:p>
    <w:p>
      <w:pPr>
        <w:snapToGrid w:val="0"/>
        <w:spacing w:line="360" w:lineRule="auto"/>
        <w:ind w:left="11" w:firstLine="480" w:firstLineChars="200"/>
        <w:rPr>
          <w:rFonts w:hint="eastAsia" w:ascii="宋体" w:hAnsi="宋体" w:cs="宋体"/>
          <w:color w:val="auto"/>
          <w:sz w:val="24"/>
          <w:highlight w:val="none"/>
        </w:rPr>
      </w:pPr>
      <w:r>
        <w:rPr>
          <w:rFonts w:hint="eastAsia" w:ascii="宋体" w:hAnsi="宋体" w:cs="宋体"/>
          <w:color w:val="auto"/>
          <w:sz w:val="24"/>
          <w:highlight w:val="none"/>
        </w:rPr>
        <w:t>2.《招标文件》；</w:t>
      </w:r>
    </w:p>
    <w:p>
      <w:pPr>
        <w:snapToGrid w:val="0"/>
        <w:spacing w:line="360" w:lineRule="auto"/>
        <w:ind w:left="11" w:firstLine="480" w:firstLineChars="200"/>
        <w:rPr>
          <w:rFonts w:hint="eastAsia" w:ascii="宋体" w:hAnsi="宋体" w:cs="宋体"/>
          <w:color w:val="auto"/>
          <w:sz w:val="24"/>
          <w:highlight w:val="none"/>
        </w:rPr>
      </w:pPr>
      <w:r>
        <w:rPr>
          <w:rFonts w:hint="eastAsia" w:ascii="宋体" w:hAnsi="宋体" w:cs="宋体"/>
          <w:color w:val="auto"/>
          <w:sz w:val="24"/>
          <w:highlight w:val="none"/>
        </w:rPr>
        <w:t>3.《投标文件》。</w:t>
      </w:r>
    </w:p>
    <w:p>
      <w:pPr>
        <w:snapToGrid w:val="0"/>
        <w:spacing w:line="360" w:lineRule="auto"/>
        <w:ind w:left="11" w:firstLine="422"/>
        <w:rPr>
          <w:rFonts w:hint="eastAsia"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left="11" w:firstLine="422"/>
        <w:rPr>
          <w:rFonts w:hint="eastAsia" w:ascii="宋体" w:hAnsi="宋体" w:cs="宋体"/>
          <w:color w:val="auto"/>
          <w:sz w:val="24"/>
          <w:highlight w:val="none"/>
        </w:rPr>
      </w:pPr>
      <w:r>
        <w:rPr>
          <w:rFonts w:hint="eastAsia" w:ascii="宋体" w:hAnsi="宋体" w:cs="宋体"/>
          <w:color w:val="auto"/>
          <w:sz w:val="24"/>
          <w:highlight w:val="none"/>
        </w:rPr>
        <w:t xml:space="preserve">   甲方：                                    乙方：</w:t>
      </w:r>
    </w:p>
    <w:p>
      <w:pPr>
        <w:snapToGrid w:val="0"/>
        <w:spacing w:line="360" w:lineRule="auto"/>
        <w:ind w:left="11" w:firstLine="422"/>
        <w:rPr>
          <w:rFonts w:hint="eastAsia" w:ascii="宋体" w:hAnsi="宋体" w:cs="宋体"/>
          <w:color w:val="auto"/>
          <w:sz w:val="24"/>
          <w:highlight w:val="none"/>
        </w:rPr>
      </w:pPr>
      <w:r>
        <w:rPr>
          <w:rFonts w:hint="eastAsia" w:ascii="宋体" w:hAnsi="宋体" w:cs="宋体"/>
          <w:color w:val="auto"/>
          <w:sz w:val="24"/>
          <w:highlight w:val="none"/>
        </w:rPr>
        <w:t xml:space="preserve">    地址：                                    地址：</w:t>
      </w:r>
    </w:p>
    <w:p>
      <w:pPr>
        <w:snapToGrid w:val="0"/>
        <w:spacing w:line="360" w:lineRule="auto"/>
        <w:ind w:left="11" w:firstLine="422"/>
        <w:rPr>
          <w:rFonts w:hint="eastAsia" w:ascii="宋体" w:hAnsi="宋体" w:cs="宋体"/>
          <w:color w:val="auto"/>
          <w:sz w:val="24"/>
          <w:highlight w:val="none"/>
        </w:rPr>
      </w:pPr>
      <w:r>
        <w:rPr>
          <w:rFonts w:hint="eastAsia" w:ascii="宋体" w:hAnsi="宋体" w:cs="宋体"/>
          <w:color w:val="auto"/>
          <w:sz w:val="24"/>
          <w:highlight w:val="none"/>
        </w:rPr>
        <w:t xml:space="preserve">    法定代表人：                              法定代表人：</w:t>
      </w:r>
    </w:p>
    <w:p>
      <w:pPr>
        <w:snapToGrid w:val="0"/>
        <w:spacing w:line="360" w:lineRule="auto"/>
        <w:ind w:left="11" w:firstLine="422"/>
        <w:rPr>
          <w:rFonts w:hint="eastAsia" w:ascii="宋体" w:hAnsi="宋体" w:cs="宋体"/>
          <w:color w:val="auto"/>
          <w:sz w:val="24"/>
          <w:highlight w:val="none"/>
        </w:rPr>
      </w:pPr>
      <w:r>
        <w:rPr>
          <w:rFonts w:hint="eastAsia" w:ascii="宋体" w:hAnsi="宋体" w:cs="宋体"/>
          <w:color w:val="auto"/>
          <w:sz w:val="24"/>
          <w:highlight w:val="none"/>
        </w:rPr>
        <w:t xml:space="preserve">    委托代理人：                              委托代理人：</w:t>
      </w:r>
    </w:p>
    <w:p>
      <w:pPr>
        <w:snapToGrid w:val="0"/>
        <w:spacing w:line="360" w:lineRule="auto"/>
        <w:ind w:left="11" w:firstLine="422"/>
        <w:rPr>
          <w:rFonts w:hint="eastAsia" w:ascii="宋体" w:hAnsi="宋体" w:cs="宋体"/>
          <w:color w:val="auto"/>
          <w:sz w:val="24"/>
          <w:highlight w:val="none"/>
        </w:rPr>
      </w:pPr>
      <w:r>
        <w:rPr>
          <w:rFonts w:hint="eastAsia" w:ascii="宋体" w:hAnsi="宋体" w:cs="宋体"/>
          <w:color w:val="auto"/>
          <w:sz w:val="24"/>
          <w:highlight w:val="none"/>
        </w:rPr>
        <w:t xml:space="preserve">    电话：                                    电话：</w:t>
      </w:r>
    </w:p>
    <w:p>
      <w:pPr>
        <w:snapToGrid w:val="0"/>
        <w:spacing w:line="360" w:lineRule="auto"/>
        <w:ind w:left="11" w:firstLine="422"/>
        <w:rPr>
          <w:rFonts w:hint="eastAsia" w:ascii="宋体" w:hAnsi="宋体" w:cs="宋体"/>
          <w:color w:val="auto"/>
          <w:sz w:val="24"/>
          <w:highlight w:val="none"/>
        </w:rPr>
      </w:pPr>
      <w:r>
        <w:rPr>
          <w:rFonts w:hint="eastAsia" w:ascii="宋体" w:hAnsi="宋体" w:cs="宋体"/>
          <w:color w:val="auto"/>
          <w:sz w:val="24"/>
          <w:highlight w:val="none"/>
        </w:rPr>
        <w:t xml:space="preserve">    开户银行：                                开户银行：</w:t>
      </w:r>
    </w:p>
    <w:p>
      <w:pPr>
        <w:snapToGrid w:val="0"/>
        <w:spacing w:line="360" w:lineRule="auto"/>
        <w:ind w:left="11" w:firstLine="422"/>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账号</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账号</w:t>
      </w:r>
      <w:r>
        <w:rPr>
          <w:rFonts w:hint="eastAsia" w:ascii="宋体" w:hAnsi="宋体" w:cs="宋体"/>
          <w:color w:val="auto"/>
          <w:sz w:val="24"/>
          <w:highlight w:val="none"/>
        </w:rPr>
        <w:t>：</w:t>
      </w:r>
    </w:p>
    <w:p>
      <w:pPr>
        <w:spacing w:line="360" w:lineRule="auto"/>
        <w:ind w:firstLine="720" w:firstLineChars="300"/>
        <w:rPr>
          <w:rFonts w:hint="eastAsia" w:ascii="宋体" w:hAnsi="宋体" w:cs="宋体"/>
          <w:color w:val="auto"/>
          <w:sz w:val="24"/>
          <w:highlight w:val="none"/>
        </w:rPr>
      </w:pPr>
      <w:r>
        <w:rPr>
          <w:rFonts w:hint="eastAsia" w:ascii="宋体" w:hAnsi="宋体" w:cs="宋体"/>
          <w:color w:val="auto"/>
          <w:sz w:val="24"/>
          <w:highlight w:val="none"/>
        </w:rPr>
        <w:t>签约地址：                           签约时间：     年   月   日</w:t>
      </w:r>
    </w:p>
    <w:p>
      <w:pPr>
        <w:rPr>
          <w:rFonts w:hint="eastAsia" w:ascii="仿宋" w:hAnsi="仿宋" w:eastAsia="仿宋" w:cs="仿宋"/>
          <w:color w:val="auto"/>
          <w:szCs w:val="21"/>
          <w:highlight w:val="none"/>
        </w:rPr>
      </w:pPr>
    </w:p>
    <w:p>
      <w:pPr>
        <w:ind w:left="11" w:firstLine="630" w:firstLineChars="300"/>
        <w:rPr>
          <w:rFonts w:hint="eastAsia" w:ascii="仿宋" w:hAnsi="仿宋" w:eastAsia="仿宋" w:cs="仿宋"/>
          <w:color w:val="auto"/>
          <w:szCs w:val="21"/>
          <w:highlight w:val="none"/>
        </w:rPr>
      </w:pPr>
    </w:p>
    <w:p>
      <w:pPr>
        <w:adjustRightInd w:val="0"/>
        <w:snapToGrid w:val="0"/>
        <w:spacing w:line="360" w:lineRule="auto"/>
        <w:rPr>
          <w:rFonts w:hint="eastAsia" w:ascii="宋体" w:hAnsi="宋体" w:cs="宋体"/>
          <w:color w:val="auto"/>
          <w:sz w:val="24"/>
          <w:highlight w:val="none"/>
        </w:rPr>
      </w:pPr>
      <w:r>
        <w:rPr>
          <w:rFonts w:hint="eastAsia" w:ascii="宋体" w:hAnsi="宋体"/>
          <w:b/>
          <w:bCs/>
          <w:color w:val="auto"/>
          <w:szCs w:val="21"/>
          <w:highlight w:val="none"/>
        </w:rPr>
        <w:t>注：本合同样本仅供参考，具体条款内容采购人和中标人按前海管理局合同样本签订。实际合同样本不改变本招标文件的实质条件</w:t>
      </w:r>
      <w:r>
        <w:rPr>
          <w:rFonts w:hint="eastAsia" w:ascii="宋体" w:hAnsi="宋体" w:cs="宋体"/>
          <w:b/>
          <w:bCs/>
          <w:color w:val="auto"/>
          <w:sz w:val="24"/>
          <w:highlight w:val="none"/>
        </w:rPr>
        <w:t>。</w:t>
      </w:r>
    </w:p>
    <w:p>
      <w:pPr>
        <w:snapToGrid w:val="0"/>
        <w:spacing w:line="360" w:lineRule="auto"/>
        <w:rPr>
          <w:rFonts w:hint="eastAsia" w:ascii="宋体" w:hAnsi="宋体" w:cs="宋体"/>
          <w:color w:val="auto"/>
          <w:sz w:val="24"/>
          <w:highlight w:val="none"/>
        </w:rPr>
      </w:pPr>
    </w:p>
    <w:p>
      <w:pPr>
        <w:numPr>
          <w:ilvl w:val="0"/>
          <w:numId w:val="1"/>
        </w:numPr>
        <w:spacing w:line="360" w:lineRule="auto"/>
        <w:jc w:val="center"/>
        <w:outlineLvl w:val="0"/>
        <w:rPr>
          <w:rFonts w:hint="eastAsia"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 xml:space="preserve"> </w:t>
      </w:r>
      <w:bookmarkStart w:id="50" w:name="_Toc25518"/>
      <w:bookmarkStart w:id="51" w:name="_Toc11333"/>
      <w:r>
        <w:rPr>
          <w:rFonts w:hint="eastAsia" w:ascii="宋体" w:hAnsi="宋体" w:cs="宋体"/>
          <w:b/>
          <w:bCs/>
          <w:color w:val="auto"/>
          <w:sz w:val="24"/>
          <w:highlight w:val="none"/>
        </w:rPr>
        <w:t>用户需求书</w:t>
      </w:r>
      <w:bookmarkEnd w:id="50"/>
      <w:bookmarkEnd w:id="51"/>
    </w:p>
    <w:p>
      <w:pPr>
        <w:pStyle w:val="33"/>
        <w:tabs>
          <w:tab w:val="left" w:pos="720"/>
        </w:tabs>
        <w:autoSpaceDE w:val="0"/>
        <w:autoSpaceDN w:val="0"/>
        <w:adjustRightInd w:val="0"/>
        <w:spacing w:line="360" w:lineRule="auto"/>
        <w:ind w:right="17" w:firstLine="482"/>
        <w:jc w:val="left"/>
        <w:rPr>
          <w:rFonts w:hint="eastAsia" w:ascii="宋体" w:hAnsi="宋体" w:cs="宋体"/>
          <w:b/>
          <w:color w:val="auto"/>
          <w:sz w:val="24"/>
          <w:highlight w:val="none"/>
        </w:rPr>
      </w:pPr>
      <w:bookmarkStart w:id="52" w:name="_Toc11045"/>
      <w:bookmarkStart w:id="53" w:name="_Toc23726"/>
      <w:r>
        <w:rPr>
          <w:rFonts w:hint="eastAsia" w:ascii="宋体" w:hAnsi="宋体" w:cs="宋体"/>
          <w:b/>
          <w:color w:val="auto"/>
          <w:sz w:val="24"/>
          <w:highlight w:val="none"/>
        </w:rPr>
        <w:t>说明：本章“用户需求书”的全部内容为本项目正常开展的基本要求，投标人必须完全响应，否则将导致投标无效。</w:t>
      </w:r>
    </w:p>
    <w:bookmarkEnd w:id="52"/>
    <w:bookmarkEnd w:id="53"/>
    <w:p>
      <w:pPr>
        <w:pStyle w:val="33"/>
        <w:numPr>
          <w:ilvl w:val="0"/>
          <w:numId w:val="7"/>
        </w:numPr>
        <w:tabs>
          <w:tab w:val="left" w:pos="720"/>
        </w:tabs>
        <w:autoSpaceDE w:val="0"/>
        <w:autoSpaceDN w:val="0"/>
        <w:adjustRightInd w:val="0"/>
        <w:spacing w:line="360" w:lineRule="auto"/>
        <w:ind w:right="17" w:firstLine="482"/>
        <w:jc w:val="left"/>
        <w:outlineLvl w:val="1"/>
        <w:rPr>
          <w:rFonts w:hint="eastAsia" w:ascii="宋体" w:hAnsi="宋体" w:cs="宋体"/>
          <w:b/>
          <w:color w:val="auto"/>
          <w:sz w:val="24"/>
          <w:highlight w:val="none"/>
          <w:lang w:val="zh-CN"/>
        </w:rPr>
      </w:pPr>
      <w:bookmarkStart w:id="54" w:name="_Toc51746099"/>
      <w:r>
        <w:rPr>
          <w:rFonts w:hint="eastAsia" w:ascii="宋体" w:hAnsi="宋体" w:cs="宋体"/>
          <w:b/>
          <w:color w:val="auto"/>
          <w:sz w:val="24"/>
          <w:highlight w:val="none"/>
          <w:lang w:val="zh-CN"/>
        </w:rPr>
        <w:t>项目概况</w:t>
      </w:r>
    </w:p>
    <w:p>
      <w:pPr>
        <w:pStyle w:val="2"/>
        <w:spacing w:line="360" w:lineRule="auto"/>
        <w:ind w:firstLine="482" w:firstLineChars="200"/>
        <w:rPr>
          <w:rFonts w:hint="eastAsia" w:ascii="宋体" w:hAnsi="宋体" w:cs="宋体"/>
          <w:b/>
          <w:bCs/>
          <w:color w:val="auto"/>
          <w:highlight w:val="none"/>
        </w:rPr>
      </w:pPr>
      <w:r>
        <w:rPr>
          <w:rFonts w:hint="eastAsia" w:ascii="宋体" w:hAnsi="宋体" w:cs="宋体"/>
          <w:b/>
          <w:bCs/>
          <w:color w:val="auto"/>
          <w:highlight w:val="none"/>
        </w:rPr>
        <w:t>（一）项目背景</w:t>
      </w:r>
    </w:p>
    <w:p>
      <w:pPr>
        <w:pStyle w:val="2"/>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（1）落实《前海规划》政策：2023年12月，国务院批复《前海深港现代服务业合作区总体发展规划》提出“加快前海综合保税区创新升级，在保障安全的前提下，在一定领域内探索实施</w:t>
      </w:r>
      <w:r>
        <w:rPr>
          <w:rFonts w:hint="eastAsia" w:ascii="宋体" w:hAnsi="宋体" w:cs="宋体"/>
          <w:color w:val="auto"/>
          <w:highlight w:val="none"/>
          <w:lang w:eastAsia="zh-CN"/>
        </w:rPr>
        <w:t>‘</w:t>
      </w:r>
      <w:bookmarkStart w:id="97" w:name="_GoBack"/>
      <w:bookmarkEnd w:id="97"/>
      <w:r>
        <w:rPr>
          <w:rFonts w:hint="eastAsia" w:ascii="宋体" w:hAnsi="宋体" w:cs="宋体"/>
          <w:color w:val="auto"/>
          <w:highlight w:val="none"/>
        </w:rPr>
        <w:t>一线径予放行、二线单侧申报、优化账册管理模式’制度”。着眼前海现代物流产业发展需要在保障有效监管的前提下，在前海综合保税区探索构建“一线直通、智联监管”(以下简称“一线直通”)，将有助于前海与国际先进经贸规则接轨，更好服务国家对外开放整体战略。</w:t>
      </w:r>
    </w:p>
    <w:p>
      <w:pPr>
        <w:pStyle w:val="2"/>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2）市场需求推动：国际集拼中心是供应链全球化的组成环节，也是提升国际贸易竞争力的重要手段。但目前在前海综合保税区开展国际中转集拼业务在便利性上不如香港，这导致了部分货主因此选择高成本但通关更为便利的中国香港、新加坡等地进行国际中转集拼业务。</w:t>
      </w:r>
    </w:p>
    <w:p>
      <w:pPr>
        <w:pStyle w:val="2"/>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（3）海关审批情况：海关已经批复通过了在深圳前海综保区开展探索新型通关模式“一线直通、智联监管”的试点方案。</w:t>
      </w:r>
    </w:p>
    <w:p>
      <w:pPr>
        <w:pStyle w:val="2"/>
        <w:spacing w:line="360" w:lineRule="auto"/>
        <w:ind w:firstLine="482" w:firstLineChars="200"/>
        <w:rPr>
          <w:rFonts w:hint="eastAsia" w:ascii="宋体" w:hAnsi="宋体" w:cs="宋体"/>
          <w:b/>
          <w:bCs/>
          <w:color w:val="auto"/>
          <w:highlight w:val="none"/>
        </w:rPr>
      </w:pPr>
      <w:r>
        <w:rPr>
          <w:rFonts w:hint="eastAsia" w:ascii="宋体" w:hAnsi="宋体" w:cs="宋体"/>
          <w:b/>
          <w:bCs/>
          <w:color w:val="auto"/>
          <w:highlight w:val="none"/>
        </w:rPr>
        <w:t>（二）建设目标</w:t>
      </w:r>
    </w:p>
    <w:p>
      <w:pPr>
        <w:pStyle w:val="2"/>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根据前海综合保税区的功能定位，紧密依托现代信息技术手段，探索打造“一线直通、智联监管”通关新模式：企业先行将货物从口岸提离入区，在区内理货、集拼后再转口出境，或转入保税账册管理。同时依托信息化监管手段实现口岸监管、途中监管与区内监管的全流程衔接，以关地协同管理强化综合治理，提高申报效率，缩短通关时间，降低企业成本，打造国际一流通关环境，建设高水平对外开放新格局。</w:t>
      </w:r>
    </w:p>
    <w:p>
      <w:pPr>
        <w:pStyle w:val="2"/>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从可视化、智能化监管角度建设全程物流数据接入比对、严密途中监管、库内结合货物分类监管、库内视频对接、RFID捆绑货物信息等现代信息手段辅助监管等。在保障安全的前提下，在前海综合保税区范围内，分阶段、分企业、分货物类型、分口岸逐步推进“一线直通、智联监管”，优先推动区内重点企业试点，在海港口岸率先实施。</w:t>
      </w:r>
    </w:p>
    <w:p>
      <w:pPr>
        <w:pStyle w:val="2"/>
        <w:spacing w:line="360" w:lineRule="auto"/>
        <w:ind w:firstLine="482" w:firstLineChars="200"/>
        <w:rPr>
          <w:rFonts w:hint="eastAsia" w:ascii="宋体" w:hAnsi="宋体" w:cs="宋体"/>
          <w:b/>
          <w:bCs/>
          <w:color w:val="auto"/>
          <w:highlight w:val="none"/>
        </w:rPr>
      </w:pPr>
      <w:r>
        <w:rPr>
          <w:rFonts w:hint="eastAsia" w:ascii="宋体" w:hAnsi="宋体" w:cs="宋体"/>
          <w:b/>
          <w:bCs/>
          <w:color w:val="auto"/>
          <w:highlight w:val="none"/>
        </w:rPr>
        <w:t>（三）建设内容</w:t>
      </w:r>
    </w:p>
    <w:p>
      <w:pPr>
        <w:pStyle w:val="2"/>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探索构建实施安全便利高效的“一线直通、智联监管”模式，支持企业先行将货物从口岸提离入区，在区内理货、集拼后再转口出境，或转入保税账册管理。同时依托信息化、智能化监管技术，实现口岸监管、途中监管与区内可视化监管的全流程衔接，以关地协同管理强化综合治理，提高申报效率，缩短通关时间，降低企业成本，打造国际一流通关环境，建设高水平对外开放新格局。</w:t>
      </w:r>
    </w:p>
    <w:bookmarkEnd w:id="54"/>
    <w:p>
      <w:pPr>
        <w:pStyle w:val="33"/>
        <w:numPr>
          <w:ilvl w:val="0"/>
          <w:numId w:val="7"/>
        </w:numPr>
        <w:tabs>
          <w:tab w:val="left" w:pos="720"/>
        </w:tabs>
        <w:autoSpaceDE w:val="0"/>
        <w:autoSpaceDN w:val="0"/>
        <w:adjustRightInd w:val="0"/>
        <w:spacing w:line="360" w:lineRule="auto"/>
        <w:ind w:right="17" w:firstLine="482"/>
        <w:jc w:val="left"/>
        <w:outlineLvl w:val="1"/>
        <w:rPr>
          <w:rFonts w:hint="eastAsia" w:ascii="宋体" w:hAnsi="宋体" w:cs="宋体"/>
          <w:b/>
          <w:color w:val="auto"/>
          <w:sz w:val="24"/>
          <w:highlight w:val="none"/>
        </w:rPr>
      </w:pPr>
      <w:r>
        <w:rPr>
          <w:rFonts w:hint="eastAsia" w:ascii="宋体" w:hAnsi="宋体" w:cs="宋体"/>
          <w:b/>
          <w:color w:val="auto"/>
          <w:sz w:val="24"/>
          <w:highlight w:val="none"/>
          <w:lang w:val="zh-CN"/>
        </w:rPr>
        <w:t>工作目标</w:t>
      </w:r>
    </w:p>
    <w:p>
      <w:pPr>
        <w:pStyle w:val="2"/>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按照《深圳经济特区政府投资项目管理条例》《深圳市前海管理局政府投资项目管理工作规程》《前海管理局政务信息化项目管理办法》等相关规定，开展“前海综保区一线直通、智联监管项目”可行性研究报告编制服务。</w:t>
      </w:r>
    </w:p>
    <w:p>
      <w:pPr>
        <w:pStyle w:val="33"/>
        <w:numPr>
          <w:ilvl w:val="0"/>
          <w:numId w:val="7"/>
        </w:numPr>
        <w:tabs>
          <w:tab w:val="left" w:pos="720"/>
        </w:tabs>
        <w:autoSpaceDE w:val="0"/>
        <w:autoSpaceDN w:val="0"/>
        <w:adjustRightInd w:val="0"/>
        <w:spacing w:line="360" w:lineRule="auto"/>
        <w:ind w:right="17" w:firstLine="482"/>
        <w:jc w:val="left"/>
        <w:outlineLvl w:val="1"/>
        <w:rPr>
          <w:rFonts w:hint="eastAsia" w:ascii="宋体" w:hAnsi="宋体" w:cs="宋体"/>
          <w:b/>
          <w:color w:val="auto"/>
          <w:sz w:val="24"/>
          <w:highlight w:val="none"/>
        </w:rPr>
      </w:pPr>
      <w:bookmarkStart w:id="55" w:name="OLE_LINK16"/>
      <w:r>
        <w:rPr>
          <w:rFonts w:hint="eastAsia" w:ascii="宋体" w:hAnsi="宋体" w:cs="宋体"/>
          <w:b/>
          <w:color w:val="auto"/>
          <w:sz w:val="24"/>
          <w:highlight w:val="none"/>
        </w:rPr>
        <w:t>工作内容</w:t>
      </w:r>
    </w:p>
    <w:p>
      <w:pPr>
        <w:pStyle w:val="2"/>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按照《深圳经济特区政府投资项目管理条例》《深圳市前海管理局政府投资项目管理工作规程》《前海管理局政务信息化项目管理办法》等相关规定，开展“前海综保区一线直通、智联监管项目”可行性研究报告编制服务。可行性研究报告编制服务如下：</w:t>
      </w:r>
    </w:p>
    <w:p>
      <w:pPr>
        <w:pStyle w:val="2"/>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1、从需求分析、场景设计、架构设计、数据设计、流程设计、标准规范、性能参数、功能指标、建设实施、测试方案、运行维护等方面进行总体设计，形成可行性研究报告。</w:t>
      </w:r>
    </w:p>
    <w:p>
      <w:pPr>
        <w:pStyle w:val="2"/>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2、可行性研究报告内容应按照项目需求单位业务实际需要，符合《深圳市政府投资信息化工程建设项目可行性研究报告编制指南》和发改部门有关要求。</w:t>
      </w:r>
    </w:p>
    <w:p>
      <w:pPr>
        <w:pStyle w:val="33"/>
        <w:tabs>
          <w:tab w:val="left" w:pos="720"/>
        </w:tabs>
        <w:autoSpaceDE w:val="0"/>
        <w:autoSpaceDN w:val="0"/>
        <w:adjustRightInd w:val="0"/>
        <w:spacing w:line="360" w:lineRule="auto"/>
        <w:ind w:right="17" w:firstLine="482"/>
        <w:jc w:val="left"/>
        <w:outlineLvl w:val="1"/>
        <w:rPr>
          <w:rFonts w:hint="eastAsia" w:ascii="宋体" w:hAnsi="宋体" w:cs="宋体"/>
          <w:b/>
          <w:color w:val="auto"/>
          <w:sz w:val="24"/>
          <w:highlight w:val="none"/>
        </w:rPr>
      </w:pPr>
      <w:r>
        <w:rPr>
          <w:rFonts w:hint="eastAsia" w:ascii="宋体" w:hAnsi="宋体" w:cs="宋体"/>
          <w:b/>
          <w:color w:val="auto"/>
          <w:sz w:val="24"/>
          <w:highlight w:val="none"/>
        </w:rPr>
        <w:t>四、成果内容及验收方式</w:t>
      </w:r>
    </w:p>
    <w:p>
      <w:pPr>
        <w:pStyle w:val="33"/>
        <w:tabs>
          <w:tab w:val="left" w:pos="720"/>
        </w:tabs>
        <w:autoSpaceDE w:val="0"/>
        <w:autoSpaceDN w:val="0"/>
        <w:adjustRightInd w:val="0"/>
        <w:spacing w:line="360" w:lineRule="auto"/>
        <w:ind w:right="17" w:firstLine="480"/>
        <w:jc w:val="left"/>
        <w:rPr>
          <w:rFonts w:hint="eastAsia" w:ascii="宋体" w:hAnsi="宋体" w:cs="宋体"/>
          <w:color w:val="auto"/>
          <w:sz w:val="24"/>
          <w:highlight w:val="none"/>
        </w:rPr>
      </w:pPr>
      <w:r>
        <w:rPr>
          <w:rFonts w:hint="eastAsia" w:ascii="宋体" w:hAnsi="宋体" w:cs="宋体"/>
          <w:color w:val="auto"/>
          <w:sz w:val="24"/>
          <w:highlight w:val="none"/>
        </w:rPr>
        <w:t>1、成果内容</w:t>
      </w:r>
    </w:p>
    <w:p>
      <w:pPr>
        <w:pStyle w:val="33"/>
        <w:tabs>
          <w:tab w:val="left" w:pos="720"/>
        </w:tabs>
        <w:autoSpaceDE w:val="0"/>
        <w:autoSpaceDN w:val="0"/>
        <w:adjustRightInd w:val="0"/>
        <w:spacing w:line="360" w:lineRule="auto"/>
        <w:ind w:right="17" w:firstLine="480"/>
        <w:jc w:val="left"/>
        <w:rPr>
          <w:rFonts w:hint="eastAsia" w:ascii="宋体" w:hAnsi="宋体" w:cs="宋体"/>
          <w:color w:val="auto"/>
          <w:sz w:val="24"/>
          <w:highlight w:val="none"/>
        </w:rPr>
      </w:pPr>
      <w:bookmarkStart w:id="56" w:name="OLE_LINK21"/>
      <w:r>
        <w:rPr>
          <w:rFonts w:hint="eastAsia" w:ascii="宋体" w:hAnsi="宋体" w:cs="宋体"/>
          <w:color w:val="auto"/>
          <w:sz w:val="24"/>
          <w:highlight w:val="none"/>
        </w:rPr>
        <w:t>中标单位负责可行性研究报告编制，中标单位向采购单位提交项目可行性研究报告的电子文件和纸质文档，纸质文档不少于3份，最终所需文档数量根据采购单位实际情况而定。</w:t>
      </w:r>
    </w:p>
    <w:bookmarkEnd w:id="56"/>
    <w:p>
      <w:pPr>
        <w:pStyle w:val="33"/>
        <w:numPr>
          <w:ilvl w:val="0"/>
          <w:numId w:val="8"/>
        </w:numPr>
        <w:tabs>
          <w:tab w:val="left" w:pos="720"/>
        </w:tabs>
        <w:autoSpaceDE w:val="0"/>
        <w:autoSpaceDN w:val="0"/>
        <w:adjustRightInd w:val="0"/>
        <w:spacing w:line="360" w:lineRule="auto"/>
        <w:ind w:right="17" w:firstLine="480"/>
        <w:jc w:val="left"/>
        <w:rPr>
          <w:rFonts w:hint="eastAsia" w:ascii="宋体" w:hAnsi="宋体" w:cs="宋体"/>
          <w:color w:val="auto"/>
          <w:sz w:val="24"/>
          <w:highlight w:val="none"/>
        </w:rPr>
      </w:pPr>
      <w:r>
        <w:rPr>
          <w:rFonts w:hint="eastAsia" w:ascii="宋体" w:hAnsi="宋体" w:cs="宋体"/>
          <w:color w:val="auto"/>
          <w:sz w:val="24"/>
          <w:highlight w:val="none"/>
        </w:rPr>
        <w:t>验收方式</w:t>
      </w:r>
    </w:p>
    <w:p>
      <w:pPr>
        <w:pStyle w:val="33"/>
        <w:tabs>
          <w:tab w:val="left" w:pos="720"/>
        </w:tabs>
        <w:autoSpaceDE w:val="0"/>
        <w:autoSpaceDN w:val="0"/>
        <w:adjustRightInd w:val="0"/>
        <w:spacing w:line="360" w:lineRule="auto"/>
        <w:ind w:right="17" w:firstLine="0" w:firstLineChars="0"/>
        <w:jc w:val="left"/>
        <w:rPr>
          <w:rFonts w:hint="eastAsia" w:ascii="宋体" w:hAnsi="宋体" w:cs="宋体"/>
          <w:color w:val="auto"/>
          <w:sz w:val="24"/>
          <w:highlight w:val="none"/>
        </w:rPr>
      </w:pPr>
      <w:r>
        <w:rPr>
          <w:rFonts w:hint="eastAsia" w:ascii="宋体" w:hAnsi="宋体" w:cs="宋体"/>
          <w:color w:val="auto"/>
          <w:sz w:val="24"/>
          <w:highlight w:val="none"/>
        </w:rPr>
        <w:t xml:space="preserve">    </w:t>
      </w:r>
      <w:bookmarkStart w:id="57" w:name="OLE_LINK25"/>
      <w:r>
        <w:rPr>
          <w:rFonts w:hint="eastAsia" w:ascii="宋体" w:hAnsi="宋体" w:cs="宋体"/>
          <w:color w:val="auto"/>
          <w:sz w:val="24"/>
          <w:highlight w:val="none"/>
        </w:rPr>
        <w:t>采购单位组织专家评审会根据国家、省、市和行业有关规范、规程、标准及本合同约定对中标单位交付的最终成果进行验收，并取得采购单位发展改革部门的批复。</w:t>
      </w:r>
      <w:bookmarkEnd w:id="57"/>
    </w:p>
    <w:p>
      <w:pPr>
        <w:pStyle w:val="33"/>
        <w:tabs>
          <w:tab w:val="left" w:pos="720"/>
        </w:tabs>
        <w:autoSpaceDE w:val="0"/>
        <w:autoSpaceDN w:val="0"/>
        <w:adjustRightInd w:val="0"/>
        <w:spacing w:line="360" w:lineRule="auto"/>
        <w:ind w:right="17" w:firstLine="482"/>
        <w:jc w:val="left"/>
        <w:outlineLvl w:val="1"/>
        <w:rPr>
          <w:rFonts w:hint="eastAsia" w:ascii="宋体" w:hAnsi="宋体" w:cs="宋体"/>
          <w:b/>
          <w:color w:val="auto"/>
          <w:sz w:val="24"/>
          <w:highlight w:val="none"/>
        </w:rPr>
      </w:pPr>
      <w:r>
        <w:rPr>
          <w:rFonts w:hint="eastAsia" w:ascii="宋体" w:hAnsi="宋体" w:cs="宋体"/>
          <w:b/>
          <w:color w:val="auto"/>
          <w:sz w:val="24"/>
          <w:highlight w:val="none"/>
        </w:rPr>
        <w:t>五、</w:t>
      </w:r>
      <w:bookmarkStart w:id="58" w:name="OLE_LINK8"/>
      <w:r>
        <w:rPr>
          <w:rFonts w:hint="eastAsia" w:ascii="宋体" w:hAnsi="宋体" w:cs="宋体"/>
          <w:b/>
          <w:color w:val="auto"/>
          <w:sz w:val="24"/>
          <w:highlight w:val="none"/>
        </w:rPr>
        <w:t>进度要求</w:t>
      </w:r>
      <w:bookmarkEnd w:id="58"/>
    </w:p>
    <w:p>
      <w:pPr>
        <w:pStyle w:val="33"/>
        <w:tabs>
          <w:tab w:val="left" w:pos="720"/>
        </w:tabs>
        <w:autoSpaceDE w:val="0"/>
        <w:autoSpaceDN w:val="0"/>
        <w:adjustRightInd w:val="0"/>
        <w:spacing w:line="360" w:lineRule="auto"/>
        <w:ind w:right="17" w:firstLine="480"/>
        <w:jc w:val="left"/>
        <w:rPr>
          <w:rFonts w:hint="eastAsia" w:ascii="宋体" w:hAnsi="宋体" w:cs="宋体"/>
          <w:bCs/>
          <w:color w:val="auto"/>
          <w:sz w:val="24"/>
          <w:highlight w:val="none"/>
        </w:rPr>
      </w:pPr>
      <w:bookmarkStart w:id="59" w:name="OLE_LINK15"/>
      <w:r>
        <w:rPr>
          <w:rFonts w:hint="eastAsia" w:ascii="宋体" w:hAnsi="宋体" w:cs="宋体"/>
          <w:bCs/>
          <w:color w:val="auto"/>
          <w:sz w:val="24"/>
          <w:highlight w:val="none"/>
        </w:rPr>
        <w:t>合同签订后2个月内完成《前海综保区一线直通、智联监管项目可行性研究报告》（送审稿）编制工作，并协助采购单位按期完成本项目可行性研究报告批复（不包括招标人进行成果审核、发改部门审批和验收的时间）。</w:t>
      </w:r>
    </w:p>
    <w:bookmarkEnd w:id="59"/>
    <w:p>
      <w:pPr>
        <w:pStyle w:val="33"/>
        <w:tabs>
          <w:tab w:val="left" w:pos="720"/>
        </w:tabs>
        <w:autoSpaceDE w:val="0"/>
        <w:autoSpaceDN w:val="0"/>
        <w:adjustRightInd w:val="0"/>
        <w:spacing w:line="360" w:lineRule="auto"/>
        <w:ind w:right="17" w:firstLine="482"/>
        <w:jc w:val="left"/>
        <w:outlineLvl w:val="1"/>
        <w:rPr>
          <w:rFonts w:hint="eastAsia" w:ascii="宋体" w:hAnsi="宋体" w:cs="宋体"/>
          <w:b/>
          <w:color w:val="auto"/>
          <w:sz w:val="24"/>
          <w:highlight w:val="none"/>
        </w:rPr>
      </w:pPr>
      <w:r>
        <w:rPr>
          <w:rFonts w:hint="eastAsia" w:ascii="宋体" w:hAnsi="宋体" w:cs="宋体"/>
          <w:b/>
          <w:color w:val="auto"/>
          <w:sz w:val="24"/>
          <w:highlight w:val="none"/>
        </w:rPr>
        <w:t>六、项目人员安排要求</w:t>
      </w:r>
    </w:p>
    <w:p>
      <w:pPr>
        <w:pStyle w:val="33"/>
        <w:tabs>
          <w:tab w:val="left" w:pos="720"/>
        </w:tabs>
        <w:autoSpaceDE w:val="0"/>
        <w:autoSpaceDN w:val="0"/>
        <w:adjustRightInd w:val="0"/>
        <w:spacing w:line="360" w:lineRule="auto"/>
        <w:ind w:right="17" w:firstLine="480"/>
        <w:jc w:val="left"/>
        <w:rPr>
          <w:rFonts w:hint="eastAsia" w:ascii="宋体" w:hAnsi="宋体" w:cs="宋体"/>
          <w:color w:val="auto"/>
          <w:sz w:val="24"/>
          <w:highlight w:val="none"/>
        </w:rPr>
      </w:pPr>
      <w:r>
        <w:rPr>
          <w:rFonts w:hint="eastAsia" w:ascii="宋体" w:hAnsi="宋体" w:cs="宋体"/>
          <w:color w:val="auto"/>
          <w:sz w:val="24"/>
          <w:highlight w:val="none"/>
        </w:rPr>
        <w:t>投标人应根据项目特点，安排具备从事咨询业务的专业技术和类似工作经验的人员。</w:t>
      </w:r>
      <w:bookmarkStart w:id="60" w:name="OLE_LINK20"/>
      <w:r>
        <w:rPr>
          <w:rFonts w:hint="eastAsia" w:ascii="宋体" w:hAnsi="宋体" w:cs="宋体"/>
          <w:color w:val="auto"/>
          <w:sz w:val="24"/>
          <w:highlight w:val="none"/>
        </w:rPr>
        <w:t>采购人</w:t>
      </w:r>
      <w:bookmarkEnd w:id="60"/>
      <w:r>
        <w:rPr>
          <w:rFonts w:hint="eastAsia" w:ascii="宋体" w:hAnsi="宋体" w:cs="宋体"/>
          <w:color w:val="auto"/>
          <w:sz w:val="24"/>
          <w:highlight w:val="none"/>
        </w:rPr>
        <w:t>提出更换咨询人员要求，投标人需无条件一个月内完成更换，咨询人员的确定和变更，须事先经建设单位同意。咨询人员必须奉公守法，并具有高度的责任心。</w:t>
      </w:r>
    </w:p>
    <w:p>
      <w:pPr>
        <w:pStyle w:val="33"/>
        <w:tabs>
          <w:tab w:val="left" w:pos="720"/>
        </w:tabs>
        <w:autoSpaceDE w:val="0"/>
        <w:autoSpaceDN w:val="0"/>
        <w:adjustRightInd w:val="0"/>
        <w:spacing w:line="360" w:lineRule="auto"/>
        <w:ind w:right="17" w:firstLine="480"/>
        <w:jc w:val="left"/>
        <w:rPr>
          <w:rFonts w:hint="eastAsia" w:ascii="宋体" w:hAnsi="宋体" w:cs="宋体"/>
          <w:color w:val="auto"/>
          <w:sz w:val="24"/>
          <w:highlight w:val="none"/>
        </w:rPr>
      </w:pPr>
      <w:r>
        <w:rPr>
          <w:rFonts w:hint="eastAsia" w:ascii="宋体" w:hAnsi="宋体" w:cs="宋体"/>
          <w:color w:val="auto"/>
          <w:sz w:val="24"/>
          <w:highlight w:val="none"/>
        </w:rPr>
        <w:t>1）</w:t>
      </w:r>
      <w:bookmarkStart w:id="61" w:name="OLE_LINK14"/>
      <w:r>
        <w:rPr>
          <w:rFonts w:hint="eastAsia" w:ascii="宋体" w:hAnsi="宋体" w:cs="宋体"/>
          <w:color w:val="auto"/>
          <w:sz w:val="24"/>
          <w:highlight w:val="none"/>
        </w:rPr>
        <w:t>安排1名负责人应具备咨询工程师（投资）登记证书（专业：电子、信息工程（含通信、广电、信息化））</w:t>
      </w:r>
      <w:bookmarkEnd w:id="61"/>
      <w:r>
        <w:rPr>
          <w:rFonts w:hint="eastAsia" w:ascii="宋体" w:hAnsi="宋体" w:cs="宋体"/>
          <w:color w:val="auto"/>
          <w:sz w:val="24"/>
          <w:highlight w:val="none"/>
        </w:rPr>
        <w:t>，</w:t>
      </w:r>
      <w:r>
        <w:rPr>
          <w:rFonts w:hint="eastAsia"/>
          <w:color w:val="auto"/>
          <w:sz w:val="24"/>
          <w:highlight w:val="none"/>
        </w:rPr>
        <w:t>能够服从</w:t>
      </w:r>
      <w:r>
        <w:rPr>
          <w:rFonts w:hint="eastAsia" w:ascii="宋体" w:hAnsi="宋体" w:cs="宋体"/>
          <w:color w:val="auto"/>
          <w:sz w:val="24"/>
          <w:highlight w:val="none"/>
        </w:rPr>
        <w:t>采购人</w:t>
      </w:r>
      <w:r>
        <w:rPr>
          <w:rFonts w:hint="eastAsia"/>
          <w:color w:val="auto"/>
          <w:sz w:val="24"/>
          <w:highlight w:val="none"/>
        </w:rPr>
        <w:t>的工作安排，具备较强的专业素质，有优秀的书面表达能力、组织能力和沟通能力</w:t>
      </w:r>
      <w:r>
        <w:rPr>
          <w:rFonts w:hint="eastAsia" w:ascii="宋体" w:hAnsi="宋体" w:cs="宋体"/>
          <w:color w:val="auto"/>
          <w:sz w:val="24"/>
          <w:highlight w:val="none"/>
        </w:rPr>
        <w:t>。</w:t>
      </w:r>
    </w:p>
    <w:p>
      <w:pPr>
        <w:pStyle w:val="33"/>
        <w:tabs>
          <w:tab w:val="left" w:pos="720"/>
        </w:tabs>
        <w:autoSpaceDE w:val="0"/>
        <w:autoSpaceDN w:val="0"/>
        <w:adjustRightInd w:val="0"/>
        <w:spacing w:line="360" w:lineRule="auto"/>
        <w:ind w:right="17" w:firstLine="480"/>
        <w:jc w:val="left"/>
        <w:rPr>
          <w:rFonts w:hint="eastAsia" w:ascii="宋体" w:hAnsi="宋体" w:cs="宋体"/>
          <w:bCs/>
          <w:color w:val="auto"/>
          <w:sz w:val="24"/>
          <w:highlight w:val="none"/>
        </w:rPr>
      </w:pPr>
      <w:r>
        <w:rPr>
          <w:rFonts w:hint="eastAsia" w:ascii="宋体" w:hAnsi="宋体" w:cs="宋体"/>
          <w:color w:val="auto"/>
          <w:sz w:val="24"/>
          <w:highlight w:val="none"/>
        </w:rPr>
        <w:t xml:space="preserve">2) </w:t>
      </w:r>
      <w:bookmarkStart w:id="62" w:name="OLE_LINK23"/>
      <w:r>
        <w:rPr>
          <w:rFonts w:hint="eastAsia" w:ascii="宋体" w:hAnsi="宋体" w:cs="宋体"/>
          <w:color w:val="auto"/>
          <w:sz w:val="24"/>
          <w:highlight w:val="none"/>
        </w:rPr>
        <w:t>投标</w:t>
      </w:r>
      <w:bookmarkStart w:id="63" w:name="OLE_LINK22"/>
      <w:r>
        <w:rPr>
          <w:rFonts w:hint="eastAsia" w:ascii="宋体" w:hAnsi="宋体" w:cs="宋体"/>
          <w:color w:val="auto"/>
          <w:sz w:val="24"/>
          <w:highlight w:val="none"/>
        </w:rPr>
        <w:t>人应建立不少于</w:t>
      </w:r>
      <w:r>
        <w:rPr>
          <w:rFonts w:ascii="宋体" w:hAnsi="宋体" w:cs="宋体"/>
          <w:color w:val="auto"/>
          <w:sz w:val="24"/>
          <w:highlight w:val="none"/>
        </w:rPr>
        <w:t>4</w:t>
      </w:r>
      <w:r>
        <w:rPr>
          <w:rFonts w:hint="eastAsia" w:ascii="宋体" w:hAnsi="宋体" w:cs="宋体"/>
          <w:color w:val="auto"/>
          <w:sz w:val="24"/>
          <w:highlight w:val="none"/>
        </w:rPr>
        <w:t>人的项目咨询团队（不含负责人），根据项目需求提供咨询服务</w:t>
      </w:r>
      <w:bookmarkEnd w:id="62"/>
      <w:r>
        <w:rPr>
          <w:rFonts w:hint="eastAsia" w:ascii="宋体" w:hAnsi="宋体" w:cs="宋体"/>
          <w:color w:val="auto"/>
          <w:sz w:val="24"/>
          <w:highlight w:val="none"/>
        </w:rPr>
        <w:t>。</w:t>
      </w:r>
      <w:bookmarkEnd w:id="63"/>
    </w:p>
    <w:p>
      <w:pPr>
        <w:pStyle w:val="33"/>
        <w:tabs>
          <w:tab w:val="left" w:pos="720"/>
        </w:tabs>
        <w:autoSpaceDE w:val="0"/>
        <w:autoSpaceDN w:val="0"/>
        <w:adjustRightInd w:val="0"/>
        <w:spacing w:line="360" w:lineRule="auto"/>
        <w:ind w:right="17" w:firstLine="482"/>
        <w:jc w:val="left"/>
        <w:outlineLvl w:val="1"/>
        <w:rPr>
          <w:rFonts w:hint="eastAsia" w:ascii="宋体" w:hAnsi="宋体" w:cs="宋体"/>
          <w:b/>
          <w:color w:val="auto"/>
          <w:sz w:val="24"/>
          <w:highlight w:val="none"/>
        </w:rPr>
      </w:pPr>
      <w:r>
        <w:rPr>
          <w:rFonts w:hint="eastAsia" w:ascii="宋体" w:hAnsi="宋体" w:cs="宋体"/>
          <w:b/>
          <w:color w:val="auto"/>
          <w:sz w:val="24"/>
          <w:highlight w:val="none"/>
        </w:rPr>
        <w:t>七、后续服务</w:t>
      </w:r>
    </w:p>
    <w:p>
      <w:pPr>
        <w:pStyle w:val="33"/>
        <w:tabs>
          <w:tab w:val="left" w:pos="720"/>
        </w:tabs>
        <w:autoSpaceDE w:val="0"/>
        <w:autoSpaceDN w:val="0"/>
        <w:adjustRightInd w:val="0"/>
        <w:spacing w:line="360" w:lineRule="auto"/>
        <w:ind w:right="17" w:firstLine="480"/>
        <w:jc w:val="left"/>
        <w:rPr>
          <w:rFonts w:hint="eastAsia" w:ascii="宋体" w:hAnsi="宋体" w:cs="宋体"/>
          <w:bCs/>
          <w:color w:val="auto"/>
          <w:sz w:val="24"/>
          <w:highlight w:val="none"/>
        </w:rPr>
      </w:pPr>
      <w:r>
        <w:rPr>
          <w:rFonts w:hint="eastAsia" w:ascii="宋体" w:hAnsi="宋体" w:cs="宋体"/>
          <w:color w:val="auto"/>
          <w:sz w:val="24"/>
          <w:highlight w:val="none"/>
        </w:rPr>
        <w:t>中标单位需提供后续服务在项目实施过程中，若出现与报告相关的问题，中标单位需提供必要的技术咨询与指导，助力项目顺利落地实施。</w:t>
      </w:r>
    </w:p>
    <w:p>
      <w:pPr>
        <w:pStyle w:val="33"/>
        <w:tabs>
          <w:tab w:val="left" w:pos="720"/>
        </w:tabs>
        <w:autoSpaceDE w:val="0"/>
        <w:autoSpaceDN w:val="0"/>
        <w:adjustRightInd w:val="0"/>
        <w:spacing w:line="360" w:lineRule="auto"/>
        <w:ind w:right="17" w:firstLine="482"/>
        <w:jc w:val="left"/>
        <w:outlineLvl w:val="1"/>
        <w:rPr>
          <w:rFonts w:hint="eastAsia" w:ascii="宋体" w:hAnsi="宋体" w:cs="宋体"/>
          <w:b/>
          <w:color w:val="auto"/>
          <w:sz w:val="24"/>
          <w:highlight w:val="none"/>
        </w:rPr>
      </w:pPr>
      <w:r>
        <w:rPr>
          <w:rFonts w:hint="eastAsia" w:ascii="宋体" w:hAnsi="宋体" w:cs="宋体"/>
          <w:b/>
          <w:color w:val="auto"/>
          <w:sz w:val="24"/>
          <w:highlight w:val="none"/>
        </w:rPr>
        <w:t>八、商务要求</w:t>
      </w:r>
    </w:p>
    <w:p>
      <w:pPr>
        <w:tabs>
          <w:tab w:val="left" w:pos="720"/>
        </w:tabs>
        <w:autoSpaceDE w:val="0"/>
        <w:autoSpaceDN w:val="0"/>
        <w:adjustRightInd w:val="0"/>
        <w:spacing w:line="360" w:lineRule="auto"/>
        <w:ind w:right="17" w:firstLine="482" w:firstLineChars="200"/>
        <w:outlineLvl w:val="2"/>
        <w:rPr>
          <w:rFonts w:hint="eastAsia" w:ascii="宋体" w:hAnsi="宋体" w:cs="宋体"/>
          <w:color w:val="auto"/>
          <w:sz w:val="24"/>
          <w:highlight w:val="none"/>
        </w:rPr>
      </w:pPr>
      <w:r>
        <w:rPr>
          <w:rFonts w:hint="eastAsia" w:ascii="宋体" w:hAnsi="宋体" w:cs="宋体"/>
          <w:b/>
          <w:bCs/>
          <w:color w:val="auto"/>
          <w:kern w:val="0"/>
          <w:sz w:val="24"/>
          <w:highlight w:val="none"/>
        </w:rPr>
        <w:t>（一）服务期限</w:t>
      </w:r>
    </w:p>
    <w:p>
      <w:pPr>
        <w:pStyle w:val="33"/>
        <w:tabs>
          <w:tab w:val="left" w:pos="720"/>
        </w:tabs>
        <w:autoSpaceDE w:val="0"/>
        <w:autoSpaceDN w:val="0"/>
        <w:adjustRightInd w:val="0"/>
        <w:spacing w:line="360" w:lineRule="auto"/>
        <w:ind w:right="17" w:firstLine="480"/>
        <w:jc w:val="left"/>
        <w:rPr>
          <w:rFonts w:hint="eastAsia" w:ascii="宋体" w:hAnsi="宋体" w:cs="宋体"/>
          <w:bCs/>
          <w:color w:val="auto"/>
          <w:sz w:val="24"/>
          <w:highlight w:val="none"/>
        </w:rPr>
      </w:pPr>
      <w:bookmarkStart w:id="64" w:name="OLE_LINK26"/>
      <w:r>
        <w:rPr>
          <w:rFonts w:hint="eastAsia" w:ascii="宋体" w:hAnsi="宋体" w:cs="宋体"/>
          <w:bCs/>
          <w:color w:val="auto"/>
          <w:sz w:val="24"/>
          <w:highlight w:val="none"/>
        </w:rPr>
        <w:t>合同签订后2个月内完成《前海综保区一线直通、智联监管项目可行性研究报告》（送审稿）编制工作，并协助采购单位按期完成本项目可行性研究报告批复（不包括招标人进行成果审核、发改部门审批和验收的时间）。</w:t>
      </w:r>
    </w:p>
    <w:bookmarkEnd w:id="64"/>
    <w:p>
      <w:pPr>
        <w:tabs>
          <w:tab w:val="left" w:pos="720"/>
        </w:tabs>
        <w:autoSpaceDE w:val="0"/>
        <w:autoSpaceDN w:val="0"/>
        <w:adjustRightInd w:val="0"/>
        <w:spacing w:line="360" w:lineRule="auto"/>
        <w:ind w:right="17" w:firstLine="482" w:firstLineChars="200"/>
        <w:outlineLvl w:val="2"/>
        <w:rPr>
          <w:rFonts w:hint="eastAsia" w:ascii="宋体" w:hAnsi="宋体" w:cs="宋体"/>
          <w:bCs/>
          <w:color w:val="auto"/>
          <w:sz w:val="24"/>
          <w:highlight w:val="none"/>
        </w:rPr>
      </w:pPr>
      <w:r>
        <w:rPr>
          <w:rFonts w:hint="eastAsia" w:ascii="宋体" w:hAnsi="宋体" w:cs="宋体"/>
          <w:b/>
          <w:bCs/>
          <w:color w:val="auto"/>
          <w:kern w:val="0"/>
          <w:sz w:val="24"/>
          <w:highlight w:val="none"/>
        </w:rPr>
        <w:t>（二）服务地点</w:t>
      </w:r>
    </w:p>
    <w:p>
      <w:pPr>
        <w:tabs>
          <w:tab w:val="left" w:pos="720"/>
        </w:tabs>
        <w:autoSpaceDE w:val="0"/>
        <w:autoSpaceDN w:val="0"/>
        <w:adjustRightInd w:val="0"/>
        <w:spacing w:line="360" w:lineRule="auto"/>
        <w:ind w:right="17" w:firstLine="480" w:firstLineChars="200"/>
        <w:rPr>
          <w:rFonts w:hint="eastAsia" w:ascii="宋体" w:hAnsi="宋体" w:cs="宋体"/>
          <w:bCs/>
          <w:color w:val="auto"/>
          <w:sz w:val="24"/>
          <w:highlight w:val="none"/>
        </w:rPr>
      </w:pPr>
      <w:r>
        <w:rPr>
          <w:rFonts w:hint="eastAsia" w:ascii="宋体" w:hAnsi="宋体" w:cs="宋体"/>
          <w:color w:val="auto"/>
          <w:sz w:val="24"/>
          <w:highlight w:val="none"/>
        </w:rPr>
        <w:t>深圳市</w:t>
      </w:r>
      <w:r>
        <w:rPr>
          <w:rFonts w:hint="eastAsia" w:ascii="宋体" w:hAnsi="宋体" w:cs="宋体"/>
          <w:bCs/>
          <w:color w:val="auto"/>
          <w:sz w:val="24"/>
          <w:highlight w:val="none"/>
        </w:rPr>
        <w:t>前海深港现代服务业合作区。</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（三）报价要求</w:t>
      </w:r>
    </w:p>
    <w:p>
      <w:pPr>
        <w:widowControl/>
        <w:spacing w:line="360" w:lineRule="auto"/>
        <w:ind w:firstLine="480" w:firstLineChars="200"/>
        <w:rPr>
          <w:rFonts w:hint="eastAsia" w:ascii="宋体" w:hAnsi="宋体" w:cs="宋体"/>
          <w:color w:val="auto"/>
          <w:sz w:val="24"/>
          <w:highlight w:val="none"/>
        </w:rPr>
      </w:pPr>
      <w:bookmarkStart w:id="65" w:name="OLE_LINK33"/>
      <w:r>
        <w:rPr>
          <w:rFonts w:hint="eastAsia" w:ascii="宋体" w:hAnsi="宋体" w:cs="宋体"/>
          <w:color w:val="auto"/>
          <w:sz w:val="24"/>
          <w:highlight w:val="none"/>
        </w:rPr>
        <w:t>1.</w:t>
      </w:r>
      <w:bookmarkStart w:id="66" w:name="OLE_LINK27"/>
      <w:r>
        <w:rPr>
          <w:rFonts w:hint="eastAsia" w:ascii="宋体" w:hAnsi="宋体" w:cs="宋体"/>
          <w:color w:val="auto"/>
          <w:sz w:val="24"/>
          <w:highlight w:val="none"/>
        </w:rPr>
        <w:t>本次投标为总价包干，投标报价总价作为中标人与采购人签订的合同金额。投标人的报价不可高于预算（限价），否则投标人的投标文件视同无效。投标人的投标总价为完成项目及招标文件或合同条款所规定的工作内容的各项费用，应包括项目研究、成果报告编制、法定税费和企业的利润等为完成本项目服务所发生的全部相关费用。包含但不限于：</w:t>
      </w:r>
      <w:bookmarkStart w:id="67" w:name="OLE_LINK12"/>
      <w:r>
        <w:rPr>
          <w:rFonts w:hint="eastAsia" w:ascii="宋体" w:hAnsi="宋体" w:cs="宋体"/>
          <w:color w:val="auto"/>
          <w:sz w:val="24"/>
          <w:highlight w:val="none"/>
        </w:rPr>
        <w:t>人员费用及成果制作费、专家咨询费/评审费、车辆使用费、办公场所租赁费、差旅费、管理费、税费等</w:t>
      </w:r>
      <w:bookmarkEnd w:id="67"/>
      <w:r>
        <w:rPr>
          <w:rFonts w:hint="eastAsia" w:ascii="宋体" w:hAnsi="宋体" w:cs="宋体"/>
          <w:color w:val="auto"/>
          <w:sz w:val="24"/>
          <w:highlight w:val="none"/>
        </w:rPr>
        <w:t>。一经中标，投标报价总价作为中标单位与采购人</w:t>
      </w:r>
      <w:r>
        <w:rPr>
          <w:rFonts w:hint="eastAsia" w:ascii="宋体" w:hAnsi="宋体" w:cs="宋体"/>
          <w:color w:val="auto"/>
          <w:sz w:val="24"/>
          <w:highlight w:val="none"/>
          <w:lang w:eastAsia="zh-CN"/>
        </w:rPr>
        <w:t>签订</w:t>
      </w:r>
      <w:r>
        <w:rPr>
          <w:rFonts w:hint="eastAsia" w:ascii="宋体" w:hAnsi="宋体" w:cs="宋体"/>
          <w:color w:val="auto"/>
          <w:sz w:val="24"/>
          <w:highlight w:val="none"/>
        </w:rPr>
        <w:t>的合同金额，合同期限内不做调整</w:t>
      </w:r>
      <w:bookmarkEnd w:id="66"/>
      <w:r>
        <w:rPr>
          <w:rFonts w:hint="eastAsia" w:ascii="宋体" w:hAnsi="宋体" w:cs="宋体"/>
          <w:color w:val="auto"/>
          <w:sz w:val="24"/>
          <w:highlight w:val="none"/>
        </w:rPr>
        <w:t>。</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3.投标人的投标报价，应是本项目招标范围和招标文件及合同条款上所列的各项内容中所述的全部，不得以任何理由予以重复，并以投标人在投标文件中提出的综合单价或总价为依据。</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4.投标人应充分了解项目的位置、情况、道路及任何其他足以影响投标报价的情况，任何因忽视或误解项目情况而导致的索赔或服务期限延长申请将不获批准。</w:t>
      </w:r>
    </w:p>
    <w:p>
      <w:pPr>
        <w:widowControl/>
        <w:spacing w:line="360" w:lineRule="auto"/>
        <w:ind w:firstLine="480" w:firstLineChars="200"/>
        <w:rPr>
          <w:rFonts w:hint="eastAsia" w:ascii="宋体" w:hAnsi="宋体" w:cs="宋体"/>
          <w:b/>
          <w:bCs/>
          <w:color w:val="auto"/>
          <w:kern w:val="0"/>
          <w:sz w:val="24"/>
          <w:highlight w:val="none"/>
        </w:rPr>
      </w:pPr>
      <w:r>
        <w:rPr>
          <w:rFonts w:hint="eastAsia" w:ascii="宋体" w:hAnsi="宋体" w:cs="宋体"/>
          <w:color w:val="auto"/>
          <w:sz w:val="24"/>
          <w:highlight w:val="none"/>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bookmarkEnd w:id="65"/>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（四）付款方式</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中标单位提交的项目可行性研究报告经过采购单位验收通过后，中标单位开具有效增值税专用发票，采购单位收到中标单位提供发票审核无误后10个工作日内向中标单位支付合同金额的100%。</w:t>
      </w:r>
    </w:p>
    <w:bookmarkEnd w:id="55"/>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（五）知识产权</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1.本项目全部阶段性成果和最终成果的所有权、知识产权以及与之相关的所有权利归采购方所有。</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双方确定，采购方有权利用中标单位按照本合同约定提供的成果，进行后续改进。由此产生的具有实质性或创造性技术进步特征的新的技术成果及其权利归属，全部由采购方享有。具体相关利益的分配办法如下：采购方100%。</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中标单位所提交的全部阶段性成果和最终成果文件及任何数据、资料、软件等不得侵犯任何第三方的知识产权或其他权利，由于该文件、数据、资料、软件侵权所导致的任何索赔或责任均由中标单位承担。同时，采购方有权要求中标单位修改成果至不侵权或解除合同，并保留要求中标单位赔偿全部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未经采购方书面在先同意，中标单位不得将本项目的阶段性成果和/或最终成果文件及任何数据、资料、软件向任何第三方转让、授权任何第三方使用或用于本合同项目外的其他项目。如发生以上情况，中标单位应向采购方支付本合同总价款20%的违约金，如果违约金无法弥补采购方的损失，采购方有权要求中标单位赔偿全部损失，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5.中标单位完成本合同项目的研究开发人员享有在有关成果文件上写明成果完成者的权利和与采购方共同获得有关荣誉证书、奖励的权利。</w:t>
      </w:r>
    </w:p>
    <w:p>
      <w:pPr>
        <w:widowControl/>
        <w:spacing w:line="360" w:lineRule="auto"/>
        <w:ind w:firstLine="482" w:firstLineChars="200"/>
        <w:outlineLvl w:val="2"/>
        <w:rPr>
          <w:rFonts w:hint="eastAsia" w:ascii="宋体" w:hAnsi="宋体" w:cs="宋体"/>
          <w:b/>
          <w:bCs/>
          <w:color w:val="auto"/>
          <w:sz w:val="24"/>
          <w:highlight w:val="none"/>
        </w:rPr>
      </w:pPr>
      <w:r>
        <w:rPr>
          <w:rFonts w:hint="eastAsia" w:ascii="宋体" w:hAnsi="宋体" w:cs="宋体"/>
          <w:b/>
          <w:bCs/>
          <w:color w:val="auto"/>
          <w:kern w:val="0"/>
          <w:sz w:val="24"/>
          <w:highlight w:val="none"/>
        </w:rPr>
        <w:t>（六）</w:t>
      </w:r>
      <w:r>
        <w:rPr>
          <w:rFonts w:hint="eastAsia" w:ascii="宋体" w:hAnsi="宋体" w:cs="宋体"/>
          <w:b/>
          <w:bCs/>
          <w:color w:val="auto"/>
          <w:sz w:val="24"/>
          <w:highlight w:val="none"/>
        </w:rPr>
        <w:t>保密条款</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中标单位应以保密方式处理在编制本项目成果文件过程中自采购方、采购方工作人员或采购方关联机构获得的相关信息、资料、图纸、数据等，或由采购方在履行本合同过程中明确指明为秘密的任何信息，以及中标单位因本项目工作内容所直接或间接取得、处理或接触的任何其他资料。未经采购方书面在先同意，中标单位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3.中标单位实施项目的程序应符合国家安全、保密的有关规定和标准。</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4.上述保密义务不适用以下情况：</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（1）获取的信息已被合法公开；</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（2）获得信息拥有方书面许可并在该许可范围内披露；</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（3）国家法律、法规规定的情形。</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如中标单位违反上述保密条款，采购方有权解除本合同，中标单位应在合同解除通知发出之日起10日内向采购方支付本合同服务费总金额20%的违约金，如果违约金无法弥补采购人损失，采购人保留要求中标单位赔偿全部损失的权利，包括但不限于上述索赔或责任所产生的诉讼费用、合理的律师费用、鉴定评估费用、调查费用、和解金额或生效法律文书中规定的赔偿金额。</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6.无论本项目其他条款是否有效，本保密条款始终约束双方。国家秘密的保密期限由国家有关部门确定，工作秘密的保密期限由采购人确定。</w:t>
      </w:r>
    </w:p>
    <w:p>
      <w:pPr>
        <w:widowControl/>
        <w:spacing w:line="360" w:lineRule="auto"/>
        <w:ind w:firstLine="482" w:firstLineChars="200"/>
        <w:outlineLvl w:val="2"/>
        <w:rPr>
          <w:rFonts w:hint="eastAsia" w:ascii="宋体" w:hAnsi="宋体" w:cs="宋体"/>
          <w:b/>
          <w:bCs/>
          <w:color w:val="auto"/>
          <w:sz w:val="24"/>
          <w:highlight w:val="none"/>
        </w:rPr>
      </w:pPr>
      <w:r>
        <w:rPr>
          <w:rFonts w:hint="eastAsia" w:ascii="宋体" w:hAnsi="宋体" w:cs="宋体"/>
          <w:b/>
          <w:bCs/>
          <w:color w:val="auto"/>
          <w:kern w:val="0"/>
          <w:sz w:val="24"/>
          <w:highlight w:val="none"/>
        </w:rPr>
        <w:t>（七）</w:t>
      </w:r>
      <w:r>
        <w:rPr>
          <w:rFonts w:hint="eastAsia" w:ascii="宋体" w:hAnsi="宋体" w:cs="宋体"/>
          <w:b/>
          <w:bCs/>
          <w:color w:val="auto"/>
          <w:sz w:val="24"/>
          <w:highlight w:val="none"/>
        </w:rPr>
        <w:t>违约责任</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1.因中标单位原因，未能按规定时间完成有关工作的，每延误一天，采购方自尚未支付的合同款项中扣除合同服务总金额的5‰的逾期违约金。</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2.如中标单位提供的服务或成果不符合质量要求，必须在采购方提出要求后7个日历日内无条件修改，其费用由中标单位承担。</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3.本合同履行期间，发生下述情形时，采购方有权解除本合同，中标单位除应退还采购方已支付的全部款项外</w:t>
      </w:r>
      <w:r>
        <w:rPr>
          <w:rFonts w:hint="eastAsia" w:ascii="宋体" w:hAnsi="宋体" w:cs="宋体"/>
          <w:color w:val="auto"/>
          <w:sz w:val="24"/>
          <w:highlight w:val="none"/>
          <w:lang w:eastAsia="zh-CN"/>
        </w:rPr>
        <w:t>，</w:t>
      </w:r>
      <w:r>
        <w:rPr>
          <w:rFonts w:hint="eastAsia" w:ascii="宋体" w:hAnsi="宋体" w:cs="宋体"/>
          <w:color w:val="auto"/>
          <w:sz w:val="24"/>
          <w:highlight w:val="none"/>
        </w:rPr>
        <w:t>还应在合同解除通知发出之日起10日内向采购方支付合同总价款20%的违约金。中标单位应同时将已完成的项目成果移交给采购方，并将全部有关资料退还采购方：</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(1)因中标单位工作的错误或遗漏造成成果质量不符合本合同要求，且中标单位未按采购方要求采取及时有效的补救措施的；</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(2)中标单位未能按合同约定的日期(含协商延缓的日期)提交工作成果，延误时间超过30个工作日；或中标单位虽如期提交阶段性成果和最终成果，但最终成果连续二次未能通过验收的；</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(3)发现中标单位或中标单位工作人员出现全部或部分丧失履行委托服务能力的情况，采购方有权通知中标单位限期整改或更换工作人员，期限届满中标单位并未进行改善的；</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(4)未经采购单位书面在先同意，中标单位擅自将本合同项目与任何第三方合作，或将本合同标的全部或部分擅自转包给任何第三方，且未按采购单位的要求终止与第三方的合同的；</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（5）中标单位明确表示或者以自己的行为表明不履行本合同的。</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除因审批流程及财政部门预算下达延误影响采购方支出进度外，如采购方未按照本合同约定的时间支付服务费，中标单位书面催告采购方并给予不少于15个工作日的履行期限后采购方仍未支付的，中标单位有权自该期限届满之日起要求采购方支付该阶段应付而未付合同价款每日1‰的逾期违约金。如采购方无正当理由拒绝接受服务，到期明确表示拒付服务款项，中标单位有权要求采购方支付本合同项下服务费总金额10%的违约金。 </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上述违约责任各自独立且可累加。如本合同所约定的违约金无法弥补因违约行为所造成的损失，违约方应补偿上述不足部分的损失，包括但不限于前述责任所产生的诉讼费用、合理的律师费用、鉴定评估费用、调查费用、和解金额或生效法律文书中规定的赔偿金额。</w:t>
      </w:r>
    </w:p>
    <w:p>
      <w:pPr>
        <w:widowControl/>
        <w:spacing w:line="360" w:lineRule="auto"/>
        <w:ind w:firstLine="482" w:firstLineChars="200"/>
        <w:outlineLvl w:val="2"/>
        <w:rPr>
          <w:rFonts w:hint="eastAsia" w:ascii="宋体" w:hAnsi="宋体" w:cs="宋体"/>
          <w:b/>
          <w:bCs/>
          <w:color w:val="auto"/>
          <w:sz w:val="24"/>
          <w:highlight w:val="none"/>
        </w:rPr>
      </w:pPr>
      <w:bookmarkStart w:id="68" w:name="OLE_LINK13"/>
      <w:r>
        <w:rPr>
          <w:rFonts w:hint="eastAsia" w:ascii="宋体" w:hAnsi="宋体" w:cs="宋体"/>
          <w:b/>
          <w:bCs/>
          <w:color w:val="auto"/>
          <w:sz w:val="24"/>
          <w:highlight w:val="none"/>
        </w:rPr>
        <w:t>（八）</w:t>
      </w:r>
      <w:bookmarkEnd w:id="68"/>
      <w:r>
        <w:rPr>
          <w:rFonts w:hint="eastAsia" w:ascii="宋体" w:hAnsi="宋体" w:cs="宋体"/>
          <w:b/>
          <w:bCs/>
          <w:color w:val="auto"/>
          <w:sz w:val="24"/>
          <w:highlight w:val="none"/>
        </w:rPr>
        <w:t>争议解决方式</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因合同的履行发生的或与合同有关的争议或纠纷，由双方协商解决，协商不成的，任意一方有权向深圳前海合作区人民法院提起诉讼。</w:t>
      </w:r>
    </w:p>
    <w:p>
      <w:pPr>
        <w:widowControl/>
        <w:spacing w:line="360" w:lineRule="auto"/>
        <w:ind w:firstLine="480" w:firstLineChars="200"/>
        <w:jc w:val="left"/>
        <w:rPr>
          <w:rFonts w:hint="eastAsia" w:ascii="宋体" w:hAnsi="宋体" w:cs="宋体"/>
          <w:color w:val="auto"/>
          <w:sz w:val="24"/>
          <w:highlight w:val="none"/>
        </w:rPr>
      </w:pPr>
    </w:p>
    <w:p>
      <w:pPr>
        <w:numPr>
          <w:ilvl w:val="0"/>
          <w:numId w:val="1"/>
        </w:numPr>
        <w:spacing w:line="360" w:lineRule="auto"/>
        <w:jc w:val="center"/>
        <w:outlineLvl w:val="0"/>
        <w:rPr>
          <w:rFonts w:hint="eastAsia" w:ascii="宋体" w:hAnsi="宋体" w:cs="宋体"/>
          <w:b/>
          <w:bCs/>
          <w:color w:val="auto"/>
          <w:sz w:val="24"/>
          <w:highlight w:val="none"/>
        </w:rPr>
      </w:pPr>
      <w:r>
        <w:rPr>
          <w:rFonts w:hint="eastAsia" w:ascii="宋体" w:hAnsi="宋体" w:cs="宋体"/>
          <w:color w:val="auto"/>
          <w:sz w:val="24"/>
          <w:highlight w:val="none"/>
        </w:rPr>
        <w:br w:type="page"/>
      </w:r>
      <w:bookmarkStart w:id="69" w:name="_Toc10061"/>
      <w:bookmarkStart w:id="70" w:name="_Toc23822"/>
      <w:r>
        <w:rPr>
          <w:rFonts w:hint="eastAsia" w:ascii="宋体" w:hAnsi="宋体" w:cs="宋体"/>
          <w:b/>
          <w:bCs/>
          <w:color w:val="auto"/>
          <w:sz w:val="24"/>
          <w:highlight w:val="none"/>
        </w:rPr>
        <w:t xml:space="preserve"> 投标文件初审及招标项目评分表</w:t>
      </w:r>
      <w:bookmarkEnd w:id="69"/>
      <w:bookmarkEnd w:id="70"/>
    </w:p>
    <w:p>
      <w:pPr>
        <w:spacing w:line="360" w:lineRule="auto"/>
        <w:jc w:val="center"/>
        <w:rPr>
          <w:rFonts w:hint="eastAsia" w:ascii="宋体" w:hAnsi="宋体" w:cs="宋体"/>
          <w:b/>
          <w:color w:val="auto"/>
          <w:sz w:val="24"/>
          <w:highlight w:val="none"/>
        </w:rPr>
      </w:pPr>
    </w:p>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投标文件初审表（不可偏离条款）</w:t>
      </w:r>
    </w:p>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（凡有下列情形之一的，投标文件无效，投标作废标处理）</w:t>
      </w:r>
    </w:p>
    <w:tbl>
      <w:tblPr>
        <w:tblStyle w:val="18"/>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w:t>
            </w:r>
          </w:p>
        </w:tc>
        <w:tc>
          <w:tcPr>
            <w:tcW w:w="7108" w:type="dxa"/>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未出现“投标人不具备招标文件所列的资格要求，或未提交相应的资格证明资料（详见招标公告 投标人资格要求）”的情形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p>
        </w:tc>
        <w:tc>
          <w:tcPr>
            <w:tcW w:w="7108" w:type="dxa"/>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未出现“将一个包中的内容拆开投标”的情形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3</w:t>
            </w:r>
          </w:p>
        </w:tc>
        <w:tc>
          <w:tcPr>
            <w:tcW w:w="7108" w:type="dxa"/>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未出现“投标文件未按规定密封、签字、盖章”的情形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4</w:t>
            </w:r>
          </w:p>
        </w:tc>
        <w:tc>
          <w:tcPr>
            <w:tcW w:w="7108" w:type="dxa"/>
            <w:vAlign w:val="center"/>
          </w:tcPr>
          <w:p>
            <w:pPr>
              <w:spacing w:line="360" w:lineRule="auto"/>
              <w:rPr>
                <w:rFonts w:hint="eastAsia" w:ascii="宋体" w:hAnsi="宋体" w:cs="宋体"/>
                <w:b/>
                <w:bCs/>
                <w:color w:val="auto"/>
                <w:sz w:val="24"/>
                <w:highlight w:val="none"/>
              </w:rPr>
            </w:pPr>
            <w:r>
              <w:rPr>
                <w:rFonts w:hint="eastAsia" w:ascii="宋体" w:hAnsi="宋体" w:cs="宋体"/>
                <w:color w:val="auto"/>
                <w:sz w:val="24"/>
                <w:highlight w:val="none"/>
              </w:rPr>
              <w:t>按要求提供有效的法定代表人/负责人证明书、法定代表人/负责人授权委托书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5</w:t>
            </w:r>
          </w:p>
        </w:tc>
        <w:tc>
          <w:tcPr>
            <w:tcW w:w="7108" w:type="dxa"/>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未出现“招标文件未规定允许有替代方案时，对同一项目投标时，同时提供两套或两套以上的投标方案”的情形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6</w:t>
            </w:r>
          </w:p>
        </w:tc>
        <w:tc>
          <w:tcPr>
            <w:tcW w:w="7108" w:type="dxa"/>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未出现“分项报价或投标总价高于预算金额（最高投标限价）或投标报价有严重缺漏项”的情形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7</w:t>
            </w:r>
          </w:p>
        </w:tc>
        <w:tc>
          <w:tcPr>
            <w:tcW w:w="7108" w:type="dxa"/>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未出现“同一项目出现两个及以上报价，按规定又无法确定哪个是有效报价”的情形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8</w:t>
            </w:r>
          </w:p>
        </w:tc>
        <w:tc>
          <w:tcPr>
            <w:tcW w:w="7108" w:type="dxa"/>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未出现“投标文件载明的招标项目完成或服务期限不满足招标文件规定的”的情形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9</w:t>
            </w:r>
          </w:p>
        </w:tc>
        <w:tc>
          <w:tcPr>
            <w:tcW w:w="7108" w:type="dxa"/>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未出现“所投货物或工程或服务在质量、技术、方案等方面没有实质性满足招标文件要求”的情形</w:t>
            </w:r>
          </w:p>
          <w:p>
            <w:pPr>
              <w:spacing w:line="360" w:lineRule="auto"/>
              <w:rPr>
                <w:rFonts w:hint="eastAsia" w:ascii="宋体" w:hAnsi="宋体" w:cs="宋体"/>
                <w:b/>
                <w:bCs/>
                <w:color w:val="auto"/>
                <w:sz w:val="24"/>
                <w:highlight w:val="none"/>
              </w:rPr>
            </w:pPr>
            <w:r>
              <w:rPr>
                <w:rFonts w:hint="eastAsia" w:ascii="宋体" w:hAnsi="宋体" w:cs="宋体"/>
                <w:color w:val="auto"/>
                <w:sz w:val="24"/>
                <w:highlight w:val="none"/>
              </w:rPr>
              <w:t>（是否实质性满足招标文件要求，由评标委员会来做出评判）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10</w:t>
            </w:r>
          </w:p>
        </w:tc>
        <w:tc>
          <w:tcPr>
            <w:tcW w:w="7108" w:type="dxa"/>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未出现“《用户需求响应表》未按要求填写，经评审委员会认定存在不明或不实的”的情形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11</w:t>
            </w:r>
          </w:p>
        </w:tc>
        <w:tc>
          <w:tcPr>
            <w:tcW w:w="7108" w:type="dxa"/>
            <w:vAlign w:val="center"/>
          </w:tcPr>
          <w:p>
            <w:pPr>
              <w:pStyle w:val="16"/>
              <w:spacing w:before="0" w:after="0"/>
              <w:jc w:val="left"/>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报价合理性审查</w:t>
            </w:r>
          </w:p>
          <w:p>
            <w:pPr>
              <w:pStyle w:val="16"/>
              <w:spacing w:before="0" w:after="0"/>
              <w:jc w:val="left"/>
              <w:outlineLvl w:val="2"/>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供应商出现下列情形之一的，评审委员会应当启动异常低价投标（响应）审查程序，要求相关供应商在评标现场合理的时间内提供书面说明及必要的相关证明材料，对投标（响应）价格作出解释（书面说明、证明材料主要是项目具体成本测算等与报价合理性相关的说明、材料）：</w:t>
            </w:r>
          </w:p>
          <w:p>
            <w:pPr>
              <w:pStyle w:val="16"/>
              <w:spacing w:before="0" w:after="0"/>
              <w:jc w:val="left"/>
              <w:outlineLvl w:val="2"/>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（一）投标（响应）报价低于全部通过符合性审查供应商投标（响应）报价平均值50%的，即投标（响应）报价&lt;全部通过符合性审查供应商投标（响应）报价平均值×50%；</w:t>
            </w:r>
          </w:p>
          <w:p>
            <w:pPr>
              <w:pStyle w:val="16"/>
              <w:spacing w:before="0" w:after="0"/>
              <w:jc w:val="left"/>
              <w:outlineLvl w:val="2"/>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（二）投标（响应）报价低于通过符合性审查且报价次低供应商投标（响应）报价50%的，即投标（响应）报价&lt;通过符合性审查且报价次低供应商投标（响应）报价×50%；</w:t>
            </w:r>
          </w:p>
          <w:p>
            <w:pPr>
              <w:pStyle w:val="16"/>
              <w:spacing w:before="0" w:after="0"/>
              <w:jc w:val="left"/>
              <w:outlineLvl w:val="2"/>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（三）投标（响应）报价低于采购项目最高限价45%的，即投标（响应）报价&lt;采购项目最高限价×45%；</w:t>
            </w:r>
          </w:p>
          <w:p>
            <w:pPr>
              <w:pStyle w:val="16"/>
              <w:spacing w:before="0" w:after="0"/>
              <w:jc w:val="left"/>
              <w:outlineLvl w:val="2"/>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（四）其他评审委员会认为供应商报价过低，有可能影响产品质量或者不能诚信履约的情形。</w:t>
            </w:r>
          </w:p>
          <w:p>
            <w:pPr>
              <w:rPr>
                <w:rFonts w:hint="eastAsia" w:ascii="宋体" w:hAnsi="宋体" w:cs="宋体"/>
                <w:color w:val="auto"/>
                <w:sz w:val="24"/>
                <w:highlight w:val="none"/>
              </w:rPr>
            </w:pPr>
            <w:r>
              <w:rPr>
                <w:rFonts w:hint="eastAsia" w:ascii="宋体" w:hAnsi="宋体" w:cs="宋体"/>
                <w:color w:val="auto"/>
                <w:sz w:val="24"/>
                <w:highlight w:val="none"/>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评审委员会成员对投标人提供的说明材料判断不一致的，按照“少数服从多数”的原则确定评审委员会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12</w:t>
            </w:r>
          </w:p>
        </w:tc>
        <w:tc>
          <w:tcPr>
            <w:tcW w:w="7108" w:type="dxa"/>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未出现法律、法规规定的其他情形</w:t>
            </w:r>
          </w:p>
        </w:tc>
      </w:tr>
    </w:tbl>
    <w:p>
      <w:pPr>
        <w:spacing w:line="360" w:lineRule="auto"/>
        <w:jc w:val="center"/>
        <w:rPr>
          <w:rFonts w:hint="eastAsia" w:ascii="宋体" w:hAnsi="宋体" w:cs="宋体"/>
          <w:color w:val="auto"/>
          <w:sz w:val="24"/>
          <w:highlight w:val="none"/>
        </w:rPr>
      </w:pPr>
      <w:r>
        <w:rPr>
          <w:rFonts w:hint="eastAsia" w:ascii="宋体" w:hAnsi="宋体" w:cs="宋体"/>
          <w:b/>
          <w:bCs/>
          <w:color w:val="auto"/>
          <w:sz w:val="24"/>
          <w:highlight w:val="none"/>
        </w:rPr>
        <w:br w:type="page"/>
      </w:r>
      <w:bookmarkStart w:id="71" w:name="_Toc9548"/>
      <w:bookmarkStart w:id="72" w:name="_Hlk28269117"/>
      <w:r>
        <w:rPr>
          <w:rFonts w:hint="eastAsia" w:ascii="宋体" w:hAnsi="宋体" w:cs="宋体"/>
          <w:b/>
          <w:bCs/>
          <w:color w:val="auto"/>
          <w:sz w:val="24"/>
          <w:highlight w:val="none"/>
        </w:rPr>
        <w:t>招标项目评分表</w:t>
      </w:r>
    </w:p>
    <w:tbl>
      <w:tblPr>
        <w:tblStyle w:val="18"/>
        <w:tblW w:w="861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2"/>
        <w:gridCol w:w="1168"/>
        <w:gridCol w:w="5135"/>
        <w:gridCol w:w="750"/>
        <w:gridCol w:w="83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611" w:type="dxa"/>
            <w:gridSpan w:val="5"/>
            <w:shd w:val="clear" w:color="auto" w:fill="D9D9D9"/>
            <w:vAlign w:val="center"/>
          </w:tcPr>
          <w:p>
            <w:pPr>
              <w:autoSpaceDE w:val="0"/>
              <w:autoSpaceDN w:val="0"/>
              <w:adjustRightInd w:val="0"/>
              <w:jc w:val="center"/>
              <w:rPr>
                <w:rFonts w:hint="eastAsia" w:ascii="宋体" w:hAnsi="宋体" w:cs="宋体"/>
                <w:b/>
                <w:color w:val="auto"/>
                <w:sz w:val="24"/>
                <w:highlight w:val="none"/>
                <w:lang w:val="zh-CN"/>
              </w:rPr>
            </w:pPr>
            <w:bookmarkStart w:id="73" w:name="OLE_LINK24"/>
            <w:r>
              <w:rPr>
                <w:rFonts w:hint="eastAsia" w:ascii="宋体" w:hAnsi="宋体" w:cs="宋体"/>
                <w:b/>
                <w:color w:val="auto"/>
                <w:sz w:val="24"/>
                <w:highlight w:val="none"/>
                <w:lang w:val="zh-CN"/>
              </w:rPr>
              <w:t>一、价格部分（</w:t>
            </w:r>
            <w:r>
              <w:rPr>
                <w:rFonts w:hint="eastAsia" w:ascii="宋体" w:hAnsi="宋体" w:cs="宋体"/>
                <w:b/>
                <w:color w:val="auto"/>
                <w:sz w:val="24"/>
                <w:highlight w:val="none"/>
              </w:rPr>
              <w:t>10</w:t>
            </w:r>
            <w:r>
              <w:rPr>
                <w:rFonts w:hint="eastAsia" w:ascii="宋体" w:hAnsi="宋体" w:cs="宋体"/>
                <w:b/>
                <w:color w:val="auto"/>
                <w:sz w:val="24"/>
                <w:highlight w:val="none"/>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jc w:val="center"/>
              <w:rPr>
                <w:rFonts w:hint="eastAsia" w:ascii="宋体" w:hAnsi="宋体" w:cs="宋体"/>
                <w:color w:val="auto"/>
                <w:sz w:val="24"/>
                <w:highlight w:val="none"/>
              </w:rPr>
            </w:pPr>
            <w:r>
              <w:rPr>
                <w:rFonts w:hint="eastAsia" w:ascii="宋体" w:hAnsi="宋体" w:cs="宋体"/>
                <w:color w:val="auto"/>
                <w:sz w:val="24"/>
                <w:highlight w:val="none"/>
                <w:lang w:val="zh-CN"/>
              </w:rPr>
              <w:t>序号</w:t>
            </w:r>
          </w:p>
        </w:tc>
        <w:tc>
          <w:tcPr>
            <w:tcW w:w="1168" w:type="dxa"/>
            <w:vAlign w:val="center"/>
          </w:tcPr>
          <w:p>
            <w:pPr>
              <w:autoSpaceDE w:val="0"/>
              <w:autoSpaceDN w:val="0"/>
              <w:adjustRightInd w:val="0"/>
              <w:jc w:val="center"/>
              <w:rPr>
                <w:rFonts w:hint="eastAsia" w:ascii="宋体" w:hAnsi="宋体" w:cs="宋体"/>
                <w:color w:val="auto"/>
                <w:sz w:val="24"/>
                <w:highlight w:val="none"/>
              </w:rPr>
            </w:pPr>
            <w:r>
              <w:rPr>
                <w:rFonts w:hint="eastAsia" w:ascii="宋体" w:hAnsi="宋体" w:cs="宋体"/>
                <w:color w:val="auto"/>
                <w:sz w:val="24"/>
                <w:highlight w:val="none"/>
                <w:lang w:val="zh-CN"/>
              </w:rPr>
              <w:t>内容</w:t>
            </w:r>
          </w:p>
        </w:tc>
        <w:tc>
          <w:tcPr>
            <w:tcW w:w="5135" w:type="dxa"/>
            <w:vAlign w:val="center"/>
          </w:tcPr>
          <w:p>
            <w:pPr>
              <w:autoSpaceDE w:val="0"/>
              <w:autoSpaceDN w:val="0"/>
              <w:adjustRightInd w:val="0"/>
              <w:jc w:val="center"/>
              <w:rPr>
                <w:rFonts w:hint="eastAsia" w:ascii="宋体" w:hAnsi="宋体" w:cs="宋体"/>
                <w:color w:val="auto"/>
                <w:sz w:val="24"/>
                <w:highlight w:val="none"/>
              </w:rPr>
            </w:pPr>
            <w:r>
              <w:rPr>
                <w:rFonts w:hint="eastAsia" w:ascii="宋体" w:hAnsi="宋体" w:cs="宋体"/>
                <w:color w:val="auto"/>
                <w:sz w:val="24"/>
                <w:highlight w:val="none"/>
                <w:lang w:val="zh-CN"/>
              </w:rPr>
              <w:t>评分规则</w:t>
            </w:r>
          </w:p>
        </w:tc>
        <w:tc>
          <w:tcPr>
            <w:tcW w:w="750" w:type="dxa"/>
            <w:vAlign w:val="center"/>
          </w:tcPr>
          <w:p>
            <w:pPr>
              <w:autoSpaceDE w:val="0"/>
              <w:autoSpaceDN w:val="0"/>
              <w:adjustRightInd w:val="0"/>
              <w:jc w:val="center"/>
              <w:rPr>
                <w:rFonts w:hint="eastAsia" w:ascii="宋体" w:hAnsi="宋体" w:cs="宋体"/>
                <w:color w:val="auto"/>
                <w:sz w:val="24"/>
                <w:highlight w:val="none"/>
                <w:lang w:val="zh-CN"/>
              </w:rPr>
            </w:pPr>
            <w:r>
              <w:rPr>
                <w:rFonts w:hint="eastAsia" w:ascii="宋体" w:hAnsi="宋体" w:cs="宋体"/>
                <w:color w:val="auto"/>
                <w:sz w:val="24"/>
                <w:highlight w:val="none"/>
              </w:rPr>
              <w:t>权重</w:t>
            </w:r>
          </w:p>
        </w:tc>
        <w:tc>
          <w:tcPr>
            <w:tcW w:w="836" w:type="dxa"/>
            <w:vAlign w:val="center"/>
          </w:tcPr>
          <w:p>
            <w:pPr>
              <w:autoSpaceDE w:val="0"/>
              <w:autoSpaceDN w:val="0"/>
              <w:adjustRightInd w:val="0"/>
              <w:jc w:val="center"/>
              <w:rPr>
                <w:rFonts w:hint="eastAsia" w:ascii="宋体" w:hAnsi="宋体" w:cs="宋体"/>
                <w:color w:val="auto"/>
                <w:sz w:val="24"/>
                <w:highlight w:val="none"/>
              </w:rPr>
            </w:pPr>
            <w:r>
              <w:rPr>
                <w:rFonts w:hint="eastAsia" w:ascii="宋体" w:hAnsi="宋体" w:cs="宋体"/>
                <w:color w:val="auto"/>
                <w:sz w:val="24"/>
                <w:highlight w:val="none"/>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22" w:type="dxa"/>
            <w:vAlign w:val="center"/>
          </w:tcPr>
          <w:p>
            <w:pPr>
              <w:autoSpaceDE w:val="0"/>
              <w:autoSpaceDN w:val="0"/>
              <w:adjustRightInd w:val="0"/>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1</w:t>
            </w:r>
          </w:p>
        </w:tc>
        <w:tc>
          <w:tcPr>
            <w:tcW w:w="1168" w:type="dxa"/>
            <w:vAlign w:val="center"/>
          </w:tcPr>
          <w:p>
            <w:pPr>
              <w:autoSpaceDE w:val="0"/>
              <w:autoSpaceDN w:val="0"/>
              <w:adjustRightInd w:val="0"/>
              <w:jc w:val="center"/>
              <w:rPr>
                <w:rFonts w:hint="eastAsia" w:ascii="宋体" w:hAnsi="宋体" w:cs="宋体"/>
                <w:color w:val="auto"/>
                <w:sz w:val="24"/>
                <w:highlight w:val="none"/>
                <w:lang w:val="zh-CN"/>
              </w:rPr>
            </w:pPr>
            <w:r>
              <w:rPr>
                <w:rFonts w:hint="eastAsia" w:ascii="宋体" w:hAnsi="宋体" w:cs="宋体"/>
                <w:b/>
                <w:color w:val="auto"/>
                <w:sz w:val="24"/>
                <w:highlight w:val="none"/>
              </w:rPr>
              <w:t>投标报价</w:t>
            </w:r>
          </w:p>
        </w:tc>
        <w:tc>
          <w:tcPr>
            <w:tcW w:w="5135" w:type="dxa"/>
            <w:vAlign w:val="center"/>
          </w:tcPr>
          <w:p>
            <w:pPr>
              <w:pStyle w:val="7"/>
              <w:rPr>
                <w:rFonts w:hint="eastAsia" w:ascii="宋体" w:hAnsi="宋体" w:cs="宋体"/>
                <w:color w:val="auto"/>
                <w:sz w:val="24"/>
                <w:highlight w:val="none"/>
              </w:rPr>
            </w:pPr>
            <w:r>
              <w:rPr>
                <w:rFonts w:hint="eastAsia" w:ascii="宋体" w:hAnsi="宋体" w:cs="宋体"/>
                <w:color w:val="auto"/>
                <w:sz w:val="24"/>
                <w:highlight w:val="none"/>
              </w:rPr>
              <w:t>采用低价优先法计算，即满足招标文件要求且投标价格最低的投标报价为评标基准价，其价格分为满分。其他投标人的价格分统一按照下列公式计算：</w:t>
            </w:r>
          </w:p>
          <w:p>
            <w:pPr>
              <w:pStyle w:val="7"/>
              <w:rPr>
                <w:rFonts w:hint="eastAsia" w:ascii="宋体" w:hAnsi="宋体" w:cs="宋体"/>
                <w:color w:val="auto"/>
                <w:sz w:val="24"/>
                <w:highlight w:val="none"/>
              </w:rPr>
            </w:pPr>
            <w:r>
              <w:rPr>
                <w:rFonts w:hint="eastAsia" w:ascii="宋体" w:hAnsi="宋体" w:cs="宋体"/>
                <w:b/>
                <w:bCs/>
                <w:color w:val="auto"/>
                <w:sz w:val="24"/>
                <w:highlight w:val="none"/>
              </w:rPr>
              <w:t>投标报价得分=(评标基准价／投标报价)×10</w:t>
            </w:r>
          </w:p>
          <w:p>
            <w:pPr>
              <w:numPr>
                <w:ilvl w:val="0"/>
                <w:numId w:val="9"/>
              </w:numPr>
              <w:ind w:left="250" w:hanging="249" w:hangingChars="104"/>
              <w:jc w:val="left"/>
              <w:rPr>
                <w:rFonts w:hint="eastAsia" w:ascii="宋体" w:hAnsi="宋体" w:cs="宋体"/>
                <w:bCs/>
                <w:color w:val="auto"/>
                <w:sz w:val="24"/>
                <w:highlight w:val="none"/>
              </w:rPr>
            </w:pPr>
            <w:r>
              <w:rPr>
                <w:rFonts w:hint="eastAsia" w:ascii="宋体" w:hAnsi="宋体" w:cs="宋体"/>
                <w:bCs/>
                <w:color w:val="auto"/>
                <w:sz w:val="24"/>
                <w:highlight w:val="none"/>
              </w:rPr>
              <w:t>价格评分仅限于有效投标人，</w:t>
            </w:r>
            <w:r>
              <w:rPr>
                <w:rFonts w:hint="eastAsia" w:ascii="宋体" w:hAnsi="宋体" w:cs="宋体"/>
                <w:color w:val="auto"/>
                <w:sz w:val="24"/>
                <w:highlight w:val="none"/>
              </w:rPr>
              <w:t>当价格分&lt;0时，取0。</w:t>
            </w:r>
          </w:p>
          <w:p>
            <w:pPr>
              <w:numPr>
                <w:ilvl w:val="0"/>
                <w:numId w:val="9"/>
              </w:numPr>
              <w:ind w:left="0" w:hanging="9"/>
              <w:jc w:val="left"/>
              <w:rPr>
                <w:rFonts w:hint="eastAsia" w:ascii="宋体" w:hAnsi="宋体" w:cs="宋体"/>
                <w:b/>
                <w:color w:val="auto"/>
                <w:sz w:val="24"/>
                <w:highlight w:val="none"/>
              </w:rPr>
            </w:pPr>
            <w:r>
              <w:rPr>
                <w:rFonts w:hint="eastAsia" w:ascii="宋体" w:hAnsi="宋体" w:cs="宋体"/>
                <w:bCs/>
                <w:color w:val="auto"/>
                <w:sz w:val="24"/>
                <w:highlight w:val="none"/>
              </w:rPr>
              <w:t>根据财库〔2020〕46号、财库〔2014〕68号及财库〔2017〕141号及（深财购〔2022〕31号）文件规定：</w:t>
            </w:r>
            <w:r>
              <w:rPr>
                <w:rFonts w:hint="eastAsia" w:ascii="宋体" w:hAnsi="宋体" w:cs="宋体"/>
                <w:b/>
                <w:color w:val="auto"/>
                <w:sz w:val="24"/>
                <w:highlight w:val="none"/>
              </w:rPr>
              <w:t>本项目非专门面向中小企业的项目，对小型和微型企业、监狱企业或残疾人福利性企业产品的价格给予10%的扣除，用扣除后的价格即为“经评审合格的投标报价”参与价格评审。</w:t>
            </w:r>
          </w:p>
          <w:p>
            <w:pPr>
              <w:jc w:val="left"/>
              <w:rPr>
                <w:rFonts w:hint="eastAsia" w:ascii="宋体" w:hAnsi="宋体" w:cs="宋体"/>
                <w:color w:val="auto"/>
                <w:sz w:val="24"/>
                <w:highlight w:val="none"/>
              </w:rPr>
            </w:pPr>
            <w:r>
              <w:rPr>
                <w:rFonts w:hint="eastAsia" w:ascii="宋体" w:hAnsi="宋体" w:cs="宋体"/>
                <w:bCs/>
                <w:color w:val="auto"/>
                <w:sz w:val="24"/>
                <w:highlight w:val="none"/>
              </w:rPr>
              <w:t>监狱企业应当提供由省级以上监狱管理局、戒毒管理局（含新疆生产建设兵团）出具的属于监狱企业的证明文件，中小企业提供中小企业声明函，残疾人福利性企业提供残疾人福利性企业声明函。</w:t>
            </w:r>
          </w:p>
        </w:tc>
        <w:tc>
          <w:tcPr>
            <w:tcW w:w="750" w:type="dxa"/>
            <w:vAlign w:val="center"/>
          </w:tcPr>
          <w:p>
            <w:pPr>
              <w:autoSpaceDE w:val="0"/>
              <w:autoSpaceDN w:val="0"/>
              <w:adjustRightInd w:val="0"/>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836" w:type="dxa"/>
            <w:vAlign w:val="center"/>
          </w:tcPr>
          <w:p>
            <w:pPr>
              <w:autoSpaceDE w:val="0"/>
              <w:autoSpaceDN w:val="0"/>
              <w:adjustRightInd w:val="0"/>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611" w:type="dxa"/>
            <w:gridSpan w:val="5"/>
            <w:shd w:val="clear" w:color="auto" w:fill="D9D9D9"/>
            <w:vAlign w:val="center"/>
          </w:tcPr>
          <w:p>
            <w:pPr>
              <w:autoSpaceDE w:val="0"/>
              <w:autoSpaceDN w:val="0"/>
              <w:adjustRightInd w:val="0"/>
              <w:jc w:val="center"/>
              <w:rPr>
                <w:rFonts w:hint="eastAsia" w:ascii="宋体" w:hAnsi="宋体" w:cs="宋体"/>
                <w:b/>
                <w:color w:val="auto"/>
                <w:sz w:val="24"/>
                <w:highlight w:val="none"/>
                <w:lang w:val="zh-CN"/>
              </w:rPr>
            </w:pPr>
            <w:r>
              <w:rPr>
                <w:rFonts w:hint="eastAsia" w:ascii="宋体" w:hAnsi="宋体" w:cs="宋体"/>
                <w:b/>
                <w:color w:val="auto"/>
                <w:sz w:val="24"/>
                <w:highlight w:val="none"/>
                <w:lang w:val="zh-CN"/>
              </w:rPr>
              <w:t>二、商务部分（</w:t>
            </w:r>
            <w:r>
              <w:rPr>
                <w:rFonts w:hint="eastAsia" w:ascii="宋体" w:hAnsi="宋体" w:cs="宋体"/>
                <w:b/>
                <w:bCs/>
                <w:color w:val="auto"/>
                <w:kern w:val="0"/>
                <w:sz w:val="24"/>
                <w:highlight w:val="none"/>
                <w:lang w:bidi="ar"/>
              </w:rPr>
              <w:t>3</w:t>
            </w:r>
            <w:r>
              <w:rPr>
                <w:rFonts w:ascii="宋体" w:hAnsi="宋体" w:cs="宋体"/>
                <w:b/>
                <w:bCs/>
                <w:color w:val="auto"/>
                <w:kern w:val="0"/>
                <w:sz w:val="24"/>
                <w:highlight w:val="none"/>
                <w:lang w:bidi="ar"/>
              </w:rPr>
              <w:t>3</w:t>
            </w:r>
            <w:r>
              <w:rPr>
                <w:rFonts w:hint="eastAsia" w:ascii="宋体" w:hAnsi="宋体" w:cs="宋体"/>
                <w:b/>
                <w:color w:val="auto"/>
                <w:sz w:val="24"/>
                <w:highlight w:val="none"/>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jc w:val="center"/>
              <w:rPr>
                <w:rFonts w:hint="eastAsia" w:ascii="宋体" w:hAnsi="宋体" w:cs="宋体"/>
                <w:color w:val="auto"/>
                <w:sz w:val="24"/>
                <w:highlight w:val="none"/>
              </w:rPr>
            </w:pPr>
            <w:r>
              <w:rPr>
                <w:rFonts w:hint="eastAsia" w:ascii="宋体" w:hAnsi="宋体" w:cs="宋体"/>
                <w:color w:val="auto"/>
                <w:sz w:val="24"/>
                <w:highlight w:val="none"/>
                <w:lang w:val="zh-CN"/>
              </w:rPr>
              <w:t>序号</w:t>
            </w:r>
          </w:p>
        </w:tc>
        <w:tc>
          <w:tcPr>
            <w:tcW w:w="1168" w:type="dxa"/>
            <w:vAlign w:val="center"/>
          </w:tcPr>
          <w:p>
            <w:pPr>
              <w:autoSpaceDE w:val="0"/>
              <w:autoSpaceDN w:val="0"/>
              <w:adjustRightInd w:val="0"/>
              <w:jc w:val="center"/>
              <w:rPr>
                <w:rFonts w:hint="eastAsia" w:ascii="宋体" w:hAnsi="宋体" w:cs="宋体"/>
                <w:color w:val="auto"/>
                <w:sz w:val="24"/>
                <w:highlight w:val="none"/>
              </w:rPr>
            </w:pPr>
            <w:r>
              <w:rPr>
                <w:rFonts w:hint="eastAsia" w:ascii="宋体" w:hAnsi="宋体" w:cs="宋体"/>
                <w:color w:val="auto"/>
                <w:sz w:val="24"/>
                <w:highlight w:val="none"/>
                <w:lang w:val="zh-CN"/>
              </w:rPr>
              <w:t>内容</w:t>
            </w:r>
          </w:p>
        </w:tc>
        <w:tc>
          <w:tcPr>
            <w:tcW w:w="5135" w:type="dxa"/>
            <w:vAlign w:val="center"/>
          </w:tcPr>
          <w:p>
            <w:pPr>
              <w:autoSpaceDE w:val="0"/>
              <w:autoSpaceDN w:val="0"/>
              <w:adjustRightInd w:val="0"/>
              <w:jc w:val="center"/>
              <w:rPr>
                <w:rFonts w:hint="eastAsia" w:ascii="宋体" w:hAnsi="宋体" w:cs="宋体"/>
                <w:color w:val="auto"/>
                <w:sz w:val="24"/>
                <w:highlight w:val="none"/>
              </w:rPr>
            </w:pPr>
            <w:r>
              <w:rPr>
                <w:rFonts w:hint="eastAsia" w:ascii="宋体" w:hAnsi="宋体" w:cs="宋体"/>
                <w:color w:val="auto"/>
                <w:sz w:val="24"/>
                <w:highlight w:val="none"/>
                <w:lang w:val="zh-CN"/>
              </w:rPr>
              <w:t>评分规则</w:t>
            </w:r>
          </w:p>
        </w:tc>
        <w:tc>
          <w:tcPr>
            <w:tcW w:w="750" w:type="dxa"/>
            <w:vAlign w:val="center"/>
          </w:tcPr>
          <w:p>
            <w:pPr>
              <w:autoSpaceDE w:val="0"/>
              <w:autoSpaceDN w:val="0"/>
              <w:adjustRightInd w:val="0"/>
              <w:jc w:val="center"/>
              <w:rPr>
                <w:rFonts w:hint="eastAsia" w:ascii="宋体" w:hAnsi="宋体" w:cs="宋体"/>
                <w:color w:val="auto"/>
                <w:sz w:val="24"/>
                <w:highlight w:val="none"/>
                <w:lang w:val="zh-CN"/>
              </w:rPr>
            </w:pPr>
            <w:r>
              <w:rPr>
                <w:rFonts w:hint="eastAsia" w:ascii="宋体" w:hAnsi="宋体" w:cs="宋体"/>
                <w:color w:val="auto"/>
                <w:sz w:val="24"/>
                <w:highlight w:val="none"/>
              </w:rPr>
              <w:t>权重</w:t>
            </w:r>
          </w:p>
        </w:tc>
        <w:tc>
          <w:tcPr>
            <w:tcW w:w="836" w:type="dxa"/>
            <w:vAlign w:val="center"/>
          </w:tcPr>
          <w:p>
            <w:pPr>
              <w:autoSpaceDE w:val="0"/>
              <w:autoSpaceDN w:val="0"/>
              <w:adjustRightInd w:val="0"/>
              <w:jc w:val="center"/>
              <w:rPr>
                <w:rFonts w:hint="eastAsia" w:ascii="宋体" w:hAnsi="宋体" w:cs="宋体"/>
                <w:color w:val="auto"/>
                <w:sz w:val="24"/>
                <w:highlight w:val="none"/>
              </w:rPr>
            </w:pPr>
            <w:r>
              <w:rPr>
                <w:rFonts w:hint="eastAsia" w:ascii="宋体" w:hAnsi="宋体" w:cs="宋体"/>
                <w:color w:val="auto"/>
                <w:sz w:val="24"/>
                <w:highlight w:val="none"/>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jc w:val="center"/>
              <w:rPr>
                <w:rFonts w:hint="eastAsia" w:ascii="宋体" w:hAnsi="宋体" w:cs="宋体"/>
                <w:color w:val="auto"/>
                <w:sz w:val="24"/>
                <w:highlight w:val="none"/>
              </w:rPr>
            </w:pPr>
            <w:bookmarkStart w:id="74" w:name="OLE_LINK28" w:colFirst="1" w:colLast="1"/>
            <w:r>
              <w:rPr>
                <w:rFonts w:hint="eastAsia" w:ascii="宋体" w:hAnsi="宋体" w:cs="宋体"/>
                <w:color w:val="auto"/>
                <w:sz w:val="24"/>
                <w:highlight w:val="none"/>
              </w:rPr>
              <w:t>1</w:t>
            </w:r>
          </w:p>
        </w:tc>
        <w:tc>
          <w:tcPr>
            <w:tcW w:w="1168" w:type="dxa"/>
            <w:vAlign w:val="center"/>
          </w:tcPr>
          <w:p>
            <w:pPr>
              <w:autoSpaceDE w:val="0"/>
              <w:autoSpaceDN w:val="0"/>
              <w:adjustRightInd w:val="0"/>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投标人同类项目业绩情况</w:t>
            </w:r>
          </w:p>
        </w:tc>
        <w:tc>
          <w:tcPr>
            <w:tcW w:w="5135" w:type="dxa"/>
            <w:vAlign w:val="center"/>
          </w:tcPr>
          <w:p>
            <w:pPr>
              <w:rPr>
                <w:rFonts w:hint="eastAsia" w:ascii="宋体" w:hAnsi="宋体" w:cs="宋体"/>
                <w:b/>
                <w:color w:val="auto"/>
                <w:sz w:val="24"/>
                <w:highlight w:val="none"/>
              </w:rPr>
            </w:pPr>
            <w:r>
              <w:rPr>
                <w:rFonts w:hint="eastAsia" w:ascii="宋体" w:hAnsi="宋体" w:cs="宋体"/>
                <w:b/>
                <w:color w:val="auto"/>
                <w:sz w:val="24"/>
                <w:highlight w:val="none"/>
              </w:rPr>
              <w:t>（一）评分内容：</w:t>
            </w:r>
          </w:p>
          <w:p>
            <w:pPr>
              <w:rPr>
                <w:rFonts w:hint="eastAsia" w:ascii="宋体" w:hAnsi="宋体" w:cs="宋体"/>
                <w:color w:val="auto"/>
                <w:sz w:val="24"/>
                <w:highlight w:val="none"/>
              </w:rPr>
            </w:pPr>
            <w:r>
              <w:rPr>
                <w:rFonts w:hint="eastAsia" w:ascii="宋体" w:hAnsi="宋体" w:cs="宋体"/>
                <w:color w:val="auto"/>
                <w:sz w:val="24"/>
                <w:highlight w:val="none"/>
              </w:rPr>
              <w:t>投标人自2021年1月1日至本项目投标截止之日（以合同签订日期为准）的同类项目或信息化项目咨询或设计类业绩，每提供1个得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分，最高得</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分。</w:t>
            </w:r>
          </w:p>
          <w:p>
            <w:pPr>
              <w:rPr>
                <w:rFonts w:hint="eastAsia" w:ascii="宋体" w:hAnsi="宋体" w:cs="宋体"/>
                <w:b/>
                <w:color w:val="auto"/>
                <w:sz w:val="24"/>
                <w:highlight w:val="none"/>
              </w:rPr>
            </w:pPr>
            <w:r>
              <w:rPr>
                <w:rFonts w:hint="eastAsia" w:ascii="宋体" w:hAnsi="宋体" w:cs="宋体"/>
                <w:b/>
                <w:color w:val="auto"/>
                <w:sz w:val="24"/>
                <w:highlight w:val="none"/>
              </w:rPr>
              <w:t>（二）评分依据：</w:t>
            </w:r>
          </w:p>
          <w:p>
            <w:pPr>
              <w:rPr>
                <w:rFonts w:hint="eastAsia" w:ascii="宋体" w:hAnsi="宋体" w:cs="宋体"/>
                <w:color w:val="auto"/>
                <w:sz w:val="24"/>
                <w:highlight w:val="none"/>
              </w:rPr>
            </w:pPr>
            <w:r>
              <w:rPr>
                <w:rFonts w:hint="eastAsia" w:ascii="宋体" w:hAnsi="宋体" w:cs="宋体"/>
                <w:color w:val="auto"/>
                <w:sz w:val="24"/>
                <w:highlight w:val="none"/>
              </w:rPr>
              <w:t>1.提供合同关键信息（包括但不限于合同标的、签订时间、双方签章页）作为得分依据，通过合同关键信息无法判断是否得分的，还须同时提供能证明得分的其它证明资料，如合同甲方出具的证明文件或项目报告。</w:t>
            </w:r>
          </w:p>
          <w:p>
            <w:pPr>
              <w:rPr>
                <w:rFonts w:hint="eastAsia" w:ascii="宋体" w:hAnsi="宋体" w:cs="宋体"/>
                <w:color w:val="auto"/>
                <w:sz w:val="24"/>
                <w:highlight w:val="none"/>
              </w:rPr>
            </w:pPr>
            <w:r>
              <w:rPr>
                <w:rFonts w:hint="eastAsia" w:ascii="宋体" w:hAnsi="宋体" w:cs="宋体"/>
                <w:color w:val="auto"/>
                <w:sz w:val="24"/>
                <w:highlight w:val="none"/>
              </w:rPr>
              <w:t>2.以上资料均要求提供扫描件，评分中出现无证明资料或专家无法凭所提供资料判断是否得分的情况，一律作不得分处理。</w:t>
            </w:r>
          </w:p>
        </w:tc>
        <w:tc>
          <w:tcPr>
            <w:tcW w:w="750" w:type="dxa"/>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9</w:t>
            </w:r>
          </w:p>
        </w:tc>
        <w:tc>
          <w:tcPr>
            <w:tcW w:w="836" w:type="dxa"/>
            <w:vAlign w:val="center"/>
          </w:tcPr>
          <w:p>
            <w:pPr>
              <w:autoSpaceDE w:val="0"/>
              <w:autoSpaceDN w:val="0"/>
              <w:adjustRightInd w:val="0"/>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168" w:type="dxa"/>
            <w:vAlign w:val="center"/>
          </w:tcPr>
          <w:p>
            <w:pPr>
              <w:autoSpaceDE w:val="0"/>
              <w:autoSpaceDN w:val="0"/>
              <w:adjustRightInd w:val="0"/>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履约评价</w:t>
            </w:r>
          </w:p>
        </w:tc>
        <w:tc>
          <w:tcPr>
            <w:tcW w:w="5135" w:type="dxa"/>
            <w:vAlign w:val="center"/>
          </w:tcPr>
          <w:p>
            <w:pPr>
              <w:rPr>
                <w:rFonts w:hint="eastAsia" w:ascii="宋体" w:hAnsi="宋体" w:cs="宋体"/>
                <w:b/>
                <w:color w:val="auto"/>
                <w:sz w:val="24"/>
                <w:highlight w:val="none"/>
              </w:rPr>
            </w:pPr>
            <w:r>
              <w:rPr>
                <w:rFonts w:hint="eastAsia" w:ascii="宋体" w:hAnsi="宋体" w:cs="宋体"/>
                <w:b/>
                <w:color w:val="auto"/>
                <w:sz w:val="24"/>
                <w:highlight w:val="none"/>
              </w:rPr>
              <w:t>（一）评分内容：</w:t>
            </w:r>
          </w:p>
          <w:p>
            <w:pP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投标人提供符合“1.投标人同类项目业绩情况”的合同甲方出具的评价为优或优秀或满意或最高评价的</w:t>
            </w:r>
            <w:r>
              <w:rPr>
                <w:rFonts w:hint="eastAsia" w:ascii="宋体" w:hAnsi="宋体" w:cs="宋体"/>
                <w:color w:val="auto"/>
                <w:kern w:val="0"/>
                <w:sz w:val="24"/>
                <w:highlight w:val="none"/>
              </w:rPr>
              <w:t>履约评价或验收合格证明文件</w:t>
            </w:r>
            <w:r>
              <w:rPr>
                <w:rFonts w:hint="eastAsia" w:ascii="宋体" w:hAnsi="宋体" w:cs="宋体"/>
                <w:color w:val="auto"/>
                <w:sz w:val="24"/>
                <w:highlight w:val="none"/>
              </w:rPr>
              <w:t>，每提供一份得</w:t>
            </w:r>
            <w:r>
              <w:rPr>
                <w:rFonts w:hint="eastAsia" w:ascii="宋体" w:hAnsi="宋体" w:cs="宋体"/>
                <w:color w:val="auto"/>
                <w:sz w:val="24"/>
                <w:highlight w:val="none"/>
                <w:lang w:val="en-US" w:eastAsia="zh-CN"/>
              </w:rPr>
              <w:t>3</w:t>
            </w:r>
            <w:r>
              <w:rPr>
                <w:rFonts w:hint="eastAsia" w:ascii="宋体" w:hAnsi="宋体" w:cs="宋体"/>
                <w:color w:val="auto"/>
                <w:kern w:val="0"/>
                <w:sz w:val="24"/>
                <w:highlight w:val="none"/>
                <w:lang w:bidi="ar"/>
              </w:rPr>
              <w:t>分</w:t>
            </w:r>
            <w:r>
              <w:rPr>
                <w:rFonts w:hint="eastAsia" w:ascii="宋体" w:hAnsi="宋体" w:cs="宋体"/>
                <w:color w:val="auto"/>
                <w:sz w:val="24"/>
                <w:highlight w:val="none"/>
              </w:rPr>
              <w:t>，最高得</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分。</w:t>
            </w:r>
            <w:r>
              <w:rPr>
                <w:rFonts w:hint="eastAsia" w:ascii="宋体" w:hAnsi="宋体" w:cs="宋体"/>
                <w:color w:val="auto"/>
                <w:sz w:val="24"/>
                <w:highlight w:val="none"/>
                <w:lang w:val="en-US" w:eastAsia="zh-CN"/>
              </w:rPr>
              <w:t>如履约评价或验收合格证明文件仅体现评分（如“100分”或“90分”等）而无最终的结论（如“优”或“优秀”等），不计得分。</w:t>
            </w:r>
          </w:p>
          <w:p>
            <w:pPr>
              <w:rPr>
                <w:rFonts w:hint="eastAsia" w:ascii="宋体" w:hAnsi="宋体" w:cs="宋体"/>
                <w:b/>
                <w:color w:val="auto"/>
                <w:sz w:val="24"/>
                <w:highlight w:val="none"/>
              </w:rPr>
            </w:pPr>
            <w:r>
              <w:rPr>
                <w:rFonts w:hint="eastAsia" w:ascii="宋体" w:hAnsi="宋体" w:cs="宋体"/>
                <w:b/>
                <w:color w:val="auto"/>
                <w:sz w:val="24"/>
                <w:highlight w:val="none"/>
              </w:rPr>
              <w:t>（二）评分依据：</w:t>
            </w:r>
          </w:p>
          <w:p>
            <w:pPr>
              <w:wordWrap w:val="0"/>
              <w:rPr>
                <w:rFonts w:hint="eastAsia" w:ascii="宋体" w:hAnsi="宋体" w:cs="宋体"/>
                <w:color w:val="auto"/>
                <w:sz w:val="24"/>
                <w:highlight w:val="none"/>
              </w:rPr>
            </w:pPr>
            <w:r>
              <w:rPr>
                <w:rFonts w:hint="eastAsia" w:ascii="宋体" w:hAnsi="宋体" w:cs="宋体"/>
                <w:color w:val="auto"/>
                <w:sz w:val="24"/>
                <w:highlight w:val="none"/>
              </w:rPr>
              <w:t>1.提供加盖合同甲方公章（或甲方业务章）的项目</w:t>
            </w:r>
            <w:r>
              <w:rPr>
                <w:rFonts w:hint="eastAsia" w:ascii="宋体" w:hAnsi="宋体" w:cs="宋体"/>
                <w:color w:val="auto"/>
                <w:kern w:val="0"/>
                <w:sz w:val="24"/>
                <w:highlight w:val="none"/>
              </w:rPr>
              <w:t>履约评价或验收合格证明文件</w:t>
            </w:r>
            <w:r>
              <w:rPr>
                <w:rFonts w:hint="eastAsia" w:ascii="宋体" w:hAnsi="宋体" w:cs="宋体"/>
                <w:color w:val="auto"/>
                <w:sz w:val="24"/>
                <w:highlight w:val="none"/>
              </w:rPr>
              <w:t>。</w:t>
            </w:r>
          </w:p>
          <w:p>
            <w:pPr>
              <w:rPr>
                <w:rFonts w:hint="eastAsia" w:ascii="宋体" w:hAnsi="宋体" w:cs="宋体"/>
                <w:color w:val="auto"/>
                <w:sz w:val="24"/>
                <w:highlight w:val="none"/>
              </w:rPr>
            </w:pPr>
            <w:r>
              <w:rPr>
                <w:rFonts w:hint="eastAsia" w:ascii="宋体" w:hAnsi="宋体" w:cs="宋体"/>
                <w:color w:val="auto"/>
                <w:sz w:val="24"/>
                <w:highlight w:val="none"/>
              </w:rPr>
              <w:t>2.以上资料均要求提供扫描件，评分中出现无证明资料或专家无法凭所提供资料判断是否得分的情况，一律作不得分处理。</w:t>
            </w:r>
          </w:p>
        </w:tc>
        <w:tc>
          <w:tcPr>
            <w:tcW w:w="750" w:type="dxa"/>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9</w:t>
            </w:r>
          </w:p>
        </w:tc>
        <w:tc>
          <w:tcPr>
            <w:tcW w:w="836" w:type="dxa"/>
            <w:vAlign w:val="center"/>
          </w:tcPr>
          <w:p>
            <w:pPr>
              <w:autoSpaceDE w:val="0"/>
              <w:autoSpaceDN w:val="0"/>
              <w:adjustRightInd w:val="0"/>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168" w:type="dxa"/>
            <w:vAlign w:val="center"/>
          </w:tcPr>
          <w:p>
            <w:pPr>
              <w:autoSpaceDE w:val="0"/>
              <w:autoSpaceDN w:val="0"/>
              <w:adjustRightInd w:val="0"/>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投标人通过相关认证情况</w:t>
            </w:r>
          </w:p>
        </w:tc>
        <w:tc>
          <w:tcPr>
            <w:tcW w:w="5135" w:type="dxa"/>
            <w:vAlign w:val="center"/>
          </w:tcPr>
          <w:p>
            <w:pPr>
              <w:numPr>
                <w:ilvl w:val="0"/>
                <w:numId w:val="10"/>
              </w:numPr>
              <w:rPr>
                <w:rFonts w:hint="eastAsia" w:ascii="宋体" w:hAnsi="宋体" w:cs="宋体"/>
                <w:b/>
                <w:color w:val="auto"/>
                <w:sz w:val="24"/>
                <w:highlight w:val="none"/>
              </w:rPr>
            </w:pPr>
            <w:r>
              <w:rPr>
                <w:rFonts w:hint="eastAsia" w:ascii="宋体" w:hAnsi="宋体" w:cs="宋体"/>
                <w:b/>
                <w:color w:val="auto"/>
                <w:sz w:val="24"/>
                <w:highlight w:val="none"/>
              </w:rPr>
              <w:t>评分内容：</w:t>
            </w:r>
          </w:p>
          <w:p>
            <w:pPr>
              <w:rPr>
                <w:rFonts w:hint="eastAsia" w:ascii="宋体" w:hAnsi="宋体" w:cs="宋体"/>
                <w:color w:val="auto"/>
                <w:sz w:val="24"/>
                <w:highlight w:val="none"/>
              </w:rPr>
            </w:pPr>
            <w:r>
              <w:rPr>
                <w:rFonts w:hint="eastAsia" w:ascii="宋体" w:hAnsi="宋体" w:cs="宋体"/>
                <w:color w:val="auto"/>
                <w:sz w:val="24"/>
                <w:highlight w:val="none"/>
              </w:rPr>
              <w:t>投标人每提供以下一项有效认证，且认证范围同时包含工程设计（建筑智能化系统设计、电子系统工程设计）、工程咨询及建设后评价(电子、信息工程)：</w:t>
            </w:r>
          </w:p>
          <w:p>
            <w:pPr>
              <w:rPr>
                <w:rFonts w:hint="eastAsia" w:ascii="宋体" w:hAnsi="宋体" w:cs="宋体"/>
                <w:color w:val="auto"/>
                <w:sz w:val="24"/>
                <w:highlight w:val="none"/>
              </w:rPr>
            </w:pPr>
            <w:r>
              <w:rPr>
                <w:rFonts w:hint="eastAsia" w:ascii="宋体" w:hAnsi="宋体" w:cs="宋体"/>
                <w:color w:val="auto"/>
                <w:sz w:val="24"/>
                <w:highlight w:val="none"/>
              </w:rPr>
              <w:t>（1）质量管理体系认证证书，得2分；</w:t>
            </w:r>
          </w:p>
          <w:p>
            <w:pPr>
              <w:rPr>
                <w:rFonts w:hint="eastAsia" w:ascii="宋体" w:hAnsi="宋体" w:cs="宋体"/>
                <w:color w:val="auto"/>
                <w:sz w:val="24"/>
                <w:highlight w:val="none"/>
              </w:rPr>
            </w:pPr>
            <w:r>
              <w:rPr>
                <w:rFonts w:hint="eastAsia" w:ascii="宋体" w:hAnsi="宋体" w:cs="宋体"/>
                <w:color w:val="auto"/>
                <w:sz w:val="24"/>
                <w:highlight w:val="none"/>
              </w:rPr>
              <w:t>（2）环境管理体系认证证书，得2分；</w:t>
            </w:r>
          </w:p>
          <w:p>
            <w:pPr>
              <w:rPr>
                <w:rFonts w:hint="eastAsia" w:ascii="宋体" w:hAnsi="宋体" w:cs="宋体"/>
                <w:color w:val="auto"/>
                <w:sz w:val="24"/>
                <w:highlight w:val="none"/>
              </w:rPr>
            </w:pPr>
            <w:r>
              <w:rPr>
                <w:rFonts w:hint="eastAsia" w:ascii="宋体" w:hAnsi="宋体" w:cs="宋体"/>
                <w:color w:val="auto"/>
                <w:sz w:val="24"/>
                <w:highlight w:val="none"/>
              </w:rPr>
              <w:t>（3）职业健康安全管理体系认证证书，得2分。</w:t>
            </w:r>
          </w:p>
          <w:p>
            <w:pPr>
              <w:rPr>
                <w:rFonts w:hint="eastAsia" w:ascii="宋体" w:hAnsi="宋体" w:cs="宋体"/>
                <w:color w:val="auto"/>
                <w:sz w:val="24"/>
                <w:highlight w:val="none"/>
              </w:rPr>
            </w:pPr>
            <w:r>
              <w:rPr>
                <w:rFonts w:hint="eastAsia" w:ascii="宋体" w:hAnsi="宋体" w:cs="宋体"/>
                <w:color w:val="auto"/>
                <w:sz w:val="24"/>
                <w:highlight w:val="none"/>
              </w:rPr>
              <w:t>本项最高得6分。</w:t>
            </w:r>
          </w:p>
          <w:p>
            <w:pPr>
              <w:rPr>
                <w:rFonts w:hint="eastAsia" w:ascii="宋体" w:hAnsi="宋体" w:cs="宋体"/>
                <w:b/>
                <w:color w:val="auto"/>
                <w:sz w:val="24"/>
                <w:highlight w:val="none"/>
              </w:rPr>
            </w:pPr>
            <w:r>
              <w:rPr>
                <w:rFonts w:hint="eastAsia" w:ascii="宋体" w:hAnsi="宋体" w:cs="宋体"/>
                <w:b/>
                <w:color w:val="auto"/>
                <w:sz w:val="24"/>
                <w:highlight w:val="none"/>
              </w:rPr>
              <w:t>（二）评分依据：</w:t>
            </w:r>
          </w:p>
          <w:p>
            <w:pPr>
              <w:rPr>
                <w:rFonts w:hint="eastAsia" w:ascii="宋体" w:hAnsi="宋体" w:cs="宋体"/>
                <w:color w:val="auto"/>
                <w:sz w:val="24"/>
                <w:highlight w:val="none"/>
              </w:rPr>
            </w:pPr>
            <w:r>
              <w:rPr>
                <w:rFonts w:hint="eastAsia" w:ascii="宋体" w:hAnsi="宋体" w:cs="宋体"/>
                <w:color w:val="auto"/>
                <w:sz w:val="24"/>
                <w:highlight w:val="none"/>
              </w:rPr>
              <w:t>1.须同时提供有效的认证证书扫描件及认证证书在全国认证认可信息公共服务平台（认e云）查询有效的截图（http://cx.cnca.cn）；如投标人为新成立企业，且成立时间不足三个月；或投标人处于证书申请阶段，尚未过试运行的，提供情况说明或相关证明文件亦可得满分。</w:t>
            </w:r>
          </w:p>
          <w:p>
            <w:pPr>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.以上资料均要求提供扫描件，评分中出现无证明资料或证书过期或专家无法凭所提供资料判断是否得分的情况，一律作不得分处理。</w:t>
            </w:r>
          </w:p>
        </w:tc>
        <w:tc>
          <w:tcPr>
            <w:tcW w:w="750" w:type="dxa"/>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6</w:t>
            </w:r>
          </w:p>
        </w:tc>
        <w:tc>
          <w:tcPr>
            <w:tcW w:w="836" w:type="dxa"/>
            <w:vAlign w:val="center"/>
          </w:tcPr>
          <w:p>
            <w:pPr>
              <w:autoSpaceDE w:val="0"/>
              <w:autoSpaceDN w:val="0"/>
              <w:adjustRightInd w:val="0"/>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168" w:type="dxa"/>
            <w:vAlign w:val="center"/>
          </w:tcPr>
          <w:p>
            <w:pPr>
              <w:autoSpaceDE w:val="0"/>
              <w:autoSpaceDN w:val="0"/>
              <w:adjustRightInd w:val="0"/>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服务响应时间</w:t>
            </w:r>
          </w:p>
        </w:tc>
        <w:tc>
          <w:tcPr>
            <w:tcW w:w="5135" w:type="dxa"/>
            <w:vAlign w:val="center"/>
          </w:tcPr>
          <w:p>
            <w:pPr>
              <w:rPr>
                <w:rFonts w:hint="eastAsia" w:ascii="宋体" w:hAnsi="宋体" w:cs="宋体"/>
                <w:b/>
                <w:color w:val="auto"/>
                <w:sz w:val="24"/>
                <w:highlight w:val="none"/>
              </w:rPr>
            </w:pPr>
            <w:r>
              <w:rPr>
                <w:rFonts w:hint="eastAsia" w:ascii="宋体" w:hAnsi="宋体" w:cs="宋体"/>
                <w:b/>
                <w:color w:val="auto"/>
                <w:sz w:val="24"/>
                <w:highlight w:val="none"/>
              </w:rPr>
              <w:t>（一） 评分内容：</w:t>
            </w:r>
          </w:p>
          <w:p>
            <w:pPr>
              <w:rPr>
                <w:rFonts w:hint="eastAsia" w:ascii="宋体" w:hAnsi="宋体" w:cs="宋体"/>
                <w:color w:val="auto"/>
                <w:sz w:val="24"/>
                <w:highlight w:val="none"/>
              </w:rPr>
            </w:pPr>
            <w:r>
              <w:rPr>
                <w:rFonts w:hint="eastAsia" w:ascii="宋体" w:hAnsi="宋体" w:cs="宋体"/>
                <w:color w:val="auto"/>
                <w:sz w:val="24"/>
                <w:highlight w:val="none"/>
              </w:rPr>
              <w:t>1投标人接到采购人通知后1小时内（含1小时）提供现场服务的，得</w:t>
            </w:r>
            <w:r>
              <w:rPr>
                <w:rFonts w:ascii="宋体" w:hAnsi="宋体" w:cs="宋体"/>
                <w:color w:val="auto"/>
                <w:sz w:val="24"/>
                <w:highlight w:val="none"/>
              </w:rPr>
              <w:t>4</w:t>
            </w:r>
            <w:r>
              <w:rPr>
                <w:rFonts w:hint="eastAsia" w:ascii="宋体" w:hAnsi="宋体" w:cs="宋体"/>
                <w:color w:val="auto"/>
                <w:sz w:val="24"/>
                <w:highlight w:val="none"/>
              </w:rPr>
              <w:t>分；</w:t>
            </w:r>
          </w:p>
          <w:p>
            <w:pPr>
              <w:rPr>
                <w:rFonts w:hint="eastAsia" w:ascii="宋体" w:hAnsi="宋体" w:cs="宋体"/>
                <w:color w:val="auto"/>
                <w:sz w:val="24"/>
                <w:highlight w:val="none"/>
              </w:rPr>
            </w:pPr>
            <w:r>
              <w:rPr>
                <w:rFonts w:hint="eastAsia" w:ascii="宋体" w:hAnsi="宋体" w:cs="宋体"/>
                <w:color w:val="auto"/>
                <w:sz w:val="24"/>
                <w:highlight w:val="none"/>
              </w:rPr>
              <w:t>2.投标人接到采购人通知后1小时以上（不含1小时）2小时内（含2小时）提供现场服务的，得</w:t>
            </w:r>
            <w:r>
              <w:rPr>
                <w:rFonts w:ascii="宋体" w:hAnsi="宋体" w:cs="宋体"/>
                <w:color w:val="auto"/>
                <w:sz w:val="24"/>
                <w:highlight w:val="none"/>
              </w:rPr>
              <w:t>2</w:t>
            </w:r>
            <w:r>
              <w:rPr>
                <w:rFonts w:hint="eastAsia" w:ascii="宋体" w:hAnsi="宋体" w:cs="宋体"/>
                <w:color w:val="auto"/>
                <w:sz w:val="24"/>
                <w:highlight w:val="none"/>
              </w:rPr>
              <w:t>分。</w:t>
            </w:r>
          </w:p>
          <w:p>
            <w:pPr>
              <w:rPr>
                <w:rFonts w:hint="eastAsia" w:ascii="宋体" w:hAnsi="宋体" w:cs="宋体"/>
                <w:color w:val="auto"/>
                <w:sz w:val="24"/>
                <w:highlight w:val="none"/>
              </w:rPr>
            </w:pPr>
            <w:r>
              <w:rPr>
                <w:rFonts w:hint="eastAsia" w:ascii="宋体" w:hAnsi="宋体" w:cs="宋体"/>
                <w:color w:val="auto"/>
                <w:sz w:val="24"/>
                <w:highlight w:val="none"/>
              </w:rPr>
              <w:t>其余情况不得分，本项最高得</w:t>
            </w:r>
            <w:r>
              <w:rPr>
                <w:rFonts w:ascii="宋体" w:hAnsi="宋体" w:cs="宋体"/>
                <w:color w:val="auto"/>
                <w:sz w:val="24"/>
                <w:highlight w:val="none"/>
              </w:rPr>
              <w:t>4</w:t>
            </w:r>
            <w:r>
              <w:rPr>
                <w:rFonts w:hint="eastAsia" w:ascii="宋体" w:hAnsi="宋体" w:cs="宋体"/>
                <w:color w:val="auto"/>
                <w:sz w:val="24"/>
                <w:highlight w:val="none"/>
              </w:rPr>
              <w:t>分。</w:t>
            </w:r>
          </w:p>
          <w:p>
            <w:pPr>
              <w:rPr>
                <w:rFonts w:hint="eastAsia" w:ascii="宋体" w:hAnsi="宋体" w:cs="宋体"/>
                <w:b/>
                <w:color w:val="auto"/>
                <w:sz w:val="24"/>
                <w:highlight w:val="none"/>
              </w:rPr>
            </w:pPr>
            <w:r>
              <w:rPr>
                <w:rFonts w:hint="eastAsia" w:ascii="宋体" w:hAnsi="宋体" w:cs="宋体"/>
                <w:b/>
                <w:color w:val="auto"/>
                <w:sz w:val="24"/>
                <w:highlight w:val="none"/>
              </w:rPr>
              <w:t>（二）评分依据：</w:t>
            </w:r>
          </w:p>
          <w:p>
            <w:pPr>
              <w:rPr>
                <w:rFonts w:hint="eastAsia" w:ascii="宋体" w:hAnsi="宋体" w:cs="宋体"/>
                <w:color w:val="auto"/>
                <w:sz w:val="24"/>
                <w:highlight w:val="none"/>
              </w:rPr>
            </w:pPr>
            <w:r>
              <w:rPr>
                <w:rFonts w:hint="eastAsia" w:ascii="宋体" w:hAnsi="宋体" w:cs="宋体"/>
                <w:color w:val="auto"/>
                <w:sz w:val="24"/>
                <w:highlight w:val="none"/>
              </w:rPr>
              <w:t>提供服务响应时间承诺（格式自拟），未提供或提供不清晰导致无法判断的不得分。</w:t>
            </w:r>
          </w:p>
        </w:tc>
        <w:tc>
          <w:tcPr>
            <w:tcW w:w="750" w:type="dxa"/>
            <w:vAlign w:val="center"/>
          </w:tcPr>
          <w:p>
            <w:pPr>
              <w:widowControl/>
              <w:jc w:val="center"/>
              <w:textAlignment w:val="center"/>
              <w:rPr>
                <w:rFonts w:hint="eastAsia" w:ascii="宋体" w:hAnsi="宋体" w:cs="宋体"/>
                <w:color w:val="auto"/>
                <w:sz w:val="24"/>
                <w:highlight w:val="none"/>
              </w:rPr>
            </w:pPr>
            <w:r>
              <w:rPr>
                <w:rFonts w:ascii="宋体" w:hAnsi="宋体" w:cs="宋体"/>
                <w:color w:val="auto"/>
                <w:sz w:val="24"/>
                <w:highlight w:val="none"/>
              </w:rPr>
              <w:t>4</w:t>
            </w:r>
          </w:p>
        </w:tc>
        <w:tc>
          <w:tcPr>
            <w:tcW w:w="836" w:type="dxa"/>
            <w:vAlign w:val="center"/>
          </w:tcPr>
          <w:p>
            <w:pPr>
              <w:autoSpaceDE w:val="0"/>
              <w:autoSpaceDN w:val="0"/>
              <w:adjustRightInd w:val="0"/>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评审委员打分</w:t>
            </w:r>
          </w:p>
        </w:tc>
      </w:tr>
      <w:bookmarkEnd w:id="74"/>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168" w:type="dxa"/>
            <w:vAlign w:val="center"/>
          </w:tcPr>
          <w:p>
            <w:pPr>
              <w:autoSpaceDE w:val="0"/>
              <w:autoSpaceDN w:val="0"/>
              <w:adjustRightInd w:val="0"/>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诚信声明与承诺</w:t>
            </w:r>
          </w:p>
        </w:tc>
        <w:tc>
          <w:tcPr>
            <w:tcW w:w="5135" w:type="dxa"/>
            <w:vAlign w:val="center"/>
          </w:tcPr>
          <w:p>
            <w:pPr>
              <w:rPr>
                <w:rFonts w:hint="eastAsia" w:ascii="宋体" w:hAnsi="宋体" w:cs="宋体"/>
                <w:color w:val="auto"/>
                <w:sz w:val="24"/>
                <w:highlight w:val="none"/>
              </w:rPr>
            </w:pPr>
            <w:r>
              <w:rPr>
                <w:rFonts w:hint="eastAsia" w:ascii="宋体" w:hAnsi="宋体" w:cs="宋体"/>
                <w:color w:val="auto"/>
                <w:sz w:val="24"/>
                <w:highlight w:val="none"/>
              </w:rPr>
              <w:t>（一）评分内容：</w:t>
            </w:r>
          </w:p>
          <w:p>
            <w:pPr>
              <w:rPr>
                <w:rFonts w:hint="eastAsia" w:ascii="宋体" w:hAnsi="宋体" w:cs="宋体"/>
                <w:color w:val="auto"/>
                <w:sz w:val="24"/>
                <w:highlight w:val="none"/>
              </w:rPr>
            </w:pPr>
            <w:r>
              <w:rPr>
                <w:rFonts w:hint="eastAsia" w:ascii="宋体" w:hAnsi="宋体" w:cs="宋体"/>
                <w:color w:val="auto"/>
                <w:sz w:val="24"/>
                <w:highlight w:val="none"/>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满分。</w:t>
            </w:r>
          </w:p>
          <w:p>
            <w:pPr>
              <w:rPr>
                <w:rFonts w:hint="eastAsia" w:ascii="宋体" w:hAnsi="宋体" w:cs="宋体"/>
                <w:color w:val="auto"/>
                <w:sz w:val="24"/>
                <w:highlight w:val="none"/>
              </w:rPr>
            </w:pPr>
            <w:r>
              <w:rPr>
                <w:rFonts w:hint="eastAsia" w:ascii="宋体" w:hAnsi="宋体" w:cs="宋体"/>
                <w:color w:val="auto"/>
                <w:sz w:val="24"/>
                <w:highlight w:val="none"/>
              </w:rPr>
              <w:t>（二）评分依据：</w:t>
            </w:r>
          </w:p>
          <w:p>
            <w:pP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1、投标人提供诚信声明与承诺加盖公章；</w:t>
            </w:r>
          </w:p>
          <w:p>
            <w:pP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采购代理机构通过信用信息查询渠道，包括“信用中国”（www.creditchina.gov.cn）、“中国政府采购网”（www.ccgp.gov.cn）、“深圳市政府采购监管网”（http://zfcg.sz.gov.cn）以及市、区财政部门认定的其他渠道查询供应商信用信息</w:t>
            </w:r>
            <w:r>
              <w:rPr>
                <w:rFonts w:hint="eastAsia" w:ascii="宋体" w:hAnsi="宋体" w:cs="宋体"/>
                <w:color w:val="auto"/>
                <w:sz w:val="24"/>
                <w:highlight w:val="none"/>
              </w:rPr>
              <w:t>。</w:t>
            </w:r>
          </w:p>
        </w:tc>
        <w:tc>
          <w:tcPr>
            <w:tcW w:w="750" w:type="dxa"/>
            <w:vAlign w:val="center"/>
          </w:tcPr>
          <w:p>
            <w:pPr>
              <w:autoSpaceDE w:val="0"/>
              <w:autoSpaceDN w:val="0"/>
              <w:adjustRightInd w:val="0"/>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836" w:type="dxa"/>
            <w:vAlign w:val="center"/>
          </w:tcPr>
          <w:p>
            <w:pPr>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8611" w:type="dxa"/>
            <w:gridSpan w:val="5"/>
            <w:shd w:val="clear" w:color="auto" w:fill="D9D9D9"/>
            <w:vAlign w:val="center"/>
          </w:tcPr>
          <w:p>
            <w:pPr>
              <w:autoSpaceDE w:val="0"/>
              <w:autoSpaceDN w:val="0"/>
              <w:adjustRightInd w:val="0"/>
              <w:jc w:val="center"/>
              <w:rPr>
                <w:rFonts w:hint="eastAsia" w:ascii="宋体" w:hAnsi="宋体" w:cs="宋体"/>
                <w:b/>
                <w:color w:val="auto"/>
                <w:sz w:val="24"/>
                <w:highlight w:val="none"/>
                <w:lang w:val="zh-CN"/>
              </w:rPr>
            </w:pPr>
            <w:r>
              <w:rPr>
                <w:rFonts w:hint="eastAsia" w:ascii="宋体" w:hAnsi="宋体" w:cs="宋体"/>
                <w:b/>
                <w:color w:val="auto"/>
                <w:sz w:val="24"/>
                <w:highlight w:val="none"/>
                <w:lang w:val="zh-CN"/>
              </w:rPr>
              <w:t>三、技术部分（</w:t>
            </w:r>
            <w:r>
              <w:rPr>
                <w:rFonts w:hint="eastAsia" w:ascii="宋体" w:hAnsi="宋体" w:cs="宋体"/>
                <w:b/>
                <w:color w:val="auto"/>
                <w:sz w:val="24"/>
                <w:highlight w:val="none"/>
              </w:rPr>
              <w:t>5</w:t>
            </w:r>
            <w:r>
              <w:rPr>
                <w:rFonts w:ascii="宋体" w:hAnsi="宋体" w:cs="宋体"/>
                <w:b/>
                <w:color w:val="auto"/>
                <w:sz w:val="24"/>
                <w:highlight w:val="none"/>
              </w:rPr>
              <w:t>7</w:t>
            </w:r>
            <w:r>
              <w:rPr>
                <w:rFonts w:hint="eastAsia" w:ascii="宋体" w:hAnsi="宋体" w:cs="宋体"/>
                <w:b/>
                <w:color w:val="auto"/>
                <w:sz w:val="24"/>
                <w:highlight w:val="none"/>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jc w:val="center"/>
              <w:rPr>
                <w:rFonts w:hint="eastAsia" w:ascii="宋体" w:hAnsi="宋体" w:cs="宋体"/>
                <w:color w:val="auto"/>
                <w:sz w:val="24"/>
                <w:highlight w:val="none"/>
              </w:rPr>
            </w:pPr>
            <w:r>
              <w:rPr>
                <w:rFonts w:hint="eastAsia" w:ascii="宋体" w:hAnsi="宋体" w:cs="宋体"/>
                <w:color w:val="auto"/>
                <w:sz w:val="24"/>
                <w:highlight w:val="none"/>
                <w:lang w:val="zh-CN"/>
              </w:rPr>
              <w:t>序号</w:t>
            </w:r>
          </w:p>
        </w:tc>
        <w:tc>
          <w:tcPr>
            <w:tcW w:w="1168" w:type="dxa"/>
            <w:vAlign w:val="center"/>
          </w:tcPr>
          <w:p>
            <w:pPr>
              <w:autoSpaceDE w:val="0"/>
              <w:autoSpaceDN w:val="0"/>
              <w:adjustRightInd w:val="0"/>
              <w:jc w:val="center"/>
              <w:rPr>
                <w:rFonts w:hint="eastAsia" w:ascii="宋体" w:hAnsi="宋体" w:cs="宋体"/>
                <w:color w:val="auto"/>
                <w:sz w:val="24"/>
                <w:highlight w:val="none"/>
              </w:rPr>
            </w:pPr>
            <w:r>
              <w:rPr>
                <w:rFonts w:hint="eastAsia" w:ascii="宋体" w:hAnsi="宋体" w:cs="宋体"/>
                <w:color w:val="auto"/>
                <w:sz w:val="24"/>
                <w:highlight w:val="none"/>
                <w:lang w:val="zh-CN"/>
              </w:rPr>
              <w:t>内容</w:t>
            </w:r>
          </w:p>
        </w:tc>
        <w:tc>
          <w:tcPr>
            <w:tcW w:w="5135" w:type="dxa"/>
            <w:vAlign w:val="center"/>
          </w:tcPr>
          <w:p>
            <w:pPr>
              <w:autoSpaceDE w:val="0"/>
              <w:autoSpaceDN w:val="0"/>
              <w:adjustRightInd w:val="0"/>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评分规则</w:t>
            </w:r>
          </w:p>
        </w:tc>
        <w:tc>
          <w:tcPr>
            <w:tcW w:w="750" w:type="dxa"/>
            <w:vAlign w:val="center"/>
          </w:tcPr>
          <w:p>
            <w:pPr>
              <w:autoSpaceDE w:val="0"/>
              <w:autoSpaceDN w:val="0"/>
              <w:adjustRightInd w:val="0"/>
              <w:jc w:val="center"/>
              <w:rPr>
                <w:rFonts w:hint="eastAsia" w:ascii="宋体" w:hAnsi="宋体" w:cs="宋体"/>
                <w:color w:val="auto"/>
                <w:sz w:val="24"/>
                <w:highlight w:val="none"/>
                <w:lang w:val="zh-CN"/>
              </w:rPr>
            </w:pPr>
            <w:r>
              <w:rPr>
                <w:rFonts w:hint="eastAsia" w:ascii="宋体" w:hAnsi="宋体" w:cs="宋体"/>
                <w:color w:val="auto"/>
                <w:sz w:val="24"/>
                <w:highlight w:val="none"/>
              </w:rPr>
              <w:t>权重</w:t>
            </w:r>
          </w:p>
        </w:tc>
        <w:tc>
          <w:tcPr>
            <w:tcW w:w="836" w:type="dxa"/>
            <w:vAlign w:val="center"/>
          </w:tcPr>
          <w:p>
            <w:pPr>
              <w:autoSpaceDE w:val="0"/>
              <w:autoSpaceDN w:val="0"/>
              <w:adjustRightInd w:val="0"/>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168" w:type="dxa"/>
            <w:vAlign w:val="center"/>
          </w:tcPr>
          <w:p>
            <w:pPr>
              <w:autoSpaceDE w:val="0"/>
              <w:autoSpaceDN w:val="0"/>
              <w:adjustRightInd w:val="0"/>
              <w:jc w:val="center"/>
              <w:rPr>
                <w:rFonts w:hint="eastAsia" w:ascii="宋体" w:hAnsi="宋体" w:cs="宋体"/>
                <w:color w:val="auto"/>
                <w:sz w:val="24"/>
                <w:highlight w:val="none"/>
                <w:lang w:val="zh-CN"/>
              </w:rPr>
            </w:pPr>
            <w:r>
              <w:rPr>
                <w:rFonts w:hint="eastAsia" w:ascii="宋体" w:hAnsi="宋体" w:cs="宋体"/>
                <w:color w:val="auto"/>
                <w:kern w:val="0"/>
                <w:sz w:val="24"/>
                <w:highlight w:val="none"/>
              </w:rPr>
              <w:t>项目实施方案</w:t>
            </w:r>
          </w:p>
        </w:tc>
        <w:tc>
          <w:tcPr>
            <w:tcW w:w="5135" w:type="dxa"/>
            <w:vAlign w:val="center"/>
          </w:tcPr>
          <w:p>
            <w:pPr>
              <w:rPr>
                <w:rFonts w:hint="eastAsia" w:ascii="宋体" w:hAnsi="宋体" w:cs="宋体"/>
                <w:b/>
                <w:color w:val="auto"/>
                <w:sz w:val="24"/>
                <w:highlight w:val="none"/>
              </w:rPr>
            </w:pPr>
            <w:r>
              <w:rPr>
                <w:rFonts w:hint="eastAsia" w:ascii="宋体" w:hAnsi="宋体" w:cs="宋体"/>
                <w:b/>
                <w:color w:val="auto"/>
                <w:sz w:val="24"/>
                <w:highlight w:val="none"/>
              </w:rPr>
              <w:t>（一）评分内容：</w:t>
            </w:r>
          </w:p>
          <w:p>
            <w:pPr>
              <w:rPr>
                <w:rFonts w:hint="eastAsia" w:ascii="宋体" w:hAnsi="宋体" w:cs="宋体"/>
                <w:bCs/>
                <w:color w:val="auto"/>
                <w:sz w:val="24"/>
                <w:highlight w:val="none"/>
              </w:rPr>
            </w:pPr>
            <w:r>
              <w:rPr>
                <w:rFonts w:hint="eastAsia" w:ascii="宋体" w:hAnsi="宋体" w:cs="宋体"/>
                <w:bCs/>
                <w:color w:val="auto"/>
                <w:sz w:val="24"/>
                <w:highlight w:val="none"/>
              </w:rPr>
              <w:t>评委会根据投标单位关于项目实施方案进行打分：</w:t>
            </w:r>
          </w:p>
          <w:p>
            <w:pPr>
              <w:rPr>
                <w:rFonts w:hint="eastAsia" w:ascii="宋体" w:hAnsi="宋体" w:cs="宋体"/>
                <w:color w:val="auto"/>
                <w:sz w:val="24"/>
                <w:highlight w:val="none"/>
              </w:rPr>
            </w:pPr>
            <w:r>
              <w:rPr>
                <w:rFonts w:hint="eastAsia" w:ascii="宋体" w:hAnsi="宋体" w:cs="宋体"/>
                <w:color w:val="auto"/>
                <w:sz w:val="24"/>
                <w:highlight w:val="none"/>
              </w:rPr>
              <w:t>1.建设要求；</w:t>
            </w:r>
          </w:p>
          <w:p>
            <w:pPr>
              <w:rPr>
                <w:rFonts w:hint="eastAsia" w:ascii="宋体" w:hAnsi="宋体" w:cs="宋体"/>
                <w:color w:val="auto"/>
                <w:sz w:val="24"/>
                <w:highlight w:val="none"/>
              </w:rPr>
            </w:pPr>
            <w:r>
              <w:rPr>
                <w:rFonts w:hint="eastAsia" w:ascii="宋体" w:hAnsi="宋体" w:cs="宋体"/>
                <w:color w:val="auto"/>
                <w:sz w:val="24"/>
                <w:highlight w:val="none"/>
              </w:rPr>
              <w:t>2.工作措施；</w:t>
            </w:r>
          </w:p>
          <w:p>
            <w:pPr>
              <w:rPr>
                <w:rFonts w:hint="eastAsia" w:ascii="宋体" w:hAnsi="宋体" w:cs="宋体"/>
                <w:color w:val="auto"/>
                <w:sz w:val="24"/>
                <w:highlight w:val="none"/>
              </w:rPr>
            </w:pPr>
            <w:r>
              <w:rPr>
                <w:rFonts w:hint="eastAsia" w:ascii="宋体" w:hAnsi="宋体" w:cs="宋体"/>
                <w:color w:val="auto"/>
                <w:sz w:val="24"/>
                <w:highlight w:val="none"/>
              </w:rPr>
              <w:t>3.工作方案；</w:t>
            </w:r>
          </w:p>
          <w:p>
            <w:pPr>
              <w:rPr>
                <w:rFonts w:hint="eastAsia" w:ascii="宋体" w:hAnsi="宋体" w:cs="宋体"/>
                <w:color w:val="auto"/>
                <w:sz w:val="24"/>
                <w:highlight w:val="none"/>
              </w:rPr>
            </w:pPr>
            <w:r>
              <w:rPr>
                <w:rFonts w:hint="eastAsia" w:ascii="宋体" w:hAnsi="宋体" w:cs="宋体"/>
                <w:color w:val="auto"/>
                <w:sz w:val="24"/>
                <w:highlight w:val="none"/>
              </w:rPr>
              <w:t>4.工作手段；</w:t>
            </w:r>
          </w:p>
          <w:p>
            <w:pPr>
              <w:rPr>
                <w:rFonts w:hint="eastAsia" w:ascii="宋体" w:hAnsi="宋体" w:cs="宋体"/>
                <w:color w:val="auto"/>
                <w:sz w:val="24"/>
                <w:highlight w:val="none"/>
              </w:rPr>
            </w:pPr>
            <w:r>
              <w:rPr>
                <w:rFonts w:hint="eastAsia" w:ascii="宋体" w:hAnsi="宋体" w:cs="宋体"/>
                <w:color w:val="auto"/>
                <w:sz w:val="24"/>
                <w:highlight w:val="none"/>
              </w:rPr>
              <w:t>5.工作流程。</w:t>
            </w:r>
          </w:p>
          <w:p>
            <w:pPr>
              <w:rPr>
                <w:rFonts w:hint="eastAsia" w:ascii="宋体" w:hAnsi="宋体" w:cs="宋体"/>
                <w:b/>
                <w:color w:val="auto"/>
                <w:sz w:val="24"/>
                <w:highlight w:val="none"/>
              </w:rPr>
            </w:pPr>
            <w:r>
              <w:rPr>
                <w:rFonts w:hint="eastAsia" w:ascii="宋体" w:hAnsi="宋体" w:cs="宋体"/>
                <w:b/>
                <w:color w:val="auto"/>
                <w:sz w:val="24"/>
                <w:highlight w:val="none"/>
              </w:rPr>
              <w:t>（二）评分依据：</w:t>
            </w:r>
          </w:p>
          <w:p>
            <w:pPr>
              <w:rPr>
                <w:rFonts w:hint="eastAsia" w:ascii="宋体" w:hAnsi="宋体" w:cs="宋体"/>
                <w:color w:val="auto"/>
                <w:sz w:val="24"/>
                <w:highlight w:val="none"/>
              </w:rPr>
            </w:pPr>
            <w:r>
              <w:rPr>
                <w:rFonts w:hint="eastAsia" w:ascii="宋体" w:hAnsi="宋体" w:cs="宋体"/>
                <w:color w:val="auto"/>
                <w:sz w:val="24"/>
                <w:highlight w:val="none"/>
              </w:rPr>
              <w:t>提供的方案满足上述五点的5分，满足任意四点的得4分，满足任意三点的得3分，满足任意二点的得2分，满足任意一点的得1分，未满足不得分。</w:t>
            </w:r>
          </w:p>
          <w:p>
            <w:pPr>
              <w:rPr>
                <w:rFonts w:hint="eastAsia" w:ascii="宋体" w:hAnsi="宋体" w:eastAsia="宋体" w:cs="宋体"/>
                <w:color w:val="auto"/>
                <w:sz w:val="24"/>
                <w:highlight w:val="none"/>
                <w:lang w:eastAsia="zh-CN"/>
              </w:rPr>
            </w:pPr>
            <w:r>
              <w:rPr>
                <w:rFonts w:hint="eastAsia" w:ascii="宋体" w:hAnsi="宋体" w:cs="宋体"/>
                <w:color w:val="auto"/>
                <w:sz w:val="24"/>
                <w:highlight w:val="none"/>
              </w:rPr>
              <w:t>在此基础上，专家根据内容的合理性进行评分</w:t>
            </w:r>
            <w:r>
              <w:rPr>
                <w:rFonts w:hint="eastAsia" w:ascii="宋体" w:hAnsi="宋体" w:cs="宋体"/>
                <w:color w:val="auto"/>
                <w:sz w:val="24"/>
                <w:highlight w:val="none"/>
                <w:lang w:eastAsia="zh-CN"/>
              </w:rPr>
              <w:t>：</w:t>
            </w:r>
          </w:p>
          <w:p>
            <w:pPr>
              <w:rPr>
                <w:rFonts w:hint="eastAsia" w:ascii="宋体" w:hAnsi="宋体" w:cs="宋体"/>
                <w:color w:val="auto"/>
                <w:sz w:val="24"/>
                <w:highlight w:val="none"/>
              </w:rPr>
            </w:pPr>
            <w:r>
              <w:rPr>
                <w:rFonts w:hint="eastAsia" w:ascii="宋体" w:hAnsi="宋体" w:cs="宋体"/>
                <w:color w:val="auto"/>
                <w:sz w:val="24"/>
                <w:highlight w:val="none"/>
              </w:rPr>
              <w:t>优评分标准</w:t>
            </w:r>
            <w:r>
              <w:rPr>
                <w:rFonts w:hint="eastAsia" w:ascii="宋体" w:hAnsi="宋体" w:cs="宋体"/>
                <w:color w:val="auto"/>
                <w:sz w:val="24"/>
                <w:highlight w:val="none"/>
                <w:lang w:eastAsia="zh-CN"/>
              </w:rPr>
              <w:t>：</w:t>
            </w:r>
            <w:r>
              <w:rPr>
                <w:rFonts w:hint="eastAsia" w:ascii="宋体" w:hAnsi="宋体" w:cs="宋体"/>
                <w:color w:val="auto"/>
                <w:sz w:val="24"/>
                <w:highlight w:val="none"/>
              </w:rPr>
              <w:t>方案符合实际、完整、规范、思路清晰，内容合理性强，得5分；</w:t>
            </w:r>
          </w:p>
          <w:p>
            <w:pPr>
              <w:rPr>
                <w:rFonts w:hint="eastAsia" w:ascii="宋体" w:hAnsi="宋体" w:cs="宋体"/>
                <w:color w:val="auto"/>
                <w:sz w:val="24"/>
                <w:highlight w:val="none"/>
              </w:rPr>
            </w:pPr>
            <w:r>
              <w:rPr>
                <w:rFonts w:hint="eastAsia" w:ascii="宋体" w:hAnsi="宋体" w:cs="宋体"/>
                <w:color w:val="auto"/>
                <w:sz w:val="24"/>
                <w:highlight w:val="none"/>
              </w:rPr>
              <w:t>良评分标准</w:t>
            </w:r>
            <w:r>
              <w:rPr>
                <w:rFonts w:hint="eastAsia" w:ascii="宋体" w:hAnsi="宋体" w:cs="宋体"/>
                <w:color w:val="auto"/>
                <w:sz w:val="24"/>
                <w:highlight w:val="none"/>
                <w:lang w:eastAsia="zh-CN"/>
              </w:rPr>
              <w:t>：</w:t>
            </w:r>
            <w:r>
              <w:rPr>
                <w:rFonts w:hint="eastAsia" w:ascii="宋体" w:hAnsi="宋体" w:cs="宋体"/>
                <w:color w:val="auto"/>
                <w:sz w:val="24"/>
                <w:highlight w:val="none"/>
              </w:rPr>
              <w:t>方案较符合实际、较完整规范、思路较清晰，内容合理性较强，得3分；</w:t>
            </w:r>
          </w:p>
          <w:p>
            <w:pPr>
              <w:rPr>
                <w:rFonts w:hint="eastAsia" w:ascii="宋体" w:hAnsi="宋体" w:cs="宋体"/>
                <w:color w:val="auto"/>
                <w:sz w:val="24"/>
                <w:highlight w:val="none"/>
              </w:rPr>
            </w:pPr>
            <w:r>
              <w:rPr>
                <w:rFonts w:hint="eastAsia" w:ascii="宋体" w:hAnsi="宋体" w:cs="宋体"/>
                <w:color w:val="auto"/>
                <w:sz w:val="24"/>
                <w:highlight w:val="none"/>
              </w:rPr>
              <w:t>中评分标准</w:t>
            </w:r>
            <w:r>
              <w:rPr>
                <w:rFonts w:hint="eastAsia" w:ascii="宋体" w:hAnsi="宋体" w:cs="宋体"/>
                <w:color w:val="auto"/>
                <w:sz w:val="24"/>
                <w:highlight w:val="none"/>
                <w:lang w:eastAsia="zh-CN"/>
              </w:rPr>
              <w:t>：</w:t>
            </w:r>
            <w:r>
              <w:rPr>
                <w:rFonts w:hint="eastAsia" w:ascii="宋体" w:hAnsi="宋体" w:cs="宋体"/>
                <w:color w:val="auto"/>
                <w:sz w:val="24"/>
                <w:highlight w:val="none"/>
              </w:rPr>
              <w:t>方案较普通、完整性规范性一般，思路不够清晰，内容合理性一般，得1分；</w:t>
            </w:r>
          </w:p>
          <w:p>
            <w:pPr>
              <w:rPr>
                <w:rFonts w:hint="eastAsia" w:ascii="宋体" w:hAnsi="宋体" w:cs="宋体"/>
                <w:color w:val="auto"/>
                <w:sz w:val="24"/>
                <w:highlight w:val="none"/>
              </w:rPr>
            </w:pPr>
            <w:r>
              <w:rPr>
                <w:rFonts w:hint="eastAsia" w:ascii="宋体" w:hAnsi="宋体" w:cs="宋体"/>
                <w:color w:val="auto"/>
                <w:sz w:val="24"/>
                <w:highlight w:val="none"/>
              </w:rPr>
              <w:t>差评分标准：方案不完整、不规范，思路不清晰，内容合理性较差或未提供的，不得分。</w:t>
            </w:r>
          </w:p>
        </w:tc>
        <w:tc>
          <w:tcPr>
            <w:tcW w:w="750"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836" w:type="dxa"/>
            <w:vAlign w:val="center"/>
          </w:tcPr>
          <w:p>
            <w:pPr>
              <w:autoSpaceDE w:val="0"/>
              <w:autoSpaceDN w:val="0"/>
              <w:adjustRightInd w:val="0"/>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jc w:val="center"/>
              <w:rPr>
                <w:rFonts w:hint="eastAsia" w:ascii="宋体" w:hAnsi="宋体" w:cs="宋体"/>
                <w:color w:val="auto"/>
                <w:sz w:val="24"/>
                <w:highlight w:val="none"/>
                <w:lang w:val="zh-CN"/>
              </w:rPr>
            </w:pPr>
            <w:r>
              <w:rPr>
                <w:rFonts w:hint="eastAsia" w:ascii="宋体" w:hAnsi="宋体" w:cs="宋体"/>
                <w:color w:val="auto"/>
                <w:sz w:val="24"/>
                <w:highlight w:val="none"/>
              </w:rPr>
              <w:t>2</w:t>
            </w:r>
          </w:p>
        </w:tc>
        <w:tc>
          <w:tcPr>
            <w:tcW w:w="1168" w:type="dxa"/>
            <w:vAlign w:val="center"/>
          </w:tcPr>
          <w:p>
            <w:pPr>
              <w:autoSpaceDE w:val="0"/>
              <w:autoSpaceDN w:val="0"/>
              <w:adjustRightInd w:val="0"/>
              <w:jc w:val="center"/>
              <w:rPr>
                <w:rFonts w:hint="eastAsia" w:ascii="宋体" w:hAnsi="宋体" w:cs="宋体"/>
                <w:color w:val="auto"/>
                <w:sz w:val="24"/>
                <w:highlight w:val="none"/>
                <w:lang w:val="zh-CN"/>
              </w:rPr>
            </w:pPr>
            <w:r>
              <w:rPr>
                <w:rFonts w:hint="eastAsia" w:ascii="宋体" w:hAnsi="宋体" w:cs="宋体"/>
                <w:color w:val="auto"/>
                <w:sz w:val="24"/>
                <w:highlight w:val="none"/>
              </w:rPr>
              <w:t>项目重点难点分析、应对措施及相关的合理化建议</w:t>
            </w:r>
          </w:p>
        </w:tc>
        <w:tc>
          <w:tcPr>
            <w:tcW w:w="5135" w:type="dxa"/>
            <w:vAlign w:val="center"/>
          </w:tcPr>
          <w:p>
            <w:pPr>
              <w:rPr>
                <w:rFonts w:hint="eastAsia" w:ascii="宋体" w:hAnsi="宋体" w:cs="宋体"/>
                <w:b/>
                <w:color w:val="auto"/>
                <w:sz w:val="24"/>
                <w:highlight w:val="none"/>
              </w:rPr>
            </w:pPr>
            <w:r>
              <w:rPr>
                <w:rFonts w:hint="eastAsia" w:ascii="宋体" w:hAnsi="宋体" w:cs="宋体"/>
                <w:b/>
                <w:color w:val="auto"/>
                <w:sz w:val="24"/>
                <w:highlight w:val="none"/>
              </w:rPr>
              <w:t>（一）评分内容：</w:t>
            </w:r>
          </w:p>
          <w:p>
            <w:pPr>
              <w:rPr>
                <w:rFonts w:hint="eastAsia" w:ascii="宋体" w:hAnsi="宋体" w:cs="宋体"/>
                <w:color w:val="auto"/>
                <w:sz w:val="24"/>
                <w:highlight w:val="none"/>
              </w:rPr>
            </w:pPr>
            <w:r>
              <w:rPr>
                <w:rFonts w:hint="eastAsia" w:ascii="宋体" w:hAnsi="宋体" w:cs="宋体"/>
                <w:color w:val="auto"/>
                <w:sz w:val="24"/>
                <w:highlight w:val="none"/>
              </w:rPr>
              <w:t>评委会根据投标单位关于项目重点难点分析、应对措施及相关的合理化建议进行打分：</w:t>
            </w:r>
          </w:p>
          <w:p>
            <w:pPr>
              <w:rPr>
                <w:rFonts w:hint="eastAsia" w:ascii="宋体" w:hAnsi="宋体" w:cs="宋体"/>
                <w:color w:val="auto"/>
                <w:sz w:val="24"/>
                <w:highlight w:val="none"/>
              </w:rPr>
            </w:pPr>
            <w:r>
              <w:rPr>
                <w:rFonts w:hint="eastAsia" w:ascii="宋体" w:hAnsi="宋体" w:cs="宋体"/>
                <w:color w:val="auto"/>
                <w:sz w:val="24"/>
                <w:highlight w:val="none"/>
              </w:rPr>
              <w:t>（1）重点问题分析；</w:t>
            </w:r>
          </w:p>
          <w:p>
            <w:pPr>
              <w:rPr>
                <w:rFonts w:hint="eastAsia" w:ascii="宋体" w:hAnsi="宋体" w:cs="宋体"/>
                <w:color w:val="auto"/>
                <w:sz w:val="24"/>
                <w:highlight w:val="none"/>
              </w:rPr>
            </w:pPr>
            <w:r>
              <w:rPr>
                <w:rFonts w:hint="eastAsia" w:ascii="宋体" w:hAnsi="宋体" w:cs="宋体"/>
                <w:color w:val="auto"/>
                <w:sz w:val="24"/>
                <w:highlight w:val="none"/>
              </w:rPr>
              <w:t>（2）难点问题分析；</w:t>
            </w:r>
          </w:p>
          <w:p>
            <w:pPr>
              <w:rPr>
                <w:rFonts w:hint="eastAsia" w:ascii="宋体" w:hAnsi="宋体" w:cs="宋体"/>
                <w:color w:val="auto"/>
                <w:sz w:val="24"/>
                <w:highlight w:val="none"/>
              </w:rPr>
            </w:pPr>
            <w:r>
              <w:rPr>
                <w:rFonts w:hint="eastAsia" w:ascii="宋体" w:hAnsi="宋体" w:cs="宋体"/>
                <w:color w:val="auto"/>
                <w:sz w:val="24"/>
                <w:highlight w:val="none"/>
              </w:rPr>
              <w:t>（3）针对性的工作计划；</w:t>
            </w:r>
          </w:p>
          <w:p>
            <w:pPr>
              <w:rPr>
                <w:rFonts w:hint="eastAsia" w:ascii="宋体" w:hAnsi="宋体" w:cs="宋体"/>
                <w:color w:val="auto"/>
                <w:sz w:val="24"/>
                <w:highlight w:val="none"/>
              </w:rPr>
            </w:pPr>
            <w:r>
              <w:rPr>
                <w:rFonts w:hint="eastAsia" w:ascii="宋体" w:hAnsi="宋体" w:cs="宋体"/>
                <w:color w:val="auto"/>
                <w:sz w:val="24"/>
                <w:highlight w:val="none"/>
              </w:rPr>
              <w:t>（4）针对性的对策和策略。</w:t>
            </w:r>
          </w:p>
          <w:p>
            <w:pPr>
              <w:rPr>
                <w:rFonts w:hint="eastAsia" w:ascii="宋体" w:hAnsi="宋体" w:cs="宋体"/>
                <w:b/>
                <w:color w:val="auto"/>
                <w:sz w:val="24"/>
                <w:highlight w:val="none"/>
              </w:rPr>
            </w:pPr>
            <w:r>
              <w:rPr>
                <w:rFonts w:hint="eastAsia" w:ascii="宋体" w:hAnsi="宋体" w:cs="宋体"/>
                <w:b/>
                <w:color w:val="auto"/>
                <w:sz w:val="24"/>
                <w:highlight w:val="none"/>
              </w:rPr>
              <w:t>（二）评分依据：</w:t>
            </w:r>
          </w:p>
          <w:p>
            <w:pPr>
              <w:rPr>
                <w:rFonts w:hint="eastAsia" w:ascii="宋体" w:hAnsi="宋体" w:cs="宋体"/>
                <w:color w:val="auto"/>
                <w:sz w:val="24"/>
                <w:highlight w:val="none"/>
              </w:rPr>
            </w:pPr>
            <w:r>
              <w:rPr>
                <w:rFonts w:hint="eastAsia" w:ascii="宋体" w:hAnsi="宋体" w:cs="宋体"/>
                <w:color w:val="auto"/>
                <w:sz w:val="24"/>
                <w:highlight w:val="none"/>
              </w:rPr>
              <w:t>提供的方案满足上述四点的5分，满足任意三点的得4分，满足任意二点的得3分，满足任意一点的得2分，未满足不得分。</w:t>
            </w:r>
          </w:p>
          <w:p>
            <w:pPr>
              <w:rPr>
                <w:rFonts w:hint="eastAsia" w:ascii="宋体" w:hAnsi="宋体" w:eastAsia="宋体" w:cs="宋体"/>
                <w:color w:val="auto"/>
                <w:sz w:val="24"/>
                <w:highlight w:val="none"/>
                <w:lang w:eastAsia="zh-CN"/>
              </w:rPr>
            </w:pPr>
            <w:r>
              <w:rPr>
                <w:rFonts w:hint="eastAsia" w:ascii="宋体" w:hAnsi="宋体" w:cs="宋体"/>
                <w:color w:val="auto"/>
                <w:sz w:val="24"/>
                <w:highlight w:val="none"/>
              </w:rPr>
              <w:t>在此基础上，专家根据内容的合理性进行评分</w:t>
            </w:r>
            <w:r>
              <w:rPr>
                <w:rFonts w:hint="eastAsia" w:ascii="宋体" w:hAnsi="宋体" w:cs="宋体"/>
                <w:color w:val="auto"/>
                <w:sz w:val="24"/>
                <w:highlight w:val="none"/>
                <w:lang w:eastAsia="zh-CN"/>
              </w:rPr>
              <w:t>：</w:t>
            </w:r>
          </w:p>
          <w:p>
            <w:pPr>
              <w:rPr>
                <w:rFonts w:hint="eastAsia" w:ascii="宋体" w:hAnsi="宋体" w:cs="宋体"/>
                <w:color w:val="auto"/>
                <w:sz w:val="24"/>
                <w:highlight w:val="none"/>
              </w:rPr>
            </w:pPr>
            <w:r>
              <w:rPr>
                <w:rFonts w:hint="eastAsia" w:ascii="宋体" w:hAnsi="宋体" w:cs="宋体"/>
                <w:color w:val="auto"/>
                <w:sz w:val="24"/>
                <w:highlight w:val="none"/>
              </w:rPr>
              <w:t>优评分标准</w:t>
            </w:r>
            <w:r>
              <w:rPr>
                <w:rFonts w:hint="eastAsia" w:ascii="宋体" w:hAnsi="宋体" w:cs="宋体"/>
                <w:color w:val="auto"/>
                <w:sz w:val="24"/>
                <w:highlight w:val="none"/>
                <w:lang w:eastAsia="zh-CN"/>
              </w:rPr>
              <w:t>：</w:t>
            </w:r>
            <w:r>
              <w:rPr>
                <w:rFonts w:hint="eastAsia" w:ascii="宋体" w:hAnsi="宋体" w:cs="宋体"/>
                <w:color w:val="auto"/>
                <w:sz w:val="24"/>
                <w:highlight w:val="none"/>
              </w:rPr>
              <w:t>方案符合实际、完整、规范、思路清晰，内容合理性强，得5分；</w:t>
            </w:r>
          </w:p>
          <w:p>
            <w:pPr>
              <w:rPr>
                <w:rFonts w:hint="eastAsia" w:ascii="宋体" w:hAnsi="宋体" w:cs="宋体"/>
                <w:color w:val="auto"/>
                <w:sz w:val="24"/>
                <w:highlight w:val="none"/>
              </w:rPr>
            </w:pPr>
            <w:r>
              <w:rPr>
                <w:rFonts w:hint="eastAsia" w:ascii="宋体" w:hAnsi="宋体" w:cs="宋体"/>
                <w:color w:val="auto"/>
                <w:sz w:val="24"/>
                <w:highlight w:val="none"/>
              </w:rPr>
              <w:t>良评分标准</w:t>
            </w:r>
            <w:r>
              <w:rPr>
                <w:rFonts w:hint="eastAsia" w:ascii="宋体" w:hAnsi="宋体" w:cs="宋体"/>
                <w:color w:val="auto"/>
                <w:sz w:val="24"/>
                <w:highlight w:val="none"/>
                <w:lang w:eastAsia="zh-CN"/>
              </w:rPr>
              <w:t>：</w:t>
            </w:r>
            <w:r>
              <w:rPr>
                <w:rFonts w:hint="eastAsia" w:ascii="宋体" w:hAnsi="宋体" w:cs="宋体"/>
                <w:color w:val="auto"/>
                <w:sz w:val="24"/>
                <w:highlight w:val="none"/>
              </w:rPr>
              <w:t>方案较符合实际、较完整规范、思路较清晰，内容合理性较强，得3分；</w:t>
            </w:r>
          </w:p>
          <w:p>
            <w:pPr>
              <w:rPr>
                <w:rFonts w:hint="eastAsia" w:ascii="宋体" w:hAnsi="宋体" w:cs="宋体"/>
                <w:color w:val="auto"/>
                <w:sz w:val="24"/>
                <w:highlight w:val="none"/>
              </w:rPr>
            </w:pPr>
            <w:r>
              <w:rPr>
                <w:rFonts w:hint="eastAsia" w:ascii="宋体" w:hAnsi="宋体" w:cs="宋体"/>
                <w:color w:val="auto"/>
                <w:sz w:val="24"/>
                <w:highlight w:val="none"/>
              </w:rPr>
              <w:t>中评分标准</w:t>
            </w:r>
            <w:r>
              <w:rPr>
                <w:rFonts w:hint="eastAsia" w:ascii="宋体" w:hAnsi="宋体" w:cs="宋体"/>
                <w:color w:val="auto"/>
                <w:sz w:val="24"/>
                <w:highlight w:val="none"/>
                <w:lang w:eastAsia="zh-CN"/>
              </w:rPr>
              <w:t>：</w:t>
            </w:r>
            <w:r>
              <w:rPr>
                <w:rFonts w:hint="eastAsia" w:ascii="宋体" w:hAnsi="宋体" w:cs="宋体"/>
                <w:color w:val="auto"/>
                <w:sz w:val="24"/>
                <w:highlight w:val="none"/>
              </w:rPr>
              <w:t>方案较普通、完整性规范性一般，思路不够清晰，内容合理性一般，得1分；</w:t>
            </w:r>
          </w:p>
          <w:p>
            <w:pPr>
              <w:rPr>
                <w:rFonts w:hint="eastAsia" w:ascii="宋体" w:hAnsi="宋体" w:cs="宋体"/>
                <w:color w:val="auto"/>
                <w:sz w:val="24"/>
                <w:highlight w:val="none"/>
              </w:rPr>
            </w:pPr>
            <w:r>
              <w:rPr>
                <w:rFonts w:hint="eastAsia" w:ascii="宋体" w:hAnsi="宋体" w:cs="宋体"/>
                <w:color w:val="auto"/>
                <w:sz w:val="24"/>
                <w:highlight w:val="none"/>
              </w:rPr>
              <w:t>差评分标准：方案不完整、不规范，思路不清晰，内容合理性较差或未提供的，不得分。</w:t>
            </w:r>
          </w:p>
        </w:tc>
        <w:tc>
          <w:tcPr>
            <w:tcW w:w="750"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836" w:type="dxa"/>
            <w:vAlign w:val="center"/>
          </w:tcPr>
          <w:p>
            <w:pPr>
              <w:autoSpaceDE w:val="0"/>
              <w:autoSpaceDN w:val="0"/>
              <w:adjustRightInd w:val="0"/>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168" w:type="dxa"/>
            <w:vAlign w:val="center"/>
          </w:tcPr>
          <w:p>
            <w:pPr>
              <w:autoSpaceDE w:val="0"/>
              <w:autoSpaceDN w:val="0"/>
              <w:adjustRightInd w:val="0"/>
              <w:jc w:val="center"/>
              <w:rPr>
                <w:rFonts w:hint="eastAsia" w:ascii="宋体" w:hAnsi="宋体" w:cs="宋体"/>
                <w:color w:val="auto"/>
                <w:sz w:val="24"/>
                <w:highlight w:val="none"/>
                <w:lang w:val="zh-CN"/>
              </w:rPr>
            </w:pPr>
            <w:r>
              <w:rPr>
                <w:rFonts w:hint="eastAsia" w:ascii="宋体" w:hAnsi="宋体" w:cs="宋体"/>
                <w:color w:val="auto"/>
                <w:sz w:val="24"/>
                <w:highlight w:val="none"/>
              </w:rPr>
              <w:t>质量（完成时间、安全、环保）保障措施及方案</w:t>
            </w:r>
          </w:p>
        </w:tc>
        <w:tc>
          <w:tcPr>
            <w:tcW w:w="5135" w:type="dxa"/>
            <w:vAlign w:val="center"/>
          </w:tcPr>
          <w:p>
            <w:pPr>
              <w:rPr>
                <w:rFonts w:hint="eastAsia" w:ascii="宋体" w:hAnsi="宋体" w:cs="宋体"/>
                <w:b/>
                <w:color w:val="auto"/>
                <w:sz w:val="24"/>
                <w:highlight w:val="none"/>
              </w:rPr>
            </w:pPr>
            <w:r>
              <w:rPr>
                <w:rFonts w:hint="eastAsia" w:ascii="宋体" w:hAnsi="宋体" w:cs="宋体"/>
                <w:b/>
                <w:color w:val="auto"/>
                <w:sz w:val="24"/>
                <w:highlight w:val="none"/>
              </w:rPr>
              <w:t>（一）评分内容：</w:t>
            </w:r>
          </w:p>
          <w:p>
            <w:pPr>
              <w:wordWrap w:val="0"/>
              <w:rPr>
                <w:rFonts w:hint="eastAsia" w:ascii="宋体" w:hAnsi="宋体" w:cs="宋体"/>
                <w:color w:val="auto"/>
                <w:sz w:val="24"/>
                <w:highlight w:val="none"/>
              </w:rPr>
            </w:pPr>
            <w:r>
              <w:rPr>
                <w:rFonts w:hint="eastAsia" w:ascii="宋体" w:hAnsi="宋体" w:cs="宋体"/>
                <w:color w:val="auto"/>
                <w:sz w:val="24"/>
                <w:highlight w:val="none"/>
              </w:rPr>
              <w:t>1.评委会根据投标单位关于质量(完成时间、安全、环保)保障措施及方案进行打分。</w:t>
            </w:r>
          </w:p>
          <w:p>
            <w:pPr>
              <w:rPr>
                <w:rFonts w:hint="eastAsia" w:ascii="宋体" w:hAnsi="宋体" w:cs="宋体"/>
                <w:color w:val="auto"/>
                <w:sz w:val="24"/>
                <w:highlight w:val="none"/>
              </w:rPr>
            </w:pPr>
            <w:r>
              <w:rPr>
                <w:rFonts w:hint="eastAsia" w:ascii="宋体" w:hAnsi="宋体" w:cs="宋体"/>
                <w:color w:val="auto"/>
                <w:sz w:val="24"/>
                <w:highlight w:val="none"/>
              </w:rPr>
              <w:t>1.给出分阶段项目时间安排、工作进度与阶段性成果；</w:t>
            </w:r>
          </w:p>
          <w:p>
            <w:pPr>
              <w:rPr>
                <w:rFonts w:hint="eastAsia" w:ascii="宋体" w:hAnsi="宋体" w:cs="宋体"/>
                <w:color w:val="auto"/>
                <w:sz w:val="24"/>
                <w:highlight w:val="none"/>
              </w:rPr>
            </w:pPr>
            <w:r>
              <w:rPr>
                <w:rFonts w:hint="eastAsia" w:ascii="宋体" w:hAnsi="宋体" w:cs="宋体"/>
                <w:color w:val="auto"/>
                <w:sz w:val="24"/>
                <w:highlight w:val="none"/>
              </w:rPr>
              <w:t>2.阐述项目时间管理制度与措施；</w:t>
            </w:r>
          </w:p>
          <w:p>
            <w:pPr>
              <w:rPr>
                <w:rFonts w:hint="eastAsia" w:ascii="宋体" w:hAnsi="宋体" w:cs="宋体"/>
                <w:color w:val="auto"/>
                <w:sz w:val="24"/>
                <w:highlight w:val="none"/>
              </w:rPr>
            </w:pPr>
            <w:r>
              <w:rPr>
                <w:rFonts w:hint="eastAsia" w:ascii="宋体" w:hAnsi="宋体" w:cs="宋体"/>
                <w:color w:val="auto"/>
                <w:sz w:val="24"/>
                <w:highlight w:val="none"/>
              </w:rPr>
              <w:t>3.阐述项目质量管理制度与措施；</w:t>
            </w:r>
          </w:p>
          <w:p>
            <w:pPr>
              <w:rPr>
                <w:rFonts w:hint="eastAsia" w:ascii="宋体" w:hAnsi="宋体" w:cs="宋体"/>
                <w:color w:val="auto"/>
                <w:sz w:val="24"/>
                <w:highlight w:val="none"/>
              </w:rPr>
            </w:pPr>
            <w:r>
              <w:rPr>
                <w:rFonts w:hint="eastAsia" w:ascii="宋体" w:hAnsi="宋体" w:cs="宋体"/>
                <w:color w:val="auto"/>
                <w:sz w:val="24"/>
                <w:highlight w:val="none"/>
              </w:rPr>
              <w:t>4.阐述项目资料、成果安全性保障制度与措施；</w:t>
            </w:r>
          </w:p>
          <w:p>
            <w:pPr>
              <w:rPr>
                <w:rFonts w:hint="eastAsia" w:ascii="宋体" w:hAnsi="宋体" w:cs="宋体"/>
                <w:color w:val="auto"/>
                <w:sz w:val="24"/>
                <w:highlight w:val="none"/>
              </w:rPr>
            </w:pPr>
            <w:r>
              <w:rPr>
                <w:rFonts w:hint="eastAsia" w:ascii="宋体" w:hAnsi="宋体" w:cs="宋体"/>
                <w:color w:val="auto"/>
                <w:sz w:val="24"/>
                <w:highlight w:val="none"/>
              </w:rPr>
              <w:t>5.阐述项目安全生产、环保的保障制度与措施。</w:t>
            </w:r>
          </w:p>
          <w:p>
            <w:pPr>
              <w:rPr>
                <w:rFonts w:hint="eastAsia" w:ascii="宋体" w:hAnsi="宋体" w:cs="宋体"/>
                <w:b/>
                <w:color w:val="auto"/>
                <w:sz w:val="24"/>
                <w:highlight w:val="none"/>
              </w:rPr>
            </w:pPr>
            <w:r>
              <w:rPr>
                <w:rFonts w:hint="eastAsia" w:ascii="宋体" w:hAnsi="宋体" w:cs="宋体"/>
                <w:b/>
                <w:color w:val="auto"/>
                <w:sz w:val="24"/>
                <w:highlight w:val="none"/>
              </w:rPr>
              <w:t>（二）评分依据：</w:t>
            </w:r>
          </w:p>
          <w:p>
            <w:pPr>
              <w:rPr>
                <w:rFonts w:hint="eastAsia" w:ascii="宋体" w:hAnsi="宋体" w:cs="宋体"/>
                <w:color w:val="auto"/>
                <w:sz w:val="24"/>
                <w:highlight w:val="none"/>
              </w:rPr>
            </w:pPr>
            <w:r>
              <w:rPr>
                <w:rFonts w:hint="eastAsia" w:ascii="宋体" w:hAnsi="宋体" w:cs="宋体"/>
                <w:color w:val="auto"/>
                <w:sz w:val="24"/>
                <w:highlight w:val="none"/>
              </w:rPr>
              <w:t>提供的方案满足上述五点的5分，满足任意四点的得4分，满足任意三点的得3分，满足任意二点的得2分，满足任意一点的得1分，未满足不得分。</w:t>
            </w:r>
          </w:p>
          <w:p>
            <w:pPr>
              <w:rPr>
                <w:rFonts w:hint="eastAsia" w:ascii="宋体" w:hAnsi="宋体" w:eastAsia="宋体" w:cs="宋体"/>
                <w:color w:val="auto"/>
                <w:sz w:val="24"/>
                <w:highlight w:val="none"/>
                <w:lang w:eastAsia="zh-CN"/>
              </w:rPr>
            </w:pPr>
            <w:r>
              <w:rPr>
                <w:rFonts w:hint="eastAsia" w:ascii="宋体" w:hAnsi="宋体" w:cs="宋体"/>
                <w:color w:val="auto"/>
                <w:sz w:val="24"/>
                <w:highlight w:val="none"/>
              </w:rPr>
              <w:t>在此基础上，专家根据内容的合理性进行评分</w:t>
            </w:r>
            <w:r>
              <w:rPr>
                <w:rFonts w:hint="eastAsia" w:ascii="宋体" w:hAnsi="宋体" w:cs="宋体"/>
                <w:color w:val="auto"/>
                <w:sz w:val="24"/>
                <w:highlight w:val="none"/>
                <w:lang w:eastAsia="zh-CN"/>
              </w:rPr>
              <w:t>：</w:t>
            </w:r>
          </w:p>
          <w:p>
            <w:pPr>
              <w:rPr>
                <w:rFonts w:hint="eastAsia" w:ascii="宋体" w:hAnsi="宋体" w:cs="宋体"/>
                <w:color w:val="auto"/>
                <w:sz w:val="24"/>
                <w:highlight w:val="none"/>
              </w:rPr>
            </w:pPr>
            <w:r>
              <w:rPr>
                <w:rFonts w:hint="eastAsia" w:ascii="宋体" w:hAnsi="宋体" w:cs="宋体"/>
                <w:color w:val="auto"/>
                <w:sz w:val="24"/>
                <w:highlight w:val="none"/>
              </w:rPr>
              <w:t>优评分标准</w:t>
            </w:r>
            <w:r>
              <w:rPr>
                <w:rFonts w:hint="eastAsia" w:ascii="宋体" w:hAnsi="宋体" w:cs="宋体"/>
                <w:color w:val="auto"/>
                <w:sz w:val="24"/>
                <w:highlight w:val="none"/>
                <w:lang w:eastAsia="zh-CN"/>
              </w:rPr>
              <w:t>：</w:t>
            </w:r>
            <w:r>
              <w:rPr>
                <w:rFonts w:hint="eastAsia" w:ascii="宋体" w:hAnsi="宋体" w:cs="宋体"/>
                <w:color w:val="auto"/>
                <w:sz w:val="24"/>
                <w:highlight w:val="none"/>
              </w:rPr>
              <w:t>方案符合实际、完整、规范、思路清晰，内容合理性强，得3分；</w:t>
            </w:r>
          </w:p>
          <w:p>
            <w:pPr>
              <w:rPr>
                <w:rFonts w:hint="eastAsia" w:ascii="宋体" w:hAnsi="宋体" w:cs="宋体"/>
                <w:color w:val="auto"/>
                <w:sz w:val="24"/>
                <w:highlight w:val="none"/>
              </w:rPr>
            </w:pPr>
            <w:r>
              <w:rPr>
                <w:rFonts w:hint="eastAsia" w:ascii="宋体" w:hAnsi="宋体" w:cs="宋体"/>
                <w:color w:val="auto"/>
                <w:sz w:val="24"/>
                <w:highlight w:val="none"/>
              </w:rPr>
              <w:t>良评分标准</w:t>
            </w:r>
            <w:r>
              <w:rPr>
                <w:rFonts w:hint="eastAsia" w:ascii="宋体" w:hAnsi="宋体" w:cs="宋体"/>
                <w:color w:val="auto"/>
                <w:sz w:val="24"/>
                <w:highlight w:val="none"/>
                <w:lang w:eastAsia="zh-CN"/>
              </w:rPr>
              <w:t>：</w:t>
            </w:r>
            <w:r>
              <w:rPr>
                <w:rFonts w:hint="eastAsia" w:ascii="宋体" w:hAnsi="宋体" w:cs="宋体"/>
                <w:color w:val="auto"/>
                <w:sz w:val="24"/>
                <w:highlight w:val="none"/>
              </w:rPr>
              <w:t>方案较符合实际、较完整规范、思路较清晰，内容合理性较强，得2分；</w:t>
            </w:r>
          </w:p>
          <w:p>
            <w:pPr>
              <w:rPr>
                <w:rFonts w:hint="eastAsia" w:ascii="宋体" w:hAnsi="宋体" w:cs="宋体"/>
                <w:color w:val="auto"/>
                <w:sz w:val="24"/>
                <w:highlight w:val="none"/>
              </w:rPr>
            </w:pPr>
            <w:r>
              <w:rPr>
                <w:rFonts w:hint="eastAsia" w:ascii="宋体" w:hAnsi="宋体" w:cs="宋体"/>
                <w:color w:val="auto"/>
                <w:sz w:val="24"/>
                <w:highlight w:val="none"/>
              </w:rPr>
              <w:t>中评分标准</w:t>
            </w:r>
            <w:r>
              <w:rPr>
                <w:rFonts w:hint="eastAsia" w:ascii="宋体" w:hAnsi="宋体" w:cs="宋体"/>
                <w:color w:val="auto"/>
                <w:sz w:val="24"/>
                <w:highlight w:val="none"/>
                <w:lang w:eastAsia="zh-CN"/>
              </w:rPr>
              <w:t>：</w:t>
            </w:r>
            <w:r>
              <w:rPr>
                <w:rFonts w:hint="eastAsia" w:ascii="宋体" w:hAnsi="宋体" w:cs="宋体"/>
                <w:color w:val="auto"/>
                <w:sz w:val="24"/>
                <w:highlight w:val="none"/>
              </w:rPr>
              <w:t>方案较普通、完整性、规范性-般，思路不够清晰，内容合理性一般，得1分；</w:t>
            </w:r>
          </w:p>
          <w:p>
            <w:pPr>
              <w:rPr>
                <w:rFonts w:hint="eastAsia" w:ascii="宋体" w:hAnsi="宋体" w:cs="宋体"/>
                <w:color w:val="auto"/>
                <w:sz w:val="24"/>
                <w:highlight w:val="none"/>
              </w:rPr>
            </w:pPr>
            <w:r>
              <w:rPr>
                <w:rFonts w:hint="eastAsia" w:ascii="宋体" w:hAnsi="宋体" w:cs="宋体"/>
                <w:color w:val="auto"/>
                <w:sz w:val="24"/>
                <w:highlight w:val="none"/>
              </w:rPr>
              <w:t>差评分标准</w:t>
            </w:r>
            <w:r>
              <w:rPr>
                <w:rFonts w:hint="eastAsia" w:ascii="宋体" w:hAnsi="宋体" w:cs="宋体"/>
                <w:color w:val="auto"/>
                <w:sz w:val="24"/>
                <w:highlight w:val="none"/>
                <w:lang w:eastAsia="zh-CN"/>
              </w:rPr>
              <w:t>：</w:t>
            </w:r>
            <w:r>
              <w:rPr>
                <w:rFonts w:hint="eastAsia" w:ascii="宋体" w:hAnsi="宋体" w:cs="宋体"/>
                <w:color w:val="auto"/>
                <w:sz w:val="24"/>
                <w:highlight w:val="none"/>
              </w:rPr>
              <w:t>方案不完整、不规范，思路不清晰，内容合理性较差或未提供的，不得分。</w:t>
            </w:r>
          </w:p>
        </w:tc>
        <w:tc>
          <w:tcPr>
            <w:tcW w:w="750"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836" w:type="dxa"/>
            <w:vAlign w:val="center"/>
          </w:tcPr>
          <w:p>
            <w:pPr>
              <w:autoSpaceDE w:val="0"/>
              <w:autoSpaceDN w:val="0"/>
              <w:adjustRightInd w:val="0"/>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168" w:type="dxa"/>
            <w:vAlign w:val="center"/>
          </w:tcPr>
          <w:p>
            <w:pPr>
              <w:autoSpaceDE w:val="0"/>
              <w:autoSpaceDN w:val="0"/>
              <w:adjustRightInd w:val="0"/>
              <w:jc w:val="center"/>
              <w:rPr>
                <w:rFonts w:hint="eastAsia" w:ascii="宋体" w:hAnsi="宋体" w:cs="宋体"/>
                <w:color w:val="auto"/>
                <w:sz w:val="24"/>
                <w:highlight w:val="none"/>
                <w:lang w:val="zh-CN"/>
              </w:rPr>
            </w:pPr>
            <w:r>
              <w:rPr>
                <w:rFonts w:hint="eastAsia" w:ascii="宋体" w:hAnsi="宋体" w:cs="宋体"/>
                <w:color w:val="auto"/>
                <w:sz w:val="24"/>
                <w:highlight w:val="none"/>
              </w:rPr>
              <w:t>项目完成（服务期满）后的服务承诺</w:t>
            </w:r>
          </w:p>
        </w:tc>
        <w:tc>
          <w:tcPr>
            <w:tcW w:w="5135" w:type="dxa"/>
            <w:vAlign w:val="center"/>
          </w:tcPr>
          <w:p>
            <w:pPr>
              <w:rPr>
                <w:rFonts w:hint="eastAsia" w:ascii="宋体" w:hAnsi="宋体" w:cs="宋体"/>
                <w:b/>
                <w:color w:val="auto"/>
                <w:sz w:val="24"/>
                <w:highlight w:val="none"/>
              </w:rPr>
            </w:pPr>
            <w:r>
              <w:rPr>
                <w:rFonts w:hint="eastAsia" w:ascii="宋体" w:hAnsi="宋体" w:cs="宋体"/>
                <w:b/>
                <w:color w:val="auto"/>
                <w:sz w:val="24"/>
                <w:highlight w:val="none"/>
              </w:rPr>
              <w:t>（一）评分内容：</w:t>
            </w:r>
          </w:p>
          <w:p>
            <w:pPr>
              <w:wordWrap w:val="0"/>
              <w:rPr>
                <w:rFonts w:hint="eastAsia" w:ascii="宋体" w:hAnsi="宋体" w:cs="宋体"/>
                <w:color w:val="auto"/>
                <w:sz w:val="24"/>
                <w:highlight w:val="none"/>
              </w:rPr>
            </w:pPr>
            <w:r>
              <w:rPr>
                <w:rFonts w:hint="eastAsia" w:ascii="宋体" w:hAnsi="宋体" w:cs="宋体"/>
                <w:color w:val="auto"/>
                <w:sz w:val="24"/>
                <w:highlight w:val="none"/>
              </w:rPr>
              <w:t>1.服务期满后主动离岗。</w:t>
            </w:r>
          </w:p>
          <w:p>
            <w:pPr>
              <w:wordWrap w:val="0"/>
              <w:rPr>
                <w:rFonts w:hint="eastAsia" w:ascii="宋体" w:hAnsi="宋体" w:cs="宋体"/>
                <w:color w:val="auto"/>
                <w:sz w:val="24"/>
                <w:highlight w:val="none"/>
              </w:rPr>
            </w:pPr>
            <w:r>
              <w:rPr>
                <w:rFonts w:hint="eastAsia" w:ascii="宋体" w:hAnsi="宋体" w:cs="宋体"/>
                <w:color w:val="auto"/>
                <w:sz w:val="24"/>
                <w:highlight w:val="none"/>
              </w:rPr>
              <w:t>2.与后续服务公司进行交接。</w:t>
            </w:r>
          </w:p>
          <w:p>
            <w:pPr>
              <w:wordWrap w:val="0"/>
              <w:rPr>
                <w:rFonts w:hint="eastAsia" w:ascii="宋体" w:hAnsi="宋体" w:cs="宋体"/>
                <w:color w:val="auto"/>
                <w:sz w:val="24"/>
                <w:highlight w:val="none"/>
              </w:rPr>
            </w:pPr>
            <w:r>
              <w:rPr>
                <w:rFonts w:hint="eastAsia" w:ascii="宋体" w:hAnsi="宋体" w:cs="宋体"/>
                <w:color w:val="auto"/>
                <w:sz w:val="24"/>
                <w:highlight w:val="none"/>
              </w:rPr>
              <w:t>3.服务期满，后续服务公司未到位前仍按原合同服务承诺提供服务。</w:t>
            </w:r>
          </w:p>
          <w:p>
            <w:pPr>
              <w:rPr>
                <w:rFonts w:hint="eastAsia" w:ascii="宋体" w:hAnsi="宋体" w:cs="宋体"/>
                <w:b/>
                <w:color w:val="auto"/>
                <w:sz w:val="24"/>
                <w:highlight w:val="none"/>
              </w:rPr>
            </w:pPr>
            <w:r>
              <w:rPr>
                <w:rFonts w:hint="eastAsia" w:ascii="宋体" w:hAnsi="宋体" w:cs="宋体"/>
                <w:b/>
                <w:color w:val="auto"/>
                <w:sz w:val="24"/>
                <w:highlight w:val="none"/>
              </w:rPr>
              <w:t>（二）评分依据：</w:t>
            </w:r>
          </w:p>
          <w:p>
            <w:pPr>
              <w:rPr>
                <w:rFonts w:hint="eastAsia" w:ascii="宋体" w:hAnsi="宋体" w:cs="宋体"/>
                <w:color w:val="auto"/>
                <w:sz w:val="24"/>
                <w:highlight w:val="none"/>
              </w:rPr>
            </w:pPr>
            <w:r>
              <w:rPr>
                <w:rFonts w:hint="eastAsia" w:ascii="宋体" w:hAnsi="宋体" w:cs="宋体"/>
                <w:color w:val="auto"/>
                <w:sz w:val="24"/>
                <w:highlight w:val="none"/>
              </w:rPr>
              <w:t>投标人承诺以上全部三项的得5分，要求提供承诺（格式自定）作为得分依据，未提供承诺或承诺内容不满足要求不得分。</w:t>
            </w:r>
          </w:p>
        </w:tc>
        <w:tc>
          <w:tcPr>
            <w:tcW w:w="750"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836" w:type="dxa"/>
            <w:vAlign w:val="center"/>
          </w:tcPr>
          <w:p>
            <w:pPr>
              <w:autoSpaceDE w:val="0"/>
              <w:autoSpaceDN w:val="0"/>
              <w:adjustRightInd w:val="0"/>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168" w:type="dxa"/>
            <w:vAlign w:val="center"/>
          </w:tcPr>
          <w:p>
            <w:pPr>
              <w:autoSpaceDE w:val="0"/>
              <w:autoSpaceDN w:val="0"/>
              <w:adjustRightInd w:val="0"/>
              <w:jc w:val="center"/>
              <w:rPr>
                <w:rFonts w:hint="eastAsia" w:ascii="宋体" w:hAnsi="宋体" w:cs="宋体"/>
                <w:color w:val="auto"/>
                <w:sz w:val="24"/>
                <w:highlight w:val="none"/>
                <w:lang w:val="zh-CN"/>
              </w:rPr>
            </w:pPr>
            <w:r>
              <w:rPr>
                <w:rFonts w:hint="eastAsia" w:ascii="宋体" w:hAnsi="宋体" w:cs="宋体"/>
                <w:color w:val="auto"/>
                <w:sz w:val="24"/>
                <w:highlight w:val="none"/>
              </w:rPr>
              <w:t>拟安排的项目负责人情况（仅限一人）</w:t>
            </w:r>
          </w:p>
        </w:tc>
        <w:tc>
          <w:tcPr>
            <w:tcW w:w="5135" w:type="dxa"/>
            <w:vAlign w:val="center"/>
          </w:tcPr>
          <w:p>
            <w:pPr>
              <w:rPr>
                <w:rFonts w:hint="eastAsia" w:ascii="宋体" w:hAnsi="宋体" w:cs="宋体"/>
                <w:b/>
                <w:color w:val="auto"/>
                <w:sz w:val="24"/>
                <w:highlight w:val="none"/>
              </w:rPr>
            </w:pPr>
            <w:r>
              <w:rPr>
                <w:rFonts w:hint="eastAsia" w:ascii="宋体" w:hAnsi="宋体" w:cs="宋体"/>
                <w:b/>
                <w:color w:val="auto"/>
                <w:sz w:val="24"/>
                <w:highlight w:val="none"/>
              </w:rPr>
              <w:t>（一）评分内容：</w:t>
            </w:r>
          </w:p>
          <w:p>
            <w:pPr>
              <w:rPr>
                <w:rFonts w:hint="eastAsia" w:ascii="宋体" w:hAnsi="宋体" w:cs="宋体"/>
                <w:color w:val="auto"/>
                <w:sz w:val="24"/>
                <w:highlight w:val="none"/>
              </w:rPr>
            </w:pPr>
            <w:r>
              <w:rPr>
                <w:rFonts w:hint="eastAsia" w:ascii="宋体" w:hAnsi="宋体" w:cs="宋体"/>
                <w:color w:val="auto"/>
                <w:sz w:val="24"/>
                <w:highlight w:val="none"/>
              </w:rPr>
              <w:t>拟安排的项目负责人须为投标人自有员工（以社保为准），具有计算机或电子或通信工程相关专业本科（或以上）学历，在此基础上进行以下评分：</w:t>
            </w:r>
          </w:p>
          <w:p>
            <w:pPr>
              <w:rPr>
                <w:rFonts w:hint="eastAsia" w:ascii="宋体" w:hAnsi="宋体" w:cs="宋体"/>
                <w:color w:val="auto"/>
                <w:sz w:val="24"/>
                <w:highlight w:val="none"/>
              </w:rPr>
            </w:pPr>
            <w:r>
              <w:rPr>
                <w:rFonts w:hint="eastAsia" w:ascii="宋体" w:hAnsi="宋体" w:cs="宋体"/>
                <w:color w:val="auto"/>
                <w:sz w:val="24"/>
                <w:highlight w:val="none"/>
              </w:rPr>
              <w:t>1、具有人力资源和社会保障部颁发的系统规划与管理师（高级）证书，得</w:t>
            </w:r>
            <w:r>
              <w:rPr>
                <w:rFonts w:ascii="宋体" w:hAnsi="宋体" w:cs="宋体"/>
                <w:color w:val="auto"/>
                <w:sz w:val="24"/>
                <w:highlight w:val="none"/>
              </w:rPr>
              <w:t>3</w:t>
            </w:r>
            <w:r>
              <w:rPr>
                <w:rFonts w:hint="eastAsia" w:ascii="宋体" w:hAnsi="宋体" w:cs="宋体"/>
                <w:color w:val="auto"/>
                <w:sz w:val="24"/>
                <w:highlight w:val="none"/>
              </w:rPr>
              <w:t>分；</w:t>
            </w:r>
          </w:p>
          <w:p>
            <w:pPr>
              <w:rPr>
                <w:rFonts w:hint="eastAsia" w:ascii="宋体" w:hAnsi="宋体" w:cs="宋体"/>
                <w:color w:val="auto"/>
                <w:sz w:val="24"/>
                <w:highlight w:val="none"/>
              </w:rPr>
            </w:pPr>
            <w:r>
              <w:rPr>
                <w:rFonts w:hint="eastAsia" w:ascii="宋体" w:hAnsi="宋体" w:cs="宋体"/>
                <w:color w:val="auto"/>
                <w:sz w:val="24"/>
                <w:highlight w:val="none"/>
              </w:rPr>
              <w:t>2、具有中国信息安全测评中心颁发的注册信息安全管理人员(CISO)证书，得</w:t>
            </w:r>
            <w:r>
              <w:rPr>
                <w:rFonts w:ascii="宋体" w:hAnsi="宋体" w:cs="宋体"/>
                <w:color w:val="auto"/>
                <w:sz w:val="24"/>
                <w:highlight w:val="none"/>
              </w:rPr>
              <w:t>3</w:t>
            </w:r>
            <w:r>
              <w:rPr>
                <w:rFonts w:hint="eastAsia" w:ascii="宋体" w:hAnsi="宋体" w:cs="宋体"/>
                <w:color w:val="auto"/>
                <w:sz w:val="24"/>
                <w:highlight w:val="none"/>
              </w:rPr>
              <w:t xml:space="preserve">分； </w:t>
            </w:r>
          </w:p>
          <w:p>
            <w:pPr>
              <w:rPr>
                <w:rFonts w:hint="eastAsia" w:ascii="宋体" w:hAnsi="宋体" w:cs="宋体"/>
                <w:color w:val="auto"/>
                <w:sz w:val="24"/>
                <w:highlight w:val="none"/>
              </w:rPr>
            </w:pPr>
            <w:r>
              <w:rPr>
                <w:rFonts w:hint="eastAsia" w:ascii="宋体" w:hAnsi="宋体" w:cs="宋体"/>
                <w:color w:val="auto"/>
                <w:sz w:val="24"/>
                <w:highlight w:val="none"/>
              </w:rPr>
              <w:t>3、具有人力资源和社会保障部颁发的信息系统项目管理师（高级）证书，得</w:t>
            </w:r>
            <w:r>
              <w:rPr>
                <w:rFonts w:ascii="宋体" w:hAnsi="宋体" w:cs="宋体"/>
                <w:color w:val="auto"/>
                <w:sz w:val="24"/>
                <w:highlight w:val="none"/>
              </w:rPr>
              <w:t>3</w:t>
            </w:r>
            <w:r>
              <w:rPr>
                <w:rFonts w:hint="eastAsia" w:ascii="宋体" w:hAnsi="宋体" w:cs="宋体"/>
                <w:color w:val="auto"/>
                <w:sz w:val="24"/>
                <w:highlight w:val="none"/>
              </w:rPr>
              <w:t>分；</w:t>
            </w:r>
          </w:p>
          <w:p>
            <w:pPr>
              <w:rPr>
                <w:rFonts w:hint="eastAsia" w:ascii="宋体" w:hAnsi="宋体" w:cs="宋体"/>
                <w:b/>
                <w:color w:val="auto"/>
                <w:sz w:val="24"/>
                <w:highlight w:val="none"/>
              </w:rPr>
            </w:pPr>
            <w:r>
              <w:rPr>
                <w:rFonts w:hint="eastAsia" w:ascii="宋体" w:hAnsi="宋体" w:cs="宋体"/>
                <w:b/>
                <w:color w:val="auto"/>
                <w:sz w:val="24"/>
                <w:highlight w:val="none"/>
              </w:rPr>
              <w:t>（二）评分依据：</w:t>
            </w:r>
          </w:p>
          <w:p>
            <w:pPr>
              <w:wordWrap w:val="0"/>
              <w:rPr>
                <w:rFonts w:hint="eastAsia" w:ascii="宋体" w:hAnsi="宋体" w:cs="宋体"/>
                <w:color w:val="auto"/>
                <w:sz w:val="24"/>
                <w:highlight w:val="none"/>
              </w:rPr>
            </w:pPr>
            <w:r>
              <w:rPr>
                <w:rFonts w:hint="eastAsia" w:ascii="宋体" w:hAnsi="宋体" w:cs="宋体"/>
                <w:color w:val="auto"/>
                <w:sz w:val="24"/>
                <w:highlight w:val="none"/>
              </w:rPr>
              <w:t>1、提供相关人员通过投标人缴纳的投标截止之日前近三个月的任意一个月的社保证明作为本单位员工的证明依据。若供应商成立不足一个月的，需提供成立情况说明函（格式自拟），无需提供相关人员社保，亦可得分；若为退休返聘人员，需提供说明函（格式自拟），无需提供相关人员社保，亦可得分。</w:t>
            </w:r>
          </w:p>
          <w:p>
            <w:pPr>
              <w:rPr>
                <w:rFonts w:hint="eastAsia" w:ascii="宋体" w:hAnsi="宋体" w:cs="宋体"/>
                <w:color w:val="auto"/>
                <w:sz w:val="24"/>
                <w:highlight w:val="none"/>
              </w:rPr>
            </w:pPr>
            <w:r>
              <w:rPr>
                <w:rFonts w:hint="eastAsia" w:ascii="宋体" w:hAnsi="宋体" w:cs="宋体"/>
                <w:color w:val="auto"/>
                <w:sz w:val="24"/>
                <w:highlight w:val="none"/>
              </w:rPr>
              <w:t>2、学历证明：提供学历证书，还需提供学历认证报告或学信网（https://www.chsi.com.cn/）查询截图。学信网无法查询的，可提供其他佐证材料（如毕业院校、人社部门等颁发机构或监管机构等单位出具的证明），留学归国人员如无法提供学信网查询记录截图，提供国（境）外学历证书扫描件（以及中文翻译件）和教育部留学服务中心出具的国外学历学位认证书扫描件【或教育部留学服务中心网站（http://zwfw.cscse.edu.cn/）在线查询截图】也予以认可；</w:t>
            </w:r>
          </w:p>
          <w:p>
            <w:pPr>
              <w:rPr>
                <w:rFonts w:hint="eastAsia" w:ascii="宋体" w:hAnsi="宋体" w:cs="宋体"/>
                <w:color w:val="auto"/>
                <w:sz w:val="24"/>
                <w:highlight w:val="none"/>
              </w:rPr>
            </w:pPr>
            <w:r>
              <w:rPr>
                <w:rFonts w:hint="eastAsia" w:ascii="宋体" w:hAnsi="宋体" w:cs="宋体"/>
                <w:color w:val="auto"/>
                <w:sz w:val="24"/>
                <w:highlight w:val="none"/>
              </w:rPr>
              <w:t>3、相关证书：提供证书；（1）若证书为职业资格证书（或职业技能等级证书），则还须同时提供“技能人才评价证书全国联网查询”（网址：http://zscx.osta.org.cn）官网或颁发证书相对应的机构官网查询截图，否则不得分；（2）若证书由社会组织（协会或学会）颁发的，则还须同时提供该机构在中国社会组织政务服务平台（网址：https://chinanpo.mca.gov.cn）的查询“正常”页面截图，否则不予认可，视为无效证书；相关证书在公开渠道无法查询的，需提供颁发部门或者监管机构的证明材料，证明证书真实有效且为合法机构颁发。（注：红十字会属于由国务院机构编制管理机关核定，并经国务院批准免于登记的团体，无需提供中国社会组织政务服务平台网站查询截图）</w:t>
            </w:r>
          </w:p>
          <w:p>
            <w:pPr>
              <w:rPr>
                <w:rFonts w:hint="eastAsia" w:ascii="宋体" w:hAnsi="宋体" w:cs="宋体"/>
                <w:color w:val="auto"/>
                <w:sz w:val="24"/>
                <w:highlight w:val="none"/>
              </w:rPr>
            </w:pPr>
            <w:r>
              <w:rPr>
                <w:rFonts w:hint="eastAsia" w:ascii="宋体" w:hAnsi="宋体" w:cs="宋体"/>
                <w:color w:val="auto"/>
                <w:sz w:val="24"/>
                <w:highlight w:val="none"/>
              </w:rPr>
              <w:t>4、评分中出现无证明资料或证书过期或专家无法凭所提供资料判断是否得分的情况，一律作不得分处理。</w:t>
            </w:r>
          </w:p>
        </w:tc>
        <w:tc>
          <w:tcPr>
            <w:tcW w:w="750" w:type="dxa"/>
            <w:vAlign w:val="center"/>
          </w:tcPr>
          <w:p>
            <w:pPr>
              <w:jc w:val="center"/>
              <w:rPr>
                <w:rFonts w:hint="eastAsia" w:ascii="宋体" w:hAnsi="宋体" w:cs="宋体"/>
                <w:color w:val="auto"/>
                <w:sz w:val="24"/>
                <w:highlight w:val="none"/>
              </w:rPr>
            </w:pPr>
            <w:r>
              <w:rPr>
                <w:rFonts w:ascii="宋体" w:hAnsi="宋体" w:cs="宋体"/>
                <w:color w:val="auto"/>
                <w:sz w:val="24"/>
                <w:highlight w:val="none"/>
              </w:rPr>
              <w:t>9</w:t>
            </w:r>
          </w:p>
        </w:tc>
        <w:tc>
          <w:tcPr>
            <w:tcW w:w="836" w:type="dxa"/>
            <w:vAlign w:val="center"/>
          </w:tcPr>
          <w:p>
            <w:pPr>
              <w:autoSpaceDE w:val="0"/>
              <w:autoSpaceDN w:val="0"/>
              <w:adjustRightInd w:val="0"/>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1168" w:type="dxa"/>
            <w:vAlign w:val="center"/>
          </w:tcPr>
          <w:p>
            <w:pPr>
              <w:autoSpaceDE w:val="0"/>
              <w:autoSpaceDN w:val="0"/>
              <w:adjustRightInd w:val="0"/>
              <w:jc w:val="center"/>
              <w:rPr>
                <w:rFonts w:hint="eastAsia" w:ascii="宋体" w:hAnsi="宋体" w:cs="宋体"/>
                <w:color w:val="auto"/>
                <w:sz w:val="24"/>
                <w:highlight w:val="none"/>
                <w:lang w:val="zh-CN"/>
              </w:rPr>
            </w:pPr>
            <w:r>
              <w:rPr>
                <w:rFonts w:hint="eastAsia" w:ascii="宋体" w:hAnsi="宋体" w:cs="宋体"/>
                <w:color w:val="auto"/>
                <w:sz w:val="24"/>
                <w:highlight w:val="none"/>
              </w:rPr>
              <w:t>拟安排的项目主要团队成员（主要技术人员）情况（项目负责人除外）</w:t>
            </w:r>
          </w:p>
        </w:tc>
        <w:tc>
          <w:tcPr>
            <w:tcW w:w="5135" w:type="dxa"/>
            <w:vAlign w:val="center"/>
          </w:tcPr>
          <w:p>
            <w:pPr>
              <w:rPr>
                <w:rFonts w:hint="eastAsia" w:ascii="宋体" w:hAnsi="宋体" w:cs="宋体"/>
                <w:b/>
                <w:bCs/>
                <w:color w:val="auto"/>
                <w:sz w:val="24"/>
                <w:highlight w:val="none"/>
              </w:rPr>
            </w:pPr>
            <w:r>
              <w:rPr>
                <w:rFonts w:hint="eastAsia" w:ascii="宋体" w:hAnsi="宋体" w:cs="宋体"/>
                <w:b/>
                <w:bCs/>
                <w:color w:val="auto"/>
                <w:sz w:val="24"/>
                <w:highlight w:val="none"/>
              </w:rPr>
              <w:t>（一）评分内容：</w:t>
            </w:r>
          </w:p>
          <w:p>
            <w:pPr>
              <w:rPr>
                <w:rFonts w:hint="eastAsia" w:ascii="宋体" w:hAnsi="宋体" w:cs="宋体"/>
                <w:color w:val="auto"/>
                <w:sz w:val="24"/>
                <w:highlight w:val="none"/>
              </w:rPr>
            </w:pPr>
            <w:r>
              <w:rPr>
                <w:rFonts w:hint="eastAsia" w:ascii="宋体" w:hAnsi="宋体" w:cs="宋体"/>
                <w:color w:val="auto"/>
                <w:sz w:val="24"/>
                <w:highlight w:val="none"/>
              </w:rPr>
              <w:t>拟安排的项目团队成员（项目负责人除外）至少4名，须为投标人自有员工（以社保为准），都必须具有本科（或以上）学历，不能满足的，本项得0分。在满足的基础进行以下评分：</w:t>
            </w:r>
          </w:p>
          <w:p>
            <w:pPr>
              <w:rPr>
                <w:rFonts w:hint="eastAsia" w:ascii="宋体" w:hAnsi="宋体" w:cs="宋体"/>
                <w:color w:val="auto"/>
                <w:sz w:val="24"/>
                <w:highlight w:val="none"/>
              </w:rPr>
            </w:pPr>
            <w:r>
              <w:rPr>
                <w:rFonts w:hint="eastAsia" w:ascii="宋体" w:hAnsi="宋体" w:cs="宋体"/>
                <w:color w:val="auto"/>
                <w:sz w:val="24"/>
                <w:highlight w:val="none"/>
              </w:rPr>
              <w:t>1.具有国家发改委或中国工程咨询协会颁发有效期内的咨询工程师（投资）登记证书（专业：电子、信息工程）得2.5分；</w:t>
            </w:r>
          </w:p>
          <w:p>
            <w:pPr>
              <w:rPr>
                <w:rFonts w:hint="eastAsia" w:ascii="宋体" w:hAnsi="宋体" w:cs="宋体"/>
                <w:color w:val="auto"/>
                <w:sz w:val="24"/>
                <w:highlight w:val="none"/>
              </w:rPr>
            </w:pPr>
            <w:r>
              <w:rPr>
                <w:rFonts w:hint="eastAsia" w:ascii="宋体" w:hAnsi="宋体" w:cs="宋体"/>
                <w:color w:val="auto"/>
                <w:sz w:val="24"/>
                <w:highlight w:val="none"/>
              </w:rPr>
              <w:t xml:space="preserve">2.具有人社部门和工信部门颁发的计算机技术与软件专业技术资格证书（专业：系统规划与管理师）得2.5分； </w:t>
            </w:r>
          </w:p>
          <w:p>
            <w:pPr>
              <w:rPr>
                <w:rFonts w:hint="eastAsia" w:ascii="宋体" w:hAnsi="宋体" w:cs="宋体"/>
                <w:color w:val="auto"/>
                <w:sz w:val="24"/>
                <w:highlight w:val="none"/>
              </w:rPr>
            </w:pPr>
            <w:r>
              <w:rPr>
                <w:rFonts w:hint="eastAsia" w:ascii="宋体" w:hAnsi="宋体" w:cs="宋体"/>
                <w:color w:val="auto"/>
                <w:sz w:val="24"/>
                <w:highlight w:val="none"/>
              </w:rPr>
              <w:t>3.具有人社部门颁发的正高级（或以上）职称证书（专业：电子或计算机类）得2.5分；</w:t>
            </w:r>
          </w:p>
          <w:p>
            <w:pPr>
              <w:rPr>
                <w:rFonts w:hint="eastAsia" w:ascii="宋体" w:hAnsi="宋体" w:cs="宋体"/>
                <w:color w:val="auto"/>
                <w:sz w:val="24"/>
                <w:highlight w:val="none"/>
              </w:rPr>
            </w:pPr>
            <w:r>
              <w:rPr>
                <w:rFonts w:hint="eastAsia" w:ascii="宋体" w:hAnsi="宋体" w:cs="宋体"/>
                <w:color w:val="auto"/>
                <w:sz w:val="24"/>
                <w:highlight w:val="none"/>
              </w:rPr>
              <w:t>4.具有人社部门和工信部门颁发的计算机技术与软件专业技术资格证书（专业：软件设计师）得2.5分；</w:t>
            </w:r>
          </w:p>
          <w:p>
            <w:pPr>
              <w:rPr>
                <w:rFonts w:hint="eastAsia" w:ascii="宋体" w:hAnsi="宋体" w:cs="宋体"/>
                <w:color w:val="auto"/>
                <w:sz w:val="24"/>
                <w:highlight w:val="none"/>
              </w:rPr>
            </w:pPr>
            <w:r>
              <w:rPr>
                <w:rFonts w:hint="eastAsia" w:ascii="宋体" w:hAnsi="宋体" w:cs="宋体"/>
                <w:color w:val="auto"/>
                <w:sz w:val="24"/>
                <w:highlight w:val="none"/>
              </w:rPr>
              <w:t>5.具有人社部门和工信部门颁发的计算机技术与软件专业技术资格证书（专业：数据库系统工程师证书）得2.5分；</w:t>
            </w:r>
          </w:p>
          <w:p>
            <w:pPr>
              <w:rPr>
                <w:rFonts w:hint="eastAsia" w:ascii="宋体" w:hAnsi="宋体" w:cs="宋体"/>
                <w:color w:val="auto"/>
                <w:sz w:val="24"/>
                <w:highlight w:val="none"/>
              </w:rPr>
            </w:pPr>
            <w:r>
              <w:rPr>
                <w:rFonts w:hint="eastAsia" w:ascii="宋体" w:hAnsi="宋体" w:cs="宋体"/>
                <w:color w:val="auto"/>
                <w:sz w:val="24"/>
                <w:highlight w:val="none"/>
              </w:rPr>
              <w:t>6.具有工业和信息化部人才交流中心颁发的数据中心规划设计工程师证书（高级）得2.5分。</w:t>
            </w:r>
          </w:p>
          <w:p>
            <w:pPr>
              <w:rPr>
                <w:rFonts w:hint="eastAsia" w:ascii="宋体" w:hAnsi="宋体" w:cs="宋体"/>
                <w:b/>
                <w:bCs/>
                <w:color w:val="auto"/>
                <w:sz w:val="24"/>
                <w:highlight w:val="none"/>
              </w:rPr>
            </w:pPr>
            <w:r>
              <w:rPr>
                <w:rFonts w:hint="eastAsia" w:ascii="宋体" w:hAnsi="宋体" w:cs="宋体"/>
                <w:b/>
                <w:bCs/>
                <w:color w:val="auto"/>
                <w:sz w:val="24"/>
                <w:highlight w:val="none"/>
              </w:rPr>
              <w:t>项目团队成员中有一人或以上具有以上任意一项证书得2.5分，同一人员具备多项证书的可重复计分，本项最高得15分。</w:t>
            </w:r>
          </w:p>
          <w:p>
            <w:pPr>
              <w:rPr>
                <w:rFonts w:hint="eastAsia" w:ascii="宋体" w:hAnsi="宋体" w:cs="宋体"/>
                <w:b/>
                <w:color w:val="auto"/>
                <w:sz w:val="24"/>
                <w:highlight w:val="none"/>
              </w:rPr>
            </w:pPr>
            <w:r>
              <w:rPr>
                <w:rFonts w:hint="eastAsia" w:ascii="宋体" w:hAnsi="宋体" w:cs="宋体"/>
                <w:b/>
                <w:color w:val="auto"/>
                <w:sz w:val="24"/>
                <w:highlight w:val="none"/>
              </w:rPr>
              <w:t>（二）评分依据：</w:t>
            </w:r>
          </w:p>
          <w:p>
            <w:pPr>
              <w:wordWrap w:val="0"/>
              <w:rPr>
                <w:rFonts w:hint="eastAsia" w:ascii="宋体" w:hAnsi="宋体" w:cs="宋体"/>
                <w:color w:val="auto"/>
                <w:sz w:val="24"/>
                <w:highlight w:val="none"/>
              </w:rPr>
            </w:pPr>
            <w:r>
              <w:rPr>
                <w:rFonts w:hint="eastAsia" w:ascii="宋体" w:hAnsi="宋体" w:cs="宋体"/>
                <w:color w:val="auto"/>
                <w:sz w:val="24"/>
                <w:highlight w:val="none"/>
              </w:rPr>
              <w:t>1、提供相关人员通过投标人缴纳的投标截止之日前近三个月的任意一个月的社保证明作为本单位员工的证明依据。若供应商成立不足一个月的，需提供成立情况说明函（格式自拟），无需提供相关人员社保，亦可得分；若为退休返聘人员，需提供说明函（格式自拟），无需提供相关人员社保，亦可得分。</w:t>
            </w:r>
          </w:p>
          <w:p>
            <w:pPr>
              <w:rPr>
                <w:rFonts w:hint="eastAsia" w:ascii="宋体" w:hAnsi="宋体" w:cs="宋体"/>
                <w:color w:val="auto"/>
                <w:sz w:val="24"/>
                <w:highlight w:val="none"/>
              </w:rPr>
            </w:pPr>
            <w:r>
              <w:rPr>
                <w:rFonts w:hint="eastAsia" w:ascii="宋体" w:hAnsi="宋体" w:cs="宋体"/>
                <w:color w:val="auto"/>
                <w:sz w:val="24"/>
                <w:highlight w:val="none"/>
              </w:rPr>
              <w:t>2、学历证明：提供学历证书，还需提供学历认证报告或学信网（https://www.chsi.com.cn/）查询截图。学信网无法查询的，可提供其他佐证材料（如毕业院校、人社部门等颁发机构或监管机构等单位出具的证明），留学归国人员如无法提供学信网查询记录截图，提供国（境）外学历证书扫描件（以及中文翻译件）和教育部留学服务中心出具的国外学历学位认证书扫描件【或教育部留学服务中心网站（http://zwfw.cscse.edu.cn/）在线查询截图】也予以认可；</w:t>
            </w:r>
          </w:p>
          <w:p>
            <w:pPr>
              <w:rPr>
                <w:rFonts w:hint="eastAsia" w:ascii="宋体" w:hAnsi="宋体" w:cs="宋体"/>
                <w:color w:val="auto"/>
                <w:sz w:val="24"/>
                <w:highlight w:val="none"/>
              </w:rPr>
            </w:pPr>
            <w:r>
              <w:rPr>
                <w:rFonts w:hint="eastAsia" w:ascii="宋体" w:hAnsi="宋体" w:cs="宋体"/>
                <w:color w:val="auto"/>
                <w:sz w:val="24"/>
                <w:highlight w:val="none"/>
              </w:rPr>
              <w:t>3、相关证书：提供证书；（1）若证书为职业资格证书（或职业技能等级证书），则还须同时提供“技能人才评价证书全国联网查询”（网址：http://zscx.osta.org.cn）官网或颁发证书相对应的机构官网查询截图，否则不得分；（2）若证书由社会组织（协会或学会）颁发的，则还须同时提供该机构在中国社会组织政务服务平台（网址：https://chinanpo.mca.gov.cn）的查询“正常”页面截图，否则不予认可，视为无效证书；相关证书在公开渠道无法查询的，需提供颁发部门或者监管机构的证明材料，证明证书真实有效且为合法机构颁发。（注：红十字会属于由国务院机构编制管理机关核定，并经国务院批准免于登记的团体，无需提供中国社会组织政务服务平台网站查询截图）</w:t>
            </w:r>
          </w:p>
          <w:p>
            <w:pPr>
              <w:rPr>
                <w:rFonts w:hint="eastAsia" w:ascii="宋体" w:hAnsi="宋体" w:cs="宋体"/>
                <w:color w:val="auto"/>
                <w:sz w:val="24"/>
                <w:highlight w:val="none"/>
              </w:rPr>
            </w:pPr>
            <w:r>
              <w:rPr>
                <w:rFonts w:hint="eastAsia" w:ascii="宋体" w:hAnsi="宋体" w:cs="宋体"/>
                <w:color w:val="auto"/>
                <w:sz w:val="24"/>
                <w:highlight w:val="none"/>
              </w:rPr>
              <w:t>4、评分中出现无证明资料或证书过期或专家无法凭所提供资料判断是否得分的情况，一律作不得分处理。</w:t>
            </w:r>
          </w:p>
        </w:tc>
        <w:tc>
          <w:tcPr>
            <w:tcW w:w="750"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15</w:t>
            </w:r>
          </w:p>
        </w:tc>
        <w:tc>
          <w:tcPr>
            <w:tcW w:w="836" w:type="dxa"/>
            <w:vAlign w:val="center"/>
          </w:tcPr>
          <w:p>
            <w:pPr>
              <w:autoSpaceDE w:val="0"/>
              <w:autoSpaceDN w:val="0"/>
              <w:adjustRightInd w:val="0"/>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评审委员打分</w:t>
            </w:r>
          </w:p>
        </w:tc>
      </w:tr>
      <w:bookmarkEnd w:id="73"/>
    </w:tbl>
    <w:p>
      <w:pPr>
        <w:tabs>
          <w:tab w:val="left" w:pos="640"/>
          <w:tab w:val="left" w:pos="1260"/>
          <w:tab w:val="left" w:pos="1418"/>
        </w:tabs>
        <w:spacing w:line="360" w:lineRule="auto"/>
        <w:ind w:right="-420" w:rightChars="-200"/>
        <w:rPr>
          <w:rFonts w:hint="eastAsia" w:ascii="宋体" w:hAnsi="宋体" w:cs="宋体"/>
          <w:color w:val="auto"/>
          <w:sz w:val="24"/>
          <w:highlight w:val="none"/>
          <w:lang w:val="fr-CH"/>
        </w:rPr>
        <w:sectPr>
          <w:pgSz w:w="11906" w:h="16838"/>
          <w:pgMar w:top="1490" w:right="1803" w:bottom="709" w:left="1803" w:header="851" w:footer="992" w:gutter="0"/>
          <w:cols w:space="720" w:num="1"/>
          <w:docGrid w:type="lines" w:linePitch="319" w:charSpace="0"/>
        </w:sectPr>
      </w:pPr>
    </w:p>
    <w:p>
      <w:pPr>
        <w:spacing w:line="360" w:lineRule="auto"/>
        <w:jc w:val="center"/>
        <w:outlineLvl w:val="0"/>
        <w:rPr>
          <w:rFonts w:hint="eastAsia" w:ascii="宋体" w:hAnsi="宋体" w:cs="宋体"/>
          <w:b/>
          <w:bCs/>
          <w:color w:val="auto"/>
          <w:sz w:val="24"/>
          <w:highlight w:val="none"/>
        </w:rPr>
      </w:pPr>
      <w:bookmarkStart w:id="75" w:name="_Toc31322"/>
      <w:r>
        <w:rPr>
          <w:rFonts w:hint="eastAsia" w:ascii="宋体" w:hAnsi="宋体" w:cs="宋体"/>
          <w:b/>
          <w:bCs/>
          <w:color w:val="auto"/>
          <w:sz w:val="24"/>
          <w:highlight w:val="none"/>
        </w:rPr>
        <w:t>第七章 附件（投标文件格式）</w:t>
      </w:r>
      <w:bookmarkEnd w:id="71"/>
      <w:bookmarkEnd w:id="75"/>
    </w:p>
    <w:p>
      <w:pPr>
        <w:keepNext/>
        <w:keepLines/>
        <w:spacing w:before="260" w:after="260" w:line="440" w:lineRule="exact"/>
        <w:jc w:val="center"/>
        <w:outlineLvl w:val="1"/>
        <w:rPr>
          <w:rFonts w:hint="eastAsia" w:ascii="宋体" w:hAnsi="宋体" w:cs="宋体"/>
          <w:b/>
          <w:bCs/>
          <w:color w:val="auto"/>
          <w:sz w:val="24"/>
          <w:highlight w:val="none"/>
        </w:rPr>
      </w:pPr>
      <w:bookmarkStart w:id="76" w:name="_Toc19494"/>
      <w:bookmarkStart w:id="77" w:name="_Toc31827"/>
      <w:bookmarkStart w:id="78" w:name="_Toc6548"/>
      <w:bookmarkStart w:id="79" w:name="_Toc5116"/>
      <w:r>
        <w:rPr>
          <w:rFonts w:hint="eastAsia" w:ascii="宋体" w:hAnsi="宋体" w:cs="宋体"/>
          <w:b/>
          <w:bCs/>
          <w:color w:val="auto"/>
          <w:sz w:val="24"/>
          <w:highlight w:val="none"/>
        </w:rPr>
        <w:t>1、投标文件密封袋/封面参考</w:t>
      </w:r>
      <w:bookmarkEnd w:id="76"/>
      <w:bookmarkEnd w:id="77"/>
      <w:bookmarkEnd w:id="78"/>
      <w:bookmarkEnd w:id="79"/>
    </w:p>
    <w:tbl>
      <w:tblPr>
        <w:tblStyle w:val="18"/>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2"/>
              <w:tabs>
                <w:tab w:val="left" w:pos="562"/>
                <w:tab w:val="left" w:pos="3372"/>
                <w:tab w:val="left" w:pos="3653"/>
              </w:tabs>
              <w:spacing w:line="360" w:lineRule="auto"/>
              <w:rPr>
                <w:rFonts w:ascii="仿宋_GB2312" w:eastAsia="仿宋_GB2312"/>
                <w:b/>
                <w:color w:val="auto"/>
                <w:sz w:val="32"/>
                <w:highlight w:val="none"/>
              </w:rPr>
            </w:pPr>
          </w:p>
          <w:p>
            <w:pPr>
              <w:pStyle w:val="2"/>
              <w:tabs>
                <w:tab w:val="left" w:pos="562"/>
                <w:tab w:val="left" w:pos="3372"/>
                <w:tab w:val="left" w:pos="3653"/>
              </w:tabs>
              <w:spacing w:line="360" w:lineRule="auto"/>
              <w:jc w:val="center"/>
              <w:rPr>
                <w:rFonts w:ascii="黑体" w:eastAsia="黑体"/>
                <w:b/>
                <w:color w:val="auto"/>
                <w:sz w:val="72"/>
                <w:szCs w:val="72"/>
                <w:highlight w:val="none"/>
              </w:rPr>
            </w:pPr>
          </w:p>
          <w:p>
            <w:pPr>
              <w:pStyle w:val="2"/>
              <w:tabs>
                <w:tab w:val="left" w:pos="562"/>
                <w:tab w:val="left" w:pos="3372"/>
                <w:tab w:val="left" w:pos="3653"/>
              </w:tabs>
              <w:spacing w:line="360" w:lineRule="auto"/>
              <w:jc w:val="center"/>
              <w:rPr>
                <w:rFonts w:ascii="黑体" w:eastAsia="黑体"/>
                <w:b/>
                <w:color w:val="auto"/>
                <w:sz w:val="72"/>
                <w:szCs w:val="72"/>
                <w:highlight w:val="none"/>
              </w:rPr>
            </w:pPr>
            <w:r>
              <w:rPr>
                <w:rFonts w:hint="eastAsia" w:ascii="黑体" w:eastAsia="黑体"/>
                <w:b/>
                <w:color w:val="auto"/>
                <w:sz w:val="72"/>
                <w:szCs w:val="72"/>
                <w:highlight w:val="none"/>
              </w:rPr>
              <w:t>投 标 文 件</w:t>
            </w:r>
          </w:p>
          <w:p>
            <w:pPr>
              <w:pStyle w:val="2"/>
              <w:tabs>
                <w:tab w:val="left" w:pos="562"/>
                <w:tab w:val="left" w:pos="3372"/>
                <w:tab w:val="left" w:pos="3653"/>
              </w:tabs>
              <w:spacing w:line="360" w:lineRule="auto"/>
              <w:jc w:val="center"/>
              <w:rPr>
                <w:rFonts w:ascii="黑体" w:eastAsia="黑体"/>
                <w:b/>
                <w:strike/>
                <w:color w:val="auto"/>
                <w:sz w:val="32"/>
                <w:highlight w:val="none"/>
              </w:rPr>
            </w:pPr>
          </w:p>
          <w:p>
            <w:pPr>
              <w:spacing w:after="120" w:line="360" w:lineRule="auto"/>
              <w:ind w:firstLine="3385" w:firstLineChars="651"/>
              <w:textAlignment w:val="baseline"/>
              <w:rPr>
                <w:rFonts w:ascii="黑体" w:eastAsia="黑体"/>
                <w:color w:val="auto"/>
                <w:sz w:val="32"/>
                <w:highlight w:val="none"/>
              </w:rPr>
            </w:pPr>
            <w:r>
              <w:rPr>
                <w:rFonts w:hint="eastAsia" w:ascii="黑体" w:eastAsia="黑体"/>
                <w:color w:val="auto"/>
                <w:sz w:val="52"/>
                <w:szCs w:val="52"/>
                <w:highlight w:val="none"/>
              </w:rPr>
              <w:t xml:space="preserve">口 </w:t>
            </w:r>
            <w:r>
              <w:rPr>
                <w:rFonts w:hint="eastAsia" w:ascii="黑体" w:eastAsia="黑体"/>
                <w:color w:val="auto"/>
                <w:sz w:val="32"/>
                <w:highlight w:val="none"/>
              </w:rPr>
              <w:t>正本</w:t>
            </w:r>
          </w:p>
          <w:p>
            <w:pPr>
              <w:spacing w:after="120" w:line="360" w:lineRule="auto"/>
              <w:ind w:firstLine="3385" w:firstLineChars="651"/>
              <w:textAlignment w:val="baseline"/>
              <w:rPr>
                <w:rFonts w:ascii="黑体" w:eastAsia="黑体"/>
                <w:color w:val="auto"/>
                <w:sz w:val="32"/>
                <w:highlight w:val="none"/>
              </w:rPr>
            </w:pPr>
            <w:r>
              <w:rPr>
                <w:rFonts w:hint="eastAsia" w:ascii="黑体" w:eastAsia="黑体"/>
                <w:color w:val="auto"/>
                <w:sz w:val="52"/>
                <w:szCs w:val="52"/>
                <w:highlight w:val="none"/>
              </w:rPr>
              <w:t xml:space="preserve">口 </w:t>
            </w:r>
            <w:r>
              <w:rPr>
                <w:rFonts w:hint="eastAsia" w:ascii="黑体" w:eastAsia="黑体"/>
                <w:color w:val="auto"/>
                <w:sz w:val="32"/>
                <w:highlight w:val="none"/>
              </w:rPr>
              <w:t>副本</w:t>
            </w:r>
          </w:p>
          <w:p>
            <w:pPr>
              <w:pStyle w:val="2"/>
              <w:tabs>
                <w:tab w:val="left" w:pos="562"/>
                <w:tab w:val="left" w:pos="3372"/>
                <w:tab w:val="left" w:pos="3653"/>
              </w:tabs>
              <w:spacing w:line="360" w:lineRule="auto"/>
              <w:rPr>
                <w:rFonts w:ascii="仿宋_GB2312" w:eastAsia="仿宋_GB2312"/>
                <w:b/>
                <w:color w:val="auto"/>
                <w:sz w:val="32"/>
                <w:highlight w:val="none"/>
              </w:rPr>
            </w:pPr>
          </w:p>
          <w:p>
            <w:pPr>
              <w:rPr>
                <w:color w:val="auto"/>
                <w:highlight w:val="none"/>
              </w:rPr>
            </w:pPr>
          </w:p>
          <w:p>
            <w:pPr>
              <w:pStyle w:val="2"/>
              <w:tabs>
                <w:tab w:val="left" w:pos="562"/>
                <w:tab w:val="left" w:pos="3372"/>
                <w:tab w:val="left" w:pos="3653"/>
              </w:tabs>
              <w:spacing w:line="400" w:lineRule="exact"/>
              <w:ind w:firstLine="900" w:firstLineChars="320"/>
              <w:rPr>
                <w:rFonts w:ascii="仿宋_GB2312" w:eastAsia="仿宋_GB2312"/>
                <w:b/>
                <w:color w:val="auto"/>
                <w:sz w:val="28"/>
                <w:szCs w:val="28"/>
                <w:highlight w:val="none"/>
              </w:rPr>
            </w:pPr>
          </w:p>
          <w:p>
            <w:pPr>
              <w:pStyle w:val="2"/>
              <w:tabs>
                <w:tab w:val="left" w:pos="562"/>
                <w:tab w:val="left" w:pos="3372"/>
                <w:tab w:val="left" w:pos="3653"/>
              </w:tabs>
              <w:spacing w:line="400" w:lineRule="exact"/>
              <w:ind w:firstLine="900" w:firstLineChars="320"/>
              <w:rPr>
                <w:rFonts w:hint="eastAsia" w:ascii="宋体" w:hAnsi="宋体" w:cs="宋体"/>
                <w:b/>
                <w:color w:val="auto"/>
                <w:sz w:val="28"/>
                <w:szCs w:val="28"/>
                <w:highlight w:val="none"/>
              </w:rPr>
            </w:pPr>
            <w:r>
              <w:rPr>
                <w:rFonts w:hint="eastAsia" w:ascii="宋体" w:hAnsi="宋体" w:cs="宋体"/>
                <w:b/>
                <w:color w:val="auto"/>
                <w:sz w:val="28"/>
                <w:szCs w:val="28"/>
                <w:highlight w:val="none"/>
              </w:rPr>
              <w:t>项目编号：</w:t>
            </w:r>
            <w:r>
              <w:rPr>
                <w:rFonts w:hint="eastAsia" w:ascii="宋体" w:hAnsi="宋体" w:cs="Arial"/>
                <w:b/>
                <w:bCs/>
                <w:color w:val="auto"/>
                <w:sz w:val="28"/>
                <w:szCs w:val="28"/>
                <w:highlight w:val="none"/>
                <w:u w:val="single"/>
              </w:rPr>
              <w:t xml:space="preserve">                                   </w:t>
            </w:r>
          </w:p>
          <w:p>
            <w:pPr>
              <w:pStyle w:val="2"/>
              <w:tabs>
                <w:tab w:val="left" w:pos="562"/>
                <w:tab w:val="left" w:pos="3372"/>
                <w:tab w:val="left" w:pos="3653"/>
              </w:tabs>
              <w:spacing w:line="400" w:lineRule="exact"/>
              <w:ind w:firstLine="900" w:firstLineChars="320"/>
              <w:rPr>
                <w:rFonts w:hint="eastAsia" w:ascii="宋体" w:hAnsi="宋体" w:cs="宋体"/>
                <w:b/>
                <w:color w:val="auto"/>
                <w:sz w:val="28"/>
                <w:szCs w:val="28"/>
                <w:highlight w:val="none"/>
              </w:rPr>
            </w:pPr>
            <w:r>
              <w:rPr>
                <w:rFonts w:hint="eastAsia" w:ascii="宋体" w:hAnsi="宋体" w:cs="宋体"/>
                <w:b/>
                <w:color w:val="auto"/>
                <w:sz w:val="28"/>
                <w:szCs w:val="28"/>
                <w:highlight w:val="none"/>
              </w:rPr>
              <w:t>项目名称：</w:t>
            </w:r>
            <w:r>
              <w:rPr>
                <w:rFonts w:hint="eastAsia" w:ascii="宋体" w:hAnsi="宋体" w:cs="Arial"/>
                <w:b/>
                <w:bCs/>
                <w:color w:val="auto"/>
                <w:sz w:val="28"/>
                <w:szCs w:val="28"/>
                <w:highlight w:val="none"/>
                <w:u w:val="single"/>
              </w:rPr>
              <w:t xml:space="preserve">                                   </w:t>
            </w:r>
          </w:p>
          <w:p>
            <w:pPr>
              <w:pStyle w:val="2"/>
              <w:tabs>
                <w:tab w:val="left" w:pos="562"/>
                <w:tab w:val="left" w:pos="3372"/>
                <w:tab w:val="left" w:pos="3653"/>
              </w:tabs>
              <w:spacing w:line="400" w:lineRule="exact"/>
              <w:ind w:firstLine="900" w:firstLineChars="320"/>
              <w:rPr>
                <w:rFonts w:hint="eastAsia" w:ascii="宋体" w:hAnsi="宋体" w:cs="宋体"/>
                <w:b/>
                <w:color w:val="auto"/>
                <w:sz w:val="28"/>
                <w:szCs w:val="28"/>
                <w:highlight w:val="none"/>
              </w:rPr>
            </w:pPr>
            <w:r>
              <w:rPr>
                <w:rFonts w:hint="eastAsia" w:ascii="宋体" w:hAnsi="宋体" w:cs="宋体"/>
                <w:b/>
                <w:color w:val="auto"/>
                <w:sz w:val="28"/>
                <w:szCs w:val="28"/>
                <w:highlight w:val="none"/>
              </w:rPr>
              <w:t>投标人名称：</w:t>
            </w:r>
            <w:r>
              <w:rPr>
                <w:rFonts w:hint="eastAsia" w:ascii="宋体" w:hAnsi="宋体" w:cs="Arial"/>
                <w:b/>
                <w:bCs/>
                <w:color w:val="auto"/>
                <w:sz w:val="28"/>
                <w:szCs w:val="28"/>
                <w:highlight w:val="none"/>
                <w:u w:val="single"/>
              </w:rPr>
              <w:t xml:space="preserve">                     （加盖公章）</w:t>
            </w:r>
          </w:p>
          <w:p>
            <w:pPr>
              <w:pStyle w:val="2"/>
              <w:tabs>
                <w:tab w:val="left" w:pos="562"/>
                <w:tab w:val="left" w:pos="3372"/>
                <w:tab w:val="left" w:pos="3653"/>
              </w:tabs>
              <w:spacing w:line="400" w:lineRule="exact"/>
              <w:ind w:firstLine="900" w:firstLineChars="320"/>
              <w:rPr>
                <w:rFonts w:hint="eastAsia" w:ascii="宋体" w:hAnsi="宋体" w:cs="Arial"/>
                <w:b/>
                <w:bCs/>
                <w:color w:val="auto"/>
                <w:sz w:val="28"/>
                <w:szCs w:val="28"/>
                <w:highlight w:val="none"/>
                <w:u w:val="single"/>
              </w:rPr>
            </w:pPr>
            <w:r>
              <w:rPr>
                <w:rFonts w:hint="eastAsia" w:ascii="宋体" w:hAnsi="宋体" w:cs="宋体"/>
                <w:b/>
                <w:color w:val="auto"/>
                <w:sz w:val="28"/>
                <w:szCs w:val="28"/>
                <w:highlight w:val="none"/>
              </w:rPr>
              <w:t>投标人地址：</w:t>
            </w:r>
            <w:r>
              <w:rPr>
                <w:rFonts w:hint="eastAsia" w:ascii="宋体" w:hAnsi="宋体" w:cs="Arial"/>
                <w:b/>
                <w:bCs/>
                <w:color w:val="auto"/>
                <w:sz w:val="28"/>
                <w:szCs w:val="28"/>
                <w:highlight w:val="none"/>
                <w:u w:val="single"/>
              </w:rPr>
              <w:t xml:space="preserve">                                 </w:t>
            </w:r>
          </w:p>
          <w:p>
            <w:pPr>
              <w:pStyle w:val="2"/>
              <w:tabs>
                <w:tab w:val="left" w:pos="562"/>
                <w:tab w:val="left" w:pos="3372"/>
                <w:tab w:val="left" w:pos="3653"/>
              </w:tabs>
              <w:spacing w:line="400" w:lineRule="exact"/>
              <w:ind w:firstLine="900" w:firstLineChars="320"/>
              <w:rPr>
                <w:rFonts w:hint="eastAsia" w:ascii="宋体" w:hAnsi="宋体" w:cs="Arial"/>
                <w:b/>
                <w:bCs/>
                <w:color w:val="auto"/>
                <w:sz w:val="28"/>
                <w:szCs w:val="28"/>
                <w:highlight w:val="none"/>
                <w:u w:val="single"/>
              </w:rPr>
            </w:pPr>
            <w:r>
              <w:rPr>
                <w:rFonts w:hint="eastAsia" w:ascii="宋体" w:hAnsi="宋体" w:cs="Arial"/>
                <w:b/>
                <w:bCs/>
                <w:color w:val="auto"/>
                <w:sz w:val="28"/>
                <w:szCs w:val="28"/>
                <w:highlight w:val="none"/>
              </w:rPr>
              <w:t>法定代表人/被授权人：</w:t>
            </w:r>
            <w:r>
              <w:rPr>
                <w:rFonts w:hint="eastAsia" w:ascii="宋体" w:hAnsi="宋体" w:cs="Arial"/>
                <w:b/>
                <w:bCs/>
                <w:color w:val="auto"/>
                <w:sz w:val="28"/>
                <w:szCs w:val="28"/>
                <w:highlight w:val="none"/>
                <w:u w:val="single"/>
              </w:rPr>
              <w:t xml:space="preserve">                        </w:t>
            </w:r>
          </w:p>
          <w:p>
            <w:pPr>
              <w:pStyle w:val="2"/>
              <w:tabs>
                <w:tab w:val="left" w:pos="562"/>
                <w:tab w:val="left" w:pos="3372"/>
                <w:tab w:val="left" w:pos="3653"/>
              </w:tabs>
              <w:spacing w:line="400" w:lineRule="exact"/>
              <w:ind w:firstLine="900" w:firstLineChars="320"/>
              <w:rPr>
                <w:rFonts w:hint="eastAsia" w:ascii="宋体" w:hAnsi="宋体" w:cs="宋体"/>
                <w:b/>
                <w:color w:val="auto"/>
                <w:sz w:val="28"/>
                <w:szCs w:val="28"/>
                <w:highlight w:val="none"/>
              </w:rPr>
            </w:pPr>
            <w:r>
              <w:rPr>
                <w:rFonts w:hint="eastAsia" w:ascii="宋体" w:hAnsi="宋体" w:cs="Arial"/>
                <w:b/>
                <w:bCs/>
                <w:color w:val="auto"/>
                <w:sz w:val="28"/>
                <w:szCs w:val="28"/>
                <w:highlight w:val="none"/>
              </w:rPr>
              <w:t>联系电话：</w:t>
            </w:r>
            <w:r>
              <w:rPr>
                <w:rFonts w:hint="eastAsia" w:ascii="宋体" w:hAnsi="宋体" w:cs="Arial"/>
                <w:b/>
                <w:bCs/>
                <w:color w:val="auto"/>
                <w:sz w:val="28"/>
                <w:szCs w:val="28"/>
                <w:highlight w:val="none"/>
                <w:u w:val="single"/>
              </w:rPr>
              <w:t xml:space="preserve">                                   </w:t>
            </w:r>
          </w:p>
          <w:p>
            <w:pPr>
              <w:spacing w:line="360" w:lineRule="auto"/>
              <w:jc w:val="center"/>
              <w:rPr>
                <w:rFonts w:hint="eastAsia" w:ascii="宋体" w:hAnsi="宋体" w:cs="Arial"/>
                <w:b/>
                <w:bCs/>
                <w:color w:val="auto"/>
                <w:sz w:val="28"/>
                <w:szCs w:val="28"/>
                <w:highlight w:val="none"/>
              </w:rPr>
            </w:pPr>
          </w:p>
          <w:p>
            <w:pPr>
              <w:spacing w:line="360" w:lineRule="auto"/>
              <w:jc w:val="center"/>
              <w:rPr>
                <w:rFonts w:hint="eastAsia" w:ascii="宋体" w:hAnsi="宋体" w:cs="Arial"/>
                <w:b/>
                <w:bCs/>
                <w:color w:val="auto"/>
                <w:sz w:val="28"/>
                <w:szCs w:val="28"/>
                <w:highlight w:val="none"/>
              </w:rPr>
            </w:pPr>
          </w:p>
          <w:p>
            <w:pPr>
              <w:spacing w:line="360" w:lineRule="auto"/>
              <w:jc w:val="center"/>
              <w:rPr>
                <w:rFonts w:ascii="仿宋_GB2312" w:eastAsia="仿宋_GB2312"/>
                <w:b/>
                <w:color w:val="auto"/>
                <w:sz w:val="32"/>
                <w:highlight w:val="none"/>
              </w:rPr>
            </w:pPr>
            <w:r>
              <w:rPr>
                <w:rFonts w:hint="eastAsia" w:ascii="宋体" w:hAnsi="宋体" w:cs="Arial"/>
                <w:b/>
                <w:bCs/>
                <w:color w:val="auto"/>
                <w:sz w:val="28"/>
                <w:szCs w:val="28"/>
                <w:highlight w:val="none"/>
              </w:rPr>
              <w:t>【年月日时分之前不得启封。】</w:t>
            </w:r>
          </w:p>
        </w:tc>
      </w:tr>
    </w:tbl>
    <w:p>
      <w:pPr>
        <w:spacing w:line="360" w:lineRule="auto"/>
        <w:jc w:val="center"/>
        <w:rPr>
          <w:rFonts w:hint="eastAsia" w:ascii="宋体" w:hAnsi="宋体" w:cs="宋体"/>
          <w:b/>
          <w:bCs/>
          <w:color w:val="auto"/>
          <w:sz w:val="24"/>
          <w:highlight w:val="none"/>
        </w:rPr>
      </w:pPr>
    </w:p>
    <w:p>
      <w:pPr>
        <w:spacing w:before="100" w:beforeAutospacing="1" w:after="100" w:afterAutospacing="1"/>
        <w:jc w:val="center"/>
        <w:outlineLvl w:val="1"/>
        <w:rPr>
          <w:rFonts w:hint="eastAsia" w:ascii="宋体" w:hAnsi="宋体" w:cs="宋体"/>
          <w:b/>
          <w:color w:val="auto"/>
          <w:sz w:val="24"/>
          <w:highlight w:val="none"/>
        </w:rPr>
      </w:pPr>
      <w:bookmarkStart w:id="80" w:name="_Toc16724"/>
      <w:r>
        <w:rPr>
          <w:rFonts w:hint="eastAsia" w:ascii="宋体" w:hAnsi="宋体" w:cs="宋体"/>
          <w:b/>
          <w:color w:val="auto"/>
          <w:sz w:val="24"/>
          <w:highlight w:val="none"/>
        </w:rPr>
        <w:t>2、投标文件—目录</w:t>
      </w:r>
      <w:bookmarkEnd w:id="80"/>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（一）</w:t>
      </w:r>
      <w:r>
        <w:rPr>
          <w:rFonts w:hint="eastAsia" w:ascii="宋体" w:hAnsi="宋体" w:cs="宋体"/>
          <w:b/>
          <w:bCs/>
          <w:color w:val="auto"/>
          <w:sz w:val="24"/>
          <w:highlight w:val="none"/>
          <w:lang w:val="zh-CN"/>
        </w:rPr>
        <w:t>价格部分</w:t>
      </w:r>
    </w:p>
    <w:p>
      <w:pPr>
        <w:numPr>
          <w:ilvl w:val="0"/>
          <w:numId w:val="11"/>
        </w:numPr>
        <w:tabs>
          <w:tab w:val="left" w:pos="640"/>
          <w:tab w:val="clear" w:pos="425"/>
        </w:tabs>
        <w:spacing w:line="360" w:lineRule="auto"/>
        <w:ind w:left="625" w:hanging="625"/>
        <w:rPr>
          <w:rFonts w:hint="eastAsia" w:ascii="宋体" w:hAnsi="宋体" w:cs="宋体"/>
          <w:color w:val="auto"/>
          <w:sz w:val="24"/>
          <w:highlight w:val="none"/>
        </w:rPr>
      </w:pPr>
      <w:r>
        <w:rPr>
          <w:rFonts w:hint="eastAsia" w:ascii="宋体" w:hAnsi="宋体" w:cs="宋体"/>
          <w:color w:val="auto"/>
          <w:sz w:val="24"/>
          <w:highlight w:val="none"/>
        </w:rPr>
        <w:t>投标一览表；</w:t>
      </w:r>
    </w:p>
    <w:p>
      <w:pPr>
        <w:numPr>
          <w:ilvl w:val="0"/>
          <w:numId w:val="11"/>
        </w:numPr>
        <w:tabs>
          <w:tab w:val="left" w:pos="640"/>
          <w:tab w:val="clear" w:pos="425"/>
        </w:tabs>
        <w:spacing w:line="360" w:lineRule="auto"/>
        <w:ind w:left="625" w:hanging="625"/>
        <w:rPr>
          <w:rFonts w:hint="eastAsia" w:ascii="宋体" w:hAnsi="宋体" w:cs="宋体"/>
          <w:color w:val="auto"/>
          <w:sz w:val="24"/>
          <w:highlight w:val="none"/>
        </w:rPr>
      </w:pPr>
      <w:r>
        <w:rPr>
          <w:rFonts w:hint="eastAsia" w:ascii="宋体" w:hAnsi="宋体" w:cs="宋体"/>
          <w:color w:val="auto"/>
          <w:sz w:val="24"/>
          <w:highlight w:val="none"/>
        </w:rPr>
        <w:t>分类报价明细表；</w:t>
      </w:r>
    </w:p>
    <w:p>
      <w:pPr>
        <w:spacing w:line="360" w:lineRule="auto"/>
        <w:rPr>
          <w:rFonts w:hint="eastAsia" w:ascii="宋体" w:hAnsi="宋体" w:cs="宋体"/>
          <w:b/>
          <w:bCs/>
          <w:color w:val="auto"/>
          <w:sz w:val="24"/>
          <w:highlight w:val="none"/>
          <w:u w:val="wave"/>
        </w:rPr>
      </w:pPr>
      <w:r>
        <w:rPr>
          <w:rFonts w:hint="eastAsia" w:ascii="宋体" w:hAnsi="宋体" w:cs="宋体"/>
          <w:b/>
          <w:bCs/>
          <w:color w:val="auto"/>
          <w:sz w:val="24"/>
          <w:highlight w:val="none"/>
        </w:rPr>
        <w:t>（二）商务部分</w:t>
      </w:r>
    </w:p>
    <w:p>
      <w:pPr>
        <w:numPr>
          <w:ilvl w:val="0"/>
          <w:numId w:val="12"/>
        </w:numPr>
        <w:tabs>
          <w:tab w:val="left" w:pos="640"/>
          <w:tab w:val="left" w:pos="1260"/>
          <w:tab w:val="left" w:pos="1418"/>
        </w:tabs>
        <w:spacing w:line="360" w:lineRule="auto"/>
        <w:ind w:left="845" w:hanging="845"/>
        <w:rPr>
          <w:rFonts w:hint="eastAsia" w:ascii="宋体" w:hAnsi="宋体" w:cs="宋体"/>
          <w:color w:val="auto"/>
          <w:sz w:val="24"/>
          <w:highlight w:val="none"/>
        </w:rPr>
      </w:pPr>
      <w:r>
        <w:rPr>
          <w:rFonts w:hint="eastAsia" w:ascii="宋体" w:hAnsi="宋体" w:cs="宋体"/>
          <w:color w:val="auto"/>
          <w:sz w:val="24"/>
          <w:highlight w:val="none"/>
        </w:rPr>
        <w:t>投标响应书；</w:t>
      </w:r>
    </w:p>
    <w:p>
      <w:pPr>
        <w:numPr>
          <w:ilvl w:val="0"/>
          <w:numId w:val="12"/>
        </w:numPr>
        <w:tabs>
          <w:tab w:val="left" w:pos="640"/>
          <w:tab w:val="left" w:pos="1260"/>
          <w:tab w:val="left" w:pos="1418"/>
        </w:tabs>
        <w:spacing w:line="360" w:lineRule="auto"/>
        <w:ind w:left="645" w:hanging="645"/>
        <w:rPr>
          <w:rFonts w:hint="eastAsia" w:ascii="宋体" w:hAnsi="宋体" w:cs="宋体"/>
          <w:color w:val="auto"/>
          <w:sz w:val="24"/>
          <w:highlight w:val="none"/>
          <w:lang w:val="fr-CH"/>
        </w:rPr>
      </w:pPr>
      <w:r>
        <w:rPr>
          <w:rFonts w:hint="eastAsia" w:ascii="宋体" w:hAnsi="宋体" w:cs="宋体"/>
          <w:color w:val="auto"/>
          <w:sz w:val="24"/>
          <w:highlight w:val="none"/>
          <w:lang w:val="fr-CH"/>
        </w:rPr>
        <w:t>营业执照【其他组织提供《事业单位法人证书》或《民办非企业单位登记证书》】及税务登记册证副本复印件(加盖投标人公章，若提供的营业执照为三证合一，则税务登记证可不单独提供)；分支机构投标须提供总公司(或总所)出具的愿为其参与本项目投标的行为以及履约等行为承担民事责任的承诺函，且同一家总公司(或总所)若有两家或两家以上的分支机构，总公司(或总所)只能授权一家参与投标；</w:t>
      </w:r>
    </w:p>
    <w:p>
      <w:pPr>
        <w:numPr>
          <w:ilvl w:val="0"/>
          <w:numId w:val="12"/>
        </w:numPr>
        <w:tabs>
          <w:tab w:val="left" w:pos="640"/>
          <w:tab w:val="left" w:pos="1260"/>
          <w:tab w:val="left" w:pos="1418"/>
        </w:tabs>
        <w:spacing w:line="360" w:lineRule="auto"/>
        <w:ind w:left="645" w:hanging="645"/>
        <w:rPr>
          <w:rFonts w:hint="eastAsia" w:ascii="宋体" w:hAnsi="宋体" w:cs="宋体"/>
          <w:b/>
          <w:bCs/>
          <w:color w:val="auto"/>
          <w:sz w:val="24"/>
          <w:highlight w:val="none"/>
          <w:lang w:val="fr-CH"/>
        </w:rPr>
      </w:pPr>
      <w:r>
        <w:rPr>
          <w:rFonts w:hint="eastAsia" w:ascii="宋体" w:hAnsi="宋体" w:cs="宋体"/>
          <w:color w:val="auto"/>
          <w:sz w:val="24"/>
          <w:highlight w:val="none"/>
          <w:lang w:val="fr-CH"/>
        </w:rPr>
        <w:t>政府采购投标及履约承诺函；</w:t>
      </w:r>
    </w:p>
    <w:p>
      <w:pPr>
        <w:numPr>
          <w:ilvl w:val="0"/>
          <w:numId w:val="12"/>
        </w:numPr>
        <w:tabs>
          <w:tab w:val="left" w:pos="640"/>
          <w:tab w:val="left" w:pos="1260"/>
          <w:tab w:val="left" w:pos="1418"/>
        </w:tabs>
        <w:spacing w:line="360" w:lineRule="auto"/>
        <w:ind w:left="645" w:hanging="645"/>
        <w:rPr>
          <w:rFonts w:hint="eastAsia" w:ascii="宋体" w:hAnsi="宋体" w:cs="宋体"/>
          <w:color w:val="auto"/>
          <w:sz w:val="24"/>
          <w:highlight w:val="none"/>
          <w:lang w:val="fr-CH"/>
        </w:rPr>
      </w:pPr>
      <w:r>
        <w:rPr>
          <w:rFonts w:hint="eastAsia" w:ascii="宋体" w:hAnsi="宋体" w:cs="宋体"/>
          <w:color w:val="auto"/>
          <w:sz w:val="24"/>
          <w:highlight w:val="none"/>
          <w:lang w:val="fr-CH"/>
        </w:rPr>
        <w:t>关于资格的声明函；</w:t>
      </w:r>
    </w:p>
    <w:p>
      <w:pPr>
        <w:numPr>
          <w:ilvl w:val="0"/>
          <w:numId w:val="12"/>
        </w:numPr>
        <w:tabs>
          <w:tab w:val="left" w:pos="640"/>
          <w:tab w:val="left" w:pos="1260"/>
          <w:tab w:val="left" w:pos="1418"/>
        </w:tabs>
        <w:spacing w:line="360" w:lineRule="auto"/>
        <w:ind w:left="645" w:hanging="645"/>
        <w:rPr>
          <w:rFonts w:hint="eastAsia" w:ascii="宋体" w:hAnsi="宋体" w:cs="宋体"/>
          <w:b/>
          <w:bCs/>
          <w:color w:val="auto"/>
          <w:sz w:val="24"/>
          <w:highlight w:val="none"/>
          <w:lang w:val="fr-CH"/>
        </w:rPr>
      </w:pPr>
      <w:r>
        <w:rPr>
          <w:rFonts w:hint="eastAsia" w:ascii="宋体" w:hAnsi="宋体" w:cs="宋体"/>
          <w:color w:val="auto"/>
          <w:sz w:val="24"/>
          <w:highlight w:val="none"/>
          <w:lang w:val="fr-CH"/>
        </w:rPr>
        <w:t>法人代表证明书及身份证明；</w:t>
      </w:r>
    </w:p>
    <w:p>
      <w:pPr>
        <w:numPr>
          <w:ilvl w:val="0"/>
          <w:numId w:val="12"/>
        </w:numPr>
        <w:tabs>
          <w:tab w:val="left" w:pos="640"/>
          <w:tab w:val="left" w:pos="1260"/>
          <w:tab w:val="left" w:pos="1418"/>
        </w:tabs>
        <w:spacing w:line="360" w:lineRule="auto"/>
        <w:ind w:left="845"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t>法定代表人授权书及身份证明；</w:t>
      </w:r>
    </w:p>
    <w:p>
      <w:pPr>
        <w:numPr>
          <w:ilvl w:val="0"/>
          <w:numId w:val="12"/>
        </w:numPr>
        <w:tabs>
          <w:tab w:val="left" w:pos="640"/>
          <w:tab w:val="left" w:pos="1260"/>
          <w:tab w:val="left" w:pos="1418"/>
        </w:tabs>
        <w:spacing w:line="360" w:lineRule="auto"/>
        <w:ind w:left="845" w:hanging="845"/>
        <w:rPr>
          <w:rFonts w:hint="eastAsia" w:ascii="宋体" w:hAnsi="宋体" w:cs="宋体"/>
          <w:b/>
          <w:bCs/>
          <w:color w:val="auto"/>
          <w:sz w:val="24"/>
          <w:highlight w:val="none"/>
          <w:lang w:val="fr-CH"/>
        </w:rPr>
      </w:pPr>
      <w:r>
        <w:rPr>
          <w:rFonts w:hint="eastAsia" w:ascii="宋体" w:hAnsi="宋体" w:cs="宋体"/>
          <w:color w:val="auto"/>
          <w:sz w:val="24"/>
          <w:highlight w:val="none"/>
          <w:lang w:val="fr-CH"/>
        </w:rPr>
        <w:t>招标代理服务费承诺书；</w:t>
      </w:r>
    </w:p>
    <w:p>
      <w:pPr>
        <w:numPr>
          <w:ilvl w:val="0"/>
          <w:numId w:val="12"/>
        </w:numPr>
        <w:tabs>
          <w:tab w:val="left" w:pos="640"/>
          <w:tab w:val="left" w:pos="1260"/>
          <w:tab w:val="left" w:pos="1418"/>
        </w:tabs>
        <w:spacing w:line="360" w:lineRule="auto"/>
        <w:ind w:left="845"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t>投标人简介；</w:t>
      </w:r>
    </w:p>
    <w:p>
      <w:pPr>
        <w:numPr>
          <w:ilvl w:val="0"/>
          <w:numId w:val="12"/>
        </w:numPr>
        <w:tabs>
          <w:tab w:val="left" w:pos="640"/>
          <w:tab w:val="left" w:pos="840"/>
          <w:tab w:val="left" w:pos="1260"/>
          <w:tab w:val="left" w:pos="1418"/>
        </w:tabs>
        <w:spacing w:line="360" w:lineRule="auto"/>
        <w:ind w:left="845" w:hanging="845"/>
        <w:rPr>
          <w:rFonts w:hint="eastAsia" w:ascii="宋体" w:hAnsi="宋体" w:cs="宋体"/>
          <w:color w:val="auto"/>
          <w:sz w:val="24"/>
          <w:highlight w:val="none"/>
          <w:lang w:val="fr-CH"/>
        </w:rPr>
      </w:pPr>
      <w:bookmarkStart w:id="81" w:name="OLE_LINK29"/>
      <w:r>
        <w:rPr>
          <w:rFonts w:hint="eastAsia" w:ascii="宋体" w:hAnsi="宋体" w:cs="宋体"/>
          <w:color w:val="auto"/>
          <w:sz w:val="24"/>
          <w:highlight w:val="none"/>
          <w:lang w:val="fr-CH"/>
        </w:rPr>
        <w:t>投标人同类项目业绩情况；</w:t>
      </w:r>
    </w:p>
    <w:p>
      <w:pPr>
        <w:numPr>
          <w:ilvl w:val="0"/>
          <w:numId w:val="12"/>
        </w:numPr>
        <w:tabs>
          <w:tab w:val="left" w:pos="640"/>
          <w:tab w:val="left" w:pos="840"/>
          <w:tab w:val="left" w:pos="1260"/>
          <w:tab w:val="left" w:pos="1418"/>
        </w:tabs>
        <w:spacing w:line="360" w:lineRule="auto"/>
        <w:ind w:left="845"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t>履约评价；</w:t>
      </w:r>
    </w:p>
    <w:p>
      <w:pPr>
        <w:numPr>
          <w:ilvl w:val="0"/>
          <w:numId w:val="12"/>
        </w:numPr>
        <w:tabs>
          <w:tab w:val="left" w:pos="640"/>
          <w:tab w:val="left" w:pos="840"/>
          <w:tab w:val="left" w:pos="1260"/>
          <w:tab w:val="left" w:pos="1418"/>
        </w:tabs>
        <w:spacing w:line="360" w:lineRule="auto"/>
        <w:ind w:left="845"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t>投标人通过相关认证情况；</w:t>
      </w:r>
    </w:p>
    <w:p>
      <w:pPr>
        <w:numPr>
          <w:ilvl w:val="0"/>
          <w:numId w:val="12"/>
        </w:numPr>
        <w:tabs>
          <w:tab w:val="left" w:pos="640"/>
          <w:tab w:val="left" w:pos="840"/>
          <w:tab w:val="left" w:pos="1260"/>
          <w:tab w:val="left" w:pos="1418"/>
        </w:tabs>
        <w:spacing w:line="360" w:lineRule="auto"/>
        <w:ind w:left="845"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t>服务响应时间；</w:t>
      </w:r>
      <w:bookmarkEnd w:id="81"/>
    </w:p>
    <w:p>
      <w:pPr>
        <w:numPr>
          <w:ilvl w:val="0"/>
          <w:numId w:val="12"/>
        </w:numPr>
        <w:tabs>
          <w:tab w:val="left" w:pos="640"/>
          <w:tab w:val="left" w:pos="840"/>
          <w:tab w:val="left" w:pos="1260"/>
          <w:tab w:val="left" w:pos="1418"/>
        </w:tabs>
        <w:spacing w:line="360" w:lineRule="auto"/>
        <w:ind w:left="845"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t>诚信声明与承诺；</w:t>
      </w:r>
    </w:p>
    <w:p>
      <w:pPr>
        <w:numPr>
          <w:ilvl w:val="0"/>
          <w:numId w:val="12"/>
        </w:numPr>
        <w:tabs>
          <w:tab w:val="left" w:pos="640"/>
          <w:tab w:val="left" w:pos="840"/>
          <w:tab w:val="left" w:pos="1260"/>
          <w:tab w:val="left" w:pos="1418"/>
        </w:tabs>
        <w:spacing w:line="360" w:lineRule="auto"/>
        <w:ind w:left="845" w:hanging="845"/>
        <w:rPr>
          <w:rFonts w:hint="eastAsia" w:ascii="宋体" w:hAnsi="宋体" w:cs="宋体"/>
          <w:color w:val="auto"/>
          <w:sz w:val="24"/>
          <w:highlight w:val="none"/>
        </w:rPr>
      </w:pPr>
      <w:r>
        <w:rPr>
          <w:rFonts w:hint="eastAsia" w:ascii="宋体" w:hAnsi="宋体" w:cs="宋体"/>
          <w:color w:val="auto"/>
          <w:sz w:val="24"/>
          <w:highlight w:val="none"/>
        </w:rPr>
        <w:t>政府采购违法行为风险知悉确认书；</w:t>
      </w:r>
    </w:p>
    <w:p>
      <w:pPr>
        <w:numPr>
          <w:ilvl w:val="0"/>
          <w:numId w:val="12"/>
        </w:numPr>
        <w:tabs>
          <w:tab w:val="left" w:pos="640"/>
          <w:tab w:val="left" w:pos="840"/>
          <w:tab w:val="left" w:pos="1260"/>
          <w:tab w:val="left" w:pos="1418"/>
        </w:tabs>
        <w:spacing w:line="360" w:lineRule="auto"/>
        <w:ind w:left="845" w:hanging="845"/>
        <w:rPr>
          <w:rFonts w:hint="eastAsia" w:ascii="宋体" w:hAnsi="宋体" w:cs="宋体"/>
          <w:color w:val="auto"/>
          <w:sz w:val="24"/>
          <w:highlight w:val="none"/>
        </w:rPr>
      </w:pPr>
      <w:r>
        <w:rPr>
          <w:rFonts w:hint="eastAsia" w:ascii="宋体" w:hAnsi="宋体" w:cs="宋体"/>
          <w:color w:val="auto"/>
          <w:sz w:val="24"/>
          <w:highlight w:val="none"/>
        </w:rPr>
        <w:t>参与价格扣除的证明文件；</w:t>
      </w:r>
    </w:p>
    <w:p>
      <w:pPr>
        <w:numPr>
          <w:ilvl w:val="0"/>
          <w:numId w:val="12"/>
        </w:numPr>
        <w:tabs>
          <w:tab w:val="left" w:pos="640"/>
          <w:tab w:val="left" w:pos="840"/>
          <w:tab w:val="left" w:pos="1260"/>
          <w:tab w:val="left" w:pos="1418"/>
        </w:tabs>
        <w:spacing w:line="360" w:lineRule="auto"/>
        <w:ind w:left="845" w:hanging="845"/>
        <w:rPr>
          <w:rFonts w:hint="eastAsia" w:ascii="宋体" w:hAnsi="宋体" w:cs="宋体"/>
          <w:color w:val="auto"/>
          <w:sz w:val="24"/>
          <w:highlight w:val="none"/>
        </w:rPr>
      </w:pPr>
      <w:bookmarkStart w:id="82" w:name="OLE_LINK45"/>
      <w:r>
        <w:rPr>
          <w:rFonts w:hint="eastAsia" w:ascii="宋体" w:hAnsi="宋体" w:cs="宋体"/>
          <w:color w:val="auto"/>
          <w:sz w:val="24"/>
          <w:highlight w:val="none"/>
        </w:rPr>
        <w:t>供应商基本情况表、社保证明及股权关系证明</w:t>
      </w:r>
      <w:bookmarkEnd w:id="82"/>
      <w:r>
        <w:rPr>
          <w:rFonts w:hint="eastAsia" w:ascii="宋体" w:hAnsi="宋体" w:cs="宋体"/>
          <w:color w:val="auto"/>
          <w:sz w:val="24"/>
          <w:highlight w:val="none"/>
        </w:rPr>
        <w:t>；</w:t>
      </w:r>
    </w:p>
    <w:p>
      <w:pPr>
        <w:numPr>
          <w:ilvl w:val="0"/>
          <w:numId w:val="12"/>
        </w:numPr>
        <w:tabs>
          <w:tab w:val="left" w:pos="640"/>
          <w:tab w:val="left" w:pos="840"/>
          <w:tab w:val="left" w:pos="1260"/>
          <w:tab w:val="left" w:pos="1418"/>
        </w:tabs>
        <w:spacing w:line="360" w:lineRule="auto"/>
        <w:ind w:left="845" w:hanging="845"/>
        <w:rPr>
          <w:rFonts w:hint="eastAsia" w:ascii="宋体" w:hAnsi="宋体" w:cs="宋体"/>
          <w:color w:val="auto"/>
          <w:sz w:val="24"/>
          <w:highlight w:val="none"/>
        </w:rPr>
      </w:pPr>
      <w:r>
        <w:rPr>
          <w:rFonts w:hint="eastAsia" w:ascii="宋体" w:hAnsi="宋体" w:cs="宋体"/>
          <w:color w:val="auto"/>
          <w:sz w:val="24"/>
          <w:highlight w:val="none"/>
        </w:rPr>
        <w:t>投标人认为有必要提供的其他材料。</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（三）技术部分</w:t>
      </w:r>
    </w:p>
    <w:p>
      <w:pPr>
        <w:numPr>
          <w:ilvl w:val="0"/>
          <w:numId w:val="13"/>
        </w:numPr>
        <w:tabs>
          <w:tab w:val="left" w:pos="640"/>
          <w:tab w:val="left" w:pos="1260"/>
          <w:tab w:val="left" w:pos="1418"/>
        </w:tabs>
        <w:spacing w:line="360" w:lineRule="auto"/>
        <w:ind w:left="640" w:right="-420" w:rightChars="-200" w:hanging="640"/>
        <w:rPr>
          <w:rFonts w:hint="eastAsia" w:ascii="宋体" w:hAnsi="宋体" w:cs="宋体"/>
          <w:color w:val="auto"/>
          <w:sz w:val="24"/>
          <w:highlight w:val="none"/>
          <w:lang w:val="fr-CH"/>
        </w:rPr>
      </w:pPr>
      <w:r>
        <w:rPr>
          <w:rFonts w:hint="eastAsia" w:ascii="宋体" w:hAnsi="宋体" w:cs="宋体"/>
          <w:color w:val="auto"/>
          <w:sz w:val="24"/>
          <w:highlight w:val="none"/>
          <w:lang w:val="fr-CH"/>
        </w:rPr>
        <w:t>用户需求响应表；</w:t>
      </w:r>
    </w:p>
    <w:p>
      <w:pPr>
        <w:numPr>
          <w:ilvl w:val="0"/>
          <w:numId w:val="13"/>
        </w:numPr>
        <w:tabs>
          <w:tab w:val="left" w:pos="640"/>
          <w:tab w:val="left" w:pos="1260"/>
          <w:tab w:val="left" w:pos="1418"/>
        </w:tabs>
        <w:spacing w:line="360" w:lineRule="auto"/>
        <w:ind w:left="845" w:right="-420" w:rightChars="-200" w:hanging="845"/>
        <w:rPr>
          <w:rFonts w:hint="eastAsia" w:ascii="宋体" w:hAnsi="宋体" w:cs="宋体"/>
          <w:color w:val="auto"/>
          <w:sz w:val="24"/>
          <w:highlight w:val="none"/>
          <w:lang w:val="fr-CH"/>
        </w:rPr>
      </w:pPr>
      <w:bookmarkStart w:id="83" w:name="OLE_LINK30"/>
      <w:r>
        <w:rPr>
          <w:rFonts w:hint="eastAsia" w:ascii="宋体" w:hAnsi="宋体" w:cs="宋体"/>
          <w:color w:val="auto"/>
          <w:sz w:val="24"/>
          <w:highlight w:val="none"/>
          <w:lang w:val="fr-CH"/>
        </w:rPr>
        <w:t>项目实施方案；</w:t>
      </w:r>
    </w:p>
    <w:p>
      <w:pPr>
        <w:numPr>
          <w:ilvl w:val="0"/>
          <w:numId w:val="13"/>
        </w:numPr>
        <w:tabs>
          <w:tab w:val="left" w:pos="640"/>
          <w:tab w:val="left" w:pos="1260"/>
          <w:tab w:val="left" w:pos="1418"/>
        </w:tabs>
        <w:spacing w:line="360" w:lineRule="auto"/>
        <w:ind w:left="845" w:right="-420" w:rightChars="-200"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t>项目重点难点分析、应对措施及相关的合理化建议；</w:t>
      </w:r>
    </w:p>
    <w:p>
      <w:pPr>
        <w:numPr>
          <w:ilvl w:val="0"/>
          <w:numId w:val="13"/>
        </w:numPr>
        <w:tabs>
          <w:tab w:val="left" w:pos="640"/>
          <w:tab w:val="left" w:pos="1260"/>
          <w:tab w:val="left" w:pos="1418"/>
        </w:tabs>
        <w:spacing w:line="360" w:lineRule="auto"/>
        <w:ind w:left="845" w:right="-420" w:rightChars="-200"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t>质量（完成时间、安全、环保）保障措施及方案；</w:t>
      </w:r>
    </w:p>
    <w:p>
      <w:pPr>
        <w:numPr>
          <w:ilvl w:val="0"/>
          <w:numId w:val="13"/>
        </w:numPr>
        <w:tabs>
          <w:tab w:val="left" w:pos="640"/>
          <w:tab w:val="left" w:pos="1260"/>
          <w:tab w:val="left" w:pos="1418"/>
        </w:tabs>
        <w:spacing w:line="360" w:lineRule="auto"/>
        <w:ind w:left="845" w:right="-420" w:rightChars="-200"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t>项目完成（服务期满）后的服务承诺；</w:t>
      </w:r>
    </w:p>
    <w:p>
      <w:pPr>
        <w:numPr>
          <w:ilvl w:val="0"/>
          <w:numId w:val="13"/>
        </w:numPr>
        <w:tabs>
          <w:tab w:val="left" w:pos="640"/>
          <w:tab w:val="left" w:pos="1260"/>
          <w:tab w:val="left" w:pos="1418"/>
        </w:tabs>
        <w:spacing w:line="360" w:lineRule="auto"/>
        <w:ind w:left="845" w:right="-420" w:rightChars="-200"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t>拟安排的项目负责人情况（仅限一人）；</w:t>
      </w:r>
    </w:p>
    <w:p>
      <w:pPr>
        <w:numPr>
          <w:ilvl w:val="0"/>
          <w:numId w:val="13"/>
        </w:numPr>
        <w:tabs>
          <w:tab w:val="left" w:pos="640"/>
          <w:tab w:val="left" w:pos="1260"/>
          <w:tab w:val="left" w:pos="1418"/>
        </w:tabs>
        <w:spacing w:line="360" w:lineRule="auto"/>
        <w:ind w:left="845" w:right="-420" w:rightChars="-200"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t>拟安排的项目主要团队成员（主要技术人员）情况（项目负责人除外）；</w:t>
      </w:r>
      <w:bookmarkEnd w:id="83"/>
    </w:p>
    <w:p>
      <w:pPr>
        <w:numPr>
          <w:ilvl w:val="0"/>
          <w:numId w:val="13"/>
        </w:numPr>
        <w:tabs>
          <w:tab w:val="left" w:pos="640"/>
          <w:tab w:val="left" w:pos="1260"/>
          <w:tab w:val="left" w:pos="1418"/>
        </w:tabs>
        <w:spacing w:line="360" w:lineRule="auto"/>
        <w:ind w:left="845" w:right="-420" w:rightChars="-200"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t>投标人认为有必要提供的其他材料。</w:t>
      </w:r>
    </w:p>
    <w:p>
      <w:pPr>
        <w:outlineLvl w:val="2"/>
        <w:rPr>
          <w:rFonts w:hint="eastAsia"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（一）</w:t>
      </w:r>
      <w:r>
        <w:rPr>
          <w:rFonts w:hint="eastAsia" w:ascii="宋体" w:hAnsi="宋体" w:cs="宋体"/>
          <w:b/>
          <w:bCs/>
          <w:color w:val="auto"/>
          <w:sz w:val="24"/>
          <w:highlight w:val="none"/>
          <w:lang w:val="zh-CN"/>
        </w:rPr>
        <w:t>价格部分</w:t>
      </w:r>
    </w:p>
    <w:p>
      <w:pPr>
        <w:numPr>
          <w:ilvl w:val="0"/>
          <w:numId w:val="14"/>
        </w:numPr>
        <w:tabs>
          <w:tab w:val="left" w:pos="640"/>
          <w:tab w:val="clear" w:pos="425"/>
        </w:tabs>
        <w:ind w:left="625" w:hanging="625"/>
        <w:rPr>
          <w:rFonts w:hint="eastAsia" w:ascii="宋体" w:hAnsi="宋体" w:cs="宋体"/>
          <w:color w:val="auto"/>
          <w:sz w:val="24"/>
          <w:highlight w:val="none"/>
        </w:rPr>
      </w:pPr>
      <w:r>
        <w:rPr>
          <w:rFonts w:hint="eastAsia" w:ascii="宋体" w:hAnsi="宋体" w:cs="宋体"/>
          <w:color w:val="auto"/>
          <w:sz w:val="24"/>
          <w:highlight w:val="none"/>
        </w:rPr>
        <w:t>投标一览表；</w:t>
      </w:r>
    </w:p>
    <w:p>
      <w:pPr>
        <w:spacing w:line="360" w:lineRule="auto"/>
        <w:rPr>
          <w:rFonts w:hint="eastAsia" w:ascii="宋体" w:hAnsi="宋体" w:cs="宋体"/>
          <w:color w:val="auto"/>
          <w:sz w:val="24"/>
          <w:highlight w:val="none"/>
        </w:rPr>
      </w:pPr>
    </w:p>
    <w:p>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投标一览表</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投标供应商名称：（公章）</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招标编号：</w:t>
      </w:r>
      <w:r>
        <w:rPr>
          <w:rFonts w:hint="eastAsia" w:ascii="宋体" w:hAnsi="宋体" w:cs="宋体"/>
          <w:color w:val="auto"/>
          <w:sz w:val="24"/>
          <w:highlight w:val="none"/>
          <w:u w:val="single"/>
        </w:rPr>
        <w:t xml:space="preserve">                                      </w:t>
      </w:r>
    </w:p>
    <w:tbl>
      <w:tblPr>
        <w:tblStyle w:val="18"/>
        <w:tblW w:w="0" w:type="auto"/>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84"/>
        <w:gridCol w:w="2896"/>
        <w:gridCol w:w="13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3484" w:type="dxa"/>
            <w:vAlign w:val="center"/>
          </w:tcPr>
          <w:p>
            <w:pPr>
              <w:spacing w:after="60"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2896" w:type="dxa"/>
            <w:vAlign w:val="center"/>
          </w:tcPr>
          <w:p>
            <w:pPr>
              <w:spacing w:after="60"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投标价</w:t>
            </w:r>
          </w:p>
          <w:p>
            <w:pPr>
              <w:spacing w:after="60"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（人民币）</w:t>
            </w:r>
          </w:p>
        </w:tc>
        <w:tc>
          <w:tcPr>
            <w:tcW w:w="1318" w:type="dxa"/>
            <w:vAlign w:val="center"/>
          </w:tcPr>
          <w:p>
            <w:pPr>
              <w:spacing w:after="60"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3" w:hRule="atLeast"/>
        </w:trPr>
        <w:tc>
          <w:tcPr>
            <w:tcW w:w="3484" w:type="dxa"/>
            <w:vAlign w:val="center"/>
          </w:tcPr>
          <w:p>
            <w:pPr>
              <w:spacing w:line="360" w:lineRule="auto"/>
              <w:jc w:val="center"/>
              <w:rPr>
                <w:rFonts w:hint="eastAsia" w:ascii="宋体" w:hAnsi="宋体" w:cs="宋体"/>
                <w:color w:val="auto"/>
                <w:sz w:val="24"/>
                <w:highlight w:val="none"/>
                <w:u w:val="single"/>
              </w:rPr>
            </w:pPr>
          </w:p>
        </w:tc>
        <w:tc>
          <w:tcPr>
            <w:tcW w:w="2896" w:type="dxa"/>
            <w:vAlign w:val="center"/>
          </w:tcPr>
          <w:p>
            <w:pPr>
              <w:spacing w:line="360" w:lineRule="auto"/>
              <w:jc w:val="center"/>
              <w:rPr>
                <w:rFonts w:hint="eastAsia" w:ascii="宋体" w:hAnsi="宋体" w:cs="宋体"/>
                <w:color w:val="auto"/>
                <w:sz w:val="24"/>
                <w:highlight w:val="none"/>
                <w:u w:val="single"/>
              </w:rPr>
            </w:pPr>
          </w:p>
        </w:tc>
        <w:tc>
          <w:tcPr>
            <w:tcW w:w="1318" w:type="dxa"/>
            <w:vAlign w:val="center"/>
          </w:tcPr>
          <w:p>
            <w:pPr>
              <w:spacing w:line="360" w:lineRule="auto"/>
              <w:jc w:val="center"/>
              <w:rPr>
                <w:rFonts w:hint="eastAsia" w:ascii="宋体" w:hAnsi="宋体" w:cs="宋体"/>
                <w:color w:val="auto"/>
                <w:sz w:val="24"/>
                <w:highlight w:val="none"/>
                <w:u w:val="single"/>
              </w:rPr>
            </w:pPr>
          </w:p>
        </w:tc>
      </w:tr>
    </w:tbl>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投标供应商授权代表：</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pPr>
        <w:pStyle w:val="2"/>
        <w:rPr>
          <w:color w:val="auto"/>
          <w:highlight w:val="none"/>
        </w:rPr>
      </w:pPr>
    </w:p>
    <w:p>
      <w:pPr>
        <w:numPr>
          <w:ilvl w:val="0"/>
          <w:numId w:val="14"/>
        </w:numPr>
        <w:tabs>
          <w:tab w:val="left" w:pos="640"/>
          <w:tab w:val="clear" w:pos="425"/>
        </w:tabs>
        <w:ind w:left="625" w:hanging="625"/>
        <w:rPr>
          <w:rFonts w:hint="eastAsia"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分项报价清单；</w:t>
      </w:r>
    </w:p>
    <w:p>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分项报价清单</w:t>
      </w: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投标供应商名称：（公章）</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招标编号：</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u w:val="single"/>
        </w:rPr>
      </w:pPr>
    </w:p>
    <w:tbl>
      <w:tblPr>
        <w:tblStyle w:val="18"/>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212"/>
        <w:gridCol w:w="720"/>
        <w:gridCol w:w="180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28" w:type="dxa"/>
            <w:vAlign w:val="bottom"/>
          </w:tcPr>
          <w:p>
            <w:pPr>
              <w:pStyle w:val="9"/>
              <w:spacing w:line="360" w:lineRule="auto"/>
              <w:jc w:val="center"/>
              <w:rPr>
                <w:rFonts w:hint="eastAsia" w:hAnsi="宋体" w:cs="宋体"/>
                <w:color w:val="auto"/>
                <w:sz w:val="24"/>
                <w:highlight w:val="none"/>
              </w:rPr>
            </w:pPr>
            <w:r>
              <w:rPr>
                <w:rFonts w:hint="eastAsia" w:hAnsi="宋体" w:cs="宋体"/>
                <w:color w:val="auto"/>
                <w:sz w:val="24"/>
                <w:highlight w:val="none"/>
              </w:rPr>
              <w:t>序号</w:t>
            </w:r>
          </w:p>
        </w:tc>
        <w:tc>
          <w:tcPr>
            <w:tcW w:w="2212" w:type="dxa"/>
            <w:vAlign w:val="center"/>
          </w:tcPr>
          <w:p>
            <w:pPr>
              <w:pStyle w:val="9"/>
              <w:spacing w:line="360" w:lineRule="auto"/>
              <w:jc w:val="center"/>
              <w:rPr>
                <w:rFonts w:hint="eastAsia" w:hAnsi="宋体" w:cs="宋体"/>
                <w:color w:val="auto"/>
                <w:sz w:val="24"/>
                <w:highlight w:val="none"/>
              </w:rPr>
            </w:pPr>
            <w:r>
              <w:rPr>
                <w:rFonts w:hint="eastAsia" w:hAnsi="宋体" w:cs="宋体"/>
                <w:color w:val="auto"/>
                <w:sz w:val="24"/>
                <w:highlight w:val="none"/>
              </w:rPr>
              <w:t>项目名称、内容</w:t>
            </w:r>
          </w:p>
        </w:tc>
        <w:tc>
          <w:tcPr>
            <w:tcW w:w="720" w:type="dxa"/>
            <w:vAlign w:val="center"/>
          </w:tcPr>
          <w:p>
            <w:pPr>
              <w:pStyle w:val="9"/>
              <w:spacing w:line="360" w:lineRule="auto"/>
              <w:jc w:val="center"/>
              <w:rPr>
                <w:rFonts w:hint="eastAsia" w:hAnsi="宋体" w:cs="宋体"/>
                <w:color w:val="auto"/>
                <w:sz w:val="24"/>
                <w:highlight w:val="none"/>
              </w:rPr>
            </w:pPr>
            <w:r>
              <w:rPr>
                <w:rFonts w:hint="eastAsia" w:hAnsi="宋体" w:cs="宋体"/>
                <w:color w:val="auto"/>
                <w:sz w:val="24"/>
                <w:highlight w:val="none"/>
              </w:rPr>
              <w:t>单位</w:t>
            </w:r>
          </w:p>
        </w:tc>
        <w:tc>
          <w:tcPr>
            <w:tcW w:w="1800" w:type="dxa"/>
            <w:vAlign w:val="center"/>
          </w:tcPr>
          <w:p>
            <w:pPr>
              <w:pStyle w:val="9"/>
              <w:spacing w:line="360" w:lineRule="auto"/>
              <w:jc w:val="center"/>
              <w:rPr>
                <w:rFonts w:hint="eastAsia" w:hAnsi="宋体" w:cs="宋体"/>
                <w:color w:val="auto"/>
                <w:sz w:val="24"/>
                <w:highlight w:val="none"/>
              </w:rPr>
            </w:pPr>
            <w:r>
              <w:rPr>
                <w:rFonts w:hint="eastAsia" w:hAnsi="宋体" w:cs="宋体"/>
                <w:color w:val="auto"/>
                <w:sz w:val="24"/>
                <w:highlight w:val="none"/>
              </w:rPr>
              <w:t>数量（工作量）</w:t>
            </w:r>
          </w:p>
        </w:tc>
        <w:tc>
          <w:tcPr>
            <w:tcW w:w="1620" w:type="dxa"/>
            <w:vAlign w:val="center"/>
          </w:tcPr>
          <w:p>
            <w:pPr>
              <w:pStyle w:val="9"/>
              <w:spacing w:line="360" w:lineRule="auto"/>
              <w:jc w:val="center"/>
              <w:rPr>
                <w:rFonts w:hint="eastAsia" w:hAnsi="宋体" w:cs="宋体"/>
                <w:color w:val="auto"/>
                <w:sz w:val="24"/>
                <w:highlight w:val="none"/>
              </w:rPr>
            </w:pPr>
            <w:r>
              <w:rPr>
                <w:rFonts w:hint="eastAsia" w:hAnsi="宋体" w:cs="宋体"/>
                <w:color w:val="auto"/>
                <w:sz w:val="24"/>
                <w:highlight w:val="none"/>
              </w:rPr>
              <w:t>单价</w:t>
            </w:r>
          </w:p>
        </w:tc>
        <w:tc>
          <w:tcPr>
            <w:tcW w:w="1620" w:type="dxa"/>
            <w:vAlign w:val="center"/>
          </w:tcPr>
          <w:p>
            <w:pPr>
              <w:pStyle w:val="9"/>
              <w:spacing w:line="360" w:lineRule="auto"/>
              <w:jc w:val="center"/>
              <w:rPr>
                <w:rFonts w:hint="eastAsia" w:hAnsi="宋体" w:cs="宋体"/>
                <w:color w:val="auto"/>
                <w:sz w:val="24"/>
                <w:highlight w:val="none"/>
              </w:rPr>
            </w:pPr>
            <w:r>
              <w:rPr>
                <w:rFonts w:hint="eastAsia" w:hAnsi="宋体" w:cs="宋体"/>
                <w:color w:val="auto"/>
                <w:sz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28" w:type="dxa"/>
            <w:vAlign w:val="bottom"/>
          </w:tcPr>
          <w:p>
            <w:pPr>
              <w:pStyle w:val="9"/>
              <w:spacing w:line="360" w:lineRule="auto"/>
              <w:jc w:val="center"/>
              <w:rPr>
                <w:rFonts w:hint="eastAsia" w:hAnsi="宋体" w:cs="宋体"/>
                <w:color w:val="auto"/>
                <w:sz w:val="24"/>
                <w:highlight w:val="none"/>
              </w:rPr>
            </w:pPr>
            <w:r>
              <w:rPr>
                <w:rFonts w:hint="eastAsia" w:hAnsi="宋体" w:cs="宋体"/>
                <w:color w:val="auto"/>
                <w:sz w:val="24"/>
                <w:highlight w:val="none"/>
              </w:rPr>
              <w:t>1</w:t>
            </w:r>
          </w:p>
        </w:tc>
        <w:tc>
          <w:tcPr>
            <w:tcW w:w="2212" w:type="dxa"/>
            <w:vAlign w:val="center"/>
          </w:tcPr>
          <w:p>
            <w:pPr>
              <w:pStyle w:val="9"/>
              <w:spacing w:line="360" w:lineRule="auto"/>
              <w:jc w:val="center"/>
              <w:rPr>
                <w:rFonts w:hint="eastAsia" w:hAnsi="宋体" w:cs="宋体"/>
                <w:color w:val="auto"/>
                <w:sz w:val="24"/>
                <w:highlight w:val="none"/>
              </w:rPr>
            </w:pPr>
          </w:p>
        </w:tc>
        <w:tc>
          <w:tcPr>
            <w:tcW w:w="720" w:type="dxa"/>
            <w:vAlign w:val="center"/>
          </w:tcPr>
          <w:p>
            <w:pPr>
              <w:pStyle w:val="9"/>
              <w:spacing w:line="360" w:lineRule="auto"/>
              <w:jc w:val="center"/>
              <w:rPr>
                <w:rFonts w:hint="eastAsia" w:hAnsi="宋体" w:cs="宋体"/>
                <w:color w:val="auto"/>
                <w:sz w:val="24"/>
                <w:highlight w:val="none"/>
              </w:rPr>
            </w:pPr>
          </w:p>
        </w:tc>
        <w:tc>
          <w:tcPr>
            <w:tcW w:w="1800" w:type="dxa"/>
            <w:vAlign w:val="center"/>
          </w:tcPr>
          <w:p>
            <w:pPr>
              <w:pStyle w:val="9"/>
              <w:spacing w:line="360" w:lineRule="auto"/>
              <w:jc w:val="center"/>
              <w:rPr>
                <w:rFonts w:hint="eastAsia" w:hAnsi="宋体" w:cs="宋体"/>
                <w:color w:val="auto"/>
                <w:sz w:val="24"/>
                <w:highlight w:val="none"/>
              </w:rPr>
            </w:pPr>
          </w:p>
        </w:tc>
        <w:tc>
          <w:tcPr>
            <w:tcW w:w="1620" w:type="dxa"/>
            <w:vAlign w:val="center"/>
          </w:tcPr>
          <w:p>
            <w:pPr>
              <w:pStyle w:val="9"/>
              <w:spacing w:line="360" w:lineRule="auto"/>
              <w:jc w:val="center"/>
              <w:rPr>
                <w:rFonts w:hint="eastAsia" w:hAnsi="宋体" w:cs="宋体"/>
                <w:color w:val="auto"/>
                <w:sz w:val="24"/>
                <w:highlight w:val="none"/>
              </w:rPr>
            </w:pPr>
          </w:p>
        </w:tc>
        <w:tc>
          <w:tcPr>
            <w:tcW w:w="1620" w:type="dxa"/>
            <w:vAlign w:val="center"/>
          </w:tcPr>
          <w:p>
            <w:pPr>
              <w:pStyle w:val="9"/>
              <w:spacing w:line="360" w:lineRule="auto"/>
              <w:jc w:val="center"/>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28" w:type="dxa"/>
            <w:vAlign w:val="bottom"/>
          </w:tcPr>
          <w:p>
            <w:pPr>
              <w:pStyle w:val="9"/>
              <w:spacing w:line="360" w:lineRule="auto"/>
              <w:jc w:val="center"/>
              <w:rPr>
                <w:rFonts w:hint="eastAsia" w:hAnsi="宋体" w:cs="宋体"/>
                <w:color w:val="auto"/>
                <w:sz w:val="24"/>
                <w:highlight w:val="none"/>
              </w:rPr>
            </w:pPr>
            <w:r>
              <w:rPr>
                <w:rFonts w:hint="eastAsia" w:hAnsi="宋体" w:cs="宋体"/>
                <w:color w:val="auto"/>
                <w:sz w:val="24"/>
                <w:highlight w:val="none"/>
              </w:rPr>
              <w:t>2</w:t>
            </w:r>
          </w:p>
        </w:tc>
        <w:tc>
          <w:tcPr>
            <w:tcW w:w="2212" w:type="dxa"/>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720" w:type="dxa"/>
            <w:vAlign w:val="center"/>
          </w:tcPr>
          <w:p>
            <w:pPr>
              <w:pStyle w:val="9"/>
              <w:spacing w:line="360" w:lineRule="auto"/>
              <w:jc w:val="center"/>
              <w:rPr>
                <w:rFonts w:hint="eastAsia" w:hAnsi="宋体" w:cs="宋体"/>
                <w:color w:val="auto"/>
                <w:sz w:val="24"/>
                <w:highlight w:val="none"/>
              </w:rPr>
            </w:pPr>
          </w:p>
        </w:tc>
        <w:tc>
          <w:tcPr>
            <w:tcW w:w="1800" w:type="dxa"/>
            <w:vAlign w:val="center"/>
          </w:tcPr>
          <w:p>
            <w:pPr>
              <w:pStyle w:val="9"/>
              <w:spacing w:line="360" w:lineRule="auto"/>
              <w:jc w:val="center"/>
              <w:rPr>
                <w:rFonts w:hint="eastAsia" w:hAnsi="宋体" w:cs="宋体"/>
                <w:color w:val="auto"/>
                <w:sz w:val="24"/>
                <w:highlight w:val="none"/>
              </w:rPr>
            </w:pPr>
          </w:p>
        </w:tc>
        <w:tc>
          <w:tcPr>
            <w:tcW w:w="1620" w:type="dxa"/>
            <w:vAlign w:val="center"/>
          </w:tcPr>
          <w:p>
            <w:pPr>
              <w:pStyle w:val="9"/>
              <w:spacing w:line="360" w:lineRule="auto"/>
              <w:jc w:val="center"/>
              <w:rPr>
                <w:rFonts w:hint="eastAsia" w:hAnsi="宋体" w:cs="宋体"/>
                <w:color w:val="auto"/>
                <w:sz w:val="24"/>
                <w:highlight w:val="none"/>
              </w:rPr>
            </w:pPr>
          </w:p>
        </w:tc>
        <w:tc>
          <w:tcPr>
            <w:tcW w:w="1620" w:type="dxa"/>
            <w:vAlign w:val="center"/>
          </w:tcPr>
          <w:p>
            <w:pPr>
              <w:pStyle w:val="9"/>
              <w:spacing w:line="360" w:lineRule="auto"/>
              <w:jc w:val="center"/>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8" w:type="dxa"/>
            <w:vAlign w:val="bottom"/>
          </w:tcPr>
          <w:p>
            <w:pPr>
              <w:pStyle w:val="9"/>
              <w:spacing w:line="360" w:lineRule="auto"/>
              <w:jc w:val="center"/>
              <w:rPr>
                <w:rFonts w:hint="eastAsia" w:hAnsi="宋体" w:cs="宋体"/>
                <w:color w:val="auto"/>
                <w:sz w:val="24"/>
                <w:highlight w:val="none"/>
              </w:rPr>
            </w:pPr>
            <w:r>
              <w:rPr>
                <w:rFonts w:hint="eastAsia" w:hAnsi="宋体" w:cs="宋体"/>
                <w:color w:val="auto"/>
                <w:sz w:val="24"/>
                <w:highlight w:val="none"/>
              </w:rPr>
              <w:t>3</w:t>
            </w:r>
          </w:p>
        </w:tc>
        <w:tc>
          <w:tcPr>
            <w:tcW w:w="2212" w:type="dxa"/>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720" w:type="dxa"/>
            <w:vAlign w:val="center"/>
          </w:tcPr>
          <w:p>
            <w:pPr>
              <w:pStyle w:val="9"/>
              <w:spacing w:line="360" w:lineRule="auto"/>
              <w:jc w:val="center"/>
              <w:rPr>
                <w:rFonts w:hint="eastAsia" w:hAnsi="宋体" w:cs="宋体"/>
                <w:color w:val="auto"/>
                <w:sz w:val="24"/>
                <w:highlight w:val="none"/>
              </w:rPr>
            </w:pPr>
          </w:p>
        </w:tc>
        <w:tc>
          <w:tcPr>
            <w:tcW w:w="1800" w:type="dxa"/>
            <w:vAlign w:val="center"/>
          </w:tcPr>
          <w:p>
            <w:pPr>
              <w:pStyle w:val="9"/>
              <w:spacing w:line="360" w:lineRule="auto"/>
              <w:jc w:val="center"/>
              <w:rPr>
                <w:rFonts w:hint="eastAsia" w:hAnsi="宋体" w:cs="宋体"/>
                <w:color w:val="auto"/>
                <w:sz w:val="24"/>
                <w:highlight w:val="none"/>
              </w:rPr>
            </w:pPr>
          </w:p>
        </w:tc>
        <w:tc>
          <w:tcPr>
            <w:tcW w:w="1620" w:type="dxa"/>
            <w:vAlign w:val="center"/>
          </w:tcPr>
          <w:p>
            <w:pPr>
              <w:pStyle w:val="9"/>
              <w:spacing w:line="360" w:lineRule="auto"/>
              <w:jc w:val="center"/>
              <w:rPr>
                <w:rFonts w:hint="eastAsia" w:hAnsi="宋体" w:cs="宋体"/>
                <w:color w:val="auto"/>
                <w:sz w:val="24"/>
                <w:highlight w:val="none"/>
              </w:rPr>
            </w:pPr>
          </w:p>
        </w:tc>
        <w:tc>
          <w:tcPr>
            <w:tcW w:w="1620" w:type="dxa"/>
            <w:vAlign w:val="center"/>
          </w:tcPr>
          <w:p>
            <w:pPr>
              <w:pStyle w:val="9"/>
              <w:spacing w:line="360" w:lineRule="auto"/>
              <w:jc w:val="center"/>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28" w:type="dxa"/>
            <w:vAlign w:val="bottom"/>
          </w:tcPr>
          <w:p>
            <w:pPr>
              <w:pStyle w:val="9"/>
              <w:spacing w:line="360" w:lineRule="auto"/>
              <w:jc w:val="center"/>
              <w:rPr>
                <w:rFonts w:hint="eastAsia" w:hAnsi="宋体" w:cs="宋体"/>
                <w:color w:val="auto"/>
                <w:sz w:val="24"/>
                <w:highlight w:val="none"/>
              </w:rPr>
            </w:pPr>
            <w:r>
              <w:rPr>
                <w:rFonts w:hint="eastAsia" w:hAnsi="宋体" w:cs="宋体"/>
                <w:color w:val="auto"/>
                <w:sz w:val="24"/>
                <w:highlight w:val="none"/>
              </w:rPr>
              <w:t>4</w:t>
            </w:r>
          </w:p>
        </w:tc>
        <w:tc>
          <w:tcPr>
            <w:tcW w:w="2212" w:type="dxa"/>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720" w:type="dxa"/>
            <w:vAlign w:val="center"/>
          </w:tcPr>
          <w:p>
            <w:pPr>
              <w:pStyle w:val="9"/>
              <w:spacing w:line="360" w:lineRule="auto"/>
              <w:jc w:val="center"/>
              <w:rPr>
                <w:rFonts w:hint="eastAsia" w:hAnsi="宋体" w:cs="宋体"/>
                <w:color w:val="auto"/>
                <w:sz w:val="24"/>
                <w:highlight w:val="none"/>
              </w:rPr>
            </w:pPr>
          </w:p>
        </w:tc>
        <w:tc>
          <w:tcPr>
            <w:tcW w:w="1800" w:type="dxa"/>
            <w:vAlign w:val="center"/>
          </w:tcPr>
          <w:p>
            <w:pPr>
              <w:pStyle w:val="9"/>
              <w:spacing w:line="360" w:lineRule="auto"/>
              <w:jc w:val="center"/>
              <w:rPr>
                <w:rFonts w:hint="eastAsia" w:hAnsi="宋体" w:cs="宋体"/>
                <w:color w:val="auto"/>
                <w:sz w:val="24"/>
                <w:highlight w:val="none"/>
              </w:rPr>
            </w:pPr>
          </w:p>
        </w:tc>
        <w:tc>
          <w:tcPr>
            <w:tcW w:w="1620" w:type="dxa"/>
            <w:vAlign w:val="center"/>
          </w:tcPr>
          <w:p>
            <w:pPr>
              <w:pStyle w:val="9"/>
              <w:spacing w:line="360" w:lineRule="auto"/>
              <w:jc w:val="center"/>
              <w:rPr>
                <w:rFonts w:hint="eastAsia" w:hAnsi="宋体" w:cs="宋体"/>
                <w:color w:val="auto"/>
                <w:sz w:val="24"/>
                <w:highlight w:val="none"/>
              </w:rPr>
            </w:pPr>
          </w:p>
        </w:tc>
        <w:tc>
          <w:tcPr>
            <w:tcW w:w="1620" w:type="dxa"/>
            <w:vAlign w:val="center"/>
          </w:tcPr>
          <w:p>
            <w:pPr>
              <w:pStyle w:val="9"/>
              <w:spacing w:line="360" w:lineRule="auto"/>
              <w:jc w:val="center"/>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9"/>
              <w:spacing w:line="360" w:lineRule="auto"/>
              <w:jc w:val="center"/>
              <w:rPr>
                <w:rFonts w:hint="eastAsia" w:hAnsi="宋体" w:cs="宋体"/>
                <w:color w:val="auto"/>
                <w:sz w:val="24"/>
                <w:highlight w:val="none"/>
              </w:rPr>
            </w:pPr>
            <w:r>
              <w:rPr>
                <w:rFonts w:hint="eastAsia" w:hAnsi="宋体" w:cs="宋体"/>
                <w:color w:val="auto"/>
                <w:sz w:val="24"/>
                <w:highlight w:val="none"/>
              </w:rPr>
              <w:t>5</w:t>
            </w:r>
          </w:p>
        </w:tc>
        <w:tc>
          <w:tcPr>
            <w:tcW w:w="2212" w:type="dxa"/>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720" w:type="dxa"/>
            <w:vAlign w:val="center"/>
          </w:tcPr>
          <w:p>
            <w:pPr>
              <w:pStyle w:val="9"/>
              <w:spacing w:line="360" w:lineRule="auto"/>
              <w:jc w:val="center"/>
              <w:rPr>
                <w:rFonts w:hint="eastAsia" w:hAnsi="宋体" w:cs="宋体"/>
                <w:color w:val="auto"/>
                <w:sz w:val="24"/>
                <w:highlight w:val="none"/>
              </w:rPr>
            </w:pPr>
          </w:p>
        </w:tc>
        <w:tc>
          <w:tcPr>
            <w:tcW w:w="1800" w:type="dxa"/>
            <w:vAlign w:val="center"/>
          </w:tcPr>
          <w:p>
            <w:pPr>
              <w:pStyle w:val="9"/>
              <w:spacing w:line="360" w:lineRule="auto"/>
              <w:jc w:val="center"/>
              <w:rPr>
                <w:rFonts w:hint="eastAsia" w:hAnsi="宋体" w:cs="宋体"/>
                <w:color w:val="auto"/>
                <w:sz w:val="24"/>
                <w:highlight w:val="none"/>
              </w:rPr>
            </w:pPr>
          </w:p>
        </w:tc>
        <w:tc>
          <w:tcPr>
            <w:tcW w:w="1620" w:type="dxa"/>
            <w:vAlign w:val="center"/>
          </w:tcPr>
          <w:p>
            <w:pPr>
              <w:pStyle w:val="9"/>
              <w:spacing w:line="360" w:lineRule="auto"/>
              <w:jc w:val="center"/>
              <w:rPr>
                <w:rFonts w:hint="eastAsia" w:hAnsi="宋体" w:cs="宋体"/>
                <w:color w:val="auto"/>
                <w:sz w:val="24"/>
                <w:highlight w:val="none"/>
              </w:rPr>
            </w:pPr>
          </w:p>
        </w:tc>
        <w:tc>
          <w:tcPr>
            <w:tcW w:w="1620" w:type="dxa"/>
            <w:vAlign w:val="center"/>
          </w:tcPr>
          <w:p>
            <w:pPr>
              <w:pStyle w:val="9"/>
              <w:spacing w:line="360" w:lineRule="auto"/>
              <w:jc w:val="center"/>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9"/>
              <w:spacing w:line="360" w:lineRule="auto"/>
              <w:jc w:val="center"/>
              <w:rPr>
                <w:rFonts w:hint="eastAsia" w:hAnsi="宋体" w:cs="宋体"/>
                <w:color w:val="auto"/>
                <w:sz w:val="24"/>
                <w:highlight w:val="none"/>
              </w:rPr>
            </w:pPr>
            <w:r>
              <w:rPr>
                <w:rFonts w:hint="eastAsia" w:hAnsi="宋体" w:cs="宋体"/>
                <w:color w:val="auto"/>
                <w:sz w:val="24"/>
                <w:highlight w:val="none"/>
              </w:rPr>
              <w:t>6</w:t>
            </w:r>
          </w:p>
        </w:tc>
        <w:tc>
          <w:tcPr>
            <w:tcW w:w="2212" w:type="dxa"/>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720" w:type="dxa"/>
            <w:vAlign w:val="center"/>
          </w:tcPr>
          <w:p>
            <w:pPr>
              <w:pStyle w:val="9"/>
              <w:spacing w:line="360" w:lineRule="auto"/>
              <w:jc w:val="center"/>
              <w:rPr>
                <w:rFonts w:hint="eastAsia" w:hAnsi="宋体" w:cs="宋体"/>
                <w:color w:val="auto"/>
                <w:sz w:val="24"/>
                <w:highlight w:val="none"/>
              </w:rPr>
            </w:pPr>
          </w:p>
        </w:tc>
        <w:tc>
          <w:tcPr>
            <w:tcW w:w="1800" w:type="dxa"/>
            <w:vAlign w:val="center"/>
          </w:tcPr>
          <w:p>
            <w:pPr>
              <w:pStyle w:val="9"/>
              <w:spacing w:line="360" w:lineRule="auto"/>
              <w:jc w:val="center"/>
              <w:rPr>
                <w:rFonts w:hint="eastAsia" w:hAnsi="宋体" w:cs="宋体"/>
                <w:color w:val="auto"/>
                <w:sz w:val="24"/>
                <w:highlight w:val="none"/>
              </w:rPr>
            </w:pPr>
          </w:p>
        </w:tc>
        <w:tc>
          <w:tcPr>
            <w:tcW w:w="1620" w:type="dxa"/>
            <w:vAlign w:val="center"/>
          </w:tcPr>
          <w:p>
            <w:pPr>
              <w:pStyle w:val="9"/>
              <w:spacing w:line="360" w:lineRule="auto"/>
              <w:jc w:val="center"/>
              <w:rPr>
                <w:rFonts w:hint="eastAsia" w:hAnsi="宋体" w:cs="宋体"/>
                <w:color w:val="auto"/>
                <w:sz w:val="24"/>
                <w:highlight w:val="none"/>
              </w:rPr>
            </w:pPr>
          </w:p>
        </w:tc>
        <w:tc>
          <w:tcPr>
            <w:tcW w:w="1620" w:type="dxa"/>
            <w:vAlign w:val="center"/>
          </w:tcPr>
          <w:p>
            <w:pPr>
              <w:pStyle w:val="9"/>
              <w:spacing w:line="360" w:lineRule="auto"/>
              <w:jc w:val="center"/>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9"/>
              <w:spacing w:line="360" w:lineRule="auto"/>
              <w:jc w:val="center"/>
              <w:rPr>
                <w:rFonts w:hint="eastAsia" w:hAnsi="宋体" w:cs="宋体"/>
                <w:color w:val="auto"/>
                <w:sz w:val="24"/>
                <w:highlight w:val="none"/>
              </w:rPr>
            </w:pPr>
            <w:r>
              <w:rPr>
                <w:rFonts w:hint="eastAsia" w:hAnsi="宋体" w:cs="宋体"/>
                <w:color w:val="auto"/>
                <w:sz w:val="24"/>
                <w:highlight w:val="none"/>
              </w:rPr>
              <w:t>7</w:t>
            </w:r>
          </w:p>
        </w:tc>
        <w:tc>
          <w:tcPr>
            <w:tcW w:w="2212" w:type="dxa"/>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720" w:type="dxa"/>
            <w:vAlign w:val="center"/>
          </w:tcPr>
          <w:p>
            <w:pPr>
              <w:pStyle w:val="9"/>
              <w:spacing w:line="360" w:lineRule="auto"/>
              <w:jc w:val="center"/>
              <w:rPr>
                <w:rFonts w:hint="eastAsia" w:hAnsi="宋体" w:cs="宋体"/>
                <w:color w:val="auto"/>
                <w:sz w:val="24"/>
                <w:highlight w:val="none"/>
              </w:rPr>
            </w:pPr>
          </w:p>
        </w:tc>
        <w:tc>
          <w:tcPr>
            <w:tcW w:w="1800" w:type="dxa"/>
            <w:vAlign w:val="center"/>
          </w:tcPr>
          <w:p>
            <w:pPr>
              <w:pStyle w:val="9"/>
              <w:spacing w:line="360" w:lineRule="auto"/>
              <w:jc w:val="center"/>
              <w:rPr>
                <w:rFonts w:hint="eastAsia" w:hAnsi="宋体" w:cs="宋体"/>
                <w:color w:val="auto"/>
                <w:sz w:val="24"/>
                <w:highlight w:val="none"/>
              </w:rPr>
            </w:pPr>
          </w:p>
        </w:tc>
        <w:tc>
          <w:tcPr>
            <w:tcW w:w="1620" w:type="dxa"/>
            <w:vAlign w:val="center"/>
          </w:tcPr>
          <w:p>
            <w:pPr>
              <w:pStyle w:val="9"/>
              <w:spacing w:line="360" w:lineRule="auto"/>
              <w:jc w:val="center"/>
              <w:rPr>
                <w:rFonts w:hint="eastAsia" w:hAnsi="宋体" w:cs="宋体"/>
                <w:color w:val="auto"/>
                <w:sz w:val="24"/>
                <w:highlight w:val="none"/>
              </w:rPr>
            </w:pPr>
          </w:p>
        </w:tc>
        <w:tc>
          <w:tcPr>
            <w:tcW w:w="1620" w:type="dxa"/>
            <w:vAlign w:val="center"/>
          </w:tcPr>
          <w:p>
            <w:pPr>
              <w:pStyle w:val="9"/>
              <w:spacing w:line="360" w:lineRule="auto"/>
              <w:jc w:val="center"/>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9"/>
              <w:spacing w:line="360" w:lineRule="auto"/>
              <w:jc w:val="center"/>
              <w:rPr>
                <w:rFonts w:hint="eastAsia" w:hAnsi="宋体" w:cs="宋体"/>
                <w:color w:val="auto"/>
                <w:sz w:val="24"/>
                <w:highlight w:val="none"/>
              </w:rPr>
            </w:pPr>
            <w:r>
              <w:rPr>
                <w:rFonts w:hint="eastAsia" w:hAnsi="宋体" w:cs="宋体"/>
                <w:color w:val="auto"/>
                <w:sz w:val="24"/>
                <w:highlight w:val="none"/>
              </w:rPr>
              <w:t>8</w:t>
            </w:r>
          </w:p>
        </w:tc>
        <w:tc>
          <w:tcPr>
            <w:tcW w:w="2212" w:type="dxa"/>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720" w:type="dxa"/>
            <w:vAlign w:val="center"/>
          </w:tcPr>
          <w:p>
            <w:pPr>
              <w:pStyle w:val="9"/>
              <w:spacing w:line="360" w:lineRule="auto"/>
              <w:jc w:val="center"/>
              <w:rPr>
                <w:rFonts w:hint="eastAsia" w:hAnsi="宋体" w:cs="宋体"/>
                <w:color w:val="auto"/>
                <w:sz w:val="24"/>
                <w:highlight w:val="none"/>
              </w:rPr>
            </w:pPr>
          </w:p>
        </w:tc>
        <w:tc>
          <w:tcPr>
            <w:tcW w:w="1800" w:type="dxa"/>
            <w:vAlign w:val="center"/>
          </w:tcPr>
          <w:p>
            <w:pPr>
              <w:pStyle w:val="9"/>
              <w:spacing w:line="360" w:lineRule="auto"/>
              <w:jc w:val="center"/>
              <w:rPr>
                <w:rFonts w:hint="eastAsia" w:hAnsi="宋体" w:cs="宋体"/>
                <w:color w:val="auto"/>
                <w:sz w:val="24"/>
                <w:highlight w:val="none"/>
              </w:rPr>
            </w:pPr>
          </w:p>
        </w:tc>
        <w:tc>
          <w:tcPr>
            <w:tcW w:w="1620" w:type="dxa"/>
            <w:vAlign w:val="center"/>
          </w:tcPr>
          <w:p>
            <w:pPr>
              <w:pStyle w:val="9"/>
              <w:spacing w:line="360" w:lineRule="auto"/>
              <w:jc w:val="center"/>
              <w:rPr>
                <w:rFonts w:hint="eastAsia" w:hAnsi="宋体" w:cs="宋体"/>
                <w:color w:val="auto"/>
                <w:sz w:val="24"/>
                <w:highlight w:val="none"/>
              </w:rPr>
            </w:pPr>
          </w:p>
        </w:tc>
        <w:tc>
          <w:tcPr>
            <w:tcW w:w="1620" w:type="dxa"/>
            <w:vAlign w:val="center"/>
          </w:tcPr>
          <w:p>
            <w:pPr>
              <w:pStyle w:val="9"/>
              <w:spacing w:line="360" w:lineRule="auto"/>
              <w:jc w:val="center"/>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9"/>
              <w:spacing w:line="360" w:lineRule="auto"/>
              <w:jc w:val="center"/>
              <w:rPr>
                <w:rFonts w:hint="eastAsia" w:hAnsi="宋体" w:cs="宋体"/>
                <w:color w:val="auto"/>
                <w:sz w:val="24"/>
                <w:highlight w:val="none"/>
              </w:rPr>
            </w:pPr>
            <w:r>
              <w:rPr>
                <w:rFonts w:hint="eastAsia" w:hAnsi="宋体" w:cs="宋体"/>
                <w:color w:val="auto"/>
                <w:sz w:val="24"/>
                <w:highlight w:val="none"/>
              </w:rPr>
              <w:t>9</w:t>
            </w:r>
          </w:p>
        </w:tc>
        <w:tc>
          <w:tcPr>
            <w:tcW w:w="2212" w:type="dxa"/>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720" w:type="dxa"/>
            <w:vAlign w:val="center"/>
          </w:tcPr>
          <w:p>
            <w:pPr>
              <w:pStyle w:val="9"/>
              <w:spacing w:line="360" w:lineRule="auto"/>
              <w:jc w:val="center"/>
              <w:rPr>
                <w:rFonts w:hint="eastAsia" w:hAnsi="宋体" w:cs="宋体"/>
                <w:color w:val="auto"/>
                <w:sz w:val="24"/>
                <w:highlight w:val="none"/>
              </w:rPr>
            </w:pPr>
          </w:p>
        </w:tc>
        <w:tc>
          <w:tcPr>
            <w:tcW w:w="1800" w:type="dxa"/>
            <w:vAlign w:val="center"/>
          </w:tcPr>
          <w:p>
            <w:pPr>
              <w:pStyle w:val="9"/>
              <w:spacing w:line="360" w:lineRule="auto"/>
              <w:jc w:val="center"/>
              <w:rPr>
                <w:rFonts w:hint="eastAsia" w:hAnsi="宋体" w:cs="宋体"/>
                <w:color w:val="auto"/>
                <w:sz w:val="24"/>
                <w:highlight w:val="none"/>
              </w:rPr>
            </w:pPr>
          </w:p>
        </w:tc>
        <w:tc>
          <w:tcPr>
            <w:tcW w:w="1620" w:type="dxa"/>
            <w:vAlign w:val="center"/>
          </w:tcPr>
          <w:p>
            <w:pPr>
              <w:pStyle w:val="9"/>
              <w:spacing w:line="360" w:lineRule="auto"/>
              <w:jc w:val="center"/>
              <w:rPr>
                <w:rFonts w:hint="eastAsia" w:hAnsi="宋体" w:cs="宋体"/>
                <w:color w:val="auto"/>
                <w:sz w:val="24"/>
                <w:highlight w:val="none"/>
              </w:rPr>
            </w:pPr>
          </w:p>
        </w:tc>
        <w:tc>
          <w:tcPr>
            <w:tcW w:w="1620" w:type="dxa"/>
            <w:vAlign w:val="center"/>
          </w:tcPr>
          <w:p>
            <w:pPr>
              <w:pStyle w:val="9"/>
              <w:spacing w:line="360" w:lineRule="auto"/>
              <w:jc w:val="center"/>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9"/>
              <w:spacing w:line="360" w:lineRule="auto"/>
              <w:jc w:val="center"/>
              <w:rPr>
                <w:rFonts w:hint="eastAsia" w:hAnsi="宋体" w:cs="宋体"/>
                <w:color w:val="auto"/>
                <w:sz w:val="24"/>
                <w:highlight w:val="none"/>
              </w:rPr>
            </w:pPr>
            <w:r>
              <w:rPr>
                <w:rFonts w:hint="eastAsia" w:hAnsi="宋体" w:cs="宋体"/>
                <w:color w:val="auto"/>
                <w:sz w:val="24"/>
                <w:highlight w:val="none"/>
              </w:rPr>
              <w:t>…</w:t>
            </w:r>
          </w:p>
        </w:tc>
        <w:tc>
          <w:tcPr>
            <w:tcW w:w="2212" w:type="dxa"/>
            <w:vAlign w:val="center"/>
          </w:tcPr>
          <w:p>
            <w:pPr>
              <w:pStyle w:val="9"/>
              <w:spacing w:line="360" w:lineRule="auto"/>
              <w:jc w:val="center"/>
              <w:rPr>
                <w:rFonts w:hint="eastAsia" w:hAnsi="宋体" w:cs="宋体"/>
                <w:color w:val="auto"/>
                <w:sz w:val="24"/>
                <w:highlight w:val="none"/>
              </w:rPr>
            </w:pPr>
            <w:r>
              <w:rPr>
                <w:rFonts w:hint="eastAsia" w:hAnsi="宋体" w:cs="宋体"/>
                <w:color w:val="auto"/>
                <w:sz w:val="24"/>
                <w:highlight w:val="none"/>
              </w:rPr>
              <w:t>…</w:t>
            </w:r>
          </w:p>
        </w:tc>
        <w:tc>
          <w:tcPr>
            <w:tcW w:w="720" w:type="dxa"/>
            <w:vAlign w:val="center"/>
          </w:tcPr>
          <w:p>
            <w:pPr>
              <w:pStyle w:val="9"/>
              <w:spacing w:line="360" w:lineRule="auto"/>
              <w:jc w:val="center"/>
              <w:rPr>
                <w:rFonts w:hint="eastAsia" w:hAnsi="宋体" w:cs="宋体"/>
                <w:color w:val="auto"/>
                <w:sz w:val="24"/>
                <w:highlight w:val="none"/>
              </w:rPr>
            </w:pPr>
          </w:p>
        </w:tc>
        <w:tc>
          <w:tcPr>
            <w:tcW w:w="1800" w:type="dxa"/>
            <w:vAlign w:val="center"/>
          </w:tcPr>
          <w:p>
            <w:pPr>
              <w:pStyle w:val="9"/>
              <w:spacing w:line="360" w:lineRule="auto"/>
              <w:jc w:val="center"/>
              <w:rPr>
                <w:rFonts w:hint="eastAsia" w:hAnsi="宋体" w:cs="宋体"/>
                <w:color w:val="auto"/>
                <w:sz w:val="24"/>
                <w:highlight w:val="none"/>
              </w:rPr>
            </w:pPr>
          </w:p>
        </w:tc>
        <w:tc>
          <w:tcPr>
            <w:tcW w:w="1620" w:type="dxa"/>
            <w:vAlign w:val="center"/>
          </w:tcPr>
          <w:p>
            <w:pPr>
              <w:pStyle w:val="9"/>
              <w:spacing w:line="360" w:lineRule="auto"/>
              <w:jc w:val="center"/>
              <w:rPr>
                <w:rFonts w:hint="eastAsia" w:hAnsi="宋体" w:cs="宋体"/>
                <w:color w:val="auto"/>
                <w:sz w:val="24"/>
                <w:highlight w:val="none"/>
              </w:rPr>
            </w:pPr>
          </w:p>
        </w:tc>
        <w:tc>
          <w:tcPr>
            <w:tcW w:w="1620" w:type="dxa"/>
            <w:vAlign w:val="center"/>
          </w:tcPr>
          <w:p>
            <w:pPr>
              <w:pStyle w:val="9"/>
              <w:spacing w:line="360" w:lineRule="auto"/>
              <w:jc w:val="center"/>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000" w:type="dxa"/>
            <w:gridSpan w:val="6"/>
          </w:tcPr>
          <w:p>
            <w:pPr>
              <w:pStyle w:val="9"/>
              <w:spacing w:line="360" w:lineRule="auto"/>
              <w:rPr>
                <w:rFonts w:hint="eastAsia" w:hAnsi="宋体" w:cs="宋体"/>
                <w:color w:val="auto"/>
                <w:sz w:val="24"/>
                <w:highlight w:val="none"/>
              </w:rPr>
            </w:pPr>
            <w:r>
              <w:rPr>
                <w:rFonts w:hint="eastAsia" w:hAnsi="宋体" w:cs="宋体"/>
                <w:color w:val="auto"/>
                <w:sz w:val="24"/>
                <w:highlight w:val="none"/>
              </w:rPr>
              <w:t>报价合计</w:t>
            </w:r>
          </w:p>
        </w:tc>
      </w:tr>
    </w:tbl>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投标供应商授权代表： ________________________</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pPr>
        <w:spacing w:line="360" w:lineRule="auto"/>
        <w:outlineLvl w:val="2"/>
        <w:rPr>
          <w:rFonts w:hint="eastAsia" w:ascii="宋体" w:hAnsi="宋体" w:cs="宋体"/>
          <w:b/>
          <w:bCs/>
          <w:color w:val="auto"/>
          <w:sz w:val="24"/>
          <w:highlight w:val="none"/>
          <w:u w:val="wav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（二）商务部分</w:t>
      </w:r>
    </w:p>
    <w:p>
      <w:pPr>
        <w:numPr>
          <w:ilvl w:val="0"/>
          <w:numId w:val="15"/>
        </w:numPr>
        <w:tabs>
          <w:tab w:val="left" w:pos="640"/>
          <w:tab w:val="left" w:pos="1260"/>
          <w:tab w:val="left" w:pos="1418"/>
        </w:tabs>
        <w:spacing w:line="360" w:lineRule="auto"/>
        <w:ind w:left="845" w:hanging="845"/>
        <w:rPr>
          <w:rFonts w:hint="eastAsia" w:ascii="宋体" w:hAnsi="宋体" w:cs="宋体"/>
          <w:color w:val="auto"/>
          <w:sz w:val="24"/>
          <w:highlight w:val="none"/>
        </w:rPr>
      </w:pPr>
      <w:r>
        <w:rPr>
          <w:rFonts w:hint="eastAsia" w:ascii="宋体" w:hAnsi="宋体" w:cs="宋体"/>
          <w:color w:val="auto"/>
          <w:sz w:val="24"/>
          <w:highlight w:val="none"/>
        </w:rPr>
        <w:t>投标响应书；</w:t>
      </w:r>
    </w:p>
    <w:p>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投标响应书</w:t>
      </w: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p>
    <w:p>
      <w:pPr>
        <w:spacing w:line="360" w:lineRule="auto"/>
        <w:ind w:firstLine="494" w:firstLineChars="206"/>
        <w:rPr>
          <w:rFonts w:hint="eastAsia" w:ascii="宋体" w:hAnsi="宋体" w:cs="宋体"/>
          <w:color w:val="auto"/>
          <w:sz w:val="24"/>
          <w:highlight w:val="none"/>
        </w:rPr>
      </w:pPr>
      <w:r>
        <w:rPr>
          <w:rFonts w:hint="eastAsia" w:ascii="宋体" w:hAnsi="宋体" w:cs="宋体"/>
          <w:color w:val="auto"/>
          <w:sz w:val="24"/>
          <w:highlight w:val="none"/>
        </w:rPr>
        <w:t>根据贵方为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项目采购的邀请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（招标文件编号         ），签字代表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（全名、职务）经正式授权并代表供应商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（供应商方名称、地址）提交</w:t>
      </w:r>
      <w:r>
        <w:rPr>
          <w:rFonts w:hint="eastAsia" w:ascii="宋体" w:hAnsi="宋体" w:cs="宋体"/>
          <w:b/>
          <w:color w:val="auto"/>
          <w:sz w:val="24"/>
          <w:highlight w:val="none"/>
        </w:rPr>
        <w:t>一份正本四份副本以及</w:t>
      </w:r>
      <w:bookmarkStart w:id="84" w:name="OLE_LINK2"/>
      <w:r>
        <w:rPr>
          <w:rFonts w:hint="eastAsia" w:ascii="宋体" w:hAnsi="宋体" w:cs="宋体"/>
          <w:b/>
          <w:color w:val="auto"/>
          <w:sz w:val="24"/>
          <w:highlight w:val="none"/>
        </w:rPr>
        <w:t>一份PDF格式的正本投标文件扫描件的</w:t>
      </w:r>
      <w:bookmarkEnd w:id="84"/>
      <w:r>
        <w:rPr>
          <w:rFonts w:hint="eastAsia" w:ascii="宋体" w:hAnsi="宋体" w:cs="宋体"/>
          <w:color w:val="auto"/>
          <w:sz w:val="24"/>
          <w:highlight w:val="none"/>
        </w:rPr>
        <w:t>投标文件。</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据此函，签字代表宣布同意如下：</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1、供应商方将按招标文件的规定履行合同责任和义务。</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2、供应商方已详细审查全部投标文件，包括修改文件（如有的话）以及全部参考资料和有关附件。我们完全理解并同意放弃对这方面有不明及误解的权利。</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3、与本投标项目有关的一切正式往来通讯请寄：</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邮编：</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传真：</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邮箱：</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投标供应商授权代表、职务（印刷体）：</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投标供应商名称：</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（公  章）：</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spacing w:line="360" w:lineRule="auto"/>
        <w:rPr>
          <w:rFonts w:hint="eastAsia" w:ascii="宋体" w:hAnsi="宋体" w:cs="宋体"/>
          <w:b/>
          <w:bCs/>
          <w:color w:val="auto"/>
          <w:sz w:val="24"/>
          <w:highlight w:val="none"/>
        </w:rPr>
      </w:pPr>
      <w:r>
        <w:rPr>
          <w:rFonts w:hint="eastAsia" w:ascii="宋体" w:hAnsi="宋体" w:cs="宋体"/>
          <w:color w:val="auto"/>
          <w:sz w:val="24"/>
          <w:highlight w:val="none"/>
        </w:rPr>
        <w:t>投标供应商授权代表：</w:t>
      </w:r>
      <w:r>
        <w:rPr>
          <w:rFonts w:hint="eastAsia" w:ascii="宋体" w:hAnsi="宋体" w:cs="宋体"/>
          <w:color w:val="auto"/>
          <w:sz w:val="24"/>
          <w:highlight w:val="none"/>
          <w:u w:val="single"/>
        </w:rPr>
        <w:t xml:space="preserve">                           </w:t>
      </w:r>
    </w:p>
    <w:p>
      <w:pPr>
        <w:pStyle w:val="2"/>
        <w:rPr>
          <w:color w:val="auto"/>
          <w:highlight w:val="none"/>
        </w:rPr>
      </w:pPr>
    </w:p>
    <w:p>
      <w:pPr>
        <w:numPr>
          <w:ilvl w:val="0"/>
          <w:numId w:val="15"/>
        </w:numPr>
        <w:tabs>
          <w:tab w:val="left" w:pos="640"/>
          <w:tab w:val="left" w:pos="1260"/>
          <w:tab w:val="left" w:pos="1418"/>
        </w:tabs>
        <w:spacing w:line="360" w:lineRule="auto"/>
        <w:ind w:left="645" w:hanging="645"/>
        <w:rPr>
          <w:rFonts w:hint="eastAsia" w:ascii="宋体" w:hAnsi="宋体" w:cs="宋体"/>
          <w:color w:val="auto"/>
          <w:sz w:val="24"/>
          <w:highlight w:val="none"/>
          <w:lang w:val="fr-CH"/>
        </w:rPr>
      </w:pPr>
      <w:r>
        <w:rPr>
          <w:rFonts w:hint="eastAsia" w:ascii="宋体" w:hAnsi="宋体" w:cs="宋体"/>
          <w:color w:val="auto"/>
          <w:sz w:val="24"/>
          <w:highlight w:val="none"/>
          <w:lang w:val="fr-CH"/>
        </w:rPr>
        <w:br w:type="page"/>
      </w:r>
      <w:r>
        <w:rPr>
          <w:rFonts w:hint="eastAsia" w:ascii="宋体" w:hAnsi="宋体" w:cs="宋体"/>
          <w:color w:val="auto"/>
          <w:sz w:val="24"/>
          <w:highlight w:val="none"/>
          <w:lang w:val="fr-CH"/>
        </w:rPr>
        <w:t>营业执照【其他组织提供《事业单位法人证书》或《民办非企业单位登记证书》】及税务登记册证副本复印件(加盖投标人公章，若提供的营业执照为三证合一，则税务登记证可不单独提供)；分支机构投标须提供总公司(或总所)出具的愿为其参与本项目投标的行为以及履约等行为承担民事责任的承诺函，且同一家总公司(或总所)若有两家或两家以上的分支机构，总公司(或总所)只能授权一家参与投标；</w:t>
      </w:r>
      <w:r>
        <w:rPr>
          <w:rFonts w:hint="eastAsia" w:ascii="宋体" w:hAnsi="宋体" w:cs="宋体"/>
          <w:color w:val="auto"/>
          <w:sz w:val="24"/>
          <w:highlight w:val="none"/>
          <w:lang w:val="fr-CH"/>
        </w:rPr>
        <w:br w:type="page"/>
      </w:r>
    </w:p>
    <w:p>
      <w:pPr>
        <w:numPr>
          <w:ilvl w:val="0"/>
          <w:numId w:val="15"/>
        </w:numPr>
        <w:tabs>
          <w:tab w:val="left" w:pos="640"/>
          <w:tab w:val="left" w:pos="1260"/>
          <w:tab w:val="left" w:pos="1418"/>
        </w:tabs>
        <w:spacing w:line="360" w:lineRule="auto"/>
        <w:ind w:left="645" w:hanging="645"/>
        <w:rPr>
          <w:rFonts w:hint="eastAsia" w:ascii="宋体" w:hAnsi="宋体" w:cs="宋体"/>
          <w:color w:val="auto"/>
          <w:sz w:val="24"/>
          <w:highlight w:val="none"/>
          <w:lang w:val="fr-CH"/>
        </w:rPr>
      </w:pPr>
      <w:r>
        <w:rPr>
          <w:rFonts w:hint="eastAsia" w:ascii="宋体" w:hAnsi="宋体" w:cs="宋体"/>
          <w:color w:val="auto"/>
          <w:sz w:val="24"/>
          <w:highlight w:val="none"/>
          <w:lang w:val="fr-CH"/>
        </w:rPr>
        <w:t>政府采购投标及履约承诺函；</w:t>
      </w:r>
    </w:p>
    <w:p>
      <w:pPr>
        <w:spacing w:line="360" w:lineRule="auto"/>
        <w:jc w:val="center"/>
        <w:rPr>
          <w:rFonts w:hint="eastAsia" w:ascii="宋体" w:hAnsi="宋体" w:cs="宋体"/>
          <w:b/>
          <w:bCs/>
          <w:color w:val="auto"/>
          <w:sz w:val="24"/>
          <w:highlight w:val="none"/>
          <w:lang w:val="fr-CH"/>
        </w:rPr>
      </w:pPr>
      <w:r>
        <w:rPr>
          <w:rFonts w:hint="eastAsia" w:ascii="宋体" w:hAnsi="宋体" w:cs="宋体"/>
          <w:b/>
          <w:bCs/>
          <w:color w:val="auto"/>
          <w:sz w:val="24"/>
          <w:highlight w:val="none"/>
          <w:lang w:val="fr-CH"/>
        </w:rPr>
        <w:t>政府采购投标及履约承诺函</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（采购单位名称/代理机构名称）：</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我单位深知本项目对贵局的重要性和紧迫性，亦了解贵局对廉政建设的相关要求，因此我单位承诺如下：</w:t>
      </w:r>
    </w:p>
    <w:p>
      <w:pPr>
        <w:numPr>
          <w:ilvl w:val="0"/>
          <w:numId w:val="16"/>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我单位本招标项目所提供的货物或服务未侵犯知识产权。</w:t>
      </w:r>
    </w:p>
    <w:p>
      <w:pPr>
        <w:widowControl/>
        <w:numPr>
          <w:ilvl w:val="0"/>
          <w:numId w:val="16"/>
        </w:numPr>
        <w:shd w:val="clear" w:color="auto" w:fill="FFFFFF"/>
        <w:spacing w:line="360" w:lineRule="auto"/>
        <w:ind w:right="-4"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我单位</w:t>
      </w:r>
      <w:r>
        <w:rPr>
          <w:rFonts w:hint="eastAsia" w:ascii="宋体" w:hAnsi="宋体" w:cs="宋体"/>
          <w:color w:val="auto"/>
          <w:kern w:val="0"/>
          <w:sz w:val="24"/>
          <w:highlight w:val="none"/>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numPr>
          <w:ilvl w:val="0"/>
          <w:numId w:val="16"/>
        </w:numPr>
        <w:shd w:val="clear" w:color="auto" w:fill="FFFFFF"/>
        <w:spacing w:line="360" w:lineRule="auto"/>
        <w:ind w:right="-4"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我单位</w:t>
      </w:r>
      <w:r>
        <w:rPr>
          <w:rFonts w:hint="eastAsia" w:ascii="宋体" w:hAnsi="宋体" w:cs="宋体"/>
          <w:color w:val="auto"/>
          <w:kern w:val="0"/>
          <w:sz w:val="24"/>
          <w:highlight w:val="none"/>
        </w:rPr>
        <w:t>及其法定代表人近三年内（投标人成立不足三年的可从成立之日起算）无行贿犯罪记录；</w:t>
      </w:r>
    </w:p>
    <w:p>
      <w:pPr>
        <w:numPr>
          <w:ilvl w:val="0"/>
          <w:numId w:val="16"/>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我单位具备《中华人民共和国政府采购法》第二十二条第一款的条件。</w:t>
      </w:r>
    </w:p>
    <w:p>
      <w:pPr>
        <w:numPr>
          <w:ilvl w:val="0"/>
          <w:numId w:val="16"/>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bidi="ar"/>
        </w:rPr>
        <w:t>符合财政部和深圳市财政局关于诚信管理的要求，</w:t>
      </w:r>
      <w:r>
        <w:rPr>
          <w:rFonts w:hint="eastAsia" w:ascii="宋体" w:hAnsi="宋体" w:cs="宋体"/>
          <w:color w:val="auto"/>
          <w:kern w:val="0"/>
          <w:sz w:val="24"/>
          <w:highlight w:val="none"/>
        </w:rPr>
        <w:t>至投标截止时间，我单位未有在“信用中国”网（www.creditchina.gov.cn）、中国政府采购网（www.ccgp.gov.cn）、深圳市政府采购监督管理网（zfcg.sz.gov.cn）和“国家企业信用信息公示系统”（www.gsxt.gov.cn）等4个官网中列入“失信被执行人、重大税收违法失信主体、政府采购严重违法失信行为记录名单”</w:t>
      </w:r>
      <w:r>
        <w:rPr>
          <w:rFonts w:hint="eastAsia" w:ascii="宋体" w:hAnsi="宋体" w:cs="宋体"/>
          <w:color w:val="auto"/>
          <w:sz w:val="24"/>
          <w:highlight w:val="none"/>
        </w:rPr>
        <w:t>。</w:t>
      </w:r>
    </w:p>
    <w:p>
      <w:pPr>
        <w:numPr>
          <w:ilvl w:val="0"/>
          <w:numId w:val="16"/>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我单位不存在单位法定代表人为同一人或者存在直接控股、管理关系的不同供应商，同时参加本项目投标之情形；我公司未为本项目提供过整体设计、规范编制或者项目管理、监理、检测等服务。</w:t>
      </w:r>
    </w:p>
    <w:p>
      <w:pPr>
        <w:numPr>
          <w:ilvl w:val="0"/>
          <w:numId w:val="16"/>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numPr>
          <w:ilvl w:val="0"/>
          <w:numId w:val="16"/>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我单位如果中标，做到诚实守信，依照本项目招标文件需求内容、签署的采购合同及本单位在投标中所作的一切承诺履约；不非法转包、分包。</w:t>
      </w:r>
    </w:p>
    <w:p>
      <w:pPr>
        <w:numPr>
          <w:ilvl w:val="0"/>
          <w:numId w:val="16"/>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numPr>
          <w:ilvl w:val="0"/>
          <w:numId w:val="16"/>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numPr>
          <w:ilvl w:val="0"/>
          <w:numId w:val="16"/>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我单位承诺未参与本项目的采购需求、技术指标、商务指标等内容的设定，不存在对其他投标单位不公平的行为。</w:t>
      </w:r>
    </w:p>
    <w:p>
      <w:pPr>
        <w:numPr>
          <w:ilvl w:val="0"/>
          <w:numId w:val="16"/>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13.我单位承诺本单位（公司）不存在《深圳市财政局政府采购供应商信用信息管理办法》（深财规〔2023〕3号）列明的严重违法失信行为。</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以上承诺，如有违反，愿依照国家相关法律处理，并承担由此给采购人带来的损失。</w:t>
      </w:r>
    </w:p>
    <w:p>
      <w:pPr>
        <w:spacing w:line="360" w:lineRule="auto"/>
        <w:ind w:firstLine="480" w:firstLineChars="200"/>
        <w:rPr>
          <w:rFonts w:hint="eastAsia" w:ascii="宋体" w:hAnsi="宋体" w:cs="宋体"/>
          <w:color w:val="auto"/>
          <w:sz w:val="24"/>
          <w:highlight w:val="none"/>
        </w:rPr>
      </w:pPr>
    </w:p>
    <w:p>
      <w:pPr>
        <w:tabs>
          <w:tab w:val="left" w:pos="4860"/>
        </w:tabs>
        <w:adjustRightInd w:val="0"/>
        <w:snapToGrid w:val="0"/>
        <w:spacing w:line="360" w:lineRule="auto"/>
        <w:ind w:right="105" w:rightChars="50" w:firstLine="240" w:firstLineChars="100"/>
        <w:rPr>
          <w:rFonts w:hint="eastAsia" w:ascii="宋体" w:hAnsi="宋体" w:cs="宋体"/>
          <w:color w:val="auto"/>
          <w:sz w:val="24"/>
          <w:highlight w:val="none"/>
        </w:rPr>
      </w:pPr>
      <w:r>
        <w:rPr>
          <w:rFonts w:hint="eastAsia" w:ascii="宋体" w:hAnsi="宋体" w:cs="宋体"/>
          <w:color w:val="auto"/>
          <w:sz w:val="24"/>
          <w:highlight w:val="none"/>
        </w:rPr>
        <w:t xml:space="preserve">投标供应商法定代表人或授权代表（签字或签章）：                  </w:t>
      </w:r>
    </w:p>
    <w:p>
      <w:pPr>
        <w:tabs>
          <w:tab w:val="left" w:pos="4860"/>
        </w:tabs>
        <w:adjustRightInd w:val="0"/>
        <w:snapToGrid w:val="0"/>
        <w:spacing w:line="360" w:lineRule="auto"/>
        <w:ind w:right="105" w:rightChars="50" w:firstLine="240" w:firstLineChars="100"/>
        <w:rPr>
          <w:rFonts w:hint="eastAsia" w:ascii="宋体" w:hAnsi="宋体" w:cs="宋体"/>
          <w:color w:val="auto"/>
          <w:sz w:val="24"/>
          <w:highlight w:val="none"/>
        </w:rPr>
      </w:pPr>
      <w:r>
        <w:rPr>
          <w:rFonts w:hint="eastAsia" w:ascii="宋体" w:hAnsi="宋体" w:cs="宋体"/>
          <w:color w:val="auto"/>
          <w:sz w:val="24"/>
          <w:highlight w:val="none"/>
        </w:rPr>
        <w:t>投标供应商名称（盖章）：</w:t>
      </w:r>
    </w:p>
    <w:p>
      <w:pPr>
        <w:tabs>
          <w:tab w:val="left" w:pos="4860"/>
        </w:tabs>
        <w:adjustRightInd w:val="0"/>
        <w:snapToGrid w:val="0"/>
        <w:spacing w:line="360" w:lineRule="auto"/>
        <w:ind w:right="105" w:rightChars="50" w:firstLine="240" w:firstLineChars="100"/>
        <w:rPr>
          <w:rFonts w:hint="eastAsia" w:ascii="宋体" w:hAnsi="宋体" w:cs="宋体"/>
          <w:color w:val="auto"/>
          <w:sz w:val="24"/>
          <w:highlight w:val="none"/>
        </w:rPr>
      </w:pPr>
      <w:r>
        <w:rPr>
          <w:rFonts w:hint="eastAsia" w:ascii="宋体" w:hAnsi="宋体" w:cs="宋体"/>
          <w:color w:val="auto"/>
          <w:sz w:val="24"/>
          <w:highlight w:val="none"/>
        </w:rPr>
        <w:t>日期：   年  月   日</w:t>
      </w:r>
    </w:p>
    <w:p>
      <w:pPr>
        <w:numPr>
          <w:ilvl w:val="0"/>
          <w:numId w:val="15"/>
        </w:numPr>
        <w:tabs>
          <w:tab w:val="left" w:pos="640"/>
          <w:tab w:val="left" w:pos="1260"/>
          <w:tab w:val="left" w:pos="1418"/>
        </w:tabs>
        <w:spacing w:line="360" w:lineRule="auto"/>
        <w:ind w:left="645" w:hanging="645"/>
        <w:rPr>
          <w:rFonts w:hint="eastAsia" w:ascii="宋体" w:hAnsi="宋体" w:cs="宋体"/>
          <w:color w:val="auto"/>
          <w:sz w:val="24"/>
          <w:highlight w:val="none"/>
          <w:lang w:val="fr-CH"/>
        </w:rPr>
      </w:pPr>
      <w:r>
        <w:rPr>
          <w:rFonts w:hint="eastAsia" w:hAnsi="宋体" w:cs="宋体"/>
          <w:color w:val="auto"/>
          <w:highlight w:val="none"/>
        </w:rPr>
        <w:br w:type="page"/>
      </w:r>
      <w:r>
        <w:rPr>
          <w:rFonts w:hint="eastAsia" w:ascii="宋体" w:hAnsi="宋体" w:cs="宋体"/>
          <w:color w:val="auto"/>
          <w:sz w:val="24"/>
          <w:highlight w:val="none"/>
        </w:rPr>
        <w:t>关于资格的声明函；</w:t>
      </w:r>
    </w:p>
    <w:p>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关于资格的声明函</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（采购单位名称/代理机构名称）：</w:t>
      </w:r>
    </w:p>
    <w:p>
      <w:pPr>
        <w:spacing w:line="360" w:lineRule="auto"/>
        <w:ind w:firstLine="566" w:firstLineChars="236"/>
        <w:rPr>
          <w:rFonts w:hint="eastAsia" w:ascii="宋体" w:hAnsi="宋体" w:cs="宋体"/>
          <w:color w:val="auto"/>
          <w:sz w:val="24"/>
          <w:highlight w:val="none"/>
        </w:rPr>
      </w:pPr>
      <w:r>
        <w:rPr>
          <w:rFonts w:hint="eastAsia" w:ascii="宋体" w:hAnsi="宋体" w:cs="宋体"/>
          <w:color w:val="auto"/>
          <w:sz w:val="24"/>
          <w:highlight w:val="none"/>
          <w:u w:val="single"/>
        </w:rPr>
        <w:t xml:space="preserve"> （ 投标人名称）    </w:t>
      </w:r>
      <w:r>
        <w:rPr>
          <w:rFonts w:hint="eastAsia" w:ascii="宋体" w:hAnsi="宋体" w:cs="宋体"/>
          <w:color w:val="auto"/>
          <w:sz w:val="24"/>
          <w:highlight w:val="none"/>
        </w:rPr>
        <w:t xml:space="preserve"> 参与了</w:t>
      </w:r>
      <w:r>
        <w:rPr>
          <w:rFonts w:hint="eastAsia" w:ascii="宋体" w:hAnsi="宋体" w:cs="宋体"/>
          <w:color w:val="auto"/>
          <w:sz w:val="24"/>
          <w:highlight w:val="none"/>
          <w:u w:val="single"/>
        </w:rPr>
        <w:t xml:space="preserve"> （项目名称 、招标编号） </w:t>
      </w:r>
      <w:r>
        <w:rPr>
          <w:rFonts w:hint="eastAsia" w:ascii="宋体" w:hAnsi="宋体" w:cs="宋体"/>
          <w:color w:val="auto"/>
          <w:sz w:val="24"/>
          <w:highlight w:val="none"/>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hint="eastAsia" w:ascii="宋体" w:hAnsi="宋体" w:cs="宋体"/>
          <w:color w:val="auto"/>
          <w:sz w:val="24"/>
          <w:highlight w:val="none"/>
        </w:rPr>
      </w:pPr>
      <w:r>
        <w:rPr>
          <w:rFonts w:hint="eastAsia" w:ascii="宋体" w:hAnsi="宋体" w:cs="宋体"/>
          <w:color w:val="auto"/>
          <w:sz w:val="24"/>
          <w:highlight w:val="none"/>
        </w:rPr>
        <w:t>特此承诺！</w:t>
      </w:r>
    </w:p>
    <w:p>
      <w:pPr>
        <w:spacing w:line="360" w:lineRule="auto"/>
        <w:ind w:left="420"/>
        <w:rPr>
          <w:rFonts w:hint="eastAsia" w:ascii="宋体" w:hAnsi="宋体" w:cs="宋体"/>
          <w:color w:val="auto"/>
          <w:sz w:val="24"/>
          <w:highlight w:val="none"/>
        </w:rPr>
      </w:pPr>
    </w:p>
    <w:p>
      <w:pPr>
        <w:tabs>
          <w:tab w:val="left" w:pos="4860"/>
        </w:tabs>
        <w:adjustRightInd w:val="0"/>
        <w:snapToGrid w:val="0"/>
        <w:spacing w:line="360" w:lineRule="auto"/>
        <w:ind w:right="105" w:rightChars="50"/>
        <w:rPr>
          <w:rFonts w:hint="eastAsia" w:ascii="宋体" w:hAnsi="宋体" w:cs="宋体"/>
          <w:color w:val="auto"/>
          <w:sz w:val="24"/>
          <w:highlight w:val="none"/>
        </w:rPr>
      </w:pPr>
      <w:r>
        <w:rPr>
          <w:rFonts w:hint="eastAsia" w:ascii="宋体" w:hAnsi="宋体" w:cs="宋体"/>
          <w:color w:val="auto"/>
          <w:sz w:val="24"/>
          <w:highlight w:val="none"/>
        </w:rPr>
        <w:t>投标供应商名称（盖章）：</w:t>
      </w:r>
    </w:p>
    <w:p>
      <w:pPr>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日期：   年     月     日</w:t>
      </w:r>
    </w:p>
    <w:p>
      <w:pPr>
        <w:numPr>
          <w:ilvl w:val="0"/>
          <w:numId w:val="15"/>
        </w:numPr>
        <w:tabs>
          <w:tab w:val="left" w:pos="640"/>
          <w:tab w:val="left" w:pos="1260"/>
          <w:tab w:val="left" w:pos="1418"/>
        </w:tabs>
        <w:spacing w:line="360" w:lineRule="auto"/>
        <w:ind w:left="645" w:hanging="645"/>
        <w:rPr>
          <w:rFonts w:hint="eastAsia" w:ascii="宋体" w:hAnsi="宋体" w:cs="宋体"/>
          <w:color w:val="auto"/>
          <w:sz w:val="24"/>
          <w:highlight w:val="none"/>
          <w:lang w:val="fr-CH"/>
        </w:rPr>
      </w:pPr>
      <w:r>
        <w:rPr>
          <w:rFonts w:hint="eastAsia" w:ascii="宋体" w:hAnsi="宋体" w:cs="宋体"/>
          <w:color w:val="auto"/>
          <w:sz w:val="24"/>
          <w:highlight w:val="none"/>
          <w:lang w:val="fr-CH"/>
        </w:rPr>
        <w:br w:type="page"/>
      </w:r>
      <w:r>
        <w:rPr>
          <w:rFonts w:hint="eastAsia" w:ascii="宋体" w:hAnsi="宋体" w:cs="宋体"/>
          <w:color w:val="auto"/>
          <w:sz w:val="24"/>
          <w:highlight w:val="none"/>
          <w:lang w:val="fr-CH"/>
        </w:rPr>
        <w:t>法定代表人证明书及身份证明；</w:t>
      </w:r>
    </w:p>
    <w:p>
      <w:pPr>
        <w:spacing w:before="120" w:after="120" w:line="360" w:lineRule="auto"/>
        <w:jc w:val="center"/>
        <w:rPr>
          <w:rFonts w:hint="eastAsia" w:ascii="宋体" w:hAnsi="宋体" w:cs="宋体"/>
          <w:b/>
          <w:color w:val="auto"/>
          <w:sz w:val="24"/>
          <w:highlight w:val="none"/>
        </w:rPr>
      </w:pPr>
    </w:p>
    <w:p>
      <w:pPr>
        <w:spacing w:before="120" w:after="120" w:line="360" w:lineRule="auto"/>
        <w:jc w:val="center"/>
        <w:rPr>
          <w:rFonts w:hint="eastAsia" w:ascii="宋体" w:hAnsi="宋体" w:cs="宋体"/>
          <w:color w:val="auto"/>
          <w:sz w:val="24"/>
          <w:highlight w:val="none"/>
          <w:u w:val="single"/>
        </w:rPr>
      </w:pPr>
      <w:r>
        <w:rPr>
          <w:rFonts w:hint="eastAsia" w:ascii="宋体" w:hAnsi="宋体" w:cs="宋体"/>
          <w:b/>
          <w:color w:val="auto"/>
          <w:sz w:val="24"/>
          <w:highlight w:val="none"/>
        </w:rPr>
        <w:t>法定代表人证明书</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同志，现任我单位职务，为法定代表人，特此证明。</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签发日期：             有效日期：         单位：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附：代表人性别：   年龄：      身份证号码：</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营业执照号码：                 经济性质：</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主营（产）：</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兼营（产）：</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进口物品经营许可证号码：</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主营：</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兼营：</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说明：1、法定代表人为企业事业单位、国家机关、社会团体的主要行政负责人。</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2、内容必须填写真实、清楚，涂改无效，不得转让、买卖</w:t>
      </w:r>
      <w:r>
        <w:rPr>
          <w:rFonts w:hint="eastAsia" w:ascii="宋体" w:hAnsi="宋体" w:cs="宋体"/>
          <w:color w:val="auto"/>
          <w:sz w:val="24"/>
          <w:highlight w:val="none"/>
          <w:lang w:eastAsia="zh-CN"/>
        </w:rPr>
        <w:t>。</w:t>
      </w:r>
    </w:p>
    <w:p>
      <w:pPr>
        <w:tabs>
          <w:tab w:val="left" w:pos="3780"/>
        </w:tabs>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投标供应商名称（盖章）：</w:t>
      </w:r>
    </w:p>
    <w:p>
      <w:pPr>
        <w:tabs>
          <w:tab w:val="left" w:pos="3780"/>
        </w:tabs>
        <w:spacing w:line="360" w:lineRule="auto"/>
        <w:rPr>
          <w:rFonts w:hint="eastAsia" w:ascii="宋体" w:hAnsi="宋体" w:cs="宋体"/>
          <w:color w:val="auto"/>
          <w:sz w:val="24"/>
          <w:highlight w:val="none"/>
        </w:rPr>
      </w:pPr>
      <w:r>
        <w:rPr>
          <w:rFonts w:hint="eastAsia" w:ascii="宋体" w:hAnsi="宋体" w:cs="宋体"/>
          <w:color w:val="auto"/>
          <w:sz w:val="24"/>
          <w:highlight w:val="none"/>
        </w:rPr>
        <w:t>法定代表人（签字或签章）：</w:t>
      </w:r>
    </w:p>
    <w:p>
      <w:pPr>
        <w:spacing w:before="120" w:after="120"/>
        <w:jc w:val="left"/>
        <w:rPr>
          <w:rFonts w:hint="eastAsia" w:ascii="宋体" w:hAnsi="宋体" w:cs="宋体"/>
          <w:color w:val="auto"/>
          <w:szCs w:val="21"/>
          <w:highlight w:val="none"/>
        </w:rPr>
      </w:pPr>
    </w:p>
    <w:p>
      <w:pPr>
        <w:spacing w:before="120" w:after="120"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附身份证正反面</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0"/>
        <w:gridCol w:w="4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4240" w:type="dxa"/>
          </w:tcPr>
          <w:p>
            <w:pPr>
              <w:pStyle w:val="9"/>
              <w:spacing w:line="360" w:lineRule="auto"/>
              <w:rPr>
                <w:rFonts w:ascii="Arial Narrow" w:hAnsi="Arial Narrow"/>
                <w:b/>
                <w:bCs/>
                <w:color w:val="auto"/>
                <w:szCs w:val="21"/>
                <w:highlight w:val="none"/>
              </w:rPr>
            </w:pPr>
          </w:p>
        </w:tc>
        <w:tc>
          <w:tcPr>
            <w:tcW w:w="4240" w:type="dxa"/>
          </w:tcPr>
          <w:p>
            <w:pPr>
              <w:pStyle w:val="9"/>
              <w:spacing w:line="360" w:lineRule="auto"/>
              <w:rPr>
                <w:rFonts w:ascii="Arial Narrow" w:hAnsi="Arial Narrow"/>
                <w:b/>
                <w:bCs/>
                <w:color w:val="auto"/>
                <w:szCs w:val="21"/>
                <w:highlight w:val="none"/>
              </w:rPr>
            </w:pPr>
          </w:p>
        </w:tc>
      </w:tr>
    </w:tbl>
    <w:p>
      <w:pPr>
        <w:tabs>
          <w:tab w:val="left" w:pos="640"/>
          <w:tab w:val="left" w:pos="1260"/>
          <w:tab w:val="left" w:pos="1418"/>
        </w:tabs>
        <w:spacing w:line="360" w:lineRule="auto"/>
        <w:rPr>
          <w:color w:val="auto"/>
          <w:szCs w:val="21"/>
          <w:highlight w:val="none"/>
        </w:rPr>
      </w:pPr>
    </w:p>
    <w:p>
      <w:pPr>
        <w:tabs>
          <w:tab w:val="left" w:pos="640"/>
          <w:tab w:val="left" w:pos="1260"/>
          <w:tab w:val="left" w:pos="1418"/>
        </w:tabs>
        <w:spacing w:line="360" w:lineRule="auto"/>
        <w:rPr>
          <w:color w:val="auto"/>
          <w:szCs w:val="21"/>
          <w:highlight w:val="none"/>
          <w:lang w:val="fr-CH"/>
        </w:rPr>
      </w:pPr>
      <w:bookmarkStart w:id="85" w:name="OLE_LINK4"/>
      <w:r>
        <w:rPr>
          <w:rFonts w:hint="eastAsia"/>
          <w:color w:val="auto"/>
          <w:szCs w:val="21"/>
          <w:highlight w:val="none"/>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bookmarkEnd w:id="85"/>
    </w:p>
    <w:p>
      <w:pPr>
        <w:numPr>
          <w:ilvl w:val="0"/>
          <w:numId w:val="15"/>
        </w:numPr>
        <w:tabs>
          <w:tab w:val="left" w:pos="640"/>
          <w:tab w:val="left" w:pos="1260"/>
          <w:tab w:val="left" w:pos="1418"/>
        </w:tabs>
        <w:spacing w:line="360" w:lineRule="auto"/>
        <w:ind w:left="845"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br w:type="page"/>
      </w:r>
      <w:r>
        <w:rPr>
          <w:rFonts w:hint="eastAsia" w:ascii="宋体" w:hAnsi="宋体" w:cs="宋体"/>
          <w:color w:val="auto"/>
          <w:sz w:val="24"/>
          <w:highlight w:val="none"/>
          <w:lang w:val="fr-CH"/>
        </w:rPr>
        <w:t>法定代表人授权书及身份证明；</w:t>
      </w:r>
    </w:p>
    <w:p>
      <w:pPr>
        <w:pStyle w:val="9"/>
        <w:spacing w:line="360" w:lineRule="auto"/>
        <w:jc w:val="center"/>
        <w:rPr>
          <w:rFonts w:hint="eastAsia" w:hAnsi="宋体" w:cs="宋体"/>
          <w:b/>
          <w:color w:val="auto"/>
          <w:sz w:val="24"/>
          <w:highlight w:val="none"/>
        </w:rPr>
      </w:pPr>
    </w:p>
    <w:p>
      <w:pPr>
        <w:pStyle w:val="9"/>
        <w:spacing w:line="360" w:lineRule="auto"/>
        <w:jc w:val="center"/>
        <w:rPr>
          <w:rFonts w:hint="eastAsia" w:hAnsi="宋体" w:cs="宋体"/>
          <w:b/>
          <w:color w:val="auto"/>
          <w:sz w:val="24"/>
          <w:highlight w:val="none"/>
        </w:rPr>
      </w:pPr>
      <w:r>
        <w:rPr>
          <w:rFonts w:hint="eastAsia" w:hAnsi="宋体" w:cs="宋体"/>
          <w:b/>
          <w:color w:val="auto"/>
          <w:sz w:val="24"/>
          <w:highlight w:val="none"/>
        </w:rPr>
        <w:t>法定代表人授权书</w:t>
      </w:r>
    </w:p>
    <w:p>
      <w:pPr>
        <w:pStyle w:val="9"/>
        <w:spacing w:line="360" w:lineRule="auto"/>
        <w:rPr>
          <w:rFonts w:hint="eastAsia" w:hAnsi="宋体" w:cs="宋体"/>
          <w:color w:val="auto"/>
          <w:sz w:val="24"/>
          <w:highlight w:val="none"/>
        </w:rPr>
      </w:pPr>
    </w:p>
    <w:p>
      <w:pPr>
        <w:pStyle w:val="9"/>
        <w:spacing w:line="360" w:lineRule="auto"/>
        <w:rPr>
          <w:rFonts w:hint="eastAsia" w:hAnsi="宋体" w:cs="宋体"/>
          <w:color w:val="auto"/>
          <w:sz w:val="24"/>
          <w:highlight w:val="none"/>
        </w:rPr>
      </w:pPr>
      <w:r>
        <w:rPr>
          <w:rFonts w:hint="eastAsia" w:hAnsi="宋体" w:cs="宋体"/>
          <w:b/>
          <w:color w:val="auto"/>
          <w:sz w:val="24"/>
          <w:highlight w:val="none"/>
        </w:rPr>
        <w:t>深圳市前海深港现代服务业合作区管理局：</w:t>
      </w:r>
    </w:p>
    <w:p>
      <w:pPr>
        <w:pStyle w:val="9"/>
        <w:spacing w:line="360" w:lineRule="auto"/>
        <w:ind w:firstLine="420"/>
        <w:rPr>
          <w:rFonts w:hint="eastAsia" w:hAnsi="宋体" w:cs="宋体"/>
          <w:color w:val="auto"/>
          <w:sz w:val="24"/>
          <w:highlight w:val="none"/>
        </w:rPr>
      </w:pPr>
      <w:r>
        <w:rPr>
          <w:rFonts w:hint="eastAsia" w:hAnsi="宋体" w:cs="宋体"/>
          <w:color w:val="auto"/>
          <w:sz w:val="24"/>
          <w:highlight w:val="none"/>
        </w:rPr>
        <w:t>本授权书声明：注册于</w:t>
      </w:r>
      <w:r>
        <w:rPr>
          <w:rFonts w:hint="eastAsia" w:hAnsi="宋体" w:cs="宋体"/>
          <w:color w:val="auto"/>
          <w:sz w:val="24"/>
          <w:highlight w:val="none"/>
          <w:u w:val="single"/>
        </w:rPr>
        <w:t xml:space="preserve">     </w:t>
      </w:r>
      <w:r>
        <w:rPr>
          <w:rFonts w:hint="eastAsia" w:hAnsi="宋体" w:cs="宋体"/>
          <w:color w:val="auto"/>
          <w:sz w:val="24"/>
          <w:highlight w:val="none"/>
        </w:rPr>
        <w:t>（国家或地区）的</w:t>
      </w:r>
      <w:r>
        <w:rPr>
          <w:rFonts w:hint="eastAsia" w:hAnsi="宋体" w:cs="宋体"/>
          <w:color w:val="auto"/>
          <w:sz w:val="24"/>
          <w:highlight w:val="none"/>
          <w:u w:val="single"/>
        </w:rPr>
        <w:t xml:space="preserve">     </w:t>
      </w:r>
      <w:r>
        <w:rPr>
          <w:rFonts w:hint="eastAsia" w:hAnsi="宋体" w:cs="宋体"/>
          <w:color w:val="auto"/>
          <w:sz w:val="24"/>
          <w:highlight w:val="none"/>
        </w:rPr>
        <w:t>（投标人名称）的在下面签字的</w:t>
      </w:r>
      <w:r>
        <w:rPr>
          <w:rFonts w:hint="eastAsia" w:hAnsi="宋体" w:cs="宋体"/>
          <w:color w:val="auto"/>
          <w:sz w:val="24"/>
          <w:highlight w:val="none"/>
          <w:u w:val="single"/>
        </w:rPr>
        <w:t xml:space="preserve">     </w:t>
      </w:r>
      <w:r>
        <w:rPr>
          <w:rFonts w:hint="eastAsia" w:hAnsi="宋体" w:cs="宋体"/>
          <w:color w:val="auto"/>
          <w:sz w:val="24"/>
          <w:highlight w:val="none"/>
        </w:rPr>
        <w:t xml:space="preserve"> （法定代表人姓名、职务）代表本公司授权在下面签字的</w:t>
      </w:r>
      <w:r>
        <w:rPr>
          <w:rFonts w:hint="eastAsia" w:hAnsi="宋体" w:cs="宋体"/>
          <w:color w:val="auto"/>
          <w:sz w:val="24"/>
          <w:highlight w:val="none"/>
          <w:u w:val="single"/>
        </w:rPr>
        <w:t xml:space="preserve">     </w:t>
      </w:r>
      <w:r>
        <w:rPr>
          <w:rFonts w:hint="eastAsia" w:hAnsi="宋体" w:cs="宋体"/>
          <w:color w:val="auto"/>
          <w:sz w:val="24"/>
          <w:highlight w:val="none"/>
        </w:rPr>
        <w:t>（被授权人的姓名、职务）为本公司的合法代表人，就</w:t>
      </w:r>
      <w:r>
        <w:rPr>
          <w:rFonts w:hint="eastAsia" w:hAnsi="宋体" w:cs="宋体"/>
          <w:color w:val="auto"/>
          <w:sz w:val="24"/>
          <w:highlight w:val="none"/>
          <w:u w:val="single"/>
        </w:rPr>
        <w:t xml:space="preserve">       </w:t>
      </w:r>
      <w:r>
        <w:rPr>
          <w:rFonts w:hint="eastAsia" w:hAnsi="宋体" w:cs="宋体"/>
          <w:color w:val="auto"/>
          <w:sz w:val="24"/>
          <w:highlight w:val="none"/>
        </w:rPr>
        <w:t>[招标编号为：</w:t>
      </w:r>
      <w:r>
        <w:rPr>
          <w:rFonts w:hint="eastAsia" w:hAnsi="宋体" w:cs="宋体"/>
          <w:color w:val="auto"/>
          <w:sz w:val="24"/>
          <w:highlight w:val="none"/>
          <w:u w:val="single"/>
        </w:rPr>
        <w:t xml:space="preserve">     </w:t>
      </w:r>
      <w:r>
        <w:rPr>
          <w:rFonts w:hint="eastAsia" w:hAnsi="宋体" w:cs="宋体"/>
          <w:color w:val="auto"/>
          <w:sz w:val="24"/>
          <w:highlight w:val="none"/>
        </w:rPr>
        <w:t>]的投标和合同执行，以我方的名义处理一切与之有关的事宜。</w:t>
      </w:r>
    </w:p>
    <w:p>
      <w:pPr>
        <w:pStyle w:val="9"/>
        <w:spacing w:line="360" w:lineRule="auto"/>
        <w:rPr>
          <w:rFonts w:hint="eastAsia" w:hAnsi="宋体" w:cs="宋体"/>
          <w:color w:val="auto"/>
          <w:sz w:val="24"/>
          <w:highlight w:val="none"/>
        </w:rPr>
      </w:pPr>
    </w:p>
    <w:p>
      <w:pPr>
        <w:spacing w:line="360" w:lineRule="auto"/>
        <w:ind w:firstLine="570"/>
        <w:rPr>
          <w:rFonts w:hint="eastAsia" w:ascii="宋体" w:hAnsi="宋体" w:cs="宋体"/>
          <w:color w:val="auto"/>
          <w:sz w:val="24"/>
          <w:highlight w:val="none"/>
        </w:rPr>
      </w:pPr>
      <w:r>
        <w:rPr>
          <w:rFonts w:hint="eastAsia" w:ascii="宋体" w:hAnsi="宋体" w:cs="宋体"/>
          <w:color w:val="auto"/>
          <w:sz w:val="24"/>
          <w:highlight w:val="none"/>
        </w:rPr>
        <w:t>本授权书于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日签字生效，特此声明。</w:t>
      </w: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tabs>
          <w:tab w:val="left" w:pos="378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投标供应商名称（盖章）：</w:t>
      </w:r>
    </w:p>
    <w:p>
      <w:pPr>
        <w:tabs>
          <w:tab w:val="left" w:pos="378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法定代表人（签字或签章）：</w:t>
      </w:r>
    </w:p>
    <w:p>
      <w:pPr>
        <w:tabs>
          <w:tab w:val="left" w:pos="378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被授权人代表（签字或签章）：</w:t>
      </w:r>
    </w:p>
    <w:p>
      <w:pPr>
        <w:tabs>
          <w:tab w:val="left" w:pos="640"/>
          <w:tab w:val="left" w:pos="1260"/>
          <w:tab w:val="left" w:pos="1418"/>
        </w:tabs>
        <w:spacing w:line="360" w:lineRule="auto"/>
        <w:rPr>
          <w:rFonts w:hint="eastAsia" w:ascii="宋体" w:hAnsi="宋体" w:cs="宋体"/>
          <w:b/>
          <w:color w:val="auto"/>
          <w:sz w:val="24"/>
          <w:highlight w:val="none"/>
        </w:rPr>
      </w:pPr>
    </w:p>
    <w:p>
      <w:pPr>
        <w:tabs>
          <w:tab w:val="left" w:pos="640"/>
          <w:tab w:val="left" w:pos="1260"/>
          <w:tab w:val="left" w:pos="1418"/>
        </w:tabs>
        <w:spacing w:line="360" w:lineRule="auto"/>
        <w:rPr>
          <w:rFonts w:hint="eastAsia" w:ascii="宋体" w:hAnsi="宋体" w:cs="宋体"/>
          <w:b/>
          <w:color w:val="auto"/>
          <w:sz w:val="24"/>
          <w:highlight w:val="none"/>
        </w:rPr>
      </w:pPr>
      <w:r>
        <w:rPr>
          <w:rFonts w:hint="eastAsia" w:ascii="宋体" w:hAnsi="宋体" w:cs="宋体"/>
          <w:b/>
          <w:color w:val="auto"/>
          <w:sz w:val="24"/>
          <w:highlight w:val="none"/>
        </w:rPr>
        <w:t>附身份证正反面</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9"/>
              <w:spacing w:line="360" w:lineRule="auto"/>
              <w:rPr>
                <w:rFonts w:ascii="Arial Narrow" w:hAnsi="Arial Narrow"/>
                <w:b/>
                <w:bCs/>
                <w:color w:val="auto"/>
                <w:szCs w:val="21"/>
                <w:highlight w:val="none"/>
              </w:rPr>
            </w:pPr>
          </w:p>
        </w:tc>
        <w:tc>
          <w:tcPr>
            <w:tcW w:w="4677" w:type="dxa"/>
          </w:tcPr>
          <w:p>
            <w:pPr>
              <w:pStyle w:val="9"/>
              <w:spacing w:line="360" w:lineRule="auto"/>
              <w:rPr>
                <w:rFonts w:ascii="Arial Narrow" w:hAnsi="Arial Narrow"/>
                <w:b/>
                <w:bCs/>
                <w:color w:val="auto"/>
                <w:szCs w:val="21"/>
                <w:highlight w:val="none"/>
              </w:rPr>
            </w:pPr>
          </w:p>
        </w:tc>
      </w:tr>
    </w:tbl>
    <w:p>
      <w:pPr>
        <w:tabs>
          <w:tab w:val="left" w:pos="640"/>
          <w:tab w:val="left" w:pos="1260"/>
          <w:tab w:val="left" w:pos="1418"/>
        </w:tabs>
        <w:spacing w:line="360" w:lineRule="auto"/>
        <w:rPr>
          <w:color w:val="auto"/>
          <w:szCs w:val="21"/>
          <w:highlight w:val="none"/>
        </w:rPr>
      </w:pPr>
    </w:p>
    <w:p>
      <w:pPr>
        <w:tabs>
          <w:tab w:val="left" w:pos="640"/>
          <w:tab w:val="left" w:pos="1260"/>
          <w:tab w:val="left" w:pos="1418"/>
        </w:tabs>
        <w:spacing w:line="360" w:lineRule="auto"/>
        <w:rPr>
          <w:color w:val="auto"/>
          <w:szCs w:val="21"/>
          <w:highlight w:val="none"/>
        </w:rPr>
      </w:pPr>
      <w:r>
        <w:rPr>
          <w:rFonts w:hint="eastAsia"/>
          <w:color w:val="auto"/>
          <w:szCs w:val="21"/>
          <w:highlight w:val="none"/>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pPr>
        <w:numPr>
          <w:ilvl w:val="0"/>
          <w:numId w:val="15"/>
        </w:numPr>
        <w:tabs>
          <w:tab w:val="left" w:pos="640"/>
          <w:tab w:val="left" w:pos="1260"/>
          <w:tab w:val="left" w:pos="1418"/>
        </w:tabs>
        <w:spacing w:line="360" w:lineRule="auto"/>
        <w:ind w:left="845"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br w:type="page"/>
      </w:r>
      <w:r>
        <w:rPr>
          <w:rFonts w:hint="eastAsia" w:ascii="宋体" w:hAnsi="宋体" w:cs="宋体"/>
          <w:color w:val="auto"/>
          <w:sz w:val="24"/>
          <w:highlight w:val="none"/>
          <w:lang w:val="fr-CH"/>
        </w:rPr>
        <w:t>招标代理服务费承诺书；</w:t>
      </w:r>
    </w:p>
    <w:p>
      <w:pPr>
        <w:widowControl/>
        <w:autoSpaceDE w:val="0"/>
        <w:autoSpaceDN w:val="0"/>
        <w:spacing w:line="360" w:lineRule="auto"/>
        <w:ind w:left="359" w:right="26" w:hanging="357"/>
        <w:jc w:val="center"/>
        <w:textAlignment w:val="bottom"/>
        <w:rPr>
          <w:rFonts w:hint="eastAsia" w:ascii="宋体" w:hAnsi="宋体" w:cs="宋体"/>
          <w:b/>
          <w:bCs/>
          <w:color w:val="auto"/>
          <w:sz w:val="24"/>
          <w:highlight w:val="none"/>
          <w:lang w:val="fr-CH"/>
        </w:rPr>
      </w:pPr>
    </w:p>
    <w:p>
      <w:pPr>
        <w:widowControl/>
        <w:autoSpaceDE w:val="0"/>
        <w:autoSpaceDN w:val="0"/>
        <w:spacing w:line="360" w:lineRule="auto"/>
        <w:ind w:left="359" w:right="26" w:hanging="357"/>
        <w:jc w:val="center"/>
        <w:textAlignment w:val="bottom"/>
        <w:rPr>
          <w:rFonts w:hint="eastAsia" w:ascii="宋体" w:hAnsi="宋体" w:cs="宋体"/>
          <w:b/>
          <w:bCs/>
          <w:color w:val="auto"/>
          <w:sz w:val="24"/>
          <w:highlight w:val="none"/>
          <w:lang w:val="fr-CH"/>
        </w:rPr>
      </w:pPr>
      <w:r>
        <w:rPr>
          <w:rFonts w:hint="eastAsia" w:ascii="宋体" w:hAnsi="宋体" w:cs="宋体"/>
          <w:b/>
          <w:bCs/>
          <w:color w:val="auto"/>
          <w:sz w:val="24"/>
          <w:highlight w:val="none"/>
          <w:lang w:val="fr-CH"/>
        </w:rPr>
        <w:t>招标代理服务费承诺书</w:t>
      </w:r>
    </w:p>
    <w:p>
      <w:pPr>
        <w:widowControl/>
        <w:autoSpaceDE w:val="0"/>
        <w:autoSpaceDN w:val="0"/>
        <w:spacing w:line="360" w:lineRule="auto"/>
        <w:ind w:left="359" w:right="26" w:hanging="357"/>
        <w:textAlignment w:val="bottom"/>
        <w:rPr>
          <w:rFonts w:hint="eastAsia" w:ascii="宋体" w:hAnsi="宋体" w:cs="宋体"/>
          <w:color w:val="auto"/>
          <w:sz w:val="24"/>
          <w:highlight w:val="none"/>
        </w:rPr>
      </w:pPr>
      <w:r>
        <w:rPr>
          <w:rFonts w:hint="eastAsia" w:ascii="宋体" w:hAnsi="宋体" w:cs="宋体"/>
          <w:color w:val="auto"/>
          <w:sz w:val="24"/>
          <w:highlight w:val="none"/>
        </w:rPr>
        <w:t>致：北京国际招标有限公司</w:t>
      </w:r>
    </w:p>
    <w:p>
      <w:pPr>
        <w:widowControl/>
        <w:autoSpaceDE w:val="0"/>
        <w:autoSpaceDN w:val="0"/>
        <w:spacing w:line="360" w:lineRule="auto"/>
        <w:ind w:right="26" w:firstLine="540"/>
        <w:textAlignment w:val="bottom"/>
        <w:rPr>
          <w:rFonts w:hint="eastAsia" w:ascii="宋体" w:hAnsi="宋体" w:cs="宋体"/>
          <w:color w:val="auto"/>
          <w:sz w:val="24"/>
          <w:highlight w:val="none"/>
        </w:rPr>
      </w:pPr>
      <w:r>
        <w:rPr>
          <w:rFonts w:hint="eastAsia" w:ascii="宋体" w:hAnsi="宋体" w:cs="宋体"/>
          <w:color w:val="auto"/>
          <w:sz w:val="24"/>
          <w:highlight w:val="none"/>
        </w:rPr>
        <w:t>我们在贵司代理的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项目（招标编号：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）（货物/服务/工程）招标中若获中标，我们保证在收到中标通知书后5日内按招标文件的规定，以现金或电汇向贵公司指定的银行账号支付全额招标代理服务费。招标代理服务费按照</w:t>
      </w:r>
      <w:r>
        <w:rPr>
          <w:rFonts w:hint="eastAsia" w:ascii="宋体" w:hAnsi="宋体" w:cs="宋体"/>
          <w:color w:val="auto"/>
          <w:sz w:val="24"/>
          <w:highlight w:val="none"/>
          <w:u w:val="single"/>
        </w:rPr>
        <w:t>招标文件中的规定</w:t>
      </w:r>
      <w:r>
        <w:rPr>
          <w:rFonts w:hint="eastAsia" w:ascii="宋体" w:hAnsi="宋体" w:cs="宋体"/>
          <w:color w:val="auto"/>
          <w:sz w:val="24"/>
          <w:highlight w:val="none"/>
        </w:rPr>
        <w:t>计算。</w:t>
      </w:r>
    </w:p>
    <w:p>
      <w:pPr>
        <w:widowControl/>
        <w:autoSpaceDE w:val="0"/>
        <w:autoSpaceDN w:val="0"/>
        <w:spacing w:line="360" w:lineRule="auto"/>
        <w:ind w:right="26" w:firstLine="540"/>
        <w:textAlignment w:val="bottom"/>
        <w:rPr>
          <w:rFonts w:hint="eastAsia" w:ascii="宋体" w:hAnsi="宋体" w:cs="宋体"/>
          <w:color w:val="auto"/>
          <w:sz w:val="24"/>
          <w:highlight w:val="none"/>
        </w:rPr>
      </w:pPr>
      <w:r>
        <w:rPr>
          <w:rFonts w:hint="eastAsia" w:ascii="宋体" w:hAnsi="宋体" w:cs="宋体"/>
          <w:color w:val="auto"/>
          <w:sz w:val="24"/>
          <w:highlight w:val="none"/>
        </w:rPr>
        <w:t>特此承诺。</w:t>
      </w:r>
    </w:p>
    <w:p>
      <w:pPr>
        <w:tabs>
          <w:tab w:val="left" w:pos="3780"/>
        </w:tabs>
        <w:spacing w:line="360" w:lineRule="auto"/>
        <w:jc w:val="left"/>
        <w:rPr>
          <w:rFonts w:hint="eastAsia" w:ascii="宋体" w:hAnsi="宋体" w:cs="宋体"/>
          <w:color w:val="auto"/>
          <w:sz w:val="24"/>
          <w:highlight w:val="none"/>
        </w:rPr>
      </w:pPr>
    </w:p>
    <w:p>
      <w:pPr>
        <w:tabs>
          <w:tab w:val="left" w:pos="378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投标供应商名称（盖章）：</w:t>
      </w:r>
    </w:p>
    <w:p>
      <w:pPr>
        <w:widowControl/>
        <w:autoSpaceDE w:val="0"/>
        <w:autoSpaceDN w:val="0"/>
        <w:spacing w:line="360" w:lineRule="auto"/>
        <w:ind w:left="359" w:right="26" w:hanging="357"/>
        <w:textAlignment w:val="bottom"/>
        <w:rPr>
          <w:rFonts w:hint="eastAsia" w:ascii="宋体" w:hAnsi="宋体" w:cs="宋体"/>
          <w:color w:val="auto"/>
          <w:sz w:val="24"/>
          <w:highlight w:val="none"/>
        </w:rPr>
      </w:pPr>
      <w:r>
        <w:rPr>
          <w:rFonts w:hint="eastAsia" w:ascii="宋体" w:hAnsi="宋体" w:cs="宋体"/>
          <w:color w:val="auto"/>
          <w:sz w:val="24"/>
          <w:highlight w:val="none"/>
        </w:rPr>
        <w:t>投标供应商地址：</w:t>
      </w:r>
    </w:p>
    <w:p>
      <w:pPr>
        <w:widowControl/>
        <w:autoSpaceDE w:val="0"/>
        <w:autoSpaceDN w:val="0"/>
        <w:spacing w:line="360" w:lineRule="auto"/>
        <w:ind w:left="359" w:right="26" w:hanging="357"/>
        <w:textAlignment w:val="bottom"/>
        <w:rPr>
          <w:rFonts w:hint="eastAsia" w:ascii="宋体" w:hAnsi="宋体" w:cs="宋体"/>
          <w:color w:val="auto"/>
          <w:sz w:val="24"/>
          <w:highlight w:val="none"/>
        </w:rPr>
      </w:pPr>
      <w:r>
        <w:rPr>
          <w:rFonts w:hint="eastAsia" w:ascii="宋体" w:hAnsi="宋体" w:cs="宋体"/>
          <w:color w:val="auto"/>
          <w:sz w:val="24"/>
          <w:highlight w:val="none"/>
        </w:rPr>
        <w:t xml:space="preserve">电话：         </w:t>
      </w:r>
    </w:p>
    <w:p>
      <w:pPr>
        <w:widowControl/>
        <w:autoSpaceDE w:val="0"/>
        <w:autoSpaceDN w:val="0"/>
        <w:spacing w:line="360" w:lineRule="auto"/>
        <w:ind w:left="359" w:right="26" w:hanging="357"/>
        <w:textAlignment w:val="bottom"/>
        <w:rPr>
          <w:rFonts w:hint="eastAsia" w:ascii="宋体" w:hAnsi="宋体" w:cs="宋体"/>
          <w:color w:val="auto"/>
          <w:sz w:val="24"/>
          <w:highlight w:val="none"/>
        </w:rPr>
      </w:pPr>
      <w:r>
        <w:rPr>
          <w:rFonts w:hint="eastAsia" w:ascii="宋体" w:hAnsi="宋体" w:cs="宋体"/>
          <w:color w:val="auto"/>
          <w:sz w:val="24"/>
          <w:highlight w:val="none"/>
        </w:rPr>
        <w:t>传真：</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日期：   年     月     日</w:t>
      </w:r>
    </w:p>
    <w:p>
      <w:pPr>
        <w:pStyle w:val="2"/>
        <w:rPr>
          <w:color w:val="auto"/>
          <w:highlight w:val="none"/>
          <w:lang w:val="fr-CH"/>
        </w:rPr>
      </w:pPr>
    </w:p>
    <w:p>
      <w:pPr>
        <w:tabs>
          <w:tab w:val="left" w:pos="640"/>
          <w:tab w:val="left" w:pos="1260"/>
          <w:tab w:val="left" w:pos="1418"/>
        </w:tabs>
        <w:spacing w:line="360" w:lineRule="auto"/>
        <w:rPr>
          <w:rFonts w:hint="eastAsia" w:ascii="宋体" w:hAnsi="宋体" w:cs="宋体"/>
          <w:color w:val="auto"/>
          <w:sz w:val="24"/>
          <w:highlight w:val="none"/>
          <w:lang w:val="fr-CH"/>
        </w:rPr>
      </w:pPr>
    </w:p>
    <w:p>
      <w:pPr>
        <w:numPr>
          <w:ilvl w:val="0"/>
          <w:numId w:val="15"/>
        </w:numPr>
        <w:tabs>
          <w:tab w:val="left" w:pos="640"/>
          <w:tab w:val="left" w:pos="1260"/>
          <w:tab w:val="left" w:pos="1418"/>
        </w:tabs>
        <w:spacing w:line="360" w:lineRule="auto"/>
        <w:ind w:left="845"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br w:type="page"/>
      </w:r>
      <w:r>
        <w:rPr>
          <w:rFonts w:hint="eastAsia" w:ascii="宋体" w:hAnsi="宋体" w:cs="宋体"/>
          <w:color w:val="auto"/>
          <w:sz w:val="24"/>
          <w:highlight w:val="none"/>
        </w:rPr>
        <w:t>供应商</w:t>
      </w:r>
      <w:r>
        <w:rPr>
          <w:rFonts w:hint="eastAsia" w:ascii="宋体" w:hAnsi="宋体" w:cs="宋体"/>
          <w:color w:val="auto"/>
          <w:sz w:val="24"/>
          <w:highlight w:val="none"/>
          <w:lang w:val="fr-CH"/>
        </w:rPr>
        <w:t>简介；</w:t>
      </w:r>
    </w:p>
    <w:p>
      <w:pPr>
        <w:pStyle w:val="9"/>
        <w:spacing w:line="360" w:lineRule="auto"/>
        <w:jc w:val="center"/>
        <w:rPr>
          <w:rFonts w:hint="eastAsia" w:hAnsi="宋体" w:cs="宋体"/>
          <w:b/>
          <w:bCs/>
          <w:color w:val="auto"/>
          <w:sz w:val="24"/>
          <w:highlight w:val="none"/>
        </w:rPr>
      </w:pPr>
      <w:r>
        <w:rPr>
          <w:rFonts w:hint="eastAsia" w:hAnsi="宋体" w:cs="宋体"/>
          <w:b/>
          <w:bCs/>
          <w:color w:val="auto"/>
          <w:sz w:val="24"/>
          <w:highlight w:val="none"/>
        </w:rPr>
        <w:t>供应商基本情况一览表</w:t>
      </w:r>
    </w:p>
    <w:p>
      <w:pPr>
        <w:pStyle w:val="9"/>
        <w:spacing w:line="360" w:lineRule="auto"/>
        <w:ind w:firstLine="420"/>
        <w:rPr>
          <w:rFonts w:hint="eastAsia" w:hAnsi="宋体" w:cs="宋体"/>
          <w:color w:val="auto"/>
          <w:sz w:val="24"/>
          <w:highlight w:val="none"/>
        </w:rPr>
      </w:pPr>
      <w:r>
        <w:rPr>
          <w:rFonts w:hint="eastAsia" w:hAnsi="宋体" w:cs="宋体"/>
          <w:color w:val="auto"/>
          <w:sz w:val="24"/>
          <w:highlight w:val="none"/>
        </w:rPr>
        <w:t>1．名称及概况：</w:t>
      </w:r>
    </w:p>
    <w:p>
      <w:pPr>
        <w:pStyle w:val="9"/>
        <w:spacing w:line="360" w:lineRule="auto"/>
        <w:ind w:firstLine="420"/>
        <w:rPr>
          <w:rFonts w:hint="eastAsia" w:hAnsi="宋体" w:cs="宋体"/>
          <w:color w:val="auto"/>
          <w:sz w:val="24"/>
          <w:highlight w:val="none"/>
        </w:rPr>
      </w:pPr>
      <w:r>
        <w:rPr>
          <w:rFonts w:hint="eastAsia" w:hAnsi="宋体" w:cs="宋体"/>
          <w:color w:val="auto"/>
          <w:sz w:val="24"/>
          <w:highlight w:val="none"/>
        </w:rPr>
        <w:t>（1）供应商名称：_______________________________________</w:t>
      </w:r>
    </w:p>
    <w:p>
      <w:pPr>
        <w:pStyle w:val="9"/>
        <w:spacing w:line="360" w:lineRule="auto"/>
        <w:ind w:firstLine="420"/>
        <w:rPr>
          <w:rFonts w:hint="eastAsia" w:hAnsi="宋体" w:cs="宋体"/>
          <w:color w:val="auto"/>
          <w:sz w:val="24"/>
          <w:highlight w:val="none"/>
        </w:rPr>
      </w:pPr>
      <w:r>
        <w:rPr>
          <w:rFonts w:hint="eastAsia" w:hAnsi="宋体" w:cs="宋体"/>
          <w:color w:val="auto"/>
          <w:sz w:val="24"/>
          <w:highlight w:val="none"/>
        </w:rPr>
        <w:t>（2）地址：______________________________________________</w:t>
      </w:r>
    </w:p>
    <w:p>
      <w:pPr>
        <w:pStyle w:val="9"/>
        <w:spacing w:line="360" w:lineRule="auto"/>
        <w:ind w:firstLine="660" w:firstLineChars="275"/>
        <w:rPr>
          <w:rFonts w:hint="eastAsia" w:hAnsi="宋体" w:cs="宋体"/>
          <w:color w:val="auto"/>
          <w:sz w:val="24"/>
          <w:highlight w:val="none"/>
        </w:rPr>
      </w:pPr>
      <w:r>
        <w:rPr>
          <w:rFonts w:hint="eastAsia" w:hAnsi="宋体" w:cs="宋体"/>
          <w:color w:val="auto"/>
          <w:sz w:val="24"/>
          <w:highlight w:val="none"/>
        </w:rPr>
        <w:t xml:space="preserve">   邮政编码：___________________________________________</w:t>
      </w:r>
    </w:p>
    <w:p>
      <w:pPr>
        <w:pStyle w:val="9"/>
        <w:spacing w:line="360" w:lineRule="auto"/>
        <w:ind w:firstLine="420"/>
        <w:rPr>
          <w:rFonts w:hint="eastAsia" w:hAnsi="宋体" w:cs="宋体"/>
          <w:color w:val="auto"/>
          <w:sz w:val="24"/>
          <w:highlight w:val="none"/>
        </w:rPr>
      </w:pPr>
      <w:r>
        <w:rPr>
          <w:rFonts w:hint="eastAsia" w:hAnsi="宋体" w:cs="宋体"/>
          <w:color w:val="auto"/>
          <w:sz w:val="24"/>
          <w:highlight w:val="none"/>
        </w:rPr>
        <w:t xml:space="preserve">     电话号码：___________________________________________ </w:t>
      </w:r>
    </w:p>
    <w:p>
      <w:pPr>
        <w:pStyle w:val="9"/>
        <w:spacing w:line="360" w:lineRule="auto"/>
        <w:ind w:firstLine="420"/>
        <w:rPr>
          <w:rFonts w:hint="eastAsia" w:hAnsi="宋体" w:cs="宋体"/>
          <w:color w:val="auto"/>
          <w:sz w:val="24"/>
          <w:highlight w:val="none"/>
        </w:rPr>
      </w:pPr>
      <w:r>
        <w:rPr>
          <w:rFonts w:hint="eastAsia" w:hAnsi="宋体" w:cs="宋体"/>
          <w:color w:val="auto"/>
          <w:sz w:val="24"/>
          <w:highlight w:val="none"/>
        </w:rPr>
        <w:t xml:space="preserve">     传真号码：___________________________________________ </w:t>
      </w:r>
    </w:p>
    <w:p>
      <w:pPr>
        <w:pStyle w:val="9"/>
        <w:spacing w:line="360" w:lineRule="auto"/>
        <w:ind w:firstLine="420"/>
        <w:rPr>
          <w:rFonts w:hint="eastAsia" w:hAnsi="宋体" w:cs="宋体"/>
          <w:color w:val="auto"/>
          <w:sz w:val="24"/>
          <w:highlight w:val="none"/>
        </w:rPr>
      </w:pPr>
      <w:r>
        <w:rPr>
          <w:rFonts w:hint="eastAsia" w:hAnsi="宋体" w:cs="宋体"/>
          <w:color w:val="auto"/>
          <w:sz w:val="24"/>
          <w:highlight w:val="none"/>
        </w:rPr>
        <w:t>（3）成立和／或注册日期：_________________________________</w:t>
      </w:r>
    </w:p>
    <w:p>
      <w:pPr>
        <w:pStyle w:val="9"/>
        <w:spacing w:line="360" w:lineRule="auto"/>
        <w:ind w:firstLine="420"/>
        <w:rPr>
          <w:rFonts w:hint="eastAsia" w:hAnsi="宋体" w:cs="宋体"/>
          <w:color w:val="auto"/>
          <w:sz w:val="24"/>
          <w:highlight w:val="none"/>
        </w:rPr>
      </w:pPr>
      <w:r>
        <w:rPr>
          <w:rFonts w:hint="eastAsia" w:hAnsi="宋体" w:cs="宋体"/>
          <w:color w:val="auto"/>
          <w:sz w:val="24"/>
          <w:highlight w:val="none"/>
        </w:rPr>
        <w:t>（4）法人代表：___________________________________________</w:t>
      </w:r>
    </w:p>
    <w:p>
      <w:pPr>
        <w:pStyle w:val="9"/>
        <w:spacing w:line="360" w:lineRule="auto"/>
        <w:ind w:firstLine="420"/>
        <w:rPr>
          <w:rFonts w:hint="eastAsia" w:hAnsi="宋体" w:cs="宋体"/>
          <w:color w:val="auto"/>
          <w:sz w:val="24"/>
          <w:highlight w:val="none"/>
        </w:rPr>
      </w:pPr>
      <w:r>
        <w:rPr>
          <w:rFonts w:hint="eastAsia" w:hAnsi="宋体" w:cs="宋体"/>
          <w:color w:val="auto"/>
          <w:sz w:val="24"/>
          <w:highlight w:val="none"/>
        </w:rPr>
        <w:t>（5）开户银行：___________________________________________</w:t>
      </w:r>
    </w:p>
    <w:p>
      <w:pPr>
        <w:pStyle w:val="9"/>
        <w:spacing w:line="360" w:lineRule="auto"/>
        <w:ind w:firstLine="420"/>
        <w:rPr>
          <w:rFonts w:hint="eastAsia" w:hAnsi="宋体" w:cs="宋体"/>
          <w:color w:val="auto"/>
          <w:sz w:val="24"/>
          <w:highlight w:val="none"/>
        </w:rPr>
      </w:pPr>
      <w:r>
        <w:rPr>
          <w:rFonts w:hint="eastAsia" w:hAnsi="宋体" w:cs="宋体"/>
          <w:color w:val="auto"/>
          <w:sz w:val="24"/>
          <w:highlight w:val="none"/>
        </w:rPr>
        <w:t>（6）开户</w:t>
      </w:r>
      <w:r>
        <w:rPr>
          <w:rFonts w:hint="eastAsia" w:hAnsi="宋体" w:cs="宋体"/>
          <w:color w:val="auto"/>
          <w:sz w:val="24"/>
          <w:highlight w:val="none"/>
          <w:lang w:eastAsia="zh-CN"/>
        </w:rPr>
        <w:t>账号</w:t>
      </w:r>
      <w:r>
        <w:rPr>
          <w:rFonts w:hint="eastAsia" w:hAnsi="宋体" w:cs="宋体"/>
          <w:color w:val="auto"/>
          <w:sz w:val="24"/>
          <w:highlight w:val="none"/>
        </w:rPr>
        <w:t>：___________________________________________</w:t>
      </w:r>
    </w:p>
    <w:p>
      <w:pPr>
        <w:pStyle w:val="9"/>
        <w:spacing w:line="360" w:lineRule="auto"/>
        <w:ind w:firstLine="420"/>
        <w:rPr>
          <w:rFonts w:hint="eastAsia" w:hAnsi="宋体" w:cs="宋体"/>
          <w:color w:val="auto"/>
          <w:sz w:val="24"/>
          <w:highlight w:val="none"/>
        </w:rPr>
      </w:pPr>
      <w:r>
        <w:rPr>
          <w:rFonts w:hint="eastAsia" w:hAnsi="宋体" w:cs="宋体"/>
          <w:color w:val="auto"/>
          <w:sz w:val="24"/>
          <w:highlight w:val="none"/>
        </w:rPr>
        <w:t>（7）注册资金：___________________________________________</w:t>
      </w:r>
    </w:p>
    <w:p>
      <w:pPr>
        <w:pStyle w:val="9"/>
        <w:spacing w:line="360" w:lineRule="auto"/>
        <w:ind w:firstLine="420"/>
        <w:rPr>
          <w:rFonts w:hint="eastAsia" w:hAnsi="宋体" w:cs="宋体"/>
          <w:color w:val="auto"/>
          <w:sz w:val="24"/>
          <w:highlight w:val="none"/>
        </w:rPr>
      </w:pPr>
      <w:r>
        <w:rPr>
          <w:rFonts w:hint="eastAsia" w:hAnsi="宋体" w:cs="宋体"/>
          <w:color w:val="auto"/>
          <w:sz w:val="24"/>
          <w:highlight w:val="none"/>
        </w:rPr>
        <w:t>（8）近两年财务基本情况</w:t>
      </w:r>
    </w:p>
    <w:p>
      <w:pPr>
        <w:pStyle w:val="9"/>
        <w:spacing w:line="360" w:lineRule="auto"/>
        <w:ind w:firstLine="420"/>
        <w:rPr>
          <w:rFonts w:hint="eastAsia" w:hAnsi="宋体" w:cs="宋体"/>
          <w:color w:val="auto"/>
          <w:sz w:val="24"/>
          <w:highlight w:val="none"/>
        </w:rPr>
      </w:pPr>
      <w:r>
        <w:rPr>
          <w:rFonts w:hint="eastAsia" w:hAnsi="宋体" w:cs="宋体"/>
          <w:color w:val="auto"/>
          <w:sz w:val="24"/>
          <w:highlight w:val="none"/>
        </w:rPr>
        <w:t xml:space="preserve">    ①货币资金期末数：_____________________________________</w:t>
      </w:r>
    </w:p>
    <w:p>
      <w:pPr>
        <w:pStyle w:val="9"/>
        <w:spacing w:line="360" w:lineRule="auto"/>
        <w:ind w:firstLine="420"/>
        <w:rPr>
          <w:rFonts w:hint="eastAsia" w:hAnsi="宋体" w:cs="宋体"/>
          <w:color w:val="auto"/>
          <w:sz w:val="24"/>
          <w:highlight w:val="none"/>
        </w:rPr>
      </w:pPr>
      <w:r>
        <w:rPr>
          <w:rFonts w:hint="eastAsia" w:hAnsi="宋体" w:cs="宋体"/>
          <w:color w:val="auto"/>
          <w:sz w:val="24"/>
          <w:highlight w:val="none"/>
        </w:rPr>
        <w:t xml:space="preserve">    ③年营业总额（值）：___________________________________</w:t>
      </w:r>
    </w:p>
    <w:p>
      <w:pPr>
        <w:pStyle w:val="9"/>
        <w:spacing w:line="360" w:lineRule="auto"/>
        <w:ind w:firstLine="420"/>
        <w:rPr>
          <w:rFonts w:hint="eastAsia" w:hAnsi="宋体" w:cs="宋体"/>
          <w:color w:val="auto"/>
          <w:sz w:val="24"/>
          <w:highlight w:val="none"/>
        </w:rPr>
      </w:pPr>
      <w:r>
        <w:rPr>
          <w:rFonts w:hint="eastAsia" w:hAnsi="宋体" w:cs="宋体"/>
          <w:color w:val="auto"/>
          <w:sz w:val="24"/>
          <w:highlight w:val="none"/>
        </w:rPr>
        <w:t xml:space="preserve">    ③资产负债率：_________________________________________</w:t>
      </w:r>
    </w:p>
    <w:p>
      <w:pPr>
        <w:pStyle w:val="9"/>
        <w:spacing w:line="360" w:lineRule="auto"/>
        <w:ind w:firstLine="420"/>
        <w:rPr>
          <w:rFonts w:hint="eastAsia" w:hAnsi="宋体" w:cs="宋体"/>
          <w:color w:val="auto"/>
          <w:sz w:val="24"/>
          <w:highlight w:val="none"/>
        </w:rPr>
      </w:pPr>
      <w:r>
        <w:rPr>
          <w:rFonts w:hint="eastAsia" w:hAnsi="宋体" w:cs="宋体"/>
          <w:color w:val="auto"/>
          <w:sz w:val="24"/>
          <w:highlight w:val="none"/>
        </w:rPr>
        <w:t xml:space="preserve">    ④销售利润率：_________________________________________</w:t>
      </w:r>
    </w:p>
    <w:p>
      <w:pPr>
        <w:pStyle w:val="9"/>
        <w:spacing w:line="360" w:lineRule="auto"/>
        <w:ind w:firstLine="420"/>
        <w:rPr>
          <w:rFonts w:hint="eastAsia" w:hAnsi="宋体" w:cs="宋体"/>
          <w:color w:val="auto"/>
          <w:sz w:val="24"/>
          <w:highlight w:val="none"/>
        </w:rPr>
      </w:pPr>
      <w:r>
        <w:rPr>
          <w:rFonts w:hint="eastAsia" w:hAnsi="宋体" w:cs="宋体"/>
          <w:color w:val="auto"/>
          <w:sz w:val="24"/>
          <w:highlight w:val="none"/>
        </w:rPr>
        <w:t xml:space="preserve">    ⑤资本收益率：_________________________________________</w:t>
      </w:r>
    </w:p>
    <w:p>
      <w:pPr>
        <w:pStyle w:val="9"/>
        <w:spacing w:line="360" w:lineRule="auto"/>
        <w:ind w:firstLine="420"/>
        <w:rPr>
          <w:rFonts w:hint="eastAsia" w:hAnsi="宋体" w:cs="宋体"/>
          <w:color w:val="auto"/>
          <w:sz w:val="24"/>
          <w:highlight w:val="none"/>
        </w:rPr>
      </w:pPr>
      <w:r>
        <w:rPr>
          <w:rFonts w:hint="eastAsia" w:hAnsi="宋体" w:cs="宋体"/>
          <w:color w:val="auto"/>
          <w:sz w:val="24"/>
          <w:highlight w:val="none"/>
        </w:rPr>
        <w:t>（9）项目主要联系人（姓名、职务、通讯）：</w:t>
      </w:r>
    </w:p>
    <w:p>
      <w:pPr>
        <w:pStyle w:val="9"/>
        <w:spacing w:line="360" w:lineRule="auto"/>
        <w:rPr>
          <w:rFonts w:hint="eastAsia" w:hAnsi="宋体" w:cs="宋体"/>
          <w:color w:val="auto"/>
          <w:sz w:val="24"/>
          <w:highlight w:val="none"/>
        </w:rPr>
      </w:pPr>
      <w:r>
        <w:rPr>
          <w:rFonts w:hint="eastAsia" w:hAnsi="宋体" w:cs="宋体"/>
          <w:color w:val="auto"/>
          <w:sz w:val="24"/>
          <w:highlight w:val="none"/>
        </w:rPr>
        <w:t>_____________________________________________________________________</w:t>
      </w:r>
    </w:p>
    <w:p>
      <w:pPr>
        <w:pStyle w:val="9"/>
        <w:spacing w:line="360" w:lineRule="auto"/>
        <w:ind w:firstLine="420"/>
        <w:rPr>
          <w:rFonts w:hint="eastAsia" w:hAnsi="宋体" w:cs="宋体"/>
          <w:color w:val="auto"/>
          <w:sz w:val="24"/>
          <w:highlight w:val="none"/>
        </w:rPr>
      </w:pPr>
      <w:r>
        <w:rPr>
          <w:rFonts w:hint="eastAsia" w:hAnsi="宋体" w:cs="宋体"/>
          <w:color w:val="auto"/>
          <w:sz w:val="24"/>
          <w:highlight w:val="none"/>
        </w:rPr>
        <w:t>（10）公司概况；</w:t>
      </w:r>
    </w:p>
    <w:p>
      <w:pPr>
        <w:pStyle w:val="9"/>
        <w:spacing w:line="360" w:lineRule="auto"/>
        <w:ind w:firstLine="420"/>
        <w:rPr>
          <w:rFonts w:hint="eastAsia" w:hAnsi="宋体" w:cs="宋体"/>
          <w:color w:val="auto"/>
          <w:sz w:val="24"/>
          <w:highlight w:val="none"/>
        </w:rPr>
      </w:pPr>
      <w:r>
        <w:rPr>
          <w:rFonts w:hint="eastAsia" w:hAnsi="宋体" w:cs="宋体"/>
          <w:color w:val="auto"/>
          <w:sz w:val="24"/>
          <w:highlight w:val="none"/>
        </w:rPr>
        <w:t>（11）公司组织机构；</w:t>
      </w:r>
    </w:p>
    <w:p>
      <w:pPr>
        <w:pStyle w:val="9"/>
        <w:spacing w:line="360" w:lineRule="auto"/>
        <w:ind w:firstLine="420"/>
        <w:rPr>
          <w:rFonts w:hint="eastAsia" w:hAnsi="宋体" w:cs="宋体"/>
          <w:color w:val="auto"/>
          <w:sz w:val="24"/>
          <w:highlight w:val="none"/>
        </w:rPr>
      </w:pPr>
      <w:r>
        <w:rPr>
          <w:rFonts w:hint="eastAsia" w:hAnsi="宋体" w:cs="宋体"/>
          <w:color w:val="auto"/>
          <w:sz w:val="24"/>
          <w:highlight w:val="none"/>
        </w:rPr>
        <w:t>兹证明上述说明是真实、正确的，并提供了全部能提供的资料和数据，我们同意遵照贵方要求出示有关证明文件。</w:t>
      </w:r>
    </w:p>
    <w:p>
      <w:pPr>
        <w:tabs>
          <w:tab w:val="left" w:pos="3780"/>
        </w:tabs>
        <w:spacing w:line="360" w:lineRule="auto"/>
        <w:jc w:val="left"/>
        <w:rPr>
          <w:rFonts w:hint="eastAsia" w:ascii="宋体" w:hAnsi="宋体" w:cs="宋体"/>
          <w:color w:val="auto"/>
          <w:sz w:val="24"/>
          <w:highlight w:val="none"/>
        </w:rPr>
      </w:pPr>
    </w:p>
    <w:p>
      <w:pPr>
        <w:tabs>
          <w:tab w:val="left" w:pos="378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投标供应商名称（盖章）：</w:t>
      </w:r>
    </w:p>
    <w:p>
      <w:pPr>
        <w:tabs>
          <w:tab w:val="left" w:pos="378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日期：  年  月   日</w:t>
      </w:r>
    </w:p>
    <w:p>
      <w:pPr>
        <w:pStyle w:val="2"/>
        <w:rPr>
          <w:color w:val="auto"/>
          <w:highlight w:val="none"/>
          <w:lang w:val="fr-CH"/>
        </w:rPr>
      </w:pPr>
    </w:p>
    <w:p>
      <w:pPr>
        <w:tabs>
          <w:tab w:val="left" w:pos="640"/>
        </w:tabs>
        <w:spacing w:line="360" w:lineRule="auto"/>
        <w:rPr>
          <w:rFonts w:hint="eastAsia" w:ascii="宋体" w:hAnsi="宋体" w:cs="宋体"/>
          <w:color w:val="auto"/>
          <w:sz w:val="24"/>
          <w:highlight w:val="none"/>
          <w:lang w:val="fr-CH"/>
        </w:rPr>
      </w:pPr>
      <w:r>
        <w:rPr>
          <w:rFonts w:hint="eastAsia" w:ascii="宋体" w:hAnsi="宋体" w:cs="宋体"/>
          <w:color w:val="auto"/>
          <w:sz w:val="24"/>
          <w:highlight w:val="none"/>
          <w:lang w:val="fr-CH"/>
        </w:rPr>
        <w:br w:type="page"/>
      </w:r>
    </w:p>
    <w:p>
      <w:pPr>
        <w:numPr>
          <w:ilvl w:val="0"/>
          <w:numId w:val="15"/>
        </w:numPr>
        <w:tabs>
          <w:tab w:val="left" w:pos="640"/>
        </w:tabs>
        <w:spacing w:line="360" w:lineRule="auto"/>
        <w:ind w:left="845" w:hanging="845"/>
        <w:rPr>
          <w:rFonts w:hint="eastAsia" w:ascii="宋体" w:hAnsi="宋体" w:cs="宋体"/>
          <w:color w:val="auto"/>
          <w:sz w:val="24"/>
          <w:highlight w:val="none"/>
        </w:rPr>
      </w:pPr>
      <w:bookmarkStart w:id="86" w:name="OLE_LINK31"/>
      <w:r>
        <w:rPr>
          <w:rFonts w:hint="eastAsia" w:ascii="宋体" w:hAnsi="宋体" w:cs="宋体"/>
          <w:color w:val="auto"/>
          <w:sz w:val="24"/>
          <w:highlight w:val="none"/>
        </w:rPr>
        <w:t>投标人同类项目业绩情况；</w:t>
      </w:r>
    </w:p>
    <w:p>
      <w:pPr>
        <w:numPr>
          <w:ilvl w:val="0"/>
          <w:numId w:val="15"/>
        </w:numPr>
        <w:tabs>
          <w:tab w:val="left" w:pos="640"/>
        </w:tabs>
        <w:spacing w:line="360" w:lineRule="auto"/>
        <w:ind w:left="845" w:hanging="845"/>
        <w:rPr>
          <w:rFonts w:hint="eastAsia" w:ascii="宋体" w:hAnsi="宋体" w:cs="宋体"/>
          <w:color w:val="auto"/>
          <w:sz w:val="24"/>
          <w:highlight w:val="none"/>
        </w:rPr>
      </w:pPr>
      <w:r>
        <w:rPr>
          <w:rFonts w:hint="eastAsia" w:ascii="宋体" w:hAnsi="宋体" w:cs="宋体"/>
          <w:color w:val="auto"/>
          <w:sz w:val="24"/>
          <w:highlight w:val="none"/>
        </w:rPr>
        <w:t>履约评价；</w:t>
      </w:r>
    </w:p>
    <w:p>
      <w:pPr>
        <w:numPr>
          <w:ilvl w:val="0"/>
          <w:numId w:val="15"/>
        </w:numPr>
        <w:tabs>
          <w:tab w:val="left" w:pos="640"/>
        </w:tabs>
        <w:spacing w:line="360" w:lineRule="auto"/>
        <w:ind w:left="845" w:hanging="845"/>
        <w:rPr>
          <w:rFonts w:hint="eastAsia" w:ascii="宋体" w:hAnsi="宋体" w:cs="宋体"/>
          <w:color w:val="auto"/>
          <w:sz w:val="24"/>
          <w:highlight w:val="none"/>
        </w:rPr>
      </w:pPr>
      <w:r>
        <w:rPr>
          <w:rFonts w:hint="eastAsia" w:ascii="宋体" w:hAnsi="宋体" w:cs="宋体"/>
          <w:color w:val="auto"/>
          <w:sz w:val="24"/>
          <w:highlight w:val="none"/>
        </w:rPr>
        <w:t>投标人通过相关认证情况；</w:t>
      </w:r>
    </w:p>
    <w:p>
      <w:pPr>
        <w:numPr>
          <w:ilvl w:val="0"/>
          <w:numId w:val="15"/>
        </w:numPr>
        <w:tabs>
          <w:tab w:val="left" w:pos="640"/>
        </w:tabs>
        <w:spacing w:line="360" w:lineRule="auto"/>
        <w:ind w:left="845" w:hanging="845"/>
        <w:rPr>
          <w:rFonts w:hint="eastAsia" w:ascii="宋体" w:hAnsi="宋体" w:cs="宋体"/>
          <w:color w:val="auto"/>
          <w:sz w:val="24"/>
          <w:highlight w:val="none"/>
        </w:rPr>
      </w:pPr>
      <w:r>
        <w:rPr>
          <w:rFonts w:hint="eastAsia" w:ascii="宋体" w:hAnsi="宋体" w:cs="宋体"/>
          <w:color w:val="auto"/>
          <w:sz w:val="24"/>
          <w:highlight w:val="none"/>
        </w:rPr>
        <w:t>服务响应时间；</w:t>
      </w:r>
      <w:bookmarkEnd w:id="86"/>
    </w:p>
    <w:p>
      <w:pPr>
        <w:tabs>
          <w:tab w:val="left" w:pos="640"/>
          <w:tab w:val="left" w:pos="1260"/>
          <w:tab w:val="left" w:pos="1418"/>
        </w:tabs>
        <w:jc w:val="center"/>
        <w:rPr>
          <w:rFonts w:hint="eastAsia" w:ascii="宋体" w:hAnsi="宋体" w:cs="宋体"/>
          <w:b/>
          <w:bCs/>
          <w:color w:val="auto"/>
          <w:szCs w:val="21"/>
          <w:highlight w:val="none"/>
        </w:rPr>
      </w:pPr>
    </w:p>
    <w:p>
      <w:pPr>
        <w:tabs>
          <w:tab w:val="left" w:pos="640"/>
          <w:tab w:val="left" w:pos="1260"/>
          <w:tab w:val="left" w:pos="1418"/>
        </w:tabs>
        <w:jc w:val="center"/>
        <w:rPr>
          <w:rFonts w:hint="eastAsia" w:ascii="宋体" w:hAnsi="宋体" w:cs="宋体"/>
          <w:b/>
          <w:bCs/>
          <w:color w:val="auto"/>
          <w:sz w:val="24"/>
          <w:highlight w:val="none"/>
        </w:rPr>
      </w:pPr>
      <w:r>
        <w:rPr>
          <w:rFonts w:hint="eastAsia" w:ascii="宋体" w:hAnsi="宋体" w:cs="宋体"/>
          <w:b/>
          <w:bCs/>
          <w:color w:val="auto"/>
          <w:sz w:val="24"/>
          <w:highlight w:val="none"/>
        </w:rPr>
        <w:t>注：以上各项请根据“招标项目评分表”中的要求自行填写并提供相应的证明材料。</w:t>
      </w:r>
    </w:p>
    <w:p>
      <w:pPr>
        <w:numPr>
          <w:ilvl w:val="0"/>
          <w:numId w:val="15"/>
        </w:numPr>
        <w:tabs>
          <w:tab w:val="left" w:pos="640"/>
          <w:tab w:val="left" w:pos="840"/>
          <w:tab w:val="left" w:pos="1260"/>
          <w:tab w:val="left" w:pos="1418"/>
        </w:tabs>
        <w:spacing w:line="360" w:lineRule="auto"/>
        <w:ind w:left="845"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br w:type="page"/>
      </w:r>
      <w:r>
        <w:rPr>
          <w:rFonts w:hint="eastAsia" w:ascii="宋体" w:hAnsi="宋体" w:cs="宋体"/>
          <w:b/>
          <w:bCs/>
          <w:color w:val="auto"/>
          <w:sz w:val="24"/>
          <w:highlight w:val="none"/>
          <w:lang w:val="fr-CH"/>
        </w:rPr>
        <w:t>诚信</w:t>
      </w:r>
      <w:r>
        <w:rPr>
          <w:rFonts w:hint="eastAsia" w:ascii="宋体" w:hAnsi="宋体" w:cs="宋体"/>
          <w:b/>
          <w:bCs/>
          <w:color w:val="auto"/>
          <w:sz w:val="24"/>
          <w:highlight w:val="none"/>
        </w:rPr>
        <w:t>声明与承诺</w:t>
      </w:r>
      <w:r>
        <w:rPr>
          <w:rFonts w:hint="eastAsia" w:ascii="宋体" w:hAnsi="宋体" w:cs="宋体"/>
          <w:b/>
          <w:bCs/>
          <w:color w:val="auto"/>
          <w:sz w:val="24"/>
          <w:highlight w:val="none"/>
          <w:lang w:val="fr-CH"/>
        </w:rPr>
        <w:t>；</w:t>
      </w:r>
    </w:p>
    <w:p>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诚信声明与承诺</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北京国际招标有限公司：</w:t>
      </w:r>
    </w:p>
    <w:p>
      <w:pPr>
        <w:spacing w:line="360" w:lineRule="auto"/>
        <w:ind w:firstLine="360" w:firstLineChars="150"/>
        <w:jc w:val="left"/>
        <w:rPr>
          <w:rFonts w:hint="eastAsia" w:ascii="宋体" w:hAnsi="宋体" w:cs="宋体"/>
          <w:color w:val="auto"/>
          <w:sz w:val="24"/>
          <w:highlight w:val="none"/>
        </w:rPr>
      </w:pPr>
      <w:r>
        <w:rPr>
          <w:rFonts w:hint="eastAsia" w:ascii="宋体" w:hAnsi="宋体" w:cs="宋体"/>
          <w:color w:val="auto"/>
          <w:sz w:val="24"/>
          <w:highlight w:val="none"/>
        </w:rPr>
        <w:t xml:space="preserve">  我公司（单位）参与贵代理机构组织的项目（项目编号：）投标，现就诚信作如下声明与承诺：</w:t>
      </w:r>
    </w:p>
    <w:p>
      <w:pPr>
        <w:spacing w:line="360" w:lineRule="auto"/>
        <w:ind w:firstLine="360" w:firstLineChars="150"/>
        <w:jc w:val="left"/>
        <w:rPr>
          <w:rFonts w:hint="eastAsia" w:ascii="宋体" w:hAnsi="宋体" w:cs="宋体"/>
          <w:color w:val="auto"/>
          <w:sz w:val="24"/>
          <w:highlight w:val="none"/>
        </w:rPr>
      </w:pPr>
      <w:r>
        <w:rPr>
          <w:rFonts w:hint="eastAsia" w:ascii="宋体" w:hAnsi="宋体" w:cs="宋体"/>
          <w:color w:val="auto"/>
          <w:sz w:val="24"/>
          <w:highlight w:val="none"/>
        </w:rPr>
        <w:t>我司（单位）承诺根据《深圳市财政局关于印发&lt;深圳市财政局政府采购供应商信用信息管理办法&gt;的通知》（深财规〔2023〕3号）相关规定，我司在全国范围内不存在因政府采购违法、违规行为受到财政部门罚款等一般行政处罚信息，不存在该办法第十一条所称在本市集中采购活动中的一般违法失信行为记录信息。</w:t>
      </w:r>
    </w:p>
    <w:p>
      <w:pPr>
        <w:spacing w:line="360" w:lineRule="auto"/>
        <w:ind w:firstLine="360" w:firstLineChars="150"/>
        <w:jc w:val="left"/>
        <w:rPr>
          <w:rFonts w:hint="eastAsia" w:ascii="宋体" w:hAnsi="宋体" w:cs="宋体"/>
          <w:color w:val="auto"/>
          <w:sz w:val="24"/>
          <w:highlight w:val="none"/>
        </w:rPr>
      </w:pPr>
      <w:r>
        <w:rPr>
          <w:rFonts w:hint="eastAsia" w:ascii="宋体" w:hAnsi="宋体" w:cs="宋体"/>
          <w:color w:val="auto"/>
          <w:sz w:val="24"/>
          <w:highlight w:val="none"/>
        </w:rPr>
        <w:t>我司对上述内容的真实性负责。如有虚假，将依法承担相应责任。</w:t>
      </w:r>
    </w:p>
    <w:p>
      <w:pPr>
        <w:spacing w:line="360" w:lineRule="auto"/>
        <w:ind w:firstLine="360" w:firstLineChars="150"/>
        <w:jc w:val="left"/>
        <w:rPr>
          <w:rFonts w:hint="eastAsia" w:ascii="宋体" w:hAnsi="宋体" w:cs="宋体"/>
          <w:color w:val="auto"/>
          <w:sz w:val="24"/>
          <w:highlight w:val="none"/>
        </w:rPr>
      </w:pPr>
      <w:r>
        <w:rPr>
          <w:rFonts w:hint="eastAsia" w:ascii="宋体" w:hAnsi="宋体" w:cs="宋体"/>
          <w:color w:val="auto"/>
          <w:sz w:val="24"/>
          <w:highlight w:val="none"/>
        </w:rPr>
        <w:t>特此声明与承诺！</w:t>
      </w:r>
    </w:p>
    <w:p>
      <w:pPr>
        <w:spacing w:line="360" w:lineRule="auto"/>
        <w:jc w:val="left"/>
        <w:rPr>
          <w:rFonts w:hint="eastAsia" w:ascii="宋体" w:hAnsi="宋体" w:cs="宋体"/>
          <w:color w:val="auto"/>
          <w:sz w:val="24"/>
          <w:highlight w:val="none"/>
        </w:rPr>
      </w:pPr>
    </w:p>
    <w:p>
      <w:pPr>
        <w:spacing w:line="360" w:lineRule="auto"/>
        <w:jc w:val="left"/>
        <w:rPr>
          <w:rFonts w:hint="eastAsia" w:ascii="宋体" w:hAnsi="宋体" w:cs="宋体"/>
          <w:color w:val="auto"/>
          <w:sz w:val="24"/>
          <w:highlight w:val="none"/>
        </w:rPr>
      </w:pPr>
    </w:p>
    <w:p>
      <w:pPr>
        <w:tabs>
          <w:tab w:val="left" w:pos="378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投标供应商名称（盖章）：</w:t>
      </w:r>
    </w:p>
    <w:p>
      <w:pPr>
        <w:tabs>
          <w:tab w:val="left" w:pos="378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日期：  年  月   日</w:t>
      </w:r>
    </w:p>
    <w:p>
      <w:pPr>
        <w:pStyle w:val="9"/>
        <w:spacing w:line="360" w:lineRule="auto"/>
        <w:jc w:val="left"/>
        <w:rPr>
          <w:rFonts w:hint="eastAsia" w:hAnsi="宋体" w:cs="宋体"/>
          <w:color w:val="auto"/>
          <w:sz w:val="24"/>
          <w:highlight w:val="none"/>
        </w:rPr>
      </w:pPr>
    </w:p>
    <w:p>
      <w:pPr>
        <w:pStyle w:val="9"/>
        <w:spacing w:line="360" w:lineRule="auto"/>
        <w:jc w:val="left"/>
        <w:rPr>
          <w:rFonts w:hint="eastAsia" w:hAnsi="宋体" w:cs="宋体"/>
          <w:color w:val="auto"/>
          <w:sz w:val="24"/>
          <w:highlight w:val="none"/>
        </w:rPr>
      </w:pPr>
    </w:p>
    <w:p>
      <w:pPr>
        <w:spacing w:before="100" w:beforeAutospacing="1" w:after="100" w:afterAutospacing="1"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注：近三年内，如投标人有任何违法违规、受惩罚和禁止、不良信用等记录，必须列明记载，并附网络截图（加盖公章）。</w:t>
      </w:r>
    </w:p>
    <w:p>
      <w:pPr>
        <w:pStyle w:val="2"/>
        <w:rPr>
          <w:color w:val="auto"/>
          <w:highlight w:val="none"/>
          <w:lang w:val="fr-CH"/>
        </w:rPr>
      </w:pPr>
    </w:p>
    <w:p>
      <w:pPr>
        <w:numPr>
          <w:ilvl w:val="0"/>
          <w:numId w:val="15"/>
        </w:numPr>
        <w:tabs>
          <w:tab w:val="left" w:pos="640"/>
          <w:tab w:val="left" w:pos="840"/>
          <w:tab w:val="left" w:pos="1260"/>
          <w:tab w:val="left" w:pos="1418"/>
        </w:tabs>
        <w:spacing w:line="360" w:lineRule="auto"/>
        <w:ind w:left="845" w:hanging="845"/>
        <w:rPr>
          <w:rFonts w:hint="eastAsia"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政府采购违法行为风险知悉确认书</w:t>
      </w:r>
    </w:p>
    <w:p>
      <w:pPr>
        <w:spacing w:line="360" w:lineRule="auto"/>
        <w:ind w:left="420"/>
        <w:jc w:val="center"/>
        <w:rPr>
          <w:rFonts w:ascii="宋体"/>
          <w:b/>
          <w:color w:val="auto"/>
          <w:sz w:val="24"/>
          <w:highlight w:val="none"/>
        </w:rPr>
      </w:pPr>
      <w:r>
        <w:rPr>
          <w:rFonts w:hint="eastAsia" w:ascii="宋体"/>
          <w:b/>
          <w:color w:val="auto"/>
          <w:sz w:val="24"/>
          <w:highlight w:val="none"/>
        </w:rPr>
        <w:t>政府采购违法行为风险知悉确认书</w:t>
      </w:r>
    </w:p>
    <w:p>
      <w:pPr>
        <w:autoSpaceDE w:val="0"/>
        <w:autoSpaceDN w:val="0"/>
        <w:adjustRightInd w:val="0"/>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本公司（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7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shd w:val="clear" w:color="auto" w:fill="auto"/>
            <w:vAlign w:val="center"/>
          </w:tcPr>
          <w:p>
            <w:pPr>
              <w:jc w:val="center"/>
              <w:rPr>
                <w:rFonts w:hint="eastAsia" w:ascii="宋体" w:hAnsi="宋体" w:cs="宋体"/>
                <w:b/>
                <w:bCs/>
                <w:color w:val="auto"/>
                <w:sz w:val="24"/>
                <w:highlight w:val="none"/>
              </w:rPr>
            </w:pPr>
            <w:bookmarkStart w:id="87" w:name="OLE_LINK6"/>
            <w:r>
              <w:rPr>
                <w:rFonts w:hint="eastAsia" w:ascii="宋体" w:hAnsi="宋体" w:cs="宋体"/>
                <w:b/>
                <w:bCs/>
                <w:color w:val="auto"/>
                <w:sz w:val="24"/>
                <w:highlight w:val="none"/>
              </w:rPr>
              <w:t>序号</w:t>
            </w:r>
          </w:p>
        </w:tc>
        <w:tc>
          <w:tcPr>
            <w:tcW w:w="7607" w:type="dxa"/>
            <w:shd w:val="clear" w:color="auto" w:fill="auto"/>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shd w:val="clear" w:color="auto" w:fill="auto"/>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7607" w:type="dxa"/>
            <w:shd w:val="clear" w:color="auto" w:fill="auto"/>
            <w:vAlign w:val="center"/>
          </w:tcPr>
          <w:p>
            <w:pPr>
              <w:jc w:val="left"/>
              <w:rPr>
                <w:rFonts w:hint="eastAsia" w:ascii="宋体" w:hAnsi="宋体" w:cs="宋体"/>
                <w:color w:val="auto"/>
                <w:sz w:val="24"/>
                <w:highlight w:val="none"/>
              </w:rPr>
            </w:pPr>
            <w:r>
              <w:rPr>
                <w:rFonts w:hint="eastAsia" w:ascii="宋体" w:hAnsi="宋体" w:cs="宋体"/>
                <w:color w:val="auto"/>
                <w:sz w:val="24"/>
                <w:highlight w:val="none"/>
              </w:rPr>
              <w:t>与其他投标供应商的法定代表人、主要经营负责人、投标授权代表人、项目负责人、主要技术人员为</w:t>
            </w:r>
            <w:r>
              <w:rPr>
                <w:rFonts w:hint="eastAsia" w:ascii="宋体" w:hAnsi="宋体" w:cs="宋体"/>
                <w:b/>
                <w:bCs/>
                <w:color w:val="auto"/>
                <w:sz w:val="24"/>
                <w:highlight w:val="none"/>
              </w:rPr>
              <w:t>同一人、属同一单位或者在同一单位缴纳社会保险</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shd w:val="clear" w:color="auto" w:fill="auto"/>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7607" w:type="dxa"/>
            <w:shd w:val="clear" w:color="auto" w:fill="auto"/>
            <w:vAlign w:val="center"/>
          </w:tcPr>
          <w:p>
            <w:pPr>
              <w:jc w:val="left"/>
              <w:rPr>
                <w:rFonts w:hint="eastAsia" w:ascii="宋体" w:hAnsi="宋体" w:cs="宋体"/>
                <w:color w:val="auto"/>
                <w:sz w:val="24"/>
                <w:highlight w:val="none"/>
              </w:rPr>
            </w:pPr>
            <w:r>
              <w:rPr>
                <w:rFonts w:hint="eastAsia" w:ascii="宋体" w:hAnsi="宋体" w:cs="宋体"/>
                <w:color w:val="auto"/>
                <w:sz w:val="24"/>
                <w:highlight w:val="none"/>
              </w:rPr>
              <w:t>参与本项目政府采购活动时，与其他投标供应商存在单位负责人为</w:t>
            </w:r>
            <w:r>
              <w:rPr>
                <w:rFonts w:hint="eastAsia" w:ascii="宋体" w:hAnsi="宋体" w:cs="宋体"/>
                <w:b/>
                <w:bCs/>
                <w:color w:val="auto"/>
                <w:sz w:val="24"/>
                <w:highlight w:val="none"/>
              </w:rPr>
              <w:t>同一人或直接控股、管理关系</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shd w:val="clear" w:color="auto" w:fill="auto"/>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7607" w:type="dxa"/>
            <w:shd w:val="clear" w:color="auto" w:fill="auto"/>
            <w:vAlign w:val="center"/>
          </w:tcPr>
          <w:p>
            <w:pPr>
              <w:jc w:val="left"/>
              <w:rPr>
                <w:rFonts w:hint="eastAsia" w:ascii="宋体" w:hAnsi="宋体" w:cs="宋体"/>
                <w:color w:val="auto"/>
                <w:sz w:val="24"/>
                <w:highlight w:val="none"/>
              </w:rPr>
            </w:pPr>
            <w:r>
              <w:rPr>
                <w:rFonts w:hint="eastAsia" w:ascii="宋体" w:hAnsi="宋体" w:cs="宋体"/>
                <w:color w:val="auto"/>
                <w:sz w:val="24"/>
                <w:highlight w:val="none"/>
              </w:rPr>
              <w:t>与其他投标供应商的投标文件或部分投标文件</w:t>
            </w:r>
            <w:r>
              <w:rPr>
                <w:rFonts w:hint="eastAsia" w:ascii="宋体" w:hAnsi="宋体" w:cs="宋体"/>
                <w:b/>
                <w:bCs/>
                <w:color w:val="auto"/>
                <w:sz w:val="24"/>
                <w:highlight w:val="none"/>
              </w:rPr>
              <w:t>相互混装或存在非正常一致</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9" w:type="dxa"/>
            <w:shd w:val="clear" w:color="auto" w:fill="auto"/>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7607" w:type="dxa"/>
            <w:shd w:val="clear" w:color="auto" w:fill="auto"/>
            <w:vAlign w:val="center"/>
          </w:tcPr>
          <w:p>
            <w:pPr>
              <w:jc w:val="left"/>
              <w:rPr>
                <w:rFonts w:hint="eastAsia" w:ascii="宋体" w:hAnsi="宋体" w:cs="宋体"/>
                <w:color w:val="auto"/>
                <w:sz w:val="24"/>
                <w:highlight w:val="none"/>
              </w:rPr>
            </w:pPr>
            <w:r>
              <w:rPr>
                <w:rFonts w:hint="eastAsia" w:ascii="宋体" w:hAnsi="宋体" w:cs="宋体"/>
                <w:color w:val="auto"/>
                <w:sz w:val="24"/>
                <w:highlight w:val="none"/>
              </w:rPr>
              <w:t>与其他投标供应商的投标文件由</w:t>
            </w:r>
            <w:r>
              <w:rPr>
                <w:rFonts w:hint="eastAsia" w:ascii="宋体" w:hAnsi="宋体" w:cs="宋体"/>
                <w:b/>
                <w:bCs/>
                <w:color w:val="auto"/>
                <w:sz w:val="24"/>
                <w:highlight w:val="none"/>
              </w:rPr>
              <w:t>同一单位或者同一人编制</w:t>
            </w:r>
            <w:r>
              <w:rPr>
                <w:rFonts w:hint="eastAsia" w:ascii="宋体" w:hAnsi="宋体" w:cs="宋体"/>
                <w:color w:val="auto"/>
                <w:sz w:val="24"/>
                <w:highlight w:val="none"/>
              </w:rPr>
              <w:t>，或者使用</w:t>
            </w:r>
            <w:r>
              <w:rPr>
                <w:rFonts w:hint="eastAsia" w:ascii="宋体" w:hAnsi="宋体" w:cs="宋体"/>
                <w:b/>
                <w:bCs/>
                <w:color w:val="auto"/>
                <w:sz w:val="24"/>
                <w:highlight w:val="none"/>
              </w:rPr>
              <w:t>同一设备编制</w:t>
            </w:r>
            <w:r>
              <w:rPr>
                <w:rFonts w:hint="eastAsia" w:ascii="宋体" w:hAnsi="宋体" w:cs="宋体"/>
                <w:color w:val="auto"/>
                <w:sz w:val="24"/>
                <w:highlight w:val="none"/>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shd w:val="clear" w:color="auto" w:fill="auto"/>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7607" w:type="dxa"/>
            <w:shd w:val="clear" w:color="auto" w:fill="auto"/>
            <w:vAlign w:val="center"/>
          </w:tcPr>
          <w:p>
            <w:pPr>
              <w:jc w:val="left"/>
              <w:rPr>
                <w:rFonts w:hint="eastAsia" w:ascii="宋体" w:hAnsi="宋体" w:cs="宋体"/>
                <w:color w:val="auto"/>
                <w:sz w:val="24"/>
                <w:highlight w:val="none"/>
              </w:rPr>
            </w:pPr>
            <w:r>
              <w:rPr>
                <w:rFonts w:hint="eastAsia" w:ascii="宋体" w:hAnsi="宋体" w:cs="宋体"/>
                <w:color w:val="auto"/>
                <w:sz w:val="24"/>
                <w:highlight w:val="none"/>
              </w:rPr>
              <w:t>提供</w:t>
            </w:r>
            <w:r>
              <w:rPr>
                <w:rFonts w:hint="eastAsia" w:ascii="宋体" w:hAnsi="宋体" w:cs="宋体"/>
                <w:b/>
                <w:bCs/>
                <w:color w:val="auto"/>
                <w:sz w:val="24"/>
                <w:highlight w:val="none"/>
              </w:rPr>
              <w:t>未经出具机构核实</w:t>
            </w:r>
            <w:r>
              <w:rPr>
                <w:rFonts w:hint="eastAsia" w:ascii="宋体" w:hAnsi="宋体" w:cs="宋体"/>
                <w:color w:val="auto"/>
                <w:sz w:val="24"/>
                <w:highlight w:val="none"/>
              </w:rPr>
              <w:t>的虚假的检验检测报告、业绩材料、社保缴纳证明、学历学位证书、职称认证证书等材料。</w:t>
            </w:r>
          </w:p>
        </w:tc>
      </w:tr>
      <w:bookmarkEnd w:id="87"/>
    </w:tbl>
    <w:p>
      <w:pPr>
        <w:autoSpaceDE w:val="0"/>
        <w:autoSpaceDN w:val="0"/>
        <w:adjustRightInd w:val="0"/>
        <w:spacing w:line="360" w:lineRule="auto"/>
        <w:ind w:firstLine="480" w:firstLineChars="200"/>
        <w:jc w:val="left"/>
        <w:rPr>
          <w:rFonts w:hint="eastAsia" w:ascii="宋体" w:hAnsi="宋体" w:cs="仿宋_GB2312"/>
          <w:color w:val="auto"/>
          <w:kern w:val="0"/>
          <w:sz w:val="24"/>
          <w:highlight w:val="none"/>
        </w:rPr>
      </w:pPr>
      <w:r>
        <w:rPr>
          <w:rFonts w:hint="eastAsia" w:ascii="宋体" w:hAnsi="宋体" w:cs="仿宋_GB2312"/>
          <w:color w:val="auto"/>
          <w:kern w:val="0"/>
          <w:sz w:val="24"/>
          <w:highlight w:val="none"/>
        </w:rPr>
        <w:t>一、本公司（单位）已充分知悉“隐瞒真实情况，提供虚假资料”的法定情形，相关情形包括但不限于：</w:t>
      </w:r>
    </w:p>
    <w:p>
      <w:pPr>
        <w:autoSpaceDE w:val="0"/>
        <w:autoSpaceDN w:val="0"/>
        <w:adjustRightInd w:val="0"/>
        <w:spacing w:line="360" w:lineRule="auto"/>
        <w:ind w:firstLine="480" w:firstLineChars="200"/>
        <w:jc w:val="left"/>
        <w:rPr>
          <w:rFonts w:hint="eastAsia" w:ascii="宋体" w:hAnsi="宋体" w:cs="仿宋_GB2312"/>
          <w:color w:val="auto"/>
          <w:kern w:val="0"/>
          <w:sz w:val="24"/>
          <w:highlight w:val="none"/>
        </w:rPr>
      </w:pPr>
      <w:r>
        <w:rPr>
          <w:rFonts w:hint="eastAsia" w:ascii="宋体" w:hAnsi="宋体" w:cs="仿宋_GB2312"/>
          <w:color w:val="auto"/>
          <w:kern w:val="0"/>
          <w:sz w:val="24"/>
          <w:highlight w:val="none"/>
        </w:rPr>
        <w:t>（一）通过转让或者租借等方式从其他单位获取资格或者资质证书投标的。</w:t>
      </w:r>
    </w:p>
    <w:p>
      <w:pPr>
        <w:autoSpaceDE w:val="0"/>
        <w:autoSpaceDN w:val="0"/>
        <w:adjustRightInd w:val="0"/>
        <w:spacing w:line="360" w:lineRule="auto"/>
        <w:ind w:firstLine="600" w:firstLineChars="250"/>
        <w:jc w:val="left"/>
        <w:rPr>
          <w:rFonts w:hint="eastAsia" w:ascii="宋体" w:hAnsi="宋体" w:cs="仿宋_GB2312"/>
          <w:color w:val="auto"/>
          <w:kern w:val="0"/>
          <w:sz w:val="24"/>
          <w:highlight w:val="none"/>
        </w:rPr>
      </w:pPr>
      <w:r>
        <w:rPr>
          <w:rFonts w:hint="eastAsia" w:ascii="宋体" w:hAnsi="宋体" w:cs="仿宋_GB2312"/>
          <w:color w:val="auto"/>
          <w:kern w:val="0"/>
          <w:sz w:val="24"/>
          <w:highlight w:val="none"/>
        </w:rPr>
        <w:t>（二）由其他单位或者其他单位负责人在投标供应商编制的投标文件上加盖印章或者签字的。</w:t>
      </w:r>
    </w:p>
    <w:p>
      <w:pPr>
        <w:autoSpaceDE w:val="0"/>
        <w:autoSpaceDN w:val="0"/>
        <w:adjustRightInd w:val="0"/>
        <w:spacing w:line="360" w:lineRule="auto"/>
        <w:ind w:firstLine="600" w:firstLineChars="250"/>
        <w:jc w:val="left"/>
        <w:rPr>
          <w:rFonts w:hint="eastAsia" w:ascii="宋体" w:hAnsi="宋体" w:cs="仿宋_GB2312"/>
          <w:color w:val="auto"/>
          <w:kern w:val="0"/>
          <w:sz w:val="24"/>
          <w:highlight w:val="none"/>
        </w:rPr>
      </w:pPr>
      <w:r>
        <w:rPr>
          <w:rFonts w:hint="eastAsia" w:ascii="宋体" w:hAnsi="宋体" w:cs="仿宋_GB2312"/>
          <w:color w:val="auto"/>
          <w:kern w:val="0"/>
          <w:sz w:val="24"/>
          <w:highlight w:val="none"/>
        </w:rPr>
        <w:t>（三）项目负责人或者主要技术人员不是本单位人员的。</w:t>
      </w:r>
    </w:p>
    <w:p>
      <w:pPr>
        <w:autoSpaceDE w:val="0"/>
        <w:autoSpaceDN w:val="0"/>
        <w:adjustRightInd w:val="0"/>
        <w:spacing w:line="360" w:lineRule="auto"/>
        <w:ind w:firstLine="600" w:firstLineChars="250"/>
        <w:jc w:val="left"/>
        <w:rPr>
          <w:rFonts w:hint="eastAsia" w:ascii="宋体" w:hAnsi="宋体" w:cs="仿宋_GB2312"/>
          <w:color w:val="auto"/>
          <w:kern w:val="0"/>
          <w:sz w:val="24"/>
          <w:highlight w:val="none"/>
        </w:rPr>
      </w:pPr>
      <w:r>
        <w:rPr>
          <w:rFonts w:hint="eastAsia" w:ascii="宋体" w:hAnsi="宋体" w:cs="仿宋_GB2312"/>
          <w:color w:val="auto"/>
          <w:kern w:val="0"/>
          <w:sz w:val="24"/>
          <w:highlight w:val="none"/>
        </w:rPr>
        <w:t>（四）投标保证金不是从投标供应商基本账户转出的。</w:t>
      </w:r>
    </w:p>
    <w:p>
      <w:pPr>
        <w:autoSpaceDE w:val="0"/>
        <w:autoSpaceDN w:val="0"/>
        <w:adjustRightInd w:val="0"/>
        <w:spacing w:line="360" w:lineRule="auto"/>
        <w:ind w:firstLine="600" w:firstLineChars="250"/>
        <w:jc w:val="left"/>
        <w:rPr>
          <w:rFonts w:hint="eastAsia" w:ascii="宋体" w:hAnsi="宋体" w:cs="仿宋_GB2312"/>
          <w:color w:val="auto"/>
          <w:kern w:val="0"/>
          <w:sz w:val="24"/>
          <w:highlight w:val="none"/>
        </w:rPr>
      </w:pPr>
      <w:r>
        <w:rPr>
          <w:rFonts w:hint="eastAsia" w:ascii="宋体" w:hAnsi="宋体" w:cs="仿宋_GB2312"/>
          <w:color w:val="auto"/>
          <w:kern w:val="0"/>
          <w:sz w:val="24"/>
          <w:highlight w:val="none"/>
        </w:rPr>
        <w:t>（五）其他隐瞒真实情况、提供虚假资料的行为。</w:t>
      </w:r>
    </w:p>
    <w:p>
      <w:pPr>
        <w:autoSpaceDE w:val="0"/>
        <w:autoSpaceDN w:val="0"/>
        <w:adjustRightInd w:val="0"/>
        <w:spacing w:line="360" w:lineRule="auto"/>
        <w:ind w:firstLine="480" w:firstLineChars="200"/>
        <w:jc w:val="left"/>
        <w:rPr>
          <w:rFonts w:hint="eastAsia" w:ascii="宋体" w:hAnsi="宋体" w:cs="仿宋_GB2312"/>
          <w:color w:val="auto"/>
          <w:kern w:val="0"/>
          <w:sz w:val="24"/>
          <w:highlight w:val="none"/>
        </w:rPr>
      </w:pPr>
      <w:r>
        <w:rPr>
          <w:rFonts w:hint="eastAsia" w:ascii="宋体" w:hAnsi="宋体" w:cs="仿宋_GB2312"/>
          <w:color w:val="auto"/>
          <w:kern w:val="0"/>
          <w:sz w:val="24"/>
          <w:highlight w:val="none"/>
        </w:rPr>
        <w:t>二、本公司（单位）已充分知悉“与其他采购参加人串通投标”的法定情形，相关情形包括但不限于：</w:t>
      </w:r>
    </w:p>
    <w:p>
      <w:pPr>
        <w:autoSpaceDE w:val="0"/>
        <w:autoSpaceDN w:val="0"/>
        <w:adjustRightInd w:val="0"/>
        <w:spacing w:line="360" w:lineRule="auto"/>
        <w:ind w:firstLine="480" w:firstLineChars="200"/>
        <w:jc w:val="left"/>
        <w:rPr>
          <w:rFonts w:hint="eastAsia" w:ascii="宋体" w:hAnsi="宋体" w:cs="仿宋_GB2312"/>
          <w:color w:val="auto"/>
          <w:kern w:val="0"/>
          <w:sz w:val="24"/>
          <w:highlight w:val="none"/>
        </w:rPr>
      </w:pPr>
      <w:r>
        <w:rPr>
          <w:rFonts w:hint="eastAsia" w:ascii="宋体" w:hAnsi="宋体" w:cs="仿宋_GB2312"/>
          <w:color w:val="auto"/>
          <w:kern w:val="0"/>
          <w:sz w:val="24"/>
          <w:highlight w:val="none"/>
        </w:rPr>
        <w:t>（一）投标供应商之间相互约定给予未中标的供应商利益补偿。</w:t>
      </w:r>
    </w:p>
    <w:p>
      <w:pPr>
        <w:autoSpaceDE w:val="0"/>
        <w:autoSpaceDN w:val="0"/>
        <w:adjustRightInd w:val="0"/>
        <w:spacing w:line="360" w:lineRule="auto"/>
        <w:ind w:firstLine="480" w:firstLineChars="200"/>
        <w:jc w:val="left"/>
        <w:rPr>
          <w:rFonts w:hint="eastAsia" w:ascii="宋体" w:hAnsi="宋体" w:cs="仿宋_GB2312"/>
          <w:color w:val="auto"/>
          <w:kern w:val="0"/>
          <w:sz w:val="24"/>
          <w:highlight w:val="none"/>
        </w:rPr>
      </w:pPr>
      <w:r>
        <w:rPr>
          <w:rFonts w:hint="eastAsia" w:ascii="宋体" w:hAnsi="宋体" w:cs="仿宋_GB2312"/>
          <w:color w:val="auto"/>
          <w:kern w:val="0"/>
          <w:sz w:val="24"/>
          <w:highlight w:val="none"/>
        </w:rPr>
        <w:t>（二）不同投标供应商的法定代表人、主要经营负责人、项目投标授权代表人、项目负责人、主要技术人员为同一人、属同一单位或者在同一单位缴纳社会保险。</w:t>
      </w:r>
    </w:p>
    <w:p>
      <w:pPr>
        <w:autoSpaceDE w:val="0"/>
        <w:autoSpaceDN w:val="0"/>
        <w:adjustRightInd w:val="0"/>
        <w:spacing w:line="360" w:lineRule="auto"/>
        <w:ind w:firstLine="480" w:firstLineChars="200"/>
        <w:jc w:val="left"/>
        <w:rPr>
          <w:rFonts w:hint="eastAsia" w:ascii="宋体" w:hAnsi="宋体" w:cs="仿宋_GB2312"/>
          <w:color w:val="auto"/>
          <w:kern w:val="0"/>
          <w:sz w:val="24"/>
          <w:highlight w:val="none"/>
        </w:rPr>
      </w:pPr>
      <w:r>
        <w:rPr>
          <w:rFonts w:hint="eastAsia" w:ascii="宋体" w:hAnsi="宋体" w:cs="仿宋_GB2312"/>
          <w:color w:val="auto"/>
          <w:kern w:val="0"/>
          <w:sz w:val="24"/>
          <w:highlight w:val="none"/>
        </w:rPr>
        <w:t>（三）不同投标供应商的投标文件由同一单位或者同一人编制，或者由同一人分阶段参与编制的。</w:t>
      </w:r>
    </w:p>
    <w:p>
      <w:pPr>
        <w:autoSpaceDE w:val="0"/>
        <w:autoSpaceDN w:val="0"/>
        <w:adjustRightInd w:val="0"/>
        <w:spacing w:line="360" w:lineRule="auto"/>
        <w:ind w:firstLine="480" w:firstLineChars="200"/>
        <w:jc w:val="left"/>
        <w:rPr>
          <w:rFonts w:hint="eastAsia" w:ascii="宋体" w:hAnsi="宋体" w:cs="仿宋_GB2312"/>
          <w:color w:val="auto"/>
          <w:kern w:val="0"/>
          <w:sz w:val="24"/>
          <w:highlight w:val="none"/>
        </w:rPr>
      </w:pPr>
      <w:r>
        <w:rPr>
          <w:rFonts w:hint="eastAsia" w:ascii="宋体" w:hAnsi="宋体" w:cs="仿宋_GB2312"/>
          <w:color w:val="auto"/>
          <w:kern w:val="0"/>
          <w:sz w:val="24"/>
          <w:highlight w:val="none"/>
        </w:rPr>
        <w:t>（四）不同投标供应商的投标文件或部分投标文件相互混装。</w:t>
      </w:r>
    </w:p>
    <w:p>
      <w:pPr>
        <w:autoSpaceDE w:val="0"/>
        <w:autoSpaceDN w:val="0"/>
        <w:adjustRightInd w:val="0"/>
        <w:spacing w:line="360" w:lineRule="auto"/>
        <w:ind w:firstLine="480" w:firstLineChars="200"/>
        <w:jc w:val="left"/>
        <w:rPr>
          <w:rFonts w:hint="eastAsia" w:ascii="宋体" w:hAnsi="宋体" w:cs="仿宋_GB2312"/>
          <w:color w:val="auto"/>
          <w:kern w:val="0"/>
          <w:sz w:val="24"/>
          <w:highlight w:val="none"/>
        </w:rPr>
      </w:pPr>
      <w:r>
        <w:rPr>
          <w:rFonts w:hint="eastAsia" w:ascii="宋体" w:hAnsi="宋体" w:cs="仿宋_GB2312"/>
          <w:color w:val="auto"/>
          <w:kern w:val="0"/>
          <w:sz w:val="24"/>
          <w:highlight w:val="none"/>
        </w:rPr>
        <w:t>（五）不同投标供应商的投标文件内容存在非正常一致。</w:t>
      </w:r>
    </w:p>
    <w:p>
      <w:pPr>
        <w:autoSpaceDE w:val="0"/>
        <w:autoSpaceDN w:val="0"/>
        <w:adjustRightInd w:val="0"/>
        <w:spacing w:line="360" w:lineRule="auto"/>
        <w:ind w:firstLine="480" w:firstLineChars="200"/>
        <w:jc w:val="left"/>
        <w:rPr>
          <w:rFonts w:hint="eastAsia" w:ascii="宋体" w:hAnsi="宋体" w:cs="仿宋_GB2312"/>
          <w:color w:val="auto"/>
          <w:kern w:val="0"/>
          <w:sz w:val="24"/>
          <w:highlight w:val="none"/>
        </w:rPr>
      </w:pPr>
      <w:r>
        <w:rPr>
          <w:rFonts w:hint="eastAsia" w:ascii="宋体" w:hAnsi="宋体" w:cs="仿宋_GB2312"/>
          <w:color w:val="auto"/>
          <w:kern w:val="0"/>
          <w:sz w:val="24"/>
          <w:highlight w:val="none"/>
        </w:rPr>
        <w:t>（六）由同一单位工作人员为两家以上（含两家）供应商进行同一项投标活动的。</w:t>
      </w:r>
    </w:p>
    <w:p>
      <w:pPr>
        <w:autoSpaceDE w:val="0"/>
        <w:autoSpaceDN w:val="0"/>
        <w:adjustRightInd w:val="0"/>
        <w:spacing w:line="360" w:lineRule="auto"/>
        <w:ind w:firstLine="480" w:firstLineChars="200"/>
        <w:jc w:val="left"/>
        <w:rPr>
          <w:rFonts w:hint="eastAsia" w:ascii="宋体" w:hAnsi="宋体" w:cs="仿宋_GB2312"/>
          <w:color w:val="auto"/>
          <w:kern w:val="0"/>
          <w:sz w:val="24"/>
          <w:highlight w:val="none"/>
        </w:rPr>
      </w:pPr>
      <w:r>
        <w:rPr>
          <w:rFonts w:hint="eastAsia" w:ascii="宋体" w:hAnsi="宋体" w:cs="仿宋_GB2312"/>
          <w:color w:val="auto"/>
          <w:kern w:val="0"/>
          <w:sz w:val="24"/>
          <w:highlight w:val="none"/>
        </w:rPr>
        <w:t>（七）不同投标人的投标报价呈规律性差异。</w:t>
      </w:r>
    </w:p>
    <w:p>
      <w:pPr>
        <w:autoSpaceDE w:val="0"/>
        <w:autoSpaceDN w:val="0"/>
        <w:adjustRightInd w:val="0"/>
        <w:spacing w:line="360" w:lineRule="auto"/>
        <w:ind w:firstLine="480" w:firstLineChars="200"/>
        <w:jc w:val="left"/>
        <w:rPr>
          <w:rFonts w:hint="eastAsia" w:ascii="宋体" w:hAnsi="宋体" w:cs="仿宋_GB2312"/>
          <w:color w:val="auto"/>
          <w:kern w:val="0"/>
          <w:sz w:val="24"/>
          <w:highlight w:val="none"/>
        </w:rPr>
      </w:pPr>
      <w:r>
        <w:rPr>
          <w:rFonts w:hint="eastAsia" w:ascii="宋体" w:hAnsi="宋体" w:cs="仿宋_GB2312"/>
          <w:color w:val="auto"/>
          <w:kern w:val="0"/>
          <w:sz w:val="24"/>
          <w:highlight w:val="none"/>
        </w:rPr>
        <w:t>（八）不同投标人的投标保证金从同一单位或者个人的账户转出。</w:t>
      </w:r>
    </w:p>
    <w:p>
      <w:pPr>
        <w:autoSpaceDE w:val="0"/>
        <w:autoSpaceDN w:val="0"/>
        <w:adjustRightInd w:val="0"/>
        <w:spacing w:line="360" w:lineRule="auto"/>
        <w:ind w:firstLine="480" w:firstLineChars="200"/>
        <w:jc w:val="left"/>
        <w:rPr>
          <w:rFonts w:hint="eastAsia" w:ascii="宋体" w:hAnsi="宋体" w:cs="仿宋_GB2312"/>
          <w:color w:val="auto"/>
          <w:kern w:val="0"/>
          <w:sz w:val="24"/>
          <w:highlight w:val="none"/>
        </w:rPr>
      </w:pPr>
      <w:r>
        <w:rPr>
          <w:rFonts w:hint="eastAsia" w:ascii="宋体" w:hAnsi="宋体" w:cs="仿宋_GB2312"/>
          <w:color w:val="auto"/>
          <w:kern w:val="0"/>
          <w:sz w:val="24"/>
          <w:highlight w:val="none"/>
        </w:rPr>
        <w:t>（九）主管部门依照法律、法规认定的其他情形。</w:t>
      </w:r>
    </w:p>
    <w:p>
      <w:pPr>
        <w:autoSpaceDE w:val="0"/>
        <w:autoSpaceDN w:val="0"/>
        <w:adjustRightInd w:val="0"/>
        <w:spacing w:line="360" w:lineRule="auto"/>
        <w:ind w:firstLine="480" w:firstLineChars="200"/>
        <w:jc w:val="left"/>
        <w:rPr>
          <w:rFonts w:hint="eastAsia" w:ascii="宋体" w:hAnsi="宋体" w:cs="仿宋_GB2312"/>
          <w:color w:val="auto"/>
          <w:kern w:val="0"/>
          <w:sz w:val="24"/>
          <w:highlight w:val="none"/>
        </w:rPr>
      </w:pPr>
      <w:r>
        <w:rPr>
          <w:rFonts w:hint="eastAsia" w:ascii="宋体" w:hAnsi="宋体" w:cs="仿宋_GB2312"/>
          <w:color w:val="auto"/>
          <w:kern w:val="0"/>
          <w:sz w:val="24"/>
          <w:highlight w:val="none"/>
        </w:rPr>
        <w:t>三、本公司（单位）已充分知悉下列情形所对应的法律风险，并在投标前已对相关风险事项进行排查。</w:t>
      </w:r>
    </w:p>
    <w:p>
      <w:pPr>
        <w:autoSpaceDE w:val="0"/>
        <w:autoSpaceDN w:val="0"/>
        <w:adjustRightInd w:val="0"/>
        <w:spacing w:line="360" w:lineRule="auto"/>
        <w:ind w:firstLine="360" w:firstLineChars="150"/>
        <w:jc w:val="left"/>
        <w:rPr>
          <w:rFonts w:hint="eastAsia" w:ascii="宋体" w:hAnsi="宋体" w:cs="仿宋_GB2312"/>
          <w:color w:val="auto"/>
          <w:kern w:val="0"/>
          <w:sz w:val="24"/>
          <w:highlight w:val="none"/>
        </w:rPr>
      </w:pPr>
      <w:r>
        <w:rPr>
          <w:rFonts w:hint="eastAsia" w:ascii="宋体" w:hAnsi="宋体" w:cs="仿宋_GB2312"/>
          <w:color w:val="auto"/>
          <w:kern w:val="0"/>
          <w:sz w:val="24"/>
          <w:highlight w:val="none"/>
        </w:rPr>
        <w:t>（一）对于从其他主体获取的投标资料，供应商应审慎核查，确保投标资料的真实性。如主管部门查实投标文件中存在虚假资料的，无论相关资料是否由第三方或本公司（单位）员工提供，均不影响主管部门对供应商存在“隐瞒真实情况，提供虚假资料”违法行为的认定。</w:t>
      </w:r>
    </w:p>
    <w:p>
      <w:pPr>
        <w:autoSpaceDE w:val="0"/>
        <w:autoSpaceDN w:val="0"/>
        <w:adjustRightInd w:val="0"/>
        <w:spacing w:line="360" w:lineRule="auto"/>
        <w:ind w:firstLine="360" w:firstLineChars="150"/>
        <w:jc w:val="left"/>
        <w:rPr>
          <w:rFonts w:hint="eastAsia" w:ascii="宋体" w:hAnsi="宋体" w:cs="仿宋_GB2312"/>
          <w:color w:val="auto"/>
          <w:kern w:val="0"/>
          <w:sz w:val="24"/>
          <w:highlight w:val="none"/>
        </w:rPr>
      </w:pPr>
      <w:r>
        <w:rPr>
          <w:rFonts w:hint="eastAsia" w:ascii="宋体" w:hAnsi="宋体" w:cs="仿宋_GB2312"/>
          <w:color w:val="auto"/>
          <w:kern w:val="0"/>
          <w:sz w:val="24"/>
          <w:highlight w:val="none"/>
        </w:rPr>
        <w:t>（二）对于涉及国家机关出具的公文、证件、证明材料等文件，一旦涉嫌虚假，经查实，主管部门将依法从严处理，并移送有关部门追究法律责任；涉嫌犯罪的，主管部门将一并移送司法机关追究法律责任。</w:t>
      </w:r>
    </w:p>
    <w:p>
      <w:pPr>
        <w:autoSpaceDE w:val="0"/>
        <w:autoSpaceDN w:val="0"/>
        <w:adjustRightInd w:val="0"/>
        <w:spacing w:line="360" w:lineRule="auto"/>
        <w:ind w:firstLine="360" w:firstLineChars="150"/>
        <w:jc w:val="left"/>
        <w:rPr>
          <w:rFonts w:hint="eastAsia" w:ascii="宋体" w:hAnsi="宋体" w:cs="仿宋_GB2312"/>
          <w:color w:val="auto"/>
          <w:kern w:val="0"/>
          <w:sz w:val="24"/>
          <w:highlight w:val="none"/>
        </w:rPr>
      </w:pPr>
      <w:r>
        <w:rPr>
          <w:rFonts w:hint="eastAsia" w:ascii="宋体" w:hAnsi="宋体" w:cs="仿宋_GB2312"/>
          <w:color w:val="auto"/>
          <w:kern w:val="0"/>
          <w:sz w:val="24"/>
          <w:highlight w:val="none"/>
        </w:rPr>
        <w:t>（三）对于涉及安全生产、特种作业、抢险救灾、防疫等政府采购项目，供应商实施提供虚假资料、串通投标等违法行为的，主管部门将依法从严处理。</w:t>
      </w:r>
    </w:p>
    <w:p>
      <w:pPr>
        <w:autoSpaceDE w:val="0"/>
        <w:autoSpaceDN w:val="0"/>
        <w:adjustRightInd w:val="0"/>
        <w:spacing w:line="360" w:lineRule="auto"/>
        <w:ind w:firstLine="360" w:firstLineChars="150"/>
        <w:jc w:val="left"/>
        <w:rPr>
          <w:rFonts w:hint="eastAsia" w:ascii="宋体" w:hAnsi="宋体" w:cs="仿宋_GB2312"/>
          <w:color w:val="auto"/>
          <w:kern w:val="0"/>
          <w:sz w:val="24"/>
          <w:highlight w:val="none"/>
        </w:rPr>
      </w:pPr>
      <w:r>
        <w:rPr>
          <w:rFonts w:hint="eastAsia" w:ascii="宋体" w:hAnsi="宋体" w:cs="仿宋_GB2312"/>
          <w:color w:val="auto"/>
          <w:kern w:val="0"/>
          <w:sz w:val="24"/>
          <w:highlight w:val="none"/>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autoSpaceDE w:val="0"/>
        <w:autoSpaceDN w:val="0"/>
        <w:adjustRightInd w:val="0"/>
        <w:spacing w:line="360" w:lineRule="auto"/>
        <w:ind w:firstLine="480" w:firstLineChars="200"/>
        <w:jc w:val="left"/>
        <w:rPr>
          <w:rFonts w:hint="eastAsia" w:ascii="宋体" w:hAnsi="宋体" w:cs="仿宋_GB2312"/>
          <w:color w:val="auto"/>
          <w:kern w:val="0"/>
          <w:sz w:val="24"/>
          <w:highlight w:val="none"/>
        </w:rPr>
      </w:pPr>
      <w:r>
        <w:rPr>
          <w:rFonts w:hint="eastAsia" w:ascii="宋体" w:hAnsi="宋体" w:cs="仿宋_GB2312"/>
          <w:color w:val="auto"/>
          <w:kern w:val="0"/>
          <w:sz w:val="24"/>
          <w:highlight w:val="none"/>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autoSpaceDE w:val="0"/>
        <w:autoSpaceDN w:val="0"/>
        <w:adjustRightInd w:val="0"/>
        <w:spacing w:line="360" w:lineRule="auto"/>
        <w:ind w:firstLine="480" w:firstLineChars="200"/>
        <w:jc w:val="left"/>
        <w:rPr>
          <w:rFonts w:hint="eastAsia" w:ascii="宋体" w:hAnsi="宋体" w:cs="仿宋_GB2312"/>
          <w:color w:val="auto"/>
          <w:kern w:val="0"/>
          <w:sz w:val="24"/>
          <w:highlight w:val="none"/>
        </w:rPr>
      </w:pPr>
      <w:r>
        <w:rPr>
          <w:rFonts w:hint="eastAsia" w:ascii="宋体" w:hAnsi="宋体" w:cs="仿宋_GB2312"/>
          <w:color w:val="auto"/>
          <w:kern w:val="0"/>
          <w:sz w:val="24"/>
          <w:highlight w:val="none"/>
        </w:rPr>
        <w:t>（六）单位负责人为同一人或者存在直接控股、管理关系的不同供应商，不得参加同一合同项下的政府采购活动。相关情形如查实，依法作投标无效处理；涉嫌串通投标等违法行为的，主管部门将依法调查处理。</w:t>
      </w:r>
    </w:p>
    <w:p>
      <w:pPr>
        <w:autoSpaceDE w:val="0"/>
        <w:autoSpaceDN w:val="0"/>
        <w:adjustRightInd w:val="0"/>
        <w:spacing w:line="360" w:lineRule="auto"/>
        <w:ind w:firstLine="480" w:firstLineChars="200"/>
        <w:jc w:val="left"/>
        <w:rPr>
          <w:rFonts w:hint="eastAsia" w:ascii="宋体" w:hAnsi="宋体" w:cs="仿宋_GB2312"/>
          <w:color w:val="auto"/>
          <w:kern w:val="0"/>
          <w:sz w:val="24"/>
          <w:highlight w:val="none"/>
        </w:rPr>
      </w:pPr>
      <w:r>
        <w:rPr>
          <w:rFonts w:hint="eastAsia" w:ascii="宋体" w:hAnsi="宋体" w:cs="仿宋_GB2312"/>
          <w:color w:val="auto"/>
          <w:kern w:val="0"/>
          <w:sz w:val="24"/>
          <w:highlight w:val="none"/>
        </w:rPr>
        <w:t>四、本公司（单位）已充分知悉政府采购违法、违规行为的法律后果。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autoSpaceDE w:val="0"/>
        <w:autoSpaceDN w:val="0"/>
        <w:adjustRightInd w:val="0"/>
        <w:spacing w:line="360" w:lineRule="auto"/>
        <w:jc w:val="left"/>
        <w:rPr>
          <w:rFonts w:hint="eastAsia" w:ascii="宋体" w:hAnsi="宋体" w:cs="仿宋_GB2312"/>
          <w:color w:val="auto"/>
          <w:kern w:val="0"/>
          <w:sz w:val="24"/>
          <w:highlight w:val="none"/>
        </w:rPr>
      </w:pPr>
    </w:p>
    <w:p>
      <w:pPr>
        <w:autoSpaceDE w:val="0"/>
        <w:autoSpaceDN w:val="0"/>
        <w:adjustRightInd w:val="0"/>
        <w:spacing w:line="360" w:lineRule="auto"/>
        <w:ind w:firstLine="480" w:firstLineChars="200"/>
        <w:jc w:val="left"/>
        <w:rPr>
          <w:rFonts w:hint="eastAsia" w:ascii="宋体" w:hAnsi="宋体" w:cs="仿宋_GB2312"/>
          <w:color w:val="auto"/>
          <w:kern w:val="0"/>
          <w:sz w:val="24"/>
          <w:highlight w:val="none"/>
        </w:rPr>
      </w:pPr>
      <w:r>
        <w:rPr>
          <w:rFonts w:hint="eastAsia" w:ascii="宋体" w:hAnsi="宋体" w:cs="仿宋_GB2312"/>
          <w:color w:val="auto"/>
          <w:kern w:val="0"/>
          <w:sz w:val="24"/>
          <w:highlight w:val="none"/>
        </w:rPr>
        <w:t>以下文字请投标供应商</w:t>
      </w:r>
      <w:r>
        <w:rPr>
          <w:rFonts w:hint="eastAsia" w:ascii="宋体" w:hAnsi="宋体" w:cs="仿宋_GB2312"/>
          <w:b/>
          <w:bCs/>
          <w:color w:val="auto"/>
          <w:kern w:val="0"/>
          <w:sz w:val="24"/>
          <w:highlight w:val="none"/>
        </w:rPr>
        <w:t>抄写并确认</w:t>
      </w:r>
      <w:r>
        <w:rPr>
          <w:rFonts w:hint="eastAsia" w:ascii="宋体" w:hAnsi="宋体" w:cs="仿宋_GB2312"/>
          <w:color w:val="auto"/>
          <w:kern w:val="0"/>
          <w:sz w:val="24"/>
          <w:highlight w:val="none"/>
        </w:rPr>
        <w:t>：“本公司（单位）已仔细阅读《政府采购违法行为风险知悉确认书》，充分知悉违法行为的法律后果，并承诺将严谨、诚信、依法依规参与政府采购活动”。</w:t>
      </w:r>
    </w:p>
    <w:p>
      <w:pPr>
        <w:autoSpaceDE w:val="0"/>
        <w:autoSpaceDN w:val="0"/>
        <w:adjustRightInd w:val="0"/>
        <w:spacing w:line="360" w:lineRule="auto"/>
        <w:jc w:val="left"/>
        <w:rPr>
          <w:rFonts w:hint="eastAsia" w:ascii="宋体" w:hAnsi="宋体" w:cs="仿宋_GB2312"/>
          <w:color w:val="auto"/>
          <w:kern w:val="0"/>
          <w:sz w:val="24"/>
          <w:highlight w:val="none"/>
          <w:u w:val="single"/>
        </w:rPr>
      </w:pPr>
      <w:r>
        <w:rPr>
          <w:rFonts w:hint="eastAsia" w:ascii="宋体" w:hAnsi="宋体" w:cs="仿宋_GB2312"/>
          <w:color w:val="auto"/>
          <w:kern w:val="0"/>
          <w:sz w:val="24"/>
          <w:highlight w:val="none"/>
          <w:u w:val="single"/>
        </w:rPr>
        <w:t xml:space="preserve">                                                                                        </w:t>
      </w:r>
    </w:p>
    <w:p>
      <w:pPr>
        <w:autoSpaceDE w:val="0"/>
        <w:autoSpaceDN w:val="0"/>
        <w:adjustRightInd w:val="0"/>
        <w:spacing w:line="360" w:lineRule="auto"/>
        <w:jc w:val="left"/>
        <w:rPr>
          <w:rFonts w:hint="eastAsia" w:ascii="宋体" w:hAnsi="宋体" w:cs="仿宋_GB2312"/>
          <w:color w:val="auto"/>
          <w:kern w:val="0"/>
          <w:sz w:val="24"/>
          <w:highlight w:val="none"/>
          <w:u w:val="single"/>
        </w:rPr>
      </w:pPr>
      <w:r>
        <w:rPr>
          <w:rFonts w:hint="eastAsia" w:ascii="宋体" w:hAnsi="宋体" w:cs="仿宋_GB2312"/>
          <w:color w:val="auto"/>
          <w:kern w:val="0"/>
          <w:sz w:val="24"/>
          <w:highlight w:val="none"/>
          <w:u w:val="single"/>
        </w:rPr>
        <w:t xml:space="preserve">                                                                                       </w:t>
      </w:r>
    </w:p>
    <w:p>
      <w:pPr>
        <w:autoSpaceDE w:val="0"/>
        <w:autoSpaceDN w:val="0"/>
        <w:adjustRightInd w:val="0"/>
        <w:spacing w:line="360" w:lineRule="auto"/>
        <w:jc w:val="left"/>
        <w:rPr>
          <w:rFonts w:hint="eastAsia" w:ascii="宋体" w:hAnsi="宋体" w:cs="仿宋_GB2312"/>
          <w:color w:val="auto"/>
          <w:kern w:val="0"/>
          <w:sz w:val="24"/>
          <w:highlight w:val="none"/>
          <w:u w:val="single"/>
        </w:rPr>
      </w:pPr>
      <w:r>
        <w:rPr>
          <w:rFonts w:hint="eastAsia" w:ascii="宋体" w:hAnsi="宋体" w:cs="仿宋_GB2312"/>
          <w:color w:val="auto"/>
          <w:kern w:val="0"/>
          <w:sz w:val="24"/>
          <w:highlight w:val="none"/>
          <w:u w:val="single"/>
        </w:rPr>
        <w:t xml:space="preserve">                                                                                       </w:t>
      </w:r>
    </w:p>
    <w:p>
      <w:pPr>
        <w:autoSpaceDE w:val="0"/>
        <w:autoSpaceDN w:val="0"/>
        <w:adjustRightInd w:val="0"/>
        <w:spacing w:line="360" w:lineRule="auto"/>
        <w:jc w:val="left"/>
        <w:rPr>
          <w:rFonts w:hint="eastAsia" w:ascii="宋体" w:hAnsi="宋体" w:cs="仿宋_GB2312"/>
          <w:color w:val="auto"/>
          <w:kern w:val="0"/>
          <w:sz w:val="24"/>
          <w:highlight w:val="none"/>
          <w:u w:val="single"/>
        </w:rPr>
      </w:pPr>
      <w:r>
        <w:rPr>
          <w:rFonts w:hint="eastAsia" w:ascii="宋体" w:hAnsi="宋体" w:cs="仿宋_GB2312"/>
          <w:color w:val="auto"/>
          <w:kern w:val="0"/>
          <w:sz w:val="24"/>
          <w:highlight w:val="none"/>
          <w:u w:val="single"/>
        </w:rPr>
        <w:t xml:space="preserve">                                                                                       </w:t>
      </w:r>
    </w:p>
    <w:p>
      <w:pPr>
        <w:autoSpaceDE w:val="0"/>
        <w:autoSpaceDN w:val="0"/>
        <w:adjustRightInd w:val="0"/>
        <w:spacing w:line="360" w:lineRule="auto"/>
        <w:ind w:firstLine="480" w:firstLineChars="200"/>
        <w:jc w:val="left"/>
        <w:rPr>
          <w:rFonts w:hint="eastAsia" w:ascii="宋体" w:hAnsi="宋体" w:cs="仿宋_GB2312"/>
          <w:color w:val="auto"/>
          <w:kern w:val="0"/>
          <w:sz w:val="24"/>
          <w:highlight w:val="none"/>
        </w:rPr>
      </w:pPr>
    </w:p>
    <w:p>
      <w:pPr>
        <w:autoSpaceDE w:val="0"/>
        <w:autoSpaceDN w:val="0"/>
        <w:adjustRightInd w:val="0"/>
        <w:spacing w:line="360" w:lineRule="auto"/>
        <w:ind w:firstLine="480" w:firstLineChars="200"/>
        <w:jc w:val="left"/>
        <w:rPr>
          <w:rFonts w:hint="eastAsia" w:ascii="宋体" w:hAnsi="宋体" w:cs="仿宋_GB2312"/>
          <w:color w:val="auto"/>
          <w:kern w:val="0"/>
          <w:sz w:val="24"/>
          <w:highlight w:val="none"/>
        </w:rPr>
      </w:pPr>
    </w:p>
    <w:p>
      <w:pPr>
        <w:autoSpaceDE w:val="0"/>
        <w:autoSpaceDN w:val="0"/>
        <w:adjustRightInd w:val="0"/>
        <w:spacing w:line="360" w:lineRule="auto"/>
        <w:ind w:firstLine="480" w:firstLineChars="200"/>
        <w:jc w:val="left"/>
        <w:rPr>
          <w:rFonts w:hint="eastAsia" w:ascii="宋体" w:hAnsi="宋体" w:cs="仿宋_GB2312"/>
          <w:color w:val="auto"/>
          <w:kern w:val="0"/>
          <w:sz w:val="24"/>
          <w:highlight w:val="none"/>
        </w:rPr>
      </w:pPr>
    </w:p>
    <w:p>
      <w:pPr>
        <w:autoSpaceDE w:val="0"/>
        <w:autoSpaceDN w:val="0"/>
        <w:adjustRightInd w:val="0"/>
        <w:spacing w:line="360" w:lineRule="auto"/>
        <w:ind w:firstLine="3840" w:firstLineChars="1600"/>
        <w:jc w:val="left"/>
        <w:rPr>
          <w:rFonts w:hint="eastAsia" w:ascii="宋体" w:hAnsi="宋体" w:cs="仿宋_GB2312"/>
          <w:color w:val="auto"/>
          <w:kern w:val="0"/>
          <w:sz w:val="24"/>
          <w:highlight w:val="none"/>
          <w:u w:val="single"/>
        </w:rPr>
      </w:pPr>
      <w:r>
        <w:rPr>
          <w:rFonts w:hint="eastAsia" w:ascii="宋体" w:hAnsi="宋体" w:cs="仿宋_GB2312"/>
          <w:color w:val="auto"/>
          <w:kern w:val="0"/>
          <w:sz w:val="24"/>
          <w:highlight w:val="none"/>
        </w:rPr>
        <w:t>负责人</w:t>
      </w:r>
      <w:r>
        <w:rPr>
          <w:rFonts w:ascii="宋体" w:hAnsi="宋体" w:cs="仿宋_GB2312"/>
          <w:color w:val="auto"/>
          <w:kern w:val="0"/>
          <w:sz w:val="24"/>
          <w:highlight w:val="none"/>
        </w:rPr>
        <w:t>/</w:t>
      </w:r>
      <w:r>
        <w:rPr>
          <w:rFonts w:hint="eastAsia" w:ascii="宋体" w:hAnsi="宋体" w:cs="仿宋_GB2312"/>
          <w:color w:val="auto"/>
          <w:kern w:val="0"/>
          <w:sz w:val="24"/>
          <w:highlight w:val="none"/>
        </w:rPr>
        <w:t>投标授权代表签名：</w:t>
      </w:r>
      <w:r>
        <w:rPr>
          <w:rFonts w:hint="eastAsia" w:ascii="宋体" w:hAnsi="宋体" w:cs="仿宋_GB2312"/>
          <w:color w:val="auto"/>
          <w:kern w:val="0"/>
          <w:sz w:val="24"/>
          <w:highlight w:val="none"/>
          <w:u w:val="single"/>
        </w:rPr>
        <w:t xml:space="preserve">                </w:t>
      </w:r>
    </w:p>
    <w:p>
      <w:pPr>
        <w:autoSpaceDE w:val="0"/>
        <w:autoSpaceDN w:val="0"/>
        <w:adjustRightInd w:val="0"/>
        <w:spacing w:line="360" w:lineRule="auto"/>
        <w:ind w:firstLine="4920" w:firstLineChars="2050"/>
        <w:jc w:val="left"/>
        <w:rPr>
          <w:rFonts w:hint="eastAsia" w:ascii="宋体" w:hAnsi="宋体" w:cs="仿宋_GB2312"/>
          <w:color w:val="auto"/>
          <w:kern w:val="0"/>
          <w:sz w:val="24"/>
          <w:highlight w:val="none"/>
        </w:rPr>
      </w:pPr>
      <w:r>
        <w:rPr>
          <w:rFonts w:hint="eastAsia" w:ascii="宋体" w:hAnsi="宋体" w:cs="仿宋_GB2312"/>
          <w:color w:val="auto"/>
          <w:kern w:val="0"/>
          <w:sz w:val="24"/>
          <w:highlight w:val="none"/>
        </w:rPr>
        <w:t>知悉人（公章）：</w:t>
      </w:r>
    </w:p>
    <w:p>
      <w:pPr>
        <w:spacing w:line="360" w:lineRule="auto"/>
        <w:jc w:val="right"/>
        <w:rPr>
          <w:rFonts w:hint="eastAsia" w:ascii="宋体" w:hAnsi="宋体" w:cs="仿宋_GB2312"/>
          <w:color w:val="auto"/>
          <w:kern w:val="0"/>
          <w:sz w:val="24"/>
          <w:highlight w:val="none"/>
        </w:rPr>
      </w:pPr>
      <w:r>
        <w:rPr>
          <w:rFonts w:hint="eastAsia" w:ascii="宋体" w:hAnsi="宋体" w:cs="仿宋_GB2312"/>
          <w:color w:val="auto"/>
          <w:kern w:val="0"/>
          <w:sz w:val="24"/>
          <w:highlight w:val="none"/>
        </w:rPr>
        <w:t>日期： 202  年   月   日</w:t>
      </w:r>
    </w:p>
    <w:p>
      <w:pPr>
        <w:numPr>
          <w:ilvl w:val="0"/>
          <w:numId w:val="15"/>
        </w:numPr>
        <w:tabs>
          <w:tab w:val="left" w:pos="640"/>
          <w:tab w:val="left" w:pos="840"/>
          <w:tab w:val="left" w:pos="1260"/>
          <w:tab w:val="left" w:pos="1418"/>
        </w:tabs>
        <w:spacing w:line="360" w:lineRule="auto"/>
        <w:ind w:left="845" w:hanging="845"/>
        <w:rPr>
          <w:rFonts w:hint="eastAsia"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参与价格扣除的证明文件</w:t>
      </w:r>
    </w:p>
    <w:p>
      <w:pPr>
        <w:keepNext/>
        <w:keepLines/>
        <w:jc w:val="center"/>
        <w:rPr>
          <w:rFonts w:hint="eastAsia" w:ascii="宋体" w:hAnsi="宋体" w:cs="宋体"/>
          <w:bCs/>
          <w:color w:val="auto"/>
          <w:kern w:val="44"/>
          <w:sz w:val="24"/>
          <w:highlight w:val="none"/>
        </w:rPr>
      </w:pPr>
      <w:r>
        <w:rPr>
          <w:rFonts w:hint="eastAsia" w:ascii="宋体" w:hAnsi="宋体" w:cs="宋体"/>
          <w:b/>
          <w:bCs/>
          <w:color w:val="auto"/>
          <w:sz w:val="24"/>
          <w:highlight w:val="none"/>
        </w:rPr>
        <w:t>①中小企业声明函（工程、服务）</w:t>
      </w:r>
    </w:p>
    <w:p>
      <w:pPr>
        <w:widowControl/>
        <w:ind w:firstLine="480" w:firstLineChars="200"/>
        <w:textAlignment w:val="baseline"/>
        <w:rPr>
          <w:rFonts w:hint="eastAsia" w:ascii="宋体" w:hAnsi="宋体" w:cs="宋体"/>
          <w:color w:val="auto"/>
          <w:sz w:val="24"/>
          <w:highlight w:val="none"/>
        </w:rPr>
      </w:pPr>
    </w:p>
    <w:p>
      <w:pPr>
        <w:widowControl/>
        <w:ind w:firstLine="480" w:firstLineChars="200"/>
        <w:textAlignment w:val="baseline"/>
        <w:rPr>
          <w:rFonts w:hint="eastAsia"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 号）的规定，本公司</w:t>
      </w:r>
    </w:p>
    <w:p>
      <w:pPr>
        <w:widowControl/>
        <w:ind w:firstLine="480" w:firstLineChars="200"/>
        <w:textAlignment w:val="baseline"/>
        <w:rPr>
          <w:rFonts w:hint="eastAsia" w:ascii="宋体" w:hAnsi="宋体" w:cs="宋体"/>
          <w:color w:val="auto"/>
          <w:sz w:val="24"/>
          <w:highlight w:val="none"/>
        </w:rPr>
      </w:pPr>
      <w:r>
        <w:rPr>
          <w:rFonts w:hint="eastAsia" w:ascii="宋体" w:hAnsi="宋体" w:cs="宋体"/>
          <w:color w:val="auto"/>
          <w:sz w:val="24"/>
          <w:highlight w:val="none"/>
        </w:rPr>
        <w:t>（联合体）参加</w:t>
      </w:r>
      <w:r>
        <w:rPr>
          <w:rFonts w:hint="eastAsia" w:ascii="宋体" w:hAnsi="宋体" w:cs="宋体"/>
          <w:color w:val="auto"/>
          <w:sz w:val="24"/>
          <w:highlight w:val="none"/>
          <w:u w:val="single"/>
        </w:rPr>
        <w:t>（单位名称）</w:t>
      </w:r>
      <w:r>
        <w:rPr>
          <w:rFonts w:hint="eastAsia" w:ascii="宋体" w:hAnsi="宋体" w:cs="宋体"/>
          <w:color w:val="auto"/>
          <w:sz w:val="24"/>
          <w:highlight w:val="none"/>
        </w:rPr>
        <w:t>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 体中的中小企业、签订分包意向协议的中小企业）的具体情况如下：</w:t>
      </w:r>
    </w:p>
    <w:p>
      <w:pPr>
        <w:widowControl/>
        <w:ind w:firstLine="480" w:firstLineChars="200"/>
        <w:textAlignment w:val="baseline"/>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；承建（承接）企业为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ab/>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ab/>
      </w:r>
      <w:r>
        <w:rPr>
          <w:rFonts w:hint="eastAsia" w:ascii="宋体" w:hAnsi="宋体" w:cs="宋体"/>
          <w:color w:val="auto"/>
          <w:sz w:val="24"/>
          <w:highlight w:val="none"/>
        </w:rPr>
        <w:t>万元，属于</w:t>
      </w:r>
      <w:r>
        <w:rPr>
          <w:rFonts w:hint="eastAsia" w:ascii="宋体" w:hAnsi="宋体" w:cs="宋体"/>
          <w:color w:val="auto"/>
          <w:sz w:val="24"/>
          <w:highlight w:val="none"/>
          <w:u w:val="single"/>
        </w:rPr>
        <w:t>（中型企业、小型企业、微型企业）</w:t>
      </w:r>
    </w:p>
    <w:p>
      <w:pPr>
        <w:widowControl/>
        <w:ind w:firstLine="480" w:firstLineChars="200"/>
        <w:textAlignment w:val="baseline"/>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；承建（承接）企业为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ab/>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（中型企业、小型企业、微型企业）</w:t>
      </w:r>
    </w:p>
    <w:p>
      <w:pPr>
        <w:widowControl/>
        <w:ind w:firstLine="480" w:firstLineChars="200"/>
        <w:textAlignment w:val="baseline"/>
        <w:rPr>
          <w:rFonts w:hint="eastAsia" w:ascii="宋体" w:hAnsi="宋体" w:cs="宋体"/>
          <w:color w:val="auto"/>
          <w:sz w:val="24"/>
          <w:highlight w:val="none"/>
        </w:rPr>
      </w:pPr>
      <w:r>
        <w:rPr>
          <w:rFonts w:hint="eastAsia" w:ascii="宋体" w:hAnsi="宋体" w:cs="宋体"/>
          <w:color w:val="auto"/>
          <w:sz w:val="24"/>
          <w:highlight w:val="none"/>
        </w:rPr>
        <w:t>……</w:t>
      </w:r>
    </w:p>
    <w:p>
      <w:pPr>
        <w:widowControl/>
        <w:ind w:firstLine="480" w:firstLineChars="200"/>
        <w:textAlignment w:val="baseline"/>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widowControl/>
        <w:ind w:firstLine="480" w:firstLineChars="200"/>
        <w:textAlignment w:val="baseline"/>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widowControl/>
        <w:ind w:firstLine="482" w:firstLineChars="200"/>
        <w:jc w:val="right"/>
        <w:textAlignment w:val="baseline"/>
        <w:rPr>
          <w:rFonts w:hint="eastAsia" w:ascii="宋体" w:hAnsi="宋体" w:cs="宋体"/>
          <w:b/>
          <w:bCs/>
          <w:color w:val="auto"/>
          <w:sz w:val="24"/>
          <w:highlight w:val="none"/>
        </w:rPr>
      </w:pPr>
      <w:r>
        <w:rPr>
          <w:rFonts w:hint="eastAsia" w:ascii="宋体" w:hAnsi="宋体" w:cs="宋体"/>
          <w:b/>
          <w:bCs/>
          <w:color w:val="auto"/>
          <w:sz w:val="24"/>
          <w:highlight w:val="none"/>
        </w:rPr>
        <w:t>企业名称（盖章）</w:t>
      </w:r>
    </w:p>
    <w:p>
      <w:pPr>
        <w:widowControl/>
        <w:ind w:firstLine="482" w:firstLineChars="200"/>
        <w:jc w:val="right"/>
        <w:textAlignment w:val="baseline"/>
        <w:rPr>
          <w:rFonts w:hint="eastAsia" w:ascii="宋体" w:hAnsi="宋体" w:cs="宋体"/>
          <w:b/>
          <w:bCs/>
          <w:color w:val="auto"/>
          <w:sz w:val="24"/>
          <w:highlight w:val="none"/>
        </w:rPr>
      </w:pPr>
      <w:r>
        <w:rPr>
          <w:rFonts w:hint="eastAsia" w:ascii="宋体" w:hAnsi="宋体" w:cs="宋体"/>
          <w:b/>
          <w:bCs/>
          <w:color w:val="auto"/>
          <w:sz w:val="24"/>
          <w:highlight w:val="none"/>
        </w:rPr>
        <w:t>日期：</w:t>
      </w:r>
    </w:p>
    <w:p>
      <w:pPr>
        <w:widowControl/>
        <w:ind w:firstLine="480" w:firstLineChars="200"/>
        <w:textAlignment w:val="baseline"/>
        <w:rPr>
          <w:rFonts w:hint="eastAsia" w:ascii="宋体" w:hAnsi="宋体" w:cs="宋体"/>
          <w:color w:val="auto"/>
          <w:sz w:val="24"/>
          <w:highlight w:val="none"/>
        </w:rPr>
      </w:pPr>
    </w:p>
    <w:p>
      <w:pPr>
        <w:widowControl/>
        <w:ind w:firstLine="480" w:firstLineChars="200"/>
        <w:textAlignment w:val="baseline"/>
        <w:rPr>
          <w:rFonts w:hint="eastAsia" w:ascii="宋体" w:hAnsi="宋体" w:cs="宋体"/>
          <w:color w:val="auto"/>
          <w:sz w:val="24"/>
          <w:highlight w:val="none"/>
        </w:rPr>
      </w:pPr>
    </w:p>
    <w:p>
      <w:pPr>
        <w:jc w:val="left"/>
        <w:rPr>
          <w:rFonts w:hint="eastAsia" w:ascii="宋体" w:hAnsi="宋体" w:cs="宋体"/>
          <w:b/>
          <w:bCs/>
          <w:color w:val="auto"/>
          <w:sz w:val="24"/>
          <w:highlight w:val="none"/>
        </w:rPr>
      </w:pPr>
      <w:r>
        <w:rPr>
          <w:rFonts w:hint="eastAsia" w:ascii="宋体" w:hAnsi="宋体" w:cs="宋体"/>
          <w:b/>
          <w:bCs/>
          <w:color w:val="auto"/>
          <w:sz w:val="24"/>
          <w:highlight w:val="none"/>
        </w:rPr>
        <w:t>注意事项：</w:t>
      </w:r>
    </w:p>
    <w:p>
      <w:pPr>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1.从业人员、营业收入、资产总额填报上一年度数据，无上一年度数据的新成立企业可不填报；</w:t>
      </w:r>
    </w:p>
    <w:p>
      <w:pPr>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2.《中小企业声明函》中承接/承建企业所属行业应当与招标文件要求的行业相一致，供应商如有疑问，可根据《国民经济行业分类》（GB/T4754-2002），结合《关于印发中小企业划型标准规定的通知》（工信部联企业〔2011〕300 号）进行判断。</w:t>
      </w:r>
    </w:p>
    <w:p>
      <w:pPr>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3.事业单位、社会组织等非企业主体不享受中小企业扶持政策，但事业单位、社会组织等非企业主体提供全部由中小企业制造的货物参加货物采购项目的除外。</w:t>
      </w:r>
    </w:p>
    <w:p>
      <w:pPr>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4.相关承接/承建企业的所属行业应当与采购标的所属行业（采购文件中明确的行业）相一致。</w:t>
      </w:r>
    </w:p>
    <w:p>
      <w:pPr>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5.投标人已知悉《政府采购促进中小企业发展管理办法》（财库〔2020〕46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ind w:firstLine="482" w:firstLineChars="200"/>
        <w:jc w:val="center"/>
        <w:rPr>
          <w:rFonts w:hint="eastAsia"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附：中小企业划型标准规定</w:t>
      </w:r>
    </w:p>
    <w:p>
      <w:pPr>
        <w:rPr>
          <w:rFonts w:hint="eastAsia" w:ascii="宋体" w:hAnsi="宋体" w:cs="宋体"/>
          <w:color w:val="auto"/>
          <w:sz w:val="24"/>
          <w:highlight w:val="none"/>
        </w:rPr>
      </w:pP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一、根据《中华人民共和国中小企业促进法》和《国务院关于进一步促进中小企业发展的若干意见》(国发〔2009〕36号)，制定本规定。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二、中小企业划分为中型、小型、微型三种类型，具体标准根据企业从业人员、营业收入、资产总额等指标，结合行业特点制定。 关于印发中小企业划型标准规定的通知</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三、本规定适用的行业包括：农、林、牧、渔业，工业（包括采矿业，制造业，电力、热力、燃气及水生产和供应业），建筑业，批发业，零售业，交通运输 业（不含铁路运输业），仓储业，邮政业，住宿业，餐饮业，信息传输业（包括电 信、互联网和相关服务），软件和信息技术服务业，房地产开发经营，物业管理， 租赁和商务服务业，其他未列明行业（包括科学研究和技术服务业，水利、环境和 公共设施管理业，居民服务、修理和其他服务业，社会工作，文化、体育和娱乐业 等）。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四、各行业划型标准为：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（一）农、林、牧、渔业。营业收入20000万元以下的为中小微型企业。其中，营业收入500万元及以上的为中型企业，营业收入50万元及以上的为小型企业，营业 收入50万元以下的为微型企业。</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（二）工业。从业人员1000人以下或营业收入40000万元以下的为中小微型企业。其中，从业人员300人及以上，且营业收入2000万元及以上的为中型企业；从业 人员20人及以上，且营业收入300万元及以上的为小型企业；从业人员20人以下或营 业收入300万元以下的为微型企业。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（三）建筑业。营业收入80000万元以下或资产总额80000万元以下的为中小微 型企业。其中，营业收入6000万元及以上，且资产总额5000万元及以上的为中型企 业；营业收入300万元及以上，且资产总额300万元及以上的为小型企业；营业收入 300万元以下或资产总额300万元以下的为微型企业。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（四）批发业。从业人员200人以下或营业收入40000万元以下的为中小微型企业。其中，从业人员20人及以上，且营业收入5000万元及以上的为中型企业；从业 人员5人及以上，且营业收入1000万元及以上的为小型企业；从业人员5人以下或营 业收入1000万元以下的为微型企业。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（五）零售业。从业人员300人以下或营业收入20000万元以下的为中小微型企业。其中，从业人员50人及以上，且营业收入500万元及以上的为中型企业；从业人 员10人及以上，且营业收入100万元及以上的为小型企业；从业人员10人以下或营业 收入100万元以下的为微型企业。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（六）交通运输业。从业人员1000人以下或营业收入30000万元以下的为中小微 型企业。其中，从业人员300人及以上，且营业收入3000万元及以上的为中型企业； 从业人员20人及以上，且营业收入200万元及以上的为小型企业；从业人员20人以下 或营业收入200万元以下的为微型企业。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（七）仓储业。从业人员200人以下或营业收入30000万元以下的为中小微型企业。其中，从业人员100人及以上，且营业收入1000万元及以上的为中型企业；从业 人员20人及以上，且营业收入100万元及以上的为小型企业；从业人员20人以下或营 业收入100万元以下的为微型企业。</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（八）邮政业。从业人员1000人以下或营业收入30000万元以下的为中小微型企业。其中，从业人员300人及以上，且营业收入2000万元及以上的为中型企业；从业 人员20人及以上，且营业收入100万元及以上的为小型企业；从业人员20人以下或营 业收入100万元以下的为微型企业。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（九）住宿业。从业人员300人以下或营业收入10000万元以下的为中小微型企 业。其中，从业人员100人及以上，且营业收入2000万元及以上的为中型企业；从业 人员10人及以上，且营业收入100万元及以上的为小型企业；从业人员10人以下或营 业收入100万元以下的为微型企业。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（十）餐饮业。从业人员300人以下或营业收入10000万元以下的为中小微型企 业。其中，从业人员100人及以上，且营业收入2000万元及以上的为中型企业；从业 人员10人及以上，且营业收入100万元及以上的为小型企业；从业人员10人以下或营 业收入100万元以下的为微型企业。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（十一）信息传输业。从业人员2000人以下或营业收入100000万元以下的为中 小微型企业。其中，从业人员100人及以上，且营业收入1000万元及以上的为中型企 业；从业人员10人及以上，且营业收入100万元及以上的为小型企业；从业人员10人 以下或营业收入100万元以下的为微型企业。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（十二）软件和信息技术服务业。从业人员300人以下或营业收入10000万元以下的为中小微型企业。其中，从业人员100人及以上，且营业收入1000万元及以上的 为中型企业；从业人员10人及以上，且营业收入50万元及以上的为小型企业；从业 人员10人以下或营业收入50万元以下的为微型企业。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（十三）房地产开发经营。营业收入200000万元以下或资产总额10000万元以下的为中小微型企业。其中，营业收入1000万元及以上，且资产总额5000万元及以上 的为中型企业；营业收入100万元及以上，且资产总额2000万元及以上的为小型企 业；营业收入100万元以下或资产总额2000万元以下的为微型企业。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（十四）物业管理。从业人员1000人以下或营业收入5000万元以下的为中小微型企业。其中，从业人员300人及以上，且营业收入1000万元及以上的为中型企业； 从业人员100人及以上，且营业收入500万元及以上的为小型企业；从业人员100人以 下或营业收入500万元以下的为微型企业。</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（十五）租赁和商务服务业。从业人员300人以下或资产总额120000万元以下的 为中小微型企业。其中，从业人员100人及以上，且资产总额8000万元及以上的为中 型企业；从业人员10人及以上，且资产总额100万元及以上的为小型企业；从业人员 10人以下或资产总额100万元以下的为微型企业。 （十六）其他未列明行业。从业人员300人以下的为中小微型企业。其中，从业 人员100人及以上的为中型企业；从业人员10人及以上的为小型企业；从业人员10人 以下的为微型企业。</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五、企业类型的划分以统计部门的统计数据为依据。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六、本规定适用于在中华人民共和国境内依法设立的各类所有制和各种组织形式的企业。个体工商户和本规定以外的行业，参照本规定进行划型。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七、本规定的中型企业标准上限即为大型企业标准的下限，国家统计部门据此制定大中小微型企业的统计分类。国务院有关部门据此进行相关数据分析，不得制 定与本规定不一致的企业划型标准。</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八、本规定由工业和信息化部、国家统计局会同有关部门根据《国民经济行业分类》修订情况和企业发展变化情况适时修订。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九、本规定由工业和信息化部、国家统计局会同有关部门负责解释。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十、本规定自发布之日起执行，原国家经贸委、原国家计委、财政部和国家统计局2003年颁布的《中小企业标准暂行规定》同时废止。</w:t>
      </w:r>
    </w:p>
    <w:p>
      <w:pPr>
        <w:adjustRightInd w:val="0"/>
        <w:snapToGrid w:val="0"/>
        <w:spacing w:line="360" w:lineRule="auto"/>
        <w:jc w:val="center"/>
        <w:rPr>
          <w:rFonts w:hint="eastAsia" w:ascii="宋体" w:hAnsi="宋体" w:cs="宋体"/>
          <w:b/>
          <w:color w:val="auto"/>
          <w:sz w:val="24"/>
          <w:highlight w:val="none"/>
        </w:rPr>
      </w:pPr>
      <w:r>
        <w:rPr>
          <w:rFonts w:hint="eastAsia" w:ascii="宋体" w:hAnsi="宋体" w:cs="宋体"/>
          <w:color w:val="auto"/>
          <w:sz w:val="24"/>
          <w:highlight w:val="none"/>
        </w:rPr>
        <w:br w:type="page"/>
      </w:r>
      <w:r>
        <w:rPr>
          <w:rFonts w:hint="eastAsia" w:ascii="宋体" w:hAnsi="宋体" w:cs="宋体"/>
          <w:b/>
          <w:color w:val="auto"/>
          <w:sz w:val="24"/>
          <w:highlight w:val="none"/>
        </w:rPr>
        <w:t>②残疾人福利性单位声明函（样表）</w:t>
      </w:r>
    </w:p>
    <w:p>
      <w:pPr>
        <w:spacing w:line="620" w:lineRule="exact"/>
        <w:ind w:firstLine="480" w:firstLineChars="200"/>
        <w:rPr>
          <w:rFonts w:hint="eastAsia" w:ascii="宋体" w:hAnsi="宋体" w:cs="宋体"/>
          <w:color w:val="auto"/>
          <w:spacing w:val="6"/>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w:t>
      </w:r>
      <w:r>
        <w:rPr>
          <w:rFonts w:hint="eastAsia" w:ascii="宋体" w:hAnsi="宋体" w:cs="宋体"/>
          <w:color w:val="auto"/>
          <w:spacing w:val="6"/>
          <w:sz w:val="24"/>
          <w:highlight w:val="none"/>
        </w:rPr>
        <w:t>单位参加</w:t>
      </w:r>
      <w:r>
        <w:rPr>
          <w:rFonts w:hint="eastAsia" w:ascii="宋体" w:hAnsi="宋体" w:cs="宋体"/>
          <w:color w:val="auto"/>
          <w:spacing w:val="6"/>
          <w:sz w:val="24"/>
          <w:highlight w:val="none"/>
          <w:u w:val="single"/>
        </w:rPr>
        <w:t xml:space="preserve"> （采购单位名称） </w:t>
      </w:r>
      <w:r>
        <w:rPr>
          <w:rFonts w:hint="eastAsia" w:ascii="宋体" w:hAnsi="宋体" w:cs="宋体"/>
          <w:color w:val="auto"/>
          <w:spacing w:val="6"/>
          <w:sz w:val="24"/>
          <w:highlight w:val="none"/>
        </w:rPr>
        <w:t>单位的</w:t>
      </w:r>
      <w:r>
        <w:rPr>
          <w:rFonts w:hint="eastAsia" w:ascii="宋体" w:hAnsi="宋体" w:cs="宋体"/>
          <w:color w:val="auto"/>
          <w:spacing w:val="6"/>
          <w:sz w:val="24"/>
          <w:highlight w:val="none"/>
          <w:u w:val="single"/>
        </w:rPr>
        <w:t xml:space="preserve"> （采购项目名称） </w:t>
      </w:r>
      <w:r>
        <w:rPr>
          <w:rFonts w:hint="eastAsia" w:ascii="宋体" w:hAnsi="宋体" w:cs="宋体"/>
          <w:color w:val="auto"/>
          <w:spacing w:val="6"/>
          <w:sz w:val="24"/>
          <w:highlight w:val="none"/>
        </w:rPr>
        <w:t>项目</w:t>
      </w:r>
      <w:r>
        <w:rPr>
          <w:rFonts w:hint="eastAsia" w:ascii="宋体" w:hAnsi="宋体" w:cs="宋体"/>
          <w:color w:val="auto"/>
          <w:kern w:val="0"/>
          <w:sz w:val="24"/>
          <w:highlight w:val="none"/>
        </w:rPr>
        <w:t>采购活动，并提供：□本单位制造的货物；□由本单位承担的工程、提供服务；□提供其他残疾人福利性单位制造的货物（承诺人在□处打√）。本条所称货物是指单一产品采购项目中的货物，或者非单一产品采购项目中的核心产品（货物），不包括使用非残疾人福利性单位注册商标的货物。</w:t>
      </w:r>
    </w:p>
    <w:p>
      <w:pPr>
        <w:spacing w:line="620" w:lineRule="exact"/>
        <w:ind w:firstLine="504"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本单位对上述声明的真实性负责。如有虚假，将依法承担相应责任。</w:t>
      </w:r>
    </w:p>
    <w:p>
      <w:pPr>
        <w:spacing w:line="620" w:lineRule="exact"/>
        <w:ind w:firstLine="504" w:firstLineChars="200"/>
        <w:rPr>
          <w:rFonts w:hint="eastAsia" w:ascii="宋体" w:hAnsi="宋体" w:cs="宋体"/>
          <w:color w:val="auto"/>
          <w:spacing w:val="6"/>
          <w:sz w:val="24"/>
          <w:highlight w:val="none"/>
        </w:rPr>
      </w:pPr>
    </w:p>
    <w:p>
      <w:pPr>
        <w:spacing w:line="620" w:lineRule="exact"/>
        <w:ind w:firstLine="504" w:firstLineChars="200"/>
        <w:rPr>
          <w:rFonts w:hint="eastAsia" w:ascii="宋体" w:hAnsi="宋体" w:cs="宋体"/>
          <w:color w:val="auto"/>
          <w:spacing w:val="6"/>
          <w:sz w:val="24"/>
          <w:highlight w:val="none"/>
        </w:rPr>
      </w:pPr>
    </w:p>
    <w:p>
      <w:pPr>
        <w:tabs>
          <w:tab w:val="left" w:pos="4860"/>
        </w:tabs>
        <w:spacing w:line="620" w:lineRule="exact"/>
        <w:ind w:right="1560" w:firstLine="504" w:firstLineChars="200"/>
        <w:jc w:val="center"/>
        <w:rPr>
          <w:rFonts w:hint="eastAsia" w:ascii="宋体" w:hAnsi="宋体" w:cs="宋体"/>
          <w:color w:val="auto"/>
          <w:spacing w:val="6"/>
          <w:sz w:val="24"/>
          <w:highlight w:val="none"/>
        </w:rPr>
      </w:pPr>
      <w:r>
        <w:rPr>
          <w:rFonts w:hint="eastAsia" w:ascii="宋体" w:hAnsi="宋体" w:cs="宋体"/>
          <w:color w:val="auto"/>
          <w:spacing w:val="6"/>
          <w:sz w:val="24"/>
          <w:highlight w:val="none"/>
        </w:rPr>
        <w:t xml:space="preserve">               单位名称（盖章）：</w:t>
      </w:r>
    </w:p>
    <w:p>
      <w:pPr>
        <w:tabs>
          <w:tab w:val="left" w:pos="4860"/>
        </w:tabs>
        <w:spacing w:line="620" w:lineRule="exact"/>
        <w:ind w:right="1560" w:firstLine="504" w:firstLineChars="200"/>
        <w:jc w:val="center"/>
        <w:rPr>
          <w:rStyle w:val="42"/>
          <w:rFonts w:hint="eastAsia" w:ascii="宋体" w:hAnsi="宋体" w:cs="宋体"/>
          <w:color w:val="auto"/>
          <w:sz w:val="24"/>
          <w:highlight w:val="none"/>
        </w:rPr>
      </w:pPr>
      <w:r>
        <w:rPr>
          <w:rFonts w:hint="eastAsia" w:ascii="宋体" w:hAnsi="宋体" w:cs="宋体"/>
          <w:color w:val="auto"/>
          <w:spacing w:val="6"/>
          <w:sz w:val="24"/>
          <w:highlight w:val="none"/>
        </w:rPr>
        <w:t xml:space="preserve">                        日  期：</w:t>
      </w:r>
    </w:p>
    <w:p>
      <w:pPr>
        <w:snapToGrid w:val="0"/>
        <w:spacing w:line="360" w:lineRule="auto"/>
        <w:ind w:firstLine="480" w:firstLineChars="200"/>
        <w:jc w:val="left"/>
        <w:textAlignment w:val="baseline"/>
        <w:rPr>
          <w:rStyle w:val="42"/>
          <w:rFonts w:hint="eastAsia" w:ascii="宋体" w:hAnsi="宋体" w:cs="宋体"/>
          <w:color w:val="auto"/>
          <w:sz w:val="24"/>
          <w:highlight w:val="none"/>
        </w:rPr>
      </w:pPr>
    </w:p>
    <w:p>
      <w:pPr>
        <w:snapToGrid w:val="0"/>
        <w:spacing w:line="360" w:lineRule="auto"/>
        <w:ind w:firstLine="482" w:firstLineChars="200"/>
        <w:jc w:val="left"/>
        <w:textAlignment w:val="baseline"/>
        <w:rPr>
          <w:rStyle w:val="42"/>
          <w:rFonts w:hint="eastAsia" w:ascii="宋体" w:hAnsi="宋体" w:cs="宋体"/>
          <w:b/>
          <w:color w:val="auto"/>
          <w:sz w:val="24"/>
          <w:highlight w:val="none"/>
        </w:rPr>
      </w:pPr>
      <w:r>
        <w:rPr>
          <w:rStyle w:val="42"/>
          <w:rFonts w:hint="eastAsia" w:ascii="宋体" w:hAnsi="宋体" w:cs="宋体"/>
          <w:b/>
          <w:color w:val="auto"/>
          <w:sz w:val="24"/>
          <w:highlight w:val="none"/>
        </w:rPr>
        <w:t>投标人知悉《关于促进残疾人就业政府采购政策的通知》（财库〔2017〕141 号）的规定，承诺提供的声明函内容是真实的，如提供声明函内容不实，则依法追究相关法律责任。</w:t>
      </w:r>
    </w:p>
    <w:p>
      <w:pPr>
        <w:snapToGrid w:val="0"/>
        <w:spacing w:line="360" w:lineRule="auto"/>
        <w:jc w:val="center"/>
        <w:textAlignment w:val="baseline"/>
        <w:rPr>
          <w:rStyle w:val="42"/>
          <w:rFonts w:hint="eastAsia" w:ascii="宋体" w:hAnsi="宋体" w:cs="宋体"/>
          <w:b/>
          <w:color w:val="auto"/>
          <w:sz w:val="24"/>
          <w:highlight w:val="none"/>
        </w:rPr>
      </w:pPr>
      <w:r>
        <w:rPr>
          <w:rStyle w:val="42"/>
          <w:rFonts w:hint="eastAsia" w:ascii="宋体" w:hAnsi="宋体" w:cs="宋体"/>
          <w:b/>
          <w:color w:val="auto"/>
          <w:sz w:val="24"/>
          <w:highlight w:val="none"/>
        </w:rPr>
        <w:br w:type="page"/>
      </w:r>
      <w:r>
        <w:rPr>
          <w:rStyle w:val="42"/>
          <w:rFonts w:hint="eastAsia" w:ascii="宋体" w:hAnsi="宋体" w:cs="宋体"/>
          <w:b/>
          <w:color w:val="auto"/>
          <w:sz w:val="24"/>
          <w:highlight w:val="none"/>
        </w:rPr>
        <w:t>③监狱企业声明函</w:t>
      </w:r>
    </w:p>
    <w:p>
      <w:pPr>
        <w:snapToGrid w:val="0"/>
        <w:spacing w:line="620" w:lineRule="exact"/>
        <w:ind w:firstLine="504" w:firstLineChars="200"/>
        <w:textAlignment w:val="baseline"/>
        <w:rPr>
          <w:rStyle w:val="42"/>
          <w:rFonts w:hint="eastAsia" w:ascii="宋体" w:hAnsi="宋体" w:cs="宋体"/>
          <w:color w:val="auto"/>
          <w:spacing w:val="6"/>
          <w:sz w:val="24"/>
          <w:highlight w:val="none"/>
        </w:rPr>
      </w:pPr>
      <w:r>
        <w:rPr>
          <w:rStyle w:val="42"/>
          <w:rFonts w:hint="eastAsia" w:ascii="宋体" w:hAnsi="宋体" w:cs="宋体"/>
          <w:color w:val="auto"/>
          <w:spacing w:val="6"/>
          <w:sz w:val="24"/>
          <w:highlight w:val="none"/>
        </w:rPr>
        <w:t>本单位郑重声明，根据《财政部司法部关于政府采购支持监狱企业发展有关问题的通知》（财库〔2014〕68号）的规定，本单位为符合条件的监狱企业，且本单位参加</w:t>
      </w:r>
      <w:r>
        <w:rPr>
          <w:rStyle w:val="42"/>
          <w:rFonts w:hint="eastAsia" w:ascii="宋体" w:hAnsi="宋体" w:cs="宋体"/>
          <w:color w:val="auto"/>
          <w:spacing w:val="6"/>
          <w:sz w:val="24"/>
          <w:highlight w:val="none"/>
          <w:u w:val="single"/>
        </w:rPr>
        <w:t xml:space="preserve"> （采购单位名称） </w:t>
      </w:r>
      <w:r>
        <w:rPr>
          <w:rStyle w:val="42"/>
          <w:rFonts w:hint="eastAsia" w:ascii="宋体" w:hAnsi="宋体" w:cs="宋体"/>
          <w:color w:val="auto"/>
          <w:spacing w:val="6"/>
          <w:sz w:val="24"/>
          <w:highlight w:val="none"/>
        </w:rPr>
        <w:t>单位的</w:t>
      </w:r>
      <w:r>
        <w:rPr>
          <w:rStyle w:val="42"/>
          <w:rFonts w:hint="eastAsia" w:ascii="宋体" w:hAnsi="宋体" w:cs="宋体"/>
          <w:color w:val="auto"/>
          <w:spacing w:val="6"/>
          <w:sz w:val="24"/>
          <w:highlight w:val="none"/>
          <w:u w:val="single"/>
        </w:rPr>
        <w:t xml:space="preserve"> （采购项目名称） </w:t>
      </w:r>
      <w:r>
        <w:rPr>
          <w:rStyle w:val="42"/>
          <w:rFonts w:hint="eastAsia" w:ascii="宋体" w:hAnsi="宋体" w:cs="宋体"/>
          <w:color w:val="auto"/>
          <w:spacing w:val="6"/>
          <w:sz w:val="24"/>
          <w:highlight w:val="none"/>
        </w:rPr>
        <w:t>项目采购</w:t>
      </w:r>
      <w:r>
        <w:rPr>
          <w:rStyle w:val="42"/>
          <w:rFonts w:hint="eastAsia" w:ascii="宋体" w:hAnsi="宋体" w:cs="宋体"/>
          <w:color w:val="auto"/>
          <w:kern w:val="0"/>
          <w:sz w:val="24"/>
          <w:highlight w:val="none"/>
        </w:rPr>
        <w:t>活动，并提供：□本单位制造的货物；□由本单位承担的工程、提供服务；□提供其他监狱企业制造的货物（承诺人在□处打√）</w:t>
      </w:r>
      <w:r>
        <w:rPr>
          <w:rStyle w:val="42"/>
          <w:rFonts w:hint="eastAsia" w:ascii="宋体" w:hAnsi="宋体" w:cs="宋体"/>
          <w:color w:val="auto"/>
          <w:spacing w:val="6"/>
          <w:sz w:val="24"/>
          <w:highlight w:val="none"/>
        </w:rPr>
        <w:t>。</w:t>
      </w:r>
      <w:r>
        <w:rPr>
          <w:rStyle w:val="42"/>
          <w:rFonts w:hint="eastAsia" w:ascii="宋体" w:hAnsi="宋体" w:cs="宋体"/>
          <w:color w:val="auto"/>
          <w:kern w:val="0"/>
          <w:sz w:val="24"/>
          <w:highlight w:val="none"/>
        </w:rPr>
        <w:t>本条所称货物是指单一产品采购项目中的货物，或者非单一产品采购项目中的核心产品（货物）。</w:t>
      </w:r>
    </w:p>
    <w:p>
      <w:pPr>
        <w:snapToGrid w:val="0"/>
        <w:spacing w:line="620" w:lineRule="exact"/>
        <w:ind w:firstLine="504" w:firstLineChars="200"/>
        <w:textAlignment w:val="baseline"/>
        <w:rPr>
          <w:rStyle w:val="42"/>
          <w:rFonts w:hint="eastAsia" w:ascii="宋体" w:hAnsi="宋体" w:cs="宋体"/>
          <w:color w:val="auto"/>
          <w:spacing w:val="6"/>
          <w:sz w:val="24"/>
          <w:highlight w:val="none"/>
        </w:rPr>
      </w:pPr>
      <w:r>
        <w:rPr>
          <w:rStyle w:val="42"/>
          <w:rFonts w:hint="eastAsia" w:ascii="宋体" w:hAnsi="宋体" w:cs="宋体"/>
          <w:color w:val="auto"/>
          <w:spacing w:val="6"/>
          <w:sz w:val="24"/>
          <w:highlight w:val="none"/>
        </w:rPr>
        <w:t>本单位对上述声明的真实性负责。如有虚假，将依法承担相应责任。</w:t>
      </w:r>
    </w:p>
    <w:p>
      <w:pPr>
        <w:snapToGrid w:val="0"/>
        <w:spacing w:line="620" w:lineRule="exact"/>
        <w:ind w:firstLine="504" w:firstLineChars="200"/>
        <w:textAlignment w:val="baseline"/>
        <w:rPr>
          <w:rStyle w:val="42"/>
          <w:rFonts w:hint="eastAsia" w:ascii="宋体" w:hAnsi="宋体" w:cs="宋体"/>
          <w:color w:val="auto"/>
          <w:spacing w:val="6"/>
          <w:sz w:val="24"/>
          <w:highlight w:val="none"/>
        </w:rPr>
      </w:pPr>
      <w:r>
        <w:rPr>
          <w:rStyle w:val="42"/>
          <w:rFonts w:hint="eastAsia" w:ascii="宋体" w:hAnsi="宋体" w:cs="宋体"/>
          <w:color w:val="auto"/>
          <w:spacing w:val="6"/>
          <w:sz w:val="24"/>
          <w:highlight w:val="none"/>
        </w:rPr>
        <w:t>附：省级以上监狱管理局、戒毒管理局（含新疆生产建设兵团）出具的监狱企业证明文件。</w:t>
      </w:r>
    </w:p>
    <w:p>
      <w:pPr>
        <w:snapToGrid w:val="0"/>
        <w:spacing w:line="620" w:lineRule="exact"/>
        <w:ind w:firstLine="504" w:firstLineChars="200"/>
        <w:textAlignment w:val="baseline"/>
        <w:rPr>
          <w:rStyle w:val="42"/>
          <w:rFonts w:hint="eastAsia" w:ascii="宋体" w:hAnsi="宋体" w:cs="宋体"/>
          <w:color w:val="auto"/>
          <w:spacing w:val="6"/>
          <w:sz w:val="24"/>
          <w:highlight w:val="none"/>
        </w:rPr>
      </w:pPr>
    </w:p>
    <w:p>
      <w:pPr>
        <w:snapToGrid w:val="0"/>
        <w:spacing w:line="620" w:lineRule="exact"/>
        <w:ind w:firstLine="504" w:firstLineChars="200"/>
        <w:textAlignment w:val="baseline"/>
        <w:rPr>
          <w:rStyle w:val="42"/>
          <w:rFonts w:hint="eastAsia" w:ascii="宋体" w:hAnsi="宋体" w:cs="宋体"/>
          <w:color w:val="auto"/>
          <w:spacing w:val="6"/>
          <w:sz w:val="24"/>
          <w:highlight w:val="none"/>
        </w:rPr>
      </w:pPr>
    </w:p>
    <w:p>
      <w:pPr>
        <w:tabs>
          <w:tab w:val="left" w:pos="4860"/>
        </w:tabs>
        <w:snapToGrid w:val="0"/>
        <w:spacing w:line="620" w:lineRule="exact"/>
        <w:ind w:right="1560" w:firstLine="504" w:firstLineChars="200"/>
        <w:jc w:val="center"/>
        <w:textAlignment w:val="baseline"/>
        <w:rPr>
          <w:rStyle w:val="42"/>
          <w:rFonts w:hint="eastAsia" w:ascii="宋体" w:hAnsi="宋体" w:cs="宋体"/>
          <w:color w:val="auto"/>
          <w:spacing w:val="6"/>
          <w:sz w:val="24"/>
          <w:highlight w:val="none"/>
        </w:rPr>
      </w:pPr>
      <w:r>
        <w:rPr>
          <w:rStyle w:val="42"/>
          <w:rFonts w:hint="eastAsia" w:ascii="宋体" w:hAnsi="宋体" w:cs="宋体"/>
          <w:color w:val="auto"/>
          <w:spacing w:val="6"/>
          <w:sz w:val="24"/>
          <w:highlight w:val="none"/>
        </w:rPr>
        <w:t xml:space="preserve">               单位名称（盖章）：</w:t>
      </w:r>
    </w:p>
    <w:p>
      <w:pPr>
        <w:tabs>
          <w:tab w:val="left" w:pos="640"/>
          <w:tab w:val="left" w:pos="840"/>
          <w:tab w:val="left" w:pos="1260"/>
          <w:tab w:val="left" w:pos="1418"/>
        </w:tabs>
        <w:spacing w:line="360" w:lineRule="auto"/>
        <w:rPr>
          <w:rFonts w:hint="eastAsia" w:ascii="宋体" w:hAnsi="宋体" w:cs="宋体"/>
          <w:color w:val="auto"/>
          <w:spacing w:val="6"/>
          <w:sz w:val="24"/>
          <w:highlight w:val="none"/>
        </w:rPr>
      </w:pPr>
      <w:r>
        <w:rPr>
          <w:rStyle w:val="42"/>
          <w:rFonts w:hint="eastAsia" w:ascii="宋体" w:hAnsi="宋体" w:cs="宋体"/>
          <w:color w:val="auto"/>
          <w:spacing w:val="6"/>
          <w:sz w:val="24"/>
          <w:highlight w:val="none"/>
        </w:rPr>
        <w:t xml:space="preserve">                          日  期</w:t>
      </w:r>
      <w:r>
        <w:rPr>
          <w:rFonts w:hint="eastAsia" w:ascii="宋体" w:hAnsi="宋体" w:cs="宋体"/>
          <w:color w:val="auto"/>
          <w:spacing w:val="6"/>
          <w:sz w:val="24"/>
          <w:highlight w:val="none"/>
        </w:rPr>
        <w:t>：</w:t>
      </w:r>
    </w:p>
    <w:p>
      <w:pPr>
        <w:rPr>
          <w:color w:val="auto"/>
          <w:highlight w:val="none"/>
        </w:rPr>
      </w:pPr>
      <w:r>
        <w:rPr>
          <w:rFonts w:hint="eastAsia" w:ascii="宋体" w:hAnsi="宋体" w:cs="宋体"/>
          <w:color w:val="auto"/>
          <w:spacing w:val="6"/>
          <w:sz w:val="24"/>
          <w:highlight w:val="none"/>
        </w:rPr>
        <w:br w:type="page"/>
      </w:r>
    </w:p>
    <w:p>
      <w:pPr>
        <w:numPr>
          <w:ilvl w:val="0"/>
          <w:numId w:val="15"/>
        </w:numPr>
        <w:tabs>
          <w:tab w:val="left" w:pos="640"/>
          <w:tab w:val="left" w:pos="840"/>
          <w:tab w:val="left" w:pos="1260"/>
          <w:tab w:val="left" w:pos="1418"/>
        </w:tabs>
        <w:spacing w:line="360" w:lineRule="auto"/>
        <w:ind w:left="845" w:hanging="845"/>
        <w:rPr>
          <w:rFonts w:hint="eastAsia" w:ascii="宋体" w:hAnsi="宋体" w:cs="宋体"/>
          <w:color w:val="auto"/>
          <w:sz w:val="24"/>
          <w:highlight w:val="none"/>
        </w:rPr>
      </w:pPr>
      <w:r>
        <w:rPr>
          <w:rFonts w:hint="eastAsia" w:ascii="宋体" w:hAnsi="宋体" w:cs="宋体"/>
          <w:color w:val="auto"/>
          <w:sz w:val="24"/>
          <w:highlight w:val="none"/>
        </w:rPr>
        <w:t>供应商基本情况表、社保证明及股权关系证明</w:t>
      </w:r>
    </w:p>
    <w:p>
      <w:pPr>
        <w:snapToGrid w:val="0"/>
        <w:rPr>
          <w:rFonts w:hint="eastAsia" w:ascii="宋体" w:hAnsi="宋体" w:cs="宋体"/>
          <w:b/>
          <w:color w:val="auto"/>
          <w:sz w:val="24"/>
          <w:highlight w:val="none"/>
        </w:rPr>
      </w:pPr>
      <w:bookmarkStart w:id="88" w:name="OLE_LINK18"/>
    </w:p>
    <w:p>
      <w:pPr>
        <w:snapToGrid w:val="0"/>
        <w:rPr>
          <w:rFonts w:hint="eastAsia" w:ascii="宋体" w:hAnsi="宋体" w:cs="宋体"/>
          <w:b/>
          <w:color w:val="auto"/>
          <w:sz w:val="24"/>
          <w:highlight w:val="none"/>
        </w:rPr>
      </w:pPr>
      <w:r>
        <w:rPr>
          <w:rFonts w:hint="eastAsia" w:ascii="宋体" w:hAnsi="宋体" w:cs="宋体"/>
          <w:b/>
          <w:color w:val="auto"/>
          <w:sz w:val="24"/>
          <w:highlight w:val="none"/>
        </w:rPr>
        <w:t>（注：根据《深圳经济特区政府采购条例实施细则》第七十五条规定，以下内容将作为判定本项目不同投标供应商是否涉嫌、属于串通投标的重要依据，请供应商认真填报，并保证所填信息的真实、准确和完整。）</w:t>
      </w:r>
    </w:p>
    <w:p>
      <w:pPr>
        <w:snapToGrid w:val="0"/>
        <w:rPr>
          <w:rFonts w:hint="eastAsia" w:ascii="宋体" w:hAnsi="宋体" w:cs="宋体"/>
          <w:b/>
          <w:color w:val="auto"/>
          <w:sz w:val="24"/>
          <w:highlight w:val="none"/>
        </w:rPr>
      </w:pPr>
    </w:p>
    <w:p>
      <w:pPr>
        <w:snapToGrid w:val="0"/>
        <w:rPr>
          <w:rFonts w:hint="eastAsia" w:ascii="宋体" w:hAnsi="宋体" w:cs="宋体"/>
          <w:b/>
          <w:color w:val="auto"/>
          <w:sz w:val="28"/>
          <w:szCs w:val="28"/>
          <w:highlight w:val="none"/>
        </w:rPr>
      </w:pPr>
      <w:r>
        <w:rPr>
          <w:rFonts w:hint="eastAsia" w:ascii="宋体" w:hAnsi="宋体" w:cs="宋体"/>
          <w:b/>
          <w:color w:val="auto"/>
          <w:sz w:val="28"/>
          <w:szCs w:val="28"/>
          <w:highlight w:val="none"/>
        </w:rPr>
        <w:t>1.《供应商基本情况表》</w:t>
      </w:r>
    </w:p>
    <w:p>
      <w:pPr>
        <w:adjustRightInd w:val="0"/>
        <w:snapToGrid w:val="0"/>
        <w:jc w:val="left"/>
        <w:rPr>
          <w:rFonts w:hint="eastAsia" w:ascii="宋体" w:hAnsi="宋体" w:cs="宋体"/>
          <w:color w:val="auto"/>
          <w:sz w:val="24"/>
          <w:highlight w:val="none"/>
        </w:rPr>
      </w:pPr>
      <w:r>
        <w:rPr>
          <w:rFonts w:hint="eastAsia" w:ascii="宋体" w:hAnsi="宋体" w:cs="宋体"/>
          <w:color w:val="auto"/>
          <w:sz w:val="24"/>
          <w:highlight w:val="none"/>
        </w:rPr>
        <w:t>填表单位（</w:t>
      </w:r>
      <w:r>
        <w:rPr>
          <w:rFonts w:hint="eastAsia" w:ascii="宋体" w:hAnsi="宋体" w:cs="宋体"/>
          <w:b/>
          <w:bCs/>
          <w:color w:val="auto"/>
          <w:sz w:val="24"/>
          <w:highlight w:val="none"/>
        </w:rPr>
        <w:t>加盖单位公章，必填项</w:t>
      </w:r>
      <w:r>
        <w:rPr>
          <w:rFonts w:hint="eastAsia" w:ascii="宋体" w:hAnsi="宋体" w:cs="宋体"/>
          <w:color w:val="auto"/>
          <w:sz w:val="24"/>
          <w:highlight w:val="none"/>
        </w:rPr>
        <w:t>）：</w:t>
      </w:r>
    </w:p>
    <w:p>
      <w:pPr>
        <w:adjustRightInd w:val="0"/>
        <w:snapToGrid w:val="0"/>
        <w:jc w:val="left"/>
        <w:rPr>
          <w:rFonts w:hint="eastAsia" w:ascii="宋体" w:hAnsi="宋体" w:cs="宋体"/>
          <w:color w:val="auto"/>
          <w:sz w:val="24"/>
          <w:highlight w:val="none"/>
        </w:rPr>
      </w:pPr>
      <w:r>
        <w:rPr>
          <w:rFonts w:hint="eastAsia" w:ascii="宋体" w:hAnsi="宋体" w:cs="宋体"/>
          <w:color w:val="auto"/>
          <w:sz w:val="24"/>
          <w:highlight w:val="none"/>
        </w:rPr>
        <w:t>填表日期（</w:t>
      </w:r>
      <w:r>
        <w:rPr>
          <w:rFonts w:hint="eastAsia" w:ascii="宋体" w:hAnsi="宋体" w:cs="宋体"/>
          <w:b/>
          <w:bCs/>
          <w:color w:val="auto"/>
          <w:sz w:val="24"/>
          <w:highlight w:val="none"/>
        </w:rPr>
        <w:t>必填项</w:t>
      </w:r>
      <w:r>
        <w:rPr>
          <w:rFonts w:hint="eastAsia" w:ascii="宋体" w:hAnsi="宋体" w:cs="宋体"/>
          <w:color w:val="auto"/>
          <w:sz w:val="24"/>
          <w:highlight w:val="none"/>
        </w:rPr>
        <w:t>）：        年     月      日</w:t>
      </w:r>
    </w:p>
    <w:tbl>
      <w:tblPr>
        <w:tblStyle w:val="1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614"/>
        <w:gridCol w:w="1467"/>
        <w:gridCol w:w="926"/>
        <w:gridCol w:w="718"/>
        <w:gridCol w:w="1304"/>
        <w:gridCol w:w="1398"/>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48" w:type="pct"/>
            <w:gridSpan w:val="2"/>
            <w:shd w:val="clear" w:color="auto" w:fill="auto"/>
            <w:vAlign w:val="center"/>
          </w:tcPr>
          <w:p>
            <w:pPr>
              <w:widowControl/>
              <w:snapToGrid w:val="0"/>
              <w:jc w:val="center"/>
              <w:rPr>
                <w:rFonts w:hint="eastAsia" w:ascii="宋体" w:hAnsi="宋体" w:cs="宋体"/>
                <w:bCs/>
                <w:color w:val="auto"/>
                <w:sz w:val="24"/>
                <w:highlight w:val="none"/>
              </w:rPr>
            </w:pPr>
            <w:r>
              <w:rPr>
                <w:rFonts w:hint="eastAsia" w:ascii="宋体" w:hAnsi="宋体" w:cs="宋体"/>
                <w:bCs/>
                <w:color w:val="auto"/>
                <w:sz w:val="24"/>
                <w:highlight w:val="none"/>
              </w:rPr>
              <w:t>采购人</w:t>
            </w:r>
          </w:p>
        </w:tc>
        <w:tc>
          <w:tcPr>
            <w:tcW w:w="1406" w:type="pct"/>
            <w:gridSpan w:val="2"/>
            <w:shd w:val="clear" w:color="auto" w:fill="auto"/>
            <w:vAlign w:val="center"/>
          </w:tcPr>
          <w:p>
            <w:pPr>
              <w:widowControl/>
              <w:snapToGrid w:val="0"/>
              <w:jc w:val="center"/>
              <w:rPr>
                <w:rFonts w:hint="eastAsia" w:ascii="宋体" w:hAnsi="宋体" w:cs="宋体"/>
                <w:bCs/>
                <w:color w:val="auto"/>
                <w:sz w:val="24"/>
                <w:highlight w:val="none"/>
              </w:rPr>
            </w:pPr>
          </w:p>
        </w:tc>
        <w:tc>
          <w:tcPr>
            <w:tcW w:w="1188" w:type="pct"/>
            <w:gridSpan w:val="2"/>
            <w:shd w:val="clear" w:color="auto" w:fill="auto"/>
            <w:vAlign w:val="center"/>
          </w:tcPr>
          <w:p>
            <w:pPr>
              <w:widowControl/>
              <w:snapToGrid w:val="0"/>
              <w:jc w:val="center"/>
              <w:rPr>
                <w:rFonts w:hint="eastAsia" w:ascii="宋体" w:hAnsi="宋体" w:cs="宋体"/>
                <w:bCs/>
                <w:color w:val="auto"/>
                <w:sz w:val="24"/>
                <w:highlight w:val="none"/>
              </w:rPr>
            </w:pPr>
            <w:r>
              <w:rPr>
                <w:rFonts w:hint="eastAsia" w:ascii="宋体" w:hAnsi="宋体" w:cs="宋体"/>
                <w:bCs/>
                <w:color w:val="auto"/>
                <w:sz w:val="24"/>
                <w:highlight w:val="none"/>
              </w:rPr>
              <w:t>项目名称</w:t>
            </w:r>
          </w:p>
        </w:tc>
        <w:tc>
          <w:tcPr>
            <w:tcW w:w="1656" w:type="pct"/>
            <w:gridSpan w:val="2"/>
            <w:shd w:val="clear" w:color="auto" w:fill="auto"/>
            <w:vAlign w:val="center"/>
          </w:tcPr>
          <w:p>
            <w:pPr>
              <w:widowControl/>
              <w:snapToGrid w:val="0"/>
              <w:jc w:val="center"/>
              <w:rPr>
                <w:rFonts w:hint="eastAsia"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gridSpan w:val="2"/>
            <w:shd w:val="clear" w:color="auto" w:fill="auto"/>
            <w:vAlign w:val="center"/>
          </w:tcPr>
          <w:p>
            <w:pPr>
              <w:widowControl/>
              <w:snapToGrid w:val="0"/>
              <w:jc w:val="center"/>
              <w:rPr>
                <w:rFonts w:hint="eastAsia" w:ascii="宋体" w:hAnsi="宋体" w:cs="宋体"/>
                <w:bCs/>
                <w:color w:val="auto"/>
                <w:sz w:val="24"/>
                <w:highlight w:val="none"/>
              </w:rPr>
            </w:pPr>
            <w:r>
              <w:rPr>
                <w:rFonts w:hint="eastAsia" w:ascii="宋体" w:hAnsi="宋体" w:cs="宋体"/>
                <w:bCs/>
                <w:color w:val="auto"/>
                <w:sz w:val="24"/>
                <w:highlight w:val="none"/>
              </w:rPr>
              <w:t>投标（响应）供应商</w:t>
            </w:r>
          </w:p>
        </w:tc>
        <w:tc>
          <w:tcPr>
            <w:tcW w:w="1406" w:type="pct"/>
            <w:gridSpan w:val="2"/>
            <w:shd w:val="clear" w:color="auto" w:fill="auto"/>
            <w:vAlign w:val="center"/>
          </w:tcPr>
          <w:p>
            <w:pPr>
              <w:widowControl/>
              <w:snapToGrid w:val="0"/>
              <w:jc w:val="center"/>
              <w:rPr>
                <w:rFonts w:hint="eastAsia" w:ascii="宋体" w:hAnsi="宋体" w:cs="宋体"/>
                <w:bCs/>
                <w:color w:val="auto"/>
                <w:sz w:val="24"/>
                <w:highlight w:val="none"/>
              </w:rPr>
            </w:pPr>
          </w:p>
        </w:tc>
        <w:tc>
          <w:tcPr>
            <w:tcW w:w="1188" w:type="pct"/>
            <w:gridSpan w:val="2"/>
            <w:shd w:val="clear" w:color="auto" w:fill="auto"/>
            <w:vAlign w:val="center"/>
          </w:tcPr>
          <w:p>
            <w:pPr>
              <w:widowControl/>
              <w:snapToGrid w:val="0"/>
              <w:jc w:val="center"/>
              <w:rPr>
                <w:rFonts w:hint="eastAsia" w:ascii="宋体" w:hAnsi="宋体" w:cs="宋体"/>
                <w:bCs/>
                <w:color w:val="auto"/>
                <w:sz w:val="24"/>
                <w:highlight w:val="none"/>
              </w:rPr>
            </w:pPr>
            <w:r>
              <w:rPr>
                <w:rFonts w:hint="eastAsia" w:ascii="宋体" w:hAnsi="宋体" w:cs="宋体"/>
                <w:bCs/>
                <w:color w:val="auto"/>
                <w:sz w:val="24"/>
                <w:highlight w:val="none"/>
              </w:rPr>
              <w:t>供应商统一社会信用代码</w:t>
            </w:r>
          </w:p>
        </w:tc>
        <w:tc>
          <w:tcPr>
            <w:tcW w:w="1656" w:type="pct"/>
            <w:gridSpan w:val="2"/>
            <w:shd w:val="clear" w:color="auto" w:fill="auto"/>
            <w:vAlign w:val="center"/>
          </w:tcPr>
          <w:p>
            <w:pPr>
              <w:widowControl/>
              <w:snapToGrid w:val="0"/>
              <w:jc w:val="center"/>
              <w:rPr>
                <w:rFonts w:hint="eastAsia"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000" w:type="pct"/>
            <w:gridSpan w:val="8"/>
            <w:shd w:val="clear" w:color="auto" w:fill="auto"/>
            <w:vAlign w:val="center"/>
          </w:tcPr>
          <w:p>
            <w:pPr>
              <w:widowControl/>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bottom w:val="single" w:color="auto" w:sz="4" w:space="0"/>
            </w:tcBorders>
            <w:shd w:val="clear" w:color="auto" w:fill="auto"/>
            <w:vAlign w:val="center"/>
          </w:tcPr>
          <w:p>
            <w:pPr>
              <w:widowControl/>
              <w:snapToGrid w:val="0"/>
              <w:jc w:val="center"/>
              <w:rPr>
                <w:rFonts w:hint="eastAsia" w:ascii="宋体" w:hAnsi="宋体" w:cs="宋体"/>
                <w:bCs/>
                <w:color w:val="auto"/>
                <w:sz w:val="24"/>
                <w:highlight w:val="none"/>
              </w:rPr>
            </w:pPr>
            <w:r>
              <w:rPr>
                <w:rFonts w:hint="eastAsia" w:ascii="宋体" w:hAnsi="宋体" w:cs="宋体"/>
                <w:bCs/>
                <w:color w:val="auto"/>
                <w:sz w:val="24"/>
                <w:highlight w:val="none"/>
              </w:rPr>
              <w:t>序号</w:t>
            </w:r>
          </w:p>
        </w:tc>
        <w:tc>
          <w:tcPr>
            <w:tcW w:w="1223" w:type="pct"/>
            <w:gridSpan w:val="2"/>
            <w:tcBorders>
              <w:bottom w:val="single" w:color="auto" w:sz="4" w:space="0"/>
            </w:tcBorders>
            <w:shd w:val="clear" w:color="auto" w:fill="auto"/>
            <w:vAlign w:val="center"/>
          </w:tcPr>
          <w:p>
            <w:pPr>
              <w:widowControl/>
              <w:snapToGrid w:val="0"/>
              <w:jc w:val="center"/>
              <w:rPr>
                <w:rFonts w:hint="eastAsia" w:ascii="宋体" w:hAnsi="宋体" w:cs="宋体"/>
                <w:bCs/>
                <w:color w:val="auto"/>
                <w:sz w:val="24"/>
                <w:highlight w:val="none"/>
              </w:rPr>
            </w:pPr>
            <w:r>
              <w:rPr>
                <w:rFonts w:hint="eastAsia" w:ascii="宋体" w:hAnsi="宋体" w:cs="宋体"/>
                <w:bCs/>
                <w:color w:val="auto"/>
                <w:sz w:val="24"/>
                <w:highlight w:val="none"/>
              </w:rPr>
              <w:t>职务</w:t>
            </w:r>
          </w:p>
        </w:tc>
        <w:tc>
          <w:tcPr>
            <w:tcW w:w="543" w:type="pct"/>
            <w:tcBorders>
              <w:bottom w:val="single" w:color="auto" w:sz="4" w:space="0"/>
            </w:tcBorders>
            <w:shd w:val="clear" w:color="auto" w:fill="auto"/>
            <w:vAlign w:val="center"/>
          </w:tcPr>
          <w:p>
            <w:pPr>
              <w:widowControl/>
              <w:snapToGrid w:val="0"/>
              <w:jc w:val="center"/>
              <w:rPr>
                <w:rFonts w:hint="eastAsia" w:ascii="宋体" w:hAnsi="宋体" w:cs="宋体"/>
                <w:bCs/>
                <w:color w:val="auto"/>
                <w:sz w:val="24"/>
                <w:highlight w:val="none"/>
              </w:rPr>
            </w:pPr>
            <w:r>
              <w:rPr>
                <w:rFonts w:hint="eastAsia" w:ascii="宋体" w:hAnsi="宋体" w:cs="宋体"/>
                <w:bCs/>
                <w:color w:val="auto"/>
                <w:sz w:val="24"/>
                <w:highlight w:val="none"/>
              </w:rPr>
              <w:t>姓名</w:t>
            </w:r>
          </w:p>
        </w:tc>
        <w:tc>
          <w:tcPr>
            <w:tcW w:w="1188" w:type="pct"/>
            <w:gridSpan w:val="2"/>
            <w:tcBorders>
              <w:bottom w:val="single" w:color="auto" w:sz="4" w:space="0"/>
            </w:tcBorders>
            <w:shd w:val="clear" w:color="auto" w:fill="auto"/>
            <w:vAlign w:val="center"/>
          </w:tcPr>
          <w:p>
            <w:pPr>
              <w:widowControl/>
              <w:snapToGrid w:val="0"/>
              <w:jc w:val="center"/>
              <w:rPr>
                <w:rFonts w:hint="eastAsia" w:ascii="宋体" w:hAnsi="宋体" w:cs="宋体"/>
                <w:bCs/>
                <w:color w:val="auto"/>
                <w:sz w:val="24"/>
                <w:highlight w:val="none"/>
              </w:rPr>
            </w:pPr>
            <w:r>
              <w:rPr>
                <w:rFonts w:hint="eastAsia" w:ascii="宋体" w:hAnsi="宋体" w:cs="宋体"/>
                <w:bCs/>
                <w:color w:val="auto"/>
                <w:sz w:val="24"/>
                <w:highlight w:val="none"/>
              </w:rPr>
              <w:t>身份证号码</w:t>
            </w:r>
          </w:p>
        </w:tc>
        <w:tc>
          <w:tcPr>
            <w:tcW w:w="821" w:type="pct"/>
            <w:tcBorders>
              <w:bottom w:val="single" w:color="auto" w:sz="4" w:space="0"/>
            </w:tcBorders>
            <w:shd w:val="clear" w:color="auto" w:fill="auto"/>
            <w:vAlign w:val="center"/>
          </w:tcPr>
          <w:p>
            <w:pPr>
              <w:widowControl/>
              <w:snapToGrid w:val="0"/>
              <w:jc w:val="center"/>
              <w:rPr>
                <w:rFonts w:hint="eastAsia" w:ascii="宋体" w:hAnsi="宋体" w:cs="宋体"/>
                <w:bCs/>
                <w:color w:val="auto"/>
                <w:sz w:val="24"/>
                <w:highlight w:val="none"/>
              </w:rPr>
            </w:pPr>
            <w:r>
              <w:rPr>
                <w:rFonts w:hint="eastAsia" w:ascii="宋体" w:hAnsi="宋体" w:cs="宋体"/>
                <w:bCs/>
                <w:color w:val="auto"/>
                <w:sz w:val="24"/>
                <w:highlight w:val="none"/>
              </w:rPr>
              <w:t>劳动合同</w:t>
            </w:r>
          </w:p>
          <w:p>
            <w:pPr>
              <w:widowControl/>
              <w:snapToGrid w:val="0"/>
              <w:jc w:val="center"/>
              <w:rPr>
                <w:rFonts w:hint="eastAsia" w:ascii="宋体" w:hAnsi="宋体" w:cs="宋体"/>
                <w:bCs/>
                <w:color w:val="auto"/>
                <w:sz w:val="24"/>
                <w:highlight w:val="none"/>
              </w:rPr>
            </w:pPr>
            <w:r>
              <w:rPr>
                <w:rFonts w:hint="eastAsia" w:ascii="宋体" w:hAnsi="宋体" w:cs="宋体"/>
                <w:bCs/>
                <w:color w:val="auto"/>
                <w:sz w:val="24"/>
                <w:highlight w:val="none"/>
              </w:rPr>
              <w:t>关系单位</w:t>
            </w:r>
          </w:p>
        </w:tc>
        <w:tc>
          <w:tcPr>
            <w:tcW w:w="835" w:type="pct"/>
            <w:tcBorders>
              <w:bottom w:val="single" w:color="auto" w:sz="4" w:space="0"/>
            </w:tcBorders>
            <w:shd w:val="clear" w:color="auto" w:fill="auto"/>
            <w:vAlign w:val="center"/>
          </w:tcPr>
          <w:p>
            <w:pPr>
              <w:widowControl/>
              <w:snapToGrid w:val="0"/>
              <w:jc w:val="center"/>
              <w:rPr>
                <w:rFonts w:hint="eastAsia" w:ascii="宋体" w:hAnsi="宋体" w:cs="宋体"/>
                <w:bCs/>
                <w:color w:val="auto"/>
                <w:sz w:val="24"/>
                <w:highlight w:val="none"/>
              </w:rPr>
            </w:pPr>
            <w:r>
              <w:rPr>
                <w:rFonts w:hint="eastAsia" w:ascii="宋体" w:hAnsi="宋体" w:cs="宋体"/>
                <w:bCs/>
                <w:color w:val="auto"/>
                <w:sz w:val="24"/>
                <w:highlight w:val="none"/>
              </w:rPr>
              <w:t>缴纳社会</w:t>
            </w:r>
          </w:p>
          <w:p>
            <w:pPr>
              <w:widowControl/>
              <w:snapToGrid w:val="0"/>
              <w:jc w:val="center"/>
              <w:rPr>
                <w:rFonts w:hint="eastAsia" w:ascii="宋体" w:hAnsi="宋体" w:cs="宋体"/>
                <w:bCs/>
                <w:color w:val="auto"/>
                <w:sz w:val="24"/>
                <w:highlight w:val="none"/>
              </w:rPr>
            </w:pPr>
            <w:r>
              <w:rPr>
                <w:rFonts w:hint="eastAsia" w:ascii="宋体" w:hAnsi="宋体" w:cs="宋体"/>
                <w:bCs/>
                <w:color w:val="auto"/>
                <w:sz w:val="24"/>
                <w:highlight w:val="none"/>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宋体" w:hAnsi="宋体" w:cs="宋体"/>
                <w:bCs/>
                <w:color w:val="auto"/>
                <w:sz w:val="24"/>
                <w:highlight w:val="none"/>
              </w:rPr>
            </w:pPr>
            <w:r>
              <w:rPr>
                <w:rFonts w:hint="eastAsia" w:ascii="宋体" w:hAnsi="宋体" w:cs="宋体"/>
                <w:bCs/>
                <w:color w:val="auto"/>
                <w:sz w:val="24"/>
                <w:highlight w:val="none"/>
              </w:rPr>
              <w:t>1</w:t>
            </w:r>
          </w:p>
        </w:tc>
        <w:tc>
          <w:tcPr>
            <w:tcW w:w="122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宋体" w:hAnsi="宋体" w:cs="宋体"/>
                <w:bCs/>
                <w:color w:val="auto"/>
                <w:sz w:val="24"/>
                <w:highlight w:val="none"/>
              </w:rPr>
            </w:pPr>
            <w:r>
              <w:rPr>
                <w:rFonts w:hint="eastAsia" w:ascii="宋体" w:hAnsi="宋体" w:cs="宋体"/>
                <w:b/>
                <w:color w:val="auto"/>
                <w:sz w:val="24"/>
                <w:highlight w:val="none"/>
              </w:rPr>
              <w:t>法定代表人/单位负责人/主要经营负责人（必填项）</w:t>
            </w:r>
          </w:p>
        </w:tc>
        <w:tc>
          <w:tcPr>
            <w:tcW w:w="54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宋体" w:hAnsi="宋体" w:cs="宋体"/>
                <w:bCs/>
                <w:color w:val="auto"/>
                <w:sz w:val="24"/>
                <w:highlight w:val="none"/>
              </w:rPr>
            </w:pPr>
          </w:p>
        </w:tc>
        <w:tc>
          <w:tcPr>
            <w:tcW w:w="118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宋体" w:hAnsi="宋体" w:cs="宋体"/>
                <w:bCs/>
                <w:color w:val="auto"/>
                <w:sz w:val="24"/>
                <w:highlight w:val="none"/>
              </w:rPr>
            </w:pPr>
          </w:p>
        </w:tc>
        <w:tc>
          <w:tcPr>
            <w:tcW w:w="82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宋体" w:hAnsi="宋体" w:cs="宋体"/>
                <w:bCs/>
                <w:color w:val="auto"/>
                <w:sz w:val="24"/>
                <w:highlight w:val="none"/>
              </w:rPr>
            </w:pPr>
          </w:p>
        </w:tc>
        <w:tc>
          <w:tcPr>
            <w:tcW w:w="83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宋体" w:hAnsi="宋体" w:cs="宋体"/>
                <w:bCs/>
                <w:color w:val="auto"/>
                <w:sz w:val="24"/>
                <w:highlight w:val="none"/>
              </w:rPr>
            </w:pPr>
            <w:r>
              <w:rPr>
                <w:rFonts w:hint="eastAsia" w:ascii="宋体" w:hAnsi="宋体" w:cs="宋体"/>
                <w:bCs/>
                <w:color w:val="auto"/>
                <w:sz w:val="24"/>
                <w:highlight w:val="none"/>
              </w:rPr>
              <w:t>2</w:t>
            </w:r>
          </w:p>
        </w:tc>
        <w:tc>
          <w:tcPr>
            <w:tcW w:w="122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宋体" w:hAnsi="宋体" w:cs="宋体"/>
                <w:bCs/>
                <w:color w:val="auto"/>
                <w:sz w:val="24"/>
                <w:highlight w:val="none"/>
              </w:rPr>
            </w:pPr>
            <w:r>
              <w:rPr>
                <w:rFonts w:hint="eastAsia" w:ascii="宋体" w:hAnsi="宋体" w:cs="宋体"/>
                <w:b/>
                <w:color w:val="auto"/>
                <w:sz w:val="24"/>
                <w:highlight w:val="none"/>
              </w:rPr>
              <w:t>项目投标授权代表人（必填项）</w:t>
            </w:r>
          </w:p>
        </w:tc>
        <w:tc>
          <w:tcPr>
            <w:tcW w:w="54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宋体" w:hAnsi="宋体" w:cs="宋体"/>
                <w:bCs/>
                <w:color w:val="auto"/>
                <w:sz w:val="24"/>
                <w:highlight w:val="none"/>
              </w:rPr>
            </w:pPr>
          </w:p>
        </w:tc>
        <w:tc>
          <w:tcPr>
            <w:tcW w:w="118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宋体" w:hAnsi="宋体" w:cs="宋体"/>
                <w:bCs/>
                <w:color w:val="auto"/>
                <w:sz w:val="24"/>
                <w:highlight w:val="none"/>
              </w:rPr>
            </w:pPr>
          </w:p>
        </w:tc>
        <w:tc>
          <w:tcPr>
            <w:tcW w:w="82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宋体" w:hAnsi="宋体" w:cs="宋体"/>
                <w:bCs/>
                <w:color w:val="auto"/>
                <w:sz w:val="24"/>
                <w:highlight w:val="none"/>
              </w:rPr>
            </w:pPr>
          </w:p>
        </w:tc>
        <w:tc>
          <w:tcPr>
            <w:tcW w:w="83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tcBorders>
            <w:shd w:val="clear" w:color="auto" w:fill="auto"/>
            <w:vAlign w:val="center"/>
          </w:tcPr>
          <w:p>
            <w:pPr>
              <w:widowControl/>
              <w:snapToGrid w:val="0"/>
              <w:jc w:val="center"/>
              <w:rPr>
                <w:rFonts w:hint="eastAsia" w:ascii="宋体" w:hAnsi="宋体" w:cs="宋体"/>
                <w:bCs/>
                <w:color w:val="auto"/>
                <w:sz w:val="24"/>
                <w:highlight w:val="none"/>
              </w:rPr>
            </w:pPr>
            <w:r>
              <w:rPr>
                <w:rFonts w:hint="eastAsia" w:ascii="宋体" w:hAnsi="宋体" w:cs="宋体"/>
                <w:bCs/>
                <w:color w:val="auto"/>
                <w:sz w:val="24"/>
                <w:highlight w:val="none"/>
              </w:rPr>
              <w:t>3</w:t>
            </w:r>
          </w:p>
        </w:tc>
        <w:tc>
          <w:tcPr>
            <w:tcW w:w="1223" w:type="pct"/>
            <w:gridSpan w:val="2"/>
            <w:tcBorders>
              <w:top w:val="single" w:color="auto" w:sz="4" w:space="0"/>
            </w:tcBorders>
            <w:shd w:val="clear" w:color="auto" w:fill="auto"/>
            <w:vAlign w:val="center"/>
          </w:tcPr>
          <w:p>
            <w:pPr>
              <w:widowControl/>
              <w:snapToGrid w:val="0"/>
              <w:jc w:val="center"/>
              <w:rPr>
                <w:rFonts w:hint="eastAsia" w:ascii="宋体" w:hAnsi="宋体" w:cs="宋体"/>
                <w:bCs/>
                <w:color w:val="auto"/>
                <w:sz w:val="24"/>
                <w:highlight w:val="none"/>
              </w:rPr>
            </w:pPr>
            <w:r>
              <w:rPr>
                <w:rFonts w:hint="eastAsia" w:ascii="宋体" w:hAnsi="宋体" w:cs="宋体"/>
                <w:bCs/>
                <w:color w:val="auto"/>
                <w:sz w:val="24"/>
                <w:highlight w:val="none"/>
              </w:rPr>
              <w:t>项目负责人（如有）</w:t>
            </w:r>
          </w:p>
        </w:tc>
        <w:tc>
          <w:tcPr>
            <w:tcW w:w="543" w:type="pct"/>
            <w:tcBorders>
              <w:top w:val="single" w:color="auto" w:sz="4" w:space="0"/>
            </w:tcBorders>
            <w:shd w:val="clear" w:color="auto" w:fill="auto"/>
            <w:vAlign w:val="center"/>
          </w:tcPr>
          <w:p>
            <w:pPr>
              <w:widowControl/>
              <w:snapToGrid w:val="0"/>
              <w:jc w:val="center"/>
              <w:rPr>
                <w:rFonts w:hint="eastAsia" w:ascii="宋体" w:hAnsi="宋体" w:cs="宋体"/>
                <w:bCs/>
                <w:color w:val="auto"/>
                <w:sz w:val="24"/>
                <w:highlight w:val="none"/>
              </w:rPr>
            </w:pPr>
          </w:p>
        </w:tc>
        <w:tc>
          <w:tcPr>
            <w:tcW w:w="1188" w:type="pct"/>
            <w:gridSpan w:val="2"/>
            <w:tcBorders>
              <w:top w:val="single" w:color="auto" w:sz="4" w:space="0"/>
            </w:tcBorders>
            <w:shd w:val="clear" w:color="auto" w:fill="auto"/>
            <w:vAlign w:val="center"/>
          </w:tcPr>
          <w:p>
            <w:pPr>
              <w:widowControl/>
              <w:snapToGrid w:val="0"/>
              <w:jc w:val="center"/>
              <w:rPr>
                <w:rFonts w:hint="eastAsia" w:ascii="宋体" w:hAnsi="宋体" w:cs="宋体"/>
                <w:bCs/>
                <w:color w:val="auto"/>
                <w:sz w:val="24"/>
                <w:highlight w:val="none"/>
              </w:rPr>
            </w:pPr>
          </w:p>
        </w:tc>
        <w:tc>
          <w:tcPr>
            <w:tcW w:w="821" w:type="pct"/>
            <w:tcBorders>
              <w:top w:val="single" w:color="auto" w:sz="4" w:space="0"/>
            </w:tcBorders>
            <w:shd w:val="clear" w:color="auto" w:fill="auto"/>
            <w:vAlign w:val="center"/>
          </w:tcPr>
          <w:p>
            <w:pPr>
              <w:widowControl/>
              <w:snapToGrid w:val="0"/>
              <w:jc w:val="center"/>
              <w:rPr>
                <w:rFonts w:hint="eastAsia" w:ascii="宋体" w:hAnsi="宋体" w:cs="宋体"/>
                <w:bCs/>
                <w:color w:val="auto"/>
                <w:sz w:val="24"/>
                <w:highlight w:val="none"/>
              </w:rPr>
            </w:pPr>
          </w:p>
        </w:tc>
        <w:tc>
          <w:tcPr>
            <w:tcW w:w="835" w:type="pct"/>
            <w:tcBorders>
              <w:top w:val="single" w:color="auto" w:sz="4" w:space="0"/>
            </w:tcBorders>
            <w:shd w:val="clear" w:color="auto" w:fill="auto"/>
            <w:vAlign w:val="center"/>
          </w:tcPr>
          <w:p>
            <w:pPr>
              <w:widowControl/>
              <w:snapToGrid w:val="0"/>
              <w:jc w:val="center"/>
              <w:rPr>
                <w:rFonts w:hint="eastAsia"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shd w:val="clear" w:color="auto" w:fill="auto"/>
            <w:vAlign w:val="center"/>
          </w:tcPr>
          <w:p>
            <w:pPr>
              <w:widowControl/>
              <w:snapToGrid w:val="0"/>
              <w:jc w:val="center"/>
              <w:rPr>
                <w:rFonts w:hint="eastAsia" w:ascii="宋体" w:hAnsi="宋体" w:cs="宋体"/>
                <w:bCs/>
                <w:color w:val="auto"/>
                <w:sz w:val="24"/>
                <w:highlight w:val="none"/>
              </w:rPr>
            </w:pPr>
            <w:r>
              <w:rPr>
                <w:rFonts w:hint="eastAsia" w:ascii="宋体" w:hAnsi="宋体" w:cs="宋体"/>
                <w:bCs/>
                <w:color w:val="auto"/>
                <w:sz w:val="24"/>
                <w:highlight w:val="none"/>
              </w:rPr>
              <w:t>4</w:t>
            </w:r>
          </w:p>
        </w:tc>
        <w:tc>
          <w:tcPr>
            <w:tcW w:w="1223" w:type="pct"/>
            <w:gridSpan w:val="2"/>
            <w:shd w:val="clear" w:color="auto" w:fill="auto"/>
            <w:vAlign w:val="center"/>
          </w:tcPr>
          <w:p>
            <w:pPr>
              <w:widowControl/>
              <w:snapToGrid w:val="0"/>
              <w:jc w:val="center"/>
              <w:rPr>
                <w:rFonts w:hint="eastAsia" w:ascii="宋体" w:hAnsi="宋体" w:cs="宋体"/>
                <w:bCs/>
                <w:color w:val="auto"/>
                <w:sz w:val="24"/>
                <w:highlight w:val="none"/>
              </w:rPr>
            </w:pPr>
            <w:r>
              <w:rPr>
                <w:rFonts w:hint="eastAsia" w:ascii="宋体" w:hAnsi="宋体" w:cs="宋体"/>
                <w:bCs/>
                <w:color w:val="auto"/>
                <w:sz w:val="24"/>
                <w:highlight w:val="none"/>
              </w:rPr>
              <w:t>主要技术人员（如有）</w:t>
            </w:r>
          </w:p>
        </w:tc>
        <w:tc>
          <w:tcPr>
            <w:tcW w:w="543" w:type="pct"/>
            <w:shd w:val="clear" w:color="auto" w:fill="auto"/>
            <w:vAlign w:val="center"/>
          </w:tcPr>
          <w:p>
            <w:pPr>
              <w:widowControl/>
              <w:snapToGrid w:val="0"/>
              <w:jc w:val="center"/>
              <w:rPr>
                <w:rFonts w:hint="eastAsia" w:ascii="宋体" w:hAnsi="宋体" w:cs="宋体"/>
                <w:bCs/>
                <w:color w:val="auto"/>
                <w:sz w:val="24"/>
                <w:highlight w:val="none"/>
              </w:rPr>
            </w:pPr>
          </w:p>
        </w:tc>
        <w:tc>
          <w:tcPr>
            <w:tcW w:w="1188" w:type="pct"/>
            <w:gridSpan w:val="2"/>
            <w:shd w:val="clear" w:color="auto" w:fill="auto"/>
            <w:vAlign w:val="center"/>
          </w:tcPr>
          <w:p>
            <w:pPr>
              <w:widowControl/>
              <w:snapToGrid w:val="0"/>
              <w:jc w:val="center"/>
              <w:rPr>
                <w:rFonts w:hint="eastAsia" w:ascii="宋体" w:hAnsi="宋体" w:cs="宋体"/>
                <w:bCs/>
                <w:color w:val="auto"/>
                <w:sz w:val="24"/>
                <w:highlight w:val="none"/>
              </w:rPr>
            </w:pPr>
          </w:p>
        </w:tc>
        <w:tc>
          <w:tcPr>
            <w:tcW w:w="821" w:type="pct"/>
            <w:shd w:val="clear" w:color="auto" w:fill="auto"/>
            <w:vAlign w:val="center"/>
          </w:tcPr>
          <w:p>
            <w:pPr>
              <w:widowControl/>
              <w:snapToGrid w:val="0"/>
              <w:jc w:val="center"/>
              <w:rPr>
                <w:rFonts w:hint="eastAsia" w:ascii="宋体" w:hAnsi="宋体" w:cs="宋体"/>
                <w:bCs/>
                <w:color w:val="auto"/>
                <w:sz w:val="24"/>
                <w:highlight w:val="none"/>
              </w:rPr>
            </w:pPr>
          </w:p>
        </w:tc>
        <w:tc>
          <w:tcPr>
            <w:tcW w:w="835" w:type="pct"/>
            <w:shd w:val="clear" w:color="auto" w:fill="auto"/>
            <w:vAlign w:val="center"/>
          </w:tcPr>
          <w:p>
            <w:pPr>
              <w:widowControl/>
              <w:snapToGrid w:val="0"/>
              <w:jc w:val="center"/>
              <w:rPr>
                <w:rFonts w:hint="eastAsia"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shd w:val="clear" w:color="auto" w:fill="auto"/>
            <w:vAlign w:val="center"/>
          </w:tcPr>
          <w:p>
            <w:pPr>
              <w:widowControl/>
              <w:snapToGrid w:val="0"/>
              <w:jc w:val="center"/>
              <w:rPr>
                <w:rFonts w:hint="eastAsia" w:ascii="宋体" w:hAnsi="宋体" w:cs="宋体"/>
                <w:bCs/>
                <w:color w:val="auto"/>
                <w:sz w:val="24"/>
                <w:highlight w:val="none"/>
              </w:rPr>
            </w:pPr>
            <w:r>
              <w:rPr>
                <w:rFonts w:hint="eastAsia" w:ascii="宋体" w:hAnsi="宋体" w:cs="宋体"/>
                <w:bCs/>
                <w:color w:val="auto"/>
                <w:sz w:val="24"/>
                <w:highlight w:val="none"/>
              </w:rPr>
              <w:t>5</w:t>
            </w:r>
          </w:p>
        </w:tc>
        <w:tc>
          <w:tcPr>
            <w:tcW w:w="1223" w:type="pct"/>
            <w:gridSpan w:val="2"/>
            <w:shd w:val="clear" w:color="auto" w:fill="auto"/>
            <w:vAlign w:val="center"/>
          </w:tcPr>
          <w:p>
            <w:pPr>
              <w:widowControl/>
              <w:snapToGrid w:val="0"/>
              <w:jc w:val="center"/>
              <w:rPr>
                <w:rFonts w:hint="eastAsia" w:ascii="宋体" w:hAnsi="宋体" w:cs="宋体"/>
                <w:bCs/>
                <w:color w:val="auto"/>
                <w:sz w:val="24"/>
                <w:highlight w:val="none"/>
              </w:rPr>
            </w:pPr>
            <w:r>
              <w:rPr>
                <w:rFonts w:hint="eastAsia" w:ascii="宋体" w:hAnsi="宋体" w:cs="宋体"/>
                <w:b/>
                <w:color w:val="auto"/>
                <w:sz w:val="24"/>
                <w:highlight w:val="none"/>
              </w:rPr>
              <w:t>投标文件编制人员（必填项）</w:t>
            </w:r>
          </w:p>
        </w:tc>
        <w:tc>
          <w:tcPr>
            <w:tcW w:w="543" w:type="pct"/>
            <w:shd w:val="clear" w:color="auto" w:fill="auto"/>
            <w:vAlign w:val="center"/>
          </w:tcPr>
          <w:p>
            <w:pPr>
              <w:widowControl/>
              <w:snapToGrid w:val="0"/>
              <w:jc w:val="center"/>
              <w:rPr>
                <w:rFonts w:hint="eastAsia" w:ascii="宋体" w:hAnsi="宋体" w:cs="宋体"/>
                <w:bCs/>
                <w:color w:val="auto"/>
                <w:sz w:val="24"/>
                <w:highlight w:val="none"/>
              </w:rPr>
            </w:pPr>
          </w:p>
        </w:tc>
        <w:tc>
          <w:tcPr>
            <w:tcW w:w="1188" w:type="pct"/>
            <w:gridSpan w:val="2"/>
            <w:shd w:val="clear" w:color="auto" w:fill="auto"/>
            <w:vAlign w:val="center"/>
          </w:tcPr>
          <w:p>
            <w:pPr>
              <w:widowControl/>
              <w:snapToGrid w:val="0"/>
              <w:jc w:val="center"/>
              <w:rPr>
                <w:rFonts w:hint="eastAsia" w:ascii="宋体" w:hAnsi="宋体" w:cs="宋体"/>
                <w:bCs/>
                <w:color w:val="auto"/>
                <w:sz w:val="24"/>
                <w:highlight w:val="none"/>
              </w:rPr>
            </w:pPr>
          </w:p>
        </w:tc>
        <w:tc>
          <w:tcPr>
            <w:tcW w:w="821" w:type="pct"/>
            <w:shd w:val="clear" w:color="auto" w:fill="auto"/>
            <w:vAlign w:val="center"/>
          </w:tcPr>
          <w:p>
            <w:pPr>
              <w:widowControl/>
              <w:snapToGrid w:val="0"/>
              <w:jc w:val="center"/>
              <w:rPr>
                <w:rFonts w:hint="eastAsia" w:ascii="宋体" w:hAnsi="宋体" w:cs="宋体"/>
                <w:bCs/>
                <w:color w:val="auto"/>
                <w:sz w:val="24"/>
                <w:highlight w:val="none"/>
              </w:rPr>
            </w:pPr>
          </w:p>
        </w:tc>
        <w:tc>
          <w:tcPr>
            <w:tcW w:w="835" w:type="pct"/>
            <w:shd w:val="clear" w:color="auto" w:fill="auto"/>
            <w:vAlign w:val="center"/>
          </w:tcPr>
          <w:p>
            <w:pPr>
              <w:widowControl/>
              <w:snapToGrid w:val="0"/>
              <w:jc w:val="center"/>
              <w:rPr>
                <w:rFonts w:hint="eastAsia"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shd w:val="clear" w:color="auto" w:fill="auto"/>
            <w:vAlign w:val="center"/>
          </w:tcPr>
          <w:p>
            <w:pPr>
              <w:widowControl/>
              <w:snapToGrid w:val="0"/>
              <w:rPr>
                <w:rFonts w:hint="eastAsia" w:ascii="宋体" w:hAnsi="宋体" w:cs="宋体"/>
                <w:b/>
                <w:color w:val="auto"/>
                <w:sz w:val="24"/>
                <w:highlight w:val="none"/>
              </w:rPr>
            </w:pPr>
            <w:r>
              <w:rPr>
                <w:rFonts w:hint="eastAsia" w:ascii="宋体" w:hAnsi="宋体" w:cs="宋体"/>
                <w:b/>
                <w:color w:val="auto"/>
                <w:sz w:val="24"/>
                <w:highlight w:val="none"/>
              </w:rPr>
              <w:t>说明：1.同一职务有多人担任（如主要技术人员），应分行填写。</w:t>
            </w:r>
          </w:p>
          <w:p>
            <w:pPr>
              <w:pStyle w:val="6"/>
              <w:ind w:firstLine="723" w:firstLineChars="300"/>
              <w:rPr>
                <w:rFonts w:hint="eastAsia" w:ascii="宋体" w:hAnsi="宋体" w:cs="宋体"/>
                <w:b/>
                <w:color w:val="auto"/>
                <w:sz w:val="24"/>
                <w:szCs w:val="24"/>
                <w:highlight w:val="none"/>
              </w:rPr>
            </w:pPr>
            <w:r>
              <w:rPr>
                <w:rFonts w:hint="eastAsia" w:ascii="宋体" w:hAnsi="宋体" w:cs="宋体"/>
                <w:b/>
                <w:color w:val="auto"/>
                <w:sz w:val="24"/>
                <w:szCs w:val="24"/>
                <w:highlight w:val="none"/>
              </w:rPr>
              <w:t>2.上述项目负责人、主要技术人员必须为供应商本单位人员。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shd w:val="clear" w:color="auto" w:fill="auto"/>
            <w:vAlign w:val="center"/>
          </w:tcPr>
          <w:p>
            <w:pPr>
              <w:widowControl/>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宋体" w:hAnsi="宋体" w:cs="宋体"/>
                <w:bCs/>
                <w:color w:val="auto"/>
                <w:sz w:val="24"/>
                <w:highlight w:val="none"/>
              </w:rPr>
            </w:pPr>
            <w:r>
              <w:rPr>
                <w:rFonts w:hint="eastAsia" w:ascii="宋体" w:hAnsi="宋体" w:cs="宋体"/>
                <w:bCs/>
                <w:color w:val="auto"/>
                <w:sz w:val="24"/>
                <w:highlight w:val="none"/>
              </w:rPr>
              <w:t>序号</w:t>
            </w:r>
          </w:p>
        </w:tc>
        <w:tc>
          <w:tcPr>
            <w:tcW w:w="122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宋体" w:hAnsi="宋体" w:cs="宋体"/>
                <w:bCs/>
                <w:color w:val="auto"/>
                <w:sz w:val="24"/>
                <w:highlight w:val="none"/>
              </w:rPr>
            </w:pPr>
            <w:r>
              <w:rPr>
                <w:rFonts w:hint="eastAsia" w:ascii="宋体" w:hAnsi="宋体" w:cs="宋体"/>
                <w:bCs/>
                <w:color w:val="auto"/>
                <w:sz w:val="24"/>
                <w:highlight w:val="none"/>
              </w:rPr>
              <w:t>关联关系类型</w:t>
            </w:r>
          </w:p>
        </w:tc>
        <w:tc>
          <w:tcPr>
            <w:tcW w:w="96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宋体" w:hAnsi="宋体" w:cs="宋体"/>
                <w:bCs/>
                <w:color w:val="auto"/>
                <w:sz w:val="24"/>
                <w:highlight w:val="none"/>
              </w:rPr>
            </w:pPr>
            <w:r>
              <w:rPr>
                <w:rFonts w:hint="eastAsia" w:ascii="宋体" w:hAnsi="宋体" w:cs="宋体"/>
                <w:bCs/>
                <w:color w:val="auto"/>
                <w:sz w:val="24"/>
                <w:highlight w:val="none"/>
              </w:rPr>
              <w:t>关联主体名称</w:t>
            </w:r>
          </w:p>
        </w:tc>
        <w:tc>
          <w:tcPr>
            <w:tcW w:w="242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宋体" w:hAnsi="宋体" w:cs="宋体"/>
                <w:bCs/>
                <w:color w:val="auto"/>
                <w:sz w:val="24"/>
                <w:highlight w:val="none"/>
              </w:rPr>
            </w:pPr>
            <w:r>
              <w:rPr>
                <w:rFonts w:hint="eastAsia" w:ascii="宋体" w:hAnsi="宋体" w:cs="宋体"/>
                <w:bCs/>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宋体" w:hAnsi="宋体" w:cs="宋体"/>
                <w:bCs/>
                <w:color w:val="auto"/>
                <w:sz w:val="24"/>
                <w:highlight w:val="none"/>
              </w:rPr>
            </w:pPr>
            <w:r>
              <w:rPr>
                <w:rFonts w:hint="eastAsia" w:ascii="宋体" w:hAnsi="宋体" w:cs="宋体"/>
                <w:bCs/>
                <w:color w:val="auto"/>
                <w:sz w:val="24"/>
                <w:highlight w:val="none"/>
              </w:rPr>
              <w:t>1</w:t>
            </w:r>
          </w:p>
        </w:tc>
        <w:tc>
          <w:tcPr>
            <w:tcW w:w="122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宋体" w:hAnsi="宋体" w:cs="宋体"/>
                <w:bCs/>
                <w:color w:val="auto"/>
                <w:sz w:val="24"/>
                <w:highlight w:val="none"/>
              </w:rPr>
            </w:pPr>
            <w:r>
              <w:rPr>
                <w:rFonts w:hint="eastAsia" w:ascii="宋体" w:hAnsi="宋体" w:cs="宋体"/>
                <w:b/>
                <w:color w:val="auto"/>
                <w:sz w:val="24"/>
                <w:highlight w:val="none"/>
              </w:rPr>
              <w:t>控股股东（必填项）</w:t>
            </w:r>
          </w:p>
        </w:tc>
        <w:tc>
          <w:tcPr>
            <w:tcW w:w="96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宋体" w:hAnsi="宋体" w:cs="宋体"/>
                <w:bCs/>
                <w:color w:val="auto"/>
                <w:sz w:val="24"/>
                <w:highlight w:val="none"/>
              </w:rPr>
            </w:pPr>
          </w:p>
        </w:tc>
        <w:tc>
          <w:tcPr>
            <w:tcW w:w="242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left"/>
              <w:rPr>
                <w:rFonts w:hint="eastAsia" w:ascii="宋体" w:hAnsi="宋体" w:cs="宋体"/>
                <w:bCs/>
                <w:color w:val="auto"/>
                <w:sz w:val="24"/>
                <w:highlight w:val="none"/>
              </w:rPr>
            </w:pPr>
            <w:r>
              <w:rPr>
                <w:rFonts w:hint="eastAsia" w:ascii="宋体" w:hAnsi="宋体" w:cs="宋体"/>
                <w:bCs/>
                <w:color w:val="auto"/>
                <w:sz w:val="24"/>
                <w:highlight w:val="none"/>
              </w:rPr>
              <w:t>1.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p>
            <w:pPr>
              <w:widowControl/>
              <w:snapToGrid w:val="0"/>
              <w:jc w:val="left"/>
              <w:rPr>
                <w:rFonts w:hint="eastAsia" w:ascii="宋体" w:hAnsi="宋体" w:cs="宋体"/>
                <w:bCs/>
                <w:color w:val="auto"/>
                <w:sz w:val="24"/>
                <w:highlight w:val="none"/>
              </w:rPr>
            </w:pPr>
            <w:r>
              <w:rPr>
                <w:rFonts w:hint="eastAsia" w:ascii="宋体" w:hAnsi="宋体" w:cs="宋体"/>
                <w:bCs/>
                <w:color w:val="auto"/>
                <w:sz w:val="24"/>
                <w:highlight w:val="none"/>
              </w:rPr>
              <w:t>2.如股东为法人或其他组织的，请填写法人或组织的全称及统一社会信用代码；如股东为自然人的，请填写姓名及身份证号。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宋体" w:hAnsi="宋体" w:cs="宋体"/>
                <w:bCs/>
                <w:color w:val="auto"/>
                <w:sz w:val="24"/>
                <w:highlight w:val="none"/>
              </w:rPr>
            </w:pPr>
            <w:r>
              <w:rPr>
                <w:rFonts w:hint="eastAsia" w:ascii="宋体" w:hAnsi="宋体" w:cs="宋体"/>
                <w:bCs/>
                <w:color w:val="auto"/>
                <w:sz w:val="24"/>
                <w:highlight w:val="none"/>
              </w:rPr>
              <w:t>2</w:t>
            </w:r>
          </w:p>
        </w:tc>
        <w:tc>
          <w:tcPr>
            <w:tcW w:w="122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宋体" w:hAnsi="宋体" w:cs="宋体"/>
                <w:bCs/>
                <w:color w:val="auto"/>
                <w:sz w:val="24"/>
                <w:highlight w:val="none"/>
              </w:rPr>
            </w:pPr>
            <w:r>
              <w:rPr>
                <w:rFonts w:hint="eastAsia" w:ascii="宋体" w:hAnsi="宋体" w:cs="宋体"/>
                <w:bCs/>
                <w:color w:val="auto"/>
                <w:sz w:val="24"/>
                <w:highlight w:val="none"/>
              </w:rPr>
              <w:t>管理关系（如无，可不填写）</w:t>
            </w:r>
          </w:p>
        </w:tc>
        <w:tc>
          <w:tcPr>
            <w:tcW w:w="96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宋体" w:hAnsi="宋体" w:cs="宋体"/>
                <w:bCs/>
                <w:color w:val="auto"/>
                <w:sz w:val="24"/>
                <w:highlight w:val="none"/>
              </w:rPr>
            </w:pPr>
          </w:p>
        </w:tc>
        <w:tc>
          <w:tcPr>
            <w:tcW w:w="242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left"/>
              <w:rPr>
                <w:rFonts w:hint="eastAsia" w:ascii="宋体" w:hAnsi="宋体" w:cs="宋体"/>
                <w:bCs/>
                <w:color w:val="auto"/>
                <w:sz w:val="24"/>
                <w:highlight w:val="none"/>
              </w:rPr>
            </w:pPr>
            <w:r>
              <w:rPr>
                <w:rFonts w:hint="eastAsia" w:ascii="宋体" w:hAnsi="宋体" w:cs="宋体"/>
                <w:bCs/>
                <w:color w:val="auto"/>
                <w:sz w:val="24"/>
                <w:highlight w:val="none"/>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rPr>
                <w:rFonts w:hint="eastAsia" w:ascii="宋体" w:hAnsi="宋体" w:cs="宋体"/>
                <w:b/>
                <w:color w:val="auto"/>
                <w:sz w:val="24"/>
                <w:highlight w:val="none"/>
              </w:rPr>
            </w:pPr>
            <w:r>
              <w:rPr>
                <w:rFonts w:hint="eastAsia" w:ascii="宋体" w:hAnsi="宋体" w:cs="宋体"/>
                <w:b/>
                <w:color w:val="auto"/>
                <w:sz w:val="24"/>
                <w:highlight w:val="none"/>
              </w:rPr>
              <w:t>说明：</w:t>
            </w:r>
          </w:p>
          <w:p>
            <w:pPr>
              <w:widowControl/>
              <w:snapToGrid w:val="0"/>
              <w:rPr>
                <w:rFonts w:hint="eastAsia" w:ascii="宋体" w:hAnsi="宋体" w:cs="宋体"/>
                <w:b/>
                <w:color w:val="auto"/>
                <w:sz w:val="24"/>
                <w:highlight w:val="none"/>
              </w:rPr>
            </w:pPr>
            <w:r>
              <w:rPr>
                <w:rFonts w:hint="eastAsia" w:ascii="宋体" w:hAnsi="宋体" w:cs="宋体"/>
                <w:b/>
                <w:color w:val="auto"/>
                <w:sz w:val="24"/>
                <w:highlight w:val="none"/>
              </w:rPr>
              <w:t>1.同一关联关系类型有多个主体的，应分行填写。</w:t>
            </w:r>
          </w:p>
          <w:p>
            <w:pPr>
              <w:pStyle w:val="6"/>
              <w:ind w:firstLine="0" w:firstLineChars="0"/>
              <w:rPr>
                <w:rFonts w:hint="eastAsia" w:ascii="宋体" w:hAnsi="宋体" w:cs="宋体"/>
                <w:color w:val="auto"/>
                <w:sz w:val="24"/>
                <w:szCs w:val="24"/>
                <w:highlight w:val="none"/>
              </w:rPr>
            </w:pPr>
            <w:r>
              <w:rPr>
                <w:rFonts w:hint="eastAsia" w:ascii="宋体" w:hAnsi="宋体" w:cs="宋体"/>
                <w:b/>
                <w:color w:val="auto"/>
                <w:sz w:val="24"/>
                <w:szCs w:val="24"/>
                <w:highlight w:val="none"/>
              </w:rPr>
              <w:t>2.上述规定的控股、管理关系仅限于直接控股、直接管理关系，不包括间接的控股或管理关系。</w:t>
            </w:r>
          </w:p>
        </w:tc>
      </w:tr>
    </w:tbl>
    <w:p>
      <w:pPr>
        <w:snapToGrid w:val="0"/>
        <w:rPr>
          <w:rFonts w:hint="eastAsia" w:ascii="宋体" w:hAnsi="宋体" w:cs="宋体"/>
          <w:b/>
          <w:color w:val="auto"/>
          <w:sz w:val="24"/>
          <w:highlight w:val="none"/>
        </w:rPr>
      </w:pPr>
      <w:r>
        <w:rPr>
          <w:rFonts w:hint="eastAsia" w:ascii="宋体" w:hAnsi="宋体" w:cs="宋体"/>
          <w:b/>
          <w:color w:val="auto"/>
          <w:sz w:val="24"/>
          <w:highlight w:val="none"/>
        </w:rPr>
        <w:t>备注：注明“必填项”的必须填写；未注明“必填项”的，如供应商未填写则视为未安排（或无）。</w:t>
      </w:r>
    </w:p>
    <w:p>
      <w:pPr>
        <w:widowControl/>
        <w:snapToGrid w:val="0"/>
        <w:rPr>
          <w:rFonts w:hint="eastAsia" w:ascii="宋体" w:hAnsi="宋体" w:cs="宋体"/>
          <w:b/>
          <w:color w:val="auto"/>
          <w:sz w:val="24"/>
          <w:highlight w:val="none"/>
        </w:rPr>
      </w:pPr>
    </w:p>
    <w:p>
      <w:pPr>
        <w:snapToGrid w:val="0"/>
        <w:rPr>
          <w:rFonts w:hint="eastAsia" w:ascii="宋体" w:hAnsi="宋体" w:cs="宋体"/>
          <w:b/>
          <w:color w:val="auto"/>
          <w:sz w:val="28"/>
          <w:szCs w:val="28"/>
          <w:highlight w:val="none"/>
        </w:rPr>
      </w:pPr>
      <w:r>
        <w:rPr>
          <w:rFonts w:hint="eastAsia" w:ascii="宋体" w:hAnsi="宋体" w:cs="宋体"/>
          <w:b/>
          <w:color w:val="auto"/>
          <w:sz w:val="28"/>
          <w:szCs w:val="28"/>
          <w:highlight w:val="none"/>
        </w:rPr>
        <w:t>2.社保</w:t>
      </w:r>
      <w:bookmarkStart w:id="89" w:name="OLE_LINK9"/>
      <w:r>
        <w:rPr>
          <w:rFonts w:hint="eastAsia" w:ascii="宋体" w:hAnsi="宋体" w:cs="宋体"/>
          <w:b/>
          <w:color w:val="auto"/>
          <w:sz w:val="28"/>
          <w:szCs w:val="28"/>
          <w:highlight w:val="none"/>
        </w:rPr>
        <w:t>证明</w:t>
      </w:r>
      <w:bookmarkEnd w:id="89"/>
      <w:r>
        <w:rPr>
          <w:rFonts w:hint="eastAsia" w:ascii="宋体" w:hAnsi="宋体" w:cs="宋体"/>
          <w:b/>
          <w:color w:val="auto"/>
          <w:sz w:val="28"/>
          <w:szCs w:val="28"/>
          <w:highlight w:val="none"/>
        </w:rPr>
        <w:t>材料：</w:t>
      </w:r>
    </w:p>
    <w:p>
      <w:pPr>
        <w:widowControl/>
        <w:snapToGrid w:val="0"/>
        <w:rPr>
          <w:rFonts w:hint="eastAsia" w:ascii="宋体" w:hAnsi="宋体" w:cs="宋体"/>
          <w:bCs/>
          <w:color w:val="auto"/>
          <w:sz w:val="24"/>
          <w:highlight w:val="none"/>
        </w:rPr>
      </w:pPr>
      <w:r>
        <w:rPr>
          <w:rFonts w:hint="eastAsia" w:ascii="宋体" w:hAnsi="宋体" w:cs="宋体"/>
          <w:bCs/>
          <w:color w:val="auto"/>
          <w:sz w:val="24"/>
          <w:highlight w:val="none"/>
        </w:rPr>
        <w:t>（1）法定代表人/单位负责人/主要经营负责人</w:t>
      </w:r>
    </w:p>
    <w:p>
      <w:pPr>
        <w:widowControl/>
        <w:snapToGrid w:val="0"/>
        <w:rPr>
          <w:rFonts w:hint="eastAsia" w:ascii="宋体" w:hAnsi="宋体" w:cs="宋体"/>
          <w:bCs/>
          <w:color w:val="auto"/>
          <w:sz w:val="24"/>
          <w:highlight w:val="none"/>
        </w:rPr>
      </w:pPr>
      <w:r>
        <w:rPr>
          <w:rFonts w:hint="eastAsia" w:ascii="宋体" w:hAnsi="宋体" w:cs="宋体"/>
          <w:bCs/>
          <w:color w:val="auto"/>
          <w:sz w:val="24"/>
          <w:highlight w:val="none"/>
        </w:rPr>
        <w:t>开标前一个月的社保缴纳凭证：</w:t>
      </w:r>
    </w:p>
    <w:p>
      <w:pPr>
        <w:pStyle w:val="6"/>
        <w:widowControl/>
        <w:ind w:firstLine="480"/>
        <w:rPr>
          <w:rFonts w:hint="eastAsia" w:ascii="宋体" w:hAnsi="宋体" w:cs="宋体"/>
          <w:bCs/>
          <w:color w:val="auto"/>
          <w:sz w:val="24"/>
          <w:szCs w:val="24"/>
          <w:highlight w:val="none"/>
        </w:rPr>
      </w:pPr>
    </w:p>
    <w:p>
      <w:pPr>
        <w:widowControl/>
        <w:snapToGrid w:val="0"/>
        <w:rPr>
          <w:rFonts w:hint="eastAsia" w:ascii="宋体" w:hAnsi="宋体" w:cs="宋体"/>
          <w:bCs/>
          <w:color w:val="auto"/>
          <w:sz w:val="24"/>
          <w:highlight w:val="none"/>
        </w:rPr>
      </w:pPr>
      <w:r>
        <w:rPr>
          <w:rFonts w:hint="eastAsia" w:ascii="宋体" w:hAnsi="宋体" w:cs="宋体"/>
          <w:bCs/>
          <w:color w:val="auto"/>
          <w:sz w:val="24"/>
          <w:highlight w:val="none"/>
        </w:rPr>
        <w:t>（2）投标授权代表人</w:t>
      </w:r>
    </w:p>
    <w:p>
      <w:pPr>
        <w:widowControl/>
        <w:snapToGrid w:val="0"/>
        <w:rPr>
          <w:rFonts w:hint="eastAsia" w:ascii="宋体" w:hAnsi="宋体" w:cs="宋体"/>
          <w:bCs/>
          <w:color w:val="auto"/>
          <w:sz w:val="24"/>
          <w:highlight w:val="none"/>
        </w:rPr>
      </w:pPr>
      <w:r>
        <w:rPr>
          <w:rFonts w:hint="eastAsia" w:ascii="宋体" w:hAnsi="宋体" w:cs="宋体"/>
          <w:bCs/>
          <w:color w:val="auto"/>
          <w:sz w:val="24"/>
          <w:highlight w:val="none"/>
        </w:rPr>
        <w:t>身份证复印件（正反面）：</w:t>
      </w:r>
    </w:p>
    <w:p>
      <w:pPr>
        <w:widowControl/>
        <w:snapToGrid w:val="0"/>
        <w:rPr>
          <w:rFonts w:hint="eastAsia" w:ascii="宋体" w:hAnsi="宋体" w:cs="宋体"/>
          <w:bCs/>
          <w:color w:val="auto"/>
          <w:sz w:val="24"/>
          <w:highlight w:val="none"/>
        </w:rPr>
      </w:pPr>
      <w:r>
        <w:rPr>
          <w:rFonts w:hint="eastAsia" w:ascii="宋体" w:hAnsi="宋体" w:cs="宋体"/>
          <w:bCs/>
          <w:color w:val="auto"/>
          <w:sz w:val="24"/>
          <w:highlight w:val="none"/>
        </w:rPr>
        <w:t>开标前一个月的社保缴纳凭证：</w:t>
      </w:r>
    </w:p>
    <w:p>
      <w:pPr>
        <w:pStyle w:val="6"/>
        <w:widowControl/>
        <w:ind w:firstLine="480"/>
        <w:rPr>
          <w:rFonts w:hint="eastAsia" w:ascii="宋体" w:hAnsi="宋体" w:cs="宋体"/>
          <w:bCs/>
          <w:color w:val="auto"/>
          <w:sz w:val="24"/>
          <w:szCs w:val="24"/>
          <w:highlight w:val="none"/>
        </w:rPr>
      </w:pPr>
    </w:p>
    <w:p>
      <w:pPr>
        <w:widowControl/>
        <w:snapToGrid w:val="0"/>
        <w:rPr>
          <w:rFonts w:hint="eastAsia" w:ascii="宋体" w:hAnsi="宋体" w:cs="宋体"/>
          <w:bCs/>
          <w:color w:val="auto"/>
          <w:sz w:val="24"/>
          <w:highlight w:val="none"/>
        </w:rPr>
      </w:pPr>
      <w:r>
        <w:rPr>
          <w:rFonts w:hint="eastAsia" w:ascii="宋体" w:hAnsi="宋体" w:cs="宋体"/>
          <w:bCs/>
          <w:color w:val="auto"/>
          <w:sz w:val="24"/>
          <w:highlight w:val="none"/>
        </w:rPr>
        <w:t>（3）项目负责人（如本项目未安排，可不提供）</w:t>
      </w:r>
    </w:p>
    <w:p>
      <w:pPr>
        <w:widowControl/>
        <w:snapToGrid w:val="0"/>
        <w:rPr>
          <w:rFonts w:hint="eastAsia" w:ascii="宋体" w:hAnsi="宋体" w:cs="宋体"/>
          <w:bCs/>
          <w:color w:val="auto"/>
          <w:sz w:val="24"/>
          <w:highlight w:val="none"/>
        </w:rPr>
      </w:pPr>
      <w:r>
        <w:rPr>
          <w:rFonts w:hint="eastAsia" w:ascii="宋体" w:hAnsi="宋体" w:cs="宋体"/>
          <w:bCs/>
          <w:color w:val="auto"/>
          <w:sz w:val="24"/>
          <w:highlight w:val="none"/>
        </w:rPr>
        <w:t>开标前一个月的社保缴纳凭证：</w:t>
      </w:r>
    </w:p>
    <w:p>
      <w:pPr>
        <w:pStyle w:val="6"/>
        <w:widowControl/>
        <w:ind w:firstLine="480"/>
        <w:rPr>
          <w:rFonts w:hint="eastAsia" w:ascii="宋体" w:hAnsi="宋体" w:cs="宋体"/>
          <w:bCs/>
          <w:color w:val="auto"/>
          <w:sz w:val="24"/>
          <w:szCs w:val="24"/>
          <w:highlight w:val="none"/>
        </w:rPr>
      </w:pPr>
    </w:p>
    <w:p>
      <w:pPr>
        <w:widowControl/>
        <w:snapToGrid w:val="0"/>
        <w:rPr>
          <w:rFonts w:hint="eastAsia" w:ascii="宋体" w:hAnsi="宋体" w:cs="宋体"/>
          <w:bCs/>
          <w:color w:val="auto"/>
          <w:sz w:val="24"/>
          <w:highlight w:val="none"/>
        </w:rPr>
      </w:pPr>
      <w:r>
        <w:rPr>
          <w:rFonts w:hint="eastAsia" w:ascii="宋体" w:hAnsi="宋体" w:cs="宋体"/>
          <w:bCs/>
          <w:color w:val="auto"/>
          <w:sz w:val="24"/>
          <w:highlight w:val="none"/>
        </w:rPr>
        <w:t>（4）主要技术人员（如本项目未安排，可不提供）</w:t>
      </w:r>
    </w:p>
    <w:p>
      <w:pPr>
        <w:widowControl/>
        <w:snapToGrid w:val="0"/>
        <w:rPr>
          <w:rFonts w:hint="eastAsia" w:ascii="宋体" w:hAnsi="宋体" w:cs="宋体"/>
          <w:bCs/>
          <w:color w:val="auto"/>
          <w:sz w:val="24"/>
          <w:highlight w:val="none"/>
        </w:rPr>
      </w:pPr>
      <w:r>
        <w:rPr>
          <w:rFonts w:hint="eastAsia" w:ascii="宋体" w:hAnsi="宋体" w:cs="宋体"/>
          <w:bCs/>
          <w:color w:val="auto"/>
          <w:sz w:val="24"/>
          <w:highlight w:val="none"/>
        </w:rPr>
        <w:t>身份证复印件（正反面）：</w:t>
      </w:r>
    </w:p>
    <w:p>
      <w:pPr>
        <w:widowControl/>
        <w:snapToGrid w:val="0"/>
        <w:rPr>
          <w:rFonts w:hint="eastAsia" w:ascii="宋体" w:hAnsi="宋体" w:cs="宋体"/>
          <w:bCs/>
          <w:color w:val="auto"/>
          <w:sz w:val="24"/>
          <w:highlight w:val="none"/>
        </w:rPr>
      </w:pPr>
      <w:r>
        <w:rPr>
          <w:rFonts w:hint="eastAsia" w:ascii="宋体" w:hAnsi="宋体" w:cs="宋体"/>
          <w:bCs/>
          <w:color w:val="auto"/>
          <w:sz w:val="24"/>
          <w:highlight w:val="none"/>
        </w:rPr>
        <w:t>开标前一个月的社保缴纳凭证：</w:t>
      </w:r>
    </w:p>
    <w:p>
      <w:pPr>
        <w:pStyle w:val="6"/>
        <w:widowControl/>
        <w:ind w:firstLine="480"/>
        <w:rPr>
          <w:rFonts w:hint="eastAsia" w:ascii="宋体" w:hAnsi="宋体" w:cs="宋体"/>
          <w:bCs/>
          <w:color w:val="auto"/>
          <w:sz w:val="24"/>
          <w:szCs w:val="24"/>
          <w:highlight w:val="none"/>
        </w:rPr>
      </w:pPr>
    </w:p>
    <w:p>
      <w:pPr>
        <w:widowControl/>
        <w:numPr>
          <w:ilvl w:val="0"/>
          <w:numId w:val="17"/>
        </w:numPr>
        <w:snapToGrid w:val="0"/>
        <w:rPr>
          <w:rFonts w:hint="eastAsia" w:ascii="宋体" w:hAnsi="宋体" w:cs="宋体"/>
          <w:bCs/>
          <w:color w:val="auto"/>
          <w:sz w:val="24"/>
          <w:highlight w:val="none"/>
        </w:rPr>
      </w:pPr>
      <w:r>
        <w:rPr>
          <w:rFonts w:hint="eastAsia" w:ascii="宋体" w:hAnsi="宋体" w:cs="宋体"/>
          <w:bCs/>
          <w:color w:val="auto"/>
          <w:sz w:val="24"/>
          <w:highlight w:val="none"/>
        </w:rPr>
        <w:t>投标文件编制人员</w:t>
      </w:r>
    </w:p>
    <w:p>
      <w:pPr>
        <w:widowControl/>
        <w:snapToGrid w:val="0"/>
        <w:rPr>
          <w:rFonts w:hint="eastAsia" w:ascii="宋体" w:hAnsi="宋体" w:cs="宋体"/>
          <w:bCs/>
          <w:color w:val="auto"/>
          <w:sz w:val="24"/>
          <w:highlight w:val="none"/>
        </w:rPr>
      </w:pPr>
      <w:r>
        <w:rPr>
          <w:rFonts w:hint="eastAsia" w:ascii="宋体" w:hAnsi="宋体" w:cs="宋体"/>
          <w:bCs/>
          <w:color w:val="auto"/>
          <w:sz w:val="24"/>
          <w:highlight w:val="none"/>
        </w:rPr>
        <w:t>身份证复印件（正反面）：</w:t>
      </w:r>
    </w:p>
    <w:p>
      <w:pPr>
        <w:widowControl/>
        <w:snapToGrid w:val="0"/>
        <w:rPr>
          <w:rFonts w:hint="eastAsia" w:ascii="宋体" w:hAnsi="宋体" w:cs="宋体"/>
          <w:bCs/>
          <w:color w:val="auto"/>
          <w:sz w:val="24"/>
          <w:highlight w:val="none"/>
        </w:rPr>
      </w:pPr>
      <w:r>
        <w:rPr>
          <w:rFonts w:hint="eastAsia" w:ascii="宋体" w:hAnsi="宋体" w:cs="宋体"/>
          <w:bCs/>
          <w:color w:val="auto"/>
          <w:sz w:val="24"/>
          <w:highlight w:val="none"/>
        </w:rPr>
        <w:t>开标前一个月的社保缴纳凭证：</w:t>
      </w:r>
    </w:p>
    <w:p>
      <w:pPr>
        <w:pStyle w:val="6"/>
        <w:widowControl/>
        <w:ind w:firstLine="480"/>
        <w:rPr>
          <w:rFonts w:hint="eastAsia" w:ascii="宋体" w:hAnsi="宋体" w:cs="宋体"/>
          <w:color w:val="auto"/>
          <w:sz w:val="24"/>
          <w:szCs w:val="24"/>
          <w:highlight w:val="none"/>
        </w:rPr>
      </w:pPr>
    </w:p>
    <w:p>
      <w:pPr>
        <w:widowControl/>
        <w:snapToGrid w:val="0"/>
        <w:rPr>
          <w:rFonts w:hint="eastAsia" w:ascii="宋体" w:hAnsi="宋体" w:cs="宋体"/>
          <w:bCs/>
          <w:color w:val="auto"/>
          <w:sz w:val="24"/>
          <w:highlight w:val="none"/>
        </w:rPr>
      </w:pPr>
      <w:r>
        <w:rPr>
          <w:rFonts w:hint="eastAsia" w:ascii="宋体" w:hAnsi="宋体" w:cs="宋体"/>
          <w:bCs/>
          <w:color w:val="auto"/>
          <w:sz w:val="24"/>
          <w:highlight w:val="none"/>
        </w:rPr>
        <w:t>注：</w:t>
      </w:r>
    </w:p>
    <w:p>
      <w:pPr>
        <w:widowControl/>
        <w:snapToGrid w:val="0"/>
        <w:rPr>
          <w:rFonts w:hint="eastAsia" w:ascii="宋体" w:hAnsi="宋体" w:cs="宋体"/>
          <w:bCs/>
          <w:color w:val="auto"/>
          <w:sz w:val="24"/>
          <w:highlight w:val="none"/>
        </w:rPr>
      </w:pPr>
      <w:r>
        <w:rPr>
          <w:rFonts w:hint="eastAsia" w:ascii="宋体" w:hAnsi="宋体" w:cs="宋体"/>
          <w:bCs/>
          <w:color w:val="auto"/>
          <w:sz w:val="24"/>
          <w:highlight w:val="none"/>
        </w:rPr>
        <w:t>1.如开标前近一个月的社保材料因社保部门原因暂时无法取得，则可以往前顺延一个月。其中项目负责人及主要技术人员社保证明须由供应商缴纳。</w:t>
      </w:r>
    </w:p>
    <w:p>
      <w:pPr>
        <w:widowControl/>
        <w:snapToGrid w:val="0"/>
        <w:rPr>
          <w:rFonts w:hint="eastAsia" w:ascii="宋体" w:hAnsi="宋体" w:cs="宋体"/>
          <w:bCs/>
          <w:color w:val="auto"/>
          <w:sz w:val="24"/>
          <w:highlight w:val="none"/>
        </w:rPr>
      </w:pPr>
      <w:r>
        <w:rPr>
          <w:rFonts w:hint="eastAsia" w:ascii="宋体" w:hAnsi="宋体" w:cs="宋体"/>
          <w:bCs/>
          <w:color w:val="auto"/>
          <w:sz w:val="24"/>
          <w:highlight w:val="none"/>
        </w:rPr>
        <w:t>2.供应商的项目投标授权代表人与法定代表人为同一人的，则须提供法定代表人的社保证明；本项目未安排项目负责人的，则无须提供项目负责人的社保证明。</w:t>
      </w:r>
    </w:p>
    <w:p>
      <w:pPr>
        <w:widowControl/>
        <w:snapToGrid w:val="0"/>
        <w:rPr>
          <w:rFonts w:hint="eastAsia" w:ascii="宋体" w:hAnsi="宋体" w:cs="宋体"/>
          <w:bCs/>
          <w:color w:val="auto"/>
          <w:sz w:val="24"/>
          <w:highlight w:val="none"/>
        </w:rPr>
      </w:pPr>
      <w:r>
        <w:rPr>
          <w:rFonts w:hint="eastAsia" w:ascii="宋体" w:hAnsi="宋体" w:cs="宋体"/>
          <w:bCs/>
          <w:color w:val="auto"/>
          <w:sz w:val="24"/>
          <w:highlight w:val="none"/>
        </w:rPr>
        <w:t>3.如无法按上述要求提供人员社会保险证明材料的，提交以下材料亦视为符合：</w:t>
      </w:r>
    </w:p>
    <w:p>
      <w:pPr>
        <w:widowControl/>
        <w:snapToGrid w:val="0"/>
        <w:rPr>
          <w:rFonts w:hint="eastAsia" w:ascii="宋体" w:hAnsi="宋体" w:cs="宋体"/>
          <w:bCs/>
          <w:color w:val="auto"/>
          <w:sz w:val="24"/>
          <w:highlight w:val="none"/>
        </w:rPr>
      </w:pPr>
      <w:r>
        <w:rPr>
          <w:rFonts w:hint="eastAsia" w:ascii="宋体" w:hAnsi="宋体" w:cs="宋体"/>
          <w:bCs/>
          <w:color w:val="auto"/>
          <w:sz w:val="24"/>
          <w:highlight w:val="none"/>
        </w:rPr>
        <w:t>若供应商为新成立企业且成立时间不足一个月，提供加盖投标人公章的情况说明或者证明材料。若为退休人员，提供退休证明。如依法不需要缴纳社会保险的，应提供相应文件证明。若因为社保部门原因无法提供的，需提供劳动合同及社保部门官方通知证明(或官网公告截图)。</w:t>
      </w:r>
    </w:p>
    <w:p>
      <w:pPr>
        <w:snapToGrid w:val="0"/>
        <w:rPr>
          <w:rFonts w:hint="eastAsia" w:ascii="宋体" w:hAnsi="宋体" w:cs="宋体"/>
          <w:b/>
          <w:color w:val="auto"/>
          <w:sz w:val="28"/>
          <w:szCs w:val="28"/>
          <w:highlight w:val="none"/>
        </w:rPr>
      </w:pPr>
    </w:p>
    <w:p>
      <w:pPr>
        <w:snapToGrid w:val="0"/>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r>
        <w:rPr>
          <w:rFonts w:hint="eastAsia" w:ascii="宋体" w:hAnsi="宋体" w:cs="宋体"/>
          <w:b/>
          <w:color w:val="auto"/>
          <w:sz w:val="28"/>
          <w:szCs w:val="28"/>
          <w:highlight w:val="none"/>
        </w:rPr>
        <w:t>3.</w:t>
      </w:r>
      <w:bookmarkStart w:id="90" w:name="OLE_LINK10"/>
      <w:r>
        <w:rPr>
          <w:rFonts w:hint="eastAsia" w:ascii="宋体" w:hAnsi="宋体" w:cs="宋体"/>
          <w:b/>
          <w:color w:val="auto"/>
          <w:sz w:val="28"/>
          <w:szCs w:val="28"/>
          <w:highlight w:val="none"/>
        </w:rPr>
        <w:t>股权关系证明</w:t>
      </w:r>
      <w:bookmarkEnd w:id="90"/>
      <w:r>
        <w:rPr>
          <w:rFonts w:hint="eastAsia" w:ascii="宋体" w:hAnsi="宋体" w:cs="宋体"/>
          <w:b/>
          <w:color w:val="auto"/>
          <w:sz w:val="28"/>
          <w:szCs w:val="28"/>
          <w:highlight w:val="none"/>
        </w:rPr>
        <w:t>材料：</w:t>
      </w:r>
    </w:p>
    <w:p>
      <w:pPr>
        <w:widowControl/>
        <w:snapToGrid w:val="0"/>
        <w:rPr>
          <w:rFonts w:hint="eastAsia" w:ascii="宋体" w:hAnsi="宋体" w:cs="宋体"/>
          <w:b/>
          <w:color w:val="auto"/>
          <w:sz w:val="24"/>
          <w:highlight w:val="none"/>
        </w:rPr>
      </w:pPr>
      <w:r>
        <w:rPr>
          <w:rFonts w:hint="eastAsia" w:ascii="宋体" w:hAnsi="宋体" w:cs="宋体"/>
          <w:b/>
          <w:color w:val="auto"/>
          <w:sz w:val="24"/>
          <w:highlight w:val="none"/>
        </w:rPr>
        <w:t>（1）股权（或管理）关系证明材料：</w:t>
      </w:r>
    </w:p>
    <w:p>
      <w:pPr>
        <w:widowControl/>
        <w:snapToGrid w:val="0"/>
        <w:rPr>
          <w:rFonts w:hint="eastAsia" w:ascii="宋体" w:hAnsi="宋体" w:cs="宋体"/>
          <w:bCs/>
          <w:color w:val="auto"/>
          <w:sz w:val="24"/>
          <w:highlight w:val="none"/>
        </w:rPr>
      </w:pPr>
      <w:r>
        <w:rPr>
          <w:rFonts w:hint="eastAsia" w:ascii="宋体" w:hAnsi="宋体" w:cs="宋体"/>
          <w:bCs/>
          <w:color w:val="auto"/>
          <w:sz w:val="24"/>
          <w:highlight w:val="none"/>
        </w:rPr>
        <w:t>（通过国家企业信用信息公示系统(https://www.gsxt.gov.cn/index.html）、或机关赋码和事业单位登记管理网（http://gjsy.gov.cn/sydwfrxxcx/)、或全国社会组织信用信息公示平台（https://xxgs.chinanpo.mca.gov.cn/gsxt/newList 等网站查询的最新股权（或管理）关系截图）</w:t>
      </w:r>
    </w:p>
    <w:p>
      <w:pPr>
        <w:jc w:val="left"/>
        <w:rPr>
          <w:rFonts w:hint="eastAsia" w:ascii="宋体" w:hAnsi="宋体" w:cs="宋体"/>
          <w:color w:val="auto"/>
          <w:sz w:val="24"/>
          <w:highlight w:val="none"/>
        </w:rPr>
      </w:pPr>
    </w:p>
    <w:p>
      <w:pPr>
        <w:widowControl/>
        <w:snapToGrid w:val="0"/>
        <w:jc w:val="left"/>
        <w:rPr>
          <w:rFonts w:hint="eastAsia" w:ascii="宋体" w:hAnsi="宋体" w:cs="宋体"/>
          <w:b/>
          <w:color w:val="auto"/>
          <w:sz w:val="24"/>
          <w:highlight w:val="none"/>
        </w:rPr>
      </w:pPr>
      <w:r>
        <w:rPr>
          <w:rFonts w:hint="eastAsia" w:ascii="宋体" w:hAnsi="宋体" w:cs="宋体"/>
          <w:b/>
          <w:color w:val="auto"/>
          <w:sz w:val="24"/>
          <w:highlight w:val="none"/>
        </w:rPr>
        <w:t>（2）股权关系情况承诺函</w:t>
      </w:r>
    </w:p>
    <w:p>
      <w:pPr>
        <w:widowControl/>
        <w:snapToGrid w:val="0"/>
        <w:ind w:firstLine="482" w:firstLineChars="200"/>
        <w:jc w:val="center"/>
        <w:rPr>
          <w:rFonts w:hint="eastAsia" w:ascii="宋体" w:hAnsi="宋体" w:cs="宋体"/>
          <w:bCs/>
          <w:color w:val="auto"/>
          <w:sz w:val="24"/>
          <w:highlight w:val="none"/>
        </w:rPr>
      </w:pPr>
      <w:r>
        <w:rPr>
          <w:rFonts w:hint="eastAsia" w:ascii="宋体" w:hAnsi="宋体" w:cs="宋体"/>
          <w:b/>
          <w:color w:val="auto"/>
          <w:sz w:val="24"/>
          <w:highlight w:val="none"/>
        </w:rPr>
        <w:t>《股权关系情况承诺函》</w:t>
      </w:r>
    </w:p>
    <w:p>
      <w:pPr>
        <w:widowControl/>
        <w:snapToGrid w:val="0"/>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我公司申请参加</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项目（项目编号为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）的投标，并作出如下承诺：</w:t>
      </w:r>
    </w:p>
    <w:p>
      <w:pPr>
        <w:widowControl/>
        <w:snapToGrid w:val="0"/>
        <w:rPr>
          <w:rFonts w:hint="eastAsia" w:ascii="宋体" w:hAnsi="宋体" w:cs="宋体"/>
          <w:bCs/>
          <w:color w:val="auto"/>
          <w:sz w:val="24"/>
          <w:highlight w:val="none"/>
        </w:rPr>
      </w:pPr>
      <w:r>
        <w:rPr>
          <w:rFonts w:hint="eastAsia" w:ascii="宋体" w:hAnsi="宋体" w:cs="宋体"/>
          <w:bCs/>
          <w:color w:val="auto"/>
          <w:sz w:val="24"/>
          <w:highlight w:val="none"/>
        </w:rPr>
        <w:t>我公司承诺所填的股权关系情况真实、准确、完整。</w:t>
      </w:r>
    </w:p>
    <w:p>
      <w:pPr>
        <w:widowControl/>
        <w:snapToGrid w:val="0"/>
        <w:rPr>
          <w:rFonts w:hint="eastAsia" w:ascii="宋体" w:hAnsi="宋体" w:cs="宋体"/>
          <w:bCs/>
          <w:color w:val="auto"/>
          <w:sz w:val="24"/>
          <w:highlight w:val="none"/>
        </w:rPr>
      </w:pPr>
      <w:r>
        <w:rPr>
          <w:rFonts w:hint="eastAsia" w:ascii="宋体" w:hAnsi="宋体" w:cs="宋体"/>
          <w:bCs/>
          <w:color w:val="auto"/>
          <w:sz w:val="24"/>
          <w:highlight w:val="none"/>
        </w:rPr>
        <w:t>我公司承诺自股权关系证明材料查询之日起至本项目投标截止日止，股权关系如发生变更，将在投标文件中另行申明并附证明材料，保证不出现违背《中华人民共和国政府采购法实施条例》第十八条规定的情形。否则，自愿承担因此产生的不利后果而无异议。</w:t>
      </w:r>
    </w:p>
    <w:p>
      <w:pPr>
        <w:widowControl/>
        <w:snapToGrid w:val="0"/>
        <w:rPr>
          <w:rFonts w:hint="eastAsia" w:ascii="宋体" w:hAnsi="宋体" w:cs="宋体"/>
          <w:bCs/>
          <w:color w:val="auto"/>
          <w:sz w:val="24"/>
          <w:highlight w:val="none"/>
        </w:rPr>
      </w:pPr>
      <w:r>
        <w:rPr>
          <w:rFonts w:hint="eastAsia" w:ascii="宋体" w:hAnsi="宋体" w:cs="宋体"/>
          <w:bCs/>
          <w:color w:val="auto"/>
          <w:sz w:val="24"/>
          <w:highlight w:val="none"/>
        </w:rPr>
        <w:t>特此承诺！</w:t>
      </w:r>
    </w:p>
    <w:p>
      <w:pPr>
        <w:widowControl/>
        <w:snapToGrid w:val="0"/>
        <w:rPr>
          <w:rFonts w:hint="eastAsia" w:ascii="宋体" w:hAnsi="宋体" w:cs="宋体"/>
          <w:bCs/>
          <w:color w:val="auto"/>
          <w:sz w:val="24"/>
          <w:highlight w:val="none"/>
        </w:rPr>
      </w:pPr>
    </w:p>
    <w:p>
      <w:pPr>
        <w:widowControl/>
        <w:snapToGrid w:val="0"/>
        <w:rPr>
          <w:rFonts w:hint="eastAsia" w:ascii="宋体" w:hAnsi="宋体" w:cs="宋体"/>
          <w:bCs/>
          <w:color w:val="auto"/>
          <w:sz w:val="24"/>
          <w:highlight w:val="none"/>
        </w:rPr>
      </w:pPr>
      <w:r>
        <w:rPr>
          <w:rFonts w:hint="eastAsia" w:ascii="宋体" w:hAnsi="宋体" w:cs="宋体"/>
          <w:bCs/>
          <w:color w:val="auto"/>
          <w:sz w:val="24"/>
          <w:highlight w:val="none"/>
        </w:rPr>
        <w:t xml:space="preserve">                                供应商名称（加盖公章</w:t>
      </w:r>
      <w:r>
        <w:rPr>
          <w:rFonts w:hint="eastAsia" w:ascii="宋体" w:hAnsi="宋体" w:cs="宋体"/>
          <w:bCs/>
          <w:color w:val="auto"/>
          <w:sz w:val="24"/>
          <w:highlight w:val="none"/>
        </w:rPr>
        <w:tab/>
      </w:r>
      <w:r>
        <w:rPr>
          <w:rFonts w:hint="eastAsia" w:ascii="宋体" w:hAnsi="宋体" w:cs="宋体"/>
          <w:bCs/>
          <w:color w:val="auto"/>
          <w:sz w:val="24"/>
          <w:highlight w:val="none"/>
        </w:rPr>
        <w:t xml:space="preserve">）： </w:t>
      </w:r>
    </w:p>
    <w:p>
      <w:pPr>
        <w:widowControl/>
        <w:snapToGrid w:val="0"/>
        <w:ind w:firstLine="3840" w:firstLineChars="1600"/>
        <w:rPr>
          <w:rFonts w:hint="eastAsia" w:ascii="宋体" w:hAnsi="宋体" w:cs="宋体"/>
          <w:bCs/>
          <w:color w:val="auto"/>
          <w:sz w:val="24"/>
          <w:highlight w:val="none"/>
        </w:rPr>
      </w:pPr>
      <w:r>
        <w:rPr>
          <w:rFonts w:hint="eastAsia" w:ascii="宋体" w:hAnsi="宋体" w:cs="宋体"/>
          <w:bCs/>
          <w:color w:val="auto"/>
          <w:sz w:val="24"/>
          <w:highlight w:val="none"/>
        </w:rPr>
        <w:t>日  期：       年    月   日</w:t>
      </w:r>
    </w:p>
    <w:p>
      <w:pPr>
        <w:widowControl/>
        <w:snapToGrid w:val="0"/>
        <w:rPr>
          <w:rFonts w:hint="eastAsia" w:ascii="宋体" w:hAnsi="宋体" w:cs="宋体"/>
          <w:bCs/>
          <w:color w:val="auto"/>
          <w:sz w:val="24"/>
          <w:highlight w:val="none"/>
        </w:rPr>
      </w:pPr>
    </w:p>
    <w:p>
      <w:pPr>
        <w:tabs>
          <w:tab w:val="left" w:pos="640"/>
          <w:tab w:val="left" w:pos="840"/>
          <w:tab w:val="left" w:pos="1260"/>
          <w:tab w:val="left" w:pos="1418"/>
        </w:tabs>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注：代理机构将于截标当日同步通过上述网站进行查询，查询结果与供应商填报信息不一致的，以代理机构于截标当日的查询结果为准。</w:t>
      </w:r>
      <w:bookmarkEnd w:id="88"/>
    </w:p>
    <w:p>
      <w:pPr>
        <w:tabs>
          <w:tab w:val="left" w:pos="840"/>
          <w:tab w:val="left" w:pos="1119"/>
          <w:tab w:val="left" w:pos="1418"/>
        </w:tabs>
        <w:spacing w:line="360" w:lineRule="auto"/>
        <w:rPr>
          <w:rFonts w:hint="eastAsia" w:ascii="宋体" w:hAnsi="宋体" w:cs="宋体"/>
          <w:color w:val="auto"/>
          <w:sz w:val="24"/>
          <w:highlight w:val="none"/>
        </w:rPr>
      </w:pPr>
    </w:p>
    <w:p>
      <w:pPr>
        <w:rPr>
          <w:color w:val="auto"/>
          <w:highlight w:val="none"/>
        </w:rPr>
      </w:pP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p>
    <w:p>
      <w:pPr>
        <w:rPr>
          <w:color w:val="auto"/>
          <w:highlight w:val="none"/>
        </w:rPr>
      </w:pPr>
    </w:p>
    <w:p>
      <w:pPr>
        <w:numPr>
          <w:ilvl w:val="0"/>
          <w:numId w:val="15"/>
        </w:numPr>
        <w:tabs>
          <w:tab w:val="left" w:pos="640"/>
          <w:tab w:val="left" w:pos="840"/>
          <w:tab w:val="left" w:pos="1260"/>
          <w:tab w:val="left" w:pos="1418"/>
        </w:tabs>
        <w:spacing w:line="360" w:lineRule="auto"/>
        <w:ind w:left="845" w:hanging="845"/>
        <w:rPr>
          <w:rFonts w:hint="eastAsia"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投标人认为有必要提供的其他材料。</w:t>
      </w:r>
    </w:p>
    <w:p>
      <w:pPr>
        <w:spacing w:line="360" w:lineRule="auto"/>
        <w:rPr>
          <w:rFonts w:hint="eastAsia" w:ascii="宋体" w:hAnsi="宋体" w:cs="宋体"/>
          <w:color w:val="auto"/>
          <w:sz w:val="24"/>
          <w:highlight w:val="none"/>
        </w:rPr>
      </w:pPr>
    </w:p>
    <w:p>
      <w:pPr>
        <w:spacing w:line="360" w:lineRule="auto"/>
        <w:outlineLvl w:val="2"/>
        <w:rPr>
          <w:rFonts w:hint="eastAsia"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（三）技术部分</w:t>
      </w:r>
    </w:p>
    <w:p>
      <w:pPr>
        <w:numPr>
          <w:ilvl w:val="0"/>
          <w:numId w:val="18"/>
        </w:numPr>
        <w:tabs>
          <w:tab w:val="left" w:pos="640"/>
          <w:tab w:val="left" w:pos="1260"/>
          <w:tab w:val="left" w:pos="1418"/>
        </w:tabs>
        <w:spacing w:line="360" w:lineRule="auto"/>
        <w:ind w:left="845" w:right="-420" w:rightChars="-200"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t>用户需求响应表；</w:t>
      </w:r>
    </w:p>
    <w:p>
      <w:pPr>
        <w:spacing w:after="78" w:line="360" w:lineRule="auto"/>
        <w:jc w:val="center"/>
        <w:rPr>
          <w:rFonts w:hint="eastAsia" w:ascii="宋体" w:hAnsi="宋体" w:cs="宋体"/>
          <w:b/>
          <w:bCs/>
          <w:color w:val="auto"/>
          <w:sz w:val="24"/>
          <w:highlight w:val="none"/>
          <w:lang w:val="fr-CH"/>
        </w:rPr>
      </w:pPr>
      <w:r>
        <w:rPr>
          <w:rFonts w:hint="eastAsia" w:ascii="宋体" w:hAnsi="宋体" w:cs="宋体"/>
          <w:b/>
          <w:bCs/>
          <w:color w:val="auto"/>
          <w:sz w:val="24"/>
          <w:highlight w:val="none"/>
          <w:lang w:val="fr-CH"/>
        </w:rPr>
        <w:t>用户需求响应表</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投标供应商名称：（公章）</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招标编号：</w:t>
      </w:r>
      <w:r>
        <w:rPr>
          <w:rFonts w:hint="eastAsia" w:ascii="宋体" w:hAnsi="宋体" w:cs="宋体"/>
          <w:color w:val="auto"/>
          <w:sz w:val="24"/>
          <w:highlight w:val="none"/>
          <w:u w:val="single"/>
        </w:rPr>
        <w:t xml:space="preserve">                                      </w:t>
      </w:r>
    </w:p>
    <w:p>
      <w:pPr>
        <w:spacing w:after="78" w:line="360" w:lineRule="auto"/>
        <w:rPr>
          <w:rFonts w:hint="eastAsia" w:ascii="宋体" w:hAnsi="宋体" w:cs="宋体"/>
          <w:bCs/>
          <w:color w:val="auto"/>
          <w:sz w:val="24"/>
          <w:highlight w:val="none"/>
        </w:rPr>
      </w:pPr>
      <w:r>
        <w:rPr>
          <w:rFonts w:hint="eastAsia" w:ascii="宋体" w:hAnsi="宋体" w:cs="宋体"/>
          <w:bCs/>
          <w:color w:val="auto"/>
          <w:sz w:val="24"/>
          <w:highlight w:val="none"/>
        </w:rPr>
        <w:t>据招标文件要求，我公司承诺响应如下：</w:t>
      </w:r>
    </w:p>
    <w:tbl>
      <w:tblPr>
        <w:tblStyle w:val="18"/>
        <w:tblW w:w="954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052"/>
        <w:gridCol w:w="2106"/>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序号</w:t>
            </w:r>
          </w:p>
        </w:tc>
        <w:tc>
          <w:tcPr>
            <w:tcW w:w="3507" w:type="dxa"/>
            <w:vAlign w:val="center"/>
          </w:tcPr>
          <w:p>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招标文件要求</w:t>
            </w:r>
          </w:p>
        </w:tc>
        <w:tc>
          <w:tcPr>
            <w:tcW w:w="3052" w:type="dxa"/>
            <w:vAlign w:val="center"/>
          </w:tcPr>
          <w:p>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投标文件响应</w:t>
            </w:r>
          </w:p>
        </w:tc>
        <w:tc>
          <w:tcPr>
            <w:tcW w:w="2106" w:type="dxa"/>
            <w:vAlign w:val="center"/>
          </w:tcPr>
          <w:p>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偏离说明（无偏离/正偏离/负偏离）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1</w:t>
            </w:r>
          </w:p>
        </w:tc>
        <w:tc>
          <w:tcPr>
            <w:tcW w:w="3507" w:type="dxa"/>
            <w:vAlign w:val="center"/>
          </w:tcPr>
          <w:p>
            <w:pPr>
              <w:spacing w:after="78" w:line="360" w:lineRule="auto"/>
              <w:rPr>
                <w:rFonts w:hint="eastAsia" w:ascii="宋体" w:hAnsi="宋体" w:cs="宋体"/>
                <w:bCs/>
                <w:color w:val="auto"/>
                <w:sz w:val="24"/>
                <w:highlight w:val="none"/>
              </w:rPr>
            </w:pPr>
            <w:r>
              <w:rPr>
                <w:rFonts w:hint="eastAsia" w:ascii="宋体" w:hAnsi="宋体" w:cs="宋体"/>
                <w:b/>
                <w:color w:val="auto"/>
                <w:sz w:val="24"/>
                <w:highlight w:val="none"/>
              </w:rPr>
              <w:t>本项目“用户需求书”的全部内容为项目正常开展的基本要求，投标人必须完全响应满足招标文件“第五章 用户需求书”的全部内容，否则将导致投标无效</w:t>
            </w:r>
            <w:r>
              <w:rPr>
                <w:rFonts w:hint="eastAsia" w:ascii="宋体" w:hAnsi="宋体" w:cs="宋体"/>
                <w:bCs/>
                <w:color w:val="auto"/>
                <w:sz w:val="24"/>
                <w:highlight w:val="none"/>
              </w:rPr>
              <w:t>。如投标人中标后被发现不能满足招标文件“第五章 用户需求书”的，采购单位有权拒绝签订合同，一切后果由投标人承担。</w:t>
            </w:r>
          </w:p>
        </w:tc>
        <w:tc>
          <w:tcPr>
            <w:tcW w:w="3052" w:type="dxa"/>
            <w:vAlign w:val="center"/>
          </w:tcPr>
          <w:p>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填写说明：此项投标人必须完全响应满足，请投标人于“投标文件响应”栏中填写“投标人完全响应满足招标文件“第五章 用户需求书”的全部内容”即可；</w:t>
            </w:r>
          </w:p>
          <w:p>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无需另行编制填写内容。</w:t>
            </w:r>
          </w:p>
        </w:tc>
        <w:tc>
          <w:tcPr>
            <w:tcW w:w="2106" w:type="dxa"/>
            <w:vAlign w:val="center"/>
          </w:tcPr>
          <w:p>
            <w:pPr>
              <w:spacing w:line="360" w:lineRule="auto"/>
              <w:jc w:val="center"/>
              <w:rPr>
                <w:rFonts w:hint="eastAsia" w:ascii="宋体" w:hAnsi="宋体" w:cs="宋体"/>
                <w:bCs/>
                <w:color w:val="auto"/>
                <w:sz w:val="24"/>
                <w:highlight w:val="none"/>
              </w:rPr>
            </w:pPr>
          </w:p>
        </w:tc>
      </w:tr>
    </w:tbl>
    <w:p>
      <w:pPr>
        <w:spacing w:after="78" w:line="360" w:lineRule="auto"/>
        <w:rPr>
          <w:rFonts w:hint="eastAsia" w:ascii="宋体" w:hAnsi="宋体" w:cs="宋体"/>
          <w:bCs/>
          <w:color w:val="auto"/>
          <w:sz w:val="24"/>
          <w:highlight w:val="none"/>
        </w:rPr>
      </w:pPr>
    </w:p>
    <w:p>
      <w:pPr>
        <w:spacing w:after="78" w:line="360" w:lineRule="auto"/>
        <w:rPr>
          <w:rFonts w:hint="eastAsia" w:ascii="宋体" w:hAnsi="宋体" w:cs="宋体"/>
          <w:bCs/>
          <w:color w:val="auto"/>
          <w:sz w:val="24"/>
          <w:highlight w:val="none"/>
        </w:rPr>
      </w:pPr>
      <w:r>
        <w:rPr>
          <w:rFonts w:hint="eastAsia" w:ascii="宋体" w:hAnsi="宋体" w:cs="宋体"/>
          <w:bCs/>
          <w:color w:val="auto"/>
          <w:sz w:val="24"/>
          <w:highlight w:val="none"/>
        </w:rPr>
        <w:t>若响应情况优于招标要求，应作详细说明；“偏离情况”栏中根据响应情况填写，没有达到要求的填“负偏离”，达到要求的填“无偏离”，优于要求的填“正偏离”。</w:t>
      </w: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投标供应商授权代表：</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pPr>
        <w:pStyle w:val="2"/>
        <w:spacing w:line="360" w:lineRule="auto"/>
        <w:rPr>
          <w:color w:val="auto"/>
          <w:highlight w:val="none"/>
          <w:lang w:val="fr-CH"/>
        </w:rPr>
      </w:pPr>
    </w:p>
    <w:p>
      <w:pPr>
        <w:numPr>
          <w:ilvl w:val="0"/>
          <w:numId w:val="18"/>
        </w:numPr>
        <w:tabs>
          <w:tab w:val="left" w:pos="640"/>
          <w:tab w:val="left" w:pos="1260"/>
          <w:tab w:val="left" w:pos="1418"/>
        </w:tabs>
        <w:spacing w:line="360" w:lineRule="auto"/>
        <w:ind w:left="845" w:right="-420" w:rightChars="-200" w:hanging="845"/>
        <w:rPr>
          <w:rFonts w:hint="eastAsia" w:ascii="宋体" w:hAnsi="宋体" w:cs="宋体"/>
          <w:color w:val="auto"/>
          <w:sz w:val="24"/>
          <w:highlight w:val="none"/>
          <w:lang w:val="sq-AL"/>
        </w:rPr>
      </w:pPr>
      <w:r>
        <w:rPr>
          <w:rFonts w:hint="eastAsia" w:ascii="宋体" w:hAnsi="宋体" w:cs="宋体"/>
          <w:color w:val="auto"/>
          <w:sz w:val="24"/>
          <w:highlight w:val="none"/>
          <w:lang w:val="sq-AL"/>
        </w:rPr>
        <w:br w:type="page"/>
      </w:r>
      <w:bookmarkStart w:id="91" w:name="OLE_LINK32"/>
      <w:r>
        <w:rPr>
          <w:rFonts w:hint="eastAsia" w:ascii="宋体" w:hAnsi="宋体" w:cs="宋体"/>
          <w:color w:val="auto"/>
          <w:sz w:val="24"/>
          <w:highlight w:val="none"/>
          <w:lang w:val="sq-AL"/>
        </w:rPr>
        <w:t>项目实施方案；</w:t>
      </w:r>
    </w:p>
    <w:p>
      <w:pPr>
        <w:numPr>
          <w:ilvl w:val="0"/>
          <w:numId w:val="18"/>
        </w:numPr>
        <w:tabs>
          <w:tab w:val="left" w:pos="640"/>
          <w:tab w:val="left" w:pos="1260"/>
          <w:tab w:val="left" w:pos="1418"/>
        </w:tabs>
        <w:spacing w:line="360" w:lineRule="auto"/>
        <w:ind w:left="845" w:right="-420" w:rightChars="-200" w:hanging="845"/>
        <w:rPr>
          <w:rFonts w:hint="eastAsia" w:ascii="宋体" w:hAnsi="宋体" w:cs="宋体"/>
          <w:color w:val="auto"/>
          <w:sz w:val="24"/>
          <w:highlight w:val="none"/>
          <w:lang w:val="sq-AL"/>
        </w:rPr>
      </w:pPr>
      <w:r>
        <w:rPr>
          <w:rFonts w:hint="eastAsia" w:ascii="宋体" w:hAnsi="宋体" w:cs="宋体"/>
          <w:color w:val="auto"/>
          <w:sz w:val="24"/>
          <w:highlight w:val="none"/>
          <w:lang w:val="sq-AL"/>
        </w:rPr>
        <w:t>项目重点难点分析、应对措施及相关的合理化建议；</w:t>
      </w:r>
    </w:p>
    <w:p>
      <w:pPr>
        <w:numPr>
          <w:ilvl w:val="0"/>
          <w:numId w:val="18"/>
        </w:numPr>
        <w:tabs>
          <w:tab w:val="left" w:pos="640"/>
          <w:tab w:val="left" w:pos="1260"/>
          <w:tab w:val="left" w:pos="1418"/>
        </w:tabs>
        <w:spacing w:line="360" w:lineRule="auto"/>
        <w:ind w:left="845" w:right="-420" w:rightChars="-200" w:hanging="845"/>
        <w:rPr>
          <w:rFonts w:hint="eastAsia" w:ascii="宋体" w:hAnsi="宋体" w:cs="宋体"/>
          <w:color w:val="auto"/>
          <w:sz w:val="24"/>
          <w:highlight w:val="none"/>
          <w:lang w:val="sq-AL"/>
        </w:rPr>
      </w:pPr>
      <w:r>
        <w:rPr>
          <w:rFonts w:hint="eastAsia" w:ascii="宋体" w:hAnsi="宋体" w:cs="宋体"/>
          <w:color w:val="auto"/>
          <w:sz w:val="24"/>
          <w:highlight w:val="none"/>
          <w:lang w:val="sq-AL"/>
        </w:rPr>
        <w:t>质量（完成时间、安全、环保）保障措施及方案；</w:t>
      </w:r>
    </w:p>
    <w:p>
      <w:pPr>
        <w:numPr>
          <w:ilvl w:val="0"/>
          <w:numId w:val="18"/>
        </w:numPr>
        <w:tabs>
          <w:tab w:val="left" w:pos="640"/>
          <w:tab w:val="left" w:pos="1260"/>
          <w:tab w:val="left" w:pos="1418"/>
        </w:tabs>
        <w:spacing w:line="360" w:lineRule="auto"/>
        <w:ind w:left="845" w:right="-420" w:rightChars="-200" w:hanging="845"/>
        <w:rPr>
          <w:rFonts w:hint="eastAsia" w:ascii="宋体" w:hAnsi="宋体" w:cs="宋体"/>
          <w:color w:val="auto"/>
          <w:sz w:val="24"/>
          <w:highlight w:val="none"/>
          <w:lang w:val="sq-AL"/>
        </w:rPr>
      </w:pPr>
      <w:r>
        <w:rPr>
          <w:rFonts w:hint="eastAsia" w:ascii="宋体" w:hAnsi="宋体" w:cs="宋体"/>
          <w:color w:val="auto"/>
          <w:sz w:val="24"/>
          <w:highlight w:val="none"/>
          <w:lang w:val="sq-AL"/>
        </w:rPr>
        <w:t>项目完成（服务期满）后的服务承诺；</w:t>
      </w:r>
    </w:p>
    <w:p>
      <w:pPr>
        <w:numPr>
          <w:ilvl w:val="0"/>
          <w:numId w:val="18"/>
        </w:numPr>
        <w:tabs>
          <w:tab w:val="left" w:pos="640"/>
          <w:tab w:val="left" w:pos="1260"/>
          <w:tab w:val="left" w:pos="1418"/>
        </w:tabs>
        <w:spacing w:line="360" w:lineRule="auto"/>
        <w:ind w:left="845" w:right="-420" w:rightChars="-200" w:hanging="845"/>
        <w:rPr>
          <w:rFonts w:hint="eastAsia" w:ascii="宋体" w:hAnsi="宋体" w:cs="宋体"/>
          <w:color w:val="auto"/>
          <w:sz w:val="24"/>
          <w:highlight w:val="none"/>
          <w:lang w:val="sq-AL"/>
        </w:rPr>
      </w:pPr>
      <w:r>
        <w:rPr>
          <w:rFonts w:hint="eastAsia" w:ascii="宋体" w:hAnsi="宋体" w:cs="宋体"/>
          <w:color w:val="auto"/>
          <w:sz w:val="24"/>
          <w:highlight w:val="none"/>
          <w:lang w:val="sq-AL"/>
        </w:rPr>
        <w:t>拟安排的项目负责人情况（仅限一人）；</w:t>
      </w:r>
    </w:p>
    <w:p>
      <w:pPr>
        <w:numPr>
          <w:ilvl w:val="0"/>
          <w:numId w:val="18"/>
        </w:numPr>
        <w:tabs>
          <w:tab w:val="left" w:pos="640"/>
          <w:tab w:val="left" w:pos="1260"/>
          <w:tab w:val="left" w:pos="1418"/>
        </w:tabs>
        <w:spacing w:line="360" w:lineRule="auto"/>
        <w:ind w:left="845" w:right="-420" w:rightChars="-200" w:hanging="845"/>
        <w:rPr>
          <w:rFonts w:hint="eastAsia" w:ascii="宋体" w:hAnsi="宋体" w:cs="宋体"/>
          <w:color w:val="auto"/>
          <w:sz w:val="24"/>
          <w:highlight w:val="none"/>
          <w:lang w:val="sq-AL"/>
        </w:rPr>
      </w:pPr>
      <w:r>
        <w:rPr>
          <w:rFonts w:hint="eastAsia" w:ascii="宋体" w:hAnsi="宋体" w:cs="宋体"/>
          <w:color w:val="auto"/>
          <w:sz w:val="24"/>
          <w:highlight w:val="none"/>
          <w:lang w:val="sq-AL"/>
        </w:rPr>
        <w:t>拟安排的项目主要团队成员（主要技术人员）情况（项目负责人除外）；</w:t>
      </w:r>
      <w:bookmarkEnd w:id="91"/>
    </w:p>
    <w:p>
      <w:pPr>
        <w:tabs>
          <w:tab w:val="left" w:pos="640"/>
          <w:tab w:val="left" w:pos="1260"/>
          <w:tab w:val="left" w:pos="1418"/>
        </w:tabs>
        <w:jc w:val="center"/>
        <w:rPr>
          <w:rFonts w:hint="eastAsia" w:ascii="宋体" w:hAnsi="宋体" w:cs="宋体"/>
          <w:b/>
          <w:bCs/>
          <w:color w:val="auto"/>
          <w:sz w:val="24"/>
          <w:highlight w:val="none"/>
        </w:rPr>
      </w:pPr>
    </w:p>
    <w:p>
      <w:pPr>
        <w:tabs>
          <w:tab w:val="left" w:pos="640"/>
          <w:tab w:val="left" w:pos="1260"/>
          <w:tab w:val="left" w:pos="1418"/>
        </w:tabs>
        <w:jc w:val="center"/>
        <w:rPr>
          <w:rFonts w:hint="eastAsia" w:ascii="宋体" w:hAnsi="宋体" w:cs="宋体"/>
          <w:b/>
          <w:bCs/>
          <w:color w:val="auto"/>
          <w:sz w:val="24"/>
          <w:highlight w:val="none"/>
        </w:rPr>
      </w:pPr>
    </w:p>
    <w:p>
      <w:pPr>
        <w:tabs>
          <w:tab w:val="left" w:pos="640"/>
          <w:tab w:val="left" w:pos="1260"/>
          <w:tab w:val="left" w:pos="1418"/>
        </w:tabs>
        <w:jc w:val="center"/>
        <w:rPr>
          <w:rFonts w:hint="eastAsia" w:ascii="宋体" w:hAnsi="宋体" w:cs="宋体"/>
          <w:b/>
          <w:bCs/>
          <w:color w:val="auto"/>
          <w:sz w:val="24"/>
          <w:highlight w:val="none"/>
        </w:rPr>
      </w:pPr>
      <w:r>
        <w:rPr>
          <w:rFonts w:hint="eastAsia" w:ascii="宋体" w:hAnsi="宋体" w:cs="宋体"/>
          <w:b/>
          <w:bCs/>
          <w:color w:val="auto"/>
          <w:sz w:val="24"/>
          <w:highlight w:val="none"/>
        </w:rPr>
        <w:t>注：以上各项请根据“招标项目评分表”中的要求自行填写并提供相应的证明材料。</w:t>
      </w:r>
    </w:p>
    <w:p>
      <w:pPr>
        <w:numPr>
          <w:ilvl w:val="0"/>
          <w:numId w:val="18"/>
        </w:numPr>
        <w:tabs>
          <w:tab w:val="left" w:pos="640"/>
          <w:tab w:val="left" w:pos="1260"/>
          <w:tab w:val="left" w:pos="1418"/>
        </w:tabs>
        <w:spacing w:line="360" w:lineRule="auto"/>
        <w:ind w:left="845" w:right="-420" w:rightChars="-200"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br w:type="page"/>
      </w:r>
      <w:r>
        <w:rPr>
          <w:rFonts w:hint="eastAsia" w:ascii="宋体" w:hAnsi="宋体" w:cs="宋体"/>
          <w:color w:val="auto"/>
          <w:sz w:val="24"/>
          <w:highlight w:val="none"/>
          <w:lang w:val="fr-CH"/>
        </w:rPr>
        <w:t>投标人认为有必要提供的其他材料。</w:t>
      </w:r>
      <w:bookmarkEnd w:id="72"/>
    </w:p>
    <w:p>
      <w:pPr>
        <w:tabs>
          <w:tab w:val="left" w:pos="360"/>
        </w:tabs>
        <w:spacing w:line="300" w:lineRule="auto"/>
        <w:outlineLvl w:val="0"/>
        <w:rPr>
          <w:rFonts w:hint="eastAsia" w:ascii="宋体" w:hAnsi="宋体" w:cs="宋体"/>
          <w:b/>
          <w:bCs/>
          <w:color w:val="auto"/>
          <w:sz w:val="24"/>
          <w:highlight w:val="none"/>
        </w:rPr>
      </w:pPr>
      <w:r>
        <w:rPr>
          <w:rFonts w:hint="eastAsia" w:ascii="宋体" w:hAnsi="宋体" w:cs="宋体"/>
          <w:color w:val="auto"/>
          <w:sz w:val="24"/>
          <w:highlight w:val="none"/>
          <w:lang w:val="fr-CH"/>
        </w:rPr>
        <w:br w:type="page"/>
      </w:r>
      <w:bookmarkStart w:id="92" w:name="_Toc742"/>
      <w:bookmarkStart w:id="93" w:name="_Toc6251"/>
      <w:bookmarkStart w:id="94" w:name="_Toc2231"/>
      <w:r>
        <w:rPr>
          <w:rFonts w:hint="eastAsia" w:ascii="宋体" w:hAnsi="宋体" w:cs="宋体"/>
          <w:b/>
          <w:bCs/>
          <w:color w:val="auto"/>
          <w:sz w:val="24"/>
          <w:highlight w:val="none"/>
        </w:rPr>
        <w:t>附件：相关政策</w:t>
      </w:r>
      <w:bookmarkEnd w:id="92"/>
      <w:bookmarkEnd w:id="93"/>
      <w:bookmarkEnd w:id="94"/>
    </w:p>
    <w:p>
      <w:pPr>
        <w:tabs>
          <w:tab w:val="left" w:pos="360"/>
        </w:tabs>
        <w:outlineLvl w:val="1"/>
        <w:rPr>
          <w:rFonts w:hint="eastAsia" w:ascii="宋体" w:hAnsi="宋体" w:cs="宋体"/>
          <w:b/>
          <w:bCs/>
          <w:color w:val="auto"/>
          <w:sz w:val="24"/>
          <w:highlight w:val="none"/>
        </w:rPr>
      </w:pPr>
      <w:r>
        <w:rPr>
          <w:rFonts w:hint="eastAsia" w:ascii="宋体" w:hAnsi="宋体" w:cs="宋体"/>
          <w:b/>
          <w:bCs/>
          <w:color w:val="auto"/>
          <w:sz w:val="24"/>
          <w:highlight w:val="none"/>
        </w:rPr>
        <w:t>1、财政部、工业和信息化部《关于印发〈政府采购促进中小企业发展管理办法〉的通知》（财库〔2020〕46 号）</w:t>
      </w:r>
    </w:p>
    <w:p>
      <w:pPr>
        <w:pStyle w:val="2"/>
        <w:tabs>
          <w:tab w:val="left" w:pos="562"/>
          <w:tab w:val="left" w:pos="3372"/>
          <w:tab w:val="left" w:pos="3653"/>
        </w:tabs>
        <w:rPr>
          <w:rFonts w:hint="eastAsia" w:ascii="宋体" w:hAnsi="宋体" w:cs="宋体"/>
          <w:color w:val="auto"/>
          <w:highlight w:val="none"/>
        </w:rPr>
      </w:pPr>
    </w:p>
    <w:p>
      <w:pPr>
        <w:widowControl/>
        <w:shd w:val="clear" w:color="auto" w:fill="FFFFFF"/>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关于印发《政府采购促进中小企业发展管理办法》的通知</w:t>
      </w:r>
    </w:p>
    <w:p>
      <w:pPr>
        <w:widowControl/>
        <w:shd w:val="clear" w:color="auto" w:fill="FFFFFF"/>
        <w:spacing w:after="24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财库〔2020〕46号</w:t>
      </w:r>
    </w:p>
    <w:p>
      <w:pPr>
        <w:widowControl/>
        <w:shd w:val="clear" w:color="auto" w:fill="FFFFFF"/>
        <w:spacing w:after="24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各中央预算单位办公厅（室），各省、自治区、直辖市、计划单列市财政厅（局）、工业和信息化主管部门，新疆生产建设兵团财政局、工业和信息化主管部门：</w:t>
      </w:r>
    </w:p>
    <w:p>
      <w:pPr>
        <w:widowControl/>
        <w:shd w:val="clear" w:color="auto" w:fill="FFFFFF"/>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附件：政府采购促进中小企业发展管理办法</w:t>
      </w:r>
    </w:p>
    <w:p>
      <w:pPr>
        <w:widowControl/>
        <w:shd w:val="clear" w:color="auto" w:fill="FFFFFF"/>
        <w:jc w:val="right"/>
        <w:rPr>
          <w:rFonts w:hint="eastAsia" w:ascii="宋体" w:hAnsi="宋体" w:cs="宋体"/>
          <w:color w:val="auto"/>
          <w:kern w:val="0"/>
          <w:sz w:val="24"/>
          <w:highlight w:val="none"/>
        </w:rPr>
      </w:pPr>
      <w:r>
        <w:rPr>
          <w:rFonts w:hint="eastAsia" w:ascii="宋体" w:hAnsi="宋体" w:cs="宋体"/>
          <w:color w:val="auto"/>
          <w:kern w:val="0"/>
          <w:sz w:val="24"/>
          <w:highlight w:val="none"/>
        </w:rPr>
        <w:t>财  政  部</w:t>
      </w:r>
    </w:p>
    <w:p>
      <w:pPr>
        <w:widowControl/>
        <w:shd w:val="clear" w:color="auto" w:fill="FFFFFF"/>
        <w:jc w:val="right"/>
        <w:rPr>
          <w:rFonts w:hint="eastAsia" w:ascii="宋体" w:hAnsi="宋体" w:cs="宋体"/>
          <w:color w:val="auto"/>
          <w:kern w:val="0"/>
          <w:sz w:val="24"/>
          <w:highlight w:val="none"/>
        </w:rPr>
      </w:pPr>
      <w:r>
        <w:rPr>
          <w:rFonts w:hint="eastAsia" w:ascii="宋体" w:hAnsi="宋体" w:cs="宋体"/>
          <w:color w:val="auto"/>
          <w:kern w:val="0"/>
          <w:sz w:val="24"/>
          <w:highlight w:val="none"/>
        </w:rPr>
        <w:t>工业和信息化部</w:t>
      </w:r>
    </w:p>
    <w:p>
      <w:pPr>
        <w:widowControl/>
        <w:shd w:val="clear" w:color="auto" w:fill="FFFFFF"/>
        <w:jc w:val="right"/>
        <w:rPr>
          <w:rFonts w:hint="eastAsia" w:ascii="宋体" w:hAnsi="宋体" w:cs="宋体"/>
          <w:color w:val="auto"/>
          <w:kern w:val="0"/>
          <w:sz w:val="24"/>
          <w:highlight w:val="none"/>
        </w:rPr>
      </w:pPr>
      <w:r>
        <w:rPr>
          <w:rFonts w:hint="eastAsia" w:ascii="宋体" w:hAnsi="宋体" w:cs="宋体"/>
          <w:color w:val="auto"/>
          <w:kern w:val="0"/>
          <w:sz w:val="24"/>
          <w:highlight w:val="none"/>
        </w:rPr>
        <w:t>2020年12月18日</w:t>
      </w:r>
    </w:p>
    <w:p>
      <w:pPr>
        <w:autoSpaceDE w:val="0"/>
        <w:autoSpaceDN w:val="0"/>
        <w:adjustRightInd w:val="0"/>
        <w:jc w:val="left"/>
        <w:rPr>
          <w:rFonts w:hint="eastAsia" w:ascii="宋体" w:hAnsi="宋体" w:cs="宋体"/>
          <w:color w:val="auto"/>
          <w:kern w:val="0"/>
          <w:sz w:val="24"/>
          <w:highlight w:val="none"/>
        </w:rPr>
      </w:pPr>
    </w:p>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政府采购促进中小企业发展管理办法</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第一条 为了发挥政府采购的政策功能，促进中小企业健康发展，根据《中华人民共和国政府采购法》、《中华人民共和国中小企业促进法》等有关法律法规，制定本办法。</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第三条 采购人在政府采购活动中应当通过加强采购需求管理，落实预留采购份额、价格评审优惠、优先采购等 措施，提高中小企业在政府采购中的份额，支持中小企业发展。</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第四条 在政府采购活动中，供应商提供的货物、工程或者服务符合下列情形的，享受本办法规定的中小企业扶持政策：</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（一）在货物采购项目中，货物由中小企业制造，即货 物由中小企业生产且使用该中小企业商号或者注册商标；</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（二）在工程采购项目中，工程由中小企业承建，即工 程施工单位为中小企业；</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（三）在服务采购项目中，服务由中小企业承接，即提供服务的人员为中小企业依照《中华人民共和国劳动合同法》订立劳动合同的从业人员。</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在货物采购项目中，供应商提供的货物既有中小企业制造货物，也有大型企业制造货物的，不享受本办法规定的中小企业扶持政策。</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以联合体形式参加政府采购活动，联合体各方均为中小企业的，联合体视同中小企业。其中，联合体各方均为小微企业的，联合体视同小微企业。</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2"/>
        <w:tabs>
          <w:tab w:val="left" w:pos="562"/>
          <w:tab w:val="left" w:pos="3372"/>
          <w:tab w:val="left" w:pos="3653"/>
        </w:tabs>
        <w:ind w:firstLine="480" w:firstLineChars="200"/>
        <w:rPr>
          <w:rFonts w:hint="eastAsia" w:ascii="宋体" w:hAnsi="宋体" w:cs="宋体"/>
          <w:color w:val="auto"/>
          <w:highlight w:val="none"/>
        </w:rPr>
      </w:pPr>
      <w:r>
        <w:rPr>
          <w:rFonts w:hint="eastAsia" w:ascii="宋体" w:hAnsi="宋体" w:cs="宋体"/>
          <w:color w:val="auto"/>
          <w:kern w:val="0"/>
          <w:highlight w:val="none"/>
        </w:rPr>
        <w:t>符合下列情形之一的，可不专门面向中小企业预留采购</w:t>
      </w:r>
      <w:r>
        <w:rPr>
          <w:rFonts w:hint="eastAsia" w:ascii="宋体" w:hAnsi="宋体" w:cs="宋体"/>
          <w:color w:val="auto"/>
          <w:highlight w:val="none"/>
        </w:rPr>
        <w:t>份额：</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（一）法律法规和国家有关政策明确规定优先或者应当面向事业单位、社会组织等非企业主体采购的；</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（二）因确需使用不可替代的专利、专有技术，基础设施限制，或者提供特定公共服务等原因，只能从中小企业之外的供应商处采购的；</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（三）按照本办法规定预留采购份额无法确保充分供应、充分竞争，或者存在可能影响政府采购目标实现的情形；</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（四）框架协议采购项目；</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（五）省级以上人民政府财政部门规定的其他情形。 除上述情形外，其他均为适宜由中小企业提供的情形。</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第七条采购限额标准以上，200万元以下的货物和服务采购项目、400 万元以下的工程采购项目，适宜由中小企业提供的，采购人应当专门面向中小企业采购。</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（一）将采购项目整体或者设置采购包专门面向中小企业采购；</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（二）要求供应商以联合体形式参加采购活动，且联合体中中小企业承担的部分达到一定比例；</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（三）要求获得采购合同的供应商将采购项目中的一定比例分包给一家或者多家中小企业。</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组成联合体或者接受分包合同的中小企业与联合体内 其他企业、分包企业之间不得存在直接控股、管理关系。</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第十二条 采购项目涉及中小企业采购的，采购文件应当明确以下内容：</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（一）预留份额的采购项目或者采购包，明确该项目或相关采购包专门面向中小企业采购，以及相关标的及预算金额；</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（二）要求以联合体形式参加或者合同分包的，明确联合协议或者分包意向协议中中小企业合同金额应当达到的 比例，并作为供应商资格条件；</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（三）非预留份额的采购项目或者采购包，明确有关价格扣除比例或者价格分加分比例；</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（四）规定依据本办法规定享受扶持政策获得政府采购合同的，小微企业不得将合同分包给大中型企业，中型企业不得将合同分包给大型企业；</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（五）采购人认为具备相关条件的，明确对中小企业在资金支付期限、预付款比例等方面的优惠措施；</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（六）明确采购标的对应的中小企业划分标准所属行业；</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（七）法律法规和省级以上人民政府财政部门规定的其他事项。</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第十三条 中标、成交供应商享受本办法规定的中小企业扶持政策的，采购人、采购代理机构应当随中标、成交结果公开中标、成交供应商的《中小企业声明函》。</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适用招标投标法的政府采购工程建设项目，应当在公示中标候选人时公开中标候选人的《中小企业声明函》。</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第十五条 鼓励各地区、各部门在采购活动中允许中小企业引入信用担保手段，为中小企业在投标（响应）保证、履约保证等方面提供专业化服务。鼓励中小企业依法合规通过政府采购合同融资。</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第十六条 政府采购监督检查、投诉处理及政府采购行政处罚中对中小企业的认定，由货物制造商或者工程、服务供应商注册登记所在地的县级以上人民政府中小企业主管部门负责。</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中小企业主管部门应当在收到财政部门或者有关招标 投标行政监督部门关于协助开展中小企业认定函后 10 个工作日内做出书面答复。</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第二十条 供应商按照本办法规定提供声明函内容不实的，属于提供虚假材料谋取中标、成交，依照《中华人民共和国政府采购法》等国家有关规定追究相应责任。</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适用招标投标法的政府采购工程建设项目，投标人按照 本办法规定提供声明函内容不实的，属于弄虚作假骗取中标，依照《中华人民共和国招标投标法》等国家有关规定追究相应责任。</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第二十二条 对外援助项目、国家相关资格或者资质管理制度另有规定的项目，不适用本办法。</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第二十三条 关于视同中小企业的其他主体的政府采购扶持政策，由财政部会同有关部门另行规定。</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第二十四条 省级财政部门可以会同中小企业主管部门根据本办法的规定制定具体实施办法。</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第二十五条 本办法自 2021 年 1 月 1 日起施行。《财政部 工业和信息化部关于印发〈政府采购促进中小企业发展暂行办法〉的通知》（财库﹝2011﹞181 号）同时废止。</w:t>
      </w:r>
    </w:p>
    <w:p>
      <w:pPr>
        <w:pStyle w:val="2"/>
        <w:tabs>
          <w:tab w:val="left" w:pos="562"/>
          <w:tab w:val="left" w:pos="3372"/>
          <w:tab w:val="left" w:pos="3653"/>
        </w:tabs>
        <w:spacing w:before="5"/>
        <w:rPr>
          <w:rFonts w:hint="eastAsia" w:ascii="宋体" w:hAnsi="宋体" w:cs="宋体"/>
          <w:color w:val="auto"/>
          <w:highlight w:val="none"/>
        </w:rPr>
      </w:pP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附：1.中小企业声明函</w:t>
      </w:r>
    </w:p>
    <w:p>
      <w:pPr>
        <w:pStyle w:val="2"/>
        <w:tabs>
          <w:tab w:val="left" w:pos="562"/>
          <w:tab w:val="left" w:pos="3372"/>
          <w:tab w:val="left" w:pos="3653"/>
        </w:tabs>
        <w:ind w:firstLine="960" w:firstLineChars="400"/>
        <w:rPr>
          <w:rFonts w:hint="eastAsia" w:ascii="宋体" w:hAnsi="宋体" w:cs="宋体"/>
          <w:color w:val="auto"/>
          <w:kern w:val="0"/>
          <w:highlight w:val="none"/>
        </w:rPr>
      </w:pPr>
      <w:r>
        <w:rPr>
          <w:rFonts w:hint="eastAsia" w:ascii="宋体" w:hAnsi="宋体" w:cs="宋体"/>
          <w:color w:val="auto"/>
          <w:kern w:val="0"/>
          <w:highlight w:val="none"/>
        </w:rPr>
        <w:t>2.面向中小企业预留项目执行情况公告</w:t>
      </w:r>
    </w:p>
    <w:p>
      <w:pPr>
        <w:pStyle w:val="2"/>
        <w:tabs>
          <w:tab w:val="left" w:pos="562"/>
          <w:tab w:val="left" w:pos="3372"/>
          <w:tab w:val="left" w:pos="3653"/>
        </w:tabs>
        <w:spacing w:before="30"/>
        <w:rPr>
          <w:rFonts w:hint="eastAsia" w:ascii="宋体" w:hAnsi="宋体" w:cs="宋体"/>
          <w:b/>
          <w:bCs/>
          <w:color w:val="auto"/>
          <w:highlight w:val="none"/>
        </w:rPr>
      </w:pPr>
      <w:r>
        <w:rPr>
          <w:rFonts w:hint="eastAsia" w:ascii="宋体" w:hAnsi="宋体" w:cs="宋体"/>
          <w:b/>
          <w:bCs/>
          <w:color w:val="auto"/>
          <w:highlight w:val="none"/>
        </w:rPr>
        <w:br w:type="page"/>
      </w:r>
      <w:r>
        <w:rPr>
          <w:rFonts w:hint="eastAsia" w:ascii="宋体" w:hAnsi="宋体" w:cs="宋体"/>
          <w:b/>
          <w:bCs/>
          <w:color w:val="auto"/>
          <w:highlight w:val="none"/>
        </w:rPr>
        <w:t>附 1</w:t>
      </w:r>
    </w:p>
    <w:p>
      <w:pPr>
        <w:spacing w:after="319" w:afterLines="100"/>
        <w:jc w:val="center"/>
        <w:rPr>
          <w:rFonts w:hint="eastAsia" w:ascii="宋体" w:hAnsi="宋体" w:cs="宋体"/>
          <w:color w:val="auto"/>
          <w:sz w:val="24"/>
          <w:highlight w:val="none"/>
        </w:rPr>
      </w:pPr>
      <w:r>
        <w:rPr>
          <w:rFonts w:hint="eastAsia" w:ascii="宋体" w:hAnsi="宋体" w:cs="宋体"/>
          <w:color w:val="auto"/>
          <w:sz w:val="24"/>
          <w:highlight w:val="none"/>
        </w:rPr>
        <w:t>中小企业声明函（货物）</w:t>
      </w:r>
    </w:p>
    <w:p>
      <w:pPr>
        <w:pStyle w:val="2"/>
        <w:tabs>
          <w:tab w:val="left" w:pos="562"/>
          <w:tab w:val="left" w:pos="3372"/>
          <w:tab w:val="left" w:pos="3653"/>
        </w:tabs>
        <w:ind w:firstLine="472" w:firstLineChars="200"/>
        <w:rPr>
          <w:rFonts w:hint="eastAsia" w:ascii="宋体" w:hAnsi="宋体" w:cs="宋体"/>
          <w:color w:val="auto"/>
          <w:spacing w:val="-2"/>
          <w:highlight w:val="none"/>
        </w:rPr>
      </w:pPr>
      <w:r>
        <w:rPr>
          <w:rFonts w:hint="eastAsia" w:ascii="宋体" w:hAnsi="宋体" w:cs="宋体"/>
          <w:color w:val="auto"/>
          <w:spacing w:val="-2"/>
          <w:highlight w:val="none"/>
        </w:rPr>
        <w:t>本公司（联合体）郑重声明，根据《政府采购促进中小企业发展管理办法》（财库﹝2020﹞46 号）的规定，本公司（联合体）参加（</w:t>
      </w:r>
      <w:r>
        <w:rPr>
          <w:rFonts w:hint="eastAsia" w:ascii="宋体" w:hAnsi="宋体" w:cs="宋体"/>
          <w:color w:val="auto"/>
          <w:spacing w:val="-2"/>
          <w:highlight w:val="none"/>
          <w:u w:val="single"/>
        </w:rPr>
        <w:t>单位名称</w:t>
      </w:r>
      <w:r>
        <w:rPr>
          <w:rFonts w:hint="eastAsia" w:ascii="宋体" w:hAnsi="宋体" w:cs="宋体"/>
          <w:color w:val="auto"/>
          <w:spacing w:val="-2"/>
          <w:highlight w:val="none"/>
        </w:rPr>
        <w:t>）的（</w:t>
      </w:r>
      <w:r>
        <w:rPr>
          <w:rFonts w:hint="eastAsia" w:ascii="宋体" w:hAnsi="宋体" w:cs="宋体"/>
          <w:color w:val="auto"/>
          <w:spacing w:val="-2"/>
          <w:highlight w:val="none"/>
          <w:u w:val="single"/>
        </w:rPr>
        <w:t>项目名称</w:t>
      </w:r>
      <w:r>
        <w:rPr>
          <w:rFonts w:hint="eastAsia" w:ascii="宋体" w:hAnsi="宋体" w:cs="宋体"/>
          <w:color w:val="auto"/>
          <w:spacing w:val="-2"/>
          <w:highlight w:val="none"/>
        </w:rPr>
        <w:t>）采购活动，提供的货物全部由符合政策要求的中小企业制造。相关企业（含联合体中的中小企业、签订分包意向协议的中小企业） 的具体情况如下：</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1、（</w:t>
      </w:r>
      <w:r>
        <w:rPr>
          <w:rFonts w:hint="eastAsia" w:ascii="宋体" w:hAnsi="宋体" w:cs="宋体"/>
          <w:color w:val="auto"/>
          <w:kern w:val="0"/>
          <w:highlight w:val="none"/>
          <w:u w:val="single"/>
        </w:rPr>
        <w:t>标的名称</w:t>
      </w:r>
      <w:r>
        <w:rPr>
          <w:rFonts w:hint="eastAsia" w:ascii="宋体" w:hAnsi="宋体" w:cs="宋体"/>
          <w:color w:val="auto"/>
          <w:kern w:val="0"/>
          <w:highlight w:val="none"/>
        </w:rPr>
        <w:t>），属于（</w:t>
      </w:r>
      <w:r>
        <w:rPr>
          <w:rFonts w:hint="eastAsia" w:ascii="宋体" w:hAnsi="宋体" w:cs="宋体"/>
          <w:color w:val="auto"/>
          <w:kern w:val="0"/>
          <w:highlight w:val="none"/>
          <w:u w:val="single"/>
        </w:rPr>
        <w:t>采购文件中明确的所属行业</w:t>
      </w:r>
      <w:r>
        <w:rPr>
          <w:rFonts w:hint="eastAsia" w:ascii="宋体" w:hAnsi="宋体" w:cs="宋体"/>
          <w:color w:val="auto"/>
          <w:kern w:val="0"/>
          <w:highlight w:val="none"/>
        </w:rPr>
        <w:t>）；制造商为（</w:t>
      </w:r>
      <w:r>
        <w:rPr>
          <w:rFonts w:hint="eastAsia" w:ascii="宋体" w:hAnsi="宋体" w:cs="宋体"/>
          <w:color w:val="auto"/>
          <w:kern w:val="0"/>
          <w:highlight w:val="none"/>
          <w:u w:val="single"/>
        </w:rPr>
        <w:t>企业名称</w:t>
      </w:r>
      <w:r>
        <w:rPr>
          <w:rFonts w:hint="eastAsia" w:ascii="宋体" w:hAnsi="宋体" w:cs="宋体"/>
          <w:color w:val="auto"/>
          <w:kern w:val="0"/>
          <w:highlight w:val="none"/>
        </w:rPr>
        <w:t>），从业人员</w:t>
      </w:r>
      <w:r>
        <w:rPr>
          <w:rFonts w:hint="eastAsia" w:ascii="宋体" w:hAnsi="宋体" w:cs="宋体"/>
          <w:color w:val="auto"/>
          <w:kern w:val="0"/>
          <w:highlight w:val="none"/>
          <w:u w:val="single"/>
        </w:rPr>
        <w:tab/>
      </w:r>
      <w:r>
        <w:rPr>
          <w:rFonts w:hint="eastAsia" w:ascii="宋体" w:hAnsi="宋体" w:cs="宋体"/>
          <w:color w:val="auto"/>
          <w:kern w:val="0"/>
          <w:highlight w:val="none"/>
        </w:rPr>
        <w:t xml:space="preserve">人，营业收入为 </w:t>
      </w:r>
      <w:r>
        <w:rPr>
          <w:rFonts w:hint="eastAsia" w:ascii="宋体" w:hAnsi="宋体" w:cs="宋体"/>
          <w:color w:val="auto"/>
          <w:kern w:val="0"/>
          <w:highlight w:val="none"/>
          <w:u w:val="single"/>
        </w:rPr>
        <w:tab/>
      </w:r>
      <w:r>
        <w:rPr>
          <w:rFonts w:hint="eastAsia" w:ascii="宋体" w:hAnsi="宋体" w:cs="宋体"/>
          <w:color w:val="auto"/>
          <w:kern w:val="0"/>
          <w:highlight w:val="none"/>
        </w:rPr>
        <w:t>万元，资产总额为</w:t>
      </w:r>
      <w:r>
        <w:rPr>
          <w:rFonts w:hint="eastAsia" w:ascii="宋体" w:hAnsi="宋体" w:cs="宋体"/>
          <w:color w:val="auto"/>
          <w:kern w:val="0"/>
          <w:highlight w:val="none"/>
          <w:u w:val="single"/>
        </w:rPr>
        <w:tab/>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万元，属于（</w:t>
      </w:r>
      <w:r>
        <w:rPr>
          <w:rFonts w:hint="eastAsia" w:ascii="宋体" w:hAnsi="宋体" w:cs="宋体"/>
          <w:color w:val="auto"/>
          <w:kern w:val="0"/>
          <w:highlight w:val="none"/>
          <w:u w:val="single"/>
        </w:rPr>
        <w:t>中型企业、小型企业、微型企业</w:t>
      </w:r>
      <w:r>
        <w:rPr>
          <w:rFonts w:hint="eastAsia" w:ascii="宋体" w:hAnsi="宋体" w:cs="宋体"/>
          <w:color w:val="auto"/>
          <w:kern w:val="0"/>
          <w:highlight w:val="none"/>
        </w:rPr>
        <w:t>）；</w:t>
      </w:r>
    </w:p>
    <w:p>
      <w:pPr>
        <w:pStyle w:val="2"/>
        <w:tabs>
          <w:tab w:val="left" w:pos="562"/>
          <w:tab w:val="left" w:pos="3372"/>
          <w:tab w:val="left" w:pos="3653"/>
        </w:tabs>
        <w:ind w:firstLine="472" w:firstLineChars="200"/>
        <w:rPr>
          <w:rFonts w:hint="eastAsia" w:ascii="宋体" w:hAnsi="宋体" w:cs="宋体"/>
          <w:color w:val="auto"/>
          <w:spacing w:val="-2"/>
          <w:highlight w:val="none"/>
        </w:rPr>
      </w:pPr>
      <w:r>
        <w:rPr>
          <w:rFonts w:hint="eastAsia" w:ascii="宋体" w:hAnsi="宋体" w:cs="宋体"/>
          <w:color w:val="auto"/>
          <w:spacing w:val="-2"/>
          <w:highlight w:val="none"/>
        </w:rPr>
        <w:t>2、（</w:t>
      </w:r>
      <w:r>
        <w:rPr>
          <w:rFonts w:hint="eastAsia" w:ascii="宋体" w:hAnsi="宋体" w:cs="宋体"/>
          <w:color w:val="auto"/>
          <w:spacing w:val="-2"/>
          <w:highlight w:val="none"/>
          <w:u w:val="single"/>
        </w:rPr>
        <w:t>标的名称</w:t>
      </w:r>
      <w:r>
        <w:rPr>
          <w:rFonts w:hint="eastAsia" w:ascii="宋体" w:hAnsi="宋体" w:cs="宋体"/>
          <w:color w:val="auto"/>
          <w:spacing w:val="-2"/>
          <w:highlight w:val="none"/>
        </w:rPr>
        <w:t>），属于（</w:t>
      </w:r>
      <w:r>
        <w:rPr>
          <w:rFonts w:hint="eastAsia" w:ascii="宋体" w:hAnsi="宋体" w:cs="宋体"/>
          <w:color w:val="auto"/>
          <w:spacing w:val="-2"/>
          <w:highlight w:val="none"/>
          <w:u w:val="single"/>
        </w:rPr>
        <w:t>采购文件中明确的所属行业</w:t>
      </w:r>
      <w:r>
        <w:rPr>
          <w:rFonts w:hint="eastAsia" w:ascii="宋体" w:hAnsi="宋体" w:cs="宋体"/>
          <w:color w:val="auto"/>
          <w:spacing w:val="-2"/>
          <w:highlight w:val="none"/>
        </w:rPr>
        <w:t>）；制造商为（</w:t>
      </w:r>
      <w:r>
        <w:rPr>
          <w:rFonts w:hint="eastAsia" w:ascii="宋体" w:hAnsi="宋体" w:cs="宋体"/>
          <w:color w:val="auto"/>
          <w:spacing w:val="-2"/>
          <w:highlight w:val="none"/>
          <w:u w:val="single"/>
        </w:rPr>
        <w:t>企业名称</w:t>
      </w:r>
      <w:r>
        <w:rPr>
          <w:rFonts w:hint="eastAsia" w:ascii="宋体" w:hAnsi="宋体" w:cs="宋体"/>
          <w:color w:val="auto"/>
          <w:spacing w:val="-2"/>
          <w:highlight w:val="none"/>
        </w:rPr>
        <w:t>），从业人员</w:t>
      </w:r>
      <w:r>
        <w:rPr>
          <w:rFonts w:hint="eastAsia" w:ascii="宋体" w:hAnsi="宋体" w:cs="宋体"/>
          <w:color w:val="auto"/>
          <w:spacing w:val="-2"/>
          <w:highlight w:val="none"/>
          <w:u w:val="single"/>
        </w:rPr>
        <w:t xml:space="preserve">    </w:t>
      </w:r>
      <w:r>
        <w:rPr>
          <w:rFonts w:hint="eastAsia" w:ascii="宋体" w:hAnsi="宋体" w:cs="宋体"/>
          <w:color w:val="auto"/>
          <w:spacing w:val="-2"/>
          <w:highlight w:val="none"/>
        </w:rPr>
        <w:t>人，营业收入为</w:t>
      </w:r>
      <w:r>
        <w:rPr>
          <w:rFonts w:hint="eastAsia" w:ascii="宋体" w:hAnsi="宋体" w:cs="宋体"/>
          <w:color w:val="auto"/>
          <w:spacing w:val="-2"/>
          <w:highlight w:val="none"/>
          <w:u w:val="single"/>
        </w:rPr>
        <w:tab/>
      </w:r>
      <w:r>
        <w:rPr>
          <w:rFonts w:hint="eastAsia" w:ascii="宋体" w:hAnsi="宋体" w:cs="宋体"/>
          <w:color w:val="auto"/>
          <w:spacing w:val="-2"/>
          <w:highlight w:val="none"/>
        </w:rPr>
        <w:t>万元，资产总额为</w:t>
      </w:r>
      <w:r>
        <w:rPr>
          <w:rFonts w:hint="eastAsia" w:ascii="宋体" w:hAnsi="宋体" w:cs="宋体"/>
          <w:color w:val="auto"/>
          <w:spacing w:val="-2"/>
          <w:highlight w:val="none"/>
          <w:u w:val="single"/>
        </w:rPr>
        <w:t xml:space="preserve">   </w:t>
      </w:r>
      <w:r>
        <w:rPr>
          <w:rFonts w:hint="eastAsia" w:ascii="宋体" w:hAnsi="宋体" w:cs="宋体"/>
          <w:color w:val="auto"/>
          <w:spacing w:val="-2"/>
          <w:highlight w:val="none"/>
        </w:rPr>
        <w:t>万元，属于（</w:t>
      </w:r>
      <w:r>
        <w:rPr>
          <w:rFonts w:hint="eastAsia" w:ascii="宋体" w:hAnsi="宋体" w:cs="宋体"/>
          <w:color w:val="auto"/>
          <w:spacing w:val="-2"/>
          <w:highlight w:val="none"/>
          <w:u w:val="single"/>
        </w:rPr>
        <w:t>中型企业、小型企业、微型企业</w:t>
      </w:r>
      <w:r>
        <w:rPr>
          <w:rFonts w:hint="eastAsia" w:ascii="宋体" w:hAnsi="宋体" w:cs="宋体"/>
          <w:color w:val="auto"/>
          <w:spacing w:val="-2"/>
          <w:highlight w:val="none"/>
        </w:rPr>
        <w:t>）；</w:t>
      </w:r>
    </w:p>
    <w:p>
      <w:pPr>
        <w:pStyle w:val="2"/>
        <w:tabs>
          <w:tab w:val="left" w:pos="562"/>
          <w:tab w:val="left" w:pos="3372"/>
          <w:tab w:val="left" w:pos="3653"/>
        </w:tabs>
        <w:ind w:firstLine="472" w:firstLineChars="200"/>
        <w:rPr>
          <w:rFonts w:hint="eastAsia" w:ascii="宋体" w:hAnsi="宋体" w:cs="宋体"/>
          <w:color w:val="auto"/>
          <w:spacing w:val="-2"/>
          <w:highlight w:val="none"/>
        </w:rPr>
      </w:pPr>
      <w:r>
        <w:rPr>
          <w:rFonts w:hint="eastAsia" w:ascii="宋体" w:hAnsi="宋体" w:cs="宋体"/>
          <w:color w:val="auto"/>
          <w:spacing w:val="-2"/>
          <w:highlight w:val="none"/>
        </w:rPr>
        <w:t>……</w:t>
      </w:r>
    </w:p>
    <w:p>
      <w:pPr>
        <w:pStyle w:val="2"/>
        <w:tabs>
          <w:tab w:val="left" w:pos="562"/>
          <w:tab w:val="left" w:pos="3372"/>
          <w:tab w:val="left" w:pos="3653"/>
        </w:tabs>
        <w:ind w:firstLine="472" w:firstLineChars="200"/>
        <w:rPr>
          <w:rFonts w:hint="eastAsia" w:ascii="宋体" w:hAnsi="宋体" w:cs="宋体"/>
          <w:color w:val="auto"/>
          <w:spacing w:val="-2"/>
          <w:highlight w:val="none"/>
        </w:rPr>
      </w:pPr>
      <w:r>
        <w:rPr>
          <w:rFonts w:hint="eastAsia" w:ascii="宋体" w:hAnsi="宋体" w:cs="宋体"/>
          <w:color w:val="auto"/>
          <w:spacing w:val="-2"/>
          <w:highlight w:val="none"/>
        </w:rPr>
        <w:t>以上企业，不属于大企业的分支机构，不存在控股股东为大企业的情形，也不存在与大企业的负责人为同一人的情形。</w:t>
      </w:r>
    </w:p>
    <w:p>
      <w:pPr>
        <w:pStyle w:val="2"/>
        <w:tabs>
          <w:tab w:val="left" w:pos="562"/>
          <w:tab w:val="left" w:pos="3372"/>
          <w:tab w:val="left" w:pos="3653"/>
        </w:tabs>
        <w:ind w:firstLine="472" w:firstLineChars="200"/>
        <w:rPr>
          <w:rFonts w:hint="eastAsia" w:ascii="宋体" w:hAnsi="宋体" w:cs="宋体"/>
          <w:color w:val="auto"/>
          <w:spacing w:val="-2"/>
          <w:highlight w:val="none"/>
        </w:rPr>
      </w:pPr>
      <w:r>
        <w:rPr>
          <w:rFonts w:hint="eastAsia" w:ascii="宋体" w:hAnsi="宋体" w:cs="宋体"/>
          <w:color w:val="auto"/>
          <w:spacing w:val="-2"/>
          <w:highlight w:val="none"/>
        </w:rPr>
        <w:t>本企业对上述声明内容的真实性负责。如有虚假，将依法承担相应责任。</w:t>
      </w:r>
    </w:p>
    <w:p>
      <w:pPr>
        <w:pStyle w:val="2"/>
        <w:tabs>
          <w:tab w:val="left" w:pos="562"/>
          <w:tab w:val="left" w:pos="3372"/>
          <w:tab w:val="left" w:pos="3653"/>
        </w:tabs>
        <w:ind w:firstLine="472" w:firstLineChars="200"/>
        <w:rPr>
          <w:rFonts w:hint="eastAsia" w:ascii="宋体" w:hAnsi="宋体" w:cs="宋体"/>
          <w:color w:val="auto"/>
          <w:spacing w:val="-2"/>
          <w:highlight w:val="none"/>
        </w:rPr>
      </w:pPr>
      <w:r>
        <w:rPr>
          <w:rFonts w:hint="eastAsia" w:ascii="宋体" w:hAnsi="宋体" w:cs="宋体"/>
          <w:color w:val="auto"/>
          <w:spacing w:val="-2"/>
          <w:highlight w:val="none"/>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ind w:left="4200" w:leftChars="2000"/>
        <w:rPr>
          <w:rFonts w:hint="eastAsia" w:ascii="宋体" w:hAnsi="宋体" w:cs="宋体"/>
          <w:color w:val="auto"/>
          <w:highlight w:val="none"/>
        </w:rPr>
      </w:pPr>
      <w:r>
        <w:rPr>
          <w:rFonts w:hint="eastAsia" w:ascii="宋体" w:hAnsi="宋体" w:cs="宋体"/>
          <w:color w:val="auto"/>
          <w:spacing w:val="-2"/>
          <w:highlight w:val="none"/>
        </w:rPr>
        <w:t>企业名称（盖章）日期：</w:t>
      </w:r>
    </w:p>
    <w:p>
      <w:pPr>
        <w:pStyle w:val="2"/>
        <w:tabs>
          <w:tab w:val="left" w:pos="562"/>
          <w:tab w:val="left" w:pos="3372"/>
          <w:tab w:val="left" w:pos="3653"/>
        </w:tabs>
        <w:jc w:val="center"/>
        <w:rPr>
          <w:rFonts w:hint="eastAsia" w:ascii="宋体" w:hAnsi="宋体" w:cs="宋体"/>
          <w:color w:val="auto"/>
          <w:spacing w:val="-2"/>
          <w:highlight w:val="none"/>
        </w:rPr>
      </w:pPr>
      <w:r>
        <w:rPr>
          <w:rFonts w:hint="eastAsia" w:ascii="宋体" w:hAnsi="宋体" w:cs="宋体"/>
          <w:color w:val="auto"/>
          <w:spacing w:val="-2"/>
          <w:highlight w:val="none"/>
        </w:rPr>
        <w:t>从业人员、营业收入、资产总额填报上一年度数据，无上一年度数据的新成立企业可不填报。</w:t>
      </w:r>
    </w:p>
    <w:p>
      <w:pPr>
        <w:spacing w:after="319" w:afterLines="100"/>
        <w:jc w:val="center"/>
        <w:rPr>
          <w:rFonts w:hint="eastAsia"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中小企业声明函（工程、服务）</w:t>
      </w:r>
    </w:p>
    <w:p>
      <w:pPr>
        <w:pStyle w:val="2"/>
        <w:tabs>
          <w:tab w:val="left" w:pos="562"/>
          <w:tab w:val="left" w:pos="3372"/>
          <w:tab w:val="left" w:pos="3653"/>
        </w:tabs>
        <w:ind w:firstLine="472" w:firstLineChars="200"/>
        <w:rPr>
          <w:rFonts w:hint="eastAsia" w:ascii="宋体" w:hAnsi="宋体" w:cs="宋体"/>
          <w:color w:val="auto"/>
          <w:spacing w:val="-2"/>
          <w:highlight w:val="none"/>
        </w:rPr>
      </w:pPr>
      <w:r>
        <w:rPr>
          <w:rFonts w:hint="eastAsia" w:ascii="宋体" w:hAnsi="宋体" w:cs="宋体"/>
          <w:color w:val="auto"/>
          <w:spacing w:val="-2"/>
          <w:highlight w:val="none"/>
        </w:rPr>
        <w:t>本公司（联合体）郑重声明，根据《政府采购促进中小企业发展管理办法》（财库﹝2020﹞46 号）的规定，本公司（联合体）参加（</w:t>
      </w:r>
      <w:r>
        <w:rPr>
          <w:rFonts w:hint="eastAsia" w:ascii="宋体" w:hAnsi="宋体" w:cs="宋体"/>
          <w:color w:val="auto"/>
          <w:spacing w:val="-2"/>
          <w:highlight w:val="none"/>
          <w:u w:val="single"/>
        </w:rPr>
        <w:t>单位名称</w:t>
      </w:r>
      <w:r>
        <w:rPr>
          <w:rFonts w:hint="eastAsia" w:ascii="宋体" w:hAnsi="宋体" w:cs="宋体"/>
          <w:color w:val="auto"/>
          <w:spacing w:val="-2"/>
          <w:highlight w:val="none"/>
        </w:rPr>
        <w:t>）的（</w:t>
      </w:r>
      <w:r>
        <w:rPr>
          <w:rFonts w:hint="eastAsia" w:ascii="宋体" w:hAnsi="宋体" w:cs="宋体"/>
          <w:color w:val="auto"/>
          <w:spacing w:val="-2"/>
          <w:highlight w:val="none"/>
          <w:u w:val="single"/>
        </w:rPr>
        <w:t>项目名称</w:t>
      </w:r>
      <w:r>
        <w:rPr>
          <w:rFonts w:hint="eastAsia" w:ascii="宋体" w:hAnsi="宋体" w:cs="宋体"/>
          <w:color w:val="auto"/>
          <w:spacing w:val="-2"/>
          <w:highlight w:val="none"/>
        </w:rPr>
        <w:t>）采购活动，工程的施工单位全部为符合政策要求的中小企业（或者：服务全部由符合政策要求的中小企业承接）。相关企业（含联合 体中的中小企业、签订分包意向协议的中小企业）的具体情况如下：</w:t>
      </w:r>
    </w:p>
    <w:p>
      <w:pPr>
        <w:pStyle w:val="2"/>
        <w:tabs>
          <w:tab w:val="left" w:pos="562"/>
          <w:tab w:val="left" w:pos="3372"/>
          <w:tab w:val="left" w:pos="3653"/>
        </w:tabs>
        <w:ind w:firstLine="472" w:firstLineChars="200"/>
        <w:rPr>
          <w:rFonts w:hint="eastAsia" w:ascii="宋体" w:hAnsi="宋体" w:cs="宋体"/>
          <w:color w:val="auto"/>
          <w:spacing w:val="-2"/>
          <w:highlight w:val="none"/>
        </w:rPr>
      </w:pPr>
      <w:r>
        <w:rPr>
          <w:rFonts w:hint="eastAsia" w:ascii="宋体" w:hAnsi="宋体" w:cs="宋体"/>
          <w:color w:val="auto"/>
          <w:spacing w:val="-2"/>
          <w:highlight w:val="none"/>
        </w:rPr>
        <w:t>1、（</w:t>
      </w:r>
      <w:r>
        <w:rPr>
          <w:rFonts w:hint="eastAsia" w:ascii="宋体" w:hAnsi="宋体" w:cs="宋体"/>
          <w:color w:val="auto"/>
          <w:spacing w:val="-2"/>
          <w:highlight w:val="none"/>
          <w:u w:val="single"/>
        </w:rPr>
        <w:t>标的名称</w:t>
      </w:r>
      <w:r>
        <w:rPr>
          <w:rFonts w:hint="eastAsia" w:ascii="宋体" w:hAnsi="宋体" w:cs="宋体"/>
          <w:color w:val="auto"/>
          <w:spacing w:val="-2"/>
          <w:highlight w:val="none"/>
        </w:rPr>
        <w:t>），属于（</w:t>
      </w:r>
      <w:r>
        <w:rPr>
          <w:rFonts w:hint="eastAsia" w:ascii="宋体" w:hAnsi="宋体" w:cs="宋体"/>
          <w:color w:val="auto"/>
          <w:spacing w:val="-2"/>
          <w:highlight w:val="none"/>
          <w:u w:val="single"/>
        </w:rPr>
        <w:t>采购文件中明确的所属行业</w:t>
      </w:r>
      <w:r>
        <w:rPr>
          <w:rFonts w:hint="eastAsia" w:ascii="宋体" w:hAnsi="宋体" w:cs="宋体"/>
          <w:color w:val="auto"/>
          <w:spacing w:val="-2"/>
          <w:highlight w:val="none"/>
        </w:rPr>
        <w:t>）；承建（承接）企业为（</w:t>
      </w:r>
      <w:r>
        <w:rPr>
          <w:rFonts w:hint="eastAsia" w:ascii="宋体" w:hAnsi="宋体" w:cs="宋体"/>
          <w:color w:val="auto"/>
          <w:spacing w:val="-2"/>
          <w:highlight w:val="none"/>
          <w:u w:val="single"/>
        </w:rPr>
        <w:t>企业名称</w:t>
      </w:r>
      <w:r>
        <w:rPr>
          <w:rFonts w:hint="eastAsia" w:ascii="宋体" w:hAnsi="宋体" w:cs="宋体"/>
          <w:color w:val="auto"/>
          <w:spacing w:val="-2"/>
          <w:highlight w:val="none"/>
        </w:rPr>
        <w:t>），从业人员</w:t>
      </w:r>
      <w:r>
        <w:rPr>
          <w:rFonts w:hint="eastAsia" w:ascii="宋体" w:hAnsi="宋体" w:cs="宋体"/>
          <w:color w:val="auto"/>
          <w:spacing w:val="-2"/>
          <w:highlight w:val="none"/>
          <w:u w:val="single"/>
        </w:rPr>
        <w:tab/>
      </w:r>
      <w:r>
        <w:rPr>
          <w:rFonts w:hint="eastAsia" w:ascii="宋体" w:hAnsi="宋体" w:cs="宋体"/>
          <w:color w:val="auto"/>
          <w:spacing w:val="-2"/>
          <w:highlight w:val="none"/>
        </w:rPr>
        <w:t>人，营业收入为</w:t>
      </w:r>
      <w:r>
        <w:rPr>
          <w:rFonts w:hint="eastAsia" w:ascii="宋体" w:hAnsi="宋体" w:cs="宋体"/>
          <w:color w:val="auto"/>
          <w:spacing w:val="-2"/>
          <w:highlight w:val="none"/>
          <w:u w:val="single"/>
        </w:rPr>
        <w:tab/>
      </w:r>
      <w:r>
        <w:rPr>
          <w:rFonts w:hint="eastAsia" w:ascii="宋体" w:hAnsi="宋体" w:cs="宋体"/>
          <w:color w:val="auto"/>
          <w:spacing w:val="-2"/>
          <w:highlight w:val="none"/>
        </w:rPr>
        <w:t>万元，资产总额为</w:t>
      </w:r>
      <w:r>
        <w:rPr>
          <w:rFonts w:hint="eastAsia" w:ascii="宋体" w:hAnsi="宋体" w:cs="宋体"/>
          <w:color w:val="auto"/>
          <w:spacing w:val="-2"/>
          <w:highlight w:val="none"/>
          <w:u w:val="single"/>
        </w:rPr>
        <w:tab/>
      </w:r>
      <w:r>
        <w:rPr>
          <w:rFonts w:hint="eastAsia" w:ascii="宋体" w:hAnsi="宋体" w:cs="宋体"/>
          <w:color w:val="auto"/>
          <w:spacing w:val="-2"/>
          <w:highlight w:val="none"/>
        </w:rPr>
        <w:t>万元，属于（</w:t>
      </w:r>
      <w:r>
        <w:rPr>
          <w:rFonts w:hint="eastAsia" w:ascii="宋体" w:hAnsi="宋体" w:cs="宋体"/>
          <w:color w:val="auto"/>
          <w:spacing w:val="-2"/>
          <w:highlight w:val="none"/>
          <w:u w:val="single"/>
        </w:rPr>
        <w:t>中型企业、小型企业、微型企业</w:t>
      </w:r>
      <w:r>
        <w:rPr>
          <w:rFonts w:hint="eastAsia" w:ascii="宋体" w:hAnsi="宋体" w:cs="宋体"/>
          <w:color w:val="auto"/>
          <w:spacing w:val="-2"/>
          <w:highlight w:val="none"/>
        </w:rPr>
        <w:t>）。</w:t>
      </w:r>
    </w:p>
    <w:p>
      <w:pPr>
        <w:pStyle w:val="2"/>
        <w:tabs>
          <w:tab w:val="left" w:pos="562"/>
          <w:tab w:val="left" w:pos="3372"/>
          <w:tab w:val="left" w:pos="3653"/>
        </w:tabs>
        <w:ind w:firstLine="472" w:firstLineChars="200"/>
        <w:rPr>
          <w:rFonts w:hint="eastAsia" w:ascii="宋体" w:hAnsi="宋体" w:cs="宋体"/>
          <w:color w:val="auto"/>
          <w:spacing w:val="-2"/>
          <w:highlight w:val="none"/>
        </w:rPr>
      </w:pPr>
      <w:r>
        <w:rPr>
          <w:rFonts w:hint="eastAsia" w:ascii="宋体" w:hAnsi="宋体" w:cs="宋体"/>
          <w:color w:val="auto"/>
          <w:spacing w:val="-2"/>
          <w:highlight w:val="none"/>
        </w:rPr>
        <w:t>2、（</w:t>
      </w:r>
      <w:r>
        <w:rPr>
          <w:rFonts w:hint="eastAsia" w:ascii="宋体" w:hAnsi="宋体" w:cs="宋体"/>
          <w:color w:val="auto"/>
          <w:spacing w:val="-2"/>
          <w:highlight w:val="none"/>
          <w:u w:val="single"/>
        </w:rPr>
        <w:t>标的名称</w:t>
      </w:r>
      <w:r>
        <w:rPr>
          <w:rFonts w:hint="eastAsia" w:ascii="宋体" w:hAnsi="宋体" w:cs="宋体"/>
          <w:color w:val="auto"/>
          <w:spacing w:val="-2"/>
          <w:highlight w:val="none"/>
        </w:rPr>
        <w:t>），属于（</w:t>
      </w:r>
      <w:r>
        <w:rPr>
          <w:rFonts w:hint="eastAsia" w:ascii="宋体" w:hAnsi="宋体" w:cs="宋体"/>
          <w:color w:val="auto"/>
          <w:spacing w:val="-2"/>
          <w:highlight w:val="none"/>
          <w:u w:val="single"/>
        </w:rPr>
        <w:t>采购文件中明确的所属行业</w:t>
      </w:r>
      <w:r>
        <w:rPr>
          <w:rFonts w:hint="eastAsia" w:ascii="宋体" w:hAnsi="宋体" w:cs="宋体"/>
          <w:color w:val="auto"/>
          <w:spacing w:val="-2"/>
          <w:highlight w:val="none"/>
        </w:rPr>
        <w:t>） ；承建（承接）企业为（</w:t>
      </w:r>
      <w:r>
        <w:rPr>
          <w:rFonts w:hint="eastAsia" w:ascii="宋体" w:hAnsi="宋体" w:cs="宋体"/>
          <w:color w:val="auto"/>
          <w:spacing w:val="-2"/>
          <w:highlight w:val="none"/>
          <w:u w:val="single"/>
        </w:rPr>
        <w:t>企业名称</w:t>
      </w:r>
      <w:r>
        <w:rPr>
          <w:rFonts w:hint="eastAsia" w:ascii="宋体" w:hAnsi="宋体" w:cs="宋体"/>
          <w:color w:val="auto"/>
          <w:spacing w:val="-2"/>
          <w:highlight w:val="none"/>
        </w:rPr>
        <w:t>），从业人员</w:t>
      </w:r>
      <w:r>
        <w:rPr>
          <w:rFonts w:hint="eastAsia" w:ascii="宋体" w:hAnsi="宋体" w:cs="宋体"/>
          <w:color w:val="auto"/>
          <w:spacing w:val="-2"/>
          <w:highlight w:val="none"/>
          <w:u w:val="single"/>
        </w:rPr>
        <w:tab/>
      </w:r>
      <w:r>
        <w:rPr>
          <w:rFonts w:hint="eastAsia" w:ascii="宋体" w:hAnsi="宋体" w:cs="宋体"/>
          <w:color w:val="auto"/>
          <w:spacing w:val="-2"/>
          <w:highlight w:val="none"/>
        </w:rPr>
        <w:t>人，营业收入为</w:t>
      </w:r>
      <w:r>
        <w:rPr>
          <w:rFonts w:hint="eastAsia" w:ascii="宋体" w:hAnsi="宋体" w:cs="宋体"/>
          <w:color w:val="auto"/>
          <w:spacing w:val="-2"/>
          <w:highlight w:val="none"/>
          <w:u w:val="single"/>
        </w:rPr>
        <w:tab/>
      </w:r>
      <w:r>
        <w:rPr>
          <w:rFonts w:hint="eastAsia" w:ascii="宋体" w:hAnsi="宋体" w:cs="宋体"/>
          <w:color w:val="auto"/>
          <w:spacing w:val="-2"/>
          <w:highlight w:val="none"/>
        </w:rPr>
        <w:t>万元，资产总额为</w:t>
      </w:r>
      <w:r>
        <w:rPr>
          <w:rFonts w:hint="eastAsia" w:ascii="宋体" w:hAnsi="宋体" w:cs="宋体"/>
          <w:color w:val="auto"/>
          <w:spacing w:val="-2"/>
          <w:highlight w:val="none"/>
          <w:u w:val="single"/>
        </w:rPr>
        <w:tab/>
      </w:r>
      <w:r>
        <w:rPr>
          <w:rFonts w:hint="eastAsia" w:ascii="宋体" w:hAnsi="宋体" w:cs="宋体"/>
          <w:color w:val="auto"/>
          <w:spacing w:val="-2"/>
          <w:highlight w:val="none"/>
        </w:rPr>
        <w:t>万元，属于（</w:t>
      </w:r>
      <w:r>
        <w:rPr>
          <w:rFonts w:hint="eastAsia" w:ascii="宋体" w:hAnsi="宋体" w:cs="宋体"/>
          <w:color w:val="auto"/>
          <w:spacing w:val="-2"/>
          <w:highlight w:val="none"/>
          <w:u w:val="single"/>
        </w:rPr>
        <w:t>中型企业、小型企业、微型企业</w:t>
      </w:r>
      <w:r>
        <w:rPr>
          <w:rFonts w:hint="eastAsia" w:ascii="宋体" w:hAnsi="宋体" w:cs="宋体"/>
          <w:color w:val="auto"/>
          <w:spacing w:val="-2"/>
          <w:highlight w:val="none"/>
        </w:rPr>
        <w:t>）；</w:t>
      </w:r>
    </w:p>
    <w:p>
      <w:pPr>
        <w:pStyle w:val="2"/>
        <w:tabs>
          <w:tab w:val="left" w:pos="562"/>
          <w:tab w:val="left" w:pos="3372"/>
          <w:tab w:val="left" w:pos="3653"/>
        </w:tabs>
        <w:ind w:firstLine="472" w:firstLineChars="200"/>
        <w:rPr>
          <w:rFonts w:hint="eastAsia" w:ascii="宋体" w:hAnsi="宋体" w:cs="宋体"/>
          <w:color w:val="auto"/>
          <w:spacing w:val="-2"/>
          <w:highlight w:val="none"/>
        </w:rPr>
      </w:pPr>
      <w:r>
        <w:rPr>
          <w:rFonts w:hint="eastAsia" w:ascii="宋体" w:hAnsi="宋体" w:cs="宋体"/>
          <w:color w:val="auto"/>
          <w:spacing w:val="-2"/>
          <w:highlight w:val="none"/>
        </w:rPr>
        <w:t>……</w:t>
      </w:r>
    </w:p>
    <w:p>
      <w:pPr>
        <w:pStyle w:val="2"/>
        <w:tabs>
          <w:tab w:val="left" w:pos="562"/>
          <w:tab w:val="left" w:pos="3372"/>
          <w:tab w:val="left" w:pos="3653"/>
        </w:tabs>
        <w:ind w:firstLine="472" w:firstLineChars="200"/>
        <w:rPr>
          <w:rFonts w:hint="eastAsia" w:ascii="宋体" w:hAnsi="宋体" w:cs="宋体"/>
          <w:color w:val="auto"/>
          <w:spacing w:val="-2"/>
          <w:highlight w:val="none"/>
        </w:rPr>
      </w:pPr>
      <w:r>
        <w:rPr>
          <w:rFonts w:hint="eastAsia" w:ascii="宋体" w:hAnsi="宋体" w:cs="宋体"/>
          <w:color w:val="auto"/>
          <w:spacing w:val="-2"/>
          <w:highlight w:val="none"/>
        </w:rPr>
        <w:t>以上企业，不属于大企业的分支机构，不存在控股股东为大企业的情形，也不存在与大企业的负责人为同一人的情形。</w:t>
      </w:r>
    </w:p>
    <w:p>
      <w:pPr>
        <w:pStyle w:val="2"/>
        <w:tabs>
          <w:tab w:val="left" w:pos="562"/>
          <w:tab w:val="left" w:pos="3372"/>
          <w:tab w:val="left" w:pos="3653"/>
        </w:tabs>
        <w:ind w:firstLine="472" w:firstLineChars="200"/>
        <w:rPr>
          <w:rFonts w:hint="eastAsia" w:ascii="宋体" w:hAnsi="宋体" w:cs="宋体"/>
          <w:color w:val="auto"/>
          <w:spacing w:val="-2"/>
          <w:highlight w:val="none"/>
        </w:rPr>
      </w:pPr>
      <w:r>
        <w:rPr>
          <w:rFonts w:hint="eastAsia" w:ascii="宋体" w:hAnsi="宋体" w:cs="宋体"/>
          <w:color w:val="auto"/>
          <w:spacing w:val="-2"/>
          <w:highlight w:val="none"/>
        </w:rPr>
        <w:t>本企业对上述声明内容的真实性负责。如有虚假，将依法承担相应责任。</w:t>
      </w:r>
    </w:p>
    <w:p>
      <w:pPr>
        <w:pStyle w:val="2"/>
        <w:tabs>
          <w:tab w:val="left" w:pos="562"/>
          <w:tab w:val="left" w:pos="3372"/>
          <w:tab w:val="left" w:pos="3653"/>
        </w:tabs>
        <w:ind w:firstLine="472" w:firstLineChars="200"/>
        <w:rPr>
          <w:rFonts w:hint="eastAsia" w:ascii="宋体" w:hAnsi="宋体" w:cs="宋体"/>
          <w:color w:val="auto"/>
          <w:spacing w:val="-2"/>
          <w:highlight w:val="none"/>
        </w:rPr>
      </w:pPr>
    </w:p>
    <w:p>
      <w:pPr>
        <w:pStyle w:val="2"/>
        <w:tabs>
          <w:tab w:val="left" w:pos="562"/>
          <w:tab w:val="left" w:pos="3372"/>
          <w:tab w:val="left" w:pos="3653"/>
        </w:tabs>
        <w:ind w:firstLine="472" w:firstLineChars="200"/>
        <w:rPr>
          <w:rFonts w:hint="eastAsia" w:ascii="宋体" w:hAnsi="宋体" w:cs="宋体"/>
          <w:color w:val="auto"/>
          <w:spacing w:val="-2"/>
          <w:highlight w:val="none"/>
        </w:rPr>
      </w:pPr>
      <w:r>
        <w:rPr>
          <w:rFonts w:hint="eastAsia" w:ascii="宋体" w:hAnsi="宋体" w:cs="宋体"/>
          <w:color w:val="auto"/>
          <w:spacing w:val="-2"/>
          <w:highlight w:val="none"/>
        </w:rPr>
        <w:t>注意事项：</w:t>
      </w:r>
    </w:p>
    <w:p>
      <w:pPr>
        <w:pStyle w:val="2"/>
        <w:tabs>
          <w:tab w:val="left" w:pos="562"/>
          <w:tab w:val="left" w:pos="3372"/>
          <w:tab w:val="left" w:pos="3653"/>
        </w:tabs>
        <w:spacing w:after="0"/>
        <w:ind w:firstLine="472" w:firstLineChars="200"/>
        <w:rPr>
          <w:rFonts w:hint="eastAsia" w:ascii="宋体" w:hAnsi="宋体" w:cs="宋体"/>
          <w:color w:val="auto"/>
          <w:spacing w:val="-2"/>
          <w:highlight w:val="none"/>
        </w:rPr>
      </w:pPr>
      <w:r>
        <w:rPr>
          <w:rFonts w:hint="eastAsia" w:ascii="宋体" w:hAnsi="宋体" w:cs="宋体"/>
          <w:color w:val="auto"/>
          <w:spacing w:val="-2"/>
          <w:highlight w:val="none"/>
        </w:rPr>
        <w:t>1.从业人员、营业收入、资产总额填报上一年度数据，无上一年度数据的新成立企业可不填报。</w:t>
      </w:r>
    </w:p>
    <w:p>
      <w:pPr>
        <w:pStyle w:val="2"/>
        <w:tabs>
          <w:tab w:val="left" w:pos="562"/>
          <w:tab w:val="left" w:pos="3372"/>
          <w:tab w:val="left" w:pos="3653"/>
        </w:tabs>
        <w:spacing w:after="0"/>
        <w:ind w:firstLine="472" w:firstLineChars="200"/>
        <w:rPr>
          <w:rFonts w:hint="eastAsia" w:ascii="宋体" w:hAnsi="宋体" w:cs="宋体"/>
          <w:color w:val="auto"/>
          <w:spacing w:val="-2"/>
          <w:highlight w:val="none"/>
        </w:rPr>
      </w:pPr>
      <w:r>
        <w:rPr>
          <w:rFonts w:hint="eastAsia" w:ascii="宋体" w:hAnsi="宋体" w:cs="宋体"/>
          <w:color w:val="auto"/>
          <w:spacing w:val="-2"/>
          <w:highlight w:val="none"/>
        </w:rPr>
        <w:t>2.《中小企业声明函》中承接/承建企业所属行业应当与招标文件要求的行业相一致，供应商如有疑问，可根据《国民经济行业分类》（GB/T4754-2002），结合《关于印发中小企业划型标准规定的通知》（工信部联企业〔2011〕300 号）进行判断。</w:t>
      </w:r>
    </w:p>
    <w:p>
      <w:pPr>
        <w:pStyle w:val="2"/>
        <w:tabs>
          <w:tab w:val="left" w:pos="562"/>
          <w:tab w:val="left" w:pos="3372"/>
          <w:tab w:val="left" w:pos="3653"/>
        </w:tabs>
        <w:spacing w:after="0"/>
        <w:ind w:firstLine="472" w:firstLineChars="200"/>
        <w:rPr>
          <w:rFonts w:hint="eastAsia" w:ascii="宋体" w:hAnsi="宋体" w:cs="宋体"/>
          <w:color w:val="auto"/>
          <w:spacing w:val="-2"/>
          <w:highlight w:val="none"/>
        </w:rPr>
      </w:pPr>
      <w:r>
        <w:rPr>
          <w:rFonts w:hint="eastAsia" w:ascii="宋体" w:hAnsi="宋体" w:cs="宋体"/>
          <w:color w:val="auto"/>
          <w:spacing w:val="-2"/>
          <w:highlight w:val="none"/>
        </w:rPr>
        <w:t>3.事业单位、社会组织等非企业主体不享受中小企业扶持政策，但事业单位、社会组织等非企业主体提供全部由中小企业制造的货物参加货物采购项目的除外。</w:t>
      </w:r>
    </w:p>
    <w:p>
      <w:pPr>
        <w:pStyle w:val="2"/>
        <w:tabs>
          <w:tab w:val="left" w:pos="562"/>
          <w:tab w:val="left" w:pos="3372"/>
          <w:tab w:val="left" w:pos="3653"/>
        </w:tabs>
        <w:spacing w:after="0"/>
        <w:ind w:firstLine="472" w:firstLineChars="200"/>
        <w:rPr>
          <w:rFonts w:hint="eastAsia" w:ascii="宋体" w:hAnsi="宋体" w:cs="宋体"/>
          <w:color w:val="auto"/>
          <w:spacing w:val="-2"/>
          <w:highlight w:val="none"/>
        </w:rPr>
      </w:pPr>
      <w:r>
        <w:rPr>
          <w:rFonts w:hint="eastAsia" w:ascii="宋体" w:hAnsi="宋体" w:cs="宋体"/>
          <w:color w:val="auto"/>
          <w:spacing w:val="-2"/>
          <w:highlight w:val="none"/>
        </w:rPr>
        <w:t>4.相关承接/承建企业的所属行业应当与采购标的所属行业（采购文件中明确的行业）相一致。</w:t>
      </w:r>
    </w:p>
    <w:p>
      <w:pPr>
        <w:pStyle w:val="2"/>
        <w:tabs>
          <w:tab w:val="left" w:pos="562"/>
          <w:tab w:val="left" w:pos="3372"/>
          <w:tab w:val="left" w:pos="3653"/>
        </w:tabs>
        <w:spacing w:after="0"/>
        <w:ind w:firstLine="472" w:firstLineChars="200"/>
        <w:rPr>
          <w:rFonts w:hint="eastAsia" w:ascii="宋体" w:hAnsi="宋体" w:cs="宋体"/>
          <w:color w:val="auto"/>
          <w:spacing w:val="-2"/>
          <w:highlight w:val="none"/>
        </w:rPr>
      </w:pPr>
      <w:r>
        <w:rPr>
          <w:rFonts w:hint="eastAsia" w:ascii="宋体" w:hAnsi="宋体" w:cs="宋体"/>
          <w:color w:val="auto"/>
          <w:spacing w:val="-2"/>
          <w:highlight w:val="none"/>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ind w:left="4200" w:leftChars="2000"/>
        <w:rPr>
          <w:rFonts w:hint="eastAsia" w:ascii="宋体" w:hAnsi="宋体" w:cs="宋体"/>
          <w:color w:val="auto"/>
          <w:spacing w:val="-2"/>
          <w:highlight w:val="none"/>
        </w:rPr>
      </w:pPr>
    </w:p>
    <w:p>
      <w:pPr>
        <w:pStyle w:val="2"/>
        <w:tabs>
          <w:tab w:val="left" w:pos="562"/>
          <w:tab w:val="left" w:pos="3372"/>
          <w:tab w:val="left" w:pos="3653"/>
        </w:tabs>
        <w:ind w:left="4200" w:leftChars="2000"/>
        <w:rPr>
          <w:rFonts w:hint="eastAsia" w:ascii="宋体" w:hAnsi="宋体" w:cs="宋体"/>
          <w:color w:val="auto"/>
          <w:spacing w:val="-2"/>
          <w:highlight w:val="none"/>
        </w:rPr>
      </w:pPr>
      <w:r>
        <w:rPr>
          <w:rFonts w:hint="eastAsia" w:ascii="宋体" w:hAnsi="宋体" w:cs="宋体"/>
          <w:color w:val="auto"/>
          <w:spacing w:val="-2"/>
          <w:highlight w:val="none"/>
        </w:rPr>
        <w:t>企业名称（盖章）日期：</w:t>
      </w:r>
    </w:p>
    <w:p>
      <w:pPr>
        <w:pStyle w:val="2"/>
        <w:tabs>
          <w:tab w:val="left" w:pos="562"/>
          <w:tab w:val="left" w:pos="3372"/>
          <w:tab w:val="left" w:pos="3653"/>
        </w:tabs>
        <w:spacing w:before="30"/>
        <w:rPr>
          <w:rFonts w:hint="eastAsia" w:ascii="宋体" w:hAnsi="宋体" w:cs="宋体"/>
          <w:color w:val="auto"/>
          <w:highlight w:val="none"/>
        </w:rPr>
      </w:pPr>
      <w:r>
        <w:rPr>
          <w:rFonts w:hint="eastAsia" w:ascii="宋体" w:hAnsi="宋体" w:cs="宋体"/>
          <w:color w:val="auto"/>
          <w:spacing w:val="-2"/>
          <w:highlight w:val="none"/>
        </w:rPr>
        <w:t>从业人员、营业收入、资产总额填报上一年度数据，无上一年度数据的新成立企业可不填报。</w:t>
      </w:r>
      <w:r>
        <w:rPr>
          <w:rFonts w:hint="eastAsia" w:ascii="宋体" w:hAnsi="宋体" w:cs="宋体"/>
          <w:color w:val="auto"/>
          <w:highlight w:val="none"/>
        </w:rPr>
        <w:br w:type="page"/>
      </w:r>
      <w:r>
        <w:rPr>
          <w:rFonts w:hint="eastAsia" w:ascii="宋体" w:hAnsi="宋体" w:cs="宋体"/>
          <w:b/>
          <w:bCs/>
          <w:color w:val="auto"/>
          <w:highlight w:val="none"/>
        </w:rPr>
        <w:t>附 2</w:t>
      </w:r>
    </w:p>
    <w:p>
      <w:pPr>
        <w:jc w:val="center"/>
        <w:rPr>
          <w:rFonts w:hint="eastAsia" w:ascii="宋体" w:hAnsi="宋体" w:cs="宋体"/>
          <w:b/>
          <w:color w:val="auto"/>
          <w:sz w:val="24"/>
          <w:highlight w:val="none"/>
        </w:rPr>
      </w:pPr>
      <w:r>
        <w:rPr>
          <w:rFonts w:hint="eastAsia" w:ascii="宋体" w:hAnsi="宋体" w:cs="宋体"/>
          <w:color w:val="auto"/>
          <w:spacing w:val="-3"/>
          <w:sz w:val="24"/>
          <w:highlight w:val="none"/>
          <w:u w:val="single" w:color="000000"/>
        </w:rPr>
        <w:t>（单位名称）</w:t>
      </w:r>
      <w:r>
        <w:rPr>
          <w:rFonts w:hint="eastAsia" w:ascii="宋体" w:hAnsi="宋体" w:cs="宋体"/>
          <w:color w:val="auto"/>
          <w:spacing w:val="-29"/>
          <w:sz w:val="24"/>
          <w:highlight w:val="none"/>
        </w:rPr>
        <w:t>××</w:t>
      </w:r>
      <w:r>
        <w:rPr>
          <w:rFonts w:hint="eastAsia" w:ascii="宋体" w:hAnsi="宋体" w:cs="宋体"/>
          <w:b/>
          <w:color w:val="auto"/>
          <w:sz w:val="24"/>
          <w:highlight w:val="none"/>
        </w:rPr>
        <w:t>年面向中小企业预留项目执行情况公告</w:t>
      </w:r>
    </w:p>
    <w:p>
      <w:pPr>
        <w:pStyle w:val="2"/>
        <w:tabs>
          <w:tab w:val="left" w:pos="562"/>
          <w:tab w:val="left" w:pos="3372"/>
          <w:tab w:val="left" w:pos="3653"/>
        </w:tabs>
        <w:ind w:firstLine="480" w:firstLineChars="200"/>
        <w:rPr>
          <w:rFonts w:hint="eastAsia" w:ascii="宋体" w:hAnsi="宋体" w:cs="宋体"/>
          <w:color w:val="auto"/>
          <w:highlight w:val="none"/>
        </w:rPr>
      </w:pPr>
      <w:r>
        <w:rPr>
          <w:rFonts w:hint="eastAsia" w:ascii="宋体" w:hAnsi="宋体" w:cs="宋体"/>
          <w:color w:val="auto"/>
          <w:highlight w:val="none"/>
        </w:rPr>
        <w:t>根据《政府采购促进中小企业发展管理办法》（财库﹝2020﹞46</w:t>
      </w:r>
      <w:r>
        <w:rPr>
          <w:rFonts w:hint="eastAsia" w:ascii="宋体" w:hAnsi="宋体" w:cs="宋体"/>
          <w:color w:val="auto"/>
          <w:spacing w:val="-47"/>
          <w:highlight w:val="none"/>
        </w:rPr>
        <w:t xml:space="preserve"> 号</w:t>
      </w:r>
      <w:r>
        <w:rPr>
          <w:rFonts w:hint="eastAsia" w:ascii="宋体" w:hAnsi="宋体" w:cs="宋体"/>
          <w:color w:val="auto"/>
          <w:spacing w:val="-22"/>
          <w:highlight w:val="none"/>
        </w:rPr>
        <w:t>）</w:t>
      </w:r>
      <w:r>
        <w:rPr>
          <w:rFonts w:hint="eastAsia" w:ascii="宋体" w:hAnsi="宋体" w:cs="宋体"/>
          <w:color w:val="auto"/>
          <w:spacing w:val="-7"/>
          <w:highlight w:val="none"/>
        </w:rPr>
        <w:t>要求，现对本部门</w:t>
      </w:r>
      <w:r>
        <w:rPr>
          <w:rFonts w:hint="eastAsia" w:ascii="宋体" w:hAnsi="宋体" w:cs="宋体"/>
          <w:color w:val="auto"/>
          <w:spacing w:val="-3"/>
          <w:highlight w:val="none"/>
        </w:rPr>
        <w:t>（</w:t>
      </w:r>
      <w:r>
        <w:rPr>
          <w:rFonts w:hint="eastAsia" w:ascii="宋体" w:hAnsi="宋体" w:cs="宋体"/>
          <w:color w:val="auto"/>
          <w:highlight w:val="none"/>
        </w:rPr>
        <w:t>单位</w:t>
      </w:r>
      <w:r>
        <w:rPr>
          <w:rFonts w:hint="eastAsia" w:ascii="宋体" w:hAnsi="宋体" w:cs="宋体"/>
          <w:color w:val="auto"/>
          <w:spacing w:val="-7"/>
          <w:highlight w:val="none"/>
        </w:rPr>
        <w:t>）</w:t>
      </w:r>
      <w:r>
        <w:rPr>
          <w:rFonts w:hint="eastAsia" w:ascii="宋体" w:hAnsi="宋体" w:cs="宋体"/>
          <w:color w:val="auto"/>
          <w:spacing w:val="-4"/>
          <w:highlight w:val="none"/>
        </w:rPr>
        <w:t>××年面向中小企业预留项目执行情况公告如下：</w:t>
      </w:r>
    </w:p>
    <w:p>
      <w:pPr>
        <w:pStyle w:val="2"/>
        <w:tabs>
          <w:tab w:val="left" w:pos="562"/>
          <w:tab w:val="left" w:pos="3372"/>
          <w:tab w:val="left" w:pos="3653"/>
        </w:tabs>
        <w:ind w:firstLine="480" w:firstLineChars="200"/>
        <w:rPr>
          <w:rFonts w:hint="eastAsia" w:ascii="宋体" w:hAnsi="宋体" w:cs="宋体"/>
          <w:color w:val="auto"/>
          <w:highlight w:val="none"/>
        </w:rPr>
      </w:pPr>
      <w:r>
        <w:rPr>
          <w:rFonts w:hint="eastAsia" w:ascii="宋体" w:hAnsi="宋体" w:cs="宋体"/>
          <w:color w:val="auto"/>
          <w:highlight w:val="none"/>
        </w:rPr>
        <w:t>本部门（单位）××年预留项目面向中小企业采购共计××万元，其中，面向小微企业采购××万元，占××%。</w:t>
      </w:r>
    </w:p>
    <w:p>
      <w:pPr>
        <w:pStyle w:val="2"/>
        <w:tabs>
          <w:tab w:val="left" w:pos="562"/>
          <w:tab w:val="left" w:pos="3372"/>
          <w:tab w:val="left" w:pos="3653"/>
        </w:tabs>
        <w:jc w:val="center"/>
        <w:rPr>
          <w:rFonts w:hint="eastAsia" w:ascii="宋体" w:hAnsi="宋体" w:cs="宋体"/>
          <w:b/>
          <w:bCs/>
          <w:color w:val="auto"/>
          <w:highlight w:val="none"/>
        </w:rPr>
      </w:pPr>
      <w:r>
        <w:rPr>
          <w:rFonts w:hint="eastAsia" w:ascii="宋体" w:hAnsi="宋体" w:cs="宋体"/>
          <w:b/>
          <w:bCs/>
          <w:color w:val="auto"/>
          <w:highlight w:val="none"/>
        </w:rPr>
        <w:t>面向中小企业预留项目明细</w:t>
      </w:r>
    </w:p>
    <w:tbl>
      <w:tblPr>
        <w:tblStyle w:val="18"/>
        <w:tblW w:w="88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35"/>
              <w:jc w:val="center"/>
              <w:rPr>
                <w:rFonts w:hint="eastAsia"/>
                <w:b/>
                <w:color w:val="auto"/>
                <w:sz w:val="24"/>
                <w:szCs w:val="24"/>
                <w:highlight w:val="none"/>
              </w:rPr>
            </w:pPr>
            <w:r>
              <w:rPr>
                <w:rFonts w:hint="eastAsia"/>
                <w:b/>
                <w:color w:val="auto"/>
                <w:sz w:val="24"/>
                <w:szCs w:val="24"/>
                <w:highlight w:val="none"/>
              </w:rPr>
              <w:t>序号</w:t>
            </w:r>
          </w:p>
        </w:tc>
        <w:tc>
          <w:tcPr>
            <w:tcW w:w="1866" w:type="dxa"/>
            <w:vAlign w:val="center"/>
          </w:tcPr>
          <w:p>
            <w:pPr>
              <w:pStyle w:val="35"/>
              <w:jc w:val="center"/>
              <w:rPr>
                <w:rFonts w:hint="eastAsia"/>
                <w:b/>
                <w:color w:val="auto"/>
                <w:sz w:val="24"/>
                <w:szCs w:val="24"/>
                <w:highlight w:val="none"/>
              </w:rPr>
            </w:pPr>
            <w:r>
              <w:rPr>
                <w:rFonts w:hint="eastAsia"/>
                <w:b/>
                <w:color w:val="auto"/>
                <w:sz w:val="24"/>
                <w:szCs w:val="24"/>
                <w:highlight w:val="none"/>
              </w:rPr>
              <w:t>项目名称</w:t>
            </w:r>
          </w:p>
        </w:tc>
        <w:tc>
          <w:tcPr>
            <w:tcW w:w="2010" w:type="dxa"/>
            <w:vAlign w:val="center"/>
          </w:tcPr>
          <w:p>
            <w:pPr>
              <w:pStyle w:val="35"/>
              <w:jc w:val="center"/>
              <w:rPr>
                <w:rFonts w:hint="eastAsia"/>
                <w:b/>
                <w:color w:val="auto"/>
                <w:sz w:val="24"/>
                <w:szCs w:val="24"/>
                <w:highlight w:val="none"/>
              </w:rPr>
            </w:pPr>
            <w:r>
              <w:rPr>
                <w:rFonts w:hint="eastAsia"/>
                <w:b/>
                <w:color w:val="auto"/>
                <w:sz w:val="24"/>
                <w:szCs w:val="24"/>
                <w:highlight w:val="none"/>
              </w:rPr>
              <w:t>预留选项</w:t>
            </w:r>
          </w:p>
        </w:tc>
        <w:tc>
          <w:tcPr>
            <w:tcW w:w="2296" w:type="dxa"/>
            <w:vAlign w:val="center"/>
          </w:tcPr>
          <w:p>
            <w:pPr>
              <w:pStyle w:val="35"/>
              <w:jc w:val="center"/>
              <w:rPr>
                <w:rFonts w:hint="eastAsia"/>
                <w:b/>
                <w:color w:val="auto"/>
                <w:sz w:val="24"/>
                <w:szCs w:val="24"/>
                <w:highlight w:val="none"/>
              </w:rPr>
            </w:pPr>
            <w:r>
              <w:rPr>
                <w:rFonts w:hint="eastAsia"/>
                <w:b/>
                <w:color w:val="auto"/>
                <w:sz w:val="24"/>
                <w:szCs w:val="24"/>
                <w:highlight w:val="none"/>
              </w:rPr>
              <w:t>面向中小企业采购金额</w:t>
            </w:r>
          </w:p>
        </w:tc>
        <w:tc>
          <w:tcPr>
            <w:tcW w:w="1784" w:type="dxa"/>
            <w:vAlign w:val="center"/>
          </w:tcPr>
          <w:p>
            <w:pPr>
              <w:pStyle w:val="35"/>
              <w:jc w:val="center"/>
              <w:rPr>
                <w:rFonts w:hint="eastAsia"/>
                <w:b/>
                <w:color w:val="auto"/>
                <w:sz w:val="24"/>
                <w:szCs w:val="24"/>
                <w:highlight w:val="none"/>
              </w:rPr>
            </w:pPr>
            <w:r>
              <w:rPr>
                <w:rFonts w:hint="eastAsia"/>
                <w:b/>
                <w:color w:val="auto"/>
                <w:sz w:val="24"/>
                <w:szCs w:val="24"/>
                <w:highlight w:val="none"/>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pPr>
              <w:pStyle w:val="35"/>
              <w:jc w:val="center"/>
              <w:rPr>
                <w:rFonts w:hint="eastAsia"/>
                <w:color w:val="auto"/>
                <w:sz w:val="24"/>
                <w:szCs w:val="24"/>
                <w:highlight w:val="none"/>
              </w:rPr>
            </w:pPr>
          </w:p>
        </w:tc>
        <w:tc>
          <w:tcPr>
            <w:tcW w:w="1866" w:type="dxa"/>
            <w:tcBorders>
              <w:bottom w:val="nil"/>
            </w:tcBorders>
            <w:vAlign w:val="center"/>
          </w:tcPr>
          <w:p>
            <w:pPr>
              <w:pStyle w:val="35"/>
              <w:jc w:val="center"/>
              <w:rPr>
                <w:rFonts w:hint="eastAsia"/>
                <w:color w:val="auto"/>
                <w:sz w:val="24"/>
                <w:szCs w:val="24"/>
                <w:highlight w:val="none"/>
              </w:rPr>
            </w:pPr>
          </w:p>
        </w:tc>
        <w:tc>
          <w:tcPr>
            <w:tcW w:w="2010" w:type="dxa"/>
            <w:tcBorders>
              <w:bottom w:val="nil"/>
            </w:tcBorders>
            <w:vAlign w:val="center"/>
          </w:tcPr>
          <w:p>
            <w:pPr>
              <w:pStyle w:val="35"/>
              <w:jc w:val="center"/>
              <w:rPr>
                <w:rFonts w:hint="eastAsia"/>
                <w:color w:val="auto"/>
                <w:sz w:val="24"/>
                <w:szCs w:val="24"/>
                <w:highlight w:val="none"/>
              </w:rPr>
            </w:pPr>
            <w:r>
              <w:rPr>
                <w:rFonts w:hint="eastAsia"/>
                <w:color w:val="auto"/>
                <w:sz w:val="24"/>
                <w:szCs w:val="24"/>
                <w:highlight w:val="none"/>
              </w:rPr>
              <w:t>（填写“采购项</w:t>
            </w:r>
          </w:p>
        </w:tc>
        <w:tc>
          <w:tcPr>
            <w:tcW w:w="2296" w:type="dxa"/>
            <w:tcBorders>
              <w:bottom w:val="nil"/>
            </w:tcBorders>
            <w:vAlign w:val="center"/>
          </w:tcPr>
          <w:p>
            <w:pPr>
              <w:pStyle w:val="35"/>
              <w:jc w:val="center"/>
              <w:rPr>
                <w:rFonts w:hint="eastAsia"/>
                <w:color w:val="auto"/>
                <w:sz w:val="24"/>
                <w:szCs w:val="24"/>
                <w:highlight w:val="none"/>
              </w:rPr>
            </w:pPr>
          </w:p>
        </w:tc>
        <w:tc>
          <w:tcPr>
            <w:tcW w:w="1784" w:type="dxa"/>
            <w:vMerge w:val="restart"/>
            <w:vAlign w:val="center"/>
          </w:tcPr>
          <w:p>
            <w:pPr>
              <w:pStyle w:val="35"/>
              <w:jc w:val="center"/>
              <w:rPr>
                <w:rFonts w:hint="eastAsia"/>
                <w:color w:val="auto"/>
                <w:sz w:val="24"/>
                <w:szCs w:val="24"/>
                <w:highlight w:val="none"/>
              </w:rPr>
            </w:pPr>
          </w:p>
          <w:p>
            <w:pPr>
              <w:pStyle w:val="35"/>
              <w:jc w:val="center"/>
              <w:rPr>
                <w:rFonts w:hint="eastAsia"/>
                <w:color w:val="auto"/>
                <w:sz w:val="24"/>
                <w:szCs w:val="24"/>
                <w:highlight w:val="none"/>
              </w:rPr>
            </w:pPr>
          </w:p>
          <w:p>
            <w:pPr>
              <w:pStyle w:val="35"/>
              <w:jc w:val="center"/>
              <w:rPr>
                <w:rFonts w:hint="eastAsia"/>
                <w:color w:val="auto"/>
                <w:sz w:val="24"/>
                <w:szCs w:val="24"/>
                <w:highlight w:val="none"/>
              </w:rPr>
            </w:pPr>
            <w:r>
              <w:rPr>
                <w:rFonts w:hint="eastAsia"/>
                <w:color w:val="auto"/>
                <w:sz w:val="24"/>
                <w:szCs w:val="24"/>
                <w:highlight w:val="none"/>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color w:val="auto"/>
                <w:sz w:val="24"/>
                <w:highlight w:val="none"/>
              </w:rPr>
            </w:pPr>
          </w:p>
        </w:tc>
        <w:tc>
          <w:tcPr>
            <w:tcW w:w="1866" w:type="dxa"/>
            <w:tcBorders>
              <w:top w:val="nil"/>
              <w:bottom w:val="nil"/>
            </w:tcBorders>
            <w:vAlign w:val="center"/>
          </w:tcPr>
          <w:p>
            <w:pPr>
              <w:pStyle w:val="35"/>
              <w:jc w:val="center"/>
              <w:rPr>
                <w:rFonts w:hint="eastAsia"/>
                <w:color w:val="auto"/>
                <w:sz w:val="24"/>
                <w:szCs w:val="24"/>
                <w:highlight w:val="none"/>
              </w:rPr>
            </w:pPr>
          </w:p>
        </w:tc>
        <w:tc>
          <w:tcPr>
            <w:tcW w:w="2010" w:type="dxa"/>
            <w:tcBorders>
              <w:top w:val="nil"/>
              <w:bottom w:val="nil"/>
            </w:tcBorders>
            <w:vAlign w:val="center"/>
          </w:tcPr>
          <w:p>
            <w:pPr>
              <w:pStyle w:val="35"/>
              <w:jc w:val="center"/>
              <w:rPr>
                <w:rFonts w:hint="eastAsia"/>
                <w:color w:val="auto"/>
                <w:sz w:val="24"/>
                <w:szCs w:val="24"/>
                <w:highlight w:val="none"/>
              </w:rPr>
            </w:pPr>
            <w:r>
              <w:rPr>
                <w:rFonts w:hint="eastAsia"/>
                <w:color w:val="auto"/>
                <w:sz w:val="24"/>
                <w:szCs w:val="24"/>
                <w:highlight w:val="none"/>
              </w:rPr>
              <w:t>目整体预留”、</w:t>
            </w:r>
          </w:p>
        </w:tc>
        <w:tc>
          <w:tcPr>
            <w:tcW w:w="2296" w:type="dxa"/>
            <w:tcBorders>
              <w:top w:val="nil"/>
              <w:bottom w:val="nil"/>
            </w:tcBorders>
            <w:vAlign w:val="center"/>
          </w:tcPr>
          <w:p>
            <w:pPr>
              <w:pStyle w:val="35"/>
              <w:jc w:val="center"/>
              <w:rPr>
                <w:rFonts w:hint="eastAsia"/>
                <w:color w:val="auto"/>
                <w:sz w:val="24"/>
                <w:szCs w:val="24"/>
                <w:highlight w:val="none"/>
              </w:rPr>
            </w:pPr>
          </w:p>
        </w:tc>
        <w:tc>
          <w:tcPr>
            <w:tcW w:w="1784" w:type="dxa"/>
            <w:vMerge w:val="continue"/>
            <w:tcBorders>
              <w:top w:val="nil"/>
            </w:tcBorders>
            <w:vAlign w:val="center"/>
          </w:tcPr>
          <w:p>
            <w:pPr>
              <w:jc w:val="center"/>
              <w:rPr>
                <w:rFonts w:hint="eastAsia"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color w:val="auto"/>
                <w:sz w:val="24"/>
                <w:highlight w:val="none"/>
              </w:rPr>
            </w:pPr>
          </w:p>
        </w:tc>
        <w:tc>
          <w:tcPr>
            <w:tcW w:w="1866" w:type="dxa"/>
            <w:tcBorders>
              <w:top w:val="nil"/>
              <w:bottom w:val="nil"/>
            </w:tcBorders>
            <w:vAlign w:val="center"/>
          </w:tcPr>
          <w:p>
            <w:pPr>
              <w:pStyle w:val="35"/>
              <w:jc w:val="center"/>
              <w:rPr>
                <w:rFonts w:hint="eastAsia"/>
                <w:color w:val="auto"/>
                <w:sz w:val="24"/>
                <w:szCs w:val="24"/>
                <w:highlight w:val="none"/>
              </w:rPr>
            </w:pPr>
          </w:p>
        </w:tc>
        <w:tc>
          <w:tcPr>
            <w:tcW w:w="2010" w:type="dxa"/>
            <w:tcBorders>
              <w:top w:val="nil"/>
              <w:bottom w:val="nil"/>
            </w:tcBorders>
            <w:vAlign w:val="center"/>
          </w:tcPr>
          <w:p>
            <w:pPr>
              <w:pStyle w:val="35"/>
              <w:jc w:val="center"/>
              <w:rPr>
                <w:rFonts w:hint="eastAsia"/>
                <w:color w:val="auto"/>
                <w:sz w:val="24"/>
                <w:szCs w:val="24"/>
                <w:highlight w:val="none"/>
              </w:rPr>
            </w:pPr>
            <w:r>
              <w:rPr>
                <w:rFonts w:hint="eastAsia"/>
                <w:color w:val="auto"/>
                <w:sz w:val="24"/>
                <w:szCs w:val="24"/>
                <w:highlight w:val="none"/>
              </w:rPr>
              <w:t>“设置专门采购</w:t>
            </w:r>
          </w:p>
        </w:tc>
        <w:tc>
          <w:tcPr>
            <w:tcW w:w="2296" w:type="dxa"/>
            <w:tcBorders>
              <w:top w:val="nil"/>
              <w:bottom w:val="nil"/>
            </w:tcBorders>
            <w:vAlign w:val="center"/>
          </w:tcPr>
          <w:p>
            <w:pPr>
              <w:pStyle w:val="35"/>
              <w:jc w:val="center"/>
              <w:rPr>
                <w:rFonts w:hint="eastAsia"/>
                <w:color w:val="auto"/>
                <w:sz w:val="24"/>
                <w:szCs w:val="24"/>
                <w:highlight w:val="none"/>
              </w:rPr>
            </w:pPr>
          </w:p>
        </w:tc>
        <w:tc>
          <w:tcPr>
            <w:tcW w:w="1784" w:type="dxa"/>
            <w:vMerge w:val="continue"/>
            <w:tcBorders>
              <w:top w:val="nil"/>
            </w:tcBorders>
            <w:vAlign w:val="center"/>
          </w:tcPr>
          <w:p>
            <w:pPr>
              <w:jc w:val="center"/>
              <w:rPr>
                <w:rFonts w:hint="eastAsia"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color w:val="auto"/>
                <w:sz w:val="24"/>
                <w:highlight w:val="none"/>
              </w:rPr>
            </w:pPr>
          </w:p>
        </w:tc>
        <w:tc>
          <w:tcPr>
            <w:tcW w:w="1866" w:type="dxa"/>
            <w:tcBorders>
              <w:top w:val="nil"/>
              <w:bottom w:val="nil"/>
            </w:tcBorders>
            <w:vAlign w:val="center"/>
          </w:tcPr>
          <w:p>
            <w:pPr>
              <w:pStyle w:val="35"/>
              <w:jc w:val="center"/>
              <w:rPr>
                <w:rFonts w:hint="eastAsia"/>
                <w:color w:val="auto"/>
                <w:sz w:val="24"/>
                <w:szCs w:val="24"/>
                <w:highlight w:val="none"/>
              </w:rPr>
            </w:pPr>
            <w:r>
              <w:rPr>
                <w:rFonts w:hint="eastAsia"/>
                <w:color w:val="auto"/>
                <w:sz w:val="24"/>
                <w:szCs w:val="24"/>
                <w:highlight w:val="none"/>
              </w:rPr>
              <w:t>（填写集中采</w:t>
            </w:r>
          </w:p>
        </w:tc>
        <w:tc>
          <w:tcPr>
            <w:tcW w:w="2010" w:type="dxa"/>
            <w:tcBorders>
              <w:top w:val="nil"/>
              <w:bottom w:val="nil"/>
            </w:tcBorders>
            <w:vAlign w:val="center"/>
          </w:tcPr>
          <w:p>
            <w:pPr>
              <w:pStyle w:val="35"/>
              <w:jc w:val="center"/>
              <w:rPr>
                <w:rFonts w:hint="eastAsia"/>
                <w:color w:val="auto"/>
                <w:sz w:val="24"/>
                <w:szCs w:val="24"/>
                <w:highlight w:val="none"/>
              </w:rPr>
            </w:pPr>
            <w:r>
              <w:rPr>
                <w:rFonts w:hint="eastAsia"/>
                <w:color w:val="auto"/>
                <w:sz w:val="24"/>
                <w:szCs w:val="24"/>
                <w:highlight w:val="none"/>
              </w:rPr>
              <w:t>包”、“要求以</w:t>
            </w:r>
          </w:p>
        </w:tc>
        <w:tc>
          <w:tcPr>
            <w:tcW w:w="2296" w:type="dxa"/>
            <w:tcBorders>
              <w:top w:val="nil"/>
              <w:bottom w:val="nil"/>
            </w:tcBorders>
            <w:vAlign w:val="center"/>
          </w:tcPr>
          <w:p>
            <w:pPr>
              <w:pStyle w:val="35"/>
              <w:jc w:val="center"/>
              <w:rPr>
                <w:rFonts w:hint="eastAsia"/>
                <w:color w:val="auto"/>
                <w:sz w:val="24"/>
                <w:szCs w:val="24"/>
                <w:highlight w:val="none"/>
              </w:rPr>
            </w:pPr>
          </w:p>
        </w:tc>
        <w:tc>
          <w:tcPr>
            <w:tcW w:w="1784" w:type="dxa"/>
            <w:vMerge w:val="continue"/>
            <w:tcBorders>
              <w:top w:val="nil"/>
            </w:tcBorders>
            <w:vAlign w:val="center"/>
          </w:tcPr>
          <w:p>
            <w:pPr>
              <w:jc w:val="center"/>
              <w:rPr>
                <w:rFonts w:hint="eastAsia"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color w:val="auto"/>
                <w:sz w:val="24"/>
                <w:highlight w:val="none"/>
              </w:rPr>
            </w:pPr>
          </w:p>
        </w:tc>
        <w:tc>
          <w:tcPr>
            <w:tcW w:w="1866" w:type="dxa"/>
            <w:tcBorders>
              <w:top w:val="nil"/>
              <w:bottom w:val="nil"/>
            </w:tcBorders>
            <w:vAlign w:val="center"/>
          </w:tcPr>
          <w:p>
            <w:pPr>
              <w:pStyle w:val="35"/>
              <w:jc w:val="center"/>
              <w:rPr>
                <w:rFonts w:hint="eastAsia"/>
                <w:color w:val="auto"/>
                <w:sz w:val="24"/>
                <w:szCs w:val="24"/>
                <w:highlight w:val="none"/>
              </w:rPr>
            </w:pPr>
            <w:r>
              <w:rPr>
                <w:rFonts w:hint="eastAsia"/>
                <w:color w:val="auto"/>
                <w:sz w:val="24"/>
                <w:szCs w:val="24"/>
                <w:highlight w:val="none"/>
              </w:rPr>
              <w:t>购目录以内或</w:t>
            </w:r>
          </w:p>
        </w:tc>
        <w:tc>
          <w:tcPr>
            <w:tcW w:w="2010" w:type="dxa"/>
            <w:tcBorders>
              <w:top w:val="nil"/>
              <w:bottom w:val="nil"/>
            </w:tcBorders>
            <w:vAlign w:val="center"/>
          </w:tcPr>
          <w:p>
            <w:pPr>
              <w:pStyle w:val="35"/>
              <w:jc w:val="center"/>
              <w:rPr>
                <w:rFonts w:hint="eastAsia"/>
                <w:color w:val="auto"/>
                <w:sz w:val="24"/>
                <w:szCs w:val="24"/>
                <w:highlight w:val="none"/>
              </w:rPr>
            </w:pPr>
            <w:r>
              <w:rPr>
                <w:rFonts w:hint="eastAsia"/>
                <w:color w:val="auto"/>
                <w:sz w:val="24"/>
                <w:szCs w:val="24"/>
                <w:highlight w:val="none"/>
              </w:rPr>
              <w:t>联合体形式参</w:t>
            </w:r>
          </w:p>
        </w:tc>
        <w:tc>
          <w:tcPr>
            <w:tcW w:w="2296" w:type="dxa"/>
            <w:tcBorders>
              <w:top w:val="nil"/>
              <w:bottom w:val="nil"/>
            </w:tcBorders>
            <w:vAlign w:val="center"/>
          </w:tcPr>
          <w:p>
            <w:pPr>
              <w:pStyle w:val="35"/>
              <w:jc w:val="center"/>
              <w:rPr>
                <w:rFonts w:hint="eastAsia"/>
                <w:color w:val="auto"/>
                <w:sz w:val="24"/>
                <w:szCs w:val="24"/>
                <w:highlight w:val="none"/>
              </w:rPr>
            </w:pPr>
            <w:r>
              <w:rPr>
                <w:rFonts w:hint="eastAsia"/>
                <w:color w:val="auto"/>
                <w:sz w:val="24"/>
                <w:szCs w:val="24"/>
                <w:highlight w:val="none"/>
              </w:rPr>
              <w:t>（精确到万元）</w:t>
            </w:r>
          </w:p>
        </w:tc>
        <w:tc>
          <w:tcPr>
            <w:tcW w:w="1784" w:type="dxa"/>
            <w:vMerge w:val="continue"/>
            <w:tcBorders>
              <w:top w:val="nil"/>
            </w:tcBorders>
            <w:vAlign w:val="center"/>
          </w:tcPr>
          <w:p>
            <w:pPr>
              <w:jc w:val="center"/>
              <w:rPr>
                <w:rFonts w:hint="eastAsia"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color w:val="auto"/>
                <w:sz w:val="24"/>
                <w:highlight w:val="none"/>
              </w:rPr>
            </w:pPr>
          </w:p>
        </w:tc>
        <w:tc>
          <w:tcPr>
            <w:tcW w:w="1866" w:type="dxa"/>
            <w:tcBorders>
              <w:top w:val="nil"/>
              <w:bottom w:val="nil"/>
            </w:tcBorders>
            <w:vAlign w:val="center"/>
          </w:tcPr>
          <w:p>
            <w:pPr>
              <w:pStyle w:val="35"/>
              <w:jc w:val="center"/>
              <w:rPr>
                <w:rFonts w:hint="eastAsia"/>
                <w:color w:val="auto"/>
                <w:sz w:val="24"/>
                <w:szCs w:val="24"/>
                <w:highlight w:val="none"/>
              </w:rPr>
            </w:pPr>
            <w:r>
              <w:rPr>
                <w:rFonts w:hint="eastAsia"/>
                <w:color w:val="auto"/>
                <w:sz w:val="24"/>
                <w:szCs w:val="24"/>
                <w:highlight w:val="none"/>
              </w:rPr>
              <w:t>者采购限额标</w:t>
            </w:r>
          </w:p>
        </w:tc>
        <w:tc>
          <w:tcPr>
            <w:tcW w:w="2010" w:type="dxa"/>
            <w:tcBorders>
              <w:top w:val="nil"/>
              <w:bottom w:val="nil"/>
            </w:tcBorders>
            <w:vAlign w:val="center"/>
          </w:tcPr>
          <w:p>
            <w:pPr>
              <w:pStyle w:val="35"/>
              <w:jc w:val="center"/>
              <w:rPr>
                <w:rFonts w:hint="eastAsia"/>
                <w:color w:val="auto"/>
                <w:sz w:val="24"/>
                <w:szCs w:val="24"/>
                <w:highlight w:val="none"/>
              </w:rPr>
            </w:pPr>
            <w:r>
              <w:rPr>
                <w:rFonts w:hint="eastAsia"/>
                <w:color w:val="auto"/>
                <w:sz w:val="24"/>
                <w:szCs w:val="24"/>
                <w:highlight w:val="none"/>
              </w:rPr>
              <w:t>加”或者“要求</w:t>
            </w:r>
          </w:p>
        </w:tc>
        <w:tc>
          <w:tcPr>
            <w:tcW w:w="2296" w:type="dxa"/>
            <w:tcBorders>
              <w:top w:val="nil"/>
              <w:bottom w:val="nil"/>
            </w:tcBorders>
            <w:vAlign w:val="center"/>
          </w:tcPr>
          <w:p>
            <w:pPr>
              <w:pStyle w:val="35"/>
              <w:jc w:val="center"/>
              <w:rPr>
                <w:rFonts w:hint="eastAsia"/>
                <w:color w:val="auto"/>
                <w:sz w:val="24"/>
                <w:szCs w:val="24"/>
                <w:highlight w:val="none"/>
              </w:rPr>
            </w:pPr>
          </w:p>
        </w:tc>
        <w:tc>
          <w:tcPr>
            <w:tcW w:w="1784" w:type="dxa"/>
            <w:vMerge w:val="continue"/>
            <w:tcBorders>
              <w:top w:val="nil"/>
            </w:tcBorders>
            <w:vAlign w:val="center"/>
          </w:tcPr>
          <w:p>
            <w:pPr>
              <w:jc w:val="center"/>
              <w:rPr>
                <w:rFonts w:hint="eastAsia"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color w:val="auto"/>
                <w:sz w:val="24"/>
                <w:highlight w:val="none"/>
              </w:rPr>
            </w:pPr>
          </w:p>
        </w:tc>
        <w:tc>
          <w:tcPr>
            <w:tcW w:w="1866" w:type="dxa"/>
            <w:tcBorders>
              <w:top w:val="nil"/>
              <w:bottom w:val="nil"/>
            </w:tcBorders>
            <w:vAlign w:val="center"/>
          </w:tcPr>
          <w:p>
            <w:pPr>
              <w:pStyle w:val="35"/>
              <w:jc w:val="center"/>
              <w:rPr>
                <w:rFonts w:hint="eastAsia"/>
                <w:color w:val="auto"/>
                <w:sz w:val="24"/>
                <w:szCs w:val="24"/>
                <w:highlight w:val="none"/>
              </w:rPr>
            </w:pPr>
            <w:r>
              <w:rPr>
                <w:rFonts w:hint="eastAsia"/>
                <w:color w:val="auto"/>
                <w:sz w:val="24"/>
                <w:szCs w:val="24"/>
                <w:highlight w:val="none"/>
              </w:rPr>
              <w:t>准以上的采购项目</w:t>
            </w:r>
          </w:p>
        </w:tc>
        <w:tc>
          <w:tcPr>
            <w:tcW w:w="2010" w:type="dxa"/>
            <w:tcBorders>
              <w:top w:val="nil"/>
              <w:bottom w:val="nil"/>
            </w:tcBorders>
            <w:vAlign w:val="center"/>
          </w:tcPr>
          <w:p>
            <w:pPr>
              <w:pStyle w:val="35"/>
              <w:jc w:val="center"/>
              <w:rPr>
                <w:rFonts w:hint="eastAsia"/>
                <w:color w:val="auto"/>
                <w:sz w:val="24"/>
                <w:szCs w:val="24"/>
                <w:highlight w:val="none"/>
              </w:rPr>
            </w:pPr>
            <w:r>
              <w:rPr>
                <w:rFonts w:hint="eastAsia"/>
                <w:color w:val="auto"/>
                <w:sz w:val="24"/>
                <w:szCs w:val="24"/>
                <w:highlight w:val="none"/>
              </w:rPr>
              <w:t>合同分包”，除</w:t>
            </w:r>
          </w:p>
        </w:tc>
        <w:tc>
          <w:tcPr>
            <w:tcW w:w="2296" w:type="dxa"/>
            <w:tcBorders>
              <w:top w:val="nil"/>
              <w:bottom w:val="nil"/>
            </w:tcBorders>
            <w:vAlign w:val="center"/>
          </w:tcPr>
          <w:p>
            <w:pPr>
              <w:pStyle w:val="35"/>
              <w:jc w:val="center"/>
              <w:rPr>
                <w:rFonts w:hint="eastAsia"/>
                <w:color w:val="auto"/>
                <w:sz w:val="24"/>
                <w:szCs w:val="24"/>
                <w:highlight w:val="none"/>
              </w:rPr>
            </w:pPr>
          </w:p>
        </w:tc>
        <w:tc>
          <w:tcPr>
            <w:tcW w:w="1784" w:type="dxa"/>
            <w:vMerge w:val="continue"/>
            <w:tcBorders>
              <w:top w:val="nil"/>
            </w:tcBorders>
            <w:vAlign w:val="center"/>
          </w:tcPr>
          <w:p>
            <w:pPr>
              <w:jc w:val="center"/>
              <w:rPr>
                <w:rFonts w:hint="eastAsia"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color w:val="auto"/>
                <w:sz w:val="24"/>
                <w:highlight w:val="none"/>
              </w:rPr>
            </w:pPr>
          </w:p>
        </w:tc>
        <w:tc>
          <w:tcPr>
            <w:tcW w:w="1866" w:type="dxa"/>
            <w:tcBorders>
              <w:top w:val="nil"/>
              <w:bottom w:val="nil"/>
            </w:tcBorders>
            <w:vAlign w:val="center"/>
          </w:tcPr>
          <w:p>
            <w:pPr>
              <w:pStyle w:val="35"/>
              <w:jc w:val="center"/>
              <w:rPr>
                <w:rFonts w:hint="eastAsia"/>
                <w:color w:val="auto"/>
                <w:sz w:val="24"/>
                <w:szCs w:val="24"/>
                <w:highlight w:val="none"/>
              </w:rPr>
            </w:pPr>
          </w:p>
        </w:tc>
        <w:tc>
          <w:tcPr>
            <w:tcW w:w="2010" w:type="dxa"/>
            <w:tcBorders>
              <w:top w:val="nil"/>
              <w:bottom w:val="nil"/>
            </w:tcBorders>
            <w:vAlign w:val="center"/>
          </w:tcPr>
          <w:p>
            <w:pPr>
              <w:pStyle w:val="35"/>
              <w:jc w:val="center"/>
              <w:rPr>
                <w:rFonts w:hint="eastAsia"/>
                <w:color w:val="auto"/>
                <w:sz w:val="24"/>
                <w:szCs w:val="24"/>
                <w:highlight w:val="none"/>
              </w:rPr>
            </w:pPr>
            <w:r>
              <w:rPr>
                <w:rFonts w:hint="eastAsia"/>
                <w:color w:val="auto"/>
                <w:sz w:val="24"/>
                <w:szCs w:val="24"/>
                <w:highlight w:val="none"/>
              </w:rPr>
              <w:t>“采购项目全部</w:t>
            </w:r>
          </w:p>
        </w:tc>
        <w:tc>
          <w:tcPr>
            <w:tcW w:w="2296" w:type="dxa"/>
            <w:tcBorders>
              <w:top w:val="nil"/>
              <w:bottom w:val="nil"/>
            </w:tcBorders>
            <w:vAlign w:val="center"/>
          </w:tcPr>
          <w:p>
            <w:pPr>
              <w:pStyle w:val="35"/>
              <w:jc w:val="center"/>
              <w:rPr>
                <w:rFonts w:hint="eastAsia"/>
                <w:color w:val="auto"/>
                <w:sz w:val="24"/>
                <w:szCs w:val="24"/>
                <w:highlight w:val="none"/>
              </w:rPr>
            </w:pPr>
          </w:p>
        </w:tc>
        <w:tc>
          <w:tcPr>
            <w:tcW w:w="1784" w:type="dxa"/>
            <w:vMerge w:val="continue"/>
            <w:tcBorders>
              <w:top w:val="nil"/>
            </w:tcBorders>
            <w:vAlign w:val="center"/>
          </w:tcPr>
          <w:p>
            <w:pPr>
              <w:jc w:val="center"/>
              <w:rPr>
                <w:rFonts w:hint="eastAsia"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color w:val="auto"/>
                <w:sz w:val="24"/>
                <w:highlight w:val="none"/>
              </w:rPr>
            </w:pPr>
          </w:p>
        </w:tc>
        <w:tc>
          <w:tcPr>
            <w:tcW w:w="1866" w:type="dxa"/>
            <w:tcBorders>
              <w:top w:val="nil"/>
              <w:bottom w:val="nil"/>
            </w:tcBorders>
            <w:vAlign w:val="center"/>
          </w:tcPr>
          <w:p>
            <w:pPr>
              <w:pStyle w:val="35"/>
              <w:jc w:val="center"/>
              <w:rPr>
                <w:rFonts w:hint="eastAsia"/>
                <w:color w:val="auto"/>
                <w:sz w:val="24"/>
                <w:szCs w:val="24"/>
                <w:highlight w:val="none"/>
              </w:rPr>
            </w:pPr>
          </w:p>
        </w:tc>
        <w:tc>
          <w:tcPr>
            <w:tcW w:w="2010" w:type="dxa"/>
            <w:tcBorders>
              <w:top w:val="nil"/>
              <w:bottom w:val="nil"/>
            </w:tcBorders>
            <w:vAlign w:val="center"/>
          </w:tcPr>
          <w:p>
            <w:pPr>
              <w:pStyle w:val="35"/>
              <w:jc w:val="center"/>
              <w:rPr>
                <w:rFonts w:hint="eastAsia"/>
                <w:color w:val="auto"/>
                <w:sz w:val="24"/>
                <w:szCs w:val="24"/>
                <w:highlight w:val="none"/>
              </w:rPr>
            </w:pPr>
            <w:r>
              <w:rPr>
                <w:rFonts w:hint="eastAsia"/>
                <w:color w:val="auto"/>
                <w:sz w:val="24"/>
                <w:szCs w:val="24"/>
                <w:highlight w:val="none"/>
              </w:rPr>
              <w:t>预留”外，还应</w:t>
            </w:r>
          </w:p>
        </w:tc>
        <w:tc>
          <w:tcPr>
            <w:tcW w:w="2296" w:type="dxa"/>
            <w:tcBorders>
              <w:top w:val="nil"/>
              <w:bottom w:val="nil"/>
            </w:tcBorders>
            <w:vAlign w:val="center"/>
          </w:tcPr>
          <w:p>
            <w:pPr>
              <w:pStyle w:val="35"/>
              <w:jc w:val="center"/>
              <w:rPr>
                <w:rFonts w:hint="eastAsia"/>
                <w:color w:val="auto"/>
                <w:sz w:val="24"/>
                <w:szCs w:val="24"/>
                <w:highlight w:val="none"/>
              </w:rPr>
            </w:pPr>
          </w:p>
        </w:tc>
        <w:tc>
          <w:tcPr>
            <w:tcW w:w="1784" w:type="dxa"/>
            <w:vMerge w:val="continue"/>
            <w:tcBorders>
              <w:top w:val="nil"/>
            </w:tcBorders>
            <w:vAlign w:val="center"/>
          </w:tcPr>
          <w:p>
            <w:pPr>
              <w:jc w:val="center"/>
              <w:rPr>
                <w:rFonts w:hint="eastAsia"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color w:val="auto"/>
                <w:sz w:val="24"/>
                <w:highlight w:val="none"/>
              </w:rPr>
            </w:pPr>
          </w:p>
        </w:tc>
        <w:tc>
          <w:tcPr>
            <w:tcW w:w="1866" w:type="dxa"/>
            <w:tcBorders>
              <w:top w:val="nil"/>
              <w:bottom w:val="nil"/>
            </w:tcBorders>
            <w:vAlign w:val="center"/>
          </w:tcPr>
          <w:p>
            <w:pPr>
              <w:pStyle w:val="35"/>
              <w:jc w:val="center"/>
              <w:rPr>
                <w:rFonts w:hint="eastAsia"/>
                <w:color w:val="auto"/>
                <w:sz w:val="24"/>
                <w:szCs w:val="24"/>
                <w:highlight w:val="none"/>
              </w:rPr>
            </w:pPr>
          </w:p>
        </w:tc>
        <w:tc>
          <w:tcPr>
            <w:tcW w:w="2010" w:type="dxa"/>
            <w:tcBorders>
              <w:top w:val="nil"/>
              <w:bottom w:val="nil"/>
            </w:tcBorders>
            <w:vAlign w:val="center"/>
          </w:tcPr>
          <w:p>
            <w:pPr>
              <w:pStyle w:val="35"/>
              <w:jc w:val="center"/>
              <w:rPr>
                <w:rFonts w:hint="eastAsia"/>
                <w:color w:val="auto"/>
                <w:sz w:val="24"/>
                <w:szCs w:val="24"/>
                <w:highlight w:val="none"/>
              </w:rPr>
            </w:pPr>
            <w:r>
              <w:rPr>
                <w:rFonts w:hint="eastAsia"/>
                <w:color w:val="auto"/>
                <w:sz w:val="24"/>
                <w:szCs w:val="24"/>
                <w:highlight w:val="none"/>
              </w:rPr>
              <w:t>当填写预留给中</w:t>
            </w:r>
          </w:p>
        </w:tc>
        <w:tc>
          <w:tcPr>
            <w:tcW w:w="2296" w:type="dxa"/>
            <w:tcBorders>
              <w:top w:val="nil"/>
              <w:bottom w:val="nil"/>
            </w:tcBorders>
            <w:vAlign w:val="center"/>
          </w:tcPr>
          <w:p>
            <w:pPr>
              <w:pStyle w:val="35"/>
              <w:jc w:val="center"/>
              <w:rPr>
                <w:rFonts w:hint="eastAsia"/>
                <w:color w:val="auto"/>
                <w:sz w:val="24"/>
                <w:szCs w:val="24"/>
                <w:highlight w:val="none"/>
              </w:rPr>
            </w:pPr>
          </w:p>
        </w:tc>
        <w:tc>
          <w:tcPr>
            <w:tcW w:w="1784" w:type="dxa"/>
            <w:vMerge w:val="continue"/>
            <w:tcBorders>
              <w:top w:val="nil"/>
            </w:tcBorders>
            <w:vAlign w:val="center"/>
          </w:tcPr>
          <w:p>
            <w:pPr>
              <w:jc w:val="center"/>
              <w:rPr>
                <w:rFonts w:hint="eastAsia"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color w:val="auto"/>
                <w:sz w:val="24"/>
                <w:highlight w:val="none"/>
              </w:rPr>
            </w:pPr>
          </w:p>
        </w:tc>
        <w:tc>
          <w:tcPr>
            <w:tcW w:w="1866" w:type="dxa"/>
            <w:tcBorders>
              <w:top w:val="nil"/>
            </w:tcBorders>
            <w:vAlign w:val="center"/>
          </w:tcPr>
          <w:p>
            <w:pPr>
              <w:pStyle w:val="35"/>
              <w:jc w:val="center"/>
              <w:rPr>
                <w:rFonts w:hint="eastAsia"/>
                <w:color w:val="auto"/>
                <w:sz w:val="24"/>
                <w:szCs w:val="24"/>
                <w:highlight w:val="none"/>
              </w:rPr>
            </w:pPr>
          </w:p>
        </w:tc>
        <w:tc>
          <w:tcPr>
            <w:tcW w:w="2010" w:type="dxa"/>
            <w:tcBorders>
              <w:top w:val="nil"/>
            </w:tcBorders>
            <w:vAlign w:val="center"/>
          </w:tcPr>
          <w:p>
            <w:pPr>
              <w:pStyle w:val="35"/>
              <w:jc w:val="center"/>
              <w:rPr>
                <w:rFonts w:hint="eastAsia"/>
                <w:color w:val="auto"/>
                <w:sz w:val="24"/>
                <w:szCs w:val="24"/>
                <w:highlight w:val="none"/>
              </w:rPr>
            </w:pPr>
            <w:r>
              <w:rPr>
                <w:rFonts w:hint="eastAsia"/>
                <w:color w:val="auto"/>
                <w:sz w:val="24"/>
                <w:szCs w:val="24"/>
                <w:highlight w:val="none"/>
              </w:rPr>
              <w:t>小企业的比例）</w:t>
            </w:r>
          </w:p>
        </w:tc>
        <w:tc>
          <w:tcPr>
            <w:tcW w:w="2296" w:type="dxa"/>
            <w:tcBorders>
              <w:top w:val="nil"/>
            </w:tcBorders>
            <w:vAlign w:val="center"/>
          </w:tcPr>
          <w:p>
            <w:pPr>
              <w:pStyle w:val="35"/>
              <w:jc w:val="center"/>
              <w:rPr>
                <w:rFonts w:hint="eastAsia"/>
                <w:color w:val="auto"/>
                <w:sz w:val="24"/>
                <w:szCs w:val="24"/>
                <w:highlight w:val="none"/>
              </w:rPr>
            </w:pPr>
          </w:p>
        </w:tc>
        <w:tc>
          <w:tcPr>
            <w:tcW w:w="1784" w:type="dxa"/>
            <w:vMerge w:val="continue"/>
            <w:tcBorders>
              <w:top w:val="nil"/>
            </w:tcBorders>
            <w:vAlign w:val="center"/>
          </w:tcPr>
          <w:p>
            <w:pPr>
              <w:jc w:val="center"/>
              <w:rPr>
                <w:rFonts w:hint="eastAsia"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35"/>
              <w:jc w:val="center"/>
              <w:rPr>
                <w:rFonts w:hint="eastAsia"/>
                <w:color w:val="auto"/>
                <w:sz w:val="24"/>
                <w:szCs w:val="24"/>
                <w:highlight w:val="none"/>
              </w:rPr>
            </w:pPr>
            <w:r>
              <w:rPr>
                <w:rFonts w:hint="eastAsia"/>
                <w:color w:val="auto"/>
                <w:sz w:val="24"/>
                <w:szCs w:val="24"/>
                <w:highlight w:val="none"/>
              </w:rPr>
              <w:t>……</w:t>
            </w:r>
          </w:p>
        </w:tc>
        <w:tc>
          <w:tcPr>
            <w:tcW w:w="1866" w:type="dxa"/>
            <w:vAlign w:val="center"/>
          </w:tcPr>
          <w:p>
            <w:pPr>
              <w:pStyle w:val="35"/>
              <w:jc w:val="center"/>
              <w:rPr>
                <w:rFonts w:hint="eastAsia"/>
                <w:color w:val="auto"/>
                <w:sz w:val="24"/>
                <w:szCs w:val="24"/>
                <w:highlight w:val="none"/>
              </w:rPr>
            </w:pPr>
            <w:r>
              <w:rPr>
                <w:rFonts w:hint="eastAsia"/>
                <w:color w:val="auto"/>
                <w:sz w:val="24"/>
                <w:szCs w:val="24"/>
                <w:highlight w:val="none"/>
              </w:rPr>
              <w:t>……</w:t>
            </w:r>
          </w:p>
        </w:tc>
        <w:tc>
          <w:tcPr>
            <w:tcW w:w="2010" w:type="dxa"/>
            <w:vAlign w:val="center"/>
          </w:tcPr>
          <w:p>
            <w:pPr>
              <w:pStyle w:val="35"/>
              <w:jc w:val="center"/>
              <w:rPr>
                <w:rFonts w:hint="eastAsia"/>
                <w:color w:val="auto"/>
                <w:sz w:val="24"/>
                <w:szCs w:val="24"/>
                <w:highlight w:val="none"/>
              </w:rPr>
            </w:pPr>
            <w:r>
              <w:rPr>
                <w:rFonts w:hint="eastAsia"/>
                <w:color w:val="auto"/>
                <w:sz w:val="24"/>
                <w:szCs w:val="24"/>
                <w:highlight w:val="none"/>
              </w:rPr>
              <w:t>……</w:t>
            </w:r>
          </w:p>
        </w:tc>
        <w:tc>
          <w:tcPr>
            <w:tcW w:w="2296" w:type="dxa"/>
            <w:vAlign w:val="center"/>
          </w:tcPr>
          <w:p>
            <w:pPr>
              <w:pStyle w:val="35"/>
              <w:jc w:val="center"/>
              <w:rPr>
                <w:rFonts w:hint="eastAsia"/>
                <w:color w:val="auto"/>
                <w:sz w:val="24"/>
                <w:szCs w:val="24"/>
                <w:highlight w:val="none"/>
              </w:rPr>
            </w:pPr>
            <w:r>
              <w:rPr>
                <w:rFonts w:hint="eastAsia"/>
                <w:color w:val="auto"/>
                <w:sz w:val="24"/>
                <w:szCs w:val="24"/>
                <w:highlight w:val="none"/>
              </w:rPr>
              <w:t>……</w:t>
            </w:r>
          </w:p>
        </w:tc>
        <w:tc>
          <w:tcPr>
            <w:tcW w:w="1784" w:type="dxa"/>
            <w:vAlign w:val="center"/>
          </w:tcPr>
          <w:p>
            <w:pPr>
              <w:pStyle w:val="35"/>
              <w:jc w:val="center"/>
              <w:rPr>
                <w:rFonts w:hint="eastAsia"/>
                <w:color w:val="auto"/>
                <w:sz w:val="24"/>
                <w:szCs w:val="24"/>
                <w:highlight w:val="none"/>
              </w:rPr>
            </w:pPr>
            <w:r>
              <w:rPr>
                <w:rFonts w:hint="eastAsia"/>
                <w:color w:val="auto"/>
                <w:sz w:val="24"/>
                <w:szCs w:val="24"/>
                <w:highlight w:val="none"/>
              </w:rPr>
              <w:t>……</w:t>
            </w:r>
          </w:p>
        </w:tc>
      </w:tr>
    </w:tbl>
    <w:p>
      <w:pPr>
        <w:pStyle w:val="2"/>
        <w:tabs>
          <w:tab w:val="left" w:pos="562"/>
          <w:tab w:val="left" w:pos="3372"/>
          <w:tab w:val="left" w:pos="3653"/>
        </w:tabs>
        <w:spacing w:before="128"/>
        <w:ind w:left="4220" w:right="1843"/>
        <w:rPr>
          <w:rFonts w:hint="eastAsia" w:ascii="宋体" w:hAnsi="宋体" w:cs="宋体"/>
          <w:color w:val="auto"/>
          <w:highlight w:val="none"/>
        </w:rPr>
      </w:pPr>
      <w:r>
        <w:rPr>
          <w:rFonts w:hint="eastAsia" w:ascii="宋体" w:hAnsi="宋体" w:cs="宋体"/>
          <w:color w:val="auto"/>
          <w:highlight w:val="none"/>
        </w:rPr>
        <w:t>部门（单位）名称： 日期：</w:t>
      </w:r>
    </w:p>
    <w:p>
      <w:pPr>
        <w:pStyle w:val="2"/>
        <w:tabs>
          <w:tab w:val="left" w:pos="562"/>
          <w:tab w:val="left" w:pos="3372"/>
          <w:tab w:val="left" w:pos="3653"/>
        </w:tabs>
        <w:rPr>
          <w:rFonts w:hint="eastAsia" w:ascii="宋体" w:hAnsi="宋体" w:cs="宋体"/>
          <w:color w:val="auto"/>
          <w:highlight w:val="none"/>
        </w:rPr>
      </w:pPr>
    </w:p>
    <w:p>
      <w:pPr>
        <w:pStyle w:val="16"/>
        <w:jc w:val="both"/>
        <w:outlineLvl w:val="9"/>
        <w:rPr>
          <w:rFonts w:hint="eastAsia" w:ascii="宋体" w:hAnsi="宋体" w:eastAsia="宋体" w:cs="宋体"/>
          <w:color w:val="auto"/>
          <w:sz w:val="24"/>
          <w:szCs w:val="24"/>
          <w:highlight w:val="none"/>
        </w:rPr>
      </w:pPr>
    </w:p>
    <w:p>
      <w:pPr>
        <w:tabs>
          <w:tab w:val="left" w:pos="360"/>
        </w:tabs>
        <w:outlineLvl w:val="1"/>
        <w:rPr>
          <w:rFonts w:hint="eastAsia" w:ascii="宋体" w:hAnsi="宋体" w:cs="宋体"/>
          <w:b/>
          <w:bCs/>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24"/>
          <w:highlight w:val="none"/>
        </w:rPr>
        <w:t>2、工业和信息化部、国家统计局、国家发展和改革委员会、财政部《关于印发〈中小企业划型标准规定〉的通知》（工信部联企〔2011〕300 号）</w:t>
      </w:r>
    </w:p>
    <w:p>
      <w:pPr>
        <w:pStyle w:val="2"/>
        <w:tabs>
          <w:tab w:val="left" w:pos="562"/>
          <w:tab w:val="left" w:pos="3372"/>
          <w:tab w:val="left" w:pos="3653"/>
        </w:tabs>
        <w:rPr>
          <w:rFonts w:hint="eastAsia" w:ascii="宋体" w:hAnsi="宋体" w:cs="宋体"/>
          <w:color w:val="auto"/>
          <w:highlight w:val="none"/>
        </w:rPr>
      </w:pPr>
    </w:p>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关于印发中小企业划型标准规定的通知</w:t>
      </w:r>
    </w:p>
    <w:p>
      <w:pPr>
        <w:jc w:val="center"/>
        <w:rPr>
          <w:rFonts w:hint="eastAsia" w:ascii="宋体" w:hAnsi="宋体" w:cs="宋体"/>
          <w:color w:val="auto"/>
          <w:sz w:val="24"/>
          <w:highlight w:val="none"/>
        </w:rPr>
      </w:pPr>
      <w:r>
        <w:rPr>
          <w:rFonts w:hint="eastAsia" w:ascii="宋体" w:hAnsi="宋体" w:cs="宋体"/>
          <w:color w:val="auto"/>
          <w:sz w:val="24"/>
          <w:highlight w:val="none"/>
        </w:rPr>
        <w:t>工信部联企业〔2011〕300号</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各省、自治区、直辖市人民政府，国务院各部委、各直属机构及有关单位：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ind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rPr>
        <w:t>工业和信息化部 国家统计局</w:t>
      </w:r>
    </w:p>
    <w:p>
      <w:pPr>
        <w:ind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rPr>
        <w:t>国家发展和改革委员会 财政部</w:t>
      </w:r>
    </w:p>
    <w:p>
      <w:pPr>
        <w:ind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rPr>
        <w:t>二○一一年六月十八日</w:t>
      </w:r>
    </w:p>
    <w:p>
      <w:pPr>
        <w:ind w:firstLine="480" w:firstLineChars="200"/>
        <w:rPr>
          <w:rFonts w:hint="eastAsia" w:ascii="宋体" w:hAnsi="宋体" w:cs="宋体"/>
          <w:color w:val="auto"/>
          <w:sz w:val="24"/>
          <w:highlight w:val="none"/>
        </w:rPr>
      </w:pPr>
    </w:p>
    <w:p>
      <w:pPr>
        <w:ind w:firstLine="480" w:firstLineChars="200"/>
        <w:rPr>
          <w:rFonts w:hint="eastAsia" w:ascii="宋体" w:hAnsi="宋体" w:cs="宋体"/>
          <w:color w:val="auto"/>
          <w:sz w:val="24"/>
          <w:highlight w:val="none"/>
        </w:rPr>
      </w:pPr>
    </w:p>
    <w:p>
      <w:pPr>
        <w:ind w:firstLine="480" w:firstLineChars="200"/>
        <w:rPr>
          <w:rFonts w:hint="eastAsia" w:ascii="宋体" w:hAnsi="宋体" w:cs="宋体"/>
          <w:color w:val="auto"/>
          <w:sz w:val="24"/>
          <w:highlight w:val="none"/>
        </w:rPr>
      </w:pPr>
    </w:p>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 xml:space="preserve">中小企业划型标准规定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一、根据《中华人民共和国中小企业促进法》和《国务院关于进一步促进中小企业发展的若干意见》(国发〔2009〕36号)，制定本规定。</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二、中小企业划分为中型、小型、微型三种类型，具体标准根据企业从业人员、营业收入、资产总额等指标，结合行业特点制定。</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四、各行业划型标准为：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（一）农、林、牧、渔业。营业收入20000万元以下的为中小微型企业。其中，营业收入500万元及以上的为中型企业，营业收入50万元及以上的为小型企业，营业收入50万元以下的为微型企业。</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（十六）其他未列明行业。从业人员300人以下的为中小微型企业。其中，从业人员100人及以上的为中型企业；从业人员10人及以上的为小型企业；从业人员10人以下的为微型企业。</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五、企业类型的划分以统计部门的统计数据为依据。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六、本规定适用于在中华人民共和国境内依法设立的各类所有制和各种组织形式的企业。个体工商户和本规定以外的行业，参照本规定进行划型。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八、本规定由工业和信息化部、国家统计局会同有关部门根据《国民经济行业分类》修订情况和企业发展变化情况适时修订。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九、本规定由工业和信息化部、国家统计局会同有关部门负责解释。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十、本规定自发布之日起执行，原国家经贸委、原国家计委、财政部和国家统计局2003年颁布的《中小企业标准暂行规定》同时废止。</w:t>
      </w:r>
    </w:p>
    <w:p>
      <w:pPr>
        <w:ind w:firstLine="480" w:firstLineChars="200"/>
        <w:rPr>
          <w:rFonts w:hint="eastAsia" w:ascii="宋体" w:hAnsi="宋体" w:cs="宋体"/>
          <w:color w:val="auto"/>
          <w:sz w:val="24"/>
          <w:highlight w:val="none"/>
        </w:rPr>
      </w:pPr>
    </w:p>
    <w:p>
      <w:pPr>
        <w:pStyle w:val="16"/>
        <w:jc w:val="both"/>
        <w:outlineLvl w:val="9"/>
        <w:rPr>
          <w:rFonts w:hint="eastAsia" w:ascii="宋体" w:hAnsi="宋体" w:eastAsia="宋体" w:cs="宋体"/>
          <w:color w:val="auto"/>
          <w:sz w:val="24"/>
          <w:szCs w:val="24"/>
          <w:highlight w:val="none"/>
        </w:rPr>
      </w:pPr>
    </w:p>
    <w:p>
      <w:pPr>
        <w:pStyle w:val="16"/>
        <w:jc w:val="both"/>
        <w:outlineLvl w:val="9"/>
        <w:rPr>
          <w:rFonts w:hint="eastAsia" w:ascii="宋体" w:hAnsi="宋体" w:eastAsia="宋体" w:cs="宋体"/>
          <w:color w:val="auto"/>
          <w:sz w:val="24"/>
          <w:szCs w:val="24"/>
          <w:highlight w:val="none"/>
        </w:rPr>
      </w:pPr>
    </w:p>
    <w:p>
      <w:pPr>
        <w:tabs>
          <w:tab w:val="left" w:pos="360"/>
        </w:tabs>
        <w:outlineLvl w:val="1"/>
        <w:rPr>
          <w:rFonts w:hint="eastAsia" w:ascii="宋体" w:hAnsi="宋体" w:cs="宋体"/>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3、国家统计局《关于印发〈统计上大中小微型企业划分办法（2017）〉的通知》</w:t>
      </w:r>
    </w:p>
    <w:p>
      <w:pPr>
        <w:widowControl/>
        <w:shd w:val="clear" w:color="auto" w:fill="FFFFFF"/>
        <w:jc w:val="center"/>
        <w:rPr>
          <w:rFonts w:hint="eastAsia" w:ascii="宋体" w:hAnsi="宋体" w:cs="宋体"/>
          <w:b/>
          <w:bCs/>
          <w:color w:val="auto"/>
          <w:kern w:val="0"/>
          <w:sz w:val="24"/>
          <w:highlight w:val="none"/>
        </w:rPr>
      </w:pPr>
    </w:p>
    <w:p>
      <w:pPr>
        <w:widowControl/>
        <w:shd w:val="clear" w:color="auto" w:fill="FFFFFF"/>
        <w:jc w:val="center"/>
        <w:rPr>
          <w:rFonts w:hint="eastAsia" w:ascii="宋体" w:hAnsi="宋体" w:cs="宋体"/>
          <w:b/>
          <w:color w:val="auto"/>
          <w:kern w:val="0"/>
          <w:sz w:val="24"/>
          <w:highlight w:val="none"/>
        </w:rPr>
      </w:pPr>
      <w:r>
        <w:rPr>
          <w:rFonts w:hint="eastAsia" w:ascii="宋体" w:hAnsi="宋体" w:cs="宋体"/>
          <w:b/>
          <w:bCs/>
          <w:color w:val="auto"/>
          <w:kern w:val="0"/>
          <w:sz w:val="24"/>
          <w:highlight w:val="none"/>
        </w:rPr>
        <w:t>国家统计局关于印发《统计上大中小微型企业划分办法（2017）》的通知</w:t>
      </w:r>
    </w:p>
    <w:p>
      <w:pPr>
        <w:widowControl/>
        <w:shd w:val="clear" w:color="auto" w:fill="FFFFFF"/>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FFFFFF"/>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各省、自治区、直辖市统计局，新疆生产建设兵团统计局，国务院各有关部门，国家统计局各调查总队：</w:t>
      </w:r>
    </w:p>
    <w:p>
      <w:pPr>
        <w:widowControl/>
        <w:shd w:val="clear" w:color="auto" w:fill="FFFFFF"/>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FFFFFF"/>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FFFFFF"/>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附件：《统计上大中小微型企业划分办法（2017）》修订说明</w:t>
      </w:r>
    </w:p>
    <w:p>
      <w:pPr>
        <w:widowControl/>
        <w:shd w:val="clear" w:color="auto" w:fill="FFFFFF"/>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FFFFFF"/>
        <w:ind w:firstLine="480" w:firstLineChars="200"/>
        <w:jc w:val="right"/>
        <w:rPr>
          <w:rFonts w:hint="eastAsia" w:ascii="宋体" w:hAnsi="宋体" w:cs="宋体"/>
          <w:color w:val="auto"/>
          <w:kern w:val="0"/>
          <w:sz w:val="24"/>
          <w:highlight w:val="none"/>
        </w:rPr>
      </w:pPr>
      <w:r>
        <w:rPr>
          <w:rFonts w:hint="eastAsia" w:ascii="宋体" w:hAnsi="宋体" w:cs="宋体"/>
          <w:color w:val="auto"/>
          <w:kern w:val="0"/>
          <w:sz w:val="24"/>
          <w:highlight w:val="none"/>
        </w:rPr>
        <w:t>国家统计局</w:t>
      </w:r>
    </w:p>
    <w:p>
      <w:pPr>
        <w:widowControl/>
        <w:shd w:val="clear" w:color="auto" w:fill="FFFFFF"/>
        <w:ind w:firstLine="480" w:firstLineChars="200"/>
        <w:jc w:val="right"/>
        <w:rPr>
          <w:rFonts w:hint="eastAsia" w:ascii="宋体" w:hAnsi="宋体" w:cs="宋体"/>
          <w:color w:val="auto"/>
          <w:kern w:val="0"/>
          <w:sz w:val="24"/>
          <w:highlight w:val="none"/>
        </w:rPr>
      </w:pPr>
      <w:r>
        <w:rPr>
          <w:rFonts w:hint="eastAsia" w:ascii="宋体" w:hAnsi="宋体" w:cs="宋体"/>
          <w:color w:val="auto"/>
          <w:kern w:val="0"/>
          <w:sz w:val="24"/>
          <w:highlight w:val="none"/>
        </w:rPr>
        <w:t>2017年12月28日</w:t>
      </w:r>
    </w:p>
    <w:p>
      <w:pPr>
        <w:widowControl/>
        <w:shd w:val="clear" w:color="auto" w:fill="FFFFFF"/>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FFFFFF"/>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统计上大中小微型企业划分办法（2017）</w:t>
      </w:r>
    </w:p>
    <w:p>
      <w:pPr>
        <w:widowControl/>
        <w:shd w:val="clear" w:color="auto" w:fill="FFFFFF"/>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二、本办法适用对象为在中华人民共和国境内依法设立的各种组织形式的法人企业或单位。个体工商户参照本办法进行划分。</w:t>
      </w:r>
    </w:p>
    <w:p>
      <w:pPr>
        <w:widowControl/>
        <w:shd w:val="clear" w:color="auto" w:fill="FFFFFF"/>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五、企业划分由政府综合统计部门根据统计年报每年确定一次，定报统计原则上不进行调整。</w:t>
      </w:r>
    </w:p>
    <w:p>
      <w:pPr>
        <w:widowControl/>
        <w:shd w:val="clear" w:color="auto" w:fill="FFFFFF"/>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六、本办法自印发之日起执行，国家统计局2011年印发的《统计上大中小微型企业划分办法》（国统字〔2011〕75号）同时废止。</w:t>
      </w:r>
    </w:p>
    <w:p>
      <w:pPr>
        <w:widowControl/>
        <w:shd w:val="clear" w:color="auto" w:fill="FFFFFF"/>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FFFFFF"/>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附表：统计上大中小微型企业划分标准</w:t>
      </w:r>
    </w:p>
    <w:p>
      <w:pPr>
        <w:widowControl/>
        <w:jc w:val="left"/>
        <w:rPr>
          <w:rFonts w:hint="eastAsia" w:ascii="宋体" w:hAnsi="宋体" w:cs="宋体"/>
          <w:color w:val="auto"/>
          <w:kern w:val="0"/>
          <w:sz w:val="24"/>
          <w:highlight w:val="none"/>
        </w:rPr>
      </w:pPr>
    </w:p>
    <w:p>
      <w:pPr>
        <w:widowControl/>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附表：</w:t>
      </w:r>
    </w:p>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统计上大中小微型企业划分标准</w:t>
      </w:r>
    </w:p>
    <w:tbl>
      <w:tblPr>
        <w:tblStyle w:val="18"/>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hint="eastAsia" w:ascii="宋体" w:hAnsi="宋体" w:cs="宋体"/>
                <w:color w:val="auto"/>
                <w:kern w:val="0"/>
                <w:sz w:val="24"/>
                <w:highlight w:val="none"/>
              </w:rPr>
            </w:pPr>
            <w:r>
              <w:rPr>
                <w:rFonts w:hint="eastAsia" w:ascii="宋体" w:hAnsi="宋体" w:cs="宋体"/>
                <w:b/>
                <w:bCs/>
                <w:color w:val="auto"/>
                <w:kern w:val="0"/>
                <w:sz w:val="24"/>
                <w:highlight w:val="none"/>
              </w:rPr>
              <w:t>行业名称</w:t>
            </w:r>
          </w:p>
        </w:tc>
        <w:tc>
          <w:tcPr>
            <w:tcW w:w="1462" w:type="dxa"/>
            <w:vAlign w:val="center"/>
          </w:tcPr>
          <w:p>
            <w:pPr>
              <w:widowControl/>
              <w:jc w:val="center"/>
              <w:rPr>
                <w:rFonts w:hint="eastAsia" w:ascii="宋体" w:hAnsi="宋体" w:cs="宋体"/>
                <w:color w:val="auto"/>
                <w:kern w:val="0"/>
                <w:sz w:val="24"/>
                <w:highlight w:val="none"/>
              </w:rPr>
            </w:pPr>
            <w:r>
              <w:rPr>
                <w:rFonts w:hint="eastAsia" w:ascii="宋体" w:hAnsi="宋体" w:cs="宋体"/>
                <w:b/>
                <w:bCs/>
                <w:color w:val="auto"/>
                <w:kern w:val="0"/>
                <w:sz w:val="24"/>
                <w:highlight w:val="none"/>
              </w:rPr>
              <w:t>指标名称</w:t>
            </w:r>
          </w:p>
        </w:tc>
        <w:tc>
          <w:tcPr>
            <w:tcW w:w="727" w:type="dxa"/>
            <w:vAlign w:val="center"/>
          </w:tcPr>
          <w:p>
            <w:pPr>
              <w:widowControl/>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计量</w:t>
            </w:r>
          </w:p>
          <w:p>
            <w:pPr>
              <w:widowControl/>
              <w:jc w:val="center"/>
              <w:rPr>
                <w:rFonts w:hint="eastAsia" w:ascii="宋体" w:hAnsi="宋体" w:cs="宋体"/>
                <w:color w:val="auto"/>
                <w:kern w:val="0"/>
                <w:sz w:val="24"/>
                <w:highlight w:val="none"/>
              </w:rPr>
            </w:pPr>
            <w:r>
              <w:rPr>
                <w:rFonts w:hint="eastAsia" w:ascii="宋体" w:hAnsi="宋体" w:cs="宋体"/>
                <w:b/>
                <w:bCs/>
                <w:color w:val="auto"/>
                <w:kern w:val="0"/>
                <w:sz w:val="24"/>
                <w:highlight w:val="none"/>
              </w:rPr>
              <w:t>单位</w:t>
            </w:r>
          </w:p>
        </w:tc>
        <w:tc>
          <w:tcPr>
            <w:tcW w:w="1011" w:type="dxa"/>
            <w:vAlign w:val="center"/>
          </w:tcPr>
          <w:p>
            <w:pPr>
              <w:widowControl/>
              <w:jc w:val="center"/>
              <w:rPr>
                <w:rFonts w:hint="eastAsia" w:ascii="宋体" w:hAnsi="宋体" w:cs="宋体"/>
                <w:color w:val="auto"/>
                <w:kern w:val="0"/>
                <w:sz w:val="24"/>
                <w:highlight w:val="none"/>
              </w:rPr>
            </w:pPr>
            <w:r>
              <w:rPr>
                <w:rFonts w:hint="eastAsia" w:ascii="宋体" w:hAnsi="宋体" w:cs="宋体"/>
                <w:b/>
                <w:bCs/>
                <w:color w:val="auto"/>
                <w:kern w:val="0"/>
                <w:sz w:val="24"/>
                <w:highlight w:val="none"/>
              </w:rPr>
              <w:t>大型</w:t>
            </w:r>
          </w:p>
        </w:tc>
        <w:tc>
          <w:tcPr>
            <w:tcW w:w="1664" w:type="dxa"/>
            <w:vAlign w:val="center"/>
          </w:tcPr>
          <w:p>
            <w:pPr>
              <w:widowControl/>
              <w:jc w:val="center"/>
              <w:rPr>
                <w:rFonts w:hint="eastAsia" w:ascii="宋体" w:hAnsi="宋体" w:cs="宋体"/>
                <w:color w:val="auto"/>
                <w:kern w:val="0"/>
                <w:sz w:val="24"/>
                <w:highlight w:val="none"/>
              </w:rPr>
            </w:pPr>
            <w:r>
              <w:rPr>
                <w:rFonts w:hint="eastAsia" w:ascii="宋体" w:hAnsi="宋体" w:cs="宋体"/>
                <w:b/>
                <w:bCs/>
                <w:color w:val="auto"/>
                <w:kern w:val="0"/>
                <w:sz w:val="24"/>
                <w:highlight w:val="none"/>
              </w:rPr>
              <w:t>中型</w:t>
            </w:r>
          </w:p>
        </w:tc>
        <w:tc>
          <w:tcPr>
            <w:tcW w:w="1446" w:type="dxa"/>
            <w:vAlign w:val="center"/>
          </w:tcPr>
          <w:p>
            <w:pPr>
              <w:widowControl/>
              <w:jc w:val="center"/>
              <w:rPr>
                <w:rFonts w:hint="eastAsia" w:ascii="宋体" w:hAnsi="宋体" w:cs="宋体"/>
                <w:color w:val="auto"/>
                <w:kern w:val="0"/>
                <w:sz w:val="24"/>
                <w:highlight w:val="none"/>
              </w:rPr>
            </w:pPr>
            <w:r>
              <w:rPr>
                <w:rFonts w:hint="eastAsia" w:ascii="宋体" w:hAnsi="宋体" w:cs="宋体"/>
                <w:b/>
                <w:bCs/>
                <w:color w:val="auto"/>
                <w:kern w:val="0"/>
                <w:sz w:val="24"/>
                <w:highlight w:val="none"/>
              </w:rPr>
              <w:t>小型</w:t>
            </w:r>
          </w:p>
        </w:tc>
        <w:tc>
          <w:tcPr>
            <w:tcW w:w="793" w:type="dxa"/>
            <w:vAlign w:val="center"/>
          </w:tcPr>
          <w:p>
            <w:pPr>
              <w:widowControl/>
              <w:jc w:val="center"/>
              <w:rPr>
                <w:rFonts w:hint="eastAsia" w:ascii="宋体" w:hAnsi="宋体" w:cs="宋体"/>
                <w:color w:val="auto"/>
                <w:kern w:val="0"/>
                <w:sz w:val="24"/>
                <w:highlight w:val="none"/>
              </w:rPr>
            </w:pPr>
            <w:r>
              <w:rPr>
                <w:rFonts w:hint="eastAsia" w:ascii="宋体" w:hAnsi="宋体" w:cs="宋体"/>
                <w:b/>
                <w:bCs/>
                <w:color w:val="auto"/>
                <w:kern w:val="0"/>
                <w:sz w:val="24"/>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农、林、牧、渔业</w:t>
            </w:r>
          </w:p>
        </w:tc>
        <w:tc>
          <w:tcPr>
            <w:tcW w:w="1462"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Y≥20000</w:t>
            </w:r>
          </w:p>
        </w:tc>
        <w:tc>
          <w:tcPr>
            <w:tcW w:w="1664"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500≤Y＜20000</w:t>
            </w:r>
          </w:p>
        </w:tc>
        <w:tc>
          <w:tcPr>
            <w:tcW w:w="1446"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50≤Y＜500</w:t>
            </w:r>
          </w:p>
        </w:tc>
        <w:tc>
          <w:tcPr>
            <w:tcW w:w="793"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工业 *</w:t>
            </w:r>
          </w:p>
        </w:tc>
        <w:tc>
          <w:tcPr>
            <w:tcW w:w="1462"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X≥1000</w:t>
            </w:r>
          </w:p>
        </w:tc>
        <w:tc>
          <w:tcPr>
            <w:tcW w:w="1664"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300≤X＜1000</w:t>
            </w:r>
          </w:p>
        </w:tc>
        <w:tc>
          <w:tcPr>
            <w:tcW w:w="1446"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20≤X＜300</w:t>
            </w:r>
          </w:p>
        </w:tc>
        <w:tc>
          <w:tcPr>
            <w:tcW w:w="793"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auto"/>
                <w:kern w:val="0"/>
                <w:sz w:val="24"/>
                <w:highlight w:val="none"/>
              </w:rPr>
            </w:pPr>
          </w:p>
        </w:tc>
        <w:tc>
          <w:tcPr>
            <w:tcW w:w="1462"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Y≥40000</w:t>
            </w:r>
          </w:p>
        </w:tc>
        <w:tc>
          <w:tcPr>
            <w:tcW w:w="1664"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2000≤Y＜40000</w:t>
            </w:r>
          </w:p>
        </w:tc>
        <w:tc>
          <w:tcPr>
            <w:tcW w:w="1446"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300≤Y＜2000</w:t>
            </w:r>
          </w:p>
        </w:tc>
        <w:tc>
          <w:tcPr>
            <w:tcW w:w="793"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建筑业</w:t>
            </w:r>
          </w:p>
        </w:tc>
        <w:tc>
          <w:tcPr>
            <w:tcW w:w="1462"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Y≥80000</w:t>
            </w:r>
          </w:p>
        </w:tc>
        <w:tc>
          <w:tcPr>
            <w:tcW w:w="1664"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6000≤Y＜80000</w:t>
            </w:r>
          </w:p>
        </w:tc>
        <w:tc>
          <w:tcPr>
            <w:tcW w:w="1446"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300≤Y＜6000</w:t>
            </w:r>
          </w:p>
        </w:tc>
        <w:tc>
          <w:tcPr>
            <w:tcW w:w="793"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auto"/>
                <w:kern w:val="0"/>
                <w:sz w:val="24"/>
                <w:highlight w:val="none"/>
              </w:rPr>
            </w:pPr>
          </w:p>
        </w:tc>
        <w:tc>
          <w:tcPr>
            <w:tcW w:w="1462"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资产总额(Z)</w:t>
            </w:r>
          </w:p>
        </w:tc>
        <w:tc>
          <w:tcPr>
            <w:tcW w:w="727"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Z≥80000</w:t>
            </w:r>
          </w:p>
        </w:tc>
        <w:tc>
          <w:tcPr>
            <w:tcW w:w="1664"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5000≤Z＜80000</w:t>
            </w:r>
          </w:p>
        </w:tc>
        <w:tc>
          <w:tcPr>
            <w:tcW w:w="1446"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300≤Z＜5000</w:t>
            </w:r>
          </w:p>
        </w:tc>
        <w:tc>
          <w:tcPr>
            <w:tcW w:w="793"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批发业</w:t>
            </w:r>
          </w:p>
        </w:tc>
        <w:tc>
          <w:tcPr>
            <w:tcW w:w="1462"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X≥200</w:t>
            </w:r>
          </w:p>
        </w:tc>
        <w:tc>
          <w:tcPr>
            <w:tcW w:w="1664"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20≤X＜200</w:t>
            </w:r>
          </w:p>
        </w:tc>
        <w:tc>
          <w:tcPr>
            <w:tcW w:w="1446"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5≤X＜20</w:t>
            </w:r>
          </w:p>
        </w:tc>
        <w:tc>
          <w:tcPr>
            <w:tcW w:w="793"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auto"/>
                <w:kern w:val="0"/>
                <w:sz w:val="24"/>
                <w:highlight w:val="none"/>
              </w:rPr>
            </w:pPr>
          </w:p>
        </w:tc>
        <w:tc>
          <w:tcPr>
            <w:tcW w:w="1462"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Y≥40000</w:t>
            </w:r>
          </w:p>
        </w:tc>
        <w:tc>
          <w:tcPr>
            <w:tcW w:w="1664"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5000≤Y＜40000</w:t>
            </w:r>
          </w:p>
        </w:tc>
        <w:tc>
          <w:tcPr>
            <w:tcW w:w="1446"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1000≤Y＜5000</w:t>
            </w:r>
          </w:p>
        </w:tc>
        <w:tc>
          <w:tcPr>
            <w:tcW w:w="793"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零售业</w:t>
            </w:r>
          </w:p>
        </w:tc>
        <w:tc>
          <w:tcPr>
            <w:tcW w:w="1462"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X≥300</w:t>
            </w:r>
          </w:p>
        </w:tc>
        <w:tc>
          <w:tcPr>
            <w:tcW w:w="1664"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50≤X＜300</w:t>
            </w:r>
          </w:p>
        </w:tc>
        <w:tc>
          <w:tcPr>
            <w:tcW w:w="1446"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10≤X＜50</w:t>
            </w:r>
          </w:p>
        </w:tc>
        <w:tc>
          <w:tcPr>
            <w:tcW w:w="793"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auto"/>
                <w:kern w:val="0"/>
                <w:sz w:val="24"/>
                <w:highlight w:val="none"/>
              </w:rPr>
            </w:pPr>
          </w:p>
        </w:tc>
        <w:tc>
          <w:tcPr>
            <w:tcW w:w="1462"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Y≥20000</w:t>
            </w:r>
          </w:p>
        </w:tc>
        <w:tc>
          <w:tcPr>
            <w:tcW w:w="1664"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500≤Y＜20000</w:t>
            </w:r>
          </w:p>
        </w:tc>
        <w:tc>
          <w:tcPr>
            <w:tcW w:w="1446"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100≤Y＜500</w:t>
            </w:r>
          </w:p>
        </w:tc>
        <w:tc>
          <w:tcPr>
            <w:tcW w:w="793"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交通运输业 *</w:t>
            </w:r>
          </w:p>
        </w:tc>
        <w:tc>
          <w:tcPr>
            <w:tcW w:w="1462"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X≥1000</w:t>
            </w:r>
          </w:p>
        </w:tc>
        <w:tc>
          <w:tcPr>
            <w:tcW w:w="1664"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300≤X＜1000</w:t>
            </w:r>
          </w:p>
        </w:tc>
        <w:tc>
          <w:tcPr>
            <w:tcW w:w="1446"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20≤X＜300</w:t>
            </w:r>
          </w:p>
        </w:tc>
        <w:tc>
          <w:tcPr>
            <w:tcW w:w="793"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auto"/>
                <w:kern w:val="0"/>
                <w:sz w:val="24"/>
                <w:highlight w:val="none"/>
              </w:rPr>
            </w:pPr>
          </w:p>
        </w:tc>
        <w:tc>
          <w:tcPr>
            <w:tcW w:w="1462"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Y≥30000</w:t>
            </w:r>
          </w:p>
        </w:tc>
        <w:tc>
          <w:tcPr>
            <w:tcW w:w="1664"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3000≤Y＜30000</w:t>
            </w:r>
          </w:p>
        </w:tc>
        <w:tc>
          <w:tcPr>
            <w:tcW w:w="1446"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200≤Y＜3000</w:t>
            </w:r>
          </w:p>
        </w:tc>
        <w:tc>
          <w:tcPr>
            <w:tcW w:w="793"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仓储业*</w:t>
            </w:r>
          </w:p>
        </w:tc>
        <w:tc>
          <w:tcPr>
            <w:tcW w:w="1462"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X≥200</w:t>
            </w:r>
          </w:p>
        </w:tc>
        <w:tc>
          <w:tcPr>
            <w:tcW w:w="1664"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100≤X＜200</w:t>
            </w:r>
          </w:p>
        </w:tc>
        <w:tc>
          <w:tcPr>
            <w:tcW w:w="1446"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20≤X＜100</w:t>
            </w:r>
          </w:p>
        </w:tc>
        <w:tc>
          <w:tcPr>
            <w:tcW w:w="793"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auto"/>
                <w:kern w:val="0"/>
                <w:sz w:val="24"/>
                <w:highlight w:val="none"/>
              </w:rPr>
            </w:pPr>
          </w:p>
        </w:tc>
        <w:tc>
          <w:tcPr>
            <w:tcW w:w="1462"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Y≥30000</w:t>
            </w:r>
          </w:p>
        </w:tc>
        <w:tc>
          <w:tcPr>
            <w:tcW w:w="1664"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1000≤Y＜30000</w:t>
            </w:r>
          </w:p>
        </w:tc>
        <w:tc>
          <w:tcPr>
            <w:tcW w:w="1446"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100≤Y＜1000</w:t>
            </w:r>
          </w:p>
        </w:tc>
        <w:tc>
          <w:tcPr>
            <w:tcW w:w="793"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邮政业</w:t>
            </w:r>
          </w:p>
        </w:tc>
        <w:tc>
          <w:tcPr>
            <w:tcW w:w="1462"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X≥1000</w:t>
            </w:r>
          </w:p>
        </w:tc>
        <w:tc>
          <w:tcPr>
            <w:tcW w:w="1664"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300≤X＜1000</w:t>
            </w:r>
          </w:p>
        </w:tc>
        <w:tc>
          <w:tcPr>
            <w:tcW w:w="1446"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20≤X＜300</w:t>
            </w:r>
          </w:p>
        </w:tc>
        <w:tc>
          <w:tcPr>
            <w:tcW w:w="793"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auto"/>
                <w:kern w:val="0"/>
                <w:sz w:val="24"/>
                <w:highlight w:val="none"/>
              </w:rPr>
            </w:pPr>
          </w:p>
        </w:tc>
        <w:tc>
          <w:tcPr>
            <w:tcW w:w="1462"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Y≥30000</w:t>
            </w:r>
          </w:p>
        </w:tc>
        <w:tc>
          <w:tcPr>
            <w:tcW w:w="1664"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2000≤Y＜30000</w:t>
            </w:r>
          </w:p>
        </w:tc>
        <w:tc>
          <w:tcPr>
            <w:tcW w:w="1446"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100≤Y＜2000</w:t>
            </w:r>
          </w:p>
        </w:tc>
        <w:tc>
          <w:tcPr>
            <w:tcW w:w="793"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住宿业</w:t>
            </w:r>
          </w:p>
        </w:tc>
        <w:tc>
          <w:tcPr>
            <w:tcW w:w="1462"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X≥300</w:t>
            </w:r>
          </w:p>
        </w:tc>
        <w:tc>
          <w:tcPr>
            <w:tcW w:w="1664"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100≤X＜300</w:t>
            </w:r>
          </w:p>
        </w:tc>
        <w:tc>
          <w:tcPr>
            <w:tcW w:w="1446"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10≤X＜100</w:t>
            </w:r>
          </w:p>
        </w:tc>
        <w:tc>
          <w:tcPr>
            <w:tcW w:w="793"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auto"/>
                <w:kern w:val="0"/>
                <w:sz w:val="24"/>
                <w:highlight w:val="none"/>
              </w:rPr>
            </w:pPr>
          </w:p>
        </w:tc>
        <w:tc>
          <w:tcPr>
            <w:tcW w:w="1462"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Y≥10000</w:t>
            </w:r>
          </w:p>
        </w:tc>
        <w:tc>
          <w:tcPr>
            <w:tcW w:w="1664"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2000≤Y＜10000</w:t>
            </w:r>
          </w:p>
        </w:tc>
        <w:tc>
          <w:tcPr>
            <w:tcW w:w="1446"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100≤Y＜2000</w:t>
            </w:r>
          </w:p>
        </w:tc>
        <w:tc>
          <w:tcPr>
            <w:tcW w:w="793"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餐饮业</w:t>
            </w:r>
          </w:p>
        </w:tc>
        <w:tc>
          <w:tcPr>
            <w:tcW w:w="1462"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X≥300</w:t>
            </w:r>
          </w:p>
        </w:tc>
        <w:tc>
          <w:tcPr>
            <w:tcW w:w="1664"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100≤X＜300</w:t>
            </w:r>
          </w:p>
        </w:tc>
        <w:tc>
          <w:tcPr>
            <w:tcW w:w="1446"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10≤X＜100</w:t>
            </w:r>
          </w:p>
        </w:tc>
        <w:tc>
          <w:tcPr>
            <w:tcW w:w="793"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auto"/>
                <w:kern w:val="0"/>
                <w:sz w:val="24"/>
                <w:highlight w:val="none"/>
              </w:rPr>
            </w:pPr>
          </w:p>
        </w:tc>
        <w:tc>
          <w:tcPr>
            <w:tcW w:w="1462"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Y≥10000</w:t>
            </w:r>
          </w:p>
        </w:tc>
        <w:tc>
          <w:tcPr>
            <w:tcW w:w="1664"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2000≤Y＜10000</w:t>
            </w:r>
          </w:p>
        </w:tc>
        <w:tc>
          <w:tcPr>
            <w:tcW w:w="1446"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100≤Y＜2000</w:t>
            </w:r>
          </w:p>
        </w:tc>
        <w:tc>
          <w:tcPr>
            <w:tcW w:w="793"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信息传输业 *</w:t>
            </w:r>
          </w:p>
        </w:tc>
        <w:tc>
          <w:tcPr>
            <w:tcW w:w="1462"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X≥2000</w:t>
            </w:r>
          </w:p>
        </w:tc>
        <w:tc>
          <w:tcPr>
            <w:tcW w:w="1664"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100≤X＜2000</w:t>
            </w:r>
          </w:p>
        </w:tc>
        <w:tc>
          <w:tcPr>
            <w:tcW w:w="1446"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10≤X＜100</w:t>
            </w:r>
          </w:p>
        </w:tc>
        <w:tc>
          <w:tcPr>
            <w:tcW w:w="793"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auto"/>
                <w:kern w:val="0"/>
                <w:sz w:val="24"/>
                <w:highlight w:val="none"/>
              </w:rPr>
            </w:pPr>
          </w:p>
        </w:tc>
        <w:tc>
          <w:tcPr>
            <w:tcW w:w="1462"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Y≥100000</w:t>
            </w:r>
          </w:p>
        </w:tc>
        <w:tc>
          <w:tcPr>
            <w:tcW w:w="1664"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1000≤Y＜100000</w:t>
            </w:r>
          </w:p>
        </w:tc>
        <w:tc>
          <w:tcPr>
            <w:tcW w:w="1446"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100≤Y＜1000</w:t>
            </w:r>
          </w:p>
        </w:tc>
        <w:tc>
          <w:tcPr>
            <w:tcW w:w="793"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软件和信息技术服务业</w:t>
            </w:r>
          </w:p>
        </w:tc>
        <w:tc>
          <w:tcPr>
            <w:tcW w:w="1462"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X≥300</w:t>
            </w:r>
          </w:p>
        </w:tc>
        <w:tc>
          <w:tcPr>
            <w:tcW w:w="1664"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100≤X＜300</w:t>
            </w:r>
          </w:p>
        </w:tc>
        <w:tc>
          <w:tcPr>
            <w:tcW w:w="1446"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10≤X＜100</w:t>
            </w:r>
          </w:p>
        </w:tc>
        <w:tc>
          <w:tcPr>
            <w:tcW w:w="793"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auto"/>
                <w:kern w:val="0"/>
                <w:sz w:val="24"/>
                <w:highlight w:val="none"/>
              </w:rPr>
            </w:pPr>
          </w:p>
        </w:tc>
        <w:tc>
          <w:tcPr>
            <w:tcW w:w="1462"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Y≥10000</w:t>
            </w:r>
          </w:p>
        </w:tc>
        <w:tc>
          <w:tcPr>
            <w:tcW w:w="1664"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1000≤Y＜10000</w:t>
            </w:r>
          </w:p>
        </w:tc>
        <w:tc>
          <w:tcPr>
            <w:tcW w:w="1446"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50≤Y＜1000</w:t>
            </w:r>
          </w:p>
        </w:tc>
        <w:tc>
          <w:tcPr>
            <w:tcW w:w="793"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房地产开发经营</w:t>
            </w:r>
          </w:p>
        </w:tc>
        <w:tc>
          <w:tcPr>
            <w:tcW w:w="1462"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Y≥200000</w:t>
            </w:r>
          </w:p>
        </w:tc>
        <w:tc>
          <w:tcPr>
            <w:tcW w:w="1664"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1000≤Y＜200000</w:t>
            </w:r>
          </w:p>
        </w:tc>
        <w:tc>
          <w:tcPr>
            <w:tcW w:w="1446"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100≤Y＜1000</w:t>
            </w:r>
          </w:p>
        </w:tc>
        <w:tc>
          <w:tcPr>
            <w:tcW w:w="793"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auto"/>
                <w:kern w:val="0"/>
                <w:sz w:val="24"/>
                <w:highlight w:val="none"/>
              </w:rPr>
            </w:pPr>
          </w:p>
        </w:tc>
        <w:tc>
          <w:tcPr>
            <w:tcW w:w="1462"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资产总额(Z)</w:t>
            </w:r>
          </w:p>
        </w:tc>
        <w:tc>
          <w:tcPr>
            <w:tcW w:w="727"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Z≥10000</w:t>
            </w:r>
          </w:p>
        </w:tc>
        <w:tc>
          <w:tcPr>
            <w:tcW w:w="1664"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5000≤Z＜10000</w:t>
            </w:r>
          </w:p>
        </w:tc>
        <w:tc>
          <w:tcPr>
            <w:tcW w:w="1446"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2000≤Z＜5000</w:t>
            </w:r>
          </w:p>
        </w:tc>
        <w:tc>
          <w:tcPr>
            <w:tcW w:w="793"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物业管理</w:t>
            </w:r>
          </w:p>
        </w:tc>
        <w:tc>
          <w:tcPr>
            <w:tcW w:w="1462"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X≥1000</w:t>
            </w:r>
          </w:p>
        </w:tc>
        <w:tc>
          <w:tcPr>
            <w:tcW w:w="1664"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300≤X＜1000</w:t>
            </w:r>
          </w:p>
        </w:tc>
        <w:tc>
          <w:tcPr>
            <w:tcW w:w="1446"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100≤X＜300</w:t>
            </w:r>
          </w:p>
        </w:tc>
        <w:tc>
          <w:tcPr>
            <w:tcW w:w="793"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auto"/>
                <w:kern w:val="0"/>
                <w:sz w:val="24"/>
                <w:highlight w:val="none"/>
              </w:rPr>
            </w:pPr>
          </w:p>
        </w:tc>
        <w:tc>
          <w:tcPr>
            <w:tcW w:w="1462"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Y≥5000</w:t>
            </w:r>
          </w:p>
        </w:tc>
        <w:tc>
          <w:tcPr>
            <w:tcW w:w="1664"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1000≤Y＜5000</w:t>
            </w:r>
          </w:p>
        </w:tc>
        <w:tc>
          <w:tcPr>
            <w:tcW w:w="1446"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500≤Y＜1000</w:t>
            </w:r>
          </w:p>
        </w:tc>
        <w:tc>
          <w:tcPr>
            <w:tcW w:w="793"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租赁和商务服务业</w:t>
            </w:r>
          </w:p>
        </w:tc>
        <w:tc>
          <w:tcPr>
            <w:tcW w:w="1462"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X≥300</w:t>
            </w:r>
          </w:p>
        </w:tc>
        <w:tc>
          <w:tcPr>
            <w:tcW w:w="1664"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100≤X＜300</w:t>
            </w:r>
          </w:p>
        </w:tc>
        <w:tc>
          <w:tcPr>
            <w:tcW w:w="1446"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10≤X＜100</w:t>
            </w:r>
          </w:p>
        </w:tc>
        <w:tc>
          <w:tcPr>
            <w:tcW w:w="793"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auto"/>
                <w:kern w:val="0"/>
                <w:sz w:val="24"/>
                <w:highlight w:val="none"/>
              </w:rPr>
            </w:pPr>
          </w:p>
        </w:tc>
        <w:tc>
          <w:tcPr>
            <w:tcW w:w="1462"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资产总额(Z)</w:t>
            </w:r>
          </w:p>
        </w:tc>
        <w:tc>
          <w:tcPr>
            <w:tcW w:w="727"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Z≥120000</w:t>
            </w:r>
          </w:p>
        </w:tc>
        <w:tc>
          <w:tcPr>
            <w:tcW w:w="1664"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8000≤Z＜120000</w:t>
            </w:r>
          </w:p>
        </w:tc>
        <w:tc>
          <w:tcPr>
            <w:tcW w:w="1446"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100≤Z＜8000</w:t>
            </w:r>
          </w:p>
        </w:tc>
        <w:tc>
          <w:tcPr>
            <w:tcW w:w="793"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其他未列明行业 *</w:t>
            </w:r>
          </w:p>
        </w:tc>
        <w:tc>
          <w:tcPr>
            <w:tcW w:w="1462"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X≥300</w:t>
            </w:r>
          </w:p>
        </w:tc>
        <w:tc>
          <w:tcPr>
            <w:tcW w:w="1664"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100≤X＜300</w:t>
            </w:r>
          </w:p>
        </w:tc>
        <w:tc>
          <w:tcPr>
            <w:tcW w:w="1446"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10≤X＜100</w:t>
            </w:r>
          </w:p>
        </w:tc>
        <w:tc>
          <w:tcPr>
            <w:tcW w:w="793"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X＜10</w:t>
            </w:r>
          </w:p>
        </w:tc>
      </w:tr>
    </w:tbl>
    <w:p>
      <w:pPr>
        <w:widowControl/>
        <w:shd w:val="clear" w:color="auto" w:fill="FFFFFF"/>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说明：</w:t>
      </w:r>
    </w:p>
    <w:p>
      <w:pPr>
        <w:widowControl/>
        <w:shd w:val="clear" w:color="auto" w:fill="FFFFFF"/>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1.大型、中型和小型企业须同时满足所列指标的下限，否则下划一档；微型企业只须满足所列指标中的一项即可。</w:t>
      </w:r>
    </w:p>
    <w:p>
      <w:pPr>
        <w:widowControl/>
        <w:shd w:val="clear" w:color="auto" w:fill="FFFFFF"/>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2"/>
        <w:tabs>
          <w:tab w:val="left" w:pos="562"/>
          <w:tab w:val="left" w:pos="3372"/>
          <w:tab w:val="left" w:pos="3653"/>
        </w:tabs>
        <w:rPr>
          <w:rFonts w:hint="eastAsia" w:ascii="宋体" w:hAnsi="宋体" w:cs="宋体"/>
          <w:color w:val="auto"/>
          <w:highlight w:val="none"/>
        </w:rPr>
      </w:pPr>
    </w:p>
    <w:p>
      <w:pPr>
        <w:pStyle w:val="16"/>
        <w:outlineLvl w:val="9"/>
        <w:rPr>
          <w:rFonts w:hint="eastAsia" w:ascii="宋体" w:hAnsi="宋体" w:eastAsia="宋体" w:cs="宋体"/>
          <w:color w:val="auto"/>
          <w:sz w:val="24"/>
          <w:szCs w:val="24"/>
          <w:highlight w:val="none"/>
        </w:rPr>
      </w:pPr>
    </w:p>
    <w:p>
      <w:pPr>
        <w:tabs>
          <w:tab w:val="left" w:pos="360"/>
        </w:tabs>
        <w:outlineLvl w:val="1"/>
        <w:rPr>
          <w:rFonts w:hint="eastAsia"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24"/>
          <w:highlight w:val="none"/>
        </w:rPr>
        <w:t>4、财政部、民政部、中国残联《关于促进残疾人就业政府采购政策的通知》（财库〔2017〕141 号）</w:t>
      </w:r>
    </w:p>
    <w:p>
      <w:pPr>
        <w:shd w:val="clear" w:color="auto" w:fill="FFFFFF"/>
        <w:rPr>
          <w:rFonts w:hint="eastAsia" w:ascii="宋体" w:hAnsi="宋体" w:cs="宋体"/>
          <w:bCs/>
          <w:color w:val="auto"/>
          <w:sz w:val="24"/>
          <w:highlight w:val="none"/>
        </w:rPr>
      </w:pPr>
    </w:p>
    <w:p>
      <w:pPr>
        <w:shd w:val="clear" w:color="auto" w:fill="FFFFFF"/>
        <w:rPr>
          <w:rFonts w:hint="eastAsia" w:ascii="宋体" w:hAnsi="宋体" w:cs="宋体"/>
          <w:bCs/>
          <w:color w:val="auto"/>
          <w:sz w:val="24"/>
          <w:highlight w:val="none"/>
        </w:rPr>
      </w:pPr>
      <w:r>
        <w:rPr>
          <w:rFonts w:hint="eastAsia" w:ascii="宋体" w:hAnsi="宋体" w:cs="宋体"/>
          <w:bCs/>
          <w:color w:val="auto"/>
          <w:sz w:val="24"/>
          <w:highlight w:val="none"/>
        </w:rPr>
        <w:t>关于促进残疾人就业政府采购政策的通知</w:t>
      </w:r>
    </w:p>
    <w:p>
      <w:pPr>
        <w:pStyle w:val="15"/>
        <w:shd w:val="clear" w:color="auto" w:fill="FFFFFF"/>
        <w:spacing w:before="0" w:beforeAutospacing="0" w:after="0" w:afterAutospacing="0"/>
        <w:jc w:val="center"/>
        <w:rPr>
          <w:rFonts w:hint="eastAsia"/>
          <w:color w:val="auto"/>
          <w:highlight w:val="none"/>
        </w:rPr>
      </w:pPr>
      <w:r>
        <w:rPr>
          <w:rFonts w:hint="eastAsia"/>
          <w:color w:val="auto"/>
          <w:highlight w:val="none"/>
        </w:rPr>
        <w:t>　　</w:t>
      </w:r>
      <w:bookmarkStart w:id="95" w:name="sendNo"/>
      <w:r>
        <w:rPr>
          <w:rFonts w:hint="eastAsia"/>
          <w:color w:val="auto"/>
          <w:highlight w:val="none"/>
        </w:rPr>
        <w:t>财库〔</w:t>
      </w:r>
      <w:bookmarkEnd w:id="95"/>
      <w:r>
        <w:rPr>
          <w:rFonts w:hint="eastAsia"/>
          <w:color w:val="auto"/>
          <w:highlight w:val="none"/>
        </w:rPr>
        <w:t>2017〕141号</w:t>
      </w:r>
    </w:p>
    <w:p>
      <w:pPr>
        <w:pStyle w:val="15"/>
        <w:shd w:val="clear" w:color="auto" w:fill="FFFFFF"/>
        <w:spacing w:before="0" w:beforeAutospacing="0" w:after="0" w:afterAutospacing="0"/>
        <w:ind w:firstLine="480" w:firstLineChars="200"/>
        <w:rPr>
          <w:rFonts w:hint="eastAsia"/>
          <w:color w:val="auto"/>
          <w:highlight w:val="none"/>
        </w:rPr>
      </w:pPr>
      <w:bookmarkStart w:id="96" w:name="toDeptId"/>
      <w:r>
        <w:rPr>
          <w:rFonts w:hint="eastAsia"/>
          <w:color w:val="auto"/>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96"/>
      <w:r>
        <w:rPr>
          <w:rFonts w:hint="eastAsia"/>
          <w:color w:val="auto"/>
          <w:highlight w:val="none"/>
        </w:rPr>
        <w:t>：</w:t>
      </w:r>
    </w:p>
    <w:p>
      <w:pPr>
        <w:pStyle w:val="15"/>
        <w:shd w:val="clear" w:color="auto" w:fill="FFFFFF"/>
        <w:spacing w:before="0" w:beforeAutospacing="0" w:after="0" w:afterAutospacing="0"/>
        <w:ind w:firstLine="480" w:firstLineChars="200"/>
        <w:rPr>
          <w:rFonts w:hint="eastAsia"/>
          <w:color w:val="auto"/>
          <w:highlight w:val="none"/>
        </w:rPr>
      </w:pPr>
      <w:r>
        <w:rPr>
          <w:rFonts w:hint="eastAsia"/>
          <w:color w:val="auto"/>
          <w:highlight w:val="none"/>
        </w:rPr>
        <w:t>为了发挥政府采购促进残疾人就业的作用，进一步保障残疾人权益，依照《政府采购法》、《残疾人保障法》等法律法规及相关规定，现就促进残疾人就业政府采购政策通知如下：</w:t>
      </w:r>
    </w:p>
    <w:p>
      <w:pPr>
        <w:pStyle w:val="15"/>
        <w:shd w:val="clear" w:color="auto" w:fill="FFFFFF"/>
        <w:spacing w:before="0" w:beforeAutospacing="0" w:after="0" w:afterAutospacing="0"/>
        <w:ind w:firstLine="480" w:firstLineChars="200"/>
        <w:rPr>
          <w:rFonts w:hint="eastAsia"/>
          <w:color w:val="auto"/>
          <w:highlight w:val="none"/>
        </w:rPr>
      </w:pPr>
      <w:r>
        <w:rPr>
          <w:rFonts w:hint="eastAsia"/>
          <w:color w:val="auto"/>
          <w:highlight w:val="none"/>
        </w:rPr>
        <w:t>一、享受政府采购支持政策的残疾人福利性单位应当同时满足以下条件：</w:t>
      </w:r>
    </w:p>
    <w:p>
      <w:pPr>
        <w:pStyle w:val="15"/>
        <w:shd w:val="clear" w:color="auto" w:fill="FFFFFF"/>
        <w:spacing w:before="0" w:beforeAutospacing="0" w:after="0" w:afterAutospacing="0"/>
        <w:ind w:firstLine="480" w:firstLineChars="200"/>
        <w:rPr>
          <w:rFonts w:hint="eastAsia"/>
          <w:color w:val="auto"/>
          <w:highlight w:val="none"/>
        </w:rPr>
      </w:pPr>
      <w:r>
        <w:rPr>
          <w:rFonts w:hint="eastAsia"/>
          <w:color w:val="auto"/>
          <w:highlight w:val="none"/>
        </w:rPr>
        <w:t>（一）安置的残疾人占本单位在职职工人数的比例不低于25%（含25%），并且安置的残疾人人数不少于10人（含10人）；</w:t>
      </w:r>
    </w:p>
    <w:p>
      <w:pPr>
        <w:pStyle w:val="15"/>
        <w:shd w:val="clear" w:color="auto" w:fill="FFFFFF"/>
        <w:spacing w:before="0" w:beforeAutospacing="0" w:after="0" w:afterAutospacing="0"/>
        <w:ind w:firstLine="480" w:firstLineChars="200"/>
        <w:rPr>
          <w:rFonts w:hint="eastAsia"/>
          <w:color w:val="auto"/>
          <w:highlight w:val="none"/>
        </w:rPr>
      </w:pPr>
      <w:r>
        <w:rPr>
          <w:rFonts w:hint="eastAsia"/>
          <w:color w:val="auto"/>
          <w:highlight w:val="none"/>
        </w:rPr>
        <w:t>（二）依法与安置的每位残疾人签订了一年以上（含一年）的劳动合同或服务协议；</w:t>
      </w:r>
    </w:p>
    <w:p>
      <w:pPr>
        <w:pStyle w:val="15"/>
        <w:shd w:val="clear" w:color="auto" w:fill="FFFFFF"/>
        <w:spacing w:before="0" w:beforeAutospacing="0" w:after="0" w:afterAutospacing="0"/>
        <w:ind w:firstLine="480" w:firstLineChars="200"/>
        <w:rPr>
          <w:rFonts w:hint="eastAsia"/>
          <w:color w:val="auto"/>
          <w:highlight w:val="none"/>
        </w:rPr>
      </w:pPr>
      <w:r>
        <w:rPr>
          <w:rFonts w:hint="eastAsia"/>
          <w:color w:val="auto"/>
          <w:highlight w:val="none"/>
        </w:rPr>
        <w:t>（三）为安置的每位残疾人按月足额缴纳了基本养老保险、基本医疗保险、失业保险、工伤保险和生育保险等社会保险费；</w:t>
      </w:r>
    </w:p>
    <w:p>
      <w:pPr>
        <w:pStyle w:val="15"/>
        <w:shd w:val="clear" w:color="auto" w:fill="FFFFFF"/>
        <w:spacing w:before="0" w:beforeAutospacing="0" w:after="0" w:afterAutospacing="0"/>
        <w:ind w:firstLine="480" w:firstLineChars="200"/>
        <w:rPr>
          <w:rFonts w:hint="eastAsia"/>
          <w:color w:val="auto"/>
          <w:highlight w:val="none"/>
        </w:rPr>
      </w:pPr>
      <w:r>
        <w:rPr>
          <w:rFonts w:hint="eastAsia"/>
          <w:color w:val="auto"/>
          <w:highlight w:val="none"/>
        </w:rPr>
        <w:t>（四）通过银行等金融机构向安置的每位残疾人，按月支付了不低于单位所在区县适用的经省级人民政府批准的月最低工资标准的工资；</w:t>
      </w:r>
    </w:p>
    <w:p>
      <w:pPr>
        <w:pStyle w:val="15"/>
        <w:shd w:val="clear" w:color="auto" w:fill="FFFFFF"/>
        <w:spacing w:before="0" w:beforeAutospacing="0" w:after="0" w:afterAutospacing="0"/>
        <w:ind w:firstLine="480" w:firstLineChars="200"/>
        <w:rPr>
          <w:rFonts w:hint="eastAsia"/>
          <w:color w:val="auto"/>
          <w:highlight w:val="none"/>
        </w:rPr>
      </w:pPr>
      <w:r>
        <w:rPr>
          <w:rFonts w:hint="eastAsia"/>
          <w:color w:val="auto"/>
          <w:highlight w:val="none"/>
        </w:rPr>
        <w:t>（五）提供本单位制造的货物、承担的工程或者服务（以下简称产品），或者提供其他残疾人福利性单位制造的货物（不包括使用非残疾人福利性单位注册商标的货物）。</w:t>
      </w:r>
    </w:p>
    <w:p>
      <w:pPr>
        <w:pStyle w:val="15"/>
        <w:shd w:val="clear" w:color="auto" w:fill="FFFFFF"/>
        <w:spacing w:before="0" w:beforeAutospacing="0" w:after="0" w:afterAutospacing="0"/>
        <w:ind w:firstLine="480" w:firstLineChars="200"/>
        <w:rPr>
          <w:rFonts w:hint="eastAsia"/>
          <w:color w:val="auto"/>
          <w:highlight w:val="none"/>
        </w:rPr>
      </w:pPr>
      <w:r>
        <w:rPr>
          <w:rFonts w:hint="eastAsia"/>
          <w:color w:val="auto"/>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5"/>
        <w:shd w:val="clear" w:color="auto" w:fill="FFFFFF"/>
        <w:spacing w:before="0" w:beforeAutospacing="0" w:after="0" w:afterAutospacing="0"/>
        <w:ind w:firstLine="480" w:firstLineChars="200"/>
        <w:rPr>
          <w:rFonts w:hint="eastAsia"/>
          <w:color w:val="auto"/>
          <w:highlight w:val="none"/>
        </w:rPr>
      </w:pPr>
      <w:r>
        <w:rPr>
          <w:rFonts w:hint="eastAsia"/>
          <w:color w:val="auto"/>
          <w:highlight w:val="none"/>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5"/>
        <w:shd w:val="clear" w:color="auto" w:fill="FFFFFF"/>
        <w:spacing w:before="0" w:beforeAutospacing="0" w:after="0" w:afterAutospacing="0"/>
        <w:ind w:firstLine="480" w:firstLineChars="200"/>
        <w:rPr>
          <w:rFonts w:hint="eastAsia"/>
          <w:color w:val="auto"/>
          <w:highlight w:val="none"/>
        </w:rPr>
      </w:pPr>
      <w:r>
        <w:rPr>
          <w:rFonts w:hint="eastAsia"/>
          <w:color w:val="auto"/>
          <w:highlight w:val="none"/>
        </w:rPr>
        <w:t>中标、成交供应商为残疾人福利性单位的，采购人或者其委托的采购代理机构应当随中标、成交结果同时公告其《残疾人福利性单位声明函》，接受社会监督。</w:t>
      </w:r>
    </w:p>
    <w:p>
      <w:pPr>
        <w:pStyle w:val="15"/>
        <w:shd w:val="clear" w:color="auto" w:fill="FFFFFF"/>
        <w:spacing w:before="0" w:beforeAutospacing="0" w:after="0" w:afterAutospacing="0"/>
        <w:ind w:firstLine="480" w:firstLineChars="200"/>
        <w:rPr>
          <w:rFonts w:hint="eastAsia"/>
          <w:color w:val="auto"/>
          <w:highlight w:val="none"/>
        </w:rPr>
      </w:pPr>
      <w:r>
        <w:rPr>
          <w:rFonts w:hint="eastAsia"/>
          <w:color w:val="auto"/>
          <w:highlight w:val="none"/>
        </w:rPr>
        <w:t>供应商提供的《残疾人福利性单位声明函》与事实不符的，依照《政府采购法》第七十七条第一款的规定追究法律责任。</w:t>
      </w:r>
    </w:p>
    <w:p>
      <w:pPr>
        <w:pStyle w:val="15"/>
        <w:shd w:val="clear" w:color="auto" w:fill="FFFFFF"/>
        <w:spacing w:before="0" w:beforeAutospacing="0" w:after="0" w:afterAutospacing="0"/>
        <w:ind w:firstLine="480" w:firstLineChars="200"/>
        <w:rPr>
          <w:rFonts w:hint="eastAsia"/>
          <w:color w:val="auto"/>
          <w:highlight w:val="none"/>
        </w:rPr>
      </w:pPr>
      <w:r>
        <w:rPr>
          <w:rFonts w:hint="eastAsia"/>
          <w:color w:val="auto"/>
          <w:highlight w:val="none"/>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5"/>
        <w:shd w:val="clear" w:color="auto" w:fill="FFFFFF"/>
        <w:spacing w:before="0" w:beforeAutospacing="0" w:after="0" w:afterAutospacing="0"/>
        <w:ind w:firstLine="480" w:firstLineChars="200"/>
        <w:rPr>
          <w:rFonts w:hint="eastAsia"/>
          <w:color w:val="auto"/>
          <w:highlight w:val="none"/>
        </w:rPr>
      </w:pPr>
      <w:r>
        <w:rPr>
          <w:rFonts w:hint="eastAsia"/>
          <w:color w:val="auto"/>
          <w:highlight w:val="none"/>
        </w:rPr>
        <w:t>四、采购人采购公开招标数额标准以上的货物或者服务，因落实促进残疾人就业政策的需要，依法履行有关报批程序后，可采用公开招标以外的采购方式。</w:t>
      </w:r>
    </w:p>
    <w:p>
      <w:pPr>
        <w:pStyle w:val="15"/>
        <w:shd w:val="clear" w:color="auto" w:fill="FFFFFF"/>
        <w:spacing w:before="0" w:beforeAutospacing="0" w:after="0" w:afterAutospacing="0" w:line="560" w:lineRule="exact"/>
        <w:ind w:firstLine="480" w:firstLineChars="200"/>
        <w:rPr>
          <w:rFonts w:hint="eastAsia"/>
          <w:color w:val="auto"/>
          <w:highlight w:val="none"/>
        </w:rPr>
      </w:pPr>
      <w:r>
        <w:rPr>
          <w:rFonts w:hint="eastAsia"/>
          <w:color w:val="auto"/>
          <w:highlight w:val="none"/>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5"/>
        <w:shd w:val="clear" w:color="auto" w:fill="FFFFFF"/>
        <w:spacing w:before="0" w:beforeAutospacing="0" w:after="0" w:afterAutospacing="0" w:line="560" w:lineRule="exact"/>
        <w:ind w:firstLine="480" w:firstLineChars="200"/>
        <w:rPr>
          <w:rFonts w:hint="eastAsia"/>
          <w:color w:val="auto"/>
          <w:highlight w:val="none"/>
        </w:rPr>
      </w:pPr>
      <w:r>
        <w:rPr>
          <w:rFonts w:hint="eastAsia"/>
          <w:color w:val="auto"/>
          <w:highlight w:val="none"/>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5"/>
        <w:shd w:val="clear" w:color="auto" w:fill="FFFFFF"/>
        <w:spacing w:before="0" w:beforeAutospacing="0" w:after="0" w:afterAutospacing="0" w:line="560" w:lineRule="exact"/>
        <w:ind w:firstLine="480" w:firstLineChars="200"/>
        <w:rPr>
          <w:rFonts w:hint="eastAsia"/>
          <w:color w:val="auto"/>
          <w:highlight w:val="none"/>
        </w:rPr>
      </w:pPr>
      <w:r>
        <w:rPr>
          <w:rFonts w:hint="eastAsia"/>
          <w:color w:val="auto"/>
          <w:highlight w:val="none"/>
        </w:rPr>
        <w:t>七、本通知自2017年10月1日起执行。</w:t>
      </w:r>
    </w:p>
    <w:p>
      <w:pPr>
        <w:pStyle w:val="15"/>
        <w:shd w:val="clear" w:color="auto" w:fill="FFFFFF"/>
        <w:spacing w:before="0" w:beforeAutospacing="0" w:after="0" w:afterAutospacing="0" w:line="560" w:lineRule="exact"/>
        <w:ind w:firstLine="480" w:firstLineChars="200"/>
        <w:jc w:val="right"/>
        <w:rPr>
          <w:rFonts w:hint="eastAsia"/>
          <w:color w:val="auto"/>
          <w:highlight w:val="none"/>
        </w:rPr>
      </w:pPr>
      <w:r>
        <w:rPr>
          <w:rFonts w:hint="eastAsia"/>
          <w:color w:val="auto"/>
          <w:highlight w:val="none"/>
        </w:rPr>
        <w:t>财政部 民政部 中国残疾人联合会</w:t>
      </w:r>
    </w:p>
    <w:p>
      <w:pPr>
        <w:pStyle w:val="15"/>
        <w:shd w:val="clear" w:color="auto" w:fill="FFFFFF"/>
        <w:spacing w:before="0" w:beforeAutospacing="0" w:after="0" w:afterAutospacing="0" w:line="560" w:lineRule="exact"/>
        <w:ind w:firstLine="480" w:firstLineChars="200"/>
        <w:jc w:val="right"/>
        <w:rPr>
          <w:rFonts w:hint="eastAsia"/>
          <w:color w:val="auto"/>
          <w:highlight w:val="none"/>
        </w:rPr>
      </w:pPr>
      <w:r>
        <w:rPr>
          <w:rFonts w:hint="eastAsia"/>
          <w:color w:val="auto"/>
          <w:highlight w:val="none"/>
        </w:rPr>
        <w:t>2017年8月22日</w:t>
      </w:r>
    </w:p>
    <w:p>
      <w:pPr>
        <w:pStyle w:val="36"/>
        <w:shd w:val="clear" w:color="auto" w:fill="FFFFFF"/>
        <w:spacing w:before="0" w:beforeAutospacing="0" w:after="0" w:afterAutospacing="0" w:line="560" w:lineRule="exact"/>
        <w:jc w:val="both"/>
        <w:rPr>
          <w:rFonts w:hint="eastAsia"/>
          <w:color w:val="auto"/>
          <w:highlight w:val="none"/>
        </w:rPr>
      </w:pPr>
      <w:r>
        <w:rPr>
          <w:rFonts w:hint="eastAsia"/>
          <w:color w:val="auto"/>
          <w:highlight w:val="none"/>
        </w:rPr>
        <w:t>附件：</w:t>
      </w:r>
    </w:p>
    <w:p>
      <w:pPr>
        <w:pStyle w:val="36"/>
        <w:shd w:val="clear" w:color="auto" w:fill="FFFFFF"/>
        <w:spacing w:before="0" w:beforeAutospacing="0" w:after="0" w:afterAutospacing="0" w:line="560" w:lineRule="exact"/>
        <w:ind w:firstLine="482" w:firstLineChars="200"/>
        <w:jc w:val="center"/>
        <w:rPr>
          <w:rFonts w:hint="eastAsia"/>
          <w:color w:val="auto"/>
          <w:highlight w:val="none"/>
        </w:rPr>
      </w:pPr>
      <w:r>
        <w:rPr>
          <w:rStyle w:val="37"/>
          <w:rFonts w:hint="eastAsia"/>
          <w:b/>
          <w:bCs/>
          <w:color w:val="auto"/>
          <w:highlight w:val="none"/>
        </w:rPr>
        <w:t>残疾人福利性单位声明函</w:t>
      </w:r>
    </w:p>
    <w:p>
      <w:pPr>
        <w:pStyle w:val="36"/>
        <w:shd w:val="clear" w:color="auto" w:fill="FFFFFF"/>
        <w:spacing w:before="0" w:beforeAutospacing="0" w:after="0" w:afterAutospacing="0" w:line="560" w:lineRule="exact"/>
        <w:ind w:firstLine="480" w:firstLineChars="200"/>
        <w:jc w:val="both"/>
        <w:rPr>
          <w:rFonts w:hint="eastAsia"/>
          <w:color w:val="auto"/>
          <w:highlight w:val="none"/>
        </w:rPr>
      </w:pPr>
      <w:r>
        <w:rPr>
          <w:rStyle w:val="37"/>
          <w:rFonts w:hint="eastAsia"/>
          <w:color w:val="auto"/>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6"/>
        <w:shd w:val="clear" w:color="auto" w:fill="FFFFFF"/>
        <w:spacing w:before="0" w:beforeAutospacing="0" w:after="0" w:afterAutospacing="0" w:line="560" w:lineRule="exact"/>
        <w:ind w:firstLine="480" w:firstLineChars="200"/>
        <w:jc w:val="both"/>
        <w:rPr>
          <w:rFonts w:hint="eastAsia"/>
          <w:color w:val="auto"/>
          <w:highlight w:val="none"/>
        </w:rPr>
      </w:pPr>
      <w:r>
        <w:rPr>
          <w:rStyle w:val="37"/>
          <w:rFonts w:hint="eastAsia"/>
          <w:color w:val="auto"/>
          <w:highlight w:val="none"/>
        </w:rPr>
        <w:t>本单位对上述声明的真实性负责。如有虚假，将依法承担相应责任。</w:t>
      </w:r>
    </w:p>
    <w:p>
      <w:pPr>
        <w:pStyle w:val="36"/>
        <w:shd w:val="clear" w:color="auto" w:fill="FFFFFF"/>
        <w:spacing w:before="0" w:beforeAutospacing="0" w:after="0" w:afterAutospacing="0" w:line="560" w:lineRule="exact"/>
        <w:ind w:firstLine="480" w:firstLineChars="200"/>
        <w:jc w:val="both"/>
        <w:rPr>
          <w:rFonts w:hint="eastAsia"/>
          <w:color w:val="auto"/>
          <w:highlight w:val="none"/>
        </w:rPr>
      </w:pPr>
      <w:r>
        <w:rPr>
          <w:rFonts w:hint="eastAsia"/>
          <w:color w:val="auto"/>
          <w:highlight w:val="none"/>
        </w:rPr>
        <w:t>投标人已知悉《关于促进残疾人就业政府采购政策的通知》（财库〔2017〕141 号）的规定，承诺提供的声明函内容是真实的，如提供声明函内容不实，则依法追究相关法律责任。</w:t>
      </w:r>
    </w:p>
    <w:p>
      <w:pPr>
        <w:pStyle w:val="36"/>
        <w:shd w:val="clear" w:color="auto" w:fill="FFFFFF"/>
        <w:spacing w:before="0" w:beforeAutospacing="0" w:after="0" w:afterAutospacing="0" w:line="560" w:lineRule="exact"/>
        <w:ind w:right="2100" w:rightChars="1000"/>
        <w:jc w:val="right"/>
        <w:rPr>
          <w:rFonts w:hint="eastAsia"/>
          <w:color w:val="auto"/>
          <w:highlight w:val="none"/>
        </w:rPr>
      </w:pPr>
      <w:r>
        <w:rPr>
          <w:rStyle w:val="37"/>
          <w:rFonts w:hint="eastAsia"/>
          <w:color w:val="auto"/>
          <w:highlight w:val="none"/>
        </w:rPr>
        <w:t>单位名称（盖章）：</w:t>
      </w:r>
    </w:p>
    <w:p>
      <w:pPr>
        <w:pStyle w:val="36"/>
        <w:shd w:val="clear" w:color="auto" w:fill="FFFFFF"/>
        <w:spacing w:before="0" w:beforeAutospacing="0" w:after="0" w:afterAutospacing="0" w:line="560" w:lineRule="exact"/>
        <w:ind w:right="2100" w:rightChars="1000"/>
        <w:jc w:val="right"/>
        <w:rPr>
          <w:rFonts w:hint="eastAsia"/>
          <w:color w:val="auto"/>
          <w:highlight w:val="none"/>
          <w:lang w:val="fr-CH"/>
        </w:rPr>
      </w:pPr>
      <w:r>
        <w:rPr>
          <w:rStyle w:val="37"/>
          <w:rFonts w:hint="eastAsia"/>
          <w:color w:val="auto"/>
          <w:highlight w:val="none"/>
        </w:rPr>
        <w:t>日 期：</w:t>
      </w:r>
    </w:p>
    <w:p>
      <w:pPr>
        <w:pStyle w:val="31"/>
        <w:rPr>
          <w:color w:val="auto"/>
          <w:highlight w:val="none"/>
          <w:lang w:val="fr-CH"/>
        </w:rPr>
      </w:pPr>
    </w:p>
    <w:p>
      <w:pPr>
        <w:rPr>
          <w:color w:val="auto"/>
          <w:highlight w:val="none"/>
        </w:rPr>
      </w:pPr>
    </w:p>
    <w:sectPr>
      <w:headerReference r:id="rId7" w:type="first"/>
      <w:headerReference r:id="rId5" w:type="default"/>
      <w:headerReference r:id="rId6" w:type="even"/>
      <w:pgSz w:w="11906" w:h="16838"/>
      <w:pgMar w:top="1270" w:right="1803" w:bottom="1288"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0000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2"/>
        <w:rFonts w:ascii="宋体" w:hAnsi="宋体"/>
        <w:sz w:val="28"/>
        <w:szCs w:val="28"/>
      </w:rPr>
      <w:instrText xml:space="preserve">PAGE  </w:instrText>
    </w:r>
    <w:r>
      <w:rPr>
        <w:rFonts w:ascii="宋体" w:hAnsi="宋体"/>
        <w:sz w:val="28"/>
        <w:szCs w:val="28"/>
      </w:rPr>
      <w:fldChar w:fldCharType="separate"/>
    </w:r>
    <w:r>
      <w:rPr>
        <w:rStyle w:val="22"/>
        <w:rFonts w:ascii="宋体" w:hAnsi="宋体"/>
        <w:sz w:val="28"/>
        <w:szCs w:val="28"/>
      </w:rPr>
      <w:t>45</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2"/>
        <w:rFonts w:ascii="宋体" w:hAnsi="宋体"/>
        <w:sz w:val="28"/>
        <w:szCs w:val="28"/>
      </w:rPr>
      <w:instrText xml:space="preserve">PAGE  </w:instrText>
    </w:r>
    <w:r>
      <w:rPr>
        <w:rFonts w:ascii="宋体" w:hAnsi="宋体"/>
        <w:sz w:val="28"/>
        <w:szCs w:val="28"/>
      </w:rPr>
      <w:fldChar w:fldCharType="separate"/>
    </w:r>
    <w:r>
      <w:rPr>
        <w:rStyle w:val="22"/>
        <w:rFonts w:ascii="宋体" w:hAnsi="宋体"/>
        <w:sz w:val="28"/>
        <w:szCs w:val="28"/>
      </w:rPr>
      <w:t>12</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 o:spid="_x0000_s1026" o:spt="136" type="#_x0000_t136" style="position:absolute;left:0pt;height:207.5pt;width:415pt;mso-position-horizontal:center;mso-position-horizontal-relative:margin;mso-position-vertical:center;mso-position-vertical-relative:margin;z-index:-251656192;mso-width-relative:page;mso-height-relative:page;" fillcolor="#000000" filled="t" stroked="f" coordsize="21600,21600">
          <v:path/>
          <v:fill on="t" focussize="0,0"/>
          <v:stroke on="f"/>
          <v:imagedata o:title=""/>
          <o:lock v:ext="edit"/>
          <v:textpath on="t" fitshape="t" fitpath="t" trim="f" xscale="f" string="胡锦鑫20240304" style="font-family:&amp;quot;font-size:8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1025"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胡锦鑫20240304" style="font-family:&amp;quot;font-size:8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C046B"/>
    <w:multiLevelType w:val="singleLevel"/>
    <w:tmpl w:val="83CC046B"/>
    <w:lvl w:ilvl="0" w:tentative="0">
      <w:start w:val="1"/>
      <w:numFmt w:val="decimal"/>
      <w:lvlText w:val="（%1）"/>
      <w:lvlJc w:val="left"/>
      <w:pPr>
        <w:tabs>
          <w:tab w:val="left" w:pos="425"/>
        </w:tabs>
        <w:ind w:left="425" w:hanging="425"/>
      </w:pPr>
      <w:rPr>
        <w:rFonts w:hint="default"/>
      </w:rPr>
    </w:lvl>
  </w:abstractNum>
  <w:abstractNum w:abstractNumId="1">
    <w:nsid w:val="9F737C4C"/>
    <w:multiLevelType w:val="singleLevel"/>
    <w:tmpl w:val="9F737C4C"/>
    <w:lvl w:ilvl="0" w:tentative="0">
      <w:start w:val="1"/>
      <w:numFmt w:val="decimal"/>
      <w:lvlText w:val="（%1）"/>
      <w:lvlJc w:val="left"/>
      <w:pPr>
        <w:tabs>
          <w:tab w:val="left" w:pos="425"/>
        </w:tabs>
        <w:ind w:left="425" w:hanging="425"/>
      </w:pPr>
      <w:rPr>
        <w:rFonts w:hint="default"/>
      </w:rPr>
    </w:lvl>
  </w:abstractNum>
  <w:abstractNum w:abstractNumId="2">
    <w:nsid w:val="A77657F5"/>
    <w:multiLevelType w:val="singleLevel"/>
    <w:tmpl w:val="A77657F5"/>
    <w:lvl w:ilvl="0" w:tentative="0">
      <w:start w:val="1"/>
      <w:numFmt w:val="decimal"/>
      <w:suff w:val="nothing"/>
      <w:lvlText w:val="（%1）"/>
      <w:lvlJc w:val="left"/>
    </w:lvl>
  </w:abstractNum>
  <w:abstractNum w:abstractNumId="3">
    <w:nsid w:val="AFE7CFB2"/>
    <w:multiLevelType w:val="singleLevel"/>
    <w:tmpl w:val="AFE7CFB2"/>
    <w:lvl w:ilvl="0" w:tentative="0">
      <w:start w:val="1"/>
      <w:numFmt w:val="decimal"/>
      <w:lvlText w:val="（%1）"/>
      <w:lvlJc w:val="left"/>
      <w:pPr>
        <w:tabs>
          <w:tab w:val="left" w:pos="425"/>
        </w:tabs>
        <w:ind w:left="425" w:hanging="425"/>
      </w:pPr>
      <w:rPr>
        <w:rFonts w:hint="default"/>
      </w:rPr>
    </w:lvl>
  </w:abstractNum>
  <w:abstractNum w:abstractNumId="4">
    <w:nsid w:val="B60EDFBE"/>
    <w:multiLevelType w:val="singleLevel"/>
    <w:tmpl w:val="B60EDFBE"/>
    <w:lvl w:ilvl="0" w:tentative="0">
      <w:start w:val="1"/>
      <w:numFmt w:val="decimal"/>
      <w:suff w:val="nothing"/>
      <w:lvlText w:val="（%1）"/>
      <w:lvlJc w:val="left"/>
    </w:lvl>
  </w:abstractNum>
  <w:abstractNum w:abstractNumId="5">
    <w:nsid w:val="E7F3638E"/>
    <w:multiLevelType w:val="singleLevel"/>
    <w:tmpl w:val="E7F3638E"/>
    <w:lvl w:ilvl="0" w:tentative="0">
      <w:start w:val="1"/>
      <w:numFmt w:val="chineseCounting"/>
      <w:suff w:val="nothing"/>
      <w:lvlText w:val="%1、"/>
      <w:lvlJc w:val="left"/>
      <w:rPr>
        <w:rFonts w:hint="eastAsia"/>
      </w:rPr>
    </w:lvl>
  </w:abstractNum>
  <w:abstractNum w:abstractNumId="6">
    <w:nsid w:val="EA7F6F02"/>
    <w:multiLevelType w:val="singleLevel"/>
    <w:tmpl w:val="EA7F6F02"/>
    <w:lvl w:ilvl="0" w:tentative="0">
      <w:start w:val="1"/>
      <w:numFmt w:val="chineseCounting"/>
      <w:suff w:val="space"/>
      <w:lvlText w:val="（%1）"/>
      <w:lvlJc w:val="left"/>
      <w:rPr>
        <w:rFonts w:hint="eastAsia"/>
      </w:rPr>
    </w:lvl>
  </w:abstractNum>
  <w:abstractNum w:abstractNumId="7">
    <w:nsid w:val="F44D9858"/>
    <w:multiLevelType w:val="singleLevel"/>
    <w:tmpl w:val="F44D9858"/>
    <w:lvl w:ilvl="0" w:tentative="0">
      <w:start w:val="1"/>
      <w:numFmt w:val="decimal"/>
      <w:lvlText w:val="（%1）"/>
      <w:lvlJc w:val="left"/>
      <w:pPr>
        <w:tabs>
          <w:tab w:val="left" w:pos="425"/>
        </w:tabs>
        <w:ind w:left="425" w:hanging="425"/>
      </w:pPr>
      <w:rPr>
        <w:rFonts w:hint="default"/>
      </w:rPr>
    </w:lvl>
  </w:abstractNum>
  <w:abstractNum w:abstractNumId="8">
    <w:nsid w:val="F8A1E266"/>
    <w:multiLevelType w:val="singleLevel"/>
    <w:tmpl w:val="F8A1E266"/>
    <w:lvl w:ilvl="0" w:tentative="0">
      <w:start w:val="1"/>
      <w:numFmt w:val="decimal"/>
      <w:lvlText w:val="（%1）"/>
      <w:lvlJc w:val="left"/>
      <w:pPr>
        <w:tabs>
          <w:tab w:val="left" w:pos="425"/>
        </w:tabs>
        <w:ind w:left="425" w:hanging="425"/>
      </w:pPr>
      <w:rPr>
        <w:rFonts w:hint="default"/>
      </w:rPr>
    </w:lvl>
  </w:abstractNum>
  <w:abstractNum w:abstractNumId="9">
    <w:nsid w:val="00000009"/>
    <w:multiLevelType w:val="singleLevel"/>
    <w:tmpl w:val="00000009"/>
    <w:lvl w:ilvl="0" w:tentative="0">
      <w:start w:val="1"/>
      <w:numFmt w:val="chineseCounting"/>
      <w:suff w:val="nothing"/>
      <w:lvlText w:val="%1、"/>
      <w:lvlJc w:val="left"/>
    </w:lvl>
  </w:abstractNum>
  <w:abstractNum w:abstractNumId="10">
    <w:nsid w:val="200A2FAF"/>
    <w:multiLevelType w:val="singleLevel"/>
    <w:tmpl w:val="200A2FAF"/>
    <w:lvl w:ilvl="0" w:tentative="0">
      <w:start w:val="5"/>
      <w:numFmt w:val="decimal"/>
      <w:suff w:val="nothing"/>
      <w:lvlText w:val="（%1）"/>
      <w:lvlJc w:val="left"/>
    </w:lvl>
  </w:abstractNum>
  <w:abstractNum w:abstractNumId="11">
    <w:nsid w:val="418A3D68"/>
    <w:multiLevelType w:val="singleLevel"/>
    <w:tmpl w:val="418A3D68"/>
    <w:lvl w:ilvl="0" w:tentative="0">
      <w:start w:val="1"/>
      <w:numFmt w:val="decimal"/>
      <w:lvlText w:val="(%1)"/>
      <w:lvlJc w:val="left"/>
      <w:pPr>
        <w:tabs>
          <w:tab w:val="left" w:pos="-420"/>
        </w:tabs>
        <w:ind w:left="5" w:hanging="425"/>
      </w:pPr>
      <w:rPr>
        <w:rFonts w:hint="default"/>
      </w:rPr>
    </w:lvl>
  </w:abstractNum>
  <w:abstractNum w:abstractNumId="12">
    <w:nsid w:val="435840A3"/>
    <w:multiLevelType w:val="multilevel"/>
    <w:tmpl w:val="435840A3"/>
    <w:lvl w:ilvl="0" w:tentative="0">
      <w:start w:val="1"/>
      <w:numFmt w:val="decimal"/>
      <w:lvlText w:val="%1."/>
      <w:lvlJc w:val="left"/>
      <w:pPr>
        <w:ind w:left="422" w:hanging="420"/>
      </w:p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13">
    <w:nsid w:val="5B1CD88C"/>
    <w:multiLevelType w:val="singleLevel"/>
    <w:tmpl w:val="5B1CD88C"/>
    <w:lvl w:ilvl="0" w:tentative="0">
      <w:start w:val="1"/>
      <w:numFmt w:val="decimal"/>
      <w:suff w:val="nothing"/>
      <w:lvlText w:val="%1．"/>
      <w:lvlJc w:val="left"/>
      <w:pPr>
        <w:ind w:left="0" w:firstLine="400"/>
      </w:pPr>
      <w:rPr>
        <w:rFonts w:hint="default"/>
      </w:rPr>
    </w:lvl>
  </w:abstractNum>
  <w:abstractNum w:abstractNumId="14">
    <w:nsid w:val="5D7828B9"/>
    <w:multiLevelType w:val="singleLevel"/>
    <w:tmpl w:val="5D7828B9"/>
    <w:lvl w:ilvl="0" w:tentative="0">
      <w:start w:val="1"/>
      <w:numFmt w:val="decimal"/>
      <w:lvlText w:val="（%1）"/>
      <w:lvlJc w:val="left"/>
      <w:pPr>
        <w:tabs>
          <w:tab w:val="left" w:pos="425"/>
        </w:tabs>
        <w:ind w:left="425" w:hanging="425"/>
      </w:pPr>
      <w:rPr>
        <w:rFonts w:hint="default"/>
      </w:rPr>
    </w:lvl>
  </w:abstractNum>
  <w:abstractNum w:abstractNumId="15">
    <w:nsid w:val="690712C7"/>
    <w:multiLevelType w:val="singleLevel"/>
    <w:tmpl w:val="690712C7"/>
    <w:lvl w:ilvl="0" w:tentative="0">
      <w:start w:val="1"/>
      <w:numFmt w:val="decimal"/>
      <w:suff w:val="space"/>
      <w:lvlText w:val="%1."/>
      <w:lvlJc w:val="left"/>
    </w:lvl>
  </w:abstractNum>
  <w:abstractNum w:abstractNumId="16">
    <w:nsid w:val="73909F14"/>
    <w:multiLevelType w:val="singleLevel"/>
    <w:tmpl w:val="73909F14"/>
    <w:lvl w:ilvl="0" w:tentative="0">
      <w:start w:val="2"/>
      <w:numFmt w:val="decimal"/>
      <w:suff w:val="nothing"/>
      <w:lvlText w:val="%1、"/>
      <w:lvlJc w:val="left"/>
    </w:lvl>
  </w:abstractNum>
  <w:abstractNum w:abstractNumId="17">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17"/>
  </w:num>
  <w:num w:numId="2">
    <w:abstractNumId w:val="4"/>
  </w:num>
  <w:num w:numId="3">
    <w:abstractNumId w:val="2"/>
  </w:num>
  <w:num w:numId="4">
    <w:abstractNumId w:val="11"/>
  </w:num>
  <w:num w:numId="5">
    <w:abstractNumId w:val="9"/>
  </w:num>
  <w:num w:numId="6">
    <w:abstractNumId w:val="15"/>
  </w:num>
  <w:num w:numId="7">
    <w:abstractNumId w:val="5"/>
  </w:num>
  <w:num w:numId="8">
    <w:abstractNumId w:val="16"/>
  </w:num>
  <w:num w:numId="9">
    <w:abstractNumId w:val="12"/>
  </w:num>
  <w:num w:numId="10">
    <w:abstractNumId w:val="6"/>
  </w:num>
  <w:num w:numId="11">
    <w:abstractNumId w:val="3"/>
  </w:num>
  <w:num w:numId="12">
    <w:abstractNumId w:val="7"/>
  </w:num>
  <w:num w:numId="13">
    <w:abstractNumId w:val="1"/>
  </w:num>
  <w:num w:numId="14">
    <w:abstractNumId w:val="0"/>
  </w:num>
  <w:num w:numId="15">
    <w:abstractNumId w:val="8"/>
  </w:num>
  <w:num w:numId="16">
    <w:abstractNumId w:val="13"/>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removePersonalInformation/>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YjIwYTFkMDUyN2RmOGI2OTNiMWRjYmY5MjBlYTUifQ=="/>
    <w:docVar w:name="KSO_WPS_MARK_KEY" w:val="6c52a594-fa24-4eda-8bdf-1df5baad3362"/>
  </w:docVars>
  <w:rsids>
    <w:rsidRoot w:val="6F152D9A"/>
    <w:rsid w:val="00002D9F"/>
    <w:rsid w:val="00024419"/>
    <w:rsid w:val="000404DC"/>
    <w:rsid w:val="000821F1"/>
    <w:rsid w:val="001109FF"/>
    <w:rsid w:val="001F7F7E"/>
    <w:rsid w:val="00291AA1"/>
    <w:rsid w:val="00304654"/>
    <w:rsid w:val="00304B53"/>
    <w:rsid w:val="003168D7"/>
    <w:rsid w:val="00350E7B"/>
    <w:rsid w:val="0046340A"/>
    <w:rsid w:val="004819BA"/>
    <w:rsid w:val="004B5B75"/>
    <w:rsid w:val="004E616D"/>
    <w:rsid w:val="00576960"/>
    <w:rsid w:val="00591ED4"/>
    <w:rsid w:val="005A21D6"/>
    <w:rsid w:val="005B3EB6"/>
    <w:rsid w:val="006A5E20"/>
    <w:rsid w:val="007743C7"/>
    <w:rsid w:val="00785F49"/>
    <w:rsid w:val="007F6682"/>
    <w:rsid w:val="00832935"/>
    <w:rsid w:val="008538C3"/>
    <w:rsid w:val="00870BFD"/>
    <w:rsid w:val="008E095A"/>
    <w:rsid w:val="00924AE0"/>
    <w:rsid w:val="00976355"/>
    <w:rsid w:val="00984255"/>
    <w:rsid w:val="009C337D"/>
    <w:rsid w:val="009D033E"/>
    <w:rsid w:val="009E70F5"/>
    <w:rsid w:val="009F1B47"/>
    <w:rsid w:val="00A73F84"/>
    <w:rsid w:val="00A81D22"/>
    <w:rsid w:val="00A955D9"/>
    <w:rsid w:val="00AC7D6D"/>
    <w:rsid w:val="00BE0740"/>
    <w:rsid w:val="00BF1095"/>
    <w:rsid w:val="00C33D8C"/>
    <w:rsid w:val="00C7677C"/>
    <w:rsid w:val="00CA5316"/>
    <w:rsid w:val="00D2452C"/>
    <w:rsid w:val="00D266A7"/>
    <w:rsid w:val="00DE5743"/>
    <w:rsid w:val="00DF15AF"/>
    <w:rsid w:val="00E6198E"/>
    <w:rsid w:val="00F3460E"/>
    <w:rsid w:val="00F52A8D"/>
    <w:rsid w:val="00F80C5D"/>
    <w:rsid w:val="00F87FEB"/>
    <w:rsid w:val="00FC1BE0"/>
    <w:rsid w:val="01070590"/>
    <w:rsid w:val="011D7606"/>
    <w:rsid w:val="01211AD4"/>
    <w:rsid w:val="012952B3"/>
    <w:rsid w:val="012B1DC1"/>
    <w:rsid w:val="013B4944"/>
    <w:rsid w:val="0140411C"/>
    <w:rsid w:val="014E4E03"/>
    <w:rsid w:val="0159301C"/>
    <w:rsid w:val="01623C7B"/>
    <w:rsid w:val="01683444"/>
    <w:rsid w:val="017E0CD4"/>
    <w:rsid w:val="018C0929"/>
    <w:rsid w:val="018F6A3E"/>
    <w:rsid w:val="019978BC"/>
    <w:rsid w:val="01AA3877"/>
    <w:rsid w:val="01AF6971"/>
    <w:rsid w:val="01B12E58"/>
    <w:rsid w:val="01B8192A"/>
    <w:rsid w:val="01BA0A50"/>
    <w:rsid w:val="01CC1A40"/>
    <w:rsid w:val="01E27A17"/>
    <w:rsid w:val="022618D2"/>
    <w:rsid w:val="02274EC8"/>
    <w:rsid w:val="02306473"/>
    <w:rsid w:val="023A5F04"/>
    <w:rsid w:val="02555717"/>
    <w:rsid w:val="026305F6"/>
    <w:rsid w:val="02685C0C"/>
    <w:rsid w:val="02881E0B"/>
    <w:rsid w:val="02947948"/>
    <w:rsid w:val="02A92B78"/>
    <w:rsid w:val="02AD5464"/>
    <w:rsid w:val="02CB7F49"/>
    <w:rsid w:val="02CC7BBA"/>
    <w:rsid w:val="02DC6BB1"/>
    <w:rsid w:val="02DE4536"/>
    <w:rsid w:val="02EB738D"/>
    <w:rsid w:val="02ED48BF"/>
    <w:rsid w:val="031134B4"/>
    <w:rsid w:val="031C47EB"/>
    <w:rsid w:val="0334777F"/>
    <w:rsid w:val="0341645D"/>
    <w:rsid w:val="03634626"/>
    <w:rsid w:val="036D53D0"/>
    <w:rsid w:val="0375269E"/>
    <w:rsid w:val="0375603F"/>
    <w:rsid w:val="037A0E7B"/>
    <w:rsid w:val="038A0222"/>
    <w:rsid w:val="03990047"/>
    <w:rsid w:val="03A82039"/>
    <w:rsid w:val="03BE360A"/>
    <w:rsid w:val="03D96696"/>
    <w:rsid w:val="03DD6186"/>
    <w:rsid w:val="03DF1EFE"/>
    <w:rsid w:val="03E219EE"/>
    <w:rsid w:val="03EC2D32"/>
    <w:rsid w:val="03F5191B"/>
    <w:rsid w:val="040556DD"/>
    <w:rsid w:val="04137DFA"/>
    <w:rsid w:val="04152DE3"/>
    <w:rsid w:val="041A1188"/>
    <w:rsid w:val="04213AC4"/>
    <w:rsid w:val="042277B0"/>
    <w:rsid w:val="0433224A"/>
    <w:rsid w:val="043343BF"/>
    <w:rsid w:val="044004C3"/>
    <w:rsid w:val="0442248D"/>
    <w:rsid w:val="04474B37"/>
    <w:rsid w:val="04567CE7"/>
    <w:rsid w:val="04724631"/>
    <w:rsid w:val="049E5173"/>
    <w:rsid w:val="04A005CC"/>
    <w:rsid w:val="04A35474"/>
    <w:rsid w:val="04A40A52"/>
    <w:rsid w:val="04B50EB1"/>
    <w:rsid w:val="04C63705"/>
    <w:rsid w:val="04C9495C"/>
    <w:rsid w:val="04E377CC"/>
    <w:rsid w:val="04FF037E"/>
    <w:rsid w:val="05062697"/>
    <w:rsid w:val="051A4FE6"/>
    <w:rsid w:val="052E47BF"/>
    <w:rsid w:val="053973EC"/>
    <w:rsid w:val="054239F3"/>
    <w:rsid w:val="054B35C3"/>
    <w:rsid w:val="055E50A5"/>
    <w:rsid w:val="05695981"/>
    <w:rsid w:val="056D52E8"/>
    <w:rsid w:val="057C4BBE"/>
    <w:rsid w:val="057E6B51"/>
    <w:rsid w:val="05804BC2"/>
    <w:rsid w:val="058E7EB0"/>
    <w:rsid w:val="0594022D"/>
    <w:rsid w:val="05A940DA"/>
    <w:rsid w:val="05C80C71"/>
    <w:rsid w:val="05CD1439"/>
    <w:rsid w:val="05D74AE1"/>
    <w:rsid w:val="05D9775C"/>
    <w:rsid w:val="06336033"/>
    <w:rsid w:val="068A098C"/>
    <w:rsid w:val="069E458D"/>
    <w:rsid w:val="06A74AA2"/>
    <w:rsid w:val="06BC14B2"/>
    <w:rsid w:val="06BE2A9A"/>
    <w:rsid w:val="06C44D16"/>
    <w:rsid w:val="06C50397"/>
    <w:rsid w:val="06CC4290"/>
    <w:rsid w:val="06D00EEB"/>
    <w:rsid w:val="06D51397"/>
    <w:rsid w:val="06E23AB3"/>
    <w:rsid w:val="06E332E1"/>
    <w:rsid w:val="06F30D45"/>
    <w:rsid w:val="06F32700"/>
    <w:rsid w:val="07046BC9"/>
    <w:rsid w:val="070D6D82"/>
    <w:rsid w:val="070E3767"/>
    <w:rsid w:val="07235607"/>
    <w:rsid w:val="072A7934"/>
    <w:rsid w:val="072D6233"/>
    <w:rsid w:val="072F63A4"/>
    <w:rsid w:val="07397904"/>
    <w:rsid w:val="07521B5C"/>
    <w:rsid w:val="07593D76"/>
    <w:rsid w:val="0769037B"/>
    <w:rsid w:val="07787DB5"/>
    <w:rsid w:val="077961C6"/>
    <w:rsid w:val="079648D0"/>
    <w:rsid w:val="07994850"/>
    <w:rsid w:val="07AA45D1"/>
    <w:rsid w:val="07AC659B"/>
    <w:rsid w:val="07B13BB2"/>
    <w:rsid w:val="07CB4548"/>
    <w:rsid w:val="07E75482"/>
    <w:rsid w:val="07E8334B"/>
    <w:rsid w:val="07FD54F6"/>
    <w:rsid w:val="080A32D3"/>
    <w:rsid w:val="08206FE1"/>
    <w:rsid w:val="082A04D3"/>
    <w:rsid w:val="0831141B"/>
    <w:rsid w:val="08497AA6"/>
    <w:rsid w:val="087C541A"/>
    <w:rsid w:val="088300A5"/>
    <w:rsid w:val="088F5575"/>
    <w:rsid w:val="08920DDF"/>
    <w:rsid w:val="08950582"/>
    <w:rsid w:val="08CA6A34"/>
    <w:rsid w:val="08CE609D"/>
    <w:rsid w:val="08D57956"/>
    <w:rsid w:val="08E57A87"/>
    <w:rsid w:val="08E92ED7"/>
    <w:rsid w:val="08F43C68"/>
    <w:rsid w:val="090306E4"/>
    <w:rsid w:val="090931C4"/>
    <w:rsid w:val="090A34E0"/>
    <w:rsid w:val="090C38B9"/>
    <w:rsid w:val="09300B06"/>
    <w:rsid w:val="093305F6"/>
    <w:rsid w:val="09336848"/>
    <w:rsid w:val="093822B1"/>
    <w:rsid w:val="09491BC8"/>
    <w:rsid w:val="09575898"/>
    <w:rsid w:val="09592469"/>
    <w:rsid w:val="09695D52"/>
    <w:rsid w:val="096F55F7"/>
    <w:rsid w:val="097B41C8"/>
    <w:rsid w:val="097D1872"/>
    <w:rsid w:val="09823515"/>
    <w:rsid w:val="09A42169"/>
    <w:rsid w:val="09AF2373"/>
    <w:rsid w:val="09C84ED3"/>
    <w:rsid w:val="09F33C46"/>
    <w:rsid w:val="09F77876"/>
    <w:rsid w:val="0A0C5A96"/>
    <w:rsid w:val="0A2A768E"/>
    <w:rsid w:val="0A3B3C06"/>
    <w:rsid w:val="0A466A41"/>
    <w:rsid w:val="0A570F70"/>
    <w:rsid w:val="0A5B7D15"/>
    <w:rsid w:val="0A5E16A3"/>
    <w:rsid w:val="0A602146"/>
    <w:rsid w:val="0A6A44EC"/>
    <w:rsid w:val="0A7809B7"/>
    <w:rsid w:val="0A896457"/>
    <w:rsid w:val="0A8A693C"/>
    <w:rsid w:val="0A97236A"/>
    <w:rsid w:val="0A99092D"/>
    <w:rsid w:val="0AA51080"/>
    <w:rsid w:val="0AA72E75"/>
    <w:rsid w:val="0AB80AEB"/>
    <w:rsid w:val="0AB85257"/>
    <w:rsid w:val="0ACC485F"/>
    <w:rsid w:val="0AD731CB"/>
    <w:rsid w:val="0AE20526"/>
    <w:rsid w:val="0B0C40B2"/>
    <w:rsid w:val="0B140280"/>
    <w:rsid w:val="0B246449"/>
    <w:rsid w:val="0B260413"/>
    <w:rsid w:val="0B352F5D"/>
    <w:rsid w:val="0B445AA4"/>
    <w:rsid w:val="0B7B37EB"/>
    <w:rsid w:val="0B860EB1"/>
    <w:rsid w:val="0B925AA8"/>
    <w:rsid w:val="0B984E94"/>
    <w:rsid w:val="0BAB25C9"/>
    <w:rsid w:val="0BAE21B6"/>
    <w:rsid w:val="0BAF665A"/>
    <w:rsid w:val="0BB275A6"/>
    <w:rsid w:val="0BB91DF1"/>
    <w:rsid w:val="0BCB4B16"/>
    <w:rsid w:val="0BCB6B7E"/>
    <w:rsid w:val="0BD240F7"/>
    <w:rsid w:val="0BD31C1D"/>
    <w:rsid w:val="0BE62205"/>
    <w:rsid w:val="0BF92B66"/>
    <w:rsid w:val="0C115BEF"/>
    <w:rsid w:val="0C2B0B3A"/>
    <w:rsid w:val="0C3E38D0"/>
    <w:rsid w:val="0C45359F"/>
    <w:rsid w:val="0C68338A"/>
    <w:rsid w:val="0C70493E"/>
    <w:rsid w:val="0C7A124E"/>
    <w:rsid w:val="0C822ACA"/>
    <w:rsid w:val="0C946488"/>
    <w:rsid w:val="0CAB21EE"/>
    <w:rsid w:val="0CAC4948"/>
    <w:rsid w:val="0CB0538F"/>
    <w:rsid w:val="0CB70393"/>
    <w:rsid w:val="0CBB0F79"/>
    <w:rsid w:val="0CBB2DDD"/>
    <w:rsid w:val="0CCE0642"/>
    <w:rsid w:val="0CE56A55"/>
    <w:rsid w:val="0CEF0CD8"/>
    <w:rsid w:val="0CF956B3"/>
    <w:rsid w:val="0CFA3905"/>
    <w:rsid w:val="0D0429D6"/>
    <w:rsid w:val="0D046532"/>
    <w:rsid w:val="0D1954AC"/>
    <w:rsid w:val="0D1F336B"/>
    <w:rsid w:val="0D200E92"/>
    <w:rsid w:val="0D2C7836"/>
    <w:rsid w:val="0D31309F"/>
    <w:rsid w:val="0D396D82"/>
    <w:rsid w:val="0D3F1CF7"/>
    <w:rsid w:val="0D4402D3"/>
    <w:rsid w:val="0D447276"/>
    <w:rsid w:val="0D5374B9"/>
    <w:rsid w:val="0D5C54A5"/>
    <w:rsid w:val="0D624FA8"/>
    <w:rsid w:val="0D6E7E4F"/>
    <w:rsid w:val="0D7E4CC4"/>
    <w:rsid w:val="0D9B4B4C"/>
    <w:rsid w:val="0D9F3011"/>
    <w:rsid w:val="0DC34AA9"/>
    <w:rsid w:val="0DD46C7B"/>
    <w:rsid w:val="0DD67766"/>
    <w:rsid w:val="0DDA3736"/>
    <w:rsid w:val="0DDC6E3D"/>
    <w:rsid w:val="0DF052B3"/>
    <w:rsid w:val="0E01691E"/>
    <w:rsid w:val="0E303356"/>
    <w:rsid w:val="0E3C1CFB"/>
    <w:rsid w:val="0E430BBB"/>
    <w:rsid w:val="0E4B0853"/>
    <w:rsid w:val="0E59465B"/>
    <w:rsid w:val="0E6800DA"/>
    <w:rsid w:val="0E731448"/>
    <w:rsid w:val="0E745939"/>
    <w:rsid w:val="0E9953A0"/>
    <w:rsid w:val="0EA37FCC"/>
    <w:rsid w:val="0EA53D44"/>
    <w:rsid w:val="0EA77ABC"/>
    <w:rsid w:val="0EB6623E"/>
    <w:rsid w:val="0EB66783"/>
    <w:rsid w:val="0EB86C56"/>
    <w:rsid w:val="0EC73CBB"/>
    <w:rsid w:val="0ED40186"/>
    <w:rsid w:val="0EDC703A"/>
    <w:rsid w:val="0EDF7256"/>
    <w:rsid w:val="0EE83D6C"/>
    <w:rsid w:val="0EE85080"/>
    <w:rsid w:val="0EEE550D"/>
    <w:rsid w:val="0F18170A"/>
    <w:rsid w:val="0F274759"/>
    <w:rsid w:val="0F2A5DFB"/>
    <w:rsid w:val="0F3570A3"/>
    <w:rsid w:val="0F474BA3"/>
    <w:rsid w:val="0F601A19"/>
    <w:rsid w:val="0F6063AF"/>
    <w:rsid w:val="0F670FFA"/>
    <w:rsid w:val="0F7D081D"/>
    <w:rsid w:val="0F8605B0"/>
    <w:rsid w:val="0F932761"/>
    <w:rsid w:val="0FAC4C5F"/>
    <w:rsid w:val="0FB3724D"/>
    <w:rsid w:val="0FDF48E7"/>
    <w:rsid w:val="0FE254EF"/>
    <w:rsid w:val="0FE96BFE"/>
    <w:rsid w:val="0FF5D091"/>
    <w:rsid w:val="0FF73826"/>
    <w:rsid w:val="0FFF663B"/>
    <w:rsid w:val="10134CDE"/>
    <w:rsid w:val="102C5B1A"/>
    <w:rsid w:val="102D2243"/>
    <w:rsid w:val="103120FF"/>
    <w:rsid w:val="10365E2E"/>
    <w:rsid w:val="10394744"/>
    <w:rsid w:val="105B0B5E"/>
    <w:rsid w:val="105B405A"/>
    <w:rsid w:val="105E064F"/>
    <w:rsid w:val="10634BF3"/>
    <w:rsid w:val="10655A74"/>
    <w:rsid w:val="10661611"/>
    <w:rsid w:val="10686DD7"/>
    <w:rsid w:val="10792762"/>
    <w:rsid w:val="10795E9B"/>
    <w:rsid w:val="10813049"/>
    <w:rsid w:val="10857989"/>
    <w:rsid w:val="108B0D18"/>
    <w:rsid w:val="108B4148"/>
    <w:rsid w:val="10B0301F"/>
    <w:rsid w:val="10B40C48"/>
    <w:rsid w:val="10DB1C9F"/>
    <w:rsid w:val="10EA0134"/>
    <w:rsid w:val="10F30D61"/>
    <w:rsid w:val="10FB7C09"/>
    <w:rsid w:val="111B2557"/>
    <w:rsid w:val="112A3AAF"/>
    <w:rsid w:val="1130036A"/>
    <w:rsid w:val="113F222E"/>
    <w:rsid w:val="116E61A6"/>
    <w:rsid w:val="117D68B3"/>
    <w:rsid w:val="11933975"/>
    <w:rsid w:val="119473B4"/>
    <w:rsid w:val="119F4A7B"/>
    <w:rsid w:val="11C113C0"/>
    <w:rsid w:val="11CF6607"/>
    <w:rsid w:val="11D42AA6"/>
    <w:rsid w:val="11DC5CCF"/>
    <w:rsid w:val="11E20E0C"/>
    <w:rsid w:val="11E60541"/>
    <w:rsid w:val="11E626AA"/>
    <w:rsid w:val="11E64EC6"/>
    <w:rsid w:val="11FE3E97"/>
    <w:rsid w:val="1209283C"/>
    <w:rsid w:val="12220029"/>
    <w:rsid w:val="123376EC"/>
    <w:rsid w:val="12431D83"/>
    <w:rsid w:val="12437AFC"/>
    <w:rsid w:val="12522CB6"/>
    <w:rsid w:val="125B755A"/>
    <w:rsid w:val="125C6E10"/>
    <w:rsid w:val="12723F3D"/>
    <w:rsid w:val="12771554"/>
    <w:rsid w:val="12820336"/>
    <w:rsid w:val="128B66A0"/>
    <w:rsid w:val="12AA7B7B"/>
    <w:rsid w:val="12D149BF"/>
    <w:rsid w:val="12D65CA8"/>
    <w:rsid w:val="12E0359D"/>
    <w:rsid w:val="12E91C37"/>
    <w:rsid w:val="12FC6E07"/>
    <w:rsid w:val="13000F86"/>
    <w:rsid w:val="13021765"/>
    <w:rsid w:val="130D18FD"/>
    <w:rsid w:val="130F4553"/>
    <w:rsid w:val="13160D6D"/>
    <w:rsid w:val="13242E4C"/>
    <w:rsid w:val="13426006"/>
    <w:rsid w:val="13441D7E"/>
    <w:rsid w:val="13623D17"/>
    <w:rsid w:val="1369544C"/>
    <w:rsid w:val="137139FA"/>
    <w:rsid w:val="1373154F"/>
    <w:rsid w:val="13732C15"/>
    <w:rsid w:val="137B2173"/>
    <w:rsid w:val="137FA8DD"/>
    <w:rsid w:val="138A5087"/>
    <w:rsid w:val="13951544"/>
    <w:rsid w:val="139B74C4"/>
    <w:rsid w:val="13A1291C"/>
    <w:rsid w:val="13CE1647"/>
    <w:rsid w:val="13D76995"/>
    <w:rsid w:val="13DA0C71"/>
    <w:rsid w:val="13E90B4A"/>
    <w:rsid w:val="13F57F6C"/>
    <w:rsid w:val="14096B23"/>
    <w:rsid w:val="140E7C96"/>
    <w:rsid w:val="14207760"/>
    <w:rsid w:val="14263231"/>
    <w:rsid w:val="142C0FF0"/>
    <w:rsid w:val="142C7B60"/>
    <w:rsid w:val="14362E80"/>
    <w:rsid w:val="144E5BAF"/>
    <w:rsid w:val="145911D3"/>
    <w:rsid w:val="145B077C"/>
    <w:rsid w:val="14691987"/>
    <w:rsid w:val="146A5583"/>
    <w:rsid w:val="146A69C0"/>
    <w:rsid w:val="14721A72"/>
    <w:rsid w:val="147D7C24"/>
    <w:rsid w:val="148E53CB"/>
    <w:rsid w:val="148F7029"/>
    <w:rsid w:val="14904B4F"/>
    <w:rsid w:val="149363ED"/>
    <w:rsid w:val="149A5B83"/>
    <w:rsid w:val="14BE346A"/>
    <w:rsid w:val="14C64A14"/>
    <w:rsid w:val="14CF4106"/>
    <w:rsid w:val="14D17C89"/>
    <w:rsid w:val="14D83808"/>
    <w:rsid w:val="14D94748"/>
    <w:rsid w:val="14FE7D0A"/>
    <w:rsid w:val="15153347"/>
    <w:rsid w:val="1528122B"/>
    <w:rsid w:val="15293404"/>
    <w:rsid w:val="152D2403"/>
    <w:rsid w:val="15334DC3"/>
    <w:rsid w:val="15347304"/>
    <w:rsid w:val="15392B59"/>
    <w:rsid w:val="153B4ABB"/>
    <w:rsid w:val="15567B46"/>
    <w:rsid w:val="15610299"/>
    <w:rsid w:val="1569013A"/>
    <w:rsid w:val="15897F1C"/>
    <w:rsid w:val="1597466A"/>
    <w:rsid w:val="15A52514"/>
    <w:rsid w:val="15BC1451"/>
    <w:rsid w:val="15C70A44"/>
    <w:rsid w:val="15E05662"/>
    <w:rsid w:val="15F12E86"/>
    <w:rsid w:val="16027A14"/>
    <w:rsid w:val="160C1181"/>
    <w:rsid w:val="162A366D"/>
    <w:rsid w:val="16322361"/>
    <w:rsid w:val="1633052E"/>
    <w:rsid w:val="163F247B"/>
    <w:rsid w:val="164B3423"/>
    <w:rsid w:val="16610551"/>
    <w:rsid w:val="167A7865"/>
    <w:rsid w:val="16817906"/>
    <w:rsid w:val="16B46578"/>
    <w:rsid w:val="16C3745D"/>
    <w:rsid w:val="16C52AF8"/>
    <w:rsid w:val="16CF7BB0"/>
    <w:rsid w:val="16D8450A"/>
    <w:rsid w:val="16E62092"/>
    <w:rsid w:val="17033CFE"/>
    <w:rsid w:val="171D5762"/>
    <w:rsid w:val="171F4A71"/>
    <w:rsid w:val="1732767F"/>
    <w:rsid w:val="17361B83"/>
    <w:rsid w:val="17396DCE"/>
    <w:rsid w:val="173F4503"/>
    <w:rsid w:val="174A0D2D"/>
    <w:rsid w:val="176431CF"/>
    <w:rsid w:val="178A03DE"/>
    <w:rsid w:val="17A322AC"/>
    <w:rsid w:val="17A4103D"/>
    <w:rsid w:val="17B01E78"/>
    <w:rsid w:val="17C70A77"/>
    <w:rsid w:val="17EC24A9"/>
    <w:rsid w:val="17EE22B8"/>
    <w:rsid w:val="17FD60AF"/>
    <w:rsid w:val="180C2F5C"/>
    <w:rsid w:val="180D7774"/>
    <w:rsid w:val="181C38DF"/>
    <w:rsid w:val="184B770B"/>
    <w:rsid w:val="184F0D8B"/>
    <w:rsid w:val="18695253"/>
    <w:rsid w:val="186A4456"/>
    <w:rsid w:val="18822A00"/>
    <w:rsid w:val="18A72F8C"/>
    <w:rsid w:val="18B169F7"/>
    <w:rsid w:val="18C46036"/>
    <w:rsid w:val="18D25736"/>
    <w:rsid w:val="18E667DE"/>
    <w:rsid w:val="19045FB6"/>
    <w:rsid w:val="190B1AB7"/>
    <w:rsid w:val="190E1E92"/>
    <w:rsid w:val="190E4E8A"/>
    <w:rsid w:val="191E2C88"/>
    <w:rsid w:val="191E47AE"/>
    <w:rsid w:val="19213D00"/>
    <w:rsid w:val="192E19B5"/>
    <w:rsid w:val="193E2DCB"/>
    <w:rsid w:val="194A5C14"/>
    <w:rsid w:val="194B4539"/>
    <w:rsid w:val="19524450"/>
    <w:rsid w:val="195A7AB6"/>
    <w:rsid w:val="19677F5C"/>
    <w:rsid w:val="196D6F0D"/>
    <w:rsid w:val="198729C4"/>
    <w:rsid w:val="199367A5"/>
    <w:rsid w:val="199FA76B"/>
    <w:rsid w:val="19A15F01"/>
    <w:rsid w:val="19A170D7"/>
    <w:rsid w:val="19A8293B"/>
    <w:rsid w:val="19AA0461"/>
    <w:rsid w:val="19B1216E"/>
    <w:rsid w:val="19C137C8"/>
    <w:rsid w:val="19D63004"/>
    <w:rsid w:val="19ED121F"/>
    <w:rsid w:val="19EF3664"/>
    <w:rsid w:val="1A0256C7"/>
    <w:rsid w:val="1A0F6EBC"/>
    <w:rsid w:val="1A1D6E85"/>
    <w:rsid w:val="1A3C3E2A"/>
    <w:rsid w:val="1A3D12D5"/>
    <w:rsid w:val="1A571CAA"/>
    <w:rsid w:val="1A680537"/>
    <w:rsid w:val="1A8A3DEE"/>
    <w:rsid w:val="1A8E78C8"/>
    <w:rsid w:val="1A914D5C"/>
    <w:rsid w:val="1A9609E5"/>
    <w:rsid w:val="1A9A2283"/>
    <w:rsid w:val="1A9B5FFB"/>
    <w:rsid w:val="1AAE5E28"/>
    <w:rsid w:val="1AC27A2C"/>
    <w:rsid w:val="1AD46734"/>
    <w:rsid w:val="1AD87250"/>
    <w:rsid w:val="1ADF413A"/>
    <w:rsid w:val="1AED4941"/>
    <w:rsid w:val="1AED6666"/>
    <w:rsid w:val="1AF264E1"/>
    <w:rsid w:val="1AF745BC"/>
    <w:rsid w:val="1B155DAE"/>
    <w:rsid w:val="1B417F7A"/>
    <w:rsid w:val="1B45668F"/>
    <w:rsid w:val="1B5508A0"/>
    <w:rsid w:val="1B5E1503"/>
    <w:rsid w:val="1B5E3AB8"/>
    <w:rsid w:val="1B822B4E"/>
    <w:rsid w:val="1B834AAE"/>
    <w:rsid w:val="1B9637E8"/>
    <w:rsid w:val="1BB235FD"/>
    <w:rsid w:val="1BB9498B"/>
    <w:rsid w:val="1BC947C4"/>
    <w:rsid w:val="1BCA47EE"/>
    <w:rsid w:val="1BD27C70"/>
    <w:rsid w:val="1BD96DDB"/>
    <w:rsid w:val="1BDB6FF7"/>
    <w:rsid w:val="1C00080C"/>
    <w:rsid w:val="1C0F6CA1"/>
    <w:rsid w:val="1C2344FA"/>
    <w:rsid w:val="1C2529FF"/>
    <w:rsid w:val="1C27223D"/>
    <w:rsid w:val="1C2C33AF"/>
    <w:rsid w:val="1C427076"/>
    <w:rsid w:val="1C522596"/>
    <w:rsid w:val="1C5648D0"/>
    <w:rsid w:val="1C5B5A42"/>
    <w:rsid w:val="1C6F14EE"/>
    <w:rsid w:val="1C735482"/>
    <w:rsid w:val="1C9211BE"/>
    <w:rsid w:val="1CA23671"/>
    <w:rsid w:val="1CA266AD"/>
    <w:rsid w:val="1CAA52F6"/>
    <w:rsid w:val="1CB425E3"/>
    <w:rsid w:val="1CB43DBF"/>
    <w:rsid w:val="1CC5619F"/>
    <w:rsid w:val="1CD31A7D"/>
    <w:rsid w:val="1CEF358F"/>
    <w:rsid w:val="1CF7709A"/>
    <w:rsid w:val="1D0B56BA"/>
    <w:rsid w:val="1D174D30"/>
    <w:rsid w:val="1D274825"/>
    <w:rsid w:val="1D2B18B9"/>
    <w:rsid w:val="1D2E12C2"/>
    <w:rsid w:val="1D44297A"/>
    <w:rsid w:val="1D552DD9"/>
    <w:rsid w:val="1D734FE3"/>
    <w:rsid w:val="1D7414B2"/>
    <w:rsid w:val="1D815FCC"/>
    <w:rsid w:val="1D927B8A"/>
    <w:rsid w:val="1D9D43F0"/>
    <w:rsid w:val="1DAF2AC9"/>
    <w:rsid w:val="1DB26E14"/>
    <w:rsid w:val="1DC42A0B"/>
    <w:rsid w:val="1DCA2E80"/>
    <w:rsid w:val="1DCF4116"/>
    <w:rsid w:val="1DEC593A"/>
    <w:rsid w:val="1DFB6F31"/>
    <w:rsid w:val="1E024641"/>
    <w:rsid w:val="1E03038B"/>
    <w:rsid w:val="1E25455A"/>
    <w:rsid w:val="1E2F362A"/>
    <w:rsid w:val="1E340C41"/>
    <w:rsid w:val="1E403142"/>
    <w:rsid w:val="1E533D63"/>
    <w:rsid w:val="1E6B7566"/>
    <w:rsid w:val="1E781388"/>
    <w:rsid w:val="1E851C27"/>
    <w:rsid w:val="1E923BA9"/>
    <w:rsid w:val="1E9B2886"/>
    <w:rsid w:val="1EA47B74"/>
    <w:rsid w:val="1EAE454F"/>
    <w:rsid w:val="1EB234A9"/>
    <w:rsid w:val="1EB25197"/>
    <w:rsid w:val="1EC51899"/>
    <w:rsid w:val="1ECC5479"/>
    <w:rsid w:val="1EEF7754"/>
    <w:rsid w:val="1EF46E21"/>
    <w:rsid w:val="1F18526B"/>
    <w:rsid w:val="1F237321"/>
    <w:rsid w:val="1F27593E"/>
    <w:rsid w:val="1F394761"/>
    <w:rsid w:val="1F4D21A9"/>
    <w:rsid w:val="1F4F2B8D"/>
    <w:rsid w:val="1F6A2B6C"/>
    <w:rsid w:val="1F902E99"/>
    <w:rsid w:val="1F9BB067"/>
    <w:rsid w:val="1FA31BDA"/>
    <w:rsid w:val="1FB47A5D"/>
    <w:rsid w:val="1FCF0C21"/>
    <w:rsid w:val="1FF42436"/>
    <w:rsid w:val="1FFF00F8"/>
    <w:rsid w:val="200655C0"/>
    <w:rsid w:val="200E78F3"/>
    <w:rsid w:val="20126D60"/>
    <w:rsid w:val="201C198C"/>
    <w:rsid w:val="20266068"/>
    <w:rsid w:val="20717F2A"/>
    <w:rsid w:val="207417C9"/>
    <w:rsid w:val="207A09B0"/>
    <w:rsid w:val="2094622D"/>
    <w:rsid w:val="209C776B"/>
    <w:rsid w:val="20AA3CDC"/>
    <w:rsid w:val="20B23D8A"/>
    <w:rsid w:val="20C56C00"/>
    <w:rsid w:val="20D54766"/>
    <w:rsid w:val="20D626D7"/>
    <w:rsid w:val="20DD55C0"/>
    <w:rsid w:val="20F546B7"/>
    <w:rsid w:val="20F86993"/>
    <w:rsid w:val="20FD531A"/>
    <w:rsid w:val="21037F10"/>
    <w:rsid w:val="213760C2"/>
    <w:rsid w:val="213D22F1"/>
    <w:rsid w:val="213F6706"/>
    <w:rsid w:val="2165078C"/>
    <w:rsid w:val="21667363"/>
    <w:rsid w:val="216A647F"/>
    <w:rsid w:val="217557F8"/>
    <w:rsid w:val="218B0B78"/>
    <w:rsid w:val="21A63C04"/>
    <w:rsid w:val="21A734D8"/>
    <w:rsid w:val="21C8784B"/>
    <w:rsid w:val="21CE2C28"/>
    <w:rsid w:val="21CF315A"/>
    <w:rsid w:val="21F030D1"/>
    <w:rsid w:val="220646A2"/>
    <w:rsid w:val="22180E56"/>
    <w:rsid w:val="221C2372"/>
    <w:rsid w:val="2221328A"/>
    <w:rsid w:val="22235254"/>
    <w:rsid w:val="22266AF2"/>
    <w:rsid w:val="22274D44"/>
    <w:rsid w:val="222F3BF9"/>
    <w:rsid w:val="22441E94"/>
    <w:rsid w:val="2245341D"/>
    <w:rsid w:val="22462A8A"/>
    <w:rsid w:val="22543B20"/>
    <w:rsid w:val="22574EFE"/>
    <w:rsid w:val="22631AF5"/>
    <w:rsid w:val="22696FF6"/>
    <w:rsid w:val="22916066"/>
    <w:rsid w:val="22993768"/>
    <w:rsid w:val="229B431D"/>
    <w:rsid w:val="229F2035"/>
    <w:rsid w:val="229F66F7"/>
    <w:rsid w:val="22B57BC7"/>
    <w:rsid w:val="22B67E76"/>
    <w:rsid w:val="22B7264E"/>
    <w:rsid w:val="22B73217"/>
    <w:rsid w:val="22C87E82"/>
    <w:rsid w:val="22D03538"/>
    <w:rsid w:val="22D12F02"/>
    <w:rsid w:val="22E03145"/>
    <w:rsid w:val="22E83DA8"/>
    <w:rsid w:val="22E9024C"/>
    <w:rsid w:val="23006025"/>
    <w:rsid w:val="230102D9"/>
    <w:rsid w:val="23052BAC"/>
    <w:rsid w:val="230B7162"/>
    <w:rsid w:val="230C1C0F"/>
    <w:rsid w:val="231A1DBF"/>
    <w:rsid w:val="232748D0"/>
    <w:rsid w:val="23353491"/>
    <w:rsid w:val="23445482"/>
    <w:rsid w:val="23517B9F"/>
    <w:rsid w:val="23531B69"/>
    <w:rsid w:val="235F43F3"/>
    <w:rsid w:val="23664217"/>
    <w:rsid w:val="236B0C61"/>
    <w:rsid w:val="238E2BA1"/>
    <w:rsid w:val="23915FA1"/>
    <w:rsid w:val="23A14774"/>
    <w:rsid w:val="23A5639B"/>
    <w:rsid w:val="23A67435"/>
    <w:rsid w:val="23B61558"/>
    <w:rsid w:val="23BC770E"/>
    <w:rsid w:val="23C9141B"/>
    <w:rsid w:val="23FE3883"/>
    <w:rsid w:val="23FF75FB"/>
    <w:rsid w:val="240708CD"/>
    <w:rsid w:val="240F5A90"/>
    <w:rsid w:val="24106476"/>
    <w:rsid w:val="24162D28"/>
    <w:rsid w:val="24293F8F"/>
    <w:rsid w:val="243674C1"/>
    <w:rsid w:val="24380CC8"/>
    <w:rsid w:val="243A63CC"/>
    <w:rsid w:val="243C084F"/>
    <w:rsid w:val="246C10ED"/>
    <w:rsid w:val="24754522"/>
    <w:rsid w:val="247E49C4"/>
    <w:rsid w:val="24904744"/>
    <w:rsid w:val="249F3FA9"/>
    <w:rsid w:val="24C745BD"/>
    <w:rsid w:val="24D83DB6"/>
    <w:rsid w:val="2505221B"/>
    <w:rsid w:val="25066BAB"/>
    <w:rsid w:val="25181323"/>
    <w:rsid w:val="251913F0"/>
    <w:rsid w:val="251F222D"/>
    <w:rsid w:val="25235572"/>
    <w:rsid w:val="252F6C1F"/>
    <w:rsid w:val="25333A00"/>
    <w:rsid w:val="25457290"/>
    <w:rsid w:val="25561143"/>
    <w:rsid w:val="25676DE9"/>
    <w:rsid w:val="256F64AA"/>
    <w:rsid w:val="257B7047"/>
    <w:rsid w:val="2584600A"/>
    <w:rsid w:val="25AC5561"/>
    <w:rsid w:val="25B43E15"/>
    <w:rsid w:val="25B44CD6"/>
    <w:rsid w:val="25D53C59"/>
    <w:rsid w:val="25DF401E"/>
    <w:rsid w:val="25DF4AD8"/>
    <w:rsid w:val="25E75A1D"/>
    <w:rsid w:val="25E76599"/>
    <w:rsid w:val="25F07BA6"/>
    <w:rsid w:val="25FA2770"/>
    <w:rsid w:val="25FC2044"/>
    <w:rsid w:val="26025181"/>
    <w:rsid w:val="260F2A28"/>
    <w:rsid w:val="26176E7E"/>
    <w:rsid w:val="26201D24"/>
    <w:rsid w:val="263107B3"/>
    <w:rsid w:val="26322643"/>
    <w:rsid w:val="263631A5"/>
    <w:rsid w:val="2637667A"/>
    <w:rsid w:val="26655E3B"/>
    <w:rsid w:val="268C3FB5"/>
    <w:rsid w:val="26912233"/>
    <w:rsid w:val="269F15EB"/>
    <w:rsid w:val="26A26863"/>
    <w:rsid w:val="26AA7CF2"/>
    <w:rsid w:val="26BE19EF"/>
    <w:rsid w:val="26C143D2"/>
    <w:rsid w:val="26D7485F"/>
    <w:rsid w:val="26E24FAE"/>
    <w:rsid w:val="26EF739B"/>
    <w:rsid w:val="26F326F6"/>
    <w:rsid w:val="26F7280B"/>
    <w:rsid w:val="26FD42C6"/>
    <w:rsid w:val="2705626B"/>
    <w:rsid w:val="270C5FA8"/>
    <w:rsid w:val="27167136"/>
    <w:rsid w:val="273048EF"/>
    <w:rsid w:val="274A5031"/>
    <w:rsid w:val="27545EB0"/>
    <w:rsid w:val="2769150F"/>
    <w:rsid w:val="27734588"/>
    <w:rsid w:val="27781B9E"/>
    <w:rsid w:val="27783F9D"/>
    <w:rsid w:val="277F4CDB"/>
    <w:rsid w:val="2780146B"/>
    <w:rsid w:val="2786250D"/>
    <w:rsid w:val="278B2E18"/>
    <w:rsid w:val="27914CC8"/>
    <w:rsid w:val="27985D9D"/>
    <w:rsid w:val="27A42993"/>
    <w:rsid w:val="27AA2337"/>
    <w:rsid w:val="27AC7A9A"/>
    <w:rsid w:val="27C923FA"/>
    <w:rsid w:val="27CF7A19"/>
    <w:rsid w:val="27D019DA"/>
    <w:rsid w:val="27D52687"/>
    <w:rsid w:val="27D6739B"/>
    <w:rsid w:val="27DA0163"/>
    <w:rsid w:val="27E45F94"/>
    <w:rsid w:val="27F373E3"/>
    <w:rsid w:val="28131C63"/>
    <w:rsid w:val="28150C75"/>
    <w:rsid w:val="282464EB"/>
    <w:rsid w:val="282F222C"/>
    <w:rsid w:val="28626D75"/>
    <w:rsid w:val="286F3F95"/>
    <w:rsid w:val="287B7F79"/>
    <w:rsid w:val="28821E43"/>
    <w:rsid w:val="28916BE7"/>
    <w:rsid w:val="28A4024E"/>
    <w:rsid w:val="28B135BA"/>
    <w:rsid w:val="28B9528A"/>
    <w:rsid w:val="28BC481A"/>
    <w:rsid w:val="28C01A4F"/>
    <w:rsid w:val="28C1259F"/>
    <w:rsid w:val="28D92B11"/>
    <w:rsid w:val="28F0032A"/>
    <w:rsid w:val="28F24E95"/>
    <w:rsid w:val="28F434A6"/>
    <w:rsid w:val="28F93763"/>
    <w:rsid w:val="28FC23EA"/>
    <w:rsid w:val="29053273"/>
    <w:rsid w:val="290C61FF"/>
    <w:rsid w:val="291458F7"/>
    <w:rsid w:val="291E2E7B"/>
    <w:rsid w:val="29290FE4"/>
    <w:rsid w:val="292F7188"/>
    <w:rsid w:val="29376315"/>
    <w:rsid w:val="29501633"/>
    <w:rsid w:val="29567BFF"/>
    <w:rsid w:val="295F5B00"/>
    <w:rsid w:val="2973086F"/>
    <w:rsid w:val="298249CF"/>
    <w:rsid w:val="29980BDA"/>
    <w:rsid w:val="29A0362E"/>
    <w:rsid w:val="29AA3515"/>
    <w:rsid w:val="29AC50CB"/>
    <w:rsid w:val="29C25353"/>
    <w:rsid w:val="29CD4DD1"/>
    <w:rsid w:val="29D62BAC"/>
    <w:rsid w:val="29D86924"/>
    <w:rsid w:val="29DA6B40"/>
    <w:rsid w:val="29ED6BDD"/>
    <w:rsid w:val="29EF3D8C"/>
    <w:rsid w:val="29FA073B"/>
    <w:rsid w:val="2A042187"/>
    <w:rsid w:val="2A133DC8"/>
    <w:rsid w:val="2A200E38"/>
    <w:rsid w:val="2A2E103F"/>
    <w:rsid w:val="2A350021"/>
    <w:rsid w:val="2A431C41"/>
    <w:rsid w:val="2A445BEE"/>
    <w:rsid w:val="2A5341FD"/>
    <w:rsid w:val="2A5A1A2F"/>
    <w:rsid w:val="2A602202"/>
    <w:rsid w:val="2A6237E6"/>
    <w:rsid w:val="2A777F01"/>
    <w:rsid w:val="2A7FF3BA"/>
    <w:rsid w:val="2A85159C"/>
    <w:rsid w:val="2A97058D"/>
    <w:rsid w:val="2AA1533C"/>
    <w:rsid w:val="2AAA7F7A"/>
    <w:rsid w:val="2ABE1FBE"/>
    <w:rsid w:val="2AC670C5"/>
    <w:rsid w:val="2ACB0237"/>
    <w:rsid w:val="2B004385"/>
    <w:rsid w:val="2B033E75"/>
    <w:rsid w:val="2B0674C1"/>
    <w:rsid w:val="2B1716CE"/>
    <w:rsid w:val="2B353322"/>
    <w:rsid w:val="2B37239C"/>
    <w:rsid w:val="2B3D7387"/>
    <w:rsid w:val="2B3E6C5B"/>
    <w:rsid w:val="2B5400F2"/>
    <w:rsid w:val="2B6A63EC"/>
    <w:rsid w:val="2B7348A5"/>
    <w:rsid w:val="2B94791E"/>
    <w:rsid w:val="2BB9468C"/>
    <w:rsid w:val="2BC2163A"/>
    <w:rsid w:val="2BC51EC5"/>
    <w:rsid w:val="2BD55811"/>
    <w:rsid w:val="2BD73CFD"/>
    <w:rsid w:val="2C155109"/>
    <w:rsid w:val="2C2422F5"/>
    <w:rsid w:val="2C2474F0"/>
    <w:rsid w:val="2C2A71DF"/>
    <w:rsid w:val="2C3562B0"/>
    <w:rsid w:val="2C372028"/>
    <w:rsid w:val="2C41042A"/>
    <w:rsid w:val="2C642FEA"/>
    <w:rsid w:val="2C6B0F62"/>
    <w:rsid w:val="2C6F14EE"/>
    <w:rsid w:val="2C7C04FF"/>
    <w:rsid w:val="2C882884"/>
    <w:rsid w:val="2C892158"/>
    <w:rsid w:val="2C8F2CCE"/>
    <w:rsid w:val="2C9C632F"/>
    <w:rsid w:val="2CB71165"/>
    <w:rsid w:val="2CC278F0"/>
    <w:rsid w:val="2CC7543A"/>
    <w:rsid w:val="2CCF5161"/>
    <w:rsid w:val="2CDA6E57"/>
    <w:rsid w:val="2D0D0C0E"/>
    <w:rsid w:val="2D546C0A"/>
    <w:rsid w:val="2D5B7F98"/>
    <w:rsid w:val="2D614E83"/>
    <w:rsid w:val="2D6D7CCB"/>
    <w:rsid w:val="2D6E5CBA"/>
    <w:rsid w:val="2D8017AD"/>
    <w:rsid w:val="2D9708A4"/>
    <w:rsid w:val="2DD077B2"/>
    <w:rsid w:val="2DF301D1"/>
    <w:rsid w:val="2DFC77E9"/>
    <w:rsid w:val="2E06340F"/>
    <w:rsid w:val="2E183793"/>
    <w:rsid w:val="2E1E4B22"/>
    <w:rsid w:val="2E220AB6"/>
    <w:rsid w:val="2E362C91"/>
    <w:rsid w:val="2E433D29"/>
    <w:rsid w:val="2E450CFC"/>
    <w:rsid w:val="2E615CCD"/>
    <w:rsid w:val="2E717347"/>
    <w:rsid w:val="2E9153AA"/>
    <w:rsid w:val="2EA35514"/>
    <w:rsid w:val="2EC01219"/>
    <w:rsid w:val="2EC34FDD"/>
    <w:rsid w:val="2EDFE9E8"/>
    <w:rsid w:val="2EF04710"/>
    <w:rsid w:val="2EF97A69"/>
    <w:rsid w:val="2F155F25"/>
    <w:rsid w:val="2F3445FD"/>
    <w:rsid w:val="2F37730B"/>
    <w:rsid w:val="2F4A02C4"/>
    <w:rsid w:val="2F4A1335"/>
    <w:rsid w:val="2F4D2835"/>
    <w:rsid w:val="2F7C41F6"/>
    <w:rsid w:val="2F827A5E"/>
    <w:rsid w:val="2F882261"/>
    <w:rsid w:val="2F8A6913"/>
    <w:rsid w:val="2F940B9B"/>
    <w:rsid w:val="2FAC3F69"/>
    <w:rsid w:val="2FAF6379"/>
    <w:rsid w:val="2FB83480"/>
    <w:rsid w:val="2FBE65BC"/>
    <w:rsid w:val="2FCE2B17"/>
    <w:rsid w:val="2FCF1371"/>
    <w:rsid w:val="2FCF2577"/>
    <w:rsid w:val="2FE364D9"/>
    <w:rsid w:val="2FF11F73"/>
    <w:rsid w:val="2FF6EBD2"/>
    <w:rsid w:val="300761B5"/>
    <w:rsid w:val="30085A89"/>
    <w:rsid w:val="301E2414"/>
    <w:rsid w:val="302610FC"/>
    <w:rsid w:val="302E54F0"/>
    <w:rsid w:val="30403475"/>
    <w:rsid w:val="3043586B"/>
    <w:rsid w:val="30443CB5"/>
    <w:rsid w:val="304C5976"/>
    <w:rsid w:val="3058256D"/>
    <w:rsid w:val="305A38D0"/>
    <w:rsid w:val="306E648F"/>
    <w:rsid w:val="30766E97"/>
    <w:rsid w:val="308E41E1"/>
    <w:rsid w:val="309243C0"/>
    <w:rsid w:val="309511AA"/>
    <w:rsid w:val="309D2676"/>
    <w:rsid w:val="30A47610"/>
    <w:rsid w:val="30B33C47"/>
    <w:rsid w:val="30B71989"/>
    <w:rsid w:val="30C46588"/>
    <w:rsid w:val="30E33504"/>
    <w:rsid w:val="30F4201C"/>
    <w:rsid w:val="30F524B2"/>
    <w:rsid w:val="30FF4B22"/>
    <w:rsid w:val="310B6BF3"/>
    <w:rsid w:val="312B3FDA"/>
    <w:rsid w:val="3138414C"/>
    <w:rsid w:val="31501496"/>
    <w:rsid w:val="31532D34"/>
    <w:rsid w:val="315C727B"/>
    <w:rsid w:val="31666F0B"/>
    <w:rsid w:val="316B4522"/>
    <w:rsid w:val="316D0BA9"/>
    <w:rsid w:val="31A627B9"/>
    <w:rsid w:val="31A62D61"/>
    <w:rsid w:val="31BE28A4"/>
    <w:rsid w:val="31C630A7"/>
    <w:rsid w:val="31C9211B"/>
    <w:rsid w:val="31CC628B"/>
    <w:rsid w:val="31EB31CE"/>
    <w:rsid w:val="31F60A7B"/>
    <w:rsid w:val="31FC517A"/>
    <w:rsid w:val="32024E86"/>
    <w:rsid w:val="32075FF9"/>
    <w:rsid w:val="321A7A9C"/>
    <w:rsid w:val="32236C2E"/>
    <w:rsid w:val="32496611"/>
    <w:rsid w:val="32607DFF"/>
    <w:rsid w:val="3281224F"/>
    <w:rsid w:val="328F502D"/>
    <w:rsid w:val="329B2BE5"/>
    <w:rsid w:val="329E6B50"/>
    <w:rsid w:val="329F256E"/>
    <w:rsid w:val="329F32EA"/>
    <w:rsid w:val="32BB5035"/>
    <w:rsid w:val="32C43EEA"/>
    <w:rsid w:val="32C65EB4"/>
    <w:rsid w:val="32EB0B99"/>
    <w:rsid w:val="32EE540A"/>
    <w:rsid w:val="33154745"/>
    <w:rsid w:val="331704BD"/>
    <w:rsid w:val="33237E07"/>
    <w:rsid w:val="33265EB1"/>
    <w:rsid w:val="3330332D"/>
    <w:rsid w:val="3332198B"/>
    <w:rsid w:val="333D443C"/>
    <w:rsid w:val="335A65FC"/>
    <w:rsid w:val="335A7075"/>
    <w:rsid w:val="335D7410"/>
    <w:rsid w:val="336D3EA4"/>
    <w:rsid w:val="33835B53"/>
    <w:rsid w:val="3384586B"/>
    <w:rsid w:val="33951EF8"/>
    <w:rsid w:val="339A10EE"/>
    <w:rsid w:val="339C1E4B"/>
    <w:rsid w:val="33A342A9"/>
    <w:rsid w:val="33AC6E70"/>
    <w:rsid w:val="33B66E47"/>
    <w:rsid w:val="33C64EB5"/>
    <w:rsid w:val="33D44600"/>
    <w:rsid w:val="33DB629F"/>
    <w:rsid w:val="33DC674E"/>
    <w:rsid w:val="33E74334"/>
    <w:rsid w:val="33EC6C5A"/>
    <w:rsid w:val="33EE1BA0"/>
    <w:rsid w:val="33F22CD8"/>
    <w:rsid w:val="33F9299F"/>
    <w:rsid w:val="33FE78CF"/>
    <w:rsid w:val="340622E0"/>
    <w:rsid w:val="34306838"/>
    <w:rsid w:val="34316ACF"/>
    <w:rsid w:val="343E641F"/>
    <w:rsid w:val="344468FB"/>
    <w:rsid w:val="344D4C35"/>
    <w:rsid w:val="34526541"/>
    <w:rsid w:val="3464195E"/>
    <w:rsid w:val="348854D0"/>
    <w:rsid w:val="34897199"/>
    <w:rsid w:val="34924BC9"/>
    <w:rsid w:val="349873DC"/>
    <w:rsid w:val="349879D5"/>
    <w:rsid w:val="34C3106B"/>
    <w:rsid w:val="34C74165"/>
    <w:rsid w:val="34E00D83"/>
    <w:rsid w:val="34E751DD"/>
    <w:rsid w:val="34E924AB"/>
    <w:rsid w:val="34EB5A9A"/>
    <w:rsid w:val="34F1756F"/>
    <w:rsid w:val="35066A3B"/>
    <w:rsid w:val="350D6D19"/>
    <w:rsid w:val="35270760"/>
    <w:rsid w:val="352F64C7"/>
    <w:rsid w:val="3532618A"/>
    <w:rsid w:val="35351167"/>
    <w:rsid w:val="353C7D87"/>
    <w:rsid w:val="355552CD"/>
    <w:rsid w:val="35615866"/>
    <w:rsid w:val="35703BE5"/>
    <w:rsid w:val="358A409C"/>
    <w:rsid w:val="35A57EBA"/>
    <w:rsid w:val="35BF6BEA"/>
    <w:rsid w:val="35C012AA"/>
    <w:rsid w:val="35C249F4"/>
    <w:rsid w:val="35D17237"/>
    <w:rsid w:val="35F30AB5"/>
    <w:rsid w:val="35FC3D7E"/>
    <w:rsid w:val="36145188"/>
    <w:rsid w:val="362058DB"/>
    <w:rsid w:val="36246BDF"/>
    <w:rsid w:val="36370634"/>
    <w:rsid w:val="363932F5"/>
    <w:rsid w:val="363D4FB8"/>
    <w:rsid w:val="363D6170"/>
    <w:rsid w:val="3642677E"/>
    <w:rsid w:val="36525CB0"/>
    <w:rsid w:val="3654343F"/>
    <w:rsid w:val="36570DD6"/>
    <w:rsid w:val="36590DED"/>
    <w:rsid w:val="367125DA"/>
    <w:rsid w:val="36760F87"/>
    <w:rsid w:val="36AF6603"/>
    <w:rsid w:val="36B064F6"/>
    <w:rsid w:val="36B87D9D"/>
    <w:rsid w:val="36C4095C"/>
    <w:rsid w:val="36C546D4"/>
    <w:rsid w:val="36D528EF"/>
    <w:rsid w:val="36F32FEF"/>
    <w:rsid w:val="37205FF6"/>
    <w:rsid w:val="372633C5"/>
    <w:rsid w:val="374E46CA"/>
    <w:rsid w:val="37602480"/>
    <w:rsid w:val="376676D7"/>
    <w:rsid w:val="3769770F"/>
    <w:rsid w:val="37865C12"/>
    <w:rsid w:val="379876F3"/>
    <w:rsid w:val="379A16BD"/>
    <w:rsid w:val="379F45EE"/>
    <w:rsid w:val="37CD1A92"/>
    <w:rsid w:val="37CE6DD4"/>
    <w:rsid w:val="37E06FFE"/>
    <w:rsid w:val="37E152F6"/>
    <w:rsid w:val="38233460"/>
    <w:rsid w:val="38287C31"/>
    <w:rsid w:val="3832770C"/>
    <w:rsid w:val="38387EA9"/>
    <w:rsid w:val="383907FA"/>
    <w:rsid w:val="383B1F8D"/>
    <w:rsid w:val="383F4089"/>
    <w:rsid w:val="384855BD"/>
    <w:rsid w:val="386027CC"/>
    <w:rsid w:val="38624A88"/>
    <w:rsid w:val="38664899"/>
    <w:rsid w:val="386C12AB"/>
    <w:rsid w:val="38960E58"/>
    <w:rsid w:val="38983820"/>
    <w:rsid w:val="38A670D3"/>
    <w:rsid w:val="38AE714C"/>
    <w:rsid w:val="38B1729A"/>
    <w:rsid w:val="38B60778"/>
    <w:rsid w:val="38BC5693"/>
    <w:rsid w:val="38DC3EDC"/>
    <w:rsid w:val="38E5695C"/>
    <w:rsid w:val="38E92202"/>
    <w:rsid w:val="38F8669B"/>
    <w:rsid w:val="38FA68B7"/>
    <w:rsid w:val="38FB98C4"/>
    <w:rsid w:val="38FF20BA"/>
    <w:rsid w:val="39096AFA"/>
    <w:rsid w:val="391B4A7F"/>
    <w:rsid w:val="39202096"/>
    <w:rsid w:val="39394B01"/>
    <w:rsid w:val="39403675"/>
    <w:rsid w:val="39561E39"/>
    <w:rsid w:val="396E2E01"/>
    <w:rsid w:val="39777F08"/>
    <w:rsid w:val="39874323"/>
    <w:rsid w:val="398B661E"/>
    <w:rsid w:val="3999642E"/>
    <w:rsid w:val="399A1E48"/>
    <w:rsid w:val="399B57E9"/>
    <w:rsid w:val="39A10E34"/>
    <w:rsid w:val="39A64349"/>
    <w:rsid w:val="39B62C55"/>
    <w:rsid w:val="39C03AB0"/>
    <w:rsid w:val="39CD5D7A"/>
    <w:rsid w:val="39D62E7E"/>
    <w:rsid w:val="39F50E2C"/>
    <w:rsid w:val="39F63BBE"/>
    <w:rsid w:val="3A241712"/>
    <w:rsid w:val="3A335905"/>
    <w:rsid w:val="3A47599D"/>
    <w:rsid w:val="3A6477A9"/>
    <w:rsid w:val="3A7E52C6"/>
    <w:rsid w:val="3A8E4BF9"/>
    <w:rsid w:val="3A950543"/>
    <w:rsid w:val="3A9E7716"/>
    <w:rsid w:val="3AA23F47"/>
    <w:rsid w:val="3AAA1C17"/>
    <w:rsid w:val="3ABE2449"/>
    <w:rsid w:val="3ADA56C8"/>
    <w:rsid w:val="3AE35129"/>
    <w:rsid w:val="3AF37A62"/>
    <w:rsid w:val="3B00217F"/>
    <w:rsid w:val="3B082DE1"/>
    <w:rsid w:val="3B20012B"/>
    <w:rsid w:val="3B2A60E9"/>
    <w:rsid w:val="3B3360B0"/>
    <w:rsid w:val="3B4007CD"/>
    <w:rsid w:val="3B506A3A"/>
    <w:rsid w:val="3B561D9F"/>
    <w:rsid w:val="3B5B2B94"/>
    <w:rsid w:val="3B7566C9"/>
    <w:rsid w:val="3B7641EF"/>
    <w:rsid w:val="3B792ECF"/>
    <w:rsid w:val="3B827166"/>
    <w:rsid w:val="3B855DC3"/>
    <w:rsid w:val="3B9052B1"/>
    <w:rsid w:val="3B974891"/>
    <w:rsid w:val="3B9D279F"/>
    <w:rsid w:val="3BB16FD5"/>
    <w:rsid w:val="3BD056AD"/>
    <w:rsid w:val="3BD21711"/>
    <w:rsid w:val="3BD54987"/>
    <w:rsid w:val="3BD80F0D"/>
    <w:rsid w:val="3BDA2944"/>
    <w:rsid w:val="3BDB85C8"/>
    <w:rsid w:val="3BE467D1"/>
    <w:rsid w:val="3BFE66BE"/>
    <w:rsid w:val="3BFF8581"/>
    <w:rsid w:val="3C1C38AF"/>
    <w:rsid w:val="3C1C4D96"/>
    <w:rsid w:val="3C215F09"/>
    <w:rsid w:val="3C256A70"/>
    <w:rsid w:val="3C31001D"/>
    <w:rsid w:val="3C3A6AB5"/>
    <w:rsid w:val="3C4165AB"/>
    <w:rsid w:val="3C4B11D8"/>
    <w:rsid w:val="3C5D6EFF"/>
    <w:rsid w:val="3C6605CE"/>
    <w:rsid w:val="3C676D43"/>
    <w:rsid w:val="3C6F5B2F"/>
    <w:rsid w:val="3C7249B6"/>
    <w:rsid w:val="3C881B0B"/>
    <w:rsid w:val="3C8D7D44"/>
    <w:rsid w:val="3C926E07"/>
    <w:rsid w:val="3CAD59EE"/>
    <w:rsid w:val="3CB26F41"/>
    <w:rsid w:val="3CC17DD4"/>
    <w:rsid w:val="3CDC4526"/>
    <w:rsid w:val="3CDD2778"/>
    <w:rsid w:val="3CDE204C"/>
    <w:rsid w:val="3CE277AA"/>
    <w:rsid w:val="3CE8111C"/>
    <w:rsid w:val="3CEA279F"/>
    <w:rsid w:val="3CEC177B"/>
    <w:rsid w:val="3CF46FDB"/>
    <w:rsid w:val="3D0A1E56"/>
    <w:rsid w:val="3D1B6DFC"/>
    <w:rsid w:val="3D2A2A77"/>
    <w:rsid w:val="3D42082D"/>
    <w:rsid w:val="3D5F3C0A"/>
    <w:rsid w:val="3D7164EB"/>
    <w:rsid w:val="3D7737D1"/>
    <w:rsid w:val="3D7F382F"/>
    <w:rsid w:val="3D8F31BA"/>
    <w:rsid w:val="3D9B4E64"/>
    <w:rsid w:val="3D9F76BF"/>
    <w:rsid w:val="3DA70690"/>
    <w:rsid w:val="3DC54FBA"/>
    <w:rsid w:val="3DFB09DB"/>
    <w:rsid w:val="3E0205C4"/>
    <w:rsid w:val="3E0C3BB5"/>
    <w:rsid w:val="3E12336F"/>
    <w:rsid w:val="3E154BCF"/>
    <w:rsid w:val="3E342BCE"/>
    <w:rsid w:val="3E3A37E1"/>
    <w:rsid w:val="3E6432A1"/>
    <w:rsid w:val="3E6842C3"/>
    <w:rsid w:val="3E6B3DB3"/>
    <w:rsid w:val="3E90273A"/>
    <w:rsid w:val="3E955132"/>
    <w:rsid w:val="3EA352FB"/>
    <w:rsid w:val="3EA846BF"/>
    <w:rsid w:val="3EAD6F0F"/>
    <w:rsid w:val="3EBE3EE3"/>
    <w:rsid w:val="3EC62D97"/>
    <w:rsid w:val="3ED16F9D"/>
    <w:rsid w:val="3ED835C0"/>
    <w:rsid w:val="3EE14075"/>
    <w:rsid w:val="3EE22D6A"/>
    <w:rsid w:val="3EE33949"/>
    <w:rsid w:val="3EF7239A"/>
    <w:rsid w:val="3EF97772"/>
    <w:rsid w:val="3EFF671D"/>
    <w:rsid w:val="3F033FEC"/>
    <w:rsid w:val="3F1A33BE"/>
    <w:rsid w:val="3F2859A4"/>
    <w:rsid w:val="3F2F48E2"/>
    <w:rsid w:val="3F3C7CCF"/>
    <w:rsid w:val="3F5D194E"/>
    <w:rsid w:val="3F6031EC"/>
    <w:rsid w:val="3F6251B6"/>
    <w:rsid w:val="3F7722E4"/>
    <w:rsid w:val="3F7B6278"/>
    <w:rsid w:val="3F8C5D8F"/>
    <w:rsid w:val="3FB90F87"/>
    <w:rsid w:val="3FBBF901"/>
    <w:rsid w:val="3FC4377B"/>
    <w:rsid w:val="3FCC669D"/>
    <w:rsid w:val="3FD00372"/>
    <w:rsid w:val="3FD753EE"/>
    <w:rsid w:val="3FD80FD4"/>
    <w:rsid w:val="3FDD241B"/>
    <w:rsid w:val="3FDD483D"/>
    <w:rsid w:val="3FE07E89"/>
    <w:rsid w:val="3FE179CA"/>
    <w:rsid w:val="3FE69656"/>
    <w:rsid w:val="3FEE56A1"/>
    <w:rsid w:val="3FF77793"/>
    <w:rsid w:val="3FFA12B7"/>
    <w:rsid w:val="3FFF2802"/>
    <w:rsid w:val="402F22B4"/>
    <w:rsid w:val="404405EC"/>
    <w:rsid w:val="405110D6"/>
    <w:rsid w:val="406D6805"/>
    <w:rsid w:val="407A652F"/>
    <w:rsid w:val="407D110C"/>
    <w:rsid w:val="40827192"/>
    <w:rsid w:val="40864ED4"/>
    <w:rsid w:val="408C3992"/>
    <w:rsid w:val="40915918"/>
    <w:rsid w:val="40A05314"/>
    <w:rsid w:val="40B51B55"/>
    <w:rsid w:val="40B732E0"/>
    <w:rsid w:val="40E61FE6"/>
    <w:rsid w:val="40F71321"/>
    <w:rsid w:val="41140064"/>
    <w:rsid w:val="411B561D"/>
    <w:rsid w:val="41200E85"/>
    <w:rsid w:val="412519DB"/>
    <w:rsid w:val="41326E0A"/>
    <w:rsid w:val="41361B95"/>
    <w:rsid w:val="41515EEF"/>
    <w:rsid w:val="41526B64"/>
    <w:rsid w:val="41546D80"/>
    <w:rsid w:val="418A09F4"/>
    <w:rsid w:val="418A27A2"/>
    <w:rsid w:val="418D4040"/>
    <w:rsid w:val="418E2292"/>
    <w:rsid w:val="41970AE1"/>
    <w:rsid w:val="419E624E"/>
    <w:rsid w:val="41A35612"/>
    <w:rsid w:val="41AE7C60"/>
    <w:rsid w:val="41B617E9"/>
    <w:rsid w:val="41C37A62"/>
    <w:rsid w:val="41CC6917"/>
    <w:rsid w:val="41CE08E1"/>
    <w:rsid w:val="41D35EF7"/>
    <w:rsid w:val="41DD0B24"/>
    <w:rsid w:val="41E87DEF"/>
    <w:rsid w:val="41F1637D"/>
    <w:rsid w:val="420A5691"/>
    <w:rsid w:val="421C7965"/>
    <w:rsid w:val="422619BB"/>
    <w:rsid w:val="422C150A"/>
    <w:rsid w:val="423773F7"/>
    <w:rsid w:val="423A7D24"/>
    <w:rsid w:val="42436F8A"/>
    <w:rsid w:val="425410BD"/>
    <w:rsid w:val="425F778B"/>
    <w:rsid w:val="426009C5"/>
    <w:rsid w:val="426221F8"/>
    <w:rsid w:val="426D63FE"/>
    <w:rsid w:val="42724A9B"/>
    <w:rsid w:val="428F6994"/>
    <w:rsid w:val="42957651"/>
    <w:rsid w:val="4297632A"/>
    <w:rsid w:val="429E4757"/>
    <w:rsid w:val="42A15FF5"/>
    <w:rsid w:val="42B21705"/>
    <w:rsid w:val="42B32E08"/>
    <w:rsid w:val="42D31F27"/>
    <w:rsid w:val="42D55690"/>
    <w:rsid w:val="42DE3E28"/>
    <w:rsid w:val="42DF22D8"/>
    <w:rsid w:val="42E3216A"/>
    <w:rsid w:val="431C567C"/>
    <w:rsid w:val="43266677"/>
    <w:rsid w:val="432D2509"/>
    <w:rsid w:val="434075BC"/>
    <w:rsid w:val="43421586"/>
    <w:rsid w:val="434370AD"/>
    <w:rsid w:val="43470AA6"/>
    <w:rsid w:val="436E5EB8"/>
    <w:rsid w:val="43900783"/>
    <w:rsid w:val="43947392"/>
    <w:rsid w:val="439971FA"/>
    <w:rsid w:val="43A833B4"/>
    <w:rsid w:val="43AC4C52"/>
    <w:rsid w:val="43B42418"/>
    <w:rsid w:val="43BD6E5F"/>
    <w:rsid w:val="43D16909"/>
    <w:rsid w:val="43D42766"/>
    <w:rsid w:val="43F213F1"/>
    <w:rsid w:val="43F41FD8"/>
    <w:rsid w:val="43FD1DA6"/>
    <w:rsid w:val="44006D4C"/>
    <w:rsid w:val="440209A9"/>
    <w:rsid w:val="441B3B85"/>
    <w:rsid w:val="443C7F5E"/>
    <w:rsid w:val="444B19C8"/>
    <w:rsid w:val="446C30C9"/>
    <w:rsid w:val="446F124D"/>
    <w:rsid w:val="44774926"/>
    <w:rsid w:val="448B0BED"/>
    <w:rsid w:val="449B01B0"/>
    <w:rsid w:val="44D65FFB"/>
    <w:rsid w:val="44DE708D"/>
    <w:rsid w:val="44F06447"/>
    <w:rsid w:val="44F833E9"/>
    <w:rsid w:val="44FF34A7"/>
    <w:rsid w:val="45061A4C"/>
    <w:rsid w:val="45120AE5"/>
    <w:rsid w:val="451C7579"/>
    <w:rsid w:val="45237196"/>
    <w:rsid w:val="45244CBC"/>
    <w:rsid w:val="452541DF"/>
    <w:rsid w:val="452B268D"/>
    <w:rsid w:val="4535500F"/>
    <w:rsid w:val="457271D8"/>
    <w:rsid w:val="457F1EF2"/>
    <w:rsid w:val="45857508"/>
    <w:rsid w:val="458D79D2"/>
    <w:rsid w:val="459E4D98"/>
    <w:rsid w:val="45DE28D0"/>
    <w:rsid w:val="45F66658"/>
    <w:rsid w:val="46115240"/>
    <w:rsid w:val="461A0599"/>
    <w:rsid w:val="461B60BF"/>
    <w:rsid w:val="462C3E28"/>
    <w:rsid w:val="46362EF9"/>
    <w:rsid w:val="4649255C"/>
    <w:rsid w:val="467265C4"/>
    <w:rsid w:val="46765CB1"/>
    <w:rsid w:val="467965F9"/>
    <w:rsid w:val="467E27F8"/>
    <w:rsid w:val="46841EBD"/>
    <w:rsid w:val="46843C64"/>
    <w:rsid w:val="46974134"/>
    <w:rsid w:val="469C746C"/>
    <w:rsid w:val="46A92635"/>
    <w:rsid w:val="46B10E38"/>
    <w:rsid w:val="46B651A1"/>
    <w:rsid w:val="46BC33FE"/>
    <w:rsid w:val="46C03289"/>
    <w:rsid w:val="46C978C9"/>
    <w:rsid w:val="46F245F5"/>
    <w:rsid w:val="470114A9"/>
    <w:rsid w:val="470703F1"/>
    <w:rsid w:val="47113E40"/>
    <w:rsid w:val="47120309"/>
    <w:rsid w:val="472015A9"/>
    <w:rsid w:val="47234906"/>
    <w:rsid w:val="47354BD4"/>
    <w:rsid w:val="474C3E81"/>
    <w:rsid w:val="474E4E09"/>
    <w:rsid w:val="47867568"/>
    <w:rsid w:val="479A733C"/>
    <w:rsid w:val="479D7445"/>
    <w:rsid w:val="47A00374"/>
    <w:rsid w:val="47CB7C64"/>
    <w:rsid w:val="47E57A30"/>
    <w:rsid w:val="47E66258"/>
    <w:rsid w:val="480014B3"/>
    <w:rsid w:val="48083249"/>
    <w:rsid w:val="480E7A25"/>
    <w:rsid w:val="48180B08"/>
    <w:rsid w:val="48483421"/>
    <w:rsid w:val="484E4529"/>
    <w:rsid w:val="485D6071"/>
    <w:rsid w:val="48614BFD"/>
    <w:rsid w:val="487B4BF3"/>
    <w:rsid w:val="48B1532F"/>
    <w:rsid w:val="48C26B67"/>
    <w:rsid w:val="48C81442"/>
    <w:rsid w:val="48E23D57"/>
    <w:rsid w:val="48E350EB"/>
    <w:rsid w:val="48E85B1A"/>
    <w:rsid w:val="48F051D0"/>
    <w:rsid w:val="490168B9"/>
    <w:rsid w:val="49080B7C"/>
    <w:rsid w:val="49296384"/>
    <w:rsid w:val="49465201"/>
    <w:rsid w:val="49523359"/>
    <w:rsid w:val="496E7D41"/>
    <w:rsid w:val="4989333F"/>
    <w:rsid w:val="498A4BF8"/>
    <w:rsid w:val="49964EEA"/>
    <w:rsid w:val="49997A26"/>
    <w:rsid w:val="49A62143"/>
    <w:rsid w:val="49C36851"/>
    <w:rsid w:val="49D36A87"/>
    <w:rsid w:val="49DA72EC"/>
    <w:rsid w:val="49DE06CA"/>
    <w:rsid w:val="49EF3AEA"/>
    <w:rsid w:val="49EF5898"/>
    <w:rsid w:val="49FE3CB5"/>
    <w:rsid w:val="4A034605"/>
    <w:rsid w:val="4A050411"/>
    <w:rsid w:val="4A182C5B"/>
    <w:rsid w:val="4A1B40A3"/>
    <w:rsid w:val="4A301681"/>
    <w:rsid w:val="4A314103"/>
    <w:rsid w:val="4A396B13"/>
    <w:rsid w:val="4A496D91"/>
    <w:rsid w:val="4A5E4C5F"/>
    <w:rsid w:val="4A6022F2"/>
    <w:rsid w:val="4A6F3D98"/>
    <w:rsid w:val="4A8D2E6D"/>
    <w:rsid w:val="4A8F7FB7"/>
    <w:rsid w:val="4A9560CC"/>
    <w:rsid w:val="4AA04DE4"/>
    <w:rsid w:val="4AB8212E"/>
    <w:rsid w:val="4ABD14F2"/>
    <w:rsid w:val="4AC408E4"/>
    <w:rsid w:val="4ACC3E2B"/>
    <w:rsid w:val="4ADD3943"/>
    <w:rsid w:val="4AE5022F"/>
    <w:rsid w:val="4AE7656F"/>
    <w:rsid w:val="4AF313B8"/>
    <w:rsid w:val="4AFE15E2"/>
    <w:rsid w:val="4B0C4228"/>
    <w:rsid w:val="4B1B2C46"/>
    <w:rsid w:val="4B2279C7"/>
    <w:rsid w:val="4B272E10"/>
    <w:rsid w:val="4B417485"/>
    <w:rsid w:val="4B470B88"/>
    <w:rsid w:val="4B4E4840"/>
    <w:rsid w:val="4B582E12"/>
    <w:rsid w:val="4B713354"/>
    <w:rsid w:val="4B74348F"/>
    <w:rsid w:val="4B7778F3"/>
    <w:rsid w:val="4B79502C"/>
    <w:rsid w:val="4B7D6ED4"/>
    <w:rsid w:val="4BA60AB1"/>
    <w:rsid w:val="4BA95231"/>
    <w:rsid w:val="4BAF1783"/>
    <w:rsid w:val="4BB078CC"/>
    <w:rsid w:val="4BB2670B"/>
    <w:rsid w:val="4BB365B5"/>
    <w:rsid w:val="4BC114B6"/>
    <w:rsid w:val="4BCB7C3F"/>
    <w:rsid w:val="4BE34546"/>
    <w:rsid w:val="4BE76F02"/>
    <w:rsid w:val="4BEB02E1"/>
    <w:rsid w:val="4BED22AB"/>
    <w:rsid w:val="4BF37AF5"/>
    <w:rsid w:val="4BF60521"/>
    <w:rsid w:val="4BF74ED8"/>
    <w:rsid w:val="4BF94C2F"/>
    <w:rsid w:val="4C0C0983"/>
    <w:rsid w:val="4C0E7ECE"/>
    <w:rsid w:val="4C121D12"/>
    <w:rsid w:val="4C2832E3"/>
    <w:rsid w:val="4C40062D"/>
    <w:rsid w:val="4C545E87"/>
    <w:rsid w:val="4C5A0B23"/>
    <w:rsid w:val="4C6A56AA"/>
    <w:rsid w:val="4C906769"/>
    <w:rsid w:val="4C942D3E"/>
    <w:rsid w:val="4CA666C3"/>
    <w:rsid w:val="4CA80573"/>
    <w:rsid w:val="4CA961D2"/>
    <w:rsid w:val="4CB61515"/>
    <w:rsid w:val="4CBD7ED0"/>
    <w:rsid w:val="4CCA439B"/>
    <w:rsid w:val="4CD3699E"/>
    <w:rsid w:val="4CD929E2"/>
    <w:rsid w:val="4CE40E7D"/>
    <w:rsid w:val="4CE74F4D"/>
    <w:rsid w:val="4CF07945"/>
    <w:rsid w:val="4D1473C4"/>
    <w:rsid w:val="4D1A2C2C"/>
    <w:rsid w:val="4D2E2B7B"/>
    <w:rsid w:val="4D346504"/>
    <w:rsid w:val="4D3B0DF4"/>
    <w:rsid w:val="4D61085B"/>
    <w:rsid w:val="4D882DB8"/>
    <w:rsid w:val="4DB35167"/>
    <w:rsid w:val="4DD03C33"/>
    <w:rsid w:val="4DDF102B"/>
    <w:rsid w:val="4DE33966"/>
    <w:rsid w:val="4DE96C85"/>
    <w:rsid w:val="4DEB6377"/>
    <w:rsid w:val="4E0219CC"/>
    <w:rsid w:val="4E077171"/>
    <w:rsid w:val="4E1844A1"/>
    <w:rsid w:val="4E376C89"/>
    <w:rsid w:val="4E4179C0"/>
    <w:rsid w:val="4E4468A4"/>
    <w:rsid w:val="4E5B75AC"/>
    <w:rsid w:val="4E5E1120"/>
    <w:rsid w:val="4E5E5A81"/>
    <w:rsid w:val="4E6B6CEB"/>
    <w:rsid w:val="4E847155"/>
    <w:rsid w:val="4E9208C3"/>
    <w:rsid w:val="4EA62829"/>
    <w:rsid w:val="4ED35F6C"/>
    <w:rsid w:val="4ED46B7B"/>
    <w:rsid w:val="4ED60DD5"/>
    <w:rsid w:val="4EDE6657"/>
    <w:rsid w:val="4EE22FDD"/>
    <w:rsid w:val="4EFB6C2C"/>
    <w:rsid w:val="4EFE20DA"/>
    <w:rsid w:val="4F082F58"/>
    <w:rsid w:val="4F0A0AD1"/>
    <w:rsid w:val="4F0C76FA"/>
    <w:rsid w:val="4F165675"/>
    <w:rsid w:val="4F212F50"/>
    <w:rsid w:val="4F226DC8"/>
    <w:rsid w:val="4F234ACC"/>
    <w:rsid w:val="4F2A7373"/>
    <w:rsid w:val="4F3B36A9"/>
    <w:rsid w:val="4F3E697A"/>
    <w:rsid w:val="4F493C9D"/>
    <w:rsid w:val="4F5C1026"/>
    <w:rsid w:val="4F5E53C7"/>
    <w:rsid w:val="4F6351A5"/>
    <w:rsid w:val="4F7702AB"/>
    <w:rsid w:val="4F7EFCB4"/>
    <w:rsid w:val="4F7F44DF"/>
    <w:rsid w:val="4F854876"/>
    <w:rsid w:val="4F912F4E"/>
    <w:rsid w:val="4FA71C3F"/>
    <w:rsid w:val="4FAE5BAC"/>
    <w:rsid w:val="4FB01626"/>
    <w:rsid w:val="4FB11910"/>
    <w:rsid w:val="4FB84E80"/>
    <w:rsid w:val="4FB854F8"/>
    <w:rsid w:val="4FBA3692"/>
    <w:rsid w:val="4FDC1ACA"/>
    <w:rsid w:val="4FE985C7"/>
    <w:rsid w:val="500C08AC"/>
    <w:rsid w:val="500E56FC"/>
    <w:rsid w:val="501C6CBB"/>
    <w:rsid w:val="501F0559"/>
    <w:rsid w:val="502703FE"/>
    <w:rsid w:val="502768E9"/>
    <w:rsid w:val="504A7CCC"/>
    <w:rsid w:val="505C668F"/>
    <w:rsid w:val="50601F36"/>
    <w:rsid w:val="507329BF"/>
    <w:rsid w:val="507E7976"/>
    <w:rsid w:val="50811214"/>
    <w:rsid w:val="50964CC0"/>
    <w:rsid w:val="50966A6E"/>
    <w:rsid w:val="50AB003F"/>
    <w:rsid w:val="50B36711"/>
    <w:rsid w:val="50C9060B"/>
    <w:rsid w:val="50CF4561"/>
    <w:rsid w:val="50D25854"/>
    <w:rsid w:val="50D852D8"/>
    <w:rsid w:val="50FE0AB7"/>
    <w:rsid w:val="51042AC7"/>
    <w:rsid w:val="51085492"/>
    <w:rsid w:val="512978E2"/>
    <w:rsid w:val="51346847"/>
    <w:rsid w:val="51475669"/>
    <w:rsid w:val="515D758B"/>
    <w:rsid w:val="5161537B"/>
    <w:rsid w:val="51655FC2"/>
    <w:rsid w:val="51675329"/>
    <w:rsid w:val="516A5418"/>
    <w:rsid w:val="516C5CF7"/>
    <w:rsid w:val="517174DB"/>
    <w:rsid w:val="517B1124"/>
    <w:rsid w:val="51866C59"/>
    <w:rsid w:val="51867B3E"/>
    <w:rsid w:val="51987112"/>
    <w:rsid w:val="519D3E2C"/>
    <w:rsid w:val="519D660F"/>
    <w:rsid w:val="51A56BA3"/>
    <w:rsid w:val="51A575B0"/>
    <w:rsid w:val="51C25FE7"/>
    <w:rsid w:val="51C969CF"/>
    <w:rsid w:val="51D33CF1"/>
    <w:rsid w:val="51FF4AE6"/>
    <w:rsid w:val="51FF6894"/>
    <w:rsid w:val="520677CB"/>
    <w:rsid w:val="520774F7"/>
    <w:rsid w:val="520C5A74"/>
    <w:rsid w:val="52555BF0"/>
    <w:rsid w:val="525564B4"/>
    <w:rsid w:val="525B75EF"/>
    <w:rsid w:val="526341EB"/>
    <w:rsid w:val="52666914"/>
    <w:rsid w:val="5267529D"/>
    <w:rsid w:val="5272350A"/>
    <w:rsid w:val="52732285"/>
    <w:rsid w:val="52741F4D"/>
    <w:rsid w:val="52902DFA"/>
    <w:rsid w:val="529B480F"/>
    <w:rsid w:val="52CC1C82"/>
    <w:rsid w:val="52DB2E5E"/>
    <w:rsid w:val="52DC2732"/>
    <w:rsid w:val="530E3233"/>
    <w:rsid w:val="53135B7C"/>
    <w:rsid w:val="5314011E"/>
    <w:rsid w:val="53146A66"/>
    <w:rsid w:val="531C0F71"/>
    <w:rsid w:val="53360094"/>
    <w:rsid w:val="5339302E"/>
    <w:rsid w:val="53490BB0"/>
    <w:rsid w:val="534F55FA"/>
    <w:rsid w:val="535521B1"/>
    <w:rsid w:val="536B200F"/>
    <w:rsid w:val="536B319B"/>
    <w:rsid w:val="536E11E4"/>
    <w:rsid w:val="53755060"/>
    <w:rsid w:val="537D2167"/>
    <w:rsid w:val="53A6051D"/>
    <w:rsid w:val="53AF2171"/>
    <w:rsid w:val="53B37937"/>
    <w:rsid w:val="53B60FA0"/>
    <w:rsid w:val="53B611D5"/>
    <w:rsid w:val="53B92BD0"/>
    <w:rsid w:val="53C27B7A"/>
    <w:rsid w:val="53C300EE"/>
    <w:rsid w:val="53D0016A"/>
    <w:rsid w:val="53E61F03"/>
    <w:rsid w:val="53E81EA7"/>
    <w:rsid w:val="53ED0769"/>
    <w:rsid w:val="53FB0263"/>
    <w:rsid w:val="5406215C"/>
    <w:rsid w:val="5429289E"/>
    <w:rsid w:val="542E6C2A"/>
    <w:rsid w:val="54413194"/>
    <w:rsid w:val="546315F6"/>
    <w:rsid w:val="54640C31"/>
    <w:rsid w:val="547215A0"/>
    <w:rsid w:val="547C0308"/>
    <w:rsid w:val="549C03CB"/>
    <w:rsid w:val="54A71B6F"/>
    <w:rsid w:val="54BE47E5"/>
    <w:rsid w:val="54BE5581"/>
    <w:rsid w:val="54C3413E"/>
    <w:rsid w:val="54C343AC"/>
    <w:rsid w:val="54E202BD"/>
    <w:rsid w:val="54E3424B"/>
    <w:rsid w:val="54E67898"/>
    <w:rsid w:val="54FA66E5"/>
    <w:rsid w:val="5507618C"/>
    <w:rsid w:val="550C37A2"/>
    <w:rsid w:val="55120B89"/>
    <w:rsid w:val="55124B31"/>
    <w:rsid w:val="55195ED1"/>
    <w:rsid w:val="55356592"/>
    <w:rsid w:val="5536081F"/>
    <w:rsid w:val="55363B79"/>
    <w:rsid w:val="553757FC"/>
    <w:rsid w:val="553920BD"/>
    <w:rsid w:val="553B086B"/>
    <w:rsid w:val="55523CC0"/>
    <w:rsid w:val="55561A9C"/>
    <w:rsid w:val="55683C90"/>
    <w:rsid w:val="55690BF5"/>
    <w:rsid w:val="556E259A"/>
    <w:rsid w:val="557259FB"/>
    <w:rsid w:val="55807CEC"/>
    <w:rsid w:val="5587547F"/>
    <w:rsid w:val="55886BA1"/>
    <w:rsid w:val="55893CEF"/>
    <w:rsid w:val="55A0038E"/>
    <w:rsid w:val="55A531BA"/>
    <w:rsid w:val="55AD7ACE"/>
    <w:rsid w:val="55B00149"/>
    <w:rsid w:val="55CC3275"/>
    <w:rsid w:val="55D37310"/>
    <w:rsid w:val="55DF4B2A"/>
    <w:rsid w:val="55E4027B"/>
    <w:rsid w:val="55F12998"/>
    <w:rsid w:val="55F85AD5"/>
    <w:rsid w:val="56102E1E"/>
    <w:rsid w:val="56113BC9"/>
    <w:rsid w:val="561F12B3"/>
    <w:rsid w:val="562C774E"/>
    <w:rsid w:val="56323B98"/>
    <w:rsid w:val="563A60ED"/>
    <w:rsid w:val="563F6BD5"/>
    <w:rsid w:val="56405965"/>
    <w:rsid w:val="56466E93"/>
    <w:rsid w:val="56567054"/>
    <w:rsid w:val="565E627F"/>
    <w:rsid w:val="56621F53"/>
    <w:rsid w:val="56625644"/>
    <w:rsid w:val="566500E3"/>
    <w:rsid w:val="566D4FAA"/>
    <w:rsid w:val="566D64C3"/>
    <w:rsid w:val="5677F382"/>
    <w:rsid w:val="568052DE"/>
    <w:rsid w:val="568245C0"/>
    <w:rsid w:val="56867584"/>
    <w:rsid w:val="56AC60A3"/>
    <w:rsid w:val="56AD68BF"/>
    <w:rsid w:val="56AF6ADB"/>
    <w:rsid w:val="56B2576C"/>
    <w:rsid w:val="56B9194B"/>
    <w:rsid w:val="56C33BDD"/>
    <w:rsid w:val="56C553EB"/>
    <w:rsid w:val="56CD6678"/>
    <w:rsid w:val="56DA167E"/>
    <w:rsid w:val="56E40324"/>
    <w:rsid w:val="56EFBCE7"/>
    <w:rsid w:val="56F269C8"/>
    <w:rsid w:val="56F79C35"/>
    <w:rsid w:val="56FF5614"/>
    <w:rsid w:val="571006E4"/>
    <w:rsid w:val="57191362"/>
    <w:rsid w:val="57785D2A"/>
    <w:rsid w:val="579F5351"/>
    <w:rsid w:val="57AA1051"/>
    <w:rsid w:val="57C31D48"/>
    <w:rsid w:val="57D32355"/>
    <w:rsid w:val="57E502DB"/>
    <w:rsid w:val="581B1F4E"/>
    <w:rsid w:val="581F559B"/>
    <w:rsid w:val="583D01CF"/>
    <w:rsid w:val="5844151B"/>
    <w:rsid w:val="586475A6"/>
    <w:rsid w:val="5866141B"/>
    <w:rsid w:val="58810003"/>
    <w:rsid w:val="588A3598"/>
    <w:rsid w:val="58C61EBA"/>
    <w:rsid w:val="58C63C68"/>
    <w:rsid w:val="58D50A2B"/>
    <w:rsid w:val="58DE5456"/>
    <w:rsid w:val="58E56A80"/>
    <w:rsid w:val="58EB36CF"/>
    <w:rsid w:val="58EC0D07"/>
    <w:rsid w:val="58F702C5"/>
    <w:rsid w:val="58FA1B64"/>
    <w:rsid w:val="59034EBC"/>
    <w:rsid w:val="591A2160"/>
    <w:rsid w:val="5928031A"/>
    <w:rsid w:val="59367040"/>
    <w:rsid w:val="593F501F"/>
    <w:rsid w:val="59401C6C"/>
    <w:rsid w:val="59487733"/>
    <w:rsid w:val="594B23BF"/>
    <w:rsid w:val="59524CDB"/>
    <w:rsid w:val="596949DD"/>
    <w:rsid w:val="59707498"/>
    <w:rsid w:val="597F1167"/>
    <w:rsid w:val="59AC3549"/>
    <w:rsid w:val="59BD3A9E"/>
    <w:rsid w:val="59C363FA"/>
    <w:rsid w:val="59C74AA1"/>
    <w:rsid w:val="59D66164"/>
    <w:rsid w:val="59E25784"/>
    <w:rsid w:val="59E60318"/>
    <w:rsid w:val="59F111B9"/>
    <w:rsid w:val="5A0013FC"/>
    <w:rsid w:val="5A096502"/>
    <w:rsid w:val="5A407A4A"/>
    <w:rsid w:val="5A4E09B0"/>
    <w:rsid w:val="5A56B2A4"/>
    <w:rsid w:val="5A6A4308"/>
    <w:rsid w:val="5A736072"/>
    <w:rsid w:val="5A7B0A82"/>
    <w:rsid w:val="5A876EE7"/>
    <w:rsid w:val="5A8E633F"/>
    <w:rsid w:val="5A975B2D"/>
    <w:rsid w:val="5AA13369"/>
    <w:rsid w:val="5AA44386"/>
    <w:rsid w:val="5AA94A6E"/>
    <w:rsid w:val="5AB05047"/>
    <w:rsid w:val="5AB10D5E"/>
    <w:rsid w:val="5ABA15AB"/>
    <w:rsid w:val="5AE26D53"/>
    <w:rsid w:val="5AE34FA5"/>
    <w:rsid w:val="5AE723C6"/>
    <w:rsid w:val="5AEA041D"/>
    <w:rsid w:val="5AED3131"/>
    <w:rsid w:val="5AF01470"/>
    <w:rsid w:val="5B116199"/>
    <w:rsid w:val="5B176FD5"/>
    <w:rsid w:val="5B1834F7"/>
    <w:rsid w:val="5B264E92"/>
    <w:rsid w:val="5B2F7039"/>
    <w:rsid w:val="5B3F76D1"/>
    <w:rsid w:val="5B500161"/>
    <w:rsid w:val="5B505E97"/>
    <w:rsid w:val="5B985858"/>
    <w:rsid w:val="5BD743DE"/>
    <w:rsid w:val="5BE10428"/>
    <w:rsid w:val="5BF07EDE"/>
    <w:rsid w:val="5BF24C58"/>
    <w:rsid w:val="5BF60D08"/>
    <w:rsid w:val="5C0C052C"/>
    <w:rsid w:val="5C237623"/>
    <w:rsid w:val="5C2631A6"/>
    <w:rsid w:val="5C2740AC"/>
    <w:rsid w:val="5C276FB7"/>
    <w:rsid w:val="5C4D4754"/>
    <w:rsid w:val="5C4E644E"/>
    <w:rsid w:val="5C5C78A5"/>
    <w:rsid w:val="5C614DF7"/>
    <w:rsid w:val="5C6F429B"/>
    <w:rsid w:val="5C700ABB"/>
    <w:rsid w:val="5C7D6D34"/>
    <w:rsid w:val="5C966047"/>
    <w:rsid w:val="5C9C6B0B"/>
    <w:rsid w:val="5C9D3DA7"/>
    <w:rsid w:val="5CA249EC"/>
    <w:rsid w:val="5CA644DC"/>
    <w:rsid w:val="5CA7449A"/>
    <w:rsid w:val="5CB31B05"/>
    <w:rsid w:val="5CB9526D"/>
    <w:rsid w:val="5CBD35D4"/>
    <w:rsid w:val="5CC44962"/>
    <w:rsid w:val="5CC81D5B"/>
    <w:rsid w:val="5CCE6402"/>
    <w:rsid w:val="5CCE7ECF"/>
    <w:rsid w:val="5CDC6150"/>
    <w:rsid w:val="5CEC486A"/>
    <w:rsid w:val="5D071D68"/>
    <w:rsid w:val="5D131446"/>
    <w:rsid w:val="5D17158A"/>
    <w:rsid w:val="5D192F00"/>
    <w:rsid w:val="5D1A517B"/>
    <w:rsid w:val="5D1D4002"/>
    <w:rsid w:val="5D254687"/>
    <w:rsid w:val="5D3F66DF"/>
    <w:rsid w:val="5D4476A0"/>
    <w:rsid w:val="5D605600"/>
    <w:rsid w:val="5D635829"/>
    <w:rsid w:val="5D6D3B91"/>
    <w:rsid w:val="5D801B4F"/>
    <w:rsid w:val="5DA9371D"/>
    <w:rsid w:val="5DB03139"/>
    <w:rsid w:val="5DB94316"/>
    <w:rsid w:val="5DBB5D65"/>
    <w:rsid w:val="5DBC1009"/>
    <w:rsid w:val="5DD230AF"/>
    <w:rsid w:val="5DE13D96"/>
    <w:rsid w:val="5DE80B25"/>
    <w:rsid w:val="5DEA6951"/>
    <w:rsid w:val="5DFC408A"/>
    <w:rsid w:val="5E162F9C"/>
    <w:rsid w:val="5E316028"/>
    <w:rsid w:val="5E343D6A"/>
    <w:rsid w:val="5E42438A"/>
    <w:rsid w:val="5E436EA1"/>
    <w:rsid w:val="5E473A9D"/>
    <w:rsid w:val="5E5426EE"/>
    <w:rsid w:val="5E6737F7"/>
    <w:rsid w:val="5E6B6806"/>
    <w:rsid w:val="5E6E5F24"/>
    <w:rsid w:val="5E965EE5"/>
    <w:rsid w:val="5E9C4600"/>
    <w:rsid w:val="5EA06D09"/>
    <w:rsid w:val="5EAA5DDA"/>
    <w:rsid w:val="5EAB4A36"/>
    <w:rsid w:val="5EAC3900"/>
    <w:rsid w:val="5EAF0CFE"/>
    <w:rsid w:val="5EB21B8E"/>
    <w:rsid w:val="5EB729BA"/>
    <w:rsid w:val="5EEC0726"/>
    <w:rsid w:val="5EF07C91"/>
    <w:rsid w:val="5EFB2E92"/>
    <w:rsid w:val="5F105C3D"/>
    <w:rsid w:val="5F132FF0"/>
    <w:rsid w:val="5F1A6ABC"/>
    <w:rsid w:val="5F1E0A25"/>
    <w:rsid w:val="5F272D1C"/>
    <w:rsid w:val="5F2A371A"/>
    <w:rsid w:val="5F335DCF"/>
    <w:rsid w:val="5F337B7D"/>
    <w:rsid w:val="5F544336"/>
    <w:rsid w:val="5F5572F2"/>
    <w:rsid w:val="5F6103B4"/>
    <w:rsid w:val="5F6661A5"/>
    <w:rsid w:val="5F6CADD2"/>
    <w:rsid w:val="5F710660"/>
    <w:rsid w:val="5F820FCF"/>
    <w:rsid w:val="5FBD0C74"/>
    <w:rsid w:val="5FCA3AC6"/>
    <w:rsid w:val="5FD01870"/>
    <w:rsid w:val="5FE77D07"/>
    <w:rsid w:val="5FEFCB6A"/>
    <w:rsid w:val="5FF90DC7"/>
    <w:rsid w:val="60043CF7"/>
    <w:rsid w:val="60152F95"/>
    <w:rsid w:val="60204437"/>
    <w:rsid w:val="60211516"/>
    <w:rsid w:val="602D143E"/>
    <w:rsid w:val="60301004"/>
    <w:rsid w:val="60382473"/>
    <w:rsid w:val="603B26DF"/>
    <w:rsid w:val="603E67DA"/>
    <w:rsid w:val="604403A8"/>
    <w:rsid w:val="605E3790"/>
    <w:rsid w:val="606E0145"/>
    <w:rsid w:val="606F1089"/>
    <w:rsid w:val="607C3983"/>
    <w:rsid w:val="607E751E"/>
    <w:rsid w:val="60820DBC"/>
    <w:rsid w:val="60961758"/>
    <w:rsid w:val="609B1E7E"/>
    <w:rsid w:val="60CA5C5B"/>
    <w:rsid w:val="60E45417"/>
    <w:rsid w:val="60F87F99"/>
    <w:rsid w:val="61161505"/>
    <w:rsid w:val="613227E3"/>
    <w:rsid w:val="61333E65"/>
    <w:rsid w:val="613876CD"/>
    <w:rsid w:val="613E7BD6"/>
    <w:rsid w:val="614C5210"/>
    <w:rsid w:val="616404C2"/>
    <w:rsid w:val="616A6E87"/>
    <w:rsid w:val="618F2C11"/>
    <w:rsid w:val="61936344"/>
    <w:rsid w:val="619E1C26"/>
    <w:rsid w:val="61C97E28"/>
    <w:rsid w:val="61D3163F"/>
    <w:rsid w:val="61D94A0C"/>
    <w:rsid w:val="61E45BE1"/>
    <w:rsid w:val="61EF2482"/>
    <w:rsid w:val="61F25ACE"/>
    <w:rsid w:val="61FC06FB"/>
    <w:rsid w:val="6201191B"/>
    <w:rsid w:val="62052C58"/>
    <w:rsid w:val="620E7C5F"/>
    <w:rsid w:val="62136500"/>
    <w:rsid w:val="62143C96"/>
    <w:rsid w:val="62161BC7"/>
    <w:rsid w:val="623B56C7"/>
    <w:rsid w:val="62403290"/>
    <w:rsid w:val="624F2F20"/>
    <w:rsid w:val="627209BD"/>
    <w:rsid w:val="627A1670"/>
    <w:rsid w:val="62944DD7"/>
    <w:rsid w:val="62966DA1"/>
    <w:rsid w:val="62991FE0"/>
    <w:rsid w:val="62AF39BF"/>
    <w:rsid w:val="62BD4C1D"/>
    <w:rsid w:val="62C162DF"/>
    <w:rsid w:val="62C31218"/>
    <w:rsid w:val="62C52604"/>
    <w:rsid w:val="62C54F90"/>
    <w:rsid w:val="62F56060"/>
    <w:rsid w:val="630E2E70"/>
    <w:rsid w:val="633F11E7"/>
    <w:rsid w:val="6341070D"/>
    <w:rsid w:val="63493E13"/>
    <w:rsid w:val="634C56B2"/>
    <w:rsid w:val="635D78BF"/>
    <w:rsid w:val="63770981"/>
    <w:rsid w:val="637901FC"/>
    <w:rsid w:val="638304BF"/>
    <w:rsid w:val="63882ED5"/>
    <w:rsid w:val="638C3E3F"/>
    <w:rsid w:val="63A075C4"/>
    <w:rsid w:val="63A53E53"/>
    <w:rsid w:val="63A92582"/>
    <w:rsid w:val="63BB361B"/>
    <w:rsid w:val="63C27722"/>
    <w:rsid w:val="63C52A41"/>
    <w:rsid w:val="63CA33E7"/>
    <w:rsid w:val="63D20A4A"/>
    <w:rsid w:val="63DD455C"/>
    <w:rsid w:val="63E40472"/>
    <w:rsid w:val="63EE0517"/>
    <w:rsid w:val="642C2FFF"/>
    <w:rsid w:val="64427DEE"/>
    <w:rsid w:val="644B139F"/>
    <w:rsid w:val="644E24FB"/>
    <w:rsid w:val="644F5459"/>
    <w:rsid w:val="64653612"/>
    <w:rsid w:val="64760C38"/>
    <w:rsid w:val="64793B97"/>
    <w:rsid w:val="649176F3"/>
    <w:rsid w:val="64C64FF0"/>
    <w:rsid w:val="64E421D7"/>
    <w:rsid w:val="64E536C8"/>
    <w:rsid w:val="64EF27FA"/>
    <w:rsid w:val="64FF0793"/>
    <w:rsid w:val="65000502"/>
    <w:rsid w:val="65080CA2"/>
    <w:rsid w:val="651A6FFA"/>
    <w:rsid w:val="653603C7"/>
    <w:rsid w:val="654900FB"/>
    <w:rsid w:val="65662D40"/>
    <w:rsid w:val="657611B4"/>
    <w:rsid w:val="658E3D60"/>
    <w:rsid w:val="65905D2A"/>
    <w:rsid w:val="65975ABE"/>
    <w:rsid w:val="65980C88"/>
    <w:rsid w:val="659A31F0"/>
    <w:rsid w:val="65E358B9"/>
    <w:rsid w:val="65FC3B45"/>
    <w:rsid w:val="65FE0EE5"/>
    <w:rsid w:val="66094559"/>
    <w:rsid w:val="660B1854"/>
    <w:rsid w:val="662B1179"/>
    <w:rsid w:val="66486604"/>
    <w:rsid w:val="66490BF1"/>
    <w:rsid w:val="664D59C9"/>
    <w:rsid w:val="665065E3"/>
    <w:rsid w:val="66542793"/>
    <w:rsid w:val="6677416F"/>
    <w:rsid w:val="667E2026"/>
    <w:rsid w:val="66903B07"/>
    <w:rsid w:val="66A5036A"/>
    <w:rsid w:val="66AD6C48"/>
    <w:rsid w:val="66CB066F"/>
    <w:rsid w:val="66D41C46"/>
    <w:rsid w:val="66D45B3F"/>
    <w:rsid w:val="66EA3BE6"/>
    <w:rsid w:val="66FE6CC3"/>
    <w:rsid w:val="671E3D39"/>
    <w:rsid w:val="6721001D"/>
    <w:rsid w:val="67334BBF"/>
    <w:rsid w:val="6739419F"/>
    <w:rsid w:val="674768BC"/>
    <w:rsid w:val="67584625"/>
    <w:rsid w:val="67591E9E"/>
    <w:rsid w:val="67696832"/>
    <w:rsid w:val="678629DB"/>
    <w:rsid w:val="679259FF"/>
    <w:rsid w:val="679744DF"/>
    <w:rsid w:val="67980EC5"/>
    <w:rsid w:val="679F2254"/>
    <w:rsid w:val="67A413F1"/>
    <w:rsid w:val="67A45ABC"/>
    <w:rsid w:val="67B51A77"/>
    <w:rsid w:val="67C47140"/>
    <w:rsid w:val="67CF572D"/>
    <w:rsid w:val="67E4410B"/>
    <w:rsid w:val="67FA392E"/>
    <w:rsid w:val="68014955"/>
    <w:rsid w:val="68117613"/>
    <w:rsid w:val="68282344"/>
    <w:rsid w:val="682E5386"/>
    <w:rsid w:val="68354427"/>
    <w:rsid w:val="6839704A"/>
    <w:rsid w:val="684352D5"/>
    <w:rsid w:val="686F41A0"/>
    <w:rsid w:val="6873723D"/>
    <w:rsid w:val="687C5E53"/>
    <w:rsid w:val="687E455F"/>
    <w:rsid w:val="68831B76"/>
    <w:rsid w:val="689C6793"/>
    <w:rsid w:val="68B25AF9"/>
    <w:rsid w:val="68B7625C"/>
    <w:rsid w:val="68CA77A4"/>
    <w:rsid w:val="68D12617"/>
    <w:rsid w:val="68DE6DAC"/>
    <w:rsid w:val="68E7003B"/>
    <w:rsid w:val="68F14D31"/>
    <w:rsid w:val="68F16ADF"/>
    <w:rsid w:val="68F55EA4"/>
    <w:rsid w:val="68FA02C2"/>
    <w:rsid w:val="68FB170C"/>
    <w:rsid w:val="68FB795E"/>
    <w:rsid w:val="68FC7232"/>
    <w:rsid w:val="68FE744E"/>
    <w:rsid w:val="69001CCB"/>
    <w:rsid w:val="69064ECD"/>
    <w:rsid w:val="69117181"/>
    <w:rsid w:val="69180510"/>
    <w:rsid w:val="691B590A"/>
    <w:rsid w:val="692D4B35"/>
    <w:rsid w:val="69344C1E"/>
    <w:rsid w:val="6944742F"/>
    <w:rsid w:val="694C03B3"/>
    <w:rsid w:val="694F07A9"/>
    <w:rsid w:val="69613711"/>
    <w:rsid w:val="696C6E31"/>
    <w:rsid w:val="69746CC5"/>
    <w:rsid w:val="699A38B2"/>
    <w:rsid w:val="69B018C1"/>
    <w:rsid w:val="69C2047C"/>
    <w:rsid w:val="69DA3A17"/>
    <w:rsid w:val="69F85C4B"/>
    <w:rsid w:val="69FF1A78"/>
    <w:rsid w:val="6A010FA4"/>
    <w:rsid w:val="6A22006E"/>
    <w:rsid w:val="6A2A7525"/>
    <w:rsid w:val="6A436FC0"/>
    <w:rsid w:val="6A446A13"/>
    <w:rsid w:val="6A4E5E82"/>
    <w:rsid w:val="6A4E6E83"/>
    <w:rsid w:val="6A5F4F63"/>
    <w:rsid w:val="6A5F748C"/>
    <w:rsid w:val="6A745963"/>
    <w:rsid w:val="6A7C062B"/>
    <w:rsid w:val="6A841D70"/>
    <w:rsid w:val="6A850FAD"/>
    <w:rsid w:val="6A933BC6"/>
    <w:rsid w:val="6ADC37BF"/>
    <w:rsid w:val="6AE85CC0"/>
    <w:rsid w:val="6AF61265"/>
    <w:rsid w:val="6B083125"/>
    <w:rsid w:val="6B0A032C"/>
    <w:rsid w:val="6B0A3E88"/>
    <w:rsid w:val="6B0B007F"/>
    <w:rsid w:val="6B122D3D"/>
    <w:rsid w:val="6B1271E1"/>
    <w:rsid w:val="6B297183"/>
    <w:rsid w:val="6B8A321B"/>
    <w:rsid w:val="6BA53BB1"/>
    <w:rsid w:val="6BA66FDA"/>
    <w:rsid w:val="6BB549C4"/>
    <w:rsid w:val="6BB6110A"/>
    <w:rsid w:val="6BBA12EE"/>
    <w:rsid w:val="6BC57F00"/>
    <w:rsid w:val="6BC97EFC"/>
    <w:rsid w:val="6BCA6420"/>
    <w:rsid w:val="6BE26BB3"/>
    <w:rsid w:val="6BE741CA"/>
    <w:rsid w:val="6BEC4DD2"/>
    <w:rsid w:val="6C0C1E82"/>
    <w:rsid w:val="6C134FBF"/>
    <w:rsid w:val="6C1C3133"/>
    <w:rsid w:val="6C330ED2"/>
    <w:rsid w:val="6C3527D4"/>
    <w:rsid w:val="6C4654AA"/>
    <w:rsid w:val="6C5B0466"/>
    <w:rsid w:val="6C643B3D"/>
    <w:rsid w:val="6C674CA3"/>
    <w:rsid w:val="6C7C7008"/>
    <w:rsid w:val="6C845EBC"/>
    <w:rsid w:val="6C847C6A"/>
    <w:rsid w:val="6C855934"/>
    <w:rsid w:val="6C910B40"/>
    <w:rsid w:val="6CA9147F"/>
    <w:rsid w:val="6CB85337"/>
    <w:rsid w:val="6CC369E5"/>
    <w:rsid w:val="6CC47E5A"/>
    <w:rsid w:val="6CD26C28"/>
    <w:rsid w:val="6CD96208"/>
    <w:rsid w:val="6CDE737B"/>
    <w:rsid w:val="6CED272F"/>
    <w:rsid w:val="6CF13C81"/>
    <w:rsid w:val="6CFE7A1D"/>
    <w:rsid w:val="6D055865"/>
    <w:rsid w:val="6D082649"/>
    <w:rsid w:val="6D102318"/>
    <w:rsid w:val="6D152C7A"/>
    <w:rsid w:val="6D196605"/>
    <w:rsid w:val="6D1D512E"/>
    <w:rsid w:val="6D2154B9"/>
    <w:rsid w:val="6D2C27DC"/>
    <w:rsid w:val="6D3276C6"/>
    <w:rsid w:val="6D3708FB"/>
    <w:rsid w:val="6D3E250F"/>
    <w:rsid w:val="6D401DE3"/>
    <w:rsid w:val="6D5835D1"/>
    <w:rsid w:val="6D5C5AB8"/>
    <w:rsid w:val="6D632B13"/>
    <w:rsid w:val="6D8A305E"/>
    <w:rsid w:val="6D8C6AB1"/>
    <w:rsid w:val="6D8D2B4F"/>
    <w:rsid w:val="6D9050BE"/>
    <w:rsid w:val="6D964261"/>
    <w:rsid w:val="6DB36A59"/>
    <w:rsid w:val="6DB41A6A"/>
    <w:rsid w:val="6DC63DA8"/>
    <w:rsid w:val="6DD75C35"/>
    <w:rsid w:val="6DEA7FA1"/>
    <w:rsid w:val="6E0E0133"/>
    <w:rsid w:val="6E11327E"/>
    <w:rsid w:val="6E386F5E"/>
    <w:rsid w:val="6E4A456A"/>
    <w:rsid w:val="6E4E0530"/>
    <w:rsid w:val="6E5518BE"/>
    <w:rsid w:val="6E777A87"/>
    <w:rsid w:val="6E8333A7"/>
    <w:rsid w:val="6E9835C9"/>
    <w:rsid w:val="6E9A4D7A"/>
    <w:rsid w:val="6E9B56B7"/>
    <w:rsid w:val="6E9D0F19"/>
    <w:rsid w:val="6EA13F6B"/>
    <w:rsid w:val="6EB81E4D"/>
    <w:rsid w:val="6ED94E10"/>
    <w:rsid w:val="6EE71039"/>
    <w:rsid w:val="6EEA46FD"/>
    <w:rsid w:val="6F101C89"/>
    <w:rsid w:val="6F152D9A"/>
    <w:rsid w:val="6F3C2A7E"/>
    <w:rsid w:val="6F5B1846"/>
    <w:rsid w:val="6F600666"/>
    <w:rsid w:val="6F6766E2"/>
    <w:rsid w:val="6F692830"/>
    <w:rsid w:val="6F7F3C85"/>
    <w:rsid w:val="6F852BA1"/>
    <w:rsid w:val="6F87083E"/>
    <w:rsid w:val="6FA526CF"/>
    <w:rsid w:val="6FA64098"/>
    <w:rsid w:val="6FB865A9"/>
    <w:rsid w:val="6FD107B4"/>
    <w:rsid w:val="6FE4739E"/>
    <w:rsid w:val="6FEF5D43"/>
    <w:rsid w:val="6FF3138F"/>
    <w:rsid w:val="6FFA135B"/>
    <w:rsid w:val="6FFF7C0E"/>
    <w:rsid w:val="700D06A2"/>
    <w:rsid w:val="70311EB7"/>
    <w:rsid w:val="70357BF9"/>
    <w:rsid w:val="70384FF4"/>
    <w:rsid w:val="7049709F"/>
    <w:rsid w:val="704C4F43"/>
    <w:rsid w:val="70607750"/>
    <w:rsid w:val="706B361B"/>
    <w:rsid w:val="7073599E"/>
    <w:rsid w:val="70736AC3"/>
    <w:rsid w:val="707515C1"/>
    <w:rsid w:val="707FDCA3"/>
    <w:rsid w:val="70865C9C"/>
    <w:rsid w:val="708A4D58"/>
    <w:rsid w:val="708F6BDE"/>
    <w:rsid w:val="70A37239"/>
    <w:rsid w:val="70A42689"/>
    <w:rsid w:val="70AE6A31"/>
    <w:rsid w:val="70B52AE8"/>
    <w:rsid w:val="70BD3987"/>
    <w:rsid w:val="70C5742E"/>
    <w:rsid w:val="70CB04E6"/>
    <w:rsid w:val="70D27294"/>
    <w:rsid w:val="71286E22"/>
    <w:rsid w:val="71431EA2"/>
    <w:rsid w:val="7143236C"/>
    <w:rsid w:val="71434477"/>
    <w:rsid w:val="71544FA7"/>
    <w:rsid w:val="716F0EE9"/>
    <w:rsid w:val="71714DDF"/>
    <w:rsid w:val="717D5BC9"/>
    <w:rsid w:val="718F06FD"/>
    <w:rsid w:val="71A566B9"/>
    <w:rsid w:val="71B2527A"/>
    <w:rsid w:val="71CA25C3"/>
    <w:rsid w:val="71D376CA"/>
    <w:rsid w:val="71DB20DB"/>
    <w:rsid w:val="71DB657E"/>
    <w:rsid w:val="71DC5974"/>
    <w:rsid w:val="71F15DA2"/>
    <w:rsid w:val="72231699"/>
    <w:rsid w:val="722568D7"/>
    <w:rsid w:val="72273572"/>
    <w:rsid w:val="722C6DDA"/>
    <w:rsid w:val="722F7D75"/>
    <w:rsid w:val="723D0FE7"/>
    <w:rsid w:val="72552B3F"/>
    <w:rsid w:val="72583E79"/>
    <w:rsid w:val="725A654C"/>
    <w:rsid w:val="725B4947"/>
    <w:rsid w:val="72602357"/>
    <w:rsid w:val="727F7783"/>
    <w:rsid w:val="72872262"/>
    <w:rsid w:val="728A3B01"/>
    <w:rsid w:val="72C45265"/>
    <w:rsid w:val="72D134DE"/>
    <w:rsid w:val="72D60AF4"/>
    <w:rsid w:val="72DD425C"/>
    <w:rsid w:val="72EB459F"/>
    <w:rsid w:val="72F85FEB"/>
    <w:rsid w:val="73013DC3"/>
    <w:rsid w:val="73153BB6"/>
    <w:rsid w:val="731C29AB"/>
    <w:rsid w:val="731E31D8"/>
    <w:rsid w:val="73243F55"/>
    <w:rsid w:val="73305DFD"/>
    <w:rsid w:val="734D5117"/>
    <w:rsid w:val="734F61F6"/>
    <w:rsid w:val="735E0EFB"/>
    <w:rsid w:val="735F61C1"/>
    <w:rsid w:val="7365121C"/>
    <w:rsid w:val="736B508C"/>
    <w:rsid w:val="737547B1"/>
    <w:rsid w:val="737650A4"/>
    <w:rsid w:val="738531BD"/>
    <w:rsid w:val="738A2DD7"/>
    <w:rsid w:val="73905147"/>
    <w:rsid w:val="73915B78"/>
    <w:rsid w:val="73941CCC"/>
    <w:rsid w:val="739447BA"/>
    <w:rsid w:val="73993FFB"/>
    <w:rsid w:val="73AA26AC"/>
    <w:rsid w:val="73AC4C26"/>
    <w:rsid w:val="73AE12EC"/>
    <w:rsid w:val="73AF3118"/>
    <w:rsid w:val="73B272DC"/>
    <w:rsid w:val="73B452D9"/>
    <w:rsid w:val="73BBD34C"/>
    <w:rsid w:val="73D46F1E"/>
    <w:rsid w:val="73D634A1"/>
    <w:rsid w:val="73D830DC"/>
    <w:rsid w:val="73F277FB"/>
    <w:rsid w:val="73F751C6"/>
    <w:rsid w:val="74035F8D"/>
    <w:rsid w:val="7416389E"/>
    <w:rsid w:val="74222C41"/>
    <w:rsid w:val="743467DF"/>
    <w:rsid w:val="74394BA4"/>
    <w:rsid w:val="743B1556"/>
    <w:rsid w:val="744119A1"/>
    <w:rsid w:val="744213FF"/>
    <w:rsid w:val="744A1799"/>
    <w:rsid w:val="74714F78"/>
    <w:rsid w:val="74722479"/>
    <w:rsid w:val="74884070"/>
    <w:rsid w:val="7491607B"/>
    <w:rsid w:val="74962DDE"/>
    <w:rsid w:val="74B15F95"/>
    <w:rsid w:val="74B457E6"/>
    <w:rsid w:val="74DB6895"/>
    <w:rsid w:val="74DEE34C"/>
    <w:rsid w:val="74E0413E"/>
    <w:rsid w:val="74E670BC"/>
    <w:rsid w:val="74F31E31"/>
    <w:rsid w:val="74FE3011"/>
    <w:rsid w:val="74FE7FE0"/>
    <w:rsid w:val="751029E3"/>
    <w:rsid w:val="75322959"/>
    <w:rsid w:val="754B3A1B"/>
    <w:rsid w:val="755201BF"/>
    <w:rsid w:val="75521133"/>
    <w:rsid w:val="75532CC9"/>
    <w:rsid w:val="75640639"/>
    <w:rsid w:val="75672928"/>
    <w:rsid w:val="757F36C5"/>
    <w:rsid w:val="75830051"/>
    <w:rsid w:val="75A44F33"/>
    <w:rsid w:val="75AE7D3B"/>
    <w:rsid w:val="75B01F58"/>
    <w:rsid w:val="75B9544D"/>
    <w:rsid w:val="75BF1D13"/>
    <w:rsid w:val="75CB7DAE"/>
    <w:rsid w:val="75CE4A51"/>
    <w:rsid w:val="75D27C98"/>
    <w:rsid w:val="75DF5F11"/>
    <w:rsid w:val="75E901FC"/>
    <w:rsid w:val="75FD7964"/>
    <w:rsid w:val="75FF7042"/>
    <w:rsid w:val="7603295D"/>
    <w:rsid w:val="7607070F"/>
    <w:rsid w:val="760905A3"/>
    <w:rsid w:val="760925E8"/>
    <w:rsid w:val="76164217"/>
    <w:rsid w:val="76191423"/>
    <w:rsid w:val="76272F4D"/>
    <w:rsid w:val="763C3364"/>
    <w:rsid w:val="76407334"/>
    <w:rsid w:val="76487F5B"/>
    <w:rsid w:val="764B6161"/>
    <w:rsid w:val="768F354A"/>
    <w:rsid w:val="76934ECB"/>
    <w:rsid w:val="7696746C"/>
    <w:rsid w:val="76A814B1"/>
    <w:rsid w:val="76B85B6F"/>
    <w:rsid w:val="76BD3B8F"/>
    <w:rsid w:val="76D57A40"/>
    <w:rsid w:val="76EF79DF"/>
    <w:rsid w:val="76F0340D"/>
    <w:rsid w:val="76F58E6F"/>
    <w:rsid w:val="76FD6F97"/>
    <w:rsid w:val="770164D0"/>
    <w:rsid w:val="77076AA4"/>
    <w:rsid w:val="770C0F88"/>
    <w:rsid w:val="77107490"/>
    <w:rsid w:val="771A4CBB"/>
    <w:rsid w:val="772269FE"/>
    <w:rsid w:val="77424D1F"/>
    <w:rsid w:val="7754671E"/>
    <w:rsid w:val="77597EB6"/>
    <w:rsid w:val="777233CA"/>
    <w:rsid w:val="77807586"/>
    <w:rsid w:val="77851A69"/>
    <w:rsid w:val="779C230C"/>
    <w:rsid w:val="77BC650A"/>
    <w:rsid w:val="77BD7388"/>
    <w:rsid w:val="77C11D73"/>
    <w:rsid w:val="77C61FA0"/>
    <w:rsid w:val="77CB0E43"/>
    <w:rsid w:val="77CD4BBB"/>
    <w:rsid w:val="77D17A45"/>
    <w:rsid w:val="77D744B6"/>
    <w:rsid w:val="77DA638B"/>
    <w:rsid w:val="77ED294E"/>
    <w:rsid w:val="77F543A4"/>
    <w:rsid w:val="77FE2FC7"/>
    <w:rsid w:val="7800397B"/>
    <w:rsid w:val="78055809"/>
    <w:rsid w:val="78125870"/>
    <w:rsid w:val="78267E28"/>
    <w:rsid w:val="78303C92"/>
    <w:rsid w:val="78336E8F"/>
    <w:rsid w:val="7836450F"/>
    <w:rsid w:val="783F195D"/>
    <w:rsid w:val="78454752"/>
    <w:rsid w:val="78485FF0"/>
    <w:rsid w:val="785A48DB"/>
    <w:rsid w:val="78623556"/>
    <w:rsid w:val="786728C9"/>
    <w:rsid w:val="786C7F30"/>
    <w:rsid w:val="78811502"/>
    <w:rsid w:val="788162CE"/>
    <w:rsid w:val="78827687"/>
    <w:rsid w:val="78833532"/>
    <w:rsid w:val="78867F50"/>
    <w:rsid w:val="78905C76"/>
    <w:rsid w:val="789574EF"/>
    <w:rsid w:val="78A7540C"/>
    <w:rsid w:val="78C22246"/>
    <w:rsid w:val="78E82ECC"/>
    <w:rsid w:val="78EB7C2E"/>
    <w:rsid w:val="78F74CE4"/>
    <w:rsid w:val="79061938"/>
    <w:rsid w:val="790F6B0E"/>
    <w:rsid w:val="79135078"/>
    <w:rsid w:val="79157058"/>
    <w:rsid w:val="7917664A"/>
    <w:rsid w:val="791B1604"/>
    <w:rsid w:val="79277E07"/>
    <w:rsid w:val="792D0CF6"/>
    <w:rsid w:val="793D4922"/>
    <w:rsid w:val="795471DE"/>
    <w:rsid w:val="795D5ACB"/>
    <w:rsid w:val="796B15F6"/>
    <w:rsid w:val="797362B4"/>
    <w:rsid w:val="797572B9"/>
    <w:rsid w:val="797D43BF"/>
    <w:rsid w:val="798153CC"/>
    <w:rsid w:val="79960FDD"/>
    <w:rsid w:val="799D3B64"/>
    <w:rsid w:val="79A26A4A"/>
    <w:rsid w:val="79A82AF9"/>
    <w:rsid w:val="79A90D10"/>
    <w:rsid w:val="79B0209F"/>
    <w:rsid w:val="79BF480D"/>
    <w:rsid w:val="79C67B14"/>
    <w:rsid w:val="79CE4C1B"/>
    <w:rsid w:val="79CF5E40"/>
    <w:rsid w:val="79D32B34"/>
    <w:rsid w:val="79E66321"/>
    <w:rsid w:val="7A0643B5"/>
    <w:rsid w:val="7A293F92"/>
    <w:rsid w:val="7A2F1E3C"/>
    <w:rsid w:val="7A2F7FBA"/>
    <w:rsid w:val="7A344A7E"/>
    <w:rsid w:val="7A4455AE"/>
    <w:rsid w:val="7A4D6A17"/>
    <w:rsid w:val="7A5F5873"/>
    <w:rsid w:val="7A613399"/>
    <w:rsid w:val="7A886B78"/>
    <w:rsid w:val="7A8C079F"/>
    <w:rsid w:val="7A9610CD"/>
    <w:rsid w:val="7A9A7EC7"/>
    <w:rsid w:val="7AD048D5"/>
    <w:rsid w:val="7ADE6FC1"/>
    <w:rsid w:val="7AF97A75"/>
    <w:rsid w:val="7B2C1BF9"/>
    <w:rsid w:val="7B315461"/>
    <w:rsid w:val="7B3B25D2"/>
    <w:rsid w:val="7B452056"/>
    <w:rsid w:val="7B4D23D0"/>
    <w:rsid w:val="7B5178B1"/>
    <w:rsid w:val="7B606A67"/>
    <w:rsid w:val="7B62561B"/>
    <w:rsid w:val="7B6A2721"/>
    <w:rsid w:val="7B707D38"/>
    <w:rsid w:val="7B7E4AEF"/>
    <w:rsid w:val="7B7F7F7B"/>
    <w:rsid w:val="7B9854E0"/>
    <w:rsid w:val="7B9D74A9"/>
    <w:rsid w:val="7BA615A2"/>
    <w:rsid w:val="7BAD2EC7"/>
    <w:rsid w:val="7BB8348D"/>
    <w:rsid w:val="7BBD1C97"/>
    <w:rsid w:val="7BBF715B"/>
    <w:rsid w:val="7BC23097"/>
    <w:rsid w:val="7BDE554C"/>
    <w:rsid w:val="7BDF6C6B"/>
    <w:rsid w:val="7BE14DA1"/>
    <w:rsid w:val="7BF54622"/>
    <w:rsid w:val="7BF546E1"/>
    <w:rsid w:val="7BF71835"/>
    <w:rsid w:val="7BFF585B"/>
    <w:rsid w:val="7C031C34"/>
    <w:rsid w:val="7C1459E2"/>
    <w:rsid w:val="7C1F175E"/>
    <w:rsid w:val="7C4756E9"/>
    <w:rsid w:val="7C5D696C"/>
    <w:rsid w:val="7C6F6241"/>
    <w:rsid w:val="7C7B014B"/>
    <w:rsid w:val="7C8616B1"/>
    <w:rsid w:val="7C883B40"/>
    <w:rsid w:val="7C8A5143"/>
    <w:rsid w:val="7C907F65"/>
    <w:rsid w:val="7CA0464C"/>
    <w:rsid w:val="7CA52CCA"/>
    <w:rsid w:val="7CAE2D60"/>
    <w:rsid w:val="7CBA4FE2"/>
    <w:rsid w:val="7CBB1486"/>
    <w:rsid w:val="7CCD2F68"/>
    <w:rsid w:val="7CD267D0"/>
    <w:rsid w:val="7CDFA69B"/>
    <w:rsid w:val="7CF209C2"/>
    <w:rsid w:val="7D07111F"/>
    <w:rsid w:val="7D0D15B6"/>
    <w:rsid w:val="7D171AF4"/>
    <w:rsid w:val="7D23036F"/>
    <w:rsid w:val="7D2A03BA"/>
    <w:rsid w:val="7D337C34"/>
    <w:rsid w:val="7D344D95"/>
    <w:rsid w:val="7D366D5F"/>
    <w:rsid w:val="7D382AD7"/>
    <w:rsid w:val="7D40373A"/>
    <w:rsid w:val="7D4A0A5C"/>
    <w:rsid w:val="7D580E3B"/>
    <w:rsid w:val="7D60202E"/>
    <w:rsid w:val="7D607334"/>
    <w:rsid w:val="7D7E6B8B"/>
    <w:rsid w:val="7D864FB5"/>
    <w:rsid w:val="7D9046C1"/>
    <w:rsid w:val="7DA168CE"/>
    <w:rsid w:val="7DBFAEB0"/>
    <w:rsid w:val="7DC23DC2"/>
    <w:rsid w:val="7DCD02A0"/>
    <w:rsid w:val="7DD563A4"/>
    <w:rsid w:val="7DEB3451"/>
    <w:rsid w:val="7DF12C86"/>
    <w:rsid w:val="7DFD08B0"/>
    <w:rsid w:val="7DFF5852"/>
    <w:rsid w:val="7E144772"/>
    <w:rsid w:val="7E2748F9"/>
    <w:rsid w:val="7E3257BC"/>
    <w:rsid w:val="7E3D5ECB"/>
    <w:rsid w:val="7E4E1E86"/>
    <w:rsid w:val="7E584026"/>
    <w:rsid w:val="7E5F4093"/>
    <w:rsid w:val="7E641BD4"/>
    <w:rsid w:val="7E6B34F5"/>
    <w:rsid w:val="7E7B1E6F"/>
    <w:rsid w:val="7E7B3A3F"/>
    <w:rsid w:val="7E807A39"/>
    <w:rsid w:val="7E8B30DA"/>
    <w:rsid w:val="7E8C2368"/>
    <w:rsid w:val="7E9C6F9B"/>
    <w:rsid w:val="7EAB72D9"/>
    <w:rsid w:val="7EAF501B"/>
    <w:rsid w:val="7EB37063"/>
    <w:rsid w:val="7EBF4B32"/>
    <w:rsid w:val="7EC5039A"/>
    <w:rsid w:val="7EC562F5"/>
    <w:rsid w:val="7EC91358"/>
    <w:rsid w:val="7ED7DDCE"/>
    <w:rsid w:val="7EEB3B79"/>
    <w:rsid w:val="7EED1546"/>
    <w:rsid w:val="7EF70770"/>
    <w:rsid w:val="7F07550C"/>
    <w:rsid w:val="7F0D1D41"/>
    <w:rsid w:val="7F141322"/>
    <w:rsid w:val="7F1453DB"/>
    <w:rsid w:val="7F1475B9"/>
    <w:rsid w:val="7F1629A4"/>
    <w:rsid w:val="7F1E1CCB"/>
    <w:rsid w:val="7F2876AC"/>
    <w:rsid w:val="7F341DFF"/>
    <w:rsid w:val="7F476EB4"/>
    <w:rsid w:val="7F590AE3"/>
    <w:rsid w:val="7F5931D8"/>
    <w:rsid w:val="7F6F7026"/>
    <w:rsid w:val="7F7F184C"/>
    <w:rsid w:val="7F7FE64A"/>
    <w:rsid w:val="7F956761"/>
    <w:rsid w:val="7F9B49B0"/>
    <w:rsid w:val="7FB422C4"/>
    <w:rsid w:val="7FDC3989"/>
    <w:rsid w:val="7FEA09E2"/>
    <w:rsid w:val="7FEC1957"/>
    <w:rsid w:val="7FF37189"/>
    <w:rsid w:val="8DDC2330"/>
    <w:rsid w:val="9FBD6E3A"/>
    <w:rsid w:val="ABB51C1B"/>
    <w:rsid w:val="AFBBF067"/>
    <w:rsid w:val="B5FF2DC1"/>
    <w:rsid w:val="B7D75C42"/>
    <w:rsid w:val="B9F775B7"/>
    <w:rsid w:val="BC936312"/>
    <w:rsid w:val="BDFF1568"/>
    <w:rsid w:val="BDFFED4C"/>
    <w:rsid w:val="BEDF50DF"/>
    <w:rsid w:val="BF7F7A46"/>
    <w:rsid w:val="BFD75EF3"/>
    <w:rsid w:val="BFEA60F3"/>
    <w:rsid w:val="BFF4EE88"/>
    <w:rsid w:val="C6DF4D2C"/>
    <w:rsid w:val="CDDF8D29"/>
    <w:rsid w:val="CF7B6F3E"/>
    <w:rsid w:val="D2B781E6"/>
    <w:rsid w:val="D47FFD19"/>
    <w:rsid w:val="D6C7FF08"/>
    <w:rsid w:val="D8FF9E66"/>
    <w:rsid w:val="DB2EA37C"/>
    <w:rsid w:val="DEFAD7D8"/>
    <w:rsid w:val="DFB72C70"/>
    <w:rsid w:val="DFFA7DB7"/>
    <w:rsid w:val="E4EB1C6E"/>
    <w:rsid w:val="E75F9682"/>
    <w:rsid w:val="E7BBB46B"/>
    <w:rsid w:val="EA0B12A9"/>
    <w:rsid w:val="EBF68805"/>
    <w:rsid w:val="EEE7E7A4"/>
    <w:rsid w:val="EFF60C47"/>
    <w:rsid w:val="F1F511E9"/>
    <w:rsid w:val="F2CDE67B"/>
    <w:rsid w:val="F68F70A5"/>
    <w:rsid w:val="F7BBF211"/>
    <w:rsid w:val="F7DEF1EE"/>
    <w:rsid w:val="F7F38D57"/>
    <w:rsid w:val="F7FF55DE"/>
    <w:rsid w:val="F98567CE"/>
    <w:rsid w:val="F9BEFF0E"/>
    <w:rsid w:val="F9EFC684"/>
    <w:rsid w:val="FADDB4F8"/>
    <w:rsid w:val="FAE9CD5D"/>
    <w:rsid w:val="FB5F9FE3"/>
    <w:rsid w:val="FB692196"/>
    <w:rsid w:val="FBCF5740"/>
    <w:rsid w:val="FD7DC39C"/>
    <w:rsid w:val="FDAD4A42"/>
    <w:rsid w:val="FDEC5532"/>
    <w:rsid w:val="FDFDD994"/>
    <w:rsid w:val="FDFE196F"/>
    <w:rsid w:val="FDFFA531"/>
    <w:rsid w:val="FEBDE989"/>
    <w:rsid w:val="FEBF0BE3"/>
    <w:rsid w:val="FEF5BAD6"/>
    <w:rsid w:val="FF572B2E"/>
    <w:rsid w:val="FF7B3FA7"/>
    <w:rsid w:val="FFDF63B8"/>
    <w:rsid w:val="FFE70018"/>
    <w:rsid w:val="FFFAA7B2"/>
    <w:rsid w:val="FFFDC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5">
    <w:name w:val="heading 3"/>
    <w:basedOn w:val="1"/>
    <w:next w:val="1"/>
    <w:qFormat/>
    <w:uiPriority w:val="0"/>
    <w:pPr>
      <w:keepNext/>
      <w:keepLines/>
      <w:spacing w:before="260" w:after="260" w:line="416" w:lineRule="auto"/>
      <w:outlineLvl w:val="2"/>
    </w:pPr>
    <w:rPr>
      <w:b/>
      <w:bCs/>
      <w:kern w:val="0"/>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rPr>
      <w:sz w:val="24"/>
    </w:rPr>
  </w:style>
  <w:style w:type="paragraph" w:styleId="6">
    <w:name w:val="Normal Indent"/>
    <w:basedOn w:val="1"/>
    <w:qFormat/>
    <w:uiPriority w:val="0"/>
    <w:pPr>
      <w:ind w:firstLine="420" w:firstLineChars="200"/>
    </w:pPr>
    <w:rPr>
      <w:szCs w:val="20"/>
    </w:rPr>
  </w:style>
  <w:style w:type="paragraph" w:styleId="7">
    <w:name w:val="annotation text"/>
    <w:basedOn w:val="1"/>
    <w:link w:val="26"/>
    <w:unhideWhenUsed/>
    <w:qFormat/>
    <w:uiPriority w:val="0"/>
    <w:pPr>
      <w:jc w:val="left"/>
    </w:pPr>
    <w:rPr>
      <w:kern w:val="0"/>
      <w:sz w:val="20"/>
    </w:rPr>
  </w:style>
  <w:style w:type="paragraph" w:styleId="8">
    <w:name w:val="Body Text Indent"/>
    <w:basedOn w:val="1"/>
    <w:unhideWhenUsed/>
    <w:qFormat/>
    <w:uiPriority w:val="99"/>
    <w:pPr>
      <w:spacing w:after="120"/>
      <w:ind w:left="420" w:leftChars="200"/>
    </w:pPr>
    <w:rPr>
      <w:kern w:val="0"/>
      <w:sz w:val="20"/>
      <w:szCs w:val="20"/>
    </w:rPr>
  </w:style>
  <w:style w:type="paragraph" w:styleId="9">
    <w:name w:val="Plain Text"/>
    <w:basedOn w:val="1"/>
    <w:qFormat/>
    <w:uiPriority w:val="0"/>
    <w:rPr>
      <w:rFonts w:ascii="宋体" w:hAnsi="Courier New"/>
    </w:rPr>
  </w:style>
  <w:style w:type="paragraph" w:styleId="10">
    <w:name w:val="Balloon Text"/>
    <w:basedOn w:val="1"/>
    <w:link w:val="27"/>
    <w:qFormat/>
    <w:uiPriority w:val="0"/>
    <w:rPr>
      <w:sz w:val="18"/>
      <w:szCs w:val="18"/>
    </w:rPr>
  </w:style>
  <w:style w:type="paragraph" w:styleId="11">
    <w:name w:val="footer"/>
    <w:basedOn w:val="1"/>
    <w:unhideWhenUsed/>
    <w:qFormat/>
    <w:uiPriority w:val="99"/>
    <w:pPr>
      <w:tabs>
        <w:tab w:val="center" w:pos="4153"/>
        <w:tab w:val="right" w:pos="8306"/>
      </w:tabs>
      <w:snapToGrid w:val="0"/>
      <w:jc w:val="left"/>
    </w:pPr>
    <w:rPr>
      <w:kern w:val="0"/>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unhideWhenUsed/>
    <w:qFormat/>
    <w:uiPriority w:val="39"/>
  </w:style>
  <w:style w:type="paragraph" w:styleId="14">
    <w:name w:val="toc 2"/>
    <w:basedOn w:val="1"/>
    <w:next w:val="1"/>
    <w:qFormat/>
    <w:uiPriority w:val="0"/>
    <w:pPr>
      <w:spacing w:line="600" w:lineRule="exact"/>
      <w:ind w:firstLine="880" w:firstLineChars="200"/>
    </w:pPr>
    <w:rPr>
      <w:rFonts w:eastAsia="仿宋_GB2312"/>
      <w:sz w:val="32"/>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6">
    <w:name w:val="Title"/>
    <w:basedOn w:val="1"/>
    <w:next w:val="1"/>
    <w:qFormat/>
    <w:uiPriority w:val="0"/>
    <w:pPr>
      <w:spacing w:before="240" w:after="60"/>
      <w:jc w:val="center"/>
      <w:outlineLvl w:val="0"/>
    </w:pPr>
    <w:rPr>
      <w:rFonts w:ascii="Arial" w:hAnsi="Arial" w:eastAsia="隶书"/>
      <w:b/>
      <w:bCs/>
      <w:sz w:val="32"/>
      <w:szCs w:val="32"/>
    </w:rPr>
  </w:style>
  <w:style w:type="paragraph" w:styleId="17">
    <w:name w:val="annotation subject"/>
    <w:basedOn w:val="7"/>
    <w:next w:val="7"/>
    <w:link w:val="28"/>
    <w:qFormat/>
    <w:uiPriority w:val="0"/>
    <w:rPr>
      <w:b/>
      <w:bCs/>
      <w:kern w:val="2"/>
      <w:sz w:val="21"/>
    </w:rPr>
  </w:style>
  <w:style w:type="table" w:styleId="19">
    <w:name w:val="Table Grid"/>
    <w:basedOn w:val="1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0"/>
    <w:rPr>
      <w:b/>
    </w:rPr>
  </w:style>
  <w:style w:type="character" w:styleId="22">
    <w:name w:val="page number"/>
    <w:qFormat/>
    <w:uiPriority w:val="0"/>
  </w:style>
  <w:style w:type="character" w:styleId="23">
    <w:name w:val="FollowedHyperlink"/>
    <w:qFormat/>
    <w:uiPriority w:val="0"/>
    <w:rPr>
      <w:color w:val="800080"/>
      <w:u w:val="none"/>
    </w:rPr>
  </w:style>
  <w:style w:type="character" w:styleId="24">
    <w:name w:val="Hyperlink"/>
    <w:qFormat/>
    <w:uiPriority w:val="0"/>
    <w:rPr>
      <w:color w:val="0000FF"/>
      <w:u w:val="none"/>
    </w:rPr>
  </w:style>
  <w:style w:type="character" w:styleId="25">
    <w:name w:val="annotation reference"/>
    <w:qFormat/>
    <w:uiPriority w:val="0"/>
    <w:rPr>
      <w:sz w:val="21"/>
      <w:szCs w:val="21"/>
    </w:rPr>
  </w:style>
  <w:style w:type="character" w:customStyle="1" w:styleId="26">
    <w:name w:val="批注文字 字符"/>
    <w:link w:val="7"/>
    <w:qFormat/>
    <w:uiPriority w:val="0"/>
    <w:rPr>
      <w:szCs w:val="24"/>
    </w:rPr>
  </w:style>
  <w:style w:type="character" w:customStyle="1" w:styleId="27">
    <w:name w:val="批注框文本 字符"/>
    <w:link w:val="10"/>
    <w:qFormat/>
    <w:uiPriority w:val="0"/>
    <w:rPr>
      <w:kern w:val="2"/>
      <w:sz w:val="18"/>
      <w:szCs w:val="18"/>
    </w:rPr>
  </w:style>
  <w:style w:type="character" w:customStyle="1" w:styleId="28">
    <w:name w:val="批注主题 字符"/>
    <w:link w:val="17"/>
    <w:qFormat/>
    <w:uiPriority w:val="0"/>
    <w:rPr>
      <w:b/>
      <w:bCs/>
      <w:kern w:val="2"/>
      <w:sz w:val="21"/>
      <w:szCs w:val="24"/>
    </w:rPr>
  </w:style>
  <w:style w:type="paragraph" w:styleId="29">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customStyle="1" w:styleId="30">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1">
    <w:name w:val="正文格式"/>
    <w:basedOn w:val="8"/>
    <w:qFormat/>
    <w:uiPriority w:val="99"/>
    <w:pPr>
      <w:spacing w:after="0" w:line="360" w:lineRule="auto"/>
      <w:ind w:left="0" w:leftChars="0" w:firstLine="600"/>
    </w:pPr>
    <w:rPr>
      <w:rFonts w:eastAsia="仿宋_GB2312"/>
      <w:sz w:val="30"/>
      <w:szCs w:val="30"/>
    </w:rPr>
  </w:style>
  <w:style w:type="paragraph" w:customStyle="1" w:styleId="32">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styleId="33">
    <w:name w:val="List Paragraph"/>
    <w:basedOn w:val="1"/>
    <w:qFormat/>
    <w:uiPriority w:val="34"/>
    <w:pPr>
      <w:ind w:firstLine="420" w:firstLineChars="200"/>
    </w:pPr>
  </w:style>
  <w:style w:type="paragraph" w:customStyle="1" w:styleId="34">
    <w:name w:val="（）列表模式"/>
    <w:basedOn w:val="1"/>
    <w:qFormat/>
    <w:uiPriority w:val="0"/>
    <w:pPr>
      <w:tabs>
        <w:tab w:val="left" w:pos="960"/>
        <w:tab w:val="left" w:pos="1470"/>
      </w:tabs>
      <w:spacing w:line="360" w:lineRule="auto"/>
      <w:ind w:left="1470" w:hanging="420"/>
    </w:pPr>
    <w:rPr>
      <w:sz w:val="24"/>
      <w:szCs w:val="20"/>
    </w:rPr>
  </w:style>
  <w:style w:type="paragraph" w:customStyle="1" w:styleId="35">
    <w:name w:val="Table Paragraph"/>
    <w:basedOn w:val="1"/>
    <w:qFormat/>
    <w:uiPriority w:val="0"/>
    <w:pPr>
      <w:autoSpaceDE w:val="0"/>
      <w:autoSpaceDN w:val="0"/>
      <w:jc w:val="left"/>
    </w:pPr>
    <w:rPr>
      <w:rFonts w:ascii="宋体" w:hAnsi="宋体" w:cs="宋体"/>
      <w:kern w:val="0"/>
      <w:sz w:val="22"/>
      <w:szCs w:val="22"/>
    </w:rPr>
  </w:style>
  <w:style w:type="paragraph" w:customStyle="1" w:styleId="36">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37">
    <w:name w:val="qowt-font5-gb2312"/>
    <w:qFormat/>
    <w:uiPriority w:val="0"/>
  </w:style>
  <w:style w:type="paragraph" w:customStyle="1" w:styleId="38">
    <w:name w:val="正文 New New New New New"/>
    <w:qFormat/>
    <w:uiPriority w:val="0"/>
    <w:pPr>
      <w:widowControl w:val="0"/>
      <w:jc w:val="both"/>
    </w:pPr>
    <w:rPr>
      <w:rFonts w:ascii="等线" w:hAnsi="等线" w:eastAsia="等线" w:cs="等线"/>
      <w:kern w:val="2"/>
      <w:sz w:val="21"/>
      <w:szCs w:val="24"/>
      <w:lang w:val="en-US" w:eastAsia="zh-CN" w:bidi="ar-SA"/>
    </w:rPr>
  </w:style>
  <w:style w:type="paragraph" w:customStyle="1" w:styleId="39">
    <w:name w:val="_Style 1"/>
    <w:qFormat/>
    <w:uiPriority w:val="1"/>
    <w:pPr>
      <w:adjustRightInd w:val="0"/>
      <w:snapToGrid w:val="0"/>
      <w:ind w:firstLine="200" w:firstLineChars="200"/>
    </w:pPr>
    <w:rPr>
      <w:rFonts w:ascii="宋体" w:hAnsi="宋体" w:eastAsia="仿宋_GB2312" w:cs="Times New Roman"/>
      <w:sz w:val="32"/>
      <w:szCs w:val="21"/>
      <w:lang w:val="en-US" w:eastAsia="zh-CN" w:bidi="ar-SA"/>
    </w:rPr>
  </w:style>
  <w:style w:type="paragraph" w:customStyle="1" w:styleId="40">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41">
    <w:name w:val="修订2"/>
    <w:unhideWhenUsed/>
    <w:qFormat/>
    <w:uiPriority w:val="99"/>
    <w:rPr>
      <w:rFonts w:ascii="Times New Roman" w:hAnsi="Times New Roman" w:eastAsia="宋体" w:cs="Times New Roman"/>
      <w:kern w:val="2"/>
      <w:sz w:val="21"/>
      <w:szCs w:val="24"/>
      <w:lang w:val="en-US" w:eastAsia="zh-CN" w:bidi="ar-SA"/>
    </w:rPr>
  </w:style>
  <w:style w:type="character" w:customStyle="1" w:styleId="42">
    <w:name w:val="NormalCharacter"/>
    <w:qFormat/>
    <w:uiPriority w:val="0"/>
    <w:rPr>
      <w:kern w:val="2"/>
      <w:sz w:val="21"/>
      <w:szCs w:val="24"/>
      <w:lang w:val="en-US" w:eastAsia="zh-CN" w:bidi="ar-SA"/>
    </w:rPr>
  </w:style>
  <w:style w:type="paragraph" w:customStyle="1" w:styleId="43">
    <w:name w:val="Table Text"/>
    <w:basedOn w:val="1"/>
    <w:semiHidden/>
    <w:qFormat/>
    <w:uiPriority w:val="0"/>
    <w:rPr>
      <w:rFonts w:ascii="宋体" w:hAnsi="宋体" w:cs="宋体"/>
      <w:sz w:val="20"/>
      <w:szCs w:val="20"/>
    </w:rPr>
  </w:style>
  <w:style w:type="table" w:customStyle="1" w:styleId="44">
    <w:name w:val="Table Normal"/>
    <w:unhideWhenUsed/>
    <w:qFormat/>
    <w:uiPriority w:val="0"/>
    <w:tblPr>
      <w:tblCellMar>
        <w:top w:w="0" w:type="dxa"/>
        <w:left w:w="0" w:type="dxa"/>
        <w:bottom w:w="0" w:type="dxa"/>
        <w:right w:w="0" w:type="dxa"/>
      </w:tblCellMar>
    </w:tblPr>
  </w:style>
  <w:style w:type="paragraph" w:customStyle="1" w:styleId="45">
    <w:name w:val="_Style 44"/>
    <w:hidden/>
    <w:unhideWhenUsed/>
    <w:qFormat/>
    <w:uiPriority w:val="99"/>
    <w:rPr>
      <w:rFonts w:ascii="Times New Roman" w:hAnsi="Times New Roman" w:eastAsia="宋体" w:cs="Times New Roman"/>
      <w:kern w:val="2"/>
      <w:sz w:val="21"/>
      <w:szCs w:val="24"/>
      <w:lang w:val="en-US" w:eastAsia="zh-CN" w:bidi="ar-SA"/>
    </w:rPr>
  </w:style>
  <w:style w:type="paragraph" w:customStyle="1" w:styleId="46">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91</Pages>
  <Words>15511</Words>
  <Characters>16122</Characters>
  <Lines>427</Lines>
  <Paragraphs>120</Paragraphs>
  <TotalTime>23</TotalTime>
  <ScaleCrop>false</ScaleCrop>
  <LinksUpToDate>false</LinksUpToDate>
  <CharactersWithSpaces>16700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2025-07-04T01:34:00Z</dcterms:created>
  <dcterms:modified xsi:type="dcterms:W3CDTF">2025-08-06T09:05:01Z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295E16F97B33473FA00AF0193827D765</vt:lpwstr>
  </property>
  <property fmtid="{D5CDD505-2E9C-101B-9397-08002B2CF9AE}" pid="4" name="KSOTemplateDocerSaveRecord">
    <vt:lpwstr>eyJoZGlkIjoiMjg4YTgwZWNlYzllODgyY2ZiMzc5OWI4YzIzOTI0NWYiLCJ1c2VySWQiOiI1NDE3NDk4ODMifQ==</vt:lpwstr>
  </property>
</Properties>
</file>