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31"/>
        <w:ind w:firstLine="420"/>
        <w:rPr>
          <w:rFonts w:ascii="宋体" w:hAnsi="宋体" w:cs="宋体"/>
          <w:highlight w:val="none"/>
        </w:rPr>
      </w:pPr>
    </w:p>
    <w:p>
      <w:pPr>
        <w:pStyle w:val="31"/>
        <w:ind w:firstLine="420"/>
        <w:rPr>
          <w:rFonts w:ascii="宋体" w:hAnsi="宋体" w:cs="宋体"/>
          <w:highlight w:val="none"/>
        </w:rPr>
      </w:pPr>
    </w:p>
    <w:p>
      <w:pPr>
        <w:rPr>
          <w:rFonts w:ascii="宋体" w:hAnsi="宋体" w:cs="宋体"/>
          <w:b/>
          <w:sz w:val="44"/>
          <w:highlight w:val="none"/>
        </w:rPr>
      </w:pPr>
    </w:p>
    <w:p>
      <w:pPr>
        <w:ind w:right="-319" w:rightChars="-152"/>
        <w:rPr>
          <w:rFonts w:ascii="宋体" w:hAnsi="宋体" w:cs="宋体"/>
          <w:b/>
          <w:sz w:val="36"/>
          <w:szCs w:val="36"/>
          <w:highlight w:val="none"/>
        </w:rPr>
      </w:pPr>
      <w:r>
        <w:rPr>
          <w:rFonts w:hint="eastAsia" w:ascii="宋体" w:hAnsi="宋体" w:cs="宋体"/>
          <w:b/>
          <w:sz w:val="36"/>
          <w:szCs w:val="36"/>
          <w:highlight w:val="none"/>
        </w:rPr>
        <w:t>招标编号：</w:t>
      </w:r>
      <w:r>
        <w:rPr>
          <w:rFonts w:hint="eastAsia" w:ascii="宋体" w:hAnsi="宋体" w:cs="宋体"/>
          <w:b/>
          <w:sz w:val="36"/>
          <w:szCs w:val="36"/>
        </w:rPr>
        <w:t>QH2025089</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31"/>
        <w:ind w:firstLine="420"/>
        <w:rPr>
          <w:rFonts w:ascii="宋体" w:hAnsi="宋体" w:cs="宋体"/>
          <w:highlight w:val="none"/>
        </w:rPr>
      </w:pPr>
    </w:p>
    <w:p>
      <w:pPr>
        <w:pStyle w:val="31"/>
        <w:ind w:firstLine="420"/>
        <w:rPr>
          <w:rFonts w:ascii="宋体" w:hAnsi="宋体" w:cs="宋体"/>
          <w:highlight w:val="none"/>
        </w:rPr>
      </w:pPr>
    </w:p>
    <w:p>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招标项目：2025年前海金融业统计服务项目</w:t>
      </w:r>
    </w:p>
    <w:p>
      <w:pPr>
        <w:ind w:firstLine="3264" w:firstLineChars="739"/>
        <w:rPr>
          <w:rFonts w:ascii="宋体" w:hAnsi="宋体" w:cs="宋体"/>
          <w:b/>
          <w:sz w:val="44"/>
          <w:highlight w:val="none"/>
        </w:rPr>
      </w:pPr>
    </w:p>
    <w:p>
      <w:pPr>
        <w:pStyle w:val="31"/>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8</w:t>
      </w:r>
      <w:r>
        <w:rPr>
          <w:rFonts w:hint="eastAsia" w:ascii="宋体" w:hAnsi="宋体" w:cs="宋体"/>
          <w:b/>
          <w:bCs/>
          <w:sz w:val="36"/>
          <w:szCs w:val="36"/>
          <w:highlight w:val="none"/>
        </w:rPr>
        <w:t>月</w:t>
      </w:r>
    </w:p>
    <w:p>
      <w:pPr>
        <w:autoSpaceDE w:val="0"/>
        <w:autoSpaceDN w:val="0"/>
        <w:adjustRightInd w:val="0"/>
        <w:spacing w:line="240" w:lineRule="auto"/>
        <w:jc w:val="center"/>
        <w:rPr>
          <w:rFonts w:ascii="宋体" w:hAnsi="宋体" w:cs="宋体"/>
          <w:b/>
          <w:bCs/>
          <w:color w:val="auto"/>
          <w:kern w:val="0"/>
          <w:sz w:val="36"/>
          <w:szCs w:val="36"/>
        </w:rPr>
      </w:pPr>
      <w:bookmarkStart w:id="0" w:name="_Toc12932"/>
      <w:r>
        <w:rPr>
          <w:rFonts w:ascii="宋体" w:hAnsi="宋体"/>
          <w:b/>
          <w:bCs/>
          <w:sz w:val="32"/>
          <w:szCs w:val="40"/>
          <w:highlight w:val="none"/>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4"/>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8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6"/>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20"/>
        <w:shd w:val="clear" w:color="auto"/>
        <w:spacing w:before="0" w:beforeAutospacing="0" w:after="0" w:afterAutospacing="0" w:line="240" w:lineRule="auto"/>
        <w:ind w:firstLine="480" w:firstLineChars="200"/>
        <w:rPr>
          <w:color w:val="auto"/>
        </w:rPr>
      </w:pPr>
      <w:bookmarkStart w:id="1" w:name="_Toc2750"/>
      <w:r>
        <w:rPr>
          <w:rFonts w:hint="eastAsia"/>
          <w:color w:val="auto"/>
        </w:rPr>
        <w:t>（一）在采购活动中应当回避而未回避的；</w:t>
      </w:r>
      <w:bookmarkEnd w:id="1"/>
    </w:p>
    <w:p>
      <w:pPr>
        <w:pStyle w:val="20"/>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20"/>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20"/>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20"/>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20"/>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20"/>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20"/>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20"/>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highlight w:val="yellow"/>
        </w:rPr>
      </w:pPr>
      <w:r>
        <w:rPr>
          <w:rFonts w:ascii="宋体" w:hAnsi="宋体"/>
          <w:b/>
          <w:bCs/>
          <w:sz w:val="32"/>
          <w:szCs w:val="40"/>
          <w:highlight w:val="none"/>
          <w:u w:val="single"/>
        </w:rPr>
        <w:br w:type="page"/>
      </w:r>
      <w:bookmarkStart w:id="6" w:name="_Toc30761"/>
      <w:r>
        <w:rPr>
          <w:rFonts w:ascii="宋体" w:hAnsi="宋体"/>
          <w:b/>
          <w:bCs/>
          <w:sz w:val="32"/>
          <w:szCs w:val="40"/>
          <w:highlight w:val="none"/>
        </w:rPr>
        <w:t>目录</w:t>
      </w:r>
      <w:bookmarkEnd w:id="0"/>
      <w:bookmarkEnd w:id="6"/>
    </w:p>
    <w:p>
      <w:pPr>
        <w:pStyle w:val="18"/>
        <w:tabs>
          <w:tab w:val="right" w:leader="dot" w:pos="8306"/>
        </w:tabs>
        <w:spacing w:line="480" w:lineRule="auto"/>
        <w:rPr>
          <w:b/>
          <w:bCs/>
          <w:sz w:val="24"/>
          <w:szCs w:val="32"/>
          <w:highlight w:val="none"/>
        </w:rPr>
      </w:pPr>
    </w:p>
    <w:p>
      <w:pPr>
        <w:pStyle w:val="18"/>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8"/>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3"/>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7" w:name="_Toc28255"/>
      <w:r>
        <w:rPr>
          <w:rFonts w:hint="eastAsia" w:ascii="宋体" w:hAnsi="宋体" w:cs="宋体"/>
          <w:b/>
          <w:bCs/>
          <w:sz w:val="24"/>
          <w:highlight w:val="none"/>
        </w:rPr>
        <w:t>招标公告</w:t>
      </w:r>
      <w:bookmarkEnd w:id="7"/>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深圳交易咨询集团有限公司（以下简称采购代理机构）受深圳市前海深港现代服务业合作区管理局委托就</w:t>
      </w:r>
      <w:r>
        <w:rPr>
          <w:rFonts w:hint="eastAsia" w:ascii="宋体" w:hAnsi="宋体" w:cs="宋体"/>
          <w:sz w:val="24"/>
          <w:highlight w:val="none"/>
          <w:u w:val="single"/>
          <w:lang w:val="en-US" w:eastAsia="zh-CN"/>
        </w:rPr>
        <w:t xml:space="preserve"> 2025年前海金融业统计服务项目 </w:t>
      </w:r>
      <w:r>
        <w:rPr>
          <w:rFonts w:hint="eastAsia" w:ascii="宋体" w:hAnsi="宋体" w:cs="宋体"/>
          <w:sz w:val="24"/>
          <w:highlight w:val="none"/>
        </w:rPr>
        <w:t>（招标编号：QH2025089）采用简易招标方式采购，欢迎符合投标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ighlight w:val="none"/>
              </w:rPr>
            </w:pPr>
            <w:r>
              <w:rPr>
                <w:rFonts w:hint="eastAsia" w:ascii="宋体" w:hAnsi="宋体" w:cs="宋体"/>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val="en-US" w:eastAsia="zh-CN"/>
              </w:rPr>
            </w:pPr>
            <w:r>
              <w:rPr>
                <w:rFonts w:hint="eastAsia" w:ascii="宋体" w:hAnsi="宋体" w:cs="宋体"/>
                <w:sz w:val="24"/>
              </w:rPr>
              <w:t>QH2025089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2025年前海金融业统计服务项目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cs="宋体"/>
                <w:color w:val="000000" w:themeColor="text1"/>
                <w:sz w:val="24"/>
                <w14:textFill>
                  <w14:solidFill>
                    <w14:schemeClr w14:val="tx1"/>
                  </w14:solidFill>
                </w14:textFill>
              </w:rPr>
              <w:t>为深入贯彻落实《全面深化前海深港现代服务业合作区改革开放方案》，推动前海金融业服务实体经济，并促进前海金融业高质量发展，根据《深圳市统计局深圳市前海管理局关于印发&lt;建立健全前海深港现代服务业合作区统计体系的工作方案&gt;的通知》（深统通〔2022〕14号）精神，在市统计局的指导下，拟委托专业机构承接《2025年前海金融业统计服务项目》，开展区域金融业统计调查工作。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sz w:val="24"/>
                <w:highlight w:val="none"/>
              </w:rPr>
            </w:pPr>
            <w:r>
              <w:rPr>
                <w:rFonts w:hint="default" w:ascii="宋体" w:hAnsi="宋体" w:cs="宋体"/>
                <w:sz w:val="24"/>
                <w:highlight w:val="none"/>
              </w:rPr>
              <w:t>400,000.00（人民币肆拾万元整）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kern w:val="0"/>
                <w:sz w:val="24"/>
                <w:highlight w:val="none"/>
                <w:lang w:bidi="ar"/>
              </w:rPr>
              <w:t>202</w:t>
            </w:r>
            <w:r>
              <w:rPr>
                <w:rFonts w:hint="eastAsia" w:ascii="宋体" w:hAnsi="宋体" w:cs="宋体"/>
                <w:b w:val="0"/>
                <w:kern w:val="0"/>
                <w:sz w:val="24"/>
                <w:highlight w:val="none"/>
                <w:lang w:val="en-US" w:eastAsia="zh-CN" w:bidi="ar"/>
              </w:rPr>
              <w:t>5</w:t>
            </w:r>
            <w:r>
              <w:rPr>
                <w:rFonts w:hint="eastAsia" w:ascii="宋体" w:hAnsi="宋体" w:cs="宋体"/>
                <w:b w:val="0"/>
                <w:kern w:val="0"/>
                <w:sz w:val="24"/>
                <w:highlight w:val="none"/>
                <w:lang w:bidi="ar"/>
              </w:rPr>
              <w:t>年</w:t>
            </w:r>
            <w:r>
              <w:rPr>
                <w:rFonts w:hint="eastAsia" w:ascii="宋体" w:hAnsi="宋体" w:cs="宋体"/>
                <w:b w:val="0"/>
                <w:kern w:val="0"/>
                <w:sz w:val="24"/>
                <w:highlight w:val="none"/>
                <w:lang w:val="en-US" w:eastAsia="zh-CN" w:bidi="ar"/>
              </w:rPr>
              <w:t>8</w:t>
            </w:r>
            <w:r>
              <w:rPr>
                <w:rFonts w:hint="eastAsia" w:ascii="宋体" w:hAnsi="宋体" w:cs="宋体"/>
                <w:b w:val="0"/>
                <w:kern w:val="0"/>
                <w:sz w:val="24"/>
                <w:highlight w:val="none"/>
                <w:lang w:bidi="ar"/>
              </w:rPr>
              <w:t>月</w:t>
            </w:r>
            <w:r>
              <w:rPr>
                <w:rFonts w:hint="eastAsia" w:ascii="宋体" w:hAnsi="宋体" w:cs="宋体"/>
                <w:b w:val="0"/>
                <w:kern w:val="0"/>
                <w:sz w:val="24"/>
                <w:highlight w:val="none"/>
                <w:lang w:val="en-US" w:eastAsia="zh-CN" w:bidi="ar"/>
              </w:rPr>
              <w:t>1</w:t>
            </w:r>
            <w:r>
              <w:rPr>
                <w:rFonts w:hint="default" w:ascii="宋体" w:hAnsi="宋体" w:cs="宋体"/>
                <w:b w:val="0"/>
                <w:kern w:val="0"/>
                <w:sz w:val="24"/>
                <w:highlight w:val="none"/>
                <w:lang w:val="en-US" w:eastAsia="zh-CN" w:bidi="ar"/>
              </w:rPr>
              <w:t>2</w:t>
            </w:r>
            <w:r>
              <w:rPr>
                <w:rFonts w:hint="eastAsia" w:ascii="宋体" w:hAnsi="宋体" w:cs="宋体"/>
                <w:b w:val="0"/>
                <w:kern w:val="0"/>
                <w:sz w:val="24"/>
                <w:highlight w:val="none"/>
                <w:lang w:bidi="ar"/>
              </w:rPr>
              <w:t>日</w:t>
            </w:r>
            <w:r>
              <w:rPr>
                <w:rFonts w:hint="eastAsia" w:ascii="宋体" w:hAnsi="宋体" w:cs="宋体"/>
                <w:b w:val="0"/>
                <w:kern w:val="0"/>
                <w:sz w:val="24"/>
                <w:highlight w:val="none"/>
                <w:lang w:val="en-US" w:eastAsia="zh-CN" w:bidi="ar"/>
              </w:rPr>
              <w:t>14</w:t>
            </w:r>
            <w:r>
              <w:rPr>
                <w:rFonts w:hint="eastAsia" w:ascii="宋体" w:hAnsi="宋体" w:cs="宋体"/>
                <w:b w:val="0"/>
                <w:kern w:val="0"/>
                <w:sz w:val="24"/>
                <w:highlight w:val="none"/>
                <w:lang w:bidi="ar"/>
              </w:rPr>
              <w:t>:</w:t>
            </w:r>
            <w:r>
              <w:rPr>
                <w:rFonts w:hint="eastAsia" w:ascii="宋体" w:hAnsi="宋体" w:cs="宋体"/>
                <w:b w:val="0"/>
                <w:kern w:val="0"/>
                <w:sz w:val="24"/>
                <w:highlight w:val="none"/>
                <w:lang w:val="en-US" w:eastAsia="zh-CN" w:bidi="ar"/>
              </w:rPr>
              <w:t>30</w:t>
            </w:r>
            <w:r>
              <w:rPr>
                <w:rFonts w:hint="eastAsia" w:ascii="宋体" w:hAnsi="宋体" w:cs="宋体"/>
                <w:b w:val="0"/>
                <w:kern w:val="0"/>
                <w:sz w:val="24"/>
                <w:highlight w:val="none"/>
                <w:lang w:bidi="ar"/>
              </w:rPr>
              <w:t>时（北京时间）前送达（现场递交</w:t>
            </w:r>
            <w:r>
              <w:rPr>
                <w:rFonts w:hint="eastAsia" w:ascii="宋体" w:hAnsi="宋体" w:cs="宋体"/>
                <w:b w:val="0"/>
                <w:kern w:val="0"/>
                <w:sz w:val="24"/>
                <w:highlight w:val="none"/>
                <w:lang w:val="en-US" w:eastAsia="zh-CN" w:bidi="ar"/>
              </w:rPr>
              <w:t>或邮寄</w:t>
            </w:r>
            <w:r>
              <w:rPr>
                <w:rFonts w:hint="eastAsia" w:ascii="宋体" w:hAnsi="宋体" w:cs="宋体"/>
                <w:b w:val="0"/>
                <w:kern w:val="0"/>
                <w:sz w:val="24"/>
                <w:highlight w:val="none"/>
                <w:lang w:bidi="ar"/>
              </w:rPr>
              <w:t>）</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深圳市前海深港现代服务业合作区桂湾五路123号前海大厦T1栋2308室。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kern w:val="0"/>
                <w:sz w:val="24"/>
                <w:highlight w:val="none"/>
                <w:lang w:bidi="ar"/>
              </w:rPr>
            </w:pPr>
            <w:r>
              <w:rPr>
                <w:rFonts w:hint="eastAsia" w:ascii="宋体" w:hAnsi="宋体" w:cs="宋体"/>
                <w:kern w:val="0"/>
                <w:sz w:val="24"/>
                <w:highlight w:val="none"/>
                <w:lang w:bidi="ar"/>
              </w:rPr>
              <w:t>联系人：郭工</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联系电话：0755-88105360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b w:val="0"/>
                <w:bCs w:val="0"/>
                <w:color w:val="000000" w:themeColor="text1"/>
                <w:kern w:val="0"/>
                <w:sz w:val="24"/>
                <w:lang w:val="en-US" w:eastAsia="zh-CN"/>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并提供《供应商基本信息表》加盖投标人公章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未被列入失信被执行人、重大税收违法案件当事人名单</w:t>
            </w:r>
            <w:r>
              <w:rPr>
                <w:rFonts w:hint="default"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本项目</w:t>
            </w:r>
            <w:r>
              <w:rPr>
                <w:rFonts w:hint="eastAsia" w:ascii="宋体" w:hAnsi="宋体" w:cs="宋体"/>
                <w:color w:val="000000" w:themeColor="text1"/>
                <w:kern w:val="0"/>
                <w:sz w:val="24"/>
                <w:lang w:val="en-US" w:eastAsia="zh-CN"/>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不允许转包、分包。</w:t>
            </w:r>
          </w:p>
          <w:p>
            <w:pPr>
              <w:keepNext w:val="0"/>
              <w:keepLines w:val="0"/>
              <w:numPr>
                <w:ilvl w:val="0"/>
                <w:numId w:val="0"/>
              </w:numPr>
              <w:suppressLineNumbers w:val="0"/>
              <w:spacing w:before="0" w:beforeAutospacing="0" w:after="0" w:afterAutospacing="0" w:line="360" w:lineRule="auto"/>
              <w:ind w:left="0" w:right="0" w:rightChars="0"/>
              <w:rPr>
                <w:rFonts w:hint="default" w:eastAsia="宋体"/>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4"/>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合同金额。项目预算控制</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w:t>
            </w:r>
            <w:r>
              <w:rPr>
                <w:rFonts w:hint="eastAsia" w:ascii="宋体" w:hAnsi="宋体" w:cs="宋体"/>
                <w:color w:val="000000" w:themeColor="text1"/>
                <w:kern w:val="0"/>
                <w:sz w:val="24"/>
                <w:lang w:eastAsia="zh-CN"/>
                <w14:textFill>
                  <w14:solidFill>
                    <w14:schemeClr w14:val="tx1"/>
                  </w14:solidFill>
                </w14:textFill>
              </w:rPr>
              <w:t>包括但不限于</w:t>
            </w:r>
            <w:r>
              <w:rPr>
                <w:rFonts w:hint="eastAsia" w:ascii="宋体" w:hAnsi="宋体" w:cs="宋体"/>
                <w:bCs/>
                <w:sz w:val="24"/>
              </w:rPr>
              <w:t>服务费、中标服务费、各种资料费、保险、税金、出差（如需）</w:t>
            </w:r>
            <w:r>
              <w:rPr>
                <w:rFonts w:hint="eastAsia" w:ascii="宋体" w:hAnsi="宋体" w:cs="宋体"/>
                <w:color w:val="000000" w:themeColor="text1"/>
                <w:kern w:val="0"/>
                <w:sz w:val="24"/>
                <w:lang w:eastAsia="zh-CN"/>
                <w14:textFill>
                  <w14:solidFill>
                    <w14:schemeClr w14:val="tx1"/>
                  </w14:solidFill>
                </w14:textFill>
              </w:rPr>
              <w:t>等所有费用</w:t>
            </w:r>
            <w:r>
              <w:rPr>
                <w:rFonts w:hint="eastAsia" w:ascii="宋体" w:hAnsi="宋体" w:cs="宋体"/>
                <w:color w:val="000000" w:themeColor="text1"/>
                <w:kern w:val="0"/>
                <w:sz w:val="24"/>
                <w14:textFill>
                  <w14:solidFill>
                    <w14:schemeClr w14:val="tx1"/>
                  </w14:solidFill>
                </w14:textFill>
              </w:rPr>
              <w:t>，并提供合同要求的有关成果材料，以及其它相关服务的全部费用</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bCs/>
                <w:sz w:val="24"/>
              </w:rPr>
              <w:t>并提供合同要求的报告、全部成果文件和全部相关资料，以及其它相关服务的全部费用。</w:t>
            </w:r>
          </w:p>
          <w:p>
            <w:pPr>
              <w:keepNext w:val="0"/>
              <w:keepLines w:val="0"/>
              <w:numPr>
                <w:ilvl w:val="0"/>
                <w:numId w:val="4"/>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4"/>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4"/>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4"/>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人：郭工</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话：0755-88105360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话：18599127733、15118037034　</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default" w:ascii="宋体" w:hAnsi="宋体" w:cs="宋体"/>
          <w:sz w:val="24"/>
          <w:highlight w:val="none"/>
          <w:lang w:val="en-US" w:eastAsia="zh-CN"/>
        </w:rPr>
        <w:t>6</w:t>
      </w:r>
      <w:r>
        <w:rPr>
          <w:rFonts w:hint="eastAsia" w:ascii="宋体" w:hAnsi="宋体" w:cs="宋体"/>
          <w:sz w:val="24"/>
          <w:highlight w:val="none"/>
        </w:rPr>
        <w:t>日</w:t>
      </w:r>
    </w:p>
    <w:p>
      <w:pPr>
        <w:numPr>
          <w:ilvl w:val="0"/>
          <w:numId w:val="3"/>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8" w:name="_Toc16734"/>
      <w:r>
        <w:rPr>
          <w:rFonts w:hint="eastAsia" w:ascii="宋体" w:hAnsi="宋体" w:cs="宋体"/>
          <w:b/>
          <w:bCs/>
          <w:sz w:val="24"/>
          <w:highlight w:val="none"/>
        </w:rPr>
        <w:t>投标须知</w:t>
      </w:r>
      <w:bookmarkEnd w:id="8"/>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1、本项目是深圳市前海深港现代服务业合作区管理局的2025年前海金融业统计服务</w:t>
      </w:r>
      <w:r>
        <w:rPr>
          <w:rFonts w:hint="eastAsia" w:ascii="宋体" w:hAnsi="宋体" w:cs="宋体"/>
          <w:sz w:val="24"/>
          <w:highlight w:val="none"/>
          <w:lang w:eastAsia="zh-CN"/>
        </w:rPr>
        <w:t>项目</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sz w:val="24"/>
          <w:highlight w:val="none"/>
          <w:lang w:val="en-US" w:eastAsia="zh-CN"/>
        </w:rPr>
        <w:t>深圳交易咨询集团</w:t>
      </w:r>
      <w:r>
        <w:rPr>
          <w:rFonts w:hint="eastAsia" w:ascii="宋体" w:hAnsi="宋体" w:cs="宋体"/>
          <w:sz w:val="24"/>
          <w:highlight w:val="none"/>
        </w:rPr>
        <w:t>有限公司受深圳市前海深港现代服务业合作区管理局委托</w:t>
      </w:r>
      <w:r>
        <w:rPr>
          <w:rFonts w:hint="eastAsia" w:ascii="宋体" w:hAnsi="宋体" w:cs="宋体"/>
          <w:sz w:val="24"/>
          <w:highlight w:val="none"/>
          <w:lang w:eastAsia="zh-CN"/>
        </w:rPr>
        <w:t>以简易招标方式</w:t>
      </w:r>
      <w:r>
        <w:rPr>
          <w:rFonts w:hint="eastAsia" w:ascii="宋体" w:hAnsi="宋体" w:cs="宋体"/>
          <w:sz w:val="24"/>
          <w:highlight w:val="none"/>
        </w:rPr>
        <w:t>组织采购。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5"/>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5"/>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5"/>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w:t>
      </w:r>
      <w:r>
        <w:rPr>
          <w:rFonts w:hint="eastAsia" w:ascii="宋体" w:hAnsi="宋体" w:cs="宋体"/>
          <w:sz w:val="24"/>
          <w:highlight w:val="none"/>
          <w:lang w:eastAsia="zh-CN"/>
        </w:rPr>
        <w:t>签订</w:t>
      </w:r>
      <w:r>
        <w:rPr>
          <w:rFonts w:hint="eastAsia" w:ascii="宋体" w:hAnsi="宋体" w:cs="宋体"/>
          <w:sz w:val="24"/>
          <w:highlight w:val="none"/>
        </w:rPr>
        <w:t>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w:t>
      </w:r>
      <w:r>
        <w:rPr>
          <w:rFonts w:hint="eastAsia" w:ascii="宋体" w:hAnsi="宋体" w:cs="宋体"/>
          <w:sz w:val="24"/>
          <w:highlight w:val="none"/>
          <w:lang w:val="en-US" w:eastAsia="zh-CN"/>
        </w:rPr>
        <w:t>或邮寄</w:t>
      </w:r>
      <w:r>
        <w:rPr>
          <w:rFonts w:hint="eastAsia" w:ascii="宋体" w:hAnsi="宋体" w:cs="宋体"/>
          <w:sz w:val="24"/>
          <w:highlight w:val="none"/>
        </w:rPr>
        <w:t>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31"/>
        <w:numPr>
          <w:ilvl w:val="1"/>
          <w:numId w:val="6"/>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31"/>
        <w:numPr>
          <w:ilvl w:val="1"/>
          <w:numId w:val="6"/>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6"/>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eastAsia="zh-CN"/>
        </w:rPr>
        <w:t>，</w:t>
      </w:r>
      <w:r>
        <w:rPr>
          <w:rFonts w:hint="eastAsia" w:ascii="宋体" w:hAnsi="宋体" w:cs="宋体"/>
          <w:sz w:val="24"/>
          <w:highlight w:val="none"/>
        </w:rPr>
        <w:t>评审委员会将与投标供应商进行谈判。</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原则上成交价不超过最初报价的95%。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rPr>
          <w:rFonts w:ascii="宋体" w:hAnsi="宋体" w:cs="宋体"/>
          <w:b/>
          <w:bCs/>
          <w:sz w:val="24"/>
          <w:highlight w:val="none"/>
        </w:rPr>
      </w:pPr>
      <w:r>
        <w:rPr>
          <w:rFonts w:hint="eastAsia" w:ascii="宋体" w:hAnsi="宋体" w:cs="宋体"/>
          <w:b/>
          <w:bCs/>
          <w:sz w:val="24"/>
          <w:highlight w:val="none"/>
        </w:rPr>
        <w:br w:type="page"/>
      </w:r>
    </w:p>
    <w:p>
      <w:pPr>
        <w:numPr>
          <w:ilvl w:val="0"/>
          <w:numId w:val="3"/>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9" w:name="_Toc18857"/>
      <w:r>
        <w:rPr>
          <w:rFonts w:hint="eastAsia" w:ascii="宋体" w:hAnsi="宋体" w:cs="宋体"/>
          <w:b/>
          <w:bCs/>
          <w:sz w:val="24"/>
          <w:highlight w:val="none"/>
        </w:rPr>
        <w:t>评标程序</w:t>
      </w:r>
      <w:bookmarkEnd w:id="9"/>
    </w:p>
    <w:p>
      <w:pPr>
        <w:numPr>
          <w:ilvl w:val="0"/>
          <w:numId w:val="8"/>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w:t>
      </w:r>
      <w:r>
        <w:rPr>
          <w:rFonts w:hint="default" w:ascii="宋体" w:hAnsi="宋体" w:cs="宋体"/>
          <w:sz w:val="24"/>
          <w:highlight w:val="none"/>
          <w:lang w:val="en-US" w:eastAsia="zh-CN"/>
        </w:rPr>
        <w:t>2</w:t>
      </w:r>
      <w:r>
        <w:rPr>
          <w:rFonts w:hint="eastAsia" w:ascii="宋体" w:hAnsi="宋体" w:cs="宋体"/>
          <w:sz w:val="24"/>
          <w:highlight w:val="none"/>
        </w:rPr>
        <w:t>日1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w:t>
      </w:r>
      <w:r>
        <w:rPr>
          <w:rFonts w:hint="default" w:ascii="宋体" w:hAnsi="宋体" w:cs="宋体"/>
          <w:sz w:val="24"/>
          <w:highlight w:val="none"/>
          <w:lang w:val="en-US" w:eastAsia="zh-CN"/>
        </w:rPr>
        <w:t>2</w:t>
      </w:r>
      <w:r>
        <w:rPr>
          <w:rFonts w:hint="eastAsia" w:ascii="宋体" w:hAnsi="宋体" w:cs="宋体"/>
          <w:sz w:val="24"/>
          <w:highlight w:val="none"/>
        </w:rPr>
        <w:t>日1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w:t>
      </w:r>
      <w:r>
        <w:rPr>
          <w:rFonts w:hint="eastAsia" w:ascii="宋体" w:hAnsi="宋体" w:cs="宋体"/>
          <w:sz w:val="24"/>
          <w:highlight w:val="none"/>
          <w:lang w:val="en-US" w:eastAsia="zh-CN"/>
        </w:rPr>
        <w:t>2308</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5.2原则上成交价不超过最初报价的95%。</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560" w:lineRule="exact"/>
        <w:ind w:firstLine="480" w:firstLineChars="200"/>
        <w:rPr>
          <w:rFonts w:hint="eastAsia"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numPr>
          <w:ilvl w:val="0"/>
          <w:numId w:val="3"/>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10" w:name="_Toc1635"/>
      <w:r>
        <w:rPr>
          <w:rFonts w:hint="eastAsia" w:ascii="宋体" w:hAnsi="宋体" w:cs="宋体"/>
          <w:b/>
          <w:bCs/>
          <w:sz w:val="24"/>
          <w:highlight w:val="none"/>
        </w:rPr>
        <w:t>合同格式及合同条款</w:t>
      </w:r>
      <w:bookmarkEnd w:id="10"/>
    </w:p>
    <w:p>
      <w:pPr>
        <w:spacing w:line="360" w:lineRule="auto"/>
        <w:ind w:firstLine="470" w:firstLineChars="196"/>
        <w:jc w:val="center"/>
        <w:rPr>
          <w:rFonts w:ascii="宋体" w:hAnsi="宋体" w:cs="宋体"/>
          <w:sz w:val="24"/>
          <w:highlight w:val="none"/>
        </w:rPr>
      </w:pPr>
      <w:bookmarkStart w:id="11" w:name="_Toc73521592"/>
      <w:bookmarkStart w:id="12" w:name="_Toc73521680"/>
      <w:bookmarkStart w:id="13" w:name="_Toc100052414"/>
      <w:bookmarkStart w:id="14" w:name="_Toc73518163"/>
      <w:bookmarkStart w:id="15" w:name="_Toc101074886"/>
      <w:bookmarkStart w:id="16" w:name="_Toc73517685"/>
      <w:bookmarkStart w:id="17" w:name="_Toc84303603"/>
    </w:p>
    <w:bookmarkEnd w:id="11"/>
    <w:bookmarkEnd w:id="12"/>
    <w:bookmarkEnd w:id="13"/>
    <w:bookmarkEnd w:id="14"/>
    <w:bookmarkEnd w:id="15"/>
    <w:bookmarkEnd w:id="16"/>
    <w:bookmarkEnd w:id="17"/>
    <w:p>
      <w:pPr>
        <w:spacing w:line="360" w:lineRule="auto"/>
        <w:ind w:firstLine="470" w:firstLineChars="196"/>
        <w:rPr>
          <w:rFonts w:ascii="宋体" w:hAnsi="宋体" w:cs="宋体"/>
          <w:sz w:val="24"/>
          <w:highlight w:val="none"/>
        </w:rPr>
      </w:pPr>
    </w:p>
    <w:p>
      <w:pPr>
        <w:pStyle w:val="31"/>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31"/>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31"/>
        <w:spacing w:line="360" w:lineRule="auto"/>
        <w:ind w:left="1470" w:right="1470" w:firstLine="482"/>
        <w:jc w:val="center"/>
        <w:rPr>
          <w:rFonts w:ascii="宋体" w:hAnsi="宋体" w:cs="宋体"/>
          <w:b/>
          <w:sz w:val="24"/>
          <w:szCs w:val="24"/>
          <w:highlight w:val="none"/>
        </w:rPr>
      </w:pPr>
    </w:p>
    <w:p>
      <w:pPr>
        <w:pStyle w:val="31"/>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31"/>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31"/>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outlineLvl w:val="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2025年前海金融业统计服务项目委托合同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31"/>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31"/>
        <w:spacing w:line="360" w:lineRule="auto"/>
        <w:ind w:left="1470" w:right="1470" w:firstLine="480"/>
        <w:rPr>
          <w:rFonts w:hint="eastAsia" w:ascii="宋体" w:hAnsi="宋体" w:cs="宋体"/>
          <w:color w:val="000000" w:themeColor="text1"/>
          <w:sz w:val="24"/>
          <w:szCs w:val="24"/>
          <w14:textFill>
            <w14:solidFill>
              <w14:schemeClr w14:val="tx1"/>
            </w14:solidFill>
          </w14:textFill>
        </w:rPr>
      </w:pPr>
    </w:p>
    <w:p>
      <w:pPr>
        <w:pStyle w:val="31"/>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2025年前海金融业统计服务项目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二〇二五年  月</w:t>
      </w:r>
    </w:p>
    <w:p>
      <w:pPr>
        <w:spacing w:line="360" w:lineRule="auto"/>
        <w:jc w:val="center"/>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法定代表人：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共同承担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2025年前海金融业统计服务项目</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outlineLvl w:val="1"/>
        <w:rPr>
          <w:rFonts w:hint="eastAsia" w:ascii="宋体" w:hAnsi="宋体" w:cs="宋体"/>
          <w:b/>
          <w:sz w:val="24"/>
          <w:highlight w:val="none"/>
        </w:rPr>
      </w:pPr>
      <w:bookmarkStart w:id="18" w:name="_Toc21577"/>
      <w:r>
        <w:rPr>
          <w:rFonts w:hint="eastAsia" w:ascii="宋体" w:hAnsi="宋体" w:cs="宋体"/>
          <w:b/>
          <w:sz w:val="24"/>
          <w:highlight w:val="none"/>
        </w:rPr>
        <w:t>一、服务内容及服务要求</w:t>
      </w:r>
      <w:bookmarkEnd w:id="18"/>
    </w:p>
    <w:p>
      <w:pPr>
        <w:widowControl/>
        <w:tabs>
          <w:tab w:val="left" w:pos="4267"/>
        </w:tabs>
        <w:autoSpaceDE/>
        <w:autoSpaceDN/>
        <w:adjustRightInd/>
        <w:spacing w:line="360" w:lineRule="auto"/>
        <w:ind w:firstLine="482" w:firstLineChars="200"/>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（一）开展前海合作区金融业调查和运行分析</w:t>
      </w:r>
    </w:p>
    <w:p>
      <w:pPr>
        <w:pStyle w:val="2"/>
        <w:numPr>
          <w:ilvl w:val="-1"/>
          <w:numId w:val="0"/>
        </w:numPr>
        <w:spacing w:after="0"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月度统计数据简报。</w:t>
      </w:r>
      <w:r>
        <w:rPr>
          <w:rFonts w:hint="eastAsia" w:ascii="宋体" w:hAnsi="宋体" w:eastAsia="宋体" w:cs="宋体"/>
          <w:sz w:val="24"/>
          <w:szCs w:val="24"/>
          <w:lang w:eastAsia="zh-CN"/>
        </w:rPr>
        <w:t>每月</w:t>
      </w:r>
      <w:r>
        <w:rPr>
          <w:rFonts w:hint="eastAsia" w:ascii="宋体" w:hAnsi="宋体" w:eastAsia="宋体" w:cs="宋体"/>
          <w:sz w:val="24"/>
          <w:szCs w:val="24"/>
          <w:lang w:val="en-US" w:eastAsia="zh-CN"/>
        </w:rPr>
        <w:t>根据前海整体企业名录库比对结果，结合国家、地方金融监管部门公布的全市企业持牌金融机构名录，更新前海金融机构数据库</w:t>
      </w:r>
      <w:r>
        <w:rPr>
          <w:rFonts w:hint="eastAsia" w:ascii="宋体" w:hAnsi="宋体" w:eastAsia="宋体" w:cs="宋体"/>
          <w:sz w:val="24"/>
          <w:szCs w:val="24"/>
          <w:lang w:eastAsia="zh-CN"/>
        </w:rPr>
        <w:t>，确保及时、准确地核定企业增减变化情况</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每月生成前海金融业统计汇总数据</w:t>
      </w:r>
      <w:r>
        <w:rPr>
          <w:rFonts w:hint="eastAsia" w:ascii="宋体" w:hAnsi="宋体" w:eastAsia="宋体" w:cs="宋体"/>
          <w:sz w:val="24"/>
          <w:szCs w:val="24"/>
          <w:lang w:val="en-US" w:eastAsia="zh-CN"/>
        </w:rPr>
        <w:t>，具体</w:t>
      </w:r>
      <w:r>
        <w:rPr>
          <w:rFonts w:hint="eastAsia" w:ascii="宋体" w:hAnsi="宋体" w:eastAsia="宋体" w:cs="宋体"/>
          <w:sz w:val="24"/>
          <w:szCs w:val="24"/>
          <w:lang w:eastAsia="zh-CN"/>
        </w:rPr>
        <w:t>包括注册金融企业数据、在地金融企业数据、持牌金融企业数据、港资外资金融企业数据、迁入迁出或注销吊销金融企业数据、深港国际金融城金融企业数据等，</w:t>
      </w:r>
      <w:r>
        <w:rPr>
          <w:rFonts w:hint="eastAsia" w:ascii="宋体" w:hAnsi="宋体" w:eastAsia="宋体" w:cs="宋体"/>
          <w:sz w:val="24"/>
          <w:szCs w:val="24"/>
          <w:lang w:val="en-US" w:eastAsia="zh-CN"/>
        </w:rPr>
        <w:t>并定期报送前海合作区金融统计汇总表、金融业企业基本情况表、港资外资企业数据表。</w:t>
      </w:r>
    </w:p>
    <w:p>
      <w:pPr>
        <w:widowControl/>
        <w:autoSpaceDE/>
        <w:autoSpaceDN/>
        <w:adjustRightIn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按季度开展</w:t>
      </w:r>
      <w:r>
        <w:rPr>
          <w:rFonts w:hint="eastAsia" w:ascii="宋体" w:hAnsi="宋体" w:eastAsia="宋体" w:cs="宋体"/>
          <w:sz w:val="24"/>
          <w:szCs w:val="24"/>
          <w:lang w:eastAsia="zh-CN"/>
        </w:rPr>
        <w:t>前海金融业专项统计调查。根据市统计局批准的前海金融业统计调查制度，</w:t>
      </w:r>
      <w:r>
        <w:rPr>
          <w:rFonts w:hint="eastAsia" w:ascii="宋体" w:hAnsi="宋体" w:eastAsia="宋体" w:cs="宋体"/>
          <w:sz w:val="24"/>
          <w:szCs w:val="24"/>
          <w:lang w:val="en-US" w:eastAsia="zh-CN"/>
        </w:rPr>
        <w:t>按</w:t>
      </w:r>
      <w:r>
        <w:rPr>
          <w:rFonts w:hint="eastAsia" w:ascii="宋体" w:hAnsi="宋体" w:eastAsia="宋体" w:cs="宋体"/>
          <w:sz w:val="24"/>
          <w:szCs w:val="24"/>
          <w:lang w:eastAsia="zh-CN"/>
        </w:rPr>
        <w:t>季度</w:t>
      </w:r>
      <w:r>
        <w:rPr>
          <w:rFonts w:hint="eastAsia" w:ascii="宋体" w:hAnsi="宋体" w:eastAsia="宋体" w:cs="宋体"/>
          <w:sz w:val="24"/>
          <w:szCs w:val="24"/>
          <w:lang w:val="en-US" w:eastAsia="zh-CN"/>
        </w:rPr>
        <w:t>对900家金融机构</w:t>
      </w:r>
      <w:r>
        <w:rPr>
          <w:rFonts w:hint="eastAsia" w:ascii="宋体" w:hAnsi="宋体" w:eastAsia="宋体" w:cs="宋体"/>
          <w:sz w:val="24"/>
          <w:szCs w:val="24"/>
          <w:lang w:eastAsia="zh-CN"/>
        </w:rPr>
        <w:t>开展专项统计调查，重点调查</w:t>
      </w:r>
      <w:r>
        <w:rPr>
          <w:rFonts w:hint="eastAsia" w:ascii="宋体" w:hAnsi="宋体" w:eastAsia="宋体" w:cs="宋体"/>
          <w:sz w:val="24"/>
          <w:szCs w:val="24"/>
          <w:lang w:val="en-US" w:eastAsia="zh-CN"/>
        </w:rPr>
        <w:t>持牌金融机构、港资金融机构</w:t>
      </w:r>
      <w:r>
        <w:rPr>
          <w:rFonts w:hint="eastAsia" w:ascii="宋体" w:hAnsi="宋体" w:eastAsia="宋体" w:cs="宋体"/>
          <w:sz w:val="24"/>
          <w:szCs w:val="24"/>
          <w:lang w:eastAsia="zh-CN"/>
        </w:rPr>
        <w:t>等相关企业，形成完整的金融业统计</w:t>
      </w:r>
      <w:r>
        <w:rPr>
          <w:rFonts w:hint="eastAsia" w:ascii="宋体" w:hAnsi="宋体" w:eastAsia="宋体" w:cs="宋体"/>
          <w:sz w:val="24"/>
          <w:szCs w:val="24"/>
          <w:lang w:val="en-US" w:eastAsia="zh-CN"/>
        </w:rPr>
        <w:t>调查</w:t>
      </w:r>
      <w:r>
        <w:rPr>
          <w:rFonts w:hint="eastAsia" w:ascii="宋体" w:hAnsi="宋体" w:eastAsia="宋体" w:cs="宋体"/>
          <w:sz w:val="24"/>
          <w:szCs w:val="24"/>
          <w:lang w:eastAsia="zh-CN"/>
        </w:rPr>
        <w:t>数据</w:t>
      </w:r>
      <w:r>
        <w:rPr>
          <w:rFonts w:hint="eastAsia" w:ascii="宋体" w:hAnsi="宋体" w:eastAsia="宋体" w:cs="宋体"/>
          <w:sz w:val="24"/>
          <w:szCs w:val="24"/>
          <w:lang w:val="en-US" w:eastAsia="zh-CN"/>
        </w:rPr>
        <w:t>表</w:t>
      </w:r>
      <w:r>
        <w:rPr>
          <w:rFonts w:hint="eastAsia" w:ascii="宋体" w:hAnsi="宋体" w:eastAsia="宋体" w:cs="宋体"/>
          <w:sz w:val="24"/>
          <w:szCs w:val="24"/>
          <w:lang w:eastAsia="zh-CN"/>
        </w:rPr>
        <w:t>。做好</w:t>
      </w:r>
      <w:r>
        <w:rPr>
          <w:rFonts w:hint="eastAsia" w:ascii="宋体" w:hAnsi="宋体" w:eastAsia="宋体" w:cs="宋体"/>
          <w:sz w:val="24"/>
          <w:szCs w:val="24"/>
          <w:lang w:val="en-US" w:eastAsia="zh-CN"/>
        </w:rPr>
        <w:t>专项统计调查数据的清洗整理，</w:t>
      </w:r>
      <w:r>
        <w:rPr>
          <w:rFonts w:hint="eastAsia" w:ascii="宋体" w:hAnsi="宋体" w:eastAsia="宋体" w:cs="宋体"/>
          <w:sz w:val="24"/>
          <w:szCs w:val="24"/>
          <w:lang w:eastAsia="zh-CN"/>
        </w:rPr>
        <w:t>及时</w:t>
      </w:r>
      <w:r>
        <w:rPr>
          <w:rFonts w:hint="eastAsia" w:ascii="宋体" w:hAnsi="宋体" w:eastAsia="宋体" w:cs="宋体"/>
          <w:sz w:val="24"/>
          <w:szCs w:val="24"/>
          <w:lang w:val="en-US" w:eastAsia="zh-CN"/>
        </w:rPr>
        <w:t>对调查数据结果与税务部门做好核查比对</w:t>
      </w:r>
      <w:r>
        <w:rPr>
          <w:rFonts w:hint="eastAsia" w:ascii="宋体" w:hAnsi="宋体" w:eastAsia="宋体" w:cs="宋体"/>
          <w:sz w:val="24"/>
          <w:szCs w:val="24"/>
          <w:lang w:eastAsia="zh-CN"/>
        </w:rPr>
        <w:t>，确保各类金融业统计指标的准确性与时效性</w:t>
      </w:r>
      <w:r>
        <w:rPr>
          <w:rFonts w:hint="eastAsia" w:ascii="宋体" w:hAnsi="宋体" w:eastAsia="宋体" w:cs="宋体"/>
          <w:sz w:val="24"/>
          <w:szCs w:val="24"/>
          <w:lang w:val="en-US" w:eastAsia="zh-CN"/>
        </w:rPr>
        <w:t>。</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（1）结合</w:t>
      </w:r>
      <w:r>
        <w:rPr>
          <w:rFonts w:hint="eastAsia" w:ascii="宋体" w:hAnsi="宋体" w:cs="宋体"/>
          <w:sz w:val="24"/>
          <w:lang w:eastAsia="zh-CN"/>
        </w:rPr>
        <w:t>甲方</w:t>
      </w:r>
      <w:r>
        <w:rPr>
          <w:rFonts w:hint="eastAsia" w:ascii="宋体" w:hAnsi="宋体" w:eastAsia="宋体" w:cs="宋体"/>
          <w:b w:val="0"/>
          <w:bCs w:val="0"/>
          <w:color w:val="auto"/>
          <w:sz w:val="24"/>
          <w:szCs w:val="24"/>
          <w:highlight w:val="none"/>
          <w:lang w:val="en-US" w:eastAsia="zh-CN"/>
        </w:rPr>
        <w:t>需求确定季度专项调查企业名录，运用甲方提供的深圳市前海深港现代服务业合作区新兴金融业统计调查系统，向企业发送季度、年度金融业报表，开展为期四次的金融业企业季度及年度调查。</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（2）在企业报表返回后，就报表填报数据进行校核，必要时可在</w:t>
      </w:r>
      <w:r>
        <w:rPr>
          <w:rFonts w:hint="eastAsia" w:ascii="宋体" w:hAnsi="宋体" w:cs="宋体"/>
          <w:sz w:val="24"/>
          <w:lang w:eastAsia="zh-CN"/>
        </w:rPr>
        <w:t>甲方</w:t>
      </w:r>
      <w:r>
        <w:rPr>
          <w:rFonts w:hint="eastAsia" w:ascii="宋体" w:hAnsi="宋体" w:eastAsia="宋体" w:cs="宋体"/>
          <w:b w:val="0"/>
          <w:bCs w:val="0"/>
          <w:color w:val="auto"/>
          <w:sz w:val="24"/>
          <w:szCs w:val="24"/>
          <w:highlight w:val="none"/>
          <w:lang w:val="en-US" w:eastAsia="zh-CN"/>
        </w:rPr>
        <w:t>协助下联系企业，对异常数据进行求证，以确保采集数据的准确性。</w:t>
      </w:r>
    </w:p>
    <w:p>
      <w:pPr>
        <w:pStyle w:val="2"/>
        <w:numPr>
          <w:ilvl w:val="-1"/>
          <w:numId w:val="0"/>
        </w:numPr>
        <w:spacing w:after="0"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（3）调查结束后，在</w:t>
      </w:r>
      <w:r>
        <w:rPr>
          <w:rFonts w:hint="eastAsia" w:ascii="宋体" w:hAnsi="宋体" w:eastAsia="宋体" w:cs="宋体"/>
          <w:sz w:val="24"/>
          <w:lang w:eastAsia="zh-CN"/>
        </w:rPr>
        <w:t>甲方</w:t>
      </w:r>
      <w:r>
        <w:rPr>
          <w:rFonts w:hint="eastAsia" w:ascii="宋体" w:hAnsi="宋体" w:eastAsia="宋体" w:cs="宋体"/>
          <w:b w:val="0"/>
          <w:bCs w:val="0"/>
          <w:color w:val="auto"/>
          <w:sz w:val="24"/>
          <w:szCs w:val="24"/>
          <w:highlight w:val="none"/>
          <w:lang w:val="en-US" w:eastAsia="zh-CN"/>
        </w:rPr>
        <w:t>指导下对采集数据进行数据清洗</w:t>
      </w:r>
      <w:r>
        <w:rPr>
          <w:rFonts w:hint="eastAsia" w:ascii="宋体" w:hAnsi="宋体" w:cs="宋体"/>
          <w:b w:val="0"/>
          <w:bCs w:val="0"/>
          <w:color w:val="auto"/>
          <w:sz w:val="24"/>
          <w:szCs w:val="24"/>
          <w:highlight w:val="none"/>
          <w:lang w:val="en-US" w:eastAsia="zh-CN"/>
        </w:rPr>
        <w:t>及核查匹配</w:t>
      </w:r>
      <w:r>
        <w:rPr>
          <w:rFonts w:hint="eastAsia" w:ascii="宋体" w:hAnsi="宋体" w:eastAsia="宋体" w:cs="宋体"/>
          <w:b w:val="0"/>
          <w:bCs w:val="0"/>
          <w:color w:val="auto"/>
          <w:sz w:val="24"/>
          <w:szCs w:val="24"/>
          <w:highlight w:val="none"/>
          <w:lang w:val="en-US" w:eastAsia="zh-CN"/>
        </w:rPr>
        <w:t>，建立规范化的数据清单，从企业数量、财务状况等多个方面对数据进行汇总，以满足甲方的数据分析需求。</w:t>
      </w:r>
    </w:p>
    <w:p>
      <w:pPr>
        <w:pStyle w:val="2"/>
        <w:numPr>
          <w:ilvl w:val="-1"/>
          <w:numId w:val="0"/>
        </w:numPr>
        <w:spacing w:after="0"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按季度提供</w:t>
      </w:r>
      <w:r>
        <w:rPr>
          <w:rFonts w:hint="eastAsia" w:ascii="宋体" w:hAnsi="宋体" w:eastAsia="宋体" w:cs="宋体"/>
          <w:sz w:val="24"/>
          <w:szCs w:val="24"/>
          <w:lang w:eastAsia="zh-CN"/>
        </w:rPr>
        <w:t>前海金融业运行分析咨询报告。基于季度专项调查结果，分析前海合作区内</w:t>
      </w:r>
      <w:r>
        <w:rPr>
          <w:rFonts w:hint="eastAsia" w:ascii="宋体" w:hAnsi="宋体" w:eastAsia="宋体" w:cs="宋体"/>
          <w:sz w:val="24"/>
          <w:szCs w:val="24"/>
          <w:lang w:val="en-US" w:eastAsia="zh-CN"/>
        </w:rPr>
        <w:t>重点</w:t>
      </w:r>
      <w:r>
        <w:rPr>
          <w:rFonts w:hint="eastAsia" w:ascii="宋体" w:hAnsi="宋体" w:eastAsia="宋体" w:cs="宋体"/>
          <w:sz w:val="24"/>
          <w:szCs w:val="24"/>
          <w:lang w:eastAsia="zh-CN"/>
        </w:rPr>
        <w:t>金融企业的经营情况等指标数据，深入挖掘行业特点及潜在问题，持续跟踪持牌金融机构的变化情况。每季度形成前海金融业运行分析报告，</w:t>
      </w:r>
      <w:r>
        <w:rPr>
          <w:rFonts w:hint="eastAsia" w:ascii="宋体" w:hAnsi="宋体" w:eastAsia="宋体" w:cs="宋体"/>
          <w:sz w:val="24"/>
          <w:szCs w:val="24"/>
          <w:lang w:val="en-US" w:eastAsia="zh-CN"/>
        </w:rPr>
        <w:t>并</w:t>
      </w:r>
      <w:r>
        <w:rPr>
          <w:rFonts w:hint="eastAsia" w:ascii="宋体" w:hAnsi="宋体" w:eastAsia="宋体" w:cs="宋体"/>
          <w:sz w:val="24"/>
          <w:szCs w:val="24"/>
          <w:lang w:eastAsia="zh-CN"/>
        </w:rPr>
        <w:t>整理出纳税、营收及纳统贡献等头部金融企业的排名清单。</w:t>
      </w:r>
      <w:r>
        <w:rPr>
          <w:rFonts w:hint="eastAsia" w:ascii="宋体" w:hAnsi="宋体" w:eastAsia="宋体" w:cs="宋体"/>
          <w:sz w:val="24"/>
          <w:szCs w:val="24"/>
          <w:lang w:val="en-US" w:eastAsia="zh-CN"/>
        </w:rPr>
        <w:t>年终</w:t>
      </w:r>
      <w:r>
        <w:rPr>
          <w:rFonts w:hint="eastAsia" w:ascii="宋体" w:hAnsi="宋体" w:eastAsia="宋体" w:cs="宋体"/>
          <w:sz w:val="24"/>
          <w:szCs w:val="24"/>
          <w:lang w:eastAsia="zh-CN"/>
        </w:rPr>
        <w:t>提供2025年度金融业运行分析报告，季度及年度报告均印刷成册，便于相关决策使用</w:t>
      </w:r>
      <w:r>
        <w:rPr>
          <w:rFonts w:hint="eastAsia" w:ascii="宋体" w:hAnsi="宋体" w:eastAsia="宋体" w:cs="宋体"/>
          <w:sz w:val="24"/>
          <w:szCs w:val="24"/>
          <w:lang w:val="en-US" w:eastAsia="zh-CN"/>
        </w:rPr>
        <w:t>。</w:t>
      </w:r>
    </w:p>
    <w:p>
      <w:pPr>
        <w:widowControl/>
        <w:tabs>
          <w:tab w:val="left" w:pos="4267"/>
        </w:tabs>
        <w:spacing w:line="360" w:lineRule="auto"/>
        <w:ind w:firstLine="482" w:firstLineChars="200"/>
        <w:outlineLvl w:val="2"/>
        <w:rPr>
          <w:rFonts w:hint="eastAsia" w:ascii="宋体" w:hAnsi="宋体" w:cs="宋体"/>
          <w:b/>
          <w:bCs/>
          <w:sz w:val="24"/>
          <w:lang w:val="en-US" w:eastAsia="zh-CN"/>
        </w:rPr>
      </w:pPr>
      <w:r>
        <w:rPr>
          <w:rFonts w:hint="eastAsia" w:ascii="宋体" w:hAnsi="宋体" w:cs="宋体"/>
          <w:b/>
          <w:bCs/>
          <w:sz w:val="24"/>
          <w:lang w:val="en-US" w:eastAsia="zh-CN"/>
        </w:rPr>
        <w:t xml:space="preserve">（二）港资外资在地运营情况专项核查  </w:t>
      </w:r>
    </w:p>
    <w:p>
      <w:pPr>
        <w:pStyle w:val="2"/>
        <w:numPr>
          <w:ilvl w:val="-1"/>
          <w:numId w:val="0"/>
        </w:numPr>
        <w:spacing w:after="0"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前海合作区内登记注册的港资及外资金融企业为基础，结合季度专项调查、电话回访、实地上门摸排等形式，重点摸排前海港外资金融企业在地经营活动情况，梳理其办公地址、主营业务等基本信息。通过部门协同，整合市场监管、税务、统计、人社等部门数据进行交叉比对，初步判断前海港外资金融企业经营活跃度；定期对新增前海港外资金融企业开展实地走访或电话访谈，收集企业在地信息，确保数据真实性和及时性，夯实底数基础，为前海深化金融对外开放、优化政策供给、推动高质量发展提供有力支撑。</w:t>
      </w:r>
    </w:p>
    <w:p>
      <w:pPr>
        <w:widowControl/>
        <w:tabs>
          <w:tab w:val="left" w:pos="4267"/>
        </w:tabs>
        <w:spacing w:line="360" w:lineRule="auto"/>
        <w:ind w:firstLine="482" w:firstLineChars="200"/>
        <w:outlineLvl w:val="2"/>
        <w:rPr>
          <w:rFonts w:hint="eastAsia" w:ascii="宋体" w:hAnsi="宋体" w:cs="宋体"/>
          <w:b/>
          <w:bCs/>
          <w:sz w:val="24"/>
          <w:lang w:val="en-US" w:eastAsia="zh-CN"/>
        </w:rPr>
      </w:pPr>
      <w:r>
        <w:rPr>
          <w:rFonts w:hint="eastAsia" w:ascii="宋体" w:hAnsi="宋体" w:cs="宋体"/>
          <w:b/>
          <w:bCs/>
          <w:sz w:val="24"/>
          <w:lang w:val="en-US" w:eastAsia="zh-CN"/>
        </w:rPr>
        <w:t>（三）其他相关金融业数据服务</w:t>
      </w:r>
    </w:p>
    <w:p>
      <w:pPr>
        <w:pStyle w:val="2"/>
        <w:numPr>
          <w:ilvl w:val="-1"/>
          <w:numId w:val="0"/>
        </w:numPr>
        <w:spacing w:after="0"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前海深港国际金融城企业在地落地情况排查整理。结合季度调查和不定期企业走访，协助开展前海深港国际金融城企业的落地调查工作，系统梳理金融城已签约入驻企业的正常经营情况，并实时监测企业的变动情况，确保掌握最新的企业运营数据。</w:t>
      </w:r>
    </w:p>
    <w:p>
      <w:pPr>
        <w:pStyle w:val="2"/>
        <w:numPr>
          <w:ilvl w:val="-1"/>
          <w:numId w:val="0"/>
        </w:numPr>
        <w:spacing w:after="0"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海深港国际风投创投集聚区企业入驻情况调查。结合季度调查和不定期企业走访，协助开展前海深港国际风投创投集聚区企业实际入驻情况、正常经营情况的调查，动态掌握企业入驻进展、招商引资情况，以及管理基金数量和规模等相关数据。</w:t>
      </w:r>
    </w:p>
    <w:p>
      <w:pPr>
        <w:pStyle w:val="2"/>
        <w:numPr>
          <w:ilvl w:val="-1"/>
          <w:numId w:val="0"/>
        </w:numPr>
        <w:spacing w:after="0"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融资租赁高质量发展集聚区企业入驻情况梳理。结合季度调查和不定期企业走访，协助开展融资租赁高质量发展集聚区企业实际入驻情况、正常经营情况的调查摸排，动态掌握并更新融资租赁集聚区内企业的入驻、业务发展以及特色业务情况等相关数据。</w:t>
      </w:r>
    </w:p>
    <w:p>
      <w:pPr>
        <w:pStyle w:val="2"/>
        <w:numPr>
          <w:ilvl w:val="-1"/>
          <w:numId w:val="0"/>
        </w:numPr>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4.根据前海金融发展工作需要，协助采集并提供行业外部数据。</w:t>
      </w:r>
    </w:p>
    <w:p>
      <w:pPr>
        <w:tabs>
          <w:tab w:val="left" w:pos="4267"/>
        </w:tabs>
        <w:spacing w:line="360" w:lineRule="auto"/>
        <w:ind w:firstLine="482" w:firstLineChars="200"/>
        <w:outlineLvl w:val="2"/>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四</w:t>
      </w:r>
      <w:r>
        <w:rPr>
          <w:rFonts w:hint="eastAsia" w:ascii="宋体" w:hAnsi="宋体" w:cs="宋体"/>
          <w:b/>
          <w:bCs/>
          <w:sz w:val="24"/>
        </w:rPr>
        <w:t>）工作进度及阶段成果要求</w:t>
      </w:r>
    </w:p>
    <w:tbl>
      <w:tblPr>
        <w:tblStyle w:val="23"/>
        <w:tblW w:w="0" w:type="auto"/>
        <w:jc w:val="center"/>
        <w:tblLayout w:type="fixed"/>
        <w:tblCellMar>
          <w:top w:w="0" w:type="dxa"/>
          <w:left w:w="0" w:type="dxa"/>
          <w:bottom w:w="0" w:type="dxa"/>
          <w:right w:w="0" w:type="dxa"/>
        </w:tblCellMar>
      </w:tblPr>
      <w:tblGrid>
        <w:gridCol w:w="669"/>
        <w:gridCol w:w="1375"/>
        <w:gridCol w:w="2084"/>
        <w:gridCol w:w="4231"/>
      </w:tblGrid>
      <w:tr>
        <w:tblPrEx>
          <w:tblCellMar>
            <w:top w:w="0" w:type="dxa"/>
            <w:left w:w="0" w:type="dxa"/>
            <w:bottom w:w="0" w:type="dxa"/>
            <w:right w:w="0" w:type="dxa"/>
          </w:tblCellMar>
        </w:tblPrEx>
        <w:trPr>
          <w:cantSplit/>
          <w:trHeight w:val="2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20" w:beforeLines="50" w:beforeAutospacing="0" w:after="0" w:afterAutospacing="0" w:line="360" w:lineRule="auto"/>
              <w:ind w:left="0" w:right="0"/>
              <w:jc w:val="center"/>
              <w:rPr>
                <w:rFonts w:hint="eastAsia" w:ascii="宋体" w:hAnsi="宋体" w:cs="宋体"/>
                <w:sz w:val="24"/>
              </w:rPr>
            </w:pPr>
            <w:r>
              <w:rPr>
                <w:rFonts w:hint="eastAsia" w:ascii="宋体" w:hAnsi="宋体" w:cs="宋体"/>
                <w:sz w:val="24"/>
              </w:rPr>
              <w:t>序号</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20" w:beforeLines="50" w:beforeAutospacing="0" w:after="0" w:afterAutospacing="0" w:line="360" w:lineRule="auto"/>
              <w:ind w:left="0" w:right="0"/>
              <w:jc w:val="center"/>
              <w:rPr>
                <w:rFonts w:hint="eastAsia" w:ascii="宋体" w:hAnsi="宋体" w:cs="宋体"/>
                <w:sz w:val="24"/>
              </w:rPr>
            </w:pPr>
            <w:r>
              <w:rPr>
                <w:rFonts w:hint="eastAsia" w:ascii="宋体" w:hAnsi="宋体" w:cs="宋体"/>
                <w:sz w:val="24"/>
              </w:rPr>
              <w:t>阶段</w:t>
            </w:r>
          </w:p>
        </w:tc>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20" w:beforeLines="50" w:beforeAutospacing="0" w:after="0" w:afterAutospacing="0" w:line="360" w:lineRule="auto"/>
              <w:ind w:left="0" w:right="0"/>
              <w:jc w:val="center"/>
              <w:rPr>
                <w:rFonts w:hint="eastAsia" w:ascii="宋体" w:hAnsi="宋体" w:cs="宋体"/>
                <w:sz w:val="24"/>
              </w:rPr>
            </w:pPr>
            <w:r>
              <w:rPr>
                <w:rFonts w:hint="eastAsia" w:ascii="宋体" w:hAnsi="宋体" w:cs="宋体"/>
                <w:sz w:val="24"/>
              </w:rPr>
              <w:t>时间</w:t>
            </w:r>
          </w:p>
        </w:tc>
        <w:tc>
          <w:tcPr>
            <w:tcW w:w="4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20" w:beforeLines="50" w:beforeAutospacing="0" w:after="0" w:afterAutospacing="0" w:line="360" w:lineRule="auto"/>
              <w:ind w:left="0" w:right="0"/>
              <w:jc w:val="center"/>
              <w:rPr>
                <w:rFonts w:hint="eastAsia" w:ascii="宋体" w:hAnsi="宋体" w:cs="宋体"/>
                <w:sz w:val="24"/>
              </w:rPr>
            </w:pPr>
            <w:r>
              <w:rPr>
                <w:rFonts w:hint="eastAsia" w:ascii="宋体" w:hAnsi="宋体" w:cs="宋体"/>
                <w:sz w:val="24"/>
              </w:rPr>
              <w:t>主要工作</w:t>
            </w:r>
          </w:p>
        </w:tc>
      </w:tr>
      <w:tr>
        <w:tblPrEx>
          <w:tblCellMar>
            <w:top w:w="0" w:type="dxa"/>
            <w:left w:w="0" w:type="dxa"/>
            <w:bottom w:w="0" w:type="dxa"/>
            <w:right w:w="0" w:type="dxa"/>
          </w:tblCellMar>
        </w:tblPrEx>
        <w:trPr>
          <w:cantSplit/>
          <w:trHeight w:val="898"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eastAsia="en-US"/>
              </w:rPr>
              <w:t>1</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项目前期</w:t>
            </w:r>
          </w:p>
        </w:tc>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sz w:val="24"/>
                <w:highlight w:val="none"/>
              </w:rPr>
            </w:pPr>
            <w:r>
              <w:rPr>
                <w:rFonts w:hint="eastAsia" w:ascii="宋体" w:hAnsi="宋体" w:cs="宋体"/>
                <w:sz w:val="24"/>
                <w:highlight w:val="none"/>
              </w:rPr>
              <w:t>自本合同签订后</w:t>
            </w:r>
          </w:p>
        </w:tc>
        <w:tc>
          <w:tcPr>
            <w:tcW w:w="4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前期统计调查、前海金融相关数据支持等前期准备工作</w:t>
            </w:r>
          </w:p>
        </w:tc>
      </w:tr>
      <w:tr>
        <w:trPr>
          <w:cantSplit/>
          <w:trHeight w:val="2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2</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项目后期</w:t>
            </w:r>
          </w:p>
        </w:tc>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sz w:val="24"/>
                <w:highlight w:val="none"/>
              </w:rPr>
            </w:pPr>
            <w:r>
              <w:rPr>
                <w:rFonts w:hint="eastAsia" w:ascii="宋体" w:hAnsi="宋体" w:cs="宋体"/>
                <w:sz w:val="24"/>
                <w:highlight w:val="none"/>
              </w:rPr>
              <w:t>提交项目成果后</w:t>
            </w:r>
          </w:p>
        </w:tc>
        <w:tc>
          <w:tcPr>
            <w:tcW w:w="4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提交2025年前海金融业统计服务项目所有成果。</w:t>
            </w:r>
          </w:p>
        </w:tc>
      </w:tr>
    </w:tbl>
    <w:p>
      <w:pPr>
        <w:spacing w:line="360" w:lineRule="auto"/>
        <w:ind w:firstLine="482" w:firstLineChars="200"/>
        <w:outlineLvl w:val="1"/>
        <w:rPr>
          <w:rFonts w:hint="eastAsia" w:ascii="宋体" w:hAnsi="宋体" w:cs="宋体"/>
          <w:b/>
          <w:sz w:val="24"/>
        </w:rPr>
      </w:pPr>
      <w:bookmarkStart w:id="19" w:name="_Toc30479"/>
      <w:r>
        <w:rPr>
          <w:rFonts w:hint="eastAsia" w:ascii="宋体" w:hAnsi="宋体" w:cs="宋体"/>
          <w:b/>
          <w:sz w:val="24"/>
        </w:rPr>
        <w:t>二、保密条款</w:t>
      </w:r>
      <w:bookmarkEnd w:id="19"/>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一）乙方应以保密方式处理在编制本项目成果文件过程中自甲方、甲方工作人员或甲方关联机构获得的相关合同条文、计划或资料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（二）乙方实施项目的程序应符合国家安全、保密的有关规定和标准。</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（三）合同履行完毕，未经甲方的书面同意，乙方不得保存在履行合同过程中所获得或接触到的任何内部数据资料。</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（四）上述保密义务不适用以下情况：</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五）如乙方违反上述保密条款，甲方有权解除本合同，乙方应在合同解除通知发出之日起10日内向甲方支付本合同服务费总金额10%的违约金，如果违约金无法弥补甲方损失，甲方保留要求乙方赔偿全部损失的权利，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律师费、鉴定评估费用、调查费用、和解金额或生效法律文书中规定的赔偿金额。</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（六）无论本合同或本合同其他条款是否有效、合同是否终止，本保密条款始终约束双方。国家秘密的保密期限由国家有关部门确定，工作秘密的保密期限由甲方确定。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sz w:val="24"/>
        </w:rPr>
      </w:pPr>
      <w:bookmarkStart w:id="20" w:name="_Toc27550"/>
      <w:r>
        <w:rPr>
          <w:rFonts w:hint="eastAsia" w:ascii="宋体" w:hAnsi="宋体" w:cs="宋体"/>
          <w:b/>
          <w:sz w:val="24"/>
        </w:rPr>
        <w:t>三、知识产权及项目成果归属</w:t>
      </w:r>
      <w:bookmarkEnd w:id="20"/>
    </w:p>
    <w:p>
      <w:pPr>
        <w:pStyle w:val="13"/>
        <w:adjustRightInd w:val="0"/>
        <w:spacing w:line="360" w:lineRule="auto"/>
        <w:ind w:firstLine="480" w:firstLineChars="200"/>
        <w:rPr>
          <w:rFonts w:hint="eastAsia" w:hAnsi="宋体" w:cs="宋体"/>
          <w:sz w:val="24"/>
        </w:rPr>
      </w:pPr>
      <w:r>
        <w:rPr>
          <w:rFonts w:hint="eastAsia" w:hAnsi="宋体" w:cs="宋体"/>
          <w:sz w:val="24"/>
        </w:rPr>
        <w:t>（一）本项目全部阶段性成果和最终成果的所有权、知识产权以及与之相关的所有权利归</w:t>
      </w:r>
      <w:r>
        <w:rPr>
          <w:rFonts w:hint="eastAsia" w:hAnsi="宋体" w:cs="宋体"/>
          <w:sz w:val="24"/>
          <w:lang w:val="en-US" w:eastAsia="zh-CN"/>
        </w:rPr>
        <w:t>甲方</w:t>
      </w:r>
      <w:r>
        <w:rPr>
          <w:rFonts w:hint="eastAsia" w:hAnsi="宋体" w:cs="宋体"/>
          <w:sz w:val="24"/>
        </w:rPr>
        <w:t>所有；本项目合同签署前各方已经拥有的知识产权权利，仍归各自所有。</w:t>
      </w:r>
    </w:p>
    <w:p>
      <w:pPr>
        <w:pStyle w:val="13"/>
        <w:adjustRightInd w:val="0"/>
        <w:spacing w:line="360" w:lineRule="auto"/>
        <w:ind w:firstLine="480" w:firstLineChars="200"/>
        <w:rPr>
          <w:rFonts w:hint="eastAsia" w:hAnsi="宋体" w:cs="宋体"/>
          <w:sz w:val="24"/>
        </w:rPr>
      </w:pPr>
      <w:r>
        <w:rPr>
          <w:rFonts w:hint="eastAsia" w:hAnsi="宋体" w:cs="宋体"/>
          <w:sz w:val="24"/>
        </w:rPr>
        <w:t>（二）甲方与乙方确定，甲方有权对乙方按照招标文件约定提供的成果进行后续改进。由此产生的具有实质性或创造性技术进步特征的新的技术成果及其权利全部由甲方享有。</w:t>
      </w:r>
    </w:p>
    <w:p>
      <w:pPr>
        <w:pStyle w:val="13"/>
        <w:adjustRightInd w:val="0"/>
        <w:spacing w:line="360" w:lineRule="auto"/>
        <w:ind w:firstLine="480" w:firstLineChars="200"/>
        <w:rPr>
          <w:rFonts w:hint="eastAsia" w:hAnsi="宋体" w:cs="宋体"/>
          <w:sz w:val="24"/>
        </w:rPr>
      </w:pPr>
      <w:r>
        <w:rPr>
          <w:rFonts w:hint="eastAsia" w:hAnsi="宋体" w:cs="宋体"/>
          <w:sz w:val="24"/>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本项目合同，并保留要求乙方赔偿全部损失的权利，包括但不限于上述索赔或责任所产生的诉讼费用、</w:t>
      </w:r>
      <w:r>
        <w:rPr>
          <w:rFonts w:hint="eastAsia" w:ascii="宋体" w:hAnsi="宋体" w:cs="宋体"/>
          <w:sz w:val="24"/>
          <w:lang w:val="en-US" w:eastAsia="zh-CN"/>
        </w:rPr>
        <w:t>保全费、</w:t>
      </w:r>
      <w:r>
        <w:rPr>
          <w:rFonts w:hint="eastAsia" w:hAnsi="宋体" w:cs="宋体"/>
          <w:sz w:val="24"/>
        </w:rPr>
        <w:t>律师费、鉴定评估费用、调查费用、和解金额或生效法律文书中规定的赔偿金额。</w:t>
      </w:r>
    </w:p>
    <w:p>
      <w:pPr>
        <w:pStyle w:val="13"/>
        <w:adjustRightInd w:val="0"/>
        <w:spacing w:line="360" w:lineRule="auto"/>
        <w:ind w:firstLine="480" w:firstLineChars="200"/>
        <w:rPr>
          <w:rFonts w:hint="eastAsia" w:hAnsi="宋体" w:cs="宋体"/>
          <w:sz w:val="24"/>
        </w:rPr>
      </w:pPr>
      <w:r>
        <w:rPr>
          <w:rFonts w:hint="eastAsia" w:hAnsi="宋体" w:cs="宋体"/>
          <w:sz w:val="24"/>
        </w:rPr>
        <w:t>（四）未经甲方书面事先同意，乙方不得将研究成果公开发表、内部刊用或用于其他任何项目，也不得将本项目的阶段性成果和/或最终成果文件及任何数据、资料、软件向任何其他方转让、授权任何其他方使用或用于本项目外的其他项目。如发生以上情况，乙方应向甲方支付本合同总价款20%的违约金。同时，甲方保留乙方赔偿全部损失的权利，包括但不限于上述索赔或责任所产生的诉讼费用、</w:t>
      </w:r>
      <w:r>
        <w:rPr>
          <w:rFonts w:hint="eastAsia" w:ascii="宋体" w:hAnsi="宋体" w:cs="宋体"/>
          <w:sz w:val="24"/>
          <w:lang w:val="en-US" w:eastAsia="zh-CN"/>
        </w:rPr>
        <w:t>保全费、</w:t>
      </w:r>
      <w:r>
        <w:rPr>
          <w:rFonts w:hint="eastAsia" w:hAnsi="宋体" w:cs="宋体"/>
          <w:sz w:val="24"/>
        </w:rPr>
        <w:t>律师费、鉴定评估费用、调查费用、和解金额或生效法律文书中规定的赔偿金额。</w:t>
      </w:r>
    </w:p>
    <w:p>
      <w:pPr>
        <w:spacing w:line="360" w:lineRule="auto"/>
        <w:ind w:firstLine="482" w:firstLineChars="200"/>
        <w:outlineLvl w:val="1"/>
        <w:rPr>
          <w:rFonts w:hint="eastAsia" w:ascii="宋体" w:hAnsi="宋体" w:cs="宋体"/>
          <w:b/>
          <w:sz w:val="24"/>
        </w:rPr>
      </w:pPr>
      <w:bookmarkStart w:id="21" w:name="_Toc26541"/>
      <w:r>
        <w:rPr>
          <w:rFonts w:hint="eastAsia" w:ascii="宋体" w:hAnsi="宋体" w:cs="宋体"/>
          <w:b/>
          <w:sz w:val="24"/>
        </w:rPr>
        <w:t>四、甲方的权利与义务</w:t>
      </w:r>
      <w:bookmarkEnd w:id="21"/>
    </w:p>
    <w:p>
      <w:pPr>
        <w:tabs>
          <w:tab w:val="left" w:pos="4267"/>
        </w:tabs>
        <w:spacing w:line="360" w:lineRule="auto"/>
        <w:ind w:firstLine="482" w:firstLineChars="200"/>
        <w:outlineLvl w:val="2"/>
        <w:rPr>
          <w:rFonts w:hint="eastAsia" w:ascii="宋体" w:hAnsi="宋体" w:cs="宋体"/>
          <w:b/>
          <w:bCs/>
          <w:sz w:val="24"/>
        </w:rPr>
      </w:pPr>
      <w:r>
        <w:rPr>
          <w:rFonts w:hint="eastAsia" w:ascii="宋体" w:hAnsi="宋体" w:cs="宋体"/>
          <w:b/>
          <w:bCs/>
          <w:sz w:val="24"/>
        </w:rPr>
        <w:t>（一）甲方的权利</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1、甲方对统计服务过程的决策、控制、实施等环节实行全面管理，协调和监督统计服务工作开展，控制统计服务工作过程，进行统计服务成果验收。</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2、检查乙方统计服务人员到位情况，如因人力、能力不足致使统计服务工作不能按计划完成时，可要求乙方增加或替换相应的技术人员，直至甲方认可，乙方不得拒绝。</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3、甲方有权向乙方询问项目工作进展及相关情况，并要求乙方在指定时间内做出答复。</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5、如乙方所提供的成果文件不满足委托方的工作内容及商务需求，甲方有权要求乙方重新执行相应的工作服务，由此产生的全部费用由乙方自行承担。</w:t>
      </w:r>
      <w:r>
        <w:rPr>
          <w:rFonts w:ascii="Times New Roman" w:hAnsi="Times New Roman" w:eastAsia="宋体" w:cs="Times New Roman"/>
          <w:color w:val="auto"/>
          <w:sz w:val="24"/>
          <w:szCs w:val="24"/>
          <w:highlight w:val="none"/>
        </w:rPr>
        <w:t>同时，甲方的付款时间相应顺延。</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6、甲方有权要求乙方全面履行合同。甲方不接受部分履行，如本合同项下部分成果文件未能按时交付则视为整体延误。</w:t>
      </w:r>
    </w:p>
    <w:p>
      <w:pPr>
        <w:tabs>
          <w:tab w:val="left" w:pos="4267"/>
        </w:tabs>
        <w:spacing w:line="360" w:lineRule="auto"/>
        <w:ind w:firstLine="482" w:firstLineChars="200"/>
        <w:outlineLvl w:val="2"/>
        <w:rPr>
          <w:rFonts w:hint="eastAsia" w:ascii="宋体" w:hAnsi="宋体" w:cs="宋体"/>
          <w:b/>
          <w:bCs/>
          <w:sz w:val="24"/>
        </w:rPr>
      </w:pPr>
      <w:r>
        <w:rPr>
          <w:rFonts w:hint="eastAsia" w:ascii="宋体" w:hAnsi="宋体" w:cs="宋体"/>
          <w:b/>
          <w:bCs/>
          <w:sz w:val="24"/>
        </w:rPr>
        <w:t>（二）甲方的义务</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1、为使统计服务工作顺利进行，甲方应在一个合理的时间内向乙方提供能够获得的与统计服务工作有关的资料。</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2、甲方对乙方按照合同规定所履行的服务提供必要的支持与协助。</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3、根据合同约定的相关条款，按时支付乙方统计服务费用。</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4、甲方应在收到乙方验收申请后的20个工作日内</w:t>
      </w:r>
      <w:r>
        <w:rPr>
          <w:rFonts w:hint="eastAsia" w:ascii="宋体" w:hAnsi="宋体" w:cs="宋体"/>
          <w:sz w:val="24"/>
          <w:lang w:val="en-US" w:eastAsia="zh-CN"/>
        </w:rPr>
        <w:t>进行</w:t>
      </w:r>
      <w:r>
        <w:rPr>
          <w:rFonts w:hint="eastAsia" w:ascii="宋体" w:hAnsi="宋体" w:cs="宋体"/>
          <w:sz w:val="24"/>
        </w:rPr>
        <w:t>成果验收。</w:t>
      </w:r>
    </w:p>
    <w:p>
      <w:pPr>
        <w:tabs>
          <w:tab w:val="left" w:pos="4267"/>
        </w:tabs>
        <w:spacing w:line="360" w:lineRule="auto"/>
        <w:ind w:firstLine="482" w:firstLineChars="200"/>
        <w:outlineLvl w:val="1"/>
        <w:rPr>
          <w:rFonts w:hint="eastAsia" w:ascii="宋体" w:hAnsi="宋体" w:cs="宋体"/>
          <w:b/>
          <w:bCs/>
          <w:sz w:val="24"/>
        </w:rPr>
      </w:pPr>
      <w:bookmarkStart w:id="22" w:name="_Toc22779"/>
      <w:r>
        <w:rPr>
          <w:rFonts w:hint="eastAsia" w:ascii="宋体" w:hAnsi="宋体" w:cs="宋体"/>
          <w:b/>
          <w:bCs/>
          <w:sz w:val="24"/>
        </w:rPr>
        <w:t>五、乙方的权利与义务</w:t>
      </w:r>
      <w:bookmarkEnd w:id="22"/>
    </w:p>
    <w:p>
      <w:pPr>
        <w:tabs>
          <w:tab w:val="left" w:pos="4267"/>
        </w:tabs>
        <w:spacing w:line="360" w:lineRule="auto"/>
        <w:ind w:firstLine="482" w:firstLineChars="200"/>
        <w:outlineLvl w:val="2"/>
        <w:rPr>
          <w:rFonts w:hint="eastAsia" w:ascii="宋体" w:hAnsi="宋体" w:cs="宋体"/>
          <w:b/>
          <w:bCs/>
          <w:sz w:val="24"/>
        </w:rPr>
      </w:pPr>
      <w:r>
        <w:rPr>
          <w:rFonts w:hint="eastAsia" w:ascii="宋体" w:hAnsi="宋体" w:cs="宋体"/>
          <w:b/>
          <w:bCs/>
          <w:sz w:val="24"/>
        </w:rPr>
        <w:t>（一）乙方的权利</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1、根据统计服务工作的需要，可要求甲方提供或协助乙方收集相关资料。</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2、参与本项统计服务相关的工作会议及技术会议（活动）。</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3、根据合同约定收取相应的统计服务费。</w:t>
      </w:r>
    </w:p>
    <w:p>
      <w:pPr>
        <w:tabs>
          <w:tab w:val="left" w:pos="4267"/>
        </w:tabs>
        <w:spacing w:line="360" w:lineRule="auto"/>
        <w:ind w:firstLine="482" w:firstLineChars="200"/>
        <w:outlineLvl w:val="2"/>
        <w:rPr>
          <w:rFonts w:hint="eastAsia" w:ascii="宋体" w:hAnsi="宋体" w:cs="宋体"/>
          <w:b/>
          <w:bCs/>
          <w:sz w:val="24"/>
        </w:rPr>
      </w:pPr>
      <w:r>
        <w:rPr>
          <w:rFonts w:hint="eastAsia" w:ascii="宋体" w:hAnsi="宋体" w:cs="宋体"/>
          <w:b/>
          <w:bCs/>
          <w:sz w:val="24"/>
        </w:rPr>
        <w:t>（二）乙方的义务</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1、乙方应按国家及深圳的有关法律法规、设计标准、技术规范以及本合同约定的工作内容、工作进度等要求提供统计服务，并对其提交的统计服务成果负责。对于与本项目工作内容相关的其他相关项目，乙方应进行充分了解并做好协调与衔接工作。</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2、为保证项目成果的质量，乙方在合同履行期间，应按照本项目工作内容要求，成立项目团队。项目负责人负责对项目实施全过程进行组织和指导，负责人及相关工作人员名单在甲方确认后如需更换，乙方应事先征得甲方的书面同意，且接替的工作人员的职位、资历、资质应与原定工作人员相当。</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3、如乙方提供的统计服务成果文件不符合本合同要求，必须在甲方提出要求后7天内无条件修改，其费用由乙方自行承担。修改期间，甲方付款时间相应顺延。</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4、未经甲方书面同意，乙方不得将本合同项下权利义务转让给任何第三方。</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5、未经甲方书面同意，乙方不得将本合同项下任何权利义务予以分包。如甲方同意乙方分包的，分包单位的资质应事先经甲方审查和批准。</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6、乙方对其工作人员在合同履行期间的一切行为负责，期间发生的一切安全事故责任、其它人身损害及因此发生的人身损害赔偿和其他费用由乙方自行承担，与甲方无关。若因此导致甲方支付赔偿及其他费用，乙方于甲方支付前述费用的三日内应全部偿还给甲方。</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7、乙方必须按本合同约定的内容、标准和期限完成项目工作，并按照甲方要求将完成委托事项的相关资料交给甲方。如甲方需对工作进度进行调整，甲方、乙方应共同协商解决。</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8、乙方有维护甲方声誉的义务，乙方不能以甲方名义从事与本项目无关的任何事务。</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9、本合同期满或提前解除、终止后，乙方应将甲方的档案资料、信息数据等交还甲方，并应销毁或删除所有备份。</w:t>
      </w:r>
    </w:p>
    <w:p>
      <w:pPr>
        <w:tabs>
          <w:tab w:val="left" w:pos="4267"/>
        </w:tabs>
        <w:spacing w:line="360" w:lineRule="auto"/>
        <w:ind w:firstLine="480" w:firstLineChars="200"/>
        <w:rPr>
          <w:rFonts w:hint="eastAsia" w:ascii="宋体" w:hAnsi="宋体" w:cs="宋体"/>
          <w:bCs/>
          <w:szCs w:val="21"/>
        </w:rPr>
      </w:pPr>
      <w:r>
        <w:rPr>
          <w:rFonts w:hint="eastAsia" w:ascii="宋体" w:hAnsi="宋体" w:cs="宋体"/>
          <w:sz w:val="24"/>
        </w:rPr>
        <w:t>10、乙方在完成本项目过程中，不得损害其他任何第三方的知识产权等合法权益，否则由此造成的相关责任应当由乙方自行承担，与甲方无关。若因此导致甲方支付赔偿及其他费用，乙方于甲方支付前述费用的三日内应全部偿还给甲方。</w:t>
      </w:r>
    </w:p>
    <w:p>
      <w:pPr>
        <w:spacing w:line="360" w:lineRule="auto"/>
        <w:ind w:firstLine="482" w:firstLineChars="200"/>
        <w:outlineLvl w:val="1"/>
        <w:rPr>
          <w:rFonts w:hint="eastAsia" w:ascii="宋体" w:hAnsi="宋体" w:cs="宋体"/>
          <w:b/>
          <w:sz w:val="24"/>
        </w:rPr>
      </w:pPr>
      <w:bookmarkStart w:id="23" w:name="_Toc15508"/>
      <w:r>
        <w:rPr>
          <w:rFonts w:hint="eastAsia" w:ascii="宋体" w:hAnsi="宋体" w:cs="宋体"/>
          <w:b/>
          <w:sz w:val="24"/>
        </w:rPr>
        <w:t>六、合同履行时间及履行方式</w:t>
      </w:r>
      <w:bookmarkEnd w:id="23"/>
    </w:p>
    <w:p>
      <w:pPr>
        <w:pStyle w:val="4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（一）履行时间：合同签订之日起一年内完成全部项目工作内容，工作成果按照双方约定时间交付。</w:t>
      </w:r>
    </w:p>
    <w:p>
      <w:pPr>
        <w:pStyle w:val="4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（二）履行方式：按甲方的工作内容及商务需求完成相应工作，并提交全部工作成果。</w:t>
      </w:r>
    </w:p>
    <w:p>
      <w:pPr>
        <w:spacing w:line="360" w:lineRule="auto"/>
        <w:ind w:firstLine="480" w:firstLineChars="200"/>
        <w:outlineLvl w:val="0"/>
        <w:rPr>
          <w:rFonts w:hint="eastAsia" w:ascii="宋体" w:hAnsi="宋体" w:cs="宋体"/>
          <w:b/>
          <w:sz w:val="24"/>
        </w:rPr>
      </w:pPr>
      <w:bookmarkStart w:id="24" w:name="_Toc29549"/>
      <w:r>
        <w:rPr>
          <w:rFonts w:hint="eastAsia" w:ascii="宋体" w:hAnsi="宋体" w:cs="宋体"/>
          <w:bCs/>
          <w:sz w:val="24"/>
        </w:rPr>
        <w:t>（三）后续服务要求：乙方提交的本项目最终成果通过甲方审查验收之日起1年为本合同后续服务期。服务期内乙方应向甲方提供后续的专业技术支持与咨询服务。</w:t>
      </w:r>
      <w:bookmarkEnd w:id="24"/>
    </w:p>
    <w:p>
      <w:pPr>
        <w:spacing w:line="360" w:lineRule="auto"/>
        <w:ind w:firstLine="482" w:firstLineChars="200"/>
        <w:outlineLvl w:val="0"/>
        <w:rPr>
          <w:rFonts w:hint="eastAsia" w:ascii="宋体" w:hAnsi="宋体" w:cs="宋体"/>
          <w:b/>
          <w:sz w:val="24"/>
        </w:rPr>
      </w:pPr>
      <w:bookmarkStart w:id="25" w:name="_Toc20839"/>
      <w:r>
        <w:rPr>
          <w:rFonts w:hint="eastAsia" w:ascii="宋体" w:hAnsi="宋体" w:cs="宋体"/>
          <w:b/>
          <w:sz w:val="24"/>
        </w:rPr>
        <w:t>七、</w:t>
      </w:r>
      <w:bookmarkEnd w:id="25"/>
      <w:r>
        <w:rPr>
          <w:rFonts w:hint="eastAsia" w:ascii="宋体" w:hAnsi="宋体" w:cs="宋体"/>
          <w:b/>
          <w:sz w:val="24"/>
        </w:rPr>
        <w:t>验收方式</w:t>
      </w:r>
    </w:p>
    <w:p>
      <w:pPr>
        <w:pStyle w:val="4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乙方按甲方要求在项目末期提交2025年前海金融业统计服务项目相应成果后，甲方在最终成果提交后20天内对工作进行审查，最终成果验收合格的标志为甲方审查通过。</w:t>
      </w:r>
    </w:p>
    <w:p>
      <w:pPr>
        <w:spacing w:line="360" w:lineRule="auto"/>
        <w:ind w:firstLine="482" w:firstLineChars="200"/>
        <w:outlineLvl w:val="0"/>
        <w:rPr>
          <w:rFonts w:hint="eastAsia" w:ascii="宋体" w:hAnsi="宋体" w:cs="宋体"/>
          <w:b/>
          <w:sz w:val="24"/>
        </w:rPr>
      </w:pPr>
      <w:bookmarkStart w:id="26" w:name="_Toc31126"/>
      <w:r>
        <w:rPr>
          <w:rFonts w:hint="eastAsia" w:ascii="宋体" w:hAnsi="宋体" w:cs="宋体"/>
          <w:b/>
          <w:sz w:val="24"/>
        </w:rPr>
        <w:t>八、项目服务费用及付款方式</w:t>
      </w:r>
      <w:bookmarkEnd w:id="26"/>
    </w:p>
    <w:p>
      <w:pPr>
        <w:spacing w:line="360" w:lineRule="auto"/>
        <w:ind w:firstLine="480" w:firstLineChars="200"/>
        <w:rPr>
          <w:rFonts w:hint="eastAsia" w:ascii="宋体" w:hAnsi="宋体" w:cs="宋体"/>
          <w:bCs/>
          <w:sz w:val="24"/>
        </w:rPr>
      </w:pPr>
      <w:r>
        <w:rPr>
          <w:rFonts w:hint="eastAsia" w:ascii="宋体" w:hAnsi="宋体" w:cs="宋体"/>
          <w:bCs/>
          <w:sz w:val="24"/>
        </w:rPr>
        <w:t>（一）本合同项下项目服务费用总金额计</w:t>
      </w:r>
      <w:r>
        <w:rPr>
          <w:rFonts w:hint="eastAsia" w:ascii="宋体" w:hAnsi="宋体" w:cs="宋体"/>
          <w:bCs/>
          <w:sz w:val="24"/>
          <w:u w:val="single"/>
        </w:rPr>
        <w:t>人民币      整</w:t>
      </w:r>
      <w:r>
        <w:rPr>
          <w:rFonts w:hint="eastAsia" w:ascii="宋体" w:hAnsi="宋体" w:cs="宋体"/>
          <w:bCs/>
          <w:sz w:val="24"/>
        </w:rPr>
        <w:t>（￥      ），服务费包含乙方提供本合同项下服务的全部费用，包括但不限于投标人完成本招标项目而发生的全部费用，包括服务费、中标服务费、各种资料费、保险、税金、出差（如需）等所有费用，并提供合同要求的报告、全部成果文件和全部相关资料，以及其它相关服务的全部费用。</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（二）付款方式：</w:t>
      </w:r>
    </w:p>
    <w:p>
      <w:pPr>
        <w:spacing w:line="360" w:lineRule="auto"/>
        <w:ind w:firstLine="480" w:firstLineChars="200"/>
        <w:outlineLvl w:val="0"/>
        <w:rPr>
          <w:rFonts w:hint="eastAsia" w:ascii="宋体" w:hAnsi="宋体" w:cs="宋体"/>
          <w:bCs/>
          <w:sz w:val="24"/>
        </w:rPr>
      </w:pPr>
      <w:bookmarkStart w:id="27" w:name="_Toc7588"/>
      <w:r>
        <w:rPr>
          <w:rFonts w:hint="eastAsia" w:ascii="宋体" w:hAnsi="宋体" w:cs="宋体"/>
          <w:bCs/>
          <w:sz w:val="24"/>
        </w:rPr>
        <w:t>项目资金分3期支付至乙方指定银行账户：</w:t>
      </w:r>
      <w:bookmarkEnd w:id="27"/>
    </w:p>
    <w:p>
      <w:pPr>
        <w:numPr>
          <w:ilvl w:val="255"/>
          <w:numId w:val="0"/>
        </w:numPr>
        <w:spacing w:line="360" w:lineRule="auto"/>
        <w:ind w:firstLine="480" w:firstLineChars="200"/>
        <w:outlineLvl w:val="0"/>
        <w:rPr>
          <w:rFonts w:hint="eastAsia" w:ascii="宋体" w:hAnsi="宋体" w:cs="宋体"/>
          <w:sz w:val="24"/>
        </w:rPr>
      </w:pPr>
      <w:bookmarkStart w:id="28" w:name="_Toc29399"/>
      <w:r>
        <w:rPr>
          <w:rFonts w:hint="eastAsia" w:ascii="宋体" w:hAnsi="宋体" w:cs="宋体"/>
          <w:bCs/>
          <w:sz w:val="24"/>
        </w:rPr>
        <w:t>1.第一期：自本项目合同签订之日后，根据乙方提出的付款申请，甲方向乙方支付合同总价款的30%；</w:t>
      </w:r>
      <w:bookmarkEnd w:id="28"/>
      <w:r>
        <w:rPr>
          <w:rFonts w:ascii="宋体" w:hAnsi="宋体" w:cs="宋体"/>
          <w:sz w:val="24"/>
        </w:rPr>
        <w:t>即人民币</w:t>
      </w:r>
      <w:r>
        <w:rPr>
          <w:rFonts w:ascii="宋体" w:hAnsi="宋体" w:cs="宋体"/>
          <w:sz w:val="24"/>
          <w:u w:val="single"/>
        </w:rPr>
        <w:t xml:space="preserve">  </w:t>
      </w:r>
      <w:r>
        <w:rPr>
          <w:rFonts w:ascii="宋体" w:hAnsi="宋体" w:cs="宋体"/>
          <w:sz w:val="24"/>
        </w:rPr>
        <w:t>整（</w:t>
      </w:r>
      <w:r>
        <w:rPr>
          <w:rFonts w:hint="eastAsia" w:ascii="宋体" w:hAnsi="宋体" w:cs="宋体"/>
          <w:sz w:val="24"/>
        </w:rPr>
        <w:t>¥  元</w:t>
      </w:r>
      <w:r>
        <w:rPr>
          <w:rFonts w:ascii="宋体" w:hAnsi="宋体" w:cs="宋体"/>
          <w:sz w:val="24"/>
        </w:rPr>
        <w:t>）</w:t>
      </w:r>
    </w:p>
    <w:p>
      <w:pPr>
        <w:spacing w:line="360" w:lineRule="auto"/>
        <w:ind w:firstLine="480" w:firstLineChars="200"/>
        <w:outlineLvl w:val="0"/>
        <w:rPr>
          <w:rFonts w:hint="eastAsia" w:ascii="宋体" w:hAnsi="宋体" w:cs="宋体"/>
          <w:bCs/>
          <w:sz w:val="24"/>
        </w:rPr>
      </w:pPr>
      <w:r>
        <w:rPr>
          <w:rFonts w:hint="eastAsia" w:ascii="宋体" w:hAnsi="宋体" w:cs="宋体"/>
          <w:bCs/>
          <w:sz w:val="24"/>
        </w:rPr>
        <w:t>2.第二期：乙方完成2025年第</w:t>
      </w:r>
      <w:r>
        <w:rPr>
          <w:rFonts w:hint="eastAsia" w:ascii="宋体" w:hAnsi="宋体" w:cs="宋体"/>
          <w:bCs/>
          <w:sz w:val="24"/>
          <w:lang w:val="en-US" w:eastAsia="zh-CN"/>
        </w:rPr>
        <w:t>三</w:t>
      </w:r>
      <w:r>
        <w:rPr>
          <w:rFonts w:hint="eastAsia" w:ascii="宋体" w:hAnsi="宋体" w:cs="宋体"/>
          <w:bCs/>
          <w:sz w:val="24"/>
        </w:rPr>
        <w:t>季度报告，经甲方验收合格后，甲方向乙方支付项目合同总价款的40%，</w:t>
      </w:r>
      <w:r>
        <w:rPr>
          <w:rFonts w:ascii="宋体" w:hAnsi="宋体" w:cs="宋体"/>
          <w:sz w:val="24"/>
        </w:rPr>
        <w:t>即人民币</w:t>
      </w:r>
      <w:r>
        <w:rPr>
          <w:rFonts w:ascii="宋体" w:hAnsi="宋体" w:cs="宋体"/>
          <w:sz w:val="24"/>
          <w:u w:val="single"/>
        </w:rPr>
        <w:t xml:space="preserve">  </w:t>
      </w:r>
      <w:r>
        <w:rPr>
          <w:rFonts w:ascii="宋体" w:hAnsi="宋体" w:cs="宋体"/>
          <w:sz w:val="24"/>
        </w:rPr>
        <w:t>整（</w:t>
      </w:r>
      <w:r>
        <w:rPr>
          <w:rFonts w:hint="eastAsia" w:ascii="宋体" w:hAnsi="宋体" w:cs="宋体"/>
          <w:sz w:val="24"/>
        </w:rPr>
        <w:t>¥  元</w:t>
      </w:r>
      <w:r>
        <w:rPr>
          <w:rFonts w:ascii="宋体" w:hAnsi="宋体" w:cs="宋体"/>
          <w:sz w:val="24"/>
        </w:rPr>
        <w:t>）</w:t>
      </w:r>
    </w:p>
    <w:p>
      <w:pPr>
        <w:spacing w:line="360" w:lineRule="auto"/>
        <w:ind w:firstLine="480" w:firstLineChars="200"/>
        <w:outlineLvl w:val="0"/>
        <w:rPr>
          <w:rFonts w:hint="eastAsia" w:ascii="宋体" w:hAnsi="宋体" w:cs="宋体"/>
          <w:bCs/>
          <w:sz w:val="24"/>
        </w:rPr>
      </w:pPr>
      <w:r>
        <w:rPr>
          <w:rFonts w:hint="eastAsia" w:ascii="宋体" w:hAnsi="宋体" w:cs="宋体"/>
          <w:bCs/>
          <w:sz w:val="24"/>
        </w:rPr>
        <w:t>3.第三期：乙方完成合同全部内容，经甲方验收合格后，甲方向乙方支付项目合同总价款的30%。</w:t>
      </w:r>
      <w:r>
        <w:rPr>
          <w:rFonts w:ascii="宋体" w:hAnsi="宋体" w:cs="宋体"/>
          <w:sz w:val="24"/>
        </w:rPr>
        <w:t>即人民币</w:t>
      </w:r>
      <w:r>
        <w:rPr>
          <w:rFonts w:ascii="宋体" w:hAnsi="宋体" w:cs="宋体"/>
          <w:sz w:val="24"/>
          <w:u w:val="single"/>
        </w:rPr>
        <w:t xml:space="preserve">  </w:t>
      </w:r>
      <w:r>
        <w:rPr>
          <w:rFonts w:ascii="宋体" w:hAnsi="宋体" w:cs="宋体"/>
          <w:sz w:val="24"/>
        </w:rPr>
        <w:t>整（</w:t>
      </w:r>
      <w:r>
        <w:rPr>
          <w:rFonts w:hint="eastAsia" w:ascii="宋体" w:hAnsi="宋体" w:cs="宋体"/>
          <w:sz w:val="24"/>
        </w:rPr>
        <w:t>¥  元</w:t>
      </w:r>
      <w:r>
        <w:rPr>
          <w:rFonts w:ascii="宋体" w:hAnsi="宋体" w:cs="宋体"/>
          <w:sz w:val="24"/>
        </w:rPr>
        <w:t>）</w:t>
      </w:r>
    </w:p>
    <w:p>
      <w:pPr>
        <w:spacing w:line="360" w:lineRule="auto"/>
        <w:ind w:firstLine="480" w:firstLineChars="200"/>
        <w:outlineLvl w:val="0"/>
        <w:rPr>
          <w:rFonts w:hint="eastAsia" w:ascii="宋体" w:hAnsi="宋体" w:cs="宋体"/>
          <w:bCs/>
          <w:sz w:val="24"/>
        </w:rPr>
      </w:pPr>
      <w:r>
        <w:rPr>
          <w:rFonts w:hint="eastAsia" w:ascii="宋体" w:hAnsi="宋体" w:cs="宋体"/>
          <w:bCs/>
          <w:sz w:val="24"/>
        </w:rPr>
        <w:t>4.上述每期款项均在满足付款条件，且甲方收到乙方开具的载明相应金额的合格发票后1</w:t>
      </w:r>
      <w:r>
        <w:rPr>
          <w:rFonts w:hint="eastAsia" w:ascii="宋体" w:hAnsi="宋体" w:cs="宋体"/>
          <w:bCs/>
          <w:sz w:val="24"/>
          <w:lang w:val="en-US" w:eastAsia="zh-CN"/>
        </w:rPr>
        <w:t>0</w:t>
      </w:r>
      <w:r>
        <w:rPr>
          <w:rFonts w:hint="eastAsia" w:ascii="宋体" w:hAnsi="宋体" w:cs="宋体"/>
          <w:bCs/>
          <w:sz w:val="24"/>
        </w:rPr>
        <w:t>个工作日内付至乙方指定银行账户。如未及时收到发票，则甲方相应付款时间顺延。若因甲方付款审批影响支付进度，不视为违约，请乙方予以谅解，并不得就此向甲方索赔。甲方有权在支付价款时扣除乙方按照本合同应承担的违约金和赔补偿金。</w:t>
      </w:r>
    </w:p>
    <w:p>
      <w:pPr>
        <w:spacing w:line="360" w:lineRule="auto"/>
        <w:ind w:firstLine="480" w:firstLineChars="200"/>
        <w:outlineLvl w:val="0"/>
        <w:rPr>
          <w:rFonts w:hint="eastAsia" w:ascii="宋体" w:hAnsi="宋体" w:cs="宋体"/>
          <w:bCs/>
          <w:sz w:val="24"/>
        </w:rPr>
      </w:pPr>
      <w:bookmarkStart w:id="29" w:name="_Toc26475"/>
      <w:r>
        <w:rPr>
          <w:rFonts w:hint="eastAsia" w:ascii="宋体" w:hAnsi="宋体" w:cs="宋体"/>
          <w:bCs/>
          <w:sz w:val="24"/>
        </w:rPr>
        <w:t>乙方收款信息</w:t>
      </w:r>
      <w:bookmarkEnd w:id="29"/>
    </w:p>
    <w:p>
      <w:pPr>
        <w:spacing w:line="360" w:lineRule="auto"/>
        <w:ind w:firstLine="480" w:firstLineChars="200"/>
        <w:outlineLvl w:val="0"/>
        <w:rPr>
          <w:rFonts w:hint="eastAsia" w:ascii="宋体" w:hAnsi="宋体" w:cs="宋体"/>
          <w:bCs/>
          <w:sz w:val="24"/>
        </w:rPr>
      </w:pPr>
      <w:bookmarkStart w:id="30" w:name="_Toc28263"/>
      <w:r>
        <w:rPr>
          <w:rFonts w:hint="eastAsia" w:ascii="宋体" w:hAnsi="宋体" w:cs="宋体"/>
          <w:bCs/>
          <w:sz w:val="24"/>
        </w:rPr>
        <w:t>户名：</w:t>
      </w:r>
      <w:bookmarkEnd w:id="30"/>
    </w:p>
    <w:p>
      <w:pPr>
        <w:spacing w:line="360" w:lineRule="auto"/>
        <w:ind w:firstLine="480" w:firstLineChars="200"/>
        <w:outlineLvl w:val="0"/>
        <w:rPr>
          <w:rFonts w:hint="eastAsia" w:ascii="宋体" w:hAnsi="宋体" w:cs="宋体"/>
          <w:bCs/>
          <w:sz w:val="24"/>
        </w:rPr>
      </w:pPr>
      <w:bookmarkStart w:id="31" w:name="_Toc26152"/>
      <w:r>
        <w:rPr>
          <w:rFonts w:hint="eastAsia" w:ascii="宋体" w:hAnsi="宋体" w:cs="宋体"/>
          <w:bCs/>
          <w:sz w:val="24"/>
        </w:rPr>
        <w:t>银行账号：</w:t>
      </w:r>
      <w:bookmarkEnd w:id="31"/>
    </w:p>
    <w:p>
      <w:pPr>
        <w:spacing w:line="360" w:lineRule="auto"/>
        <w:ind w:firstLine="480" w:firstLineChars="200"/>
        <w:outlineLvl w:val="0"/>
        <w:rPr>
          <w:rFonts w:hint="eastAsia" w:ascii="宋体" w:hAnsi="宋体" w:cs="宋体"/>
          <w:bCs/>
          <w:sz w:val="24"/>
        </w:rPr>
      </w:pPr>
      <w:bookmarkStart w:id="32" w:name="_Toc438"/>
      <w:r>
        <w:rPr>
          <w:rFonts w:hint="eastAsia" w:ascii="宋体" w:hAnsi="宋体" w:cs="宋体"/>
          <w:bCs/>
          <w:sz w:val="24"/>
        </w:rPr>
        <w:t>开户银行：</w:t>
      </w:r>
      <w:bookmarkEnd w:id="32"/>
      <w:r>
        <w:rPr>
          <w:rFonts w:hint="eastAsia" w:ascii="宋体" w:hAnsi="宋体" w:cs="宋体"/>
          <w:bCs/>
          <w:sz w:val="24"/>
        </w:rPr>
        <w:t xml:space="preserve"> </w:t>
      </w:r>
    </w:p>
    <w:p>
      <w:pPr>
        <w:spacing w:line="360" w:lineRule="auto"/>
        <w:ind w:firstLine="480" w:firstLineChars="200"/>
        <w:outlineLvl w:val="0"/>
        <w:rPr>
          <w:rFonts w:hint="eastAsia" w:ascii="宋体" w:hAnsi="宋体" w:cs="宋体"/>
          <w:bCs/>
          <w:sz w:val="24"/>
        </w:rPr>
      </w:pPr>
      <w:bookmarkStart w:id="33" w:name="_Toc27597"/>
      <w:r>
        <w:rPr>
          <w:rFonts w:hint="eastAsia" w:ascii="宋体" w:hAnsi="宋体" w:cs="宋体"/>
          <w:bCs/>
          <w:sz w:val="24"/>
        </w:rPr>
        <w:t>乙方应确保所提供的银行账号信息准确无误。如账号发生错误、变更等情况，应当提前10日以书面形式通知甲方，否则，由此而引起的一切责任均由乙方自行承担。</w:t>
      </w:r>
      <w:bookmarkEnd w:id="33"/>
    </w:p>
    <w:p>
      <w:pPr>
        <w:spacing w:line="360" w:lineRule="auto"/>
        <w:ind w:firstLine="482" w:firstLineChars="200"/>
        <w:outlineLvl w:val="0"/>
        <w:rPr>
          <w:rFonts w:hint="eastAsia" w:ascii="宋体" w:hAnsi="宋体" w:cs="宋体"/>
          <w:b/>
          <w:sz w:val="24"/>
        </w:rPr>
      </w:pPr>
      <w:bookmarkStart w:id="34" w:name="_Toc26548"/>
      <w:r>
        <w:rPr>
          <w:rFonts w:hint="eastAsia" w:ascii="宋体" w:hAnsi="宋体" w:cs="宋体"/>
          <w:b/>
          <w:sz w:val="24"/>
        </w:rPr>
        <w:t>九、争议解决办法</w:t>
      </w:r>
      <w:bookmarkEnd w:id="34"/>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甲方和乙方在履行本合同双方对有关问题发生争端时，双方应友好协商解决。协商不成的，双方可依法向深圳前海合作区人民法院起诉。</w:t>
      </w:r>
    </w:p>
    <w:p>
      <w:pPr>
        <w:spacing w:line="360" w:lineRule="auto"/>
        <w:ind w:firstLine="482" w:firstLineChars="200"/>
        <w:outlineLvl w:val="0"/>
        <w:rPr>
          <w:rFonts w:hint="eastAsia" w:ascii="宋体" w:hAnsi="宋体" w:cs="宋体"/>
          <w:b/>
          <w:sz w:val="24"/>
        </w:rPr>
      </w:pPr>
      <w:bookmarkStart w:id="35" w:name="_Toc13355"/>
      <w:r>
        <w:rPr>
          <w:rFonts w:hint="eastAsia" w:ascii="宋体" w:hAnsi="宋体" w:cs="宋体"/>
          <w:b/>
          <w:sz w:val="24"/>
        </w:rPr>
        <w:t>十、违约责任</w:t>
      </w:r>
      <w:bookmarkEnd w:id="35"/>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（一）甲方的违约责任</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1、甲方未按本合同约定支付合同价款，经乙方书面催告甲方并给予不少于5个工作日的履行期限后甲方仍未支付的，乙方有权自该期限届满之日起要求甲方支付该阶段合同价款每日0.5‰的逾期违约金，逾期违约金总额不超过合同总价款的10%。逾期超过30（个）工作日（含30个工作日）以上时，乙方有权暂停履行下阶段工作，并书面通知甲方。</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2、如政策性原因导致本项目停工不属于甲方违约，甲方根据乙方实际完成工作结算统计服务费，甲方不另行支付额外费用，并不承担任何违约责任。</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（二）乙方的违约责任</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 xml:space="preserve">1、乙方无任何理由部分或全部不履行合同中应承担的义务时，乙方应按本合同总价款的20%向甲方支付违约金。  </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2、未经甲方书面许可，乙方不得将本合同项目与任何第三方合作，或将本合同标的全部或部分转委托给任何第三方。否则，甲方有权要求乙方终止与第三方的合同。乙方应承担因此而产生的相关责任，并向甲方支付本合同总额20%的违约金。</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3、本合同履行期间，因乙方原因，未能按规定时间完成工作的，每延误一天，甲方有权在尚未支付的合同款项中扣除该阶段合同价款的0.5‰。如乙方已完成阶段性成果且经甲方验收合格的，乙方有权要求甲方支付该阶段成果的费用。</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4、本合同履行期间，发生下述情形时，甲方有权解除本合同，乙方应向甲方支付合同总价款20%的违约金，甲方有权在支付乙方的任何款项中扣除该等违约金，同时，甲方保留要求乙方赔偿相应损失的权利，另外，乙方应将已完成的阶段性成果移交给甲方：</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（1）因乙方工作的错误或遗漏造成成果质量损失，且乙方未按甲方要求采取及时有效的补救措施的；</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（2）乙方未能按合同约定的日期（含协商延缓的日期）提交工作成果，延误时间超过30个工作日；或乙方虽如期提交阶段性成果和最终成果，但最终成果连续二次未能通过验收的；</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（3）发现乙方或乙方工作人员出现全部或部分丧失履行委托服务能力的情况，甲方有权通知乙方限期整改或更换工作人员，期限届满乙方并未进行改善或改善后仍无法履行服务的；</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（4）乙方不履行或不完全履行本合同第（五）条第二款项下义务的；</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（5）乙方违反本合同项下保密条款的；</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（6）乙方明确表示或者以自己的行为表明不履行本合同的。</w:t>
      </w:r>
    </w:p>
    <w:p>
      <w:pPr>
        <w:spacing w:line="360" w:lineRule="auto"/>
        <w:ind w:firstLine="482" w:firstLineChars="200"/>
        <w:outlineLvl w:val="0"/>
        <w:rPr>
          <w:rFonts w:hint="eastAsia" w:ascii="宋体" w:hAnsi="宋体" w:cs="宋体"/>
          <w:b/>
          <w:color w:val="000000" w:themeColor="text1"/>
          <w:sz w:val="24"/>
          <w14:textFill>
            <w14:solidFill>
              <w14:schemeClr w14:val="tx1"/>
            </w14:solidFill>
          </w14:textFill>
        </w:rPr>
      </w:pPr>
      <w:bookmarkStart w:id="36" w:name="_Toc563"/>
      <w:r>
        <w:rPr>
          <w:rFonts w:hint="eastAsia" w:ascii="宋体" w:hAnsi="宋体" w:cs="宋体"/>
          <w:b/>
          <w:color w:val="000000" w:themeColor="text1"/>
          <w:sz w:val="24"/>
          <w14:textFill>
            <w14:solidFill>
              <w14:schemeClr w14:val="tx1"/>
            </w14:solidFill>
          </w14:textFill>
        </w:rPr>
        <w:t>十一、</w:t>
      </w:r>
      <w:r>
        <w:rPr>
          <w:rFonts w:hint="eastAsia" w:ascii="宋体" w:hAnsi="宋体" w:cs="宋体"/>
          <w:b/>
          <w:bCs/>
          <w:color w:val="000000" w:themeColor="text1"/>
          <w:sz w:val="24"/>
          <w14:textFill>
            <w14:solidFill>
              <w14:schemeClr w14:val="tx1"/>
            </w14:solidFill>
          </w14:textFill>
        </w:rPr>
        <w:t>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因非乙方责任造成项目进度推迟或延误，无法按照合同约定的日期完成相应的项目，双方经过协商可以进一步约定完成的日期，乙方的责任期也随之顺延。</w:t>
      </w:r>
    </w:p>
    <w:p>
      <w:pPr>
        <w:spacing w:line="360" w:lineRule="auto"/>
        <w:ind w:firstLine="480" w:firstLineChars="200"/>
        <w:outlineLvl w:val="0"/>
        <w:rPr>
          <w:rFonts w:hint="eastAsia" w:ascii="宋体" w:hAnsi="宋体" w:cs="宋体"/>
          <w:b/>
          <w:color w:val="FF0000"/>
          <w:sz w:val="24"/>
        </w:rPr>
      </w:pPr>
      <w:r>
        <w:rPr>
          <w:rFonts w:hint="eastAsia" w:ascii="宋体" w:hAnsi="宋体" w:cs="宋体"/>
          <w:bCs/>
          <w:color w:val="000000" w:themeColor="text1"/>
          <w:sz w:val="24"/>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在合同所约定的工作范畴内的服务，本合同价格不予变更。</w:t>
      </w:r>
    </w:p>
    <w:p>
      <w:pPr>
        <w:spacing w:line="360" w:lineRule="auto"/>
        <w:ind w:firstLine="482" w:firstLineChars="200"/>
        <w:outlineLvl w:val="0"/>
        <w:rPr>
          <w:rFonts w:hint="eastAsia" w:ascii="宋体" w:hAnsi="宋体" w:cs="宋体"/>
          <w:b/>
          <w:sz w:val="24"/>
        </w:rPr>
      </w:pPr>
      <w:r>
        <w:rPr>
          <w:rFonts w:hint="eastAsia" w:ascii="宋体" w:hAnsi="宋体" w:cs="宋体"/>
          <w:b/>
          <w:sz w:val="24"/>
        </w:rPr>
        <w:t>十二、其他</w:t>
      </w:r>
      <w:bookmarkEnd w:id="36"/>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2、中标通知书；</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3、招标文件（编号：</w:t>
      </w:r>
      <w:r>
        <w:rPr>
          <w:rFonts w:hint="eastAsia" w:ascii="宋体" w:hAnsi="宋体" w:cs="宋体"/>
          <w:sz w:val="24"/>
          <w:u w:val="single"/>
        </w:rPr>
        <w:t xml:space="preserve">      </w:t>
      </w:r>
      <w:r>
        <w:rPr>
          <w:rFonts w:hint="eastAsia" w:ascii="宋体" w:hAnsi="宋体" w:cs="宋体"/>
          <w:sz w:val="24"/>
        </w:rPr>
        <w:t>）、答疑及补充通知；</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4、投标书。</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（二）本合同替代此前双方所有关于本合同事项的口头或书面的纪要、备忘录、合同、协议。</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（三）本合同附件（如有）为合同不可分割的组成部分，与本合同一并加盖骑缝章后具有同等法律效力。若附件与合同正文有任何冲突，以合同正文为准。</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（四）本合同各条标题仅为提示之用，应以条文内容确定各方的权利义务。</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（五）本合同未尽事宜，由双方协商签订补充协议进行约定。补充协议应以书面形式作成，经双方法定代表人或其授权代表签字、盖章后与本合同具有同等法律效力。</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（六）本合同约定的权利和义务不因合同双方发生收购、兼并、重组、分立而发生变化。如果发生上述情形，则本合同约定的权利和义务随之转移至收购、兼并、重组或分立后成立的单位。</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（七）本合同在国家法律、法规和规章规定的范围内执行。当国家法律、法规和规章发生变化导致本合同有关条款与之抵触时，双方协商变更或废止该条款，在此情况下，双方互不承担责任。</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（八）如果本合同的任何条款在任何时候变成不合法、无效或不可强制执行而不从根本上影响本合同的效力时，本合同的其他条款不受影响。</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（十）本合同的任何内容不应被视为或解释为双方之间具有合资、合伙、代理关系。</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（十一）任何一方未经另一方同意不得向任何第三方透露本合同的签订及其内容。甲方向其关联公司透露前述内容的，不受此限。</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（十三）本合同自双方法定代表人或其授权代表签字、盖章之日起生效，有效期至后续服务期满之日止。</w:t>
      </w:r>
    </w:p>
    <w:p>
      <w:pPr>
        <w:tabs>
          <w:tab w:val="left" w:pos="4267"/>
        </w:tabs>
        <w:spacing w:line="360" w:lineRule="auto"/>
        <w:ind w:firstLine="480" w:firstLineChars="200"/>
        <w:rPr>
          <w:rFonts w:hint="eastAsia" w:ascii="宋体" w:hAnsi="宋体" w:cs="宋体"/>
          <w:sz w:val="24"/>
        </w:rPr>
        <w:sectPr>
          <w:footerReference r:id="rId3" w:type="default"/>
          <w:pgSz w:w="11906" w:h="16838"/>
          <w:pgMar w:top="2098" w:right="1588" w:bottom="1531" w:left="1588" w:header="709" w:footer="709" w:gutter="0"/>
          <w:cols w:space="720" w:num="1"/>
          <w:docGrid w:linePitch="360" w:charSpace="0"/>
        </w:sectPr>
      </w:pPr>
      <w:r>
        <w:rPr>
          <w:rFonts w:hint="eastAsia" w:ascii="宋体" w:hAnsi="宋体" w:cs="宋体"/>
          <w:sz w:val="24"/>
        </w:rPr>
        <w:t>（十四）本合同一式四份正本，甲方与乙方各执两份，均具同等法律效力。（以下无正文，为签章栏）</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附件：</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1.《中标通知书》；</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2.《招标文件》；</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3.《投标文件》。</w:t>
      </w:r>
    </w:p>
    <w:p>
      <w:pPr>
        <w:tabs>
          <w:tab w:val="left" w:pos="4267"/>
        </w:tabs>
        <w:spacing w:line="360" w:lineRule="auto"/>
        <w:rPr>
          <w:rFonts w:hint="eastAsia" w:ascii="宋体" w:hAnsi="宋体" w:cs="宋体"/>
          <w:bCs/>
          <w:szCs w:val="21"/>
        </w:rPr>
      </w:pPr>
    </w:p>
    <w:p>
      <w:pPr>
        <w:tabs>
          <w:tab w:val="left" w:pos="4267"/>
        </w:tabs>
        <w:spacing w:line="360" w:lineRule="auto"/>
        <w:rPr>
          <w:rFonts w:hint="eastAsia" w:ascii="宋体" w:hAnsi="宋体" w:cs="宋体"/>
          <w:bCs/>
          <w:szCs w:val="21"/>
        </w:rPr>
      </w:pPr>
    </w:p>
    <w:p>
      <w:pPr>
        <w:tabs>
          <w:tab w:val="left" w:pos="4267"/>
        </w:tabs>
        <w:spacing w:line="360" w:lineRule="auto"/>
        <w:rPr>
          <w:rFonts w:hint="eastAsia" w:ascii="宋体" w:hAnsi="宋体" w:cs="宋体"/>
          <w:bCs/>
          <w:szCs w:val="21"/>
        </w:rPr>
      </w:pPr>
    </w:p>
    <w:p>
      <w:pPr>
        <w:tabs>
          <w:tab w:val="left" w:pos="4267"/>
        </w:tabs>
        <w:spacing w:line="360" w:lineRule="auto"/>
        <w:rPr>
          <w:rFonts w:hint="eastAsia" w:ascii="宋体" w:hAnsi="宋体" w:cs="宋体"/>
          <w:bCs/>
          <w:szCs w:val="21"/>
        </w:rPr>
      </w:pP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 xml:space="preserve">甲方（盖章）：深圳市前海深港现代服务业合作区管理局 </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 xml:space="preserve">日期：      年    月    日            </w:t>
      </w:r>
    </w:p>
    <w:p>
      <w:pPr>
        <w:tabs>
          <w:tab w:val="left" w:pos="4267"/>
        </w:tabs>
        <w:spacing w:line="360" w:lineRule="auto"/>
        <w:ind w:firstLine="480" w:firstLineChars="200"/>
        <w:rPr>
          <w:rFonts w:hint="eastAsia" w:ascii="宋体" w:hAnsi="宋体" w:cs="宋体"/>
          <w:sz w:val="24"/>
        </w:rPr>
      </w:pP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 xml:space="preserve">乙方（盖章）： </w:t>
      </w:r>
    </w:p>
    <w:p>
      <w:pPr>
        <w:tabs>
          <w:tab w:val="left" w:pos="4267"/>
        </w:tabs>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rPr>
          <w:b/>
          <w:bCs/>
          <w:szCs w:val="21"/>
        </w:rPr>
      </w:pPr>
      <w:r>
        <w:rPr>
          <w:rFonts w:hint="eastAsia"/>
          <w:b/>
          <w:bCs/>
          <w:szCs w:val="21"/>
        </w:rPr>
        <w:br w:type="page"/>
      </w:r>
    </w:p>
    <w:p>
      <w:pPr>
        <w:tabs>
          <w:tab w:val="left" w:pos="4267"/>
        </w:tabs>
        <w:spacing w:line="360" w:lineRule="auto"/>
        <w:rPr>
          <w:rFonts w:hint="eastAsia" w:ascii="宋体" w:hAnsi="宋体" w:cs="宋体"/>
          <w:sz w:val="24"/>
        </w:rPr>
        <w:sectPr>
          <w:pgSz w:w="11906" w:h="16838"/>
          <w:pgMar w:top="2098" w:right="1588" w:bottom="1531" w:left="1588" w:header="709" w:footer="709" w:gutter="0"/>
          <w:cols w:space="720" w:num="1"/>
          <w:docGrid w:linePitch="360" w:charSpace="0"/>
        </w:sectPr>
      </w:pPr>
    </w:p>
    <w:p>
      <w:pPr>
        <w:pStyle w:val="10"/>
        <w:rPr>
          <w:b/>
          <w:bCs/>
          <w:sz w:val="21"/>
          <w:szCs w:val="21"/>
        </w:rPr>
      </w:pPr>
      <w:r>
        <w:rPr>
          <w:rFonts w:hint="eastAsia"/>
          <w:b/>
          <w:bCs/>
          <w:sz w:val="21"/>
          <w:szCs w:val="21"/>
        </w:rPr>
        <w:t>附件1：服务团队名单</w:t>
      </w:r>
    </w:p>
    <w:p>
      <w:pPr>
        <w:jc w:val="center"/>
        <w:rPr>
          <w:b/>
          <w:bCs/>
          <w:szCs w:val="21"/>
        </w:rPr>
      </w:pPr>
      <w:r>
        <w:rPr>
          <w:rFonts w:hint="eastAsia"/>
          <w:b/>
          <w:bCs/>
          <w:szCs w:val="21"/>
        </w:rPr>
        <w:t>服务团队名单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650"/>
        <w:gridCol w:w="1481"/>
        <w:gridCol w:w="264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10"/>
              <w:keepNext w:val="0"/>
              <w:keepLines w:val="0"/>
              <w:suppressLineNumbers w:val="0"/>
              <w:spacing w:before="0" w:beforeAutospacing="0" w:afterAutospacing="0"/>
              <w:ind w:left="0" w:right="0"/>
              <w:jc w:val="center"/>
              <w:rPr>
                <w:rFonts w:hint="default"/>
                <w:b/>
                <w:bCs/>
                <w:sz w:val="21"/>
                <w:szCs w:val="21"/>
              </w:rPr>
            </w:pPr>
            <w:r>
              <w:rPr>
                <w:rFonts w:hint="eastAsia"/>
                <w:b/>
                <w:bCs/>
                <w:sz w:val="21"/>
                <w:szCs w:val="21"/>
              </w:rPr>
              <w:t>序号</w:t>
            </w:r>
          </w:p>
        </w:tc>
        <w:tc>
          <w:tcPr>
            <w:tcW w:w="1650" w:type="dxa"/>
          </w:tcPr>
          <w:p>
            <w:pPr>
              <w:pStyle w:val="10"/>
              <w:keepNext w:val="0"/>
              <w:keepLines w:val="0"/>
              <w:suppressLineNumbers w:val="0"/>
              <w:spacing w:before="0" w:beforeAutospacing="0" w:afterAutospacing="0"/>
              <w:ind w:left="0" w:right="0"/>
              <w:jc w:val="center"/>
              <w:rPr>
                <w:rFonts w:hint="default"/>
                <w:b/>
                <w:bCs/>
                <w:sz w:val="21"/>
                <w:szCs w:val="21"/>
              </w:rPr>
            </w:pPr>
            <w:r>
              <w:rPr>
                <w:rFonts w:hint="eastAsia"/>
                <w:b/>
                <w:bCs/>
                <w:sz w:val="21"/>
                <w:szCs w:val="21"/>
              </w:rPr>
              <w:t>姓名</w:t>
            </w:r>
          </w:p>
        </w:tc>
        <w:tc>
          <w:tcPr>
            <w:tcW w:w="1481" w:type="dxa"/>
          </w:tcPr>
          <w:p>
            <w:pPr>
              <w:pStyle w:val="10"/>
              <w:keepNext w:val="0"/>
              <w:keepLines w:val="0"/>
              <w:suppressLineNumbers w:val="0"/>
              <w:spacing w:before="0" w:beforeAutospacing="0" w:afterAutospacing="0"/>
              <w:ind w:left="0" w:right="0"/>
              <w:jc w:val="center"/>
              <w:rPr>
                <w:rFonts w:hint="default"/>
                <w:b/>
                <w:bCs/>
                <w:sz w:val="21"/>
                <w:szCs w:val="21"/>
              </w:rPr>
            </w:pPr>
            <w:r>
              <w:rPr>
                <w:rFonts w:hint="eastAsia"/>
                <w:b/>
                <w:bCs/>
                <w:sz w:val="21"/>
                <w:szCs w:val="21"/>
              </w:rPr>
              <w:t>岗位</w:t>
            </w:r>
          </w:p>
        </w:tc>
        <w:tc>
          <w:tcPr>
            <w:tcW w:w="2645" w:type="dxa"/>
          </w:tcPr>
          <w:p>
            <w:pPr>
              <w:pStyle w:val="10"/>
              <w:keepNext w:val="0"/>
              <w:keepLines w:val="0"/>
              <w:suppressLineNumbers w:val="0"/>
              <w:spacing w:before="0" w:beforeAutospacing="0" w:afterAutospacing="0"/>
              <w:ind w:left="0" w:right="0"/>
              <w:jc w:val="center"/>
              <w:rPr>
                <w:rFonts w:hint="default"/>
                <w:b/>
                <w:bCs/>
                <w:sz w:val="21"/>
                <w:szCs w:val="21"/>
              </w:rPr>
            </w:pPr>
            <w:r>
              <w:rPr>
                <w:rFonts w:hint="eastAsia"/>
                <w:b/>
                <w:bCs/>
                <w:sz w:val="21"/>
                <w:szCs w:val="21"/>
              </w:rPr>
              <w:t>联系方式</w:t>
            </w:r>
          </w:p>
        </w:tc>
        <w:tc>
          <w:tcPr>
            <w:tcW w:w="1704" w:type="dxa"/>
          </w:tcPr>
          <w:p>
            <w:pPr>
              <w:pStyle w:val="10"/>
              <w:keepNext w:val="0"/>
              <w:keepLines w:val="0"/>
              <w:suppressLineNumbers w:val="0"/>
              <w:spacing w:before="0" w:beforeAutospacing="0" w:afterAutospacing="0"/>
              <w:ind w:left="0" w:right="0"/>
              <w:jc w:val="center"/>
              <w:rPr>
                <w:rFonts w:hint="default"/>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10"/>
              <w:keepNext w:val="0"/>
              <w:keepLines w:val="0"/>
              <w:suppressLineNumbers w:val="0"/>
              <w:spacing w:before="0" w:beforeAutospacing="0" w:afterAutospacing="0"/>
              <w:ind w:left="0" w:right="0"/>
              <w:rPr>
                <w:rFonts w:hint="default"/>
                <w:sz w:val="21"/>
                <w:szCs w:val="21"/>
              </w:rPr>
            </w:pPr>
          </w:p>
        </w:tc>
        <w:tc>
          <w:tcPr>
            <w:tcW w:w="1650" w:type="dxa"/>
          </w:tcPr>
          <w:p>
            <w:pPr>
              <w:pStyle w:val="10"/>
              <w:keepNext w:val="0"/>
              <w:keepLines w:val="0"/>
              <w:suppressLineNumbers w:val="0"/>
              <w:spacing w:before="0" w:beforeAutospacing="0" w:afterAutospacing="0"/>
              <w:ind w:left="0" w:right="0"/>
              <w:rPr>
                <w:rFonts w:hint="default"/>
                <w:sz w:val="21"/>
                <w:szCs w:val="21"/>
              </w:rPr>
            </w:pPr>
          </w:p>
        </w:tc>
        <w:tc>
          <w:tcPr>
            <w:tcW w:w="1481" w:type="dxa"/>
          </w:tcPr>
          <w:p>
            <w:pPr>
              <w:pStyle w:val="10"/>
              <w:keepNext w:val="0"/>
              <w:keepLines w:val="0"/>
              <w:suppressLineNumbers w:val="0"/>
              <w:spacing w:before="0" w:beforeAutospacing="0" w:afterAutospacing="0"/>
              <w:ind w:left="0" w:right="0"/>
              <w:rPr>
                <w:rFonts w:hint="default"/>
                <w:sz w:val="21"/>
                <w:szCs w:val="21"/>
              </w:rPr>
            </w:pPr>
          </w:p>
        </w:tc>
        <w:tc>
          <w:tcPr>
            <w:tcW w:w="2645" w:type="dxa"/>
          </w:tcPr>
          <w:p>
            <w:pPr>
              <w:pStyle w:val="10"/>
              <w:keepNext w:val="0"/>
              <w:keepLines w:val="0"/>
              <w:suppressLineNumbers w:val="0"/>
              <w:spacing w:before="0" w:beforeAutospacing="0" w:afterAutospacing="0"/>
              <w:ind w:left="0" w:right="0"/>
              <w:rPr>
                <w:rFonts w:hint="default"/>
                <w:sz w:val="21"/>
                <w:szCs w:val="21"/>
              </w:rPr>
            </w:pPr>
          </w:p>
        </w:tc>
        <w:tc>
          <w:tcPr>
            <w:tcW w:w="1704" w:type="dxa"/>
          </w:tcPr>
          <w:p>
            <w:pPr>
              <w:pStyle w:val="10"/>
              <w:keepNext w:val="0"/>
              <w:keepLines w:val="0"/>
              <w:suppressLineNumbers w:val="0"/>
              <w:spacing w:before="0" w:beforeAutospacing="0" w:afterAutospacing="0"/>
              <w:ind w:left="0" w:right="0"/>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10"/>
              <w:keepNext w:val="0"/>
              <w:keepLines w:val="0"/>
              <w:suppressLineNumbers w:val="0"/>
              <w:spacing w:before="0" w:beforeAutospacing="0" w:afterAutospacing="0"/>
              <w:ind w:left="0" w:right="0"/>
              <w:rPr>
                <w:rFonts w:hint="default"/>
                <w:sz w:val="21"/>
                <w:szCs w:val="21"/>
              </w:rPr>
            </w:pPr>
          </w:p>
        </w:tc>
        <w:tc>
          <w:tcPr>
            <w:tcW w:w="1650" w:type="dxa"/>
          </w:tcPr>
          <w:p>
            <w:pPr>
              <w:pStyle w:val="10"/>
              <w:keepNext w:val="0"/>
              <w:keepLines w:val="0"/>
              <w:suppressLineNumbers w:val="0"/>
              <w:spacing w:before="0" w:beforeAutospacing="0" w:afterAutospacing="0"/>
              <w:ind w:left="0" w:right="0"/>
              <w:rPr>
                <w:rFonts w:hint="default"/>
                <w:sz w:val="21"/>
                <w:szCs w:val="21"/>
              </w:rPr>
            </w:pPr>
          </w:p>
        </w:tc>
        <w:tc>
          <w:tcPr>
            <w:tcW w:w="1481" w:type="dxa"/>
          </w:tcPr>
          <w:p>
            <w:pPr>
              <w:pStyle w:val="10"/>
              <w:keepNext w:val="0"/>
              <w:keepLines w:val="0"/>
              <w:suppressLineNumbers w:val="0"/>
              <w:spacing w:before="0" w:beforeAutospacing="0" w:afterAutospacing="0"/>
              <w:ind w:left="0" w:right="0"/>
              <w:rPr>
                <w:rFonts w:hint="default"/>
                <w:sz w:val="21"/>
                <w:szCs w:val="21"/>
              </w:rPr>
            </w:pPr>
          </w:p>
        </w:tc>
        <w:tc>
          <w:tcPr>
            <w:tcW w:w="2645" w:type="dxa"/>
          </w:tcPr>
          <w:p>
            <w:pPr>
              <w:pStyle w:val="10"/>
              <w:keepNext w:val="0"/>
              <w:keepLines w:val="0"/>
              <w:suppressLineNumbers w:val="0"/>
              <w:spacing w:before="0" w:beforeAutospacing="0" w:afterAutospacing="0"/>
              <w:ind w:left="0" w:right="0"/>
              <w:rPr>
                <w:rFonts w:hint="default"/>
                <w:sz w:val="21"/>
                <w:szCs w:val="21"/>
              </w:rPr>
            </w:pPr>
          </w:p>
        </w:tc>
        <w:tc>
          <w:tcPr>
            <w:tcW w:w="1704" w:type="dxa"/>
          </w:tcPr>
          <w:p>
            <w:pPr>
              <w:pStyle w:val="10"/>
              <w:keepNext w:val="0"/>
              <w:keepLines w:val="0"/>
              <w:suppressLineNumbers w:val="0"/>
              <w:spacing w:before="0" w:beforeAutospacing="0" w:afterAutospacing="0"/>
              <w:ind w:left="0" w:right="0"/>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10"/>
              <w:keepNext w:val="0"/>
              <w:keepLines w:val="0"/>
              <w:suppressLineNumbers w:val="0"/>
              <w:spacing w:before="0" w:beforeAutospacing="0" w:afterAutospacing="0"/>
              <w:ind w:left="0" w:right="0"/>
              <w:rPr>
                <w:rFonts w:hint="default"/>
                <w:sz w:val="21"/>
                <w:szCs w:val="21"/>
              </w:rPr>
            </w:pPr>
          </w:p>
        </w:tc>
        <w:tc>
          <w:tcPr>
            <w:tcW w:w="1650" w:type="dxa"/>
          </w:tcPr>
          <w:p>
            <w:pPr>
              <w:pStyle w:val="10"/>
              <w:keepNext w:val="0"/>
              <w:keepLines w:val="0"/>
              <w:suppressLineNumbers w:val="0"/>
              <w:spacing w:before="0" w:beforeAutospacing="0" w:afterAutospacing="0"/>
              <w:ind w:left="0" w:right="0"/>
              <w:rPr>
                <w:rFonts w:hint="default"/>
                <w:sz w:val="21"/>
                <w:szCs w:val="21"/>
              </w:rPr>
            </w:pPr>
          </w:p>
        </w:tc>
        <w:tc>
          <w:tcPr>
            <w:tcW w:w="1481" w:type="dxa"/>
          </w:tcPr>
          <w:p>
            <w:pPr>
              <w:pStyle w:val="10"/>
              <w:keepNext w:val="0"/>
              <w:keepLines w:val="0"/>
              <w:suppressLineNumbers w:val="0"/>
              <w:spacing w:before="0" w:beforeAutospacing="0" w:afterAutospacing="0"/>
              <w:ind w:left="0" w:right="0"/>
              <w:rPr>
                <w:rFonts w:hint="default"/>
                <w:sz w:val="21"/>
                <w:szCs w:val="21"/>
              </w:rPr>
            </w:pPr>
          </w:p>
        </w:tc>
        <w:tc>
          <w:tcPr>
            <w:tcW w:w="2645" w:type="dxa"/>
          </w:tcPr>
          <w:p>
            <w:pPr>
              <w:pStyle w:val="10"/>
              <w:keepNext w:val="0"/>
              <w:keepLines w:val="0"/>
              <w:suppressLineNumbers w:val="0"/>
              <w:spacing w:before="0" w:beforeAutospacing="0" w:afterAutospacing="0"/>
              <w:ind w:left="0" w:right="0"/>
              <w:rPr>
                <w:rFonts w:hint="default"/>
                <w:sz w:val="21"/>
                <w:szCs w:val="21"/>
              </w:rPr>
            </w:pPr>
          </w:p>
        </w:tc>
        <w:tc>
          <w:tcPr>
            <w:tcW w:w="1704" w:type="dxa"/>
          </w:tcPr>
          <w:p>
            <w:pPr>
              <w:pStyle w:val="10"/>
              <w:keepNext w:val="0"/>
              <w:keepLines w:val="0"/>
              <w:suppressLineNumbers w:val="0"/>
              <w:spacing w:before="0" w:beforeAutospacing="0" w:afterAutospacing="0"/>
              <w:ind w:left="0" w:right="0"/>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10"/>
              <w:keepNext w:val="0"/>
              <w:keepLines w:val="0"/>
              <w:suppressLineNumbers w:val="0"/>
              <w:spacing w:before="0" w:beforeAutospacing="0" w:afterAutospacing="0"/>
              <w:ind w:left="0" w:right="0"/>
              <w:rPr>
                <w:rFonts w:hint="default"/>
                <w:sz w:val="21"/>
                <w:szCs w:val="21"/>
              </w:rPr>
            </w:pPr>
          </w:p>
        </w:tc>
        <w:tc>
          <w:tcPr>
            <w:tcW w:w="1650" w:type="dxa"/>
          </w:tcPr>
          <w:p>
            <w:pPr>
              <w:pStyle w:val="10"/>
              <w:keepNext w:val="0"/>
              <w:keepLines w:val="0"/>
              <w:suppressLineNumbers w:val="0"/>
              <w:spacing w:before="0" w:beforeAutospacing="0" w:afterAutospacing="0"/>
              <w:ind w:left="0" w:right="0"/>
              <w:rPr>
                <w:rFonts w:hint="default"/>
                <w:sz w:val="21"/>
                <w:szCs w:val="21"/>
              </w:rPr>
            </w:pPr>
          </w:p>
        </w:tc>
        <w:tc>
          <w:tcPr>
            <w:tcW w:w="1481" w:type="dxa"/>
          </w:tcPr>
          <w:p>
            <w:pPr>
              <w:pStyle w:val="10"/>
              <w:keepNext w:val="0"/>
              <w:keepLines w:val="0"/>
              <w:suppressLineNumbers w:val="0"/>
              <w:spacing w:before="0" w:beforeAutospacing="0" w:afterAutospacing="0"/>
              <w:ind w:left="0" w:right="0"/>
              <w:rPr>
                <w:rFonts w:hint="default"/>
                <w:sz w:val="21"/>
                <w:szCs w:val="21"/>
              </w:rPr>
            </w:pPr>
          </w:p>
        </w:tc>
        <w:tc>
          <w:tcPr>
            <w:tcW w:w="2645" w:type="dxa"/>
          </w:tcPr>
          <w:p>
            <w:pPr>
              <w:pStyle w:val="10"/>
              <w:keepNext w:val="0"/>
              <w:keepLines w:val="0"/>
              <w:suppressLineNumbers w:val="0"/>
              <w:spacing w:before="0" w:beforeAutospacing="0" w:afterAutospacing="0"/>
              <w:ind w:left="0" w:right="0"/>
              <w:rPr>
                <w:rFonts w:hint="default"/>
                <w:sz w:val="21"/>
                <w:szCs w:val="21"/>
              </w:rPr>
            </w:pPr>
          </w:p>
        </w:tc>
        <w:tc>
          <w:tcPr>
            <w:tcW w:w="1704" w:type="dxa"/>
          </w:tcPr>
          <w:p>
            <w:pPr>
              <w:pStyle w:val="10"/>
              <w:keepNext w:val="0"/>
              <w:keepLines w:val="0"/>
              <w:suppressLineNumbers w:val="0"/>
              <w:spacing w:before="0" w:beforeAutospacing="0" w:afterAutospacing="0"/>
              <w:ind w:left="0" w:right="0"/>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10"/>
              <w:keepNext w:val="0"/>
              <w:keepLines w:val="0"/>
              <w:suppressLineNumbers w:val="0"/>
              <w:spacing w:before="0" w:beforeAutospacing="0" w:afterAutospacing="0"/>
              <w:ind w:left="0" w:right="0"/>
              <w:rPr>
                <w:rFonts w:hint="default"/>
                <w:sz w:val="21"/>
                <w:szCs w:val="21"/>
              </w:rPr>
            </w:pPr>
          </w:p>
        </w:tc>
        <w:tc>
          <w:tcPr>
            <w:tcW w:w="1650" w:type="dxa"/>
          </w:tcPr>
          <w:p>
            <w:pPr>
              <w:pStyle w:val="10"/>
              <w:keepNext w:val="0"/>
              <w:keepLines w:val="0"/>
              <w:suppressLineNumbers w:val="0"/>
              <w:spacing w:before="0" w:beforeAutospacing="0" w:afterAutospacing="0"/>
              <w:ind w:left="0" w:right="0"/>
              <w:rPr>
                <w:rFonts w:hint="default"/>
                <w:sz w:val="21"/>
                <w:szCs w:val="21"/>
              </w:rPr>
            </w:pPr>
          </w:p>
        </w:tc>
        <w:tc>
          <w:tcPr>
            <w:tcW w:w="1481" w:type="dxa"/>
          </w:tcPr>
          <w:p>
            <w:pPr>
              <w:pStyle w:val="10"/>
              <w:keepNext w:val="0"/>
              <w:keepLines w:val="0"/>
              <w:suppressLineNumbers w:val="0"/>
              <w:spacing w:before="0" w:beforeAutospacing="0" w:afterAutospacing="0"/>
              <w:ind w:left="0" w:right="0"/>
              <w:rPr>
                <w:rFonts w:hint="default"/>
                <w:sz w:val="21"/>
                <w:szCs w:val="21"/>
              </w:rPr>
            </w:pPr>
          </w:p>
        </w:tc>
        <w:tc>
          <w:tcPr>
            <w:tcW w:w="2645" w:type="dxa"/>
          </w:tcPr>
          <w:p>
            <w:pPr>
              <w:pStyle w:val="10"/>
              <w:keepNext w:val="0"/>
              <w:keepLines w:val="0"/>
              <w:suppressLineNumbers w:val="0"/>
              <w:spacing w:before="0" w:beforeAutospacing="0" w:afterAutospacing="0"/>
              <w:ind w:left="0" w:right="0"/>
              <w:rPr>
                <w:rFonts w:hint="default"/>
                <w:sz w:val="21"/>
                <w:szCs w:val="21"/>
              </w:rPr>
            </w:pPr>
          </w:p>
        </w:tc>
        <w:tc>
          <w:tcPr>
            <w:tcW w:w="1704" w:type="dxa"/>
          </w:tcPr>
          <w:p>
            <w:pPr>
              <w:pStyle w:val="10"/>
              <w:keepNext w:val="0"/>
              <w:keepLines w:val="0"/>
              <w:suppressLineNumbers w:val="0"/>
              <w:spacing w:before="0" w:beforeAutospacing="0" w:afterAutospacing="0"/>
              <w:ind w:left="0" w:right="0"/>
              <w:rPr>
                <w:rFonts w:hint="default"/>
                <w:sz w:val="21"/>
                <w:szCs w:val="21"/>
              </w:rPr>
            </w:pPr>
          </w:p>
        </w:tc>
      </w:tr>
    </w:tbl>
    <w:p>
      <w:pPr>
        <w:tabs>
          <w:tab w:val="left" w:pos="4267"/>
        </w:tabs>
        <w:spacing w:line="360" w:lineRule="auto"/>
        <w:rPr>
          <w:rFonts w:hint="eastAsia" w:ascii="宋体" w:hAnsi="宋体" w:cs="宋体"/>
          <w:sz w:val="24"/>
        </w:rPr>
      </w:pPr>
    </w:p>
    <w:p>
      <w:pPr>
        <w:snapToGrid w:val="0"/>
        <w:spacing w:line="360" w:lineRule="auto"/>
        <w:rPr>
          <w:rFonts w:hint="eastAsia" w:ascii="宋体" w:hAnsi="宋体" w:cs="宋体"/>
          <w:sz w:val="24"/>
        </w:rPr>
      </w:pPr>
      <w:r>
        <w:rPr>
          <w:rFonts w:hint="eastAsia" w:ascii="宋体" w:hAnsi="宋体" w:cs="宋体"/>
          <w:sz w:val="24"/>
        </w:rPr>
        <w:t>注：本合同样本仅供参考，具体条款内容由采购单位和中标单位协商确定。</w:t>
      </w:r>
    </w:p>
    <w:p>
      <w:pPr>
        <w:rPr>
          <w:rFonts w:hint="eastAsia" w:ascii="宋体" w:hAnsi="宋体" w:cs="宋体"/>
          <w:b/>
          <w:bCs/>
          <w:color w:val="FF0000"/>
          <w:sz w:val="24"/>
        </w:rPr>
      </w:pPr>
      <w:r>
        <w:rPr>
          <w:rFonts w:hint="eastAsia" w:ascii="宋体" w:hAnsi="宋体" w:cs="宋体"/>
          <w:b/>
          <w:bCs/>
          <w:color w:val="000000" w:themeColor="text1"/>
          <w:sz w:val="24"/>
          <w14:textFill>
            <w14:solidFill>
              <w14:schemeClr w14:val="tx1"/>
            </w14:solidFill>
          </w14:textFill>
        </w:rPr>
        <w:br w:type="page"/>
      </w:r>
    </w:p>
    <w:p>
      <w:pPr>
        <w:tabs>
          <w:tab w:val="left" w:pos="360"/>
        </w:tabs>
        <w:spacing w:line="360" w:lineRule="auto"/>
        <w:ind w:firstLine="474" w:firstLineChars="225"/>
        <w:jc w:val="left"/>
        <w:outlineLvl w:val="1"/>
        <w:rPr>
          <w:rFonts w:hint="eastAsia" w:ascii="宋体" w:hAnsi="宋体" w:cs="宋体"/>
          <w:b/>
          <w:bCs/>
          <w:strike/>
          <w:sz w:val="24"/>
        </w:rPr>
      </w:pPr>
      <w:r>
        <w:rPr>
          <w:rFonts w:hint="eastAsia"/>
          <w:b/>
          <w:bCs/>
          <w:strike w:val="0"/>
          <w:szCs w:val="21"/>
          <w:highlight w:val="none"/>
        </w:rPr>
        <w:t>附件2：</w:t>
      </w:r>
      <w:r>
        <w:rPr>
          <w:rFonts w:hint="eastAsia" w:ascii="宋体" w:hAnsi="宋体" w:cs="宋体"/>
          <w:b/>
          <w:bCs/>
          <w:strike w:val="0"/>
          <w:sz w:val="24"/>
          <w:highlight w:val="none"/>
        </w:rPr>
        <w:t>月度数据表附表</w:t>
      </w:r>
      <w:r>
        <w:rPr>
          <w:rFonts w:hint="eastAsia" w:ascii="宋体" w:hAnsi="宋体" w:cs="宋体"/>
          <w:b/>
          <w:bCs/>
          <w:sz w:val="24"/>
        </w:rPr>
        <w:t>（仅供参考，最终内容以甲方确定为准）</w:t>
      </w:r>
    </w:p>
    <w:p>
      <w:pPr>
        <w:pStyle w:val="8"/>
        <w:spacing w:line="360" w:lineRule="auto"/>
        <w:ind w:firstLine="542" w:firstLineChars="225"/>
        <w:jc w:val="left"/>
        <w:rPr>
          <w:rFonts w:hint="eastAsia" w:ascii="宋体" w:hAnsi="宋体" w:cs="宋体"/>
          <w:sz w:val="24"/>
          <w:szCs w:val="24"/>
        </w:rPr>
      </w:pPr>
      <w:r>
        <w:rPr>
          <w:rFonts w:hint="eastAsia" w:ascii="宋体" w:hAnsi="宋体" w:cs="宋体"/>
          <w:sz w:val="24"/>
          <w:szCs w:val="24"/>
        </w:rPr>
        <w:t>（一）前海合作区金融统计汇总表(月表)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229"/>
        <w:gridCol w:w="3441"/>
        <w:gridCol w:w="842"/>
        <w:gridCol w:w="1199"/>
        <w:gridCol w:w="814"/>
        <w:gridCol w:w="899"/>
        <w:gridCol w:w="870"/>
        <w:gridCol w:w="927"/>
        <w:gridCol w:w="899"/>
        <w:gridCol w:w="828"/>
        <w:gridCol w:w="1755"/>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5000" w:type="pct"/>
            <w:gridSpan w:val="12"/>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b/>
                <w:bCs/>
                <w:color w:val="000000"/>
                <w:sz w:val="24"/>
                <w:lang w:bidi="ar"/>
              </w:rPr>
              <w:t>前海合作区金融统计汇总表</w:t>
            </w:r>
            <w:r>
              <w:rPr>
                <w:rStyle w:val="49"/>
                <w:rFonts w:hint="eastAsia" w:ascii="宋体" w:hAnsi="宋体" w:cs="宋体"/>
                <w:b/>
                <w:bCs/>
                <w:sz w:val="24"/>
                <w:szCs w:val="24"/>
                <w:lang w:bidi="ar"/>
              </w:rPr>
              <w:t>(</w:t>
            </w:r>
            <w:r>
              <w:rPr>
                <w:rStyle w:val="50"/>
                <w:rFonts w:hint="default" w:ascii="宋体" w:eastAsia="宋体" w:cs="宋体"/>
                <w:b/>
                <w:bCs/>
                <w:sz w:val="24"/>
                <w:szCs w:val="24"/>
                <w:lang w:bidi="ar"/>
              </w:rPr>
              <w:t>月表</w:t>
            </w:r>
            <w:r>
              <w:rPr>
                <w:rStyle w:val="49"/>
                <w:rFonts w:hint="eastAsia" w:ascii="宋体" w:hAnsi="宋体" w:cs="宋体"/>
                <w:b/>
                <w:bCs/>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大类指标</w:t>
            </w: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中类指标</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单位</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历史累计至20XX年X月底</w:t>
            </w: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本月</w:t>
            </w: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lang w:bidi="ar"/>
              </w:rPr>
            </w:pPr>
            <w:r>
              <w:rPr>
                <w:rFonts w:hint="eastAsia" w:ascii="宋体" w:hAnsi="宋体" w:cs="宋体"/>
                <w:b/>
                <w:bCs/>
                <w:color w:val="000000"/>
                <w:sz w:val="24"/>
                <w:lang w:bidi="ar"/>
              </w:rPr>
              <w:t>本年</w:t>
            </w:r>
          </w:p>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累计</w:t>
            </w: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lang w:bidi="ar"/>
              </w:rPr>
            </w:pPr>
            <w:r>
              <w:rPr>
                <w:rFonts w:hint="eastAsia" w:ascii="宋体" w:hAnsi="宋体" w:cs="宋体"/>
                <w:b/>
                <w:bCs/>
                <w:color w:val="000000"/>
                <w:sz w:val="24"/>
                <w:lang w:bidi="ar"/>
              </w:rPr>
              <w:t>去年</w:t>
            </w:r>
          </w:p>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本月</w:t>
            </w: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lang w:bidi="ar"/>
              </w:rPr>
            </w:pPr>
            <w:r>
              <w:rPr>
                <w:rFonts w:hint="eastAsia" w:ascii="宋体" w:hAnsi="宋体" w:cs="宋体"/>
                <w:b/>
                <w:bCs/>
                <w:color w:val="000000"/>
                <w:sz w:val="24"/>
                <w:lang w:bidi="ar"/>
              </w:rPr>
              <w:t>去年</w:t>
            </w:r>
          </w:p>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累计</w:t>
            </w: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lang w:bidi="ar"/>
              </w:rPr>
            </w:pPr>
            <w:r>
              <w:rPr>
                <w:rFonts w:hint="eastAsia" w:ascii="宋体" w:hAnsi="宋体" w:cs="宋体"/>
                <w:b/>
                <w:bCs/>
                <w:color w:val="000000"/>
                <w:sz w:val="24"/>
                <w:lang w:bidi="ar"/>
              </w:rPr>
              <w:t>本月</w:t>
            </w:r>
          </w:p>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lang w:bidi="ar"/>
              </w:rPr>
            </w:pPr>
            <w:r>
              <w:rPr>
                <w:rFonts w:hint="eastAsia" w:ascii="宋体" w:hAnsi="宋体" w:cs="宋体"/>
                <w:b/>
                <w:bCs/>
                <w:color w:val="000000"/>
                <w:sz w:val="24"/>
                <w:lang w:bidi="ar"/>
              </w:rPr>
              <w:t>同比</w:t>
            </w:r>
          </w:p>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增长%</w:t>
            </w: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lang w:bidi="ar"/>
              </w:rPr>
            </w:pPr>
            <w:r>
              <w:rPr>
                <w:rFonts w:hint="eastAsia" w:ascii="宋体" w:hAnsi="宋体" w:cs="宋体"/>
                <w:b/>
                <w:bCs/>
                <w:color w:val="000000"/>
                <w:sz w:val="24"/>
                <w:lang w:bidi="ar"/>
              </w:rPr>
              <w:t>本年</w:t>
            </w:r>
          </w:p>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lang w:bidi="ar"/>
              </w:rPr>
            </w:pPr>
            <w:r>
              <w:rPr>
                <w:rFonts w:hint="eastAsia" w:ascii="宋体" w:hAnsi="宋体" w:cs="宋体"/>
                <w:b/>
                <w:bCs/>
                <w:color w:val="000000"/>
                <w:sz w:val="24"/>
                <w:lang w:bidi="ar"/>
              </w:rPr>
              <w:t>同比</w:t>
            </w:r>
          </w:p>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增长%</w:t>
            </w:r>
          </w:p>
        </w:tc>
        <w:tc>
          <w:tcPr>
            <w:tcW w:w="781" w:type="pct"/>
            <w:gridSpan w:val="2"/>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本年占比情况%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Merge w:val="restar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注册企业数量</w:t>
            </w: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一</w:t>
            </w:r>
            <w:r>
              <w:rPr>
                <w:rFonts w:hint="eastAsia" w:ascii="宋体" w:hAnsi="宋体" w:cs="宋体"/>
                <w:b/>
                <w:bCs/>
                <w:color w:val="000000"/>
                <w:sz w:val="24"/>
                <w:lang w:val="en-US" w:eastAsia="zh-CN" w:bidi="ar"/>
              </w:rPr>
              <w:t>.</w:t>
            </w:r>
            <w:r>
              <w:rPr>
                <w:rFonts w:hint="eastAsia" w:ascii="宋体" w:hAnsi="宋体" w:cs="宋体"/>
                <w:b/>
                <w:bCs/>
                <w:color w:val="000000"/>
                <w:sz w:val="24"/>
                <w:lang w:bidi="ar"/>
              </w:rPr>
              <w:t>前海合作区注册企业数量</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FF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firstLine="480" w:firstLineChars="200"/>
              <w:textAlignment w:val="center"/>
              <w:rPr>
                <w:rFonts w:hint="eastAsia" w:ascii="宋体" w:hAnsi="宋体" w:cs="宋体"/>
                <w:b/>
                <w:bCs/>
                <w:color w:val="000000"/>
                <w:sz w:val="24"/>
              </w:rPr>
            </w:pPr>
            <w:r>
              <w:rPr>
                <w:rStyle w:val="51"/>
                <w:rFonts w:hint="default"/>
                <w:b w:val="0"/>
                <w:bCs w:val="0"/>
                <w:sz w:val="24"/>
                <w:szCs w:val="24"/>
                <w:lang w:bidi="ar"/>
              </w:rPr>
              <w:t>其中：港资企业</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在前海合作区企业占比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二</w:t>
            </w:r>
            <w:r>
              <w:rPr>
                <w:rFonts w:hint="eastAsia" w:ascii="宋体" w:hAnsi="宋体" w:cs="宋体"/>
                <w:b/>
                <w:bCs/>
                <w:color w:val="000000"/>
                <w:sz w:val="24"/>
                <w:lang w:val="en-US" w:eastAsia="zh-CN" w:bidi="ar"/>
              </w:rPr>
              <w:t>.</w:t>
            </w:r>
            <w:r>
              <w:rPr>
                <w:rFonts w:hint="eastAsia" w:ascii="宋体" w:hAnsi="宋体" w:cs="宋体"/>
                <w:b/>
                <w:bCs/>
                <w:color w:val="000000"/>
                <w:sz w:val="24"/>
                <w:lang w:bidi="ar"/>
              </w:rPr>
              <w:t>金融类企业数量</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在前海合作区企业占比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Style w:val="51"/>
                <w:rFonts w:hint="default"/>
                <w:b w:val="0"/>
                <w:bCs w:val="0"/>
                <w:sz w:val="24"/>
                <w:szCs w:val="24"/>
                <w:lang w:bidi="ar"/>
              </w:rPr>
              <w:t>其中：港资金融类企业</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在前海合作区企业占比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三.持牌金融机构数量</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其中：银行业持牌机构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在持牌金融机构中占比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 xml:space="preserve">      证券业持牌机构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在持牌金融机构中占比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 xml:space="preserve">     保险业持牌机构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在持牌金融机构中占比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四.金融机构总部数量</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其中：银行业总部机构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在总部金融机构中占比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 xml:space="preserve">     证券业总部机构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在总部金融机构中占比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 xml:space="preserve">     保险业总部机构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在总部金融机构中占比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restar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企业注册资金</w:t>
            </w: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一.企业注册资本</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FF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firstLine="480" w:firstLineChars="200"/>
              <w:textAlignment w:val="center"/>
              <w:rPr>
                <w:rFonts w:hint="eastAsia" w:ascii="宋体" w:hAnsi="宋体" w:cs="宋体"/>
                <w:b/>
                <w:bCs/>
                <w:color w:val="000000"/>
                <w:sz w:val="24"/>
              </w:rPr>
            </w:pPr>
            <w:r>
              <w:rPr>
                <w:rStyle w:val="51"/>
                <w:rFonts w:hint="default"/>
                <w:b w:val="0"/>
                <w:bCs w:val="0"/>
                <w:sz w:val="24"/>
                <w:szCs w:val="24"/>
                <w:lang w:bidi="ar"/>
              </w:rPr>
              <w:t>其中：港资企业</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在前海合作区企业占比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二.金融类企业注册资本</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在前海合作区企业占比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Style w:val="51"/>
                <w:rFonts w:hint="default"/>
                <w:b w:val="0"/>
                <w:bCs w:val="0"/>
                <w:sz w:val="24"/>
                <w:szCs w:val="24"/>
                <w:lang w:bidi="ar"/>
              </w:rPr>
              <w:t>其中：港资金融类企业</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三.持牌金融机构注册资本</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其中：银行业持牌机构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在持牌金融机构中占比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 xml:space="preserve">      证券业持牌机构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在持牌金融机构中占比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 xml:space="preserve">      保险业持牌机构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在持牌金融机构中占比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四.金融机构总部注册资本</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其中：银行业总部机构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在总部金融机构中占比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 xml:space="preserve">      证券业总部机构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在总部金融机构中占比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Style w:val="51"/>
                <w:rFonts w:hint="default"/>
                <w:b w:val="0"/>
                <w:bCs w:val="0"/>
                <w:sz w:val="24"/>
                <w:szCs w:val="24"/>
                <w:lang w:bidi="ar"/>
              </w:rPr>
              <w:t xml:space="preserve">      保险业总部机构</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在总部金融机构中占比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restar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税收收入</w:t>
            </w: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一、注册企业税收总额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FF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firstLine="480" w:firstLineChars="200"/>
              <w:textAlignment w:val="center"/>
              <w:rPr>
                <w:rFonts w:hint="eastAsia" w:ascii="宋体" w:hAnsi="宋体" w:cs="宋体"/>
                <w:b/>
                <w:bCs/>
                <w:color w:val="000000"/>
                <w:sz w:val="24"/>
              </w:rPr>
            </w:pPr>
            <w:r>
              <w:rPr>
                <w:rStyle w:val="51"/>
                <w:rFonts w:hint="default"/>
                <w:b w:val="0"/>
                <w:bCs w:val="0"/>
                <w:sz w:val="24"/>
                <w:szCs w:val="24"/>
                <w:lang w:bidi="ar"/>
              </w:rPr>
              <w:t>其中：金融业</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在前海合作区企业占比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二.分规模统计纳税注册企业数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（一）一亿及以上纳税注册企业数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（二）五千万至亿元（不含亿元）纳税注册企业数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（三）一千万至五千万（不含五千万）纳税注册企业数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三.前海分规模统计纳税注册企业金额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（一）一亿及以上纳税注册企业金额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（二）五千万至亿元（不含亿元）纳税注册企业金额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（三）一千万至五千万（不含五千万）纳税注册企业金额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四.金融类注册企业税收总额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firstLine="480" w:firstLineChars="200"/>
              <w:textAlignment w:val="center"/>
              <w:rPr>
                <w:rFonts w:hint="eastAsia" w:ascii="宋体" w:hAnsi="宋体" w:cs="宋体"/>
                <w:b/>
                <w:bCs/>
                <w:color w:val="000000"/>
                <w:sz w:val="24"/>
              </w:rPr>
            </w:pPr>
            <w:r>
              <w:rPr>
                <w:rStyle w:val="51"/>
                <w:rFonts w:hint="default"/>
                <w:b w:val="0"/>
                <w:bCs w:val="0"/>
                <w:sz w:val="24"/>
                <w:szCs w:val="24"/>
                <w:lang w:bidi="ar"/>
              </w:rPr>
              <w:t>其中：港资企业</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在前海分规模金融企业中占比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五.三湾片区分规模统计纳税金融业注册企业数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（一）一亿及以上纳税金融业注册企业数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在前海分规模金融企业中占比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（二）五千万至亿元（不含亿元）纳税金融业注册企业数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在前海分规模金融企业中占比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（三）一千万至五千万（不含五千万）纳税金融业注册企业数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在前海分规模金融企业中占比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六.三湾片区分规模统计纳税金融业注册企业金额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（一）一亿及以上纳税金融业注册企业纳税金额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在前海分规模金融企业中占比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（二）五千万至亿元（不含亿元）纳税金融业纳税金额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在前海分规模金融企业中占比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（三）一千万至五千万（不含五千万）纳税金融业纳税金额</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亿元</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color w:val="000000"/>
                <w:sz w:val="24"/>
                <w:lang w:bidi="ar"/>
              </w:rPr>
              <w:t>在前海分规模金融企业中占比</w:t>
            </w: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restar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r>
              <w:rPr>
                <w:rFonts w:hint="eastAsia" w:ascii="宋体" w:hAnsi="宋体" w:cs="宋体"/>
                <w:b/>
                <w:bCs/>
                <w:color w:val="000000"/>
                <w:sz w:val="24"/>
                <w:lang w:bidi="ar"/>
              </w:rPr>
              <w:t>企业经营</w:t>
            </w: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一.注册企业从业人数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个</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firstLine="480" w:firstLineChars="200"/>
              <w:textAlignment w:val="center"/>
              <w:rPr>
                <w:rFonts w:hint="eastAsia" w:ascii="宋体" w:hAnsi="宋体" w:cs="宋体"/>
                <w:color w:val="000000"/>
                <w:sz w:val="24"/>
              </w:rPr>
            </w:pPr>
            <w:r>
              <w:rPr>
                <w:rStyle w:val="51"/>
                <w:rFonts w:hint="default"/>
                <w:b w:val="0"/>
                <w:bCs w:val="0"/>
                <w:sz w:val="24"/>
                <w:szCs w:val="24"/>
                <w:lang w:bidi="ar"/>
              </w:rPr>
              <w:t>其中：港资企业</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个</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二.金融类注册企业从业人数</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个</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434" w:type="pct"/>
            <w:vMerge w:val="continue"/>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firstLine="480" w:firstLineChars="200"/>
              <w:textAlignment w:val="center"/>
              <w:rPr>
                <w:rFonts w:hint="eastAsia" w:ascii="宋体" w:hAnsi="宋体" w:cs="宋体"/>
                <w:b/>
                <w:bCs/>
                <w:color w:val="000000"/>
                <w:sz w:val="24"/>
              </w:rPr>
            </w:pPr>
            <w:r>
              <w:rPr>
                <w:rStyle w:val="51"/>
                <w:rFonts w:hint="default"/>
                <w:b w:val="0"/>
                <w:bCs w:val="0"/>
                <w:sz w:val="24"/>
                <w:szCs w:val="24"/>
                <w:lang w:bidi="ar"/>
              </w:rPr>
              <w:t>其中：港资企业</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个</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1214"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单位负责人：</w:t>
            </w:r>
          </w:p>
        </w:tc>
        <w:tc>
          <w:tcPr>
            <w:tcW w:w="297"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填表人：</w:t>
            </w:r>
          </w:p>
        </w:tc>
        <w:tc>
          <w:tcPr>
            <w:tcW w:w="423"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8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0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2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317"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292" w:type="pct"/>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报出日期</w:t>
            </w:r>
          </w:p>
        </w:tc>
        <w:tc>
          <w:tcPr>
            <w:tcW w:w="619"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c>
          <w:tcPr>
            <w:tcW w:w="161" w:type="pct"/>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rPr>
            </w:pPr>
          </w:p>
        </w:tc>
      </w:tr>
    </w:tbl>
    <w:p>
      <w:pPr>
        <w:sectPr>
          <w:footerReference r:id="rId4" w:type="default"/>
          <w:pgSz w:w="16838" w:h="11906" w:orient="landscape"/>
          <w:pgMar w:top="1800" w:right="1440" w:bottom="1800" w:left="1440" w:header="851" w:footer="992" w:gutter="0"/>
          <w:cols w:space="720" w:num="1"/>
          <w:docGrid w:type="lines" w:linePitch="312" w:charSpace="0"/>
        </w:sectPr>
      </w:pPr>
    </w:p>
    <w:p>
      <w:pPr>
        <w:pStyle w:val="8"/>
        <w:spacing w:line="360" w:lineRule="auto"/>
        <w:ind w:firstLine="482" w:firstLineChars="200"/>
        <w:rPr>
          <w:rFonts w:hint="eastAsia" w:ascii="宋体" w:hAnsi="宋体" w:cs="宋体"/>
          <w:sz w:val="24"/>
          <w:szCs w:val="24"/>
        </w:rPr>
      </w:pPr>
      <w:r>
        <w:rPr>
          <w:rFonts w:hint="eastAsia" w:ascii="宋体" w:hAnsi="宋体" w:cs="宋体"/>
          <w:sz w:val="24"/>
          <w:szCs w:val="24"/>
        </w:rPr>
        <w:t>（二）前海合作区金融业企业基本情况（月表）</w:t>
      </w:r>
    </w:p>
    <w:p/>
    <w:tbl>
      <w:tblPr>
        <w:tblStyle w:val="23"/>
        <w:tblW w:w="4997" w:type="pct"/>
        <w:jc w:val="center"/>
        <w:shd w:val="clear" w:color="auto" w:fill="FFFFFF"/>
        <w:tblLayout w:type="autofit"/>
        <w:tblCellMar>
          <w:top w:w="0" w:type="dxa"/>
          <w:left w:w="108" w:type="dxa"/>
          <w:bottom w:w="0" w:type="dxa"/>
          <w:right w:w="108" w:type="dxa"/>
        </w:tblCellMar>
      </w:tblPr>
      <w:tblGrid>
        <w:gridCol w:w="1067"/>
        <w:gridCol w:w="5299"/>
        <w:gridCol w:w="877"/>
        <w:gridCol w:w="592"/>
        <w:gridCol w:w="584"/>
        <w:gridCol w:w="729"/>
        <w:gridCol w:w="740"/>
        <w:gridCol w:w="877"/>
        <w:gridCol w:w="729"/>
        <w:gridCol w:w="584"/>
        <w:gridCol w:w="584"/>
        <w:gridCol w:w="729"/>
        <w:gridCol w:w="774"/>
      </w:tblGrid>
      <w:tr>
        <w:tblPrEx>
          <w:shd w:val="clear" w:color="auto" w:fill="FFFFFF"/>
          <w:tblCellMar>
            <w:top w:w="0" w:type="dxa"/>
            <w:left w:w="108" w:type="dxa"/>
            <w:bottom w:w="0" w:type="dxa"/>
            <w:right w:w="108" w:type="dxa"/>
          </w:tblCellMar>
        </w:tblPrEx>
        <w:trPr>
          <w:trHeight w:val="454" w:hRule="atLeast"/>
          <w:jc w:val="center"/>
        </w:trPr>
        <w:tc>
          <w:tcPr>
            <w:tcW w:w="4972" w:type="pct"/>
            <w:gridSpan w:val="1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color w:val="000000"/>
                <w:sz w:val="24"/>
              </w:rPr>
            </w:pPr>
            <w:r>
              <w:rPr>
                <w:rFonts w:hint="eastAsia" w:ascii="宋体" w:hAnsi="宋体" w:cs="宋体"/>
                <w:b/>
                <w:bCs/>
                <w:color w:val="000000"/>
                <w:sz w:val="24"/>
                <w:lang w:bidi="ar"/>
              </w:rPr>
              <w:t>前海合作区金融业企业基本情况（月表）</w:t>
            </w:r>
          </w:p>
        </w:tc>
      </w:tr>
      <w:tr>
        <w:tblPrEx>
          <w:shd w:val="clear" w:color="auto" w:fill="FFFFFF"/>
          <w:tblCellMar>
            <w:top w:w="0" w:type="dxa"/>
            <w:left w:w="108" w:type="dxa"/>
            <w:bottom w:w="0" w:type="dxa"/>
            <w:right w:w="108" w:type="dxa"/>
          </w:tblCellMar>
        </w:tblPrEx>
        <w:trPr>
          <w:trHeight w:val="454" w:hRule="atLeast"/>
          <w:jc w:val="center"/>
        </w:trPr>
        <w:tc>
          <w:tcPr>
            <w:tcW w:w="2236" w:type="pct"/>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项目分类</w:t>
            </w:r>
          </w:p>
        </w:tc>
        <w:tc>
          <w:tcPr>
            <w:tcW w:w="1237"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户数（家）</w:t>
            </w:r>
          </w:p>
        </w:tc>
        <w:tc>
          <w:tcPr>
            <w:tcW w:w="1498"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注册资本(亿元)</w:t>
            </w:r>
          </w:p>
        </w:tc>
      </w:tr>
      <w:tr>
        <w:tblPrEx>
          <w:shd w:val="clear" w:color="auto" w:fill="FFFFFF"/>
          <w:tblCellMar>
            <w:top w:w="0" w:type="dxa"/>
            <w:left w:w="108" w:type="dxa"/>
            <w:bottom w:w="0" w:type="dxa"/>
            <w:right w:w="108" w:type="dxa"/>
          </w:tblCellMar>
        </w:tblPrEx>
        <w:trPr>
          <w:trHeight w:val="454" w:hRule="atLeast"/>
          <w:jc w:val="center"/>
        </w:trPr>
        <w:tc>
          <w:tcPr>
            <w:tcW w:w="37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项目大类</w:t>
            </w: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项目名称</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历史累计至20XX年X月底</w:t>
            </w: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本月</w:t>
            </w: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本年累计</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本月同比增长%</w:t>
            </w:r>
          </w:p>
        </w:tc>
        <w:tc>
          <w:tcPr>
            <w:tcW w:w="25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本年同比增长%</w:t>
            </w:r>
          </w:p>
        </w:tc>
        <w:tc>
          <w:tcPr>
            <w:tcW w:w="30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历史累计至20XX年X月底</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累计同比增长%</w:t>
            </w:r>
          </w:p>
        </w:tc>
        <w:tc>
          <w:tcPr>
            <w:tcW w:w="20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本月</w:t>
            </w:r>
          </w:p>
        </w:tc>
        <w:tc>
          <w:tcPr>
            <w:tcW w:w="20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本年累计</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本月同比增长%</w:t>
            </w:r>
          </w:p>
        </w:tc>
        <w:tc>
          <w:tcPr>
            <w:tcW w:w="26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本年同比增长%</w:t>
            </w:r>
          </w:p>
        </w:tc>
      </w:tr>
      <w:tr>
        <w:tblPrEx>
          <w:shd w:val="clear" w:color="auto" w:fill="FFFFFF"/>
          <w:tblCellMar>
            <w:top w:w="0" w:type="dxa"/>
            <w:left w:w="108" w:type="dxa"/>
            <w:bottom w:w="0" w:type="dxa"/>
            <w:right w:w="108" w:type="dxa"/>
          </w:tblCellMar>
        </w:tblPrEx>
        <w:trPr>
          <w:trHeight w:val="454" w:hRule="atLeast"/>
          <w:jc w:val="center"/>
        </w:trPr>
        <w:tc>
          <w:tcPr>
            <w:tcW w:w="37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金融类企业合计</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银行类金融机构</w:t>
            </w: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一.银行业金融机构小计</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（一）银行机构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1.银行总部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2.银行业持牌专营机构（信用卡中心）</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3.银行一级分支机构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4.银行二级及以下分支机构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（二）信托投资公司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1.信托投资公司总部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2.信托投资公司一级分支机构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(三)非银行金融机构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1.金融资产管理公司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1.1金融资产管理公司总部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1.2金融资产管理公司一级分支机构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2.企业集团财务公司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2.1企业集团财务公司总部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2.2企业集团财务公司一级分支机构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3.金融租赁公司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3.1金融租赁公司总部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3.2.金融租赁公司专业子公司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4.汽车金融公司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5.货币经纪公司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5.1货币经纪公司总部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5.2.货币经纪公司一级分支机构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6.消费金融公司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7.其他非银行金融机构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央行监管机构</w:t>
            </w: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二.央行监管机构小计</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（一）第三方支付机构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（二）征信机构(含个人征信和企业征信)</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（三）其它</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证券类金融机构</w:t>
            </w: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三.证券业金融机构小计</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（一）证券机构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1.证券公司总部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2.证券公司一级分支机构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3.证券公司资产管理公司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4.证券公司承销保荐公司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5.证券公司直投子公司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6.证券公司另类投资子公司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7.证券投资咨询机构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8.独立基金销售公司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9.证券营业部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10.其他未列明证券机构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（二）基金机构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1.基金管理公司（公募）</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2.公募基金一级分支机构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3.基金子公司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4.其它</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（三）期货机构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1.期货公司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2.期货公司专业子公司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3.期货公司一级分支机构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4.期货营业部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5.其它</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保险类金融机构</w:t>
            </w: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四.保险业金融机构小计</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（一）保险公司总部</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（二）保险资产管理公司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（三）保险经纪公司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（四）保险公估公司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（五）保险代理公司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（六）保险公司一级分支机构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（七）其它（保险营业部、支公司）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375" w:type="pct"/>
            <w:vMerge w:val="restart"/>
            <w:tcBorders>
              <w:top w:val="nil"/>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下放地方监管金融机构</w:t>
            </w: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五.下放地方监管金融机构小计</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（一）小额贷款公司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（二）融资性担保公司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（三）区域性股权市场</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（四）典当行</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（五）融资租赁公司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（六）商业保理公司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（七）交易场所及要素交易平台</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firstLine="480" w:firstLineChars="200"/>
              <w:textAlignment w:val="center"/>
              <w:rPr>
                <w:rFonts w:hint="eastAsia" w:ascii="宋体" w:hAnsi="宋体" w:cs="宋体"/>
                <w:color w:val="000000"/>
                <w:sz w:val="24"/>
                <w:lang w:bidi="ar"/>
              </w:rPr>
            </w:pPr>
            <w:r>
              <w:rPr>
                <w:rFonts w:hint="eastAsia" w:ascii="宋体" w:hAnsi="宋体" w:cs="宋体"/>
                <w:color w:val="000000"/>
                <w:sz w:val="24"/>
                <w:lang w:bidi="ar"/>
              </w:rPr>
              <w:t>（八）地方资产管理公司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firstLine="480" w:firstLineChars="200"/>
              <w:textAlignment w:val="center"/>
              <w:rPr>
                <w:rFonts w:hint="eastAsia" w:ascii="宋体" w:hAnsi="宋体" w:cs="宋体"/>
                <w:color w:val="000000"/>
                <w:sz w:val="24"/>
                <w:lang w:bidi="ar"/>
              </w:rPr>
            </w:pPr>
            <w:r>
              <w:rPr>
                <w:rFonts w:hint="eastAsia" w:ascii="宋体" w:hAnsi="宋体" w:cs="宋体"/>
                <w:color w:val="000000"/>
                <w:sz w:val="24"/>
                <w:lang w:bidi="ar"/>
              </w:rPr>
              <w:t>（九）投资公司</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firstLine="480" w:firstLineChars="200"/>
              <w:textAlignment w:val="center"/>
              <w:rPr>
                <w:rFonts w:hint="eastAsia" w:ascii="宋体" w:hAnsi="宋体" w:cs="宋体"/>
                <w:color w:val="000000"/>
                <w:sz w:val="24"/>
                <w:lang w:bidi="ar"/>
              </w:rPr>
            </w:pPr>
            <w:r>
              <w:rPr>
                <w:rFonts w:hint="eastAsia" w:ascii="宋体" w:hAnsi="宋体" w:cs="宋体"/>
                <w:color w:val="000000"/>
                <w:sz w:val="24"/>
                <w:lang w:bidi="ar"/>
              </w:rPr>
              <w:t>（十）农民合作社</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tcBorders>
              <w:left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lang w:bidi="ar"/>
              </w:rPr>
            </w:pPr>
            <w:r>
              <w:rPr>
                <w:rFonts w:hint="eastAsia" w:ascii="宋体" w:hAnsi="宋体" w:cs="宋体"/>
                <w:color w:val="000000"/>
                <w:sz w:val="24"/>
                <w:lang w:bidi="ar"/>
              </w:rPr>
              <w:t xml:space="preserve">   （十一）社会众筹机构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center"/>
              <w:rPr>
                <w:rFonts w:hint="eastAsia" w:ascii="宋体" w:hAnsi="宋体" w:cs="宋体"/>
                <w:b/>
                <w:bCs/>
                <w:color w:val="000000"/>
                <w:sz w:val="24"/>
              </w:rPr>
            </w:pPr>
            <w:r>
              <w:rPr>
                <w:rFonts w:hint="eastAsia" w:ascii="宋体" w:hAnsi="宋体" w:cs="宋体"/>
                <w:b/>
                <w:bCs/>
                <w:color w:val="000000"/>
                <w:sz w:val="24"/>
                <w:lang w:bidi="ar"/>
              </w:rPr>
              <w:t>金融相关服务机构</w:t>
            </w:r>
          </w:p>
        </w:tc>
        <w:tc>
          <w:tcPr>
            <w:tcW w:w="18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b/>
                <w:bCs/>
                <w:color w:val="000000"/>
                <w:sz w:val="24"/>
              </w:rPr>
            </w:pPr>
            <w:r>
              <w:rPr>
                <w:rFonts w:hint="eastAsia" w:ascii="宋体" w:hAnsi="宋体" w:cs="宋体"/>
                <w:b/>
                <w:bCs/>
                <w:color w:val="000000"/>
                <w:sz w:val="24"/>
                <w:lang w:bidi="ar"/>
              </w:rPr>
              <w:t>六.金融相关服务机构小计</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r>
        <w:tblPrEx>
          <w:shd w:val="clear" w:color="auto" w:fill="FFFFFF"/>
          <w:tblCellMar>
            <w:top w:w="0" w:type="dxa"/>
            <w:left w:w="108" w:type="dxa"/>
            <w:bottom w:w="0" w:type="dxa"/>
            <w:right w:w="108" w:type="dxa"/>
          </w:tblCellMar>
        </w:tblPrEx>
        <w:trPr>
          <w:trHeight w:val="454" w:hRule="atLeast"/>
          <w:jc w:val="center"/>
        </w:trPr>
        <w:tc>
          <w:tcPr>
            <w:tcW w:w="37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 w:val="24"/>
              </w:rPr>
            </w:pPr>
          </w:p>
        </w:tc>
        <w:tc>
          <w:tcPr>
            <w:tcW w:w="18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textAlignment w:val="center"/>
              <w:rPr>
                <w:rFonts w:hint="eastAsia" w:ascii="宋体" w:hAnsi="宋体" w:cs="宋体"/>
                <w:color w:val="000000"/>
                <w:sz w:val="24"/>
              </w:rPr>
            </w:pPr>
            <w:r>
              <w:rPr>
                <w:rFonts w:hint="eastAsia" w:ascii="宋体" w:hAnsi="宋体" w:cs="宋体"/>
                <w:color w:val="000000"/>
                <w:sz w:val="24"/>
                <w:lang w:bidi="ar"/>
              </w:rPr>
              <w:t xml:space="preserve">    其中：私募投资机构</w:t>
            </w: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308"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05"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5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c>
          <w:tcPr>
            <w:tcW w:w="264"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 w:val="24"/>
              </w:rPr>
            </w:pPr>
          </w:p>
        </w:tc>
      </w:tr>
    </w:tbl>
    <w:p>
      <w:pPr>
        <w:sectPr>
          <w:pgSz w:w="16838" w:h="11906" w:orient="landscape"/>
          <w:pgMar w:top="1800" w:right="1440" w:bottom="1800" w:left="1440" w:header="851" w:footer="992" w:gutter="0"/>
          <w:cols w:space="720" w:num="1"/>
          <w:docGrid w:type="lines" w:linePitch="312" w:charSpace="0"/>
        </w:sectPr>
      </w:pPr>
    </w:p>
    <w:p>
      <w:pPr>
        <w:pStyle w:val="8"/>
        <w:spacing w:line="360" w:lineRule="auto"/>
        <w:rPr>
          <w:rFonts w:hint="eastAsia" w:ascii="宋体" w:hAnsi="宋体" w:eastAsia="宋体" w:cs="宋体"/>
          <w:strike w:val="0"/>
          <w:sz w:val="24"/>
          <w:szCs w:val="24"/>
          <w:highlight w:val="none"/>
          <w:lang w:val="en-US" w:eastAsia="zh-CN"/>
        </w:rPr>
      </w:pPr>
      <w:r>
        <w:rPr>
          <w:rFonts w:hint="eastAsia" w:ascii="宋体" w:hAnsi="宋体" w:cs="宋体"/>
          <w:strike w:val="0"/>
          <w:color w:val="000000"/>
          <w:sz w:val="24"/>
          <w:szCs w:val="24"/>
          <w:highlight w:val="none"/>
        </w:rPr>
        <w:t>（三）</w:t>
      </w:r>
      <w:r>
        <w:rPr>
          <w:rFonts w:hint="eastAsia" w:ascii="宋体" w:hAnsi="宋体" w:cs="宋体"/>
          <w:strike w:val="0"/>
          <w:color w:val="000000"/>
          <w:sz w:val="24"/>
          <w:szCs w:val="24"/>
          <w:highlight w:val="none"/>
          <w:lang w:val="en-US" w:eastAsia="zh-CN"/>
        </w:rPr>
        <w:t>港资外资</w:t>
      </w:r>
      <w:r>
        <w:rPr>
          <w:rFonts w:hint="eastAsia" w:ascii="宋体" w:hAnsi="宋体" w:cs="宋体"/>
          <w:strike w:val="0"/>
          <w:color w:val="000000"/>
          <w:sz w:val="24"/>
          <w:szCs w:val="24"/>
          <w:highlight w:val="none"/>
        </w:rPr>
        <w:t>企业数据</w:t>
      </w:r>
      <w:r>
        <w:rPr>
          <w:rFonts w:hint="eastAsia" w:ascii="宋体" w:hAnsi="宋体" w:cs="宋体"/>
          <w:strike w:val="0"/>
          <w:color w:val="000000"/>
          <w:sz w:val="24"/>
          <w:szCs w:val="24"/>
          <w:highlight w:val="none"/>
          <w:lang w:val="en-US" w:eastAsia="zh-CN"/>
        </w:rPr>
        <w:t>表</w:t>
      </w:r>
    </w:p>
    <w:tbl>
      <w:tblPr>
        <w:tblStyle w:val="23"/>
        <w:tblW w:w="4997" w:type="pct"/>
        <w:jc w:val="center"/>
        <w:tblLayout w:type="autofit"/>
        <w:tblCellMar>
          <w:top w:w="0" w:type="dxa"/>
          <w:left w:w="108" w:type="dxa"/>
          <w:bottom w:w="0" w:type="dxa"/>
          <w:right w:w="108" w:type="dxa"/>
        </w:tblCellMar>
      </w:tblPr>
      <w:tblGrid>
        <w:gridCol w:w="1895"/>
        <w:gridCol w:w="3797"/>
        <w:gridCol w:w="3159"/>
      </w:tblGrid>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b/>
                <w:bCs/>
                <w:color w:val="000000"/>
                <w:szCs w:val="21"/>
                <w:lang w:bidi="ar"/>
              </w:rPr>
            </w:pPr>
            <w:r>
              <w:rPr>
                <w:rFonts w:hint="eastAsia" w:ascii="仿宋_GB2312" w:hAnsi="仿宋_GB2312" w:eastAsia="仿宋_GB2312" w:cs="仿宋_GB2312"/>
                <w:b/>
                <w:bCs/>
                <w:color w:val="000000"/>
                <w:szCs w:val="21"/>
                <w:lang w:bidi="ar"/>
              </w:rPr>
              <w:t>序号</w:t>
            </w:r>
          </w:p>
        </w:tc>
        <w:tc>
          <w:tcPr>
            <w:tcW w:w="214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b/>
                <w:bCs/>
                <w:color w:val="000000"/>
                <w:szCs w:val="21"/>
                <w:lang w:bidi="ar"/>
              </w:rPr>
            </w:pPr>
            <w:r>
              <w:rPr>
                <w:rFonts w:hint="eastAsia" w:ascii="仿宋_GB2312" w:hAnsi="仿宋_GB2312" w:eastAsia="仿宋_GB2312" w:cs="仿宋_GB2312"/>
                <w:b/>
                <w:bCs/>
                <w:color w:val="000000"/>
                <w:szCs w:val="21"/>
                <w:lang w:bidi="ar"/>
              </w:rPr>
              <w:t>指标名称</w:t>
            </w:r>
          </w:p>
        </w:tc>
        <w:tc>
          <w:tcPr>
            <w:tcW w:w="1784" w:type="pct"/>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b/>
                <w:bCs/>
                <w:color w:val="000000"/>
                <w:szCs w:val="21"/>
                <w:lang w:bidi="ar"/>
              </w:rPr>
            </w:pPr>
            <w:r>
              <w:rPr>
                <w:rFonts w:hint="eastAsia" w:ascii="仿宋_GB2312" w:hAnsi="仿宋_GB2312" w:eastAsia="仿宋_GB2312" w:cs="仿宋_GB2312"/>
                <w:b/>
                <w:bCs/>
                <w:color w:val="000000"/>
                <w:szCs w:val="21"/>
                <w:lang w:bidi="ar"/>
              </w:rPr>
              <w:t>备注</w:t>
            </w: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1</w:t>
            </w:r>
          </w:p>
        </w:tc>
        <w:tc>
          <w:tcPr>
            <w:tcW w:w="214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单位名称</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2</w:t>
            </w:r>
          </w:p>
        </w:tc>
        <w:tc>
          <w:tcPr>
            <w:tcW w:w="214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统一社会信用代码</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3</w:t>
            </w:r>
          </w:p>
        </w:tc>
        <w:tc>
          <w:tcPr>
            <w:tcW w:w="2144"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val="en-US" w:eastAsia="zh-CN" w:bidi="ar"/>
              </w:rPr>
              <w:t>金融行业</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4</w:t>
            </w:r>
          </w:p>
        </w:tc>
        <w:tc>
          <w:tcPr>
            <w:tcW w:w="2144"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金融细分</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5</w:t>
            </w:r>
          </w:p>
        </w:tc>
        <w:tc>
          <w:tcPr>
            <w:tcW w:w="2144"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Cs w:val="21"/>
                <w:lang w:val="en-US" w:bidi="ar"/>
              </w:rPr>
            </w:pPr>
            <w:r>
              <w:rPr>
                <w:rFonts w:hint="eastAsia" w:ascii="仿宋_GB2312" w:hAnsi="仿宋_GB2312" w:eastAsia="仿宋_GB2312" w:cs="仿宋_GB2312"/>
                <w:color w:val="000000"/>
                <w:szCs w:val="21"/>
                <w:lang w:val="en-US" w:eastAsia="zh-CN" w:bidi="ar"/>
              </w:rPr>
              <w:t>所在区</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6</w:t>
            </w:r>
          </w:p>
        </w:tc>
        <w:tc>
          <w:tcPr>
            <w:tcW w:w="2144"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是否在前海（注册地）</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7</w:t>
            </w:r>
          </w:p>
        </w:tc>
        <w:tc>
          <w:tcPr>
            <w:tcW w:w="2144"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是否港外资</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8</w:t>
            </w:r>
          </w:p>
        </w:tc>
        <w:tc>
          <w:tcPr>
            <w:tcW w:w="2144"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港外资类型</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9</w:t>
            </w:r>
          </w:p>
        </w:tc>
        <w:tc>
          <w:tcPr>
            <w:tcW w:w="2144"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港外资比例</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1070"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10</w:t>
            </w:r>
          </w:p>
        </w:tc>
        <w:tc>
          <w:tcPr>
            <w:tcW w:w="2144" w:type="pc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Cs w:val="21"/>
                <w:lang w:val="en-US" w:eastAsia="zh-CN" w:bidi="ar"/>
              </w:rPr>
            </w:pPr>
            <w:r>
              <w:rPr>
                <w:rFonts w:hint="eastAsia" w:ascii="仿宋_GB2312" w:hAnsi="仿宋_GB2312" w:eastAsia="仿宋_GB2312" w:cs="仿宋_GB2312"/>
                <w:color w:val="000000"/>
                <w:szCs w:val="21"/>
                <w:lang w:val="en-US" w:eastAsia="zh-CN" w:bidi="ar"/>
              </w:rPr>
              <w:t>数据来源</w:t>
            </w:r>
          </w:p>
        </w:tc>
        <w:tc>
          <w:tcPr>
            <w:tcW w:w="1784" w:type="pct"/>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szCs w:val="21"/>
              </w:rPr>
            </w:pPr>
          </w:p>
        </w:tc>
      </w:tr>
    </w:tbl>
    <w:p>
      <w:pPr>
        <w:shd w:val="clear" w:color="auto"/>
        <w:adjustRightInd w:val="0"/>
        <w:snapToGrid w:val="0"/>
        <w:spacing w:line="360" w:lineRule="auto"/>
        <w:rPr>
          <w:rFonts w:ascii="宋体" w:hAnsi="宋体" w:cs="宋体"/>
          <w:sz w:val="24"/>
          <w:highlight w:val="none"/>
        </w:rPr>
      </w:pPr>
      <w:r>
        <w:rPr>
          <w:rFonts w:hint="eastAsia" w:ascii="宋体" w:hAnsi="宋体" w:cs="宋体"/>
          <w:b/>
          <w:bCs/>
          <w:color w:val="000000" w:themeColor="text1"/>
          <w:sz w:val="24"/>
          <w14:textFill>
            <w14:solidFill>
              <w14:schemeClr w14:val="tx1"/>
            </w14:solidFill>
          </w14:textFill>
        </w:rPr>
        <w:br w:type="page"/>
      </w:r>
    </w:p>
    <w:p>
      <w:pPr>
        <w:numPr>
          <w:ilvl w:val="0"/>
          <w:numId w:val="3"/>
        </w:numPr>
        <w:spacing w:line="360" w:lineRule="auto"/>
        <w:jc w:val="center"/>
        <w:outlineLvl w:val="0"/>
        <w:rPr>
          <w:rFonts w:ascii="宋体" w:hAnsi="宋体" w:cs="宋体"/>
          <w:b/>
          <w:bCs/>
          <w:sz w:val="24"/>
          <w:highlight w:val="none"/>
        </w:rPr>
        <w:sectPr>
          <w:footerReference r:id="rId5" w:type="default"/>
          <w:pgSz w:w="11906" w:h="16838"/>
          <w:pgMar w:top="1440" w:right="1633" w:bottom="1440" w:left="1633" w:header="851" w:footer="992" w:gutter="0"/>
          <w:pgNumType w:fmt="decimal"/>
          <w:cols w:space="720" w:num="1"/>
          <w:docGrid w:type="lines" w:linePitch="312" w:charSpace="0"/>
        </w:sectPr>
      </w:pPr>
    </w:p>
    <w:p>
      <w:pPr>
        <w:numPr>
          <w:ilvl w:val="0"/>
          <w:numId w:val="3"/>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37" w:name="_Toc793"/>
      <w:r>
        <w:rPr>
          <w:rFonts w:hint="eastAsia" w:ascii="宋体" w:hAnsi="宋体" w:cs="宋体"/>
          <w:b/>
          <w:bCs/>
          <w:sz w:val="24"/>
          <w:highlight w:val="none"/>
        </w:rPr>
        <w:t>用户需求书</w:t>
      </w:r>
      <w:bookmarkEnd w:id="37"/>
    </w:p>
    <w:p>
      <w:pPr>
        <w:widowControl/>
        <w:spacing w:line="360" w:lineRule="auto"/>
        <w:ind w:firstLine="480"/>
        <w:outlineLvl w:val="1"/>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项目总体概</w:t>
      </w:r>
      <w:r>
        <w:rPr>
          <w:rFonts w:hint="eastAsia" w:ascii="宋体" w:hAnsi="宋体" w:cs="宋体"/>
          <w:b/>
          <w:bCs/>
          <w:sz w:val="24"/>
        </w:rPr>
        <w:t>况</w:t>
      </w:r>
    </w:p>
    <w:p>
      <w:pPr>
        <w:widowControl/>
        <w:spacing w:line="360" w:lineRule="auto"/>
        <w:ind w:firstLine="480" w:firstLineChars="200"/>
        <w:rPr>
          <w:rFonts w:hint="eastAsia" w:ascii="宋体" w:hAnsi="宋体" w:cs="宋体"/>
          <w:sz w:val="24"/>
        </w:rPr>
      </w:pPr>
      <w:r>
        <w:rPr>
          <w:rFonts w:hint="eastAsia" w:ascii="宋体" w:hAnsi="宋体" w:cs="宋体"/>
          <w:sz w:val="24"/>
        </w:rPr>
        <w:t>前海合作区作为国家级改革开放试验田，承担着探索金融开放创新、服务国家改革发展大局的重要使命。为深入贯彻落实《全面深化前海深港现代服务业合作区改革开放方案》，推动前海金融业服务实体经济，并促进前海金融业高质量发展，根据《深圳市统计局深圳市前海管理局关于印发&lt;建立健全前海深港现代服务业合作区统计体系的工作方案&gt;的通知》（深统通〔2022〕14号）精神，在市统计局的指导下，拟委托专业机构承接《2025年前海金融业统计服务项目》，开展区域金融业统计调查工作。</w:t>
      </w:r>
    </w:p>
    <w:p>
      <w:pPr>
        <w:widowControl/>
        <w:spacing w:line="360" w:lineRule="auto"/>
        <w:ind w:firstLine="480"/>
        <w:outlineLvl w:val="1"/>
        <w:rPr>
          <w:rFonts w:hint="eastAsia" w:ascii="宋体" w:hAnsi="宋体" w:cs="宋体"/>
          <w:b/>
          <w:bCs/>
          <w:sz w:val="24"/>
        </w:rPr>
      </w:pPr>
      <w:r>
        <w:rPr>
          <w:rFonts w:hint="eastAsia" w:ascii="宋体" w:hAnsi="宋体" w:cs="宋体"/>
          <w:b/>
          <w:bCs/>
          <w:sz w:val="24"/>
        </w:rPr>
        <w:t>二、项目目标</w:t>
      </w:r>
    </w:p>
    <w:p>
      <w:pPr>
        <w:widowControl/>
        <w:spacing w:line="360" w:lineRule="auto"/>
        <w:ind w:firstLine="480" w:firstLineChars="200"/>
        <w:rPr>
          <w:rFonts w:hint="eastAsia" w:ascii="宋体" w:hAnsi="宋体" w:cs="宋体"/>
          <w:sz w:val="24"/>
        </w:rPr>
      </w:pPr>
      <w:r>
        <w:rPr>
          <w:rFonts w:hint="eastAsia" w:ascii="宋体" w:hAnsi="宋体" w:eastAsia="宋体" w:cs="宋体"/>
          <w:color w:val="auto"/>
          <w:sz w:val="24"/>
          <w:szCs w:val="24"/>
          <w:highlight w:val="none"/>
          <w:lang w:val="en-US" w:eastAsia="zh-CN"/>
        </w:rPr>
        <w:t>通过开展2025年前海金融业统计调查工作，一是旨在全面掌握</w:t>
      </w:r>
      <w:r>
        <w:rPr>
          <w:rFonts w:hint="eastAsia" w:ascii="宋体" w:hAnsi="宋体" w:cs="宋体"/>
          <w:color w:val="auto"/>
          <w:sz w:val="24"/>
          <w:szCs w:val="24"/>
          <w:highlight w:val="none"/>
          <w:lang w:val="en-US" w:eastAsia="zh-CN"/>
        </w:rPr>
        <w:t>前海合作</w:t>
      </w:r>
      <w:r>
        <w:rPr>
          <w:rFonts w:hint="eastAsia" w:ascii="宋体" w:hAnsi="宋体" w:eastAsia="宋体" w:cs="宋体"/>
          <w:color w:val="auto"/>
          <w:sz w:val="24"/>
          <w:szCs w:val="24"/>
          <w:highlight w:val="none"/>
          <w:lang w:val="en-US" w:eastAsia="zh-CN"/>
        </w:rPr>
        <w:t>区内重点金融企业运营实况与发展底数，为前海落实国家金融开放战略定位奠定坚实数据基础。二是通过专项统计调查，精准监测企业在地发展动态，科学评估《前海规划》中港资外资金融机构发展目标的实现进度，精准识别发展瓶颈，提升政策支持的靶向性与有效性；聚焦重大功能平台，动态监测头部持牌机构及</w:t>
      </w:r>
      <w:r>
        <w:rPr>
          <w:rFonts w:hint="eastAsia" w:ascii="宋体" w:hAnsi="宋体" w:cs="宋体"/>
          <w:color w:val="auto"/>
          <w:sz w:val="24"/>
          <w:szCs w:val="24"/>
          <w:highlight w:val="none"/>
          <w:lang w:val="en-US" w:eastAsia="zh-CN"/>
        </w:rPr>
        <w:t>港外资</w:t>
      </w:r>
      <w:r>
        <w:rPr>
          <w:rFonts w:hint="eastAsia" w:ascii="宋体" w:hAnsi="宋体" w:eastAsia="宋体" w:cs="宋体"/>
          <w:color w:val="auto"/>
          <w:sz w:val="24"/>
          <w:szCs w:val="24"/>
          <w:highlight w:val="none"/>
          <w:lang w:val="en-US" w:eastAsia="zh-CN"/>
        </w:rPr>
        <w:t>金融机构的核心经营指标，推动产业资源高效集聚与辐射带动能级提升。最终，调查结果将为金融业扶持政策的制定与动态优化提供科学依据。在政策落实过程中，着力推动统计重心由机构向业务深化，切实提升统计工作的针对性与实效性，为政策完善与精准调整提供强有力的数据决策支撑</w:t>
      </w:r>
      <w:r>
        <w:rPr>
          <w:rFonts w:hint="eastAsia" w:ascii="宋体" w:hAnsi="宋体" w:cs="宋体"/>
          <w:sz w:val="24"/>
        </w:rPr>
        <w:t>。</w:t>
      </w:r>
    </w:p>
    <w:p>
      <w:pPr>
        <w:widowControl/>
        <w:spacing w:line="360" w:lineRule="auto"/>
        <w:ind w:firstLine="480"/>
        <w:outlineLvl w:val="1"/>
        <w:rPr>
          <w:rFonts w:hint="eastAsia" w:ascii="宋体" w:hAnsi="宋体" w:cs="宋体"/>
          <w:b/>
          <w:bCs/>
          <w:sz w:val="24"/>
        </w:rPr>
      </w:pPr>
      <w:r>
        <w:rPr>
          <w:rFonts w:hint="eastAsia" w:ascii="宋体" w:hAnsi="宋体" w:cs="宋体"/>
          <w:b/>
          <w:bCs/>
          <w:sz w:val="24"/>
        </w:rPr>
        <w:t>三、项目内容</w:t>
      </w:r>
    </w:p>
    <w:p>
      <w:pPr>
        <w:widowControl/>
        <w:autoSpaceDE/>
        <w:autoSpaceDN/>
        <w:adjustRightInd/>
        <w:spacing w:line="360" w:lineRule="auto"/>
        <w:ind w:firstLine="482" w:firstLineChars="200"/>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（一）开展前海合作区金融业调查和运行分析</w:t>
      </w:r>
    </w:p>
    <w:p>
      <w:pPr>
        <w:widowControl/>
        <w:spacing w:line="360" w:lineRule="auto"/>
        <w:ind w:firstLine="480" w:firstLineChars="200"/>
        <w:rPr>
          <w:sz w:val="24"/>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月度统计数据简报。每月根据前海整体企业名录库比对结果，结合国家、地方金融监管部门公布的全市企业持牌金融机构名录，更新前海金融机构数据库，</w:t>
      </w:r>
      <w:r>
        <w:rPr>
          <w:rFonts w:hint="eastAsia" w:ascii="宋体" w:hAnsi="宋体" w:eastAsia="宋体" w:cs="宋体"/>
          <w:b w:val="0"/>
          <w:bCs w:val="0"/>
          <w:sz w:val="24"/>
          <w:szCs w:val="24"/>
          <w:lang w:val="en-US" w:eastAsia="zh-CN"/>
        </w:rPr>
        <w:t>确保及时、准确地核定企业增减变化情况。每月生成前海金融业统计汇总数据，具体包括注册金融企业数据、在地金融企业数据、持牌金融企业数据、港资外资金融企业数据、迁入迁出或注销吊销金融企业数据、深港国际金融城金融企业数据等</w:t>
      </w:r>
      <w:r>
        <w:rPr>
          <w:rFonts w:hint="eastAsia" w:ascii="宋体" w:hAnsi="宋体" w:cs="宋体"/>
          <w:b w:val="0"/>
          <w:bCs w:val="0"/>
          <w:sz w:val="24"/>
          <w:szCs w:val="24"/>
          <w:lang w:val="en-US" w:eastAsia="zh-CN"/>
        </w:rPr>
        <w:t>。</w:t>
      </w:r>
      <w:r>
        <w:rPr>
          <w:rFonts w:hint="eastAsia" w:ascii="宋体" w:hAnsi="宋体" w:eastAsia="宋体" w:cs="宋体"/>
          <w:b w:val="0"/>
          <w:bCs w:val="0"/>
          <w:strike w:val="0"/>
          <w:sz w:val="24"/>
          <w:szCs w:val="24"/>
          <w:lang w:val="en-US" w:eastAsia="zh-CN"/>
        </w:rPr>
        <w:t>按甲方需求定期报送月度数据表</w:t>
      </w:r>
      <w:r>
        <w:rPr>
          <w:rFonts w:hint="eastAsia" w:ascii="宋体" w:hAnsi="宋体" w:cs="宋体"/>
          <w:b w:val="0"/>
          <w:bCs w:val="0"/>
          <w:strike w:val="0"/>
          <w:sz w:val="24"/>
          <w:szCs w:val="24"/>
          <w:lang w:val="en-US" w:eastAsia="zh-CN"/>
        </w:rPr>
        <w:t>，</w:t>
      </w:r>
      <w:r>
        <w:rPr>
          <w:rFonts w:hint="eastAsia" w:ascii="宋体" w:hAnsi="宋体" w:eastAsia="宋体" w:cs="宋体"/>
          <w:b w:val="0"/>
          <w:bCs w:val="0"/>
          <w:strike w:val="0"/>
          <w:sz w:val="24"/>
          <w:szCs w:val="24"/>
          <w:lang w:val="en-US" w:eastAsia="zh-CN"/>
        </w:rPr>
        <w:t>具体包含</w:t>
      </w:r>
      <w:r>
        <w:rPr>
          <w:rFonts w:hint="eastAsia" w:ascii="宋体" w:hAnsi="宋体" w:cs="宋体"/>
          <w:sz w:val="24"/>
          <w:szCs w:val="24"/>
        </w:rPr>
        <w:t>前海合作区金融统计</w:t>
      </w:r>
      <w:r>
        <w:rPr>
          <w:rFonts w:hint="eastAsia" w:ascii="宋体" w:hAnsi="宋体" w:eastAsia="宋体" w:cs="宋体"/>
          <w:b w:val="0"/>
          <w:bCs w:val="0"/>
          <w:strike w:val="0"/>
          <w:sz w:val="24"/>
          <w:szCs w:val="24"/>
          <w:lang w:val="en-US" w:eastAsia="zh-CN"/>
        </w:rPr>
        <w:t>汇总表</w:t>
      </w:r>
      <w:r>
        <w:rPr>
          <w:rFonts w:hint="eastAsia" w:ascii="宋体" w:hAnsi="宋体" w:cs="宋体"/>
          <w:b w:val="0"/>
          <w:bCs w:val="0"/>
          <w:strike w:val="0"/>
          <w:sz w:val="24"/>
          <w:szCs w:val="24"/>
          <w:lang w:val="en-US" w:eastAsia="zh-CN"/>
        </w:rPr>
        <w:t>、金融业</w:t>
      </w:r>
      <w:r>
        <w:rPr>
          <w:rFonts w:hint="eastAsia" w:ascii="宋体" w:hAnsi="宋体" w:eastAsia="宋体" w:cs="宋体"/>
          <w:b w:val="0"/>
          <w:bCs w:val="0"/>
          <w:strike w:val="0"/>
          <w:sz w:val="24"/>
          <w:szCs w:val="24"/>
          <w:lang w:val="en-US" w:eastAsia="zh-CN"/>
        </w:rPr>
        <w:t>企业基本情况表、港资外资企业</w:t>
      </w:r>
      <w:r>
        <w:rPr>
          <w:rFonts w:hint="eastAsia" w:ascii="宋体" w:hAnsi="宋体" w:cs="宋体"/>
          <w:b w:val="0"/>
          <w:bCs w:val="0"/>
          <w:strike w:val="0"/>
          <w:sz w:val="24"/>
          <w:szCs w:val="24"/>
          <w:lang w:val="en-US" w:eastAsia="zh-CN"/>
        </w:rPr>
        <w:t>数据</w:t>
      </w:r>
      <w:r>
        <w:rPr>
          <w:rFonts w:hint="eastAsia" w:ascii="宋体" w:hAnsi="宋体" w:eastAsia="宋体" w:cs="宋体"/>
          <w:b w:val="0"/>
          <w:bCs w:val="0"/>
          <w:strike w:val="0"/>
          <w:sz w:val="24"/>
          <w:szCs w:val="24"/>
          <w:lang w:val="en-US" w:eastAsia="zh-CN"/>
        </w:rPr>
        <w:t>表。</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2.按季度开展前海金融业专项统计调查。根据经市统计局批复的前海金融业统计调查制度，按季度</w:t>
      </w:r>
      <w:r>
        <w:rPr>
          <w:rFonts w:hint="eastAsia" w:ascii="宋体" w:hAnsi="宋体" w:cs="宋体"/>
          <w:b w:val="0"/>
          <w:bCs w:val="0"/>
          <w:color w:val="auto"/>
          <w:sz w:val="24"/>
          <w:szCs w:val="24"/>
          <w:highlight w:val="none"/>
          <w:lang w:val="en-US" w:eastAsia="zh-CN"/>
        </w:rPr>
        <w:t>对900家金融机构</w:t>
      </w:r>
      <w:r>
        <w:rPr>
          <w:rFonts w:hint="eastAsia" w:ascii="宋体" w:hAnsi="宋体" w:eastAsia="宋体" w:cs="宋体"/>
          <w:b w:val="0"/>
          <w:bCs w:val="0"/>
          <w:color w:val="auto"/>
          <w:sz w:val="24"/>
          <w:szCs w:val="24"/>
          <w:highlight w:val="none"/>
          <w:lang w:val="en-US" w:eastAsia="zh-CN"/>
        </w:rPr>
        <w:t>开展专项统计调查工作，重点对持牌金融机构、港资金融机构等开展调查，形成相关金融业统计</w:t>
      </w:r>
      <w:r>
        <w:rPr>
          <w:rFonts w:hint="eastAsia" w:ascii="宋体" w:hAnsi="宋体" w:cs="宋体"/>
          <w:b w:val="0"/>
          <w:bCs w:val="0"/>
          <w:color w:val="auto"/>
          <w:sz w:val="24"/>
          <w:szCs w:val="24"/>
          <w:highlight w:val="none"/>
          <w:lang w:val="en-US" w:eastAsia="zh-CN"/>
        </w:rPr>
        <w:t>调查数据表。做好专项统计调查数据的清洗整理，及时对调查数据结果与税务部门做好核查比对，确保各类金融业统计指标的准确性与时效性</w:t>
      </w:r>
      <w:r>
        <w:rPr>
          <w:rFonts w:hint="eastAsia" w:ascii="宋体" w:hAnsi="宋体" w:eastAsia="宋体" w:cs="宋体"/>
          <w:b w:val="0"/>
          <w:bCs w:val="0"/>
          <w:color w:val="auto"/>
          <w:sz w:val="24"/>
          <w:szCs w:val="24"/>
          <w:highlight w:val="none"/>
          <w:lang w:val="en-US" w:eastAsia="zh-CN"/>
        </w:rPr>
        <w:t>。具体工作开展如下：</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（1）结合</w:t>
      </w:r>
      <w:r>
        <w:rPr>
          <w:rFonts w:hint="eastAsia" w:ascii="宋体" w:hAnsi="宋体" w:cs="宋体"/>
          <w:sz w:val="24"/>
        </w:rPr>
        <w:t>采购人</w:t>
      </w:r>
      <w:r>
        <w:rPr>
          <w:rFonts w:hint="eastAsia" w:ascii="宋体" w:hAnsi="宋体" w:eastAsia="宋体" w:cs="宋体"/>
          <w:b w:val="0"/>
          <w:bCs w:val="0"/>
          <w:color w:val="auto"/>
          <w:sz w:val="24"/>
          <w:szCs w:val="24"/>
          <w:highlight w:val="none"/>
          <w:lang w:val="en-US" w:eastAsia="zh-CN"/>
        </w:rPr>
        <w:t>需求确定季度专项调查企业名录，运用</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提供的深圳市前海深港现代服务业合作区新兴金融业统计调查系统，向企业发送季度、年度金融业报表，开展为期四次的金融业企业季度及年度调查。</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（2）在企业报表返回后，就报表填报数据进行校核，必要时可在</w:t>
      </w:r>
      <w:r>
        <w:rPr>
          <w:rFonts w:hint="eastAsia" w:ascii="宋体" w:hAnsi="宋体" w:cs="宋体"/>
          <w:sz w:val="24"/>
        </w:rPr>
        <w:t>采购人</w:t>
      </w:r>
      <w:r>
        <w:rPr>
          <w:rFonts w:hint="eastAsia" w:ascii="宋体" w:hAnsi="宋体" w:eastAsia="宋体" w:cs="宋体"/>
          <w:b w:val="0"/>
          <w:bCs w:val="0"/>
          <w:color w:val="auto"/>
          <w:sz w:val="24"/>
          <w:szCs w:val="24"/>
          <w:highlight w:val="none"/>
          <w:lang w:val="en-US" w:eastAsia="zh-CN"/>
        </w:rPr>
        <w:t>协助下联系企业，对异常数据进行求证，以确保采集数据的准确性。</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（3）调查结束后，在</w:t>
      </w:r>
      <w:r>
        <w:rPr>
          <w:rFonts w:hint="eastAsia" w:ascii="宋体" w:hAnsi="宋体" w:cs="宋体"/>
          <w:sz w:val="24"/>
        </w:rPr>
        <w:t>采购人</w:t>
      </w:r>
      <w:r>
        <w:rPr>
          <w:rFonts w:hint="eastAsia" w:ascii="宋体" w:hAnsi="宋体" w:eastAsia="宋体" w:cs="宋体"/>
          <w:b w:val="0"/>
          <w:bCs w:val="0"/>
          <w:color w:val="auto"/>
          <w:sz w:val="24"/>
          <w:szCs w:val="24"/>
          <w:highlight w:val="none"/>
          <w:lang w:val="en-US" w:eastAsia="zh-CN"/>
        </w:rPr>
        <w:t>指导下对采集数据进行数据清洗</w:t>
      </w:r>
      <w:r>
        <w:rPr>
          <w:rFonts w:hint="eastAsia" w:ascii="宋体" w:hAnsi="宋体" w:cs="宋体"/>
          <w:b w:val="0"/>
          <w:bCs w:val="0"/>
          <w:color w:val="auto"/>
          <w:sz w:val="24"/>
          <w:szCs w:val="24"/>
          <w:highlight w:val="none"/>
          <w:lang w:val="en-US" w:eastAsia="zh-CN"/>
        </w:rPr>
        <w:t>及核查匹配</w:t>
      </w:r>
      <w:r>
        <w:rPr>
          <w:rFonts w:hint="eastAsia" w:ascii="宋体" w:hAnsi="宋体" w:eastAsia="宋体" w:cs="宋体"/>
          <w:b w:val="0"/>
          <w:bCs w:val="0"/>
          <w:color w:val="auto"/>
          <w:sz w:val="24"/>
          <w:szCs w:val="24"/>
          <w:highlight w:val="none"/>
          <w:lang w:val="en-US" w:eastAsia="zh-CN"/>
        </w:rPr>
        <w:t>，建立规范化的数据清单，从企业数量、财务状况等多个方面对数据进行汇总，以满足</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的数据分析需求。</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3.按季度</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en-US" w:eastAsia="zh-CN"/>
        </w:rPr>
        <w:t>前海金融业运行分析</w:t>
      </w:r>
      <w:r>
        <w:rPr>
          <w:rFonts w:hint="eastAsia" w:ascii="宋体" w:hAnsi="宋体" w:cs="宋体"/>
          <w:b w:val="0"/>
          <w:bCs w:val="0"/>
          <w:color w:val="auto"/>
          <w:sz w:val="24"/>
          <w:szCs w:val="24"/>
          <w:highlight w:val="none"/>
          <w:lang w:val="en-US" w:eastAsia="zh-CN"/>
        </w:rPr>
        <w:t>咨询报告</w:t>
      </w:r>
      <w:r>
        <w:rPr>
          <w:rFonts w:hint="eastAsia" w:ascii="宋体" w:hAnsi="宋体" w:eastAsia="宋体" w:cs="宋体"/>
          <w:b w:val="0"/>
          <w:bCs w:val="0"/>
          <w:color w:val="auto"/>
          <w:sz w:val="24"/>
          <w:szCs w:val="24"/>
          <w:highlight w:val="none"/>
          <w:lang w:val="en-US" w:eastAsia="zh-CN"/>
        </w:rPr>
        <w:t>。根据季度专项调查结果，分析前海合作区</w:t>
      </w:r>
      <w:r>
        <w:rPr>
          <w:rFonts w:hint="eastAsia" w:ascii="宋体" w:hAnsi="宋体" w:cs="宋体"/>
          <w:b w:val="0"/>
          <w:bCs w:val="0"/>
          <w:color w:val="auto"/>
          <w:sz w:val="24"/>
          <w:szCs w:val="24"/>
          <w:highlight w:val="none"/>
          <w:lang w:val="en-US" w:eastAsia="zh-CN"/>
        </w:rPr>
        <w:t>重点金融</w:t>
      </w:r>
      <w:r>
        <w:rPr>
          <w:rFonts w:hint="eastAsia" w:ascii="宋体" w:hAnsi="宋体" w:eastAsia="宋体" w:cs="宋体"/>
          <w:b w:val="0"/>
          <w:bCs w:val="0"/>
          <w:color w:val="auto"/>
          <w:sz w:val="24"/>
          <w:szCs w:val="24"/>
          <w:highlight w:val="none"/>
          <w:lang w:val="en-US" w:eastAsia="zh-CN"/>
        </w:rPr>
        <w:t>企业经营情况等指标数据，深入挖掘数据展现出来的行业特点及底层数据反映出的</w:t>
      </w:r>
      <w:r>
        <w:rPr>
          <w:rFonts w:hint="eastAsia" w:ascii="宋体" w:hAnsi="宋体" w:cs="宋体"/>
          <w:b w:val="0"/>
          <w:bCs w:val="0"/>
          <w:color w:val="auto"/>
          <w:sz w:val="24"/>
          <w:szCs w:val="24"/>
          <w:highlight w:val="none"/>
          <w:lang w:val="en-US" w:eastAsia="zh-CN"/>
        </w:rPr>
        <w:t>潜在</w:t>
      </w:r>
      <w:r>
        <w:rPr>
          <w:rFonts w:hint="eastAsia" w:ascii="宋体" w:hAnsi="宋体" w:eastAsia="宋体" w:cs="宋体"/>
          <w:b w:val="0"/>
          <w:bCs w:val="0"/>
          <w:color w:val="auto"/>
          <w:sz w:val="24"/>
          <w:szCs w:val="24"/>
          <w:highlight w:val="none"/>
          <w:lang w:val="en-US" w:eastAsia="zh-CN"/>
        </w:rPr>
        <w:t>问题，持续跟踪持牌金融机构变化情况，</w:t>
      </w:r>
      <w:r>
        <w:rPr>
          <w:rFonts w:hint="eastAsia" w:ascii="宋体" w:hAnsi="宋体" w:cs="宋体"/>
          <w:b w:val="0"/>
          <w:bCs w:val="0"/>
          <w:color w:val="auto"/>
          <w:sz w:val="24"/>
          <w:szCs w:val="24"/>
          <w:highlight w:val="none"/>
          <w:lang w:val="en-US" w:eastAsia="zh-CN"/>
        </w:rPr>
        <w:t>并整理出</w:t>
      </w:r>
      <w:r>
        <w:rPr>
          <w:rFonts w:hint="eastAsia" w:ascii="宋体" w:hAnsi="宋体" w:eastAsia="宋体" w:cs="宋体"/>
          <w:b w:val="0"/>
          <w:bCs w:val="0"/>
          <w:color w:val="auto"/>
          <w:sz w:val="24"/>
          <w:szCs w:val="24"/>
          <w:highlight w:val="none"/>
          <w:lang w:val="en-US" w:eastAsia="zh-CN"/>
        </w:rPr>
        <w:t>纳税、营收、纳统贡献的头部金融企业排名清单。</w:t>
      </w:r>
      <w:r>
        <w:rPr>
          <w:rFonts w:hint="eastAsia" w:ascii="宋体" w:hAnsi="宋体" w:cs="宋体"/>
          <w:b w:val="0"/>
          <w:bCs w:val="0"/>
          <w:color w:val="auto"/>
          <w:sz w:val="24"/>
          <w:szCs w:val="24"/>
          <w:highlight w:val="none"/>
          <w:lang w:val="en-US" w:eastAsia="zh-CN"/>
        </w:rPr>
        <w:t>年终提供2025</w:t>
      </w:r>
      <w:r>
        <w:rPr>
          <w:rFonts w:hint="eastAsia" w:ascii="宋体" w:hAnsi="宋体" w:eastAsia="宋体" w:cs="宋体"/>
          <w:b w:val="0"/>
          <w:bCs w:val="0"/>
          <w:color w:val="auto"/>
          <w:sz w:val="24"/>
          <w:szCs w:val="24"/>
          <w:highlight w:val="none"/>
          <w:lang w:val="en-US" w:eastAsia="zh-CN"/>
        </w:rPr>
        <w:t>年金融业全年运行分析报告，季度及年度运行报告均印刷成册。</w:t>
      </w:r>
    </w:p>
    <w:p>
      <w:pPr>
        <w:widowControl/>
        <w:autoSpaceDE/>
        <w:autoSpaceDN/>
        <w:adjustRightInd/>
        <w:spacing w:line="360" w:lineRule="auto"/>
        <w:ind w:firstLine="482" w:firstLineChars="200"/>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）港资外资在地运营情况专项核查</w:t>
      </w:r>
    </w:p>
    <w:p>
      <w:pPr>
        <w:widowControl/>
        <w:autoSpaceDE/>
        <w:autoSpaceDN/>
        <w:adjustRightInd/>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以前海合作区内登记注册的港资及外资金融企业为基础，结合季度专项调查、电话回访、实地上门摸排等形式，重点摸排前海港外资金融企业在地经营活动情况，梳理其办公地址、主营业务等基本信息。通过部门协同，整合市场监管、税务、统计、人社等部门数据进行交叉比对，初步判断前海港外资金融企业经营活跃度；定期对新增前海港外资金融企业开展实地走访或电话访谈，收集企业在地信息，确保数据真实性和及时性，夯实底数基础，为前海深化金融对外开放、优化政策供给、推动高质量发展提供有力支撑。</w:t>
      </w:r>
    </w:p>
    <w:p>
      <w:pPr>
        <w:widowControl/>
        <w:autoSpaceDE/>
        <w:autoSpaceDN/>
        <w:adjustRightInd/>
        <w:spacing w:line="360" w:lineRule="auto"/>
        <w:ind w:firstLine="482" w:firstLineChars="200"/>
        <w:outlineLvl w:val="2"/>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（三）其他</w:t>
      </w:r>
      <w:r>
        <w:rPr>
          <w:rFonts w:hint="eastAsia" w:ascii="宋体" w:hAnsi="宋体" w:eastAsia="宋体" w:cs="宋体"/>
          <w:b/>
          <w:bCs/>
          <w:sz w:val="24"/>
          <w:szCs w:val="24"/>
          <w:lang w:val="en-US" w:eastAsia="zh-CN"/>
        </w:rPr>
        <w:t>金融业数据服务</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前海深港国际金融城企业在地落地情况排查整理。结合季度调查和不定期企业走访，协助开展前海深港国际金融城企业的落地调查工作，系统梳理金融城已签约入驻企业的正常经营情况，并实时监测企业的变动情况，确保掌握最新的企业运营数据。</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前海深港国际风投创投集聚区企业入驻情况调查。结合季度调查和不定期企业走访，协助开展前海深港国际风投创投集聚区企业实际入驻情况、正常经营情况的调查，动态掌握企业入驻进展、招商引资情况，以及管理基金数量和规模等相关数据。</w:t>
      </w:r>
    </w:p>
    <w:p>
      <w:pPr>
        <w:widowControl/>
        <w:autoSpaceDE/>
        <w:autoSpaceDN/>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融资租赁高质量发展集聚区企业入驻情况梳理。结合季度调查和不定期企业走访，协助开展融资租赁高质量发展集聚区企业实际入驻情况、正常经营情况的调查摸排，动态掌握并更新融资租赁集聚区内企业的入驻、业务发展以及特色业务情况等相关数据。</w:t>
      </w:r>
    </w:p>
    <w:p>
      <w:pPr>
        <w:widowControl/>
        <w:spacing w:line="360" w:lineRule="auto"/>
        <w:ind w:firstLine="480" w:firstLineChars="200"/>
        <w:rPr>
          <w:rFonts w:hint="eastAsia"/>
          <w:sz w:val="24"/>
        </w:rPr>
      </w:pPr>
      <w:r>
        <w:rPr>
          <w:rFonts w:hint="eastAsia" w:ascii="宋体" w:hAnsi="宋体" w:eastAsia="宋体" w:cs="宋体"/>
          <w:b w:val="0"/>
          <w:bCs w:val="0"/>
          <w:color w:val="auto"/>
          <w:sz w:val="24"/>
          <w:szCs w:val="24"/>
          <w:highlight w:val="none"/>
          <w:lang w:val="en-US" w:eastAsia="zh-CN"/>
        </w:rPr>
        <w:t>4.根据前海金融发展工作需要，协助采集并提供行业外部数据。</w:t>
      </w:r>
    </w:p>
    <w:p>
      <w:pPr>
        <w:widowControl/>
        <w:spacing w:line="360" w:lineRule="auto"/>
        <w:ind w:firstLine="482" w:firstLineChars="200"/>
        <w:outlineLvl w:val="1"/>
        <w:rPr>
          <w:rFonts w:hint="eastAsia" w:ascii="宋体" w:hAnsi="宋体" w:cs="宋体"/>
          <w:b/>
          <w:bCs/>
          <w:sz w:val="24"/>
        </w:rPr>
      </w:pPr>
      <w:r>
        <w:rPr>
          <w:rFonts w:hint="eastAsia" w:ascii="宋体" w:hAnsi="宋体" w:cs="宋体"/>
          <w:b/>
          <w:bCs/>
          <w:sz w:val="24"/>
        </w:rPr>
        <w:t>四、工作进度及阶段成果要求</w:t>
      </w:r>
    </w:p>
    <w:tbl>
      <w:tblPr>
        <w:tblStyle w:val="23"/>
        <w:tblW w:w="0" w:type="auto"/>
        <w:jc w:val="center"/>
        <w:tblLayout w:type="fixed"/>
        <w:tblCellMar>
          <w:top w:w="0" w:type="dxa"/>
          <w:left w:w="0" w:type="dxa"/>
          <w:bottom w:w="0" w:type="dxa"/>
          <w:right w:w="0" w:type="dxa"/>
        </w:tblCellMar>
      </w:tblPr>
      <w:tblGrid>
        <w:gridCol w:w="636"/>
        <w:gridCol w:w="1308"/>
        <w:gridCol w:w="1983"/>
        <w:gridCol w:w="4026"/>
      </w:tblGrid>
      <w:tr>
        <w:tblPrEx>
          <w:tblCellMar>
            <w:top w:w="0" w:type="dxa"/>
            <w:left w:w="0" w:type="dxa"/>
            <w:bottom w:w="0" w:type="dxa"/>
            <w:right w:w="0"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序号</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阶段</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时间</w:t>
            </w:r>
          </w:p>
        </w:tc>
        <w:tc>
          <w:tcPr>
            <w:tcW w:w="40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主要工作</w:t>
            </w:r>
          </w:p>
        </w:tc>
      </w:tr>
      <w:tr>
        <w:tblPrEx>
          <w:tblCellMar>
            <w:top w:w="0" w:type="dxa"/>
            <w:left w:w="0" w:type="dxa"/>
            <w:bottom w:w="0" w:type="dxa"/>
            <w:right w:w="0" w:type="dxa"/>
          </w:tblCellMar>
        </w:tblPrEx>
        <w:trPr>
          <w:cantSplit/>
          <w:trHeight w:val="9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eastAsia="en-US"/>
              </w:rPr>
              <w:t>1</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项目前期</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sz w:val="24"/>
                <w:highlight w:val="none"/>
              </w:rPr>
            </w:pPr>
            <w:r>
              <w:rPr>
                <w:rFonts w:hint="eastAsia" w:ascii="宋体" w:hAnsi="宋体" w:cs="宋体"/>
                <w:sz w:val="24"/>
                <w:highlight w:val="none"/>
              </w:rPr>
              <w:t>自本合同签订后</w:t>
            </w:r>
          </w:p>
        </w:tc>
        <w:tc>
          <w:tcPr>
            <w:tcW w:w="40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前期统计调查、前海金融相关数据支持等前期准备工作</w:t>
            </w:r>
          </w:p>
        </w:tc>
      </w:tr>
      <w:tr>
        <w:tblPrEx>
          <w:tblCellMar>
            <w:top w:w="0" w:type="dxa"/>
            <w:left w:w="0" w:type="dxa"/>
            <w:bottom w:w="0" w:type="dxa"/>
            <w:right w:w="0"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2</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项目后期</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highlight w:val="none"/>
                <w:lang w:val="en-US" w:eastAsia="zh-CN"/>
              </w:rPr>
            </w:pPr>
            <w:r>
              <w:rPr>
                <w:rFonts w:hint="eastAsia" w:ascii="宋体" w:hAnsi="宋体" w:cs="宋体"/>
                <w:sz w:val="24"/>
                <w:highlight w:val="none"/>
              </w:rPr>
              <w:t>提交项目成果</w:t>
            </w:r>
            <w:r>
              <w:rPr>
                <w:rFonts w:hint="eastAsia" w:ascii="宋体" w:hAnsi="宋体" w:cs="宋体"/>
                <w:sz w:val="24"/>
                <w:highlight w:val="none"/>
                <w:lang w:val="en-US" w:eastAsia="zh-CN"/>
              </w:rPr>
              <w:t>后</w:t>
            </w:r>
          </w:p>
        </w:tc>
        <w:tc>
          <w:tcPr>
            <w:tcW w:w="40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提交2025年前海金融业统计服务项目所有成果。</w:t>
            </w:r>
          </w:p>
        </w:tc>
      </w:tr>
    </w:tbl>
    <w:p>
      <w:pPr>
        <w:widowControl/>
        <w:spacing w:line="360" w:lineRule="auto"/>
        <w:ind w:firstLine="480"/>
        <w:outlineLvl w:val="1"/>
        <w:rPr>
          <w:rFonts w:hint="eastAsia" w:ascii="宋体" w:hAnsi="宋体" w:cs="宋体"/>
          <w:b/>
          <w:bCs/>
          <w:sz w:val="24"/>
        </w:rPr>
      </w:pPr>
      <w:r>
        <w:rPr>
          <w:rFonts w:hint="eastAsia" w:ascii="宋体" w:hAnsi="宋体" w:cs="宋体"/>
          <w:b/>
          <w:bCs/>
          <w:sz w:val="24"/>
        </w:rPr>
        <w:t>五、验收方式</w:t>
      </w:r>
    </w:p>
    <w:p>
      <w:pPr>
        <w:pStyle w:val="42"/>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sz w:val="24"/>
        </w:rPr>
        <w:t>中标人按采购人要求在项目末期提交2025年前海金融业统计服务项目相应成果后，采购人在最终成果提交后20天内对工作进行审查，最终成果验收合格的标志为采购人审查通过</w:t>
      </w:r>
      <w:r>
        <w:rPr>
          <w:rFonts w:hint="eastAsia" w:ascii="宋体" w:hAnsi="宋体" w:cs="宋体"/>
          <w:bCs/>
          <w:sz w:val="24"/>
        </w:rPr>
        <w:t>。</w:t>
      </w:r>
    </w:p>
    <w:p>
      <w:pPr>
        <w:pStyle w:val="4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六、商务要求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sz w:val="24"/>
        </w:rPr>
      </w:pPr>
      <w:r>
        <w:rPr>
          <w:rFonts w:hint="eastAsia" w:ascii="宋体" w:hAnsi="宋体" w:cs="宋体"/>
          <w:b/>
          <w:bCs/>
          <w:kern w:val="0"/>
          <w:sz w:val="24"/>
        </w:rPr>
        <w:t>（一）服务期限</w:t>
      </w:r>
    </w:p>
    <w:p>
      <w:pPr>
        <w:spacing w:after="159" w:afterLines="50" w:line="360" w:lineRule="auto"/>
        <w:ind w:firstLine="480" w:firstLineChars="200"/>
        <w:rPr>
          <w:rFonts w:hint="eastAsia" w:ascii="宋体" w:hAnsi="宋体" w:cs="宋体"/>
          <w:sz w:val="24"/>
        </w:rPr>
      </w:pPr>
      <w:r>
        <w:rPr>
          <w:rFonts w:hint="eastAsia" w:ascii="宋体" w:hAnsi="宋体" w:cs="宋体"/>
          <w:sz w:val="24"/>
        </w:rPr>
        <w:t>1.履行时间：合同签订之日</w:t>
      </w:r>
      <w:r>
        <w:rPr>
          <w:rFonts w:hint="eastAsia" w:ascii="宋体" w:hAnsi="宋体" w:cs="宋体"/>
          <w:sz w:val="24"/>
          <w:highlight w:val="none"/>
        </w:rPr>
        <w:t>起一年内</w:t>
      </w:r>
      <w:r>
        <w:rPr>
          <w:rFonts w:hint="eastAsia" w:ascii="宋体" w:hAnsi="宋体" w:cs="宋体"/>
          <w:sz w:val="24"/>
        </w:rPr>
        <w:t>完成全部项目工作内容，工作成果按照双方约定时间交付。</w:t>
      </w:r>
    </w:p>
    <w:p>
      <w:pPr>
        <w:spacing w:after="159" w:afterLines="50" w:line="360" w:lineRule="auto"/>
        <w:ind w:firstLine="480" w:firstLineChars="200"/>
        <w:rPr>
          <w:rFonts w:hint="eastAsia" w:ascii="宋体" w:hAnsi="宋体" w:cs="宋体"/>
          <w:sz w:val="24"/>
        </w:rPr>
      </w:pPr>
      <w:r>
        <w:rPr>
          <w:rFonts w:hint="eastAsia" w:ascii="宋体" w:hAnsi="宋体" w:cs="宋体"/>
          <w:sz w:val="24"/>
        </w:rPr>
        <w:t>2.履行方式：按</w:t>
      </w:r>
      <w:r>
        <w:rPr>
          <w:rFonts w:hint="eastAsia" w:ascii="宋体" w:hAnsi="宋体" w:cs="宋体"/>
          <w:sz w:val="24"/>
          <w:lang w:val="en-US" w:eastAsia="zh-CN"/>
        </w:rPr>
        <w:t>采购人</w:t>
      </w:r>
      <w:r>
        <w:rPr>
          <w:rFonts w:hint="eastAsia" w:ascii="宋体" w:hAnsi="宋体" w:cs="宋体"/>
          <w:sz w:val="24"/>
        </w:rPr>
        <w:t>的工作内容及商务需求完成相应工作，并提交全部工作成果。</w:t>
      </w:r>
    </w:p>
    <w:p>
      <w:pPr>
        <w:spacing w:after="159" w:afterLines="50" w:line="360" w:lineRule="auto"/>
        <w:ind w:firstLine="480" w:firstLineChars="200"/>
      </w:pPr>
      <w:r>
        <w:rPr>
          <w:rFonts w:hint="eastAsia" w:ascii="宋体" w:hAnsi="宋体" w:cs="宋体"/>
          <w:sz w:val="24"/>
        </w:rPr>
        <w:t>3.后续服务要求：中标人提交的本项目最终成果通过采购人审查验收之日起1年为本合同后续服务期。服务期内中标人应向采购人提供后续的专业技术支持与咨询服务。</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（二）报价要求</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1.本次投标为总价包干，投标报价总价作为中标人与采购人</w:t>
      </w:r>
      <w:r>
        <w:rPr>
          <w:rFonts w:hint="eastAsia" w:ascii="宋体" w:hAnsi="宋体" w:cs="宋体"/>
          <w:sz w:val="24"/>
          <w:highlight w:val="none"/>
          <w:lang w:eastAsia="zh-CN"/>
        </w:rPr>
        <w:t>签订</w:t>
      </w:r>
      <w:r>
        <w:rPr>
          <w:rFonts w:hint="eastAsia" w:ascii="宋体" w:hAnsi="宋体" w:cs="宋体"/>
          <w:sz w:val="24"/>
          <w:highlight w:val="none"/>
        </w:rPr>
        <w:t>的合同金额。项目预算控制40万元以内，投标人的报价不可高于预算（限价），否则投标人的投标文件视同无效。</w:t>
      </w:r>
      <w:r>
        <w:rPr>
          <w:rFonts w:hint="eastAsia" w:ascii="宋体" w:hAnsi="宋体" w:cs="宋体"/>
          <w:bCs/>
          <w:sz w:val="24"/>
          <w:highlight w:val="none"/>
        </w:rPr>
        <w:t>服务费包含中标人提供本合同项下服务的全部费用，包括但不限于中标人完成本招标项目而发生的全部费用，包括服务费、中标服务费、各种资料费、保险、税金、出差（如需）等所有费用，并提供合同要求的报告、全部成果文件和全部相关资料，以及其它相关服务的全部费用。</w:t>
      </w:r>
    </w:p>
    <w:p>
      <w:pPr>
        <w:widowControl/>
        <w:spacing w:line="360" w:lineRule="auto"/>
        <w:ind w:firstLine="480" w:firstLineChars="200"/>
        <w:rPr>
          <w:rFonts w:hint="eastAsia"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（三）付款方式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项目资金分3期支付至中标人指定银行账户：</w:t>
      </w:r>
    </w:p>
    <w:p>
      <w:pPr>
        <w:widowControl/>
        <w:numPr>
          <w:ilvl w:val="0"/>
          <w:numId w:val="9"/>
        </w:numPr>
        <w:spacing w:line="360" w:lineRule="auto"/>
        <w:ind w:firstLine="480" w:firstLineChars="200"/>
        <w:rPr>
          <w:rFonts w:hint="eastAsia" w:ascii="宋体" w:hAnsi="宋体" w:cs="宋体"/>
          <w:sz w:val="24"/>
        </w:rPr>
      </w:pPr>
      <w:r>
        <w:rPr>
          <w:rFonts w:hint="eastAsia" w:ascii="宋体" w:hAnsi="宋体" w:cs="宋体"/>
          <w:sz w:val="24"/>
        </w:rPr>
        <w:t>第一期：自本项目合同签订之日后，根据中标人提出的付款申请，采购人向中标人支付合同总价款的30%；</w:t>
      </w:r>
    </w:p>
    <w:p>
      <w:pPr>
        <w:widowControl/>
        <w:numPr>
          <w:ilvl w:val="255"/>
          <w:numId w:val="0"/>
        </w:numPr>
        <w:spacing w:line="360" w:lineRule="auto"/>
        <w:ind w:firstLine="480" w:firstLineChars="200"/>
      </w:pPr>
      <w:r>
        <w:rPr>
          <w:rFonts w:hint="eastAsia" w:ascii="宋体" w:hAnsi="宋体" w:cs="宋体"/>
          <w:sz w:val="24"/>
        </w:rPr>
        <w:t>2.第二期：完成2025年第</w:t>
      </w:r>
      <w:r>
        <w:rPr>
          <w:rFonts w:hint="eastAsia" w:ascii="宋体" w:hAnsi="宋体" w:cs="宋体"/>
          <w:sz w:val="24"/>
          <w:lang w:val="en-US" w:eastAsia="zh-CN"/>
        </w:rPr>
        <w:t>三</w:t>
      </w:r>
      <w:r>
        <w:rPr>
          <w:rFonts w:hint="eastAsia" w:ascii="宋体" w:hAnsi="宋体" w:cs="宋体"/>
          <w:sz w:val="24"/>
        </w:rPr>
        <w:t>季度报告后，根据中标人提出的付款申请，采购人向中标人支付合同总价款的40%；</w:t>
      </w:r>
    </w:p>
    <w:p>
      <w:pPr>
        <w:widowControl/>
        <w:spacing w:line="360" w:lineRule="auto"/>
        <w:ind w:firstLine="480" w:firstLineChars="200"/>
        <w:rPr>
          <w:rFonts w:hint="eastAsia" w:ascii="宋体" w:hAnsi="宋体" w:cs="宋体"/>
          <w:sz w:val="24"/>
        </w:rPr>
      </w:pPr>
      <w:r>
        <w:rPr>
          <w:rFonts w:hint="eastAsia" w:ascii="宋体" w:hAnsi="宋体" w:cs="宋体"/>
          <w:sz w:val="24"/>
        </w:rPr>
        <w:t>3.第三期：中标人完成合同全部内容，经采购人验收合格后，采购人向中标人支付项目合同总价款的30%。</w:t>
      </w:r>
    </w:p>
    <w:p>
      <w:pPr>
        <w:widowControl/>
        <w:spacing w:line="360" w:lineRule="auto"/>
        <w:ind w:firstLine="480" w:firstLineChars="200"/>
        <w:rPr>
          <w:rFonts w:hint="eastAsia" w:ascii="宋体" w:hAnsi="宋体" w:cs="宋体"/>
          <w:sz w:val="24"/>
        </w:rPr>
      </w:pPr>
      <w:r>
        <w:rPr>
          <w:rFonts w:hint="eastAsia" w:ascii="宋体" w:hAnsi="宋体" w:cs="宋体"/>
          <w:sz w:val="24"/>
        </w:rPr>
        <w:t>4.上述每期款项均在满足付款条件，且采购人收到中标人开具的载明相应金额的合格发票后1</w:t>
      </w:r>
      <w:r>
        <w:rPr>
          <w:rFonts w:hint="eastAsia" w:ascii="宋体" w:hAnsi="宋体" w:cs="宋体"/>
          <w:sz w:val="24"/>
          <w:lang w:val="en-US" w:eastAsia="zh-CN"/>
        </w:rPr>
        <w:t>0</w:t>
      </w:r>
      <w:r>
        <w:rPr>
          <w:rFonts w:hint="eastAsia" w:ascii="宋体" w:hAnsi="宋体" w:cs="宋体"/>
          <w:sz w:val="24"/>
        </w:rPr>
        <w:t>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付款审批影响支付进度，不视为违约，请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索赔。采购人有权在支付价款时扣除中标人按照合同应承担的违约金和赔补偿金。</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（四）知识产权及项目成果归属</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1.本项目全部阶段性成果和最终成果的所有权、知识产权以及与之相关的所有权利归采购方所有；本项目合同签署前各方已经拥有的知识产权权利，仍归各自所有。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2.采购人与中标人确定，采购人有权对中标人按照招标文件约定提供的成果进行后续改进。由此产生的具有实质性或创造性技术进步特征的新的技术成果及其权利全部由采购人享有。</w:t>
      </w:r>
    </w:p>
    <w:p>
      <w:pPr>
        <w:widowControl/>
        <w:spacing w:line="360" w:lineRule="auto"/>
        <w:ind w:firstLine="480" w:firstLineChars="200"/>
        <w:rPr>
          <w:rFonts w:hint="eastAsia" w:ascii="宋体" w:hAnsi="宋体" w:cs="宋体"/>
          <w:sz w:val="24"/>
        </w:rPr>
      </w:pPr>
      <w:r>
        <w:rPr>
          <w:rFonts w:hint="eastAsia" w:ascii="宋体" w:hAnsi="宋体" w:cs="宋体"/>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本项目合同，并保留要求中标人赔偿全部损失的权利，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事先同意，中标人不得将研究成果公开发表、内部刊用或用于其他任何项目，也不得将本项目的阶段性成果和/或最终成果文件及任何数据、资料、软件向任何其他方转让、授权任何其他方使用或用于本项目外的其他项目。如发生以上情况，中标人应向采购人支付本合同总价款20%的违约金。同时，采购人保留中标人赔偿全部损失的权利，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合理的律师费用、鉴定评估费用、调查费用、和解金额或生效法律文书中规定的赔偿金额。</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（五）</w:t>
      </w:r>
      <w:r>
        <w:rPr>
          <w:rFonts w:hint="eastAsia" w:ascii="宋体" w:hAnsi="宋体" w:cs="宋体"/>
          <w:b/>
          <w:bCs/>
          <w:sz w:val="24"/>
        </w:rPr>
        <w:t>保密条款</w:t>
      </w:r>
    </w:p>
    <w:p>
      <w:pPr>
        <w:widowControl/>
        <w:spacing w:line="360" w:lineRule="auto"/>
        <w:ind w:firstLine="480" w:firstLineChars="200"/>
        <w:rPr>
          <w:rFonts w:hint="eastAsia" w:ascii="宋体" w:hAnsi="宋体" w:cs="宋体"/>
          <w:sz w:val="24"/>
        </w:rPr>
      </w:pPr>
      <w:r>
        <w:rPr>
          <w:rFonts w:hint="eastAsia" w:ascii="宋体" w:hAnsi="宋体" w:cs="宋体"/>
          <w:sz w:val="24"/>
        </w:rPr>
        <w:t>1.中标人应以保密方式处理在编制本项目成果文件过程中自采购人、采购人工作人员或采购人关联机构获得的相关合同条文、计划或资料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2.中标人实施项目的程序应符合国家安全、保密的有关规定和标准。</w:t>
      </w:r>
    </w:p>
    <w:p>
      <w:pPr>
        <w:widowControl/>
        <w:spacing w:line="360" w:lineRule="auto"/>
        <w:ind w:firstLine="480" w:firstLineChars="200"/>
        <w:rPr>
          <w:rFonts w:hint="eastAsia" w:ascii="宋体" w:hAnsi="宋体" w:cs="宋体"/>
          <w:sz w:val="24"/>
        </w:rPr>
      </w:pPr>
      <w:r>
        <w:rPr>
          <w:rFonts w:hint="eastAsia" w:ascii="宋体" w:hAnsi="宋体" w:cs="宋体"/>
          <w:sz w:val="24"/>
        </w:rPr>
        <w:t>3.合同履行完毕，未经采购人的书面同意，中标人不得保存在履行合同过程中所获得或接触到的任何内部数据资料。</w:t>
      </w:r>
    </w:p>
    <w:p>
      <w:pPr>
        <w:widowControl/>
        <w:spacing w:line="360" w:lineRule="auto"/>
        <w:ind w:firstLine="480" w:firstLineChars="200"/>
        <w:rPr>
          <w:rFonts w:hint="eastAsia" w:ascii="宋体" w:hAnsi="宋体" w:cs="宋体"/>
          <w:sz w:val="24"/>
        </w:rPr>
      </w:pPr>
      <w:r>
        <w:rPr>
          <w:rFonts w:hint="eastAsia" w:ascii="宋体" w:hAnsi="宋体" w:cs="宋体"/>
          <w:sz w:val="24"/>
        </w:rPr>
        <w:t>4.上述保密义务不适用以下情况：</w:t>
      </w:r>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5.如中标人违反上述保密条款，采购人有权解除本合同，中标人应在合同解除通知发出之日起10日内向采购人支付本合同服务费总金额10%的违约金，如果违约金无法弥补采购人损失，采购人保留要求中标人赔偿全部损失的权利，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6.无论本合同或本合同其他条款是否有效、合同是否终止，本保密条款始终约束双方。国家秘密的保密期限由国家有关部门确定，工作秘密的保密期限由采购人确定。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（一）采购人的违约责任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1、采购人未按本合同约定支付合同价款，经中标人书面催告采购人并给予不少于5个工作日的履行期限后采购人仍未支付的，中标人有权自该期限届满之日起要求采购人支付该阶段合同价款每日0.5‰的逾期违约金，逾期违约金总额不超过合同总价款的10%。逾期超过30（个）工作日（含30个工作日）以上时，中标人有权暂停履行下阶段工作，并书面通知采购人。</w:t>
      </w:r>
    </w:p>
    <w:p>
      <w:pPr>
        <w:widowControl/>
        <w:spacing w:line="360" w:lineRule="auto"/>
        <w:ind w:firstLine="480" w:firstLineChars="200"/>
        <w:rPr>
          <w:rFonts w:hint="eastAsia" w:ascii="宋体" w:hAnsi="宋体" w:cs="宋体"/>
          <w:sz w:val="24"/>
        </w:rPr>
      </w:pPr>
      <w:r>
        <w:rPr>
          <w:rFonts w:hint="eastAsia" w:ascii="宋体" w:hAnsi="宋体" w:cs="宋体"/>
          <w:sz w:val="24"/>
        </w:rPr>
        <w:t>2、采购人无故拒绝或无正当理由拒绝项目验收或拒绝支付合同款项的，除应支付对应阶段的款项外，采购人应向中标人偿付合同总价款20%的违约金。</w:t>
      </w:r>
    </w:p>
    <w:p>
      <w:pPr>
        <w:widowControl/>
        <w:spacing w:line="360" w:lineRule="auto"/>
        <w:ind w:firstLine="480" w:firstLineChars="200"/>
        <w:rPr>
          <w:rFonts w:hint="eastAsia" w:ascii="宋体" w:hAnsi="宋体" w:cs="宋体"/>
          <w:sz w:val="24"/>
        </w:rPr>
      </w:pPr>
      <w:r>
        <w:rPr>
          <w:rFonts w:hint="eastAsia" w:ascii="宋体" w:hAnsi="宋体" w:cs="宋体"/>
          <w:sz w:val="24"/>
        </w:rPr>
        <w:t>3、如政策性原因导致本项目停工不属于采购人违约，采购人根据中标人实际完成工作结算统计服务费，采购人不另行支付额外费用，并不承担任何违约责任。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（二）中标人的违约责任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1、中标人无任何理由部分或全部不履行合同中应承担的义务时，中标人应按本合同总价款的20%向采购人支付违约金。  </w:t>
      </w:r>
    </w:p>
    <w:p>
      <w:pPr>
        <w:widowControl/>
        <w:spacing w:line="360" w:lineRule="auto"/>
        <w:ind w:firstLine="480" w:firstLineChars="200"/>
        <w:rPr>
          <w:rFonts w:hint="eastAsia" w:ascii="宋体" w:hAnsi="宋体" w:cs="宋体"/>
          <w:sz w:val="24"/>
        </w:rPr>
      </w:pPr>
      <w:r>
        <w:rPr>
          <w:rFonts w:hint="eastAsia" w:ascii="宋体" w:hAnsi="宋体" w:cs="宋体"/>
          <w:sz w:val="24"/>
        </w:rPr>
        <w:t>2、未经采购人书面许可，中标人不得将本合同项目与任何第三方合作，或将本合同标的全部或部分转委托给任何第三方。否则，采购人有权要求中标人终止与第三方的合同。中标人应承担因此而产生的相关责任，并向采购人支付本合同总额20%的违约金。</w:t>
      </w:r>
    </w:p>
    <w:p>
      <w:pPr>
        <w:widowControl/>
        <w:spacing w:line="360" w:lineRule="auto"/>
        <w:ind w:firstLine="480" w:firstLineChars="200"/>
        <w:rPr>
          <w:rFonts w:hint="eastAsia" w:ascii="宋体" w:hAnsi="宋体" w:cs="宋体"/>
          <w:sz w:val="24"/>
        </w:rPr>
      </w:pPr>
      <w:r>
        <w:rPr>
          <w:rFonts w:hint="eastAsia" w:ascii="宋体" w:hAnsi="宋体" w:cs="宋体"/>
          <w:sz w:val="24"/>
        </w:rPr>
        <w:t>3、本合同履行期间，因中标人原因，未能按规定时间完成工作的，每延误一天，采购人有权在尚未支付的合同款项中扣除该阶段合同价款的0.5‰。如中标人已完成阶段性成果且经采购人验收合格的，中标人有权要求采购人支付该阶段成果的费用。</w:t>
      </w:r>
    </w:p>
    <w:p>
      <w:pPr>
        <w:widowControl/>
        <w:spacing w:line="360" w:lineRule="auto"/>
        <w:ind w:firstLine="480" w:firstLineChars="200"/>
        <w:rPr>
          <w:rFonts w:hint="eastAsia" w:ascii="宋体" w:hAnsi="宋体" w:cs="宋体"/>
          <w:sz w:val="24"/>
        </w:rPr>
      </w:pPr>
      <w:r>
        <w:rPr>
          <w:rFonts w:hint="eastAsia" w:ascii="宋体" w:hAnsi="宋体" w:cs="宋体"/>
          <w:sz w:val="24"/>
        </w:rPr>
        <w:t>4、本合同履行期间，发生下述情形时，采购人有权解除本合同，中标人应向采购人支付合同总价款20%的违约金，采购人有权在支付中标人的任何款项中扣除该等违约金，同时，采购人保留要求中标人赔偿相应损失的权利，另外，中标人应将已完成的阶段性成果移交给采购人：</w:t>
      </w:r>
    </w:p>
    <w:p>
      <w:pPr>
        <w:widowControl/>
        <w:spacing w:line="360" w:lineRule="auto"/>
        <w:ind w:firstLine="480" w:firstLineChars="200"/>
        <w:rPr>
          <w:rFonts w:hint="eastAsia" w:ascii="宋体" w:hAnsi="宋体" w:cs="宋体"/>
          <w:sz w:val="24"/>
        </w:rPr>
      </w:pPr>
      <w:r>
        <w:rPr>
          <w:rFonts w:hint="eastAsia" w:ascii="宋体" w:hAnsi="宋体" w:cs="宋体"/>
          <w:sz w:val="24"/>
        </w:rPr>
        <w:t>（1）因中标人工作的错误或遗漏造成成果质量损失，且中标人未按采购人要求采取及时有效的补救措施的；</w:t>
      </w:r>
    </w:p>
    <w:p>
      <w:pPr>
        <w:widowControl/>
        <w:spacing w:line="360" w:lineRule="auto"/>
        <w:ind w:firstLine="480" w:firstLineChars="200"/>
        <w:rPr>
          <w:rFonts w:hint="eastAsia" w:ascii="宋体" w:hAnsi="宋体" w:cs="宋体"/>
          <w:sz w:val="24"/>
        </w:rPr>
      </w:pPr>
      <w:r>
        <w:rPr>
          <w:rFonts w:hint="eastAsia" w:ascii="宋体" w:hAnsi="宋体" w:cs="宋体"/>
          <w:sz w:val="24"/>
        </w:rPr>
        <w:t>（2）中标人未能按合同约定的日期（含协商延缓的日期）提交工作成果，延误时间超过30个工作日；或中标人虽如期提交阶段性成果和最终成果，但最终成果连续二次未能通过验收的；</w:t>
      </w:r>
    </w:p>
    <w:p>
      <w:pPr>
        <w:widowControl/>
        <w:spacing w:line="360" w:lineRule="auto"/>
        <w:ind w:firstLine="480" w:firstLineChars="200"/>
        <w:rPr>
          <w:rFonts w:hint="eastAsia" w:ascii="宋体" w:hAnsi="宋体" w:cs="宋体"/>
          <w:sz w:val="24"/>
        </w:rPr>
      </w:pPr>
      <w:r>
        <w:rPr>
          <w:rFonts w:hint="eastAsia" w:ascii="宋体" w:hAnsi="宋体" w:cs="宋体"/>
          <w:sz w:val="24"/>
        </w:rPr>
        <w:t>（3）发现中标人或中标人工作人员出现全部或部分丧失履行委托服务能力的情况，采购人有权通知中标人限期整改或更换工作人员，期限届满中标人并未进行改善</w:t>
      </w:r>
      <w:r>
        <w:rPr>
          <w:rFonts w:hint="eastAsia" w:ascii="宋体" w:hAnsi="宋体" w:cs="宋体"/>
          <w:bCs/>
          <w:sz w:val="24"/>
        </w:rPr>
        <w:t>或改善后仍无法履行服务</w:t>
      </w:r>
      <w:r>
        <w:rPr>
          <w:rFonts w:hint="eastAsia" w:ascii="宋体" w:hAnsi="宋体" w:cs="宋体"/>
          <w:sz w:val="24"/>
        </w:rPr>
        <w:t>的；</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sz w:val="24"/>
        </w:rPr>
        <w:t>（4）中标人</w:t>
      </w:r>
      <w:r>
        <w:rPr>
          <w:rFonts w:hint="eastAsia" w:ascii="宋体" w:hAnsi="宋体" w:cs="宋体"/>
          <w:bCs/>
          <w:sz w:val="24"/>
        </w:rPr>
        <w:t>不履行或不完全履行本合同第（五）条第二款项下义务的；</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（5）</w:t>
      </w:r>
      <w:r>
        <w:rPr>
          <w:rFonts w:hint="eastAsia" w:ascii="宋体" w:hAnsi="宋体" w:cs="宋体"/>
          <w:bCs/>
          <w:sz w:val="24"/>
          <w:lang w:val="en-US" w:eastAsia="zh-CN"/>
        </w:rPr>
        <w:t>中标人</w:t>
      </w:r>
      <w:r>
        <w:rPr>
          <w:rFonts w:hint="eastAsia" w:ascii="宋体" w:hAnsi="宋体" w:cs="宋体"/>
          <w:bCs/>
          <w:sz w:val="24"/>
        </w:rPr>
        <w:t>违反本合同项下保密条款的；</w:t>
      </w:r>
    </w:p>
    <w:p>
      <w:pPr>
        <w:tabs>
          <w:tab w:val="left" w:pos="4267"/>
        </w:tabs>
        <w:spacing w:line="360" w:lineRule="auto"/>
        <w:ind w:firstLine="480" w:firstLineChars="200"/>
        <w:outlineLvl w:val="0"/>
        <w:rPr>
          <w:rFonts w:hint="eastAsia" w:ascii="宋体" w:hAnsi="宋体" w:cs="宋体"/>
          <w:bCs/>
          <w:sz w:val="24"/>
        </w:rPr>
      </w:pPr>
      <w:r>
        <w:rPr>
          <w:rFonts w:hint="eastAsia" w:ascii="宋体" w:hAnsi="宋体" w:cs="宋体"/>
          <w:bCs/>
          <w:sz w:val="24"/>
        </w:rPr>
        <w:t>（6）</w:t>
      </w:r>
      <w:r>
        <w:rPr>
          <w:rFonts w:hint="eastAsia" w:ascii="宋体" w:hAnsi="宋体" w:cs="宋体"/>
          <w:bCs/>
          <w:sz w:val="24"/>
          <w:lang w:val="en-US" w:eastAsia="zh-CN"/>
        </w:rPr>
        <w:t>中标人</w:t>
      </w:r>
      <w:r>
        <w:rPr>
          <w:rFonts w:hint="eastAsia" w:ascii="宋体" w:hAnsi="宋体" w:cs="宋体"/>
          <w:bCs/>
          <w:sz w:val="24"/>
        </w:rPr>
        <w:t>明确表示或者以自己的行为表明不履行本合同的。</w:t>
      </w: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38" w:name="_Toc6457"/>
      <w:r>
        <w:rPr>
          <w:rFonts w:hint="eastAsia" w:ascii="宋体" w:cs="宋体"/>
          <w:b/>
          <w:bCs/>
          <w:sz w:val="24"/>
          <w:highlight w:val="none"/>
        </w:rPr>
        <w:t>第六章 投标文件初审及招标项目评分表</w:t>
      </w:r>
      <w:bookmarkEnd w:id="38"/>
    </w:p>
    <w:p>
      <w:pPr>
        <w:autoSpaceDE w:val="0"/>
        <w:autoSpaceDN w:val="0"/>
        <w:adjustRightInd w:val="0"/>
        <w:spacing w:line="240" w:lineRule="auto"/>
        <w:jc w:val="center"/>
        <w:outlineLvl w:val="1"/>
        <w:rPr>
          <w:rFonts w:hint="eastAsia" w:ascii="宋体" w:hAnsi="宋体" w:cs="宋体"/>
          <w:b/>
          <w:bCs/>
          <w:color w:val="auto"/>
          <w:kern w:val="0"/>
          <w:sz w:val="36"/>
          <w:szCs w:val="36"/>
        </w:rPr>
      </w:pPr>
      <w:r>
        <w:rPr>
          <w:rFonts w:hint="eastAsia" w:ascii="宋体" w:hAnsi="宋体" w:cs="宋体"/>
          <w:b/>
          <w:bCs/>
          <w:color w:val="auto"/>
          <w:kern w:val="0"/>
          <w:sz w:val="36"/>
          <w:szCs w:val="36"/>
        </w:rPr>
        <w:t>投标文件初审表（不可偏离条款）</w:t>
      </w:r>
    </w:p>
    <w:p>
      <w:pPr>
        <w:spacing w:line="360" w:lineRule="auto"/>
        <w:jc w:val="center"/>
        <w:outlineLvl w:val="1"/>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360" w:lineRule="auto"/>
        <w:rPr>
          <w:rFonts w:ascii="宋体" w:hAnsi="宋体" w:cs="宋体"/>
          <w:sz w:val="24"/>
          <w:highlight w:val="none"/>
        </w:rPr>
      </w:pPr>
    </w:p>
    <w:p>
      <w:pPr>
        <w:spacing w:line="360" w:lineRule="auto"/>
        <w:jc w:val="center"/>
        <w:outlineLvl w:val="1"/>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3"/>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1168"/>
        <w:gridCol w:w="5907"/>
        <w:gridCol w:w="750"/>
        <w:gridCol w:w="1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7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分值</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vAlign w:val="center"/>
          </w:tcPr>
          <w:p>
            <w:pPr>
              <w:pStyle w:val="11"/>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11"/>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投标报价得分=(评标基准价／投标报价)×10</w:t>
            </w:r>
          </w:p>
          <w:p>
            <w:pPr>
              <w:keepNext w:val="0"/>
              <w:keepLines w:val="0"/>
              <w:numPr>
                <w:ilvl w:val="0"/>
                <w:numId w:val="10"/>
              </w:numPr>
              <w:suppressLineNumbers w:val="0"/>
              <w:spacing w:before="0" w:beforeAutospacing="0" w:after="0" w:afterAutospacing="0" w:line="360" w:lineRule="auto"/>
              <w:ind w:left="250" w:right="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keepNext w:val="0"/>
              <w:keepLines w:val="0"/>
              <w:numPr>
                <w:ilvl w:val="0"/>
                <w:numId w:val="10"/>
              </w:numPr>
              <w:suppressLineNumbers w:val="0"/>
              <w:spacing w:before="0" w:beforeAutospacing="0" w:after="0" w:afterAutospacing="0" w:line="360" w:lineRule="auto"/>
              <w:ind w:left="250" w:right="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1"/>
              <w:spacing w:line="360" w:lineRule="auto"/>
              <w:ind w:left="216" w:leftChars="103"/>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2"/>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7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FF0000"/>
                <w:sz w:val="24"/>
                <w:lang w:val="zh-CN"/>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14:textFill>
                  <w14:solidFill>
                    <w14:schemeClr w14:val="tx1"/>
                  </w14:solidFill>
                </w14:textFill>
              </w:rPr>
              <w:t>50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7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分值</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投标人资质情况</w:t>
            </w:r>
          </w:p>
        </w:tc>
        <w:tc>
          <w:tcPr>
            <w:tcW w:w="5907" w:type="dxa"/>
            <w:shd w:val="clear" w:color="auto" w:fill="auto"/>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评分内容：</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投标人具有</w:t>
            </w:r>
            <w:r>
              <w:rPr>
                <w:rFonts w:hint="eastAsia" w:ascii="宋体" w:hAnsi="宋体" w:cs="宋体"/>
                <w:color w:val="000000" w:themeColor="text1"/>
                <w:sz w:val="24"/>
                <w:highlight w:val="none"/>
                <w:lang w:val="zh-CN"/>
                <w14:textFill>
                  <w14:solidFill>
                    <w14:schemeClr w14:val="tx1"/>
                  </w14:solidFill>
                </w14:textFill>
              </w:rPr>
              <w:t>合规管理体系认证证书、</w:t>
            </w:r>
            <w:r>
              <w:rPr>
                <w:rFonts w:hint="eastAsia" w:ascii="宋体" w:hAnsi="宋体" w:cs="宋体"/>
                <w:color w:val="000000" w:themeColor="text1"/>
                <w:sz w:val="24"/>
                <w:highlight w:val="none"/>
                <w14:textFill>
                  <w14:solidFill>
                    <w14:schemeClr w14:val="tx1"/>
                  </w14:solidFill>
                </w14:textFill>
              </w:rPr>
              <w:t>履约能力评价服务认证证书</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售后服务认证证书</w:t>
            </w:r>
            <w:r>
              <w:rPr>
                <w:rFonts w:hint="eastAsia" w:ascii="宋体" w:hAnsi="宋体" w:cs="宋体"/>
                <w:color w:val="000000" w:themeColor="text1"/>
                <w:sz w:val="24"/>
                <w:lang w:val="zh-CN"/>
                <w14:textFill>
                  <w14:solidFill>
                    <w14:schemeClr w14:val="tx1"/>
                  </w14:solidFill>
                </w14:textFill>
              </w:rPr>
              <w:t>，</w:t>
            </w:r>
            <w:bookmarkStart w:id="49" w:name="_GoBack"/>
            <w:r>
              <w:rPr>
                <w:rFonts w:hint="eastAsia" w:ascii="宋体" w:hAnsi="宋体" w:cs="宋体"/>
                <w:color w:val="000000" w:themeColor="text1"/>
                <w:sz w:val="24"/>
                <w:lang w:val="zh-CN"/>
                <w14:textFill>
                  <w14:solidFill>
                    <w14:schemeClr w14:val="tx1"/>
                  </w14:solidFill>
                </w14:textFill>
              </w:rPr>
              <w:t>每个</w:t>
            </w:r>
            <w:bookmarkEnd w:id="49"/>
            <w:r>
              <w:rPr>
                <w:rFonts w:hint="eastAsia" w:ascii="宋体" w:hAnsi="宋体" w:cs="宋体"/>
                <w:color w:val="000000" w:themeColor="text1"/>
                <w:sz w:val="24"/>
                <w:lang w:val="zh-CN"/>
                <w14:textFill>
                  <w14:solidFill>
                    <w14:schemeClr w14:val="tx1"/>
                  </w14:solidFill>
                </w14:textFill>
              </w:rPr>
              <w:t>得1分，最高得3分。</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评分依据：</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投标人须提供以上在有效期内的认证证书和全国认证认可信息公共服务平台（认e云）（http://cx.cnca.cn/）的认证信息截图（须体现网站信息）并加盖公章，</w:t>
            </w:r>
            <w:r>
              <w:rPr>
                <w:rFonts w:hint="eastAsia" w:ascii="宋体" w:hAnsi="宋体" w:cs="宋体"/>
                <w:color w:val="000000" w:themeColor="text1"/>
                <w:sz w:val="24"/>
                <w14:textFill>
                  <w14:solidFill>
                    <w14:schemeClr w14:val="tx1"/>
                  </w14:solidFill>
                </w14:textFill>
              </w:rPr>
              <w:t>且认证范围须体现数据采集及分析。</w:t>
            </w:r>
            <w:r>
              <w:rPr>
                <w:rFonts w:hint="eastAsia" w:ascii="宋体" w:hAnsi="宋体" w:cs="宋体"/>
                <w:color w:val="000000" w:themeColor="text1"/>
                <w:sz w:val="24"/>
                <w:lang w:val="zh-CN"/>
                <w14:textFill>
                  <w14:solidFill>
                    <w14:schemeClr w14:val="tx1"/>
                  </w14:solidFill>
                </w14:textFill>
              </w:rPr>
              <w:t>评分中出现无证明资料或专家无法凭所提供资料判断是否得分的情况，一律作不得分处理</w:t>
            </w:r>
            <w:r>
              <w:rPr>
                <w:rFonts w:hint="eastAsia" w:ascii="宋体" w:hAnsi="宋体" w:cs="宋体"/>
                <w:color w:val="auto"/>
                <w:sz w:val="24"/>
                <w:lang w:val="zh-CN"/>
              </w:rPr>
              <w:t>。</w:t>
            </w:r>
            <w:r>
              <w:rPr>
                <w:rFonts w:hint="eastAsia" w:ascii="宋体" w:hAnsi="宋体" w:cs="宋体"/>
                <w:color w:val="auto"/>
                <w:sz w:val="24"/>
              </w:rPr>
              <w:t>由于成立时间不足三个月导致不能办理相应认证证书的，提供“成立时间不足三个月，不能办理认证”的书面证明材料，按已经获得计分。</w:t>
            </w:r>
          </w:p>
        </w:tc>
        <w:tc>
          <w:tcPr>
            <w:tcW w:w="750"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投标人服务能力</w:t>
            </w:r>
          </w:p>
        </w:tc>
        <w:tc>
          <w:tcPr>
            <w:tcW w:w="5907" w:type="dxa"/>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评审内容：</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1、承接过</w:t>
            </w:r>
            <w:r>
              <w:rPr>
                <w:rFonts w:hint="eastAsia" w:ascii="宋体" w:hAnsi="宋体" w:cs="宋体"/>
                <w:color w:val="000000" w:themeColor="text1"/>
                <w:sz w:val="24"/>
                <w:highlight w:val="none"/>
                <w:lang w:val="en-US" w:eastAsia="zh-CN"/>
                <w14:textFill>
                  <w14:solidFill>
                    <w14:schemeClr w14:val="tx1"/>
                  </w14:solidFill>
                </w14:textFill>
              </w:rPr>
              <w:t>同类</w:t>
            </w:r>
            <w:r>
              <w:rPr>
                <w:rFonts w:hint="eastAsia" w:ascii="宋体" w:hAnsi="宋体" w:cs="宋体"/>
                <w:color w:val="000000" w:themeColor="text1"/>
                <w:sz w:val="24"/>
                <w:highlight w:val="none"/>
                <w:lang w:val="zh-CN"/>
                <w14:textFill>
                  <w14:solidFill>
                    <w14:schemeClr w14:val="tx1"/>
                  </w14:solidFill>
                </w14:textFill>
              </w:rPr>
              <w:t>统计分析类或统计服务类项目的，每1个得1分，最高得6分；</w:t>
            </w:r>
          </w:p>
          <w:p>
            <w:pPr>
              <w:keepNext w:val="0"/>
              <w:keepLines w:val="0"/>
              <w:widowControl/>
              <w:numPr>
                <w:ilvl w:val="255"/>
                <w:numId w:val="0"/>
              </w:numPr>
              <w:suppressLineNumbers w:val="0"/>
              <w:spacing w:before="0" w:beforeAutospacing="0" w:after="0" w:afterAutospacing="0" w:line="360" w:lineRule="auto"/>
              <w:ind w:left="0" w:right="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承接过</w:t>
            </w:r>
            <w:r>
              <w:rPr>
                <w:rFonts w:hint="eastAsia" w:ascii="宋体" w:hAnsi="宋体" w:cs="宋体"/>
                <w:color w:val="000000" w:themeColor="text1"/>
                <w:sz w:val="24"/>
                <w:highlight w:val="none"/>
                <w:lang w:val="en-US" w:eastAsia="zh-CN"/>
                <w14:textFill>
                  <w14:solidFill>
                    <w14:schemeClr w14:val="tx1"/>
                  </w14:solidFill>
                </w14:textFill>
              </w:rPr>
              <w:t>同类</w:t>
            </w:r>
            <w:r>
              <w:rPr>
                <w:rFonts w:hint="eastAsia" w:ascii="宋体" w:hAnsi="宋体" w:cs="宋体"/>
                <w:color w:val="000000" w:themeColor="text1"/>
                <w:sz w:val="24"/>
                <w:highlight w:val="none"/>
                <w:lang w:val="zh-CN"/>
                <w14:textFill>
                  <w14:solidFill>
                    <w14:schemeClr w14:val="tx1"/>
                  </w14:solidFill>
                </w14:textFill>
              </w:rPr>
              <w:t>与金融</w:t>
            </w:r>
            <w:r>
              <w:rPr>
                <w:rFonts w:hint="eastAsia" w:ascii="宋体" w:hAnsi="宋体" w:cs="宋体"/>
                <w:color w:val="000000" w:themeColor="text1"/>
                <w:sz w:val="24"/>
                <w:highlight w:val="none"/>
                <w14:textFill>
                  <w14:solidFill>
                    <w14:schemeClr w14:val="tx1"/>
                  </w14:solidFill>
                </w14:textFill>
              </w:rPr>
              <w:t>业相关的</w:t>
            </w:r>
            <w:r>
              <w:rPr>
                <w:rFonts w:hint="eastAsia" w:ascii="宋体" w:hAnsi="宋体" w:cs="宋体"/>
                <w:color w:val="000000" w:themeColor="text1"/>
                <w:sz w:val="24"/>
                <w:highlight w:val="none"/>
                <w:lang w:val="zh-CN"/>
                <w14:textFill>
                  <w14:solidFill>
                    <w14:schemeClr w14:val="tx1"/>
                  </w14:solidFill>
                </w14:textFill>
              </w:rPr>
              <w:t>分析类或数据服务类项目的，每个得</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分，最高得</w:t>
            </w: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分。</w:t>
            </w:r>
          </w:p>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FF0000"/>
                <w:sz w:val="24"/>
                <w:lang w:val="en-US" w:eastAsia="zh-CN"/>
              </w:rPr>
            </w:pPr>
            <w:r>
              <w:rPr>
                <w:rFonts w:hint="eastAsia" w:ascii="宋体" w:hAnsi="宋体" w:cs="宋体"/>
                <w:color w:val="000000" w:themeColor="text1"/>
                <w:sz w:val="24"/>
                <w:highlight w:val="none"/>
                <w:lang w:val="zh-CN"/>
                <w14:textFill>
                  <w14:solidFill>
                    <w14:schemeClr w14:val="tx1"/>
                  </w14:solidFill>
                </w14:textFill>
              </w:rPr>
              <w:t>以上2项累计得分，最高得</w:t>
            </w:r>
            <w:r>
              <w:rPr>
                <w:rFonts w:hint="eastAsia"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lang w:val="zh-CN"/>
                <w14:textFill>
                  <w14:solidFill>
                    <w14:schemeClr w14:val="tx1"/>
                  </w14:solidFill>
                </w14:textFill>
              </w:rPr>
              <w:t>分。</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评分依据：</w:t>
            </w:r>
          </w:p>
          <w:p>
            <w:pPr>
              <w:keepNext w:val="0"/>
              <w:keepLines w:val="0"/>
              <w:suppressLineNumbers w:val="0"/>
              <w:spacing w:before="0" w:beforeAutospacing="0" w:after="0" w:afterAutospacing="0" w:line="360" w:lineRule="auto"/>
              <w:ind w:left="0" w:right="0"/>
              <w:jc w:val="left"/>
              <w:rPr>
                <w:rFonts w:hint="eastAsia" w:ascii="宋体" w:hAnsi="宋体" w:cs="宋体"/>
                <w:color w:val="FF0000"/>
                <w:sz w:val="24"/>
                <w:lang w:val="zh-CN"/>
              </w:rPr>
            </w:pPr>
            <w:r>
              <w:rPr>
                <w:rFonts w:hint="eastAsia" w:ascii="宋体" w:hAnsi="宋体" w:cs="宋体"/>
                <w:color w:val="000000" w:themeColor="text1"/>
                <w:sz w:val="24"/>
                <w:lang w:val="zh-CN"/>
                <w14:textFill>
                  <w14:solidFill>
                    <w14:schemeClr w14:val="tx1"/>
                  </w14:solidFill>
                </w14:textFill>
              </w:rPr>
              <w:t>投标人须提供合同关键页（包含</w:t>
            </w:r>
            <w:r>
              <w:rPr>
                <w:rFonts w:hint="eastAsia" w:ascii="宋体" w:hAnsi="宋体" w:cs="宋体"/>
                <w:color w:val="000000" w:themeColor="text1"/>
                <w:sz w:val="24"/>
                <w:lang w:val="en-US" w:eastAsia="zh-CN"/>
                <w14:textFill>
                  <w14:solidFill>
                    <w14:schemeClr w14:val="tx1"/>
                  </w14:solidFill>
                </w14:textFill>
              </w:rPr>
              <w:t>但不限于</w:t>
            </w:r>
            <w:r>
              <w:rPr>
                <w:rFonts w:hint="eastAsia" w:ascii="宋体" w:hAnsi="宋体" w:cs="宋体"/>
                <w:color w:val="000000" w:themeColor="text1"/>
                <w:sz w:val="24"/>
                <w:lang w:val="zh-CN"/>
                <w14:textFill>
                  <w14:solidFill>
                    <w14:schemeClr w14:val="tx1"/>
                  </w14:solidFill>
                </w14:textFill>
              </w:rPr>
              <w:t>合同首页、服务内容页和落款盖章页）加盖投标人公章。评分中出现无证明资料或专家无法凭所提供资料判断是否得分的情况，一律不得分。</w:t>
            </w:r>
          </w:p>
        </w:tc>
        <w:tc>
          <w:tcPr>
            <w:tcW w:w="750"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项目负责人（仅限1人）</w:t>
            </w:r>
          </w:p>
        </w:tc>
        <w:tc>
          <w:tcPr>
            <w:tcW w:w="5907" w:type="dxa"/>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评分内容：</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项目负责人的工作经验不少于20年（从毕业时间开始算起，</w:t>
            </w:r>
            <w:r>
              <w:rPr>
                <w:rFonts w:hint="eastAsia" w:ascii="宋体" w:hAnsi="宋体" w:cs="宋体"/>
                <w:color w:val="000000" w:themeColor="text1"/>
                <w:sz w:val="24"/>
                <w:lang w:val="en-US" w:eastAsia="zh-CN"/>
                <w14:textFill>
                  <w14:solidFill>
                    <w14:schemeClr w14:val="tx1"/>
                  </w14:solidFill>
                </w14:textFill>
              </w:rPr>
              <w:t>以毕业证书毕业年限为准</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eastAsia="zh-Hans"/>
                <w14:textFill>
                  <w14:solidFill>
                    <w14:schemeClr w14:val="tx1"/>
                  </w14:solidFill>
                </w14:textFill>
              </w:rPr>
              <w:t>，</w:t>
            </w:r>
            <w:r>
              <w:rPr>
                <w:rFonts w:hint="eastAsia" w:ascii="宋体" w:hAnsi="宋体" w:cs="宋体"/>
                <w:color w:val="000000" w:themeColor="text1"/>
                <w:sz w:val="24"/>
                <w:lang w:eastAsia="zh-Hans"/>
                <w14:textFill>
                  <w14:solidFill>
                    <w14:schemeClr w14:val="tx1"/>
                  </w14:solidFill>
                </w14:textFill>
              </w:rPr>
              <w:t>未达到要求的，此项不得分，在此基础上：</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1、具备高级统计师</w:t>
            </w:r>
            <w:r>
              <w:rPr>
                <w:rFonts w:hint="eastAsia" w:ascii="宋体" w:hAnsi="宋体" w:cs="宋体"/>
                <w:color w:val="000000" w:themeColor="text1"/>
                <w:sz w:val="24"/>
                <w14:textFill>
                  <w14:solidFill>
                    <w14:schemeClr w14:val="tx1"/>
                  </w14:solidFill>
                </w14:textFill>
              </w:rPr>
              <w:t>证书</w:t>
            </w:r>
            <w:r>
              <w:rPr>
                <w:rFonts w:hint="eastAsia" w:ascii="宋体" w:hAnsi="宋体" w:cs="宋体"/>
                <w:color w:val="000000" w:themeColor="text1"/>
                <w:sz w:val="24"/>
                <w:lang w:val="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得2分；</w:t>
            </w:r>
          </w:p>
          <w:p>
            <w:pPr>
              <w:keepNext w:val="0"/>
              <w:keepLines w:val="0"/>
              <w:suppressLineNumbers w:val="0"/>
              <w:spacing w:before="0" w:beforeAutospacing="0" w:after="0" w:afterAutospacing="0" w:line="360" w:lineRule="auto"/>
              <w:ind w:left="0" w:right="0"/>
              <w:rPr>
                <w:rFonts w:hint="eastAsia" w:ascii="宋体" w:hAnsi="宋体" w:cs="宋体"/>
                <w:color w:val="FF0000"/>
                <w:sz w:val="24"/>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获得过国家级颁发的统计类个人表彰（奖项）的，每提供1个得2分；</w:t>
            </w:r>
            <w:r>
              <w:rPr>
                <w:rFonts w:hint="eastAsia" w:ascii="宋体" w:hAnsi="宋体" w:cs="宋体"/>
                <w:color w:val="000000" w:themeColor="text1"/>
                <w:sz w:val="24"/>
                <w:lang w:val="zh-CN"/>
                <w14:textFill>
                  <w14:solidFill>
                    <w14:schemeClr w14:val="tx1"/>
                  </w14:solidFill>
                </w14:textFill>
              </w:rPr>
              <w:t>获得过省级（</w:t>
            </w:r>
            <w:r>
              <w:rPr>
                <w:rFonts w:hint="eastAsia" w:ascii="宋体" w:hAnsi="宋体" w:cs="宋体"/>
                <w:color w:val="000000" w:themeColor="text1"/>
                <w:sz w:val="24"/>
                <w14:textFill>
                  <w14:solidFill>
                    <w14:schemeClr w14:val="tx1"/>
                  </w14:solidFill>
                </w14:textFill>
              </w:rPr>
              <w:t>不</w:t>
            </w:r>
            <w:r>
              <w:rPr>
                <w:rFonts w:hint="eastAsia" w:ascii="宋体" w:hAnsi="宋体" w:cs="宋体"/>
                <w:color w:val="000000" w:themeColor="text1"/>
                <w:sz w:val="24"/>
                <w:lang w:val="zh-CN"/>
                <w14:textFill>
                  <w14:solidFill>
                    <w14:schemeClr w14:val="tx1"/>
                  </w14:solidFill>
                </w14:textFill>
              </w:rPr>
              <w:t>含副省级）</w:t>
            </w:r>
            <w:r>
              <w:rPr>
                <w:rFonts w:hint="eastAsia" w:ascii="宋体" w:hAnsi="宋体" w:cs="宋体"/>
                <w:color w:val="000000" w:themeColor="text1"/>
                <w:sz w:val="24"/>
                <w14:textFill>
                  <w14:solidFill>
                    <w14:schemeClr w14:val="tx1"/>
                  </w14:solidFill>
                </w14:textFill>
              </w:rPr>
              <w:t>颁发的统计类个人</w:t>
            </w:r>
            <w:r>
              <w:rPr>
                <w:rFonts w:hint="eastAsia" w:ascii="宋体" w:hAnsi="宋体" w:cs="宋体"/>
                <w:color w:val="000000" w:themeColor="text1"/>
                <w:sz w:val="24"/>
                <w:lang w:val="zh-CN"/>
                <w14:textFill>
                  <w14:solidFill>
                    <w14:schemeClr w14:val="tx1"/>
                  </w14:solidFill>
                </w14:textFill>
              </w:rPr>
              <w:t>表彰（</w:t>
            </w:r>
            <w:r>
              <w:rPr>
                <w:rFonts w:hint="eastAsia" w:ascii="宋体" w:hAnsi="宋体" w:cs="宋体"/>
                <w:color w:val="000000" w:themeColor="text1"/>
                <w:sz w:val="24"/>
                <w14:textFill>
                  <w14:solidFill>
                    <w14:schemeClr w14:val="tx1"/>
                  </w14:solidFill>
                </w14:textFill>
              </w:rPr>
              <w:t>奖项</w:t>
            </w:r>
            <w:r>
              <w:rPr>
                <w:rFonts w:hint="eastAsia" w:ascii="宋体" w:hAnsi="宋体" w:cs="宋体"/>
                <w:color w:val="000000" w:themeColor="text1"/>
                <w:sz w:val="24"/>
                <w:lang w:val="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每提供1个</w:t>
            </w:r>
            <w:r>
              <w:rPr>
                <w:rFonts w:hint="eastAsia" w:ascii="宋体" w:hAnsi="宋体" w:cs="宋体"/>
                <w:color w:val="000000" w:themeColor="text1"/>
                <w:sz w:val="24"/>
                <w:lang w:val="zh-CN"/>
                <w14:textFill>
                  <w14:solidFill>
                    <w14:schemeClr w14:val="tx1"/>
                  </w14:solidFill>
                </w14:textFill>
              </w:rPr>
              <w:t>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获得过市级颁发的统计类个人</w:t>
            </w:r>
            <w:r>
              <w:rPr>
                <w:rFonts w:hint="eastAsia" w:ascii="宋体" w:hAnsi="宋体" w:cs="宋体"/>
                <w:color w:val="000000" w:themeColor="text1"/>
                <w:sz w:val="24"/>
                <w:lang w:val="zh-CN"/>
                <w14:textFill>
                  <w14:solidFill>
                    <w14:schemeClr w14:val="tx1"/>
                  </w14:solidFill>
                </w14:textFill>
              </w:rPr>
              <w:t>表彰（</w:t>
            </w:r>
            <w:r>
              <w:rPr>
                <w:rFonts w:hint="eastAsia" w:ascii="宋体" w:hAnsi="宋体" w:cs="宋体"/>
                <w:color w:val="000000" w:themeColor="text1"/>
                <w:sz w:val="24"/>
                <w14:textFill>
                  <w14:solidFill>
                    <w14:schemeClr w14:val="tx1"/>
                  </w14:solidFill>
                </w14:textFill>
              </w:rPr>
              <w:t>奖项</w:t>
            </w:r>
            <w:r>
              <w:rPr>
                <w:rFonts w:hint="eastAsia" w:ascii="宋体" w:hAnsi="宋体" w:cs="宋体"/>
                <w:color w:val="000000" w:themeColor="text1"/>
                <w:sz w:val="24"/>
                <w:lang w:val="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每提供1个得0.5分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按最优得分，同一项目</w:t>
            </w:r>
            <w:r>
              <w:rPr>
                <w:rFonts w:hint="eastAsia" w:ascii="宋体" w:hAnsi="宋体" w:cs="宋体"/>
                <w:color w:val="000000" w:themeColor="text1"/>
                <w:sz w:val="24"/>
                <w:lang w:val="en-US" w:eastAsia="zh-CN"/>
                <w14:textFill>
                  <w14:solidFill>
                    <w14:schemeClr w14:val="tx1"/>
                  </w14:solidFill>
                </w14:textFill>
              </w:rPr>
              <w:t>获得多个奖项</w:t>
            </w:r>
            <w:r>
              <w:rPr>
                <w:rFonts w:hint="eastAsia" w:ascii="宋体" w:hAnsi="宋体" w:cs="宋体"/>
                <w:color w:val="000000" w:themeColor="text1"/>
                <w:sz w:val="24"/>
                <w14:textFill>
                  <w14:solidFill>
                    <w14:schemeClr w14:val="tx1"/>
                  </w14:solidFill>
                </w14:textFill>
              </w:rPr>
              <w:t>不可重复得分，本项最高得10分；</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以上</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项累计得分，最高得</w:t>
            </w: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zh-CN"/>
                <w14:textFill>
                  <w14:solidFill>
                    <w14:schemeClr w14:val="tx1"/>
                  </w14:solidFill>
                </w14:textFill>
              </w:rPr>
              <w:t>分。</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评分依据：</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投标人须提供</w:t>
            </w:r>
            <w:r>
              <w:rPr>
                <w:rFonts w:hint="eastAsia" w:ascii="宋体" w:hAnsi="宋体" w:cs="宋体"/>
                <w:color w:val="000000" w:themeColor="text1"/>
                <w:sz w:val="24"/>
                <w:lang w:val="en-US" w:eastAsia="zh-CN"/>
                <w14:textFill>
                  <w14:solidFill>
                    <w14:schemeClr w14:val="tx1"/>
                  </w14:solidFill>
                </w14:textFill>
              </w:rPr>
              <w:t>毕业证书、</w:t>
            </w:r>
            <w:r>
              <w:rPr>
                <w:rFonts w:hint="eastAsia" w:ascii="宋体" w:hAnsi="宋体" w:cs="宋体"/>
                <w:color w:val="000000" w:themeColor="text1"/>
                <w:sz w:val="24"/>
                <w:lang w:val="zh-CN"/>
                <w14:textFill>
                  <w14:solidFill>
                    <w14:schemeClr w14:val="tx1"/>
                  </w14:solidFill>
                </w14:textFill>
              </w:rPr>
              <w:t>职称证书、</w:t>
            </w:r>
            <w:r>
              <w:rPr>
                <w:rFonts w:hint="eastAsia" w:ascii="宋体" w:hAnsi="宋体" w:cs="宋体"/>
                <w:color w:val="000000" w:themeColor="text1"/>
                <w:sz w:val="24"/>
                <w14:textFill>
                  <w14:solidFill>
                    <w14:schemeClr w14:val="tx1"/>
                  </w14:solidFill>
                </w14:textFill>
              </w:rPr>
              <w:t>表彰（奖项）</w:t>
            </w:r>
            <w:r>
              <w:rPr>
                <w:rFonts w:hint="eastAsia" w:ascii="宋体" w:hAnsi="宋体" w:cs="宋体"/>
                <w:color w:val="000000" w:themeColor="text1"/>
                <w:sz w:val="24"/>
                <w:lang w:val="zh-CN"/>
                <w14:textFill>
                  <w14:solidFill>
                    <w14:schemeClr w14:val="tx1"/>
                  </w14:solidFill>
                </w14:textFill>
              </w:rPr>
              <w:t>证书</w:t>
            </w:r>
            <w:r>
              <w:rPr>
                <w:rFonts w:hint="eastAsia" w:ascii="宋体" w:hAnsi="宋体" w:cs="宋体"/>
                <w:color w:val="000000" w:themeColor="text1"/>
                <w:sz w:val="24"/>
                <w14:textFill>
                  <w14:solidFill>
                    <w14:schemeClr w14:val="tx1"/>
                  </w14:solidFill>
                </w14:textFill>
              </w:rPr>
              <w:t>及</w:t>
            </w:r>
            <w:r>
              <w:rPr>
                <w:rFonts w:hint="eastAsia" w:ascii="宋体" w:hAnsi="宋体" w:cs="宋体"/>
                <w:color w:val="000000" w:themeColor="text1"/>
                <w:sz w:val="24"/>
                <w:lang w:val="zh-CN"/>
                <w14:textFill>
                  <w14:solidFill>
                    <w14:schemeClr w14:val="tx1"/>
                  </w14:solidFill>
                </w14:textFill>
              </w:rPr>
              <w:t>近</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个月</w:t>
            </w:r>
            <w:r>
              <w:rPr>
                <w:rFonts w:hint="eastAsia" w:ascii="宋体" w:hAnsi="宋体" w:cs="宋体"/>
                <w:color w:val="000000" w:themeColor="text1"/>
                <w:sz w:val="24"/>
                <w14:textFill>
                  <w14:solidFill>
                    <w14:schemeClr w14:val="tx1"/>
                  </w14:solidFill>
                </w14:textFill>
              </w:rPr>
              <w:t>任意一个月</w:t>
            </w:r>
            <w:r>
              <w:rPr>
                <w:rFonts w:hint="eastAsia" w:ascii="宋体" w:hAnsi="宋体" w:cs="宋体"/>
                <w:color w:val="000000" w:themeColor="text1"/>
                <w:sz w:val="24"/>
                <w:lang w:val="zh-CN"/>
                <w14:textFill>
                  <w14:solidFill>
                    <w14:schemeClr w14:val="tx1"/>
                  </w14:solidFill>
                </w14:textFill>
              </w:rPr>
              <w:t>社保证明并加盖公章（如供应商为新成立单位且成立时间不足一个月的，可提供加盖公章的情况说明亦视为符合。如为退休返聘人员则提供劳动合同或返聘协议），</w:t>
            </w:r>
            <w:r>
              <w:rPr>
                <w:rFonts w:hint="eastAsia" w:ascii="宋体" w:hAnsi="宋体" w:cs="宋体"/>
                <w:color w:val="000000" w:themeColor="text1"/>
                <w:sz w:val="24"/>
                <w14:textFill>
                  <w14:solidFill>
                    <w14:schemeClr w14:val="tx1"/>
                  </w14:solidFill>
                </w14:textFill>
              </w:rPr>
              <w:t>原件备查。以上证明材料均要求加盖投标人公章，原件备查。评分中出现无证明资料或专家无法凭所提供资料判断是否得分的情况，一律不得分。</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注：①国家级</w:t>
            </w:r>
            <w:r>
              <w:rPr>
                <w:rFonts w:hint="eastAsia" w:ascii="宋体" w:hAnsi="宋体" w:cs="宋体"/>
                <w:color w:val="000000" w:themeColor="text1"/>
                <w:sz w:val="24"/>
                <w14:textFill>
                  <w14:solidFill>
                    <w14:schemeClr w14:val="tx1"/>
                  </w14:solidFill>
                </w14:textFill>
              </w:rPr>
              <w:t>表彰（奖项）</w:t>
            </w:r>
            <w:r>
              <w:rPr>
                <w:rFonts w:hint="eastAsia" w:ascii="宋体" w:hAnsi="宋体" w:cs="宋体"/>
                <w:color w:val="000000" w:themeColor="text1"/>
                <w:sz w:val="24"/>
                <w:lang w:val="en-US" w:eastAsia="zh-CN"/>
                <w14:textFill>
                  <w14:solidFill>
                    <w14:schemeClr w14:val="tx1"/>
                  </w14:solidFill>
                </w14:textFill>
              </w:rPr>
              <w:t>要求颁发单位为国务院或其直属的国家机关（或事业单位）；②省级</w:t>
            </w:r>
            <w:r>
              <w:rPr>
                <w:rFonts w:hint="eastAsia" w:ascii="宋体" w:hAnsi="宋体" w:cs="宋体"/>
                <w:color w:val="000000" w:themeColor="text1"/>
                <w:sz w:val="24"/>
                <w14:textFill>
                  <w14:solidFill>
                    <w14:schemeClr w14:val="tx1"/>
                  </w14:solidFill>
                </w14:textFill>
              </w:rPr>
              <w:t>表彰（奖项）</w:t>
            </w:r>
            <w:r>
              <w:rPr>
                <w:rFonts w:hint="eastAsia" w:ascii="宋体" w:hAnsi="宋体" w:cs="宋体"/>
                <w:color w:val="000000" w:themeColor="text1"/>
                <w:sz w:val="24"/>
                <w:lang w:val="en-US" w:eastAsia="zh-CN"/>
                <w14:textFill>
                  <w14:solidFill>
                    <w14:schemeClr w14:val="tx1"/>
                  </w14:solidFill>
                </w14:textFill>
              </w:rPr>
              <w:t>要求颁发单位为省政府（不含副省级政府）或其直属的国家机关（或事业单位）；③市级</w:t>
            </w:r>
            <w:r>
              <w:rPr>
                <w:rFonts w:hint="eastAsia" w:ascii="宋体" w:hAnsi="宋体" w:cs="宋体"/>
                <w:color w:val="000000" w:themeColor="text1"/>
                <w:sz w:val="24"/>
                <w14:textFill>
                  <w14:solidFill>
                    <w14:schemeClr w14:val="tx1"/>
                  </w14:solidFill>
                </w14:textFill>
              </w:rPr>
              <w:t>表彰（奖项）</w:t>
            </w:r>
            <w:r>
              <w:rPr>
                <w:rFonts w:hint="eastAsia" w:ascii="宋体" w:hAnsi="宋体" w:cs="宋体"/>
                <w:color w:val="000000" w:themeColor="text1"/>
                <w:sz w:val="24"/>
                <w:lang w:val="en-US" w:eastAsia="zh-CN"/>
                <w14:textFill>
                  <w14:solidFill>
                    <w14:schemeClr w14:val="tx1"/>
                  </w14:solidFill>
                </w14:textFill>
              </w:rPr>
              <w:t>要求颁发单位为市政府或其直属的国家机关（或事业单位）。</w:t>
            </w:r>
          </w:p>
        </w:tc>
        <w:tc>
          <w:tcPr>
            <w:tcW w:w="750"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拟安排的项目主要团队成员情况（项目负责人除外）</w:t>
            </w:r>
          </w:p>
        </w:tc>
        <w:tc>
          <w:tcPr>
            <w:tcW w:w="5907" w:type="dxa"/>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评分内容：</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1、具备金融</w:t>
            </w:r>
            <w:r>
              <w:rPr>
                <w:rFonts w:hint="eastAsia" w:ascii="宋体" w:hAnsi="宋体" w:cs="宋体"/>
                <w:color w:val="000000" w:themeColor="text1"/>
                <w:sz w:val="24"/>
                <w14:textFill>
                  <w14:solidFill>
                    <w14:schemeClr w14:val="tx1"/>
                  </w14:solidFill>
                </w14:textFill>
              </w:rPr>
              <w:t>或统计</w:t>
            </w:r>
            <w:r>
              <w:rPr>
                <w:rFonts w:hint="eastAsia" w:ascii="宋体" w:hAnsi="宋体" w:cs="宋体"/>
                <w:color w:val="000000" w:themeColor="text1"/>
                <w:sz w:val="24"/>
                <w:lang w:val="zh-CN"/>
                <w14:textFill>
                  <w14:solidFill>
                    <w14:schemeClr w14:val="tx1"/>
                  </w14:solidFill>
                </w14:textFill>
              </w:rPr>
              <w:t>类专业</w:t>
            </w:r>
            <w:r>
              <w:rPr>
                <w:rFonts w:hint="eastAsia" w:ascii="宋体" w:hAnsi="宋体" w:cs="宋体"/>
                <w:color w:val="000000" w:themeColor="text1"/>
                <w:sz w:val="24"/>
                <w14:textFill>
                  <w14:solidFill>
                    <w14:schemeClr w14:val="tx1"/>
                  </w14:solidFill>
                </w14:textFill>
              </w:rPr>
              <w:t>本科</w:t>
            </w:r>
            <w:r>
              <w:rPr>
                <w:rFonts w:hint="eastAsia" w:ascii="宋体" w:hAnsi="宋体" w:cs="宋体"/>
                <w:color w:val="000000" w:themeColor="text1"/>
                <w:sz w:val="24"/>
                <w:lang w:val="zh-CN"/>
                <w14:textFill>
                  <w14:solidFill>
                    <w14:schemeClr w14:val="tx1"/>
                  </w14:solidFill>
                </w14:textFill>
              </w:rPr>
              <w:t>或以上学历的，每</w:t>
            </w:r>
            <w:r>
              <w:rPr>
                <w:rFonts w:hint="eastAsia" w:ascii="宋体" w:hAnsi="宋体" w:cs="宋体"/>
                <w:color w:val="000000" w:themeColor="text1"/>
                <w:sz w:val="24"/>
                <w14:textFill>
                  <w14:solidFill>
                    <w14:schemeClr w14:val="tx1"/>
                  </w14:solidFill>
                </w14:textFill>
              </w:rPr>
              <w:t>1人</w:t>
            </w:r>
            <w:r>
              <w:rPr>
                <w:rFonts w:hint="eastAsia" w:ascii="宋体" w:hAnsi="宋体" w:cs="宋体"/>
                <w:color w:val="000000" w:themeColor="text1"/>
                <w:sz w:val="24"/>
                <w:lang w:val="zh-CN"/>
                <w14:textFill>
                  <w14:solidFill>
                    <w14:schemeClr w14:val="tx1"/>
                  </w14:solidFill>
                </w14:textFill>
              </w:rPr>
              <w:t>得1分，最高得3分；</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lang w:val="zh-CN"/>
                <w14:textFill>
                  <w14:solidFill>
                    <w14:schemeClr w14:val="tx1"/>
                  </w14:solidFill>
                </w14:textFill>
              </w:rPr>
            </w:pPr>
            <w:r>
              <w:rPr>
                <w:rFonts w:hint="default"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、项目团队成员中具备中级（</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lang w:val="zh-CN"/>
                <w14:textFill>
                  <w14:solidFill>
                    <w14:schemeClr w14:val="tx1"/>
                  </w14:solidFill>
                </w14:textFill>
              </w:rPr>
              <w:t>以上）统计师或中级（</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lang w:val="zh-CN"/>
                <w14:textFill>
                  <w14:solidFill>
                    <w14:schemeClr w14:val="tx1"/>
                  </w14:solidFill>
                </w14:textFill>
              </w:rPr>
              <w:t>以上）经济师职称的，每个得</w:t>
            </w:r>
            <w:r>
              <w:rPr>
                <w:rFonts w:hint="default"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分，最高得</w:t>
            </w:r>
            <w:r>
              <w:rPr>
                <w:rFonts w:hint="default" w:ascii="宋体" w:hAnsi="宋体" w:cs="宋体"/>
                <w:color w:val="000000" w:themeColor="text1"/>
                <w:sz w:val="24"/>
                <w:lang w:val="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lang w:val="zh-CN"/>
                <w14:textFill>
                  <w14:solidFill>
                    <w14:schemeClr w14:val="tx1"/>
                  </w14:solidFill>
                </w14:textFill>
              </w:rPr>
            </w:pPr>
            <w:r>
              <w:rPr>
                <w:rFonts w:hint="default" w:ascii="宋体" w:hAnsi="宋体" w:cs="宋体"/>
                <w:color w:val="000000" w:themeColor="text1"/>
                <w:sz w:val="24"/>
                <w:lang w:val="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、参与过</w:t>
            </w:r>
            <w:r>
              <w:rPr>
                <w:rFonts w:hint="eastAsia" w:ascii="宋体" w:hAnsi="宋体" w:cs="宋体"/>
                <w:strike/>
                <w:color w:val="000000" w:themeColor="text1"/>
                <w:sz w:val="24"/>
                <w:lang w:val="zh-CN"/>
                <w14:textFill>
                  <w14:solidFill>
                    <w14:schemeClr w14:val="tx1"/>
                  </w14:solidFill>
                </w14:textFill>
              </w:rPr>
              <w:t>与</w:t>
            </w:r>
            <w:r>
              <w:rPr>
                <w:rFonts w:hint="eastAsia" w:ascii="宋体" w:hAnsi="宋体" w:cs="宋体"/>
                <w:color w:val="000000" w:themeColor="text1"/>
                <w:sz w:val="24"/>
                <w:lang w:val="zh-CN"/>
                <w14:textFill>
                  <w14:solidFill>
                    <w14:schemeClr w14:val="tx1"/>
                  </w14:solidFill>
                </w14:textFill>
              </w:rPr>
              <w:t>国家级政府部门统计科学研究重点项目的，每</w:t>
            </w:r>
            <w:r>
              <w:rPr>
                <w:rFonts w:hint="default"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人得</w:t>
            </w:r>
            <w:r>
              <w:rPr>
                <w:rFonts w:hint="default" w:ascii="宋体" w:hAnsi="宋体" w:cs="宋体"/>
                <w:color w:val="000000" w:themeColor="text1"/>
                <w:sz w:val="24"/>
                <w:lang w:val="zh-CN"/>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分；参与过省级政府部门统计科学研究重点项目的，每</w:t>
            </w:r>
            <w:r>
              <w:rPr>
                <w:rFonts w:hint="default"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人得3分，最高得3分；本项最高得</w:t>
            </w:r>
            <w:r>
              <w:rPr>
                <w:rFonts w:hint="default" w:ascii="宋体" w:hAnsi="宋体" w:cs="宋体"/>
                <w:color w:val="000000" w:themeColor="text1"/>
                <w:sz w:val="24"/>
                <w:lang w:val="zh-CN"/>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分。</w:t>
            </w:r>
          </w:p>
          <w:p>
            <w:pPr>
              <w:keepNext w:val="0"/>
              <w:keepLines w:val="0"/>
              <w:suppressLineNumbers w:val="0"/>
              <w:spacing w:before="0" w:beforeAutospacing="0" w:after="0" w:afterAutospacing="0" w:line="360" w:lineRule="auto"/>
              <w:ind w:left="0" w:right="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以上</w:t>
            </w:r>
            <w:r>
              <w:rPr>
                <w:rFonts w:hint="default" w:ascii="宋体" w:hAnsi="宋体" w:cs="宋体"/>
                <w:color w:val="000000" w:themeColor="text1"/>
                <w:sz w:val="24"/>
                <w:lang w:val="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项累计得分，最高得</w:t>
            </w:r>
            <w:r>
              <w:rPr>
                <w:rFonts w:hint="default" w:ascii="宋体" w:hAnsi="宋体" w:cs="宋体"/>
                <w:color w:val="000000" w:themeColor="text1"/>
                <w:sz w:val="24"/>
                <w:lang w:val="zh-CN"/>
                <w14:textFill>
                  <w14:solidFill>
                    <w14:schemeClr w14:val="tx1"/>
                  </w14:solidFill>
                </w14:textFill>
              </w:rPr>
              <w:t>14</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同一项目多人参与，不可重复计分。</w:t>
            </w:r>
          </w:p>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同一人员同时满足以上要求，不可累计计分。</w:t>
            </w:r>
          </w:p>
          <w:p>
            <w:pPr>
              <w:keepNext w:val="0"/>
              <w:keepLines w:val="0"/>
              <w:widowControl/>
              <w:suppressLineNumbers w:val="0"/>
              <w:spacing w:before="0" w:beforeAutospacing="0" w:after="0" w:afterAutospacing="0" w:line="360" w:lineRule="auto"/>
              <w:ind w:left="0" w:right="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评分依据：</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投标人须提供</w:t>
            </w:r>
            <w:r>
              <w:rPr>
                <w:rFonts w:hint="eastAsia" w:ascii="宋体" w:hAnsi="宋体" w:cs="宋体"/>
                <w:color w:val="000000" w:themeColor="text1"/>
                <w:sz w:val="24"/>
                <w14:textFill>
                  <w14:solidFill>
                    <w14:schemeClr w14:val="tx1"/>
                  </w14:solidFill>
                </w14:textFill>
              </w:rPr>
              <w:t>毕业</w:t>
            </w:r>
            <w:r>
              <w:rPr>
                <w:rFonts w:hint="eastAsia" w:ascii="宋体" w:hAnsi="宋体" w:cs="宋体"/>
                <w:color w:val="000000" w:themeColor="text1"/>
                <w:sz w:val="24"/>
                <w:lang w:val="zh-CN"/>
                <w14:textFill>
                  <w14:solidFill>
                    <w14:schemeClr w14:val="tx1"/>
                  </w14:solidFill>
                </w14:textFill>
              </w:rPr>
              <w:t>证书</w:t>
            </w:r>
            <w:r>
              <w:rPr>
                <w:rFonts w:hint="eastAsia" w:ascii="宋体" w:hAnsi="宋体" w:cs="宋体"/>
                <w:color w:val="000000" w:themeColor="text1"/>
                <w:sz w:val="24"/>
                <w14:textFill>
                  <w14:solidFill>
                    <w14:schemeClr w14:val="tx1"/>
                  </w14:solidFill>
                </w14:textFill>
              </w:rPr>
              <w:t>复印件及学信网查询截图，原件备查。对于较早颁发的</w:t>
            </w:r>
            <w:r>
              <w:rPr>
                <w:rFonts w:hint="eastAsia" w:ascii="宋体" w:hAnsi="宋体" w:cs="宋体"/>
                <w:color w:val="000000" w:themeColor="text1"/>
                <w:sz w:val="24"/>
                <w:lang w:val="en-US" w:eastAsia="zh-CN"/>
                <w14:textFill>
                  <w14:solidFill>
                    <w14:schemeClr w14:val="tx1"/>
                  </w14:solidFill>
                </w14:textFill>
              </w:rPr>
              <w:t>毕业</w:t>
            </w:r>
            <w:r>
              <w:rPr>
                <w:rFonts w:hint="eastAsia" w:ascii="宋体" w:hAnsi="宋体" w:cs="宋体"/>
                <w:color w:val="000000" w:themeColor="text1"/>
                <w:sz w:val="24"/>
                <w14:textFill>
                  <w14:solidFill>
                    <w14:schemeClr w14:val="tx1"/>
                  </w14:solidFill>
                </w14:textFill>
              </w:rPr>
              <w:t>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r>
              <w:rPr>
                <w:rFonts w:hint="eastAsia" w:ascii="宋体" w:hAnsi="宋体" w:cs="宋体"/>
                <w:color w:val="000000" w:themeColor="text1"/>
                <w:sz w:val="24"/>
                <w:lang w:val="zh-CN"/>
                <w14:textFill>
                  <w14:solidFill>
                    <w14:schemeClr w14:val="tx1"/>
                  </w14:solidFill>
                </w14:textFill>
              </w:rPr>
              <w:t>、职称证书</w:t>
            </w:r>
            <w:r>
              <w:rPr>
                <w:rFonts w:hint="eastAsia" w:ascii="宋体" w:hAnsi="宋体" w:cs="宋体"/>
                <w:color w:val="000000" w:themeColor="text1"/>
                <w:sz w:val="24"/>
                <w14:textFill>
                  <w14:solidFill>
                    <w14:schemeClr w14:val="tx1"/>
                  </w14:solidFill>
                </w14:textFill>
              </w:rPr>
              <w:t>及</w:t>
            </w:r>
            <w:r>
              <w:rPr>
                <w:rFonts w:hint="eastAsia" w:ascii="宋体" w:hAnsi="宋体" w:cs="宋体"/>
                <w:color w:val="000000" w:themeColor="text1"/>
                <w:sz w:val="24"/>
                <w:lang w:val="zh-CN"/>
                <w14:textFill>
                  <w14:solidFill>
                    <w14:schemeClr w14:val="tx1"/>
                  </w14:solidFill>
                </w14:textFill>
              </w:rPr>
              <w:t>近</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个月</w:t>
            </w:r>
            <w:r>
              <w:rPr>
                <w:rFonts w:hint="eastAsia" w:ascii="宋体" w:hAnsi="宋体" w:cs="宋体"/>
                <w:color w:val="000000" w:themeColor="text1"/>
                <w:sz w:val="24"/>
                <w14:textFill>
                  <w14:solidFill>
                    <w14:schemeClr w14:val="tx1"/>
                  </w14:solidFill>
                </w14:textFill>
              </w:rPr>
              <w:t>任意一个月</w:t>
            </w:r>
            <w:r>
              <w:rPr>
                <w:rFonts w:hint="eastAsia" w:ascii="宋体" w:hAnsi="宋体" w:cs="宋体"/>
                <w:color w:val="000000" w:themeColor="text1"/>
                <w:sz w:val="24"/>
                <w:lang w:val="zh-CN"/>
                <w14:textFill>
                  <w14:solidFill>
                    <w14:schemeClr w14:val="tx1"/>
                  </w14:solidFill>
                </w14:textFill>
              </w:rPr>
              <w:t>社保证明并加盖公章（如供应商为新成立单位且成立时间不足一个月的，可提供加盖公章的情况说明亦视为符合，</w:t>
            </w:r>
            <w:r>
              <w:rPr>
                <w:rFonts w:hint="default" w:ascii="宋体" w:hAnsi="宋体" w:cs="宋体"/>
                <w:color w:val="auto"/>
                <w:sz w:val="24"/>
              </w:rPr>
              <w:t>如为退休返聘人员提供退休证明和聘用合同</w:t>
            </w:r>
            <w:r>
              <w:rPr>
                <w:rFonts w:hint="eastAsia" w:ascii="宋体" w:hAnsi="宋体" w:cs="宋体"/>
                <w:color w:val="000000" w:themeColor="text1"/>
                <w:sz w:val="24"/>
                <w:lang w:val="zh-CN"/>
                <w14:textFill>
                  <w14:solidFill>
                    <w14:schemeClr w14:val="tx1"/>
                  </w14:solidFill>
                </w14:textFill>
              </w:rPr>
              <w:t>亦视为符合），原件备查。</w:t>
            </w:r>
            <w:r>
              <w:rPr>
                <w:rFonts w:hint="eastAsia" w:ascii="宋体" w:hAnsi="宋体" w:cs="宋体"/>
                <w:color w:val="000000" w:themeColor="text1"/>
                <w:sz w:val="24"/>
                <w14:textFill>
                  <w14:solidFill>
                    <w14:schemeClr w14:val="tx1"/>
                  </w14:solidFill>
                </w14:textFill>
              </w:rPr>
              <w:t>以上证明材料均要求加盖投标人公章，原件备查。</w:t>
            </w:r>
            <w:r>
              <w:rPr>
                <w:rFonts w:hint="eastAsia" w:ascii="宋体" w:hAnsi="宋体" w:cs="宋体"/>
                <w:color w:val="000000" w:themeColor="text1"/>
                <w:sz w:val="24"/>
                <w:lang w:val="zh-CN"/>
                <w14:textFill>
                  <w14:solidFill>
                    <w14:schemeClr w14:val="tx1"/>
                  </w14:solidFill>
                </w14:textFill>
              </w:rPr>
              <w:t>评分中出现无证明资料或专家无法凭所提供资料判断是否得分的情况，一律不得分。</w:t>
            </w:r>
          </w:p>
          <w:p>
            <w:pPr>
              <w:keepNext w:val="0"/>
              <w:keepLines w:val="0"/>
              <w:suppressLineNumbers w:val="0"/>
              <w:tabs>
                <w:tab w:val="left" w:pos="4267"/>
              </w:tabs>
              <w:spacing w:before="0" w:beforeAutospacing="0" w:after="0" w:afterAutospacing="0" w:line="360" w:lineRule="auto"/>
              <w:ind w:left="0" w:right="0"/>
              <w:outlineLvl w:val="0"/>
              <w:rPr>
                <w:rFonts w:hint="eastAsia" w:ascii="宋体" w:hAnsi="宋体" w:cs="宋体"/>
                <w:color w:val="000000" w:themeColor="text1"/>
                <w:sz w:val="24"/>
                <w:lang w:val="zh-CN"/>
                <w14:textFill>
                  <w14:solidFill>
                    <w14:schemeClr w14:val="tx1"/>
                  </w14:solidFill>
                </w14:textFill>
              </w:rPr>
            </w:pPr>
            <w:r>
              <w:rPr>
                <w:rFonts w:hint="eastAsia" w:ascii="宋体" w:hAnsi="宋体" w:cs="宋体"/>
                <w:bCs/>
                <w:sz w:val="24"/>
                <w:lang w:val="en-US" w:eastAsia="zh-CN"/>
              </w:rPr>
              <w:t>注：政府部门统计科学研究重点项目</w:t>
            </w:r>
            <w:r>
              <w:rPr>
                <w:rFonts w:hint="default" w:ascii="宋体" w:hAnsi="宋体" w:cs="宋体"/>
                <w:bCs/>
                <w:sz w:val="24"/>
              </w:rPr>
              <w:t>证明材料需提供项目批复文件行政事业单位公布的网络公示文件截图（截图需显示 网址链接），且体现“重点项目”的相关表述，不体现“重点”二字则不得分。</w:t>
            </w:r>
          </w:p>
        </w:tc>
        <w:tc>
          <w:tcPr>
            <w:tcW w:w="750"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168"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自主知识产权产品（创新、设计）情况</w:t>
            </w:r>
          </w:p>
        </w:tc>
        <w:tc>
          <w:tcPr>
            <w:tcW w:w="5907" w:type="dxa"/>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b/>
                <w:bCs/>
                <w:color w:val="EE0000"/>
                <w:sz w:val="24"/>
                <w:lang w:val="zh-CN"/>
              </w:rPr>
            </w:pPr>
            <w:r>
              <w:rPr>
                <w:rFonts w:hint="eastAsia" w:ascii="宋体" w:hAnsi="宋体" w:cs="宋体"/>
                <w:color w:val="000000" w:themeColor="text1"/>
                <w:sz w:val="24"/>
                <w:lang w:val="zh-CN"/>
                <w14:textFill>
                  <w14:solidFill>
                    <w14:schemeClr w14:val="tx1"/>
                  </w14:solidFill>
                </w14:textFill>
              </w:rPr>
              <w:t>评审内容：</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1、具有</w:t>
            </w:r>
            <w:r>
              <w:rPr>
                <w:rFonts w:hint="eastAsia" w:ascii="宋体" w:hAnsi="宋体" w:cs="宋体"/>
                <w:color w:val="000000" w:themeColor="text1"/>
                <w:sz w:val="24"/>
                <w14:textFill>
                  <w14:solidFill>
                    <w14:schemeClr w14:val="tx1"/>
                  </w14:solidFill>
                </w14:textFill>
              </w:rPr>
              <w:t>金融</w:t>
            </w:r>
            <w:r>
              <w:rPr>
                <w:rFonts w:hint="eastAsia" w:ascii="宋体" w:hAnsi="宋体" w:cs="宋体"/>
                <w:color w:val="000000" w:themeColor="text1"/>
                <w:sz w:val="24"/>
                <w:lang w:val="en-US" w:eastAsia="zh-CN"/>
                <w14:textFill>
                  <w14:solidFill>
                    <w14:schemeClr w14:val="tx1"/>
                  </w14:solidFill>
                </w14:textFill>
              </w:rPr>
              <w:t>类</w:t>
            </w:r>
            <w:r>
              <w:rPr>
                <w:rFonts w:hint="eastAsia" w:ascii="宋体" w:hAnsi="宋体" w:cs="宋体"/>
                <w:color w:val="000000" w:themeColor="text1"/>
                <w:sz w:val="24"/>
                <w14:textFill>
                  <w14:solidFill>
                    <w14:schemeClr w14:val="tx1"/>
                  </w14:solidFill>
                </w14:textFill>
              </w:rPr>
              <w:t>软件著作权证书的，每提供1个得2分，最高得2分；具有其他</w:t>
            </w:r>
            <w:r>
              <w:rPr>
                <w:rFonts w:hint="eastAsia" w:ascii="宋体" w:hAnsi="宋体" w:cs="宋体"/>
                <w:color w:val="000000" w:themeColor="text1"/>
                <w:sz w:val="24"/>
                <w:lang w:val="zh-CN"/>
                <w14:textFill>
                  <w14:solidFill>
                    <w14:schemeClr w14:val="tx1"/>
                  </w14:solidFill>
                </w14:textFill>
              </w:rPr>
              <w:t>统计类或经济类软件著作权</w:t>
            </w:r>
            <w:r>
              <w:rPr>
                <w:rFonts w:hint="eastAsia" w:ascii="宋体" w:hAnsi="宋体" w:cs="宋体"/>
                <w:color w:val="000000" w:themeColor="text1"/>
                <w:sz w:val="24"/>
                <w14:textFill>
                  <w14:solidFill>
                    <w14:schemeClr w14:val="tx1"/>
                  </w14:solidFill>
                </w14:textFill>
              </w:rPr>
              <w:t>证书</w:t>
            </w:r>
            <w:r>
              <w:rPr>
                <w:rFonts w:hint="eastAsia" w:ascii="宋体" w:hAnsi="宋体" w:cs="宋体"/>
                <w:color w:val="000000" w:themeColor="text1"/>
                <w:sz w:val="24"/>
                <w:lang w:val="zh-CN"/>
                <w14:textFill>
                  <w14:solidFill>
                    <w14:schemeClr w14:val="tx1"/>
                  </w14:solidFill>
                </w14:textFill>
              </w:rPr>
              <w:t>的，每个得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分，最高得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本小项最高的4分；</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2、具有数据分析类发明专利的，每提供1个得2分，最高得2分；</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以上</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项累计得分，最高得</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分。</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评分依据：</w:t>
            </w:r>
          </w:p>
          <w:p>
            <w:pPr>
              <w:keepNext w:val="0"/>
              <w:keepLines w:val="0"/>
              <w:suppressLineNumbers w:val="0"/>
              <w:spacing w:before="0" w:beforeAutospacing="0" w:after="0" w:afterAutospacing="0" w:line="360" w:lineRule="auto"/>
              <w:ind w:left="0" w:right="0"/>
              <w:rPr>
                <w:rFonts w:hint="eastAsia" w:ascii="宋体" w:hAnsi="宋体" w:cs="宋体"/>
                <w:color w:val="FF0000"/>
                <w:sz w:val="24"/>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投标人须提供计算机软件著作权登记证书、发明专利证书扫描件。</w:t>
            </w:r>
          </w:p>
          <w:p>
            <w:pPr>
              <w:keepNext w:val="0"/>
              <w:keepLines w:val="0"/>
              <w:suppressLineNumbers w:val="0"/>
              <w:spacing w:before="0" w:beforeAutospacing="0" w:after="0" w:afterAutospacing="0" w:line="360" w:lineRule="auto"/>
              <w:ind w:left="0" w:right="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（如为租赁）提供购买或租赁的计算机软件著作权登记证书（著作权人须为出售/出租方）和购买合同（或租赁合同）；【或提供购买或租赁的专利证书（著作权人须为出售/出租方）和购买合同（或租赁合同）】</w:t>
            </w:r>
          </w:p>
          <w:p>
            <w:pPr>
              <w:keepNext w:val="0"/>
              <w:keepLines w:val="0"/>
              <w:suppressLineNumbers w:val="0"/>
              <w:spacing w:before="0" w:beforeAutospacing="0" w:after="0" w:afterAutospacing="0" w:line="360" w:lineRule="auto"/>
              <w:ind w:left="0" w:right="0"/>
              <w:rPr>
                <w:rFonts w:hint="eastAsia" w:ascii="宋体" w:hAnsi="宋体" w:cs="宋体"/>
                <w:color w:val="FF0000"/>
                <w:sz w:val="24"/>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.上述证书均需加盖公章，原件备查。</w:t>
            </w:r>
            <w:r>
              <w:rPr>
                <w:rFonts w:hint="eastAsia" w:ascii="宋体" w:hAnsi="宋体" w:cs="宋体"/>
                <w:color w:val="000000" w:themeColor="text1"/>
                <w:sz w:val="24"/>
                <w:lang w:val="zh-CN"/>
                <w14:textFill>
                  <w14:solidFill>
                    <w14:schemeClr w14:val="tx1"/>
                  </w14:solidFill>
                </w14:textFill>
              </w:rPr>
              <w:t>评分中出现无证明资料或专家无法凭所提供资料判断是否得分的情况，一律不得分。</w:t>
            </w:r>
          </w:p>
        </w:tc>
        <w:tc>
          <w:tcPr>
            <w:tcW w:w="750" w:type="dxa"/>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r>
              <w:rPr>
                <w:rFonts w:hint="eastAsia" w:ascii="宋体" w:hAnsi="宋体" w:cs="宋体"/>
                <w:color w:val="000000" w:themeColor="text1"/>
                <w:sz w:val="24"/>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1、投标人提供企业诚信声明与承诺加盖公章；</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采购代理机构通过信用信息查询渠道，包括“信用中国”（www.creditchina.gov.cn）、“中国政府采购网”（www.ccgp.gov.cn）、“深圳市政府采购监管网”（http://zfcg.sz.gov.cn）以及市、区财政部门认定的其他渠道查询供应商信用信息。</w:t>
            </w:r>
          </w:p>
        </w:tc>
        <w:tc>
          <w:tcPr>
            <w:tcW w:w="75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23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7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分值</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需求理解</w:t>
            </w: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评审内容：</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1、明确了解前海金融业分析报告的时效、框架和内容的需求；</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2、明确了解前海金融业新兴企业报告的分析框架、内容和建议的需求；</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3、明确了解前海金融业数据体系、标签和分类标准的需求。</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满足以上3项的得3分，满足以上2项的得2分，其他情况不得分。在此基础上，专家根据内容的合理性进行评分：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1、优：分析全面透彻，符合项目实际情况，针对性强、内容合理的评价为优，得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2、良：分析较为透彻，较为符合项目实际情况，有一定针对性和说服力的评价为良，得</w:t>
            </w:r>
            <w:r>
              <w:rPr>
                <w:rFonts w:hint="eastAsia"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lang w:val="zh-CN"/>
                <w14:textFill>
                  <w14:solidFill>
                    <w14:schemeClr w14:val="tx1"/>
                  </w14:solidFill>
                </w14:textFill>
              </w:rPr>
              <w:t>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3、中：分析基本符合实际，针对性和说服力一般的评价为中，得1分；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4、差：分析不到位、描述不清晰，缺乏针对性和说服力的或未提供的评价为差，</w:t>
            </w:r>
            <w:r>
              <w:rPr>
                <w:rFonts w:hint="eastAsia" w:ascii="宋体" w:hAnsi="宋体" w:cs="宋体"/>
                <w:color w:val="000000" w:themeColor="text1"/>
                <w:sz w:val="24"/>
                <w14:textFill>
                  <w14:solidFill>
                    <w14:schemeClr w14:val="tx1"/>
                  </w14:solidFill>
                </w14:textFill>
              </w:rPr>
              <w:t>不得</w:t>
            </w:r>
            <w:r>
              <w:rPr>
                <w:rFonts w:hint="eastAsia" w:ascii="宋体" w:hAnsi="宋体" w:cs="宋体"/>
                <w:color w:val="000000" w:themeColor="text1"/>
                <w:sz w:val="24"/>
                <w:lang w:val="zh-CN"/>
                <w14:textFill>
                  <w14:solidFill>
                    <w14:schemeClr w14:val="tx1"/>
                  </w14:solidFill>
                </w14:textFill>
              </w:rPr>
              <w:t>分。</w:t>
            </w:r>
          </w:p>
        </w:tc>
        <w:tc>
          <w:tcPr>
            <w:tcW w:w="7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数据质量把控</w:t>
            </w:r>
          </w:p>
        </w:tc>
        <w:tc>
          <w:tcPr>
            <w:tcW w:w="5907"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评审内容：</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eastAsia="zh-Hans"/>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lang w:val="zh-CN" w:eastAsia="zh-Hans"/>
                <w14:textFill>
                  <w14:solidFill>
                    <w14:schemeClr w14:val="tx1"/>
                  </w14:solidFill>
                </w14:textFill>
              </w:rPr>
              <w:t>需结合前海实际情况，对统计数据从计划、获取、存储、共享、维护、应用等生命周期的每个阶段里可能引发的各项数据质量问题列明数据质量保障环节及管理方法；</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EE0000"/>
                <w:sz w:val="24"/>
                <w:lang w:val="zh-CN"/>
              </w:rPr>
            </w:pPr>
            <w:r>
              <w:rPr>
                <w:rFonts w:hint="eastAsia" w:ascii="宋体" w:hAnsi="宋体" w:cs="宋体"/>
                <w:color w:val="000000" w:themeColor="text1"/>
                <w:sz w:val="24"/>
                <w:lang w:val="zh-CN" w:eastAsia="zh-Hans"/>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eastAsia="zh-Hans"/>
                <w14:textFill>
                  <w14:solidFill>
                    <w14:schemeClr w14:val="tx1"/>
                  </w14:solidFill>
                </w14:textFill>
              </w:rPr>
              <w:t>需明确具体数据质量把控流程。</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满足以上2点得5分，满足任意1点得2分，未满足不得分。在此基础上，专家根据各供应商的具体响应内容按照量化的评审因素指标进一步评审：</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eastAsia="zh-Hans"/>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1、优：数据质量把控方案准确、符合项目要求，具体实施措施科学有效，评审为优的得5分； </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2、良：实施方案分析准确、较符合项目要求，具体实施措施较科学有效，评审为良的得2分；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eastAsia="zh-Hans"/>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3、中：数据质量把控方案基本准确、基本符合项目要求，具体实施措施基本科学有效，评审为中的得1分； </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4、差：数据质量把控方案不准确、不符合项目要求，具体实施措施不科学有效的或未提供的评审为差的，</w:t>
            </w:r>
            <w:r>
              <w:rPr>
                <w:rFonts w:hint="eastAsia" w:ascii="宋体" w:hAnsi="宋体" w:cs="宋体"/>
                <w:color w:val="000000" w:themeColor="text1"/>
                <w:sz w:val="24"/>
                <w14:textFill>
                  <w14:solidFill>
                    <w14:schemeClr w14:val="tx1"/>
                  </w14:solidFill>
                </w14:textFill>
              </w:rPr>
              <w:t>不得</w:t>
            </w:r>
            <w:r>
              <w:rPr>
                <w:rFonts w:hint="eastAsia" w:ascii="宋体" w:hAnsi="宋体" w:cs="宋体"/>
                <w:color w:val="000000" w:themeColor="text1"/>
                <w:sz w:val="24"/>
                <w:lang w:val="zh-CN"/>
                <w14:textFill>
                  <w14:solidFill>
                    <w14:schemeClr w14:val="tx1"/>
                  </w14:solidFill>
                </w14:textFill>
              </w:rPr>
              <w:t>分。</w:t>
            </w:r>
          </w:p>
        </w:tc>
        <w:tc>
          <w:tcPr>
            <w:tcW w:w="7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10</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项目重点难点分析、应对措施及相关的合理化建议</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评审内容：</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1、明晰金融业专项统计调查的指标设置、数据核验以及指标统计；</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2、明晰进行调查过程中可能存在企业填报率不高，填报数据质量偏低等问题，并有合理的建议和措施；</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3、明晰前海金融企业的不同标签分类，有清晰的分类标准和操作流程。</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满足以上3项的得8分，满足以上2项的得4分，其他情况不得分。在此基础上，专家根据内容的合理性进行评分：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1、优：分析透彻、依据着实，内容全面、针对性强、科学合理且可行性强的评价为优，得5分；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2、良：分析较为透彻、依据着实，内容较全面、针对性、合理性和可行性较强的评价为良，得3分；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3、中：分析一般透彻、依据一般，内容部分缺项、针对性、合理性和可行性一般的评价为中，得1分；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4、差：分析不透彻、内容缺项较多，不具有针对性和可行性的或未提供的评价为差，</w:t>
            </w:r>
            <w:r>
              <w:rPr>
                <w:rFonts w:hint="eastAsia" w:ascii="宋体" w:hAnsi="宋体" w:cs="宋体"/>
                <w:color w:val="000000" w:themeColor="text1"/>
                <w:sz w:val="24"/>
                <w14:textFill>
                  <w14:solidFill>
                    <w14:schemeClr w14:val="tx1"/>
                  </w14:solidFill>
                </w14:textFill>
              </w:rPr>
              <w:t>不得</w:t>
            </w:r>
            <w:r>
              <w:rPr>
                <w:rFonts w:hint="eastAsia" w:ascii="宋体" w:hAnsi="宋体" w:cs="宋体"/>
                <w:color w:val="000000" w:themeColor="text1"/>
                <w:sz w:val="24"/>
                <w:lang w:val="zh-CN"/>
                <w14:textFill>
                  <w14:solidFill>
                    <w14:schemeClr w14:val="tx1"/>
                  </w14:solidFill>
                </w14:textFill>
              </w:rPr>
              <w:t>分。</w:t>
            </w:r>
          </w:p>
        </w:tc>
        <w:tc>
          <w:tcPr>
            <w:tcW w:w="7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项目管理措施和进度计划</w:t>
            </w: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评审内容：</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1、项目运营方案；</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2、项目质量管理制度与措施；</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3、项目里程碑计划；</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4、项目应急预案；</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5、响应时间（投标人须在1小时内及时响应采购方需求，并在24小时内提出解决方案）。</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满足以上5项的得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分，满足以上4项的得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分，满足以上3项的得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分，其他情况不得分。在此基础上，专家根据内容的合理性进行评分：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1、优：内容完整详细，符合项目实际情况，可行性强的评价为优，得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2、良：内容完整，基本符合项目实际情况，可行性较好的评价为良，得2分；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3、中：内容能符合项目部分要求，较符合项目实际情况的评价为中，得1分；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4、差：内容不符合项目要求，不符合项目实际情况的或未提供的评价为差，</w:t>
            </w:r>
            <w:r>
              <w:rPr>
                <w:rFonts w:hint="eastAsia" w:ascii="宋体" w:hAnsi="宋体" w:cs="宋体"/>
                <w:color w:val="000000" w:themeColor="text1"/>
                <w:sz w:val="24"/>
                <w14:textFill>
                  <w14:solidFill>
                    <w14:schemeClr w14:val="tx1"/>
                  </w14:solidFill>
                </w14:textFill>
              </w:rPr>
              <w:t>不得</w:t>
            </w:r>
            <w:r>
              <w:rPr>
                <w:rFonts w:hint="eastAsia" w:ascii="宋体" w:hAnsi="宋体" w:cs="宋体"/>
                <w:color w:val="000000" w:themeColor="text1"/>
                <w:sz w:val="24"/>
                <w:lang w:val="zh-CN"/>
                <w14:textFill>
                  <w14:solidFill>
                    <w14:schemeClr w14:val="tx1"/>
                  </w14:solidFill>
                </w14:textFill>
              </w:rPr>
              <w:t>分。</w:t>
            </w:r>
          </w:p>
        </w:tc>
        <w:tc>
          <w:tcPr>
            <w:tcW w:w="7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7</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项目服务承诺</w:t>
            </w: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评审内容：</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1、在项目服务期间，未经招标人同意，不得随意更换团队人员，确保服务连续性、稳定性；</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2、服务质量达到招标文件要求；</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3、服务期满后，严格遵守保密承诺的原则，不泄露与项目有关的任何信息。</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投标人承诺以上全部三项得5分，否则不得分。</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lang w:val="zh-CN"/>
              </w:rPr>
            </w:pPr>
            <w:r>
              <w:rPr>
                <w:rFonts w:hint="eastAsia" w:ascii="宋体" w:hAnsi="宋体" w:cs="宋体"/>
                <w:color w:val="000000" w:themeColor="text1"/>
                <w:sz w:val="24"/>
                <w:lang w:val="zh-CN"/>
                <w14:textFill>
                  <w14:solidFill>
                    <w14:schemeClr w14:val="tx1"/>
                  </w14:solidFill>
                </w14:textFill>
              </w:rPr>
              <w:t>要求提供承诺函（格式自定）作为得分依据，未提供承诺或承诺内容不满足要求不得分。</w:t>
            </w:r>
          </w:p>
        </w:tc>
        <w:tc>
          <w:tcPr>
            <w:tcW w:w="7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23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spacing w:line="360" w:lineRule="auto"/>
        <w:jc w:val="center"/>
        <w:rPr>
          <w:rFonts w:hint="eastAsia" w:ascii="宋体" w:hAnsi="宋体" w:cs="宋体"/>
          <w:b/>
          <w:bCs/>
          <w:sz w:val="24"/>
          <w:highlight w:val="none"/>
        </w:rPr>
      </w:pPr>
    </w:p>
    <w:p>
      <w:pPr>
        <w:spacing w:line="360" w:lineRule="auto"/>
        <w:jc w:val="center"/>
        <w:outlineLvl w:val="0"/>
        <w:rPr>
          <w:rFonts w:ascii="宋体" w:hAnsi="宋体" w:cs="宋体"/>
          <w:b/>
          <w:bCs/>
          <w:sz w:val="24"/>
          <w:highlight w:val="none"/>
        </w:rPr>
        <w:sectPr>
          <w:pgSz w:w="11906" w:h="16838"/>
          <w:pgMar w:top="1440" w:right="1650" w:bottom="1440" w:left="1650" w:header="851" w:footer="992" w:gutter="0"/>
          <w:pgNumType w:fmt="decimal"/>
          <w:cols w:space="720" w:num="1"/>
          <w:docGrid w:type="lines" w:linePitch="319" w:charSpace="0"/>
        </w:sectPr>
      </w:pPr>
      <w:bookmarkStart w:id="39" w:name="_Toc834"/>
      <w:bookmarkStart w:id="40" w:name="_Hlk28269117"/>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39"/>
    </w:p>
    <w:p>
      <w:pPr>
        <w:keepNext/>
        <w:keepLines/>
        <w:spacing w:before="260" w:after="260" w:line="360" w:lineRule="auto"/>
        <w:jc w:val="center"/>
        <w:outlineLvl w:val="1"/>
        <w:rPr>
          <w:rFonts w:ascii="宋体" w:hAnsi="宋体" w:cs="宋体"/>
          <w:b/>
          <w:bCs/>
          <w:sz w:val="24"/>
          <w:highlight w:val="none"/>
        </w:rPr>
      </w:pPr>
      <w:bookmarkStart w:id="41" w:name="_Toc5116"/>
      <w:bookmarkStart w:id="42" w:name="_Toc6548"/>
      <w:bookmarkStart w:id="43" w:name="_Toc31827"/>
      <w:bookmarkStart w:id="44" w:name="_Toc19494"/>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41"/>
      <w:bookmarkEnd w:id="42"/>
      <w:bookmarkEnd w:id="43"/>
      <w:bookmarkEnd w:id="44"/>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tcPr>
          <w:p>
            <w:pPr>
              <w:pStyle w:val="10"/>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10"/>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10"/>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10"/>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10"/>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10"/>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10"/>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10"/>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10"/>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10"/>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10"/>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7"/>
        <w:rPr>
          <w:rFonts w:hint="eastAsia" w:ascii="宋体" w:eastAsia="宋体" w:cs="宋体"/>
          <w:b/>
          <w:sz w:val="24"/>
          <w:highlight w:val="none"/>
        </w:rPr>
      </w:pPr>
    </w:p>
    <w:p>
      <w:pPr>
        <w:pStyle w:val="7"/>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2</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4</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、关于资格的声明函；</w:t>
      </w:r>
    </w:p>
    <w:p>
      <w:pPr>
        <w:pStyle w:val="31"/>
        <w:spacing w:line="360" w:lineRule="auto"/>
        <w:ind w:firstLine="480"/>
        <w:rPr>
          <w:highlight w:val="none"/>
          <w:lang w:val="fr-CH"/>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fr-CH"/>
        </w:rPr>
        <w:t>法</w:t>
      </w:r>
      <w:r>
        <w:rPr>
          <w:rFonts w:hint="eastAsia" w:ascii="宋体" w:hAnsi="宋体" w:cs="宋体"/>
          <w:sz w:val="24"/>
          <w:highlight w:val="none"/>
          <w:lang w:val="en-US" w:eastAsia="zh-CN"/>
        </w:rPr>
        <w:t>定</w:t>
      </w:r>
      <w:r>
        <w:rPr>
          <w:rFonts w:hint="eastAsia" w:ascii="宋体" w:hAnsi="宋体" w:cs="宋体"/>
          <w:sz w:val="24"/>
          <w:highlight w:val="none"/>
          <w:lang w:val="fr-CH"/>
        </w:rPr>
        <w:t>代表</w:t>
      </w:r>
      <w:r>
        <w:rPr>
          <w:rFonts w:hint="eastAsia" w:ascii="宋体" w:hAnsi="宋体" w:cs="宋体"/>
          <w:sz w:val="24"/>
          <w:highlight w:val="none"/>
          <w:lang w:val="en-US" w:eastAsia="zh-CN"/>
        </w:rPr>
        <w:t>人</w:t>
      </w:r>
      <w:r>
        <w:rPr>
          <w:rFonts w:hint="eastAsia" w:ascii="宋体" w:hAnsi="宋体" w:cs="宋体"/>
          <w:sz w:val="24"/>
          <w:highlight w:val="none"/>
          <w:lang w:val="fr-CH"/>
        </w:rPr>
        <w:t>/单位负责人证明书及身份证明；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10</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1</w:t>
      </w:r>
      <w:r>
        <w:rPr>
          <w:rFonts w:hint="eastAsia" w:ascii="宋体" w:hAnsi="宋体" w:cs="宋体"/>
          <w:sz w:val="24"/>
          <w:highlight w:val="none"/>
          <w:lang w:val="fr-CH"/>
        </w:rPr>
        <w:t>、</w:t>
      </w:r>
      <w:r>
        <w:rPr>
          <w:rFonts w:hint="eastAsia" w:ascii="宋体" w:hAnsi="宋体" w:cs="宋体"/>
          <w:color w:val="000000" w:themeColor="text1"/>
          <w:sz w:val="24"/>
          <w:lang w:val="zh-CN"/>
          <w14:textFill>
            <w14:solidFill>
              <w14:schemeClr w14:val="tx1"/>
            </w14:solidFill>
          </w14:textFill>
        </w:rPr>
        <w:t>投标人资质情况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、投标人服务能力</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zh-CN"/>
        </w:rPr>
        <w:t>项目负责人（仅限1人）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zh-CN"/>
        </w:rPr>
        <w:t>拟安排的项目主要团队成员情况（项目负责人除外）</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5</w:t>
      </w:r>
      <w:r>
        <w:rPr>
          <w:rFonts w:hint="eastAsia" w:ascii="宋体" w:hAnsi="宋体" w:cs="宋体"/>
          <w:sz w:val="24"/>
          <w:highlight w:val="none"/>
          <w:lang w:val="fr-CH"/>
        </w:rPr>
        <w:t>、自主知识产权产品（创新、设计）情况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16、</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sz w:val="24"/>
          <w:highlight w:val="none"/>
          <w:lang w:val="zh-CN"/>
        </w:rPr>
        <w:t>需求理解</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w:t>
      </w:r>
      <w:r>
        <w:rPr>
          <w:rFonts w:hint="eastAsia" w:ascii="宋体" w:hAnsi="宋体" w:cs="宋体"/>
          <w:color w:val="000000" w:themeColor="text1"/>
          <w:sz w:val="24"/>
          <w:lang w:val="zh-CN"/>
          <w14:textFill>
            <w14:solidFill>
              <w14:schemeClr w14:val="tx1"/>
            </w14:solidFill>
          </w14:textFill>
        </w:rPr>
        <w:t>数据质量把控</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4、项目重点难点分析、应对措施及相关的合理化建议</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项目管理措施和进度计划</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6、项目服务承诺</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t>（格式自拟）</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3"/>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31"/>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3"/>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3、《中小企业声明函》或《残疾人福利性单位声明函》或《监狱企业声明函》（参与价格扣减的投标人应提供）；</w:t>
      </w:r>
    </w:p>
    <w:p>
      <w:pPr>
        <w:numPr>
          <w:ilvl w:val="0"/>
          <w:numId w:val="0"/>
        </w:numPr>
        <w:spacing w:line="360" w:lineRule="auto"/>
        <w:jc w:val="center"/>
        <w:outlineLvl w:val="2"/>
        <w:rPr>
          <w:rFonts w:ascii="宋体" w:hAnsi="宋体" w:cs="宋体"/>
          <w:b/>
          <w:bCs/>
          <w:sz w:val="24"/>
          <w:highlight w:val="none"/>
        </w:rPr>
      </w:pPr>
      <w:r>
        <w:rPr>
          <w:rFonts w:hint="eastAsia" w:ascii="宋体" w:hAnsi="宋体" w:cs="宋体"/>
          <w:b/>
          <w:bCs/>
          <w:sz w:val="24"/>
          <w:highlight w:val="none"/>
          <w:lang w:val="en-US" w:eastAsia="zh-CN"/>
        </w:rPr>
        <w:t>（具体详见“附件：相关政策”）</w:t>
      </w: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31"/>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10"/>
        <w:spacing w:line="360" w:lineRule="auto"/>
        <w:rPr>
          <w:highlight w:val="none"/>
        </w:rPr>
      </w:pPr>
    </w:p>
    <w:p>
      <w:pPr>
        <w:spacing w:line="360" w:lineRule="auto"/>
        <w:rPr>
          <w:rFonts w:hint="eastAsia" w:ascii="宋体" w:hAnsi="宋体" w:eastAsia="宋体" w:cs="宋体"/>
          <w:sz w:val="24"/>
          <w:highlight w:val="none"/>
          <w:lang w:val="fr-CH"/>
        </w:rPr>
      </w:pPr>
      <w:r>
        <w:rPr>
          <w:rFonts w:hint="eastAsia" w:ascii="宋体" w:hAnsi="宋体" w:eastAsia="宋体" w:cs="宋体"/>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fr-CH"/>
        </w:rPr>
        <w:t>2、营业执照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en-US" w:eastAsia="zh-CN"/>
        </w:rPr>
        <w:t>3</w:t>
      </w:r>
      <w:r>
        <w:rPr>
          <w:rFonts w:hint="eastAsia" w:ascii="宋体" w:hAnsi="宋体" w:cs="宋体"/>
          <w:b/>
          <w:bCs/>
          <w:sz w:val="24"/>
          <w:highlight w:val="none"/>
        </w:rPr>
        <w:t>、</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none"/>
          <w:lang w:eastAsia="zh-CN"/>
        </w:rPr>
        <w:t>我单位承诺与其他不同供应商的法定代表人、主要经营负责人、投标授权代表人、项目负责人（如有）、</w:t>
      </w:r>
      <w:r>
        <w:rPr>
          <w:rFonts w:hint="eastAsia" w:ascii="宋体" w:hAnsi="宋体" w:cs="宋体"/>
          <w:color w:val="000000"/>
          <w:sz w:val="24"/>
          <w:highlight w:val="none"/>
          <w:lang w:val="en-US" w:eastAsia="zh-CN"/>
        </w:rPr>
        <w:t>主要技术人员（如有）</w:t>
      </w:r>
      <w:r>
        <w:rPr>
          <w:rFonts w:hint="eastAsia" w:ascii="宋体" w:hAnsi="宋体" w:cs="宋体"/>
          <w:color w:val="000000"/>
          <w:sz w:val="24"/>
          <w:highlight w:val="none"/>
          <w:lang w:eastAsia="zh-CN"/>
        </w:rPr>
        <w:t>不存在为同一人、属同一单位或者在同一单位缴纳社会保险的情形。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.我单位承诺本项目的报价不低于我单位的成本价，不恶意低价谋取中标；对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10"/>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en-US" w:eastAsia="zh-CN"/>
        </w:rPr>
        <w:t>4</w:t>
      </w:r>
      <w:r>
        <w:rPr>
          <w:rFonts w:hint="eastAsia"/>
          <w:b/>
          <w:sz w:val="24"/>
          <w:highlight w:val="none"/>
          <w:lang w:val="fr-CH"/>
        </w:rPr>
        <w:t>、政府采购违法行为风险知悉确认书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10"/>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3"/>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31"/>
        <w:ind w:firstLine="482"/>
        <w:rPr>
          <w:rFonts w:ascii="宋体" w:hAnsi="宋体" w:cs="宋体"/>
          <w:b/>
          <w:sz w:val="24"/>
          <w:highlight w:val="none"/>
        </w:rPr>
      </w:pPr>
    </w:p>
    <w:p>
      <w:pPr>
        <w:pStyle w:val="31"/>
        <w:ind w:firstLine="482"/>
        <w:rPr>
          <w:rFonts w:ascii="宋体" w:hAnsi="宋体" w:cs="宋体"/>
          <w:b/>
          <w:sz w:val="24"/>
          <w:highlight w:val="none"/>
        </w:rPr>
      </w:pPr>
    </w:p>
    <w:p>
      <w:pPr>
        <w:pStyle w:val="31"/>
        <w:ind w:firstLine="482"/>
        <w:rPr>
          <w:rFonts w:ascii="宋体" w:hAnsi="宋体" w:cs="宋体"/>
          <w:b/>
          <w:sz w:val="24"/>
          <w:highlight w:val="none"/>
        </w:rPr>
      </w:pPr>
    </w:p>
    <w:p>
      <w:pPr>
        <w:pStyle w:val="31"/>
        <w:ind w:firstLine="482"/>
        <w:rPr>
          <w:rFonts w:ascii="宋体" w:hAnsi="宋体" w:cs="宋体"/>
          <w:b/>
          <w:sz w:val="24"/>
          <w:highlight w:val="none"/>
        </w:rPr>
      </w:pPr>
    </w:p>
    <w:p>
      <w:pPr>
        <w:pStyle w:val="31"/>
        <w:ind w:firstLine="482"/>
        <w:rPr>
          <w:rFonts w:ascii="宋体" w:hAnsi="宋体" w:cs="宋体"/>
          <w:b/>
          <w:sz w:val="24"/>
          <w:highlight w:val="none"/>
        </w:rPr>
      </w:pPr>
    </w:p>
    <w:p>
      <w:pPr>
        <w:pStyle w:val="31"/>
        <w:ind w:firstLine="482"/>
        <w:rPr>
          <w:rFonts w:ascii="宋体" w:hAnsi="宋体" w:cs="宋体"/>
          <w:b/>
          <w:sz w:val="24"/>
          <w:highlight w:val="none"/>
        </w:rPr>
      </w:pPr>
    </w:p>
    <w:p>
      <w:pPr>
        <w:pStyle w:val="31"/>
        <w:ind w:firstLine="482"/>
        <w:rPr>
          <w:rFonts w:ascii="宋体" w:hAnsi="宋体" w:cs="宋体"/>
          <w:b/>
          <w:sz w:val="24"/>
          <w:highlight w:val="none"/>
        </w:rPr>
      </w:pPr>
    </w:p>
    <w:p>
      <w:pPr>
        <w:pStyle w:val="31"/>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3"/>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3"/>
        <w:spacing w:line="360" w:lineRule="auto"/>
        <w:jc w:val="left"/>
        <w:rPr>
          <w:rFonts w:hAnsi="宋体" w:cs="宋体"/>
          <w:sz w:val="24"/>
          <w:highlight w:val="none"/>
        </w:rPr>
      </w:pPr>
    </w:p>
    <w:p>
      <w:pPr>
        <w:pStyle w:val="13"/>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10"/>
        <w:spacing w:line="360" w:lineRule="auto"/>
        <w:rPr>
          <w:highlight w:val="none"/>
          <w:lang w:val="fr-CH"/>
        </w:rPr>
      </w:pPr>
    </w:p>
    <w:p>
      <w:pPr>
        <w:rPr>
          <w:highlight w:val="none"/>
          <w:lang w:val="fr-CH"/>
        </w:rPr>
      </w:pPr>
    </w:p>
    <w:p>
      <w:pPr>
        <w:pStyle w:val="31"/>
        <w:ind w:firstLine="420"/>
        <w:rPr>
          <w:highlight w:val="none"/>
          <w:lang w:val="fr-CH"/>
        </w:rPr>
      </w:pPr>
    </w:p>
    <w:p>
      <w:pPr>
        <w:pStyle w:val="31"/>
        <w:ind w:firstLine="420"/>
        <w:rPr>
          <w:highlight w:val="none"/>
          <w:lang w:val="fr-CH"/>
        </w:rPr>
      </w:pPr>
    </w:p>
    <w:p>
      <w:pPr>
        <w:pStyle w:val="31"/>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、法定代表人</w:t>
      </w:r>
      <w:r>
        <w:rPr>
          <w:rFonts w:hint="eastAsia" w:ascii="宋体" w:hAnsi="宋体" w:cs="宋体"/>
          <w:b/>
          <w:sz w:val="24"/>
          <w:highlight w:val="none"/>
          <w:lang w:val="fr-CH"/>
        </w:rPr>
        <w:t>/单位负责人</w:t>
      </w:r>
      <w:r>
        <w:rPr>
          <w:rFonts w:hint="eastAsia" w:ascii="宋体" w:hAnsi="宋体" w:cs="宋体"/>
          <w:b/>
          <w:sz w:val="24"/>
          <w:highlight w:val="none"/>
        </w:rPr>
        <w:t>证明书</w:t>
      </w:r>
      <w:r>
        <w:rPr>
          <w:rFonts w:hint="eastAsia" w:ascii="宋体" w:hAnsi="宋体" w:cs="宋体"/>
          <w:b/>
          <w:sz w:val="24"/>
          <w:highlight w:val="none"/>
          <w:lang w:val="fr-CH"/>
        </w:rPr>
        <w:t>及身份证明</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r>
        <w:rPr>
          <w:rFonts w:hint="eastAsia" w:ascii="宋体" w:hAnsi="宋体" w:cs="宋体"/>
          <w:sz w:val="24"/>
          <w:highlight w:val="none"/>
          <w:lang w:eastAsia="zh-CN"/>
        </w:rPr>
        <w:t>。</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3"/>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3"/>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3"/>
        <w:spacing w:line="360" w:lineRule="auto"/>
        <w:jc w:val="center"/>
        <w:rPr>
          <w:rFonts w:hAnsi="宋体" w:cs="宋体"/>
          <w:b/>
          <w:sz w:val="24"/>
          <w:highlight w:val="none"/>
        </w:rPr>
      </w:pPr>
      <w:r>
        <w:rPr>
          <w:rFonts w:hint="eastAsia" w:hAnsi="宋体" w:cs="宋体"/>
          <w:b/>
          <w:sz w:val="24"/>
          <w:highlight w:val="none"/>
          <w:lang w:val="en-US" w:eastAsia="zh-CN"/>
        </w:rPr>
        <w:t>8</w:t>
      </w:r>
      <w:r>
        <w:rPr>
          <w:rFonts w:hint="eastAsia" w:hAnsi="宋体" w:cs="宋体"/>
          <w:b/>
          <w:sz w:val="24"/>
          <w:highlight w:val="none"/>
        </w:rPr>
        <w:t>、法定代表人/单位负责人授权书</w:t>
      </w:r>
      <w:r>
        <w:rPr>
          <w:rFonts w:hint="eastAsia" w:hAnsi="宋体" w:cs="宋体"/>
          <w:b/>
          <w:sz w:val="24"/>
          <w:highlight w:val="none"/>
          <w:lang w:val="fr-CH"/>
        </w:rPr>
        <w:t>及身份证明</w:t>
      </w:r>
    </w:p>
    <w:p>
      <w:pPr>
        <w:pStyle w:val="13"/>
        <w:spacing w:line="360" w:lineRule="auto"/>
        <w:rPr>
          <w:rFonts w:hAnsi="宋体" w:cs="宋体"/>
          <w:sz w:val="24"/>
          <w:highlight w:val="none"/>
        </w:rPr>
      </w:pPr>
    </w:p>
    <w:p>
      <w:pPr>
        <w:pStyle w:val="13"/>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3"/>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3"/>
        <w:spacing w:line="360" w:lineRule="auto"/>
        <w:rPr>
          <w:rFonts w:hint="default" w:hAnsi="宋体" w:eastAsia="宋体" w:cs="宋体"/>
          <w:sz w:val="24"/>
          <w:highlight w:val="none"/>
          <w:lang w:val="en-US" w:eastAsia="zh-CN"/>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被授权人联系方式（手机）：         </w:t>
      </w:r>
    </w:p>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被授权人邮箱号：</w:t>
      </w:r>
    </w:p>
    <w:p>
      <w:pPr>
        <w:spacing w:line="360" w:lineRule="auto"/>
        <w:rPr>
          <w:rFonts w:hint="default" w:ascii="宋体" w:hAnsi="宋体" w:cs="宋体"/>
          <w:sz w:val="24"/>
          <w:highlight w:val="none"/>
          <w:lang w:val="en-US" w:eastAsia="zh-CN"/>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rPr>
          <w:rFonts w:ascii="宋体" w:hAnsi="宋体" w:cs="宋体"/>
          <w:b/>
          <w:sz w:val="24"/>
          <w:highlight w:val="none"/>
        </w:rPr>
      </w:pPr>
    </w:p>
    <w:p>
      <w:pPr>
        <w:pStyle w:val="10"/>
        <w:rPr>
          <w:rFonts w:ascii="宋体" w:hAnsi="宋体" w:cs="宋体"/>
          <w:b/>
          <w:sz w:val="24"/>
          <w:highlight w:val="none"/>
        </w:rPr>
      </w:pPr>
    </w:p>
    <w:p>
      <w:pPr>
        <w:pStyle w:val="10"/>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3"/>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3"/>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lang w:val="en-US" w:eastAsia="zh-CN"/>
        </w:rPr>
        <w:t>9</w:t>
      </w:r>
      <w:r>
        <w:rPr>
          <w:rFonts w:hint="eastAsia" w:ascii="宋体" w:hAnsi="宋体" w:cs="宋体"/>
          <w:b/>
          <w:bCs/>
          <w:sz w:val="24"/>
          <w:highlight w:val="none"/>
        </w:rPr>
        <w:t>、</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账号</w:t>
      </w:r>
      <w:r>
        <w:rPr>
          <w:rFonts w:hint="eastAsia" w:ascii="宋体" w:hAnsi="宋体" w:cs="宋体"/>
          <w:sz w:val="24"/>
          <w:highlight w:val="none"/>
        </w:rPr>
        <w:t>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10"/>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cs="宋体"/>
          <w:b/>
          <w:bCs/>
          <w:sz w:val="24"/>
          <w:highlight w:val="none"/>
          <w:lang w:val="en-US" w:eastAsia="zh-CN"/>
        </w:rPr>
        <w:t>10</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pPr>
        <w:pStyle w:val="9"/>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9"/>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4"/>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9"/>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1</w:t>
      </w:r>
      <w:r>
        <w:rPr>
          <w:rFonts w:hint="eastAsia" w:ascii="宋体" w:hAnsi="宋体" w:cs="宋体"/>
          <w:b/>
          <w:bCs/>
          <w:sz w:val="24"/>
          <w:highlight w:val="none"/>
          <w:lang w:val="fr-CH"/>
        </w:rPr>
        <w:t>、投标人资质情况（格式自拟）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2</w:t>
      </w:r>
      <w:r>
        <w:rPr>
          <w:rFonts w:hint="eastAsia" w:ascii="宋体" w:hAnsi="宋体" w:cs="宋体"/>
          <w:b/>
          <w:bCs/>
          <w:sz w:val="24"/>
          <w:highlight w:val="none"/>
          <w:lang w:val="fr-CH"/>
        </w:rPr>
        <w:t>、投标人服务能力（格式自拟）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3</w:t>
      </w:r>
      <w:r>
        <w:rPr>
          <w:rFonts w:hint="eastAsia" w:ascii="宋体" w:hAnsi="宋体" w:cs="宋体"/>
          <w:b/>
          <w:bCs/>
          <w:sz w:val="24"/>
          <w:highlight w:val="none"/>
          <w:lang w:val="fr-CH"/>
        </w:rPr>
        <w:t>、项目负责人（仅限1人）（格式自拟）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rPr>
        <w:t>、拟安排的项目主要团队成员情况（项目负责人除外）（格式自拟）</w:t>
      </w:r>
    </w:p>
    <w:p>
      <w:pPr>
        <w:tabs>
          <w:tab w:val="left" w:pos="640"/>
          <w:tab w:val="left" w:pos="1260"/>
          <w:tab w:val="left" w:pos="1418"/>
        </w:tabs>
        <w:spacing w:line="360" w:lineRule="auto"/>
        <w:rPr>
          <w:rFonts w:hint="eastAsia" w:ascii="宋体" w:hAnsi="宋体" w:cs="宋体"/>
          <w:b/>
          <w:bCs/>
          <w:sz w:val="24"/>
          <w:highlight w:val="none"/>
          <w:lang w:val="fr-CH" w:eastAsia="zh-CN"/>
        </w:rPr>
      </w:pPr>
      <w:r>
        <w:rPr>
          <w:rFonts w:hint="eastAsia" w:ascii="宋体" w:hAnsi="宋体" w:cs="宋体"/>
          <w:b/>
          <w:bCs/>
          <w:sz w:val="24"/>
          <w:highlight w:val="none"/>
          <w:lang w:val="fr-CH" w:eastAsia="zh-CN"/>
        </w:rPr>
        <w:t>1</w:t>
      </w:r>
      <w:r>
        <w:rPr>
          <w:rFonts w:hint="eastAsia" w:ascii="宋体" w:hAnsi="宋体" w:cs="宋体"/>
          <w:b/>
          <w:bCs/>
          <w:sz w:val="24"/>
          <w:highlight w:val="none"/>
          <w:lang w:val="en-US" w:eastAsia="zh-CN"/>
        </w:rPr>
        <w:t>5</w:t>
      </w:r>
      <w:r>
        <w:rPr>
          <w:rFonts w:hint="eastAsia" w:ascii="宋体" w:hAnsi="宋体" w:cs="宋体"/>
          <w:b/>
          <w:bCs/>
          <w:sz w:val="24"/>
          <w:highlight w:val="none"/>
          <w:lang w:val="fr-CH" w:eastAsia="zh-CN"/>
        </w:rPr>
        <w:t>、自主知识产权产品（创新、设计）情况</w:t>
      </w:r>
      <w:r>
        <w:rPr>
          <w:rFonts w:hint="eastAsia" w:ascii="宋体" w:hAnsi="宋体" w:cs="宋体"/>
          <w:b/>
          <w:bCs/>
          <w:sz w:val="24"/>
          <w:highlight w:val="none"/>
          <w:lang w:val="fr-CH"/>
        </w:rPr>
        <w:t>（格式自拟）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en-US" w:eastAsia="zh-CN"/>
        </w:rPr>
        <w:t>16、</w:t>
      </w:r>
      <w:r>
        <w:rPr>
          <w:rFonts w:hint="eastAsia" w:ascii="宋体" w:hAnsi="宋体" w:cs="宋体"/>
          <w:b/>
          <w:bCs/>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3"/>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3"/>
        <w:spacing w:line="360" w:lineRule="auto"/>
        <w:rPr>
          <w:rFonts w:hAnsi="宋体" w:cs="宋体"/>
          <w:bCs/>
          <w:sz w:val="24"/>
          <w:highlight w:val="none"/>
        </w:rPr>
      </w:pPr>
    </w:p>
    <w:p>
      <w:pPr>
        <w:pStyle w:val="13"/>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10"/>
        <w:spacing w:line="360" w:lineRule="auto"/>
        <w:rPr>
          <w:highlight w:val="none"/>
          <w:lang w:val="fr-CH"/>
        </w:rPr>
      </w:pP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2、需求理解（格式自拟）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3、数据质量把控（格式自拟）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4、项目重点难点分析、应对措施及相关的合理化建议（格式自拟）</w:t>
      </w:r>
    </w:p>
    <w:p>
      <w:pPr>
        <w:tabs>
          <w:tab w:val="left" w:pos="640"/>
          <w:tab w:val="left" w:pos="1260"/>
          <w:tab w:val="left" w:pos="1418"/>
        </w:tabs>
        <w:spacing w:line="360" w:lineRule="auto"/>
        <w:ind w:right="0" w:rightChars="0"/>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5、项目管理措施和进度计划</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default" w:ascii="宋体" w:hAnsi="宋体" w:cs="宋体"/>
          <w:b/>
          <w:bCs/>
          <w:sz w:val="24"/>
          <w:highlight w:val="none"/>
          <w:lang w:val="en-US"/>
        </w:rPr>
      </w:pPr>
      <w:r>
        <w:rPr>
          <w:rFonts w:hint="eastAsia" w:ascii="宋体" w:hAnsi="宋体" w:cs="宋体"/>
          <w:b/>
          <w:bCs/>
          <w:sz w:val="24"/>
          <w:highlight w:val="none"/>
          <w:lang w:val="en-US" w:eastAsia="zh-CN"/>
        </w:rPr>
        <w:t>6、项目服务承诺</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p>
    <w:p>
      <w:pPr>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7</w:t>
      </w:r>
      <w:r>
        <w:rPr>
          <w:rFonts w:hint="eastAsia" w:ascii="宋体" w:hAnsi="宋体" w:cs="宋体"/>
          <w:b/>
          <w:bCs/>
          <w:sz w:val="24"/>
          <w:highlight w:val="none"/>
          <w:lang w:val="fr-CH"/>
        </w:rPr>
        <w:t>、投标单位认为有必要提供的其他材料（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outlineLvl w:val="0"/>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p>
    <w:p>
      <w:pPr>
        <w:tabs>
          <w:tab w:val="left" w:pos="640"/>
          <w:tab w:val="left" w:pos="1260"/>
          <w:tab w:val="left" w:pos="1418"/>
        </w:tabs>
        <w:spacing w:line="360" w:lineRule="auto"/>
        <w:rPr>
          <w:rFonts w:hint="eastAsia" w:ascii="宋体" w:hAnsi="宋体" w:cs="宋体"/>
          <w:b/>
          <w:bCs/>
          <w:sz w:val="24"/>
          <w:highlight w:val="none"/>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40"/>
      <w:bookmarkStart w:id="45" w:name="_Toc3166"/>
      <w:bookmarkStart w:id="46" w:name="_Toc6251"/>
      <w:r>
        <w:rPr>
          <w:rFonts w:hint="eastAsia" w:ascii="宋体" w:hAnsi="宋体" w:cs="宋体"/>
          <w:b/>
          <w:bCs/>
          <w:sz w:val="24"/>
          <w:highlight w:val="none"/>
        </w:rPr>
        <w:t>附件：相关政策</w:t>
      </w:r>
      <w:bookmarkEnd w:id="45"/>
      <w:bookmarkEnd w:id="46"/>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10"/>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0"/>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10"/>
        <w:tabs>
          <w:tab w:val="left" w:pos="562"/>
          <w:tab w:val="left" w:pos="3372"/>
          <w:tab w:val="left" w:pos="3653"/>
        </w:tabs>
        <w:spacing w:before="5" w:line="360" w:lineRule="auto"/>
        <w:rPr>
          <w:rFonts w:ascii="宋体" w:hAnsi="宋体" w:cs="宋体"/>
          <w:sz w:val="24"/>
          <w:highlight w:val="none"/>
        </w:rPr>
      </w:pP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10"/>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10"/>
        <w:tabs>
          <w:tab w:val="left" w:pos="562"/>
          <w:tab w:val="left" w:pos="3372"/>
          <w:tab w:val="left" w:pos="3653"/>
        </w:tabs>
        <w:spacing w:before="30" w:line="360" w:lineRule="auto"/>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10"/>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10"/>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10"/>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spacing w:line="360" w:lineRule="auto"/>
        <w:ind w:left="4200" w:leftChars="2000"/>
        <w:rPr>
          <w:rFonts w:ascii="宋体" w:hAnsi="宋体" w:cs="宋体"/>
          <w:spacing w:val="-2"/>
          <w:sz w:val="24"/>
          <w:highlight w:val="none"/>
        </w:rPr>
      </w:pPr>
    </w:p>
    <w:p>
      <w:pPr>
        <w:pStyle w:val="10"/>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10"/>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10"/>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10"/>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10"/>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3"/>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3"/>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33"/>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33"/>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33"/>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33"/>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p>
            <w:pPr>
              <w:pStyle w:val="33"/>
              <w:keepNext w:val="0"/>
              <w:keepLines w:val="0"/>
              <w:suppressLineNumbers w:val="0"/>
              <w:spacing w:before="0" w:beforeAutospacing="0" w:after="0" w:afterAutospacing="0"/>
              <w:ind w:left="0" w:right="0"/>
              <w:jc w:val="center"/>
              <w:rPr>
                <w:rFonts w:hint="default"/>
                <w:sz w:val="24"/>
                <w:szCs w:val="24"/>
                <w:highlight w:val="none"/>
              </w:rPr>
            </w:pPr>
          </w:p>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33"/>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10"/>
        <w:tabs>
          <w:tab w:val="left" w:pos="562"/>
          <w:tab w:val="left" w:pos="3372"/>
          <w:tab w:val="left" w:pos="3653"/>
        </w:tabs>
        <w:spacing w:before="128"/>
        <w:ind w:left="4220" w:right="1843"/>
        <w:rPr>
          <w:rFonts w:hint="eastAsia" w:ascii="宋体" w:hAnsi="宋体" w:cs="宋体"/>
          <w:sz w:val="24"/>
          <w:highlight w:val="none"/>
        </w:rPr>
      </w:pPr>
    </w:p>
    <w:p>
      <w:pPr>
        <w:pStyle w:val="10"/>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10"/>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10"/>
        <w:tabs>
          <w:tab w:val="left" w:pos="562"/>
          <w:tab w:val="left" w:pos="3372"/>
          <w:tab w:val="left" w:pos="3653"/>
        </w:tabs>
        <w:rPr>
          <w:rFonts w:ascii="宋体" w:hAnsi="宋体" w:cs="宋体"/>
          <w:sz w:val="24"/>
          <w:highlight w:val="none"/>
        </w:rPr>
      </w:pPr>
    </w:p>
    <w:p>
      <w:pPr>
        <w:pStyle w:val="21"/>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r>
        <w:rPr>
          <w:rFonts w:hint="eastAsia" w:ascii="宋体" w:hAnsi="宋体" w:cs="宋体"/>
          <w:b/>
          <w:bCs/>
          <w:sz w:val="24"/>
          <w:highlight w:val="none"/>
        </w:rPr>
        <w:t>信息化部、国家统计局、国家发展和改革委员会、财政部《关于印发〈中小企业划型标准规定〉的通知》（工信部联企〔2011〕300 号）</w:t>
      </w:r>
    </w:p>
    <w:p>
      <w:pPr>
        <w:pStyle w:val="10"/>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10"/>
        <w:rPr>
          <w:rFonts w:ascii="宋体" w:hAnsi="宋体" w:cs="宋体"/>
          <w:sz w:val="24"/>
          <w:highlight w:val="none"/>
        </w:rPr>
      </w:pPr>
    </w:p>
    <w:p>
      <w:pPr>
        <w:rPr>
          <w:rFonts w:ascii="宋体" w:hAnsi="宋体" w:cs="宋体"/>
          <w:sz w:val="24"/>
          <w:highlight w:val="none"/>
        </w:rPr>
      </w:pPr>
    </w:p>
    <w:p>
      <w:pPr>
        <w:pStyle w:val="10"/>
        <w:rPr>
          <w:rFonts w:ascii="宋体" w:hAnsi="宋体" w:cs="宋体"/>
          <w:sz w:val="24"/>
          <w:highlight w:val="none"/>
        </w:rPr>
      </w:pPr>
    </w:p>
    <w:p>
      <w:pPr>
        <w:rPr>
          <w:rFonts w:ascii="宋体" w:hAnsi="宋体" w:cs="宋体"/>
          <w:sz w:val="24"/>
          <w:highlight w:val="none"/>
        </w:rPr>
      </w:pPr>
    </w:p>
    <w:p>
      <w:pPr>
        <w:rPr>
          <w:highlight w:val="none"/>
        </w:rPr>
      </w:pPr>
    </w:p>
    <w:p>
      <w:pPr>
        <w:pStyle w:val="10"/>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21"/>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10"/>
        <w:rPr>
          <w:rFonts w:ascii="宋体" w:hAnsi="宋体" w:cs="宋体"/>
          <w:kern w:val="0"/>
          <w:sz w:val="24"/>
          <w:highlight w:val="none"/>
        </w:rPr>
      </w:pPr>
    </w:p>
    <w:p>
      <w:pPr>
        <w:rPr>
          <w:rFonts w:ascii="宋体" w:hAnsi="宋体" w:cs="宋体"/>
          <w:kern w:val="0"/>
          <w:sz w:val="24"/>
          <w:highlight w:val="none"/>
        </w:rPr>
      </w:pPr>
    </w:p>
    <w:p>
      <w:pPr>
        <w:pStyle w:val="10"/>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10"/>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highlight w:val="none"/>
          <w:lang w:eastAsia="zh-CN"/>
        </w:rPr>
        <w:t>；</w:t>
      </w:r>
      <w:r>
        <w:rPr>
          <w:rFonts w:hint="eastAsia" w:ascii="宋体" w:hAnsi="宋体" w:cs="宋体"/>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0"/>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20"/>
        <w:shd w:val="clear" w:color="auto" w:fill="FFFFFF"/>
        <w:spacing w:before="0" w:beforeAutospacing="0" w:after="0" w:afterAutospacing="0" w:line="360" w:lineRule="auto"/>
        <w:jc w:val="center"/>
        <w:rPr>
          <w:highlight w:val="none"/>
        </w:rPr>
      </w:pPr>
      <w:r>
        <w:rPr>
          <w:rFonts w:hint="eastAsia"/>
          <w:highlight w:val="none"/>
        </w:rPr>
        <w:t>　　</w:t>
      </w:r>
      <w:bookmarkStart w:id="47" w:name="sendNo"/>
      <w:r>
        <w:rPr>
          <w:rFonts w:hint="eastAsia"/>
          <w:highlight w:val="none"/>
        </w:rPr>
        <w:t>财库〔</w:t>
      </w:r>
      <w:bookmarkEnd w:id="47"/>
      <w:r>
        <w:rPr>
          <w:rFonts w:hint="eastAsia"/>
          <w:highlight w:val="none"/>
        </w:rPr>
        <w:t>2017〕141号</w:t>
      </w:r>
    </w:p>
    <w:p>
      <w:pPr>
        <w:pStyle w:val="20"/>
        <w:shd w:val="clear" w:color="auto" w:fill="FFFFFF"/>
        <w:spacing w:before="0" w:beforeAutospacing="0" w:after="0" w:afterAutospacing="0" w:line="360" w:lineRule="auto"/>
        <w:ind w:firstLine="480" w:firstLineChars="200"/>
        <w:rPr>
          <w:highlight w:val="none"/>
        </w:rPr>
      </w:pPr>
      <w:bookmarkStart w:id="48"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8"/>
      <w:r>
        <w:rPr>
          <w:rFonts w:hint="eastAsia"/>
          <w:highlight w:val="none"/>
        </w:rPr>
        <w:t>：</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20"/>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20"/>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34"/>
        <w:shd w:val="clear" w:color="auto" w:fill="FFFFFF"/>
        <w:spacing w:before="0" w:beforeAutospacing="0" w:after="0" w:afterAutospacing="0" w:line="360" w:lineRule="auto"/>
        <w:jc w:val="both"/>
        <w:rPr>
          <w:highlight w:val="none"/>
        </w:rPr>
      </w:pPr>
    </w:p>
    <w:p>
      <w:pPr>
        <w:pStyle w:val="34"/>
        <w:shd w:val="clear" w:color="auto" w:fill="FFFFFF"/>
        <w:spacing w:before="0" w:beforeAutospacing="0" w:after="0" w:afterAutospacing="0" w:line="360" w:lineRule="auto"/>
        <w:jc w:val="both"/>
        <w:rPr>
          <w:highlight w:val="none"/>
        </w:rPr>
      </w:pPr>
    </w:p>
    <w:p>
      <w:pPr>
        <w:pStyle w:val="34"/>
        <w:shd w:val="clear" w:color="auto" w:fill="FFFFFF"/>
        <w:spacing w:before="0" w:beforeAutospacing="0" w:after="0" w:afterAutospacing="0" w:line="360" w:lineRule="auto"/>
        <w:jc w:val="both"/>
        <w:rPr>
          <w:highlight w:val="none"/>
        </w:rPr>
      </w:pPr>
    </w:p>
    <w:p>
      <w:pPr>
        <w:pStyle w:val="34"/>
        <w:shd w:val="clear" w:color="auto" w:fill="FFFFFF"/>
        <w:spacing w:before="0" w:beforeAutospacing="0" w:after="0" w:afterAutospacing="0" w:line="360" w:lineRule="auto"/>
        <w:jc w:val="both"/>
        <w:rPr>
          <w:highlight w:val="none"/>
        </w:rPr>
      </w:pPr>
    </w:p>
    <w:p>
      <w:pPr>
        <w:pStyle w:val="34"/>
        <w:shd w:val="clear" w:color="auto" w:fill="FFFFFF"/>
        <w:spacing w:before="0" w:beforeAutospacing="0" w:after="0" w:afterAutospacing="0" w:line="360" w:lineRule="auto"/>
        <w:jc w:val="both"/>
        <w:rPr>
          <w:highlight w:val="none"/>
        </w:rPr>
      </w:pPr>
    </w:p>
    <w:p>
      <w:pPr>
        <w:pStyle w:val="34"/>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34"/>
        <w:shd w:val="clear" w:color="auto" w:fill="FFFFFF"/>
        <w:spacing w:before="0" w:beforeAutospacing="0" w:after="0" w:afterAutospacing="0" w:line="360" w:lineRule="auto"/>
        <w:jc w:val="both"/>
        <w:rPr>
          <w:highlight w:val="none"/>
        </w:rPr>
      </w:pPr>
      <w:r>
        <w:rPr>
          <w:rFonts w:hint="eastAsia"/>
          <w:highlight w:val="none"/>
        </w:rPr>
        <w:t>附件：</w:t>
      </w:r>
    </w:p>
    <w:p>
      <w:pPr>
        <w:pStyle w:val="34"/>
        <w:shd w:val="clear" w:color="auto" w:fill="FFFFFF"/>
        <w:spacing w:before="0" w:beforeAutospacing="0" w:after="0" w:afterAutospacing="0" w:line="360" w:lineRule="auto"/>
        <w:ind w:firstLine="482" w:firstLineChars="200"/>
        <w:jc w:val="center"/>
        <w:rPr>
          <w:highlight w:val="none"/>
        </w:rPr>
      </w:pPr>
      <w:r>
        <w:rPr>
          <w:rStyle w:val="35"/>
          <w:rFonts w:hint="eastAsia"/>
          <w:b/>
          <w:bCs/>
          <w:highlight w:val="none"/>
        </w:rPr>
        <w:t>残疾人福利性单位声明函</w:t>
      </w:r>
    </w:p>
    <w:p>
      <w:pPr>
        <w:pStyle w:val="34"/>
        <w:shd w:val="clear" w:color="auto" w:fill="FFFFFF"/>
        <w:spacing w:before="0" w:beforeAutospacing="0" w:after="0" w:afterAutospacing="0" w:line="360" w:lineRule="auto"/>
        <w:ind w:firstLine="480" w:firstLineChars="200"/>
        <w:jc w:val="both"/>
        <w:rPr>
          <w:highlight w:val="none"/>
        </w:rPr>
      </w:pPr>
    </w:p>
    <w:p>
      <w:pPr>
        <w:pStyle w:val="34"/>
        <w:shd w:val="clear" w:color="auto" w:fill="FFFFFF"/>
        <w:spacing w:before="0" w:beforeAutospacing="0" w:after="0" w:afterAutospacing="0" w:line="360" w:lineRule="auto"/>
        <w:ind w:firstLine="480" w:firstLineChars="200"/>
        <w:jc w:val="both"/>
        <w:rPr>
          <w:highlight w:val="none"/>
        </w:rPr>
      </w:pPr>
      <w:r>
        <w:rPr>
          <w:rStyle w:val="35"/>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hd w:val="clear" w:color="auto" w:fill="FFFFFF"/>
        <w:spacing w:before="0" w:beforeAutospacing="0" w:after="0" w:afterAutospacing="0" w:line="360" w:lineRule="auto"/>
        <w:ind w:firstLine="480" w:firstLineChars="200"/>
        <w:jc w:val="both"/>
        <w:rPr>
          <w:highlight w:val="none"/>
        </w:rPr>
      </w:pPr>
      <w:r>
        <w:rPr>
          <w:rStyle w:val="35"/>
          <w:rFonts w:hint="eastAsia"/>
          <w:highlight w:val="none"/>
        </w:rPr>
        <w:t>本单位对上述声明的真实性负责。如有虚假，将依法承担相应责任。</w:t>
      </w:r>
    </w:p>
    <w:p>
      <w:pPr>
        <w:pStyle w:val="34"/>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4"/>
        <w:shd w:val="clear" w:color="auto" w:fill="FFFFFF"/>
        <w:spacing w:before="0" w:beforeAutospacing="0" w:after="0" w:afterAutospacing="0" w:line="360" w:lineRule="auto"/>
        <w:ind w:firstLine="480" w:firstLineChars="200"/>
        <w:jc w:val="both"/>
        <w:rPr>
          <w:highlight w:val="none"/>
        </w:rPr>
      </w:pPr>
    </w:p>
    <w:p>
      <w:pPr>
        <w:pStyle w:val="34"/>
        <w:shd w:val="clear" w:color="auto" w:fill="FFFFFF"/>
        <w:spacing w:before="0" w:beforeAutospacing="0" w:after="0" w:afterAutospacing="0" w:line="360" w:lineRule="auto"/>
        <w:ind w:right="2100" w:rightChars="1000"/>
        <w:jc w:val="right"/>
        <w:rPr>
          <w:highlight w:val="none"/>
        </w:rPr>
      </w:pPr>
      <w:r>
        <w:rPr>
          <w:rStyle w:val="35"/>
          <w:rFonts w:hint="eastAsia"/>
          <w:highlight w:val="none"/>
        </w:rPr>
        <w:t>单位名称（盖章）：</w:t>
      </w:r>
    </w:p>
    <w:p>
      <w:pPr>
        <w:pStyle w:val="34"/>
        <w:shd w:val="clear" w:color="auto" w:fill="FFFFFF"/>
        <w:spacing w:before="0" w:beforeAutospacing="0" w:after="0" w:afterAutospacing="0" w:line="360" w:lineRule="auto"/>
        <w:ind w:right="2100" w:rightChars="1000"/>
        <w:jc w:val="right"/>
        <w:rPr>
          <w:highlight w:val="none"/>
          <w:lang w:val="fr-CH"/>
        </w:rPr>
      </w:pPr>
      <w:r>
        <w:rPr>
          <w:rStyle w:val="35"/>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8" w:type="first"/>
      <w:headerReference r:id="rId6" w:type="default"/>
      <w:headerReference r:id="rId7"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7"/>
      </w:rPr>
    </w:pPr>
    <w:r>
      <w:fldChar w:fldCharType="begin"/>
    </w:r>
    <w:r>
      <w:rPr>
        <w:rStyle w:val="27"/>
      </w:rPr>
      <w:instrText xml:space="preserve">PAGE  </w:instrText>
    </w:r>
    <w:r>
      <w:fldChar w:fldCharType="separate"/>
    </w:r>
    <w:r>
      <w:rPr>
        <w:rStyle w:val="27"/>
      </w:rPr>
      <w:t>12</w:t>
    </w:r>
    <w: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7"/>
      </w:rPr>
    </w:pPr>
    <w:r>
      <w:fldChar w:fldCharType="begin"/>
    </w:r>
    <w:r>
      <w:rPr>
        <w:rStyle w:val="27"/>
      </w:rPr>
      <w:instrText xml:space="preserve">PAGE  </w:instrText>
    </w:r>
    <w:r>
      <w:fldChar w:fldCharType="separate"/>
    </w:r>
    <w:r>
      <w:rPr>
        <w:rStyle w:val="27"/>
      </w:rPr>
      <w:t>12</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right"/>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jc w:val="right"/>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B42DD"/>
    <w:multiLevelType w:val="singleLevel"/>
    <w:tmpl w:val="820B42DD"/>
    <w:lvl w:ilvl="0" w:tentative="0">
      <w:start w:val="1"/>
      <w:numFmt w:val="decimal"/>
      <w:lvlText w:val="%1."/>
      <w:lvlJc w:val="left"/>
      <w:pPr>
        <w:tabs>
          <w:tab w:val="left" w:pos="312"/>
        </w:tabs>
      </w:pPr>
    </w:lvl>
  </w:abstractNum>
  <w:abstractNum w:abstractNumId="1">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E2BE74A2"/>
    <w:multiLevelType w:val="singleLevel"/>
    <w:tmpl w:val="E2BE74A2"/>
    <w:lvl w:ilvl="0" w:tentative="0">
      <w:start w:val="1"/>
      <w:numFmt w:val="chineseCounting"/>
      <w:suff w:val="nothing"/>
      <w:lvlText w:val="%1、"/>
      <w:lvlJc w:val="left"/>
      <w:rPr>
        <w:rFonts w:hint="eastAsia"/>
      </w:rPr>
    </w:lvl>
  </w:abstractNum>
  <w:abstractNum w:abstractNumId="4">
    <w:nsid w:val="147E6560"/>
    <w:multiLevelType w:val="multilevel"/>
    <w:tmpl w:val="147E6560"/>
    <w:lvl w:ilvl="0" w:tentative="0">
      <w:start w:val="1"/>
      <w:numFmt w:val="chineseCountingThousand"/>
      <w:pStyle w:val="45"/>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7">
    <w:nsid w:val="5E1D57DD"/>
    <w:multiLevelType w:val="multilevel"/>
    <w:tmpl w:val="5E1D57DD"/>
    <w:lvl w:ilvl="0" w:tentative="0">
      <w:start w:val="1"/>
      <w:numFmt w:val="chineseCountingThousand"/>
      <w:pStyle w:val="2"/>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9">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4"/>
  </w:num>
  <w:num w:numId="3">
    <w:abstractNumId w:val="9"/>
  </w:num>
  <w:num w:numId="4">
    <w:abstractNumId w:val="2"/>
  </w:num>
  <w:num w:numId="5">
    <w:abstractNumId w:val="1"/>
  </w:num>
  <w:num w:numId="6">
    <w:abstractNumId w:val="8"/>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325BC6"/>
    <w:rsid w:val="00427844"/>
    <w:rsid w:val="00523433"/>
    <w:rsid w:val="00531F14"/>
    <w:rsid w:val="005B0D49"/>
    <w:rsid w:val="00616D41"/>
    <w:rsid w:val="00621A13"/>
    <w:rsid w:val="00770252"/>
    <w:rsid w:val="007A52F5"/>
    <w:rsid w:val="00821404"/>
    <w:rsid w:val="00B7098E"/>
    <w:rsid w:val="00C26D89"/>
    <w:rsid w:val="00D05268"/>
    <w:rsid w:val="00E04AD1"/>
    <w:rsid w:val="00E75D82"/>
    <w:rsid w:val="010C37B8"/>
    <w:rsid w:val="016F05E9"/>
    <w:rsid w:val="01A11967"/>
    <w:rsid w:val="01BD17FD"/>
    <w:rsid w:val="02B9090A"/>
    <w:rsid w:val="02BD3216"/>
    <w:rsid w:val="02D52B76"/>
    <w:rsid w:val="031107FC"/>
    <w:rsid w:val="03344889"/>
    <w:rsid w:val="03510688"/>
    <w:rsid w:val="03C80805"/>
    <w:rsid w:val="04220A01"/>
    <w:rsid w:val="05024E58"/>
    <w:rsid w:val="05690583"/>
    <w:rsid w:val="05D84CA5"/>
    <w:rsid w:val="05EB2641"/>
    <w:rsid w:val="063313B4"/>
    <w:rsid w:val="064605D8"/>
    <w:rsid w:val="07552703"/>
    <w:rsid w:val="077AF5D6"/>
    <w:rsid w:val="07D06FDE"/>
    <w:rsid w:val="07DB29DD"/>
    <w:rsid w:val="085A6660"/>
    <w:rsid w:val="086A2F6F"/>
    <w:rsid w:val="088C4E09"/>
    <w:rsid w:val="08C71150"/>
    <w:rsid w:val="09A36B41"/>
    <w:rsid w:val="0A183285"/>
    <w:rsid w:val="0B1A27AE"/>
    <w:rsid w:val="0B30205B"/>
    <w:rsid w:val="0B9650E5"/>
    <w:rsid w:val="0BCC6A37"/>
    <w:rsid w:val="0BD45EF5"/>
    <w:rsid w:val="0BF67D6A"/>
    <w:rsid w:val="0C4D7368"/>
    <w:rsid w:val="0C6C4A39"/>
    <w:rsid w:val="0CCB3933"/>
    <w:rsid w:val="0D376BE5"/>
    <w:rsid w:val="0D6E60A1"/>
    <w:rsid w:val="0DB46393"/>
    <w:rsid w:val="0DBFF8A4"/>
    <w:rsid w:val="0E0636C2"/>
    <w:rsid w:val="0E541CB6"/>
    <w:rsid w:val="0F226313"/>
    <w:rsid w:val="0F260153"/>
    <w:rsid w:val="0F742F92"/>
    <w:rsid w:val="0F9B909F"/>
    <w:rsid w:val="0FA94F43"/>
    <w:rsid w:val="0FBC28CC"/>
    <w:rsid w:val="0FFE3C2D"/>
    <w:rsid w:val="10762E0F"/>
    <w:rsid w:val="10C12E9A"/>
    <w:rsid w:val="12117034"/>
    <w:rsid w:val="122F0D51"/>
    <w:rsid w:val="126D9995"/>
    <w:rsid w:val="12EA61D9"/>
    <w:rsid w:val="12ED74B0"/>
    <w:rsid w:val="12F47908"/>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724F00"/>
    <w:rsid w:val="198C2042"/>
    <w:rsid w:val="199D0E65"/>
    <w:rsid w:val="19D86C84"/>
    <w:rsid w:val="19FA3545"/>
    <w:rsid w:val="1A035868"/>
    <w:rsid w:val="1A4947FA"/>
    <w:rsid w:val="1A827038"/>
    <w:rsid w:val="1AD3361A"/>
    <w:rsid w:val="1AF56CB1"/>
    <w:rsid w:val="1B1D4692"/>
    <w:rsid w:val="1B3C173F"/>
    <w:rsid w:val="1B7F54A3"/>
    <w:rsid w:val="1B7FF535"/>
    <w:rsid w:val="1BBFE1C1"/>
    <w:rsid w:val="1BFDEAE4"/>
    <w:rsid w:val="1BFFE856"/>
    <w:rsid w:val="1C215235"/>
    <w:rsid w:val="1C666BAD"/>
    <w:rsid w:val="1CAF6DFF"/>
    <w:rsid w:val="1CBB5E3D"/>
    <w:rsid w:val="1CBF97F2"/>
    <w:rsid w:val="1CCA332C"/>
    <w:rsid w:val="1D9A259A"/>
    <w:rsid w:val="1DEBDB17"/>
    <w:rsid w:val="1E0830D4"/>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B0CDC"/>
    <w:rsid w:val="1FFD2F03"/>
    <w:rsid w:val="1FFF9FA2"/>
    <w:rsid w:val="207865DF"/>
    <w:rsid w:val="20A4382C"/>
    <w:rsid w:val="20DF1FE2"/>
    <w:rsid w:val="20E64474"/>
    <w:rsid w:val="20E701EC"/>
    <w:rsid w:val="20EB28F3"/>
    <w:rsid w:val="213740D6"/>
    <w:rsid w:val="216300BC"/>
    <w:rsid w:val="2185500C"/>
    <w:rsid w:val="21A92B96"/>
    <w:rsid w:val="2260669D"/>
    <w:rsid w:val="227D45A9"/>
    <w:rsid w:val="22E21BC4"/>
    <w:rsid w:val="2374556A"/>
    <w:rsid w:val="23BF0D43"/>
    <w:rsid w:val="23D13C15"/>
    <w:rsid w:val="23D64C00"/>
    <w:rsid w:val="24495099"/>
    <w:rsid w:val="248D3582"/>
    <w:rsid w:val="25747400"/>
    <w:rsid w:val="25801095"/>
    <w:rsid w:val="25D977F1"/>
    <w:rsid w:val="260D2D7B"/>
    <w:rsid w:val="263C7034"/>
    <w:rsid w:val="26485289"/>
    <w:rsid w:val="2675E140"/>
    <w:rsid w:val="26E2701C"/>
    <w:rsid w:val="26E92BE5"/>
    <w:rsid w:val="271C5A1C"/>
    <w:rsid w:val="271F938A"/>
    <w:rsid w:val="2734033D"/>
    <w:rsid w:val="274A3283"/>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EC5D5C"/>
    <w:rsid w:val="2DFF00AE"/>
    <w:rsid w:val="2DFF5839"/>
    <w:rsid w:val="2E102524"/>
    <w:rsid w:val="2E393461"/>
    <w:rsid w:val="2E3E806D"/>
    <w:rsid w:val="2E5F5866"/>
    <w:rsid w:val="2E8B55C3"/>
    <w:rsid w:val="2EBC3384"/>
    <w:rsid w:val="2EEF79C5"/>
    <w:rsid w:val="2EF45D6A"/>
    <w:rsid w:val="2EF7EE3A"/>
    <w:rsid w:val="2F32348A"/>
    <w:rsid w:val="2F4C0476"/>
    <w:rsid w:val="2F543C2D"/>
    <w:rsid w:val="2F6F2DA0"/>
    <w:rsid w:val="2F6F565C"/>
    <w:rsid w:val="2F7FF788"/>
    <w:rsid w:val="2F9B0E34"/>
    <w:rsid w:val="2FB77A4C"/>
    <w:rsid w:val="2FEAA120"/>
    <w:rsid w:val="2FFDCAA5"/>
    <w:rsid w:val="308A48AC"/>
    <w:rsid w:val="310061F3"/>
    <w:rsid w:val="317F7117"/>
    <w:rsid w:val="319B575E"/>
    <w:rsid w:val="31B72E5C"/>
    <w:rsid w:val="3252163C"/>
    <w:rsid w:val="32AE6949"/>
    <w:rsid w:val="32E7407C"/>
    <w:rsid w:val="32F40FD3"/>
    <w:rsid w:val="32F977F1"/>
    <w:rsid w:val="32FF0317"/>
    <w:rsid w:val="337AE2D6"/>
    <w:rsid w:val="33DEF139"/>
    <w:rsid w:val="33E52AA0"/>
    <w:rsid w:val="33F915CE"/>
    <w:rsid w:val="33F9C19C"/>
    <w:rsid w:val="346DC6E6"/>
    <w:rsid w:val="34D5481E"/>
    <w:rsid w:val="3535527B"/>
    <w:rsid w:val="35E75334"/>
    <w:rsid w:val="35EB6C31"/>
    <w:rsid w:val="35F7ACF4"/>
    <w:rsid w:val="3658705A"/>
    <w:rsid w:val="36B772DB"/>
    <w:rsid w:val="36BDDA7C"/>
    <w:rsid w:val="36EE6EF7"/>
    <w:rsid w:val="36F02742"/>
    <w:rsid w:val="36F7F178"/>
    <w:rsid w:val="36FDBDE3"/>
    <w:rsid w:val="373DBD37"/>
    <w:rsid w:val="3769533B"/>
    <w:rsid w:val="376B13D8"/>
    <w:rsid w:val="3774DA36"/>
    <w:rsid w:val="377DF0D3"/>
    <w:rsid w:val="37AA06DF"/>
    <w:rsid w:val="37B63894"/>
    <w:rsid w:val="37BFE1FD"/>
    <w:rsid w:val="37DD7DB5"/>
    <w:rsid w:val="37DF3574"/>
    <w:rsid w:val="37E36FA9"/>
    <w:rsid w:val="37EBD977"/>
    <w:rsid w:val="37F1164B"/>
    <w:rsid w:val="37F73822"/>
    <w:rsid w:val="37FF5767"/>
    <w:rsid w:val="38607A0E"/>
    <w:rsid w:val="38791C4D"/>
    <w:rsid w:val="38A96204"/>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4D62"/>
    <w:rsid w:val="3C6FA9D3"/>
    <w:rsid w:val="3C9C255A"/>
    <w:rsid w:val="3C9FAAB0"/>
    <w:rsid w:val="3CBF52AA"/>
    <w:rsid w:val="3CFC7333"/>
    <w:rsid w:val="3D146668"/>
    <w:rsid w:val="3D5358A8"/>
    <w:rsid w:val="3D6F35BF"/>
    <w:rsid w:val="3D84435C"/>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464190"/>
    <w:rsid w:val="4050335B"/>
    <w:rsid w:val="40810FC8"/>
    <w:rsid w:val="41A842EA"/>
    <w:rsid w:val="41CF6829"/>
    <w:rsid w:val="42337B3F"/>
    <w:rsid w:val="427D40B5"/>
    <w:rsid w:val="436D51B0"/>
    <w:rsid w:val="440918F1"/>
    <w:rsid w:val="4438097E"/>
    <w:rsid w:val="447D7569"/>
    <w:rsid w:val="449712EE"/>
    <w:rsid w:val="44B52210"/>
    <w:rsid w:val="44CB1698"/>
    <w:rsid w:val="44F324D8"/>
    <w:rsid w:val="455B5B96"/>
    <w:rsid w:val="459C5D66"/>
    <w:rsid w:val="459E2651"/>
    <w:rsid w:val="459F5CA0"/>
    <w:rsid w:val="45B85B30"/>
    <w:rsid w:val="45C41A3D"/>
    <w:rsid w:val="462D6801"/>
    <w:rsid w:val="469D7925"/>
    <w:rsid w:val="46EA32A6"/>
    <w:rsid w:val="47053F7C"/>
    <w:rsid w:val="4706073F"/>
    <w:rsid w:val="47775721"/>
    <w:rsid w:val="478563C6"/>
    <w:rsid w:val="47C60945"/>
    <w:rsid w:val="47E9A1A0"/>
    <w:rsid w:val="48002B88"/>
    <w:rsid w:val="480E6DE3"/>
    <w:rsid w:val="48255184"/>
    <w:rsid w:val="484F4B48"/>
    <w:rsid w:val="485F07D8"/>
    <w:rsid w:val="48605FCE"/>
    <w:rsid w:val="48C06477"/>
    <w:rsid w:val="48C3322B"/>
    <w:rsid w:val="48F14BF7"/>
    <w:rsid w:val="4945059D"/>
    <w:rsid w:val="49BEA124"/>
    <w:rsid w:val="49CC6CB6"/>
    <w:rsid w:val="49E140B7"/>
    <w:rsid w:val="4A6202EB"/>
    <w:rsid w:val="4A7C4FC1"/>
    <w:rsid w:val="4A9A6CAF"/>
    <w:rsid w:val="4A9C5875"/>
    <w:rsid w:val="4AFD4615"/>
    <w:rsid w:val="4B07214E"/>
    <w:rsid w:val="4B454A0A"/>
    <w:rsid w:val="4B5A3FD8"/>
    <w:rsid w:val="4B887951"/>
    <w:rsid w:val="4BC20883"/>
    <w:rsid w:val="4C251B2D"/>
    <w:rsid w:val="4CF92E7B"/>
    <w:rsid w:val="4CFB6B2C"/>
    <w:rsid w:val="4D1DB812"/>
    <w:rsid w:val="4D357CE0"/>
    <w:rsid w:val="4D487BDA"/>
    <w:rsid w:val="4DAFC284"/>
    <w:rsid w:val="4DBB3E33"/>
    <w:rsid w:val="4DE3154B"/>
    <w:rsid w:val="4DF5D2BF"/>
    <w:rsid w:val="4E5655E3"/>
    <w:rsid w:val="4ECD7EB5"/>
    <w:rsid w:val="4EDE35AC"/>
    <w:rsid w:val="4F640F18"/>
    <w:rsid w:val="4F75F5F0"/>
    <w:rsid w:val="4F7E3902"/>
    <w:rsid w:val="4F9A44F8"/>
    <w:rsid w:val="4F9F214B"/>
    <w:rsid w:val="4FF395E6"/>
    <w:rsid w:val="4FFA569E"/>
    <w:rsid w:val="4FFF7B66"/>
    <w:rsid w:val="51487335"/>
    <w:rsid w:val="51AF4AF0"/>
    <w:rsid w:val="51BCFBE2"/>
    <w:rsid w:val="51DE005C"/>
    <w:rsid w:val="51E01C33"/>
    <w:rsid w:val="51E44568"/>
    <w:rsid w:val="51F15DFD"/>
    <w:rsid w:val="51FF628E"/>
    <w:rsid w:val="522BBFAA"/>
    <w:rsid w:val="522D533A"/>
    <w:rsid w:val="53252976"/>
    <w:rsid w:val="53401509"/>
    <w:rsid w:val="53543ED7"/>
    <w:rsid w:val="536433D3"/>
    <w:rsid w:val="536F6462"/>
    <w:rsid w:val="53BD2119"/>
    <w:rsid w:val="547C1168"/>
    <w:rsid w:val="549324D8"/>
    <w:rsid w:val="54C469E3"/>
    <w:rsid w:val="553C7A36"/>
    <w:rsid w:val="5567BD2F"/>
    <w:rsid w:val="557D857A"/>
    <w:rsid w:val="557F84E0"/>
    <w:rsid w:val="55992B5C"/>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06FD0"/>
    <w:rsid w:val="59D63A74"/>
    <w:rsid w:val="59D714F6"/>
    <w:rsid w:val="59DFFD93"/>
    <w:rsid w:val="59EF1DFC"/>
    <w:rsid w:val="5A4947D3"/>
    <w:rsid w:val="5ABB1050"/>
    <w:rsid w:val="5AF93469"/>
    <w:rsid w:val="5B3B3860"/>
    <w:rsid w:val="5B5D2F92"/>
    <w:rsid w:val="5B7756EE"/>
    <w:rsid w:val="5B7DDC28"/>
    <w:rsid w:val="5B7F624A"/>
    <w:rsid w:val="5BAF68EF"/>
    <w:rsid w:val="5BB1160B"/>
    <w:rsid w:val="5BE72AE1"/>
    <w:rsid w:val="5BEB75A4"/>
    <w:rsid w:val="5BF42BBB"/>
    <w:rsid w:val="5BFFD5F5"/>
    <w:rsid w:val="5CF634E9"/>
    <w:rsid w:val="5D355CB4"/>
    <w:rsid w:val="5D5D99E9"/>
    <w:rsid w:val="5D7FC7C9"/>
    <w:rsid w:val="5D9952E5"/>
    <w:rsid w:val="5D9A46F0"/>
    <w:rsid w:val="5DAD523C"/>
    <w:rsid w:val="5DAF0801"/>
    <w:rsid w:val="5DE3477F"/>
    <w:rsid w:val="5DEE2A2A"/>
    <w:rsid w:val="5DEEFCE9"/>
    <w:rsid w:val="5DF7BECE"/>
    <w:rsid w:val="5DFB6840"/>
    <w:rsid w:val="5DFDE687"/>
    <w:rsid w:val="5E14F78C"/>
    <w:rsid w:val="5E1F6A54"/>
    <w:rsid w:val="5E87441E"/>
    <w:rsid w:val="5EB735A1"/>
    <w:rsid w:val="5EBAD936"/>
    <w:rsid w:val="5EBD38F4"/>
    <w:rsid w:val="5EC6A0C8"/>
    <w:rsid w:val="5ECE672C"/>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851617"/>
    <w:rsid w:val="5FA01D10"/>
    <w:rsid w:val="5FA77A2C"/>
    <w:rsid w:val="5FDB6720"/>
    <w:rsid w:val="5FDF10FF"/>
    <w:rsid w:val="5FDFE6D0"/>
    <w:rsid w:val="5FED422E"/>
    <w:rsid w:val="5FF48D17"/>
    <w:rsid w:val="5FF6893A"/>
    <w:rsid w:val="5FF8AACB"/>
    <w:rsid w:val="5FFB4E30"/>
    <w:rsid w:val="5FFB4F3D"/>
    <w:rsid w:val="5FFD8CB0"/>
    <w:rsid w:val="5FFF5037"/>
    <w:rsid w:val="5FFFE862"/>
    <w:rsid w:val="603A4B4D"/>
    <w:rsid w:val="60477613"/>
    <w:rsid w:val="607D3748"/>
    <w:rsid w:val="610C3A9C"/>
    <w:rsid w:val="611B38AB"/>
    <w:rsid w:val="615C31E8"/>
    <w:rsid w:val="61B62DA1"/>
    <w:rsid w:val="61FF5178"/>
    <w:rsid w:val="6243437A"/>
    <w:rsid w:val="62616D7C"/>
    <w:rsid w:val="628D14F2"/>
    <w:rsid w:val="62BD4574"/>
    <w:rsid w:val="62FA7330"/>
    <w:rsid w:val="6325773C"/>
    <w:rsid w:val="634C1706"/>
    <w:rsid w:val="63B63069"/>
    <w:rsid w:val="63E57C7D"/>
    <w:rsid w:val="64480A16"/>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7DB2B6"/>
    <w:rsid w:val="6BA60BF0"/>
    <w:rsid w:val="6BAD01AB"/>
    <w:rsid w:val="6BB585A9"/>
    <w:rsid w:val="6BBB65E2"/>
    <w:rsid w:val="6BC364E5"/>
    <w:rsid w:val="6BEC1818"/>
    <w:rsid w:val="6BEEC337"/>
    <w:rsid w:val="6BFB3942"/>
    <w:rsid w:val="6BFC154B"/>
    <w:rsid w:val="6BFDD94E"/>
    <w:rsid w:val="6BFE6227"/>
    <w:rsid w:val="6BFF005A"/>
    <w:rsid w:val="6BFF12B7"/>
    <w:rsid w:val="6C1FE371"/>
    <w:rsid w:val="6C32189C"/>
    <w:rsid w:val="6C4C7A62"/>
    <w:rsid w:val="6C5A43C6"/>
    <w:rsid w:val="6C7B0821"/>
    <w:rsid w:val="6C7F72AC"/>
    <w:rsid w:val="6C892D57"/>
    <w:rsid w:val="6CE16F10"/>
    <w:rsid w:val="6CF9A775"/>
    <w:rsid w:val="6D2A2DC6"/>
    <w:rsid w:val="6D5050C7"/>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000"/>
    <w:rsid w:val="6FEC0EF8"/>
    <w:rsid w:val="6FEE3D9A"/>
    <w:rsid w:val="6FEF3E9F"/>
    <w:rsid w:val="6FFD0C97"/>
    <w:rsid w:val="6FFD15F0"/>
    <w:rsid w:val="6FFECEB9"/>
    <w:rsid w:val="6FFF08FD"/>
    <w:rsid w:val="6FFF45DC"/>
    <w:rsid w:val="705B3DA2"/>
    <w:rsid w:val="7080499D"/>
    <w:rsid w:val="7082711C"/>
    <w:rsid w:val="70C236C4"/>
    <w:rsid w:val="70F03CAE"/>
    <w:rsid w:val="70F12FC6"/>
    <w:rsid w:val="713F17D9"/>
    <w:rsid w:val="716A0756"/>
    <w:rsid w:val="71AC1F64"/>
    <w:rsid w:val="71BF5DB7"/>
    <w:rsid w:val="71E85758"/>
    <w:rsid w:val="72100F31"/>
    <w:rsid w:val="72104BA7"/>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E1108C"/>
    <w:rsid w:val="73EA2AA9"/>
    <w:rsid w:val="73F5007A"/>
    <w:rsid w:val="73FEB008"/>
    <w:rsid w:val="73FF3C21"/>
    <w:rsid w:val="74077D93"/>
    <w:rsid w:val="743F2389"/>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485426"/>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BB64C1"/>
    <w:rsid w:val="7ECFC5A0"/>
    <w:rsid w:val="7EDF81E0"/>
    <w:rsid w:val="7EDFB9CE"/>
    <w:rsid w:val="7EEF2EF0"/>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17947E6"/>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ADD55AC"/>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EDA645"/>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8">
    <w:name w:val="heading 3"/>
    <w:basedOn w:val="1"/>
    <w:next w:val="1"/>
    <w:qFormat/>
    <w:uiPriority w:val="0"/>
    <w:pPr>
      <w:keepNext/>
      <w:keepLines/>
      <w:spacing w:before="260" w:after="260" w:line="415"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5"/>
    <w:qFormat/>
    <w:uiPriority w:val="0"/>
    <w:pPr>
      <w:numPr>
        <w:ilvl w:val="0"/>
        <w:numId w:val="1"/>
      </w:numPr>
      <w:tabs>
        <w:tab w:val="left" w:pos="1050"/>
        <w:tab w:val="left" w:pos="2040"/>
      </w:tabs>
      <w:ind w:left="420" w:firstLine="420" w:firstLineChars="200"/>
    </w:pPr>
    <w:rPr>
      <w:rFonts w:asciiTheme="minorHAnsi" w:hAnsiTheme="minorHAnsi" w:eastAsiaTheme="minorEastAsia" w:cstheme="minorBidi"/>
    </w:rPr>
  </w:style>
  <w:style w:type="paragraph" w:styleId="3">
    <w:name w:val="Body Text Indent"/>
    <w:basedOn w:val="1"/>
    <w:next w:val="4"/>
    <w:link w:val="40"/>
    <w:unhideWhenUsed/>
    <w:qFormat/>
    <w:uiPriority w:val="99"/>
    <w:pPr>
      <w:spacing w:after="120"/>
      <w:ind w:left="420" w:leftChars="200"/>
    </w:pPr>
    <w:rPr>
      <w:kern w:val="0"/>
      <w:sz w:val="20"/>
      <w:szCs w:val="20"/>
    </w:rPr>
  </w:style>
  <w:style w:type="paragraph" w:styleId="4">
    <w:name w:val="envelope return"/>
    <w:basedOn w:val="1"/>
    <w:qFormat/>
    <w:uiPriority w:val="0"/>
    <w:pPr>
      <w:tabs>
        <w:tab w:val="left" w:pos="426"/>
      </w:tabs>
    </w:pPr>
    <w:rPr>
      <w:rFonts w:ascii="Arial" w:hAnsi="Arial"/>
    </w:rPr>
  </w:style>
  <w:style w:type="paragraph" w:styleId="5">
    <w:name w:val="List"/>
    <w:basedOn w:val="1"/>
    <w:qFormat/>
    <w:uiPriority w:val="0"/>
    <w:pPr>
      <w:ind w:left="200" w:hanging="200" w:hangingChars="200"/>
    </w:pPr>
    <w:rPr>
      <w:rFonts w:ascii="Calibri" w:hAnsi="Calibri"/>
      <w:szCs w:val="20"/>
    </w:rPr>
  </w:style>
  <w:style w:type="paragraph" w:styleId="9">
    <w:name w:val="Normal Indent"/>
    <w:basedOn w:val="1"/>
    <w:next w:val="10"/>
    <w:qFormat/>
    <w:uiPriority w:val="0"/>
    <w:pPr>
      <w:ind w:firstLine="420" w:firstLineChars="200"/>
    </w:pPr>
    <w:rPr>
      <w:szCs w:val="20"/>
    </w:rPr>
  </w:style>
  <w:style w:type="paragraph" w:styleId="10">
    <w:name w:val="Body Text"/>
    <w:basedOn w:val="1"/>
    <w:link w:val="37"/>
    <w:unhideWhenUsed/>
    <w:qFormat/>
    <w:uiPriority w:val="99"/>
    <w:pPr>
      <w:spacing w:after="120"/>
    </w:pPr>
  </w:style>
  <w:style w:type="paragraph" w:styleId="11">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12">
    <w:name w:val="Block Text"/>
    <w:basedOn w:val="1"/>
    <w:unhideWhenUsed/>
    <w:qFormat/>
    <w:uiPriority w:val="99"/>
    <w:pPr>
      <w:spacing w:after="120"/>
      <w:ind w:left="1440" w:leftChars="700" w:right="1440" w:rightChars="700"/>
    </w:pPr>
  </w:style>
  <w:style w:type="paragraph" w:styleId="13">
    <w:name w:val="Plain Text"/>
    <w:basedOn w:val="1"/>
    <w:next w:val="14"/>
    <w:qFormat/>
    <w:uiPriority w:val="0"/>
    <w:rPr>
      <w:rFonts w:ascii="宋体"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Balloon Text"/>
    <w:basedOn w:val="1"/>
    <w:link w:val="36"/>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eastAsia="隶书"/>
      <w:b/>
      <w:bCs/>
      <w:sz w:val="32"/>
      <w:szCs w:val="32"/>
    </w:rPr>
  </w:style>
  <w:style w:type="paragraph" w:styleId="22">
    <w:name w:val="Body Text First Indent"/>
    <w:basedOn w:val="10"/>
    <w:qFormat/>
    <w:uiPriority w:val="0"/>
    <w:pPr>
      <w:ind w:firstLine="420" w:firstLineChars="100"/>
    </w:pPr>
  </w:style>
  <w:style w:type="table" w:styleId="24">
    <w:name w:val="Table Grid"/>
    <w:basedOn w:val="23"/>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qFormat/>
    <w:uiPriority w:val="0"/>
    <w:rPr>
      <w:b/>
    </w:rPr>
  </w:style>
  <w:style w:type="character" w:styleId="27">
    <w:name w:val="page number"/>
    <w:qFormat/>
    <w:uiPriority w:val="0"/>
  </w:style>
  <w:style w:type="character" w:styleId="28">
    <w:name w:val="annotation reference"/>
    <w:unhideWhenUsed/>
    <w:qFormat/>
    <w:uiPriority w:val="0"/>
    <w:rPr>
      <w:sz w:val="21"/>
      <w:szCs w:val="21"/>
    </w:rPr>
  </w:style>
  <w:style w:type="paragraph" w:customStyle="1" w:styleId="29">
    <w:name w:val="表格文字"/>
    <w:basedOn w:val="1"/>
    <w:next w:val="1"/>
    <w:qFormat/>
    <w:uiPriority w:val="0"/>
    <w:pPr>
      <w:spacing w:before="25" w:after="25"/>
      <w:jc w:val="left"/>
    </w:pPr>
    <w:rPr>
      <w:spacing w:val="10"/>
      <w:kern w:val="0"/>
      <w:sz w:val="24"/>
      <w:szCs w:val="20"/>
    </w:rPr>
  </w:style>
  <w:style w:type="paragraph" w:styleId="3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1">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2">
    <w:name w:val="列出段落2"/>
    <w:basedOn w:val="1"/>
    <w:qFormat/>
    <w:uiPriority w:val="34"/>
    <w:pPr>
      <w:ind w:firstLine="420" w:firstLineChars="200"/>
    </w:pPr>
  </w:style>
  <w:style w:type="paragraph" w:customStyle="1" w:styleId="33">
    <w:name w:val="Table Paragraph"/>
    <w:basedOn w:val="1"/>
    <w:qFormat/>
    <w:uiPriority w:val="0"/>
    <w:pPr>
      <w:autoSpaceDE w:val="0"/>
      <w:autoSpaceDN w:val="0"/>
      <w:jc w:val="left"/>
    </w:pPr>
    <w:rPr>
      <w:rFonts w:ascii="宋体" w:hAnsi="宋体" w:cs="宋体"/>
      <w:kern w:val="0"/>
      <w:sz w:val="22"/>
      <w:szCs w:val="22"/>
    </w:rPr>
  </w:style>
  <w:style w:type="paragraph" w:customStyle="1" w:styleId="3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qowt-font5-gb2312"/>
    <w:qFormat/>
    <w:uiPriority w:val="0"/>
  </w:style>
  <w:style w:type="character" w:customStyle="1" w:styleId="36">
    <w:name w:val="批注框文本 Char"/>
    <w:basedOn w:val="25"/>
    <w:link w:val="15"/>
    <w:qFormat/>
    <w:uiPriority w:val="0"/>
    <w:rPr>
      <w:kern w:val="2"/>
      <w:sz w:val="18"/>
      <w:szCs w:val="18"/>
    </w:rPr>
  </w:style>
  <w:style w:type="character" w:customStyle="1" w:styleId="37">
    <w:name w:val="正文文本 Char"/>
    <w:basedOn w:val="25"/>
    <w:link w:val="10"/>
    <w:qFormat/>
    <w:uiPriority w:val="99"/>
    <w:rPr>
      <w:kern w:val="2"/>
      <w:sz w:val="21"/>
      <w:szCs w:val="24"/>
    </w:rPr>
  </w:style>
  <w:style w:type="paragraph" w:customStyle="1" w:styleId="38">
    <w:name w:val="msolistparagraph"/>
    <w:basedOn w:val="1"/>
    <w:qFormat/>
    <w:uiPriority w:val="0"/>
    <w:pPr>
      <w:ind w:firstLine="420" w:firstLineChars="200"/>
    </w:pPr>
  </w:style>
  <w:style w:type="paragraph" w:customStyle="1" w:styleId="39">
    <w:name w:val="正文格式"/>
    <w:basedOn w:val="3"/>
    <w:qFormat/>
    <w:uiPriority w:val="99"/>
    <w:pPr>
      <w:spacing w:after="0" w:line="360" w:lineRule="auto"/>
      <w:ind w:left="0" w:leftChars="0" w:firstLine="600"/>
    </w:pPr>
    <w:rPr>
      <w:rFonts w:eastAsia="仿宋_GB2312"/>
      <w:sz w:val="30"/>
      <w:szCs w:val="30"/>
    </w:rPr>
  </w:style>
  <w:style w:type="character" w:customStyle="1" w:styleId="40">
    <w:name w:val="正文文本缩进 Char"/>
    <w:link w:val="3"/>
    <w:semiHidden/>
    <w:qFormat/>
    <w:uiPriority w:val="99"/>
    <w:rPr>
      <w:kern w:val="0"/>
      <w:sz w:val="20"/>
      <w:szCs w:val="20"/>
    </w:rPr>
  </w:style>
  <w:style w:type="paragraph" w:customStyle="1" w:styleId="4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style>
  <w:style w:type="paragraph" w:customStyle="1" w:styleId="43">
    <w:name w:val="9前海 标题"/>
    <w:basedOn w:val="1"/>
    <w:next w:val="44"/>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4">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5">
    <w:name w:val="1级标题"/>
    <w:basedOn w:val="1"/>
    <w:next w:val="46"/>
    <w:qFormat/>
    <w:uiPriority w:val="0"/>
    <w:pPr>
      <w:numPr>
        <w:ilvl w:val="0"/>
        <w:numId w:val="2"/>
      </w:numPr>
      <w:spacing w:line="560" w:lineRule="exact"/>
      <w:ind w:left="0" w:firstLine="640" w:firstLineChars="200"/>
      <w:outlineLvl w:val="0"/>
    </w:pPr>
    <w:rPr>
      <w:rFonts w:ascii="黑体" w:hAnsi="黑体" w:eastAsia="黑体" w:cs="Arial"/>
      <w:sz w:val="32"/>
      <w:szCs w:val="32"/>
    </w:rPr>
  </w:style>
  <w:style w:type="paragraph" w:customStyle="1" w:styleId="46">
    <w:name w:val="9前海 正文"/>
    <w:basedOn w:val="44"/>
    <w:qFormat/>
    <w:uiPriority w:val="0"/>
    <w:pPr>
      <w:ind w:firstLine="640"/>
    </w:pPr>
    <w:rPr>
      <w:rFonts w:ascii="仿宋_GB2312" w:eastAsia="仿宋_GB2312"/>
    </w:rPr>
  </w:style>
  <w:style w:type="paragraph" w:customStyle="1" w:styleId="47">
    <w:name w:val="2级标题"/>
    <w:basedOn w:val="46"/>
    <w:next w:val="46"/>
    <w:qFormat/>
    <w:uiPriority w:val="0"/>
    <w:pPr>
      <w:ind w:firstLine="643"/>
      <w:outlineLvl w:val="1"/>
    </w:pPr>
    <w:rPr>
      <w:rFonts w:ascii="楷体_GB2312" w:hAnsi="楷体" w:eastAsia="楷体_GB2312"/>
      <w:b/>
    </w:rPr>
  </w:style>
  <w:style w:type="character" w:customStyle="1" w:styleId="48">
    <w:name w:val="15"/>
    <w:basedOn w:val="25"/>
    <w:qFormat/>
    <w:uiPriority w:val="0"/>
    <w:rPr>
      <w:rFonts w:hint="default" w:ascii="Times New Roman" w:hAnsi="Times New Roman" w:cs="Times New Roman"/>
    </w:rPr>
  </w:style>
  <w:style w:type="character" w:customStyle="1" w:styleId="49">
    <w:name w:val="font61"/>
    <w:qFormat/>
    <w:uiPriority w:val="0"/>
    <w:rPr>
      <w:rFonts w:ascii="Calibri" w:hAnsi="Calibri" w:cs="Calibri"/>
      <w:color w:val="000000"/>
      <w:sz w:val="28"/>
      <w:szCs w:val="28"/>
      <w:u w:val="none"/>
    </w:rPr>
  </w:style>
  <w:style w:type="character" w:customStyle="1" w:styleId="50">
    <w:name w:val="font21"/>
    <w:qFormat/>
    <w:uiPriority w:val="0"/>
    <w:rPr>
      <w:rFonts w:hint="eastAsia" w:ascii="黑体" w:hAnsi="宋体" w:eastAsia="黑体" w:cs="黑体"/>
      <w:color w:val="000000"/>
      <w:sz w:val="28"/>
      <w:szCs w:val="28"/>
      <w:u w:val="none"/>
    </w:rPr>
  </w:style>
  <w:style w:type="character" w:customStyle="1" w:styleId="51">
    <w:name w:val="font3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10031</Words>
  <Characters>10468</Characters>
  <Lines>1</Lines>
  <Paragraphs>1</Paragraphs>
  <TotalTime>10</TotalTime>
  <ScaleCrop>false</ScaleCrop>
  <LinksUpToDate>false</LinksUpToDate>
  <CharactersWithSpaces>10692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2023-09-27T20:34:00Z</dcterms:created>
  <dc:creator>黄雅静</dc:creator>
  <cp:lastModifiedBy>黎俊</cp:lastModifiedBy>
  <cp:lastPrinted>2023-11-11T19:12:00Z</cp:lastPrinted>
  <dcterms:modified xsi:type="dcterms:W3CDTF">2025-08-06T02:19:24Z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FD203F45858E4DAABBAACE34DCD5E0FA_13</vt:lpwstr>
  </property>
  <property fmtid="{D5CDD505-2E9C-101B-9397-08002B2CF9AE}" pid="4" name="KSOTemplateDocerSaveRecord">
    <vt:lpwstr>eyJoZGlkIjoiMWViNjU1YjYxMmE1ZjA1ZGI4YzZiMWU4ZDg3Zjk4MWMiLCJ1c2VySWQiOiIxNDg2ODI2MzgyIn0=</vt:lpwstr>
  </property>
</Properties>
</file>