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rPr>
          <w:rFonts w:ascii="宋体" w:hAnsi="宋体" w:cs="宋体"/>
          <w:b/>
          <w:color w:val="000000" w:themeColor="text1"/>
          <w:sz w:val="44"/>
          <w14:textFill>
            <w14:solidFill>
              <w14:schemeClr w14:val="tx1"/>
            </w14:solidFill>
          </w14:textFill>
        </w:rPr>
      </w:pPr>
    </w:p>
    <w:p>
      <w:pPr>
        <w:ind w:left="2326" w:leftChars="247" w:right="-319" w:rightChars="-152" w:hanging="1807" w:hangingChars="5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招标编号：QH2025078</w:t>
      </w:r>
    </w:p>
    <w:p>
      <w:pPr>
        <w:pStyle w:val="23"/>
        <w:ind w:firstLine="420"/>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pStyle w:val="23"/>
        <w:ind w:firstLine="420"/>
        <w:rPr>
          <w:rFonts w:ascii="宋体" w:hAnsi="宋体" w:cs="宋体"/>
          <w:color w:val="000000" w:themeColor="text1"/>
          <w14:textFill>
            <w14:solidFill>
              <w14:schemeClr w14:val="tx1"/>
            </w14:solidFill>
          </w14:textFill>
        </w:rPr>
      </w:pPr>
    </w:p>
    <w:p>
      <w:pPr>
        <w:ind w:left="2326" w:leftChars="247" w:right="-319" w:rightChars="-152" w:hanging="1807" w:hangingChars="5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bookmarkStart w:id="0" w:name="OLE_LINK3"/>
      <w:r>
        <w:rPr>
          <w:rFonts w:hint="eastAsia" w:ascii="宋体" w:hAnsi="宋体" w:cs="宋体"/>
          <w:b/>
          <w:color w:val="000000" w:themeColor="text1"/>
          <w:sz w:val="36"/>
          <w:szCs w:val="36"/>
          <w14:textFill>
            <w14:solidFill>
              <w14:schemeClr w14:val="tx1"/>
            </w14:solidFill>
          </w14:textFill>
        </w:rPr>
        <w:t>前海合作区港人港企数据分析项目</w:t>
      </w:r>
      <w:bookmarkEnd w:id="0"/>
    </w:p>
    <w:p>
      <w:pPr>
        <w:ind w:firstLine="3264" w:firstLineChars="739"/>
        <w:rPr>
          <w:rFonts w:ascii="宋体" w:hAnsi="宋体" w:cs="宋体"/>
          <w:b/>
          <w:color w:val="000000" w:themeColor="text1"/>
          <w:sz w:val="44"/>
          <w14:textFill>
            <w14:solidFill>
              <w14:schemeClr w14:val="tx1"/>
            </w14:solidFill>
          </w14:textFill>
        </w:rPr>
      </w:pPr>
    </w:p>
    <w:p>
      <w:pPr>
        <w:ind w:left="1260" w:leftChars="600" w:firstLine="1855" w:firstLineChars="420"/>
        <w:rPr>
          <w:rFonts w:ascii="宋体" w:hAnsi="宋体" w:cs="宋体"/>
          <w:b/>
          <w:color w:val="000000" w:themeColor="text1"/>
          <w:sz w:val="44"/>
          <w14:textFill>
            <w14:solidFill>
              <w14:schemeClr w14:val="tx1"/>
            </w14:solidFill>
          </w14:textFill>
        </w:rPr>
      </w:pPr>
    </w:p>
    <w:p>
      <w:pPr>
        <w:rPr>
          <w:rFonts w:ascii="宋体" w:hAnsi="宋体" w:cs="宋体"/>
          <w:b/>
          <w:color w:val="000000" w:themeColor="text1"/>
          <w:sz w:val="44"/>
          <w14:textFill>
            <w14:solidFill>
              <w14:schemeClr w14:val="tx1"/>
            </w14:solidFill>
          </w14:textFill>
        </w:rPr>
      </w:pPr>
    </w:p>
    <w:p>
      <w:pPr>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w:t>
      </w:r>
      <w:r>
        <w:rPr>
          <w:rFonts w:hint="eastAsia" w:ascii="宋体" w:hAnsi="宋体" w:cs="宋体"/>
          <w:b/>
          <w:bCs/>
          <w:color w:val="000000" w:themeColor="text1"/>
          <w:sz w:val="36"/>
          <w:szCs w:val="36"/>
          <w:lang w:val="en-US" w:eastAsia="zh-CN"/>
          <w14:textFill>
            <w14:solidFill>
              <w14:schemeClr w14:val="tx1"/>
            </w14:solidFill>
          </w14:textFill>
        </w:rPr>
        <w:t>7</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ascii="宋体" w:hAnsi="宋体" w:cs="宋体"/>
          <w:b/>
          <w:bCs/>
          <w:color w:val="000000" w:themeColor="text1"/>
          <w:kern w:val="0"/>
          <w:sz w:val="36"/>
          <w:szCs w:val="36"/>
          <w14:textFill>
            <w14:solidFill>
              <w14:schemeClr w14:val="tx1"/>
            </w14:solidFill>
          </w14:textFill>
        </w:rPr>
      </w:pPr>
      <w:bookmarkStart w:id="1"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bookmarkStart w:id="47" w:name="_GoBack"/>
      <w:bookmarkEnd w:id="47"/>
    </w:p>
    <w:p>
      <w:pPr>
        <w:pStyle w:val="3"/>
        <w:rPr>
          <w:color w:val="000000" w:themeColor="text1"/>
          <w14:textFill>
            <w14:solidFill>
              <w14:schemeClr w14:val="tx1"/>
            </w14:solidFill>
          </w14:textFill>
        </w:rPr>
      </w:pPr>
    </w:p>
    <w:p>
      <w:pPr>
        <w:ind w:firstLine="480" w:firstLineChars="200"/>
        <w:rPr>
          <w:rFonts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b/>
                <w:bCs/>
                <w:sz w:val="24"/>
              </w:rPr>
            </w:pPr>
            <w:r>
              <w:rPr>
                <w:rFonts w:hint="eastAsia" w:ascii="宋体" w:hAnsi="宋体" w:cs="宋体"/>
                <w:b/>
                <w:bCs/>
                <w:sz w:val="24"/>
              </w:rPr>
              <w:t>序号</w:t>
            </w:r>
          </w:p>
        </w:tc>
        <w:tc>
          <w:tcPr>
            <w:tcW w:w="4482" w:type="pct"/>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1</w:t>
            </w:r>
          </w:p>
        </w:tc>
        <w:tc>
          <w:tcPr>
            <w:tcW w:w="4482" w:type="pct"/>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2</w:t>
            </w:r>
          </w:p>
        </w:tc>
        <w:tc>
          <w:tcPr>
            <w:tcW w:w="4482" w:type="pct"/>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3</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4</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5</w:t>
            </w:r>
          </w:p>
        </w:tc>
        <w:tc>
          <w:tcPr>
            <w:tcW w:w="4482" w:type="pct"/>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ascii="宋体" w:hAnsi="宋体" w:cs="宋体"/>
          <w:sz w:val="24"/>
        </w:rPr>
      </w:pPr>
      <w:r>
        <w:rPr>
          <w:rStyle w:val="20"/>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4"/>
        <w:shd w:val="clear" w:color="auto" w:fill="FFFFFF"/>
        <w:spacing w:before="0" w:beforeAutospacing="0" w:after="0" w:afterAutospacing="0" w:line="360" w:lineRule="auto"/>
        <w:ind w:firstLine="480" w:firstLineChars="200"/>
      </w:pPr>
      <w:bookmarkStart w:id="2" w:name="_Toc2750"/>
      <w:r>
        <w:rPr>
          <w:rFonts w:hint="eastAsia"/>
        </w:rPr>
        <w:t>（一）在采购活动中应当回避而未回避的；</w:t>
      </w:r>
      <w:bookmarkEnd w:id="2"/>
    </w:p>
    <w:p>
      <w:pPr>
        <w:pStyle w:val="14"/>
        <w:shd w:val="clear" w:color="auto" w:fill="FFFFFF"/>
        <w:spacing w:before="0" w:beforeAutospacing="0" w:after="0" w:afterAutospacing="0" w:line="360" w:lineRule="auto"/>
        <w:ind w:firstLine="480" w:firstLineChars="200"/>
      </w:pPr>
      <w:r>
        <w:rPr>
          <w:rFonts w:hint="eastAsia"/>
        </w:rPr>
        <w:t>（二）未按照本条例规定签订、履行采购合同，造成严重后果的；</w:t>
      </w:r>
    </w:p>
    <w:p>
      <w:pPr>
        <w:pStyle w:val="14"/>
        <w:shd w:val="clear" w:color="auto" w:fill="FFFFFF"/>
        <w:spacing w:before="0" w:beforeAutospacing="0" w:after="0" w:afterAutospacing="0" w:line="360" w:lineRule="auto"/>
        <w:ind w:firstLine="480" w:firstLineChars="200"/>
      </w:pPr>
      <w:r>
        <w:rPr>
          <w:rFonts w:hint="eastAsia"/>
        </w:rPr>
        <w:t>（三）隐瞒真实情况，提供虚假资料的；</w:t>
      </w:r>
    </w:p>
    <w:p>
      <w:pPr>
        <w:pStyle w:val="14"/>
        <w:shd w:val="clear" w:color="auto" w:fill="FFFFFF"/>
        <w:spacing w:before="0" w:beforeAutospacing="0" w:after="0" w:afterAutospacing="0" w:line="360" w:lineRule="auto"/>
        <w:ind w:firstLine="480" w:firstLineChars="200"/>
      </w:pPr>
      <w:r>
        <w:rPr>
          <w:rFonts w:hint="eastAsia"/>
        </w:rPr>
        <w:t>（四）以非法手段排斥其他供应商参与竞争的；</w:t>
      </w:r>
    </w:p>
    <w:p>
      <w:pPr>
        <w:pStyle w:val="14"/>
        <w:shd w:val="clear" w:color="auto" w:fill="FFFFFF"/>
        <w:spacing w:before="0" w:beforeAutospacing="0" w:after="0" w:afterAutospacing="0" w:line="360" w:lineRule="auto"/>
        <w:ind w:firstLine="480" w:firstLineChars="200"/>
      </w:pPr>
      <w:r>
        <w:rPr>
          <w:rFonts w:hint="eastAsia"/>
        </w:rPr>
        <w:t>（五）与其他采购参加人串通投标的；</w:t>
      </w:r>
    </w:p>
    <w:p>
      <w:pPr>
        <w:pStyle w:val="14"/>
        <w:shd w:val="clear" w:color="auto" w:fill="FFFFFF"/>
        <w:spacing w:before="0" w:beforeAutospacing="0" w:after="0" w:afterAutospacing="0" w:line="360" w:lineRule="auto"/>
        <w:ind w:firstLine="480" w:firstLineChars="200"/>
      </w:pPr>
      <w:r>
        <w:rPr>
          <w:rFonts w:hint="eastAsia"/>
        </w:rPr>
        <w:t>（六）恶意投诉的；</w:t>
      </w:r>
    </w:p>
    <w:p>
      <w:pPr>
        <w:pStyle w:val="14"/>
        <w:shd w:val="clear" w:color="auto" w:fill="FFFFFF"/>
        <w:spacing w:before="0" w:beforeAutospacing="0" w:after="0" w:afterAutospacing="0" w:line="360" w:lineRule="auto"/>
        <w:ind w:firstLine="480" w:firstLineChars="200"/>
      </w:pPr>
      <w:r>
        <w:rPr>
          <w:rFonts w:hint="eastAsia"/>
        </w:rPr>
        <w:t>（七）向采购项目相关人行贿或者提供其他不当利益的；</w:t>
      </w:r>
    </w:p>
    <w:p>
      <w:pPr>
        <w:pStyle w:val="14"/>
        <w:shd w:val="clear" w:color="auto" w:fill="FFFFFF"/>
        <w:spacing w:before="0" w:beforeAutospacing="0" w:after="0" w:afterAutospacing="0" w:line="360" w:lineRule="auto"/>
        <w:ind w:firstLine="480" w:firstLineChars="200"/>
      </w:pPr>
      <w:r>
        <w:rPr>
          <w:rFonts w:hint="eastAsia"/>
        </w:rPr>
        <w:t>（八）阻碍、抗拒主管部门监督检查的；</w:t>
      </w:r>
    </w:p>
    <w:p>
      <w:pPr>
        <w:pStyle w:val="14"/>
        <w:shd w:val="clear" w:color="auto" w:fill="FFFFFF"/>
        <w:spacing w:before="0" w:beforeAutospacing="0" w:after="0" w:afterAutospacing="0" w:line="360" w:lineRule="auto"/>
        <w:ind w:firstLine="480" w:firstLineChars="200"/>
      </w:pPr>
      <w:r>
        <w:rPr>
          <w:rFonts w:hint="eastAsia"/>
        </w:rPr>
        <w:t>（九）其他违反本条例规定的行为。</w:t>
      </w:r>
    </w:p>
    <w:p>
      <w:pPr>
        <w:autoSpaceDE w:val="0"/>
        <w:autoSpaceDN w:val="0"/>
        <w:adjustRightInd w:val="0"/>
        <w:spacing w:line="360" w:lineRule="auto"/>
        <w:ind w:firstLine="360" w:firstLineChars="150"/>
        <w:jc w:val="left"/>
        <w:rPr>
          <w:rFonts w:ascii="宋体" w:hAnsi="宋体" w:cs="宋体"/>
          <w:kern w:val="0"/>
          <w:sz w:val="24"/>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sz w:val="24"/>
        </w:rPr>
      </w:pPr>
      <w:bookmarkStart w:id="3" w:name="_Toc6281"/>
      <w:r>
        <w:rPr>
          <w:rFonts w:hint="eastAsia" w:ascii="宋体" w:hAnsi="宋体" w:cs="宋体"/>
          <w:sz w:val="24"/>
        </w:rPr>
        <w:t>（一）投标供应商之间相互约定给予未中标的供应商利益补偿；</w:t>
      </w:r>
      <w:bookmarkEnd w:id="3"/>
    </w:p>
    <w:p>
      <w:pPr>
        <w:keepLines/>
        <w:spacing w:line="360" w:lineRule="auto"/>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ascii="宋体" w:hAnsi="宋体" w:cs="宋体"/>
          <w:sz w:val="24"/>
        </w:rPr>
      </w:pPr>
      <w:bookmarkStart w:id="4" w:name="_Toc31089"/>
      <w:r>
        <w:rPr>
          <w:rFonts w:hint="eastAsia" w:ascii="宋体" w:hAnsi="宋体" w:cs="宋体"/>
          <w:sz w:val="24"/>
        </w:rPr>
        <w:t>（七）主管部门依照法律、法规认定的其他情形。</w:t>
      </w:r>
      <w:bookmarkEnd w:id="4"/>
    </w:p>
    <w:p>
      <w:pPr>
        <w:keepLines/>
        <w:spacing w:line="360" w:lineRule="auto"/>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ascii="宋体" w:hAnsi="宋体" w:cs="宋体"/>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ascii="宋体" w:hAnsi="宋体" w:cs="宋体"/>
          <w:sz w:val="24"/>
        </w:rPr>
      </w:pPr>
      <w:bookmarkStart w:id="5"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ascii="宋体" w:hAnsi="宋体" w:cs="宋体"/>
        </w:rPr>
      </w:pPr>
      <w:bookmarkStart w:id="6"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6"/>
    </w:p>
    <w:p>
      <w:pPr>
        <w:autoSpaceDE w:val="0"/>
        <w:autoSpaceDN w:val="0"/>
        <w:adjustRightInd w:val="0"/>
        <w:spacing w:line="360" w:lineRule="auto"/>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3"/>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3"/>
        <w:tabs>
          <w:tab w:val="left" w:pos="562"/>
          <w:tab w:val="left" w:pos="3372"/>
          <w:tab w:val="left" w:pos="3653"/>
        </w:tabs>
        <w:spacing w:line="360" w:lineRule="auto"/>
        <w:ind w:firstLine="482" w:firstLineChars="200"/>
        <w:rPr>
          <w:rFonts w:ascii="宋体" w:hAnsi="宋体" w:cs="宋体"/>
          <w:b/>
          <w:bCs/>
        </w:rPr>
      </w:pPr>
      <w:r>
        <w:rPr>
          <w:rFonts w:hint="eastAsia" w:ascii="宋体" w:hAnsi="宋体" w:cs="宋体"/>
          <w:b/>
          <w:bCs/>
        </w:rPr>
        <w:t>强化政府采购异常低价审查：</w:t>
      </w:r>
    </w:p>
    <w:p>
      <w:pPr>
        <w:pStyle w:val="3"/>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试点地区采购人应当在采购文件中明确异常低价投标（响应）审查的有关内容，主要包括：</w:t>
      </w:r>
    </w:p>
    <w:p>
      <w:pPr>
        <w:pStyle w:val="3"/>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3"/>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3"/>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ascii="宋体" w:hAnsi="宋体" w:cs="宋体"/>
          <w:b/>
          <w:bCs/>
          <w:color w:val="000000" w:themeColor="text1"/>
          <w:sz w:val="36"/>
          <w:szCs w:val="36"/>
          <w:lang w:val="zh-CN"/>
          <w14:textFill>
            <w14:solidFill>
              <w14:schemeClr w14:val="tx1"/>
            </w14:solidFill>
          </w14:textFill>
        </w:rPr>
      </w:pPr>
      <w:bookmarkStart w:id="7" w:name="_Toc20808"/>
      <w:r>
        <w:rPr>
          <w:rFonts w:hint="eastAsia" w:ascii="宋体" w:hAnsi="宋体" w:cs="宋体"/>
          <w:b/>
          <w:bCs/>
          <w:color w:val="000000" w:themeColor="text1"/>
          <w:sz w:val="36"/>
          <w:szCs w:val="36"/>
          <w:lang w:val="zh-CN"/>
          <w14:textFill>
            <w14:solidFill>
              <w14:schemeClr w14:val="tx1"/>
            </w14:solidFill>
          </w14:textFill>
        </w:rPr>
        <w:t>目录</w:t>
      </w:r>
      <w:bookmarkEnd w:id="1"/>
      <w:bookmarkEnd w:id="7"/>
    </w:p>
    <w:p>
      <w:pPr>
        <w:pStyle w:val="13"/>
        <w:tabs>
          <w:tab w:val="right" w:leader="dot" w:pos="8306"/>
        </w:tabs>
        <w:spacing w:line="480" w:lineRule="auto"/>
        <w:rPr>
          <w:b/>
          <w:bCs/>
          <w:color w:val="000000" w:themeColor="text1"/>
          <w:sz w:val="24"/>
          <w:szCs w:val="32"/>
          <w14:textFill>
            <w14:solidFill>
              <w14:schemeClr w14:val="tx1"/>
            </w14:solidFill>
          </w14:textFill>
        </w:rPr>
      </w:pPr>
    </w:p>
    <w:p>
      <w:pPr>
        <w:pStyle w:val="13"/>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fldChar w:fldCharType="begin"/>
      </w:r>
      <w:r>
        <w:instrText xml:space="preserve"> HYPERLINK \l "_Toc17273" </w:instrText>
      </w:r>
      <w: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3"/>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"_Toc10214" </w:instrText>
      </w:r>
      <w: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3"/>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"_Toc20176" </w:instrText>
      </w:r>
      <w: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3"/>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"_Toc3567" </w:instrText>
      </w:r>
      <w: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3"/>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"_Toc25518" </w:instrText>
      </w:r>
      <w: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3"/>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"_Toc23822" </w:instrText>
      </w:r>
      <w: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3"/>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"_Toc9548" </w:instrText>
      </w:r>
      <w: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3"/>
        <w:tabs>
          <w:tab w:val="right" w:leader="dot" w:pos="8306"/>
        </w:tabs>
        <w:spacing w:line="360" w:lineRule="auto"/>
        <w:rPr>
          <w:b/>
          <w:bCs/>
          <w:color w:val="000000" w:themeColor="text1"/>
          <w:sz w:val="24"/>
          <w14:textFill>
            <w14:solidFill>
              <w14:schemeClr w14:val="tx1"/>
            </w14:solidFill>
          </w14:textFill>
        </w:rPr>
      </w:pPr>
      <w:r>
        <w:fldChar w:fldCharType="begin"/>
      </w:r>
      <w:r>
        <w:instrText xml:space="preserve"> HYPERLINK \l "_Toc742" </w:instrText>
      </w:r>
      <w: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3"/>
        <w:tabs>
          <w:tab w:val="right" w:leader="dot" w:pos="8306"/>
        </w:tabs>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8" w:name="_Toc17273"/>
      <w:r>
        <w:rPr>
          <w:rFonts w:hint="eastAsia" w:ascii="宋体" w:hAnsi="宋体" w:cs="宋体"/>
          <w:b/>
          <w:bCs/>
          <w:color w:val="000000" w:themeColor="text1"/>
          <w:sz w:val="24"/>
          <w14:textFill>
            <w14:solidFill>
              <w14:schemeClr w14:val="tx1"/>
            </w14:solidFill>
          </w14:textFill>
        </w:rPr>
        <w:t>招标邀请书（招标公告）</w:t>
      </w:r>
      <w:bookmarkEnd w:id="8"/>
    </w:p>
    <w:p>
      <w:pPr>
        <w:spacing w:line="360" w:lineRule="auto"/>
        <w:ind w:firstLine="480" w:firstLineChars="200"/>
        <w:jc w:val="right"/>
        <w:rPr>
          <w:rFonts w:ascii="宋体" w:hAnsi="宋体" w:cs="宋体"/>
          <w:sz w:val="24"/>
        </w:rPr>
      </w:pPr>
      <w:r>
        <w:rPr>
          <w:rFonts w:hint="eastAsia" w:ascii="宋体" w:hAnsi="宋体" w:cs="宋体"/>
          <w:sz w:val="24"/>
        </w:rPr>
        <w:t>文件编码</w:t>
      </w:r>
      <w:r>
        <w:rPr>
          <w:rFonts w:hint="eastAsia" w:ascii="宋体" w:hAnsi="宋体" w:cs="宋体"/>
          <w:sz w:val="24"/>
          <w:lang w:eastAsia="zh-CN"/>
        </w:rPr>
        <w:t>：</w:t>
      </w:r>
      <w:r>
        <w:rPr>
          <w:rFonts w:hint="eastAsia" w:ascii="宋体" w:hAnsi="宋体" w:cs="宋体"/>
          <w:sz w:val="24"/>
        </w:rPr>
        <w:t>0722-2025FE6265SZF-1</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14:textFill>
            <w14:solidFill>
              <w14:schemeClr w14:val="tx1"/>
            </w14:solidFill>
          </w14:textFill>
        </w:rPr>
        <w:t>前海合作区港人港企数据分析项目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QH2025078</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QH2025078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前海合作区港人港企数据分析项目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前海深港现代服务业合作区总体发展规划》要求，到2025年底前海需实现港资企业数11000家、香港居民就业数10000人，该指标已经纳入前海经济社会发展重要指标。为加强对港人港企发展趋势的分析研判，亟需采购专业第三方机构协助对前海合作区港人港企数据进行动态</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，为制定相关政策举措提供数据信息和决策依据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¥550,000.00（人民币伍拾伍万元整）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8</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5</w:t>
            </w:r>
            <w:r>
              <w:rPr>
                <w:rFonts w:hint="eastAsia" w:ascii="宋体" w:hAnsi="宋体" w:cs="宋体"/>
                <w:b/>
                <w:bCs/>
                <w:color w:val="000000" w:themeColor="text1"/>
                <w:kern w:val="0"/>
                <w:sz w:val="24"/>
                <w14:textFill>
                  <w14:solidFill>
                    <w14:schemeClr w14:val="tx1"/>
                  </w14:solidFill>
                </w14:textFill>
              </w:rPr>
              <w:t>日1</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0时（北京时间）</w:t>
            </w:r>
            <w:r>
              <w:rPr>
                <w:rFonts w:hint="eastAsia" w:ascii="宋体" w:hAnsi="宋体" w:cs="宋体"/>
                <w:color w:val="000000" w:themeColor="text1"/>
                <w:kern w:val="0"/>
                <w:sz w:val="24"/>
                <w14:textFill>
                  <w14:solidFill>
                    <w14:schemeClr w14:val="tx1"/>
                  </w14:solidFill>
                </w14:textFill>
              </w:rPr>
              <w:t>前送达（现场递交或邮寄）至深圳市南山区前海深港合作区桂湾五路123号前海管理局前海大厦T1栋2412室</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default" w:ascii="宋体" w:hAnsi="宋体" w:cs="宋体"/>
                <w:color w:val="000000" w:themeColor="text1"/>
                <w:kern w:val="0"/>
                <w:sz w:val="24"/>
                <w14:textFill>
                  <w14:solidFill>
                    <w14:schemeClr w14:val="tx1"/>
                  </w14:solidFill>
                </w14:textFill>
              </w:rPr>
              <w:t>胡</w:t>
            </w:r>
            <w:r>
              <w:rPr>
                <w:rFonts w:hint="eastAsia" w:ascii="宋体" w:hAnsi="宋体" w:cs="宋体"/>
                <w:color w:val="000000" w:themeColor="text1"/>
                <w:kern w:val="0"/>
                <w:sz w:val="24"/>
                <w14:textFill>
                  <w14:solidFill>
                    <w14:schemeClr w14:val="tx1"/>
                  </w14:solidFill>
                </w14:textFill>
              </w:rPr>
              <w:t>女士</w:t>
            </w:r>
          </w:p>
          <w:p>
            <w:pPr>
              <w:adjustRightInd w:val="0"/>
              <w:snapToGrid w:val="0"/>
              <w:spacing w:line="360" w:lineRule="auto"/>
              <w:jc w:val="left"/>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w:t>
            </w:r>
            <w:r>
              <w:rPr>
                <w:rFonts w:hint="default" w:ascii="宋体" w:hAnsi="宋体" w:cs="宋体"/>
                <w:color w:val="000000" w:themeColor="text1"/>
                <w:kern w:val="0"/>
                <w:sz w:val="24"/>
                <w14:textFill>
                  <w14:solidFill>
                    <w14:schemeClr w14:val="tx1"/>
                  </w14:solidFill>
                </w14:textFill>
              </w:rPr>
              <w:t>5130</w:t>
            </w:r>
          </w:p>
          <w:p>
            <w:pPr>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租赁和商务服务业。</w:t>
            </w:r>
          </w:p>
          <w:p>
            <w:pPr>
              <w:numPr>
                <w:ilvl w:val="0"/>
                <w:numId w:val="2"/>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kern w:val="0"/>
                <w:sz w:val="24"/>
              </w:rPr>
              <w:t>本项目不接受联合体投标、不允许非法分包、转包</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投标人的投标总价为完成项目及招标文件或合同条款所规定的工作内容的各项费用，项目服务费包括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default" w:ascii="宋体" w:hAnsi="宋体" w:cs="宋体"/>
                <w:color w:val="000000" w:themeColor="text1"/>
                <w:kern w:val="0"/>
                <w:sz w:val="24"/>
                <w14:textFill>
                  <w14:solidFill>
                    <w14:schemeClr w14:val="tx1"/>
                  </w14:solidFill>
                </w14:textFill>
              </w:rPr>
              <w:t>胡</w:t>
            </w:r>
            <w:r>
              <w:rPr>
                <w:rFonts w:hint="eastAsia" w:ascii="宋体" w:hAnsi="宋体" w:cs="宋体"/>
                <w:color w:val="000000" w:themeColor="text1"/>
                <w:kern w:val="0"/>
                <w:sz w:val="24"/>
                <w14:textFill>
                  <w14:solidFill>
                    <w14:schemeClr w14:val="tx1"/>
                  </w14:solidFill>
                </w14:textFill>
              </w:rPr>
              <w:t>女士</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w:t>
            </w:r>
            <w:r>
              <w:rPr>
                <w:rFonts w:hint="default" w:ascii="宋体" w:hAnsi="宋体" w:cs="宋体"/>
                <w:color w:val="000000" w:themeColor="text1"/>
                <w:kern w:val="0"/>
                <w:sz w:val="24"/>
                <w14:textFill>
                  <w14:solidFill>
                    <w14:schemeClr w14:val="tx1"/>
                  </w14:solidFill>
                </w14:textFill>
              </w:rPr>
              <w:t>5130</w:t>
            </w:r>
          </w:p>
          <w:p>
            <w:pPr>
              <w:spacing w:line="360" w:lineRule="auto"/>
              <w:rPr>
                <w:rFonts w:ascii="宋体" w:hAnsi="宋体" w:cs="宋体"/>
                <w:kern w:val="0"/>
                <w:sz w:val="24"/>
              </w:rPr>
            </w:pPr>
            <w:r>
              <w:rPr>
                <w:rFonts w:hint="eastAsia" w:ascii="宋体" w:hAnsi="宋体" w:cs="宋体"/>
                <w:kern w:val="0"/>
                <w:sz w:val="24"/>
              </w:rPr>
              <w:t>2.采购代理机构信息</w:t>
            </w:r>
          </w:p>
          <w:p>
            <w:pPr>
              <w:spacing w:line="360" w:lineRule="auto"/>
              <w:rPr>
                <w:rFonts w:ascii="宋体" w:hAnsi="宋体" w:cs="宋体"/>
                <w:kern w:val="0"/>
                <w:sz w:val="24"/>
              </w:rPr>
            </w:pPr>
            <w:bookmarkStart w:id="9" w:name="_Toc28359087"/>
            <w:bookmarkStart w:id="10" w:name="_Toc28359010"/>
            <w:r>
              <w:rPr>
                <w:rFonts w:hint="eastAsia" w:ascii="宋体" w:hAnsi="宋体" w:cs="宋体"/>
                <w:kern w:val="0"/>
                <w:sz w:val="24"/>
              </w:rPr>
              <w:t>名  称：中国远东国际招标有限公司</w:t>
            </w:r>
          </w:p>
          <w:p>
            <w:pPr>
              <w:spacing w:line="360" w:lineRule="auto"/>
              <w:rPr>
                <w:rFonts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ascii="宋体" w:hAnsi="宋体" w:cs="宋体"/>
                <w:kern w:val="0"/>
                <w:sz w:val="24"/>
              </w:rPr>
            </w:pPr>
            <w:r>
              <w:rPr>
                <w:rFonts w:hint="eastAsia" w:ascii="宋体" w:hAnsi="宋体" w:cs="宋体"/>
                <w:kern w:val="0"/>
                <w:sz w:val="24"/>
              </w:rPr>
              <w:t>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话：0755-82078919、82077364转108</w:t>
            </w:r>
          </w:p>
          <w:p>
            <w:pPr>
              <w:spacing w:line="360" w:lineRule="auto"/>
              <w:rPr>
                <w:rFonts w:ascii="宋体" w:hAnsi="宋体" w:cs="宋体"/>
                <w:kern w:val="0"/>
                <w:sz w:val="24"/>
              </w:rPr>
            </w:pPr>
            <w:r>
              <w:rPr>
                <w:rFonts w:hint="eastAsia" w:ascii="宋体" w:hAnsi="宋体" w:cs="宋体"/>
                <w:kern w:val="0"/>
                <w:sz w:val="24"/>
              </w:rPr>
              <w:t>传  真：0755-82077519</w:t>
            </w:r>
          </w:p>
          <w:p>
            <w:pPr>
              <w:spacing w:line="360" w:lineRule="auto"/>
              <w:rPr>
                <w:rFonts w:ascii="宋体" w:hAnsi="宋体" w:cs="宋体"/>
                <w:kern w:val="0"/>
                <w:sz w:val="24"/>
              </w:rPr>
            </w:pPr>
            <w:r>
              <w:rPr>
                <w:rFonts w:hint="eastAsia" w:ascii="宋体" w:hAnsi="宋体" w:cs="宋体"/>
                <w:kern w:val="0"/>
                <w:sz w:val="24"/>
              </w:rPr>
              <w:t>3.项目联系方式</w:t>
            </w:r>
            <w:bookmarkEnd w:id="9"/>
            <w:bookmarkEnd w:id="10"/>
          </w:p>
          <w:p>
            <w:pPr>
              <w:spacing w:line="360" w:lineRule="auto"/>
              <w:rPr>
                <w:rFonts w:ascii="宋体" w:hAnsi="宋体" w:cs="宋体"/>
                <w:kern w:val="0"/>
                <w:sz w:val="24"/>
              </w:rPr>
            </w:pPr>
            <w:r>
              <w:rPr>
                <w:rFonts w:hint="eastAsia" w:ascii="宋体" w:hAnsi="宋体" w:cs="宋体"/>
                <w:kern w:val="0"/>
                <w:sz w:val="24"/>
              </w:rPr>
              <w:t>项目联系人：凌女士、伍先生</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kern w:val="0"/>
                <w:sz w:val="24"/>
              </w:rPr>
              <w:t>电　话：0755-82078919、82077364转108</w:t>
            </w:r>
          </w:p>
        </w:tc>
      </w:tr>
    </w:tbl>
    <w:p>
      <w:pPr>
        <w:adjustRightInd w:val="0"/>
        <w:snapToGrid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1" w:name="_Toc10214"/>
      <w:r>
        <w:rPr>
          <w:rFonts w:hint="eastAsia" w:ascii="宋体" w:hAnsi="宋体" w:cs="宋体"/>
          <w:b/>
          <w:bCs/>
          <w:color w:val="000000" w:themeColor="text1"/>
          <w:sz w:val="24"/>
          <w14:textFill>
            <w14:solidFill>
              <w14:schemeClr w14:val="tx1"/>
            </w14:solidFill>
          </w14:textFill>
        </w:rPr>
        <w:t>投标须知</w:t>
      </w:r>
      <w:bookmarkEnd w:id="11"/>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1、本项目是深圳市前海深港现代服务业合作区管理局的前海合作区港人港企数据分析项目。</w:t>
      </w:r>
    </w:p>
    <w:p>
      <w:pPr>
        <w:spacing w:line="360" w:lineRule="auto"/>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w:t>
      </w:r>
      <w:r>
        <w:rPr>
          <w:rFonts w:hint="eastAsia" w:ascii="宋体" w:hAnsi="宋体" w:cs="宋体"/>
          <w:b/>
          <w:bCs/>
          <w:sz w:val="24"/>
          <w:u w:val="single"/>
        </w:rPr>
        <w:t>报名且符合招标文件初审的供应商不足3家而导致招标失败的，应重新组织简易招标(公开征集)或转为其他采购方式采购。</w:t>
      </w:r>
    </w:p>
    <w:p>
      <w:pPr>
        <w:spacing w:line="360" w:lineRule="auto"/>
        <w:rPr>
          <w:rFonts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w:t>
      </w:r>
      <w:r>
        <w:rPr>
          <w:rFonts w:hint="eastAsia" w:ascii="宋体" w:hAnsi="宋体" w:cs="宋体"/>
          <w:b/>
          <w:bCs/>
          <w:sz w:val="24"/>
          <w:u w:val="single"/>
        </w:rPr>
        <w:t>原则上成交价不超过最初报价的95%。</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12" w:name="OLE_LINK6"/>
      <w:r>
        <w:rPr>
          <w:rFonts w:hint="eastAsia" w:ascii="宋体" w:hAnsi="宋体" w:cs="宋体"/>
          <w:b/>
          <w:sz w:val="24"/>
        </w:rPr>
        <w:t>1份电子文档：PDF格式的正本投标文件扫描件、与正本一致的word文档格式的投标文件</w:t>
      </w:r>
      <w:bookmarkEnd w:id="12"/>
      <w:r>
        <w:rPr>
          <w:rFonts w:hint="eastAsia" w:ascii="宋体" w:hAnsi="宋体" w:cs="宋体"/>
          <w:b/>
          <w:bCs/>
          <w:sz w:val="24"/>
        </w:rPr>
        <w:t>）</w:t>
      </w:r>
      <w:r>
        <w:rPr>
          <w:rFonts w:hint="eastAsia" w:ascii="宋体" w:hAnsi="宋体" w:cs="宋体"/>
          <w:sz w:val="24"/>
        </w:rPr>
        <w:t>完备的资料进行投标</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23"/>
        <w:snapToGrid w:val="0"/>
        <w:spacing w:line="360" w:lineRule="auto"/>
        <w:ind w:firstLine="48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（2）原则上成交价不超过最初报价的95%。</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以《深圳市财政委员会关于规范深圳市社会采购代理机构管理有关事项的补充通知》（深财购〔2018〕27号）代理费用参考标准的80%按差额定率累进法进行计费，若以上计算金额小于3000元，则按3000元收取。</w:t>
      </w:r>
    </w:p>
    <w:p>
      <w:pPr>
        <w:numPr>
          <w:ilvl w:val="0"/>
          <w:numId w:val="5"/>
        </w:numPr>
        <w:adjustRightInd w:val="0"/>
        <w:snapToGrid w:val="0"/>
        <w:spacing w:line="360" w:lineRule="auto"/>
        <w:ind w:right="26"/>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w:t>
      </w:r>
      <w:r>
        <w:rPr>
          <w:rFonts w:hint="eastAsia" w:ascii="宋体" w:hAnsi="宋体" w:cs="宋体"/>
          <w:color w:val="000000" w:themeColor="text1"/>
          <w:sz w:val="24"/>
          <w:lang w:eastAsia="zh-CN"/>
          <w14:textFill>
            <w14:solidFill>
              <w14:schemeClr w14:val="tx1"/>
            </w14:solidFill>
          </w14:textFill>
        </w:rPr>
        <w:t>账号</w:t>
      </w:r>
      <w:r>
        <w:rPr>
          <w:rFonts w:hint="eastAsia" w:ascii="宋体" w:hAnsi="宋体" w:cs="宋体"/>
          <w:color w:val="000000" w:themeColor="text1"/>
          <w:sz w:val="24"/>
          <w14:textFill>
            <w14:solidFill>
              <w14:schemeClr w14:val="tx1"/>
            </w14:solidFill>
          </w14:textFill>
        </w:rPr>
        <w:t>：11013651025501</w:t>
      </w:r>
    </w:p>
    <w:p>
      <w:pPr>
        <w:spacing w:line="360" w:lineRule="auto"/>
        <w:rPr>
          <w:rFonts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3" w:name="_Toc20176"/>
      <w:r>
        <w:rPr>
          <w:rFonts w:hint="eastAsia" w:ascii="宋体" w:hAnsi="宋体" w:cs="宋体"/>
          <w:b/>
          <w:bCs/>
          <w:color w:val="000000" w:themeColor="text1"/>
          <w:sz w:val="24"/>
          <w14:textFill>
            <w14:solidFill>
              <w14:schemeClr w14:val="tx1"/>
            </w14:solidFill>
          </w14:textFill>
        </w:rPr>
        <w:t>评标程序</w:t>
      </w:r>
      <w:bookmarkEnd w:id="13"/>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会议主持人：中国远东国际招标有限公司工作人员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四、开标时间：2025年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0时（北京时间）。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五、会议开始：2025年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日1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0时（北京时间）由会议主持人宣布定标会议开始。</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5、采用谈判的情况：参与投标且符合招标文件要求的供应商仅有一家，评审委员会将与投标供应商进行谈判。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原则上成交价不超过最初报价的95%。</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3"/>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bookmarkStart w:id="14" w:name="_Toc3567"/>
      <w:r>
        <w:rPr>
          <w:rFonts w:hint="eastAsia" w:ascii="宋体" w:hAnsi="宋体" w:cs="宋体"/>
          <w:b/>
          <w:bCs/>
          <w:color w:val="000000" w:themeColor="text1"/>
          <w:sz w:val="24"/>
          <w14:textFill>
            <w14:solidFill>
              <w14:schemeClr w14:val="tx1"/>
            </w14:solidFill>
          </w14:textFill>
        </w:rPr>
        <w:t>合同格式及合同条款</w:t>
      </w:r>
      <w:bookmarkEnd w:id="14"/>
    </w:p>
    <w:p>
      <w:pPr>
        <w:spacing w:line="360" w:lineRule="auto"/>
        <w:ind w:firstLine="470" w:firstLineChars="196"/>
        <w:jc w:val="center"/>
        <w:rPr>
          <w:rFonts w:ascii="宋体" w:hAnsi="宋体" w:cs="宋体"/>
          <w:color w:val="000000" w:themeColor="text1"/>
          <w:sz w:val="24"/>
          <w14:textFill>
            <w14:solidFill>
              <w14:schemeClr w14:val="tx1"/>
            </w14:solidFill>
          </w14:textFill>
        </w:rPr>
      </w:pPr>
      <w:bookmarkStart w:id="15" w:name="_Toc73521592"/>
      <w:bookmarkStart w:id="16" w:name="_Toc73521680"/>
      <w:bookmarkStart w:id="17" w:name="_Toc73518163"/>
      <w:bookmarkStart w:id="18" w:name="_Toc100052414"/>
      <w:bookmarkStart w:id="19" w:name="_Toc101074886"/>
      <w:bookmarkStart w:id="20" w:name="_Toc73517685"/>
      <w:bookmarkStart w:id="21" w:name="_Toc84303603"/>
    </w:p>
    <w:bookmarkEnd w:id="15"/>
    <w:bookmarkEnd w:id="16"/>
    <w:bookmarkEnd w:id="17"/>
    <w:bookmarkEnd w:id="18"/>
    <w:bookmarkEnd w:id="19"/>
    <w:bookmarkEnd w:id="20"/>
    <w:bookmarkEnd w:id="21"/>
    <w:p>
      <w:pPr>
        <w:pStyle w:val="23"/>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3"/>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3"/>
        <w:spacing w:line="360" w:lineRule="auto"/>
        <w:ind w:left="1470" w:right="1470" w:firstLine="482"/>
        <w:jc w:val="center"/>
        <w:rPr>
          <w:rFonts w:ascii="宋体" w:hAnsi="宋体" w:cs="宋体"/>
          <w:b/>
          <w:color w:val="000000" w:themeColor="text1"/>
          <w:sz w:val="24"/>
          <w:szCs w:val="24"/>
          <w14:textFill>
            <w14:solidFill>
              <w14:schemeClr w14:val="tx1"/>
            </w14:solidFill>
          </w14:textFill>
        </w:rPr>
      </w:pPr>
    </w:p>
    <w:p>
      <w:pPr>
        <w:pStyle w:val="23"/>
        <w:spacing w:line="360" w:lineRule="auto"/>
        <w:ind w:left="1470" w:right="1470" w:firstLine="482"/>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3"/>
        <w:spacing w:line="360" w:lineRule="auto"/>
        <w:ind w:left="1470" w:right="1470" w:firstLine="482"/>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前海合作区港人港企数据分析项目</w:t>
      </w:r>
    </w:p>
    <w:p>
      <w:pPr>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3"/>
        <w:spacing w:line="360" w:lineRule="auto"/>
        <w:ind w:left="1470" w:right="147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3"/>
        <w:spacing w:line="360" w:lineRule="auto"/>
        <w:ind w:left="1470" w:right="147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前海合作区港人港企数据分析项目</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720" w:firstLineChars="3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以下甲方和乙方合称“双方”。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根据《中华人民共和国民法典》等法律、法规的相关规定和编号为【    】招标项目的中标结果，由【***】单位（以下简称乙方）为中标人。按照《中华人民共和国民法典》和《深圳经济特区政府采购条例》，经深</w:t>
      </w:r>
      <w:r>
        <w:rPr>
          <w:rFonts w:hint="eastAsia" w:ascii="宋体" w:hAnsi="宋体" w:cs="宋体"/>
          <w:color w:val="000000" w:themeColor="text1"/>
          <w:sz w:val="24"/>
          <w14:textFill>
            <w14:solidFill>
              <w14:schemeClr w14:val="tx1"/>
            </w14:solidFill>
          </w14:textFill>
        </w:rPr>
        <w:t>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的</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前海合作区港人港企数据分析项目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项目名称：前海合作区港人港企数据分析项目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1.工作内容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1.1.数据采集</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（1）港资企业数据。对接</w:t>
      </w:r>
      <w:r>
        <w:rPr>
          <w:rFonts w:ascii="宋体" w:hAnsi="宋体" w:cs="宋体"/>
          <w:color w:val="000000" w:themeColor="text1"/>
          <w:sz w:val="24"/>
          <w14:textFill>
            <w14:solidFill>
              <w14:schemeClr w14:val="tx1"/>
            </w14:solidFill>
          </w14:textFill>
        </w:rPr>
        <w:t>各部门的</w:t>
      </w:r>
      <w:r>
        <w:rPr>
          <w:rFonts w:hint="eastAsia" w:ascii="宋体" w:hAnsi="宋体" w:cs="宋体"/>
          <w:color w:val="000000" w:themeColor="text1"/>
          <w:sz w:val="24"/>
          <w14:textFill>
            <w14:solidFill>
              <w14:schemeClr w14:val="tx1"/>
            </w14:solidFill>
          </w14:textFill>
        </w:rPr>
        <w:t>港资企业数据。</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（2）就业港人数据。</w:t>
      </w:r>
      <w:r>
        <w:rPr>
          <w:rFonts w:ascii="宋体" w:hAnsi="宋体" w:cs="宋体"/>
          <w:color w:val="000000" w:themeColor="text1"/>
          <w:sz w:val="24"/>
          <w14:textFill>
            <w14:solidFill>
              <w14:schemeClr w14:val="tx1"/>
            </w14:solidFill>
          </w14:textFill>
        </w:rPr>
        <w:t>包括</w:t>
      </w:r>
      <w:r>
        <w:rPr>
          <w:rFonts w:hint="eastAsia" w:ascii="宋体" w:hAnsi="宋体" w:cs="宋体"/>
          <w:color w:val="000000" w:themeColor="text1"/>
          <w:sz w:val="24"/>
          <w14:textFill>
            <w14:solidFill>
              <w14:schemeClr w14:val="tx1"/>
            </w14:solidFill>
          </w14:textFill>
        </w:rPr>
        <w:t>纳税港人数据、港人任职数据、港人申领奖金补贴数据、</w:t>
      </w:r>
      <w:r>
        <w:rPr>
          <w:rFonts w:ascii="宋体" w:hAnsi="宋体" w:cs="宋体"/>
          <w:color w:val="000000" w:themeColor="text1"/>
          <w:sz w:val="24"/>
          <w14:textFill>
            <w14:solidFill>
              <w14:schemeClr w14:val="tx1"/>
            </w14:solidFill>
          </w14:textFill>
        </w:rPr>
        <w:t>港人</w:t>
      </w:r>
      <w:r>
        <w:rPr>
          <w:rFonts w:hint="eastAsia" w:ascii="宋体" w:hAnsi="宋体" w:cs="宋体"/>
          <w:color w:val="000000" w:themeColor="text1"/>
          <w:sz w:val="24"/>
          <w14:textFill>
            <w14:solidFill>
              <w14:schemeClr w14:val="tx1"/>
            </w14:solidFill>
          </w14:textFill>
        </w:rPr>
        <w:t>缴纳社保</w:t>
      </w:r>
      <w:r>
        <w:rPr>
          <w:rFonts w:ascii="宋体" w:hAnsi="宋体" w:cs="宋体"/>
          <w:color w:val="000000" w:themeColor="text1"/>
          <w:sz w:val="24"/>
          <w14:textFill>
            <w14:solidFill>
              <w14:schemeClr w14:val="tx1"/>
            </w14:solidFill>
          </w14:textFill>
        </w:rPr>
        <w:t>数据</w:t>
      </w:r>
      <w:r>
        <w:rPr>
          <w:rFonts w:hint="eastAsia" w:ascii="宋体" w:hAnsi="宋体" w:cs="宋体"/>
          <w:color w:val="000000" w:themeColor="text1"/>
          <w:sz w:val="24"/>
          <w14:textFill>
            <w14:solidFill>
              <w14:schemeClr w14:val="tx1"/>
            </w14:solidFill>
          </w14:textFill>
        </w:rPr>
        <w:t>等，结合重点企业实地走访获取港人数据。</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（3）港企外部数据。第三方机构自公开渠道采集港资企业基本注册信息、社保人数、创新认定、注册资本变更等外部数据，用于补充分析维度、及时</w:t>
      </w:r>
      <w:r>
        <w:rPr>
          <w:rFonts w:ascii="宋体" w:hAnsi="宋体" w:cs="宋体"/>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企业情况。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1.2.数据处理</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（1）行业精细化分类管理。根据前海现行产业准入目录，结合深圳“20+8”</w:t>
      </w:r>
      <w:r>
        <w:rPr>
          <w:rFonts w:hint="eastAsia" w:ascii="宋体" w:hAnsi="宋体" w:cs="宋体"/>
          <w:color w:val="000000" w:themeColor="text1"/>
          <w:sz w:val="24"/>
          <w:lang w:eastAsia="zh-CN"/>
          <w14:textFill>
            <w14:solidFill>
              <w14:schemeClr w14:val="tx1"/>
            </w14:solidFill>
          </w14:textFill>
        </w:rPr>
        <w:t>战略性新兴产业</w:t>
      </w:r>
      <w:r>
        <w:rPr>
          <w:rFonts w:hint="eastAsia" w:ascii="宋体" w:hAnsi="宋体" w:cs="宋体"/>
          <w:color w:val="000000" w:themeColor="text1"/>
          <w:sz w:val="24"/>
          <w14:textFill>
            <w14:solidFill>
              <w14:schemeClr w14:val="tx1"/>
            </w14:solidFill>
          </w14:textFill>
        </w:rPr>
        <w:t>进行分类。</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（2）港资识别。借助股权穿透数据，全面掌握注册港资企业情况，并进一步分析港资企业持股情况</w:t>
      </w:r>
      <w:r>
        <w:rPr>
          <w:rFonts w:ascii="宋体" w:hAnsi="宋体" w:cs="宋体"/>
          <w:color w:val="000000" w:themeColor="text1"/>
          <w:sz w:val="24"/>
          <w14:textFill>
            <w14:solidFill>
              <w14:schemeClr w14:val="tx1"/>
            </w14:solidFill>
          </w14:textFill>
        </w:rPr>
        <w:t>，加强对港资企业的精准服务</w:t>
      </w:r>
      <w:r>
        <w:rPr>
          <w:rFonts w:hint="eastAsia" w:ascii="宋体" w:hAnsi="宋体" w:cs="宋体"/>
          <w:color w:val="000000" w:themeColor="text1"/>
          <w:sz w:val="24"/>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港资企业特色标签管理。对港资企业进行包括国家高新技术企业、上市企业、总部企业、四上企业、世界500强投资企业、营收百强、税收百强、专精特新、创新型中小企业等分类标签及维护管理。围绕港资企业实现的增加值、税收、实际利用港资投资等关键指标，进行统计汇总。</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（4）港资企业入驻楼宇信息。综合多个数据来源，对港资企业入驻的楼宇信息进行精准划分。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（5）新增港企港人的审核、录入及统计。基于前海智慧大脑，按月为单位提供新增港人港企的</w:t>
      </w:r>
      <w:r>
        <w:rPr>
          <w:rFonts w:ascii="宋体" w:hAnsi="宋体" w:cs="宋体"/>
          <w:color w:val="000000" w:themeColor="text1"/>
          <w:sz w:val="24"/>
          <w14:textFill>
            <w14:solidFill>
              <w14:schemeClr w14:val="tx1"/>
            </w14:solidFill>
          </w14:textFill>
        </w:rPr>
        <w:t>录入</w:t>
      </w:r>
      <w:r>
        <w:rPr>
          <w:rFonts w:hint="eastAsia" w:ascii="宋体" w:hAnsi="宋体" w:cs="宋体"/>
          <w:color w:val="000000" w:themeColor="text1"/>
          <w:sz w:val="24"/>
          <w14:textFill>
            <w14:solidFill>
              <w14:schemeClr w14:val="tx1"/>
            </w14:solidFill>
          </w14:textFill>
        </w:rPr>
        <w:t>审核服务，并分析变动特征、指标完成情况，提炼工作亮点及不足。</w:t>
      </w:r>
    </w:p>
    <w:p>
      <w:pPr>
        <w:keepNext w:val="0"/>
        <w:keepLines w:val="0"/>
        <w:widowControl/>
        <w:suppressLineNumbers w:val="0"/>
        <w:spacing w:line="360" w:lineRule="auto"/>
        <w:ind w:firstLine="480" w:firstLineChars="200"/>
        <w:jc w:val="left"/>
        <w:rPr>
          <w:rFonts w:hint="default" w:ascii="宋体" w:hAnsi="宋体" w:cs="宋体"/>
          <w:color w:val="000000" w:themeColor="text1"/>
          <w:sz w:val="24"/>
          <w14:textFill>
            <w14:solidFill>
              <w14:schemeClr w14:val="tx1"/>
            </w14:solidFill>
          </w14:textFill>
        </w:rPr>
      </w:pPr>
      <w:r>
        <w:rPr>
          <w:rFonts w:hint="default" w:ascii="宋体" w:hAnsi="宋体" w:cs="宋体"/>
          <w:i w:val="0"/>
          <w:iCs w:val="0"/>
          <w:caps w:val="0"/>
          <w:color w:val="000000" w:themeColor="text1"/>
          <w:spacing w:val="0"/>
          <w:kern w:val="2"/>
          <w:sz w:val="24"/>
          <w:szCs w:val="24"/>
          <w:shd w:val="clear"/>
          <w:lang w:eastAsia="zh-CN" w:bidi="ar"/>
          <w14:textFill>
            <w14:solidFill>
              <w14:schemeClr w14:val="tx1"/>
            </w14:solidFill>
          </w14:textFill>
        </w:rPr>
        <w:t>（6）</w:t>
      </w:r>
      <w:r>
        <w:rPr>
          <w:rFonts w:hint="eastAsia" w:ascii="宋体" w:hAnsi="宋体" w:eastAsia="宋体" w:cs="宋体"/>
          <w:i w:val="0"/>
          <w:iCs w:val="0"/>
          <w:caps w:val="0"/>
          <w:color w:val="000000" w:themeColor="text1"/>
          <w:spacing w:val="0"/>
          <w:kern w:val="2"/>
          <w:sz w:val="24"/>
          <w:szCs w:val="24"/>
          <w:shd w:val="clear" w:fill="auto"/>
          <w:lang w:val="en-US" w:eastAsia="zh-CN" w:bidi="ar"/>
          <w14:textFill>
            <w14:solidFill>
              <w14:schemeClr w14:val="tx1"/>
            </w14:solidFill>
          </w14:textFill>
        </w:rPr>
        <w:t>前海港企港人占</w:t>
      </w:r>
      <w:r>
        <w:rPr>
          <w:rFonts w:hint="default" w:ascii="宋体" w:hAnsi="宋体" w:cs="宋体"/>
          <w:i w:val="0"/>
          <w:iCs w:val="0"/>
          <w:caps w:val="0"/>
          <w:color w:val="000000" w:themeColor="text1"/>
          <w:spacing w:val="0"/>
          <w:kern w:val="2"/>
          <w:sz w:val="24"/>
          <w:szCs w:val="24"/>
          <w:shd w:val="clear"/>
          <w:lang w:eastAsia="zh-CN" w:bidi="ar"/>
          <w14:textFill>
            <w14:solidFill>
              <w14:schemeClr w14:val="tx1"/>
            </w14:solidFill>
          </w14:textFill>
        </w:rPr>
        <w:t>深圳市比例</w:t>
      </w:r>
      <w:r>
        <w:rPr>
          <w:rFonts w:hint="eastAsia" w:ascii="宋体" w:hAnsi="宋体" w:eastAsia="宋体" w:cs="宋体"/>
          <w:i w:val="0"/>
          <w:iCs w:val="0"/>
          <w:caps w:val="0"/>
          <w:color w:val="000000" w:themeColor="text1"/>
          <w:spacing w:val="0"/>
          <w:kern w:val="2"/>
          <w:sz w:val="24"/>
          <w:szCs w:val="24"/>
          <w:shd w:val="clear" w:fill="auto"/>
          <w:lang w:val="en-US" w:eastAsia="zh-CN" w:bidi="ar"/>
          <w14:textFill>
            <w14:solidFill>
              <w14:schemeClr w14:val="tx1"/>
            </w14:solidFill>
          </w14:textFill>
        </w:rPr>
        <w:t>分析</w:t>
      </w:r>
      <w:r>
        <w:rPr>
          <w:rFonts w:hint="default" w:ascii="宋体" w:hAnsi="宋体" w:cs="宋体"/>
          <w:i w:val="0"/>
          <w:iCs w:val="0"/>
          <w:caps w:val="0"/>
          <w:color w:val="000000" w:themeColor="text1"/>
          <w:spacing w:val="0"/>
          <w:kern w:val="2"/>
          <w:sz w:val="24"/>
          <w:szCs w:val="24"/>
          <w:shd w:val="clear"/>
          <w:lang w:eastAsia="zh-CN" w:bidi="ar"/>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1.3.重点企业分析</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（1）港资企业行业龙头调研。精选150家行业龙头港资企业/重点港资企业，安排项目组人员通过桌面调研、电话、线上微信沟通、实地走访等方式协助调查企业经营情况，形成企业动态档案并</w:t>
      </w:r>
      <w:r>
        <w:rPr>
          <w:rFonts w:ascii="宋体" w:hAnsi="宋体" w:cs="宋体"/>
          <w:color w:val="000000" w:themeColor="text1"/>
          <w:sz w:val="24"/>
          <w14:textFill>
            <w14:solidFill>
              <w14:schemeClr w14:val="tx1"/>
            </w14:solidFill>
          </w14:textFill>
        </w:rPr>
        <w:t>分析其发展情况。</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（2）集团港资企业</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。梳理港资重点企业系名单，</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区内港资重点企业集团及子公司相关情况，形成企业动态档案</w:t>
      </w:r>
      <w:bookmarkStart w:id="22" w:name="OLE_LINK1"/>
      <w:r>
        <w:rPr>
          <w:rFonts w:hint="eastAsia" w:ascii="宋体" w:hAnsi="宋体" w:cs="宋体"/>
          <w:color w:val="000000" w:themeColor="text1"/>
          <w:sz w:val="24"/>
          <w14:textFill>
            <w14:solidFill>
              <w14:schemeClr w14:val="tx1"/>
            </w14:solidFill>
          </w14:textFill>
        </w:rPr>
        <w:t>并</w:t>
      </w:r>
      <w:r>
        <w:rPr>
          <w:rFonts w:ascii="宋体" w:hAnsi="宋体" w:cs="宋体"/>
          <w:color w:val="000000" w:themeColor="text1"/>
          <w:sz w:val="24"/>
          <w14:textFill>
            <w14:solidFill>
              <w14:schemeClr w14:val="tx1"/>
            </w14:solidFill>
          </w14:textFill>
        </w:rPr>
        <w:t>分析其发展情况</w:t>
      </w:r>
      <w:bookmarkEnd w:id="22"/>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（3）异常港资企业</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。经营异常港资企业</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。常态化</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经营异常港资企业（含经营指标、企业变动、注册资本、社保人数变动等），促进企业正常经营，形成企业动态档案并</w:t>
      </w:r>
      <w:r>
        <w:rPr>
          <w:rFonts w:ascii="宋体" w:hAnsi="宋体" w:cs="宋体"/>
          <w:color w:val="000000" w:themeColor="text1"/>
          <w:sz w:val="24"/>
          <w14:textFill>
            <w14:solidFill>
              <w14:schemeClr w14:val="tx1"/>
            </w14:solidFill>
          </w14:textFill>
        </w:rPr>
        <w:t>分析其发展情况</w:t>
      </w:r>
      <w:r>
        <w:rPr>
          <w:rFonts w:hint="eastAsia" w:ascii="宋体" w:hAnsi="宋体" w:cs="宋体"/>
          <w:color w:val="000000" w:themeColor="text1"/>
          <w:sz w:val="24"/>
          <w14:textFill>
            <w14:solidFill>
              <w14:schemeClr w14:val="tx1"/>
            </w14:solidFill>
          </w14:textFill>
        </w:rPr>
        <w:t>。</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服务期限、进度计划及后续服务要求</w:t>
      </w:r>
    </w:p>
    <w:p>
      <w:pPr>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自本合同签订之日起1年内。</w:t>
      </w:r>
    </w:p>
    <w:p>
      <w:pPr>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2.进度计划</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本项目服务期限自合同签署之日起一年：</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2.1.每季度次月15日前完成，港资企业相关数据的采集、整理工作以及提供重点产业的企业名单，确保数据的及时性、准确性。</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2.2.每季度次月20日前，配合完成港资重点企业调研。</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2.3.每季度次月25日前，配合完成港资企业分析报告。</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bookmarkStart w:id="23" w:name="OLE_LINK4"/>
      <w:r>
        <w:rPr>
          <w:rFonts w:hint="eastAsia" w:ascii="宋体" w:hAnsi="宋体" w:cs="宋体"/>
          <w:color w:val="000000" w:themeColor="text1"/>
          <w:sz w:val="24"/>
          <w14:textFill>
            <w14:solidFill>
              <w14:schemeClr w14:val="tx1"/>
            </w14:solidFill>
          </w14:textFill>
        </w:rPr>
        <w:t>合同终止之日前，</w:t>
      </w:r>
      <w:r>
        <w:rPr>
          <w:rFonts w:ascii="宋体" w:hAnsi="宋体" w:cs="宋体"/>
          <w:color w:val="000000" w:themeColor="text1"/>
          <w:sz w:val="24"/>
          <w14:textFill>
            <w14:solidFill>
              <w14:schemeClr w14:val="tx1"/>
            </w14:solidFill>
          </w14:textFill>
        </w:rPr>
        <w:t>配合完成两个主题调研报告。</w:t>
      </w:r>
      <w:bookmarkEnd w:id="23"/>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合同终止之日前，根据项目需要配合甲方完成补充调研，根据补充调研成果和甲方修改意见对所有交付成果进行修改，向甲方提交最终成果送审稿。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.合同有效期内，根据甲方的需求，提供日常咨询顾问服务。</w:t>
      </w:r>
    </w:p>
    <w:p>
      <w:pPr>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3.后续服务要求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乙方提交的本项目最终成果通过甲方审查验收之日起1年为本合同后续服务期。服务期内乙方应向甲方提供后续的专业技术支持与咨询服务。乙方应配合甲方需要协助完成相关事项审计、事后评估等工作。</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1.负责与本项目有关的第三方的协调，提供开展项目服务工作的外部条件。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2.为使统计服务工作顺利进行，甲方应在一个合理的时间内向乙方提供能够获得的与统计服务工作有关的资料。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3.负责组织有关专家对项目成果的评审。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.根据合同的条款按时支付合同价款。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.甲方应在收到乙方验收申请后的20个工作日内完成成果验收。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6.甲方指定项目联系人：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1.应按照【</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】号招标文件、乙方投标文件以及本合同的要求按期完成本项目服务工作。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2.在履行合同期间或合同规定期限内，不得泄露与本合同规定业务活动有关的保密资料。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按国家、省及深圳的有关法律法规、技术规范以及本合同约定的工作内容、工作进度等要求提供统计服务，并对其提交的统计服务成果负责。对于与本项目工作内容相关的其他相关项目，乙方应进行充分了解并做好协调与衔接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应接受甲方对工作进展的询问、监督和指导，严格按本合同约定的内容、标准和期限完成项目统计工作，并向甲方提交项目统计服务成果。项目工作完成后，乙方应按照甲方要求将完成本项目的工作总结和相关资料交给甲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5.乙方应采取必要措施配合专家评审会及甲方验收人员的工作</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对于验收过程中发现的问题，乙方应在发现问题之日起7天内进行改正，以符合甲方的需要。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6.如乙方提供的统计服务成果文件不符合本合同要求，必须在甲方提出要求后7天内无条件修改，其费用由乙方自行承担。修改期间，甲方付款时间相应顺延。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7.乙方应独立完成本项目。未经甲方书面在先同意，乙方不得向任何第三方全部或部分转让本项目。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13.乙方指定项目联系人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  甲方的权利</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1.甲方对统计服务过程的决策、控制、实施等环节实行全面管理，协调和监督研究工作开展，控制统计服务工作过程，进行统计服务成果验收。</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2.检查乙方统计服务人员到位情况，如因人力、能力不足致使统计服务工作不能按计划完成时，有权要求乙方增加或替换相应的技术人员，直至甲方认可，乙方不得拒绝。</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3.甲方有权向乙方询问项目工作进展及相关情况，并要求乙方在指定时间内做出答复。</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4.甲方有权对乙方提交的阶段性成果、最终成果送审稿等相关工作文件进行审核并提出修改意见。</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如乙方所提供的用以说明和描述技术方案、统计服务成果、实施方案及步骤等项目成果文件，不具备实操性或实操性过低，影响最终方案、统计服务成果文件的质量，甲方有权要求乙方重新执行相应的工作服务，由此产生的全部费用由乙方自行承担。</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6.甲方对乙方在委托权限范围内完成委托事项有指导、监督权利。</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7.甲方有权要求乙方全面履行合同。甲方不接受部分履行，如本合同项下部分成果文件未能按时交付则视为整体延误。</w:t>
      </w:r>
    </w:p>
    <w:p>
      <w:pPr>
        <w:pStyle w:val="8"/>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乙方的权利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1.乙方在本项目服务过程中，要求甲方提供或协助乙方收集相关资料。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2.乙方在本项目服务过程中，有权对第三方提出与本统计服务业务有关的问题进行核对或查问。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3.乙方在本项目服务过程中，有到现场勘察并要求甲方协调的权利。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4.根据合同约定收取相应的合同价款。</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人员要求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乙方需为本项目配置不少于</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人的服务团队，其中项目负责人1名、技术负责人1名、项目主要人员</w:t>
      </w:r>
      <w:r>
        <w:rPr>
          <w:rFonts w:hint="eastAsia" w:ascii="宋体" w:hAnsi="宋体" w:cs="宋体"/>
          <w:color w:val="000000" w:themeColor="text1"/>
          <w:sz w:val="24"/>
          <w:lang w:val="en-US" w:eastAsia="zh-CN"/>
          <w14:textFill>
            <w14:solidFill>
              <w14:schemeClr w14:val="tx1"/>
            </w14:solidFill>
          </w14:textFill>
        </w:rPr>
        <w:t>不少于5</w:t>
      </w:r>
      <w:r>
        <w:rPr>
          <w:rFonts w:hint="eastAsia" w:ascii="宋体" w:hAnsi="宋体" w:cs="宋体"/>
          <w:color w:val="000000" w:themeColor="text1"/>
          <w:sz w:val="24"/>
          <w14:textFill>
            <w14:solidFill>
              <w14:schemeClr w14:val="tx1"/>
            </w14:solidFill>
          </w14:textFill>
        </w:rPr>
        <w:t>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包含数据分析师、数据工程师、运营工程师等岗位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。以下为本项目核心团队。</w:t>
      </w:r>
    </w:p>
    <w:tbl>
      <w:tblPr>
        <w:tblStyle w:val="17"/>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1.参加本项目编制的人员必须具有国家和有关部门规定的相应资质。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2.参加本项目编制的人员配置必须与合同中的项目成员组成一致，若需调整需经甲方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成果权属与知识产权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文件及任何数据、资料等不得侵犯任何第三方的知识产权或其他权利，由于该等文件、数据、资料侵权所导致的任何索赔或责任均由乙方承担，同时，甲方保留要求乙方赔偿相应损失的权利，包括但不限于上述索赔或责任所产生的诉讼费用、合理的律师费用、保全费、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中间成果和最终成果文件及任何数据、资料向任何第三方转让、授权任何第三方使用或用于本合同项目外的其他项目。如发生以上情况，乙方应向甲方支付本合同总价款10%的违约金，如果违约金无法弥补甲方的损失，甲方有权要求乙方赔偿全部损失，包括但不限于上述索赔或责任所产生的诉讼费用、合理的律师费用、保全费、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5.乙方完成本合同项目的统计服务人员享有在有关技术成果文件上写明技术成果完成者的权利和与甲方共同获得有关荣誉证书、奖励的权利。</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保密条款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10%的违约金，如果违约金无法弥补甲方损失，甲方保留要求乙方赔偿全部损失的权利，包括但不限于上述索赔或责任所产生的诉讼费用、合理的律师费用、保全费、鉴定评估费用、调查费用、和解金额或生效法律文书中规定的赔偿金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第十一条  成果要求及验收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1.成果要求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最终成果为《月度港人港企运行情况统计简报》（12份）、《季度港人港企运行情况分析简报》（4份）、《季度港人港企运行情况分析报告》（4份）、《港人港企主题分析报告》（2份）。成果形式包括电子版(电子版1套)，满足甲方使用及归档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2.最终成果验收合格的标志为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甲方审查批准。</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项目服务费用及付款方式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1.合同价款：合同总价为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（含税）。总价包干</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包括但不限于：（1）乙方为甲方所提供的所有服务和技术支持费用；（2）项目调研费用；（3）项目产生的专家费用；（4）乙方工作人员工资、差旅费；（5）乙方的办公、通讯、交通费用；（6）项目材料统计、分析费用；（7）项目成果文本印刷费用；（8）乙方以各种方式将文件资料发送至甲方的费用；（9）本合同项下产生的一切税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（10）本合同项下产生的其他合理费用，并提供合同要求的成果文件，以及其它相关服务的全部费用。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2.合同价款由甲方分3期支付至乙方指定银行账户：</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2.1.第1期：自本合同签订之日起15个工作日内，根据乙方提出的付款申请，甲方向乙方支付合同总金额的</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0%；</w:t>
      </w:r>
      <w:r>
        <w:rPr>
          <w:rFonts w:ascii="宋体" w:hAnsi="宋体" w:cs="宋体"/>
          <w:color w:val="000000" w:themeColor="text1"/>
          <w14:textFill>
            <w14:solidFill>
              <w14:schemeClr w14:val="tx1"/>
            </w14:solidFill>
          </w14:textFill>
        </w:rPr>
        <w:t>即人民币</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整（</w:t>
      </w:r>
      <w:r>
        <w:rPr>
          <w:rFonts w:hint="eastAsia" w:ascii="宋体" w:hAnsi="宋体" w:cs="宋体"/>
          <w:color w:val="000000" w:themeColor="text1"/>
          <w14:textFill>
            <w14:solidFill>
              <w14:schemeClr w14:val="tx1"/>
            </w14:solidFill>
          </w14:textFill>
        </w:rPr>
        <w:t>¥  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2.2.第2期：乙方服务至</w:t>
      </w:r>
      <w:r>
        <w:rPr>
          <w:rFonts w:ascii="宋体" w:hAnsi="宋体" w:cs="宋体"/>
          <w:color w:val="000000" w:themeColor="text1"/>
          <w14:textFill>
            <w14:solidFill>
              <w14:schemeClr w14:val="tx1"/>
            </w14:solidFill>
          </w14:textFill>
        </w:rPr>
        <w:t>2025年</w:t>
      </w:r>
      <w:r>
        <w:rPr>
          <w:rFonts w:hint="eastAsia" w:ascii="宋体" w:hAnsi="宋体" w:cs="宋体"/>
          <w:color w:val="000000" w:themeColor="text1"/>
          <w14:textFill>
            <w14:solidFill>
              <w14:schemeClr w14:val="tx1"/>
            </w14:solidFill>
          </w14:textFill>
        </w:rPr>
        <w:t>11月30日且提交</w:t>
      </w:r>
      <w:r>
        <w:rPr>
          <w:rFonts w:ascii="宋体" w:hAnsi="宋体" w:cs="宋体"/>
          <w:color w:val="000000" w:themeColor="text1"/>
          <w14:textFill>
            <w14:solidFill>
              <w14:schemeClr w14:val="tx1"/>
            </w14:solidFill>
          </w14:textFill>
        </w:rPr>
        <w:t>4份</w:t>
      </w:r>
      <w:r>
        <w:rPr>
          <w:rFonts w:hint="eastAsia" w:ascii="宋体" w:hAnsi="宋体" w:cs="宋体"/>
          <w:color w:val="000000" w:themeColor="text1"/>
          <w14:textFill>
            <w14:solidFill>
              <w14:schemeClr w14:val="tx1"/>
            </w14:solidFill>
          </w14:textFill>
        </w:rPr>
        <w:t>《月度港人港企运行情况统计简报》</w:t>
      </w:r>
      <w:r>
        <w:rPr>
          <w:rFonts w:ascii="宋体" w:hAnsi="宋体" w:cs="宋体"/>
          <w:color w:val="000000" w:themeColor="text1"/>
          <w14:textFill>
            <w14:solidFill>
              <w14:schemeClr w14:val="tx1"/>
            </w14:solidFill>
          </w14:textFill>
        </w:rPr>
        <w:t>、2份</w:t>
      </w:r>
      <w:r>
        <w:rPr>
          <w:rFonts w:hint="eastAsia" w:ascii="宋体" w:hAnsi="宋体" w:cs="宋体"/>
          <w:color w:val="000000" w:themeColor="text1"/>
          <w14:textFill>
            <w14:solidFill>
              <w14:schemeClr w14:val="tx1"/>
            </w14:solidFill>
          </w14:textFill>
        </w:rPr>
        <w:t>《季度港人港企运行情况分析简报》</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份《季度港人港企运行情况分析报告》后15个工作日内，甲方组织对乙方工作进行验收，验收合格的，根据乙方提出的付款申请，甲方向乙方支付合同总金额的</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0%；</w:t>
      </w:r>
      <w:r>
        <w:rPr>
          <w:rFonts w:ascii="宋体" w:hAnsi="宋体" w:cs="宋体"/>
          <w:color w:val="000000" w:themeColor="text1"/>
          <w14:textFill>
            <w14:solidFill>
              <w14:schemeClr w14:val="tx1"/>
            </w14:solidFill>
          </w14:textFill>
        </w:rPr>
        <w:t>即人民币</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整（</w:t>
      </w:r>
      <w:r>
        <w:rPr>
          <w:rFonts w:hint="eastAsia" w:ascii="宋体" w:hAnsi="宋体" w:cs="宋体"/>
          <w:color w:val="000000" w:themeColor="text1"/>
          <w14:textFill>
            <w14:solidFill>
              <w14:schemeClr w14:val="tx1"/>
            </w14:solidFill>
          </w14:textFill>
        </w:rPr>
        <w:t>¥  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2.3.第3期：乙方提交最终成果后15个工作日内，甲方组织对乙方工作进行验收，验收合格的，根据乙方提出的付款申请，甲方向乙方支付合同总金额的</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0%；</w:t>
      </w:r>
      <w:r>
        <w:rPr>
          <w:rFonts w:ascii="宋体" w:hAnsi="宋体" w:cs="宋体"/>
          <w:color w:val="000000" w:themeColor="text1"/>
          <w14:textFill>
            <w14:solidFill>
              <w14:schemeClr w14:val="tx1"/>
            </w14:solidFill>
          </w14:textFill>
        </w:rPr>
        <w:t>即人民币</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整（</w:t>
      </w:r>
      <w:r>
        <w:rPr>
          <w:rFonts w:hint="eastAsia" w:ascii="宋体" w:hAnsi="宋体" w:cs="宋体"/>
          <w:color w:val="000000" w:themeColor="text1"/>
          <w14:textFill>
            <w14:solidFill>
              <w14:schemeClr w14:val="tx1"/>
            </w14:solidFill>
          </w14:textFill>
        </w:rPr>
        <w:t>¥  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4.乙方银行账户信息：</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开户银行： </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户名：</w:t>
      </w:r>
    </w:p>
    <w:p>
      <w:pPr>
        <w:pStyle w:val="3"/>
        <w:spacing w:after="0"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合同提前终止</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1.双方协商同意提前终止本合同的，按双方协商约定的方式进行清算执行。</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并按照乙方已完成的工作量支付款项，同时乙方应向甲方提交在合同终止日前完成的所有项目文件和相关资料。</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3.有下列情形之一的，本合同自甲方向乙方发出书面通知之日起终止：</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（1）甲方的职能发生转变，不再具有委托职能。</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（2）本合同签订时适用的法律法规或政策发生变化，且对本合同的继续履行造成重大影响。</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发生以上情形，甲方已向乙方支付的款项不退还，同时乙方应向甲方提交在合同终止日前完成的所有项目文件和相关资料。</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4.如发生不可抗力或其他超出合同双方控制的事件，致使一方无法履行合同，本合同解除。</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（2）发生不可抗力，甲乙双方承担各自的损失。由于其中一方迟延履行合同义务后发生不可抗力的，其违约责任不能免除。</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争议解决办法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因本合同的履行发生的或与本合同有关的争议或纠纷，由甲乙双方协商解决。协商不成的，双方同意将争议提交深圳前海合作区人民法院通过诉讼解决。</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第十五条  项目变更</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第十六条  风险责任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  】号招标文件的要求和乙方投标文件的承诺完成本项目，出于自身财务、技术、人力等原因导致项目失败的，应承担全部责任。</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  违约责任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1.乙方未按照本合同约定的时间完成本项目各阶段工作，每延迟一日，甲方有权自尚未支付的合同款项中扣除该阶段应付而未付合同价款每日1‰的逾期违约金。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2.本项目项下的工作内容不可分割，任一文件的迟延交付均视为整个项目的迟延交付。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（1）乙方未能按合同约定的日期(含协商延缓的日期)提交各阶段成果或最终成果，延误时间超过30个工作日；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（2）因乙方工作的错误或遗漏造成成果质量损失，工作成果质量低劣，不能满足甲方工作需要和要求；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（3）乙方虽如期提交最终成果，但连续二次未能通过甲方验收的；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（5）项目负责人未承担本合同项目实质性工作，或未经甲方书面在先同意，乙方擅自更换项目负责人的；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（7）乙方明确表示或者以自己的行为表明不履行本合同的。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w:t>
      </w:r>
      <w:r>
        <w:rPr>
          <w:rFonts w:hint="eastAsia" w:ascii="宋体" w:hAnsi="宋体" w:cs="宋体"/>
          <w:bCs/>
          <w:color w:val="000000" w:themeColor="text1"/>
          <w:sz w:val="24"/>
          <w14:textFill>
            <w14:solidFill>
              <w14:schemeClr w14:val="tx1"/>
            </w14:solidFill>
          </w14:textFill>
        </w:rPr>
        <w:t>或无正当理由拒绝项目验收</w:t>
      </w:r>
      <w:r>
        <w:rPr>
          <w:rFonts w:hint="eastAsia" w:ascii="宋体" w:hAnsi="宋体" w:cs="宋体"/>
          <w:color w:val="000000" w:themeColor="text1"/>
          <w:sz w:val="24"/>
          <w14:textFill>
            <w14:solidFill>
              <w14:schemeClr w14:val="tx1"/>
            </w14:solidFill>
          </w14:textFill>
        </w:rPr>
        <w:t>，到期明确表示拒付服务款项的，甲方向乙方偿付本合同总价10%的违约金。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上述索赔或责任所产生的诉讼费用、合理的律师费用、保全费、鉴定评估费用、调查费用、和解金额或生效法律文书中规定的赔偿金额。</w:t>
      </w:r>
    </w:p>
    <w:p>
      <w:pPr>
        <w:spacing w:line="360" w:lineRule="auto"/>
        <w:ind w:firstLine="482" w:firstLineChars="200"/>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第十八条  其他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）及其澄清、补正公告；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4.本合同未尽事宜，由双方协商签订补充协议进行约定。补充协议应以书面形式作成，经双方法定代表人或其授权代表签字、盖章后与本合同具有同等法律效力。</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7.如果本合同的任何条款在任何时候变成不合法、无效或不可强制执行而不从根本上影响本合同的效力时，本合同的其他条款不受影响。</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9.任何一方未经另一方同意不得向任何第三方透露本合同的签订及其内容。甲方向其关联公司透露前述内容的，不受此限。</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2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11.本合同自双方盖章之日起生效，有效期至后续服务期满之日止。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24" w:name="_Toc25518"/>
      <w:r>
        <w:rPr>
          <w:rFonts w:hint="eastAsia" w:ascii="宋体" w:hAnsi="宋体" w:cs="宋体"/>
          <w:b/>
          <w:bCs/>
          <w:color w:val="000000" w:themeColor="text1"/>
          <w:sz w:val="24"/>
          <w14:textFill>
            <w14:solidFill>
              <w14:schemeClr w14:val="tx1"/>
            </w14:solidFill>
          </w14:textFill>
        </w:rPr>
        <w:t>用户需求书</w:t>
      </w:r>
      <w:bookmarkEnd w:id="24"/>
    </w:p>
    <w:p>
      <w:pPr>
        <w:pStyle w:val="24"/>
        <w:tabs>
          <w:tab w:val="left" w:pos="720"/>
        </w:tabs>
        <w:autoSpaceDE w:val="0"/>
        <w:autoSpaceDN w:val="0"/>
        <w:adjustRightInd w:val="0"/>
        <w:spacing w:line="360" w:lineRule="auto"/>
        <w:ind w:right="17" w:firstLine="482"/>
        <w:jc w:val="left"/>
        <w:outlineLvl w:val="1"/>
        <w:rPr>
          <w:rFonts w:ascii="宋体" w:hAnsi="宋体" w:cs="宋体"/>
          <w:b/>
          <w:sz w:val="24"/>
        </w:rPr>
      </w:pPr>
      <w:bookmarkStart w:id="25" w:name="_Toc23726"/>
      <w:bookmarkStart w:id="26" w:name="_Toc11045"/>
      <w:r>
        <w:rPr>
          <w:rFonts w:hint="eastAsia" w:ascii="宋体" w:hAnsi="宋体" w:cs="宋体"/>
          <w:b/>
          <w:sz w:val="24"/>
        </w:rPr>
        <w:t>说明：本章“用户需求书”的全部内容为本项目正常开展的基本要求，投标人必须完全响应，否则将导致投标无效。</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bookmarkEnd w:id="25"/>
      <w:bookmarkEnd w:id="26"/>
      <w:bookmarkStart w:id="27" w:name="_Toc51746099"/>
      <w:r>
        <w:rPr>
          <w:rFonts w:hint="eastAsia" w:ascii="宋体" w:hAnsi="宋体" w:cs="宋体"/>
          <w:b/>
          <w:color w:val="000000" w:themeColor="text1"/>
          <w:sz w:val="24"/>
          <w:lang w:val="zh-CN"/>
          <w14:textFill>
            <w14:solidFill>
              <w14:schemeClr w14:val="tx1"/>
            </w14:solidFill>
          </w14:textFill>
        </w:rPr>
        <w:t>项目概况</w:t>
      </w:r>
    </w:p>
    <w:bookmarkEnd w:id="27"/>
    <w:p>
      <w:pPr>
        <w:pStyle w:val="5"/>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前海深港现代服务业合作区总体发展规划》要求，到2025年底前海需实现港资企业数11000家、香港居民就业数10000人，该指标已经纳入前海经济社会发展重要指标。为加强对港人港企发展趋势的分析研判，亟需采购专业第三方机构协助对前海合作区港人港企数据进行动态</w:t>
      </w:r>
      <w:r>
        <w:rPr>
          <w:rFonts w:ascii="宋体" w:hAnsi="宋体" w:cs="宋体"/>
          <w:color w:val="000000" w:themeColor="text1"/>
          <w:sz w:val="24"/>
          <w:szCs w:val="24"/>
          <w14:textFill>
            <w14:solidFill>
              <w14:schemeClr w14:val="tx1"/>
            </w14:solidFill>
          </w14:textFill>
        </w:rPr>
        <w:t>分析</w:t>
      </w:r>
      <w:r>
        <w:rPr>
          <w:rFonts w:hint="eastAsia" w:ascii="宋体" w:hAnsi="宋体" w:cs="宋体"/>
          <w:color w:val="000000" w:themeColor="text1"/>
          <w:sz w:val="24"/>
          <w:szCs w:val="24"/>
          <w14:textFill>
            <w14:solidFill>
              <w14:schemeClr w14:val="tx1"/>
            </w14:solidFill>
          </w14:textFill>
        </w:rPr>
        <w:t>，为制定相关政策举措提供数据信息和决策依据。</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二、工作内容</w:t>
      </w:r>
    </w:p>
    <w:p>
      <w:pPr>
        <w:pStyle w:val="5"/>
        <w:spacing w:line="360" w:lineRule="auto"/>
        <w:ind w:firstLine="480"/>
        <w:outlineLvl w:val="2"/>
        <w:rPr>
          <w:rFonts w:ascii="宋体" w:hAnsi="宋体" w:cs="宋体"/>
          <w:color w:val="000000" w:themeColor="text1"/>
          <w:sz w:val="24"/>
          <w:szCs w:val="24"/>
          <w14:textFill>
            <w14:solidFill>
              <w14:schemeClr w14:val="tx1"/>
            </w14:solidFill>
          </w14:textFill>
        </w:rPr>
      </w:pPr>
      <w:bookmarkStart w:id="28" w:name="_Toc8667"/>
      <w:bookmarkStart w:id="29" w:name="_Toc12192"/>
      <w:r>
        <w:rPr>
          <w:rFonts w:hint="eastAsia" w:ascii="宋体" w:hAnsi="宋体" w:cs="宋体"/>
          <w:color w:val="000000" w:themeColor="text1"/>
          <w:sz w:val="24"/>
          <w:szCs w:val="24"/>
          <w14:textFill>
            <w14:solidFill>
              <w14:schemeClr w14:val="tx1"/>
            </w14:solidFill>
          </w14:textFill>
        </w:rPr>
        <w:t>（一）数据采集</w:t>
      </w:r>
      <w:bookmarkEnd w:id="28"/>
      <w:bookmarkEnd w:id="29"/>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1.港资企业数据。</w:t>
      </w:r>
      <w:r>
        <w:rPr>
          <w:rFonts w:ascii="宋体" w:hAnsi="宋体" w:cs="宋体"/>
          <w:color w:val="000000" w:themeColor="text1"/>
          <w:sz w:val="24"/>
          <w14:textFill>
            <w14:solidFill>
              <w14:schemeClr w14:val="tx1"/>
            </w14:solidFill>
          </w14:textFill>
        </w:rPr>
        <w:t>梳理各部门的港资企业数据</w:t>
      </w:r>
      <w:r>
        <w:rPr>
          <w:rFonts w:hint="eastAsia" w:ascii="宋体" w:hAnsi="宋体" w:cs="宋体"/>
          <w:color w:val="000000" w:themeColor="text1"/>
          <w:sz w:val="24"/>
          <w14:textFill>
            <w14:solidFill>
              <w14:schemeClr w14:val="tx1"/>
            </w14:solidFill>
          </w14:textFill>
        </w:rPr>
        <w:t>等。</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2.就业港人数据。</w:t>
      </w:r>
      <w:r>
        <w:rPr>
          <w:rFonts w:ascii="宋体" w:hAnsi="宋体" w:cs="宋体"/>
          <w:color w:val="000000" w:themeColor="text1"/>
          <w:sz w:val="24"/>
          <w14:textFill>
            <w14:solidFill>
              <w14:schemeClr w14:val="tx1"/>
            </w14:solidFill>
          </w14:textFill>
        </w:rPr>
        <w:t>梳理</w:t>
      </w:r>
      <w:r>
        <w:rPr>
          <w:rFonts w:hint="eastAsia" w:ascii="宋体" w:hAnsi="宋体" w:cs="宋体"/>
          <w:color w:val="000000" w:themeColor="text1"/>
          <w:sz w:val="24"/>
          <w14:textFill>
            <w14:solidFill>
              <w14:schemeClr w14:val="tx1"/>
            </w14:solidFill>
          </w14:textFill>
        </w:rPr>
        <w:t>纳税港人数据、港人任职数据、港人申领奖金补贴数据、</w:t>
      </w:r>
      <w:r>
        <w:rPr>
          <w:rFonts w:ascii="宋体" w:hAnsi="宋体" w:cs="宋体"/>
          <w:color w:val="000000" w:themeColor="text1"/>
          <w:sz w:val="24"/>
          <w14:textFill>
            <w14:solidFill>
              <w14:schemeClr w14:val="tx1"/>
            </w14:solidFill>
          </w14:textFill>
        </w:rPr>
        <w:t>港人</w:t>
      </w:r>
      <w:r>
        <w:rPr>
          <w:rFonts w:hint="eastAsia" w:ascii="宋体" w:hAnsi="宋体" w:cs="宋体"/>
          <w:color w:val="000000" w:themeColor="text1"/>
          <w:sz w:val="24"/>
          <w14:textFill>
            <w14:solidFill>
              <w14:schemeClr w14:val="tx1"/>
            </w14:solidFill>
          </w14:textFill>
        </w:rPr>
        <w:t>缴纳社保人数等，结合重点企业实地走访获取港人数据。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3.港企外部数据。第三方机构自公开渠道采集港资企业基本注册信息、社保人数、创新认定、注册资本变更等外部数据，用于补充分析维度、及时</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企业情况。</w:t>
      </w:r>
    </w:p>
    <w:p>
      <w:pPr>
        <w:pStyle w:val="5"/>
        <w:spacing w:line="360" w:lineRule="auto"/>
        <w:ind w:firstLine="480"/>
        <w:outlineLvl w:val="2"/>
        <w:rPr>
          <w:rFonts w:ascii="宋体" w:hAnsi="宋体" w:cs="宋体"/>
          <w:color w:val="000000" w:themeColor="text1"/>
          <w:sz w:val="24"/>
          <w:szCs w:val="24"/>
          <w14:textFill>
            <w14:solidFill>
              <w14:schemeClr w14:val="tx1"/>
            </w14:solidFill>
          </w14:textFill>
        </w:rPr>
      </w:pPr>
      <w:bookmarkStart w:id="30" w:name="_Toc25746"/>
      <w:bookmarkStart w:id="31" w:name="_Toc9640"/>
      <w:r>
        <w:rPr>
          <w:rFonts w:hint="eastAsia" w:ascii="宋体" w:hAnsi="宋体" w:cs="宋体"/>
          <w:color w:val="000000" w:themeColor="text1"/>
          <w:sz w:val="24"/>
          <w:szCs w:val="24"/>
          <w14:textFill>
            <w14:solidFill>
              <w14:schemeClr w14:val="tx1"/>
            </w14:solidFill>
          </w14:textFill>
        </w:rPr>
        <w:t>（二）数据处理</w:t>
      </w:r>
      <w:bookmarkEnd w:id="30"/>
      <w:bookmarkEnd w:id="31"/>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1.行业精细化分类管理。根据前海现行产业准入目录，结合深圳“20+8”</w:t>
      </w:r>
      <w:r>
        <w:rPr>
          <w:rFonts w:hint="eastAsia" w:ascii="宋体" w:hAnsi="宋体" w:cs="宋体"/>
          <w:color w:val="000000" w:themeColor="text1"/>
          <w:sz w:val="24"/>
          <w:lang w:eastAsia="zh-CN"/>
          <w14:textFill>
            <w14:solidFill>
              <w14:schemeClr w14:val="tx1"/>
            </w14:solidFill>
          </w14:textFill>
        </w:rPr>
        <w:t>战略性新兴产业</w:t>
      </w:r>
      <w:r>
        <w:rPr>
          <w:rFonts w:hint="eastAsia" w:ascii="宋体" w:hAnsi="宋体" w:cs="宋体"/>
          <w:color w:val="000000" w:themeColor="text1"/>
          <w:sz w:val="24"/>
          <w14:textFill>
            <w14:solidFill>
              <w14:schemeClr w14:val="tx1"/>
            </w14:solidFill>
          </w14:textFill>
        </w:rPr>
        <w:t>进行分类。</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2.港资识别。借助股权穿透数据，全面掌握注册港资企业情况，并进一步分析港资企业持股情况</w:t>
      </w:r>
      <w:r>
        <w:rPr>
          <w:rFonts w:ascii="宋体" w:hAnsi="宋体" w:cs="宋体"/>
          <w:color w:val="000000" w:themeColor="text1"/>
          <w:sz w:val="24"/>
          <w14:textFill>
            <w14:solidFill>
              <w14:schemeClr w14:val="tx1"/>
            </w14:solidFill>
          </w14:textFill>
        </w:rPr>
        <w:t>，加强对港资企业的精准服务</w:t>
      </w:r>
      <w:r>
        <w:rPr>
          <w:rFonts w:hint="eastAsia" w:ascii="宋体" w:hAnsi="宋体" w:cs="宋体"/>
          <w:color w:val="000000" w:themeColor="text1"/>
          <w:sz w:val="24"/>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港资企业特色标签管理。对港资企业进行包括国家高新技术企业、上市企业、总部企业、四上企业、世界500强投资企业、营收百强、税收百强、专精特新、创新型中小企业等分类标签及维护管理。围绕港资企业实现的增加值、税收、实际利用港资投资等关键指标，进行统计汇总。</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4.港资企业入驻楼宇信息。</w:t>
      </w:r>
      <w:bookmarkStart w:id="32" w:name="OLE_LINK2"/>
      <w:r>
        <w:rPr>
          <w:rFonts w:hint="eastAsia" w:ascii="宋体" w:hAnsi="宋体" w:cs="宋体"/>
          <w:color w:val="000000" w:themeColor="text1"/>
          <w:sz w:val="24"/>
          <w14:textFill>
            <w14:solidFill>
              <w14:schemeClr w14:val="tx1"/>
            </w14:solidFill>
          </w14:textFill>
        </w:rPr>
        <w:t>综合多个数据来源</w:t>
      </w:r>
      <w:bookmarkEnd w:id="32"/>
      <w:r>
        <w:rPr>
          <w:rFonts w:hint="eastAsia" w:ascii="宋体" w:hAnsi="宋体" w:cs="宋体"/>
          <w:color w:val="000000" w:themeColor="text1"/>
          <w:sz w:val="24"/>
          <w14:textFill>
            <w14:solidFill>
              <w14:schemeClr w14:val="tx1"/>
            </w14:solidFill>
          </w14:textFill>
        </w:rPr>
        <w:t>，对港资企业入驻的楼宇信息进行精准划分。</w:t>
      </w:r>
    </w:p>
    <w:p>
      <w:pPr>
        <w:pStyle w:val="5"/>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5.新增港企港人审核、录入及统计。基于前海智慧大脑，按月为单位提供新增港人港企的审核录入等服务，并分析变动特征、指标完成情况，提炼工作亮点及不足</w:t>
      </w:r>
      <w:r>
        <w:rPr>
          <w:rFonts w:hint="eastAsia" w:ascii="宋体" w:hAnsi="宋体" w:cs="宋体"/>
          <w:color w:val="000000" w:themeColor="text1"/>
          <w:sz w:val="24"/>
          <w:szCs w:val="24"/>
          <w14:textFill>
            <w14:solidFill>
              <w14:schemeClr w14:val="tx1"/>
            </w14:solidFill>
          </w14:textFill>
        </w:rPr>
        <w:t>。</w:t>
      </w:r>
    </w:p>
    <w:p>
      <w:pPr>
        <w:keepNext w:val="0"/>
        <w:keepLines w:val="0"/>
        <w:widowControl/>
        <w:suppressLineNumbers w:val="0"/>
        <w:spacing w:line="360" w:lineRule="auto"/>
        <w:ind w:firstLine="480" w:firstLineChars="200"/>
        <w:jc w:val="left"/>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6.</w:t>
      </w:r>
      <w:r>
        <w:rPr>
          <w:rFonts w:hint="eastAsia" w:ascii="宋体" w:hAnsi="宋体" w:eastAsia="宋体" w:cs="宋体"/>
          <w:i w:val="0"/>
          <w:iCs w:val="0"/>
          <w:caps w:val="0"/>
          <w:color w:val="000000" w:themeColor="text1"/>
          <w:spacing w:val="0"/>
          <w:kern w:val="2"/>
          <w:sz w:val="24"/>
          <w:szCs w:val="24"/>
          <w:shd w:val="clear"/>
          <w:lang w:val="en-US" w:eastAsia="zh-CN" w:bidi="ar"/>
          <w14:textFill>
            <w14:solidFill>
              <w14:schemeClr w14:val="tx1"/>
            </w14:solidFill>
          </w14:textFill>
        </w:rPr>
        <w:t>前海港企港人占</w:t>
      </w:r>
      <w:r>
        <w:rPr>
          <w:rFonts w:hint="default" w:ascii="宋体" w:hAnsi="宋体" w:cs="宋体"/>
          <w:i w:val="0"/>
          <w:iCs w:val="0"/>
          <w:caps w:val="0"/>
          <w:color w:val="000000" w:themeColor="text1"/>
          <w:spacing w:val="0"/>
          <w:kern w:val="2"/>
          <w:sz w:val="24"/>
          <w:szCs w:val="24"/>
          <w:shd w:val="clear"/>
          <w:lang w:eastAsia="zh-CN" w:bidi="ar"/>
          <w14:textFill>
            <w14:solidFill>
              <w14:schemeClr w14:val="tx1"/>
            </w14:solidFill>
          </w14:textFill>
        </w:rPr>
        <w:t>深圳市比例</w:t>
      </w:r>
      <w:r>
        <w:rPr>
          <w:rFonts w:hint="eastAsia" w:ascii="宋体" w:hAnsi="宋体" w:eastAsia="宋体" w:cs="宋体"/>
          <w:i w:val="0"/>
          <w:iCs w:val="0"/>
          <w:caps w:val="0"/>
          <w:color w:val="000000" w:themeColor="text1"/>
          <w:spacing w:val="0"/>
          <w:kern w:val="2"/>
          <w:sz w:val="24"/>
          <w:szCs w:val="24"/>
          <w:shd w:val="clear"/>
          <w:lang w:val="en-US" w:eastAsia="zh-CN" w:bidi="ar"/>
          <w14:textFill>
            <w14:solidFill>
              <w14:schemeClr w14:val="tx1"/>
            </w14:solidFill>
          </w14:textFill>
        </w:rPr>
        <w:t>分析</w:t>
      </w:r>
      <w:r>
        <w:rPr>
          <w:rFonts w:hint="default" w:ascii="宋体" w:hAnsi="宋体" w:cs="宋体"/>
          <w:i w:val="0"/>
          <w:iCs w:val="0"/>
          <w:caps w:val="0"/>
          <w:color w:val="000000" w:themeColor="text1"/>
          <w:spacing w:val="0"/>
          <w:kern w:val="2"/>
          <w:sz w:val="24"/>
          <w:szCs w:val="24"/>
          <w:shd w:val="clear"/>
          <w:lang w:eastAsia="zh-CN" w:bidi="ar"/>
          <w14:textFill>
            <w14:solidFill>
              <w14:schemeClr w14:val="tx1"/>
            </w14:solidFill>
          </w14:textFill>
        </w:rPr>
        <w:t>。</w:t>
      </w:r>
    </w:p>
    <w:p>
      <w:pPr>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（三）重点企业分析</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1.港资企业行业龙头调研。精选150家行业龙头港资企业/重点港资企业，安排项目组人员通过桌面调研、电话、线上微信沟通、实地走访等方式协助调查企业经营情况，形成企业动态档案并</w:t>
      </w:r>
      <w:r>
        <w:rPr>
          <w:rFonts w:ascii="宋体" w:hAnsi="宋体" w:cs="宋体"/>
          <w:color w:val="000000" w:themeColor="text1"/>
          <w:sz w:val="24"/>
          <w14:textFill>
            <w14:solidFill>
              <w14:schemeClr w14:val="tx1"/>
            </w14:solidFill>
          </w14:textFill>
        </w:rPr>
        <w:t>分析其发展情况</w:t>
      </w:r>
      <w:r>
        <w:rPr>
          <w:rFonts w:hint="eastAsia" w:ascii="宋体" w:hAnsi="宋体" w:cs="宋体"/>
          <w:color w:val="000000" w:themeColor="text1"/>
          <w:sz w:val="24"/>
          <w14:textFill>
            <w14:solidFill>
              <w14:schemeClr w14:val="tx1"/>
            </w14:solidFill>
          </w14:textFill>
        </w:rPr>
        <w:t>。</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2.集团港资企业</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。梳理港资重点企业系名单，</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区内港资重点企业集团及子公司相关情况，形成企业动态档案并</w:t>
      </w:r>
      <w:r>
        <w:rPr>
          <w:rFonts w:ascii="宋体" w:hAnsi="宋体" w:cs="宋体"/>
          <w:color w:val="000000" w:themeColor="text1"/>
          <w:sz w:val="24"/>
          <w14:textFill>
            <w14:solidFill>
              <w14:schemeClr w14:val="tx1"/>
            </w14:solidFill>
          </w14:textFill>
        </w:rPr>
        <w:t>分析其发展情况</w:t>
      </w:r>
      <w:r>
        <w:rPr>
          <w:rFonts w:hint="eastAsia" w:ascii="宋体" w:hAnsi="宋体" w:cs="宋体"/>
          <w:color w:val="000000" w:themeColor="text1"/>
          <w:sz w:val="24"/>
          <w14:textFill>
            <w14:solidFill>
              <w14:schemeClr w14:val="tx1"/>
            </w14:solidFill>
          </w14:textFill>
        </w:rPr>
        <w:t>。</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3.异常港资企业</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。常态化</w:t>
      </w:r>
      <w:r>
        <w:rPr>
          <w:rFonts w:ascii="宋体" w:hAnsi="宋体" w:cs="宋体"/>
          <w:color w:val="000000" w:themeColor="text1"/>
          <w:sz w:val="24"/>
          <w14:textFill>
            <w14:solidFill>
              <w14:schemeClr w14:val="tx1"/>
            </w14:solidFill>
          </w14:textFill>
        </w:rPr>
        <w:t>分析</w:t>
      </w:r>
      <w:r>
        <w:rPr>
          <w:rFonts w:hint="eastAsia" w:ascii="宋体" w:hAnsi="宋体" w:cs="宋体"/>
          <w:color w:val="000000" w:themeColor="text1"/>
          <w:sz w:val="24"/>
          <w14:textFill>
            <w14:solidFill>
              <w14:schemeClr w14:val="tx1"/>
            </w14:solidFill>
          </w14:textFill>
        </w:rPr>
        <w:t>经营异常港资企业（含经营指标、企业变动、注册资本、社保人数变动等），促进企业正常经营，形成企业动态档案并</w:t>
      </w:r>
      <w:r>
        <w:rPr>
          <w:rFonts w:ascii="宋体" w:hAnsi="宋体" w:cs="宋体"/>
          <w:color w:val="000000" w:themeColor="text1"/>
          <w:sz w:val="24"/>
          <w14:textFill>
            <w14:solidFill>
              <w14:schemeClr w14:val="tx1"/>
            </w14:solidFill>
          </w14:textFill>
        </w:rPr>
        <w:t>分析其发展情况</w:t>
      </w:r>
      <w:r>
        <w:rPr>
          <w:rFonts w:hint="eastAsia" w:ascii="宋体" w:hAnsi="宋体" w:cs="宋体"/>
          <w:color w:val="000000" w:themeColor="text1"/>
          <w:sz w:val="24"/>
          <w14:textFill>
            <w14:solidFill>
              <w14:schemeClr w14:val="tx1"/>
            </w14:solidFill>
          </w14:textFill>
        </w:rPr>
        <w:t>。</w:t>
      </w:r>
    </w:p>
    <w:p>
      <w:pPr>
        <w:pStyle w:val="24"/>
        <w:tabs>
          <w:tab w:val="left" w:pos="720"/>
        </w:tabs>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三、成果要求及验收</w:t>
      </w:r>
    </w:p>
    <w:p>
      <w:pPr>
        <w:pStyle w:val="24"/>
        <w:tabs>
          <w:tab w:val="left" w:pos="720"/>
        </w:tabs>
        <w:autoSpaceDE w:val="0"/>
        <w:autoSpaceDN w:val="0"/>
        <w:adjustRightInd w:val="0"/>
        <w:spacing w:line="360" w:lineRule="auto"/>
        <w:ind w:right="17" w:firstLine="480"/>
        <w:jc w:val="left"/>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（一）成果要求</w:t>
      </w:r>
    </w:p>
    <w:p>
      <w:pPr>
        <w:pStyle w:val="24"/>
        <w:tabs>
          <w:tab w:val="left" w:pos="720"/>
        </w:tabs>
        <w:autoSpaceDE w:val="0"/>
        <w:autoSpaceDN w:val="0"/>
        <w:adjustRightInd w:val="0"/>
        <w:spacing w:line="360" w:lineRule="auto"/>
        <w:ind w:right="17" w:firstLine="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项目最终成果为《月度港人港企运行情况统计简报》（12份）、《季度港人港企运行情况分析简报》（4份）、《季度港人港企运行情况分析报告》（4份）、《港人港企主题分析报告》（2份）。成果形式包括电子版(电子版1套)，满足采购人使用及归档要求</w:t>
      </w:r>
      <w:r>
        <w:rPr>
          <w:rFonts w:hint="eastAsia" w:ascii="宋体" w:hAnsi="宋体" w:cs="宋体"/>
          <w:bCs/>
          <w:color w:val="000000" w:themeColor="text1"/>
          <w:sz w:val="24"/>
          <w14:textFill>
            <w14:solidFill>
              <w14:schemeClr w14:val="tx1"/>
            </w14:solidFill>
          </w14:textFill>
        </w:rPr>
        <w:t>。</w:t>
      </w:r>
    </w:p>
    <w:p>
      <w:pPr>
        <w:pStyle w:val="24"/>
        <w:tabs>
          <w:tab w:val="left" w:pos="720"/>
        </w:tabs>
        <w:autoSpaceDE w:val="0"/>
        <w:autoSpaceDN w:val="0"/>
        <w:adjustRightInd w:val="0"/>
        <w:spacing w:line="360" w:lineRule="auto"/>
        <w:ind w:right="17" w:firstLine="480"/>
        <w:jc w:val="left"/>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（二）最终成果验收合格的标志为</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采购人审查批准。</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四、进度计划</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本项目服务期限自合同签署之日起一年：</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1.每季度次月15日前完成，港资企业相关数据的采集、整理工作以及提供重点产业的企业名单，确保数据的及时性、准确性。</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2.每季度次月20日前，配合完成港资重点企业调研。</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3.每季度次月25日前，配合完成港资企业分析报告。</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4.合同终止之日前，根据项目需要配合采购人完成补充调研，根据补充调研成果和采购人修改意见对所有交付成果进行修改，向采购人提交最终成果送审稿。</w:t>
      </w:r>
    </w:p>
    <w:p>
      <w:pPr>
        <w:pStyle w:val="24"/>
        <w:tabs>
          <w:tab w:val="left" w:pos="720"/>
        </w:tabs>
        <w:autoSpaceDE w:val="0"/>
        <w:autoSpaceDN w:val="0"/>
        <w:adjustRightInd w:val="0"/>
        <w:spacing w:line="360" w:lineRule="auto"/>
        <w:ind w:right="17"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5.合同有效期内，根据采购人的需求，提供日常咨询顾问服务。</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五、人员要求</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中标人需为本项目配置不少于</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人的服务团队，其中项目负责人1名、技术负责人1名、项目主要人员</w:t>
      </w:r>
      <w:r>
        <w:rPr>
          <w:rFonts w:hint="eastAsia" w:ascii="宋体" w:hAnsi="宋体" w:cs="宋体"/>
          <w:color w:val="000000" w:themeColor="text1"/>
          <w:sz w:val="24"/>
          <w:lang w:val="en-US" w:eastAsia="zh-CN"/>
          <w14:textFill>
            <w14:solidFill>
              <w14:schemeClr w14:val="tx1"/>
            </w14:solidFill>
          </w14:textFill>
        </w:rPr>
        <w:t>不少于5</w:t>
      </w:r>
      <w:r>
        <w:rPr>
          <w:rFonts w:hint="eastAsia" w:ascii="宋体" w:hAnsi="宋体" w:cs="宋体"/>
          <w:color w:val="000000" w:themeColor="text1"/>
          <w:sz w:val="24"/>
          <w14:textFill>
            <w14:solidFill>
              <w14:schemeClr w14:val="tx1"/>
            </w14:solidFill>
          </w14:textFill>
        </w:rPr>
        <w:t>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包含数据分析师、数据工程师、运营工程师等岗位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default" w:ascii="宋体" w:hAnsi="宋体" w:cs="宋体"/>
          <w:b/>
          <w:color w:val="000000" w:themeColor="text1"/>
          <w:sz w:val="24"/>
          <w:lang w:val="en-US"/>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9" w:afterLines="50"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自本合同签订之日起1年内。</w:t>
      </w:r>
    </w:p>
    <w:p>
      <w:pPr>
        <w:tabs>
          <w:tab w:val="left" w:pos="720"/>
        </w:tabs>
        <w:autoSpaceDE w:val="0"/>
        <w:autoSpaceDN w:val="0"/>
        <w:adjustRightInd w:val="0"/>
        <w:spacing w:line="360" w:lineRule="auto"/>
        <w:ind w:right="17" w:firstLine="482"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（二）后续服务要求</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人提交的本项目最终成果通过采购人审查验收之日起1年为本合同后续服务期。服务期内中标人应向采购人提供后续的专业技术支持与咨询服务。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的合同金额。投标人的报价不可高于预算（限价），否则投标人的投标文件视同无效。投标人的投标总价为完成项目及招标文件或合同条款所规定的工作内容的各项费用，项目服务费包括但不限于：</w:t>
      </w:r>
      <w:r>
        <w:rPr>
          <w:rFonts w:hint="eastAsia" w:ascii="宋体" w:hAnsi="宋体" w:cs="宋体"/>
          <w:color w:val="000000" w:themeColor="text1"/>
          <w:kern w:val="0"/>
          <w:sz w:val="24"/>
          <w14:textFill>
            <w14:solidFill>
              <w14:schemeClr w14:val="tx1"/>
            </w14:solidFill>
          </w14:textFill>
        </w:rPr>
        <w:t>（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（10）本合同项下产生的其他合理费用，并提供合同要求的成果文件，以及其它相关服务的全部费用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（四）付款方式</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1.项目资金分3期支付至中标人指定银行账户：</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1.1.第1期：自本合同签订之日起15个工作日内，根据中标人提出的付款申请，采购人向中标人支付合同总金额的</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1.2.第2期：中标人服务至2025年11月30日且提交4份《月度港人港企运行情况统计简报》</w:t>
      </w:r>
      <w:r>
        <w:rPr>
          <w:rFonts w:ascii="宋体" w:hAnsi="宋体" w:cs="宋体"/>
          <w:color w:val="000000" w:themeColor="text1"/>
          <w:sz w:val="24"/>
          <w14:textFill>
            <w14:solidFill>
              <w14:schemeClr w14:val="tx1"/>
            </w14:solidFill>
          </w14:textFill>
        </w:rPr>
        <w:t>、2份</w:t>
      </w:r>
      <w:r>
        <w:rPr>
          <w:rFonts w:hint="eastAsia" w:ascii="宋体" w:hAnsi="宋体" w:cs="宋体"/>
          <w:color w:val="000000" w:themeColor="text1"/>
          <w:sz w:val="24"/>
          <w14:textFill>
            <w14:solidFill>
              <w14:schemeClr w14:val="tx1"/>
            </w14:solidFill>
          </w14:textFill>
        </w:rPr>
        <w:t>《季度港人港企运行情况分析简报》</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份《季度港人港企运行情况分析报告》后15个工作日内，采购人组织对中标人工作进行验收，验收合格的，根据中标人提出的付款申请，采购人向中标人支付合同总金额的</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1.3.第3期：中标人提交最终成果后15个工作日内，采购人组织对中标人工作进行验收，验收合格的，根据中标人提出的付款申请，采购人向中标人支付合同总金额的</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文件及任何数据、资料等不得侵犯任何第三方的知识产权或其他权利，由于该等文件、数据、资料侵权所导致的任何索赔或责任均由中标人承担，同时，采购人保留要求中标人赔偿相应损失的权利，包括但不限于上述索赔或责任所产生的诉讼费用、合理的律师费用、保全费、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文件及任何数据、资料向任何第三方转让、授权任何第三方使用或用于本合同项目外的其他项目。如发生以上情况，中标人应向采购人支付本合同总价款10%的违约金，如果违约金无法弥补采购人的损失，采购人有权要求中标人赔偿全部损失，包括但不限于上述索赔或责任所产生的诉讼费用、合理的律师费用、保全费、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5.中标人完成本合同项目的统计服务人员享有在有关技术成果文件上写明技术成果完成者的权利和与采购人共同获得有关荣誉证书、奖励的权利。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10%的违约金，如果违约金无法弥补采购人损失，采购人保留要求中标人赔偿全部损失的权利，包括但不限于上述索赔或责任所产生的诉讼费用、合理的律师费用、保全费、鉴定评估费用、调查费用、和解金额或生效法律文书中规定的赔偿金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1.中标人未按照本合同约定的时间完成本项目各阶段工作，每延迟一日，采购人有权自尚未支付的合同款项中扣除该阶段应付而未付合同价款每日1‰的逾期违约金。</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2.本项目项下的工作内容不可分割，任一文件的迟延交付均视为整个项目的迟延交付。</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人有权解除本合同，中标人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（1）中标人未能按合同约定的日期(含协商延缓的日期)提交各阶段成果或最终成果，延误时间超过30个工作日；</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（2）因中标人工作的错误或遗漏造成成果质量损失，工作成果质量低劣，不能满足采购人工作需要和要求；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（3）中标人虽如期提交最终成果，但连续二次未能通过采购人验收的；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（7）中标人明确表示或者以自己的行为表明不履行本合同的。</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w:t>
      </w:r>
      <w:r>
        <w:rPr>
          <w:rFonts w:hint="eastAsia" w:ascii="宋体" w:hAnsi="宋体" w:cs="宋体"/>
          <w:bCs/>
          <w:color w:val="000000" w:themeColor="text1"/>
          <w:sz w:val="24"/>
          <w14:textFill>
            <w14:solidFill>
              <w14:schemeClr w14:val="tx1"/>
            </w14:solidFill>
          </w14:textFill>
        </w:rPr>
        <w:t>或无正当理由拒绝项目验收</w:t>
      </w:r>
      <w:r>
        <w:rPr>
          <w:rFonts w:hint="eastAsia" w:ascii="宋体" w:hAnsi="宋体" w:cs="宋体"/>
          <w:color w:val="000000" w:themeColor="text1"/>
          <w:sz w:val="24"/>
          <w14:textFill>
            <w14:solidFill>
              <w14:schemeClr w14:val="tx1"/>
            </w14:solidFill>
          </w14:textFill>
        </w:rPr>
        <w:t>，到期明确表示拒付服务款项的，采购人向中标人偿付本合同总价10%的违约金。</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上述索赔或责任所产生的诉讼费用、合理的律师费用、保全费、鉴定评估费用、调查费用、和解金额或生效法律文书中规定的赔偿金额。</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（八）争议解决方式</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因合同的履行发生的或与合同有关的争议或纠纷，由双方协商解决，协商不成的，任意一方有权向深圳前海合作区人民法院提起诉讼。</w:t>
      </w:r>
    </w:p>
    <w:p>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cs="宋体"/>
          <w:b/>
          <w:bCs/>
          <w:color w:val="000000" w:themeColor="text1"/>
          <w:sz w:val="24"/>
          <w14:textFill>
            <w14:solidFill>
              <w14:schemeClr w14:val="tx1"/>
            </w14:solidFill>
          </w14:textFill>
        </w:rPr>
      </w:pPr>
      <w:bookmarkStart w:id="33" w:name="_Toc23822"/>
      <w:r>
        <w:rPr>
          <w:rFonts w:hint="eastAsia" w:ascii="宋体" w:cs="宋体"/>
          <w:b/>
          <w:bCs/>
          <w:color w:val="000000" w:themeColor="text1"/>
          <w:sz w:val="24"/>
          <w14:textFill>
            <w14:solidFill>
              <w14:schemeClr w14:val="tx1"/>
            </w14:solidFill>
          </w14:textFill>
        </w:rPr>
        <w:t>第六章 投标文件初审及招标项目评分表</w:t>
      </w:r>
      <w:bookmarkEnd w:id="33"/>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报价合理性审查</w:t>
            </w:r>
          </w:p>
          <w:p>
            <w:pPr>
              <w:spacing w:line="360" w:lineRule="auto"/>
              <w:rPr>
                <w:rFonts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11</w:t>
            </w:r>
          </w:p>
        </w:tc>
        <w:tc>
          <w:tcPr>
            <w:tcW w:w="7108" w:type="dxa"/>
            <w:vAlign w:val="center"/>
          </w:tcPr>
          <w:p>
            <w:pPr>
              <w:spacing w:line="360" w:lineRule="auto"/>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12</w:t>
            </w:r>
          </w:p>
        </w:tc>
        <w:tc>
          <w:tcPr>
            <w:tcW w:w="7108" w:type="dxa"/>
            <w:vAlign w:val="center"/>
          </w:tcPr>
          <w:p>
            <w:pPr>
              <w:spacing w:line="360" w:lineRule="auto"/>
              <w:rPr>
                <w:rFonts w:ascii="宋体" w:hAnsi="宋体" w:cs="宋体"/>
                <w:sz w:val="24"/>
              </w:rPr>
            </w:pPr>
            <w:r>
              <w:rPr>
                <w:rFonts w:hint="eastAsia" w:ascii="宋体" w:hAnsi="宋体" w:cs="宋体"/>
                <w:sz w:val="24"/>
              </w:rPr>
              <w:t>未出现法律、法规规定的其他情形</w:t>
            </w:r>
          </w:p>
        </w:tc>
      </w:tr>
    </w:tbl>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7"/>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vAlign w:val="center"/>
          </w:tcPr>
          <w:p>
            <w:pPr>
              <w:pStyle w:val="6"/>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投标报价得分=(评标基准价／投标报价)×10</w:t>
            </w:r>
          </w:p>
          <w:p>
            <w:pPr>
              <w:numPr>
                <w:ilvl w:val="0"/>
                <w:numId w:val="6"/>
              </w:numPr>
              <w:spacing w:line="360" w:lineRule="auto"/>
              <w:ind w:left="250" w:hanging="249" w:hangingChars="104"/>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6"/>
              </w:numPr>
              <w:spacing w:line="360" w:lineRule="auto"/>
              <w:ind w:left="250" w:hanging="249" w:hangingChars="104"/>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numPr>
                <w:ilvl w:val="255"/>
                <w:numId w:val="0"/>
              </w:numPr>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14:textFill>
                  <w14:solidFill>
                    <w14:schemeClr w14:val="tx1"/>
                  </w14:solidFill>
                </w14:textFill>
              </w:rPr>
              <w:t>45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eastAsia="zh-Hans"/>
                <w14:textFill>
                  <w14:solidFill>
                    <w14:schemeClr w14:val="tx1"/>
                  </w14:solidFill>
                </w14:textFill>
              </w:rPr>
              <w:t>同类项目业绩</w:t>
            </w:r>
          </w:p>
        </w:tc>
        <w:tc>
          <w:tcPr>
            <w:tcW w:w="5907" w:type="dxa"/>
            <w:shd w:val="clear" w:color="auto" w:fill="auto"/>
            <w:vAlign w:val="center"/>
          </w:tcPr>
          <w:p>
            <w:pPr>
              <w:autoSpaceDE w:val="0"/>
              <w:autoSpaceDN w:val="0"/>
              <w:adjustRightInd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（一）评分内容：</w:t>
            </w:r>
          </w:p>
          <w:p>
            <w:pPr>
              <w:autoSpaceDE w:val="0"/>
              <w:autoSpaceDN w:val="0"/>
              <w:adjustRightInd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自2020年1月1日至投标截止之日（以合同签订时间为准）承接过</w:t>
            </w:r>
            <w:r>
              <w:rPr>
                <w:rFonts w:hint="eastAsia" w:ascii="宋体" w:hAnsi="宋体" w:cs="宋体"/>
                <w:color w:val="000000" w:themeColor="text1"/>
                <w:sz w:val="24"/>
                <w14:textFill>
                  <w14:solidFill>
                    <w14:schemeClr w14:val="tx1"/>
                  </w14:solidFill>
                </w14:textFill>
              </w:rPr>
              <w:t>产业数据服务类</w:t>
            </w:r>
            <w:r>
              <w:rPr>
                <w:rFonts w:hint="eastAsia" w:ascii="宋体" w:hAnsi="宋体" w:cs="宋体"/>
                <w:color w:val="000000" w:themeColor="text1"/>
                <w:sz w:val="24"/>
                <w:lang w:val="zh-CN"/>
                <w14:textFill>
                  <w14:solidFill>
                    <w14:schemeClr w14:val="tx1"/>
                  </w14:solidFill>
                </w14:textFill>
              </w:rPr>
              <w:t>项目的，每提供一个业绩得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最高得4分；在此基础上，服务内容包括境外（含港澳台）企业数据服务的，每个业绩加1分，至多加4分。</w:t>
            </w:r>
            <w:r>
              <w:rPr>
                <w:rFonts w:hint="eastAsia" w:ascii="宋体" w:hAnsi="宋体" w:cs="宋体"/>
                <w:color w:val="000000" w:themeColor="text1"/>
                <w:sz w:val="24"/>
                <w:lang w:val="zh-CN"/>
                <w14:textFill>
                  <w14:solidFill>
                    <w14:schemeClr w14:val="tx1"/>
                  </w14:solidFill>
                </w14:textFill>
              </w:rPr>
              <w:t>本项最高可得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w:t>
            </w:r>
          </w:p>
          <w:p>
            <w:pPr>
              <w:autoSpaceDE w:val="0"/>
              <w:autoSpaceDN w:val="0"/>
              <w:adjustRightInd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（二）评分依据：</w:t>
            </w:r>
          </w:p>
          <w:p>
            <w:pPr>
              <w:autoSpaceDE w:val="0"/>
              <w:autoSpaceDN w:val="0"/>
              <w:adjustRightInd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同类项目业绩证明文件提供合同关键页（包括但不限于</w:t>
            </w:r>
            <w:r>
              <w:rPr>
                <w:rFonts w:hint="eastAsia" w:ascii="宋体" w:hAnsi="宋体" w:cs="宋体"/>
                <w:color w:val="000000" w:themeColor="text1"/>
                <w:sz w:val="24"/>
                <w14:textFill>
                  <w14:solidFill>
                    <w14:schemeClr w14:val="tx1"/>
                  </w14:solidFill>
                </w14:textFill>
              </w:rPr>
              <w:t>签约双方名称</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val="zh-CN"/>
                <w14:textFill>
                  <w14:solidFill>
                    <w14:schemeClr w14:val="tx1"/>
                  </w14:solidFill>
                </w14:textFill>
              </w:rPr>
              <w:t>合作内容、双方盖章页</w:t>
            </w:r>
            <w:r>
              <w:rPr>
                <w:rFonts w:hint="eastAsia" w:ascii="宋体" w:hAnsi="宋体" w:cs="宋体"/>
                <w:color w:val="000000" w:themeColor="text1"/>
                <w:sz w:val="24"/>
                <w14:textFill>
                  <w14:solidFill>
                    <w14:schemeClr w14:val="tx1"/>
                  </w14:solidFill>
                </w14:textFill>
              </w:rPr>
              <w:t>和签订时间</w:t>
            </w:r>
            <w:r>
              <w:rPr>
                <w:rFonts w:hint="eastAsia" w:ascii="宋体" w:hAnsi="宋体" w:cs="宋体"/>
                <w:color w:val="000000" w:themeColor="text1"/>
                <w:sz w:val="24"/>
                <w:lang w:val="zh-CN"/>
                <w14:textFill>
                  <w14:solidFill>
                    <w14:schemeClr w14:val="tx1"/>
                  </w14:solidFill>
                </w14:textFill>
              </w:rPr>
              <w:t>等）的复印件或清晰扫描件加盖公章，原件备查。</w:t>
            </w:r>
          </w:p>
          <w:p>
            <w:pPr>
              <w:autoSpaceDE w:val="0"/>
              <w:autoSpaceDN w:val="0"/>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2.同一项目业绩不重复计分。</w:t>
            </w:r>
            <w:r>
              <w:rPr>
                <w:rFonts w:hint="eastAsia" w:ascii="宋体" w:hAnsi="宋体" w:cs="宋体"/>
                <w:color w:val="000000" w:themeColor="text1"/>
                <w:sz w:val="24"/>
                <w14:textFill>
                  <w14:solidFill>
                    <w14:schemeClr w14:val="tx1"/>
                  </w14:solidFill>
                </w14:textFill>
              </w:rPr>
              <w:t>评分中出现无证明资料或专家无法凭所提供资料判断是否得分的情况，一律作不得分处理。</w:t>
            </w:r>
          </w:p>
        </w:tc>
        <w:tc>
          <w:tcPr>
            <w:tcW w:w="901" w:type="dxa"/>
            <w:vAlign w:val="center"/>
          </w:tcPr>
          <w:p>
            <w:pPr>
              <w:autoSpaceDE w:val="0"/>
              <w:autoSpaceDN w:val="0"/>
              <w:adjustRightInd w:val="0"/>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079" w:type="dxa"/>
            <w:vAlign w:val="center"/>
          </w:tcPr>
          <w:p>
            <w:pPr>
              <w:autoSpaceDE w:val="0"/>
              <w:autoSpaceDN w:val="0"/>
              <w:adjustRightInd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拟安排的项目负责人情况（仅限一人）</w:t>
            </w:r>
          </w:p>
        </w:tc>
        <w:tc>
          <w:tcPr>
            <w:tcW w:w="5907" w:type="dxa"/>
            <w:shd w:val="clear" w:color="auto" w:fill="auto"/>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（一）评分内容：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拟安排的项目负责人须为投标人自有员工（提供社保作为证明材料），否则本项不得分：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1.具备金融类或统计类相关本科（或以上）学历的，得2分。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2.具备高级统计师职称的</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得1.5分；具备初级（或中级）统计师职称的，得1分。本项最高可得1.5分。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3.具备高级大数据分析师资格的，得1.5分；具备初级（或中级）大数据分析职称的，得1分。本项最高可得1.5分。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自2020年1月1日至投标截止之日（以合同签订时间或官方立项公告、结项证明时间为准），在产业数据服务类项目中担任项目负责人或项目统筹人的，每提供一个业绩得1分，最高可得3分；在区县级（或以上）政府部门统计专项相关项目中担任过项目负责人的，每提供一个业绩得2分，最高可得2分。本项最高得5分。同一项目不重复得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以上四项累计得10分。</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（二）评分依据：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1.不接受退休返聘人员参与。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供拟派项目负责人的学历证明（毕业证书或学历证书）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职称（或资格）证书、近三个月任意一个月的社保证明（必须是投标人为其购买的社保，如供应商为新成立单位且成立时间不足一个月的，可提供加盖公章的情况说明或者证明材料亦视为符合）、同类项目业绩合同关键页（包括但不限于签约双方名称</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项目名称、合作内容、双方盖章页等，需体现人员名称）或官方立项公告、结项证明等的复印件或清晰扫描件加盖公章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通过合同关键信息无法判断是否得分的，还须同时提供合同甲方出具的证明文件</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原件备查，未按要求提供或提供不清晰导致专家无法判断的不得分。</w:t>
            </w:r>
          </w:p>
        </w:tc>
        <w:tc>
          <w:tcPr>
            <w:tcW w:w="901"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拟安排的项目主要团队成员情况（项目负责人除外）</w:t>
            </w:r>
          </w:p>
        </w:tc>
        <w:tc>
          <w:tcPr>
            <w:tcW w:w="5907" w:type="dxa"/>
            <w:shd w:val="clear" w:color="auto" w:fill="auto"/>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（一）评分内容：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拟安排的项目主要团队成员须为投标人自有员工（提供社保作为证明材料），否则本项不得分：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1.技术负责人（仅限1人）：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（1）具备高级大数据分析师资格的，得1.5分；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（2）在产业数据服务类项目中担任过技术负责人的，每提供一个业绩得1.5分，最高得1.5分。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本项最高得3分。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2.拟派项目团队成员（技术负责人除外）自2020年1月1日至投标截止之日（以合同签订时间为准），参与过产业数据服务类项目的，每人得1分，同一人员参与多个项目不重复得分，最高可得4分。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3.拟派项目团队成员（技术负责人除外）具备以下证书的，同一人员同时具备多个证书的不重复得分，本项最高得5分：</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具备中级（</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val="zh-CN"/>
                <w14:textFill>
                  <w14:solidFill>
                    <w14:schemeClr w14:val="tx1"/>
                  </w14:solidFill>
                </w14:textFill>
              </w:rPr>
              <w:t>以上）统计师</w:t>
            </w:r>
            <w:r>
              <w:rPr>
                <w:rFonts w:hint="eastAsia" w:ascii="宋体" w:hAnsi="宋体" w:cs="宋体"/>
                <w:color w:val="000000" w:themeColor="text1"/>
                <w:sz w:val="24"/>
                <w14:textFill>
                  <w14:solidFill>
                    <w14:schemeClr w14:val="tx1"/>
                  </w14:solidFill>
                </w14:textFill>
              </w:rPr>
              <w:t>职称</w:t>
            </w:r>
            <w:r>
              <w:rPr>
                <w:rFonts w:hint="eastAsia" w:ascii="宋体" w:hAnsi="宋体" w:cs="宋体"/>
                <w:color w:val="000000" w:themeColor="text1"/>
                <w:sz w:val="24"/>
                <w:lang w:val="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每人得1分，</w:t>
            </w:r>
            <w:r>
              <w:rPr>
                <w:rFonts w:hint="eastAsia" w:ascii="宋体" w:hAnsi="宋体" w:cs="宋体"/>
                <w:color w:val="000000" w:themeColor="text1"/>
                <w:sz w:val="24"/>
                <w:lang w:val="zh-CN"/>
                <w14:textFill>
                  <w14:solidFill>
                    <w14:schemeClr w14:val="tx1"/>
                  </w14:solidFill>
                </w14:textFill>
              </w:rPr>
              <w:t>最高得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具备中级</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val="zh-CN"/>
                <w14:textFill>
                  <w14:solidFill>
                    <w14:schemeClr w14:val="tx1"/>
                  </w14:solidFill>
                </w14:textFill>
              </w:rPr>
              <w:t>以上）</w:t>
            </w:r>
            <w:r>
              <w:rPr>
                <w:rFonts w:hint="eastAsia" w:ascii="宋体" w:hAnsi="宋体" w:cs="宋体"/>
                <w:color w:val="000000" w:themeColor="text1"/>
                <w:sz w:val="24"/>
                <w14:textFill>
                  <w14:solidFill>
                    <w14:schemeClr w14:val="tx1"/>
                  </w14:solidFill>
                </w14:textFill>
              </w:rPr>
              <w:t>大数据分析师或大数据工程师证书的，每人得1分，最高得2分；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（3）具备数据治理工程师资格的，每人得1分，最高得1分。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以上三项累计得12分。</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（二）评分依据：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1.提供项目主要团队成员近三个月任意一个月社保证明复印件或扫描件 （必须是投标人为其购买的社保，如供应商为新成立单位且成立时间不足一个月的，可提供加盖公章的情况说明或者证明材料亦视为符合）加盖公章，原件备查，未按要求提供或提供不清晰导致专家无法判断的不得分。本项目不接受退休返聘人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2.提供职称（或资格）证书、合同关键页（包括但不限于签约双方名称</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项目名称、合作内容、双方盖章页等，需体现人员名称）的复印件或清晰扫描件加盖公章</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通过合同关键信息无法判断是否得分的，还须同时提供合同甲方出具的证明文件，原件备查，未按要求提供或提供不清晰导致专家无法判断的不得分。</w:t>
            </w:r>
          </w:p>
        </w:tc>
        <w:tc>
          <w:tcPr>
            <w:tcW w:w="901"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自主知识产权产品（创新、设计）情况</w:t>
            </w:r>
          </w:p>
        </w:tc>
        <w:tc>
          <w:tcPr>
            <w:tcW w:w="5907" w:type="dxa"/>
            <w:shd w:val="clear" w:color="auto" w:fill="auto"/>
          </w:tcPr>
          <w:p>
            <w:pPr>
              <w:widowControl/>
              <w:spacing w:line="360" w:lineRule="auto"/>
              <w:jc w:val="left"/>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）评审内容：</w:t>
            </w:r>
          </w:p>
          <w:p>
            <w:pPr>
              <w:widowControl/>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具有</w:t>
            </w:r>
            <w:r>
              <w:rPr>
                <w:rFonts w:hint="eastAsia" w:ascii="宋体" w:hAnsi="宋体" w:cs="宋体"/>
                <w:color w:val="000000" w:themeColor="text1"/>
                <w:sz w:val="24"/>
                <w14:textFill>
                  <w14:solidFill>
                    <w14:schemeClr w14:val="tx1"/>
                  </w14:solidFill>
                </w14:textFill>
              </w:rPr>
              <w:t>含“企业外迁”</w:t>
            </w:r>
            <w:r>
              <w:rPr>
                <w:rFonts w:hint="eastAsia" w:ascii="宋体" w:hAnsi="宋体" w:cs="宋体"/>
                <w:color w:val="000000" w:themeColor="text1"/>
                <w:sz w:val="24"/>
                <w:lang w:val="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“数据服务”或“统计分析”相关字眼的计算机</w:t>
            </w:r>
            <w:r>
              <w:rPr>
                <w:rFonts w:hint="eastAsia" w:ascii="宋体" w:hAnsi="宋体" w:cs="宋体"/>
                <w:color w:val="000000" w:themeColor="text1"/>
                <w:sz w:val="24"/>
                <w:lang w:val="zh-CN"/>
                <w14:textFill>
                  <w14:solidFill>
                    <w14:schemeClr w14:val="tx1"/>
                  </w14:solidFill>
                </w14:textFill>
              </w:rPr>
              <w:t>软件著作权的，每</w:t>
            </w:r>
            <w:r>
              <w:rPr>
                <w:rFonts w:hint="eastAsia" w:ascii="宋体" w:hAnsi="宋体" w:cs="宋体"/>
                <w:color w:val="000000" w:themeColor="text1"/>
                <w:sz w:val="24"/>
                <w14:textFill>
                  <w14:solidFill>
                    <w14:schemeClr w14:val="tx1"/>
                  </w14:solidFill>
                </w14:textFill>
              </w:rPr>
              <w:t>1类</w:t>
            </w:r>
            <w:r>
              <w:rPr>
                <w:rFonts w:hint="eastAsia" w:ascii="宋体" w:hAnsi="宋体" w:cs="宋体"/>
                <w:color w:val="000000" w:themeColor="text1"/>
                <w:sz w:val="24"/>
                <w:lang w:val="zh-CN"/>
                <w14:textFill>
                  <w14:solidFill>
                    <w14:schemeClr w14:val="tx1"/>
                  </w14:solidFill>
                </w14:textFill>
              </w:rPr>
              <w:t>得1分，</w:t>
            </w:r>
            <w:r>
              <w:rPr>
                <w:rFonts w:hint="eastAsia" w:ascii="宋体" w:hAnsi="宋体" w:cs="宋体"/>
                <w:color w:val="000000" w:themeColor="text1"/>
                <w:sz w:val="24"/>
                <w14:textFill>
                  <w14:solidFill>
                    <w14:schemeClr w14:val="tx1"/>
                  </w14:solidFill>
                </w14:textFill>
              </w:rPr>
              <w:t>同一类型不重复得分，</w:t>
            </w:r>
            <w:r>
              <w:rPr>
                <w:rFonts w:hint="eastAsia" w:ascii="宋体" w:hAnsi="宋体" w:cs="宋体"/>
                <w:color w:val="000000" w:themeColor="text1"/>
                <w:sz w:val="24"/>
                <w:lang w:val="zh-CN"/>
                <w14:textFill>
                  <w14:solidFill>
                    <w14:schemeClr w14:val="tx1"/>
                  </w14:solidFill>
                </w14:textFill>
              </w:rPr>
              <w:t>最高得3分；</w:t>
            </w:r>
          </w:p>
          <w:p>
            <w:pPr>
              <w:widowControl/>
              <w:numPr>
                <w:ilvl w:val="255"/>
                <w:numId w:val="0"/>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2.具有含“数据分析”或“数据服务”相关字眼的发明专利的，每1类得1.5分，同一类型不重复得分，最高得3分；</w:t>
            </w:r>
          </w:p>
          <w:p>
            <w:pPr>
              <w:widowControl/>
              <w:numPr>
                <w:ilvl w:val="255"/>
                <w:numId w:val="0"/>
              </w:numPr>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3.具有含“企业外迁”或“港资企业”或“社保”或“纳税”或“对外投资”或“经营异常”相关字眼的数据知识产权的，每1类得1分，同一类型不重复得分，最高得6分。</w:t>
            </w:r>
          </w:p>
          <w:p>
            <w:pPr>
              <w:widowControl/>
              <w:numPr>
                <w:ilvl w:val="255"/>
                <w:numId w:val="0"/>
              </w:numPr>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以上三项累计得12分。</w:t>
            </w:r>
          </w:p>
          <w:p>
            <w:pPr>
              <w:widowControl/>
              <w:spacing w:line="360" w:lineRule="auto"/>
              <w:jc w:val="left"/>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二</w:t>
            </w:r>
            <w:r>
              <w:rPr>
                <w:rFonts w:hint="eastAsia" w:ascii="宋体" w:hAnsi="宋体" w:cs="宋体"/>
                <w:b/>
                <w:bCs/>
                <w:color w:val="000000" w:themeColor="text1"/>
                <w:sz w:val="24"/>
                <w:lang w:val="zh-CN"/>
                <w14:textFill>
                  <w14:solidFill>
                    <w14:schemeClr w14:val="tx1"/>
                  </w14:solidFill>
                </w14:textFill>
              </w:rPr>
              <w:t>）评分依据：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1.上述证书为</w:t>
            </w:r>
            <w:r>
              <w:rPr>
                <w:rFonts w:hint="eastAsia" w:ascii="宋体" w:hAnsi="宋体" w:cs="宋体"/>
                <w:color w:val="000000" w:themeColor="text1"/>
                <w:sz w:val="24"/>
                <w:lang w:val="zh-CN"/>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自有的，需</w:t>
            </w:r>
            <w:r>
              <w:rPr>
                <w:rFonts w:hint="eastAsia" w:ascii="宋体" w:hAnsi="宋体" w:cs="宋体"/>
                <w:color w:val="000000" w:themeColor="text1"/>
                <w:sz w:val="24"/>
                <w:lang w:val="zh-CN"/>
                <w14:textFill>
                  <w14:solidFill>
                    <w14:schemeClr w14:val="tx1"/>
                  </w14:solidFill>
                </w14:textFill>
              </w:rPr>
              <w:t>提供计算机软件著作权登记证书、发明专利证书和数据知识产权登记证书扫描件，</w:t>
            </w:r>
            <w:r>
              <w:rPr>
                <w:rFonts w:hint="eastAsia" w:ascii="宋体" w:hAnsi="宋体" w:cs="宋体"/>
                <w:color w:val="000000" w:themeColor="text1"/>
                <w:sz w:val="24"/>
                <w14:textFill>
                  <w14:solidFill>
                    <w14:schemeClr w14:val="tx1"/>
                  </w14:solidFill>
                </w14:textFill>
              </w:rPr>
              <w:t>还需同时提供网站截图：</w:t>
            </w:r>
            <w:r>
              <w:rPr>
                <w:rFonts w:hint="eastAsia" w:ascii="宋体" w:hAnsi="宋体" w:cs="宋体"/>
                <w:color w:val="000000" w:themeColor="text1"/>
                <w:sz w:val="24"/>
                <w:lang w:val="zh-CN"/>
                <w14:textFill>
                  <w14:solidFill>
                    <w14:schemeClr w14:val="tx1"/>
                  </w14:solidFill>
                </w14:textFill>
              </w:rPr>
              <w:t>计算机软件著作权证书须提供中国版权保护中心官网查询截图</w:t>
            </w:r>
            <w:r>
              <w:rPr>
                <w:rFonts w:hint="eastAsia" w:ascii="宋体" w:hAnsi="宋体" w:cs="宋体"/>
                <w:color w:val="000000" w:themeColor="text1"/>
                <w:sz w:val="24"/>
                <w14:textFill>
                  <w14:solidFill>
                    <w14:schemeClr w14:val="tx1"/>
                  </w14:solidFill>
                </w14:textFill>
              </w:rPr>
              <w:t>（https://www.ccopyright.com/），</w:t>
            </w:r>
            <w:r>
              <w:rPr>
                <w:rFonts w:hint="eastAsia" w:ascii="宋体" w:hAnsi="宋体" w:cs="宋体"/>
                <w:color w:val="000000" w:themeColor="text1"/>
                <w:sz w:val="24"/>
                <w:lang w:val="zh-CN"/>
                <w14:textFill>
                  <w14:solidFill>
                    <w14:schemeClr w14:val="tx1"/>
                  </w14:solidFill>
                </w14:textFill>
              </w:rPr>
              <w:t>发明专利证书须提供国家知识产权局官网查询截图</w:t>
            </w:r>
            <w:r>
              <w:rPr>
                <w:rFonts w:hint="eastAsia" w:ascii="宋体" w:hAnsi="宋体" w:cs="宋体"/>
                <w:color w:val="000000" w:themeColor="text1"/>
                <w:sz w:val="24"/>
                <w14:textFill>
                  <w14:solidFill>
                    <w14:schemeClr w14:val="tx1"/>
                  </w14:solidFill>
                </w14:textFill>
              </w:rPr>
              <w:t>（http://epub.cnipa.gov.cn/），</w:t>
            </w:r>
            <w:r>
              <w:rPr>
                <w:rFonts w:hint="eastAsia" w:ascii="宋体" w:hAnsi="宋体" w:cs="宋体"/>
                <w:color w:val="000000" w:themeColor="text1"/>
                <w:sz w:val="24"/>
                <w:lang w:val="zh-CN"/>
                <w14:textFill>
                  <w14:solidFill>
                    <w14:schemeClr w14:val="tx1"/>
                  </w14:solidFill>
                </w14:textFill>
              </w:rPr>
              <w:t>数据知识产权登记证书须提供数据知识产权登记系统官网查询截图</w:t>
            </w:r>
            <w:r>
              <w:rPr>
                <w:rFonts w:hint="eastAsia" w:ascii="宋体" w:hAnsi="宋体" w:cs="宋体"/>
                <w:color w:val="000000" w:themeColor="text1"/>
                <w:sz w:val="24"/>
                <w14:textFill>
                  <w14:solidFill>
                    <w14:schemeClr w14:val="tx1"/>
                  </w14:solidFill>
                </w14:textFill>
              </w:rPr>
              <w:t>（</w:t>
            </w:r>
            <w:r>
              <w:fldChar w:fldCharType="begin"/>
            </w:r>
            <w:r>
              <w:instrText xml:space="preserve"> HYPERLINK "https://sjdj.sist.org.cn/" </w:instrText>
            </w:r>
            <w:r>
              <w:fldChar w:fldCharType="separate"/>
            </w:r>
            <w:r>
              <w:rPr>
                <w:rFonts w:hint="eastAsia" w:ascii="宋体" w:hAnsi="宋体" w:cs="宋体"/>
                <w:color w:val="000000" w:themeColor="text1"/>
                <w:sz w:val="24"/>
                <w14:textFill>
                  <w14:solidFill>
                    <w14:schemeClr w14:val="tx1"/>
                  </w14:solidFill>
                </w14:textFill>
              </w:rPr>
              <w:t>https://sjdj.sist.org.cn/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如购买或租赁的，除需提供上述证书及截图（著作权人/专利权人/登记主体需为出售或出租方），还需提供购买合同或租赁合同。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2.上述证书均需加盖公章，原件备查。</w:t>
            </w:r>
            <w:r>
              <w:rPr>
                <w:rFonts w:hint="eastAsia" w:ascii="宋体" w:hAnsi="宋体" w:cs="宋体"/>
                <w:color w:val="000000" w:themeColor="text1"/>
                <w:sz w:val="24"/>
                <w:lang w:val="zh-CN"/>
                <w14:textFill>
                  <w14:solidFill>
                    <w14:schemeClr w14:val="tx1"/>
                  </w14:solidFill>
                </w14:textFill>
              </w:rPr>
              <w:t>评分中出现无证明资料或专家无法凭所提供资料判断是否得分的情况，一律不得分。</w:t>
            </w:r>
          </w:p>
        </w:tc>
        <w:tc>
          <w:tcPr>
            <w:tcW w:w="901"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themeColor="text1"/>
                <w:sz w:val="24"/>
                <w14:textFill>
                  <w14:solidFill>
                    <w14:schemeClr w14:val="tx1"/>
                  </w14:solidFill>
                </w14:textFill>
              </w:rPr>
              <w:t>。</w:t>
            </w:r>
          </w:p>
        </w:tc>
        <w:tc>
          <w:tcPr>
            <w:tcW w:w="90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079" w:type="dxa"/>
            <w:vAlign w:val="center"/>
          </w:tcPr>
          <w:p>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对项目的解读与理解</w:t>
            </w:r>
          </w:p>
        </w:tc>
        <w:tc>
          <w:tcPr>
            <w:tcW w:w="590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根据招标文件的需求和投标文件响应情况，编制项目的解读与理解方案。包含但不限于以下内容：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1.项目背景与现状；</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2.项目目标与思路；</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（二）评分标准： </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每满足任意一点得3分，满分6分。在此基础上，专家根据各供应商的具体响应内容进一步评审：</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优：内容完整详细且符合项目实际；</w:t>
            </w:r>
          </w:p>
          <w:p>
            <w:pPr>
              <w:tabs>
                <w:tab w:val="left" w:pos="3852"/>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良：内容较完整，较贴近项目实际；</w:t>
            </w:r>
            <w:r>
              <w:rPr>
                <w:rFonts w:hint="eastAsia" w:ascii="宋体" w:hAnsi="宋体" w:cs="宋体"/>
                <w:color w:val="000000" w:themeColor="text1"/>
                <w:sz w:val="24"/>
                <w14:textFill>
                  <w14:solidFill>
                    <w14:schemeClr w14:val="tx1"/>
                  </w14:solidFill>
                </w14:textFill>
              </w:rPr>
              <w:tab/>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中：内容能符合项目部分要求，基本贴近项目实际；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差：内容不符合项目要求，不符合项目实际。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评审为优的加4分；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评审为良的加2分；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评审为中的加1分；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评审为差的不加分；</w:t>
            </w:r>
          </w:p>
        </w:tc>
        <w:tc>
          <w:tcPr>
            <w:tcW w:w="90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项目实施方案</w:t>
            </w:r>
          </w:p>
        </w:tc>
        <w:tc>
          <w:tcPr>
            <w:tcW w:w="590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根据招标文件的需求和投标文件响应情况，编制项目实施方案。包含但不限于以下内容：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1.工作内容；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2.实施方法；</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3.工作计划。</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（二）评分标准： </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每满足任意一点得2分，满分6分。在此基础上，专家根据各供应商的具体响应内容进一步评审： </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优：内容完整详细且符合项目实际，可行性强；</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良：内容完整，可行性较好；</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中：内容能符合项目部分要求，较贴近项目实际；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差：内容不符合项目要求，不符合项目实际。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评审为优的加4分；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评审为良的加2分；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评审为中的加1分；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评审为差的不加分；</w:t>
            </w:r>
          </w:p>
        </w:tc>
        <w:tc>
          <w:tcPr>
            <w:tcW w:w="90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lang w:val="zh-CN"/>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项目重点难点分析、应对措施及相关的合理化建议</w:t>
            </w:r>
          </w:p>
        </w:tc>
        <w:tc>
          <w:tcPr>
            <w:tcW w:w="590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考察对项目重点难点分析，应对措施及相关的合理化建议情况。包含但不限于以下内容：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1.分析项目难点、重点情况；</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2.提出应对措施；</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3.对项目进行合理化建议；</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（二）评分标准： </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每满足任意一点得2分，满分6分。在此基础上，专家根据各供应商的具体响应内容进一步评审：</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优：内容完整详细且符合项目实际，可行性强；</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良：内容完整，可行性较好；</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中：内容能符合项目部分要求，较贴近项目实际；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差：内容不符合项目要求，不符合项目实际。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评审为优的加4分；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评审为良的加2分；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评审为中的加1分；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评审为差的不加分。</w:t>
            </w:r>
          </w:p>
        </w:tc>
        <w:tc>
          <w:tcPr>
            <w:tcW w:w="901" w:type="dxa"/>
            <w:vAlign w:val="center"/>
          </w:tcPr>
          <w:p>
            <w:pPr>
              <w:spacing w:line="360" w:lineRule="auto"/>
              <w:jc w:val="center"/>
              <w:rPr>
                <w:rFonts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质量和时间保障措施</w:t>
            </w:r>
          </w:p>
        </w:tc>
        <w:tc>
          <w:tcPr>
            <w:tcW w:w="590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根据招标文件的需求和投标文件响应情况，编制质量和时间保障措施。包含但不限于以下内容：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1.工作质量标准；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2.工作完成时间、服务响应时间的保障措施；</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3.安全保密措施等。</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（二）评分标准：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每满足任意一点得1.5分，满分4.5分。在此基础上，专家根据各供应商的具体响应内容进一步评审：</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优：内容完整详细且符合项目实际，可行性强；</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良：内容完整，可行性较好；</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中：内容能符合项目部分要求，较贴近项目实际；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差：内容不符合项目要求，不符合项目实际。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评审为优的加3.5分；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评审为良的加2分；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评审为中的加1分；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评审为差的不加分；</w:t>
            </w:r>
          </w:p>
        </w:tc>
        <w:tc>
          <w:tcPr>
            <w:tcW w:w="90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168" w:type="dxa"/>
            <w:vAlign w:val="center"/>
          </w:tcPr>
          <w:p>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项目进度计划</w:t>
            </w:r>
          </w:p>
        </w:tc>
        <w:tc>
          <w:tcPr>
            <w:tcW w:w="5907" w:type="dxa"/>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（一）评审内容：</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考察项目整体实施时间是否紧凑、合理，根据项目进度的切合程度进行比较评分。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1.项目进度计划；</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2.人员安排。</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（二）评分标准：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每满足任意一点得2分，满分4分。在此基础上，专家根据各供应商的具体响应内容进一步评审； </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优：内容完整详细且符合项目实际，可行性强；</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良：内容完整，可行性较好；</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中：内容能符合项目部分要求，较贴近项目实际；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差：内容不符合项目要求，不符合项目实际。</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评审为优的加3分；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评审为良的加2分；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评审为中的加1分；</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评审为差的不加分；</w:t>
            </w:r>
          </w:p>
        </w:tc>
        <w:tc>
          <w:tcPr>
            <w:tcW w:w="901"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079" w:type="dxa"/>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spacing w:line="360" w:lineRule="auto"/>
        <w:jc w:val="center"/>
        <w:outlineLvl w:val="0"/>
        <w:rPr>
          <w:rFonts w:ascii="宋体" w:hAnsi="宋体" w:cs="宋体"/>
          <w:b/>
          <w:bCs/>
          <w:color w:val="000000" w:themeColor="text1"/>
          <w:sz w:val="24"/>
          <w14:textFill>
            <w14:solidFill>
              <w14:schemeClr w14:val="tx1"/>
            </w14:solidFill>
          </w14:textFill>
        </w:rPr>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pPr>
      <w:bookmarkStart w:id="34" w:name="_Toc9548"/>
      <w:bookmarkStart w:id="35" w:name="_Hlk28269117"/>
    </w:p>
    <w:p>
      <w:pPr>
        <w:spacing w:line="360" w:lineRule="auto"/>
        <w:jc w:val="center"/>
        <w:outlineLvl w:val="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第七章 附件（投标文件格式）</w:t>
      </w:r>
      <w:bookmarkEnd w:id="34"/>
    </w:p>
    <w:p>
      <w:pPr>
        <w:keepNext/>
        <w:keepLines/>
        <w:spacing w:before="260" w:after="260" w:line="440" w:lineRule="exact"/>
        <w:jc w:val="center"/>
        <w:outlineLvl w:val="1"/>
        <w:rPr>
          <w:rFonts w:ascii="宋体" w:hAnsi="宋体" w:cs="宋体"/>
          <w:b/>
          <w:bCs/>
          <w:color w:val="000000" w:themeColor="text1"/>
          <w:sz w:val="24"/>
          <w14:textFill>
            <w14:solidFill>
              <w14:schemeClr w14:val="tx1"/>
            </w14:solidFill>
          </w14:textFill>
        </w:rPr>
      </w:pPr>
      <w:bookmarkStart w:id="36" w:name="_Toc5116"/>
      <w:bookmarkStart w:id="37" w:name="_Toc19494"/>
      <w:bookmarkStart w:id="38" w:name="_Toc31827"/>
      <w:bookmarkStart w:id="39" w:name="_Toc6548"/>
      <w:r>
        <w:rPr>
          <w:rFonts w:hint="eastAsia" w:ascii="宋体" w:hAnsi="宋体" w:cs="宋体"/>
          <w:b/>
          <w:bCs/>
          <w:color w:val="000000" w:themeColor="text1"/>
          <w:sz w:val="24"/>
          <w14:textFill>
            <w14:solidFill>
              <w14:schemeClr w14:val="tx1"/>
            </w14:solidFill>
          </w14:textFill>
        </w:rPr>
        <w:t>1、投标文件密封袋/封面参考</w:t>
      </w:r>
      <w:bookmarkEnd w:id="36"/>
      <w:bookmarkEnd w:id="37"/>
      <w:bookmarkEnd w:id="38"/>
      <w:bookmarkEnd w:id="39"/>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3"/>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3"/>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3"/>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3"/>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3"/>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3"/>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3"/>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3"/>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3"/>
              <w:tabs>
                <w:tab w:val="left" w:pos="562"/>
                <w:tab w:val="left" w:pos="3372"/>
                <w:tab w:val="left" w:pos="3653"/>
              </w:tabs>
              <w:spacing w:line="400" w:lineRule="exact"/>
              <w:ind w:firstLine="900" w:firstLineChars="320"/>
              <w:rPr>
                <w:rFonts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ascii="宋体" w:hAnsi="宋体" w:cs="宋体"/>
          <w:b/>
          <w:color w:val="000000" w:themeColor="text1"/>
          <w:sz w:val="24"/>
          <w14:textFill>
            <w14:solidFill>
              <w14:schemeClr w14:val="tx1"/>
            </w14:solidFill>
          </w14:textFill>
        </w:rPr>
      </w:pPr>
      <w:bookmarkStart w:id="40" w:name="_Toc16724"/>
      <w:r>
        <w:rPr>
          <w:rFonts w:hint="eastAsia" w:ascii="宋体" w:hAnsi="宋体" w:cs="宋体"/>
          <w:b/>
          <w:color w:val="000000" w:themeColor="text1"/>
          <w:sz w:val="24"/>
          <w14:textFill>
            <w14:solidFill>
              <w14:schemeClr w14:val="tx1"/>
            </w14:solidFill>
          </w14:textFill>
        </w:rPr>
        <w:t>2、投标文件—目录</w:t>
      </w:r>
      <w:bookmarkEnd w:id="40"/>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7"/>
        </w:numPr>
        <w:tabs>
          <w:tab w:val="left" w:pos="640"/>
          <w:tab w:val="clear" w:pos="425"/>
        </w:tabs>
        <w:spacing w:line="360" w:lineRule="auto"/>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7"/>
        </w:numPr>
        <w:tabs>
          <w:tab w:val="left" w:pos="640"/>
          <w:tab w:val="clear" w:pos="425"/>
        </w:tabs>
        <w:spacing w:line="360" w:lineRule="auto"/>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8"/>
        </w:numPr>
        <w:tabs>
          <w:tab w:val="left" w:pos="6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8"/>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sz w:val="24"/>
          <w:lang w:val="fr-CH"/>
          <w14:textFill>
            <w14:solidFill>
              <w14:schemeClr w14:val="tx1"/>
            </w14:solidFill>
          </w14:textFill>
        </w:rPr>
        <w:t>；</w:t>
      </w:r>
    </w:p>
    <w:p>
      <w:pPr>
        <w:numPr>
          <w:ilvl w:val="0"/>
          <w:numId w:val="8"/>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8"/>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8"/>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8"/>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8"/>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8"/>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8"/>
        </w:numPr>
        <w:tabs>
          <w:tab w:val="left" w:pos="640"/>
          <w:tab w:val="left" w:pos="840"/>
          <w:tab w:val="left" w:pos="1260"/>
          <w:tab w:val="left" w:pos="1418"/>
        </w:tabs>
        <w:spacing w:line="360" w:lineRule="auto"/>
        <w:ind w:left="845" w:hanging="845"/>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同类项目业绩；</w:t>
      </w:r>
    </w:p>
    <w:p>
      <w:pPr>
        <w:numPr>
          <w:ilvl w:val="0"/>
          <w:numId w:val="8"/>
        </w:numPr>
        <w:tabs>
          <w:tab w:val="left" w:pos="640"/>
          <w:tab w:val="left" w:pos="840"/>
          <w:tab w:val="left" w:pos="1260"/>
          <w:tab w:val="left" w:pos="1418"/>
        </w:tabs>
        <w:spacing w:line="360" w:lineRule="auto"/>
        <w:ind w:left="845" w:hanging="845"/>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拟安排的项目负责人情况（仅限一人）；</w:t>
      </w:r>
    </w:p>
    <w:p>
      <w:pPr>
        <w:numPr>
          <w:ilvl w:val="0"/>
          <w:numId w:val="8"/>
        </w:numPr>
        <w:tabs>
          <w:tab w:val="left" w:pos="640"/>
          <w:tab w:val="left" w:pos="840"/>
          <w:tab w:val="left" w:pos="1260"/>
          <w:tab w:val="left" w:pos="1418"/>
        </w:tabs>
        <w:spacing w:line="360" w:lineRule="auto"/>
        <w:ind w:left="845" w:hanging="845"/>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拟安排的项目主要团队成员情况（项目负责人除外）；</w:t>
      </w:r>
    </w:p>
    <w:p>
      <w:pPr>
        <w:numPr>
          <w:ilvl w:val="0"/>
          <w:numId w:val="8"/>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自主知识产权产品（创新、设计）情况；</w:t>
      </w:r>
    </w:p>
    <w:p>
      <w:pPr>
        <w:numPr>
          <w:ilvl w:val="0"/>
          <w:numId w:val="8"/>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政府采购违法行为风险知悉确认书；</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numPr>
          <w:ilvl w:val="0"/>
          <w:numId w:val="8"/>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sz w:val="24"/>
        </w:rPr>
        <w:t>供应商基本情况表、社保证明及股权关系证明；</w:t>
      </w:r>
    </w:p>
    <w:p>
      <w:pPr>
        <w:numPr>
          <w:ilvl w:val="0"/>
          <w:numId w:val="8"/>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9"/>
        </w:numPr>
        <w:tabs>
          <w:tab w:val="left" w:pos="640"/>
          <w:tab w:val="left" w:pos="1260"/>
          <w:tab w:val="left" w:pos="1418"/>
        </w:tabs>
        <w:spacing w:line="360" w:lineRule="auto"/>
        <w:ind w:left="640" w:right="-420" w:rightChars="-200" w:hanging="640"/>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9"/>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对项目的解读与理解；</w:t>
      </w:r>
    </w:p>
    <w:p>
      <w:pPr>
        <w:numPr>
          <w:ilvl w:val="0"/>
          <w:numId w:val="9"/>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9"/>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项目重点难点分析、应对措施及相关的合理化建议；</w:t>
      </w:r>
    </w:p>
    <w:p>
      <w:pPr>
        <w:numPr>
          <w:ilvl w:val="0"/>
          <w:numId w:val="9"/>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质量和时间保障措施；</w:t>
      </w:r>
    </w:p>
    <w:p>
      <w:pPr>
        <w:numPr>
          <w:ilvl w:val="0"/>
          <w:numId w:val="9"/>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项目进度计划；</w:t>
      </w:r>
    </w:p>
    <w:p>
      <w:pPr>
        <w:numPr>
          <w:ilvl w:val="0"/>
          <w:numId w:val="9"/>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0"/>
        </w:numPr>
        <w:tabs>
          <w:tab w:val="left" w:pos="640"/>
          <w:tab w:val="clear" w:pos="425"/>
        </w:tabs>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7"/>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vAlign w:val="center"/>
          </w:tcPr>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vAlign w:val="center"/>
          </w:tcPr>
          <w:p>
            <w:pPr>
              <w:spacing w:after="6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color w:val="000000" w:themeColor="text1"/>
                <w:sz w:val="24"/>
                <w:u w:val="single"/>
                <w14:textFill>
                  <w14:solidFill>
                    <w14:schemeClr w14:val="tx1"/>
                  </w14:solidFill>
                </w14:textFill>
              </w:rPr>
            </w:pPr>
          </w:p>
        </w:tc>
        <w:tc>
          <w:tcPr>
            <w:tcW w:w="2896" w:type="dxa"/>
            <w:vAlign w:val="center"/>
          </w:tcPr>
          <w:p>
            <w:pPr>
              <w:spacing w:line="360" w:lineRule="auto"/>
              <w:jc w:val="center"/>
              <w:rPr>
                <w:rFonts w:ascii="宋体" w:hAnsi="宋体" w:cs="宋体"/>
                <w:color w:val="000000" w:themeColor="text1"/>
                <w:sz w:val="24"/>
                <w:u w:val="single"/>
                <w14:textFill>
                  <w14:solidFill>
                    <w14:schemeClr w14:val="tx1"/>
                  </w14:solidFill>
                </w14:textFill>
              </w:rPr>
            </w:pPr>
          </w:p>
        </w:tc>
        <w:tc>
          <w:tcPr>
            <w:tcW w:w="1318" w:type="dxa"/>
            <w:vAlign w:val="center"/>
          </w:tcPr>
          <w:p>
            <w:pPr>
              <w:spacing w:line="360" w:lineRule="auto"/>
              <w:jc w:val="center"/>
              <w:rPr>
                <w:rFonts w:ascii="宋体" w:hAnsi="宋体" w:cs="宋体"/>
                <w:color w:val="000000" w:themeColor="text1"/>
                <w:sz w:val="24"/>
                <w:u w:val="single"/>
                <w14:textFill>
                  <w14:solidFill>
                    <w14:schemeClr w14:val="tx1"/>
                  </w14:solidFill>
                </w14:textFill>
              </w:rPr>
            </w:pPr>
          </w:p>
        </w:tc>
      </w:tr>
    </w:tbl>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3"/>
        <w:rPr>
          <w:color w:val="000000" w:themeColor="text1"/>
          <w14:textFill>
            <w14:solidFill>
              <w14:schemeClr w14:val="tx1"/>
            </w14:solidFill>
          </w14:textFill>
        </w:rPr>
      </w:pPr>
    </w:p>
    <w:p>
      <w:pPr>
        <w:numPr>
          <w:ilvl w:val="0"/>
          <w:numId w:val="10"/>
        </w:numPr>
        <w:tabs>
          <w:tab w:val="left" w:pos="640"/>
          <w:tab w:val="clear" w:pos="425"/>
        </w:tabs>
        <w:ind w:left="625" w:hanging="6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vAlign w:val="center"/>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vAlign w:val="center"/>
          </w:tcPr>
          <w:p>
            <w:pPr>
              <w:pStyle w:val="8"/>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80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c>
          <w:tcPr>
            <w:tcW w:w="1620" w:type="dxa"/>
            <w:vAlign w:val="center"/>
          </w:tcPr>
          <w:p>
            <w:pPr>
              <w:pStyle w:val="8"/>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8"/>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1"/>
        </w:numPr>
        <w:tabs>
          <w:tab w:val="left" w:pos="6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3"/>
        <w:rPr>
          <w:color w:val="000000" w:themeColor="text1"/>
          <w14:textFill>
            <w14:solidFill>
              <w14:schemeClr w14:val="tx1"/>
            </w14:solidFill>
          </w14:textFill>
        </w:rPr>
      </w:pP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sz w:val="24"/>
          <w:lang w:val="fr-CH"/>
          <w14:textFill>
            <w14:solidFill>
              <w14:schemeClr w14:val="tx1"/>
            </w14:solidFill>
          </w14:textFill>
        </w:rPr>
        <w:t>；</w:t>
      </w: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2"/>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以上承诺，如有违反，愿依照国家相关法律处理，并承担由此给采购人带来的损失</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ascii="宋体" w:hAnsi="宋体" w:cs="宋体"/>
          <w:b/>
          <w:color w:val="000000" w:themeColor="text1"/>
          <w:sz w:val="24"/>
          <w14:textFill>
            <w14:solidFill>
              <w14:schemeClr w14:val="tx1"/>
            </w14:solidFill>
          </w14:textFill>
        </w:rPr>
      </w:pPr>
    </w:p>
    <w:p>
      <w:pPr>
        <w:spacing w:before="120" w:after="120" w:line="360" w:lineRule="auto"/>
        <w:jc w:val="center"/>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r>
        <w:rPr>
          <w:rFonts w:hint="eastAsia" w:ascii="宋体" w:hAnsi="宋体" w:cs="宋体"/>
          <w:color w:val="000000" w:themeColor="text1"/>
          <w:sz w:val="24"/>
          <w:lang w:eastAsia="zh-CN"/>
          <w14:textFill>
            <w14:solidFill>
              <w14:schemeClr w14:val="tx1"/>
            </w14:solidFill>
          </w14:textFill>
        </w:rPr>
        <w:t>。</w:t>
      </w:r>
    </w:p>
    <w:p>
      <w:pPr>
        <w:tabs>
          <w:tab w:val="left" w:pos="37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ascii="宋体" w:hAnsi="宋体" w:cs="宋体"/>
          <w:color w:val="000000" w:themeColor="text1"/>
          <w:szCs w:val="21"/>
          <w14:textFill>
            <w14:solidFill>
              <w14:schemeClr w14:val="tx1"/>
            </w14:solidFill>
          </w14:textFill>
        </w:rPr>
      </w:pPr>
    </w:p>
    <w:p>
      <w:pPr>
        <w:spacing w:before="120" w:after="120"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szCs w:val="21"/>
          <w:lang w:val="fr-CH"/>
        </w:rPr>
      </w:pPr>
      <w:r>
        <w:rPr>
          <w:rFonts w:hint="eastAsia"/>
          <w:szCs w:val="21"/>
          <w:lang w:val="fr-CH"/>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1"/>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8"/>
        <w:spacing w:line="360" w:lineRule="auto"/>
        <w:jc w:val="center"/>
        <w:rPr>
          <w:rFonts w:hAnsi="宋体" w:cs="宋体"/>
          <w:b/>
          <w:color w:val="000000" w:themeColor="text1"/>
          <w:sz w:val="24"/>
          <w14:textFill>
            <w14:solidFill>
              <w14:schemeClr w14:val="tx1"/>
            </w14:solidFill>
          </w14:textFill>
        </w:rPr>
      </w:pPr>
    </w:p>
    <w:p>
      <w:pPr>
        <w:pStyle w:val="8"/>
        <w:spacing w:line="360" w:lineRule="auto"/>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8"/>
        <w:spacing w:line="360" w:lineRule="auto"/>
        <w:rPr>
          <w:rFonts w:hAnsi="宋体" w:cs="宋体"/>
          <w:color w:val="000000" w:themeColor="text1"/>
          <w:sz w:val="24"/>
          <w14:textFill>
            <w14:solidFill>
              <w14:schemeClr w14:val="tx1"/>
            </w14:solidFill>
          </w14:textFill>
        </w:rPr>
      </w:pPr>
    </w:p>
    <w:p>
      <w:pPr>
        <w:pStyle w:val="8"/>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8"/>
        <w:spacing w:line="360" w:lineRule="auto"/>
        <w:rPr>
          <w:rFonts w:hAnsi="宋体" w:cs="宋体"/>
          <w:color w:val="000000" w:themeColor="text1"/>
          <w:sz w:val="24"/>
          <w14:textFill>
            <w14:solidFill>
              <w14:schemeClr w14:val="tx1"/>
            </w14:solidFill>
          </w14:textFill>
        </w:rPr>
      </w:pPr>
    </w:p>
    <w:p>
      <w:pPr>
        <w:spacing w:line="360" w:lineRule="auto"/>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ascii="宋体" w:hAnsi="宋体" w:cs="宋体"/>
          <w:color w:val="000000" w:themeColor="text1"/>
          <w:sz w:val="24"/>
          <w:lang w:val="fr-CH"/>
          <w14:textFill>
            <w14:solidFill>
              <w14:schemeClr w14:val="tx1"/>
            </w14:solidFill>
          </w14:textFill>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11"/>
        </w:numPr>
        <w:tabs>
          <w:tab w:val="left" w:pos="640"/>
          <w:tab w:val="left" w:pos="1260"/>
          <w:tab w:val="left" w:pos="1418"/>
        </w:tabs>
        <w:spacing w:line="360" w:lineRule="auto"/>
        <w:ind w:left="640" w:hanging="640"/>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w:t>
      </w:r>
      <w:r>
        <w:rPr>
          <w:rFonts w:hint="eastAsia" w:ascii="宋体" w:hAnsi="宋体" w:cs="宋体"/>
          <w:color w:val="000000" w:themeColor="text1"/>
          <w:sz w:val="24"/>
          <w:lang w:eastAsia="zh-CN"/>
          <w14:textFill>
            <w14:solidFill>
              <w14:schemeClr w14:val="tx1"/>
            </w14:solidFill>
          </w14:textFill>
        </w:rPr>
        <w:t>账号</w:t>
      </w:r>
      <w:r>
        <w:rPr>
          <w:rFonts w:hint="eastAsia" w:ascii="宋体" w:hAnsi="宋体" w:cs="宋体"/>
          <w:color w:val="000000" w:themeColor="text1"/>
          <w:sz w:val="24"/>
          <w14:textFill>
            <w14:solidFill>
              <w14:schemeClr w14:val="tx1"/>
            </w14:solidFill>
          </w14:textFill>
        </w:rPr>
        <w:t>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3"/>
        <w:rPr>
          <w:color w:val="000000" w:themeColor="text1"/>
          <w:lang w:val="fr-CH"/>
          <w14:textFill>
            <w14:solidFill>
              <w14:schemeClr w14:val="tx1"/>
            </w14:solidFill>
          </w14:textFill>
        </w:rPr>
      </w:pPr>
    </w:p>
    <w:p>
      <w:pPr>
        <w:tabs>
          <w:tab w:val="left" w:pos="640"/>
          <w:tab w:val="left" w:pos="1260"/>
          <w:tab w:val="left" w:pos="1418"/>
        </w:tabs>
        <w:spacing w:line="360" w:lineRule="auto"/>
        <w:rPr>
          <w:rFonts w:ascii="宋体" w:hAnsi="宋体" w:cs="宋体"/>
          <w:color w:val="000000" w:themeColor="text1"/>
          <w:sz w:val="24"/>
          <w:lang w:val="fr-CH"/>
          <w14:textFill>
            <w14:solidFill>
              <w14:schemeClr w14:val="tx1"/>
            </w14:solidFill>
          </w14:textFill>
        </w:rPr>
      </w:pPr>
    </w:p>
    <w:p>
      <w:pPr>
        <w:numPr>
          <w:ilvl w:val="0"/>
          <w:numId w:val="11"/>
        </w:numPr>
        <w:tabs>
          <w:tab w:val="left" w:pos="6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8"/>
        <w:spacing w:line="360" w:lineRule="auto"/>
        <w:jc w:val="center"/>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8"/>
        <w:spacing w:line="360" w:lineRule="auto"/>
        <w:ind w:firstLine="660" w:firstLineChars="2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w:t>
      </w:r>
      <w:r>
        <w:rPr>
          <w:rFonts w:hint="eastAsia" w:hAnsi="宋体" w:cs="宋体"/>
          <w:color w:val="000000" w:themeColor="text1"/>
          <w:sz w:val="24"/>
          <w:lang w:eastAsia="zh-CN"/>
          <w14:textFill>
            <w14:solidFill>
              <w14:schemeClr w14:val="tx1"/>
            </w14:solidFill>
          </w14:textFill>
        </w:rPr>
        <w:t>账号</w:t>
      </w:r>
      <w:r>
        <w:rPr>
          <w:rFonts w:hint="eastAsia" w:hAnsi="宋体" w:cs="宋体"/>
          <w:color w:val="000000" w:themeColor="text1"/>
          <w:sz w:val="24"/>
          <w14:textFill>
            <w14:solidFill>
              <w14:schemeClr w14:val="tx1"/>
            </w14:solidFill>
          </w14:textFill>
        </w:rPr>
        <w:t>：___________________________________________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8"/>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8"/>
        <w:spacing w:line="360" w:lineRule="auto"/>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3"/>
        <w:rPr>
          <w:color w:val="000000" w:themeColor="text1"/>
          <w:lang w:val="fr-CH"/>
          <w14:textFill>
            <w14:solidFill>
              <w14:schemeClr w14:val="tx1"/>
            </w14:solidFill>
          </w14:textFill>
        </w:rPr>
      </w:pPr>
    </w:p>
    <w:p>
      <w:pPr>
        <w:numPr>
          <w:ilvl w:val="0"/>
          <w:numId w:val="11"/>
        </w:numPr>
        <w:tabs>
          <w:tab w:val="left" w:pos="640"/>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同类项目业绩</w:t>
      </w:r>
      <w:r>
        <w:rPr>
          <w:rFonts w:hint="eastAsia" w:ascii="宋体" w:hAnsi="宋体" w:cs="宋体"/>
          <w:color w:val="000000" w:themeColor="text1"/>
          <w:sz w:val="24"/>
          <w:lang w:val="zh-CN"/>
          <w14:textFill>
            <w14:solidFill>
              <w14:schemeClr w14:val="tx1"/>
            </w14:solidFill>
          </w14:textFill>
        </w:rPr>
        <w:t>；</w:t>
      </w:r>
    </w:p>
    <w:p>
      <w:pPr>
        <w:numPr>
          <w:ilvl w:val="0"/>
          <w:numId w:val="11"/>
        </w:numPr>
        <w:tabs>
          <w:tab w:val="left" w:pos="640"/>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拟安排的项目负责人情况（仅限一人）</w:t>
      </w:r>
      <w:r>
        <w:rPr>
          <w:rFonts w:hint="eastAsia" w:ascii="宋体" w:hAnsi="宋体" w:cs="宋体"/>
          <w:color w:val="000000" w:themeColor="text1"/>
          <w:sz w:val="24"/>
          <w:lang w:val="zh-CN"/>
          <w14:textFill>
            <w14:solidFill>
              <w14:schemeClr w14:val="tx1"/>
            </w14:solidFill>
          </w14:textFill>
        </w:rPr>
        <w:t>；</w:t>
      </w:r>
    </w:p>
    <w:p>
      <w:pPr>
        <w:numPr>
          <w:ilvl w:val="0"/>
          <w:numId w:val="11"/>
        </w:numPr>
        <w:tabs>
          <w:tab w:val="left" w:pos="640"/>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拟安排的项目主要团队成员情况（项目负责人除外）</w:t>
      </w:r>
      <w:r>
        <w:rPr>
          <w:rFonts w:hint="eastAsia" w:ascii="宋体" w:hAnsi="宋体" w:cs="宋体"/>
          <w:color w:val="000000" w:themeColor="text1"/>
          <w:sz w:val="24"/>
          <w:lang w:val="zh-CN"/>
          <w14:textFill>
            <w14:solidFill>
              <w14:schemeClr w14:val="tx1"/>
            </w14:solidFill>
          </w14:textFill>
        </w:rPr>
        <w:t>；</w:t>
      </w:r>
    </w:p>
    <w:p>
      <w:pPr>
        <w:numPr>
          <w:ilvl w:val="0"/>
          <w:numId w:val="11"/>
        </w:numPr>
        <w:tabs>
          <w:tab w:val="left" w:pos="640"/>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自主知识产权产品（创新、设计）情况</w:t>
      </w:r>
      <w:r>
        <w:rPr>
          <w:rFonts w:hint="eastAsia" w:ascii="宋体" w:hAnsi="宋体" w:cs="宋体"/>
          <w:color w:val="000000" w:themeColor="text1"/>
          <w:sz w:val="24"/>
          <w:lang w:val="zh-CN"/>
          <w14:textFill>
            <w14:solidFill>
              <w14:schemeClr w14:val="tx1"/>
            </w14:solidFill>
          </w14:textFill>
        </w:rPr>
        <w:t>；</w:t>
      </w:r>
    </w:p>
    <w:p>
      <w:pPr>
        <w:tabs>
          <w:tab w:val="left" w:pos="640"/>
          <w:tab w:val="left" w:pos="1260"/>
          <w:tab w:val="left" w:pos="1418"/>
        </w:tabs>
        <w:jc w:val="center"/>
        <w:rPr>
          <w:rFonts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ascii="宋体" w:hAnsi="宋体" w:cs="宋体"/>
          <w:color w:val="000000" w:themeColor="text1"/>
          <w:sz w:val="24"/>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pP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8"/>
        <w:spacing w:line="360" w:lineRule="auto"/>
        <w:jc w:val="left"/>
        <w:rPr>
          <w:rFonts w:hAnsi="宋体" w:cs="宋体"/>
          <w:color w:val="000000" w:themeColor="text1"/>
          <w:sz w:val="24"/>
          <w14:textFill>
            <w14:solidFill>
              <w14:schemeClr w14:val="tx1"/>
            </w14:solidFill>
          </w14:textFill>
        </w:rPr>
      </w:pPr>
    </w:p>
    <w:p>
      <w:pPr>
        <w:pStyle w:val="8"/>
        <w:spacing w:line="360" w:lineRule="auto"/>
        <w:jc w:val="left"/>
        <w:rPr>
          <w:rFonts w:hAnsi="宋体" w:cs="宋体"/>
          <w:color w:val="000000" w:themeColor="text1"/>
          <w:sz w:val="24"/>
          <w14:textFill>
            <w14:solidFill>
              <w14:schemeClr w14:val="tx1"/>
            </w14:solidFill>
          </w14:textFill>
        </w:rPr>
      </w:pPr>
    </w:p>
    <w:p>
      <w:pPr>
        <w:spacing w:before="100" w:beforeAutospacing="1" w:after="100" w:afterAutospacing="1"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rPr>
          <w:lang w:val="fr-CH"/>
        </w:rPr>
      </w:pPr>
      <w:r>
        <w:rPr>
          <w:color w:val="000000" w:themeColor="text1"/>
          <w:lang w:val="fr-CH"/>
          <w14:textFill>
            <w14:solidFill>
              <w14:schemeClr w14:val="tx1"/>
            </w14:solidFill>
          </w14:textFill>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b/>
                <w:bCs/>
                <w:sz w:val="24"/>
              </w:rPr>
            </w:pPr>
            <w:r>
              <w:rPr>
                <w:rFonts w:hint="eastAsia" w:ascii="宋体" w:hAnsi="宋体" w:cs="宋体"/>
                <w:b/>
                <w:bCs/>
                <w:sz w:val="24"/>
              </w:rPr>
              <w:t>序号</w:t>
            </w:r>
          </w:p>
        </w:tc>
        <w:tc>
          <w:tcPr>
            <w:tcW w:w="7607" w:type="dxa"/>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1</w:t>
            </w:r>
          </w:p>
        </w:tc>
        <w:tc>
          <w:tcPr>
            <w:tcW w:w="7607" w:type="dxa"/>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2</w:t>
            </w:r>
          </w:p>
        </w:tc>
        <w:tc>
          <w:tcPr>
            <w:tcW w:w="7607" w:type="dxa"/>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3</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4</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5</w:t>
            </w:r>
          </w:p>
        </w:tc>
        <w:tc>
          <w:tcPr>
            <w:tcW w:w="7607" w:type="dxa"/>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kern w:val="0"/>
          <w:sz w:val="24"/>
        </w:rPr>
      </w:pPr>
      <w:r>
        <w:rPr>
          <w:rFonts w:hint="eastAsia" w:ascii="宋体" w:hAnsi="宋体" w:cs="仿宋_GB2312"/>
          <w:kern w:val="0"/>
          <w:sz w:val="24"/>
        </w:rPr>
        <w:t>知悉人（公章）：</w:t>
      </w:r>
    </w:p>
    <w:p>
      <w:pPr>
        <w:tabs>
          <w:tab w:val="left" w:pos="640"/>
          <w:tab w:val="left" w:pos="840"/>
          <w:tab w:val="left" w:pos="1260"/>
          <w:tab w:val="left" w:pos="1418"/>
        </w:tabs>
        <w:spacing w:line="360" w:lineRule="auto"/>
        <w:jc w:val="center"/>
        <w:rPr>
          <w:rFonts w:ascii="宋体" w:hAnsi="宋体" w:cs="仿宋_GB2312"/>
          <w:kern w:val="0"/>
          <w:sz w:val="24"/>
        </w:rPr>
      </w:pPr>
      <w:r>
        <w:rPr>
          <w:rFonts w:hint="eastAsia" w:ascii="宋体" w:hAnsi="宋体" w:cs="仿宋_GB2312"/>
          <w:kern w:val="0"/>
          <w:sz w:val="24"/>
        </w:rPr>
        <w:t xml:space="preserve">                       日期： 202  年   月   日</w:t>
      </w:r>
    </w:p>
    <w:p>
      <w:pPr>
        <w:rPr>
          <w:rFonts w:ascii="宋体" w:hAnsi="宋体" w:cs="仿宋_GB2312"/>
          <w:kern w:val="0"/>
          <w:sz w:val="24"/>
        </w:rPr>
      </w:pPr>
      <w:r>
        <w:rPr>
          <w:rFonts w:hint="eastAsia" w:ascii="宋体" w:hAnsi="宋体" w:cs="仿宋_GB2312"/>
          <w:kern w:val="0"/>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sz w:val="24"/>
        </w:rPr>
        <w:t>参与价格扣除的证明文件</w:t>
      </w:r>
    </w:p>
    <w:p>
      <w:pPr>
        <w:keepNext/>
        <w:keepLines/>
        <w:jc w:val="center"/>
        <w:outlineLvl w:val="4"/>
        <w:rPr>
          <w:rFonts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w:t>
      </w:r>
    </w:p>
    <w:p>
      <w:pPr>
        <w:widowControl/>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p>
    <w:p>
      <w:pPr>
        <w:jc w:val="left"/>
        <w:rPr>
          <w:rFonts w:ascii="宋体" w:hAnsi="宋体" w:cs="宋体"/>
          <w:b/>
          <w:bCs/>
          <w:sz w:val="24"/>
        </w:rPr>
      </w:pPr>
      <w:r>
        <w:rPr>
          <w:rFonts w:hint="eastAsia" w:ascii="宋体" w:hAnsi="宋体" w:cs="宋体"/>
          <w:b/>
          <w:bCs/>
          <w:sz w:val="24"/>
        </w:rPr>
        <w:t>注意事项：</w:t>
      </w:r>
    </w:p>
    <w:p>
      <w:pPr>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33"/>
          <w:rFonts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33"/>
          <w:rFonts w:ascii="宋体" w:hAnsi="宋体" w:cs="宋体"/>
          <w:sz w:val="24"/>
        </w:rPr>
      </w:pPr>
    </w:p>
    <w:p>
      <w:pPr>
        <w:snapToGrid w:val="0"/>
        <w:spacing w:line="360" w:lineRule="auto"/>
        <w:ind w:firstLine="482" w:firstLineChars="200"/>
        <w:jc w:val="left"/>
        <w:textAlignment w:val="baseline"/>
        <w:rPr>
          <w:rStyle w:val="33"/>
          <w:rFonts w:ascii="宋体" w:hAnsi="宋体" w:cs="宋体"/>
          <w:b/>
          <w:sz w:val="24"/>
        </w:rPr>
      </w:pPr>
      <w:r>
        <w:rPr>
          <w:rStyle w:val="33"/>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33"/>
          <w:rFonts w:ascii="宋体" w:hAnsi="宋体" w:cs="宋体"/>
          <w:b/>
          <w:sz w:val="24"/>
        </w:rPr>
      </w:pPr>
      <w:r>
        <w:rPr>
          <w:rStyle w:val="33"/>
          <w:rFonts w:hint="eastAsia" w:ascii="宋体" w:hAnsi="宋体" w:cs="宋体"/>
          <w:b/>
          <w:sz w:val="24"/>
        </w:rPr>
        <w:br w:type="page"/>
      </w:r>
      <w:r>
        <w:rPr>
          <w:rStyle w:val="33"/>
          <w:rFonts w:hint="eastAsia" w:ascii="宋体" w:hAnsi="宋体" w:cs="宋体"/>
          <w:b/>
          <w:sz w:val="24"/>
        </w:rPr>
        <w:t>③监狱企业声明函</w:t>
      </w:r>
    </w:p>
    <w:p>
      <w:pPr>
        <w:snapToGrid w:val="0"/>
        <w:spacing w:line="620" w:lineRule="exact"/>
        <w:ind w:firstLine="504" w:firstLineChars="200"/>
        <w:textAlignment w:val="baseline"/>
        <w:rPr>
          <w:rStyle w:val="33"/>
          <w:rFonts w:ascii="宋体" w:hAnsi="宋体" w:cs="宋体"/>
          <w:spacing w:val="6"/>
          <w:sz w:val="24"/>
        </w:rPr>
      </w:pPr>
      <w:r>
        <w:rPr>
          <w:rStyle w:val="33"/>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33"/>
          <w:rFonts w:hint="eastAsia" w:ascii="宋体" w:hAnsi="宋体" w:cs="宋体"/>
          <w:spacing w:val="6"/>
          <w:sz w:val="24"/>
          <w:u w:val="single"/>
        </w:rPr>
        <w:t xml:space="preserve"> （采购单位名称） </w:t>
      </w:r>
      <w:r>
        <w:rPr>
          <w:rStyle w:val="33"/>
          <w:rFonts w:hint="eastAsia" w:ascii="宋体" w:hAnsi="宋体" w:cs="宋体"/>
          <w:spacing w:val="6"/>
          <w:sz w:val="24"/>
        </w:rPr>
        <w:t>单位的</w:t>
      </w:r>
      <w:r>
        <w:rPr>
          <w:rStyle w:val="33"/>
          <w:rFonts w:hint="eastAsia" w:ascii="宋体" w:hAnsi="宋体" w:cs="宋体"/>
          <w:spacing w:val="6"/>
          <w:sz w:val="24"/>
          <w:u w:val="single"/>
        </w:rPr>
        <w:t xml:space="preserve"> （采购项目名称） </w:t>
      </w:r>
      <w:r>
        <w:rPr>
          <w:rStyle w:val="33"/>
          <w:rFonts w:hint="eastAsia" w:ascii="宋体" w:hAnsi="宋体" w:cs="宋体"/>
          <w:spacing w:val="6"/>
          <w:sz w:val="24"/>
        </w:rPr>
        <w:t>项目采购</w:t>
      </w:r>
      <w:r>
        <w:rPr>
          <w:rStyle w:val="33"/>
          <w:rFonts w:hint="eastAsia" w:ascii="宋体" w:hAnsi="宋体" w:cs="宋体"/>
          <w:kern w:val="0"/>
          <w:sz w:val="24"/>
        </w:rPr>
        <w:t>活动，并提供：□本单位制造的货物；□由本单位承担的工程、提供服务；□提供其他监狱企业制造的货物（承诺人在□处打√）</w:t>
      </w:r>
      <w:r>
        <w:rPr>
          <w:rStyle w:val="33"/>
          <w:rFonts w:hint="eastAsia" w:ascii="宋体" w:hAnsi="宋体" w:cs="宋体"/>
          <w:spacing w:val="6"/>
          <w:sz w:val="24"/>
        </w:rPr>
        <w:t>。</w:t>
      </w:r>
      <w:r>
        <w:rPr>
          <w:rStyle w:val="33"/>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33"/>
          <w:rFonts w:ascii="宋体" w:hAnsi="宋体" w:cs="宋体"/>
          <w:spacing w:val="6"/>
          <w:sz w:val="24"/>
        </w:rPr>
      </w:pPr>
      <w:r>
        <w:rPr>
          <w:rStyle w:val="33"/>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33"/>
          <w:rFonts w:ascii="宋体" w:hAnsi="宋体" w:cs="宋体"/>
          <w:spacing w:val="6"/>
          <w:sz w:val="24"/>
        </w:rPr>
      </w:pPr>
      <w:r>
        <w:rPr>
          <w:rStyle w:val="33"/>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33"/>
          <w:rFonts w:ascii="宋体" w:hAnsi="宋体" w:cs="宋体"/>
          <w:spacing w:val="6"/>
          <w:sz w:val="24"/>
        </w:rPr>
      </w:pPr>
    </w:p>
    <w:p>
      <w:pPr>
        <w:snapToGrid w:val="0"/>
        <w:spacing w:line="620" w:lineRule="exact"/>
        <w:ind w:firstLine="504" w:firstLineChars="200"/>
        <w:textAlignment w:val="baseline"/>
        <w:rPr>
          <w:rStyle w:val="33"/>
          <w:rFonts w:ascii="宋体" w:hAnsi="宋体" w:cs="宋体"/>
          <w:spacing w:val="6"/>
          <w:sz w:val="24"/>
        </w:rPr>
      </w:pPr>
    </w:p>
    <w:p>
      <w:pPr>
        <w:tabs>
          <w:tab w:val="left" w:pos="4860"/>
        </w:tabs>
        <w:snapToGrid w:val="0"/>
        <w:spacing w:line="620" w:lineRule="exact"/>
        <w:ind w:right="1560" w:firstLine="504" w:firstLineChars="200"/>
        <w:jc w:val="center"/>
        <w:textAlignment w:val="baseline"/>
        <w:rPr>
          <w:rFonts w:ascii="宋体" w:hAnsi="宋体" w:cs="宋体"/>
          <w:color w:val="000000" w:themeColor="text1"/>
          <w:sz w:val="24"/>
          <w14:textFill>
            <w14:solidFill>
              <w14:schemeClr w14:val="tx1"/>
            </w14:solidFill>
          </w14:textFill>
        </w:rPr>
      </w:pPr>
      <w:r>
        <w:rPr>
          <w:rStyle w:val="33"/>
          <w:rFonts w:hint="eastAsia" w:ascii="宋体" w:hAnsi="宋体" w:cs="宋体"/>
          <w:spacing w:val="6"/>
          <w:sz w:val="24"/>
        </w:rPr>
        <w:t xml:space="preserve">               单位名称（盖章）：                       日  期</w:t>
      </w:r>
      <w:r>
        <w:rPr>
          <w:rFonts w:hint="eastAsia" w:ascii="宋体" w:hAnsi="宋体" w:cs="宋体"/>
          <w:spacing w:val="6"/>
          <w:sz w:val="24"/>
        </w:rPr>
        <w:t>：</w:t>
      </w:r>
      <w:r>
        <w:rPr>
          <w:rFonts w:hint="eastAsia" w:ascii="宋体" w:hAnsi="宋体" w:cs="宋体"/>
          <w:color w:val="000000" w:themeColor="text1"/>
          <w:sz w:val="24"/>
          <w14:textFill>
            <w14:solidFill>
              <w14:schemeClr w14:val="tx1"/>
            </w14:solidFill>
          </w14:textFill>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b/>
          <w:bCs/>
          <w:sz w:val="24"/>
        </w:rPr>
        <w:t>供应商基本情况表、社保证明及股权关系证明</w:t>
      </w:r>
    </w:p>
    <w:p>
      <w:pPr>
        <w:snapToGrid w:val="0"/>
        <w:rPr>
          <w:rFonts w:ascii="宋体" w:hAnsi="宋体" w:cs="宋体"/>
          <w:b/>
          <w:sz w:val="24"/>
          <w:highlight w:val="yellow"/>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劳动合同</w:t>
            </w:r>
          </w:p>
          <w:p>
            <w:pPr>
              <w:widowControl/>
              <w:snapToGrid w:val="0"/>
              <w:jc w:val="center"/>
              <w:rPr>
                <w:rFonts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缴纳社会</w:t>
            </w:r>
          </w:p>
          <w:p>
            <w:pPr>
              <w:widowControl/>
              <w:snapToGrid w:val="0"/>
              <w:jc w:val="center"/>
              <w:rPr>
                <w:rFonts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
                <w:sz w:val="24"/>
              </w:rPr>
              <w:t>投标文件编制人员（必填项）</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ascii="宋体" w:hAnsi="宋体" w:cs="宋体"/>
                <w:b/>
                <w:sz w:val="24"/>
              </w:rPr>
            </w:pPr>
            <w:r>
              <w:rPr>
                <w:rFonts w:hint="eastAsia" w:ascii="宋体" w:hAnsi="宋体" w:cs="宋体"/>
                <w:b/>
                <w:sz w:val="24"/>
              </w:rPr>
              <w:t>说明：1.同一职务有多人担任（如主要技术人员），应分行填写。</w:t>
            </w:r>
          </w:p>
          <w:p>
            <w:pPr>
              <w:pStyle w:val="5"/>
              <w:ind w:firstLine="723" w:firstLineChars="300"/>
              <w:rPr>
                <w:rFonts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
                <w:sz w:val="24"/>
              </w:rPr>
            </w:pPr>
            <w:r>
              <w:rPr>
                <w:rFonts w:hint="eastAsia" w:ascii="宋体" w:hAnsi="宋体" w:cs="宋体"/>
                <w:b/>
                <w:sz w:val="24"/>
              </w:rPr>
              <w:t>说明：</w:t>
            </w:r>
          </w:p>
          <w:p>
            <w:pPr>
              <w:widowControl/>
              <w:snapToGrid w:val="0"/>
              <w:rPr>
                <w:rFonts w:ascii="宋体" w:hAnsi="宋体" w:cs="宋体"/>
                <w:b/>
                <w:sz w:val="24"/>
              </w:rPr>
            </w:pPr>
            <w:r>
              <w:rPr>
                <w:rFonts w:hint="eastAsia" w:ascii="宋体" w:hAnsi="宋体" w:cs="宋体"/>
                <w:b/>
                <w:sz w:val="24"/>
              </w:rPr>
              <w:t>1.同一关联关系类型有多个主体的，应分行填写。</w:t>
            </w:r>
          </w:p>
          <w:p>
            <w:pPr>
              <w:pStyle w:val="5"/>
              <w:ind w:firstLine="0" w:firstLineChars="0"/>
              <w:rPr>
                <w:rFonts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2.社保</w:t>
      </w:r>
      <w:bookmarkStart w:id="41" w:name="OLE_LINK9"/>
      <w:r>
        <w:rPr>
          <w:rFonts w:hint="eastAsia" w:ascii="宋体" w:hAnsi="宋体" w:cs="宋体"/>
          <w:b/>
          <w:sz w:val="28"/>
          <w:szCs w:val="28"/>
        </w:rPr>
        <w:t>证明</w:t>
      </w:r>
      <w:bookmarkEnd w:id="41"/>
      <w:r>
        <w:rPr>
          <w:rFonts w:hint="eastAsia" w:ascii="宋体" w:hAnsi="宋体" w:cs="宋体"/>
          <w:b/>
          <w:sz w:val="28"/>
          <w:szCs w:val="28"/>
        </w:rPr>
        <w:t>材料：</w:t>
      </w:r>
    </w:p>
    <w:p>
      <w:pPr>
        <w:widowControl/>
        <w:snapToGrid w:val="0"/>
        <w:rPr>
          <w:rFonts w:ascii="宋体" w:hAnsi="宋体" w:cs="宋体"/>
          <w:bCs/>
          <w:sz w:val="24"/>
        </w:rPr>
      </w:pPr>
      <w:r>
        <w:rPr>
          <w:rFonts w:hint="eastAsia" w:ascii="宋体" w:hAnsi="宋体" w:cs="宋体"/>
          <w:bCs/>
          <w:sz w:val="24"/>
        </w:rPr>
        <w:t>（1）法定代表人/单位负责人/主要经营负责人</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5"/>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（2）投标授权代表人</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5"/>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（3）项目负责人（如本项目未安排，可不提供）</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5"/>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（4）主要技术人员（如本项目未安排，可不提供）</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5"/>
        <w:widowControl/>
        <w:ind w:firstLine="480"/>
        <w:rPr>
          <w:rFonts w:ascii="宋体" w:hAnsi="宋体" w:cs="宋体"/>
          <w:bCs/>
          <w:sz w:val="24"/>
          <w:szCs w:val="24"/>
        </w:rPr>
      </w:pPr>
    </w:p>
    <w:p>
      <w:pPr>
        <w:widowControl/>
        <w:numPr>
          <w:ilvl w:val="0"/>
          <w:numId w:val="13"/>
        </w:numPr>
        <w:snapToGrid w:val="0"/>
        <w:rPr>
          <w:rFonts w:ascii="宋体" w:hAnsi="宋体" w:cs="宋体"/>
          <w:bCs/>
          <w:sz w:val="24"/>
        </w:rPr>
      </w:pPr>
      <w:r>
        <w:rPr>
          <w:rFonts w:hint="eastAsia" w:ascii="宋体" w:hAnsi="宋体" w:cs="宋体"/>
          <w:bCs/>
          <w:sz w:val="24"/>
        </w:rPr>
        <w:t>投标文件编制人员</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5"/>
        <w:widowControl/>
        <w:ind w:firstLine="480"/>
        <w:rPr>
          <w:rFonts w:ascii="宋体" w:hAnsi="宋体" w:cs="宋体"/>
          <w:sz w:val="24"/>
          <w:szCs w:val="24"/>
        </w:rPr>
      </w:pPr>
    </w:p>
    <w:p>
      <w:pPr>
        <w:widowControl/>
        <w:snapToGrid w:val="0"/>
        <w:rPr>
          <w:rFonts w:ascii="宋体" w:hAnsi="宋体" w:cs="宋体"/>
          <w:bCs/>
          <w:sz w:val="24"/>
        </w:rPr>
      </w:pPr>
      <w:r>
        <w:rPr>
          <w:rFonts w:hint="eastAsia" w:ascii="宋体" w:hAnsi="宋体" w:cs="宋体"/>
          <w:bCs/>
          <w:sz w:val="24"/>
        </w:rPr>
        <w:t>注：</w:t>
      </w:r>
    </w:p>
    <w:p>
      <w:pPr>
        <w:widowControl/>
        <w:snapToGrid w:val="0"/>
        <w:rPr>
          <w:rFonts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ascii="宋体" w:hAnsi="宋体" w:cs="宋体"/>
          <w:b/>
          <w:sz w:val="28"/>
          <w:szCs w:val="28"/>
        </w:rPr>
      </w:pPr>
    </w:p>
    <w:p>
      <w:pPr>
        <w:snapToGrid w:val="0"/>
        <w:rPr>
          <w:rFonts w:ascii="宋体" w:hAnsi="宋体" w:cs="宋体"/>
          <w:b/>
          <w:sz w:val="28"/>
          <w:szCs w:val="28"/>
        </w:rPr>
      </w:pPr>
      <w:r>
        <w:rPr>
          <w:rFonts w:hint="eastAsia" w:ascii="宋体" w:hAnsi="宋体" w:cs="宋体"/>
          <w:b/>
          <w:sz w:val="28"/>
          <w:szCs w:val="28"/>
        </w:rPr>
        <w:t>3.</w:t>
      </w:r>
      <w:bookmarkStart w:id="42" w:name="OLE_LINK10"/>
      <w:r>
        <w:rPr>
          <w:rFonts w:hint="eastAsia" w:ascii="宋体" w:hAnsi="宋体" w:cs="宋体"/>
          <w:b/>
          <w:sz w:val="28"/>
          <w:szCs w:val="28"/>
        </w:rPr>
        <w:t>股权关系证明</w:t>
      </w:r>
      <w:bookmarkEnd w:id="42"/>
      <w:r>
        <w:rPr>
          <w:rFonts w:hint="eastAsia" w:ascii="宋体" w:hAnsi="宋体" w:cs="宋体"/>
          <w:b/>
          <w:sz w:val="28"/>
          <w:szCs w:val="28"/>
        </w:rPr>
        <w:t>材料：</w:t>
      </w:r>
    </w:p>
    <w:p>
      <w:pPr>
        <w:widowControl/>
        <w:snapToGrid w:val="0"/>
        <w:rPr>
          <w:rFonts w:ascii="宋体" w:hAnsi="宋体" w:cs="宋体"/>
          <w:b/>
          <w:sz w:val="24"/>
        </w:rPr>
      </w:pPr>
      <w:r>
        <w:rPr>
          <w:rFonts w:hint="eastAsia" w:ascii="宋体" w:hAnsi="宋体" w:cs="宋体"/>
          <w:b/>
          <w:sz w:val="24"/>
        </w:rPr>
        <w:t>（1）股权（或管理）关系证明材料：</w:t>
      </w:r>
    </w:p>
    <w:p>
      <w:pPr>
        <w:widowControl/>
        <w:snapToGrid w:val="0"/>
        <w:rPr>
          <w:rFonts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ascii="宋体" w:hAnsi="宋体" w:cs="宋体"/>
          <w:sz w:val="24"/>
        </w:rPr>
      </w:pPr>
    </w:p>
    <w:p>
      <w:pPr>
        <w:widowControl/>
        <w:snapToGrid w:val="0"/>
        <w:jc w:val="left"/>
        <w:rPr>
          <w:rFonts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ascii="宋体" w:hAnsi="宋体" w:cs="宋体"/>
          <w:bCs/>
          <w:sz w:val="24"/>
        </w:rPr>
      </w:pPr>
      <w:r>
        <w:rPr>
          <w:rFonts w:hint="eastAsia" w:ascii="宋体" w:hAnsi="宋体" w:cs="宋体"/>
          <w:b/>
          <w:sz w:val="24"/>
        </w:rPr>
        <w:t>《股权关系情况承诺函》</w:t>
      </w:r>
    </w:p>
    <w:p>
      <w:pPr>
        <w:widowControl/>
        <w:snapToGrid w:val="0"/>
        <w:ind w:firstLine="480" w:firstLineChars="200"/>
        <w:rPr>
          <w:rFonts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ascii="宋体" w:hAnsi="宋体" w:cs="宋体"/>
          <w:bCs/>
          <w:sz w:val="24"/>
        </w:rPr>
      </w:pPr>
      <w:r>
        <w:rPr>
          <w:rFonts w:hint="eastAsia" w:ascii="宋体" w:hAnsi="宋体" w:cs="宋体"/>
          <w:bCs/>
          <w:sz w:val="24"/>
        </w:rPr>
        <w:t>我公司承诺所填的股权关系情况真实、准确、完整。</w:t>
      </w:r>
    </w:p>
    <w:p>
      <w:pPr>
        <w:widowControl/>
        <w:snapToGrid w:val="0"/>
        <w:rPr>
          <w:rFonts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ascii="宋体" w:hAnsi="宋体" w:cs="宋体"/>
          <w:bCs/>
          <w:sz w:val="24"/>
        </w:rPr>
      </w:pPr>
      <w:r>
        <w:rPr>
          <w:rFonts w:hint="eastAsia" w:ascii="宋体" w:hAnsi="宋体" w:cs="宋体"/>
          <w:bCs/>
          <w:sz w:val="24"/>
        </w:rPr>
        <w:t>特此承诺！</w:t>
      </w:r>
    </w:p>
    <w:p>
      <w:pPr>
        <w:widowControl/>
        <w:snapToGrid w:val="0"/>
        <w:rPr>
          <w:rFonts w:ascii="宋体" w:hAnsi="宋体" w:cs="宋体"/>
          <w:bCs/>
          <w:sz w:val="24"/>
        </w:rPr>
      </w:pPr>
    </w:p>
    <w:p>
      <w:pPr>
        <w:widowControl/>
        <w:snapToGrid w:val="0"/>
        <w:rPr>
          <w:rFonts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ascii="宋体" w:hAnsi="宋体" w:cs="宋体"/>
          <w:bCs/>
          <w:sz w:val="24"/>
        </w:rPr>
      </w:pPr>
      <w:r>
        <w:rPr>
          <w:rFonts w:hint="eastAsia" w:ascii="宋体" w:hAnsi="宋体" w:cs="宋体"/>
          <w:bCs/>
          <w:sz w:val="24"/>
        </w:rPr>
        <w:t>日  期：       年    月   日</w:t>
      </w:r>
    </w:p>
    <w:p>
      <w:pPr>
        <w:widowControl/>
        <w:snapToGrid w:val="0"/>
        <w:rPr>
          <w:rFonts w:ascii="宋体" w:hAnsi="宋体" w:cs="宋体"/>
          <w:bCs/>
          <w:sz w:val="24"/>
        </w:rPr>
      </w:pPr>
    </w:p>
    <w:p>
      <w:pPr>
        <w:widowControl/>
        <w:snapToGrid w:val="0"/>
        <w:rPr>
          <w:rFonts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p>
    <w:p>
      <w:pPr>
        <w:rPr>
          <w:rFonts w:ascii="宋体" w:hAnsi="宋体" w:cs="宋体"/>
          <w:bCs/>
          <w:sz w:val="24"/>
        </w:rPr>
      </w:pPr>
      <w:r>
        <w:rPr>
          <w:rFonts w:hint="eastAsia" w:ascii="宋体" w:hAnsi="宋体" w:cs="宋体"/>
          <w:bCs/>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sz w:val="24"/>
        </w:rPr>
        <w:t>认为</w:t>
      </w:r>
      <w:r>
        <w:rPr>
          <w:rFonts w:hint="eastAsia" w:ascii="宋体" w:hAnsi="宋体" w:cs="宋体"/>
          <w:color w:val="000000" w:themeColor="text1"/>
          <w:sz w:val="24"/>
          <w14:textFill>
            <w14:solidFill>
              <w14:schemeClr w14:val="tx1"/>
            </w14:solidFill>
          </w14:textFill>
        </w:rPr>
        <w:t>有必要提供的其他材料。</w:t>
      </w:r>
    </w:p>
    <w:p>
      <w:pPr>
        <w:spacing w:line="360" w:lineRule="auto"/>
        <w:rPr>
          <w:rFonts w:ascii="宋体" w:hAnsi="宋体" w:cs="宋体"/>
          <w:color w:val="000000" w:themeColor="text1"/>
          <w:sz w:val="24"/>
          <w14:textFill>
            <w14:solidFill>
              <w14:schemeClr w14:val="tx1"/>
            </w14:solidFill>
          </w14:textFill>
        </w:rPr>
      </w:pPr>
    </w:p>
    <w:p>
      <w:pPr>
        <w:spacing w:line="360" w:lineRule="auto"/>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7"/>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vAlign w:val="center"/>
          </w:tcPr>
          <w:p>
            <w:pPr>
              <w:spacing w:line="360" w:lineRule="auto"/>
              <w:jc w:val="center"/>
              <w:rPr>
                <w:rFonts w:ascii="宋体" w:hAnsi="宋体" w:cs="宋体"/>
                <w:bCs/>
                <w:color w:val="000000" w:themeColor="text1"/>
                <w:sz w:val="24"/>
                <w14:textFill>
                  <w14:solidFill>
                    <w14:schemeClr w14:val="tx1"/>
                  </w14:solidFill>
                </w14:textFill>
              </w:rPr>
            </w:pPr>
          </w:p>
        </w:tc>
      </w:tr>
    </w:tbl>
    <w:p>
      <w:pPr>
        <w:spacing w:after="78" w:line="360" w:lineRule="auto"/>
        <w:rPr>
          <w:rFonts w:ascii="宋体" w:hAnsi="宋体" w:cs="宋体"/>
          <w:bCs/>
          <w:color w:val="000000" w:themeColor="text1"/>
          <w:sz w:val="24"/>
          <w14:textFill>
            <w14:solidFill>
              <w14:schemeClr w14:val="tx1"/>
            </w14:solidFill>
          </w14:textFill>
        </w:rPr>
      </w:pPr>
    </w:p>
    <w:p>
      <w:pPr>
        <w:spacing w:after="78"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3"/>
        <w:spacing w:line="360" w:lineRule="auto"/>
        <w:rPr>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对项目的解读与理解；</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项目实施方案；</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质量和时间保障措施；</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项目进度计划；</w:t>
      </w: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35"/>
    </w:p>
    <w:p>
      <w:pPr>
        <w:tabs>
          <w:tab w:val="left" w:pos="360"/>
        </w:tabs>
        <w:spacing w:line="300" w:lineRule="auto"/>
        <w:outlineLvl w:val="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43" w:name="_Toc6251"/>
      <w:bookmarkStart w:id="44" w:name="_Toc742"/>
      <w:r>
        <w:rPr>
          <w:rFonts w:hint="eastAsia" w:ascii="宋体" w:hAnsi="宋体" w:cs="宋体"/>
          <w:b/>
          <w:bCs/>
          <w:color w:val="000000" w:themeColor="text1"/>
          <w:sz w:val="24"/>
          <w14:textFill>
            <w14:solidFill>
              <w14:schemeClr w14:val="tx1"/>
            </w14:solidFill>
          </w14:textFill>
        </w:rPr>
        <w:t>附件：相关政策</w:t>
      </w:r>
      <w:bookmarkEnd w:id="43"/>
      <w:bookmarkEnd w:id="44"/>
    </w:p>
    <w:p>
      <w:pPr>
        <w:tabs>
          <w:tab w:val="left" w:pos="360"/>
        </w:tabs>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3"/>
        <w:tabs>
          <w:tab w:val="left" w:pos="562"/>
          <w:tab w:val="left" w:pos="3372"/>
          <w:tab w:val="left" w:pos="3653"/>
        </w:tabs>
        <w:rPr>
          <w:rFonts w:ascii="宋体" w:hAnsi="宋体" w:cs="宋体"/>
          <w:color w:val="000000" w:themeColor="text1"/>
          <w14:textFill>
            <w14:solidFill>
              <w14:schemeClr w14:val="tx1"/>
            </w14:solidFill>
          </w14:textFill>
        </w:rPr>
      </w:pPr>
    </w:p>
    <w:p>
      <w:pPr>
        <w:widowControl/>
        <w:shd w:val="clear" w:color="auto" w:fill="FFFFFF"/>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ascii="宋体" w:hAnsi="宋体" w:cs="宋体"/>
          <w:color w:val="000000" w:themeColor="text1"/>
          <w:kern w:val="0"/>
          <w:sz w:val="24"/>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rPr>
          <w:rFonts w:ascii="宋体" w:hAnsi="宋体" w:cs="宋体"/>
          <w:color w:val="000000" w:themeColor="text1"/>
          <w14:textFill>
            <w14:solidFill>
              <w14:schemeClr w14:val="tx1"/>
            </w14:solidFill>
          </w14:textFill>
        </w:rPr>
      </w:pPr>
    </w:p>
    <w:p>
      <w:pPr>
        <w:pStyle w:val="3"/>
        <w:tabs>
          <w:tab w:val="left" w:pos="562"/>
          <w:tab w:val="left" w:pos="3372"/>
          <w:tab w:val="left" w:pos="3653"/>
        </w:tabs>
        <w:ind w:firstLine="480" w:firstLineChars="200"/>
        <w:outlineLvl w:val="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3"/>
        <w:tabs>
          <w:tab w:val="left" w:pos="562"/>
          <w:tab w:val="left" w:pos="3372"/>
          <w:tab w:val="left" w:pos="3653"/>
        </w:tabs>
        <w:ind w:firstLine="960" w:firstLineChars="4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3"/>
        <w:tabs>
          <w:tab w:val="left" w:pos="562"/>
          <w:tab w:val="left" w:pos="3372"/>
          <w:tab w:val="left" w:pos="3653"/>
        </w:tabs>
        <w:spacing w:before="30"/>
        <w:outlineLvl w:val="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3"/>
        <w:tabs>
          <w:tab w:val="left" w:pos="562"/>
          <w:tab w:val="left" w:pos="3372"/>
          <w:tab w:val="left" w:pos="3653"/>
        </w:tabs>
        <w:jc w:val="center"/>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p>
    <w:p>
      <w:pPr>
        <w:pStyle w:val="3"/>
        <w:tabs>
          <w:tab w:val="left" w:pos="562"/>
          <w:tab w:val="left" w:pos="3372"/>
          <w:tab w:val="left" w:pos="3653"/>
        </w:tabs>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注意事项：</w:t>
      </w:r>
    </w:p>
    <w:p>
      <w:pPr>
        <w:pStyle w:val="3"/>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1.从业人员、营业收入、资产总额填报上一年度数据，无上一年度数据的新成立企业可不填报。</w:t>
      </w:r>
    </w:p>
    <w:p>
      <w:pPr>
        <w:pStyle w:val="3"/>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3"/>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pStyle w:val="3"/>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4.相关承接/承建企业的所属行业应当与采购标的所属行业（采购文件中明确的行业）相一致。</w:t>
      </w:r>
    </w:p>
    <w:p>
      <w:pPr>
        <w:pStyle w:val="3"/>
        <w:tabs>
          <w:tab w:val="left" w:pos="562"/>
          <w:tab w:val="left" w:pos="3372"/>
          <w:tab w:val="left" w:pos="3653"/>
        </w:tabs>
        <w:spacing w:after="0"/>
        <w:ind w:firstLine="472" w:firstLineChars="2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ascii="宋体" w:hAnsi="宋体" w:cs="宋体"/>
          <w:color w:val="000000" w:themeColor="text1"/>
          <w:spacing w:val="-2"/>
          <w14:textFill>
            <w14:solidFill>
              <w14:schemeClr w14:val="tx1"/>
            </w14:solidFill>
          </w14:textFill>
        </w:rPr>
      </w:pPr>
    </w:p>
    <w:p>
      <w:pPr>
        <w:pStyle w:val="3"/>
        <w:tabs>
          <w:tab w:val="left" w:pos="562"/>
          <w:tab w:val="left" w:pos="3372"/>
          <w:tab w:val="left" w:pos="3653"/>
        </w:tabs>
        <w:ind w:left="4200" w:leftChars="200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3"/>
        <w:tabs>
          <w:tab w:val="left" w:pos="562"/>
          <w:tab w:val="left" w:pos="3372"/>
          <w:tab w:val="left" w:pos="3653"/>
        </w:tabs>
        <w:spacing w:before="30"/>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3"/>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3"/>
        <w:tabs>
          <w:tab w:val="left" w:pos="562"/>
          <w:tab w:val="left" w:pos="3372"/>
          <w:tab w:val="left" w:pos="3653"/>
        </w:tabs>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3"/>
        <w:tabs>
          <w:tab w:val="left" w:pos="562"/>
          <w:tab w:val="left" w:pos="3372"/>
          <w:tab w:val="left" w:pos="3653"/>
        </w:tabs>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7"/>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5"/>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25"/>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25"/>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25"/>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25"/>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5"/>
              <w:jc w:val="center"/>
              <w:rPr>
                <w:color w:val="000000" w:themeColor="text1"/>
                <w:sz w:val="24"/>
                <w:szCs w:val="24"/>
                <w14:textFill>
                  <w14:solidFill>
                    <w14:schemeClr w14:val="tx1"/>
                  </w14:solidFill>
                </w14:textFill>
              </w:rPr>
            </w:pPr>
          </w:p>
        </w:tc>
        <w:tc>
          <w:tcPr>
            <w:tcW w:w="1866" w:type="dxa"/>
            <w:tcBorders>
              <w:bottom w:val="nil"/>
            </w:tcBorders>
            <w:vAlign w:val="center"/>
          </w:tcPr>
          <w:p>
            <w:pPr>
              <w:pStyle w:val="25"/>
              <w:jc w:val="center"/>
              <w:rPr>
                <w:color w:val="000000" w:themeColor="text1"/>
                <w:sz w:val="24"/>
                <w:szCs w:val="24"/>
                <w14:textFill>
                  <w14:solidFill>
                    <w14:schemeClr w14:val="tx1"/>
                  </w14:solidFill>
                </w14:textFill>
              </w:rPr>
            </w:pPr>
          </w:p>
        </w:tc>
        <w:tc>
          <w:tcPr>
            <w:tcW w:w="2010" w:type="dxa"/>
            <w:tcBorders>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restart"/>
            <w:vAlign w:val="center"/>
          </w:tcPr>
          <w:p>
            <w:pPr>
              <w:pStyle w:val="25"/>
              <w:jc w:val="center"/>
              <w:rPr>
                <w:color w:val="000000" w:themeColor="text1"/>
                <w:sz w:val="24"/>
                <w:szCs w:val="24"/>
                <w14:textFill>
                  <w14:solidFill>
                    <w14:schemeClr w14:val="tx1"/>
                  </w14:solidFill>
                </w14:textFill>
              </w:rPr>
            </w:pPr>
          </w:p>
          <w:p>
            <w:pPr>
              <w:pStyle w:val="25"/>
              <w:jc w:val="center"/>
              <w:rPr>
                <w:color w:val="000000" w:themeColor="text1"/>
                <w:sz w:val="24"/>
                <w:szCs w:val="24"/>
                <w14:textFill>
                  <w14:solidFill>
                    <w14:schemeClr w14:val="tx1"/>
                  </w14:solidFill>
                </w14:textFill>
              </w:rPr>
            </w:pPr>
          </w:p>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2010" w:type="dxa"/>
            <w:tcBorders>
              <w:top w:val="nil"/>
              <w:bottom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25"/>
              <w:jc w:val="center"/>
              <w:rPr>
                <w:color w:val="000000" w:themeColor="text1"/>
                <w:sz w:val="24"/>
                <w:szCs w:val="24"/>
                <w14:textFill>
                  <w14:solidFill>
                    <w14:schemeClr w14:val="tx1"/>
                  </w14:solidFill>
                </w14:textFill>
              </w:rPr>
            </w:pPr>
          </w:p>
        </w:tc>
        <w:tc>
          <w:tcPr>
            <w:tcW w:w="2010" w:type="dxa"/>
            <w:tcBorders>
              <w:top w:val="nil"/>
            </w:tcBorders>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25"/>
              <w:jc w:val="center"/>
              <w:rPr>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25"/>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3"/>
        <w:tabs>
          <w:tab w:val="left" w:pos="562"/>
          <w:tab w:val="left" w:pos="3372"/>
          <w:tab w:val="left" w:pos="3653"/>
        </w:tabs>
        <w:spacing w:before="128"/>
        <w:ind w:left="4220" w:right="184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3"/>
        <w:tabs>
          <w:tab w:val="left" w:pos="562"/>
          <w:tab w:val="left" w:pos="3372"/>
          <w:tab w:val="left" w:pos="3653"/>
        </w:tabs>
        <w:rPr>
          <w:rFonts w:ascii="宋体" w:hAnsi="宋体" w:cs="宋体"/>
          <w:color w:val="000000" w:themeColor="text1"/>
          <w14:textFill>
            <w14:solidFill>
              <w14:schemeClr w14:val="tx1"/>
            </w14:solidFill>
          </w14:textFill>
        </w:rPr>
      </w:pPr>
    </w:p>
    <w:p>
      <w:pPr>
        <w:pStyle w:val="15"/>
        <w:jc w:val="both"/>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3"/>
        <w:tabs>
          <w:tab w:val="left" w:pos="562"/>
          <w:tab w:val="left" w:pos="3372"/>
          <w:tab w:val="left" w:pos="3653"/>
        </w:tabs>
        <w:rPr>
          <w:rFonts w:ascii="宋体" w:hAnsi="宋体" w:cs="宋体"/>
          <w:color w:val="000000" w:themeColor="text1"/>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ascii="宋体" w:hAnsi="宋体" w:cs="宋体"/>
          <w:color w:val="000000" w:themeColor="text1"/>
          <w:sz w:val="24"/>
          <w14:textFill>
            <w14:solidFill>
              <w14:schemeClr w14:val="tx1"/>
            </w14:solidFill>
          </w14:textFill>
        </w:rPr>
      </w:pPr>
    </w:p>
    <w:p>
      <w:pPr>
        <w:pStyle w:val="15"/>
        <w:jc w:val="both"/>
        <w:outlineLvl w:val="9"/>
        <w:rPr>
          <w:rFonts w:ascii="宋体" w:hAnsi="宋体" w:eastAsia="宋体" w:cs="宋体"/>
          <w:color w:val="000000" w:themeColor="text1"/>
          <w:sz w:val="24"/>
          <w:szCs w:val="24"/>
          <w14:textFill>
            <w14:solidFill>
              <w14:schemeClr w14:val="tx1"/>
            </w14:solidFill>
          </w14:textFill>
        </w:rPr>
      </w:pPr>
    </w:p>
    <w:p>
      <w:pPr>
        <w:pStyle w:val="15"/>
        <w:jc w:val="both"/>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ascii="宋体" w:hAnsi="宋体" w:cs="宋体"/>
          <w:b/>
          <w:bCs/>
          <w:color w:val="000000" w:themeColor="text1"/>
          <w:kern w:val="0"/>
          <w:sz w:val="24"/>
          <w14:textFill>
            <w14:solidFill>
              <w14:schemeClr w14:val="tx1"/>
            </w14:solidFill>
          </w14:textFill>
        </w:rPr>
      </w:pPr>
    </w:p>
    <w:p>
      <w:pPr>
        <w:widowControl/>
        <w:shd w:val="clear" w:color="auto" w:fill="FFFFFF"/>
        <w:jc w:val="center"/>
        <w:rPr>
          <w:rFonts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ascii="宋体" w:hAnsi="宋体" w:cs="宋体"/>
          <w:color w:val="000000" w:themeColor="text1"/>
          <w:kern w:val="0"/>
          <w:sz w:val="24"/>
          <w14:textFill>
            <w14:solidFill>
              <w14:schemeClr w14:val="tx1"/>
            </w14:solidFill>
          </w14:textFill>
        </w:rPr>
      </w:pP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rPr>
          <w:rFonts w:ascii="宋体" w:hAnsi="宋体" w:cs="宋体"/>
          <w:color w:val="000000" w:themeColor="text1"/>
          <w14:textFill>
            <w14:solidFill>
              <w14:schemeClr w14:val="tx1"/>
            </w14:solidFill>
          </w14:textFill>
        </w:rPr>
      </w:pPr>
    </w:p>
    <w:p>
      <w:pPr>
        <w:pStyle w:val="15"/>
        <w:outlineLvl w:val="9"/>
        <w:rPr>
          <w:rFonts w:ascii="宋体" w:hAnsi="宋体" w:eastAsia="宋体" w:cs="宋体"/>
          <w:color w:val="000000" w:themeColor="text1"/>
          <w:sz w:val="24"/>
          <w:szCs w:val="24"/>
          <w14:textFill>
            <w14:solidFill>
              <w14:schemeClr w14:val="tx1"/>
            </w14:solidFill>
          </w14:textFill>
        </w:rPr>
      </w:pPr>
    </w:p>
    <w:p>
      <w:pPr>
        <w:tabs>
          <w:tab w:val="left" w:pos="360"/>
        </w:tabs>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ascii="宋体" w:hAnsi="宋体" w:cs="宋体"/>
          <w:bCs/>
          <w:color w:val="000000" w:themeColor="text1"/>
          <w:sz w:val="24"/>
          <w14:textFill>
            <w14:solidFill>
              <w14:schemeClr w14:val="tx1"/>
            </w14:solidFill>
          </w14:textFill>
        </w:rPr>
      </w:pPr>
    </w:p>
    <w:p>
      <w:pPr>
        <w:shd w:val="clear" w:color="auto" w:fill="FFFFFF"/>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4"/>
        <w:shd w:val="clear" w:color="auto" w:fill="FFFFFF"/>
        <w:spacing w:before="0" w:beforeAutospacing="0" w:after="0" w:afterAutospacing="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45" w:name="sendNo"/>
      <w:r>
        <w:rPr>
          <w:rFonts w:hint="eastAsia"/>
          <w:color w:val="000000" w:themeColor="text1"/>
          <w14:textFill>
            <w14:solidFill>
              <w14:schemeClr w14:val="tx1"/>
            </w14:solidFill>
          </w14:textFill>
        </w:rPr>
        <w:t>财库〔</w:t>
      </w:r>
      <w:bookmarkEnd w:id="45"/>
      <w:r>
        <w:rPr>
          <w:rFonts w:hint="eastAsia"/>
          <w:color w:val="000000" w:themeColor="text1"/>
          <w14:textFill>
            <w14:solidFill>
              <w14:schemeClr w14:val="tx1"/>
            </w14:solidFill>
          </w14:textFill>
        </w:rPr>
        <w:t>2017〕141号</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bookmarkStart w:id="46"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6"/>
      <w:r>
        <w:rPr>
          <w:rFonts w:hint="eastAsia"/>
          <w:color w:val="000000" w:themeColor="text1"/>
          <w14:textFill>
            <w14:solidFill>
              <w14:schemeClr w14:val="tx1"/>
            </w14:solidFill>
          </w14:textFill>
        </w:rPr>
        <w:t>：</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4"/>
        <w:shd w:val="clear" w:color="auto" w:fill="FFFFFF"/>
        <w:spacing w:before="0" w:beforeAutospacing="0" w:after="0" w:afterAutospacing="0" w:line="560" w:lineRule="exact"/>
        <w:ind w:firstLine="480" w:firstLineChars="20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4"/>
        <w:shd w:val="clear" w:color="auto" w:fill="FFFFFF"/>
        <w:spacing w:before="0" w:beforeAutospacing="0" w:after="0" w:afterAutospacing="0" w:line="560" w:lineRule="exact"/>
        <w:ind w:firstLine="480" w:firstLineChars="20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6"/>
        <w:shd w:val="clear" w:color="auto" w:fill="FFFFFF"/>
        <w:spacing w:before="0" w:beforeAutospacing="0" w:after="0" w:afterAutospacing="0" w:line="5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6"/>
        <w:shd w:val="clear" w:color="auto" w:fill="FFFFFF"/>
        <w:spacing w:before="0" w:beforeAutospacing="0" w:after="0" w:afterAutospacing="0" w:line="560" w:lineRule="exact"/>
        <w:ind w:firstLine="422" w:firstLineChars="200"/>
        <w:jc w:val="center"/>
        <w:outlineLvl w:val="0"/>
        <w:rPr>
          <w:color w:val="000000" w:themeColor="text1"/>
          <w14:textFill>
            <w14:solidFill>
              <w14:schemeClr w14:val="tx1"/>
            </w14:solidFill>
          </w14:textFill>
        </w:rPr>
      </w:pPr>
      <w:r>
        <w:rPr>
          <w:rStyle w:val="27"/>
          <w:rFonts w:hint="eastAsia" w:ascii="Times New Roman" w:hAnsi="Times New Roman" w:cs="Times New Roman"/>
          <w:b/>
          <w:bCs/>
          <w:color w:val="000000" w:themeColor="text1"/>
          <w:kern w:val="2"/>
          <w:sz w:val="21"/>
          <w14:textFill>
            <w14:solidFill>
              <w14:schemeClr w14:val="tx1"/>
            </w14:solidFill>
          </w14:textFill>
        </w:rPr>
        <w:t>残疾人福利性单位声明函</w:t>
      </w:r>
    </w:p>
    <w:p>
      <w:pPr>
        <w:pStyle w:val="26"/>
        <w:shd w:val="clear" w:color="auto" w:fill="FFFFFF"/>
        <w:spacing w:before="0" w:beforeAutospacing="0" w:after="0" w:afterAutospacing="0" w:line="560" w:lineRule="exact"/>
        <w:ind w:firstLine="420" w:firstLineChars="200"/>
        <w:jc w:val="both"/>
        <w:rPr>
          <w:color w:val="000000" w:themeColor="text1"/>
          <w14:textFill>
            <w14:solidFill>
              <w14:schemeClr w14:val="tx1"/>
            </w14:solidFill>
          </w14:textFill>
        </w:rPr>
      </w:pPr>
      <w:r>
        <w:rPr>
          <w:rStyle w:val="27"/>
          <w:rFonts w:hint="eastAsia" w:ascii="Times New Roman" w:hAnsi="Times New Roman" w:cs="Times New Roman"/>
          <w:color w:val="000000" w:themeColor="text1"/>
          <w:kern w:val="2"/>
          <w:sz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hd w:val="clear" w:color="auto" w:fill="FFFFFF"/>
        <w:spacing w:before="0" w:beforeAutospacing="0" w:after="0" w:afterAutospacing="0" w:line="560" w:lineRule="exact"/>
        <w:ind w:firstLine="420" w:firstLineChars="200"/>
        <w:jc w:val="both"/>
        <w:rPr>
          <w:color w:val="000000" w:themeColor="text1"/>
          <w14:textFill>
            <w14:solidFill>
              <w14:schemeClr w14:val="tx1"/>
            </w14:solidFill>
          </w14:textFill>
        </w:rPr>
      </w:pPr>
      <w:r>
        <w:rPr>
          <w:rStyle w:val="27"/>
          <w:rFonts w:hint="eastAsia" w:ascii="Times New Roman" w:hAnsi="Times New Roman" w:cs="Times New Roman"/>
          <w:color w:val="000000" w:themeColor="text1"/>
          <w:kern w:val="2"/>
          <w:sz w:val="21"/>
          <w14:textFill>
            <w14:solidFill>
              <w14:schemeClr w14:val="tx1"/>
            </w14:solidFill>
          </w14:textFill>
        </w:rPr>
        <w:t>本单位对上述声明的真实性负责。如有虚假，将依法承担相应责任。</w:t>
      </w:r>
    </w:p>
    <w:p>
      <w:pPr>
        <w:pStyle w:val="26"/>
        <w:shd w:val="clear" w:color="auto" w:fill="FFFFFF"/>
        <w:spacing w:before="0" w:beforeAutospacing="0" w:after="0" w:afterAutospacing="0" w:line="5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6"/>
        <w:shd w:val="clear" w:color="auto" w:fill="FFFFFF"/>
        <w:spacing w:before="0" w:beforeAutospacing="0" w:after="0" w:afterAutospacing="0" w:line="560" w:lineRule="exact"/>
        <w:ind w:right="2100" w:rightChars="1000"/>
        <w:jc w:val="right"/>
        <w:rPr>
          <w:color w:val="000000" w:themeColor="text1"/>
          <w14:textFill>
            <w14:solidFill>
              <w14:schemeClr w14:val="tx1"/>
            </w14:solidFill>
          </w14:textFill>
        </w:rPr>
      </w:pPr>
      <w:r>
        <w:rPr>
          <w:rStyle w:val="27"/>
          <w:rFonts w:hint="eastAsia" w:ascii="Times New Roman" w:hAnsi="Times New Roman" w:cs="Times New Roman"/>
          <w:color w:val="000000" w:themeColor="text1"/>
          <w:kern w:val="2"/>
          <w:sz w:val="21"/>
          <w14:textFill>
            <w14:solidFill>
              <w14:schemeClr w14:val="tx1"/>
            </w14:solidFill>
          </w14:textFill>
        </w:rPr>
        <w:t>单位名称（盖章）：</w:t>
      </w:r>
    </w:p>
    <w:p>
      <w:pPr>
        <w:pStyle w:val="26"/>
        <w:shd w:val="clear" w:color="auto" w:fill="FFFFFF"/>
        <w:spacing w:before="0" w:beforeAutospacing="0" w:after="0" w:afterAutospacing="0" w:line="560" w:lineRule="exact"/>
        <w:ind w:right="2100" w:rightChars="1000"/>
        <w:jc w:val="right"/>
        <w:rPr>
          <w:color w:val="000000" w:themeColor="text1"/>
          <w:lang w:val="fr-CH"/>
          <w14:textFill>
            <w14:solidFill>
              <w14:schemeClr w14:val="tx1"/>
            </w14:solidFill>
          </w14:textFill>
        </w:rPr>
      </w:pPr>
      <w:r>
        <w:rPr>
          <w:rStyle w:val="27"/>
          <w:rFonts w:hint="eastAsia" w:ascii="Times New Roman" w:hAnsi="Times New Roman" w:cs="Times New Roman"/>
          <w:color w:val="000000" w:themeColor="text1"/>
          <w:kern w:val="2"/>
          <w:sz w:val="21"/>
          <w14:textFill>
            <w14:solidFill>
              <w14:schemeClr w14:val="tx1"/>
            </w14:solidFill>
          </w14:textFill>
        </w:rPr>
        <w:t>日 期：</w:t>
      </w:r>
    </w:p>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31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10"/>
  </w:num>
  <w:num w:numId="7">
    <w:abstractNumId w:val="3"/>
  </w:num>
  <w:num w:numId="8">
    <w:abstractNumId w:val="6"/>
  </w:num>
  <w:num w:numId="9">
    <w:abstractNumId w:val="1"/>
  </w:num>
  <w:num w:numId="10">
    <w:abstractNumId w:val="0"/>
  </w:num>
  <w:num w:numId="11">
    <w:abstractNumId w:val="7"/>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zc1MGM1Mzg1ZmNkZGFmZjdiNTJmNWM0ZTI0MjUifQ=="/>
    <w:docVar w:name="KSO_WPS_MARK_KEY" w:val="57acf0eb-6763-4ff8-9eed-065425b34b8a"/>
  </w:docVars>
  <w:rsids>
    <w:rsidRoot w:val="5B486779"/>
    <w:rsid w:val="00002D9F"/>
    <w:rsid w:val="001C14A4"/>
    <w:rsid w:val="002C5BD1"/>
    <w:rsid w:val="002F4521"/>
    <w:rsid w:val="0030030A"/>
    <w:rsid w:val="00316B8C"/>
    <w:rsid w:val="00330C22"/>
    <w:rsid w:val="003E0753"/>
    <w:rsid w:val="0051245B"/>
    <w:rsid w:val="00600E82"/>
    <w:rsid w:val="00645991"/>
    <w:rsid w:val="006525FA"/>
    <w:rsid w:val="00663755"/>
    <w:rsid w:val="00757CB7"/>
    <w:rsid w:val="0077469C"/>
    <w:rsid w:val="00817D0D"/>
    <w:rsid w:val="00C45D09"/>
    <w:rsid w:val="00CC44EB"/>
    <w:rsid w:val="00CF17B6"/>
    <w:rsid w:val="00D0325D"/>
    <w:rsid w:val="00DF4617"/>
    <w:rsid w:val="00E7060A"/>
    <w:rsid w:val="00E8476B"/>
    <w:rsid w:val="00EF2DAF"/>
    <w:rsid w:val="00F069A6"/>
    <w:rsid w:val="015A3C39"/>
    <w:rsid w:val="01934B63"/>
    <w:rsid w:val="01AC5842"/>
    <w:rsid w:val="028E61A0"/>
    <w:rsid w:val="03BB7095"/>
    <w:rsid w:val="04486FA6"/>
    <w:rsid w:val="060C0620"/>
    <w:rsid w:val="06AC0AB6"/>
    <w:rsid w:val="07554285"/>
    <w:rsid w:val="088421CE"/>
    <w:rsid w:val="0A2E5BC4"/>
    <w:rsid w:val="0A7E54F8"/>
    <w:rsid w:val="0B520436"/>
    <w:rsid w:val="0CD8520D"/>
    <w:rsid w:val="0FBC3147"/>
    <w:rsid w:val="12FB3B91"/>
    <w:rsid w:val="16640041"/>
    <w:rsid w:val="16C9333B"/>
    <w:rsid w:val="170557A0"/>
    <w:rsid w:val="173B3660"/>
    <w:rsid w:val="1B8076CB"/>
    <w:rsid w:val="1C2B7D21"/>
    <w:rsid w:val="1D731D4C"/>
    <w:rsid w:val="1EA30526"/>
    <w:rsid w:val="1EA75705"/>
    <w:rsid w:val="1EBF1E68"/>
    <w:rsid w:val="20E701EC"/>
    <w:rsid w:val="21661111"/>
    <w:rsid w:val="22364F87"/>
    <w:rsid w:val="279D1605"/>
    <w:rsid w:val="27E10833"/>
    <w:rsid w:val="28884063"/>
    <w:rsid w:val="28F90ABD"/>
    <w:rsid w:val="2D372553"/>
    <w:rsid w:val="2F3F4A2A"/>
    <w:rsid w:val="326E7E26"/>
    <w:rsid w:val="32D14858"/>
    <w:rsid w:val="33C749D9"/>
    <w:rsid w:val="3688061E"/>
    <w:rsid w:val="369479CD"/>
    <w:rsid w:val="38A50319"/>
    <w:rsid w:val="392A081F"/>
    <w:rsid w:val="3A00289B"/>
    <w:rsid w:val="3A290CAD"/>
    <w:rsid w:val="3AB114FA"/>
    <w:rsid w:val="3B2154F6"/>
    <w:rsid w:val="3DDEBC66"/>
    <w:rsid w:val="3EE754C3"/>
    <w:rsid w:val="3F401885"/>
    <w:rsid w:val="40C04C4A"/>
    <w:rsid w:val="42093900"/>
    <w:rsid w:val="420C1409"/>
    <w:rsid w:val="43A51B15"/>
    <w:rsid w:val="44E75E8C"/>
    <w:rsid w:val="45976605"/>
    <w:rsid w:val="47EBAB54"/>
    <w:rsid w:val="48621D83"/>
    <w:rsid w:val="48DF3500"/>
    <w:rsid w:val="49AD0C70"/>
    <w:rsid w:val="4A2512BA"/>
    <w:rsid w:val="4AC24D5B"/>
    <w:rsid w:val="4B530740"/>
    <w:rsid w:val="4BAD6D5C"/>
    <w:rsid w:val="4C112E59"/>
    <w:rsid w:val="4C34368B"/>
    <w:rsid w:val="4C56301C"/>
    <w:rsid w:val="4E4168DE"/>
    <w:rsid w:val="4EB175C0"/>
    <w:rsid w:val="4EEA020E"/>
    <w:rsid w:val="4F2307E8"/>
    <w:rsid w:val="4F255CDD"/>
    <w:rsid w:val="4F506DD9"/>
    <w:rsid w:val="50BB1F02"/>
    <w:rsid w:val="542D76E9"/>
    <w:rsid w:val="54B267AA"/>
    <w:rsid w:val="5638698C"/>
    <w:rsid w:val="595E7E2B"/>
    <w:rsid w:val="5A3711D7"/>
    <w:rsid w:val="5B486779"/>
    <w:rsid w:val="5C12621E"/>
    <w:rsid w:val="5F1E222B"/>
    <w:rsid w:val="5FF3A295"/>
    <w:rsid w:val="5FFE018B"/>
    <w:rsid w:val="60322E68"/>
    <w:rsid w:val="60657EC2"/>
    <w:rsid w:val="61C135C0"/>
    <w:rsid w:val="62251984"/>
    <w:rsid w:val="64721148"/>
    <w:rsid w:val="64AC6408"/>
    <w:rsid w:val="650A75D2"/>
    <w:rsid w:val="65991EA8"/>
    <w:rsid w:val="65A021D8"/>
    <w:rsid w:val="65A73073"/>
    <w:rsid w:val="66331DAC"/>
    <w:rsid w:val="663743F7"/>
    <w:rsid w:val="663A7A43"/>
    <w:rsid w:val="67B37AAD"/>
    <w:rsid w:val="687F3E33"/>
    <w:rsid w:val="689722E6"/>
    <w:rsid w:val="69861312"/>
    <w:rsid w:val="69A73642"/>
    <w:rsid w:val="6A7B6276"/>
    <w:rsid w:val="6AF324D6"/>
    <w:rsid w:val="6BDE4D08"/>
    <w:rsid w:val="6BFE3231"/>
    <w:rsid w:val="6EDFF1AA"/>
    <w:rsid w:val="6F6B5112"/>
    <w:rsid w:val="70355B61"/>
    <w:rsid w:val="744423DB"/>
    <w:rsid w:val="748A6630"/>
    <w:rsid w:val="74BF5CE3"/>
    <w:rsid w:val="74CF1E71"/>
    <w:rsid w:val="751D67DC"/>
    <w:rsid w:val="75E33C54"/>
    <w:rsid w:val="76866FD1"/>
    <w:rsid w:val="77DE934F"/>
    <w:rsid w:val="78741250"/>
    <w:rsid w:val="78FF48BF"/>
    <w:rsid w:val="79025FEB"/>
    <w:rsid w:val="792321E3"/>
    <w:rsid w:val="7A0B1E21"/>
    <w:rsid w:val="7AC027B5"/>
    <w:rsid w:val="7B5D3B6D"/>
    <w:rsid w:val="7BFB52F0"/>
    <w:rsid w:val="7BFE7DD6"/>
    <w:rsid w:val="7DBEEB41"/>
    <w:rsid w:val="7DF5A812"/>
    <w:rsid w:val="7E9F0DA0"/>
    <w:rsid w:val="7EA61CC2"/>
    <w:rsid w:val="7EEFDE9C"/>
    <w:rsid w:val="7FFE749B"/>
    <w:rsid w:val="7FFE9AB5"/>
    <w:rsid w:val="8B5B61BD"/>
    <w:rsid w:val="B62F3DF9"/>
    <w:rsid w:val="D6FF470E"/>
    <w:rsid w:val="DBEBDA94"/>
    <w:rsid w:val="DCFC8950"/>
    <w:rsid w:val="DF7EE4B7"/>
    <w:rsid w:val="DFE5852E"/>
    <w:rsid w:val="DFEF5A08"/>
    <w:rsid w:val="E777FF4F"/>
    <w:rsid w:val="E9F9074F"/>
    <w:rsid w:val="EEE7D4FE"/>
    <w:rsid w:val="EFFDD491"/>
    <w:rsid w:val="F3D93E51"/>
    <w:rsid w:val="F74F90BF"/>
    <w:rsid w:val="F7BC6F84"/>
    <w:rsid w:val="FB5F5D90"/>
    <w:rsid w:val="FCF7FB21"/>
    <w:rsid w:val="FECCC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napToGrid w:val="0"/>
      <w:spacing w:line="560" w:lineRule="exact"/>
      <w:ind w:firstLine="200" w:firstLineChars="200"/>
    </w:pPr>
    <w:rPr>
      <w:rFonts w:ascii="仿宋" w:hAnsi="仿宋" w:cs="仿宋"/>
    </w:rPr>
  </w:style>
  <w:style w:type="paragraph" w:styleId="3">
    <w:name w:val="Body Text"/>
    <w:basedOn w:val="1"/>
    <w:next w:val="4"/>
    <w:unhideWhenUsed/>
    <w:qFormat/>
    <w:uiPriority w:val="0"/>
    <w:pPr>
      <w:spacing w:after="120"/>
    </w:pPr>
    <w:rPr>
      <w:sz w:val="24"/>
    </w:rPr>
  </w:style>
  <w:style w:type="paragraph" w:styleId="4">
    <w:name w:val="Body Text 2"/>
    <w:basedOn w:val="1"/>
    <w:qFormat/>
    <w:uiPriority w:val="99"/>
    <w:pPr>
      <w:spacing w:before="240"/>
    </w:pPr>
    <w:rPr>
      <w:rFonts w:ascii="Calibri" w:hAnsi="Calibri"/>
      <w:color w:val="FF0000"/>
    </w:rPr>
  </w:style>
  <w:style w:type="paragraph" w:styleId="5">
    <w:name w:val="Normal Indent"/>
    <w:basedOn w:val="1"/>
    <w:qFormat/>
    <w:uiPriority w:val="0"/>
    <w:pPr>
      <w:ind w:firstLine="420" w:firstLineChars="200"/>
    </w:pPr>
    <w:rPr>
      <w:szCs w:val="20"/>
    </w:rPr>
  </w:style>
  <w:style w:type="paragraph" w:styleId="6">
    <w:name w:val="annotation text"/>
    <w:basedOn w:val="1"/>
    <w:link w:val="31"/>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alloon Text"/>
    <w:basedOn w:val="1"/>
    <w:link w:val="34"/>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link w:val="30"/>
    <w:qFormat/>
    <w:uiPriority w:val="0"/>
    <w:pP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6"/>
    <w:next w:val="6"/>
    <w:link w:val="32"/>
    <w:qFormat/>
    <w:uiPriority w:val="0"/>
    <w:rPr>
      <w:b/>
      <w:bCs/>
      <w:kern w:val="2"/>
      <w:sz w:val="21"/>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qFormat/>
    <w:uiPriority w:val="0"/>
  </w:style>
  <w:style w:type="character" w:styleId="22">
    <w:name w:val="annotation reference"/>
    <w:basedOn w:val="19"/>
    <w:qFormat/>
    <w:uiPriority w:val="0"/>
    <w:rPr>
      <w:sz w:val="21"/>
      <w:szCs w:val="21"/>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0"/>
    <w:pPr>
      <w:autoSpaceDE w:val="0"/>
      <w:autoSpaceDN w:val="0"/>
      <w:jc w:val="left"/>
    </w:pPr>
    <w:rPr>
      <w:rFonts w:ascii="宋体" w:hAnsi="宋体" w:cs="宋体"/>
      <w:kern w:val="0"/>
      <w:sz w:val="22"/>
      <w:szCs w:val="22"/>
    </w:rPr>
  </w:style>
  <w:style w:type="paragraph" w:customStyle="1" w:styleId="2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qowt-font5-gb2312"/>
    <w:qFormat/>
    <w:uiPriority w:val="0"/>
  </w:style>
  <w:style w:type="paragraph" w:customStyle="1" w:styleId="28">
    <w:name w:val="正文格式"/>
    <w:basedOn w:val="7"/>
    <w:qFormat/>
    <w:uiPriority w:val="99"/>
    <w:pPr>
      <w:spacing w:after="0" w:line="360" w:lineRule="auto"/>
      <w:ind w:left="0" w:leftChars="0" w:firstLine="600"/>
    </w:pPr>
    <w:rPr>
      <w:rFonts w:eastAsia="仿宋_GB2312"/>
      <w:sz w:val="30"/>
      <w:szCs w:val="30"/>
    </w:rPr>
  </w:style>
  <w:style w:type="paragraph" w:customStyle="1" w:styleId="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0">
    <w:name w:val="页眉 字符"/>
    <w:basedOn w:val="19"/>
    <w:link w:val="12"/>
    <w:qFormat/>
    <w:uiPriority w:val="0"/>
    <w:rPr>
      <w:kern w:val="2"/>
      <w:sz w:val="18"/>
      <w:szCs w:val="18"/>
    </w:rPr>
  </w:style>
  <w:style w:type="character" w:customStyle="1" w:styleId="31">
    <w:name w:val="批注文字 字符"/>
    <w:basedOn w:val="19"/>
    <w:link w:val="6"/>
    <w:qFormat/>
    <w:uiPriority w:val="0"/>
    <w:rPr>
      <w:szCs w:val="24"/>
    </w:rPr>
  </w:style>
  <w:style w:type="character" w:customStyle="1" w:styleId="32">
    <w:name w:val="批注主题 字符"/>
    <w:basedOn w:val="31"/>
    <w:link w:val="16"/>
    <w:qFormat/>
    <w:uiPriority w:val="0"/>
    <w:rPr>
      <w:b/>
      <w:bCs/>
      <w:kern w:val="2"/>
      <w:sz w:val="21"/>
      <w:szCs w:val="24"/>
    </w:rPr>
  </w:style>
  <w:style w:type="character" w:customStyle="1" w:styleId="33">
    <w:name w:val="NormalCharacter"/>
    <w:qFormat/>
    <w:uiPriority w:val="0"/>
    <w:rPr>
      <w:kern w:val="2"/>
      <w:sz w:val="21"/>
      <w:szCs w:val="24"/>
      <w:lang w:val="en-US" w:eastAsia="zh-CN" w:bidi="ar-SA"/>
    </w:rPr>
  </w:style>
  <w:style w:type="character" w:customStyle="1" w:styleId="34">
    <w:name w:val="批注框文本 字符"/>
    <w:basedOn w:val="19"/>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17226</Words>
  <Characters>17894</Characters>
  <Lines>431</Lines>
  <Paragraphs>121</Paragraphs>
  <TotalTime>7</TotalTime>
  <ScaleCrop>false</ScaleCrop>
  <LinksUpToDate>false</LinksUpToDate>
  <CharactersWithSpaces>18312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2025-06-09T00:10:00Z</dcterms:created>
  <dc:creator>『moe kko』</dc:creator>
  <cp:lastModifiedBy>黎俊</cp:lastModifiedBy>
  <dcterms:modified xsi:type="dcterms:W3CDTF">2025-07-29T04:29:33Z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5C3D7FACB36F4B8380E1F84F680ED5F8_13</vt:lpwstr>
  </property>
  <property fmtid="{D5CDD505-2E9C-101B-9397-08002B2CF9AE}" pid="4" name="KSOTemplateDocerSaveRecord">
    <vt:lpwstr>eyJoZGlkIjoiMmVhYjIwYTFkMDUyN2RmOGI2OTNiMWRjYmY5MjBlYTUiLCJ1c2VySWQiOiIzOTQyODIxNTkifQ==</vt:lpwstr>
  </property>
</Properties>
</file>