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sz w:val="32"/>
          <w:szCs w:val="32"/>
        </w:rPr>
      </w:pPr>
    </w:p>
    <w:p>
      <w:pPr>
        <w:jc w:val="center"/>
        <w:rPr>
          <w:rFonts w:hint="eastAsia" w:ascii="宋体" w:hAnsi="宋体" w:cs="宋体"/>
          <w:b/>
          <w:sz w:val="72"/>
          <w:szCs w:val="72"/>
        </w:rPr>
      </w:pPr>
      <w:bookmarkStart w:id="0" w:name="_Toc12932"/>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9"/>
        <w:ind w:firstLine="420"/>
        <w:rPr>
          <w:rFonts w:hint="eastAsia" w:ascii="宋体" w:hAnsi="宋体" w:cs="宋体"/>
        </w:rPr>
      </w:pPr>
    </w:p>
    <w:p>
      <w:pPr>
        <w:pStyle w:val="29"/>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招标编号：QH2025064</w:t>
      </w:r>
    </w:p>
    <w:p>
      <w:pPr>
        <w:ind w:firstLine="723" w:firstLineChars="200"/>
        <w:rPr>
          <w:rFonts w:hint="eastAsia" w:ascii="宋体" w:hAnsi="宋体" w:cs="宋体"/>
          <w:b/>
          <w:sz w:val="36"/>
          <w:szCs w:val="36"/>
        </w:rPr>
      </w:pPr>
    </w:p>
    <w:p>
      <w:pPr>
        <w:pStyle w:val="29"/>
        <w:ind w:firstLine="420"/>
        <w:rPr>
          <w:rFonts w:hint="eastAsia" w:ascii="宋体" w:hAnsi="宋体" w:cs="宋体"/>
        </w:rPr>
      </w:pPr>
    </w:p>
    <w:p>
      <w:pPr>
        <w:pStyle w:val="29"/>
        <w:ind w:firstLine="420"/>
        <w:rPr>
          <w:rFonts w:hint="eastAsia" w:ascii="宋体" w:hAnsi="宋体" w:cs="宋体"/>
        </w:rPr>
      </w:pPr>
    </w:p>
    <w:p>
      <w:pPr>
        <w:ind w:right="-319" w:rightChars="-152"/>
        <w:rPr>
          <w:rFonts w:hint="eastAsia" w:ascii="宋体" w:hAnsi="宋体" w:cs="宋体"/>
          <w:b/>
          <w:sz w:val="36"/>
          <w:szCs w:val="36"/>
        </w:rPr>
      </w:pPr>
      <w:r>
        <w:rPr>
          <w:rFonts w:hint="eastAsia" w:ascii="宋体" w:hAnsi="宋体" w:cs="宋体"/>
          <w:b/>
          <w:sz w:val="36"/>
          <w:szCs w:val="36"/>
        </w:rPr>
        <w:t>招标项目：</w:t>
      </w:r>
      <w:r>
        <w:rPr>
          <w:rFonts w:hint="eastAsia" w:ascii="宋体" w:hAnsi="宋体" w:cs="宋体"/>
          <w:b/>
          <w:sz w:val="36"/>
          <w:szCs w:val="36"/>
          <w:lang w:val="zh-TW"/>
        </w:rPr>
        <w:t>前海打造具有全球竞争力的营商环境工作报告咨询项目</w:t>
      </w:r>
    </w:p>
    <w:p>
      <w:pPr>
        <w:ind w:firstLine="3264" w:firstLineChars="739"/>
        <w:rPr>
          <w:rFonts w:hint="eastAsia" w:ascii="宋体" w:hAnsi="宋体" w:cs="宋体"/>
          <w:b/>
          <w:sz w:val="44"/>
        </w:rPr>
      </w:pPr>
    </w:p>
    <w:p>
      <w:pPr>
        <w:pStyle w:val="29"/>
        <w:ind w:firstLine="0" w:firstLineChars="0"/>
        <w:rPr>
          <w:rFonts w:hint="eastAsia" w:ascii="宋体" w:hAnsi="宋体" w:cs="宋体"/>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7</w:t>
      </w:r>
      <w:r>
        <w:rPr>
          <w:rFonts w:hint="eastAsia" w:ascii="宋体" w:hAnsi="宋体" w:cs="宋体"/>
          <w:b/>
          <w:bCs/>
          <w:sz w:val="36"/>
          <w:szCs w:val="36"/>
        </w:rPr>
        <w:t>月</w:t>
      </w:r>
    </w:p>
    <w:p>
      <w:pPr>
        <w:autoSpaceDE w:val="0"/>
        <w:autoSpaceDN w:val="0"/>
        <w:adjustRightInd w:val="0"/>
        <w:spacing w:line="560" w:lineRule="exact"/>
        <w:jc w:val="center"/>
        <w:rPr>
          <w:rFonts w:hint="eastAsia" w:ascii="宋体" w:hAnsi="宋体" w:cs="宋体"/>
          <w:b/>
          <w:bCs/>
          <w:kern w:val="0"/>
          <w:sz w:val="36"/>
          <w:szCs w:val="36"/>
        </w:rPr>
      </w:pPr>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2"/>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spacing w:line="560" w:lineRule="exact"/>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spacing w:line="560" w:lineRule="exact"/>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spacing w:line="560" w:lineRule="exact"/>
              <w:jc w:val="center"/>
              <w:rPr>
                <w:rFonts w:hint="eastAsia" w:ascii="宋体" w:hAnsi="宋体" w:cs="宋体"/>
                <w:sz w:val="24"/>
              </w:rPr>
            </w:pPr>
            <w:r>
              <w:rPr>
                <w:rFonts w:hint="eastAsia" w:ascii="宋体" w:hAnsi="宋体" w:cs="宋体"/>
                <w:sz w:val="24"/>
              </w:rPr>
              <w:t>1</w:t>
            </w:r>
          </w:p>
        </w:tc>
        <w:tc>
          <w:tcPr>
            <w:tcW w:w="4519" w:type="pct"/>
            <w:vAlign w:val="center"/>
          </w:tcPr>
          <w:p>
            <w:pPr>
              <w:spacing w:line="560" w:lineRule="exact"/>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spacing w:line="560" w:lineRule="exact"/>
              <w:jc w:val="center"/>
              <w:rPr>
                <w:rFonts w:hint="eastAsia" w:ascii="宋体" w:hAnsi="宋体" w:cs="宋体"/>
                <w:sz w:val="24"/>
              </w:rPr>
            </w:pPr>
            <w:r>
              <w:rPr>
                <w:rFonts w:hint="eastAsia" w:ascii="宋体" w:hAnsi="宋体" w:cs="宋体"/>
                <w:sz w:val="24"/>
              </w:rPr>
              <w:t>2</w:t>
            </w:r>
          </w:p>
        </w:tc>
        <w:tc>
          <w:tcPr>
            <w:tcW w:w="4519" w:type="pct"/>
            <w:vAlign w:val="center"/>
          </w:tcPr>
          <w:p>
            <w:pPr>
              <w:spacing w:line="560" w:lineRule="exact"/>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spacing w:line="560" w:lineRule="exact"/>
              <w:jc w:val="center"/>
              <w:rPr>
                <w:rFonts w:hint="eastAsia" w:ascii="宋体" w:hAnsi="宋体" w:cs="宋体"/>
                <w:sz w:val="24"/>
              </w:rPr>
            </w:pPr>
            <w:r>
              <w:rPr>
                <w:rFonts w:hint="eastAsia" w:ascii="宋体" w:hAnsi="宋体" w:cs="宋体"/>
                <w:sz w:val="24"/>
              </w:rPr>
              <w:t>3</w:t>
            </w:r>
          </w:p>
        </w:tc>
        <w:tc>
          <w:tcPr>
            <w:tcW w:w="4519" w:type="pct"/>
            <w:vAlign w:val="center"/>
          </w:tcPr>
          <w:p>
            <w:pPr>
              <w:spacing w:line="560" w:lineRule="exact"/>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spacing w:line="560" w:lineRule="exact"/>
              <w:jc w:val="center"/>
              <w:rPr>
                <w:rFonts w:hint="eastAsia" w:ascii="宋体" w:hAnsi="宋体" w:cs="宋体"/>
                <w:sz w:val="24"/>
              </w:rPr>
            </w:pPr>
            <w:r>
              <w:rPr>
                <w:rFonts w:hint="eastAsia" w:ascii="宋体" w:hAnsi="宋体" w:cs="宋体"/>
                <w:sz w:val="24"/>
              </w:rPr>
              <w:t>4</w:t>
            </w:r>
          </w:p>
        </w:tc>
        <w:tc>
          <w:tcPr>
            <w:tcW w:w="4519" w:type="pct"/>
            <w:vAlign w:val="center"/>
          </w:tcPr>
          <w:p>
            <w:pPr>
              <w:spacing w:line="560" w:lineRule="exact"/>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spacing w:line="560" w:lineRule="exact"/>
              <w:jc w:val="center"/>
              <w:rPr>
                <w:rFonts w:hint="eastAsia" w:ascii="宋体" w:hAnsi="宋体" w:cs="宋体"/>
                <w:sz w:val="24"/>
              </w:rPr>
            </w:pPr>
            <w:r>
              <w:rPr>
                <w:rFonts w:hint="eastAsia" w:ascii="宋体" w:hAnsi="宋体" w:cs="宋体"/>
                <w:sz w:val="24"/>
              </w:rPr>
              <w:t>5</w:t>
            </w:r>
          </w:p>
        </w:tc>
        <w:tc>
          <w:tcPr>
            <w:tcW w:w="4519" w:type="pct"/>
            <w:vAlign w:val="center"/>
          </w:tcPr>
          <w:p>
            <w:pPr>
              <w:spacing w:line="560" w:lineRule="exact"/>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560" w:lineRule="exact"/>
        <w:jc w:val="center"/>
        <w:rPr>
          <w:rFonts w:hint="eastAsia" w:ascii="宋体" w:hAnsi="宋体" w:cs="宋体"/>
          <w:b/>
          <w:kern w:val="0"/>
          <w:sz w:val="24"/>
        </w:rPr>
      </w:pPr>
    </w:p>
    <w:p>
      <w:pPr>
        <w:autoSpaceDE w:val="0"/>
        <w:autoSpaceDN w:val="0"/>
        <w:adjustRightInd w:val="0"/>
        <w:spacing w:line="560" w:lineRule="exact"/>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560" w:lineRule="exact"/>
        <w:ind w:left="239" w:leftChars="114" w:firstLine="241" w:firstLineChars="100"/>
        <w:jc w:val="left"/>
        <w:rPr>
          <w:rFonts w:hint="eastAsia" w:ascii="宋体" w:hAnsi="宋体" w:cs="宋体"/>
          <w:sz w:val="24"/>
        </w:rPr>
      </w:pPr>
      <w:r>
        <w:rPr>
          <w:rStyle w:val="24"/>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autoSpaceDE w:val="0"/>
        <w:autoSpaceDN w:val="0"/>
        <w:adjustRightInd w:val="0"/>
        <w:spacing w:line="560" w:lineRule="exact"/>
        <w:ind w:left="239" w:leftChars="114" w:firstLine="240" w:firstLineChars="100"/>
        <w:jc w:val="left"/>
        <w:rPr>
          <w:rFonts w:hint="eastAsia" w:ascii="宋体" w:hAnsi="宋体" w:cs="宋体"/>
          <w:sz w:val="24"/>
        </w:rPr>
      </w:pPr>
      <w:bookmarkStart w:id="1" w:name="_Toc2750"/>
      <w:r>
        <w:rPr>
          <w:rFonts w:hint="eastAsia" w:ascii="宋体" w:hAnsi="宋体" w:cs="宋体"/>
          <w:sz w:val="24"/>
        </w:rPr>
        <w:t>（一）在采购活动中应当回避而未回避的；</w:t>
      </w:r>
      <w:bookmarkEnd w:id="1"/>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（二）未按照本条例规定签订、履行采购合同，造成严重后果的；</w:t>
      </w:r>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（三）隐瞒真实情况，提供虚假资料的；</w:t>
      </w:r>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（四）以非法手段排斥其他供应商参与竞争的；</w:t>
      </w:r>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（五）与其他采购参加人串通投标的；</w:t>
      </w:r>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（六）恶意投诉的；</w:t>
      </w:r>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（七）向采购项目相关人行贿或者提供其他不当利益的；</w:t>
      </w:r>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（八）阻碍、抗拒主管部门监督检查的；</w:t>
      </w:r>
    </w:p>
    <w:p>
      <w:pPr>
        <w:autoSpaceDE w:val="0"/>
        <w:autoSpaceDN w:val="0"/>
        <w:adjustRightInd w:val="0"/>
        <w:spacing w:line="560" w:lineRule="exact"/>
        <w:ind w:left="239" w:leftChars="114" w:firstLine="240" w:firstLineChars="100"/>
        <w:jc w:val="left"/>
        <w:rPr>
          <w:rFonts w:hint="eastAsia" w:ascii="宋体" w:hAnsi="宋体" w:cs="宋体"/>
          <w:sz w:val="24"/>
        </w:rPr>
      </w:pPr>
      <w:r>
        <w:rPr>
          <w:rFonts w:hint="eastAsia" w:ascii="宋体" w:hAnsi="宋体" w:cs="宋体"/>
          <w:sz w:val="24"/>
        </w:rPr>
        <w:t>（九）其他违反本条例规定的行为。</w:t>
      </w:r>
    </w:p>
    <w:p>
      <w:pPr>
        <w:autoSpaceDE w:val="0"/>
        <w:autoSpaceDN w:val="0"/>
        <w:adjustRightInd w:val="0"/>
        <w:spacing w:line="560" w:lineRule="exact"/>
        <w:ind w:firstLine="360" w:firstLineChars="150"/>
        <w:jc w:val="left"/>
        <w:rPr>
          <w:rFonts w:hint="eastAsia" w:ascii="宋体" w:hAnsi="宋体" w:cs="宋体"/>
          <w:kern w:val="0"/>
          <w:sz w:val="24"/>
        </w:rPr>
      </w:pPr>
    </w:p>
    <w:p>
      <w:pPr>
        <w:autoSpaceDE w:val="0"/>
        <w:autoSpaceDN w:val="0"/>
        <w:adjustRightInd w:val="0"/>
        <w:spacing w:line="560" w:lineRule="exact"/>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spacing w:line="560" w:lineRule="exact"/>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560" w:lineRule="exact"/>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560" w:lineRule="exact"/>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560" w:lineRule="exact"/>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560" w:lineRule="exact"/>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spacing w:line="560" w:lineRule="exact"/>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spacing w:line="560" w:lineRule="exact"/>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spacing w:line="560" w:lineRule="exact"/>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560" w:lineRule="exact"/>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560" w:lineRule="exact"/>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spacing w:line="560" w:lineRule="exact"/>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560" w:lineRule="exact"/>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spacing w:line="560" w:lineRule="exact"/>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spacing w:line="560" w:lineRule="exact"/>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spacing w:line="560" w:lineRule="exact"/>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spacing w:line="560" w:lineRule="exact"/>
        <w:jc w:val="center"/>
        <w:rPr>
          <w:rFonts w:hint="eastAsia" w:ascii="宋体" w:hAnsi="宋体" w:cs="宋体"/>
          <w:b/>
          <w:kern w:val="0"/>
          <w:sz w:val="24"/>
        </w:rPr>
      </w:pPr>
    </w:p>
    <w:p>
      <w:pPr>
        <w:autoSpaceDE w:val="0"/>
        <w:autoSpaceDN w:val="0"/>
        <w:adjustRightInd w:val="0"/>
        <w:spacing w:line="560" w:lineRule="exact"/>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spacing w:line="560" w:lineRule="exact"/>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560" w:lineRule="exact"/>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560" w:lineRule="exact"/>
        <w:jc w:val="center"/>
        <w:rPr>
          <w:rFonts w:hint="eastAsia" w:ascii="宋体" w:hAnsi="宋体" w:cs="宋体"/>
          <w:b/>
          <w:kern w:val="0"/>
          <w:sz w:val="24"/>
        </w:rPr>
      </w:pPr>
    </w:p>
    <w:p>
      <w:pPr>
        <w:autoSpaceDE w:val="0"/>
        <w:autoSpaceDN w:val="0"/>
        <w:adjustRightInd w:val="0"/>
        <w:spacing w:line="560" w:lineRule="exact"/>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pStyle w:val="6"/>
        <w:tabs>
          <w:tab w:val="left" w:pos="562"/>
          <w:tab w:val="left" w:pos="3372"/>
          <w:tab w:val="left" w:pos="3653"/>
        </w:tabs>
        <w:spacing w:line="560" w:lineRule="exact"/>
        <w:ind w:firstLine="420" w:firstLineChars="200"/>
        <w:rPr>
          <w:rFonts w:hint="eastAsia" w:ascii="宋体" w:hAnsi="宋体" w:cs="宋体"/>
          <w:b/>
          <w:kern w:val="0"/>
          <w:sz w:val="24"/>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560" w:lineRule="exact"/>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6"/>
        <w:tabs>
          <w:tab w:val="left" w:pos="562"/>
          <w:tab w:val="left" w:pos="3372"/>
          <w:tab w:val="left" w:pos="3653"/>
        </w:tabs>
        <w:spacing w:after="0" w:line="560" w:lineRule="exact"/>
        <w:rPr>
          <w:rFonts w:hint="eastAsia" w:ascii="宋体" w:hAnsi="宋体" w:cs="宋体"/>
          <w:b/>
          <w:bCs/>
        </w:rPr>
      </w:pPr>
      <w:r>
        <w:rPr>
          <w:rFonts w:hint="eastAsia" w:ascii="宋体" w:hAnsi="宋体" w:cs="宋体"/>
          <w:b/>
          <w:bCs/>
        </w:rPr>
        <w:t>强化政府采购异常低价审查：</w:t>
      </w:r>
    </w:p>
    <w:p>
      <w:pPr>
        <w:pStyle w:val="6"/>
        <w:tabs>
          <w:tab w:val="left" w:pos="562"/>
          <w:tab w:val="left" w:pos="3372"/>
          <w:tab w:val="left" w:pos="3653"/>
        </w:tabs>
        <w:spacing w:after="0" w:line="560" w:lineRule="exact"/>
        <w:ind w:firstLine="420" w:firstLineChars="200"/>
        <w:rPr>
          <w:rFonts w:hint="eastAsia" w:ascii="宋体" w:hAnsi="宋体" w:cs="宋体"/>
        </w:rPr>
      </w:pPr>
      <w:r>
        <w:rPr>
          <w:rFonts w:hint="eastAsia" w:ascii="宋体" w:hAnsi="宋体" w:cs="宋体"/>
        </w:rPr>
        <w:t>试点地区采购人应当在采购文件中明确异常低价投标（响应）审查的有关内容，主要包括：</w:t>
      </w:r>
    </w:p>
    <w:p>
      <w:pPr>
        <w:pStyle w:val="6"/>
        <w:tabs>
          <w:tab w:val="left" w:pos="562"/>
          <w:tab w:val="left" w:pos="3372"/>
          <w:tab w:val="left" w:pos="3653"/>
        </w:tabs>
        <w:spacing w:after="0" w:line="560" w:lineRule="exact"/>
        <w:ind w:firstLine="420" w:firstLineChars="200"/>
        <w:rPr>
          <w:rFonts w:hint="eastAsia"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6"/>
        <w:tabs>
          <w:tab w:val="left" w:pos="562"/>
          <w:tab w:val="left" w:pos="3372"/>
          <w:tab w:val="left" w:pos="3653"/>
        </w:tabs>
        <w:spacing w:after="0" w:line="560" w:lineRule="exact"/>
        <w:ind w:firstLine="420" w:firstLineChars="200"/>
        <w:rPr>
          <w:rFonts w:hint="eastAsia"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napToGrid w:val="0"/>
        <w:spacing w:line="560" w:lineRule="exact"/>
        <w:ind w:firstLine="411" w:firstLineChars="196"/>
        <w:rPr>
          <w:rFonts w:hint="eastAsia" w:ascii="宋体" w:hAnsi="宋体" w:cs="宋体"/>
          <w:sz w:val="24"/>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spacing w:line="560" w:lineRule="exact"/>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5"/>
        <w:tabs>
          <w:tab w:val="right" w:leader="dot" w:pos="8306"/>
        </w:tabs>
        <w:spacing w:line="560" w:lineRule="exact"/>
        <w:rPr>
          <w:b/>
          <w:bCs/>
          <w:sz w:val="24"/>
          <w:szCs w:val="32"/>
        </w:rPr>
      </w:pPr>
    </w:p>
    <w:p>
      <w:pPr>
        <w:pStyle w:val="15"/>
        <w:tabs>
          <w:tab w:val="right" w:leader="dot" w:pos="8306"/>
        </w:tabs>
        <w:spacing w:line="560" w:lineRule="exact"/>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5"/>
        <w:tabs>
          <w:tab w:val="right" w:leader="dot" w:pos="8306"/>
        </w:tabs>
        <w:spacing w:line="560" w:lineRule="exact"/>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560" w:lineRule="exact"/>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560" w:lineRule="exact"/>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560" w:lineRule="exact"/>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560" w:lineRule="exact"/>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560" w:lineRule="exact"/>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560" w:lineRule="exact"/>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560" w:lineRule="exact"/>
      </w:pPr>
      <w:r>
        <w:rPr>
          <w:rFonts w:hint="eastAsia" w:ascii="宋体" w:hAnsi="宋体" w:cs="宋体"/>
          <w:b/>
          <w:bCs/>
          <w:sz w:val="24"/>
        </w:rPr>
        <w:fldChar w:fldCharType="end"/>
      </w:r>
    </w:p>
    <w:p>
      <w:pPr>
        <w:numPr>
          <w:ilvl w:val="0"/>
          <w:numId w:val="2"/>
        </w:numPr>
        <w:spacing w:line="560" w:lineRule="exact"/>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560" w:lineRule="exact"/>
        <w:ind w:firstLine="480" w:firstLineChars="200"/>
        <w:jc w:val="left"/>
        <w:rPr>
          <w:rFonts w:hint="eastAsia" w:ascii="宋体" w:hAnsi="宋体" w:cs="宋体"/>
          <w:sz w:val="24"/>
        </w:rPr>
      </w:pPr>
      <w:r>
        <w:rPr>
          <w:rFonts w:hint="eastAsia" w:ascii="宋体" w:hAnsi="宋体" w:cs="宋体"/>
          <w:kern w:val="0"/>
          <w:sz w:val="24"/>
        </w:rPr>
        <w:t>深圳交易咨询集团有限公司</w:t>
      </w:r>
      <w:r>
        <w:rPr>
          <w:rFonts w:hint="eastAsia" w:ascii="宋体" w:hAnsi="宋体" w:cs="宋体"/>
          <w:color w:val="auto"/>
          <w:sz w:val="24"/>
          <w:highlight w:val="none"/>
        </w:rPr>
        <w:t>（以下简</w:t>
      </w:r>
      <w:r>
        <w:rPr>
          <w:rFonts w:hint="eastAsia" w:ascii="宋体" w:hAnsi="宋体" w:cs="宋体"/>
          <w:color w:val="auto"/>
          <w:sz w:val="24"/>
        </w:rPr>
        <w:t>称采购代理机构）受深圳市前海深港现代服务业合作区管理局委托就前</w:t>
      </w:r>
      <w:r>
        <w:rPr>
          <w:rFonts w:hint="eastAsia" w:ascii="宋体" w:hAnsi="宋体" w:cs="宋体"/>
          <w:color w:val="auto"/>
          <w:sz w:val="24"/>
          <w:u w:val="single"/>
        </w:rPr>
        <w:t>海打造具有全球竞争力的营商环境工作报告咨询项目</w:t>
      </w:r>
      <w:r>
        <w:rPr>
          <w:rFonts w:hint="eastAsia" w:ascii="宋体" w:hAnsi="宋体" w:cs="宋体"/>
          <w:color w:val="auto"/>
          <w:sz w:val="24"/>
        </w:rPr>
        <w:t>（招标编号：</w:t>
      </w:r>
      <w:r>
        <w:rPr>
          <w:rFonts w:hint="eastAsia" w:ascii="宋体" w:hAnsi="宋体" w:cs="宋体"/>
          <w:color w:val="auto"/>
          <w:sz w:val="24"/>
          <w:u w:val="single"/>
          <w:lang w:eastAsia="zh-CN"/>
        </w:rPr>
        <w:t>QH20250</w:t>
      </w:r>
      <w:r>
        <w:rPr>
          <w:rFonts w:hint="eastAsia" w:ascii="宋体" w:hAnsi="宋体" w:cs="宋体"/>
          <w:color w:val="auto"/>
          <w:sz w:val="24"/>
          <w:u w:val="single"/>
          <w:lang w:val="en-US" w:eastAsia="zh-CN"/>
        </w:rPr>
        <w:t>64</w:t>
      </w:r>
      <w:r>
        <w:rPr>
          <w:rFonts w:hint="eastAsia" w:ascii="宋体" w:hAnsi="宋体" w:cs="宋体"/>
          <w:color w:val="auto"/>
          <w:sz w:val="24"/>
        </w:rPr>
        <w:t>）采用简易招标方式采购，欢迎符合投标人资格要求的专业供应商积极参加投标</w:t>
      </w:r>
      <w:r>
        <w:rPr>
          <w:rFonts w:hint="eastAsia" w:ascii="宋体" w:hAnsi="宋体" w:cs="宋体"/>
          <w:sz w:val="24"/>
        </w:rPr>
        <w:t>。</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560" w:lineRule="exact"/>
              <w:jc w:val="center"/>
            </w:pPr>
            <w:r>
              <w:rPr>
                <w:rFonts w:hint="eastAsia" w:ascii="宋体" w:hAnsi="宋体" w:cs="宋体"/>
                <w:sz w:val="24"/>
              </w:rPr>
              <w:t>招标文件编号</w:t>
            </w:r>
          </w:p>
        </w:tc>
        <w:tc>
          <w:tcPr>
            <w:tcW w:w="7015" w:type="dxa"/>
            <w:vAlign w:val="center"/>
          </w:tcPr>
          <w:p>
            <w:pPr>
              <w:spacing w:line="560" w:lineRule="exact"/>
              <w:rPr>
                <w:rFonts w:hint="eastAsia" w:ascii="宋体" w:hAnsi="宋体" w:cs="宋体"/>
                <w:sz w:val="24"/>
              </w:rPr>
            </w:pPr>
            <w:r>
              <w:rPr>
                <w:rFonts w:hint="eastAsia" w:ascii="宋体" w:hAnsi="宋体" w:cs="宋体"/>
                <w:sz w:val="24"/>
              </w:rPr>
              <w:t>QH2025064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560" w:lineRule="exact"/>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560" w:lineRule="exact"/>
              <w:rPr>
                <w:rFonts w:hint="eastAsia" w:ascii="宋体" w:hAnsi="宋体" w:cs="宋体"/>
                <w:sz w:val="24"/>
              </w:rPr>
            </w:pPr>
            <w:r>
              <w:rPr>
                <w:rFonts w:hint="eastAsia" w:ascii="宋体" w:hAnsi="宋体" w:cs="宋体"/>
                <w:sz w:val="24"/>
                <w:lang w:val="zh-TW"/>
              </w:rPr>
              <w:t>前海打造具有全球竞争力的营商环境工作报告咨询项目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560" w:lineRule="exact"/>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r>
              <w:rPr>
                <w:rFonts w:hint="eastAsia" w:ascii="宋体" w:hAnsi="宋体" w:cs="宋体"/>
                <w:sz w:val="24"/>
              </w:rPr>
              <w:t>《中共中央关于进一步全面深化改革、推进中国式现代化的决定》提出，要“深化外商投资和对外投资管理体制改革。营造市场化、法治化、国际化一流营商环境”。为全面贯彻落实党的二十大和二十届二中、三中全会精神</w:t>
            </w:r>
            <w:r>
              <w:rPr>
                <w:rFonts w:hint="eastAsia" w:ascii="宋体" w:hAnsi="宋体" w:cs="宋体"/>
                <w:sz w:val="24"/>
                <w:lang w:eastAsia="zh-CN"/>
              </w:rPr>
              <w:t>，</w:t>
            </w:r>
            <w:r>
              <w:rPr>
                <w:rFonts w:hint="eastAsia" w:ascii="宋体" w:hAnsi="宋体" w:cs="宋体"/>
                <w:sz w:val="24"/>
              </w:rPr>
              <w:t>确保完成《全面深化前海深港现代服务业合作区改革开放方案》（简称《前海方案》）《前海深港现代服务业合作区总体发展规划》（简称《前海规划》）提出的“到2025年初步形成具有全球竞争力的营商环境，到2035年营商环境达到世界一流水平”目标。本咨询项目主要服务于拟定前海打造具有全球竞争力的营商环境工作报告（名称以最终审定为准）</w:t>
            </w:r>
            <w:r>
              <w:rPr>
                <w:rFonts w:hint="eastAsia" w:ascii="宋体" w:hAnsi="宋体" w:cs="宋体"/>
                <w:sz w:val="24"/>
                <w:lang w:eastAsia="zh-CN"/>
              </w:rPr>
              <w:t>和制定优化营商环境政策措施</w:t>
            </w:r>
            <w:r>
              <w:rPr>
                <w:rFonts w:hint="eastAsia" w:ascii="宋体" w:hAnsi="宋体" w:cs="宋体"/>
                <w:sz w:val="24"/>
              </w:rPr>
              <w:t>，为拟定相关报告，中标单位具体服务内容包括但不限于形成一份调研报告、一套评估体系和评估结论和一场成果发布。具体详见用户需求书。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60" w:lineRule="exact"/>
              <w:jc w:val="center"/>
              <w:rPr>
                <w:rFonts w:hint="eastAsia" w:ascii="宋体" w:hAnsi="宋体" w:cs="宋体"/>
                <w:sz w:val="24"/>
              </w:rPr>
            </w:pPr>
            <w:r>
              <w:rPr>
                <w:rFonts w:hint="eastAsia" w:ascii="宋体" w:hAnsi="宋体" w:cs="宋体"/>
                <w:sz w:val="24"/>
              </w:rPr>
              <w:t>项目预算（最高限价）</w:t>
            </w:r>
          </w:p>
        </w:tc>
        <w:tc>
          <w:tcPr>
            <w:tcW w:w="7015" w:type="dxa"/>
            <w:vAlign w:val="center"/>
          </w:tcPr>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600</w:t>
            </w:r>
            <w:r>
              <w:rPr>
                <w:rFonts w:hint="eastAsia" w:ascii="宋体" w:hAnsi="宋体" w:cs="宋体"/>
                <w:sz w:val="24"/>
              </w:rPr>
              <w:t>,000.00（人民币</w:t>
            </w:r>
            <w:r>
              <w:rPr>
                <w:rFonts w:hint="eastAsia" w:ascii="宋体" w:hAnsi="宋体" w:cs="宋体"/>
                <w:sz w:val="24"/>
                <w:lang w:eastAsia="zh-CN"/>
              </w:rPr>
              <w:t>陆</w:t>
            </w:r>
            <w:r>
              <w:rPr>
                <w:rFonts w:hint="eastAsia" w:ascii="宋体" w:hAnsi="宋体" w:cs="宋体"/>
                <w:sz w:val="24"/>
              </w:rPr>
              <w:t>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60" w:lineRule="exact"/>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560" w:lineRule="exact"/>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60" w:lineRule="exact"/>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560" w:lineRule="exact"/>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kern w:val="0"/>
                <w:sz w:val="24"/>
                <w:highlight w:val="none"/>
                <w:lang w:bidi="ar"/>
              </w:rPr>
              <w:t>2025年</w:t>
            </w:r>
            <w:r>
              <w:rPr>
                <w:rFonts w:hint="eastAsia" w:ascii="宋体" w:hAnsi="宋体" w:cs="宋体"/>
                <w:kern w:val="0"/>
                <w:sz w:val="24"/>
                <w:highlight w:val="none"/>
                <w:lang w:val="en-US" w:eastAsia="zh-CN" w:bidi="ar"/>
              </w:rPr>
              <w:t>7</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30</w:t>
            </w:r>
            <w:r>
              <w:rPr>
                <w:rFonts w:hint="eastAsia" w:ascii="宋体" w:hAnsi="宋体" w:cs="宋体"/>
                <w:kern w:val="0"/>
                <w:sz w:val="24"/>
                <w:highlight w:val="none"/>
                <w:lang w:bidi="ar"/>
              </w:rPr>
              <w:t>日</w:t>
            </w:r>
            <w:r>
              <w:rPr>
                <w:rFonts w:hint="eastAsia" w:ascii="宋体" w:hAnsi="宋体" w:cs="宋体"/>
                <w:kern w:val="0"/>
                <w:sz w:val="24"/>
                <w:lang w:bidi="ar"/>
              </w:rPr>
              <w:t>上午10:00时（北京时间）前送达（现场递交或邮寄）至深圳市前海深港现代服务业合作区桂湾五路123号前海大厦T1栋</w:t>
            </w:r>
            <w:r>
              <w:rPr>
                <w:rFonts w:ascii="宋体" w:hAnsi="宋体" w:cs="宋体"/>
                <w:kern w:val="0"/>
                <w:sz w:val="24"/>
                <w:lang w:bidi="ar"/>
              </w:rPr>
              <w:t>2</w:t>
            </w:r>
            <w:r>
              <w:rPr>
                <w:rFonts w:hint="eastAsia" w:ascii="宋体" w:hAnsi="宋体" w:cs="宋体"/>
                <w:kern w:val="0"/>
                <w:sz w:val="24"/>
                <w:lang w:bidi="ar"/>
              </w:rPr>
              <w:t>108室。</w:t>
            </w:r>
          </w:p>
          <w:p>
            <w:pPr>
              <w:spacing w:line="560" w:lineRule="exact"/>
              <w:jc w:val="left"/>
              <w:rPr>
                <w:rFonts w:hint="eastAsia" w:ascii="宋体" w:hAnsi="宋体" w:cs="宋体"/>
                <w:kern w:val="0"/>
                <w:sz w:val="24"/>
                <w:lang w:bidi="ar"/>
              </w:rPr>
            </w:pPr>
            <w:r>
              <w:rPr>
                <w:rFonts w:hint="eastAsia" w:ascii="宋体" w:hAnsi="宋体" w:cs="宋体"/>
                <w:kern w:val="0"/>
                <w:sz w:val="24"/>
                <w:lang w:bidi="ar"/>
              </w:rPr>
              <w:t>联系人：康先生   联系电话：13066923970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60" w:lineRule="exact"/>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560" w:lineRule="exact"/>
              <w:rPr>
                <w:rFonts w:hint="default" w:ascii="宋体" w:hAnsi="宋体" w:cs="宋体"/>
                <w:kern w:val="0"/>
                <w:sz w:val="24"/>
              </w:rPr>
            </w:pPr>
            <w:r>
              <w:rPr>
                <w:rFonts w:hint="eastAsia" w:ascii="宋体" w:hAnsi="宋体" w:eastAsia="宋体" w:cs="宋体"/>
                <w:kern w:val="0"/>
                <w:sz w:val="24"/>
                <w:szCs w:val="24"/>
                <w:lang w:val="en-US" w:eastAsia="zh-CN" w:bidi="ar-SA"/>
              </w:rPr>
              <w:t>（1）</w:t>
            </w:r>
            <w:r>
              <w:rPr>
                <w:rFonts w:hint="default" w:ascii="宋体" w:hAnsi="宋体" w:cs="宋体"/>
                <w:b w:val="0"/>
                <w:bCs w:val="0"/>
                <w:kern w:val="0"/>
                <w:sz w:val="24"/>
                <w:lang w:val="en-US" w:eastAsia="zh-CN"/>
              </w:rPr>
              <w:t>具有独立承担民事责任能力的法人或其他组织（提供营业执照或事业单位法人证书等证明资料复印件或扫描件，原件备查。如果参与投标的供应商为分公司（或分所）则须提供分公司（或分所）营业执照</w:t>
            </w:r>
            <w:r>
              <w:rPr>
                <w:rFonts w:hint="eastAsia" w:ascii="宋体" w:hAnsi="宋体" w:cs="宋体"/>
                <w:kern w:val="0"/>
                <w:sz w:val="24"/>
                <w:lang w:val="en-US" w:eastAsia="zh-CN"/>
              </w:rPr>
              <w:t>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kern w:val="0"/>
                <w:sz w:val="24"/>
                <w:lang w:val="en-US" w:eastAsia="zh-CN"/>
              </w:rPr>
              <w:t>以上证明材料均需提供加盖投标人单位公章的复印件或扫描件，原件备查。</w:t>
            </w:r>
          </w:p>
          <w:p>
            <w:pPr>
              <w:spacing w:line="560" w:lineRule="exac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（由投标人在《政府采购投标及履约承诺函》中作出声明并加盖投标人单位公章）</w:t>
            </w:r>
            <w:r>
              <w:rPr>
                <w:rFonts w:hint="eastAsia" w:ascii="宋体" w:hAnsi="宋体" w:cs="宋体"/>
                <w:kern w:val="0"/>
                <w:sz w:val="24"/>
              </w:rPr>
              <w:t>；</w:t>
            </w:r>
          </w:p>
          <w:p>
            <w:pPr>
              <w:spacing w:line="560" w:lineRule="exact"/>
              <w:rPr>
                <w:rFonts w:hint="eastAsia" w:ascii="宋体" w:hAnsi="宋体" w:cs="宋体"/>
                <w:kern w:val="0"/>
                <w:sz w:val="24"/>
              </w:rPr>
            </w:pPr>
            <w:r>
              <w:rPr>
                <w:rFonts w:ascii="宋体" w:hAnsi="宋体" w:cs="宋体"/>
                <w:kern w:val="0"/>
                <w:sz w:val="24"/>
              </w:rPr>
              <w:t>（3）</w:t>
            </w:r>
            <w:r>
              <w:rPr>
                <w:rFonts w:hint="eastAsia" w:ascii="宋体" w:hAnsi="宋体" w:cs="宋体"/>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（由投标人在《政府采购投标及履约承诺函》中作出声明并加盖投标人单位公章）</w:t>
            </w:r>
            <w:r>
              <w:rPr>
                <w:rFonts w:hint="eastAsia" w:ascii="宋体" w:hAnsi="宋体" w:cs="宋体"/>
                <w:kern w:val="0"/>
                <w:sz w:val="24"/>
              </w:rPr>
              <w:t>；</w:t>
            </w:r>
          </w:p>
          <w:p>
            <w:pPr>
              <w:spacing w:line="560" w:lineRule="exact"/>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560" w:lineRule="exact"/>
              <w:rPr>
                <w:rFonts w:hint="eastAsia" w:ascii="宋体" w:hAnsi="宋体" w:cs="宋体"/>
                <w:kern w:val="0"/>
                <w:sz w:val="24"/>
              </w:rPr>
            </w:pPr>
            <w:r>
              <w:rPr>
                <w:rFonts w:hint="eastAsia" w:ascii="宋体" w:hAnsi="宋体" w:cs="宋体"/>
                <w:kern w:val="0"/>
                <w:sz w:val="24"/>
              </w:rPr>
              <w:t>（5）具备《中华人民共和国政府采购法》第二十二条第一款的条件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kern w:val="0"/>
                <w:sz w:val="24"/>
              </w:rPr>
              <w:t>；</w:t>
            </w:r>
          </w:p>
          <w:p>
            <w:pPr>
              <w:spacing w:line="560" w:lineRule="exact"/>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并提供《供应商基本情况表》加盖投标人公章</w:t>
            </w:r>
            <w:r>
              <w:rPr>
                <w:rFonts w:ascii="宋体" w:hAnsi="宋体" w:cs="宋体"/>
                <w:b/>
                <w:bCs/>
                <w:kern w:val="0"/>
                <w:sz w:val="24"/>
              </w:rPr>
              <w:t>）</w:t>
            </w:r>
            <w:r>
              <w:rPr>
                <w:rFonts w:ascii="宋体" w:hAnsi="宋体" w:cs="宋体"/>
                <w:kern w:val="0"/>
                <w:sz w:val="24"/>
              </w:rPr>
              <w:t>；</w:t>
            </w:r>
          </w:p>
          <w:p>
            <w:pPr>
              <w:spacing w:line="560" w:lineRule="exact"/>
              <w:rPr>
                <w:rFonts w:hint="eastAsia" w:ascii="宋体" w:hAnsi="宋体" w:cs="宋体"/>
                <w:kern w:val="0"/>
                <w:sz w:val="24"/>
              </w:rPr>
            </w:pPr>
            <w:r>
              <w:rPr>
                <w:rFonts w:hint="eastAsia" w:ascii="宋体" w:hAnsi="宋体" w:cs="宋体"/>
                <w:kern w:val="0"/>
                <w:sz w:val="24"/>
              </w:rPr>
              <w:t>（7）未被列入失信被执行人、重大税收违法失信主体、政府采购严重违法失信行为记录名单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kern w:val="0"/>
                <w:sz w:val="24"/>
              </w:rPr>
              <w:t>；</w:t>
            </w:r>
          </w:p>
          <w:p>
            <w:pPr>
              <w:spacing w:line="560" w:lineRule="exact"/>
              <w:rPr>
                <w:rFonts w:hint="eastAsia"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560" w:lineRule="exact"/>
              <w:rPr>
                <w:rFonts w:hint="eastAsia" w:ascii="宋体" w:hAnsi="宋体" w:cs="宋体"/>
                <w:kern w:val="0"/>
                <w:sz w:val="24"/>
              </w:rPr>
            </w:pPr>
            <w:r>
              <w:rPr>
                <w:rFonts w:hint="eastAsia" w:ascii="宋体" w:hAnsi="宋体" w:cs="宋体"/>
                <w:kern w:val="0"/>
                <w:sz w:val="24"/>
              </w:rPr>
              <w:t>（8）本项目不接受联合体投标、不允许非法分包、转包。</w:t>
            </w:r>
          </w:p>
          <w:p>
            <w:pPr>
              <w:spacing w:line="560" w:lineRule="exact"/>
            </w:pPr>
            <w:r>
              <w:rPr>
                <w:rFonts w:hint="eastAsia" w:ascii="宋体" w:hAnsi="宋体" w:cs="宋体"/>
                <w:kern w:val="0"/>
                <w:sz w:val="24"/>
              </w:rPr>
              <w:t>（9）本项目不专门面向中小企业采购。本项目所属行业为：</w:t>
            </w:r>
            <w:r>
              <w:rPr>
                <w:rFonts w:hint="eastAsia" w:ascii="宋体" w:hAnsi="宋体" w:cs="宋体"/>
                <w:kern w:val="0"/>
                <w:sz w:val="24"/>
                <w:u w:val="singl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60" w:lineRule="exact"/>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560" w:lineRule="exact"/>
              <w:rPr>
                <w:rFonts w:hint="eastAsia" w:ascii="宋体" w:hAnsi="宋体" w:cs="宋体"/>
                <w:sz w:val="24"/>
              </w:rPr>
            </w:pPr>
            <w:r>
              <w:rPr>
                <w:rFonts w:hint="eastAsia" w:ascii="宋体" w:hAnsi="宋体" w:cs="宋体"/>
                <w:sz w:val="24"/>
              </w:rPr>
              <w:t>本次投标为总价包干，投标报价总价作为中标人与采购人签订的合同金额。项目预算控制</w:t>
            </w:r>
            <w:r>
              <w:rPr>
                <w:rFonts w:hint="eastAsia" w:ascii="宋体" w:hAnsi="宋体" w:cs="宋体"/>
                <w:sz w:val="24"/>
                <w:lang w:eastAsia="zh-CN"/>
              </w:rPr>
              <w:t>60</w:t>
            </w:r>
            <w:r>
              <w:rPr>
                <w:rFonts w:hint="eastAsia" w:ascii="宋体" w:hAnsi="宋体" w:cs="宋体"/>
                <w:sz w:val="24"/>
              </w:rPr>
              <w:t>万元以内，投标人的报价不可高于预算（限价），否则投标人的投标文件视同无效。项目服务费包括调研费、中标服务费、各种资料费、税金、会议评审、差旅费等所有费用，并提供合同要求的成果文件，以及其它相关服务的全部费用。</w:t>
            </w:r>
          </w:p>
          <w:p>
            <w:pPr>
              <w:numPr>
                <w:ilvl w:val="0"/>
                <w:numId w:val="3"/>
              </w:numPr>
              <w:spacing w:line="560" w:lineRule="exact"/>
              <w:rPr>
                <w:rFonts w:hint="eastAsia"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560" w:lineRule="exact"/>
              <w:rPr>
                <w:rFonts w:hint="eastAsia"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560" w:lineRule="exact"/>
              <w:rPr>
                <w:rFonts w:hint="eastAsia"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560" w:lineRule="exact"/>
              <w:rPr>
                <w:rFonts w:hint="eastAsia" w:ascii="宋体" w:hAnsi="宋体" w:cs="宋体"/>
                <w:kern w:val="0"/>
                <w:sz w:val="24"/>
                <w:szCs w:val="20"/>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60" w:lineRule="exact"/>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560" w:lineRule="exact"/>
              <w:rPr>
                <w:rFonts w:hint="eastAsia" w:ascii="宋体" w:hAnsi="宋体" w:cs="宋体"/>
                <w:kern w:val="0"/>
                <w:sz w:val="24"/>
              </w:rPr>
            </w:pPr>
            <w:r>
              <w:rPr>
                <w:rFonts w:hint="eastAsia" w:ascii="宋体" w:hAnsi="宋体" w:cs="宋体"/>
                <w:kern w:val="0"/>
                <w:sz w:val="24"/>
              </w:rPr>
              <w:t>1.采购人信息：</w:t>
            </w:r>
          </w:p>
          <w:p>
            <w:pPr>
              <w:spacing w:line="560" w:lineRule="exact"/>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560" w:lineRule="exact"/>
              <w:rPr>
                <w:rFonts w:hint="eastAsia"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560" w:lineRule="exact"/>
              <w:rPr>
                <w:rFonts w:hint="eastAsia" w:ascii="宋体" w:hAnsi="宋体" w:cs="宋体"/>
                <w:kern w:val="0"/>
                <w:sz w:val="24"/>
              </w:rPr>
            </w:pPr>
            <w:r>
              <w:rPr>
                <w:rFonts w:hint="eastAsia" w:ascii="宋体" w:hAnsi="宋体" w:cs="宋体"/>
                <w:kern w:val="0"/>
                <w:sz w:val="24"/>
              </w:rPr>
              <w:t>联系人：康先生</w:t>
            </w:r>
          </w:p>
          <w:p>
            <w:pPr>
              <w:spacing w:line="560" w:lineRule="exact"/>
              <w:rPr>
                <w:rFonts w:hint="eastAsia" w:ascii="宋体" w:hAnsi="宋体" w:cs="宋体"/>
                <w:kern w:val="0"/>
                <w:sz w:val="24"/>
              </w:rPr>
            </w:pPr>
            <w:r>
              <w:rPr>
                <w:rFonts w:hint="eastAsia" w:ascii="宋体" w:hAnsi="宋体" w:cs="宋体"/>
                <w:kern w:val="0"/>
                <w:sz w:val="24"/>
              </w:rPr>
              <w:t>电  话：13066923970</w:t>
            </w:r>
          </w:p>
          <w:p>
            <w:pPr>
              <w:spacing w:line="560" w:lineRule="exact"/>
              <w:rPr>
                <w:rFonts w:hint="eastAsia" w:ascii="宋体" w:hAnsi="宋体" w:cs="宋体"/>
                <w:kern w:val="0"/>
                <w:sz w:val="24"/>
              </w:rPr>
            </w:pPr>
            <w:r>
              <w:rPr>
                <w:rFonts w:hint="eastAsia" w:ascii="宋体" w:hAnsi="宋体" w:cs="宋体"/>
                <w:kern w:val="0"/>
                <w:sz w:val="24"/>
              </w:rPr>
              <w:t>2.采购代理机构信息：</w:t>
            </w:r>
          </w:p>
          <w:p>
            <w:pPr>
              <w:spacing w:line="560" w:lineRule="exact"/>
              <w:rPr>
                <w:rFonts w:hint="eastAsia" w:ascii="宋体" w:hAnsi="宋体" w:cs="宋体"/>
                <w:kern w:val="0"/>
                <w:sz w:val="24"/>
              </w:rPr>
            </w:pPr>
            <w:r>
              <w:rPr>
                <w:rFonts w:hint="eastAsia" w:ascii="宋体" w:hAnsi="宋体" w:cs="宋体"/>
                <w:kern w:val="0"/>
                <w:sz w:val="24"/>
              </w:rPr>
              <w:t>名      称：深圳交易咨询集团有限公司</w:t>
            </w:r>
          </w:p>
          <w:p>
            <w:pPr>
              <w:spacing w:line="560" w:lineRule="exact"/>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560" w:lineRule="exact"/>
              <w:rPr>
                <w:rFonts w:hint="eastAsia" w:ascii="宋体" w:hAnsi="宋体" w:eastAsia="宋体" w:cs="宋体"/>
                <w:kern w:val="0"/>
                <w:sz w:val="24"/>
                <w:lang w:val="en-US" w:eastAsia="zh-CN"/>
              </w:rPr>
            </w:pPr>
            <w:r>
              <w:rPr>
                <w:rFonts w:hint="eastAsia" w:ascii="宋体" w:hAnsi="宋体" w:cs="宋体"/>
                <w:kern w:val="0"/>
                <w:sz w:val="24"/>
              </w:rPr>
              <w:t>联  系  人：曹茜、</w:t>
            </w:r>
            <w:r>
              <w:rPr>
                <w:rFonts w:hint="eastAsia" w:ascii="宋体" w:hAnsi="宋体" w:cs="宋体"/>
                <w:kern w:val="0"/>
                <w:sz w:val="24"/>
                <w:lang w:val="en-US" w:eastAsia="zh-CN"/>
              </w:rPr>
              <w:t>黎子帅</w:t>
            </w:r>
          </w:p>
          <w:p>
            <w:pPr>
              <w:spacing w:line="560" w:lineRule="exact"/>
              <w:rPr>
                <w:rFonts w:hint="eastAsia" w:ascii="宋体" w:hAnsi="宋体" w:cs="宋体"/>
                <w:kern w:val="0"/>
                <w:sz w:val="24"/>
              </w:rPr>
            </w:pPr>
            <w:r>
              <w:rPr>
                <w:rFonts w:hint="eastAsia" w:ascii="宋体" w:hAnsi="宋体" w:cs="宋体"/>
                <w:kern w:val="0"/>
                <w:sz w:val="24"/>
              </w:rPr>
              <w:t>电      话：18599127733、</w:t>
            </w:r>
            <w:r>
              <w:rPr>
                <w:rFonts w:hint="eastAsia" w:ascii="宋体" w:hAnsi="宋体" w:cs="宋体"/>
                <w:kern w:val="0"/>
                <w:sz w:val="24"/>
                <w:lang w:eastAsia="zh-CN"/>
              </w:rPr>
              <w:t>13018597667</w:t>
            </w:r>
          </w:p>
        </w:tc>
      </w:tr>
    </w:tbl>
    <w:p>
      <w:pPr>
        <w:adjustRightInd w:val="0"/>
        <w:snapToGrid w:val="0"/>
        <w:spacing w:line="560" w:lineRule="exact"/>
        <w:ind w:firstLine="480" w:firstLineChars="200"/>
        <w:jc w:val="right"/>
        <w:rPr>
          <w:rFonts w:hint="eastAsia" w:ascii="宋体" w:hAnsi="宋体" w:cs="宋体"/>
          <w:sz w:val="24"/>
        </w:rPr>
      </w:pPr>
    </w:p>
    <w:p>
      <w:pPr>
        <w:adjustRightInd w:val="0"/>
        <w:snapToGrid w:val="0"/>
        <w:spacing w:line="560" w:lineRule="exact"/>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560" w:lineRule="exact"/>
        <w:ind w:firstLine="480" w:firstLineChars="200"/>
        <w:jc w:val="right"/>
        <w:rPr>
          <w:rFonts w:hint="eastAsia" w:ascii="宋体" w:hAnsi="宋体" w:cs="宋体"/>
          <w:sz w:val="24"/>
          <w:highlight w:val="none"/>
        </w:rPr>
      </w:pPr>
      <w:r>
        <w:rPr>
          <w:rFonts w:hint="eastAsia" w:ascii="宋体" w:hAnsi="宋体" w:cs="宋体"/>
          <w:sz w:val="24"/>
          <w:highlight w:val="none"/>
        </w:rPr>
        <w:t>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p>
    <w:p>
      <w:pPr>
        <w:numPr>
          <w:ilvl w:val="0"/>
          <w:numId w:val="2"/>
        </w:numPr>
        <w:spacing w:line="560" w:lineRule="exact"/>
        <w:jc w:val="center"/>
        <w:outlineLvl w:val="0"/>
        <w:rPr>
          <w:rFonts w:hint="eastAsia" w:ascii="宋体" w:hAnsi="宋体" w:cs="宋体"/>
          <w:b/>
          <w:bCs/>
          <w:sz w:val="24"/>
        </w:rPr>
      </w:pPr>
      <w:r>
        <w:rPr>
          <w:rFonts w:hint="eastAsia" w:ascii="宋体" w:hAnsi="宋体" w:cs="宋体"/>
          <w:b/>
          <w:bCs/>
          <w:sz w:val="24"/>
          <w:highlight w:val="none"/>
        </w:rPr>
        <w:br w:type="page"/>
      </w:r>
      <w:r>
        <w:rPr>
          <w:rFonts w:hint="eastAsia" w:ascii="宋体" w:hAnsi="宋体" w:cs="宋体"/>
          <w:b/>
          <w:bCs/>
          <w:sz w:val="24"/>
        </w:rPr>
        <w:t xml:space="preserve"> </w:t>
      </w:r>
      <w:bookmarkStart w:id="8" w:name="_Toc16734"/>
      <w:r>
        <w:rPr>
          <w:rFonts w:hint="eastAsia" w:ascii="宋体" w:hAnsi="宋体" w:cs="宋体"/>
          <w:b/>
          <w:bCs/>
          <w:sz w:val="24"/>
        </w:rPr>
        <w:t>投标须知</w:t>
      </w:r>
      <w:bookmarkEnd w:id="8"/>
    </w:p>
    <w:p>
      <w:pPr>
        <w:spacing w:line="560" w:lineRule="exact"/>
        <w:ind w:firstLine="480" w:firstLineChars="200"/>
        <w:rPr>
          <w:rFonts w:hint="eastAsia" w:ascii="宋体" w:hAnsi="宋体" w:cs="宋体"/>
          <w:sz w:val="24"/>
        </w:rPr>
      </w:pPr>
      <w:r>
        <w:rPr>
          <w:rFonts w:hint="eastAsia" w:ascii="宋体" w:hAnsi="宋体" w:cs="宋体"/>
          <w:sz w:val="24"/>
        </w:rPr>
        <w:t>1、本项目是深圳市前海深港现代服务业合作区管理局的《前海打造具有全球竞争力的营商环境工作报告咨询项目》。</w:t>
      </w:r>
    </w:p>
    <w:p>
      <w:pPr>
        <w:spacing w:line="560" w:lineRule="exact"/>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w:t>
      </w:r>
    </w:p>
    <w:p>
      <w:pPr>
        <w:spacing w:line="560" w:lineRule="exact"/>
        <w:ind w:firstLine="482" w:firstLineChars="200"/>
        <w:rPr>
          <w:rFonts w:hint="eastAsia"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w:t>
      </w:r>
      <w:r>
        <w:rPr>
          <w:rFonts w:hint="eastAsia" w:ascii="宋体" w:hAnsi="宋体" w:cs="宋体"/>
          <w:b/>
          <w:bCs/>
          <w:sz w:val="24"/>
          <w:u w:val="none"/>
        </w:rPr>
        <w:t>报名且符合招标文件初审的供应商不足3家而导致招标失败的，应重新组织简易招标(公开征集)或转为其他采购方式采购。</w:t>
      </w:r>
    </w:p>
    <w:p>
      <w:pPr>
        <w:spacing w:line="560" w:lineRule="exact"/>
        <w:ind w:firstLine="482" w:firstLineChars="200"/>
        <w:rPr>
          <w:rFonts w:hint="eastAsia"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560" w:lineRule="exact"/>
        <w:ind w:firstLine="482" w:firstLineChars="200"/>
        <w:rPr>
          <w:rFonts w:hint="eastAsia" w:ascii="宋体" w:hAnsi="宋体" w:cs="宋体"/>
          <w:b/>
          <w:bCs/>
          <w:sz w:val="24"/>
        </w:rPr>
      </w:pPr>
      <w:r>
        <w:rPr>
          <w:rFonts w:hint="eastAsia" w:ascii="宋体" w:hAnsi="宋体" w:cs="宋体"/>
          <w:b/>
          <w:bCs/>
          <w:sz w:val="24"/>
        </w:rPr>
        <w:t>a.有效投标人为2家的，可在2家有效投标人中取得分最高者为中标供应商；</w:t>
      </w:r>
    </w:p>
    <w:p>
      <w:pPr>
        <w:spacing w:line="560" w:lineRule="exact"/>
        <w:ind w:firstLine="482" w:firstLineChars="200"/>
        <w:rPr>
          <w:rFonts w:hint="eastAsia" w:ascii="宋体" w:hAnsi="宋体" w:cs="宋体"/>
          <w:b/>
          <w:bCs/>
          <w:sz w:val="24"/>
          <w:u w:val="none"/>
        </w:rPr>
      </w:pPr>
      <w:r>
        <w:rPr>
          <w:rFonts w:hint="eastAsia" w:ascii="宋体" w:hAnsi="宋体" w:cs="宋体"/>
          <w:b/>
          <w:bCs/>
          <w:sz w:val="24"/>
          <w:u w:val="none"/>
        </w:rPr>
        <w:t>b.如参与投标且符合招标文件要求的供应商仅有1家，评审委员会应与投标供应商进行谈判，原则上成交价不超过最初报价的95%。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560" w:lineRule="exact"/>
        <w:ind w:firstLine="482" w:firstLineChars="200"/>
      </w:pPr>
      <w:r>
        <w:rPr>
          <w:rFonts w:hint="eastAsia" w:ascii="宋体" w:hAnsi="宋体" w:cs="宋体"/>
          <w:b/>
          <w:bCs/>
          <w:sz w:val="24"/>
        </w:rPr>
        <w:t>注：投标文件需根据目录内容编写页码，正本不得活页装订。</w:t>
      </w:r>
    </w:p>
    <w:p>
      <w:pPr>
        <w:spacing w:line="560" w:lineRule="exact"/>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560" w:lineRule="exact"/>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560" w:lineRule="exact"/>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after="78" w:afterLines="25" w:line="560" w:lineRule="exact"/>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after="78" w:afterLines="25" w:line="560" w:lineRule="exact"/>
        <w:ind w:firstLine="480" w:firstLineChars="200"/>
        <w:rPr>
          <w:rFonts w:hint="eastAsia" w:ascii="宋体" w:hAnsi="宋体" w:cs="宋体"/>
          <w:sz w:val="24"/>
        </w:rPr>
      </w:pPr>
      <w:r>
        <w:rPr>
          <w:rFonts w:hint="eastAsia" w:ascii="宋体" w:hAnsi="宋体" w:cs="宋体"/>
          <w:sz w:val="24"/>
        </w:rPr>
        <w:t>技术部分。</w:t>
      </w:r>
    </w:p>
    <w:p>
      <w:pPr>
        <w:snapToGrid w:val="0"/>
        <w:spacing w:line="560" w:lineRule="exact"/>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560" w:lineRule="exact"/>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560" w:lineRule="exact"/>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560" w:lineRule="exact"/>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560" w:lineRule="exact"/>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560" w:lineRule="exact"/>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560" w:lineRule="exact"/>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560" w:lineRule="exact"/>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5"/>
        </w:numPr>
        <w:snapToGrid w:val="0"/>
        <w:spacing w:line="560" w:lineRule="exact"/>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5"/>
        </w:numPr>
        <w:snapToGrid w:val="0"/>
        <w:spacing w:line="560" w:lineRule="exact"/>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560" w:lineRule="exact"/>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560" w:lineRule="exact"/>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560" w:lineRule="exact"/>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560" w:lineRule="exact"/>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560" w:lineRule="exact"/>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560" w:lineRule="exact"/>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560" w:lineRule="exact"/>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560" w:lineRule="exact"/>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560" w:lineRule="exact"/>
        <w:ind w:right="26"/>
        <w:jc w:val="left"/>
        <w:rPr>
          <w:rFonts w:hint="eastAsia" w:ascii="宋体" w:hAnsi="宋体" w:cs="宋体"/>
          <w:sz w:val="24"/>
        </w:rPr>
      </w:pPr>
    </w:p>
    <w:p>
      <w:pPr>
        <w:adjustRightInd w:val="0"/>
        <w:snapToGrid w:val="0"/>
        <w:spacing w:line="560" w:lineRule="exact"/>
        <w:ind w:right="26"/>
        <w:jc w:val="left"/>
        <w:rPr>
          <w:rFonts w:hint="eastAsia"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560" w:lineRule="exact"/>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560" w:lineRule="exact"/>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560" w:lineRule="exact"/>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560" w:lineRule="exact"/>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560" w:lineRule="exact"/>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560" w:lineRule="exact"/>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560" w:lineRule="exact"/>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560" w:lineRule="exact"/>
              <w:ind w:right="28"/>
              <w:jc w:val="center"/>
              <w:rPr>
                <w:rFonts w:hint="eastAsia" w:ascii="宋体" w:hAnsi="宋体" w:cs="宋体"/>
                <w:sz w:val="24"/>
              </w:rPr>
            </w:pPr>
            <w:r>
              <w:rPr>
                <w:rFonts w:hint="eastAsia" w:ascii="宋体" w:hAnsi="宋体" w:cs="宋体"/>
                <w:sz w:val="24"/>
              </w:rPr>
              <w:t>0.004%</w:t>
            </w:r>
          </w:p>
        </w:tc>
      </w:tr>
    </w:tbl>
    <w:p>
      <w:pPr>
        <w:spacing w:line="560" w:lineRule="exact"/>
        <w:rPr>
          <w:rFonts w:hint="eastAsia" w:ascii="宋体" w:hAnsi="宋体" w:cs="宋体"/>
          <w:sz w:val="24"/>
        </w:rPr>
      </w:pPr>
    </w:p>
    <w:p>
      <w:pPr>
        <w:spacing w:line="560" w:lineRule="exact"/>
        <w:rPr>
          <w:rFonts w:hint="eastAsia"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numPr>
          <w:ilvl w:val="0"/>
          <w:numId w:val="2"/>
        </w:numPr>
        <w:spacing w:line="560" w:lineRule="exact"/>
        <w:jc w:val="center"/>
        <w:outlineLvl w:val="0"/>
        <w:rPr>
          <w:rFonts w:hint="eastAsia"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7"/>
        </w:numPr>
        <w:spacing w:line="560" w:lineRule="exact"/>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560" w:lineRule="exact"/>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二、参加会议人员：项目负责代表、评审委员会成员、监督部门代表（如有）、采购代理机构代表。</w:t>
      </w:r>
    </w:p>
    <w:p>
      <w:pPr>
        <w:spacing w:line="560" w:lineRule="exact"/>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560" w:lineRule="exact"/>
        <w:ind w:firstLine="480" w:firstLineChars="200"/>
        <w:rPr>
          <w:rFonts w:hint="eastAsia" w:ascii="宋体" w:hAnsi="宋体" w:cs="宋体"/>
          <w:sz w:val="24"/>
          <w:highlight w:val="none"/>
        </w:rPr>
      </w:pPr>
      <w:r>
        <w:rPr>
          <w:rFonts w:hint="eastAsia" w:ascii="宋体" w:hAnsi="宋体" w:cs="宋体"/>
          <w:sz w:val="24"/>
        </w:rPr>
        <w:t>四、投标截止</w:t>
      </w:r>
      <w:r>
        <w:rPr>
          <w:rFonts w:hint="eastAsia" w:ascii="宋体" w:hAnsi="宋体" w:cs="宋体"/>
          <w:sz w:val="24"/>
          <w:highlight w:val="none"/>
        </w:rPr>
        <w:t>时间：2025年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日上午10:00时（北京时间）。</w:t>
      </w:r>
    </w:p>
    <w:p>
      <w:pPr>
        <w:spacing w:line="560" w:lineRule="exact"/>
        <w:ind w:firstLine="480" w:firstLineChars="200"/>
        <w:rPr>
          <w:rFonts w:hint="eastAsia" w:ascii="宋体" w:hAnsi="宋体" w:cs="宋体"/>
          <w:sz w:val="24"/>
        </w:rPr>
      </w:pPr>
      <w:r>
        <w:rPr>
          <w:rFonts w:hint="eastAsia" w:ascii="宋体" w:hAnsi="宋体" w:cs="宋体"/>
          <w:sz w:val="24"/>
          <w:highlight w:val="none"/>
        </w:rPr>
        <w:t>五、投标文件的递交。投标单位应将投标文件正本和副</w:t>
      </w:r>
      <w:r>
        <w:rPr>
          <w:rFonts w:hint="eastAsia" w:ascii="宋体" w:hAnsi="宋体" w:cs="宋体"/>
          <w:sz w:val="24"/>
        </w:rPr>
        <w:t>本密封，并标明项目编号、招标项目名称及“正本”或“副本”，采购单位业务处室工作人员接收投标单位递交的投标文件，投标单</w:t>
      </w:r>
      <w:r>
        <w:rPr>
          <w:rFonts w:hint="eastAsia" w:ascii="宋体" w:hAnsi="宋体" w:cs="宋体"/>
          <w:sz w:val="24"/>
          <w:highlight w:val="none"/>
        </w:rPr>
        <w:t>位应在2025年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日上午10:00时（北京时间）前送达（现场递交或邮寄至前海大厦T1栋2108室）。截标后不再接收任何投</w:t>
      </w:r>
      <w:r>
        <w:rPr>
          <w:rFonts w:hint="eastAsia" w:ascii="宋体" w:hAnsi="宋体" w:cs="宋体"/>
          <w:sz w:val="24"/>
        </w:rPr>
        <w:t>标文件。</w:t>
      </w:r>
    </w:p>
    <w:p>
      <w:pPr>
        <w:spacing w:line="560" w:lineRule="exact"/>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560" w:lineRule="exact"/>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560" w:lineRule="exact"/>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560" w:lineRule="exact"/>
        <w:rPr>
          <w:rFonts w:hint="eastAsia" w:ascii="宋体" w:hAnsi="宋体" w:cs="宋体"/>
          <w:sz w:val="24"/>
        </w:rPr>
      </w:pPr>
    </w:p>
    <w:p>
      <w:pPr>
        <w:widowControl/>
        <w:spacing w:line="560" w:lineRule="exact"/>
        <w:jc w:val="left"/>
        <w:rPr>
          <w:rFonts w:hint="eastAsia" w:ascii="宋体" w:hAnsi="宋体" w:cs="宋体"/>
          <w:sz w:val="24"/>
        </w:rPr>
      </w:pPr>
      <w:r>
        <w:rPr>
          <w:rFonts w:ascii="宋体" w:hAnsi="宋体" w:cs="宋体"/>
          <w:sz w:val="24"/>
        </w:rPr>
        <w:br w:type="page"/>
      </w:r>
    </w:p>
    <w:p>
      <w:pPr>
        <w:spacing w:line="560" w:lineRule="exact"/>
        <w:rPr>
          <w:rFonts w:hint="eastAsia" w:ascii="宋体" w:hAnsi="宋体" w:cs="宋体"/>
          <w:sz w:val="24"/>
        </w:rPr>
      </w:pPr>
    </w:p>
    <w:p>
      <w:pPr>
        <w:numPr>
          <w:ilvl w:val="0"/>
          <w:numId w:val="2"/>
        </w:numPr>
        <w:spacing w:line="560" w:lineRule="exact"/>
        <w:jc w:val="center"/>
        <w:outlineLvl w:val="0"/>
        <w:rPr>
          <w:rFonts w:hint="eastAsia"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560" w:lineRule="exact"/>
        <w:ind w:firstLine="470" w:firstLineChars="196"/>
        <w:jc w:val="center"/>
        <w:rPr>
          <w:rFonts w:hint="eastAsia" w:ascii="宋体" w:hAnsi="宋体" w:cs="宋体"/>
          <w:sz w:val="24"/>
        </w:rPr>
      </w:pPr>
      <w:bookmarkStart w:id="11" w:name="_Toc73517685"/>
      <w:bookmarkStart w:id="12" w:name="_Toc73518163"/>
      <w:bookmarkStart w:id="13" w:name="_Toc100052414"/>
      <w:bookmarkStart w:id="14" w:name="_Toc73521680"/>
      <w:bookmarkStart w:id="15" w:name="_Toc84303603"/>
      <w:bookmarkStart w:id="16" w:name="_Toc101074886"/>
      <w:bookmarkStart w:id="17" w:name="_Toc73521592"/>
    </w:p>
    <w:bookmarkEnd w:id="11"/>
    <w:bookmarkEnd w:id="12"/>
    <w:bookmarkEnd w:id="13"/>
    <w:bookmarkEnd w:id="14"/>
    <w:bookmarkEnd w:id="15"/>
    <w:bookmarkEnd w:id="16"/>
    <w:bookmarkEnd w:id="17"/>
    <w:p>
      <w:pPr>
        <w:spacing w:line="560" w:lineRule="exact"/>
        <w:ind w:firstLine="470" w:firstLineChars="196"/>
        <w:rPr>
          <w:rFonts w:hint="eastAsia" w:ascii="宋体" w:hAnsi="宋体" w:cs="宋体"/>
          <w:sz w:val="24"/>
        </w:rPr>
      </w:pPr>
    </w:p>
    <w:p>
      <w:pPr>
        <w:pStyle w:val="29"/>
        <w:spacing w:line="560" w:lineRule="exact"/>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29"/>
        <w:spacing w:line="560" w:lineRule="exact"/>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29"/>
        <w:spacing w:line="560" w:lineRule="exact"/>
        <w:ind w:left="1470" w:right="1470" w:firstLine="482"/>
        <w:jc w:val="center"/>
        <w:rPr>
          <w:rFonts w:hint="eastAsia" w:ascii="宋体" w:hAnsi="宋体" w:cs="宋体"/>
          <w:b/>
          <w:sz w:val="24"/>
          <w:szCs w:val="24"/>
        </w:rPr>
      </w:pPr>
    </w:p>
    <w:p>
      <w:pPr>
        <w:pStyle w:val="29"/>
        <w:spacing w:line="560" w:lineRule="exact"/>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9"/>
        <w:spacing w:line="560" w:lineRule="exact"/>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9"/>
        <w:spacing w:line="560" w:lineRule="exact"/>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560" w:lineRule="exact"/>
        <w:jc w:val="center"/>
        <w:rPr>
          <w:rFonts w:hint="eastAsia" w:ascii="宋体" w:hAnsi="宋体" w:cs="宋体"/>
          <w:b/>
          <w:sz w:val="28"/>
          <w:szCs w:val="28"/>
        </w:rPr>
      </w:pPr>
      <w:r>
        <w:rPr>
          <w:rFonts w:hint="eastAsia" w:ascii="宋体" w:hAnsi="宋体" w:cs="宋体"/>
          <w:b/>
          <w:sz w:val="28"/>
          <w:szCs w:val="28"/>
        </w:rPr>
        <w:t>前海打造具有全球竞争力的营商环境工作报告咨询项目</w:t>
      </w:r>
    </w:p>
    <w:p>
      <w:pPr>
        <w:spacing w:line="560" w:lineRule="exact"/>
        <w:jc w:val="center"/>
        <w:rPr>
          <w:rFonts w:hint="eastAsia" w:ascii="宋体" w:hAnsi="宋体" w:cs="宋体"/>
          <w:b/>
          <w:sz w:val="28"/>
          <w:szCs w:val="28"/>
        </w:rPr>
      </w:pPr>
      <w:r>
        <w:rPr>
          <w:rFonts w:hint="eastAsia" w:ascii="宋体" w:hAnsi="宋体" w:cs="宋体"/>
          <w:b/>
          <w:sz w:val="28"/>
          <w:szCs w:val="28"/>
        </w:rPr>
        <w:t>委托合同</w:t>
      </w:r>
    </w:p>
    <w:p>
      <w:pPr>
        <w:spacing w:line="560" w:lineRule="exact"/>
        <w:rPr>
          <w:rFonts w:hint="eastAsia" w:ascii="宋体" w:hAnsi="宋体" w:cs="宋体"/>
          <w:sz w:val="24"/>
        </w:rPr>
      </w:pPr>
      <w:r>
        <w:rPr>
          <w:rFonts w:hint="eastAsia" w:ascii="宋体" w:hAnsi="宋体" w:cs="宋体"/>
          <w:sz w:val="24"/>
        </w:rPr>
        <w:t xml:space="preserve"> </w:t>
      </w:r>
    </w:p>
    <w:p>
      <w:pPr>
        <w:pStyle w:val="29"/>
        <w:spacing w:line="560" w:lineRule="exact"/>
        <w:ind w:right="1470" w:firstLine="482"/>
        <w:rPr>
          <w:rFonts w:hint="eastAsia" w:ascii="宋体" w:hAnsi="宋体" w:cs="宋体"/>
          <w:b/>
          <w:sz w:val="24"/>
        </w:rPr>
      </w:pPr>
    </w:p>
    <w:p>
      <w:pPr>
        <w:spacing w:line="560" w:lineRule="exact"/>
        <w:jc w:val="center"/>
        <w:rPr>
          <w:rFonts w:hint="eastAsia" w:ascii="宋体" w:hAnsi="宋体" w:cs="宋体"/>
          <w:b/>
          <w:sz w:val="24"/>
        </w:rPr>
      </w:pPr>
      <w:r>
        <w:rPr>
          <w:rFonts w:hint="eastAsia" w:ascii="宋体" w:hAnsi="宋体" w:cs="宋体"/>
          <w:b/>
          <w:sz w:val="24"/>
        </w:rPr>
        <w:t xml:space="preserve"> </w:t>
      </w:r>
    </w:p>
    <w:p>
      <w:pPr>
        <w:spacing w:line="560" w:lineRule="exact"/>
        <w:jc w:val="center"/>
        <w:rPr>
          <w:rFonts w:hint="eastAsia" w:ascii="宋体" w:hAnsi="宋体" w:cs="宋体"/>
          <w:b/>
          <w:sz w:val="24"/>
        </w:rPr>
      </w:pPr>
      <w:r>
        <w:rPr>
          <w:rFonts w:hint="eastAsia" w:ascii="宋体" w:hAnsi="宋体" w:cs="宋体"/>
          <w:b/>
          <w:sz w:val="24"/>
        </w:rPr>
        <w:t xml:space="preserve"> </w:t>
      </w:r>
    </w:p>
    <w:p>
      <w:pPr>
        <w:spacing w:line="560" w:lineRule="exact"/>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bCs/>
          <w:sz w:val="24"/>
          <w:u w:val="single"/>
        </w:rPr>
        <w:t xml:space="preserve">   前海打造具有全球竞争力的营商环境工作报告咨询项目       </w:t>
      </w:r>
    </w:p>
    <w:p>
      <w:pPr>
        <w:spacing w:line="560" w:lineRule="exact"/>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560" w:lineRule="exact"/>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560" w:lineRule="exact"/>
        <w:jc w:val="center"/>
        <w:rPr>
          <w:rFonts w:hint="eastAsia" w:ascii="宋体" w:hAnsi="宋体" w:cs="宋体"/>
          <w:sz w:val="24"/>
        </w:rPr>
      </w:pPr>
      <w:r>
        <w:rPr>
          <w:rFonts w:hint="eastAsia" w:ascii="宋体" w:hAnsi="宋体" w:cs="宋体"/>
          <w:b/>
          <w:sz w:val="24"/>
        </w:rPr>
        <w:t xml:space="preserve"> </w:t>
      </w:r>
    </w:p>
    <w:p>
      <w:pPr>
        <w:spacing w:line="560" w:lineRule="exact"/>
        <w:jc w:val="center"/>
        <w:rPr>
          <w:rFonts w:hint="eastAsia" w:ascii="宋体" w:hAnsi="宋体" w:cs="宋体"/>
          <w:sz w:val="24"/>
        </w:rPr>
      </w:pPr>
      <w:r>
        <w:rPr>
          <w:rFonts w:hint="eastAsia" w:ascii="宋体" w:hAnsi="宋体" w:cs="宋体"/>
          <w:sz w:val="24"/>
        </w:rPr>
        <w:t>二〇二五年  月</w:t>
      </w:r>
    </w:p>
    <w:p>
      <w:pPr>
        <w:spacing w:line="560" w:lineRule="exact"/>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560" w:lineRule="exact"/>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560" w:lineRule="exact"/>
        <w:rPr>
          <w:rFonts w:hint="eastAsia" w:ascii="宋体" w:hAnsi="宋体" w:cs="宋体"/>
          <w:b/>
          <w:bCs/>
          <w:sz w:val="24"/>
        </w:rPr>
      </w:pPr>
      <w:r>
        <w:rPr>
          <w:rFonts w:hint="eastAsia" w:ascii="宋体" w:hAnsi="宋体" w:cs="宋体"/>
          <w:b/>
          <w:bCs/>
          <w:sz w:val="24"/>
        </w:rPr>
        <w:t xml:space="preserve">法定代表人： </w:t>
      </w:r>
    </w:p>
    <w:p>
      <w:pPr>
        <w:pStyle w:val="11"/>
        <w:spacing w:line="560" w:lineRule="exact"/>
        <w:rPr>
          <w:color w:val="auto"/>
        </w:rPr>
      </w:pPr>
      <w:r>
        <w:rPr>
          <w:rFonts w:hint="eastAsia"/>
          <w:color w:val="auto"/>
        </w:rPr>
        <w:t>联系人：</w:t>
      </w:r>
    </w:p>
    <w:p>
      <w:pPr>
        <w:pStyle w:val="11"/>
        <w:spacing w:line="560" w:lineRule="exact"/>
        <w:rPr>
          <w:color w:val="auto"/>
        </w:rPr>
      </w:pPr>
      <w:r>
        <w:rPr>
          <w:rFonts w:hint="eastAsia"/>
          <w:color w:val="auto"/>
        </w:rPr>
        <w:t>联系方式：</w:t>
      </w:r>
    </w:p>
    <w:p>
      <w:pPr>
        <w:spacing w:line="560" w:lineRule="exact"/>
        <w:rPr>
          <w:rFonts w:hint="eastAsia" w:ascii="宋体" w:hAnsi="宋体" w:cs="宋体"/>
          <w:b/>
          <w:bCs/>
          <w:sz w:val="24"/>
        </w:rPr>
      </w:pPr>
      <w:r>
        <w:rPr>
          <w:rFonts w:hint="eastAsia" w:ascii="宋体" w:hAnsi="宋体" w:cs="宋体"/>
          <w:b/>
          <w:bCs/>
          <w:sz w:val="24"/>
        </w:rPr>
        <w:t xml:space="preserve"> </w:t>
      </w:r>
    </w:p>
    <w:p>
      <w:pPr>
        <w:spacing w:line="560" w:lineRule="exact"/>
        <w:rPr>
          <w:rFonts w:hint="eastAsia" w:ascii="宋体" w:hAnsi="宋体" w:cs="宋体"/>
          <w:b/>
          <w:bCs/>
          <w:sz w:val="24"/>
        </w:rPr>
      </w:pPr>
      <w:r>
        <w:rPr>
          <w:rFonts w:hint="eastAsia" w:ascii="宋体" w:hAnsi="宋体" w:cs="宋体"/>
          <w:b/>
          <w:bCs/>
          <w:sz w:val="24"/>
        </w:rPr>
        <w:t>乙方：</w:t>
      </w:r>
    </w:p>
    <w:p>
      <w:pPr>
        <w:spacing w:line="560" w:lineRule="exact"/>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560" w:lineRule="exact"/>
        <w:rPr>
          <w:rFonts w:hint="eastAsia" w:ascii="宋体" w:hAnsi="宋体" w:cs="宋体"/>
          <w:b/>
          <w:bCs/>
          <w:sz w:val="24"/>
        </w:rPr>
      </w:pPr>
      <w:r>
        <w:rPr>
          <w:rFonts w:hint="eastAsia" w:ascii="宋体" w:hAnsi="宋体" w:cs="宋体"/>
          <w:b/>
          <w:bCs/>
          <w:sz w:val="24"/>
        </w:rPr>
        <w:t>地址：</w:t>
      </w:r>
    </w:p>
    <w:p>
      <w:pPr>
        <w:spacing w:line="560" w:lineRule="exact"/>
        <w:rPr>
          <w:rFonts w:hint="eastAsia" w:ascii="宋体" w:hAnsi="宋体" w:cs="宋体"/>
          <w:b/>
          <w:bCs/>
          <w:sz w:val="24"/>
        </w:rPr>
      </w:pPr>
      <w:r>
        <w:rPr>
          <w:rFonts w:hint="eastAsia" w:ascii="宋体" w:hAnsi="宋体" w:cs="宋体"/>
          <w:b/>
          <w:bCs/>
          <w:sz w:val="24"/>
        </w:rPr>
        <w:t>法定代表人：</w:t>
      </w:r>
    </w:p>
    <w:p>
      <w:pPr>
        <w:pStyle w:val="11"/>
        <w:spacing w:line="560" w:lineRule="exact"/>
        <w:rPr>
          <w:color w:val="auto"/>
        </w:rPr>
      </w:pPr>
      <w:r>
        <w:rPr>
          <w:rFonts w:hint="eastAsia"/>
          <w:color w:val="auto"/>
        </w:rPr>
        <w:t>联系人：</w:t>
      </w:r>
    </w:p>
    <w:p>
      <w:pPr>
        <w:pStyle w:val="11"/>
        <w:spacing w:line="560" w:lineRule="exact"/>
        <w:rPr>
          <w:color w:val="auto"/>
        </w:rPr>
      </w:pPr>
      <w:r>
        <w:rPr>
          <w:rFonts w:hint="eastAsia"/>
          <w:color w:val="auto"/>
        </w:rPr>
        <w:t>联系方式：</w:t>
      </w:r>
    </w:p>
    <w:p>
      <w:pPr>
        <w:spacing w:line="560" w:lineRule="exact"/>
        <w:rPr>
          <w:rFonts w:hint="eastAsia" w:ascii="宋体" w:hAnsi="宋体" w:cs="宋体"/>
          <w:b/>
          <w:bCs/>
          <w:sz w:val="24"/>
        </w:rPr>
      </w:pPr>
      <w:r>
        <w:rPr>
          <w:rFonts w:hint="eastAsia" w:ascii="宋体" w:hAnsi="宋体" w:cs="宋体"/>
          <w:b/>
          <w:bCs/>
          <w:sz w:val="24"/>
        </w:rPr>
        <w:t xml:space="preserve"> </w:t>
      </w:r>
    </w:p>
    <w:p>
      <w:pPr>
        <w:spacing w:line="560" w:lineRule="exact"/>
        <w:ind w:firstLine="480" w:firstLineChars="200"/>
        <w:rPr>
          <w:rFonts w:hint="eastAsia" w:ascii="宋体" w:hAnsi="宋体" w:cs="宋体"/>
          <w:sz w:val="24"/>
        </w:rPr>
      </w:pPr>
      <w:r>
        <w:rPr>
          <w:rFonts w:hint="eastAsia" w:ascii="宋体" w:hAnsi="宋体" w:cs="宋体"/>
          <w:sz w:val="24"/>
        </w:rPr>
        <w:t>以下甲方和乙方合称“双方”。</w:t>
      </w:r>
    </w:p>
    <w:p>
      <w:pPr>
        <w:spacing w:line="560" w:lineRule="exact"/>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   】招标项目的中标结果，由【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kern w:val="0"/>
          <w:sz w:val="24"/>
          <w:u w:val="single"/>
        </w:rPr>
        <w:t>前海打造具有全球竞争力的营商环境工作报告咨询项目（以下简称本项目）</w:t>
      </w:r>
      <w:r>
        <w:rPr>
          <w:rFonts w:hint="eastAsia" w:ascii="宋体" w:hAnsi="宋体" w:cs="宋体"/>
          <w:sz w:val="24"/>
        </w:rPr>
        <w:t>，达成以下合同条款：</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hint="eastAsia" w:ascii="宋体" w:hAnsi="宋体" w:cs="宋体"/>
          <w:sz w:val="24"/>
        </w:rPr>
      </w:pPr>
      <w:r>
        <w:rPr>
          <w:rFonts w:hint="eastAsia" w:ascii="宋体" w:hAnsi="宋体" w:cs="宋体"/>
          <w:sz w:val="24"/>
        </w:rPr>
        <w:t>项目名称：前海打造具有全球竞争力的营商环境工作报告咨询项目</w:t>
      </w:r>
    </w:p>
    <w:p>
      <w:pPr>
        <w:numPr>
          <w:ilvl w:val="0"/>
          <w:numId w:val="8"/>
        </w:numPr>
        <w:spacing w:line="360" w:lineRule="auto"/>
        <w:ind w:firstLine="480" w:firstLineChars="200"/>
        <w:outlineLvl w:val="2"/>
        <w:rPr>
          <w:rFonts w:hint="eastAsia" w:ascii="宋体" w:hAnsi="宋体" w:cs="宋体"/>
          <w:sz w:val="24"/>
        </w:rPr>
      </w:pPr>
      <w:r>
        <w:rPr>
          <w:rFonts w:hint="eastAsia" w:ascii="宋体" w:hAnsi="宋体" w:cs="宋体"/>
          <w:sz w:val="24"/>
        </w:rPr>
        <w:t>工作内容</w:t>
      </w:r>
    </w:p>
    <w:p>
      <w:pPr>
        <w:spacing w:line="360" w:lineRule="auto"/>
        <w:ind w:firstLine="420" w:firstLineChars="200"/>
        <w:rPr>
          <w:rFonts w:hint="eastAsia" w:ascii="宋体" w:hAnsi="宋体" w:cs="宋体"/>
          <w:bCs/>
          <w:sz w:val="24"/>
        </w:rPr>
      </w:pPr>
      <w:r>
        <w:rPr>
          <w:rFonts w:hint="eastAsia"/>
        </w:rPr>
        <w:t xml:space="preserve"> </w:t>
      </w:r>
      <w:r>
        <w:rPr>
          <w:rFonts w:hint="eastAsia" w:ascii="宋体" w:hAnsi="宋体" w:cs="宋体"/>
          <w:bCs/>
          <w:sz w:val="24"/>
        </w:rPr>
        <w:t>本合同服务内容包括主要服务于拟定前海打造具有全球竞争力的营商环境工作报告（名称以最终审定为准），为拟定相关报告，具体服务内容包括但不限于形成一份调研报告、一套评估体系和评估结论和一场成果发布，具体如下：</w:t>
      </w:r>
    </w:p>
    <w:p>
      <w:pPr>
        <w:spacing w:line="360" w:lineRule="auto"/>
        <w:ind w:firstLine="480" w:firstLineChars="200"/>
        <w:rPr>
          <w:rFonts w:hint="eastAsia" w:ascii="宋体" w:hAnsi="宋体" w:cs="宋体"/>
          <w:sz w:val="24"/>
        </w:rPr>
      </w:pPr>
      <w:r>
        <w:rPr>
          <w:rFonts w:hint="eastAsia" w:ascii="宋体" w:hAnsi="宋体" w:cs="宋体"/>
          <w:sz w:val="24"/>
        </w:rPr>
        <w:t>1.1采取对接沟通、座谈会、专题访谈等多种方式，协助对前海营商环境建设情况开展多层面、多主体的扎实摸底调研，形成前海营商环境调研报告。主要内容包括：一是与代表性企业、专家、商协会等开展座谈交流，理清当前前海营商环境建设的问题、企业发展堵点卡点和企业需求。二是与局内相关处室沟通交流，深度了解前海营商环境建设各项工作任务推进现状、主要问题和未来发展谋划。三是协助与深圳市、南山区、宝安区等参与营商环境建设的相关职能部门开展座谈交流或专题访谈，收集关于前海合作区营商环境优化提升的下一步工作建议。</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1.2借鉴世界银行新标准，构建前海特色营商环境评价指标体系，全面开展前海营商环境评估，形成前海营商环境评估报告。主要内容包括：一是构建评估体系。借鉴世界银行全球营商环境评价新标准，参照国家、省、市优化营商环境工作最新要求，结合前海合作区自身实际与特色，以企业全生命周期发展需求为主线，构建前海合作区营商环境评估体系。二是开展评估工作。按照评估体系开展各层级、各细项指标的定性定量评估工作，形成单指标评估结果、多指标综合评估结果和前海营商环境评估的总体结论。三是指标对比分析。与世界其他经济体的总体评估、综合评估结果进行比较、排名，判断前海作为独立经济体在全球主要经济体中的排名，并通过可量化单指标评估结果的对比，明确前海营商环境建设的优势和弱项。四是结合前期调研和评估结论，综合分析前海营商环境建设的现状、成绩、问题及与先进地区营商环境建设的差距，协助形成前海营商环境优化的行动方案</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撰写前海营商环境发展成果发布报告，经审定后公开发布。主要内容包括：一是结合前期工作情况撰写前海合作区营商环境建设成果报告（形式包括但不限于蓝皮书等），对《前海方案》《前海规划》提出的“到2025年初步形成具有全球竞争力的营商环境”的目标完成情况进行评价。二是前海合作区营商环境建设成果报告经审议后，通过成果发布会或网上公布等方式，择时公开对外发布，输出“前海经验”，形成示范效应，进一步吸引国内外企业集聚前海投资发展。</w:t>
      </w:r>
    </w:p>
    <w:p>
      <w:pPr>
        <w:spacing w:line="360" w:lineRule="auto"/>
        <w:ind w:firstLine="480" w:firstLineChars="200"/>
        <w:outlineLvl w:val="2"/>
        <w:rPr>
          <w:rFonts w:hint="eastAsia" w:ascii="宋体" w:hAnsi="宋体" w:cs="宋体"/>
          <w:bCs/>
          <w:sz w:val="24"/>
        </w:rPr>
      </w:pPr>
      <w:r>
        <w:rPr>
          <w:rFonts w:hint="eastAsia" w:ascii="宋体" w:hAnsi="宋体" w:cs="宋体"/>
          <w:bCs/>
          <w:sz w:val="24"/>
        </w:rPr>
        <w:t>2</w:t>
      </w:r>
      <w:r>
        <w:rPr>
          <w:rFonts w:hint="eastAsia" w:ascii="宋体" w:hAnsi="宋体" w:cs="宋体"/>
          <w:sz w:val="24"/>
        </w:rPr>
        <w:t>、</w:t>
      </w:r>
      <w:r>
        <w:rPr>
          <w:rFonts w:hint="eastAsia" w:ascii="宋体" w:hAnsi="宋体" w:cs="宋体"/>
          <w:bCs/>
          <w:sz w:val="24"/>
        </w:rPr>
        <w:t>服务要求</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2.1</w:t>
      </w:r>
      <w:r>
        <w:rPr>
          <w:rFonts w:hint="eastAsia" w:ascii="宋体" w:hAnsi="宋体" w:cs="宋体"/>
          <w:sz w:val="24"/>
        </w:rPr>
        <w:t>、</w:t>
      </w:r>
      <w:r>
        <w:rPr>
          <w:rFonts w:hint="eastAsia" w:ascii="宋体" w:hAnsi="宋体" w:cs="宋体"/>
          <w:bCs/>
          <w:sz w:val="24"/>
        </w:rPr>
        <w:t>评估要求</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（1）委办局访谈：通过组织线上或线下部门及机构座谈会，由各部门提供创新做法、政策文件、典型案例等材料，并通过企业调研问卷和第三方调研和专家咨询进行核验。</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（2）企业问卷调查：通过对主要产业方向市场主体随机抽样，回收问卷进行数据清洗、梳理统计、计算分析，导出市场主体满意度评价。</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（3）数据采集：对于反映总体成效的指标（如手续、时间、环节、成本、便利度等纳入市级、区级大数据平台的数据，进行数据采集。</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（4）专家咨询：甄选法律、税务、人力、贸易、银行等行业专家，通过调研问卷及咨询，获取相关数据并进行数据核验。</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2.2</w:t>
      </w:r>
      <w:r>
        <w:rPr>
          <w:rFonts w:hint="eastAsia" w:ascii="宋体" w:hAnsi="宋体" w:cs="宋体"/>
          <w:sz w:val="24"/>
        </w:rPr>
        <w:t>、</w:t>
      </w:r>
      <w:r>
        <w:rPr>
          <w:rFonts w:hint="eastAsia" w:ascii="宋体" w:hAnsi="宋体" w:cs="宋体"/>
          <w:bCs/>
          <w:sz w:val="24"/>
        </w:rPr>
        <w:t>营商环境保障服务</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为更好服务前海优化营商环境，理解评估指标内涵、未来营商环境评价趋势、改革创新方向，需对</w:t>
      </w:r>
      <w:r>
        <w:rPr>
          <w:rFonts w:hint="eastAsia" w:ascii="宋体" w:hAnsi="宋体" w:cs="宋体"/>
          <w:bCs/>
          <w:sz w:val="24"/>
          <w:lang w:eastAsia="zh-CN"/>
        </w:rPr>
        <w:t>涉及</w:t>
      </w:r>
      <w:r>
        <w:rPr>
          <w:rFonts w:hint="eastAsia" w:ascii="宋体" w:hAnsi="宋体" w:cs="宋体"/>
          <w:bCs/>
          <w:sz w:val="24"/>
        </w:rPr>
        <w:t>工作落实任务的各委办局进行任务目标解读、答疑、指导工作，保障任务落实中，与各委办局及时互动，清晰目标，信息同步，主要内容包括：</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（1）对本次前海评估体系指标进行解读工作。重点对本次评估</w:t>
      </w:r>
      <w:r>
        <w:rPr>
          <w:rFonts w:hint="eastAsia" w:ascii="宋体" w:hAnsi="宋体" w:cs="宋体"/>
          <w:bCs/>
          <w:sz w:val="24"/>
          <w:lang w:eastAsia="zh-CN"/>
        </w:rPr>
        <w:t>涉及</w:t>
      </w:r>
      <w:r>
        <w:rPr>
          <w:rFonts w:hint="eastAsia" w:ascii="宋体" w:hAnsi="宋体" w:cs="宋体"/>
          <w:bCs/>
          <w:sz w:val="24"/>
        </w:rPr>
        <w:t>的各项指标从方法逻辑、内涵和反馈出来的问题进行讲解，帮助相关委办局深刻理解指标评估背后的指向意义。</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（2）对世行营商环境评估新体系进行指导工作。解读世行营商环境评估新体系在评估理念、评估角度、评估范围、评估方法上的新变化趋势，帮助前海理解世行未来几年新的评测改革方向和关注重点。</w:t>
      </w:r>
    </w:p>
    <w:p>
      <w:pPr>
        <w:spacing w:line="360" w:lineRule="auto"/>
        <w:ind w:firstLine="480" w:firstLineChars="200"/>
        <w:rPr>
          <w:rFonts w:hint="eastAsia" w:ascii="宋体" w:hAnsi="宋体" w:cs="宋体"/>
          <w:bCs/>
          <w:sz w:val="24"/>
        </w:rPr>
      </w:pPr>
      <w:r>
        <w:rPr>
          <w:rFonts w:hint="eastAsia" w:ascii="宋体" w:hAnsi="宋体" w:cs="宋体"/>
          <w:bCs/>
          <w:sz w:val="24"/>
        </w:rPr>
        <w:t>（3）对改革创新内容进行解读工作。针对研究整理出的未来改革创新突破亮点，进行指导，帮助相关委办局深刻理解下一阶段改革任务的重点和核心方向，助力形成新的一批创新方法和案例。</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4）结合前期工作情况撰写前海合作区营商环境建设成果报告（形式包括但不限于蓝皮书等），对《前海方案》《前海规划》提出的“到2025年初步形成具有全球竞争力的营商环境”的目标完成情况进行评价。通过成果发布会或网上公布等方式，择时公开对外发布，输出“前海经验”，形成示范效应，进一步吸引国内外企业集聚前海投资发展。</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第二条  服务期限及</w:t>
      </w:r>
      <w:r>
        <w:rPr>
          <w:rFonts w:hint="eastAsia" w:ascii="宋体" w:hAnsi="宋体" w:cs="宋体"/>
          <w:b/>
          <w:sz w:val="24"/>
        </w:rPr>
        <w:t>项目进度安排</w:t>
      </w:r>
    </w:p>
    <w:p>
      <w:pPr>
        <w:widowControl/>
        <w:spacing w:line="360" w:lineRule="auto"/>
        <w:ind w:firstLine="480" w:firstLineChars="200"/>
        <w:outlineLvl w:val="2"/>
        <w:rPr>
          <w:rFonts w:hint="eastAsia" w:ascii="宋体" w:hAnsi="宋体" w:cs="宋体"/>
          <w:sz w:val="24"/>
        </w:rPr>
      </w:pPr>
      <w:r>
        <w:rPr>
          <w:rFonts w:hint="eastAsia" w:ascii="宋体" w:hAnsi="宋体" w:cs="宋体"/>
          <w:sz w:val="24"/>
        </w:rPr>
        <w:t>1、服务期限：</w:t>
      </w:r>
    </w:p>
    <w:p>
      <w:pPr>
        <w:spacing w:line="360" w:lineRule="auto"/>
        <w:ind w:firstLine="480" w:firstLineChars="200"/>
        <w:rPr>
          <w:rFonts w:hint="eastAsia" w:ascii="宋体" w:hAnsi="宋体" w:cs="宋体"/>
          <w:sz w:val="24"/>
        </w:rPr>
      </w:pPr>
      <w:r>
        <w:rPr>
          <w:rFonts w:hint="eastAsia" w:ascii="宋体" w:hAnsi="宋体" w:cs="宋体"/>
          <w:sz w:val="24"/>
        </w:rPr>
        <w:t>项目服务期限为自合同签订之日起6个月内，所有成果提交并通过甲方验收。</w:t>
      </w:r>
    </w:p>
    <w:p>
      <w:pPr>
        <w:spacing w:line="360" w:lineRule="auto"/>
        <w:ind w:firstLine="480" w:firstLineChars="200"/>
        <w:outlineLvl w:val="2"/>
        <w:rPr>
          <w:rFonts w:hint="eastAsia" w:ascii="宋体" w:hAnsi="宋体" w:cs="宋体"/>
          <w:sz w:val="24"/>
        </w:rPr>
      </w:pPr>
      <w:r>
        <w:rPr>
          <w:rFonts w:hint="eastAsia" w:ascii="宋体" w:hAnsi="宋体" w:cs="宋体"/>
          <w:sz w:val="24"/>
        </w:rPr>
        <w:t>2、进度安排：</w:t>
      </w:r>
    </w:p>
    <w:p>
      <w:pPr>
        <w:widowControl/>
        <w:spacing w:line="360" w:lineRule="auto"/>
        <w:ind w:firstLine="480" w:firstLineChars="200"/>
        <w:rPr>
          <w:rFonts w:hint="eastAsia" w:ascii="宋体" w:hAnsi="宋体" w:cs="宋体"/>
          <w:sz w:val="24"/>
        </w:rPr>
      </w:pPr>
      <w:r>
        <w:rPr>
          <w:rFonts w:hint="eastAsia" w:ascii="宋体" w:hAnsi="宋体" w:cs="宋体"/>
          <w:sz w:val="24"/>
        </w:rPr>
        <w:t>本项目计划在6个月内，分三期完成：</w:t>
      </w:r>
    </w:p>
    <w:p>
      <w:pPr>
        <w:widowControl/>
        <w:spacing w:line="360" w:lineRule="auto"/>
        <w:ind w:firstLine="480" w:firstLineChars="200"/>
        <w:rPr>
          <w:rFonts w:hint="eastAsia" w:ascii="宋体" w:hAnsi="宋体" w:cs="宋体"/>
          <w:sz w:val="24"/>
        </w:rPr>
      </w:pPr>
      <w:r>
        <w:rPr>
          <w:rFonts w:hint="eastAsia" w:ascii="宋体" w:hAnsi="宋体" w:cs="宋体"/>
          <w:sz w:val="24"/>
        </w:rPr>
        <w:t>2.1、首期：自合同签订之日起3个月内开展内开展实地调研访谈、营商环境保障服务，形成问题清单、可落地工作建议，提交相关报告；</w:t>
      </w:r>
    </w:p>
    <w:p>
      <w:pPr>
        <w:widowControl/>
        <w:spacing w:line="360" w:lineRule="auto"/>
        <w:ind w:firstLine="480" w:firstLineChars="200"/>
        <w:rPr>
          <w:rFonts w:hint="eastAsia" w:ascii="宋体" w:hAnsi="宋体" w:cs="宋体"/>
          <w:sz w:val="24"/>
        </w:rPr>
      </w:pPr>
      <w:r>
        <w:rPr>
          <w:rFonts w:hint="eastAsia" w:ascii="宋体" w:hAnsi="宋体" w:cs="宋体"/>
          <w:sz w:val="24"/>
        </w:rPr>
        <w:t>2.2、二期：自合同签订之日起</w:t>
      </w:r>
      <w:r>
        <w:rPr>
          <w:rFonts w:ascii="宋体" w:hAnsi="宋体" w:cs="宋体"/>
          <w:sz w:val="24"/>
        </w:rPr>
        <w:t>4</w:t>
      </w:r>
      <w:r>
        <w:rPr>
          <w:rFonts w:hint="eastAsia" w:ascii="宋体" w:hAnsi="宋体" w:cs="宋体"/>
          <w:sz w:val="24"/>
        </w:rPr>
        <w:t>个月，前海营商环境指标评估，提交报告；</w:t>
      </w:r>
    </w:p>
    <w:p>
      <w:pPr>
        <w:spacing w:after="156" w:afterLines="50" w:line="360" w:lineRule="auto"/>
        <w:ind w:firstLine="480" w:firstLineChars="200"/>
        <w:rPr>
          <w:rFonts w:hint="eastAsia" w:ascii="宋体" w:hAnsi="宋体" w:cs="宋体"/>
          <w:sz w:val="24"/>
        </w:rPr>
      </w:pPr>
      <w:r>
        <w:rPr>
          <w:rFonts w:hint="eastAsia" w:ascii="宋体" w:hAnsi="宋体" w:cs="宋体"/>
          <w:sz w:val="24"/>
        </w:rPr>
        <w:t>2.3、三期：自合同签订之日起6个月内提交</w:t>
      </w:r>
      <w:r>
        <w:rPr>
          <w:rFonts w:hint="eastAsia" w:ascii="宋体" w:hAnsi="宋体" w:cs="宋体"/>
          <w:sz w:val="24"/>
          <w:lang w:eastAsia="zh-CN"/>
        </w:rPr>
        <w:t>评估报告终稿</w:t>
      </w:r>
      <w:r>
        <w:rPr>
          <w:rFonts w:hint="eastAsia" w:ascii="宋体" w:hAnsi="宋体" w:cs="宋体"/>
          <w:sz w:val="24"/>
        </w:rPr>
        <w:t>，并择时公开发布相关前海营商环境建设成果报告（形式包括但不限于蓝皮书等）。</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hint="eastAsia"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hint="eastAsia"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第四条  甲方的义务</w:t>
      </w:r>
    </w:p>
    <w:p>
      <w:pPr>
        <w:spacing w:line="360" w:lineRule="auto"/>
        <w:ind w:firstLine="480" w:firstLineChars="200"/>
        <w:rPr>
          <w:rFonts w:hint="eastAsia"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hint="eastAsia"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hint="eastAsia" w:ascii="宋体" w:hAnsi="宋体" w:cs="宋体"/>
          <w:sz w:val="24"/>
        </w:rPr>
      </w:pPr>
      <w:r>
        <w:rPr>
          <w:rFonts w:hint="eastAsia" w:ascii="宋体" w:hAnsi="宋体" w:cs="宋体"/>
          <w:sz w:val="24"/>
        </w:rPr>
        <w:t>3、负责组织对项目成果的</w:t>
      </w:r>
      <w:r>
        <w:rPr>
          <w:rFonts w:ascii="宋体" w:hAnsi="宋体" w:cs="宋体"/>
          <w:sz w:val="24"/>
        </w:rPr>
        <w:t>验收</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hint="eastAsia" w:ascii="宋体" w:hAnsi="宋体" w:cs="宋体"/>
          <w:sz w:val="24"/>
        </w:rPr>
      </w:pPr>
      <w:r>
        <w:rPr>
          <w:rFonts w:hint="eastAsia" w:ascii="宋体" w:hAnsi="宋体" w:cs="宋体"/>
          <w:sz w:val="24"/>
        </w:rPr>
        <w:t>5、甲方指定项目联系人：</w:t>
      </w:r>
    </w:p>
    <w:p>
      <w:pPr>
        <w:spacing w:line="360" w:lineRule="auto"/>
        <w:ind w:firstLine="480" w:firstLineChars="200"/>
        <w:rPr>
          <w:rFonts w:hint="eastAsia" w:ascii="宋体" w:hAnsi="宋体" w:cs="宋体"/>
          <w:sz w:val="24"/>
        </w:rPr>
      </w:pPr>
      <w:r>
        <w:rPr>
          <w:rFonts w:hint="eastAsia" w:ascii="宋体" w:hAnsi="宋体" w:cs="宋体"/>
          <w:sz w:val="24"/>
        </w:rPr>
        <w:t>姓名：</w:t>
      </w:r>
    </w:p>
    <w:p>
      <w:pPr>
        <w:spacing w:line="360" w:lineRule="auto"/>
        <w:ind w:firstLine="480" w:firstLineChars="200"/>
      </w:pPr>
      <w:r>
        <w:rPr>
          <w:rFonts w:hint="eastAsia" w:ascii="宋体" w:hAnsi="宋体" w:cs="宋体"/>
          <w:sz w:val="24"/>
        </w:rPr>
        <w:t>联系方式：</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hint="eastAsia" w:ascii="宋体" w:hAnsi="宋体" w:cs="宋体"/>
          <w:sz w:val="24"/>
        </w:rPr>
      </w:pPr>
      <w:r>
        <w:rPr>
          <w:rFonts w:hint="eastAsia" w:ascii="宋体" w:hAnsi="宋体" w:cs="宋体"/>
          <w:sz w:val="24"/>
        </w:rPr>
        <w:t>１、应按照【QH2025064】号招标文件、乙方投标文件以及本合同的要求按期完成本项目服务工作。</w:t>
      </w:r>
    </w:p>
    <w:p>
      <w:pPr>
        <w:spacing w:line="360" w:lineRule="auto"/>
        <w:ind w:firstLine="480" w:firstLineChars="200"/>
        <w:rPr>
          <w:rFonts w:hint="eastAsia"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hint="eastAsia" w:ascii="宋体" w:hAnsi="宋体" w:cs="宋体"/>
          <w:sz w:val="24"/>
        </w:rPr>
      </w:pPr>
      <w:r>
        <w:rPr>
          <w:rFonts w:hint="eastAsia" w:ascii="宋体" w:hAnsi="宋体" w:cs="宋体"/>
          <w:sz w:val="24"/>
        </w:rPr>
        <w:t>3、乙方应按国家、</w:t>
      </w:r>
      <w:r>
        <w:rPr>
          <w:rFonts w:ascii="宋体" w:hAnsi="宋体" w:cs="宋体"/>
          <w:sz w:val="24"/>
        </w:rPr>
        <w:t>广东</w:t>
      </w:r>
      <w:r>
        <w:rPr>
          <w:rFonts w:hint="eastAsia" w:ascii="宋体" w:hAnsi="宋体" w:cs="宋体"/>
          <w:sz w:val="24"/>
        </w:rPr>
        <w:t>省及深圳</w:t>
      </w:r>
      <w:r>
        <w:rPr>
          <w:rFonts w:ascii="宋体" w:hAnsi="宋体" w:cs="宋体"/>
          <w:sz w:val="24"/>
        </w:rPr>
        <w:t>市</w:t>
      </w:r>
      <w:r>
        <w:rPr>
          <w:rFonts w:hint="eastAsia" w:ascii="宋体" w:hAnsi="宋体" w:cs="宋体"/>
          <w:sz w:val="24"/>
        </w:rPr>
        <w:t>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hint="eastAsia"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w:t>
      </w:r>
      <w:r>
        <w:rPr>
          <w:rFonts w:hint="eastAsia" w:ascii="宋体" w:hAnsi="宋体" w:cs="宋体"/>
          <w:sz w:val="24"/>
          <w:lang w:val="en-US" w:eastAsia="zh-CN"/>
        </w:rPr>
        <w:t>台账</w:t>
      </w:r>
      <w:r>
        <w:rPr>
          <w:rFonts w:hint="eastAsia" w:ascii="宋体" w:hAnsi="宋体" w:cs="宋体"/>
          <w:sz w:val="24"/>
        </w:rPr>
        <w:t>资料交给甲方。</w:t>
      </w:r>
    </w:p>
    <w:p>
      <w:pPr>
        <w:spacing w:line="360" w:lineRule="auto"/>
        <w:ind w:firstLine="480" w:firstLineChars="200"/>
        <w:rPr>
          <w:rFonts w:hint="eastAsia"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sz w:val="24"/>
        </w:rPr>
      </w:pPr>
      <w:r>
        <w:rPr>
          <w:rFonts w:hint="eastAsia" w:ascii="宋体" w:hAnsi="宋体" w:cs="宋体"/>
          <w:sz w:val="24"/>
        </w:rPr>
        <w:t>7、如乙方提供的研究意见等成果文件不符合本合同要求，必须在甲方提出要求后3天内无条件修改，其费用由乙方自行承担。修改期间，甲方付款时间相应顺延。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hint="eastAsia"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sz w:val="24"/>
        </w:rPr>
      </w:pPr>
      <w:r>
        <w:rPr>
          <w:rFonts w:hint="eastAsia" w:ascii="宋体" w:hAnsi="宋体" w:cs="宋体"/>
          <w:sz w:val="24"/>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sz w:val="24"/>
        </w:rPr>
      </w:pPr>
      <w:r>
        <w:rPr>
          <w:rFonts w:hint="eastAsia" w:ascii="宋体" w:hAnsi="宋体" w:cs="宋体"/>
          <w:sz w:val="24"/>
        </w:rPr>
        <w:t>12、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sz w:val="24"/>
        </w:rPr>
      </w:pPr>
      <w:r>
        <w:rPr>
          <w:rFonts w:hint="eastAsia" w:ascii="宋体" w:hAnsi="宋体" w:cs="宋体"/>
          <w:sz w:val="24"/>
        </w:rPr>
        <w:t>14、乙方指定项目联系人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乙方： </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 xml:space="preserve">联系方式： </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第六条  甲方的权利与义务</w:t>
      </w:r>
    </w:p>
    <w:p>
      <w:pPr>
        <w:pStyle w:val="10"/>
        <w:snapToGrid w:val="0"/>
        <w:spacing w:line="360" w:lineRule="auto"/>
        <w:ind w:firstLine="420" w:firstLineChars="175"/>
        <w:rPr>
          <w:rFonts w:hint="eastAsia" w:hAnsi="宋体" w:cs="宋体"/>
          <w:sz w:val="24"/>
        </w:rPr>
      </w:pPr>
      <w:r>
        <w:rPr>
          <w:rFonts w:hint="eastAsia" w:hAnsi="宋体" w:cs="宋体"/>
          <w:sz w:val="24"/>
        </w:rPr>
        <w:t>1、甲方对研究过程的决策、控制、实施等环节实行全面管理，协调和监督研究工作开展，控制研究工作过程，进行研究成果验收。</w:t>
      </w:r>
    </w:p>
    <w:p>
      <w:pPr>
        <w:pStyle w:val="10"/>
        <w:snapToGrid w:val="0"/>
        <w:spacing w:line="360" w:lineRule="auto"/>
        <w:ind w:firstLine="420" w:firstLineChars="175"/>
        <w:rPr>
          <w:rFonts w:hint="eastAsia" w:hAnsi="宋体" w:cs="宋体"/>
          <w:sz w:val="24"/>
        </w:rPr>
      </w:pPr>
      <w:r>
        <w:rPr>
          <w:rFonts w:hint="eastAsia" w:hAnsi="宋体" w:cs="宋体"/>
          <w:sz w:val="24"/>
        </w:rPr>
        <w:t>2、检查乙方研究人员到位情况，如因人力、能力不足致使研究工作不能按计划完成时，有权要求乙方增加或替换相应的技术人员，直至甲方认可，乙方不得拒绝。</w:t>
      </w:r>
    </w:p>
    <w:p>
      <w:pPr>
        <w:pStyle w:val="10"/>
        <w:snapToGrid w:val="0"/>
        <w:spacing w:line="360" w:lineRule="auto"/>
        <w:ind w:firstLine="420" w:firstLineChars="175"/>
        <w:rPr>
          <w:rFonts w:hint="eastAsia" w:hAnsi="宋体" w:cs="宋体"/>
          <w:sz w:val="24"/>
        </w:rPr>
      </w:pPr>
      <w:r>
        <w:rPr>
          <w:rFonts w:hint="eastAsia" w:hAnsi="宋体" w:cs="宋体"/>
          <w:sz w:val="24"/>
        </w:rPr>
        <w:t>3、 甲方有权向乙方询问项目工作进展及相关情况，并要求乙方在指定时间内做出答复。</w:t>
      </w:r>
    </w:p>
    <w:p>
      <w:pPr>
        <w:pStyle w:val="10"/>
        <w:snapToGrid w:val="0"/>
        <w:spacing w:line="360" w:lineRule="auto"/>
        <w:ind w:firstLine="420" w:firstLineChars="175"/>
        <w:rPr>
          <w:rFonts w:hint="eastAsia" w:hAnsi="宋体" w:cs="宋体"/>
          <w:sz w:val="24"/>
        </w:rPr>
      </w:pPr>
      <w:r>
        <w:rPr>
          <w:rFonts w:hint="eastAsia" w:hAnsi="宋体" w:cs="宋体"/>
          <w:sz w:val="24"/>
        </w:rPr>
        <w:t>4、 甲方有权对乙方提交的阶段性成果、最终成果送审稿等相关工作文件进行审核并提出修改意见。</w:t>
      </w:r>
    </w:p>
    <w:p>
      <w:pPr>
        <w:pStyle w:val="10"/>
        <w:snapToGrid w:val="0"/>
        <w:spacing w:line="360" w:lineRule="auto"/>
        <w:ind w:firstLine="420" w:firstLineChars="175"/>
        <w:rPr>
          <w:rFonts w:hint="eastAsia" w:hAnsi="宋体" w:cs="宋体"/>
          <w:sz w:val="24"/>
        </w:rPr>
      </w:pPr>
      <w:r>
        <w:rPr>
          <w:rFonts w:hint="eastAsia" w:hAnsi="宋体" w:cs="宋体"/>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0"/>
        <w:snapToGrid w:val="0"/>
        <w:spacing w:line="360" w:lineRule="auto"/>
        <w:ind w:firstLine="420" w:firstLineChars="175"/>
        <w:rPr>
          <w:rFonts w:hint="eastAsia" w:hAnsi="宋体" w:cs="宋体"/>
          <w:sz w:val="24"/>
        </w:rPr>
      </w:pPr>
      <w:r>
        <w:rPr>
          <w:rFonts w:hint="eastAsia" w:hAnsi="宋体" w:cs="宋体"/>
          <w:sz w:val="24"/>
        </w:rPr>
        <w:t>6、甲方对乙方在委托权限范围内完成委托事项有指导、监督权利。</w:t>
      </w:r>
    </w:p>
    <w:p>
      <w:pPr>
        <w:pStyle w:val="10"/>
        <w:snapToGrid w:val="0"/>
        <w:spacing w:line="360" w:lineRule="auto"/>
        <w:ind w:firstLine="420" w:firstLineChars="175"/>
        <w:rPr>
          <w:rFonts w:hint="eastAsia" w:hAnsi="宋体" w:cs="宋体"/>
          <w:sz w:val="24"/>
        </w:rPr>
      </w:pPr>
      <w:r>
        <w:rPr>
          <w:rFonts w:hint="eastAsia" w:hAnsi="宋体" w:cs="宋体"/>
          <w:sz w:val="24"/>
        </w:rPr>
        <w:t>7、甲方有权要求乙方全面履行合同。甲方不接受部分履行，如本合同项下部分成果文件未能按时交付则视为整体延误。</w:t>
      </w:r>
    </w:p>
    <w:p>
      <w:pPr>
        <w:pStyle w:val="10"/>
        <w:snapToGrid w:val="0"/>
        <w:spacing w:line="360" w:lineRule="auto"/>
        <w:ind w:firstLine="420" w:firstLineChars="175"/>
        <w:rPr>
          <w:rFonts w:hint="eastAsia" w:hAnsi="宋体" w:cs="宋体"/>
          <w:sz w:val="24"/>
        </w:rPr>
      </w:pPr>
      <w:r>
        <w:rPr>
          <w:rFonts w:hint="eastAsia"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第七条  乙方的权利与义务</w:t>
      </w:r>
    </w:p>
    <w:p>
      <w:pPr>
        <w:spacing w:line="360" w:lineRule="auto"/>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hint="eastAsia" w:ascii="宋体" w:hAnsi="宋体" w:cs="宋体"/>
          <w:sz w:val="24"/>
        </w:rPr>
      </w:pPr>
      <w:r>
        <w:rPr>
          <w:rFonts w:hint="eastAsia" w:ascii="宋体" w:hAnsi="宋体" w:cs="宋体"/>
          <w:sz w:val="24"/>
        </w:rPr>
        <w:t>2、乙方在本项目服务过程中，有权要求甲方就本研究服务业务有关的问题开展调研予以协调和支持。</w:t>
      </w:r>
    </w:p>
    <w:p>
      <w:pPr>
        <w:spacing w:line="360" w:lineRule="auto"/>
        <w:ind w:firstLine="480" w:firstLineChars="200"/>
        <w:rPr>
          <w:rFonts w:hint="eastAsia"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hint="eastAsia" w:ascii="宋体" w:hAnsi="宋体" w:cs="宋体"/>
          <w:sz w:val="24"/>
        </w:rPr>
      </w:pPr>
      <w:r>
        <w:rPr>
          <w:rFonts w:hint="eastAsia" w:ascii="宋体" w:hAnsi="宋体" w:cs="宋体"/>
          <w:sz w:val="24"/>
        </w:rPr>
        <w:t>4、根据合同约定收取相应的合同价款。</w:t>
      </w:r>
    </w:p>
    <w:p>
      <w:pPr>
        <w:spacing w:line="360" w:lineRule="auto"/>
        <w:ind w:firstLine="480" w:firstLineChars="200"/>
        <w:rPr>
          <w:rFonts w:hint="eastAsia" w:ascii="宋体" w:hAnsi="宋体" w:cs="宋体"/>
          <w:sz w:val="24"/>
        </w:rPr>
      </w:pPr>
      <w:r>
        <w:rPr>
          <w:rFonts w:hint="eastAsia" w:ascii="宋体" w:hAnsi="宋体" w:cs="宋体"/>
          <w:sz w:val="24"/>
        </w:rPr>
        <w:t>5、乙方就本协议项下可能承担的全部法律责任无条件对甲方承担连带责任。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hint="eastAsia" w:ascii="宋体" w:hAnsi="宋体" w:cs="宋体"/>
          <w:sz w:val="24"/>
        </w:rPr>
      </w:pPr>
      <w:r>
        <w:rPr>
          <w:rFonts w:hint="eastAsia" w:ascii="宋体" w:hAnsi="宋体" w:cs="宋体"/>
          <w:sz w:val="24"/>
        </w:rPr>
        <w:t>以下为本项目核心领导团队。</w:t>
      </w:r>
    </w:p>
    <w:tbl>
      <w:tblPr>
        <w:tblStyle w:val="21"/>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0"/>
        <w:gridCol w:w="1020"/>
        <w:gridCol w:w="1020"/>
        <w:gridCol w:w="1020"/>
        <w:gridCol w:w="1511"/>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性别</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学历</w:t>
            </w: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职称、职务</w:t>
            </w: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9</w:t>
            </w: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0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1、参加本项目编制的人员必须具有国家和有关部门规定的相应资质。</w:t>
      </w:r>
    </w:p>
    <w:p>
      <w:pPr>
        <w:spacing w:line="360" w:lineRule="auto"/>
        <w:ind w:firstLine="480" w:firstLineChars="200"/>
        <w:rPr>
          <w:rFonts w:hint="eastAsia" w:ascii="宋体" w:hAnsi="宋体" w:cs="宋体"/>
          <w:sz w:val="24"/>
        </w:rPr>
      </w:pPr>
      <w:r>
        <w:rPr>
          <w:rFonts w:hint="eastAsia" w:ascii="宋体" w:hAnsi="宋体" w:cs="宋体"/>
          <w:sz w:val="24"/>
        </w:rPr>
        <w:t>2、参加本项目编制的人员配置必须与合同中的项目成员组成一致，若需调整需经甲方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hint="eastAsia"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鉴定评估费用、调查费用、保全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hint="eastAsia"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第十条  保密条款</w:t>
      </w:r>
    </w:p>
    <w:p>
      <w:pPr>
        <w:widowControl/>
        <w:spacing w:line="360" w:lineRule="auto"/>
        <w:ind w:firstLine="480" w:firstLineChars="200"/>
        <w:rPr>
          <w:rFonts w:hint="eastAsia" w:ascii="宋体" w:hAnsi="宋体" w:cs="宋体"/>
          <w:sz w:val="24"/>
        </w:rPr>
      </w:pPr>
      <w:bookmarkStart w:id="18"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8"/>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sz w:val="24"/>
          <w:lang w:eastAsia="zh-CN"/>
        </w:rPr>
        <w:t>，</w:t>
      </w:r>
      <w:r>
        <w:rPr>
          <w:rFonts w:hint="eastAsia" w:ascii="宋体" w:hAnsi="宋体" w:cs="宋体"/>
          <w:sz w:val="24"/>
        </w:rPr>
        <w:t>以及乙方因本项目工作所直接或间接取得、处理或接触的任何其他资料。未经甲方同意，</w:t>
      </w:r>
      <w:r>
        <w:rPr>
          <w:rFonts w:hint="eastAsia" w:ascii="宋体" w:hAnsi="宋体" w:cs="宋体"/>
          <w:sz w:val="24"/>
          <w:lang w:val="en-US" w:eastAsia="zh-CN"/>
        </w:rPr>
        <w:t>乙方</w:t>
      </w:r>
      <w:r>
        <w:rPr>
          <w:rFonts w:hint="eastAsia" w:ascii="宋体" w:hAnsi="宋体" w:cs="宋体"/>
          <w:sz w:val="24"/>
        </w:rPr>
        <w:t>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hint="eastAsia" w:ascii="宋体" w:hAnsi="宋体" w:cs="宋体"/>
          <w:sz w:val="24"/>
        </w:rPr>
      </w:pPr>
      <w:bookmarkStart w:id="19" w:name="_Toc216520224"/>
      <w:r>
        <w:rPr>
          <w:rFonts w:hint="eastAsia" w:ascii="宋体" w:hAnsi="宋体" w:cs="宋体"/>
          <w:sz w:val="24"/>
        </w:rPr>
        <w:t>5</w:t>
      </w:r>
      <w:bookmarkEnd w:id="19"/>
      <w:bookmarkStart w:id="20" w:name="_Toc216520226"/>
      <w:r>
        <w:rPr>
          <w:rFonts w:hint="eastAsia" w:ascii="宋体" w:hAnsi="宋体" w:cs="宋体"/>
          <w:sz w:val="24"/>
        </w:rPr>
        <w:t>、上述保密义务不适用以下情况：</w:t>
      </w:r>
      <w:bookmarkEnd w:id="20"/>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hint="eastAsia"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第十一条  成果要求及后续服务     </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w:t>
      </w:r>
      <w:r>
        <w:rPr>
          <w:rFonts w:ascii="宋体" w:hAnsi="宋体" w:cs="宋体"/>
          <w:sz w:val="24"/>
        </w:rPr>
        <w:t>验收标准：</w:t>
      </w:r>
    </w:p>
    <w:p>
      <w:pPr>
        <w:widowControl/>
        <w:spacing w:line="360" w:lineRule="auto"/>
        <w:ind w:firstLine="480" w:firstLineChars="200"/>
        <w:rPr>
          <w:rFonts w:hint="eastAsia" w:ascii="宋体" w:hAnsi="宋体" w:cs="宋体"/>
          <w:sz w:val="24"/>
        </w:rPr>
      </w:pPr>
      <w:r>
        <w:rPr>
          <w:rFonts w:hint="eastAsia" w:ascii="宋体" w:hAnsi="宋体" w:cs="宋体"/>
          <w:sz w:val="24"/>
        </w:rPr>
        <w:t>1.1、前海营商环境调研报告；</w:t>
      </w:r>
    </w:p>
    <w:p>
      <w:pPr>
        <w:widowControl/>
        <w:spacing w:line="360" w:lineRule="auto"/>
        <w:ind w:firstLine="480" w:firstLineChars="200"/>
        <w:rPr>
          <w:rFonts w:hint="eastAsia" w:ascii="宋体" w:hAnsi="宋体" w:cs="宋体"/>
          <w:sz w:val="24"/>
        </w:rPr>
      </w:pPr>
      <w:r>
        <w:rPr>
          <w:rFonts w:hint="eastAsia" w:ascii="宋体" w:hAnsi="宋体" w:cs="宋体"/>
          <w:sz w:val="24"/>
        </w:rPr>
        <w:t>1.2、前海营商环境特色评估体系和评估报告；</w:t>
      </w:r>
    </w:p>
    <w:p>
      <w:pPr>
        <w:widowControl/>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前海营商环境建设成果报告。</w:t>
      </w:r>
    </w:p>
    <w:p>
      <w:pPr>
        <w:widowControl/>
        <w:spacing w:line="360" w:lineRule="auto"/>
        <w:ind w:firstLine="480" w:firstLineChars="200"/>
        <w:rPr>
          <w:sz w:val="24"/>
        </w:rPr>
      </w:pPr>
      <w:r>
        <w:rPr>
          <w:rFonts w:hint="eastAsia" w:ascii="宋体" w:hAnsi="宋体" w:cs="宋体"/>
          <w:sz w:val="24"/>
        </w:rPr>
        <w:t>以上所有成果提交并通过甲方验收，视为验收合格</w:t>
      </w:r>
      <w:r>
        <w:rPr>
          <w:rFonts w:ascii="宋体" w:hAnsi="宋体" w:cs="宋体"/>
          <w:sz w:val="24"/>
        </w:rPr>
        <w:t>。</w:t>
      </w:r>
    </w:p>
    <w:p>
      <w:pPr>
        <w:widowControl/>
        <w:spacing w:line="360" w:lineRule="auto"/>
        <w:ind w:firstLine="480" w:firstLineChars="200"/>
        <w:rPr>
          <w:rFonts w:hint="eastAsia" w:ascii="宋体" w:hAnsi="宋体" w:cs="宋体"/>
          <w:b/>
          <w:bCs/>
          <w:sz w:val="24"/>
        </w:rPr>
      </w:pPr>
      <w:r>
        <w:rPr>
          <w:rFonts w:hint="eastAsia" w:ascii="宋体" w:hAnsi="宋体" w:cs="宋体"/>
          <w:sz w:val="24"/>
        </w:rPr>
        <w:t>2、后续服务</w:t>
      </w:r>
      <w:r>
        <w:rPr>
          <w:rFonts w:hint="eastAsia" w:ascii="宋体" w:hAnsi="宋体" w:cs="宋体"/>
          <w:sz w:val="24"/>
          <w:lang w:eastAsia="zh-CN"/>
        </w:rPr>
        <w:t>：</w:t>
      </w:r>
      <w:r>
        <w:rPr>
          <w:rFonts w:hint="eastAsia" w:ascii="宋体" w:hAnsi="宋体" w:cs="宋体"/>
          <w:sz w:val="24"/>
        </w:rPr>
        <w:t>本项目后续服务期为所有最终成果通过甲方验收之日起6个月内。项目完成验收后，在审计、后续抽查等过程中，乙方应配合需要提供以下无偿服务：在后续服务期限内提供相关咨询、协调和项目审查等技术支持。</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第十二条  项目服务费用及付款方式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（含税）。包括调研费、中标服务费、各种资料费、税金、会议评审、差旅费等所有费用，并提供合同要求的成果文件，以及其它相关服务的全部费用</w:t>
      </w:r>
      <w:r>
        <w:rPr>
          <w:rFonts w:hint="eastAsia" w:ascii="宋体" w:hAnsi="宋体" w:cs="宋体"/>
          <w:sz w:val="24"/>
          <w:lang w:val="zh-CN"/>
        </w:rPr>
        <w:t>。</w:t>
      </w:r>
    </w:p>
    <w:p>
      <w:pPr>
        <w:widowControl/>
        <w:spacing w:line="360" w:lineRule="auto"/>
        <w:ind w:firstLine="480" w:firstLineChars="200"/>
        <w:rPr>
          <w:rFonts w:hint="eastAsia" w:ascii="宋体" w:hAnsi="宋体" w:cs="宋体"/>
          <w:sz w:val="24"/>
        </w:rPr>
      </w:pPr>
      <w:r>
        <w:rPr>
          <w:rFonts w:hint="eastAsia" w:ascii="宋体" w:hAnsi="宋体" w:cs="宋体"/>
          <w:sz w:val="24"/>
        </w:rPr>
        <w:t>2、合同价款由甲方分三期支付至乙方指定银行账户：</w:t>
      </w:r>
    </w:p>
    <w:p>
      <w:pPr>
        <w:pStyle w:val="6"/>
        <w:spacing w:after="0" w:line="360" w:lineRule="auto"/>
        <w:ind w:firstLine="480" w:firstLineChars="200"/>
        <w:rPr>
          <w:rFonts w:hint="eastAsia" w:ascii="宋体" w:hAnsi="宋体" w:cs="宋体"/>
          <w:sz w:val="24"/>
        </w:rPr>
      </w:pPr>
      <w:r>
        <w:rPr>
          <w:rFonts w:hint="eastAsia" w:ascii="宋体" w:hAnsi="宋体" w:cs="宋体"/>
          <w:sz w:val="24"/>
        </w:rPr>
        <w:t>2.1、首期：服务期限开始之日起15个工作日内，由乙方提出付款申请，甲方向乙方支付合同总价款的</w:t>
      </w:r>
      <w:r>
        <w:rPr>
          <w:rFonts w:hint="eastAsia" w:ascii="宋体" w:hAnsi="宋体" w:cs="宋体"/>
          <w:sz w:val="24"/>
          <w:lang w:val="en-US" w:eastAsia="zh-CN"/>
        </w:rPr>
        <w:t>3</w:t>
      </w:r>
      <w:r>
        <w:rPr>
          <w:rFonts w:hint="eastAsia" w:ascii="宋体" w:hAnsi="宋体" w:cs="宋体"/>
          <w:sz w:val="24"/>
        </w:rPr>
        <w:t>0%；</w:t>
      </w:r>
      <w:r>
        <w:rPr>
          <w:rFonts w:ascii="宋体" w:hAnsi="宋体" w:cs="宋体"/>
          <w:sz w:val="24"/>
        </w:rPr>
        <w:t>即人民币</w:t>
      </w:r>
      <w:r>
        <w:rPr>
          <w:rFonts w:ascii="宋体" w:hAnsi="宋体" w:cs="宋体"/>
          <w:sz w:val="24"/>
          <w:u w:val="single"/>
        </w:rPr>
        <w:t xml:space="preserve">  </w:t>
      </w:r>
      <w:r>
        <w:rPr>
          <w:rFonts w:ascii="宋体" w:hAnsi="宋体" w:cs="宋体"/>
          <w:sz w:val="24"/>
        </w:rPr>
        <w:t>整（</w:t>
      </w:r>
      <w:r>
        <w:rPr>
          <w:rFonts w:hint="eastAsia" w:ascii="宋体" w:hAnsi="宋体" w:cs="宋体"/>
          <w:sz w:val="24"/>
        </w:rPr>
        <w:t>¥  元</w:t>
      </w:r>
      <w:r>
        <w:rPr>
          <w:rFonts w:ascii="宋体" w:hAnsi="宋体" w:cs="宋体"/>
          <w:sz w:val="24"/>
        </w:rPr>
        <w:t>）</w:t>
      </w:r>
    </w:p>
    <w:p>
      <w:pPr>
        <w:pStyle w:val="6"/>
        <w:spacing w:after="0" w:line="360" w:lineRule="auto"/>
        <w:ind w:firstLine="480" w:firstLineChars="200"/>
        <w:rPr>
          <w:rFonts w:hint="eastAsia" w:ascii="宋体" w:hAnsi="宋体" w:cs="宋体"/>
          <w:sz w:val="24"/>
        </w:rPr>
      </w:pPr>
      <w:r>
        <w:rPr>
          <w:rFonts w:hint="eastAsia" w:ascii="宋体" w:hAnsi="宋体" w:cs="宋体"/>
          <w:sz w:val="24"/>
        </w:rPr>
        <w:t>2.2、第二期：甲方形成</w:t>
      </w:r>
      <w:r>
        <w:rPr>
          <w:rFonts w:hint="eastAsia" w:ascii="宋体" w:hAnsi="宋体" w:cs="宋体"/>
          <w:sz w:val="24"/>
          <w:lang w:eastAsia="zh-CN"/>
        </w:rPr>
        <w:t>前海营商环境</w:t>
      </w:r>
      <w:r>
        <w:rPr>
          <w:rFonts w:hint="eastAsia" w:ascii="宋体" w:hAnsi="宋体" w:cs="宋体"/>
          <w:sz w:val="24"/>
        </w:rPr>
        <w:t>调研报告，经甲方验收合格后，根据乙方提出的付款申请，甲方向乙方支付合同总价款的</w:t>
      </w:r>
      <w:r>
        <w:rPr>
          <w:rFonts w:hint="eastAsia" w:ascii="宋体" w:hAnsi="宋体" w:cs="宋体"/>
          <w:sz w:val="24"/>
          <w:lang w:val="en-US" w:eastAsia="zh-CN"/>
        </w:rPr>
        <w:t>4</w:t>
      </w:r>
      <w:r>
        <w:rPr>
          <w:rFonts w:hint="eastAsia" w:ascii="宋体" w:hAnsi="宋体" w:cs="宋体"/>
          <w:sz w:val="24"/>
        </w:rPr>
        <w:t>0%；</w:t>
      </w:r>
      <w:r>
        <w:rPr>
          <w:rFonts w:ascii="宋体" w:hAnsi="宋体" w:cs="宋体"/>
          <w:sz w:val="24"/>
        </w:rPr>
        <w:t>即人民币</w:t>
      </w:r>
      <w:r>
        <w:rPr>
          <w:rFonts w:ascii="宋体" w:hAnsi="宋体" w:cs="宋体"/>
          <w:sz w:val="24"/>
          <w:u w:val="single"/>
        </w:rPr>
        <w:t xml:space="preserve">  </w:t>
      </w:r>
      <w:r>
        <w:rPr>
          <w:rFonts w:ascii="宋体" w:hAnsi="宋体" w:cs="宋体"/>
          <w:sz w:val="24"/>
        </w:rPr>
        <w:t>整（</w:t>
      </w:r>
      <w:r>
        <w:rPr>
          <w:rFonts w:hint="eastAsia" w:ascii="宋体" w:hAnsi="宋体" w:cs="宋体"/>
          <w:sz w:val="24"/>
        </w:rPr>
        <w:t>¥  元</w:t>
      </w:r>
      <w:r>
        <w:rPr>
          <w:rFonts w:ascii="宋体" w:hAnsi="宋体" w:cs="宋体"/>
          <w:sz w:val="24"/>
        </w:rPr>
        <w:t>）</w:t>
      </w:r>
    </w:p>
    <w:p>
      <w:pPr>
        <w:pStyle w:val="6"/>
        <w:spacing w:after="0" w:line="360" w:lineRule="auto"/>
        <w:ind w:firstLine="480" w:firstLineChars="200"/>
        <w:rPr>
          <w:rFonts w:hint="eastAsia" w:ascii="宋体" w:hAnsi="宋体" w:cs="宋体"/>
          <w:sz w:val="24"/>
        </w:rPr>
      </w:pPr>
      <w:r>
        <w:rPr>
          <w:rFonts w:hint="eastAsia" w:ascii="宋体" w:hAnsi="宋体" w:cs="宋体"/>
          <w:sz w:val="24"/>
        </w:rPr>
        <w:t>2.3、第三期：乙方</w:t>
      </w:r>
      <w:r>
        <w:rPr>
          <w:rFonts w:hint="eastAsia" w:ascii="宋体" w:hAnsi="宋体" w:cs="宋体"/>
          <w:sz w:val="24"/>
          <w:lang w:eastAsia="zh-CN"/>
        </w:rPr>
        <w:t>完成</w:t>
      </w:r>
      <w:r>
        <w:rPr>
          <w:rFonts w:hint="eastAsia" w:ascii="宋体" w:hAnsi="宋体" w:cs="宋体"/>
          <w:sz w:val="24"/>
        </w:rPr>
        <w:t>形成</w:t>
      </w:r>
      <w:r>
        <w:rPr>
          <w:rFonts w:hint="eastAsia" w:ascii="宋体" w:hAnsi="宋体" w:cs="宋体"/>
          <w:sz w:val="24"/>
          <w:lang w:eastAsia="zh-CN"/>
        </w:rPr>
        <w:t>前海营商环境</w:t>
      </w:r>
      <w:r>
        <w:rPr>
          <w:rFonts w:hint="eastAsia" w:ascii="宋体" w:hAnsi="宋体" w:cs="宋体"/>
          <w:sz w:val="24"/>
        </w:rPr>
        <w:t>评估报告</w:t>
      </w:r>
      <w:r>
        <w:rPr>
          <w:rFonts w:hint="eastAsia" w:ascii="宋体" w:hAnsi="宋体" w:cs="宋体"/>
          <w:sz w:val="24"/>
          <w:lang w:eastAsia="zh-CN"/>
        </w:rPr>
        <w:t>等全部项目</w:t>
      </w:r>
      <w:r>
        <w:rPr>
          <w:rFonts w:hint="eastAsia" w:ascii="宋体" w:hAnsi="宋体" w:cs="宋体"/>
          <w:sz w:val="24"/>
        </w:rPr>
        <w:t>，经甲方验收合格后，根据乙方提出的付款申请，甲方向乙方支付合同总价款的</w:t>
      </w:r>
      <w:r>
        <w:rPr>
          <w:rFonts w:hint="eastAsia" w:ascii="宋体" w:hAnsi="宋体" w:cs="宋体"/>
          <w:sz w:val="24"/>
          <w:lang w:val="en-US" w:eastAsia="zh-CN"/>
        </w:rPr>
        <w:t>3</w:t>
      </w:r>
      <w:r>
        <w:rPr>
          <w:rFonts w:hint="eastAsia" w:ascii="宋体" w:hAnsi="宋体" w:cs="宋体"/>
          <w:sz w:val="24"/>
        </w:rPr>
        <w:t>0%；</w:t>
      </w:r>
      <w:r>
        <w:rPr>
          <w:rFonts w:ascii="宋体" w:hAnsi="宋体" w:cs="宋体"/>
          <w:sz w:val="24"/>
        </w:rPr>
        <w:t>即人民币</w:t>
      </w:r>
      <w:r>
        <w:rPr>
          <w:rFonts w:ascii="宋体" w:hAnsi="宋体" w:cs="宋体"/>
          <w:sz w:val="24"/>
          <w:u w:val="single"/>
        </w:rPr>
        <w:t xml:space="preserve">  </w:t>
      </w:r>
      <w:r>
        <w:rPr>
          <w:rFonts w:ascii="宋体" w:hAnsi="宋体" w:cs="宋体"/>
          <w:sz w:val="24"/>
        </w:rPr>
        <w:t>整（</w:t>
      </w:r>
      <w:r>
        <w:rPr>
          <w:rFonts w:hint="eastAsia" w:ascii="宋体" w:hAnsi="宋体" w:cs="宋体"/>
          <w:sz w:val="24"/>
        </w:rPr>
        <w:t>¥  元</w:t>
      </w:r>
      <w:r>
        <w:rPr>
          <w:rFonts w:ascii="宋体" w:hAnsi="宋体" w:cs="宋体"/>
          <w:sz w:val="24"/>
        </w:rPr>
        <w:t>）</w:t>
      </w:r>
    </w:p>
    <w:p>
      <w:pPr>
        <w:pStyle w:val="6"/>
        <w:spacing w:after="0" w:line="360" w:lineRule="auto"/>
        <w:ind w:firstLine="480" w:firstLineChars="200"/>
        <w:rPr>
          <w:rFonts w:hint="eastAsia" w:ascii="宋体" w:hAnsi="宋体" w:cs="宋体"/>
          <w:sz w:val="24"/>
        </w:rPr>
      </w:pPr>
      <w:r>
        <w:rPr>
          <w:rFonts w:hint="eastAsia" w:ascii="宋体" w:hAnsi="宋体" w:cs="宋体"/>
          <w:sz w:val="24"/>
        </w:rPr>
        <w:t>2.4、上述每期款项均在满足付款条件，且甲方收到乙方开具的载明相应金额的合格发票后1</w:t>
      </w:r>
      <w:r>
        <w:rPr>
          <w:rFonts w:hint="eastAsia" w:ascii="宋体" w:hAnsi="宋体" w:cs="宋体"/>
          <w:sz w:val="24"/>
          <w:lang w:val="en-US" w:eastAsia="zh-CN"/>
        </w:rPr>
        <w:t>0</w:t>
      </w:r>
      <w:r>
        <w:rPr>
          <w:rFonts w:hint="eastAsia" w:ascii="宋体" w:hAnsi="宋体" w:cs="宋体"/>
          <w:sz w:val="24"/>
        </w:rPr>
        <w:t>个工作日内付至乙方指定银行账户。如未及时收到发票，则甲方相应付款时间顺延。若因甲方付款审批影响支付进度，请乙方予以谅解，并不得就此向甲方索赔。</w:t>
      </w:r>
    </w:p>
    <w:p>
      <w:pPr>
        <w:pStyle w:val="6"/>
        <w:spacing w:after="0" w:line="360" w:lineRule="auto"/>
        <w:ind w:firstLine="480" w:firstLineChars="200"/>
        <w:rPr>
          <w:rFonts w:hint="eastAsia" w:ascii="宋体" w:hAnsi="宋体" w:cs="宋体"/>
          <w:sz w:val="24"/>
        </w:rPr>
      </w:pPr>
      <w:r>
        <w:rPr>
          <w:rFonts w:hint="eastAsia" w:ascii="宋体" w:hAnsi="宋体" w:cs="宋体"/>
          <w:sz w:val="24"/>
        </w:rPr>
        <w:t>3、乙方银行账户信息：</w:t>
      </w:r>
    </w:p>
    <w:p>
      <w:pPr>
        <w:pStyle w:val="6"/>
        <w:spacing w:after="0" w:line="360" w:lineRule="auto"/>
        <w:ind w:firstLine="480" w:firstLineChars="200"/>
        <w:rPr>
          <w:rFonts w:hint="eastAsia" w:ascii="宋体" w:hAnsi="宋体" w:cs="宋体"/>
          <w:sz w:val="24"/>
        </w:rPr>
      </w:pPr>
      <w:r>
        <w:rPr>
          <w:rFonts w:hint="eastAsia" w:ascii="宋体" w:hAnsi="宋体" w:cs="宋体"/>
          <w:sz w:val="24"/>
        </w:rPr>
        <w:t xml:space="preserve">开户银行： </w:t>
      </w:r>
    </w:p>
    <w:p>
      <w:pPr>
        <w:pStyle w:val="6"/>
        <w:spacing w:after="0" w:line="360" w:lineRule="auto"/>
        <w:ind w:firstLine="480" w:firstLineChars="200"/>
        <w:rPr>
          <w:rFonts w:hint="eastAsia" w:ascii="宋体" w:hAnsi="宋体" w:cs="宋体"/>
          <w:sz w:val="24"/>
        </w:rPr>
      </w:pPr>
      <w:r>
        <w:rPr>
          <w:rFonts w:hint="eastAsia" w:ascii="宋体" w:hAnsi="宋体" w:cs="宋体"/>
          <w:sz w:val="24"/>
        </w:rPr>
        <w:t>户名：</w:t>
      </w:r>
    </w:p>
    <w:p>
      <w:pPr>
        <w:pStyle w:val="6"/>
        <w:spacing w:after="0" w:line="360" w:lineRule="auto"/>
        <w:ind w:firstLine="480" w:firstLineChars="200"/>
        <w:rPr>
          <w:rFonts w:hint="eastAsia" w:ascii="宋体" w:hAnsi="宋体" w:cs="宋体"/>
          <w:sz w:val="24"/>
        </w:rPr>
      </w:pPr>
      <w:r>
        <w:rPr>
          <w:rFonts w:hint="eastAsia" w:ascii="宋体" w:hAnsi="宋体" w:cs="宋体"/>
          <w:sz w:val="24"/>
        </w:rPr>
        <w:t>账号：</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第十三条 合同提前终止</w:t>
      </w:r>
    </w:p>
    <w:p>
      <w:pPr>
        <w:pStyle w:val="29"/>
        <w:spacing w:line="360" w:lineRule="auto"/>
        <w:ind w:firstLine="480"/>
        <w:rPr>
          <w:rFonts w:hint="eastAsia" w:ascii="宋体" w:hAnsi="宋体" w:cs="宋体"/>
          <w:sz w:val="24"/>
          <w:szCs w:val="24"/>
        </w:rPr>
      </w:pPr>
      <w:r>
        <w:rPr>
          <w:rFonts w:hint="eastAsia" w:ascii="宋体" w:hAnsi="宋体" w:cs="宋体"/>
          <w:sz w:val="24"/>
          <w:szCs w:val="24"/>
        </w:rPr>
        <w:t>1、双方协商同意提前终止本合同的，按双方协商约定的方式进行结算。</w:t>
      </w:r>
    </w:p>
    <w:p>
      <w:pPr>
        <w:pStyle w:val="29"/>
        <w:spacing w:line="360" w:lineRule="auto"/>
        <w:ind w:firstLine="480"/>
        <w:rPr>
          <w:rFonts w:hint="eastAsia" w:ascii="宋体" w:hAnsi="宋体" w:cs="宋体"/>
          <w:sz w:val="24"/>
          <w:szCs w:val="24"/>
        </w:rPr>
      </w:pPr>
      <w:r>
        <w:rPr>
          <w:rFonts w:hint="eastAsia" w:ascii="宋体" w:hAnsi="宋体" w:cs="宋体"/>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9"/>
        <w:spacing w:line="360" w:lineRule="auto"/>
        <w:ind w:firstLine="480"/>
        <w:rPr>
          <w:rFonts w:hint="eastAsia" w:ascii="宋体" w:hAnsi="宋体" w:cs="宋体"/>
          <w:sz w:val="24"/>
          <w:szCs w:val="24"/>
        </w:rPr>
      </w:pPr>
      <w:r>
        <w:rPr>
          <w:rFonts w:hint="eastAsia" w:ascii="宋体" w:hAnsi="宋体" w:cs="宋体"/>
          <w:sz w:val="24"/>
          <w:szCs w:val="24"/>
        </w:rPr>
        <w:t>3、有下列情形之一的，本合同自甲方向乙方发出书面通知之日起终止：</w:t>
      </w:r>
    </w:p>
    <w:p>
      <w:pPr>
        <w:pStyle w:val="29"/>
        <w:spacing w:line="360" w:lineRule="auto"/>
        <w:ind w:firstLine="480"/>
        <w:rPr>
          <w:rFonts w:hint="eastAsia" w:ascii="宋体" w:hAnsi="宋体" w:cs="宋体"/>
          <w:sz w:val="24"/>
          <w:szCs w:val="24"/>
        </w:rPr>
      </w:pPr>
      <w:r>
        <w:rPr>
          <w:rFonts w:hint="eastAsia" w:ascii="宋体" w:hAnsi="宋体" w:cs="宋体"/>
          <w:sz w:val="24"/>
        </w:rPr>
        <w:t>（1）</w:t>
      </w:r>
      <w:r>
        <w:rPr>
          <w:rFonts w:hint="eastAsia" w:ascii="宋体" w:hAnsi="宋体" w:cs="宋体"/>
          <w:sz w:val="24"/>
          <w:szCs w:val="24"/>
        </w:rPr>
        <w:t>甲方的职能发生转变，不再具有委托职能。</w:t>
      </w:r>
    </w:p>
    <w:p>
      <w:pPr>
        <w:pStyle w:val="29"/>
        <w:spacing w:line="360" w:lineRule="auto"/>
        <w:ind w:firstLine="480"/>
        <w:rPr>
          <w:rFonts w:hint="eastAsia" w:ascii="宋体" w:hAnsi="宋体" w:cs="宋体"/>
          <w:sz w:val="24"/>
          <w:szCs w:val="24"/>
        </w:rPr>
      </w:pPr>
      <w:r>
        <w:rPr>
          <w:rFonts w:hint="eastAsia" w:ascii="宋体" w:hAnsi="宋体" w:cs="宋体"/>
          <w:sz w:val="24"/>
        </w:rPr>
        <w:t>（2）</w:t>
      </w:r>
      <w:r>
        <w:rPr>
          <w:rFonts w:hint="eastAsia" w:ascii="宋体" w:hAnsi="宋体" w:cs="宋体"/>
          <w:sz w:val="24"/>
          <w:szCs w:val="24"/>
        </w:rPr>
        <w:t>本合同签订时适用的法律法规或政策发生变化，且对本合同的继续履行造成重大影响。</w:t>
      </w:r>
    </w:p>
    <w:p>
      <w:pPr>
        <w:pStyle w:val="29"/>
        <w:spacing w:line="360" w:lineRule="auto"/>
        <w:ind w:firstLine="480"/>
        <w:rPr>
          <w:rFonts w:hint="eastAsia" w:ascii="宋体" w:hAnsi="宋体" w:cs="宋体"/>
          <w:sz w:val="24"/>
          <w:szCs w:val="24"/>
        </w:rPr>
      </w:pPr>
      <w:r>
        <w:rPr>
          <w:rFonts w:hint="eastAsia" w:ascii="宋体" w:hAnsi="宋体" w:cs="宋体"/>
          <w:sz w:val="24"/>
        </w:rPr>
        <w:t>（3）</w:t>
      </w: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29"/>
        <w:spacing w:line="360" w:lineRule="auto"/>
        <w:ind w:firstLine="480"/>
        <w:rPr>
          <w:rFonts w:hint="eastAsia" w:ascii="宋体" w:hAnsi="宋体" w:cs="宋体"/>
          <w:sz w:val="24"/>
          <w:szCs w:val="24"/>
        </w:rPr>
      </w:pPr>
      <w:r>
        <w:rPr>
          <w:rFonts w:hint="eastAsia" w:ascii="宋体" w:hAnsi="宋体" w:cs="宋体"/>
          <w:sz w:val="24"/>
          <w:szCs w:val="24"/>
        </w:rPr>
        <w:t>4、如发生不可抗力或其他超出合同双方控制的事件，致使一方无法履行合同，本合同解除。</w:t>
      </w:r>
    </w:p>
    <w:p>
      <w:pPr>
        <w:pStyle w:val="29"/>
        <w:spacing w:line="360" w:lineRule="auto"/>
        <w:ind w:firstLine="480"/>
        <w:rPr>
          <w:rFonts w:hint="eastAsia" w:ascii="宋体" w:hAnsi="宋体" w:cs="宋体"/>
          <w:sz w:val="24"/>
          <w:szCs w:val="24"/>
        </w:rPr>
      </w:pPr>
      <w:r>
        <w:rPr>
          <w:rFonts w:hint="eastAsia" w:ascii="宋体" w:hAnsi="宋体" w:cs="宋体"/>
          <w:sz w:val="24"/>
        </w:rPr>
        <w:t>（1）</w:t>
      </w:r>
      <w:r>
        <w:rPr>
          <w:rFonts w:hint="eastAsia" w:ascii="宋体" w:hAnsi="宋体" w:cs="宋体"/>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9"/>
        <w:spacing w:line="360" w:lineRule="auto"/>
        <w:ind w:firstLine="480"/>
        <w:rPr>
          <w:rFonts w:hint="eastAsia" w:ascii="宋体" w:hAnsi="宋体" w:cs="宋体"/>
          <w:sz w:val="24"/>
          <w:szCs w:val="24"/>
        </w:rPr>
      </w:pPr>
      <w:r>
        <w:rPr>
          <w:rFonts w:hint="eastAsia" w:ascii="宋体" w:hAnsi="宋体" w:cs="宋体"/>
          <w:sz w:val="24"/>
        </w:rPr>
        <w:t>（2）</w:t>
      </w:r>
      <w:r>
        <w:rPr>
          <w:rFonts w:hint="eastAsia" w:ascii="宋体" w:hAnsi="宋体" w:cs="宋体"/>
          <w:sz w:val="24"/>
          <w:szCs w:val="24"/>
        </w:rPr>
        <w:t>发生不可抗力，甲乙双方承担各自的损失。由于其中一方迟延履行合同义务后发生不可抗力的，其违约责任不能免除。</w:t>
      </w:r>
    </w:p>
    <w:p>
      <w:pPr>
        <w:pStyle w:val="29"/>
        <w:spacing w:line="360" w:lineRule="auto"/>
        <w:ind w:firstLine="480"/>
        <w:rPr>
          <w:rFonts w:hint="eastAsia" w:ascii="宋体" w:hAnsi="宋体" w:cs="宋体"/>
          <w:sz w:val="24"/>
          <w:szCs w:val="24"/>
        </w:rPr>
      </w:pPr>
      <w:r>
        <w:rPr>
          <w:rFonts w:hint="eastAsia" w:ascii="宋体" w:hAnsi="宋体" w:cs="宋体"/>
          <w:sz w:val="24"/>
        </w:rPr>
        <w:t>（3）</w:t>
      </w:r>
      <w:r>
        <w:rPr>
          <w:rFonts w:hint="eastAsia" w:ascii="宋体" w:hAnsi="宋体" w:cs="宋体"/>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第十四条  争议解决办法</w:t>
      </w:r>
    </w:p>
    <w:p>
      <w:pPr>
        <w:snapToGrid w:val="0"/>
        <w:spacing w:line="360" w:lineRule="auto"/>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numPr>
          <w:ilvl w:val="0"/>
          <w:numId w:val="9"/>
        </w:numPr>
        <w:spacing w:line="360" w:lineRule="auto"/>
        <w:ind w:firstLine="482" w:firstLineChars="200"/>
        <w:outlineLvl w:val="1"/>
        <w:rPr>
          <w:rFonts w:hint="eastAsia" w:ascii="宋体" w:hAnsi="宋体" w:cs="宋体"/>
          <w:b/>
          <w:bCs/>
          <w:sz w:val="24"/>
        </w:rPr>
      </w:pPr>
      <w:r>
        <w:rPr>
          <w:rFonts w:hint="eastAsia" w:ascii="宋体" w:hAnsi="宋体" w:cs="宋体"/>
          <w:b/>
          <w:bCs/>
          <w:sz w:val="24"/>
        </w:rPr>
        <w:t xml:space="preserve"> 项目变更</w:t>
      </w:r>
    </w:p>
    <w:p>
      <w:pPr>
        <w:snapToGrid w:val="0"/>
        <w:spacing w:line="360" w:lineRule="auto"/>
        <w:ind w:firstLine="480" w:firstLineChars="200"/>
        <w:rPr>
          <w:rFonts w:hint="eastAsia" w:ascii="宋体" w:hAnsi="宋体" w:cs="宋体"/>
          <w:sz w:val="24"/>
        </w:rPr>
      </w:pPr>
      <w:r>
        <w:rPr>
          <w:rFonts w:hint="eastAsia" w:ascii="宋体" w:hAnsi="宋体" w:cs="宋体"/>
          <w:sz w:val="24"/>
        </w:rPr>
        <w:t>1、本合同履行过程中的需求变更和进度调整，以甲乙双方达成一致的书面文件为准。经双方同意的研究、编制内容等方面的增减，如所涉增加费用的金额不超过本合同项下服务费总金额的10%</w:t>
      </w:r>
      <w:r>
        <w:rPr>
          <w:rFonts w:hint="eastAsia" w:ascii="宋体" w:hAnsi="宋体" w:cs="宋体"/>
          <w:sz w:val="24"/>
          <w:lang w:eastAsia="zh-CN"/>
        </w:rPr>
        <w:t>，</w:t>
      </w:r>
      <w:r>
        <w:rPr>
          <w:rFonts w:hint="eastAsia" w:ascii="宋体" w:hAnsi="宋体" w:cs="宋体"/>
          <w:sz w:val="24"/>
        </w:rPr>
        <w:t>由双方商定变更内容及具体价格后签订书面补充协议予以确认。</w:t>
      </w:r>
    </w:p>
    <w:p>
      <w:pPr>
        <w:snapToGrid w:val="0"/>
        <w:spacing w:line="360" w:lineRule="auto"/>
        <w:ind w:firstLine="480" w:firstLineChars="200"/>
        <w:rPr>
          <w:rFonts w:hint="eastAsia"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sz w:val="24"/>
        </w:rPr>
      </w:pPr>
      <w:r>
        <w:rPr>
          <w:rFonts w:hint="eastAsia" w:ascii="宋体" w:hAnsi="宋体" w:cs="宋体"/>
          <w:sz w:val="24"/>
        </w:rPr>
        <w:t>4、在合同所约定的工作范畴内的服务，本合同价格不予变更</w:t>
      </w:r>
    </w:p>
    <w:p>
      <w:pPr>
        <w:numPr>
          <w:ilvl w:val="0"/>
          <w:numId w:val="9"/>
        </w:numPr>
        <w:spacing w:line="360" w:lineRule="auto"/>
        <w:ind w:firstLine="482" w:firstLineChars="200"/>
        <w:outlineLvl w:val="1"/>
        <w:rPr>
          <w:rFonts w:hint="eastAsia" w:ascii="宋体" w:hAnsi="宋体" w:cs="宋体"/>
          <w:b/>
          <w:bCs/>
          <w:sz w:val="24"/>
        </w:rPr>
      </w:pPr>
      <w:r>
        <w:rPr>
          <w:rFonts w:hint="eastAsia" w:ascii="宋体" w:hAnsi="宋体" w:cs="宋体"/>
          <w:b/>
          <w:bCs/>
          <w:sz w:val="24"/>
        </w:rPr>
        <w:t>风险责任</w:t>
      </w:r>
    </w:p>
    <w:p>
      <w:pPr>
        <w:spacing w:line="360" w:lineRule="auto"/>
        <w:ind w:firstLine="480" w:firstLineChars="200"/>
        <w:rPr>
          <w:rFonts w:hint="eastAsia" w:ascii="宋体" w:hAnsi="宋体" w:cs="宋体"/>
          <w:sz w:val="24"/>
        </w:rPr>
      </w:pPr>
      <w:r>
        <w:rPr>
          <w:rFonts w:hint="eastAsia" w:ascii="宋体" w:hAnsi="宋体" w:cs="宋体"/>
          <w:sz w:val="24"/>
        </w:rPr>
        <w:t>乙方应完全地按照【QH2025064】号招标文件的要求和乙方投标文件的承诺完成本项目，出于自身财务、技术、人力等原因导致项目失败的，应承担全部责任。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第十七条  违约责任</w:t>
      </w:r>
    </w:p>
    <w:p>
      <w:pPr>
        <w:spacing w:line="360" w:lineRule="auto"/>
        <w:ind w:firstLine="480" w:firstLineChars="200"/>
        <w:rPr>
          <w:rFonts w:hint="eastAsia"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sz w:val="24"/>
        </w:rPr>
      </w:pPr>
      <w:r>
        <w:rPr>
          <w:rFonts w:hint="eastAsia" w:ascii="宋体" w:hAnsi="宋体" w:cs="宋体"/>
          <w:sz w:val="24"/>
        </w:rPr>
        <w:t>（2）因乙方工作的错误或遗漏造成成果质量损失，</w:t>
      </w:r>
      <w:r>
        <w:rPr>
          <w:rFonts w:hint="eastAsia" w:ascii="宋体" w:hAnsi="宋体" w:cs="宋体"/>
          <w:sz w:val="24"/>
          <w:lang w:val="zh-CN"/>
        </w:rPr>
        <w:t>工作成果质量低劣，不能满足甲方工作需要和要求</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hint="eastAsia"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第十八条  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9"/>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9"/>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9"/>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9"/>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9"/>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9"/>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11、本合同自双方盖章、法定代表人或其授权代表签字之日起生效，有效期至本合同全部权利义务履行完毕之日止。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widowControl/>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ind w:firstLine="200"/>
        <w:rPr>
          <w:rFonts w:hint="eastAsia" w:ascii="宋体" w:hAnsi="宋体" w:cs="宋体"/>
          <w:sz w:val="24"/>
        </w:rPr>
      </w:pPr>
    </w:p>
    <w:p>
      <w:pPr>
        <w:adjustRightInd w:val="0"/>
        <w:snapToGrid w:val="0"/>
        <w:spacing w:line="360" w:lineRule="auto"/>
        <w:ind w:left="8312" w:hanging="8312" w:hangingChars="3450"/>
        <w:rPr>
          <w:rFonts w:hint="eastAsia" w:ascii="宋体" w:hAnsi="宋体" w:cs="宋体"/>
          <w:b/>
          <w:sz w:val="24"/>
        </w:rPr>
      </w:pPr>
      <w:r>
        <w:rPr>
          <w:rFonts w:hint="eastAsia" w:ascii="宋体" w:hAnsi="宋体" w:cs="宋体"/>
          <w:b/>
          <w:sz w:val="24"/>
        </w:rPr>
        <w:t>甲方名称：                                 乙方名称：</w:t>
      </w:r>
    </w:p>
    <w:p>
      <w:pPr>
        <w:adjustRightInd w:val="0"/>
        <w:snapToGrid w:val="0"/>
        <w:spacing w:line="360" w:lineRule="auto"/>
        <w:rPr>
          <w:rFonts w:hint="eastAsia"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hint="eastAsia"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hint="eastAsia" w:ascii="宋体" w:hAnsi="宋体" w:cs="宋体"/>
          <w:sz w:val="24"/>
        </w:rPr>
      </w:pPr>
    </w:p>
    <w:p>
      <w:pPr>
        <w:adjustRightInd w:val="0"/>
        <w:snapToGrid w:val="0"/>
        <w:spacing w:line="560" w:lineRule="exact"/>
        <w:rPr>
          <w:rFonts w:hint="eastAsia" w:ascii="宋体" w:hAnsi="宋体" w:cs="宋体"/>
          <w:sz w:val="24"/>
        </w:rPr>
      </w:pPr>
      <w:r>
        <w:rPr>
          <w:rFonts w:hint="eastAsia" w:ascii="宋体" w:hAnsi="宋体" w:cs="宋体"/>
          <w:sz w:val="24"/>
        </w:rPr>
        <w:t>注：本合同样本仅供参考，非实质性条款内容可由采购人和中标人协商确定。</w:t>
      </w:r>
    </w:p>
    <w:p>
      <w:pPr>
        <w:numPr>
          <w:ilvl w:val="0"/>
          <w:numId w:val="2"/>
        </w:numPr>
        <w:spacing w:line="560" w:lineRule="exact"/>
        <w:jc w:val="center"/>
        <w:outlineLvl w:val="0"/>
        <w:rPr>
          <w:rFonts w:hint="eastAsia"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560" w:lineRule="exact"/>
        <w:jc w:val="center"/>
        <w:outlineLvl w:val="0"/>
        <w:rPr>
          <w:rFonts w:hint="eastAsia" w:ascii="宋体" w:hAnsi="宋体" w:cs="宋体"/>
          <w:b/>
          <w:bCs/>
          <w:sz w:val="24"/>
        </w:rPr>
      </w:pPr>
      <w:bookmarkStart w:id="21" w:name="_Toc6457"/>
      <w:r>
        <w:rPr>
          <w:rFonts w:hint="eastAsia" w:ascii="宋体" w:hAnsi="宋体" w:cs="宋体"/>
          <w:sz w:val="24"/>
        </w:rPr>
        <w:t xml:space="preserve"> </w:t>
      </w:r>
      <w:r>
        <w:rPr>
          <w:rFonts w:hint="eastAsia" w:ascii="宋体" w:hAnsi="宋体" w:cs="宋体"/>
          <w:b/>
          <w:bCs/>
          <w:sz w:val="24"/>
        </w:rPr>
        <w:t xml:space="preserve"> </w:t>
      </w:r>
      <w:bookmarkStart w:id="22" w:name="_Toc793"/>
      <w:r>
        <w:rPr>
          <w:rFonts w:hint="eastAsia" w:ascii="宋体" w:hAnsi="宋体" w:cs="宋体"/>
          <w:b/>
          <w:bCs/>
          <w:sz w:val="24"/>
        </w:rPr>
        <w:t>用户需求书</w:t>
      </w:r>
      <w:bookmarkEnd w:id="22"/>
    </w:p>
    <w:p>
      <w:pPr>
        <w:pStyle w:val="40"/>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23" w:name="_Toc11045"/>
      <w:bookmarkStart w:id="24" w:name="_Toc23726"/>
      <w:r>
        <w:rPr>
          <w:rFonts w:hint="eastAsia" w:ascii="宋体" w:hAnsi="宋体" w:cs="宋体"/>
          <w:b/>
          <w:sz w:val="24"/>
        </w:rPr>
        <w:t>一、</w:t>
      </w:r>
      <w:bookmarkEnd w:id="23"/>
      <w:bookmarkEnd w:id="24"/>
      <w:bookmarkStart w:id="25" w:name="_Toc51746099"/>
      <w:r>
        <w:rPr>
          <w:rFonts w:hint="eastAsia" w:ascii="宋体" w:hAnsi="宋体" w:cs="宋体"/>
          <w:b/>
          <w:sz w:val="24"/>
          <w:lang w:val="zh-CN"/>
        </w:rPr>
        <w:t>项目总体概</w:t>
      </w:r>
      <w:r>
        <w:rPr>
          <w:rFonts w:hint="eastAsia" w:ascii="宋体" w:hAnsi="宋体" w:cs="宋体"/>
          <w:b/>
          <w:sz w:val="24"/>
        </w:rPr>
        <w:t>况</w:t>
      </w:r>
    </w:p>
    <w:bookmarkEnd w:id="25"/>
    <w:p>
      <w:pPr>
        <w:spacing w:line="500" w:lineRule="exact"/>
        <w:ind w:firstLine="480" w:firstLineChars="200"/>
        <w:rPr>
          <w:rFonts w:hint="eastAsia" w:ascii="宋体" w:hAnsi="宋体" w:cs="宋体"/>
          <w:sz w:val="24"/>
        </w:rPr>
      </w:pPr>
      <w:r>
        <w:rPr>
          <w:rFonts w:hint="eastAsia" w:ascii="宋体" w:hAnsi="宋体" w:cs="宋体"/>
          <w:sz w:val="24"/>
        </w:rPr>
        <w:t>习近平总书记指出，营商环境只有更好，没有最好。党的十八大以来，我国持续推进营商环境建设，在经济合作与发展组织发布的全球营商环境排名中，位次逐步提升。前海自2018年以来坚持开展营商环境的研究、评估、提升工作，对持续深化“放管服”改革、推动前海制度创新、促进深港规则衔接、增强企业获得感发挥了重要支撑作用。</w:t>
      </w:r>
    </w:p>
    <w:p>
      <w:pPr>
        <w:spacing w:line="500" w:lineRule="exact"/>
        <w:ind w:firstLine="480" w:firstLineChars="200"/>
        <w:rPr>
          <w:rFonts w:hint="eastAsia" w:ascii="宋体" w:hAnsi="宋体" w:cs="宋体"/>
          <w:sz w:val="24"/>
        </w:rPr>
      </w:pPr>
      <w:r>
        <w:rPr>
          <w:rFonts w:hint="eastAsia" w:ascii="宋体" w:hAnsi="宋体" w:cs="宋体"/>
          <w:sz w:val="24"/>
        </w:rPr>
        <w:t>2023年5月，世界银行推出了新的全球营商环境评价标准，国内先进城市积极对标，推出一系列改革措施，如上海深化世界银行对标改革，聚焦提升企业感受度推出营商环境8.0版行动方案；北京以“北京服务”为主线对标国际规则提出六大维度46个方面200余项改革任务。今年以来，广东省、深圳市也对营商环境提升工作作出了重要部署。</w:t>
      </w:r>
    </w:p>
    <w:p>
      <w:pPr>
        <w:pStyle w:val="4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二、项目意义</w:t>
      </w:r>
    </w:p>
    <w:p>
      <w:pPr>
        <w:spacing w:line="500" w:lineRule="exact"/>
        <w:ind w:firstLine="480" w:firstLineChars="200"/>
        <w:rPr>
          <w:rFonts w:hint="eastAsia" w:ascii="宋体" w:hAnsi="宋体" w:cs="宋体"/>
          <w:sz w:val="24"/>
        </w:rPr>
      </w:pPr>
      <w:r>
        <w:rPr>
          <w:rFonts w:hint="eastAsia" w:ascii="宋体" w:hAnsi="宋体" w:cs="宋体"/>
          <w:sz w:val="24"/>
        </w:rPr>
        <w:t>前海作为国家重大战略平台，走在改革开放的最前沿，有必要尽快对标世界银行全球营商环境评价新标准，结合前海发展特点、特色，深入分析前海的全球竞争力情况，客观评估前海营商环境建设成果，查找与国际国内先进城市的差距和不足，以评促改，以评促优，探索前海形成具有全球竞争力营商环境的发展路径和改革建议，加快推动前海成为深圳市、大湾区深化改革、参与全球竞争的战略支点。</w:t>
      </w:r>
    </w:p>
    <w:p>
      <w:pPr>
        <w:pStyle w:val="4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三、研究内容及成果</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（一）工作内容</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本咨询项目主要服务于拟定前海打造具有全球竞争力的营商环境工作报告（名称以最终审定为准），为拟定相关报告，中标单位具体服务内容包括但不限于形成一份调研报告、一套评估体系和评估结论和一场成果发布，具体如下：</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1.1 采取对接沟通、座谈会、专题访谈等多种方式，协助对前海营商环境建设情况开展多层面、多主体的扎实摸底调研，形成前海营商环境调研报告。主要内容包括：一是与代表性企业、专家、商协会等开展座谈交流，理清当前前海营商环境建设的问题、企业发展堵点卡点和企业需求。二是与局内相关处室沟通交流，深度了解前海营商环境建设各项工作任务推进现状、主要问题和未来发展谋划。三是协助与深圳市、南山区、宝安区等参与营商环境建设的相关职能部门开展座谈交流或专题访谈，收集关于前海合作区营商环境优化提升的下一步工作建议。</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1.2 借鉴世界银行新标准，构建前海特色营商环境评价指标体系，全面开展前海营商环境评估，形成前海营商环境评估报告。主要内容包括：一是构建评估体系。借鉴世界银行全球营商环境评价新标准，参照国家、省、市优化营商环境工作最新要求，结合前海合作区自身实际与特色，以企业全生命周期发展需求为主线，构建前海合作区营商环境评估体系。二是开展评估工作。按照评估体系开展各层级、各细项指标的定性定量评估工作，形成单指标评估结果、多指标综合评估结果和前海营商环境评估的总体结论。三是指标对比分析。与世界其他经济体的总体评估、综合评估结果进行比较、排名，判断前海作为独立经济体在全球主要经济体中的排名，并通过可量化单指标评估结果的对比，明确前海营商环境建设的优势和弱项</w:t>
      </w:r>
      <w:r>
        <w:rPr>
          <w:rFonts w:hint="eastAsia" w:ascii="宋体" w:hAnsi="宋体" w:cs="宋体"/>
          <w:sz w:val="24"/>
          <w:lang w:eastAsia="zh-CN"/>
        </w:rPr>
        <w:t>。</w:t>
      </w:r>
      <w:r>
        <w:rPr>
          <w:rFonts w:hint="eastAsia" w:ascii="宋体" w:hAnsi="宋体" w:cs="宋体"/>
          <w:sz w:val="24"/>
        </w:rPr>
        <w:t>四是结合前期调研和评估结论，综合分析前海营商环境建设的现状、成绩、问题及与先进地区营商环境建设的差距，协助形成前海营商环境优化的行动方案</w:t>
      </w:r>
      <w:r>
        <w:rPr>
          <w:rFonts w:hint="eastAsia" w:ascii="宋体" w:hAnsi="宋体" w:cs="宋体"/>
          <w:bCs/>
          <w:sz w:val="24"/>
        </w:rPr>
        <w:t>。</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w:t>
      </w:r>
      <w:r>
        <w:rPr>
          <w:rFonts w:hint="eastAsia" w:ascii="宋体" w:hAnsi="宋体" w:cs="宋体"/>
          <w:bCs/>
          <w:sz w:val="24"/>
          <w:lang w:val="en-US" w:eastAsia="zh-CN"/>
        </w:rPr>
        <w:t>3</w:t>
      </w:r>
      <w:r>
        <w:rPr>
          <w:rFonts w:hint="eastAsia" w:ascii="宋体" w:hAnsi="宋体" w:cs="宋体"/>
          <w:bCs/>
          <w:sz w:val="24"/>
        </w:rPr>
        <w:t>撰写前海营商环境发展成果发布报告，经审定后公开发布。主要内容包括：一是结合前期工作情况撰写前海合作区营商环境建设成果报告（形式包括但不限于蓝皮书等），对《前海方案》《前海规划》提出的“到2025年初步形成具有全球竞争力的营商环境”的目标完成情况进行评价。二是前海合作区营商环境建设成果报告经审议后，通过成果发布会或网上公布等方式，择时公开对外发布，输出“前海经验”，形成示范效应，进一步吸引国内外企业集聚前海投资发展。</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（二）服务要求</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1.评估要求</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（1）委办局访谈：通过组织线上或线下部门及机构座谈会，由各部门提供创新做法、政策文件、典型案例等材料，并通过企业调研问卷和第三方调研和专家咨询进行核验。</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（2）企业问卷调查：通过对主要产业方向市场主体随机抽样，回收问卷进行数据清洗、梳理统计、计算分析，导出市场主体满意度评价。</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（3）数据采集：对于反映总体成效的指标（如手续、时间、环节、成本、便利度等纳入市级、区级大数据平台的数据，进行数据采集。</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（4）专家咨询：甄选法律、税务、人力、贸易、银行等行业专家，通过调研问卷及咨询，获取相关数据并进行数据核验。</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2.营商环境保障服务</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为更好服务前海优化营商环境，理解评估指标内涵、未来营商环境评价趋势、改革创新方向，需对</w:t>
      </w:r>
      <w:r>
        <w:rPr>
          <w:rFonts w:hint="eastAsia" w:ascii="宋体" w:hAnsi="宋体" w:cs="宋体"/>
          <w:bCs/>
          <w:sz w:val="24"/>
          <w:lang w:eastAsia="zh-CN"/>
        </w:rPr>
        <w:t>涉及</w:t>
      </w:r>
      <w:r>
        <w:rPr>
          <w:rFonts w:hint="eastAsia" w:ascii="宋体" w:hAnsi="宋体" w:cs="宋体"/>
          <w:bCs/>
          <w:sz w:val="24"/>
        </w:rPr>
        <w:t>工作落实任务的各委办局进行任务目标解读、答疑、指导工作，保障任务落实中，与各委办局及时互动，清晰目标，信息同步，主要内容包括：</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（1）对本次前海评估体系指标进行解读工作。重点对本次评估</w:t>
      </w:r>
      <w:r>
        <w:rPr>
          <w:rFonts w:hint="eastAsia" w:ascii="宋体" w:hAnsi="宋体" w:cs="宋体"/>
          <w:bCs/>
          <w:sz w:val="24"/>
          <w:lang w:eastAsia="zh-CN"/>
        </w:rPr>
        <w:t>涉及</w:t>
      </w:r>
      <w:r>
        <w:rPr>
          <w:rFonts w:hint="eastAsia" w:ascii="宋体" w:hAnsi="宋体" w:cs="宋体"/>
          <w:bCs/>
          <w:sz w:val="24"/>
        </w:rPr>
        <w:t>的各项指标从方法逻辑、内涵和反馈出来的问题进行讲解，帮助相关委办局深刻理解指标评估背后的指向意义。</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（2）对世行营商环境评估新体系新概念进行指导工作。解读世行营商环境评估新体系在评估理念、评估角度、评估范围、评估方法上的新变化趋势，帮助前海理解世行未来几年新的评测改革方向和关注重点。</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（3）对改革创新内容进行解读工作。针对研究整理出的未来改革创新突破亮点，进行指导，帮助相关委办局深刻理解下一阶段改革任务的重点和核心方向，助力形成新的一批创新方法和案例。</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4）结合前期工作情况撰写前海合作区营商环境建设成果报告（形式包括但不限于蓝皮书等），对《前海方案》《前海规划》提出的“到2025年初步形成具有全球竞争力的营商环境”的目标完成情况进行评价。通过成果发布会或网上公布等方式，择时公开对外发布，输出“前海经验”，形成示范效应，进一步吸引国内外企业集聚前海投资发展。</w:t>
      </w:r>
    </w:p>
    <w:p>
      <w:pPr>
        <w:pStyle w:val="4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四、预期成果及验收标准</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本项目主要形成以下服务成果：</w:t>
      </w:r>
    </w:p>
    <w:p>
      <w:pPr>
        <w:widowControl/>
        <w:spacing w:line="360" w:lineRule="auto"/>
        <w:ind w:firstLine="480" w:firstLineChars="200"/>
        <w:rPr>
          <w:rFonts w:hint="eastAsia" w:ascii="宋体" w:hAnsi="宋体" w:cs="宋体"/>
          <w:sz w:val="24"/>
        </w:rPr>
      </w:pPr>
      <w:r>
        <w:rPr>
          <w:rFonts w:hint="eastAsia" w:ascii="宋体" w:hAnsi="宋体" w:cs="宋体"/>
          <w:sz w:val="24"/>
        </w:rPr>
        <w:t>1.前海营商环境调研报告；</w:t>
      </w:r>
    </w:p>
    <w:p>
      <w:pPr>
        <w:widowControl/>
        <w:spacing w:line="360" w:lineRule="auto"/>
        <w:ind w:firstLine="480" w:firstLineChars="200"/>
        <w:rPr>
          <w:rFonts w:hint="eastAsia" w:ascii="宋体" w:hAnsi="宋体" w:cs="宋体"/>
          <w:sz w:val="24"/>
        </w:rPr>
      </w:pPr>
      <w:r>
        <w:rPr>
          <w:rFonts w:hint="eastAsia" w:ascii="宋体" w:hAnsi="宋体" w:cs="宋体"/>
          <w:sz w:val="24"/>
        </w:rPr>
        <w:t>2.前海营商环境特色评估体系和评估报告；</w:t>
      </w:r>
    </w:p>
    <w:p>
      <w:pPr>
        <w:widowControl/>
        <w:spacing w:line="360" w:lineRule="auto"/>
        <w:ind w:firstLine="480" w:firstLineChars="200"/>
        <w:rPr>
          <w:rFonts w:hint="eastAsia" w:ascii="宋体" w:hAnsi="宋体" w:cs="宋体"/>
          <w:sz w:val="24"/>
        </w:rPr>
      </w:pPr>
      <w:r>
        <w:rPr>
          <w:rFonts w:hint="eastAsia" w:ascii="宋体" w:hAnsi="宋体" w:cs="宋体"/>
          <w:sz w:val="24"/>
        </w:rPr>
        <w:t>3.前海营商环境建设成果报告。</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以上所有成果提交并通过深圳市前海深港现代服务业合作区管理局验收，视为验收合格。</w:t>
      </w:r>
    </w:p>
    <w:p>
      <w:pPr>
        <w:pStyle w:val="4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五、进度安排</w:t>
      </w:r>
    </w:p>
    <w:p>
      <w:pPr>
        <w:widowControl/>
        <w:spacing w:line="360" w:lineRule="auto"/>
        <w:ind w:firstLine="480" w:firstLineChars="200"/>
        <w:rPr>
          <w:rFonts w:hint="eastAsia" w:ascii="宋体" w:hAnsi="宋体" w:cs="宋体"/>
          <w:sz w:val="24"/>
        </w:rPr>
      </w:pPr>
      <w:r>
        <w:rPr>
          <w:rFonts w:hint="eastAsia" w:ascii="宋体" w:hAnsi="宋体" w:cs="宋体"/>
          <w:sz w:val="24"/>
        </w:rPr>
        <w:t>本项目计划在6个月内，分三期完成：</w:t>
      </w:r>
    </w:p>
    <w:p>
      <w:pPr>
        <w:widowControl/>
        <w:spacing w:line="360" w:lineRule="auto"/>
        <w:ind w:firstLine="480" w:firstLineChars="200"/>
        <w:rPr>
          <w:rFonts w:hint="eastAsia" w:ascii="宋体" w:hAnsi="宋体" w:cs="宋体"/>
          <w:sz w:val="24"/>
        </w:rPr>
      </w:pPr>
      <w:r>
        <w:rPr>
          <w:rFonts w:hint="eastAsia" w:ascii="宋体" w:hAnsi="宋体" w:cs="宋体"/>
          <w:sz w:val="24"/>
        </w:rPr>
        <w:t>首期：自合同签订之日起3个月内开展内开展实地调研访谈、营商环境保障服务，形成问题清单、可落地工作建议，提交相关报告；</w:t>
      </w:r>
    </w:p>
    <w:p>
      <w:pPr>
        <w:widowControl/>
        <w:spacing w:line="360" w:lineRule="auto"/>
        <w:ind w:firstLine="480" w:firstLineChars="200"/>
        <w:rPr>
          <w:rFonts w:hint="eastAsia" w:ascii="宋体" w:hAnsi="宋体" w:cs="宋体"/>
          <w:sz w:val="24"/>
        </w:rPr>
      </w:pPr>
      <w:r>
        <w:rPr>
          <w:rFonts w:hint="eastAsia" w:ascii="宋体" w:hAnsi="宋体" w:cs="宋体"/>
          <w:sz w:val="24"/>
        </w:rPr>
        <w:t>二期：自合同签订之日起</w:t>
      </w:r>
      <w:r>
        <w:rPr>
          <w:rFonts w:ascii="宋体" w:hAnsi="宋体" w:cs="宋体"/>
          <w:sz w:val="24"/>
        </w:rPr>
        <w:t>4</w:t>
      </w:r>
      <w:r>
        <w:rPr>
          <w:rFonts w:hint="eastAsia" w:ascii="宋体" w:hAnsi="宋体" w:cs="宋体"/>
          <w:sz w:val="24"/>
        </w:rPr>
        <w:t>个月，前海营商环境指标评估，提交报告；</w:t>
      </w:r>
    </w:p>
    <w:p>
      <w:pPr>
        <w:spacing w:after="156" w:afterLines="50" w:line="360" w:lineRule="auto"/>
        <w:ind w:firstLine="480" w:firstLineChars="200"/>
        <w:rPr>
          <w:rFonts w:hint="eastAsia" w:ascii="宋体" w:hAnsi="宋体" w:cs="宋体"/>
          <w:sz w:val="24"/>
        </w:rPr>
      </w:pPr>
      <w:r>
        <w:rPr>
          <w:rFonts w:hint="eastAsia" w:ascii="宋体" w:hAnsi="宋体" w:cs="宋体"/>
          <w:sz w:val="24"/>
        </w:rPr>
        <w:t>三期：自合同签订之日起6个月内提交</w:t>
      </w:r>
      <w:r>
        <w:rPr>
          <w:rFonts w:hint="eastAsia" w:ascii="宋体" w:hAnsi="宋体" w:cs="宋体"/>
          <w:sz w:val="24"/>
          <w:lang w:eastAsia="zh-CN"/>
        </w:rPr>
        <w:t>评估报告终稿</w:t>
      </w:r>
      <w:r>
        <w:rPr>
          <w:rFonts w:hint="eastAsia" w:ascii="宋体" w:hAnsi="宋体" w:cs="宋体"/>
          <w:sz w:val="24"/>
        </w:rPr>
        <w:t>，并择时公开发布相关前海营商环境建设成果报告（形式包括但不限于蓝皮书等）。</w:t>
      </w:r>
    </w:p>
    <w:p>
      <w:pPr>
        <w:pStyle w:val="4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六、后续服务要求</w:t>
      </w:r>
    </w:p>
    <w:p>
      <w:pPr>
        <w:pStyle w:val="4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本项目后续服务期为所有最终成果通过采购人验收之日起6个月内。项目完成验收后，在审计、后续抽查等过程中，中标人应配合需要提供以下无偿服务：在后续服务期限内提供相关咨询、协调和项目审查等技术支持。</w:t>
      </w:r>
    </w:p>
    <w:p>
      <w:pPr>
        <w:pStyle w:val="40"/>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lang w:val="en-US" w:eastAsia="zh-CN"/>
        </w:rPr>
        <w:t>七</w:t>
      </w:r>
      <w:r>
        <w:rPr>
          <w:rFonts w:hint="eastAsia" w:ascii="宋体" w:hAnsi="宋体" w:cs="宋体"/>
          <w:b/>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（一）服务期限</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项目服务期限为自合同签订之日起6个月，所有成果提交并通过采购人验收。</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（二）报价要求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的合同金额。项目预算控制</w:t>
      </w:r>
      <w:r>
        <w:rPr>
          <w:rFonts w:hint="eastAsia" w:ascii="宋体" w:hAnsi="宋体" w:cs="宋体"/>
          <w:sz w:val="24"/>
          <w:lang w:eastAsia="zh-CN"/>
        </w:rPr>
        <w:t>60</w:t>
      </w:r>
      <w:r>
        <w:rPr>
          <w:rFonts w:hint="eastAsia" w:ascii="宋体" w:hAnsi="宋体" w:cs="宋体"/>
          <w:sz w:val="24"/>
        </w:rPr>
        <w:t>万元以内，投标人的报价不可高于预算（限价），否则投标人的投标文件视同无效。项目服务费包括调研费、中标服务费、各种资料费、税金、会议评审、差旅费等所有费用，并提供合同要求的成果文件，以及其它相关服务的全部费用。</w:t>
      </w:r>
    </w:p>
    <w:p>
      <w:pPr>
        <w:widowControl/>
        <w:spacing w:line="360" w:lineRule="auto"/>
        <w:ind w:firstLine="480" w:firstLineChars="200"/>
        <w:rPr>
          <w:rFonts w:hint="eastAsia"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项目资金分3期支付至中标人指定银行账户：</w:t>
      </w:r>
    </w:p>
    <w:p>
      <w:pPr>
        <w:pStyle w:val="6"/>
        <w:spacing w:after="0"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首期：服务期限开始之日起15个工作日内，由</w:t>
      </w:r>
      <w:r>
        <w:rPr>
          <w:rFonts w:hint="eastAsia" w:ascii="宋体" w:hAnsi="宋体" w:cs="宋体"/>
          <w:sz w:val="24"/>
          <w:lang w:val="en-US" w:eastAsia="zh-CN"/>
        </w:rPr>
        <w:t>中标人</w:t>
      </w:r>
      <w:r>
        <w:rPr>
          <w:rFonts w:hint="eastAsia" w:ascii="宋体" w:hAnsi="宋体" w:cs="宋体"/>
          <w:sz w:val="24"/>
        </w:rPr>
        <w:t>提出付款申请，</w:t>
      </w:r>
      <w:r>
        <w:rPr>
          <w:rFonts w:hint="eastAsia" w:ascii="宋体" w:hAnsi="宋体" w:cs="宋体"/>
          <w:sz w:val="24"/>
          <w:lang w:val="en-US" w:eastAsia="zh-CN"/>
        </w:rPr>
        <w:t>采购人</w:t>
      </w:r>
      <w:r>
        <w:rPr>
          <w:rFonts w:hint="eastAsia" w:ascii="宋体" w:hAnsi="宋体" w:cs="宋体"/>
          <w:sz w:val="24"/>
        </w:rPr>
        <w:t>向</w:t>
      </w:r>
      <w:r>
        <w:rPr>
          <w:rFonts w:hint="eastAsia" w:ascii="宋体" w:hAnsi="宋体" w:cs="宋体"/>
          <w:sz w:val="24"/>
          <w:lang w:val="en-US" w:eastAsia="zh-CN"/>
        </w:rPr>
        <w:t>中标人</w:t>
      </w:r>
      <w:r>
        <w:rPr>
          <w:rFonts w:hint="eastAsia" w:ascii="宋体" w:hAnsi="宋体" w:cs="宋体"/>
          <w:sz w:val="24"/>
        </w:rPr>
        <w:t>支付合同总价款的</w:t>
      </w:r>
      <w:r>
        <w:rPr>
          <w:rFonts w:hint="eastAsia" w:ascii="宋体" w:hAnsi="宋体" w:cs="宋体"/>
          <w:sz w:val="24"/>
          <w:lang w:val="en-US" w:eastAsia="zh-CN"/>
        </w:rPr>
        <w:t>3</w:t>
      </w:r>
      <w:r>
        <w:rPr>
          <w:rFonts w:hint="eastAsia" w:ascii="宋体" w:hAnsi="宋体" w:cs="宋体"/>
          <w:sz w:val="24"/>
        </w:rPr>
        <w:t>0%；</w:t>
      </w:r>
    </w:p>
    <w:p>
      <w:pPr>
        <w:pStyle w:val="6"/>
        <w:spacing w:after="0"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第二期：</w:t>
      </w:r>
      <w:r>
        <w:rPr>
          <w:rFonts w:hint="eastAsia" w:ascii="宋体" w:hAnsi="宋体" w:cs="宋体"/>
          <w:sz w:val="24"/>
          <w:lang w:val="en-US" w:eastAsia="zh-CN"/>
        </w:rPr>
        <w:t>采购人</w:t>
      </w:r>
      <w:r>
        <w:rPr>
          <w:rFonts w:hint="eastAsia" w:ascii="宋体" w:hAnsi="宋体" w:cs="宋体"/>
          <w:sz w:val="24"/>
        </w:rPr>
        <w:t>形成</w:t>
      </w:r>
      <w:r>
        <w:rPr>
          <w:rFonts w:hint="eastAsia" w:ascii="宋体" w:hAnsi="宋体" w:cs="宋体"/>
          <w:sz w:val="24"/>
          <w:lang w:eastAsia="zh-CN"/>
        </w:rPr>
        <w:t>前海营商环境</w:t>
      </w:r>
      <w:r>
        <w:rPr>
          <w:rFonts w:hint="eastAsia" w:ascii="宋体" w:hAnsi="宋体" w:cs="宋体"/>
          <w:sz w:val="24"/>
        </w:rPr>
        <w:t>调研报告，经</w:t>
      </w:r>
      <w:r>
        <w:rPr>
          <w:rFonts w:hint="eastAsia" w:ascii="宋体" w:hAnsi="宋体" w:cs="宋体"/>
          <w:sz w:val="24"/>
          <w:lang w:val="en-US" w:eastAsia="zh-CN"/>
        </w:rPr>
        <w:t>采购人</w:t>
      </w:r>
      <w:r>
        <w:rPr>
          <w:rFonts w:hint="eastAsia" w:ascii="宋体" w:hAnsi="宋体" w:cs="宋体"/>
          <w:sz w:val="24"/>
        </w:rPr>
        <w:t>验收合格后，根据</w:t>
      </w:r>
      <w:r>
        <w:rPr>
          <w:rFonts w:hint="eastAsia" w:ascii="宋体" w:hAnsi="宋体" w:cs="宋体"/>
          <w:sz w:val="24"/>
          <w:lang w:val="en-US" w:eastAsia="zh-CN"/>
        </w:rPr>
        <w:t>中标人</w:t>
      </w:r>
      <w:r>
        <w:rPr>
          <w:rFonts w:hint="eastAsia" w:ascii="宋体" w:hAnsi="宋体" w:cs="宋体"/>
          <w:sz w:val="24"/>
        </w:rPr>
        <w:t>提出的付款申请，</w:t>
      </w:r>
      <w:r>
        <w:rPr>
          <w:rFonts w:hint="eastAsia" w:ascii="宋体" w:hAnsi="宋体" w:cs="宋体"/>
          <w:sz w:val="24"/>
          <w:lang w:val="en-US" w:eastAsia="zh-CN"/>
        </w:rPr>
        <w:t>采购人</w:t>
      </w:r>
      <w:r>
        <w:rPr>
          <w:rFonts w:hint="eastAsia" w:ascii="宋体" w:hAnsi="宋体" w:cs="宋体"/>
          <w:sz w:val="24"/>
        </w:rPr>
        <w:t>向</w:t>
      </w:r>
      <w:r>
        <w:rPr>
          <w:rFonts w:hint="eastAsia" w:ascii="宋体" w:hAnsi="宋体" w:cs="宋体"/>
          <w:sz w:val="24"/>
          <w:lang w:val="en-US" w:eastAsia="zh-CN"/>
        </w:rPr>
        <w:t>中标人</w:t>
      </w:r>
      <w:r>
        <w:rPr>
          <w:rFonts w:hint="eastAsia" w:ascii="宋体" w:hAnsi="宋体" w:cs="宋体"/>
          <w:sz w:val="24"/>
        </w:rPr>
        <w:t>支付合同总价款的</w:t>
      </w:r>
      <w:r>
        <w:rPr>
          <w:rFonts w:hint="eastAsia" w:ascii="宋体" w:hAnsi="宋体" w:cs="宋体"/>
          <w:sz w:val="24"/>
          <w:lang w:val="en-US" w:eastAsia="zh-CN"/>
        </w:rPr>
        <w:t>4</w:t>
      </w:r>
      <w:r>
        <w:rPr>
          <w:rFonts w:hint="eastAsia" w:ascii="宋体" w:hAnsi="宋体" w:cs="宋体"/>
          <w:sz w:val="24"/>
        </w:rPr>
        <w:t>0%；</w:t>
      </w:r>
    </w:p>
    <w:p>
      <w:pPr>
        <w:pStyle w:val="6"/>
        <w:spacing w:after="0"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第三期：</w:t>
      </w:r>
      <w:r>
        <w:rPr>
          <w:rFonts w:hint="eastAsia" w:ascii="宋体" w:hAnsi="宋体" w:cs="宋体"/>
          <w:sz w:val="24"/>
          <w:lang w:val="en-US" w:eastAsia="zh-CN"/>
        </w:rPr>
        <w:t>中标人</w:t>
      </w:r>
      <w:r>
        <w:rPr>
          <w:rFonts w:hint="eastAsia" w:ascii="宋体" w:hAnsi="宋体" w:cs="宋体"/>
          <w:sz w:val="24"/>
          <w:lang w:eastAsia="zh-CN"/>
        </w:rPr>
        <w:t>完成</w:t>
      </w:r>
      <w:r>
        <w:rPr>
          <w:rFonts w:hint="eastAsia" w:ascii="宋体" w:hAnsi="宋体" w:cs="宋体"/>
          <w:sz w:val="24"/>
        </w:rPr>
        <w:t>形成</w:t>
      </w:r>
      <w:r>
        <w:rPr>
          <w:rFonts w:hint="eastAsia" w:ascii="宋体" w:hAnsi="宋体" w:cs="宋体"/>
          <w:sz w:val="24"/>
          <w:lang w:eastAsia="zh-CN"/>
        </w:rPr>
        <w:t>前海营商环境</w:t>
      </w:r>
      <w:r>
        <w:rPr>
          <w:rFonts w:hint="eastAsia" w:ascii="宋体" w:hAnsi="宋体" w:cs="宋体"/>
          <w:sz w:val="24"/>
        </w:rPr>
        <w:t>评估报告</w:t>
      </w:r>
      <w:r>
        <w:rPr>
          <w:rFonts w:hint="eastAsia" w:ascii="宋体" w:hAnsi="宋体" w:cs="宋体"/>
          <w:sz w:val="24"/>
          <w:lang w:eastAsia="zh-CN"/>
        </w:rPr>
        <w:t>等全部项目，</w:t>
      </w:r>
      <w:r>
        <w:rPr>
          <w:rFonts w:hint="eastAsia" w:ascii="宋体" w:hAnsi="宋体" w:cs="宋体"/>
          <w:sz w:val="24"/>
        </w:rPr>
        <w:t>经</w:t>
      </w:r>
      <w:r>
        <w:rPr>
          <w:rFonts w:hint="eastAsia" w:ascii="宋体" w:hAnsi="宋体" w:cs="宋体"/>
          <w:sz w:val="24"/>
          <w:lang w:val="en-US" w:eastAsia="zh-CN"/>
        </w:rPr>
        <w:t>采购人</w:t>
      </w:r>
      <w:r>
        <w:rPr>
          <w:rFonts w:hint="eastAsia" w:ascii="宋体" w:hAnsi="宋体" w:cs="宋体"/>
          <w:sz w:val="24"/>
        </w:rPr>
        <w:t>验收合格后，根据</w:t>
      </w:r>
      <w:r>
        <w:rPr>
          <w:rFonts w:hint="eastAsia" w:ascii="宋体" w:hAnsi="宋体" w:cs="宋体"/>
          <w:sz w:val="24"/>
          <w:lang w:val="en-US" w:eastAsia="zh-CN"/>
        </w:rPr>
        <w:t>中标人</w:t>
      </w:r>
      <w:r>
        <w:rPr>
          <w:rFonts w:hint="eastAsia" w:ascii="宋体" w:hAnsi="宋体" w:cs="宋体"/>
          <w:sz w:val="24"/>
        </w:rPr>
        <w:t>提出的付款申请，</w:t>
      </w:r>
      <w:r>
        <w:rPr>
          <w:rFonts w:hint="eastAsia" w:ascii="宋体" w:hAnsi="宋体" w:cs="宋体"/>
          <w:sz w:val="24"/>
          <w:lang w:val="en-US" w:eastAsia="zh-CN"/>
        </w:rPr>
        <w:t>采购人</w:t>
      </w:r>
      <w:r>
        <w:rPr>
          <w:rFonts w:hint="eastAsia" w:ascii="宋体" w:hAnsi="宋体" w:cs="宋体"/>
          <w:sz w:val="24"/>
        </w:rPr>
        <w:t>向</w:t>
      </w:r>
      <w:r>
        <w:rPr>
          <w:rFonts w:hint="eastAsia" w:ascii="宋体" w:hAnsi="宋体" w:cs="宋体"/>
          <w:sz w:val="24"/>
          <w:lang w:val="en-US" w:eastAsia="zh-CN"/>
        </w:rPr>
        <w:t>中标人</w:t>
      </w:r>
      <w:r>
        <w:rPr>
          <w:rFonts w:hint="eastAsia" w:ascii="宋体" w:hAnsi="宋体" w:cs="宋体"/>
          <w:sz w:val="24"/>
        </w:rPr>
        <w:t>支付合同总价款的</w:t>
      </w:r>
      <w:r>
        <w:rPr>
          <w:rFonts w:hint="eastAsia" w:ascii="宋体" w:hAnsi="宋体" w:cs="宋体"/>
          <w:sz w:val="24"/>
          <w:lang w:val="en-US" w:eastAsia="zh-CN"/>
        </w:rPr>
        <w:t>3</w:t>
      </w:r>
      <w:r>
        <w:rPr>
          <w:rFonts w:hint="eastAsia" w:ascii="宋体" w:hAnsi="宋体" w:cs="宋体"/>
          <w:sz w:val="24"/>
        </w:rPr>
        <w:t>0%；</w:t>
      </w:r>
    </w:p>
    <w:p>
      <w:pPr>
        <w:widowControl/>
        <w:spacing w:line="360" w:lineRule="auto"/>
        <w:ind w:firstLine="480" w:firstLineChars="200"/>
        <w:rPr>
          <w:rFonts w:hint="eastAsia" w:ascii="宋体" w:hAnsi="宋体" w:cs="宋体"/>
          <w:sz w:val="24"/>
        </w:rPr>
      </w:pPr>
      <w:r>
        <w:rPr>
          <w:rFonts w:hint="eastAsia" w:ascii="宋体" w:hAnsi="宋体" w:cs="宋体"/>
          <w:sz w:val="24"/>
        </w:rPr>
        <w:t>4.上述每期款项均在满足付款条件，且采购人收到中标人开具的载明相应金额的合格发票后</w:t>
      </w:r>
      <w:r>
        <w:rPr>
          <w:rFonts w:hint="eastAsia" w:ascii="宋体" w:hAnsi="宋体" w:cs="宋体"/>
          <w:sz w:val="24"/>
          <w:lang w:val="en-US" w:eastAsia="zh-CN"/>
        </w:rPr>
        <w:t>10</w:t>
      </w:r>
      <w:r>
        <w:rPr>
          <w:rFonts w:hint="eastAsia" w:ascii="宋体" w:hAnsi="宋体" w:cs="宋体"/>
          <w:sz w:val="24"/>
        </w:rPr>
        <w:t>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双方对本项目有关的知识产权以及与之相关的所有权利归属约定如下：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采购人有权对中标人按照项目约定提供的研究开发成果（如有），进行后续改进。由此产生的具有实质性或创造性技术进步特征的新的技术成果及其权利归属，全部由采购人享有。具体相关利益的分配办法如下：</w:t>
      </w:r>
      <w:r>
        <w:rPr>
          <w:rFonts w:hint="eastAsia" w:ascii="宋体" w:hAnsi="宋体" w:cs="宋体"/>
          <w:sz w:val="24"/>
          <w:lang w:val="en-US" w:eastAsia="zh-CN"/>
        </w:rPr>
        <w:t>采购人</w:t>
      </w:r>
      <w:r>
        <w:rPr>
          <w:rFonts w:hint="eastAsia" w:ascii="宋体" w:hAnsi="宋体" w:cs="宋体"/>
          <w:sz w:val="24"/>
        </w:rPr>
        <w:t>100%。</w:t>
      </w:r>
    </w:p>
    <w:p>
      <w:pPr>
        <w:widowControl/>
        <w:spacing w:line="360" w:lineRule="auto"/>
        <w:ind w:firstLine="480" w:firstLineChars="200"/>
        <w:rPr>
          <w:rFonts w:hint="eastAsia"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项目外的其他项目。如发生以上情况，中标人应向采购人支付本项目总价款20%的违约金，如果违约金无法弥补采购人的损失，采购人有权要求中标人赔偿全部损失。</w:t>
      </w:r>
    </w:p>
    <w:p>
      <w:pPr>
        <w:widowControl/>
        <w:spacing w:line="360" w:lineRule="auto"/>
        <w:ind w:firstLine="480" w:firstLineChars="200"/>
        <w:rPr>
          <w:rFonts w:hint="eastAsia" w:ascii="宋体" w:hAnsi="宋体" w:cs="宋体"/>
          <w:sz w:val="24"/>
        </w:rPr>
      </w:pPr>
      <w:r>
        <w:rPr>
          <w:rFonts w:hint="eastAsia" w:ascii="宋体" w:hAnsi="宋体" w:cs="宋体"/>
          <w:sz w:val="24"/>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（五）</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项目过程中明确指明为秘密的、法律所认可的任何信息，以及中标人在履行本项目过程中所获得或接触到的任何</w:t>
      </w:r>
      <w:r>
        <w:rPr>
          <w:rFonts w:hint="eastAsia" w:ascii="宋体" w:hAnsi="宋体" w:cs="宋体"/>
          <w:sz w:val="24"/>
          <w:lang w:val="en-US" w:eastAsia="zh-CN"/>
        </w:rPr>
        <w:t>采购人</w:t>
      </w:r>
      <w:r>
        <w:rPr>
          <w:rFonts w:hint="eastAsia" w:ascii="宋体" w:hAnsi="宋体" w:cs="宋体"/>
          <w:sz w:val="24"/>
        </w:rPr>
        <w:t>内部数据资料。</w:t>
      </w:r>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项目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项目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项目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中标人违反上述保密条款，采购人有权解除本项目合同，中标人应在本项目合同解除通知发出之日起10日内向采购人支付本项目合同服务费总金额20%的违约金，如果违约金无法弥补采购人损失，采购人保留要求中标人赔偿全部损失的权利。</w:t>
      </w:r>
    </w:p>
    <w:p>
      <w:pPr>
        <w:widowControl/>
        <w:spacing w:line="360" w:lineRule="auto"/>
        <w:ind w:firstLine="480" w:firstLineChars="200"/>
        <w:rPr>
          <w:rFonts w:hint="eastAsia" w:ascii="宋体" w:hAnsi="宋体" w:cs="宋体"/>
          <w:sz w:val="24"/>
        </w:rPr>
      </w:pPr>
      <w:r>
        <w:rPr>
          <w:rFonts w:hint="eastAsia" w:ascii="宋体" w:hAnsi="宋体" w:cs="宋体"/>
          <w:sz w:val="24"/>
        </w:rPr>
        <w:t>7.本项目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sz w:val="24"/>
        </w:rPr>
      </w:pPr>
      <w:r>
        <w:rPr>
          <w:rFonts w:hint="eastAsia" w:ascii="宋体" w:hAnsi="宋体" w:cs="宋体"/>
          <w:sz w:val="24"/>
        </w:rPr>
        <w:t>8.无论本项目或本项目其他条款是否有效，本保密条款始终约束双方。国家秘密的保密期限由国家有关部门确定，工作秘密的保密期限由采购人确定。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sz w:val="24"/>
        </w:rPr>
      </w:pPr>
      <w:r>
        <w:rPr>
          <w:rFonts w:hint="eastAsia" w:ascii="宋体" w:hAnsi="宋体" w:cs="宋体"/>
          <w:sz w:val="24"/>
        </w:rPr>
        <w:t>2.本项目下的工作内容不可分割，任一文件的迟延交付均视为整个项目的迟延交付。</w:t>
      </w:r>
    </w:p>
    <w:p>
      <w:pPr>
        <w:widowControl/>
        <w:spacing w:line="360" w:lineRule="auto"/>
        <w:ind w:firstLine="480" w:firstLineChars="200"/>
        <w:rPr>
          <w:rFonts w:hint="eastAsia" w:ascii="宋体" w:hAnsi="宋体" w:cs="宋体"/>
          <w:sz w:val="24"/>
        </w:rPr>
      </w:pPr>
      <w:r>
        <w:rPr>
          <w:rFonts w:hint="eastAsia" w:ascii="宋体" w:hAnsi="宋体" w:cs="宋体"/>
          <w:sz w:val="24"/>
        </w:rPr>
        <w:t>3.本项目履行期间，发生下述情形时，采购人有权解除本项目合同，中标人除应退还采购人已支付的全部款项外</w:t>
      </w:r>
      <w:r>
        <w:rPr>
          <w:rFonts w:hint="eastAsia" w:ascii="宋体" w:hAnsi="宋体" w:cs="宋体"/>
          <w:sz w:val="24"/>
          <w:lang w:eastAsia="zh-CN"/>
        </w:rPr>
        <w:t>，</w:t>
      </w:r>
      <w:r>
        <w:rPr>
          <w:rFonts w:hint="eastAsia" w:ascii="宋体" w:hAnsi="宋体" w:cs="宋体"/>
          <w:sz w:val="24"/>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sz w:val="24"/>
        </w:rPr>
      </w:pPr>
      <w:r>
        <w:rPr>
          <w:rFonts w:hint="eastAsia" w:ascii="宋体" w:hAnsi="宋体" w:cs="宋体"/>
          <w:sz w:val="24"/>
        </w:rPr>
        <w:t>（1）中标人未能按项目约定的日期(含协商延缓的日期)提交各阶段工作成果，延误时间超过15个工作日；</w:t>
      </w:r>
    </w:p>
    <w:p>
      <w:pPr>
        <w:widowControl/>
        <w:spacing w:line="360" w:lineRule="auto"/>
        <w:ind w:firstLine="480" w:firstLineChars="200"/>
        <w:rPr>
          <w:rFonts w:hint="eastAsia"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（4）未经采购人书面在先同意，中标人擅自将本项目与任何第三方合作，或将本项目标的全部或部分擅自转包或分包给任何第三方，且未按采购人的要求终止与第三方的项目合同的；</w:t>
      </w:r>
    </w:p>
    <w:p>
      <w:pPr>
        <w:widowControl/>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hint="eastAsia" w:ascii="宋体" w:hAnsi="宋体" w:cs="宋体"/>
          <w:sz w:val="24"/>
        </w:rPr>
      </w:pPr>
      <w:r>
        <w:rPr>
          <w:rFonts w:hint="eastAsia" w:ascii="宋体" w:hAnsi="宋体" w:cs="宋体"/>
          <w:sz w:val="24"/>
        </w:rPr>
        <w:t>4. 除因</w:t>
      </w:r>
      <w:r>
        <w:rPr>
          <w:rFonts w:hint="eastAsia" w:ascii="宋体" w:hAnsi="宋体" w:cs="宋体"/>
          <w:kern w:val="0"/>
          <w:sz w:val="24"/>
        </w:rPr>
        <w:t>采购人付款审批影响支付进度的情况外，</w:t>
      </w:r>
      <w:r>
        <w:rPr>
          <w:rFonts w:hint="eastAsia" w:ascii="宋体" w:hAnsi="宋体" w:cs="宋体"/>
          <w:sz w:val="24"/>
        </w:rPr>
        <w:t>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5.上述违约责任各自独立且可累加。本项目所约定的违约金如低于因违约行为所造成的损失，违约方应补偿上述不足部分的损失。</w:t>
      </w:r>
    </w:p>
    <w:p>
      <w:pPr>
        <w:spacing w:line="560" w:lineRule="exact"/>
        <w:ind w:firstLine="480" w:firstLineChars="200"/>
        <w:rPr>
          <w:rFonts w:hint="eastAsia" w:ascii="宋体" w:hAnsi="宋体" w:cs="宋体"/>
          <w:kern w:val="0"/>
          <w:sz w:val="24"/>
          <w:szCs w:val="20"/>
        </w:rPr>
      </w:pPr>
    </w:p>
    <w:bookmarkEnd w:id="21"/>
    <w:p>
      <w:pPr>
        <w:spacing w:line="560" w:lineRule="exact"/>
        <w:jc w:val="center"/>
        <w:outlineLvl w:val="0"/>
        <w:rPr>
          <w:rFonts w:ascii="宋体" w:cs="宋体"/>
          <w:b/>
          <w:bCs/>
          <w:sz w:val="24"/>
        </w:rPr>
      </w:pPr>
      <w:bookmarkStart w:id="26" w:name="_Toc834"/>
      <w:bookmarkStart w:id="27" w:name="_Hlk28269117"/>
    </w:p>
    <w:p>
      <w:pPr>
        <w:jc w:val="left"/>
        <w:rPr>
          <w:rFonts w:ascii="宋体" w:cs="宋体"/>
          <w:b/>
          <w:bCs/>
          <w:sz w:val="24"/>
        </w:rPr>
      </w:pPr>
      <w:r>
        <w:rPr>
          <w:rFonts w:hint="eastAsia" w:ascii="宋体" w:cs="宋体"/>
          <w:b/>
          <w:bCs/>
          <w:sz w:val="24"/>
        </w:rPr>
        <w:br w:type="page"/>
      </w:r>
    </w:p>
    <w:p>
      <w:pPr>
        <w:spacing w:line="560" w:lineRule="exact"/>
        <w:jc w:val="center"/>
        <w:outlineLvl w:val="0"/>
        <w:rPr>
          <w:rFonts w:ascii="宋体" w:cs="宋体"/>
          <w:b/>
          <w:bCs/>
          <w:sz w:val="24"/>
        </w:rPr>
      </w:pPr>
      <w:r>
        <w:rPr>
          <w:rFonts w:hint="eastAsia" w:ascii="宋体" w:cs="宋体"/>
          <w:b/>
          <w:bCs/>
          <w:sz w:val="24"/>
        </w:rPr>
        <w:t>第六章 投标文件初审及招标项目评分表</w:t>
      </w:r>
    </w:p>
    <w:p>
      <w:pPr>
        <w:spacing w:line="560" w:lineRule="exact"/>
        <w:jc w:val="center"/>
        <w:rPr>
          <w:rFonts w:hint="eastAsia" w:ascii="宋体" w:hAnsi="宋体" w:cs="宋体"/>
          <w:b/>
          <w:sz w:val="24"/>
        </w:rPr>
      </w:pPr>
    </w:p>
    <w:p>
      <w:pPr>
        <w:spacing w:line="560" w:lineRule="exact"/>
        <w:jc w:val="center"/>
        <w:rPr>
          <w:rFonts w:hint="eastAsia" w:ascii="宋体" w:hAnsi="宋体" w:cs="宋体"/>
          <w:b/>
          <w:sz w:val="24"/>
        </w:rPr>
      </w:pPr>
      <w:r>
        <w:rPr>
          <w:rFonts w:hint="eastAsia" w:ascii="宋体" w:hAnsi="宋体" w:cs="宋体"/>
          <w:b/>
          <w:sz w:val="24"/>
        </w:rPr>
        <w:t>投标文件初审表（不可偏离条款）</w:t>
      </w:r>
    </w:p>
    <w:p>
      <w:pPr>
        <w:spacing w:line="560" w:lineRule="exact"/>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1"/>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560" w:lineRule="exact"/>
              <w:jc w:val="center"/>
              <w:rPr>
                <w:rFonts w:hint="eastAsia"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cs="宋体"/>
                <w:sz w:val="24"/>
              </w:rPr>
            </w:pPr>
            <w:r>
              <w:rPr>
                <w:rFonts w:hint="eastAsia" w:ascii="宋体" w:hAnsi="宋体" w:cs="宋体"/>
                <w:sz w:val="24"/>
              </w:rPr>
              <w:t>1</w:t>
            </w:r>
          </w:p>
        </w:tc>
        <w:tc>
          <w:tcPr>
            <w:tcW w:w="7950" w:type="dxa"/>
          </w:tcPr>
          <w:p>
            <w:pPr>
              <w:spacing w:line="560" w:lineRule="exact"/>
              <w:rPr>
                <w:rFonts w:hint="eastAsia"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560" w:lineRule="exact"/>
              <w:jc w:val="center"/>
              <w:rPr>
                <w:rFonts w:hint="eastAsia"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7950" w:type="dxa"/>
            <w:vAlign w:val="center"/>
          </w:tcPr>
          <w:p>
            <w:pPr>
              <w:spacing w:line="560" w:lineRule="exact"/>
              <w:rPr>
                <w:rFonts w:hint="eastAsia"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7950" w:type="dxa"/>
            <w:vAlign w:val="center"/>
          </w:tcPr>
          <w:p>
            <w:pPr>
              <w:spacing w:line="560" w:lineRule="exact"/>
              <w:rPr>
                <w:rFonts w:hint="eastAsia"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7950" w:type="dxa"/>
            <w:vAlign w:val="center"/>
          </w:tcPr>
          <w:p>
            <w:pPr>
              <w:spacing w:line="560" w:lineRule="exact"/>
              <w:rPr>
                <w:rFonts w:hint="eastAsia"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7950" w:type="dxa"/>
            <w:vAlign w:val="center"/>
          </w:tcPr>
          <w:p>
            <w:pPr>
              <w:spacing w:line="560" w:lineRule="exact"/>
              <w:rPr>
                <w:rFonts w:hint="eastAsia"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7950" w:type="dxa"/>
            <w:vAlign w:val="center"/>
          </w:tcPr>
          <w:p>
            <w:pPr>
              <w:spacing w:line="560" w:lineRule="exact"/>
              <w:rPr>
                <w:rFonts w:hint="eastAsia" w:ascii="宋体" w:hAnsi="宋体" w:cs="宋体"/>
                <w:sz w:val="24"/>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7950" w:type="dxa"/>
            <w:vAlign w:val="center"/>
          </w:tcPr>
          <w:p>
            <w:pPr>
              <w:spacing w:line="560" w:lineRule="exact"/>
              <w:rPr>
                <w:rFonts w:hint="eastAsia"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7950" w:type="dxa"/>
            <w:vAlign w:val="center"/>
          </w:tcPr>
          <w:p>
            <w:pPr>
              <w:spacing w:line="560" w:lineRule="exact"/>
              <w:rPr>
                <w:rFonts w:hint="eastAsia" w:ascii="宋体" w:hAnsi="宋体" w:cs="宋体"/>
                <w:sz w:val="24"/>
              </w:rPr>
            </w:pPr>
            <w:r>
              <w:rPr>
                <w:rFonts w:hint="eastAsia" w:ascii="宋体" w:hAnsi="宋体" w:cs="宋体"/>
                <w:sz w:val="24"/>
              </w:rPr>
              <w:t>报价合理性审查</w:t>
            </w:r>
          </w:p>
          <w:p>
            <w:pPr>
              <w:spacing w:line="560" w:lineRule="exact"/>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560" w:lineRule="exact"/>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560" w:lineRule="exact"/>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560" w:lineRule="exact"/>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spacing w:line="560" w:lineRule="exact"/>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560" w:lineRule="exac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7950" w:type="dxa"/>
            <w:vAlign w:val="center"/>
          </w:tcPr>
          <w:p>
            <w:pPr>
              <w:spacing w:line="560" w:lineRule="exact"/>
              <w:rPr>
                <w:rFonts w:hint="eastAsia"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7950" w:type="dxa"/>
            <w:vAlign w:val="center"/>
          </w:tcPr>
          <w:p>
            <w:pPr>
              <w:spacing w:line="560" w:lineRule="exact"/>
              <w:rPr>
                <w:rFonts w:hint="eastAsia"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7950" w:type="dxa"/>
            <w:vAlign w:val="center"/>
          </w:tcPr>
          <w:p>
            <w:pPr>
              <w:spacing w:line="560" w:lineRule="exact"/>
              <w:rPr>
                <w:rFonts w:hint="eastAsia"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56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7950" w:type="dxa"/>
            <w:vAlign w:val="center"/>
          </w:tcPr>
          <w:p>
            <w:pPr>
              <w:spacing w:line="560" w:lineRule="exact"/>
              <w:rPr>
                <w:rFonts w:hint="eastAsia" w:ascii="宋体" w:hAnsi="宋体" w:cs="宋体"/>
                <w:sz w:val="24"/>
              </w:rPr>
            </w:pPr>
            <w:r>
              <w:rPr>
                <w:rFonts w:hint="eastAsia" w:ascii="宋体" w:hAnsi="宋体" w:cs="宋体"/>
                <w:sz w:val="24"/>
              </w:rPr>
              <w:t>法律、法规规定的其他情形</w:t>
            </w:r>
          </w:p>
        </w:tc>
      </w:tr>
    </w:tbl>
    <w:p>
      <w:pPr>
        <w:spacing w:line="560" w:lineRule="exact"/>
        <w:rPr>
          <w:rFonts w:hint="eastAsia" w:ascii="宋体" w:hAnsi="宋体" w:cs="宋体"/>
          <w:sz w:val="24"/>
        </w:rPr>
      </w:pPr>
    </w:p>
    <w:p>
      <w:pPr>
        <w:spacing w:line="560" w:lineRule="exact"/>
        <w:jc w:val="cente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1"/>
        <w:tblW w:w="95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08"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eastAsia="宋体" w:cs="宋体"/>
                <w:sz w:val="24"/>
                <w:lang w:val="zh-CN" w:eastAsia="zh-CN"/>
              </w:rPr>
            </w:pPr>
            <w:r>
              <w:rPr>
                <w:rFonts w:hint="eastAsia" w:ascii="宋体" w:hAnsi="宋体" w:cs="宋体"/>
                <w:sz w:val="24"/>
                <w:lang w:val="en-US" w:eastAsia="zh-CN"/>
              </w:rPr>
              <w:t>分值</w:t>
            </w:r>
          </w:p>
        </w:tc>
        <w:tc>
          <w:tcPr>
            <w:tcW w:w="85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5907" w:type="dxa"/>
            <w:vAlign w:val="center"/>
          </w:tcPr>
          <w:p>
            <w:pPr>
              <w:pStyle w:val="7"/>
              <w:spacing w:line="360" w:lineRule="auto"/>
              <w:rPr>
                <w:rFonts w:hint="eastAsia" w:ascii="宋体" w:hAnsi="宋体" w:cs="宋体"/>
                <w:kern w:val="0"/>
                <w:sz w:val="24"/>
              </w:rPr>
            </w:pPr>
            <w:r>
              <w:rPr>
                <w:rFonts w:hint="eastAsia" w:ascii="宋体" w:hAnsi="宋体" w:cs="宋体"/>
                <w:kern w:val="0"/>
                <w:sz w:val="24"/>
              </w:rPr>
              <w:t xml:space="preserve">采用低价优先法计算，即满足招标文件要求且投标价格最低的投标报价为评标基准价，其价格分为满分。其他投标人的价格分统一按照下列公式计算： </w:t>
            </w:r>
            <w:r>
              <w:rPr>
                <w:rFonts w:hint="eastAsia" w:ascii="宋体" w:hAnsi="宋体" w:cs="宋体"/>
                <w:kern w:val="0"/>
                <w:sz w:val="24"/>
              </w:rPr>
              <w:br w:type="textWrapping"/>
            </w:r>
            <w:r>
              <w:rPr>
                <w:rFonts w:hint="eastAsia" w:ascii="宋体" w:hAnsi="宋体" w:cs="宋体"/>
                <w:kern w:val="0"/>
                <w:sz w:val="24"/>
              </w:rPr>
              <w:t>投标报价得分=(评标基准价／投标报价)×10</w:t>
            </w:r>
          </w:p>
          <w:p>
            <w:pPr>
              <w:numPr>
                <w:ilvl w:val="0"/>
                <w:numId w:val="10"/>
              </w:numPr>
              <w:spacing w:line="360" w:lineRule="auto"/>
              <w:ind w:left="25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10"/>
              </w:numPr>
              <w:spacing w:line="360" w:lineRule="auto"/>
              <w:ind w:left="250" w:hanging="249" w:hangingChars="104"/>
              <w:jc w:val="left"/>
              <w:rPr>
                <w:rFonts w:hint="eastAsia" w:ascii="宋体" w:hAnsi="宋体" w:cs="宋体"/>
                <w:bCs/>
                <w:sz w:val="24"/>
              </w:rPr>
            </w:pPr>
            <w:r>
              <w:rPr>
                <w:rFonts w:hint="eastAsia" w:ascii="宋体" w:hAnsi="宋体" w:cs="宋体"/>
                <w:bCs/>
                <w:sz w:val="24"/>
              </w:rPr>
              <w:t>根据财库〔2020〕46号、财库〔2014〕68号及财库〔2017〕141号文件规定：本项目非专门面向中小企业的项目，对小型和微型企业、监狱企业或残疾人福利性企业产品的价格给予10%的扣除，用扣除后的价格即为“经评审合格的投标报价”参与价格评审。</w:t>
            </w:r>
          </w:p>
          <w:p>
            <w:pPr>
              <w:pStyle w:val="7"/>
              <w:spacing w:line="360" w:lineRule="auto"/>
              <w:ind w:left="216" w:leftChars="103"/>
              <w:rPr>
                <w:rFonts w:hint="eastAsia" w:ascii="宋体" w:hAnsi="宋体" w:cs="宋体"/>
                <w:kern w:val="0"/>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08"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50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eastAsia="宋体" w:cs="宋体"/>
                <w:sz w:val="24"/>
                <w:lang w:val="zh-CN" w:eastAsia="zh-CN"/>
              </w:rPr>
            </w:pPr>
            <w:r>
              <w:rPr>
                <w:rFonts w:hint="eastAsia" w:ascii="宋体" w:hAnsi="宋体" w:cs="宋体"/>
                <w:sz w:val="24"/>
                <w:lang w:val="en-US" w:eastAsia="zh-CN"/>
              </w:rPr>
              <w:t>分值</w:t>
            </w:r>
          </w:p>
        </w:tc>
        <w:tc>
          <w:tcPr>
            <w:tcW w:w="85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kern w:val="0"/>
                <w:sz w:val="24"/>
                <w:lang w:bidi="ar"/>
              </w:rPr>
              <w:t>同类项目业绩</w:t>
            </w:r>
          </w:p>
        </w:tc>
        <w:tc>
          <w:tcPr>
            <w:tcW w:w="5907" w:type="dxa"/>
            <w:vAlign w:val="center"/>
          </w:tcPr>
          <w:p>
            <w:pPr>
              <w:pStyle w:val="7"/>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一</w:t>
            </w:r>
            <w:r>
              <w:rPr>
                <w:rFonts w:hint="eastAsia" w:ascii="宋体" w:hAnsi="宋体" w:cs="宋体"/>
                <w:kern w:val="0"/>
                <w:sz w:val="24"/>
                <w:lang w:val="zh-CN"/>
              </w:rPr>
              <w:t>）评审标准：</w:t>
            </w:r>
          </w:p>
          <w:p>
            <w:pPr>
              <w:spacing w:line="360" w:lineRule="auto"/>
              <w:rPr>
                <w:rFonts w:hint="eastAsia" w:ascii="宋体" w:hAnsi="宋体" w:cs="宋体"/>
                <w:sz w:val="24"/>
              </w:rPr>
            </w:pPr>
            <w:r>
              <w:rPr>
                <w:rFonts w:hint="eastAsia" w:ascii="宋体" w:hAnsi="宋体" w:cs="宋体"/>
                <w:sz w:val="24"/>
              </w:rPr>
              <w:t>具备为政府部门（或事业单位）提供国际化营商环境指标评估相关项目经验：</w:t>
            </w:r>
          </w:p>
          <w:p>
            <w:pPr>
              <w:spacing w:line="360" w:lineRule="auto"/>
              <w:rPr>
                <w:rFonts w:hint="eastAsia" w:ascii="宋体" w:hAnsi="宋体" w:cs="宋体"/>
                <w:sz w:val="24"/>
              </w:rPr>
            </w:pPr>
            <w:r>
              <w:rPr>
                <w:rFonts w:hint="eastAsia" w:ascii="宋体" w:hAnsi="宋体" w:cs="宋体"/>
                <w:sz w:val="24"/>
              </w:rPr>
              <w:t>每提供一项为政府部门（或事业单位）进行国际化营商环境指标评估相关研究的项目，得</w:t>
            </w:r>
            <w:r>
              <w:rPr>
                <w:rFonts w:hint="eastAsia" w:ascii="宋体" w:hAnsi="宋体" w:cs="宋体"/>
                <w:sz w:val="24"/>
                <w:lang w:val="en-US" w:eastAsia="zh-CN"/>
              </w:rPr>
              <w:t>4</w:t>
            </w:r>
            <w:r>
              <w:rPr>
                <w:rFonts w:hint="eastAsia" w:ascii="宋体" w:hAnsi="宋体" w:cs="宋体"/>
                <w:sz w:val="24"/>
              </w:rPr>
              <w:t>分。本项累计最高得16分，不提供或者不能有效证明的，不得分。</w:t>
            </w:r>
          </w:p>
          <w:p>
            <w:pPr>
              <w:spacing w:line="360" w:lineRule="auto"/>
              <w:rPr>
                <w:rFonts w:hint="eastAsia" w:ascii="宋体" w:hAnsi="宋体" w:cs="宋体"/>
                <w:sz w:val="24"/>
              </w:rPr>
            </w:pPr>
            <w:r>
              <w:rPr>
                <w:rFonts w:hint="eastAsia" w:ascii="宋体" w:hAnsi="宋体" w:cs="宋体"/>
                <w:sz w:val="24"/>
              </w:rPr>
              <w:t>注意事项：（国际化营商环境指标评估相关项目，指对整体指标框架体系内容（非单一指标项）和评估方法的研究经验）</w:t>
            </w:r>
          </w:p>
          <w:p>
            <w:pPr>
              <w:pStyle w:val="7"/>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二</w:t>
            </w:r>
            <w:r>
              <w:rPr>
                <w:rFonts w:hint="eastAsia" w:ascii="宋体" w:hAnsi="宋体" w:cs="宋体"/>
                <w:kern w:val="0"/>
                <w:sz w:val="24"/>
                <w:lang w:val="zh-CN"/>
              </w:rPr>
              <w:t>）证明文件：</w:t>
            </w:r>
          </w:p>
          <w:p>
            <w:pPr>
              <w:spacing w:line="360" w:lineRule="auto"/>
              <w:rPr>
                <w:rFonts w:hint="eastAsia" w:ascii="宋体" w:hAnsi="宋体" w:cs="宋体"/>
                <w:sz w:val="24"/>
              </w:rPr>
            </w:pPr>
            <w:r>
              <w:rPr>
                <w:rFonts w:hint="eastAsia" w:ascii="宋体" w:hAnsi="宋体" w:cs="宋体"/>
                <w:sz w:val="24"/>
              </w:rPr>
              <w:t>1.供应商必须提供项目合同关键页复印件作为证明文件（包含甲乙方名称、项目名称、签订时间、盖章等），合同签订时间为2021年1月1日至投标截止时间前，原件备查。评分中出现无证明资料或专家无法凭所提供资料判断是否得分的情况，一律作不得分处理</w:t>
            </w:r>
            <w:r>
              <w:rPr>
                <w:rFonts w:hint="eastAsia" w:ascii="宋体" w:hAnsi="宋体" w:cs="宋体"/>
                <w:kern w:val="0"/>
                <w:sz w:val="24"/>
                <w:lang w:val="zh-CN"/>
              </w:rPr>
              <w:t>。</w:t>
            </w:r>
          </w:p>
          <w:p>
            <w:pPr>
              <w:pStyle w:val="7"/>
              <w:spacing w:line="360" w:lineRule="auto"/>
              <w:rPr>
                <w:rFonts w:hint="eastAsia" w:ascii="宋体" w:hAnsi="宋体" w:cs="宋体"/>
                <w:kern w:val="0"/>
                <w:sz w:val="24"/>
                <w:lang w:val="zh-CN"/>
              </w:rPr>
            </w:pPr>
            <w:r>
              <w:rPr>
                <w:rFonts w:hint="eastAsia" w:ascii="宋体" w:hAnsi="宋体" w:cs="宋体"/>
                <w:sz w:val="24"/>
              </w:rPr>
              <w:t>2.同一项目业绩</w:t>
            </w:r>
            <w:r>
              <w:rPr>
                <w:rFonts w:hint="eastAsia" w:ascii="宋体" w:hAnsi="宋体" w:cs="宋体"/>
                <w:sz w:val="24"/>
                <w:lang w:val="en-US" w:eastAsia="zh-CN"/>
              </w:rPr>
              <w:t>续签</w:t>
            </w:r>
            <w:r>
              <w:rPr>
                <w:rFonts w:hint="eastAsia" w:ascii="宋体" w:hAnsi="宋体" w:cs="宋体"/>
                <w:sz w:val="24"/>
              </w:rPr>
              <w:t>不重复计分。</w:t>
            </w:r>
          </w:p>
        </w:tc>
        <w:tc>
          <w:tcPr>
            <w:tcW w:w="860" w:type="dxa"/>
            <w:vAlign w:val="center"/>
          </w:tcPr>
          <w:p>
            <w:pPr>
              <w:autoSpaceDE w:val="0"/>
              <w:autoSpaceDN w:val="0"/>
              <w:adjustRightInd w:val="0"/>
              <w:jc w:val="center"/>
              <w:rPr>
                <w:rFonts w:hint="eastAsia" w:ascii="宋体" w:hAnsi="宋体" w:cs="宋体"/>
                <w:sz w:val="24"/>
              </w:rPr>
            </w:pPr>
            <w:r>
              <w:rPr>
                <w:rFonts w:hint="eastAsia" w:ascii="宋体" w:hAnsi="宋体"/>
                <w:szCs w:val="21"/>
              </w:rPr>
              <w:t>16</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项目负责人</w:t>
            </w:r>
            <w:r>
              <w:rPr>
                <w:rFonts w:hint="eastAsia" w:ascii="宋体" w:hAnsi="宋体" w:cs="宋体"/>
                <w:sz w:val="24"/>
                <w:lang w:val="fr-CH"/>
              </w:rPr>
              <w:t>（仅限1人）</w:t>
            </w:r>
          </w:p>
        </w:tc>
        <w:tc>
          <w:tcPr>
            <w:tcW w:w="5907" w:type="dxa"/>
            <w:vAlign w:val="center"/>
          </w:tcPr>
          <w:p>
            <w:pPr>
              <w:pStyle w:val="7"/>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一</w:t>
            </w:r>
            <w:r>
              <w:rPr>
                <w:rFonts w:hint="eastAsia" w:ascii="宋体" w:hAnsi="宋体" w:cs="宋体"/>
                <w:kern w:val="0"/>
                <w:sz w:val="24"/>
                <w:lang w:val="zh-CN"/>
              </w:rPr>
              <w:t>）评审标准：</w:t>
            </w:r>
          </w:p>
          <w:p>
            <w:pPr>
              <w:spacing w:line="360" w:lineRule="auto"/>
              <w:rPr>
                <w:rFonts w:hint="eastAsia" w:ascii="宋体" w:hAnsi="宋体" w:cs="宋体"/>
                <w:sz w:val="24"/>
              </w:rPr>
            </w:pPr>
            <w:r>
              <w:rPr>
                <w:rFonts w:hint="eastAsia" w:ascii="宋体" w:hAnsi="宋体" w:cs="宋体"/>
                <w:sz w:val="24"/>
              </w:rPr>
              <w:t>项目负责人仅限1人，需为投标人自有员工，否则本项不得分。</w:t>
            </w:r>
          </w:p>
          <w:p>
            <w:pPr>
              <w:spacing w:line="360" w:lineRule="auto"/>
              <w:rPr>
                <w:rFonts w:hint="default" w:ascii="宋体" w:hAnsi="宋体" w:eastAsia="宋体" w:cs="宋体"/>
                <w:sz w:val="24"/>
                <w:lang w:val="en-US" w:eastAsia="zh-CN"/>
              </w:rPr>
            </w:pPr>
            <w:r>
              <w:rPr>
                <w:rFonts w:hint="eastAsia" w:ascii="宋体" w:hAnsi="宋体" w:cs="宋体"/>
                <w:sz w:val="24"/>
              </w:rPr>
              <w:t>（1）学历：具备研究生或以上学历的，得4分；具备本科学历的，得2分。</w:t>
            </w:r>
            <w:r>
              <w:rPr>
                <w:rFonts w:hint="eastAsia" w:ascii="宋体" w:hAnsi="宋体" w:cs="宋体"/>
                <w:sz w:val="24"/>
                <w:lang w:val="en-US" w:eastAsia="zh-CN"/>
              </w:rPr>
              <w:t>本项最高得4分。</w:t>
            </w:r>
          </w:p>
          <w:p>
            <w:pPr>
              <w:spacing w:line="360" w:lineRule="auto"/>
              <w:rPr>
                <w:rFonts w:hint="eastAsia" w:ascii="宋体" w:hAnsi="宋体" w:cs="宋体"/>
                <w:sz w:val="24"/>
              </w:rPr>
            </w:pPr>
            <w:r>
              <w:rPr>
                <w:rFonts w:hint="eastAsia" w:ascii="宋体" w:hAnsi="宋体" w:cs="宋体"/>
                <w:sz w:val="24"/>
              </w:rPr>
              <w:t>（2）项目经验：</w:t>
            </w:r>
          </w:p>
          <w:p>
            <w:pPr>
              <w:spacing w:line="360" w:lineRule="auto"/>
              <w:rPr>
                <w:rFonts w:hint="eastAsia" w:ascii="宋体" w:hAnsi="宋体" w:eastAsia="宋体" w:cs="宋体"/>
                <w:sz w:val="24"/>
                <w:lang w:eastAsia="zh-CN"/>
              </w:rPr>
            </w:pPr>
            <w:r>
              <w:rPr>
                <w:rFonts w:hint="eastAsia" w:ascii="宋体" w:hAnsi="宋体" w:cs="宋体"/>
                <w:sz w:val="24"/>
              </w:rPr>
              <w:t>1）每提供一项为政府部门（或事业单位）进行过国际化营商环境指标评估相关项目经验的，得4分。（国际化营商环境指标评估类项目，指对整体指标框架体系内容（非单一指标项）和评估方法的研究经验）</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2）每提供一项为政府部门（或事业单位）从事过其他营商环境类型项目经验的，得2分（如包括研究公共政策、宏观规划、发展策略、</w:t>
            </w:r>
            <w:r>
              <w:rPr>
                <w:rFonts w:hint="eastAsia" w:ascii="宋体" w:hAnsi="宋体" w:cs="宋体"/>
                <w:sz w:val="24"/>
                <w:lang w:eastAsia="zh-CN"/>
              </w:rPr>
              <w:t>投资环境、投资指南、</w:t>
            </w:r>
            <w:r>
              <w:rPr>
                <w:rFonts w:hint="eastAsia" w:ascii="宋体" w:hAnsi="宋体" w:cs="宋体"/>
                <w:sz w:val="24"/>
              </w:rPr>
              <w:t>城市治理、政府监管、数字化建设、行政流程优化、引进高端人才等领域的政府咨询项目。）</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1）、2）项满分8分，以上累计最高得12分。同一项目业绩不重复计分。</w:t>
            </w:r>
          </w:p>
          <w:p>
            <w:pPr>
              <w:pStyle w:val="7"/>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二</w:t>
            </w:r>
            <w:r>
              <w:rPr>
                <w:rFonts w:hint="eastAsia" w:ascii="宋体" w:hAnsi="宋体" w:cs="宋体"/>
                <w:kern w:val="0"/>
                <w:sz w:val="24"/>
                <w:lang w:val="zh-CN"/>
              </w:rPr>
              <w:t>）证明文件：</w:t>
            </w:r>
          </w:p>
          <w:p>
            <w:pPr>
              <w:spacing w:line="360" w:lineRule="auto"/>
              <w:rPr>
                <w:rFonts w:hint="eastAsia" w:ascii="宋体" w:hAnsi="宋体" w:cs="宋体"/>
                <w:sz w:val="24"/>
              </w:rPr>
            </w:pPr>
            <w:r>
              <w:rPr>
                <w:rFonts w:hint="eastAsia" w:ascii="宋体" w:hAnsi="宋体" w:cs="宋体"/>
                <w:sz w:val="24"/>
              </w:rPr>
              <w:t>1.项目负责人需提供近3个月任意一个月（2025年</w:t>
            </w:r>
            <w:r>
              <w:rPr>
                <w:rFonts w:hint="eastAsia" w:ascii="宋体" w:hAnsi="宋体" w:cs="宋体"/>
                <w:sz w:val="24"/>
                <w:lang w:val="en-US" w:eastAsia="zh-CN"/>
              </w:rPr>
              <w:t>4</w:t>
            </w:r>
            <w:r>
              <w:rPr>
                <w:rFonts w:hint="eastAsia" w:ascii="宋体" w:hAnsi="宋体" w:cs="宋体"/>
                <w:sz w:val="24"/>
              </w:rPr>
              <w:t>月至2025年</w:t>
            </w:r>
            <w:r>
              <w:rPr>
                <w:rFonts w:hint="eastAsia" w:ascii="宋体" w:hAnsi="宋体" w:cs="宋体"/>
                <w:sz w:val="24"/>
                <w:lang w:val="en-US" w:eastAsia="zh-CN"/>
              </w:rPr>
              <w:t>6</w:t>
            </w:r>
            <w:r>
              <w:rPr>
                <w:rFonts w:hint="eastAsia" w:ascii="宋体" w:hAnsi="宋体" w:cs="宋体"/>
                <w:sz w:val="24"/>
              </w:rPr>
              <w:t>月）在投标单位缴纳的社保证明（新成立投标人提供自成立以来的社保证明）、学历证明复印件需加盖公章作为证明文件、项目经验需提供合同关键页(体现人员名称)复印件证明，合同关键页若不能体现项目成员的业绩，可提供委托单位开具的书面证明）。评分中出现无证明资料或专家无法凭所提供资料判断是否得分的情况，一律作不得分处理。</w:t>
            </w:r>
          </w:p>
          <w:p>
            <w:pPr>
              <w:pStyle w:val="7"/>
              <w:spacing w:line="360" w:lineRule="auto"/>
              <w:rPr>
                <w:rFonts w:hint="eastAsia" w:ascii="宋体" w:hAnsi="宋体" w:cs="宋体"/>
                <w:sz w:val="24"/>
              </w:rPr>
            </w:pPr>
            <w:r>
              <w:rPr>
                <w:rFonts w:hint="eastAsia" w:ascii="宋体" w:hAnsi="宋体" w:cs="宋体"/>
                <w:sz w:val="24"/>
              </w:rPr>
              <w:t>2.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7"/>
              <w:spacing w:line="360" w:lineRule="auto"/>
              <w:rPr>
                <w:rFonts w:hint="default" w:ascii="宋体" w:hAnsi="宋体" w:eastAsia="宋体" w:cs="宋体"/>
                <w:sz w:val="24"/>
                <w:lang w:val="en-US" w:eastAsia="zh-CN"/>
              </w:rPr>
            </w:pPr>
            <w:r>
              <w:rPr>
                <w:rFonts w:hint="eastAsia" w:ascii="宋体" w:hAnsi="宋体" w:cs="宋体"/>
                <w:sz w:val="24"/>
                <w:lang w:val="en-US" w:eastAsia="zh-CN"/>
              </w:rPr>
              <w:t>3.涉及经验的，</w:t>
            </w:r>
            <w:r>
              <w:rPr>
                <w:rFonts w:hint="eastAsia" w:ascii="宋体" w:hAnsi="宋体" w:cs="宋体"/>
                <w:sz w:val="24"/>
              </w:rPr>
              <w:t>必须提供项目合同关键页复印件作为证明文件（包含甲乙方名称、项目名称、签订时间、盖章等）。评分中出现无证明资料或专家无法凭所提供资料判断是否得分的情况，一律作不得分处理</w:t>
            </w:r>
            <w:r>
              <w:rPr>
                <w:rFonts w:hint="eastAsia" w:ascii="宋体" w:hAnsi="宋体" w:cs="宋体"/>
                <w:kern w:val="0"/>
                <w:sz w:val="24"/>
                <w:lang w:val="zh-CN"/>
              </w:rPr>
              <w:t>。</w:t>
            </w:r>
          </w:p>
        </w:tc>
        <w:tc>
          <w:tcPr>
            <w:tcW w:w="860" w:type="dxa"/>
            <w:vAlign w:val="center"/>
          </w:tcPr>
          <w:p>
            <w:pPr>
              <w:autoSpaceDE w:val="0"/>
              <w:autoSpaceDN w:val="0"/>
              <w:adjustRightInd w:val="0"/>
              <w:jc w:val="center"/>
              <w:rPr>
                <w:rFonts w:hint="eastAsia" w:ascii="宋体" w:hAnsi="宋体" w:cs="宋体"/>
                <w:sz w:val="24"/>
              </w:rPr>
            </w:pPr>
            <w:r>
              <w:rPr>
                <w:rFonts w:hint="eastAsia" w:ascii="宋体" w:hAnsi="宋体"/>
                <w:szCs w:val="21"/>
              </w:rPr>
              <w:t>12</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hint="eastAsia" w:ascii="宋体" w:hAnsi="宋体" w:cs="宋体"/>
                <w:sz w:val="24"/>
                <w:lang w:val="sq-AL"/>
              </w:rPr>
            </w:pPr>
            <w:r>
              <w:rPr>
                <w:rFonts w:hint="eastAsia" w:ascii="宋体" w:hAnsi="宋体" w:cs="宋体"/>
                <w:sz w:val="24"/>
              </w:rPr>
              <w:t>团队成员（项目负责人除外）</w:t>
            </w:r>
          </w:p>
        </w:tc>
        <w:tc>
          <w:tcPr>
            <w:tcW w:w="5907" w:type="dxa"/>
            <w:vAlign w:val="center"/>
          </w:tcPr>
          <w:p>
            <w:pPr>
              <w:pStyle w:val="7"/>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一</w:t>
            </w:r>
            <w:r>
              <w:rPr>
                <w:rFonts w:hint="eastAsia" w:ascii="宋体" w:hAnsi="宋体" w:cs="宋体"/>
                <w:kern w:val="0"/>
                <w:sz w:val="24"/>
                <w:lang w:val="zh-CN"/>
              </w:rPr>
              <w:t>）评审标准：</w:t>
            </w:r>
          </w:p>
          <w:p>
            <w:pPr>
              <w:spacing w:line="360" w:lineRule="auto"/>
              <w:rPr>
                <w:rFonts w:hint="default" w:ascii="宋体" w:hAnsi="宋体" w:eastAsia="宋体" w:cs="宋体"/>
                <w:sz w:val="24"/>
                <w:lang w:val="en-US" w:eastAsia="zh-CN"/>
              </w:rPr>
            </w:pPr>
            <w:r>
              <w:rPr>
                <w:rFonts w:hint="eastAsia" w:ascii="宋体" w:hAnsi="宋体" w:cs="宋体"/>
                <w:sz w:val="24"/>
              </w:rPr>
              <w:t>团队成员不少于</w:t>
            </w:r>
            <w:r>
              <w:rPr>
                <w:rFonts w:hint="eastAsia" w:ascii="宋体" w:hAnsi="宋体" w:cs="宋体"/>
                <w:sz w:val="24"/>
                <w:lang w:val="en-US" w:eastAsia="zh-CN"/>
              </w:rPr>
              <w:t>9</w:t>
            </w:r>
            <w:r>
              <w:rPr>
                <w:rFonts w:hint="eastAsia" w:ascii="宋体" w:hAnsi="宋体" w:cs="宋体"/>
                <w:sz w:val="24"/>
              </w:rPr>
              <w:t>人，且团队成员</w:t>
            </w:r>
            <w:r>
              <w:rPr>
                <w:rFonts w:hint="eastAsia" w:ascii="宋体" w:hAnsi="宋体" w:cs="宋体"/>
                <w:sz w:val="24"/>
                <w:lang w:val="en-US" w:eastAsia="zh-CN"/>
              </w:rPr>
              <w:t>需为本单位人员，否在本项不得分，在此基础上：</w:t>
            </w:r>
          </w:p>
          <w:p>
            <w:pPr>
              <w:spacing w:line="360" w:lineRule="auto"/>
              <w:rPr>
                <w:rFonts w:hint="default" w:ascii="宋体" w:hAnsi="宋体" w:eastAsia="宋体" w:cs="宋体"/>
                <w:sz w:val="24"/>
                <w:lang w:val="en-US" w:eastAsia="zh-CN"/>
              </w:rPr>
            </w:pPr>
            <w:r>
              <w:rPr>
                <w:rFonts w:hint="eastAsia" w:ascii="宋体" w:hAnsi="宋体" w:cs="宋体"/>
                <w:sz w:val="24"/>
              </w:rPr>
              <w:t>（1）学历：项目成员具备研究生或以上学历的，每提供一人得1分；具备本科学历的，每提供一人得0.5分；最高不超过5分。</w:t>
            </w:r>
            <w:r>
              <w:rPr>
                <w:rFonts w:hint="eastAsia" w:ascii="宋体" w:hAnsi="宋体" w:cs="宋体"/>
                <w:sz w:val="24"/>
                <w:lang w:val="en-US" w:eastAsia="zh-CN"/>
              </w:rPr>
              <w:t>本项最高得5分。</w:t>
            </w:r>
          </w:p>
          <w:p>
            <w:pPr>
              <w:spacing w:line="360" w:lineRule="auto"/>
              <w:rPr>
                <w:rFonts w:hint="eastAsia" w:ascii="宋体" w:hAnsi="宋体" w:cs="宋体"/>
                <w:sz w:val="24"/>
              </w:rPr>
            </w:pPr>
            <w:r>
              <w:rPr>
                <w:rFonts w:hint="eastAsia" w:ascii="宋体" w:hAnsi="宋体" w:cs="宋体"/>
                <w:sz w:val="24"/>
              </w:rPr>
              <w:t>（2）项目经验：</w:t>
            </w:r>
          </w:p>
          <w:p>
            <w:pPr>
              <w:spacing w:line="360" w:lineRule="auto"/>
              <w:rPr>
                <w:rFonts w:hint="eastAsia" w:ascii="宋体" w:hAnsi="宋体" w:eastAsia="宋体" w:cs="宋体"/>
                <w:sz w:val="24"/>
                <w:lang w:eastAsia="zh-CN"/>
              </w:rPr>
            </w:pPr>
            <w:r>
              <w:rPr>
                <w:rFonts w:hint="eastAsia" w:ascii="宋体" w:hAnsi="宋体" w:cs="宋体"/>
                <w:sz w:val="24"/>
              </w:rPr>
              <w:t>1）每提供一项为政府部门（或事业单位）进行过国际化营商环境指标评估相关项目经验的，得2分。（国际化营商环境指标评估相关项目，指对整体指标框架体系内容（非单一指标项）和评估方法的研究经验）</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2）每提供一项为政府部门（或事业单位）从事过其他营商环境类型项目经验的，得1分。</w:t>
            </w:r>
            <w:r>
              <w:rPr>
                <w:rFonts w:hint="eastAsia" w:ascii="宋体" w:hAnsi="宋体" w:cs="宋体"/>
                <w:sz w:val="24"/>
                <w:lang w:val="en-GB"/>
              </w:rPr>
              <w:t xml:space="preserve"> </w:t>
            </w:r>
            <w:r>
              <w:rPr>
                <w:rFonts w:hint="eastAsia" w:ascii="宋体" w:hAnsi="宋体" w:cs="宋体"/>
                <w:sz w:val="24"/>
              </w:rPr>
              <w:t>（如包括研究公共政策、宏观规划、发展策略、</w:t>
            </w:r>
            <w:r>
              <w:rPr>
                <w:rFonts w:hint="eastAsia" w:ascii="宋体" w:hAnsi="宋体" w:cs="宋体"/>
                <w:sz w:val="24"/>
                <w:lang w:eastAsia="zh-CN"/>
              </w:rPr>
              <w:t>投资环境、投资指南、</w:t>
            </w:r>
            <w:r>
              <w:rPr>
                <w:rFonts w:hint="eastAsia" w:ascii="宋体" w:hAnsi="宋体" w:cs="宋体"/>
                <w:sz w:val="24"/>
              </w:rPr>
              <w:t>城市治理、政府监管、数字化建设、行政流程优化、引进高端人才等领域的政府咨项项目。）；</w:t>
            </w:r>
          </w:p>
          <w:p>
            <w:pPr>
              <w:spacing w:line="360" w:lineRule="auto"/>
              <w:rPr>
                <w:rFonts w:hint="eastAsia" w:ascii="宋体" w:hAnsi="宋体" w:cs="宋体"/>
                <w:sz w:val="24"/>
              </w:rPr>
            </w:pPr>
            <w:r>
              <w:rPr>
                <w:rFonts w:hint="eastAsia" w:ascii="宋体" w:hAnsi="宋体" w:cs="宋体"/>
                <w:sz w:val="24"/>
              </w:rPr>
              <w:t>1）、2）项满分</w:t>
            </w:r>
            <w:r>
              <w:rPr>
                <w:rFonts w:hint="eastAsia" w:ascii="宋体" w:hAnsi="宋体" w:cs="宋体"/>
                <w:sz w:val="24"/>
                <w:lang w:val="en-US" w:eastAsia="zh-CN"/>
              </w:rPr>
              <w:t>12</w:t>
            </w:r>
            <w:r>
              <w:rPr>
                <w:rFonts w:hint="eastAsia" w:ascii="宋体" w:hAnsi="宋体" w:cs="宋体"/>
                <w:sz w:val="24"/>
              </w:rPr>
              <w:t>分，以上累计最高得</w:t>
            </w:r>
            <w:r>
              <w:rPr>
                <w:rFonts w:hint="eastAsia" w:ascii="宋体" w:hAnsi="宋体" w:cs="宋体"/>
                <w:sz w:val="24"/>
                <w:lang w:val="en-US" w:eastAsia="zh-CN"/>
              </w:rPr>
              <w:t>17</w:t>
            </w:r>
            <w:r>
              <w:rPr>
                <w:rFonts w:hint="eastAsia" w:ascii="宋体" w:hAnsi="宋体" w:cs="宋体"/>
                <w:sz w:val="24"/>
              </w:rPr>
              <w:t>分。最高不超过</w:t>
            </w:r>
            <w:r>
              <w:rPr>
                <w:rFonts w:hint="eastAsia" w:ascii="宋体" w:hAnsi="宋体" w:cs="宋体"/>
                <w:sz w:val="24"/>
                <w:lang w:val="en-US" w:eastAsia="zh-CN"/>
              </w:rPr>
              <w:t>17</w:t>
            </w:r>
            <w:r>
              <w:rPr>
                <w:rFonts w:hint="eastAsia" w:ascii="宋体" w:hAnsi="宋体" w:cs="宋体"/>
                <w:sz w:val="24"/>
              </w:rPr>
              <w:t>分。</w:t>
            </w:r>
          </w:p>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注：</w:t>
            </w:r>
            <w:r>
              <w:rPr>
                <w:rFonts w:hint="eastAsia" w:ascii="宋体" w:hAnsi="宋体" w:cs="宋体"/>
                <w:sz w:val="24"/>
              </w:rPr>
              <w:t>同一项目业绩</w:t>
            </w:r>
            <w:r>
              <w:rPr>
                <w:rFonts w:hint="eastAsia" w:ascii="宋体" w:hAnsi="宋体" w:cs="宋体"/>
                <w:sz w:val="24"/>
                <w:lang w:val="en-US" w:eastAsia="zh-CN"/>
              </w:rPr>
              <w:t>续签</w:t>
            </w:r>
            <w:r>
              <w:rPr>
                <w:rFonts w:hint="eastAsia" w:ascii="宋体" w:hAnsi="宋体" w:cs="宋体"/>
                <w:sz w:val="24"/>
              </w:rPr>
              <w:t>不重复计分。</w:t>
            </w:r>
            <w:r>
              <w:rPr>
                <w:rFonts w:hint="eastAsia" w:ascii="宋体" w:hAnsi="宋体" w:cs="宋体"/>
                <w:sz w:val="24"/>
                <w:lang w:val="en-US" w:eastAsia="zh-CN"/>
              </w:rPr>
              <w:t>同一项目多人参与可重复计分，同一人具备同一类型多个项目不可重复计分。</w:t>
            </w:r>
          </w:p>
          <w:p>
            <w:pPr>
              <w:pStyle w:val="7"/>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二</w:t>
            </w:r>
            <w:r>
              <w:rPr>
                <w:rFonts w:hint="eastAsia" w:ascii="宋体" w:hAnsi="宋体" w:cs="宋体"/>
                <w:kern w:val="0"/>
                <w:sz w:val="24"/>
                <w:lang w:val="zh-CN"/>
              </w:rPr>
              <w:t>）证明文件：</w:t>
            </w:r>
          </w:p>
          <w:p>
            <w:pPr>
              <w:pStyle w:val="6"/>
              <w:spacing w:line="360" w:lineRule="auto"/>
              <w:rPr>
                <w:rFonts w:hint="eastAsia" w:ascii="宋体" w:hAnsi="宋体" w:cs="宋体"/>
                <w:sz w:val="24"/>
              </w:rPr>
            </w:pPr>
            <w:r>
              <w:rPr>
                <w:rFonts w:hint="eastAsia" w:ascii="宋体" w:hAnsi="宋体" w:cs="宋体"/>
                <w:sz w:val="24"/>
              </w:rPr>
              <w:t>1.若同一人既有具备政府部门（或事业单位）国际化营商环境指标评估相关项目经验和具备其他营商环境类型项目经验则可同时得分。</w:t>
            </w:r>
          </w:p>
          <w:p>
            <w:pPr>
              <w:pStyle w:val="7"/>
              <w:spacing w:line="360" w:lineRule="auto"/>
              <w:rPr>
                <w:rFonts w:hint="eastAsia" w:ascii="宋体" w:hAnsi="宋体" w:cs="宋体"/>
                <w:sz w:val="24"/>
              </w:rPr>
            </w:pPr>
            <w:r>
              <w:rPr>
                <w:rFonts w:hint="eastAsia" w:ascii="宋体" w:hAnsi="宋体" w:cs="宋体"/>
                <w:sz w:val="24"/>
              </w:rPr>
              <w:t>2.团队成员需提供近3个月内任意一个月（2025年</w:t>
            </w:r>
            <w:r>
              <w:rPr>
                <w:rFonts w:hint="eastAsia" w:ascii="宋体" w:hAnsi="宋体" w:cs="宋体"/>
                <w:sz w:val="24"/>
                <w:lang w:val="en-US" w:eastAsia="zh-CN"/>
              </w:rPr>
              <w:t>4</w:t>
            </w:r>
            <w:r>
              <w:rPr>
                <w:rFonts w:hint="eastAsia" w:ascii="宋体" w:hAnsi="宋体" w:cs="宋体"/>
                <w:sz w:val="24"/>
              </w:rPr>
              <w:t>月至2025年</w:t>
            </w:r>
            <w:r>
              <w:rPr>
                <w:rFonts w:hint="eastAsia" w:ascii="宋体" w:hAnsi="宋体" w:cs="宋体"/>
                <w:sz w:val="24"/>
                <w:lang w:val="en-US" w:eastAsia="zh-CN"/>
              </w:rPr>
              <w:t>6</w:t>
            </w:r>
            <w:r>
              <w:rPr>
                <w:rFonts w:hint="eastAsia" w:ascii="宋体" w:hAnsi="宋体" w:cs="宋体"/>
                <w:sz w:val="24"/>
              </w:rPr>
              <w:t>月）在投标单位缴纳的社保证明（新成立投标人提供自成立以来的社保证明）、学历证明复印件需加盖公章作为证明文件、项目经验需提供合同关键页(体现人员名称</w:t>
            </w:r>
            <w:r>
              <w:rPr>
                <w:rFonts w:hint="eastAsia" w:ascii="宋体" w:hAnsi="宋体" w:cs="宋体"/>
                <w:sz w:val="24"/>
                <w:lang w:val="en-US" w:eastAsia="zh-CN"/>
              </w:rPr>
              <w:t>及</w:t>
            </w:r>
            <w:r>
              <w:rPr>
                <w:rFonts w:hint="eastAsia" w:ascii="宋体" w:hAnsi="宋体" w:cs="宋体"/>
                <w:sz w:val="24"/>
              </w:rPr>
              <w:t>包含甲乙方名称、项目名称、签订时间、盖章等)复印件证明，合同关键页若不能体现项目成员的业绩，可提供委托单位开具的书面证明）。评分中出现无证明资料或专家无法凭所提供资料判断是否得分的情况，一律作不得分处理。</w:t>
            </w:r>
          </w:p>
          <w:p>
            <w:pPr>
              <w:pStyle w:val="7"/>
              <w:spacing w:line="360" w:lineRule="auto"/>
              <w:rPr>
                <w:rFonts w:hint="eastAsia" w:ascii="宋体" w:hAnsi="宋体" w:cs="宋体"/>
                <w:kern w:val="0"/>
                <w:sz w:val="24"/>
              </w:rPr>
            </w:pPr>
            <w:r>
              <w:rPr>
                <w:rFonts w:hint="eastAsia" w:ascii="宋体" w:hAnsi="宋体" w:cs="宋体"/>
                <w:sz w:val="24"/>
              </w:rPr>
              <w:t>3.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tc>
        <w:tc>
          <w:tcPr>
            <w:tcW w:w="860" w:type="dxa"/>
            <w:vAlign w:val="center"/>
          </w:tcPr>
          <w:p>
            <w:pPr>
              <w:autoSpaceDE w:val="0"/>
              <w:autoSpaceDN w:val="0"/>
              <w:adjustRightInd w:val="0"/>
              <w:jc w:val="center"/>
              <w:rPr>
                <w:rFonts w:hint="eastAsia" w:ascii="宋体" w:hAnsi="宋体" w:cs="宋体"/>
                <w:sz w:val="24"/>
              </w:rPr>
            </w:pPr>
            <w:r>
              <w:rPr>
                <w:rFonts w:hint="eastAsia" w:ascii="宋体" w:hAnsi="宋体"/>
                <w:szCs w:val="21"/>
              </w:rPr>
              <w:t>17</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lang w:val="sq-AL"/>
              </w:rPr>
            </w:pPr>
            <w:r>
              <w:rPr>
                <w:rFonts w:hint="eastAsia" w:ascii="宋体" w:hAnsi="宋体" w:cs="宋体"/>
                <w:sz w:val="24"/>
                <w:lang w:val="zh-CN"/>
              </w:rPr>
              <w:t>企业诚信</w:t>
            </w:r>
          </w:p>
        </w:tc>
        <w:tc>
          <w:tcPr>
            <w:tcW w:w="5907" w:type="dxa"/>
            <w:vAlign w:val="center"/>
          </w:tcPr>
          <w:p>
            <w:pPr>
              <w:wordWrap w:val="0"/>
              <w:spacing w:line="360" w:lineRule="auto"/>
              <w:rPr>
                <w:rFonts w:hint="eastAsia" w:ascii="宋体" w:hAnsi="宋体" w:cs="宋体"/>
                <w:sz w:val="24"/>
              </w:rPr>
            </w:pPr>
            <w:r>
              <w:rPr>
                <w:rFonts w:hint="eastAsia" w:ascii="宋体" w:hAnsi="宋体" w:cs="宋体"/>
                <w:sz w:val="24"/>
              </w:rPr>
              <w:t>（一）评审内容：</w:t>
            </w:r>
          </w:p>
          <w:p>
            <w:pPr>
              <w:wordWrap w:val="0"/>
              <w:spacing w:line="360" w:lineRule="auto"/>
              <w:rPr>
                <w:rFonts w:hint="eastAsia" w:ascii="宋体" w:hAnsi="宋体" w:cs="宋体"/>
                <w:sz w:val="24"/>
              </w:rPr>
            </w:pPr>
            <w:r>
              <w:rPr>
                <w:rFonts w:hint="eastAsia" w:ascii="宋体" w:hAnsi="宋体" w:cs="宋体"/>
                <w:sz w:val="24"/>
              </w:rPr>
              <w:t>供应商存在《深圳市财政局政府采购供应商信用信息管理办法》（深财规〔2023〕3号）列明的一般行政处罚信息、一般违法失信记录信息的，本项不得分，不存在上述情形的本项得5分。供应商无需提供任何证明材料，评标过程中由工作人员向评审委员会提供有关供应商诚信查询结果。</w:t>
            </w:r>
          </w:p>
          <w:p>
            <w:pPr>
              <w:wordWrap w:val="0"/>
              <w:spacing w:line="360" w:lineRule="auto"/>
              <w:rPr>
                <w:rFonts w:hint="eastAsia" w:ascii="宋体" w:hAnsi="宋体" w:cs="宋体"/>
                <w:sz w:val="24"/>
              </w:rPr>
            </w:pPr>
            <w:r>
              <w:rPr>
                <w:rFonts w:hint="eastAsia" w:ascii="宋体" w:hAnsi="宋体" w:cs="宋体"/>
                <w:sz w:val="24"/>
              </w:rPr>
              <w:t>（二）评分标准：</w:t>
            </w:r>
          </w:p>
          <w:p>
            <w:pPr>
              <w:wordWrap w:val="0"/>
              <w:spacing w:line="360" w:lineRule="auto"/>
              <w:rPr>
                <w:rFonts w:hint="eastAsia" w:ascii="宋体" w:hAnsi="宋体" w:cs="宋体"/>
                <w:sz w:val="24"/>
              </w:rPr>
            </w:pPr>
            <w:r>
              <w:rPr>
                <w:rFonts w:hint="eastAsia" w:ascii="宋体" w:hAnsi="宋体" w:cs="宋体"/>
                <w:sz w:val="24"/>
              </w:rPr>
              <w:t>查询渠道：通过“信用中国”（www.creditchina.gov.cn，下载信用信息报告）、“中国政府采购网”（www.ccgp.gov.cn）以及“深圳市政府采购监管网”（http://zfcg.sz.gov.cn）查询供应商信用信息，信用信息以开标当日的查询结果为准。</w:t>
            </w:r>
          </w:p>
        </w:tc>
        <w:tc>
          <w:tcPr>
            <w:tcW w:w="860" w:type="dxa"/>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508"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对项目的整体理解</w:t>
            </w:r>
          </w:p>
        </w:tc>
        <w:tc>
          <w:tcPr>
            <w:tcW w:w="5907" w:type="dxa"/>
            <w:vAlign w:val="center"/>
          </w:tcPr>
          <w:p>
            <w:pPr>
              <w:wordWrap w:val="0"/>
              <w:spacing w:line="360" w:lineRule="auto"/>
              <w:rPr>
                <w:rFonts w:hint="eastAsia" w:ascii="宋体" w:hAnsi="宋体" w:cs="宋体"/>
                <w:sz w:val="24"/>
                <w:lang w:val="zh-CN"/>
              </w:rPr>
            </w:pPr>
            <w:r>
              <w:rPr>
                <w:rFonts w:hint="eastAsia" w:ascii="宋体" w:hAnsi="宋体" w:cs="宋体"/>
                <w:sz w:val="24"/>
                <w:lang w:val="zh-CN"/>
              </w:rPr>
              <w:t>（一）评审内容：</w:t>
            </w:r>
          </w:p>
          <w:p>
            <w:pPr>
              <w:wordWrap w:val="0"/>
              <w:spacing w:line="360" w:lineRule="auto"/>
              <w:rPr>
                <w:rFonts w:hint="eastAsia" w:ascii="宋体" w:hAnsi="宋体" w:cs="宋体"/>
                <w:sz w:val="24"/>
              </w:rPr>
            </w:pPr>
            <w:r>
              <w:rPr>
                <w:rFonts w:hint="eastAsia" w:ascii="宋体" w:hAnsi="宋体" w:cs="宋体"/>
                <w:sz w:val="24"/>
              </w:rPr>
              <w:t>考察对项目需求、研究目的、研究内容是否有完整的理解，进行综合比较。包含但不限于以下内容：</w:t>
            </w:r>
          </w:p>
          <w:p>
            <w:pPr>
              <w:wordWrap w:val="0"/>
              <w:spacing w:line="360" w:lineRule="auto"/>
              <w:rPr>
                <w:rFonts w:hint="eastAsia" w:ascii="宋体" w:hAnsi="宋体" w:cs="宋体"/>
                <w:sz w:val="24"/>
              </w:rPr>
            </w:pPr>
            <w:r>
              <w:rPr>
                <w:rFonts w:hint="eastAsia" w:ascii="宋体" w:hAnsi="宋体" w:cs="宋体"/>
                <w:sz w:val="24"/>
              </w:rPr>
              <w:t>1.对背景的理解；</w:t>
            </w:r>
          </w:p>
          <w:p>
            <w:pPr>
              <w:wordWrap w:val="0"/>
              <w:spacing w:line="360" w:lineRule="auto"/>
              <w:rPr>
                <w:rFonts w:hint="eastAsia" w:ascii="宋体" w:hAnsi="宋体" w:cs="宋体"/>
                <w:sz w:val="24"/>
              </w:rPr>
            </w:pPr>
            <w:r>
              <w:rPr>
                <w:rFonts w:hint="eastAsia" w:ascii="宋体" w:hAnsi="宋体" w:cs="宋体"/>
                <w:sz w:val="24"/>
              </w:rPr>
              <w:t>2.对项目需求及目的解读；</w:t>
            </w:r>
          </w:p>
          <w:p>
            <w:pPr>
              <w:wordWrap w:val="0"/>
              <w:spacing w:line="360" w:lineRule="auto"/>
              <w:rPr>
                <w:rFonts w:hint="eastAsia" w:ascii="宋体" w:hAnsi="宋体" w:cs="宋体"/>
                <w:sz w:val="24"/>
              </w:rPr>
            </w:pPr>
            <w:r>
              <w:rPr>
                <w:rFonts w:hint="eastAsia" w:ascii="宋体" w:hAnsi="宋体" w:cs="宋体"/>
                <w:sz w:val="24"/>
              </w:rPr>
              <w:t>3.对研究内容整体解读。</w:t>
            </w:r>
          </w:p>
          <w:p>
            <w:pPr>
              <w:wordWrap w:val="0"/>
              <w:spacing w:line="360" w:lineRule="auto"/>
              <w:rPr>
                <w:rFonts w:hint="eastAsia" w:ascii="宋体" w:hAnsi="宋体" w:cs="宋体"/>
                <w:sz w:val="24"/>
                <w:lang w:val="zh-CN"/>
              </w:rPr>
            </w:pPr>
            <w:r>
              <w:rPr>
                <w:rFonts w:hint="eastAsia" w:ascii="宋体" w:hAnsi="宋体" w:cs="宋体"/>
                <w:sz w:val="24"/>
                <w:lang w:val="zh-CN"/>
              </w:rPr>
              <w:t>（二）评审标准：</w:t>
            </w:r>
          </w:p>
          <w:p>
            <w:pPr>
              <w:wordWrap w:val="0"/>
              <w:spacing w:line="360" w:lineRule="auto"/>
              <w:rPr>
                <w:rFonts w:hint="eastAsia" w:ascii="宋体" w:hAnsi="宋体" w:cs="宋体"/>
                <w:sz w:val="24"/>
              </w:rPr>
            </w:pPr>
            <w:r>
              <w:rPr>
                <w:rFonts w:hint="eastAsia" w:ascii="宋体" w:hAnsi="宋体" w:cs="宋体"/>
                <w:sz w:val="24"/>
              </w:rPr>
              <w:t>满足以上三项内容得7分，满足任意两项内容得5分，满足任意一项内容得2分；在此基础上，对投标人响应情况进行分档评分：</w:t>
            </w:r>
          </w:p>
          <w:p>
            <w:pPr>
              <w:wordWrap w:val="0"/>
              <w:spacing w:line="360" w:lineRule="auto"/>
              <w:rPr>
                <w:rFonts w:hint="eastAsia" w:ascii="宋体" w:hAnsi="宋体" w:cs="宋体"/>
                <w:sz w:val="24"/>
              </w:rPr>
            </w:pPr>
            <w:r>
              <w:rPr>
                <w:rFonts w:hint="eastAsia" w:ascii="宋体" w:hAnsi="宋体" w:cs="宋体"/>
                <w:sz w:val="24"/>
              </w:rPr>
              <w:t>1.优评分标准：理解准确到位，概括性强。</w:t>
            </w:r>
          </w:p>
          <w:p>
            <w:pPr>
              <w:wordWrap w:val="0"/>
              <w:spacing w:line="360" w:lineRule="auto"/>
              <w:rPr>
                <w:rFonts w:hint="eastAsia" w:ascii="宋体" w:hAnsi="宋体" w:cs="宋体"/>
                <w:sz w:val="24"/>
              </w:rPr>
            </w:pPr>
            <w:r>
              <w:rPr>
                <w:rFonts w:hint="eastAsia" w:ascii="宋体" w:hAnsi="宋体" w:cs="宋体"/>
                <w:sz w:val="24"/>
              </w:rPr>
              <w:t>2.良评分标准：理解到位，具有一定概括性。</w:t>
            </w:r>
          </w:p>
          <w:p>
            <w:pPr>
              <w:wordWrap w:val="0"/>
              <w:spacing w:line="360" w:lineRule="auto"/>
              <w:rPr>
                <w:rFonts w:hint="eastAsia" w:ascii="宋体" w:hAnsi="宋体" w:cs="宋体"/>
                <w:sz w:val="24"/>
              </w:rPr>
            </w:pPr>
            <w:r>
              <w:rPr>
                <w:rFonts w:hint="eastAsia" w:ascii="宋体" w:hAnsi="宋体" w:cs="宋体"/>
                <w:sz w:val="24"/>
              </w:rPr>
              <w:t>3.中评分标准：理解有缺漏但基本到位，概括性低。</w:t>
            </w:r>
          </w:p>
          <w:p>
            <w:pPr>
              <w:wordWrap w:val="0"/>
              <w:spacing w:line="360" w:lineRule="auto"/>
              <w:rPr>
                <w:rFonts w:hint="eastAsia" w:ascii="宋体" w:hAnsi="宋体" w:cs="宋体"/>
                <w:sz w:val="24"/>
              </w:rPr>
            </w:pPr>
            <w:r>
              <w:rPr>
                <w:rFonts w:hint="eastAsia" w:ascii="宋体" w:hAnsi="宋体" w:cs="宋体"/>
                <w:sz w:val="24"/>
              </w:rPr>
              <w:t>4.差评分标准：理解有严重缺漏，无概括性。</w:t>
            </w:r>
          </w:p>
          <w:p>
            <w:pPr>
              <w:wordWrap w:val="0"/>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文件比较，评价为优</w:t>
            </w:r>
            <w:r>
              <w:rPr>
                <w:rFonts w:hint="eastAsia" w:ascii="宋体" w:hAnsi="宋体" w:cs="宋体"/>
                <w:sz w:val="24"/>
              </w:rPr>
              <w:t>加3</w:t>
            </w:r>
            <w:r>
              <w:rPr>
                <w:rFonts w:hint="eastAsia" w:ascii="宋体" w:hAnsi="宋体" w:cs="宋体"/>
                <w:sz w:val="24"/>
                <w:lang w:val="zh-CN"/>
              </w:rPr>
              <w:t>分；评价为良</w:t>
            </w:r>
            <w:r>
              <w:rPr>
                <w:rFonts w:hint="eastAsia" w:ascii="宋体" w:hAnsi="宋体" w:cs="宋体"/>
                <w:sz w:val="24"/>
              </w:rPr>
              <w:t>加2</w:t>
            </w:r>
            <w:r>
              <w:rPr>
                <w:rFonts w:hint="eastAsia" w:ascii="宋体" w:hAnsi="宋体" w:cs="宋体"/>
                <w:sz w:val="24"/>
                <w:lang w:val="zh-CN"/>
              </w:rPr>
              <w:t>分；评价为中</w:t>
            </w:r>
            <w:r>
              <w:rPr>
                <w:rFonts w:hint="eastAsia" w:ascii="宋体" w:hAnsi="宋体" w:cs="宋体"/>
                <w:sz w:val="24"/>
              </w:rPr>
              <w:t>加1</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。如果评审为</w:t>
            </w:r>
            <w:r>
              <w:rPr>
                <w:rFonts w:hint="eastAsia" w:ascii="宋体" w:hAnsi="宋体" w:cs="宋体"/>
                <w:sz w:val="24"/>
                <w:lang w:val="en-US" w:eastAsia="zh-CN"/>
              </w:rPr>
              <w:t>差</w:t>
            </w:r>
            <w:r>
              <w:rPr>
                <w:rFonts w:hint="eastAsia" w:ascii="宋体" w:hAnsi="宋体" w:cs="宋体"/>
                <w:sz w:val="24"/>
                <w:lang w:val="zh-CN"/>
              </w:rPr>
              <w:t>，要求专家书面说明理由，并记录在档。</w:t>
            </w:r>
          </w:p>
        </w:tc>
        <w:tc>
          <w:tcPr>
            <w:tcW w:w="860" w:type="dxa"/>
            <w:vAlign w:val="center"/>
          </w:tcPr>
          <w:p>
            <w:pPr>
              <w:wordWrap w:val="0"/>
              <w:spacing w:line="360" w:lineRule="auto"/>
              <w:jc w:val="center"/>
              <w:rPr>
                <w:rFonts w:hint="eastAsia" w:ascii="宋体" w:hAnsi="宋体" w:cs="宋体"/>
                <w:sz w:val="24"/>
                <w:lang w:val="zh-CN"/>
              </w:rPr>
            </w:pPr>
            <w:r>
              <w:rPr>
                <w:rFonts w:hint="eastAsia" w:ascii="宋体" w:hAnsi="宋体" w:cs="宋体"/>
                <w:sz w:val="24"/>
              </w:rPr>
              <w:t>10</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项目重点难点分析、应对措施及相关的合理化建议</w:t>
            </w:r>
          </w:p>
        </w:tc>
        <w:tc>
          <w:tcPr>
            <w:tcW w:w="5907" w:type="dxa"/>
            <w:vAlign w:val="center"/>
          </w:tcPr>
          <w:p>
            <w:pPr>
              <w:wordWrap w:val="0"/>
              <w:spacing w:line="360" w:lineRule="auto"/>
              <w:rPr>
                <w:rFonts w:hint="eastAsia" w:ascii="宋体" w:hAnsi="宋体" w:cs="宋体"/>
                <w:sz w:val="24"/>
              </w:rPr>
            </w:pPr>
            <w:r>
              <w:rPr>
                <w:rFonts w:hint="eastAsia" w:ascii="宋体" w:hAnsi="宋体" w:cs="宋体"/>
                <w:sz w:val="24"/>
              </w:rPr>
              <w:t>考察对项目重点难点分析，应对措施及相关的合理化建议情况，进行综合比较。包含但不限于以下内容：</w:t>
            </w:r>
          </w:p>
          <w:p>
            <w:pPr>
              <w:wordWrap w:val="0"/>
              <w:spacing w:line="360" w:lineRule="auto"/>
              <w:rPr>
                <w:rFonts w:hint="eastAsia" w:ascii="宋体" w:hAnsi="宋体" w:cs="宋体"/>
                <w:sz w:val="24"/>
              </w:rPr>
            </w:pPr>
            <w:r>
              <w:rPr>
                <w:rFonts w:hint="eastAsia" w:ascii="宋体" w:hAnsi="宋体" w:cs="宋体"/>
                <w:sz w:val="24"/>
              </w:rPr>
              <w:t>1.分析项目难点、重点情况；</w:t>
            </w:r>
          </w:p>
          <w:p>
            <w:pPr>
              <w:wordWrap w:val="0"/>
              <w:spacing w:line="360" w:lineRule="auto"/>
              <w:rPr>
                <w:rFonts w:hint="eastAsia" w:ascii="宋体" w:hAnsi="宋体" w:cs="宋体"/>
                <w:sz w:val="24"/>
              </w:rPr>
            </w:pPr>
            <w:r>
              <w:rPr>
                <w:rFonts w:hint="eastAsia" w:ascii="宋体" w:hAnsi="宋体" w:cs="宋体"/>
                <w:sz w:val="24"/>
              </w:rPr>
              <w:t>2.提出应对措施；</w:t>
            </w:r>
          </w:p>
          <w:p>
            <w:pPr>
              <w:wordWrap w:val="0"/>
              <w:spacing w:line="360" w:lineRule="auto"/>
              <w:rPr>
                <w:rFonts w:hint="eastAsia" w:ascii="宋体" w:hAnsi="宋体" w:cs="宋体"/>
                <w:sz w:val="24"/>
              </w:rPr>
            </w:pPr>
            <w:r>
              <w:rPr>
                <w:rFonts w:hint="eastAsia" w:ascii="宋体" w:hAnsi="宋体" w:cs="宋体"/>
                <w:sz w:val="24"/>
              </w:rPr>
              <w:t>3.对项目进行合理化建议；</w:t>
            </w:r>
          </w:p>
          <w:p>
            <w:pPr>
              <w:wordWrap w:val="0"/>
              <w:spacing w:line="360" w:lineRule="auto"/>
              <w:rPr>
                <w:rFonts w:hint="eastAsia" w:ascii="宋体" w:hAnsi="宋体" w:cs="宋体"/>
                <w:sz w:val="24"/>
              </w:rPr>
            </w:pPr>
            <w:r>
              <w:rPr>
                <w:rFonts w:hint="eastAsia" w:ascii="宋体" w:hAnsi="宋体" w:cs="宋体"/>
                <w:sz w:val="24"/>
              </w:rPr>
              <w:t>满足以上三项内容得7分，满足任意两项内容得5分，满足任意一项内容得2分；在此基础上，对投标人响应情况进行分档评分：</w:t>
            </w:r>
          </w:p>
          <w:p>
            <w:pPr>
              <w:wordWrap w:val="0"/>
              <w:spacing w:line="360" w:lineRule="auto"/>
              <w:rPr>
                <w:rFonts w:hint="eastAsia" w:ascii="宋体" w:hAnsi="宋体" w:cs="宋体"/>
                <w:sz w:val="24"/>
              </w:rPr>
            </w:pPr>
            <w:r>
              <w:rPr>
                <w:rFonts w:hint="eastAsia" w:ascii="宋体" w:hAnsi="宋体" w:cs="宋体"/>
                <w:sz w:val="24"/>
              </w:rPr>
              <w:t>1.优评分标准：分析准确到位，措施合理，建议可操作性强。</w:t>
            </w:r>
          </w:p>
          <w:p>
            <w:pPr>
              <w:wordWrap w:val="0"/>
              <w:spacing w:line="360" w:lineRule="auto"/>
              <w:rPr>
                <w:rFonts w:hint="eastAsia" w:ascii="宋体" w:hAnsi="宋体" w:cs="宋体"/>
                <w:sz w:val="24"/>
              </w:rPr>
            </w:pPr>
            <w:r>
              <w:rPr>
                <w:rFonts w:hint="eastAsia" w:ascii="宋体" w:hAnsi="宋体" w:cs="宋体"/>
                <w:sz w:val="24"/>
              </w:rPr>
              <w:t>2.良评分标准：分析到位，措施比较合理，建议可操作性较强。</w:t>
            </w:r>
          </w:p>
          <w:p>
            <w:pPr>
              <w:wordWrap w:val="0"/>
              <w:spacing w:line="360" w:lineRule="auto"/>
              <w:rPr>
                <w:rFonts w:hint="eastAsia" w:ascii="宋体" w:hAnsi="宋体" w:cs="宋体"/>
                <w:sz w:val="24"/>
              </w:rPr>
            </w:pPr>
            <w:r>
              <w:rPr>
                <w:rFonts w:hint="eastAsia" w:ascii="宋体" w:hAnsi="宋体" w:cs="宋体"/>
                <w:sz w:val="24"/>
              </w:rPr>
              <w:t>3.中评分标准：分析基本到位，措施基本合理，建议可操作性一般。</w:t>
            </w:r>
          </w:p>
          <w:p>
            <w:pPr>
              <w:wordWrap w:val="0"/>
              <w:spacing w:line="360" w:lineRule="auto"/>
              <w:rPr>
                <w:rFonts w:hint="eastAsia" w:ascii="宋体" w:hAnsi="宋体" w:cs="宋体"/>
                <w:sz w:val="24"/>
              </w:rPr>
            </w:pPr>
            <w:r>
              <w:rPr>
                <w:rFonts w:hint="eastAsia" w:ascii="宋体" w:hAnsi="宋体" w:cs="宋体"/>
                <w:sz w:val="24"/>
              </w:rPr>
              <w:t>4.差评分标准：分析有严重缺漏，措施不合理，建议可操作性差。</w:t>
            </w:r>
          </w:p>
          <w:p>
            <w:pPr>
              <w:wordWrap w:val="0"/>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w:t>
            </w:r>
            <w:r>
              <w:rPr>
                <w:rFonts w:hint="eastAsia" w:ascii="宋体" w:hAnsi="宋体" w:cs="宋体"/>
                <w:sz w:val="24"/>
                <w:lang w:val="en-US" w:eastAsia="zh-CN"/>
              </w:rPr>
              <w:t>内容</w:t>
            </w:r>
            <w:r>
              <w:rPr>
                <w:rFonts w:hint="eastAsia" w:ascii="宋体" w:hAnsi="宋体" w:cs="宋体"/>
                <w:sz w:val="24"/>
                <w:lang w:val="zh-CN"/>
              </w:rPr>
              <w:t>，评价为优</w:t>
            </w:r>
            <w:r>
              <w:rPr>
                <w:rFonts w:hint="eastAsia" w:ascii="宋体" w:hAnsi="宋体" w:cs="宋体"/>
                <w:sz w:val="24"/>
              </w:rPr>
              <w:t>加5</w:t>
            </w:r>
            <w:r>
              <w:rPr>
                <w:rFonts w:hint="eastAsia" w:ascii="宋体" w:hAnsi="宋体" w:cs="宋体"/>
                <w:sz w:val="24"/>
                <w:lang w:val="zh-CN"/>
              </w:rPr>
              <w:t>分；评价为良</w:t>
            </w:r>
            <w:r>
              <w:rPr>
                <w:rFonts w:hint="eastAsia" w:ascii="宋体" w:hAnsi="宋体" w:cs="宋体"/>
                <w:sz w:val="24"/>
              </w:rPr>
              <w:t>加3</w:t>
            </w:r>
            <w:r>
              <w:rPr>
                <w:rFonts w:hint="eastAsia" w:ascii="宋体" w:hAnsi="宋体" w:cs="宋体"/>
                <w:sz w:val="24"/>
                <w:lang w:val="zh-CN"/>
              </w:rPr>
              <w:t>分；评价为中</w:t>
            </w:r>
            <w:r>
              <w:rPr>
                <w:rFonts w:hint="eastAsia" w:ascii="宋体" w:hAnsi="宋体" w:cs="宋体"/>
                <w:sz w:val="24"/>
              </w:rPr>
              <w:t>加1</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。如果评审为</w:t>
            </w:r>
            <w:r>
              <w:rPr>
                <w:rFonts w:hint="eastAsia" w:ascii="宋体" w:hAnsi="宋体" w:cs="宋体"/>
                <w:sz w:val="24"/>
                <w:lang w:val="en-US" w:eastAsia="zh-CN"/>
              </w:rPr>
              <w:t>差</w:t>
            </w:r>
            <w:r>
              <w:rPr>
                <w:rFonts w:hint="eastAsia" w:ascii="宋体" w:hAnsi="宋体" w:cs="宋体"/>
                <w:sz w:val="24"/>
                <w:lang w:val="zh-CN"/>
              </w:rPr>
              <w:t>，要求专家书面说明理由，并记录在档。</w:t>
            </w:r>
          </w:p>
        </w:tc>
        <w:tc>
          <w:tcPr>
            <w:tcW w:w="860" w:type="dxa"/>
            <w:vAlign w:val="center"/>
          </w:tcPr>
          <w:p>
            <w:pPr>
              <w:wordWrap w:val="0"/>
              <w:spacing w:line="360" w:lineRule="auto"/>
              <w:jc w:val="center"/>
              <w:rPr>
                <w:rFonts w:hint="eastAsia" w:ascii="宋体" w:hAnsi="宋体" w:cs="宋体"/>
                <w:sz w:val="24"/>
                <w:lang w:val="zh-CN"/>
              </w:rPr>
            </w:pPr>
            <w:r>
              <w:rPr>
                <w:rFonts w:hint="eastAsia" w:ascii="宋体" w:hAnsi="宋体" w:cs="宋体"/>
                <w:sz w:val="24"/>
              </w:rPr>
              <w:t>12</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编制研究方法及思路</w:t>
            </w:r>
          </w:p>
        </w:tc>
        <w:tc>
          <w:tcPr>
            <w:tcW w:w="5907" w:type="dxa"/>
            <w:vAlign w:val="center"/>
          </w:tcPr>
          <w:p>
            <w:pPr>
              <w:wordWrap w:val="0"/>
              <w:spacing w:line="360" w:lineRule="auto"/>
              <w:rPr>
                <w:rFonts w:hint="eastAsia" w:ascii="宋体" w:hAnsi="宋体" w:cs="宋体"/>
                <w:sz w:val="24"/>
              </w:rPr>
            </w:pPr>
            <w:r>
              <w:rPr>
                <w:rFonts w:hint="eastAsia" w:ascii="宋体" w:hAnsi="宋体" w:cs="宋体"/>
                <w:sz w:val="24"/>
              </w:rPr>
              <w:t>考察对研究内容和报告编制的具体思路和分析维度等研究方法及思路是否清晰、完整，进行综合比较。包含但不限于以下内容：</w:t>
            </w:r>
          </w:p>
          <w:p>
            <w:pPr>
              <w:wordWrap w:val="0"/>
              <w:spacing w:line="360" w:lineRule="auto"/>
              <w:rPr>
                <w:rFonts w:hint="eastAsia" w:ascii="宋体" w:hAnsi="宋体" w:cs="宋体"/>
                <w:sz w:val="24"/>
              </w:rPr>
            </w:pPr>
            <w:r>
              <w:rPr>
                <w:rFonts w:hint="eastAsia" w:ascii="宋体" w:hAnsi="宋体" w:cs="宋体"/>
                <w:sz w:val="24"/>
              </w:rPr>
              <w:t>1.研究方案；</w:t>
            </w:r>
          </w:p>
          <w:p>
            <w:pPr>
              <w:wordWrap w:val="0"/>
              <w:spacing w:line="360" w:lineRule="auto"/>
              <w:rPr>
                <w:rFonts w:hint="eastAsia" w:ascii="宋体" w:hAnsi="宋体" w:cs="宋体"/>
                <w:sz w:val="24"/>
              </w:rPr>
            </w:pPr>
            <w:r>
              <w:rPr>
                <w:rFonts w:hint="eastAsia" w:ascii="宋体" w:hAnsi="宋体" w:cs="宋体"/>
                <w:sz w:val="24"/>
              </w:rPr>
              <w:t>2.研究报告设计；</w:t>
            </w:r>
          </w:p>
          <w:p>
            <w:pPr>
              <w:wordWrap w:val="0"/>
              <w:spacing w:line="360" w:lineRule="auto"/>
              <w:rPr>
                <w:rFonts w:hint="eastAsia" w:ascii="宋体" w:hAnsi="宋体" w:cs="宋体"/>
                <w:sz w:val="24"/>
              </w:rPr>
            </w:pPr>
            <w:r>
              <w:rPr>
                <w:rFonts w:hint="eastAsia" w:ascii="宋体" w:hAnsi="宋体" w:cs="宋体"/>
                <w:sz w:val="24"/>
              </w:rPr>
              <w:t>3.研究思路和数据。</w:t>
            </w:r>
          </w:p>
          <w:p>
            <w:pPr>
              <w:wordWrap w:val="0"/>
              <w:spacing w:line="360" w:lineRule="auto"/>
              <w:rPr>
                <w:rFonts w:hint="eastAsia" w:ascii="宋体" w:hAnsi="宋体" w:cs="宋体"/>
                <w:sz w:val="24"/>
              </w:rPr>
            </w:pPr>
            <w:r>
              <w:rPr>
                <w:rFonts w:hint="eastAsia" w:ascii="宋体" w:hAnsi="宋体" w:cs="宋体"/>
                <w:sz w:val="24"/>
              </w:rPr>
              <w:t>满足以上三项内容得6分，满足任意两项内容得4分，满足任意一项内容得2分；在此基础上，对投标人响应情况进行分档评分：</w:t>
            </w:r>
          </w:p>
          <w:p>
            <w:pPr>
              <w:wordWrap w:val="0"/>
              <w:spacing w:line="360" w:lineRule="auto"/>
              <w:rPr>
                <w:rFonts w:hint="eastAsia" w:ascii="宋体" w:hAnsi="宋体" w:cs="宋体"/>
                <w:sz w:val="24"/>
              </w:rPr>
            </w:pPr>
            <w:r>
              <w:rPr>
                <w:rFonts w:hint="eastAsia" w:ascii="宋体" w:hAnsi="宋体" w:cs="宋体"/>
                <w:sz w:val="24"/>
              </w:rPr>
              <w:t>1.优评分标准：研究方案思路明确、逻辑清晰，满足采购方所有需求，数据来源科学可行。</w:t>
            </w:r>
          </w:p>
          <w:p>
            <w:pPr>
              <w:wordWrap w:val="0"/>
              <w:spacing w:line="360" w:lineRule="auto"/>
              <w:rPr>
                <w:rFonts w:hint="eastAsia" w:ascii="宋体" w:hAnsi="宋体" w:cs="宋体"/>
                <w:sz w:val="24"/>
              </w:rPr>
            </w:pPr>
            <w:r>
              <w:rPr>
                <w:rFonts w:hint="eastAsia" w:ascii="宋体" w:hAnsi="宋体" w:cs="宋体"/>
                <w:sz w:val="24"/>
              </w:rPr>
              <w:t>2.良评分标准：研究方案思路较明确、逻辑清晰，满足采购方大部分需求，数据来源较科学可行。</w:t>
            </w:r>
          </w:p>
          <w:p>
            <w:pPr>
              <w:wordWrap w:val="0"/>
              <w:spacing w:line="360" w:lineRule="auto"/>
              <w:rPr>
                <w:rFonts w:hint="eastAsia" w:ascii="宋体" w:hAnsi="宋体" w:cs="宋体"/>
                <w:sz w:val="24"/>
              </w:rPr>
            </w:pPr>
            <w:r>
              <w:rPr>
                <w:rFonts w:hint="eastAsia" w:ascii="宋体" w:hAnsi="宋体" w:cs="宋体"/>
                <w:sz w:val="24"/>
              </w:rPr>
              <w:t>3.中评分标准：研究方案思路较清晰，满足采购方部分需求，数据来源科学可行性一般。</w:t>
            </w:r>
          </w:p>
          <w:p>
            <w:pPr>
              <w:wordWrap w:val="0"/>
              <w:spacing w:line="360" w:lineRule="auto"/>
              <w:rPr>
                <w:rFonts w:hint="eastAsia" w:ascii="宋体" w:hAnsi="宋体" w:cs="宋体"/>
                <w:sz w:val="24"/>
              </w:rPr>
            </w:pPr>
            <w:r>
              <w:rPr>
                <w:rFonts w:hint="eastAsia" w:ascii="宋体" w:hAnsi="宋体" w:cs="宋体"/>
                <w:sz w:val="24"/>
              </w:rPr>
              <w:t>4.差评分标准：研究方案有严重缺漏，无法满足采购方需求，数据来源不科学可行。</w:t>
            </w:r>
          </w:p>
          <w:p>
            <w:pPr>
              <w:wordWrap w:val="0"/>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w:t>
            </w:r>
            <w:r>
              <w:rPr>
                <w:rFonts w:hint="eastAsia" w:ascii="宋体" w:hAnsi="宋体" w:cs="宋体"/>
                <w:sz w:val="24"/>
                <w:lang w:val="en-US" w:eastAsia="zh-CN"/>
              </w:rPr>
              <w:t>内容</w:t>
            </w:r>
            <w:r>
              <w:rPr>
                <w:rFonts w:hint="eastAsia" w:ascii="宋体" w:hAnsi="宋体" w:cs="宋体"/>
                <w:sz w:val="24"/>
                <w:lang w:val="zh-CN"/>
              </w:rPr>
              <w:t>，评价为优</w:t>
            </w:r>
            <w:r>
              <w:rPr>
                <w:rFonts w:hint="eastAsia" w:ascii="宋体" w:hAnsi="宋体" w:cs="宋体"/>
                <w:sz w:val="24"/>
              </w:rPr>
              <w:t>加4</w:t>
            </w:r>
            <w:r>
              <w:rPr>
                <w:rFonts w:hint="eastAsia" w:ascii="宋体" w:hAnsi="宋体" w:cs="宋体"/>
                <w:sz w:val="24"/>
                <w:lang w:val="zh-CN"/>
              </w:rPr>
              <w:t>分；评价为良</w:t>
            </w:r>
            <w:r>
              <w:rPr>
                <w:rFonts w:hint="eastAsia" w:ascii="宋体" w:hAnsi="宋体" w:cs="宋体"/>
                <w:sz w:val="24"/>
              </w:rPr>
              <w:t>加2</w:t>
            </w:r>
            <w:r>
              <w:rPr>
                <w:rFonts w:hint="eastAsia" w:ascii="宋体" w:hAnsi="宋体" w:cs="宋体"/>
                <w:sz w:val="24"/>
                <w:lang w:val="zh-CN"/>
              </w:rPr>
              <w:t>分；评价为中</w:t>
            </w:r>
            <w:r>
              <w:rPr>
                <w:rFonts w:hint="eastAsia" w:ascii="宋体" w:hAnsi="宋体" w:cs="宋体"/>
                <w:sz w:val="24"/>
              </w:rPr>
              <w:t>加1</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。如果评审为</w:t>
            </w:r>
            <w:r>
              <w:rPr>
                <w:rFonts w:hint="eastAsia" w:ascii="宋体" w:hAnsi="宋体" w:cs="宋体"/>
                <w:sz w:val="24"/>
                <w:lang w:val="en-US" w:eastAsia="zh-CN"/>
              </w:rPr>
              <w:t>差</w:t>
            </w:r>
            <w:r>
              <w:rPr>
                <w:rFonts w:hint="eastAsia" w:ascii="宋体" w:hAnsi="宋体" w:cs="宋体"/>
                <w:sz w:val="24"/>
                <w:lang w:val="zh-CN"/>
              </w:rPr>
              <w:t>，要求专家书面说明理由，并记录在档。</w:t>
            </w:r>
          </w:p>
        </w:tc>
        <w:tc>
          <w:tcPr>
            <w:tcW w:w="860" w:type="dxa"/>
            <w:vAlign w:val="center"/>
          </w:tcPr>
          <w:p>
            <w:pPr>
              <w:wordWrap w:val="0"/>
              <w:spacing w:line="360" w:lineRule="auto"/>
              <w:jc w:val="center"/>
              <w:rPr>
                <w:rFonts w:hint="eastAsia" w:ascii="宋体" w:hAnsi="宋体" w:cs="宋体"/>
                <w:sz w:val="24"/>
                <w:lang w:val="zh-CN"/>
              </w:rPr>
            </w:pPr>
            <w:r>
              <w:rPr>
                <w:rFonts w:hint="eastAsia" w:ascii="宋体" w:hAnsi="宋体" w:cs="宋体"/>
                <w:sz w:val="24"/>
              </w:rPr>
              <w:t>10</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成果预设</w:t>
            </w:r>
          </w:p>
        </w:tc>
        <w:tc>
          <w:tcPr>
            <w:tcW w:w="5907" w:type="dxa"/>
            <w:vAlign w:val="center"/>
          </w:tcPr>
          <w:p>
            <w:pPr>
              <w:wordWrap w:val="0"/>
              <w:spacing w:line="360" w:lineRule="auto"/>
              <w:rPr>
                <w:rFonts w:hint="eastAsia" w:ascii="宋体" w:hAnsi="宋体" w:cs="宋体"/>
                <w:sz w:val="24"/>
              </w:rPr>
            </w:pPr>
            <w:r>
              <w:rPr>
                <w:rFonts w:hint="eastAsia" w:ascii="宋体" w:hAnsi="宋体" w:cs="宋体"/>
                <w:sz w:val="24"/>
              </w:rPr>
              <w:t>根据成果编制内容的合理可行性、响应程度等各方面情况进行比较评价。包含但不限于以下内容：</w:t>
            </w:r>
          </w:p>
          <w:p>
            <w:pPr>
              <w:wordWrap w:val="0"/>
              <w:spacing w:line="360" w:lineRule="auto"/>
              <w:rPr>
                <w:rFonts w:hint="eastAsia" w:ascii="宋体" w:hAnsi="宋体" w:cs="宋体"/>
                <w:sz w:val="24"/>
              </w:rPr>
            </w:pPr>
            <w:r>
              <w:rPr>
                <w:rFonts w:hint="eastAsia" w:ascii="宋体" w:hAnsi="宋体" w:cs="宋体"/>
                <w:sz w:val="24"/>
              </w:rPr>
              <w:t>1.成果响应；</w:t>
            </w:r>
          </w:p>
          <w:p>
            <w:pPr>
              <w:wordWrap w:val="0"/>
              <w:spacing w:line="360" w:lineRule="auto"/>
              <w:rPr>
                <w:rFonts w:hint="eastAsia" w:ascii="宋体" w:hAnsi="宋体" w:cs="宋体"/>
                <w:sz w:val="24"/>
              </w:rPr>
            </w:pPr>
            <w:r>
              <w:rPr>
                <w:rFonts w:hint="eastAsia" w:ascii="宋体" w:hAnsi="宋体" w:cs="宋体"/>
                <w:sz w:val="24"/>
              </w:rPr>
              <w:t xml:space="preserve">2.成果内容； </w:t>
            </w:r>
          </w:p>
          <w:p>
            <w:pPr>
              <w:wordWrap w:val="0"/>
              <w:spacing w:line="360" w:lineRule="auto"/>
              <w:rPr>
                <w:rFonts w:hint="eastAsia" w:ascii="宋体" w:hAnsi="宋体" w:cs="宋体"/>
                <w:sz w:val="24"/>
              </w:rPr>
            </w:pPr>
            <w:r>
              <w:rPr>
                <w:rFonts w:hint="eastAsia" w:ascii="宋体" w:hAnsi="宋体" w:cs="宋体"/>
                <w:sz w:val="24"/>
              </w:rPr>
              <w:t>满足上述两项的得3分，满足一项的得1分，在此基础上，对投标人响应情况进行分档评分：</w:t>
            </w:r>
          </w:p>
          <w:p>
            <w:pPr>
              <w:wordWrap w:val="0"/>
              <w:spacing w:line="360" w:lineRule="auto"/>
              <w:rPr>
                <w:rFonts w:hint="eastAsia" w:ascii="宋体" w:hAnsi="宋体" w:cs="宋体"/>
                <w:sz w:val="24"/>
              </w:rPr>
            </w:pPr>
            <w:r>
              <w:rPr>
                <w:rFonts w:hint="eastAsia" w:ascii="宋体" w:hAnsi="宋体" w:cs="宋体"/>
                <w:sz w:val="24"/>
              </w:rPr>
              <w:t>1.优评分标准：成果响应内容全面，合理可行。</w:t>
            </w:r>
          </w:p>
          <w:p>
            <w:pPr>
              <w:wordWrap w:val="0"/>
              <w:spacing w:line="360" w:lineRule="auto"/>
              <w:rPr>
                <w:rFonts w:hint="eastAsia" w:ascii="宋体" w:hAnsi="宋体" w:cs="宋体"/>
                <w:sz w:val="24"/>
              </w:rPr>
            </w:pPr>
            <w:r>
              <w:rPr>
                <w:rFonts w:hint="eastAsia" w:ascii="宋体" w:hAnsi="宋体" w:cs="宋体"/>
                <w:sz w:val="24"/>
              </w:rPr>
              <w:t>2.良评分标准：成果响应内容较全面，比较合理可行。</w:t>
            </w:r>
          </w:p>
          <w:p>
            <w:pPr>
              <w:wordWrap w:val="0"/>
              <w:spacing w:line="360" w:lineRule="auto"/>
              <w:rPr>
                <w:rFonts w:hint="eastAsia" w:ascii="宋体" w:hAnsi="宋体" w:cs="宋体"/>
                <w:sz w:val="24"/>
              </w:rPr>
            </w:pPr>
            <w:r>
              <w:rPr>
                <w:rFonts w:hint="eastAsia" w:ascii="宋体" w:hAnsi="宋体" w:cs="宋体"/>
                <w:sz w:val="24"/>
              </w:rPr>
              <w:t>3.中评分标准：成果响应内容一般，不够合理可行。</w:t>
            </w:r>
          </w:p>
          <w:p>
            <w:pPr>
              <w:wordWrap w:val="0"/>
              <w:spacing w:line="360" w:lineRule="auto"/>
              <w:rPr>
                <w:rFonts w:hint="eastAsia" w:ascii="宋体" w:hAnsi="宋体" w:cs="宋体"/>
                <w:sz w:val="24"/>
              </w:rPr>
            </w:pPr>
            <w:r>
              <w:rPr>
                <w:rFonts w:hint="eastAsia" w:ascii="宋体" w:hAnsi="宋体" w:cs="宋体"/>
                <w:sz w:val="24"/>
              </w:rPr>
              <w:t>4.差评分标准：成果响应内容有严重缺漏，不合理可行。</w:t>
            </w:r>
          </w:p>
          <w:p>
            <w:pPr>
              <w:wordWrap w:val="0"/>
              <w:spacing w:line="360" w:lineRule="auto"/>
              <w:rPr>
                <w:rFonts w:hint="eastAsia" w:ascii="宋体" w:hAnsi="宋体" w:cs="宋体"/>
                <w:sz w:val="24"/>
                <w:lang w:val="zh-CN"/>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w:t>
            </w:r>
            <w:r>
              <w:rPr>
                <w:rFonts w:hint="eastAsia" w:ascii="宋体" w:hAnsi="宋体" w:cs="宋体"/>
                <w:sz w:val="24"/>
                <w:lang w:val="en-US" w:eastAsia="zh-CN"/>
              </w:rPr>
              <w:t>内容</w:t>
            </w:r>
            <w:r>
              <w:rPr>
                <w:rFonts w:hint="eastAsia" w:ascii="宋体" w:hAnsi="宋体" w:cs="宋体"/>
                <w:sz w:val="24"/>
                <w:lang w:val="zh-CN"/>
              </w:rPr>
              <w:t>，评价为优</w:t>
            </w:r>
            <w:r>
              <w:rPr>
                <w:rFonts w:hint="eastAsia" w:ascii="宋体" w:hAnsi="宋体" w:cs="宋体"/>
                <w:sz w:val="24"/>
              </w:rPr>
              <w:t>加2</w:t>
            </w:r>
            <w:r>
              <w:rPr>
                <w:rFonts w:hint="eastAsia" w:ascii="宋体" w:hAnsi="宋体" w:cs="宋体"/>
                <w:sz w:val="24"/>
                <w:lang w:val="zh-CN"/>
              </w:rPr>
              <w:t>分；评价为良</w:t>
            </w:r>
            <w:r>
              <w:rPr>
                <w:rFonts w:hint="eastAsia" w:ascii="宋体" w:hAnsi="宋体" w:cs="宋体"/>
                <w:sz w:val="24"/>
              </w:rPr>
              <w:t>加1</w:t>
            </w:r>
            <w:r>
              <w:rPr>
                <w:rFonts w:hint="eastAsia" w:ascii="宋体" w:hAnsi="宋体" w:cs="宋体"/>
                <w:sz w:val="24"/>
                <w:lang w:val="zh-CN"/>
              </w:rPr>
              <w:t>分；评价为中</w:t>
            </w:r>
            <w:r>
              <w:rPr>
                <w:rFonts w:hint="eastAsia" w:ascii="宋体" w:hAnsi="宋体" w:cs="宋体"/>
                <w:sz w:val="24"/>
              </w:rPr>
              <w:t>加0.5</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。如果评审为</w:t>
            </w:r>
            <w:r>
              <w:rPr>
                <w:rFonts w:hint="eastAsia" w:ascii="宋体" w:hAnsi="宋体" w:cs="宋体"/>
                <w:sz w:val="24"/>
                <w:lang w:val="en-US" w:eastAsia="zh-CN"/>
              </w:rPr>
              <w:t>差</w:t>
            </w:r>
            <w:r>
              <w:rPr>
                <w:rFonts w:hint="eastAsia" w:ascii="宋体" w:hAnsi="宋体" w:cs="宋体"/>
                <w:sz w:val="24"/>
                <w:lang w:val="zh-CN"/>
              </w:rPr>
              <w:t>，要求专家书面说明理由，并记录在档。</w:t>
            </w:r>
          </w:p>
        </w:tc>
        <w:tc>
          <w:tcPr>
            <w:tcW w:w="860" w:type="dxa"/>
            <w:vAlign w:val="center"/>
          </w:tcPr>
          <w:p>
            <w:pPr>
              <w:wordWrap w:val="0"/>
              <w:spacing w:line="360" w:lineRule="auto"/>
              <w:jc w:val="center"/>
              <w:rPr>
                <w:rFonts w:hint="eastAsia" w:ascii="宋体" w:hAnsi="宋体" w:cs="宋体"/>
                <w:sz w:val="24"/>
                <w:lang w:val="zh-CN"/>
              </w:rPr>
            </w:pPr>
            <w:r>
              <w:rPr>
                <w:rFonts w:hint="eastAsia" w:ascii="宋体" w:hAnsi="宋体" w:cs="宋体"/>
                <w:sz w:val="24"/>
              </w:rPr>
              <w:t>5</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项目进度计划</w:t>
            </w:r>
          </w:p>
        </w:tc>
        <w:tc>
          <w:tcPr>
            <w:tcW w:w="5907" w:type="dxa"/>
            <w:vAlign w:val="center"/>
          </w:tcPr>
          <w:p>
            <w:pPr>
              <w:wordWrap w:val="0"/>
              <w:spacing w:line="360" w:lineRule="auto"/>
              <w:rPr>
                <w:rFonts w:hint="eastAsia" w:ascii="宋体" w:hAnsi="宋体" w:cs="宋体"/>
                <w:sz w:val="24"/>
              </w:rPr>
            </w:pPr>
            <w:r>
              <w:rPr>
                <w:rFonts w:hint="eastAsia" w:ascii="宋体" w:hAnsi="宋体" w:cs="宋体"/>
                <w:sz w:val="24"/>
              </w:rPr>
              <w:t>项目整体实施时间是否紧凑、合理，根据项目进度的切合程度进行比较评价。</w:t>
            </w:r>
          </w:p>
          <w:p>
            <w:pPr>
              <w:wordWrap w:val="0"/>
              <w:spacing w:line="360" w:lineRule="auto"/>
              <w:rPr>
                <w:rFonts w:hint="eastAsia" w:ascii="宋体" w:hAnsi="宋体" w:cs="宋体"/>
                <w:sz w:val="24"/>
              </w:rPr>
            </w:pPr>
            <w:r>
              <w:rPr>
                <w:rFonts w:hint="eastAsia" w:ascii="宋体" w:hAnsi="宋体" w:cs="宋体"/>
                <w:sz w:val="24"/>
              </w:rPr>
              <w:t>1.具备完备的项目进度计划体系文档；</w:t>
            </w:r>
          </w:p>
          <w:p>
            <w:pPr>
              <w:wordWrap w:val="0"/>
              <w:spacing w:line="360" w:lineRule="auto"/>
              <w:rPr>
                <w:rFonts w:hint="eastAsia" w:ascii="宋体" w:hAnsi="宋体" w:cs="宋体"/>
                <w:sz w:val="24"/>
              </w:rPr>
            </w:pPr>
            <w:r>
              <w:rPr>
                <w:rFonts w:hint="eastAsia" w:ascii="宋体" w:hAnsi="宋体" w:cs="宋体"/>
                <w:sz w:val="24"/>
              </w:rPr>
              <w:t>2.项目进度计划紧凑，时间安排合理。</w:t>
            </w:r>
          </w:p>
          <w:p>
            <w:pPr>
              <w:wordWrap w:val="0"/>
              <w:spacing w:line="360" w:lineRule="auto"/>
              <w:rPr>
                <w:rFonts w:hint="eastAsia" w:ascii="宋体" w:hAnsi="宋体" w:cs="宋体"/>
                <w:sz w:val="24"/>
              </w:rPr>
            </w:pPr>
            <w:r>
              <w:rPr>
                <w:rFonts w:hint="eastAsia" w:ascii="宋体" w:hAnsi="宋体" w:cs="宋体"/>
                <w:sz w:val="24"/>
              </w:rPr>
              <w:t>满足上述两项的得2分，满足一项的得1分，全部不满足的不得分，在此基础上，对投标人响应情况进行分档评分：</w:t>
            </w:r>
          </w:p>
          <w:p>
            <w:pPr>
              <w:wordWrap w:val="0"/>
              <w:spacing w:line="360" w:lineRule="auto"/>
              <w:rPr>
                <w:rFonts w:hint="eastAsia" w:ascii="宋体" w:hAnsi="宋体" w:cs="宋体"/>
                <w:sz w:val="24"/>
              </w:rPr>
            </w:pPr>
            <w:r>
              <w:rPr>
                <w:rFonts w:hint="eastAsia" w:ascii="宋体" w:hAnsi="宋体" w:cs="宋体"/>
                <w:sz w:val="24"/>
              </w:rPr>
              <w:t>1.优评分标准：具备完善的项目进度计划，项目进度计划紧凑，时间安排合理。</w:t>
            </w:r>
          </w:p>
          <w:p>
            <w:pPr>
              <w:wordWrap w:val="0"/>
              <w:spacing w:line="360" w:lineRule="auto"/>
              <w:rPr>
                <w:rFonts w:hint="eastAsia" w:ascii="宋体" w:hAnsi="宋体" w:cs="宋体"/>
                <w:sz w:val="24"/>
              </w:rPr>
            </w:pPr>
            <w:r>
              <w:rPr>
                <w:rFonts w:hint="eastAsia" w:ascii="宋体" w:hAnsi="宋体" w:cs="宋体"/>
                <w:sz w:val="24"/>
              </w:rPr>
              <w:t>2.良评分标准：项目进度计划基本完善，项目进度计划较紧凑，时间安排较合理。</w:t>
            </w:r>
          </w:p>
          <w:p>
            <w:pPr>
              <w:wordWrap w:val="0"/>
              <w:spacing w:line="360" w:lineRule="auto"/>
              <w:rPr>
                <w:rFonts w:hint="eastAsia" w:ascii="宋体" w:hAnsi="宋体" w:cs="宋体"/>
                <w:sz w:val="24"/>
              </w:rPr>
            </w:pPr>
            <w:r>
              <w:rPr>
                <w:rFonts w:hint="eastAsia" w:ascii="宋体" w:hAnsi="宋体" w:cs="宋体"/>
                <w:sz w:val="24"/>
              </w:rPr>
              <w:t>3.中评分标准：具备基本的项目进度计划，时间安排一般合理。</w:t>
            </w:r>
          </w:p>
          <w:p>
            <w:pPr>
              <w:wordWrap w:val="0"/>
              <w:spacing w:line="360" w:lineRule="auto"/>
              <w:rPr>
                <w:rFonts w:hint="eastAsia" w:ascii="宋体" w:hAnsi="宋体" w:cs="宋体"/>
                <w:sz w:val="24"/>
              </w:rPr>
            </w:pPr>
            <w:r>
              <w:rPr>
                <w:rFonts w:hint="eastAsia" w:ascii="宋体" w:hAnsi="宋体" w:cs="宋体"/>
                <w:sz w:val="24"/>
              </w:rPr>
              <w:t>4.差评分标准：项目进度计划不合理可行。</w:t>
            </w:r>
          </w:p>
          <w:p>
            <w:pPr>
              <w:wordWrap w:val="0"/>
              <w:spacing w:line="360" w:lineRule="auto"/>
              <w:rPr>
                <w:rFonts w:hint="eastAsia" w:ascii="宋体" w:hAnsi="宋体" w:cs="宋体"/>
                <w:sz w:val="24"/>
                <w:lang w:val="zh-CN"/>
              </w:rPr>
            </w:pPr>
            <w:r>
              <w:rPr>
                <w:rFonts w:hint="eastAsia" w:ascii="宋体" w:hAnsi="宋体" w:cs="宋体"/>
                <w:sz w:val="24"/>
                <w:lang w:val="zh-CN"/>
              </w:rPr>
              <w:t>根据</w:t>
            </w:r>
            <w:r>
              <w:rPr>
                <w:rFonts w:hint="eastAsia" w:ascii="宋体" w:hAnsi="宋体" w:cs="宋体"/>
                <w:sz w:val="24"/>
              </w:rPr>
              <w:t>投标</w:t>
            </w:r>
            <w:r>
              <w:rPr>
                <w:rFonts w:hint="eastAsia" w:ascii="宋体" w:hAnsi="宋体" w:cs="宋体"/>
                <w:sz w:val="24"/>
                <w:lang w:val="zh-CN"/>
              </w:rPr>
              <w:t>文件</w:t>
            </w:r>
            <w:r>
              <w:rPr>
                <w:rFonts w:hint="eastAsia" w:ascii="宋体" w:hAnsi="宋体" w:cs="宋体"/>
                <w:sz w:val="24"/>
                <w:lang w:val="en-US" w:eastAsia="zh-CN"/>
              </w:rPr>
              <w:t>内容</w:t>
            </w:r>
            <w:r>
              <w:rPr>
                <w:rFonts w:hint="eastAsia" w:ascii="宋体" w:hAnsi="宋体" w:cs="宋体"/>
                <w:sz w:val="24"/>
                <w:lang w:val="zh-CN"/>
              </w:rPr>
              <w:t>，评价为优</w:t>
            </w:r>
            <w:r>
              <w:rPr>
                <w:rFonts w:hint="eastAsia" w:ascii="宋体" w:hAnsi="宋体" w:cs="宋体"/>
                <w:sz w:val="24"/>
              </w:rPr>
              <w:t>加1</w:t>
            </w:r>
            <w:r>
              <w:rPr>
                <w:rFonts w:hint="eastAsia" w:ascii="宋体" w:hAnsi="宋体" w:cs="宋体"/>
                <w:sz w:val="24"/>
                <w:lang w:val="zh-CN"/>
              </w:rPr>
              <w:t>分；评价为良</w:t>
            </w:r>
            <w:r>
              <w:rPr>
                <w:rFonts w:hint="eastAsia" w:ascii="宋体" w:hAnsi="宋体" w:cs="宋体"/>
                <w:sz w:val="24"/>
              </w:rPr>
              <w:t>加0.75</w:t>
            </w:r>
            <w:r>
              <w:rPr>
                <w:rFonts w:hint="eastAsia" w:ascii="宋体" w:hAnsi="宋体" w:cs="宋体"/>
                <w:sz w:val="24"/>
                <w:lang w:val="zh-CN"/>
              </w:rPr>
              <w:t>分；评价为中</w:t>
            </w:r>
            <w:r>
              <w:rPr>
                <w:rFonts w:hint="eastAsia" w:ascii="宋体" w:hAnsi="宋体" w:cs="宋体"/>
                <w:sz w:val="24"/>
              </w:rPr>
              <w:t>加0.5</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。如果评审为</w:t>
            </w:r>
            <w:r>
              <w:rPr>
                <w:rFonts w:hint="eastAsia" w:ascii="宋体" w:hAnsi="宋体" w:cs="宋体"/>
                <w:sz w:val="24"/>
                <w:lang w:val="en-US" w:eastAsia="zh-CN"/>
              </w:rPr>
              <w:t>差</w:t>
            </w:r>
            <w:r>
              <w:rPr>
                <w:rFonts w:hint="eastAsia" w:ascii="宋体" w:hAnsi="宋体" w:cs="宋体"/>
                <w:sz w:val="24"/>
                <w:lang w:val="zh-CN"/>
              </w:rPr>
              <w:t>，要求专家书面说明理由，并记录在档。</w:t>
            </w:r>
          </w:p>
        </w:tc>
        <w:tc>
          <w:tcPr>
            <w:tcW w:w="860" w:type="dxa"/>
            <w:vAlign w:val="center"/>
          </w:tcPr>
          <w:p>
            <w:pPr>
              <w:wordWrap w:val="0"/>
              <w:spacing w:line="360" w:lineRule="auto"/>
              <w:jc w:val="center"/>
              <w:rPr>
                <w:rFonts w:hint="eastAsia" w:ascii="宋体" w:hAnsi="宋体" w:cs="宋体"/>
                <w:sz w:val="24"/>
                <w:lang w:val="zh-CN"/>
              </w:rPr>
            </w:pPr>
            <w:r>
              <w:rPr>
                <w:rFonts w:hint="eastAsia" w:ascii="宋体" w:hAnsi="宋体" w:cs="宋体"/>
                <w:sz w:val="24"/>
              </w:rPr>
              <w:t>3</w:t>
            </w:r>
          </w:p>
        </w:tc>
        <w:tc>
          <w:tcPr>
            <w:tcW w:w="85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bl>
    <w:p>
      <w:pPr>
        <w:spacing w:line="560" w:lineRule="exact"/>
      </w:pPr>
    </w:p>
    <w:p>
      <w:pPr>
        <w:spacing w:line="560" w:lineRule="exact"/>
        <w:jc w:val="center"/>
        <w:outlineLvl w:val="0"/>
        <w:rPr>
          <w:rFonts w:hint="eastAsia" w:ascii="宋体" w:hAnsi="宋体" w:cs="宋体"/>
          <w:b/>
          <w:bCs/>
          <w:sz w:val="24"/>
        </w:rPr>
      </w:pPr>
    </w:p>
    <w:p>
      <w:pPr>
        <w:pStyle w:val="3"/>
        <w:rPr>
          <w:rFonts w:hint="eastAsia" w:ascii="宋体" w:cs="宋体"/>
          <w:b/>
          <w:bCs/>
          <w:sz w:val="24"/>
        </w:rPr>
      </w:pPr>
    </w:p>
    <w:p>
      <w:pPr>
        <w:pStyle w:val="3"/>
        <w:jc w:val="both"/>
        <w:rPr>
          <w:rFonts w:hint="eastAsia"/>
        </w:rPr>
      </w:pPr>
    </w:p>
    <w:bookmarkEnd w:id="26"/>
    <w:p>
      <w:pPr>
        <w:jc w:val="left"/>
        <w:rPr>
          <w:rFonts w:hint="eastAsia" w:ascii="宋体" w:hAnsi="宋体" w:cs="宋体"/>
          <w:b/>
          <w:bCs/>
          <w:sz w:val="24"/>
        </w:rPr>
      </w:pPr>
      <w:bookmarkStart w:id="28" w:name="_Toc16724"/>
      <w:r>
        <w:rPr>
          <w:rFonts w:hint="eastAsia" w:ascii="宋体" w:hAnsi="宋体" w:cs="宋体"/>
          <w:b/>
          <w:bCs/>
          <w:sz w:val="24"/>
        </w:rPr>
        <w:br w:type="page"/>
      </w:r>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p>
    <w:p>
      <w:pPr>
        <w:keepNext/>
        <w:keepLines/>
        <w:spacing w:before="260" w:after="260" w:line="360" w:lineRule="auto"/>
        <w:jc w:val="center"/>
        <w:outlineLvl w:val="1"/>
        <w:rPr>
          <w:rFonts w:hint="eastAsia" w:ascii="宋体" w:hAnsi="宋体" w:cs="宋体"/>
          <w:b/>
          <w:bCs/>
          <w:sz w:val="24"/>
        </w:rPr>
      </w:pPr>
      <w:bookmarkStart w:id="29" w:name="_Toc6548"/>
      <w:bookmarkStart w:id="30" w:name="_Toc31827"/>
      <w:bookmarkStart w:id="31" w:name="_Toc5116"/>
      <w:bookmarkStart w:id="32" w:name="_Toc19494"/>
      <w:r>
        <w:rPr>
          <w:rFonts w:hint="eastAsia" w:ascii="宋体" w:hAnsi="宋体" w:cs="宋体"/>
          <w:b/>
          <w:sz w:val="24"/>
        </w:rPr>
        <w:t>一、</w:t>
      </w:r>
      <w:r>
        <w:rPr>
          <w:rFonts w:hint="eastAsia" w:ascii="宋体" w:hAnsi="宋体" w:cs="宋体"/>
          <w:b/>
          <w:bCs/>
          <w:sz w:val="24"/>
        </w:rPr>
        <w:t>投标文件包装封面参考</w:t>
      </w:r>
      <w:bookmarkEnd w:id="29"/>
      <w:bookmarkEnd w:id="30"/>
      <w:bookmarkEnd w:id="31"/>
      <w:bookmarkEnd w:id="32"/>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rPr>
          <w:rFonts w:hint="eastAsia" w:ascii="宋体" w:hAnsi="宋体" w:cs="宋体"/>
          <w:b/>
          <w:sz w:val="24"/>
        </w:rPr>
      </w:pPr>
      <w:r>
        <w:rPr>
          <w:rFonts w:hint="eastAsia" w:ascii="宋体" w:hAnsi="宋体" w:cs="宋体"/>
          <w:b/>
          <w:sz w:val="24"/>
        </w:rPr>
        <w:br w:type="page"/>
      </w:r>
    </w:p>
    <w:p>
      <w:pPr>
        <w:spacing w:before="100" w:beforeAutospacing="1" w:after="100" w:afterAutospacing="1" w:line="560" w:lineRule="exact"/>
        <w:jc w:val="center"/>
        <w:outlineLvl w:val="1"/>
        <w:rPr>
          <w:rFonts w:hint="eastAsia" w:ascii="宋体" w:hAnsi="宋体" w:cs="宋体"/>
          <w:b/>
          <w:sz w:val="24"/>
        </w:rPr>
      </w:pPr>
      <w:r>
        <w:rPr>
          <w:rFonts w:hint="eastAsia" w:ascii="宋体" w:hAnsi="宋体" w:cs="宋体"/>
          <w:b/>
          <w:sz w:val="24"/>
        </w:rPr>
        <w:t>2、投标文件—目录</w:t>
      </w:r>
      <w:bookmarkEnd w:id="28"/>
    </w:p>
    <w:p>
      <w:pPr>
        <w:spacing w:line="560" w:lineRule="exact"/>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11"/>
        </w:numPr>
        <w:tabs>
          <w:tab w:val="left" w:pos="640"/>
          <w:tab w:val="clear" w:pos="425"/>
        </w:tabs>
        <w:spacing w:line="560" w:lineRule="exact"/>
        <w:ind w:left="625" w:hanging="625"/>
        <w:rPr>
          <w:rFonts w:hint="eastAsia" w:ascii="宋体" w:hAnsi="宋体" w:cs="宋体"/>
          <w:sz w:val="24"/>
        </w:rPr>
      </w:pPr>
      <w:r>
        <w:rPr>
          <w:rFonts w:hint="eastAsia" w:ascii="宋体" w:hAnsi="宋体" w:cs="宋体"/>
          <w:sz w:val="24"/>
        </w:rPr>
        <w:t>投标一览表；</w:t>
      </w:r>
    </w:p>
    <w:p>
      <w:pPr>
        <w:numPr>
          <w:ilvl w:val="0"/>
          <w:numId w:val="11"/>
        </w:numPr>
        <w:tabs>
          <w:tab w:val="left" w:pos="640"/>
          <w:tab w:val="clear" w:pos="425"/>
        </w:tabs>
        <w:spacing w:line="560" w:lineRule="exact"/>
        <w:ind w:left="625" w:hanging="625"/>
        <w:rPr>
          <w:rFonts w:hint="eastAsia" w:ascii="宋体" w:hAnsi="宋体" w:cs="宋体"/>
          <w:sz w:val="24"/>
        </w:rPr>
      </w:pPr>
      <w:r>
        <w:rPr>
          <w:rFonts w:hint="eastAsia" w:ascii="宋体" w:hAnsi="宋体" w:cs="宋体"/>
          <w:sz w:val="24"/>
        </w:rPr>
        <w:t>分项报价明细表；</w:t>
      </w:r>
    </w:p>
    <w:p>
      <w:pPr>
        <w:numPr>
          <w:ilvl w:val="0"/>
          <w:numId w:val="11"/>
        </w:numPr>
        <w:tabs>
          <w:tab w:val="left" w:pos="640"/>
          <w:tab w:val="clear" w:pos="425"/>
        </w:tabs>
        <w:spacing w:line="560" w:lineRule="exact"/>
        <w:ind w:left="625" w:hanging="625"/>
        <w:rPr>
          <w:rFonts w:hint="eastAsia" w:ascii="宋体" w:hAnsi="宋体" w:cs="宋体"/>
          <w:sz w:val="24"/>
        </w:rPr>
      </w:pPr>
      <w:r>
        <w:rPr>
          <w:rFonts w:hint="eastAsia" w:ascii="宋体" w:hAnsi="宋体" w:cs="宋体"/>
          <w:sz w:val="24"/>
        </w:rPr>
        <w:t>《中小企业声明函》或《残疾人福利性单位声明函》或《监狱企业声明函》（参与价格扣减的投标人应提供）；</w:t>
      </w:r>
    </w:p>
    <w:p>
      <w:pPr>
        <w:spacing w:line="560" w:lineRule="exact"/>
        <w:rPr>
          <w:rFonts w:hint="eastAsia" w:ascii="宋体" w:hAnsi="宋体" w:cs="宋体"/>
          <w:b/>
          <w:bCs/>
          <w:sz w:val="24"/>
          <w:u w:val="wave"/>
        </w:rPr>
      </w:pPr>
      <w:r>
        <w:rPr>
          <w:rFonts w:hint="eastAsia" w:ascii="宋体" w:hAnsi="宋体" w:cs="宋体"/>
          <w:b/>
          <w:bCs/>
          <w:sz w:val="24"/>
        </w:rPr>
        <w:t>（二）商务部分</w:t>
      </w:r>
    </w:p>
    <w:p>
      <w:pPr>
        <w:numPr>
          <w:ilvl w:val="0"/>
          <w:numId w:val="12"/>
        </w:numPr>
        <w:tabs>
          <w:tab w:val="left" w:pos="640"/>
          <w:tab w:val="left" w:pos="1260"/>
          <w:tab w:val="left" w:pos="1418"/>
        </w:tabs>
        <w:spacing w:line="560" w:lineRule="exact"/>
        <w:ind w:left="845" w:hanging="845"/>
        <w:rPr>
          <w:rFonts w:hint="eastAsia" w:ascii="宋体" w:hAnsi="宋体" w:cs="宋体"/>
          <w:sz w:val="24"/>
        </w:rPr>
      </w:pPr>
      <w:r>
        <w:rPr>
          <w:rFonts w:hint="eastAsia" w:ascii="宋体" w:hAnsi="宋体" w:cs="宋体"/>
          <w:sz w:val="24"/>
        </w:rPr>
        <w:t>投标响应书；</w:t>
      </w:r>
    </w:p>
    <w:p>
      <w:pPr>
        <w:numPr>
          <w:ilvl w:val="0"/>
          <w:numId w:val="12"/>
        </w:numPr>
        <w:tabs>
          <w:tab w:val="left" w:pos="640"/>
          <w:tab w:val="left" w:pos="1260"/>
          <w:tab w:val="left" w:pos="1418"/>
        </w:tabs>
        <w:spacing w:line="560" w:lineRule="exact"/>
        <w:ind w:left="645" w:hanging="645"/>
        <w:rPr>
          <w:rFonts w:hint="eastAsia"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12"/>
        </w:numPr>
        <w:tabs>
          <w:tab w:val="left" w:pos="640"/>
          <w:tab w:val="left" w:pos="1260"/>
          <w:tab w:val="left" w:pos="1418"/>
        </w:tabs>
        <w:spacing w:line="560" w:lineRule="exact"/>
        <w:ind w:left="645" w:hanging="645"/>
        <w:rPr>
          <w:rFonts w:hint="eastAsia" w:ascii="宋体" w:hAnsi="宋体" w:cs="宋体"/>
          <w:sz w:val="24"/>
          <w:lang w:val="fr-CH"/>
        </w:rPr>
      </w:pPr>
      <w:r>
        <w:rPr>
          <w:rFonts w:hint="eastAsia" w:ascii="宋体" w:hAnsi="宋体" w:cs="宋体"/>
          <w:sz w:val="24"/>
          <w:lang w:val="fr-CH"/>
        </w:rPr>
        <w:t>政府采购投标及履约承诺函；</w:t>
      </w:r>
    </w:p>
    <w:p>
      <w:pPr>
        <w:numPr>
          <w:ilvl w:val="0"/>
          <w:numId w:val="12"/>
        </w:numPr>
        <w:tabs>
          <w:tab w:val="left" w:pos="640"/>
          <w:tab w:val="left" w:pos="1260"/>
          <w:tab w:val="left" w:pos="1418"/>
        </w:tabs>
        <w:spacing w:line="560" w:lineRule="exact"/>
        <w:ind w:left="645" w:hanging="645"/>
        <w:rPr>
          <w:rFonts w:hint="eastAsia" w:ascii="宋体" w:hAnsi="宋体" w:cs="宋体"/>
          <w:sz w:val="24"/>
          <w:lang w:val="fr-CH"/>
        </w:rPr>
      </w:pPr>
      <w:r>
        <w:rPr>
          <w:rFonts w:hint="eastAsia" w:ascii="宋体" w:hAnsi="宋体" w:cs="宋体"/>
          <w:sz w:val="24"/>
          <w:lang w:val="fr-CH"/>
        </w:rPr>
        <w:t>政府采购违法行为风险知悉确认书</w:t>
      </w:r>
    </w:p>
    <w:p>
      <w:pPr>
        <w:numPr>
          <w:ilvl w:val="0"/>
          <w:numId w:val="12"/>
        </w:numPr>
        <w:tabs>
          <w:tab w:val="left" w:pos="640"/>
          <w:tab w:val="left" w:pos="1260"/>
          <w:tab w:val="left" w:pos="1418"/>
        </w:tabs>
        <w:spacing w:line="560" w:lineRule="exact"/>
        <w:ind w:left="645" w:hanging="645"/>
        <w:rPr>
          <w:rFonts w:hint="eastAsia" w:ascii="宋体" w:hAnsi="宋体" w:cs="宋体"/>
          <w:sz w:val="24"/>
          <w:lang w:val="fr-CH"/>
        </w:rPr>
      </w:pPr>
      <w:r>
        <w:rPr>
          <w:rFonts w:hint="eastAsia" w:ascii="宋体" w:hAnsi="宋体" w:cs="宋体"/>
          <w:sz w:val="24"/>
          <w:lang w:val="fr-CH"/>
        </w:rPr>
        <w:t>关于资格的声明函；</w:t>
      </w:r>
    </w:p>
    <w:p>
      <w:pPr>
        <w:numPr>
          <w:ilvl w:val="0"/>
          <w:numId w:val="12"/>
        </w:numPr>
        <w:tabs>
          <w:tab w:val="left" w:pos="640"/>
          <w:tab w:val="left" w:pos="1260"/>
          <w:tab w:val="left" w:pos="1418"/>
        </w:tabs>
        <w:spacing w:line="560" w:lineRule="exact"/>
        <w:ind w:left="645" w:hanging="645"/>
        <w:rPr>
          <w:rFonts w:hint="eastAsia" w:ascii="宋体" w:hAnsi="宋体" w:cs="宋体"/>
          <w:sz w:val="24"/>
          <w:lang w:val="fr-CH"/>
        </w:rPr>
      </w:pPr>
      <w:r>
        <w:rPr>
          <w:rFonts w:hint="eastAsia" w:ascii="宋体" w:hAnsi="宋体" w:cs="宋体"/>
          <w:sz w:val="24"/>
          <w:lang w:val="fr-CH"/>
        </w:rPr>
        <w:t>企业诚信声明与承诺；</w:t>
      </w:r>
    </w:p>
    <w:p>
      <w:pPr>
        <w:numPr>
          <w:ilvl w:val="0"/>
          <w:numId w:val="12"/>
        </w:numPr>
        <w:tabs>
          <w:tab w:val="left" w:pos="640"/>
          <w:tab w:val="left" w:pos="1260"/>
          <w:tab w:val="left" w:pos="1418"/>
        </w:tabs>
        <w:spacing w:line="560" w:lineRule="exact"/>
        <w:ind w:left="645" w:hanging="645"/>
        <w:rPr>
          <w:rFonts w:hint="eastAsia" w:ascii="宋体" w:hAnsi="宋体" w:cs="宋体"/>
          <w:sz w:val="24"/>
          <w:lang w:val="fr-CH"/>
        </w:rPr>
      </w:pPr>
      <w:r>
        <w:rPr>
          <w:rFonts w:hint="eastAsia" w:ascii="宋体" w:hAnsi="宋体" w:cs="宋体"/>
          <w:sz w:val="24"/>
          <w:lang w:val="fr-CH"/>
        </w:rPr>
        <w:t>法</w:t>
      </w:r>
      <w:r>
        <w:rPr>
          <w:rFonts w:hint="eastAsia" w:ascii="宋体" w:hAnsi="宋体" w:cs="宋体"/>
          <w:sz w:val="24"/>
        </w:rPr>
        <w:t>定</w:t>
      </w:r>
      <w:r>
        <w:rPr>
          <w:rFonts w:hint="eastAsia" w:ascii="宋体" w:hAnsi="宋体" w:cs="宋体"/>
          <w:sz w:val="24"/>
          <w:lang w:val="fr-CH"/>
        </w:rPr>
        <w:t>代表人/单位负责人证明书及身份证明；</w:t>
      </w:r>
    </w:p>
    <w:p>
      <w:pPr>
        <w:numPr>
          <w:ilvl w:val="0"/>
          <w:numId w:val="12"/>
        </w:numPr>
        <w:tabs>
          <w:tab w:val="left" w:pos="640"/>
          <w:tab w:val="left" w:pos="1260"/>
          <w:tab w:val="left" w:pos="1418"/>
        </w:tabs>
        <w:spacing w:line="560" w:lineRule="exact"/>
        <w:ind w:left="645" w:hanging="645"/>
        <w:rPr>
          <w:rFonts w:hint="eastAsia" w:ascii="宋体" w:hAnsi="宋体" w:cs="宋体"/>
          <w:sz w:val="24"/>
          <w:lang w:val="fr-CH"/>
        </w:rPr>
      </w:pPr>
      <w:r>
        <w:rPr>
          <w:rFonts w:hint="eastAsia" w:ascii="宋体" w:hAnsi="宋体" w:cs="宋体"/>
          <w:sz w:val="24"/>
          <w:lang w:val="fr-CH"/>
        </w:rPr>
        <w:t>法定代表人/单位负责人授权书及身份证明；</w:t>
      </w:r>
    </w:p>
    <w:p>
      <w:pPr>
        <w:numPr>
          <w:ilvl w:val="0"/>
          <w:numId w:val="12"/>
        </w:numPr>
        <w:tabs>
          <w:tab w:val="left" w:pos="640"/>
          <w:tab w:val="left" w:pos="1260"/>
          <w:tab w:val="left" w:pos="1418"/>
        </w:tabs>
        <w:spacing w:line="560" w:lineRule="exact"/>
        <w:ind w:left="645" w:hanging="645"/>
        <w:rPr>
          <w:rFonts w:hint="eastAsia" w:ascii="宋体" w:hAnsi="宋体" w:cs="宋体"/>
          <w:sz w:val="24"/>
          <w:lang w:val="fr-CH"/>
        </w:rPr>
      </w:pPr>
      <w:r>
        <w:rPr>
          <w:rFonts w:hint="eastAsia" w:ascii="宋体" w:hAnsi="宋体" w:cs="宋体"/>
          <w:sz w:val="24"/>
          <w:lang w:val="fr-CH"/>
        </w:rPr>
        <w:t>招标代理服务费承诺书；</w:t>
      </w:r>
    </w:p>
    <w:p>
      <w:pPr>
        <w:numPr>
          <w:ilvl w:val="0"/>
          <w:numId w:val="12"/>
        </w:numPr>
        <w:tabs>
          <w:tab w:val="left" w:pos="640"/>
          <w:tab w:val="left" w:pos="1260"/>
          <w:tab w:val="left" w:pos="1418"/>
        </w:tabs>
        <w:spacing w:line="560" w:lineRule="exact"/>
        <w:ind w:left="845" w:hanging="845"/>
        <w:rPr>
          <w:rFonts w:hint="eastAsia" w:ascii="宋体" w:hAnsi="宋体" w:cs="宋体"/>
          <w:sz w:val="24"/>
          <w:lang w:val="fr-CH"/>
        </w:rPr>
      </w:pPr>
      <w:r>
        <w:rPr>
          <w:rFonts w:hint="eastAsia" w:ascii="宋体" w:hAnsi="宋体" w:cs="宋体"/>
          <w:sz w:val="24"/>
          <w:lang w:val="fr-CH"/>
        </w:rPr>
        <w:t>投标人简介（供应商基本情况表）；</w:t>
      </w:r>
    </w:p>
    <w:p>
      <w:pPr>
        <w:numPr>
          <w:ilvl w:val="0"/>
          <w:numId w:val="12"/>
        </w:numPr>
        <w:tabs>
          <w:tab w:val="left" w:pos="640"/>
          <w:tab w:val="left" w:pos="840"/>
          <w:tab w:val="left" w:pos="1260"/>
          <w:tab w:val="left" w:pos="1418"/>
        </w:tabs>
        <w:spacing w:line="560" w:lineRule="exact"/>
        <w:ind w:left="845" w:hanging="845"/>
        <w:rPr>
          <w:rFonts w:hint="eastAsia" w:ascii="宋体" w:hAnsi="宋体" w:cs="宋体"/>
          <w:sz w:val="24"/>
          <w:lang w:val="fr-CH"/>
        </w:rPr>
      </w:pPr>
      <w:r>
        <w:rPr>
          <w:rFonts w:hint="eastAsia" w:ascii="宋体" w:hAnsi="宋体" w:cs="宋体"/>
          <w:sz w:val="24"/>
          <w:lang w:val="fr-CH"/>
        </w:rPr>
        <w:t>同类项目业绩；</w:t>
      </w:r>
    </w:p>
    <w:p>
      <w:pPr>
        <w:numPr>
          <w:ilvl w:val="0"/>
          <w:numId w:val="12"/>
        </w:numPr>
        <w:tabs>
          <w:tab w:val="left" w:pos="640"/>
          <w:tab w:val="left" w:pos="840"/>
          <w:tab w:val="left" w:pos="1260"/>
          <w:tab w:val="left" w:pos="1418"/>
        </w:tabs>
        <w:spacing w:line="560" w:lineRule="exact"/>
        <w:ind w:left="845" w:hanging="845"/>
        <w:rPr>
          <w:rFonts w:hint="eastAsia" w:ascii="宋体" w:hAnsi="宋体" w:cs="宋体"/>
          <w:sz w:val="24"/>
          <w:lang w:val="fr-CH"/>
        </w:rPr>
      </w:pPr>
      <w:r>
        <w:rPr>
          <w:rFonts w:hint="eastAsia" w:ascii="宋体" w:hAnsi="宋体" w:cs="宋体"/>
          <w:sz w:val="24"/>
          <w:lang w:val="fr-CH"/>
        </w:rPr>
        <w:t>项目负责人（仅限1人）；</w:t>
      </w:r>
    </w:p>
    <w:p>
      <w:pPr>
        <w:numPr>
          <w:ilvl w:val="0"/>
          <w:numId w:val="12"/>
        </w:numPr>
        <w:tabs>
          <w:tab w:val="left" w:pos="640"/>
          <w:tab w:val="left" w:pos="840"/>
          <w:tab w:val="left" w:pos="1260"/>
          <w:tab w:val="left" w:pos="1418"/>
        </w:tabs>
        <w:spacing w:line="560" w:lineRule="exact"/>
        <w:ind w:left="845" w:hanging="845"/>
        <w:rPr>
          <w:rFonts w:hint="eastAsia" w:ascii="宋体" w:hAnsi="宋体" w:cs="宋体"/>
          <w:sz w:val="24"/>
          <w:lang w:val="fr-CH"/>
        </w:rPr>
      </w:pPr>
      <w:r>
        <w:rPr>
          <w:rFonts w:hint="eastAsia" w:ascii="宋体" w:hAnsi="宋体" w:cs="宋体"/>
          <w:sz w:val="24"/>
        </w:rPr>
        <w:t>团队成员（项目负责人除外）</w:t>
      </w:r>
      <w:r>
        <w:rPr>
          <w:rFonts w:hint="eastAsia" w:ascii="宋体" w:hAnsi="宋体" w:cs="宋体"/>
          <w:sz w:val="24"/>
          <w:lang w:val="fr-CH"/>
        </w:rPr>
        <w:t>；</w:t>
      </w:r>
    </w:p>
    <w:p>
      <w:pPr>
        <w:numPr>
          <w:ilvl w:val="0"/>
          <w:numId w:val="12"/>
        </w:numPr>
        <w:tabs>
          <w:tab w:val="left" w:pos="640"/>
          <w:tab w:val="left" w:pos="840"/>
          <w:tab w:val="left" w:pos="1260"/>
          <w:tab w:val="left" w:pos="1418"/>
        </w:tabs>
        <w:spacing w:line="560" w:lineRule="exact"/>
        <w:ind w:left="845" w:hanging="845"/>
        <w:rPr>
          <w:rFonts w:hint="eastAsia" w:ascii="宋体" w:hAnsi="宋体" w:cs="宋体"/>
          <w:sz w:val="24"/>
        </w:rPr>
      </w:pPr>
      <w:r>
        <w:rPr>
          <w:rFonts w:hint="eastAsia" w:ascii="宋体" w:hAnsi="宋体" w:cs="宋体"/>
          <w:sz w:val="24"/>
        </w:rPr>
        <w:t>投标人认为有必要提供的其他材料。</w:t>
      </w:r>
    </w:p>
    <w:p>
      <w:pPr>
        <w:spacing w:line="560" w:lineRule="exact"/>
        <w:rPr>
          <w:rFonts w:hint="eastAsia" w:ascii="宋体" w:hAnsi="宋体" w:cs="宋体"/>
          <w:b/>
          <w:bCs/>
          <w:sz w:val="24"/>
        </w:rPr>
      </w:pPr>
      <w:r>
        <w:rPr>
          <w:rFonts w:hint="eastAsia" w:ascii="宋体" w:hAnsi="宋体" w:cs="宋体"/>
          <w:b/>
          <w:bCs/>
          <w:sz w:val="24"/>
        </w:rPr>
        <w:t>（三）技术部分</w:t>
      </w:r>
    </w:p>
    <w:p>
      <w:pPr>
        <w:numPr>
          <w:ilvl w:val="0"/>
          <w:numId w:val="13"/>
        </w:numPr>
        <w:tabs>
          <w:tab w:val="left" w:pos="640"/>
          <w:tab w:val="left" w:pos="1260"/>
          <w:tab w:val="left" w:pos="1418"/>
        </w:tabs>
        <w:spacing w:line="560" w:lineRule="exact"/>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pPr>
        <w:numPr>
          <w:ilvl w:val="0"/>
          <w:numId w:val="13"/>
        </w:numPr>
        <w:tabs>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zh-CN"/>
        </w:rPr>
        <w:t>对项目的整体理解</w:t>
      </w:r>
      <w:r>
        <w:rPr>
          <w:rFonts w:hint="eastAsia" w:ascii="宋体" w:hAnsi="宋体" w:cs="宋体"/>
          <w:sz w:val="24"/>
          <w:lang w:val="fr-CH"/>
        </w:rPr>
        <w:t>；</w:t>
      </w:r>
    </w:p>
    <w:p>
      <w:pPr>
        <w:numPr>
          <w:ilvl w:val="0"/>
          <w:numId w:val="13"/>
        </w:numPr>
        <w:tabs>
          <w:tab w:val="left" w:pos="615"/>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zh-CN"/>
        </w:rPr>
        <w:tab/>
      </w:r>
      <w:r>
        <w:rPr>
          <w:rFonts w:hint="eastAsia" w:ascii="宋体" w:hAnsi="宋体" w:cs="宋体"/>
          <w:sz w:val="24"/>
          <w:lang w:val="zh-CN"/>
        </w:rPr>
        <w:t>项目重点难点分析、应对措施及相关的合理化建议</w:t>
      </w:r>
      <w:r>
        <w:rPr>
          <w:rFonts w:hint="eastAsia" w:ascii="宋体" w:hAnsi="宋体" w:cs="宋体"/>
          <w:sz w:val="24"/>
          <w:lang w:val="fr-CH"/>
        </w:rPr>
        <w:t>；</w:t>
      </w:r>
    </w:p>
    <w:p>
      <w:pPr>
        <w:numPr>
          <w:ilvl w:val="0"/>
          <w:numId w:val="13"/>
        </w:numPr>
        <w:tabs>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zh-CN"/>
        </w:rPr>
        <w:t>编制研究方法及思路</w:t>
      </w:r>
      <w:r>
        <w:rPr>
          <w:rFonts w:hint="eastAsia" w:ascii="宋体" w:hAnsi="宋体" w:cs="宋体"/>
          <w:sz w:val="24"/>
          <w:lang w:val="fr-CH"/>
        </w:rPr>
        <w:t>；</w:t>
      </w:r>
    </w:p>
    <w:p>
      <w:pPr>
        <w:numPr>
          <w:ilvl w:val="0"/>
          <w:numId w:val="13"/>
        </w:numPr>
        <w:tabs>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zh-CN"/>
        </w:rPr>
        <w:t>成果预设</w:t>
      </w:r>
    </w:p>
    <w:p>
      <w:pPr>
        <w:numPr>
          <w:ilvl w:val="0"/>
          <w:numId w:val="13"/>
        </w:numPr>
        <w:tabs>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zh-CN"/>
        </w:rPr>
        <w:t>项目进度计划</w:t>
      </w:r>
    </w:p>
    <w:p>
      <w:pPr>
        <w:numPr>
          <w:ilvl w:val="0"/>
          <w:numId w:val="13"/>
        </w:numPr>
        <w:tabs>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fr-CH"/>
        </w:rPr>
        <w:t>投标人认为有必要提供的其他材料。</w:t>
      </w:r>
    </w:p>
    <w:p>
      <w:pPr>
        <w:tabs>
          <w:tab w:val="left" w:pos="640"/>
          <w:tab w:val="left" w:pos="1260"/>
          <w:tab w:val="left" w:pos="1418"/>
        </w:tabs>
        <w:spacing w:line="560" w:lineRule="exact"/>
        <w:ind w:right="-420" w:rightChars="-200" w:firstLine="482" w:firstLineChars="200"/>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spacing w:line="560" w:lineRule="exact"/>
        <w:jc w:val="center"/>
        <w:rPr>
          <w:rFonts w:hint="eastAsia" w:ascii="宋体" w:hAnsi="宋体" w:cs="宋体"/>
          <w:b/>
          <w:bCs/>
          <w:sz w:val="24"/>
        </w:rPr>
      </w:pPr>
      <w:r>
        <w:rPr>
          <w:rFonts w:hint="eastAsia" w:ascii="宋体" w:hAnsi="宋体" w:cs="宋体"/>
          <w:b/>
          <w:bCs/>
          <w:sz w:val="24"/>
        </w:rPr>
        <w:t>1、投标一览表</w:t>
      </w:r>
    </w:p>
    <w:p>
      <w:pPr>
        <w:spacing w:line="560" w:lineRule="exact"/>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56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560" w:lineRule="exact"/>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560" w:lineRule="exact"/>
              <w:jc w:val="center"/>
              <w:rPr>
                <w:rFonts w:hint="eastAsia" w:ascii="宋体" w:hAnsi="宋体" w:cs="宋体"/>
                <w:sz w:val="24"/>
              </w:rPr>
            </w:pPr>
            <w:r>
              <w:rPr>
                <w:rFonts w:hint="eastAsia" w:ascii="宋体" w:hAnsi="宋体" w:cs="宋体"/>
                <w:sz w:val="24"/>
              </w:rPr>
              <w:t>投标总价</w:t>
            </w:r>
          </w:p>
          <w:p>
            <w:pPr>
              <w:spacing w:after="60" w:line="560" w:lineRule="exact"/>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560" w:lineRule="exact"/>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560" w:lineRule="exact"/>
              <w:jc w:val="center"/>
              <w:rPr>
                <w:rFonts w:hint="eastAsia" w:ascii="宋体" w:hAnsi="宋体" w:cs="宋体"/>
                <w:sz w:val="24"/>
                <w:u w:val="single"/>
              </w:rPr>
            </w:pPr>
          </w:p>
        </w:tc>
        <w:tc>
          <w:tcPr>
            <w:tcW w:w="3225" w:type="dxa"/>
            <w:vAlign w:val="center"/>
          </w:tcPr>
          <w:p>
            <w:pPr>
              <w:spacing w:line="560" w:lineRule="exact"/>
              <w:jc w:val="center"/>
              <w:rPr>
                <w:rFonts w:hint="eastAsia" w:ascii="宋体" w:hAnsi="宋体" w:cs="宋体"/>
                <w:sz w:val="24"/>
                <w:u w:val="single"/>
              </w:rPr>
            </w:pPr>
          </w:p>
        </w:tc>
        <w:tc>
          <w:tcPr>
            <w:tcW w:w="2758" w:type="dxa"/>
            <w:vAlign w:val="center"/>
          </w:tcPr>
          <w:p>
            <w:pPr>
              <w:spacing w:line="560" w:lineRule="exact"/>
              <w:jc w:val="center"/>
              <w:rPr>
                <w:rFonts w:hint="eastAsia" w:ascii="宋体" w:hAnsi="宋体" w:cs="宋体"/>
                <w:sz w:val="24"/>
                <w:u w:val="single"/>
              </w:rPr>
            </w:pPr>
          </w:p>
        </w:tc>
      </w:tr>
    </w:tbl>
    <w:p>
      <w:pPr>
        <w:spacing w:line="560" w:lineRule="exact"/>
        <w:rPr>
          <w:rFonts w:hint="eastAsia" w:ascii="宋体" w:hAnsi="宋体" w:cs="宋体"/>
          <w:sz w:val="24"/>
        </w:rPr>
      </w:pPr>
    </w:p>
    <w:p>
      <w:pPr>
        <w:spacing w:line="560" w:lineRule="exact"/>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560" w:lineRule="exact"/>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9"/>
        <w:spacing w:line="560" w:lineRule="exact"/>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560" w:lineRule="exact"/>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560" w:lineRule="exact"/>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56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kern w:val="0"/>
                <w:sz w:val="24"/>
                <w:lang w:bidi="ar"/>
              </w:rPr>
            </w:pPr>
            <w:r>
              <w:rPr>
                <w:rFonts w:hint="eastAsia" w:ascii="黑体" w:hAnsi="黑体" w:eastAsia="黑体" w:cs="黑体"/>
                <w:b/>
                <w:bCs/>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kern w:val="0"/>
                <w:sz w:val="24"/>
                <w:lang w:bidi="zh-CN"/>
              </w:rPr>
            </w:pPr>
            <w:r>
              <w:rPr>
                <w:rFonts w:hint="eastAsia" w:ascii="仿宋_GB2312" w:hAnsi="仿宋_GB2312" w:eastAsia="仿宋_GB2312" w:cs="仿宋_GB2312"/>
                <w:b/>
                <w:bCs/>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bl>
    <w:p>
      <w:pPr>
        <w:spacing w:line="560" w:lineRule="exact"/>
        <w:rPr>
          <w:rFonts w:hint="eastAsia" w:ascii="宋体" w:hAnsi="宋体" w:cs="宋体"/>
          <w:sz w:val="24"/>
        </w:rPr>
      </w:pPr>
    </w:p>
    <w:p>
      <w:pPr>
        <w:spacing w:line="560" w:lineRule="exact"/>
        <w:rPr>
          <w:rFonts w:hint="eastAsia" w:ascii="宋体" w:hAnsi="宋体" w:cs="宋体"/>
          <w:sz w:val="24"/>
        </w:rPr>
      </w:pPr>
      <w:r>
        <w:rPr>
          <w:rFonts w:hint="eastAsia" w:ascii="宋体" w:hAnsi="宋体" w:cs="宋体"/>
          <w:sz w:val="24"/>
        </w:rPr>
        <w:t>注：可根据需要自行调整报价格式。含税总计应等于投标总价。</w:t>
      </w:r>
    </w:p>
    <w:p>
      <w:pPr>
        <w:spacing w:line="560" w:lineRule="exact"/>
        <w:rPr>
          <w:rFonts w:hint="eastAsia" w:ascii="宋体" w:hAnsi="宋体" w:cs="宋体"/>
          <w:sz w:val="24"/>
        </w:rPr>
      </w:pPr>
      <w:r>
        <w:rPr>
          <w:rFonts w:hint="eastAsia" w:ascii="宋体" w:hAnsi="宋体" w:cs="宋体"/>
          <w:sz w:val="24"/>
        </w:rPr>
        <w:t>投标供应商授权代表： ________________________</w:t>
      </w:r>
    </w:p>
    <w:p>
      <w:pPr>
        <w:spacing w:line="560" w:lineRule="exact"/>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560" w:lineRule="exact"/>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560" w:lineRule="exact"/>
        <w:rPr>
          <w:rFonts w:hint="eastAsia" w:ascii="宋体" w:hAnsi="宋体" w:cs="宋体"/>
          <w:b/>
          <w:bCs/>
          <w:sz w:val="24"/>
        </w:rPr>
      </w:pPr>
      <w:r>
        <w:rPr>
          <w:rFonts w:hint="eastAsia" w:ascii="宋体" w:hAnsi="宋体" w:cs="宋体"/>
          <w:b/>
          <w:bCs/>
          <w:sz w:val="24"/>
        </w:rPr>
        <w:br w:type="page"/>
      </w:r>
    </w:p>
    <w:p>
      <w:pPr>
        <w:spacing w:line="560" w:lineRule="exact"/>
        <w:jc w:val="center"/>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560" w:lineRule="exact"/>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pStyle w:val="29"/>
        <w:spacing w:line="560" w:lineRule="exact"/>
        <w:ind w:firstLine="0" w:firstLineChars="0"/>
      </w:pPr>
    </w:p>
    <w:p>
      <w:pPr>
        <w:spacing w:line="560" w:lineRule="exact"/>
        <w:jc w:val="center"/>
        <w:rPr>
          <w:rFonts w:hint="eastAsia" w:ascii="宋体" w:hAnsi="宋体" w:cs="宋体"/>
          <w:b/>
          <w:bCs/>
          <w:sz w:val="24"/>
        </w:rPr>
      </w:pPr>
      <w:r>
        <w:rPr>
          <w:rFonts w:hint="eastAsia" w:ascii="宋体" w:hAnsi="宋体" w:cs="宋体"/>
          <w:b/>
          <w:bCs/>
          <w:sz w:val="24"/>
        </w:rPr>
        <w:t>1、投标响应书</w:t>
      </w:r>
    </w:p>
    <w:p>
      <w:pPr>
        <w:spacing w:line="560" w:lineRule="exact"/>
        <w:rPr>
          <w:rFonts w:hint="eastAsia" w:ascii="宋体" w:hAnsi="宋体" w:cs="宋体"/>
          <w:sz w:val="24"/>
        </w:rPr>
      </w:pPr>
    </w:p>
    <w:p>
      <w:pPr>
        <w:spacing w:line="560" w:lineRule="exact"/>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560" w:lineRule="exact"/>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560" w:lineRule="exact"/>
        <w:rPr>
          <w:rFonts w:hint="eastAsia" w:ascii="宋体" w:hAnsi="宋体" w:cs="宋体"/>
          <w:sz w:val="24"/>
        </w:rPr>
      </w:pPr>
      <w:r>
        <w:rPr>
          <w:rFonts w:hint="eastAsia" w:ascii="宋体" w:hAnsi="宋体" w:cs="宋体"/>
          <w:sz w:val="24"/>
        </w:rPr>
        <w:t xml:space="preserve">  据此函，签字代表宣布同意如下：</w:t>
      </w:r>
    </w:p>
    <w:p>
      <w:pPr>
        <w:spacing w:line="560" w:lineRule="exact"/>
        <w:rPr>
          <w:rFonts w:hint="eastAsia" w:ascii="宋体" w:hAnsi="宋体" w:cs="宋体"/>
          <w:sz w:val="24"/>
        </w:rPr>
      </w:pPr>
      <w:r>
        <w:rPr>
          <w:rFonts w:hint="eastAsia" w:ascii="宋体" w:hAnsi="宋体" w:cs="宋体"/>
          <w:sz w:val="24"/>
        </w:rPr>
        <w:t>1、供应商方将按招标文件的规定履行合同责任和义务。</w:t>
      </w:r>
    </w:p>
    <w:p>
      <w:pPr>
        <w:spacing w:line="560" w:lineRule="exact"/>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560" w:lineRule="exact"/>
        <w:rPr>
          <w:rFonts w:hint="eastAsia" w:ascii="宋体" w:hAnsi="宋体" w:cs="宋体"/>
          <w:sz w:val="24"/>
        </w:rPr>
      </w:pPr>
      <w:r>
        <w:rPr>
          <w:rFonts w:hint="eastAsia" w:ascii="宋体" w:hAnsi="宋体" w:cs="宋体"/>
          <w:sz w:val="24"/>
        </w:rPr>
        <w:t>3、与本投标项目有关的一切正式往来通讯请寄：</w:t>
      </w:r>
    </w:p>
    <w:p>
      <w:pPr>
        <w:spacing w:line="560" w:lineRule="exact"/>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560" w:lineRule="exact"/>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560" w:lineRule="exact"/>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560" w:lineRule="exact"/>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560" w:lineRule="exact"/>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560" w:lineRule="exac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60" w:lineRule="exact"/>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560" w:lineRule="exact"/>
      </w:pPr>
    </w:p>
    <w:p>
      <w:pPr>
        <w:spacing w:line="560" w:lineRule="exact"/>
        <w:rPr>
          <w:rFonts w:hint="eastAsia"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560" w:lineRule="exact"/>
        <w:jc w:val="center"/>
        <w:rPr>
          <w:rFonts w:hint="eastAsia"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560" w:lineRule="exact"/>
        <w:jc w:val="center"/>
        <w:rPr>
          <w:rFonts w:hint="eastAsia"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tabs>
          <w:tab w:val="left" w:pos="640"/>
          <w:tab w:val="left" w:pos="1260"/>
          <w:tab w:val="left" w:pos="1418"/>
        </w:tabs>
        <w:spacing w:line="560" w:lineRule="exact"/>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560" w:lineRule="exact"/>
        <w:rPr>
          <w:rFonts w:hint="eastAsia" w:ascii="宋体" w:hAnsi="宋体" w:cs="宋体"/>
          <w:sz w:val="24"/>
        </w:rPr>
      </w:pPr>
      <w:r>
        <w:rPr>
          <w:rFonts w:hint="eastAsia" w:ascii="宋体" w:hAnsi="宋体" w:cs="宋体"/>
          <w:sz w:val="24"/>
        </w:rPr>
        <w:t>（采购单位名称/代理机构名称）：</w:t>
      </w:r>
    </w:p>
    <w:p>
      <w:pPr>
        <w:spacing w:line="560" w:lineRule="exact"/>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560" w:lineRule="exact"/>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560" w:lineRule="exact"/>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560" w:lineRule="exact"/>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560" w:lineRule="exact"/>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560" w:lineRule="exact"/>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560" w:lineRule="exact"/>
        <w:ind w:firstLine="480" w:firstLineChars="200"/>
        <w:rPr>
          <w:rFonts w:hint="eastAsia" w:ascii="宋体" w:hAnsi="宋体" w:cs="宋体"/>
          <w:sz w:val="24"/>
        </w:rPr>
      </w:pPr>
      <w:r>
        <w:rPr>
          <w:rFonts w:hint="eastAsia" w:ascii="宋体" w:hAnsi="宋体" w:cs="宋体"/>
          <w:sz w:val="24"/>
        </w:rPr>
        <w:t>6.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560" w:lineRule="exact"/>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560" w:lineRule="exact"/>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560" w:lineRule="exact"/>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560" w:lineRule="exact"/>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560" w:lineRule="exact"/>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560" w:lineRule="exact"/>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560" w:lineRule="exact"/>
        <w:ind w:firstLine="480" w:firstLineChars="200"/>
        <w:rPr>
          <w:rFonts w:hint="eastAsia" w:ascii="宋体" w:hAnsi="宋体" w:cs="宋体"/>
          <w:sz w:val="24"/>
        </w:rPr>
      </w:pPr>
    </w:p>
    <w:p>
      <w:pPr>
        <w:tabs>
          <w:tab w:val="left" w:pos="4860"/>
        </w:tabs>
        <w:adjustRightInd w:val="0"/>
        <w:snapToGrid w:val="0"/>
        <w:spacing w:line="560" w:lineRule="exact"/>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560" w:lineRule="exact"/>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560" w:lineRule="exact"/>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rPr>
        <w:t>4</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spacing w:line="560" w:lineRule="exact"/>
        <w:rPr>
          <w:lang w:val="fr-CH"/>
        </w:rPr>
      </w:pPr>
    </w:p>
    <w:p>
      <w:pPr>
        <w:tabs>
          <w:tab w:val="left" w:pos="640"/>
          <w:tab w:val="left" w:pos="1260"/>
          <w:tab w:val="left" w:pos="1418"/>
        </w:tabs>
        <w:spacing w:line="560" w:lineRule="exact"/>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560" w:lineRule="exact"/>
        <w:jc w:val="center"/>
        <w:rPr>
          <w:rFonts w:hint="eastAsia" w:ascii="宋体" w:hAnsi="宋体" w:cs="宋体"/>
          <w:b/>
          <w:bCs/>
          <w:sz w:val="24"/>
        </w:rPr>
      </w:pPr>
      <w:r>
        <w:rPr>
          <w:rFonts w:hint="eastAsia" w:ascii="宋体" w:hAnsi="宋体" w:cs="宋体"/>
          <w:b/>
          <w:bCs/>
          <w:sz w:val="24"/>
        </w:rPr>
        <w:t>5、关于资格的声明函</w:t>
      </w:r>
    </w:p>
    <w:p>
      <w:pPr>
        <w:spacing w:line="560" w:lineRule="exact"/>
        <w:rPr>
          <w:rFonts w:hint="eastAsia" w:ascii="宋体" w:hAnsi="宋体" w:cs="宋体"/>
          <w:sz w:val="24"/>
        </w:rPr>
      </w:pPr>
      <w:r>
        <w:rPr>
          <w:rFonts w:hint="eastAsia" w:ascii="宋体" w:hAnsi="宋体" w:cs="宋体"/>
          <w:sz w:val="24"/>
        </w:rPr>
        <w:t>（采购单位名称/代理机构名称）：</w:t>
      </w:r>
    </w:p>
    <w:p>
      <w:pPr>
        <w:spacing w:line="560" w:lineRule="exact"/>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560" w:lineRule="exact"/>
        <w:ind w:left="420"/>
        <w:rPr>
          <w:rFonts w:hint="eastAsia" w:ascii="宋体" w:hAnsi="宋体" w:cs="宋体"/>
          <w:sz w:val="24"/>
        </w:rPr>
      </w:pPr>
      <w:r>
        <w:rPr>
          <w:rFonts w:hint="eastAsia" w:ascii="宋体" w:hAnsi="宋体" w:cs="宋体"/>
          <w:sz w:val="24"/>
        </w:rPr>
        <w:t>特此承诺！</w:t>
      </w:r>
    </w:p>
    <w:p>
      <w:pPr>
        <w:spacing w:line="560" w:lineRule="exact"/>
        <w:ind w:left="420"/>
        <w:rPr>
          <w:rFonts w:hint="eastAsia" w:ascii="宋体" w:hAnsi="宋体" w:cs="宋体"/>
          <w:sz w:val="24"/>
        </w:rPr>
      </w:pPr>
    </w:p>
    <w:p>
      <w:pPr>
        <w:pStyle w:val="10"/>
        <w:spacing w:line="560" w:lineRule="exact"/>
        <w:jc w:val="center"/>
        <w:rPr>
          <w:rFonts w:hint="eastAsia" w:hAnsi="宋体" w:cs="宋体"/>
          <w:sz w:val="24"/>
        </w:rPr>
      </w:pPr>
      <w:r>
        <w:rPr>
          <w:rFonts w:hint="eastAsia" w:hAnsi="宋体" w:cs="宋体"/>
          <w:sz w:val="24"/>
        </w:rPr>
        <w:t xml:space="preserve">                投标人名称（投标人法人公章）：</w:t>
      </w:r>
    </w:p>
    <w:p>
      <w:pPr>
        <w:spacing w:line="560" w:lineRule="exact"/>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560" w:lineRule="exact"/>
        <w:rPr>
          <w:rFonts w:hint="eastAsia" w:ascii="宋体" w:hAnsi="宋体" w:cs="宋体"/>
          <w:sz w:val="24"/>
          <w:lang w:val="fr-CH"/>
        </w:rPr>
      </w:pPr>
    </w:p>
    <w:p>
      <w:pPr>
        <w:spacing w:before="120" w:after="120" w:line="560" w:lineRule="exact"/>
        <w:jc w:val="center"/>
        <w:rPr>
          <w:rFonts w:hint="eastAsia" w:ascii="宋体" w:hAnsi="宋体" w:cs="宋体"/>
          <w:b/>
          <w:sz w:val="24"/>
        </w:rPr>
      </w:pPr>
    </w:p>
    <w:p>
      <w:pPr>
        <w:pStyle w:val="29"/>
        <w:spacing w:line="560" w:lineRule="exact"/>
        <w:ind w:firstLine="482"/>
        <w:rPr>
          <w:rFonts w:hint="eastAsia" w:ascii="宋体" w:hAnsi="宋体" w:cs="宋体"/>
          <w:b/>
          <w:sz w:val="24"/>
        </w:rPr>
      </w:pPr>
    </w:p>
    <w:p>
      <w:pPr>
        <w:pStyle w:val="29"/>
        <w:spacing w:line="560" w:lineRule="exact"/>
        <w:ind w:firstLine="482"/>
        <w:rPr>
          <w:rFonts w:hint="eastAsia" w:ascii="宋体" w:hAnsi="宋体" w:cs="宋体"/>
          <w:b/>
          <w:sz w:val="24"/>
        </w:rPr>
      </w:pPr>
    </w:p>
    <w:p>
      <w:pPr>
        <w:pStyle w:val="29"/>
        <w:spacing w:line="560" w:lineRule="exact"/>
        <w:ind w:firstLine="482"/>
        <w:rPr>
          <w:rFonts w:hint="eastAsia" w:ascii="宋体" w:hAnsi="宋体" w:cs="宋体"/>
          <w:b/>
          <w:sz w:val="24"/>
        </w:rPr>
      </w:pPr>
    </w:p>
    <w:p>
      <w:pPr>
        <w:pStyle w:val="29"/>
        <w:spacing w:line="560" w:lineRule="exact"/>
        <w:ind w:firstLine="482"/>
        <w:rPr>
          <w:rFonts w:hint="eastAsia" w:ascii="宋体" w:hAnsi="宋体" w:cs="宋体"/>
          <w:b/>
          <w:sz w:val="24"/>
        </w:rPr>
      </w:pPr>
    </w:p>
    <w:p>
      <w:pPr>
        <w:pStyle w:val="29"/>
        <w:spacing w:line="560" w:lineRule="exact"/>
        <w:ind w:firstLine="482"/>
        <w:rPr>
          <w:rFonts w:hint="eastAsia" w:ascii="宋体" w:hAnsi="宋体" w:cs="宋体"/>
          <w:b/>
          <w:sz w:val="24"/>
        </w:rPr>
      </w:pPr>
    </w:p>
    <w:p>
      <w:pPr>
        <w:pStyle w:val="29"/>
        <w:spacing w:line="560" w:lineRule="exact"/>
        <w:ind w:firstLine="482"/>
        <w:rPr>
          <w:rFonts w:hint="eastAsia" w:ascii="宋体" w:hAnsi="宋体" w:cs="宋体"/>
          <w:b/>
          <w:sz w:val="24"/>
        </w:rPr>
      </w:pPr>
    </w:p>
    <w:p>
      <w:pPr>
        <w:pStyle w:val="29"/>
        <w:spacing w:line="560" w:lineRule="exact"/>
        <w:ind w:firstLine="482"/>
        <w:rPr>
          <w:rFonts w:hint="eastAsia" w:ascii="宋体" w:hAnsi="宋体" w:cs="宋体"/>
          <w:b/>
          <w:sz w:val="24"/>
        </w:rPr>
      </w:pPr>
    </w:p>
    <w:p>
      <w:pPr>
        <w:pStyle w:val="29"/>
        <w:spacing w:line="560" w:lineRule="exact"/>
        <w:ind w:firstLine="482"/>
        <w:rPr>
          <w:rFonts w:hint="eastAsia" w:ascii="宋体" w:hAnsi="宋体" w:cs="宋体"/>
          <w:b/>
          <w:sz w:val="24"/>
        </w:rPr>
      </w:pPr>
    </w:p>
    <w:p>
      <w:pPr>
        <w:spacing w:line="560" w:lineRule="exact"/>
        <w:jc w:val="left"/>
        <w:rPr>
          <w:rFonts w:hint="eastAsia" w:ascii="宋体" w:hAnsi="宋体" w:cs="宋体"/>
          <w:b/>
          <w:bCs/>
          <w:sz w:val="24"/>
        </w:rPr>
      </w:pPr>
      <w:r>
        <w:rPr>
          <w:rFonts w:hint="eastAsia" w:ascii="宋体" w:hAnsi="宋体" w:cs="宋体"/>
          <w:b/>
          <w:bCs/>
          <w:sz w:val="24"/>
        </w:rPr>
        <w:br w:type="page"/>
      </w:r>
    </w:p>
    <w:p>
      <w:pPr>
        <w:spacing w:line="560" w:lineRule="exact"/>
        <w:jc w:val="center"/>
        <w:rPr>
          <w:rFonts w:hint="eastAsia" w:ascii="宋体" w:hAnsi="宋体" w:cs="宋体"/>
          <w:b/>
          <w:bCs/>
          <w:sz w:val="24"/>
        </w:rPr>
      </w:pPr>
      <w:r>
        <w:rPr>
          <w:rFonts w:hint="eastAsia" w:ascii="宋体" w:hAnsi="宋体" w:cs="宋体"/>
          <w:b/>
          <w:bCs/>
          <w:sz w:val="24"/>
        </w:rPr>
        <w:t>6、企业诚信声明与承诺</w:t>
      </w:r>
    </w:p>
    <w:p>
      <w:pPr>
        <w:spacing w:line="560" w:lineRule="exact"/>
        <w:rPr>
          <w:rFonts w:hint="eastAsia" w:ascii="宋体" w:hAnsi="宋体" w:cs="宋体"/>
          <w:b/>
          <w:bCs/>
          <w:sz w:val="24"/>
        </w:rPr>
      </w:pPr>
      <w:r>
        <w:rPr>
          <w:rFonts w:hint="eastAsia" w:ascii="宋体" w:hAnsi="宋体" w:cs="宋体"/>
          <w:b/>
          <w:bCs/>
          <w:sz w:val="24"/>
        </w:rPr>
        <w:t>深圳交易咨询集团有限公司：</w:t>
      </w:r>
    </w:p>
    <w:p>
      <w:pPr>
        <w:spacing w:line="560" w:lineRule="exact"/>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560" w:lineRule="exact"/>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560" w:lineRule="exact"/>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560" w:lineRule="exact"/>
        <w:ind w:firstLine="360" w:firstLineChars="150"/>
        <w:jc w:val="left"/>
        <w:rPr>
          <w:rFonts w:hint="eastAsia" w:ascii="宋体" w:hAnsi="宋体" w:cs="宋体"/>
          <w:sz w:val="24"/>
        </w:rPr>
      </w:pPr>
      <w:r>
        <w:rPr>
          <w:rFonts w:hint="eastAsia" w:ascii="宋体" w:hAnsi="宋体" w:cs="宋体"/>
          <w:sz w:val="24"/>
        </w:rPr>
        <w:t>特此声明与承诺！</w:t>
      </w:r>
    </w:p>
    <w:p>
      <w:pPr>
        <w:spacing w:line="560" w:lineRule="exact"/>
        <w:jc w:val="left"/>
        <w:rPr>
          <w:rFonts w:hint="eastAsia" w:ascii="宋体" w:hAnsi="宋体" w:cs="宋体"/>
          <w:sz w:val="24"/>
        </w:rPr>
      </w:pPr>
    </w:p>
    <w:p>
      <w:pPr>
        <w:spacing w:line="560" w:lineRule="exact"/>
        <w:jc w:val="left"/>
        <w:rPr>
          <w:rFonts w:hint="eastAsia" w:ascii="宋体" w:hAnsi="宋体" w:cs="宋体"/>
          <w:sz w:val="24"/>
        </w:rPr>
      </w:pPr>
    </w:p>
    <w:p>
      <w:pPr>
        <w:widowControl/>
        <w:autoSpaceDE w:val="0"/>
        <w:autoSpaceDN w:val="0"/>
        <w:spacing w:line="560" w:lineRule="exact"/>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0"/>
        <w:spacing w:line="560" w:lineRule="exact"/>
        <w:jc w:val="center"/>
        <w:rPr>
          <w:rFonts w:hint="eastAsia" w:hAnsi="宋体" w:cs="宋体"/>
          <w:sz w:val="24"/>
        </w:rPr>
      </w:pPr>
      <w:r>
        <w:rPr>
          <w:rFonts w:hint="eastAsia" w:hAnsi="宋体" w:cs="宋体"/>
          <w:sz w:val="24"/>
        </w:rPr>
        <w:t xml:space="preserve">                                  承诺日期：    年  月  日</w:t>
      </w:r>
    </w:p>
    <w:p>
      <w:pPr>
        <w:pStyle w:val="10"/>
        <w:spacing w:line="560" w:lineRule="exact"/>
        <w:jc w:val="left"/>
        <w:rPr>
          <w:rFonts w:hint="eastAsia" w:hAnsi="宋体" w:cs="宋体"/>
          <w:sz w:val="24"/>
        </w:rPr>
      </w:pPr>
    </w:p>
    <w:p>
      <w:pPr>
        <w:pStyle w:val="10"/>
        <w:spacing w:line="560" w:lineRule="exact"/>
        <w:jc w:val="left"/>
        <w:rPr>
          <w:rFonts w:hint="eastAsia" w:hAnsi="宋体" w:cs="宋体"/>
          <w:sz w:val="24"/>
        </w:rPr>
      </w:pPr>
    </w:p>
    <w:p>
      <w:pPr>
        <w:pStyle w:val="6"/>
        <w:spacing w:line="560" w:lineRule="exact"/>
        <w:rPr>
          <w:lang w:val="fr-CH"/>
        </w:rPr>
      </w:pPr>
    </w:p>
    <w:p>
      <w:pPr>
        <w:spacing w:before="100" w:beforeAutospacing="1" w:after="100" w:afterAutospacing="1" w:line="560" w:lineRule="exact"/>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spacing w:line="560" w:lineRule="exact"/>
        <w:rPr>
          <w:lang w:val="fr-CH"/>
        </w:rPr>
      </w:pPr>
    </w:p>
    <w:p>
      <w:pPr>
        <w:pStyle w:val="29"/>
        <w:spacing w:line="560" w:lineRule="exact"/>
        <w:ind w:firstLine="420"/>
        <w:rPr>
          <w:lang w:val="fr-CH"/>
        </w:rPr>
      </w:pPr>
    </w:p>
    <w:p>
      <w:pPr>
        <w:pStyle w:val="29"/>
        <w:spacing w:line="560" w:lineRule="exact"/>
        <w:ind w:firstLine="420"/>
        <w:rPr>
          <w:lang w:val="fr-CH"/>
        </w:rPr>
      </w:pPr>
    </w:p>
    <w:p>
      <w:pPr>
        <w:pStyle w:val="29"/>
        <w:spacing w:line="560" w:lineRule="exact"/>
        <w:ind w:firstLine="420"/>
        <w:rPr>
          <w:lang w:val="fr-CH"/>
        </w:rPr>
      </w:pPr>
    </w:p>
    <w:p>
      <w:pPr>
        <w:tabs>
          <w:tab w:val="left" w:pos="640"/>
          <w:tab w:val="left" w:pos="840"/>
          <w:tab w:val="left" w:pos="1260"/>
          <w:tab w:val="left" w:pos="1418"/>
        </w:tabs>
        <w:spacing w:line="560" w:lineRule="exact"/>
        <w:rPr>
          <w:rFonts w:hint="eastAsia" w:ascii="宋体" w:hAnsi="宋体" w:cs="宋体"/>
          <w:sz w:val="24"/>
        </w:rPr>
      </w:pPr>
    </w:p>
    <w:p>
      <w:pPr>
        <w:spacing w:line="560" w:lineRule="exact"/>
        <w:jc w:val="left"/>
        <w:rPr>
          <w:rFonts w:hint="eastAsia" w:ascii="宋体" w:hAnsi="宋体" w:cs="宋体"/>
          <w:b/>
          <w:sz w:val="24"/>
        </w:rPr>
      </w:pPr>
      <w:r>
        <w:rPr>
          <w:rFonts w:hint="eastAsia" w:ascii="宋体" w:hAnsi="宋体" w:cs="宋体"/>
          <w:b/>
          <w:sz w:val="24"/>
        </w:rPr>
        <w:br w:type="page"/>
      </w:r>
    </w:p>
    <w:p>
      <w:pPr>
        <w:spacing w:before="120" w:after="120" w:line="560" w:lineRule="exact"/>
        <w:jc w:val="center"/>
        <w:rPr>
          <w:rFonts w:hint="eastAsia" w:ascii="宋体" w:hAnsi="宋体" w:cs="宋体"/>
          <w:b/>
          <w:sz w:val="24"/>
        </w:rPr>
      </w:pPr>
      <w:r>
        <w:rPr>
          <w:rFonts w:hint="eastAsia" w:ascii="宋体" w:hAnsi="宋体" w:cs="宋体"/>
          <w:b/>
          <w:sz w:val="24"/>
        </w:rPr>
        <w:t>7、法定代表人</w:t>
      </w:r>
      <w:r>
        <w:rPr>
          <w:rFonts w:hint="eastAsia" w:ascii="宋体" w:hAnsi="宋体" w:cs="宋体"/>
          <w:b/>
          <w:sz w:val="24"/>
          <w:lang w:val="fr-CH"/>
        </w:rPr>
        <w:t>/单位负责人</w:t>
      </w:r>
      <w:r>
        <w:rPr>
          <w:rFonts w:hint="eastAsia" w:ascii="宋体" w:hAnsi="宋体" w:cs="宋体"/>
          <w:b/>
          <w:sz w:val="24"/>
        </w:rPr>
        <w:t>证明书</w:t>
      </w:r>
      <w:r>
        <w:rPr>
          <w:rFonts w:hint="eastAsia" w:ascii="宋体" w:hAnsi="宋体" w:cs="宋体"/>
          <w:b/>
          <w:sz w:val="24"/>
          <w:lang w:val="fr-CH"/>
        </w:rPr>
        <w:t>及身份证明</w:t>
      </w:r>
    </w:p>
    <w:p>
      <w:pPr>
        <w:spacing w:line="560" w:lineRule="exact"/>
        <w:rPr>
          <w:rFonts w:hint="eastAsia" w:ascii="宋体" w:hAnsi="宋体" w:cs="宋体"/>
          <w:sz w:val="24"/>
          <w:u w:val="single"/>
        </w:rPr>
      </w:pPr>
    </w:p>
    <w:p>
      <w:pPr>
        <w:spacing w:line="56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560" w:lineRule="exact"/>
        <w:rPr>
          <w:rFonts w:hint="eastAsia" w:ascii="宋体" w:hAnsi="宋体" w:cs="宋体"/>
          <w:sz w:val="24"/>
        </w:rPr>
      </w:pPr>
      <w:r>
        <w:rPr>
          <w:rFonts w:hint="eastAsia" w:ascii="宋体" w:hAnsi="宋体" w:cs="宋体"/>
          <w:sz w:val="24"/>
        </w:rPr>
        <w:t xml:space="preserve">签发日期：             有效日期：         单位：              </w:t>
      </w:r>
    </w:p>
    <w:p>
      <w:pPr>
        <w:spacing w:line="560" w:lineRule="exact"/>
        <w:rPr>
          <w:rFonts w:hint="eastAsia" w:ascii="宋体" w:hAnsi="宋体" w:cs="宋体"/>
          <w:sz w:val="24"/>
        </w:rPr>
      </w:pPr>
      <w:r>
        <w:rPr>
          <w:rFonts w:hint="eastAsia" w:ascii="宋体" w:hAnsi="宋体" w:cs="宋体"/>
          <w:sz w:val="24"/>
        </w:rPr>
        <w:t>附：代表人性别：   年龄：      身份证号码：</w:t>
      </w:r>
    </w:p>
    <w:p>
      <w:pPr>
        <w:spacing w:line="560" w:lineRule="exact"/>
        <w:rPr>
          <w:rFonts w:hint="eastAsia" w:ascii="宋体" w:hAnsi="宋体" w:cs="宋体"/>
          <w:sz w:val="24"/>
        </w:rPr>
      </w:pPr>
      <w:r>
        <w:rPr>
          <w:rFonts w:hint="eastAsia" w:ascii="宋体" w:hAnsi="宋体" w:cs="宋体"/>
          <w:sz w:val="24"/>
        </w:rPr>
        <w:t>营业执照号码：                 经济性质：</w:t>
      </w:r>
    </w:p>
    <w:p>
      <w:pPr>
        <w:spacing w:line="560" w:lineRule="exact"/>
        <w:rPr>
          <w:rFonts w:hint="eastAsia" w:ascii="宋体" w:hAnsi="宋体" w:cs="宋体"/>
          <w:sz w:val="24"/>
        </w:rPr>
      </w:pPr>
      <w:r>
        <w:rPr>
          <w:rFonts w:hint="eastAsia" w:ascii="宋体" w:hAnsi="宋体" w:cs="宋体"/>
          <w:sz w:val="24"/>
        </w:rPr>
        <w:t>主营（产）：</w:t>
      </w:r>
    </w:p>
    <w:p>
      <w:pPr>
        <w:spacing w:line="560" w:lineRule="exact"/>
        <w:rPr>
          <w:rFonts w:hint="eastAsia" w:ascii="宋体" w:hAnsi="宋体" w:cs="宋体"/>
          <w:sz w:val="24"/>
        </w:rPr>
      </w:pPr>
      <w:r>
        <w:rPr>
          <w:rFonts w:hint="eastAsia" w:ascii="宋体" w:hAnsi="宋体" w:cs="宋体"/>
          <w:sz w:val="24"/>
        </w:rPr>
        <w:t>兼营（产）：</w:t>
      </w:r>
    </w:p>
    <w:p>
      <w:pPr>
        <w:spacing w:line="560" w:lineRule="exact"/>
        <w:rPr>
          <w:rFonts w:hint="eastAsia" w:ascii="宋体" w:hAnsi="宋体" w:cs="宋体"/>
          <w:sz w:val="24"/>
        </w:rPr>
      </w:pPr>
      <w:r>
        <w:rPr>
          <w:rFonts w:hint="eastAsia" w:ascii="宋体" w:hAnsi="宋体" w:cs="宋体"/>
          <w:sz w:val="24"/>
        </w:rPr>
        <w:t>进口物品经营许可证号码：</w:t>
      </w:r>
    </w:p>
    <w:p>
      <w:pPr>
        <w:spacing w:line="560" w:lineRule="exact"/>
        <w:rPr>
          <w:rFonts w:hint="eastAsia" w:ascii="宋体" w:hAnsi="宋体" w:cs="宋体"/>
          <w:sz w:val="24"/>
        </w:rPr>
      </w:pPr>
      <w:r>
        <w:rPr>
          <w:rFonts w:hint="eastAsia" w:ascii="宋体" w:hAnsi="宋体" w:cs="宋体"/>
          <w:sz w:val="24"/>
        </w:rPr>
        <w:t>主营：</w:t>
      </w:r>
    </w:p>
    <w:p>
      <w:pPr>
        <w:spacing w:line="560" w:lineRule="exact"/>
        <w:rPr>
          <w:rFonts w:hint="eastAsia" w:ascii="宋体" w:hAnsi="宋体" w:cs="宋体"/>
          <w:sz w:val="24"/>
        </w:rPr>
      </w:pPr>
      <w:r>
        <w:rPr>
          <w:rFonts w:hint="eastAsia" w:ascii="宋体" w:hAnsi="宋体" w:cs="宋体"/>
          <w:sz w:val="24"/>
        </w:rPr>
        <w:t>兼营：</w:t>
      </w:r>
    </w:p>
    <w:p>
      <w:pPr>
        <w:spacing w:line="560" w:lineRule="exact"/>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560" w:lineRule="exact"/>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tabs>
          <w:tab w:val="left" w:pos="3780"/>
        </w:tabs>
        <w:spacing w:line="560" w:lineRule="exact"/>
        <w:rPr>
          <w:rFonts w:hint="eastAsia" w:ascii="宋体" w:hAnsi="宋体" w:cs="宋体"/>
          <w:sz w:val="24"/>
        </w:rPr>
      </w:pPr>
    </w:p>
    <w:p>
      <w:pPr>
        <w:tabs>
          <w:tab w:val="left" w:pos="3780"/>
        </w:tabs>
        <w:spacing w:line="560" w:lineRule="exact"/>
        <w:rPr>
          <w:rFonts w:hint="eastAsia" w:ascii="宋体" w:hAnsi="宋体" w:cs="宋体"/>
          <w:b/>
          <w:bCs/>
          <w:sz w:val="24"/>
        </w:rPr>
      </w:pPr>
      <w:r>
        <w:rPr>
          <w:rFonts w:hint="eastAsia" w:ascii="宋体" w:hAnsi="宋体" w:cs="宋体"/>
          <w:b/>
          <w:bCs/>
          <w:sz w:val="24"/>
        </w:rPr>
        <w:t>投标供应商（公章）：</w:t>
      </w:r>
    </w:p>
    <w:p>
      <w:pPr>
        <w:tabs>
          <w:tab w:val="left" w:pos="3780"/>
        </w:tabs>
        <w:spacing w:line="560" w:lineRule="exact"/>
        <w:rPr>
          <w:rFonts w:hint="eastAsia" w:ascii="宋体" w:hAnsi="宋体" w:cs="宋体"/>
          <w:b/>
          <w:sz w:val="24"/>
        </w:rPr>
      </w:pPr>
      <w:r>
        <w:rPr>
          <w:rFonts w:hint="eastAsia" w:ascii="宋体" w:hAnsi="宋体" w:cs="宋体"/>
          <w:b/>
          <w:bCs/>
          <w:sz w:val="24"/>
        </w:rPr>
        <w:t>法定代表人/单位负责人（签字或盖章）：</w:t>
      </w:r>
    </w:p>
    <w:p>
      <w:pPr>
        <w:spacing w:before="120" w:after="120" w:line="560" w:lineRule="exact"/>
        <w:jc w:val="left"/>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560" w:lineRule="exact"/>
              <w:rPr>
                <w:rFonts w:ascii="Arial Narrow" w:hAnsi="Arial Narrow"/>
                <w:b/>
                <w:bCs/>
                <w:szCs w:val="21"/>
              </w:rPr>
            </w:pPr>
          </w:p>
        </w:tc>
        <w:tc>
          <w:tcPr>
            <w:tcW w:w="4677" w:type="dxa"/>
          </w:tcPr>
          <w:p>
            <w:pPr>
              <w:pStyle w:val="10"/>
              <w:spacing w:line="560" w:lineRule="exact"/>
              <w:rPr>
                <w:rFonts w:ascii="Arial Narrow" w:hAnsi="Arial Narrow"/>
                <w:b/>
                <w:bCs/>
                <w:szCs w:val="21"/>
              </w:rPr>
            </w:pPr>
          </w:p>
        </w:tc>
      </w:tr>
    </w:tbl>
    <w:p>
      <w:pPr>
        <w:pStyle w:val="10"/>
        <w:spacing w:line="560" w:lineRule="exact"/>
        <w:jc w:val="center"/>
        <w:rPr>
          <w:rFonts w:hint="eastAsia" w:hAnsi="宋体" w:cs="宋体"/>
          <w:b/>
          <w:sz w:val="24"/>
        </w:rPr>
      </w:pPr>
    </w:p>
    <w:p>
      <w:pPr>
        <w:pStyle w:val="10"/>
        <w:spacing w:line="560" w:lineRule="exact"/>
        <w:jc w:val="center"/>
        <w:rPr>
          <w:rFonts w:hint="eastAsia" w:hAnsi="宋体" w:cs="宋体"/>
          <w:sz w:val="24"/>
        </w:rPr>
      </w:pPr>
      <w:r>
        <w:rPr>
          <w:rFonts w:hint="eastAsia" w:hAnsi="宋体" w:cs="宋体"/>
          <w:b/>
          <w:sz w:val="24"/>
        </w:rPr>
        <w:t>8、法定代表人/单位负责人授权书</w:t>
      </w:r>
      <w:r>
        <w:rPr>
          <w:rFonts w:hint="eastAsia" w:hAnsi="宋体" w:cs="宋体"/>
          <w:b/>
          <w:sz w:val="24"/>
          <w:lang w:val="fr-CH"/>
        </w:rPr>
        <w:t>及身份证明</w:t>
      </w:r>
    </w:p>
    <w:p>
      <w:pPr>
        <w:pStyle w:val="10"/>
        <w:spacing w:line="560" w:lineRule="exact"/>
        <w:rPr>
          <w:rFonts w:hint="eastAsia" w:hAnsi="宋体" w:cs="宋体"/>
          <w:sz w:val="24"/>
        </w:rPr>
      </w:pPr>
      <w:r>
        <w:rPr>
          <w:rFonts w:hint="eastAsia" w:hAnsi="宋体" w:cs="宋体"/>
          <w:b/>
          <w:sz w:val="24"/>
        </w:rPr>
        <w:t>深圳市前海深港现代服务业合作区管理局：</w:t>
      </w:r>
    </w:p>
    <w:p>
      <w:pPr>
        <w:pStyle w:val="10"/>
        <w:spacing w:line="560" w:lineRule="exact"/>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560" w:lineRule="exact"/>
        <w:rPr>
          <w:rFonts w:hint="eastAsia" w:hAnsi="宋体" w:cs="宋体"/>
          <w:sz w:val="24"/>
        </w:rPr>
      </w:pPr>
    </w:p>
    <w:p>
      <w:pPr>
        <w:spacing w:line="560" w:lineRule="exact"/>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560" w:lineRule="exact"/>
        <w:rPr>
          <w:rFonts w:hint="eastAsia" w:ascii="宋体" w:hAnsi="宋体" w:cs="宋体"/>
          <w:sz w:val="24"/>
        </w:rPr>
      </w:pPr>
    </w:p>
    <w:p>
      <w:pPr>
        <w:spacing w:line="560" w:lineRule="exact"/>
        <w:rPr>
          <w:rFonts w:hint="eastAsia" w:ascii="宋体" w:hAnsi="宋体" w:cs="宋体"/>
          <w:sz w:val="24"/>
        </w:rPr>
      </w:pPr>
    </w:p>
    <w:p>
      <w:pPr>
        <w:spacing w:line="560" w:lineRule="exact"/>
        <w:rPr>
          <w:rFonts w:hint="eastAsia" w:ascii="宋体" w:hAnsi="宋体" w:cs="宋体"/>
          <w:sz w:val="24"/>
        </w:rPr>
      </w:pPr>
    </w:p>
    <w:p>
      <w:pPr>
        <w:spacing w:line="560" w:lineRule="exact"/>
        <w:rPr>
          <w:rFonts w:hint="eastAsia" w:ascii="宋体" w:hAnsi="宋体" w:cs="宋体"/>
          <w:sz w:val="24"/>
        </w:rPr>
      </w:pPr>
    </w:p>
    <w:p>
      <w:pPr>
        <w:tabs>
          <w:tab w:val="left" w:pos="3780"/>
        </w:tabs>
        <w:spacing w:line="560" w:lineRule="exact"/>
        <w:rPr>
          <w:rFonts w:hint="eastAsia" w:ascii="宋体" w:hAnsi="宋体" w:cs="宋体"/>
          <w:b/>
          <w:bCs/>
          <w:sz w:val="24"/>
        </w:rPr>
      </w:pPr>
      <w:r>
        <w:rPr>
          <w:rFonts w:hint="eastAsia" w:ascii="宋体" w:hAnsi="宋体" w:cs="宋体"/>
          <w:b/>
          <w:bCs/>
          <w:sz w:val="24"/>
        </w:rPr>
        <w:t>投标供应商（公章）：</w:t>
      </w:r>
    </w:p>
    <w:p>
      <w:pPr>
        <w:tabs>
          <w:tab w:val="left" w:pos="3780"/>
        </w:tabs>
        <w:spacing w:line="560" w:lineRule="exact"/>
        <w:jc w:val="left"/>
        <w:rPr>
          <w:rFonts w:hint="eastAsia" w:ascii="宋体" w:hAnsi="宋体" w:cs="宋体"/>
          <w:b/>
          <w:bCs/>
          <w:sz w:val="24"/>
        </w:rPr>
      </w:pPr>
      <w:r>
        <w:rPr>
          <w:rFonts w:hint="eastAsia" w:ascii="宋体" w:hAnsi="宋体" w:cs="宋体"/>
          <w:b/>
          <w:bCs/>
          <w:sz w:val="24"/>
        </w:rPr>
        <w:t>法定代表人/单位负责人（签字或盖章）：</w:t>
      </w:r>
    </w:p>
    <w:p>
      <w:pPr>
        <w:spacing w:line="560" w:lineRule="exact"/>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560" w:lineRule="exact"/>
        <w:rPr>
          <w:rFonts w:hint="eastAsia" w:ascii="宋体" w:hAnsi="宋体" w:cs="宋体"/>
          <w:b/>
          <w:sz w:val="24"/>
        </w:rPr>
      </w:pPr>
    </w:p>
    <w:p>
      <w:pPr>
        <w:pStyle w:val="6"/>
        <w:spacing w:line="560" w:lineRule="exact"/>
        <w:rPr>
          <w:rFonts w:hint="eastAsia" w:ascii="宋体" w:hAnsi="宋体" w:cs="宋体"/>
          <w:b/>
          <w:sz w:val="24"/>
        </w:rPr>
      </w:pPr>
    </w:p>
    <w:p>
      <w:pPr>
        <w:tabs>
          <w:tab w:val="left" w:pos="640"/>
          <w:tab w:val="left" w:pos="1260"/>
          <w:tab w:val="left" w:pos="1418"/>
        </w:tabs>
        <w:spacing w:line="560" w:lineRule="exact"/>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560" w:lineRule="exact"/>
              <w:rPr>
                <w:rFonts w:ascii="Arial Narrow" w:hAnsi="Arial Narrow"/>
                <w:b/>
                <w:bCs/>
                <w:szCs w:val="21"/>
              </w:rPr>
            </w:pPr>
          </w:p>
        </w:tc>
        <w:tc>
          <w:tcPr>
            <w:tcW w:w="4677" w:type="dxa"/>
          </w:tcPr>
          <w:p>
            <w:pPr>
              <w:pStyle w:val="10"/>
              <w:spacing w:line="560" w:lineRule="exact"/>
              <w:rPr>
                <w:rFonts w:ascii="Arial Narrow" w:hAnsi="Arial Narrow"/>
                <w:b/>
                <w:bCs/>
                <w:szCs w:val="21"/>
              </w:rPr>
            </w:pPr>
          </w:p>
        </w:tc>
      </w:tr>
    </w:tbl>
    <w:p>
      <w:pPr>
        <w:widowControl/>
        <w:autoSpaceDE w:val="0"/>
        <w:autoSpaceDN w:val="0"/>
        <w:spacing w:line="560" w:lineRule="exact"/>
        <w:ind w:left="359" w:right="26" w:hanging="357"/>
        <w:jc w:val="center"/>
        <w:textAlignment w:val="bottom"/>
        <w:rPr>
          <w:rFonts w:hint="eastAsia" w:ascii="宋体" w:hAnsi="宋体" w:cs="宋体"/>
          <w:b/>
          <w:bCs/>
          <w:sz w:val="24"/>
          <w:lang w:val="fr-CH"/>
        </w:rPr>
      </w:pPr>
    </w:p>
    <w:p>
      <w:pPr>
        <w:spacing w:line="560" w:lineRule="exact"/>
        <w:rPr>
          <w:rFonts w:hint="eastAsia" w:ascii="宋体" w:hAnsi="宋体" w:cs="宋体"/>
          <w:b/>
          <w:bCs/>
          <w:sz w:val="24"/>
        </w:rPr>
      </w:pPr>
      <w:r>
        <w:rPr>
          <w:rFonts w:hint="eastAsia" w:ascii="宋体" w:hAnsi="宋体" w:cs="宋体"/>
          <w:b/>
          <w:bCs/>
          <w:sz w:val="24"/>
        </w:rPr>
        <w:br w:type="page"/>
      </w:r>
    </w:p>
    <w:p>
      <w:pPr>
        <w:widowControl/>
        <w:autoSpaceDE w:val="0"/>
        <w:autoSpaceDN w:val="0"/>
        <w:spacing w:line="560" w:lineRule="exact"/>
        <w:ind w:right="26"/>
        <w:jc w:val="center"/>
        <w:textAlignment w:val="bottom"/>
        <w:rPr>
          <w:rFonts w:hint="eastAsia"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560" w:lineRule="exact"/>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560" w:lineRule="exact"/>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560" w:lineRule="exact"/>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560" w:lineRule="exact"/>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560" w:lineRule="exact"/>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560" w:lineRule="exact"/>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560" w:lineRule="exact"/>
        <w:ind w:left="359" w:right="26" w:hanging="357"/>
        <w:textAlignment w:val="bottom"/>
        <w:rPr>
          <w:rFonts w:hint="eastAsia" w:ascii="宋体" w:hAnsi="宋体" w:cs="宋体"/>
          <w:sz w:val="24"/>
        </w:rPr>
      </w:pPr>
      <w:r>
        <w:rPr>
          <w:rFonts w:hint="eastAsia" w:ascii="宋体" w:hAnsi="宋体" w:cs="宋体"/>
          <w:sz w:val="24"/>
        </w:rPr>
        <w:t>传真：</w:t>
      </w:r>
    </w:p>
    <w:p>
      <w:pPr>
        <w:spacing w:line="560" w:lineRule="exact"/>
        <w:jc w:val="left"/>
        <w:rPr>
          <w:rFonts w:hint="eastAsia" w:ascii="宋体" w:hAnsi="宋体" w:cs="宋体"/>
          <w:sz w:val="24"/>
        </w:rPr>
      </w:pPr>
      <w:r>
        <w:rPr>
          <w:rFonts w:hint="eastAsia" w:ascii="宋体" w:hAnsi="宋体" w:cs="宋体"/>
          <w:sz w:val="24"/>
        </w:rPr>
        <w:t>承诺日期：</w:t>
      </w:r>
    </w:p>
    <w:p>
      <w:pPr>
        <w:pStyle w:val="6"/>
        <w:spacing w:line="560" w:lineRule="exact"/>
        <w:rPr>
          <w:lang w:val="fr-CH"/>
        </w:rPr>
      </w:pPr>
    </w:p>
    <w:p>
      <w:pPr>
        <w:tabs>
          <w:tab w:val="left" w:pos="640"/>
          <w:tab w:val="left" w:pos="1260"/>
          <w:tab w:val="left" w:pos="1418"/>
        </w:tabs>
        <w:spacing w:line="560" w:lineRule="exact"/>
        <w:rPr>
          <w:rFonts w:hint="eastAsia" w:ascii="宋体" w:hAnsi="宋体" w:cs="宋体"/>
          <w:sz w:val="24"/>
          <w:lang w:val="fr-CH"/>
        </w:rPr>
      </w:pPr>
    </w:p>
    <w:p>
      <w:pPr>
        <w:tabs>
          <w:tab w:val="left" w:pos="640"/>
          <w:tab w:val="left" w:pos="1260"/>
          <w:tab w:val="left" w:pos="1418"/>
        </w:tabs>
        <w:spacing w:line="560" w:lineRule="exact"/>
        <w:rPr>
          <w:rFonts w:hint="eastAsia" w:ascii="宋体" w:hAnsi="宋体" w:cs="宋体"/>
          <w:sz w:val="24"/>
        </w:rPr>
      </w:pPr>
      <w:r>
        <w:rPr>
          <w:rFonts w:hint="eastAsia" w:ascii="宋体" w:hAnsi="宋体" w:cs="宋体"/>
          <w:sz w:val="24"/>
          <w:lang w:val="fr-CH"/>
        </w:rPr>
        <w:br w:type="page"/>
      </w:r>
    </w:p>
    <w:p>
      <w:pPr>
        <w:widowControl/>
        <w:autoSpaceDE w:val="0"/>
        <w:autoSpaceDN w:val="0"/>
        <w:spacing w:line="560" w:lineRule="exact"/>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w:t>
      </w:r>
    </w:p>
    <w:p>
      <w:pPr>
        <w:pStyle w:val="5"/>
        <w:spacing w:line="5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5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2"/>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pacing w:line="560" w:lineRule="exact"/>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spacing w:line="560" w:lineRule="exact"/>
              <w:jc w:val="center"/>
              <w:rPr>
                <w:rFonts w:hint="eastAsia" w:ascii="宋体" w:hAnsi="宋体" w:cs="宋体"/>
                <w:szCs w:val="21"/>
              </w:rPr>
            </w:pPr>
          </w:p>
        </w:tc>
        <w:tc>
          <w:tcPr>
            <w:tcW w:w="1991" w:type="dxa"/>
            <w:gridSpan w:val="2"/>
            <w:vAlign w:val="center"/>
          </w:tcPr>
          <w:p>
            <w:pPr>
              <w:spacing w:line="560" w:lineRule="exact"/>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spacing w:line="5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spacing w:line="560" w:lineRule="exact"/>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spacing w:line="560" w:lineRule="exact"/>
              <w:jc w:val="center"/>
              <w:rPr>
                <w:rFonts w:hint="eastAsia" w:ascii="宋体" w:hAnsi="宋体" w:cs="宋体"/>
                <w:szCs w:val="21"/>
              </w:rPr>
            </w:pPr>
          </w:p>
        </w:tc>
        <w:tc>
          <w:tcPr>
            <w:tcW w:w="1991" w:type="dxa"/>
            <w:gridSpan w:val="2"/>
            <w:vAlign w:val="center"/>
          </w:tcPr>
          <w:p>
            <w:pPr>
              <w:snapToGrid w:val="0"/>
              <w:spacing w:line="560" w:lineRule="exact"/>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spacing w:line="5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spacing w:line="560" w:lineRule="exact"/>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spacing w:line="560" w:lineRule="exact"/>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spacing w:line="560" w:lineRule="exact"/>
              <w:jc w:val="center"/>
              <w:rPr>
                <w:rFonts w:hint="eastAsia" w:ascii="宋体" w:hAnsi="宋体" w:cs="宋体"/>
                <w:szCs w:val="21"/>
              </w:rPr>
            </w:pPr>
            <w:r>
              <w:rPr>
                <w:rFonts w:hint="eastAsia" w:ascii="宋体" w:hAnsi="宋体" w:cs="宋体"/>
                <w:szCs w:val="21"/>
              </w:rPr>
              <w:t>劳动合同</w:t>
            </w:r>
          </w:p>
          <w:p>
            <w:pPr>
              <w:snapToGrid w:val="0"/>
              <w:spacing w:line="560" w:lineRule="exact"/>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spacing w:line="560" w:lineRule="exact"/>
              <w:jc w:val="center"/>
              <w:rPr>
                <w:rFonts w:hint="eastAsia" w:ascii="宋体" w:hAnsi="宋体" w:cs="宋体"/>
                <w:szCs w:val="21"/>
              </w:rPr>
            </w:pPr>
            <w:r>
              <w:rPr>
                <w:rFonts w:hint="eastAsia" w:ascii="宋体" w:hAnsi="宋体" w:cs="宋体"/>
                <w:szCs w:val="21"/>
              </w:rPr>
              <w:t>缴纳社会</w:t>
            </w:r>
          </w:p>
          <w:p>
            <w:pPr>
              <w:snapToGrid w:val="0"/>
              <w:spacing w:line="560" w:lineRule="exact"/>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spacing w:line="560" w:lineRule="exact"/>
              <w:jc w:val="center"/>
              <w:rPr>
                <w:rFonts w:hint="eastAsia" w:ascii="宋体" w:hAnsi="宋体" w:cs="宋体"/>
                <w:szCs w:val="21"/>
              </w:rPr>
            </w:pPr>
          </w:p>
        </w:tc>
        <w:tc>
          <w:tcPr>
            <w:tcW w:w="1991" w:type="dxa"/>
            <w:gridSpan w:val="2"/>
            <w:tcBorders>
              <w:top w:val="single" w:color="auto" w:sz="4" w:space="0"/>
            </w:tcBorders>
            <w:vAlign w:val="center"/>
          </w:tcPr>
          <w:p>
            <w:pPr>
              <w:spacing w:line="560" w:lineRule="exact"/>
              <w:jc w:val="center"/>
              <w:rPr>
                <w:rFonts w:hint="eastAsia" w:ascii="宋体" w:hAnsi="宋体" w:cs="宋体"/>
                <w:szCs w:val="21"/>
              </w:rPr>
            </w:pPr>
          </w:p>
        </w:tc>
        <w:tc>
          <w:tcPr>
            <w:tcW w:w="1500" w:type="dxa"/>
            <w:tcBorders>
              <w:top w:val="single" w:color="auto" w:sz="4" w:space="0"/>
            </w:tcBorders>
            <w:vAlign w:val="center"/>
          </w:tcPr>
          <w:p>
            <w:pPr>
              <w:spacing w:line="560" w:lineRule="exact"/>
              <w:jc w:val="center"/>
              <w:rPr>
                <w:rFonts w:hint="eastAsia" w:ascii="宋体" w:hAnsi="宋体" w:cs="宋体"/>
                <w:szCs w:val="21"/>
              </w:rPr>
            </w:pPr>
          </w:p>
        </w:tc>
        <w:tc>
          <w:tcPr>
            <w:tcW w:w="1485" w:type="dxa"/>
            <w:tcBorders>
              <w:top w:val="single" w:color="auto" w:sz="4" w:space="0"/>
            </w:tcBorders>
            <w:vAlign w:val="center"/>
          </w:tcPr>
          <w:p>
            <w:pPr>
              <w:spacing w:line="5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spacing w:line="560" w:lineRule="exact"/>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spacing w:line="560" w:lineRule="exact"/>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spacing w:line="560" w:lineRule="exact"/>
              <w:jc w:val="center"/>
              <w:rPr>
                <w:rFonts w:hint="eastAsia" w:ascii="宋体" w:hAnsi="宋体" w:cs="宋体"/>
                <w:szCs w:val="21"/>
              </w:rPr>
            </w:pPr>
          </w:p>
        </w:tc>
        <w:tc>
          <w:tcPr>
            <w:tcW w:w="1991" w:type="dxa"/>
            <w:gridSpan w:val="2"/>
            <w:vAlign w:val="center"/>
          </w:tcPr>
          <w:p>
            <w:pPr>
              <w:spacing w:line="560" w:lineRule="exact"/>
              <w:jc w:val="center"/>
              <w:rPr>
                <w:rFonts w:hint="eastAsia" w:ascii="宋体" w:hAnsi="宋体" w:cs="宋体"/>
                <w:szCs w:val="21"/>
              </w:rPr>
            </w:pPr>
          </w:p>
        </w:tc>
        <w:tc>
          <w:tcPr>
            <w:tcW w:w="1500" w:type="dxa"/>
            <w:vAlign w:val="center"/>
          </w:tcPr>
          <w:p>
            <w:pPr>
              <w:spacing w:line="560" w:lineRule="exact"/>
              <w:jc w:val="center"/>
              <w:rPr>
                <w:rFonts w:hint="eastAsia" w:ascii="宋体" w:hAnsi="宋体" w:cs="宋体"/>
                <w:szCs w:val="21"/>
              </w:rPr>
            </w:pPr>
          </w:p>
        </w:tc>
        <w:tc>
          <w:tcPr>
            <w:tcW w:w="1485" w:type="dxa"/>
            <w:vAlign w:val="center"/>
          </w:tcPr>
          <w:p>
            <w:pPr>
              <w:spacing w:line="5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pacing w:line="560" w:lineRule="exact"/>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spacing w:line="560" w:lineRule="exact"/>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spacing w:line="560" w:lineRule="exact"/>
              <w:jc w:val="center"/>
              <w:rPr>
                <w:rFonts w:hint="eastAsia" w:ascii="宋体" w:hAnsi="宋体" w:cs="宋体"/>
                <w:szCs w:val="21"/>
              </w:rPr>
            </w:pPr>
          </w:p>
        </w:tc>
        <w:tc>
          <w:tcPr>
            <w:tcW w:w="1991" w:type="dxa"/>
            <w:gridSpan w:val="2"/>
            <w:vAlign w:val="center"/>
          </w:tcPr>
          <w:p>
            <w:pPr>
              <w:spacing w:line="560" w:lineRule="exact"/>
              <w:jc w:val="center"/>
              <w:rPr>
                <w:rFonts w:hint="eastAsia" w:ascii="宋体" w:hAnsi="宋体" w:cs="宋体"/>
                <w:szCs w:val="21"/>
              </w:rPr>
            </w:pPr>
          </w:p>
        </w:tc>
        <w:tc>
          <w:tcPr>
            <w:tcW w:w="1500" w:type="dxa"/>
            <w:vAlign w:val="center"/>
          </w:tcPr>
          <w:p>
            <w:pPr>
              <w:spacing w:line="560" w:lineRule="exact"/>
              <w:jc w:val="center"/>
              <w:rPr>
                <w:rFonts w:hint="eastAsia" w:ascii="宋体" w:hAnsi="宋体" w:cs="宋体"/>
                <w:szCs w:val="21"/>
              </w:rPr>
            </w:pPr>
          </w:p>
        </w:tc>
        <w:tc>
          <w:tcPr>
            <w:tcW w:w="1485" w:type="dxa"/>
            <w:vAlign w:val="center"/>
          </w:tcPr>
          <w:p>
            <w:pPr>
              <w:spacing w:line="56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spacing w:line="560" w:lineRule="exact"/>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spacing w:line="560" w:lineRule="exact"/>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pacing w:line="560" w:lineRule="exact"/>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spacing w:line="560" w:lineRule="exact"/>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spacing w:line="560" w:lineRule="exact"/>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spacing w:line="560" w:lineRule="exact"/>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560" w:lineRule="exact"/>
        <w:rPr>
          <w:rFonts w:hint="eastAsia" w:ascii="宋体" w:hAnsi="宋体"/>
        </w:rPr>
      </w:pPr>
    </w:p>
    <w:p>
      <w:pPr>
        <w:tabs>
          <w:tab w:val="left" w:pos="640"/>
          <w:tab w:val="left" w:pos="1260"/>
          <w:tab w:val="left" w:pos="1418"/>
        </w:tabs>
        <w:spacing w:line="560" w:lineRule="exact"/>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560" w:lineRule="exact"/>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1</w:t>
      </w:r>
      <w:r>
        <w:rPr>
          <w:rFonts w:hint="eastAsia" w:ascii="宋体" w:hAnsi="宋体" w:cs="宋体"/>
          <w:b/>
          <w:bCs/>
          <w:sz w:val="24"/>
          <w:lang w:val="fr-CH"/>
        </w:rPr>
        <w:t>、同类项目业绩（格式自拟）</w:t>
      </w:r>
    </w:p>
    <w:p>
      <w:pPr>
        <w:tabs>
          <w:tab w:val="left" w:pos="640"/>
          <w:tab w:val="left" w:pos="1260"/>
          <w:tab w:val="left" w:pos="1418"/>
        </w:tabs>
        <w:spacing w:line="560" w:lineRule="exact"/>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、项目负责人（</w:t>
      </w:r>
      <w:r>
        <w:rPr>
          <w:rFonts w:hint="eastAsia" w:ascii="宋体" w:hAnsi="宋体" w:cs="宋体"/>
          <w:b/>
          <w:bCs/>
          <w:sz w:val="24"/>
        </w:rPr>
        <w:t>仅限1人</w:t>
      </w:r>
      <w:r>
        <w:rPr>
          <w:rFonts w:hint="eastAsia" w:ascii="宋体" w:hAnsi="宋体" w:cs="宋体"/>
          <w:b/>
          <w:bCs/>
          <w:sz w:val="24"/>
          <w:lang w:val="fr-CH"/>
        </w:rPr>
        <w:t>）（格式自拟）</w:t>
      </w:r>
    </w:p>
    <w:p>
      <w:pPr>
        <w:tabs>
          <w:tab w:val="left" w:pos="640"/>
          <w:tab w:val="left" w:pos="1260"/>
          <w:tab w:val="left" w:pos="1418"/>
        </w:tabs>
        <w:spacing w:line="560" w:lineRule="exact"/>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、团队成员（项目负责人除外）（格式自拟）</w:t>
      </w:r>
    </w:p>
    <w:p>
      <w:pPr>
        <w:tabs>
          <w:tab w:val="left" w:pos="640"/>
          <w:tab w:val="left" w:pos="1260"/>
          <w:tab w:val="left" w:pos="1418"/>
        </w:tabs>
        <w:spacing w:line="560" w:lineRule="exact"/>
        <w:rPr>
          <w:rFonts w:hint="eastAsia" w:ascii="宋体" w:hAnsi="宋体" w:cs="宋体"/>
          <w:b/>
          <w:bCs/>
          <w:sz w:val="24"/>
          <w:lang w:val="fr-CH"/>
        </w:rPr>
      </w:pPr>
      <w:r>
        <w:rPr>
          <w:rFonts w:hint="eastAsia" w:ascii="宋体" w:hAnsi="宋体" w:cs="宋体"/>
          <w:b/>
          <w:bCs/>
          <w:sz w:val="24"/>
        </w:rPr>
        <w:t>14、</w:t>
      </w:r>
      <w:r>
        <w:rPr>
          <w:rFonts w:hint="eastAsia" w:ascii="宋体" w:hAnsi="宋体" w:cs="宋体"/>
          <w:b/>
          <w:bCs/>
          <w:sz w:val="24"/>
          <w:lang w:val="fr-CH"/>
        </w:rPr>
        <w:t>投标单位认为有必要提供的其他材料（格式自拟）</w:t>
      </w:r>
    </w:p>
    <w:p>
      <w:pPr>
        <w:rPr>
          <w:rFonts w:hint="eastAsia" w:ascii="宋体" w:hAnsi="宋体" w:cs="宋体"/>
          <w:b/>
          <w:bCs/>
          <w:sz w:val="24"/>
        </w:rPr>
      </w:pPr>
      <w:r>
        <w:rPr>
          <w:rFonts w:hint="eastAsia" w:ascii="宋体" w:hAnsi="宋体" w:cs="宋体"/>
          <w:b/>
          <w:bCs/>
          <w:sz w:val="24"/>
        </w:rPr>
        <w:br w:type="page"/>
      </w:r>
    </w:p>
    <w:p>
      <w:pPr>
        <w:spacing w:line="560" w:lineRule="exact"/>
        <w:outlineLvl w:val="2"/>
        <w:rPr>
          <w:rFonts w:hint="eastAsia" w:ascii="宋体" w:hAnsi="宋体" w:cs="宋体"/>
          <w:b/>
          <w:bCs/>
          <w:sz w:val="24"/>
        </w:rPr>
      </w:pPr>
      <w:r>
        <w:rPr>
          <w:rFonts w:hint="eastAsia" w:ascii="宋体" w:hAnsi="宋体" w:cs="宋体"/>
          <w:b/>
          <w:bCs/>
          <w:sz w:val="24"/>
        </w:rPr>
        <w:t>（三）技术部分</w:t>
      </w:r>
    </w:p>
    <w:p>
      <w:pPr>
        <w:spacing w:after="78" w:line="560" w:lineRule="exact"/>
        <w:jc w:val="center"/>
        <w:rPr>
          <w:rFonts w:hint="eastAsia" w:ascii="宋体" w:hAnsi="宋体" w:cs="宋体"/>
          <w:b/>
          <w:bCs/>
          <w:sz w:val="24"/>
          <w:lang w:val="fr-CH"/>
        </w:rPr>
      </w:pPr>
    </w:p>
    <w:p>
      <w:pPr>
        <w:spacing w:after="78" w:line="560" w:lineRule="exact"/>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560" w:lineRule="exact"/>
        <w:rPr>
          <w:rFonts w:hint="eastAsia" w:ascii="宋体" w:hAnsi="宋体" w:cs="宋体"/>
          <w:sz w:val="24"/>
        </w:rPr>
      </w:pPr>
      <w:r>
        <w:rPr>
          <w:rFonts w:hint="eastAsia" w:ascii="宋体" w:hAnsi="宋体" w:cs="宋体"/>
          <w:sz w:val="24"/>
        </w:rPr>
        <w:t>投标人名称____________________          招标编号____________________</w:t>
      </w:r>
    </w:p>
    <w:p>
      <w:pPr>
        <w:spacing w:after="78" w:line="560" w:lineRule="exact"/>
        <w:rPr>
          <w:rFonts w:hint="eastAsia"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560" w:lineRule="exact"/>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560" w:lineRule="exact"/>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560" w:lineRule="exact"/>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560" w:lineRule="exact"/>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560" w:lineRule="exact"/>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560" w:lineRule="exact"/>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560" w:lineRule="exact"/>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560" w:lineRule="exact"/>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560" w:lineRule="exact"/>
              <w:jc w:val="center"/>
              <w:rPr>
                <w:rFonts w:hint="eastAsia" w:ascii="宋体" w:hAnsi="宋体" w:cs="宋体"/>
                <w:bCs/>
                <w:sz w:val="24"/>
              </w:rPr>
            </w:pPr>
          </w:p>
        </w:tc>
      </w:tr>
    </w:tbl>
    <w:p>
      <w:pPr>
        <w:spacing w:after="78" w:line="560" w:lineRule="exact"/>
        <w:rPr>
          <w:rFonts w:hint="eastAsia" w:ascii="宋体" w:hAnsi="宋体" w:cs="宋体"/>
          <w:bCs/>
          <w:sz w:val="24"/>
        </w:rPr>
      </w:pPr>
    </w:p>
    <w:p>
      <w:pPr>
        <w:spacing w:after="78" w:line="560" w:lineRule="exact"/>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560" w:lineRule="exact"/>
        <w:rPr>
          <w:rFonts w:hint="eastAsia" w:ascii="宋体" w:hAnsi="宋体" w:cs="宋体"/>
          <w:bCs/>
          <w:sz w:val="24"/>
        </w:rPr>
      </w:pPr>
    </w:p>
    <w:p>
      <w:pPr>
        <w:pStyle w:val="10"/>
        <w:spacing w:line="560" w:lineRule="exact"/>
        <w:rPr>
          <w:rFonts w:hint="eastAsia" w:hAnsi="宋体" w:cs="宋体"/>
          <w:bCs/>
          <w:sz w:val="24"/>
        </w:rPr>
      </w:pPr>
    </w:p>
    <w:p>
      <w:pPr>
        <w:pStyle w:val="10"/>
        <w:spacing w:line="560" w:lineRule="exact"/>
        <w:ind w:firstLine="5760" w:firstLineChars="2400"/>
        <w:rPr>
          <w:rFonts w:hint="eastAsia" w:hAnsi="宋体" w:cs="宋体"/>
          <w:bCs/>
          <w:sz w:val="24"/>
        </w:rPr>
      </w:pPr>
      <w:r>
        <w:rPr>
          <w:rFonts w:hint="eastAsia" w:hAnsi="宋体" w:cs="宋体"/>
          <w:bCs/>
          <w:sz w:val="24"/>
        </w:rPr>
        <w:t>供应商：（公章）</w:t>
      </w:r>
    </w:p>
    <w:p>
      <w:pPr>
        <w:spacing w:line="560" w:lineRule="exact"/>
        <w:ind w:firstLine="5589" w:firstLineChars="2329"/>
        <w:rPr>
          <w:lang w:val="fr-CH"/>
        </w:rPr>
      </w:pPr>
      <w:r>
        <w:rPr>
          <w:rFonts w:hint="eastAsia" w:ascii="宋体" w:hAnsi="宋体" w:cs="宋体"/>
          <w:bCs/>
          <w:sz w:val="24"/>
        </w:rPr>
        <w:t>日期：  年   月  日</w:t>
      </w:r>
    </w:p>
    <w:p>
      <w:pPr>
        <w:tabs>
          <w:tab w:val="left" w:pos="640"/>
          <w:tab w:val="left" w:pos="1260"/>
          <w:tab w:val="left" w:pos="1418"/>
        </w:tabs>
        <w:spacing w:line="560" w:lineRule="exact"/>
        <w:rPr>
          <w:rFonts w:hint="eastAsia" w:ascii="宋体" w:hAnsi="宋体" w:cs="宋体"/>
          <w:b/>
          <w:bCs/>
          <w:sz w:val="24"/>
          <w:lang w:val="fr-CH"/>
        </w:rPr>
      </w:pPr>
      <w:r>
        <w:rPr>
          <w:rFonts w:hint="eastAsia" w:ascii="宋体" w:hAnsi="宋体" w:cs="宋体"/>
          <w:b/>
          <w:bCs/>
          <w:sz w:val="24"/>
          <w:lang w:val="fr-CH"/>
        </w:rPr>
        <w:t>2、对项目的整体理解（格式自拟）</w:t>
      </w:r>
    </w:p>
    <w:p>
      <w:pPr>
        <w:tabs>
          <w:tab w:val="left" w:pos="640"/>
          <w:tab w:val="left" w:pos="1260"/>
          <w:tab w:val="left" w:pos="1418"/>
        </w:tabs>
        <w:spacing w:line="560" w:lineRule="exact"/>
        <w:rPr>
          <w:rFonts w:hint="eastAsia" w:ascii="宋体" w:hAnsi="宋体" w:cs="宋体"/>
          <w:b/>
          <w:bCs/>
          <w:sz w:val="24"/>
          <w:lang w:val="fr-CH"/>
        </w:rPr>
      </w:pPr>
      <w:r>
        <w:rPr>
          <w:rFonts w:hint="eastAsia" w:ascii="宋体" w:hAnsi="宋体" w:cs="宋体"/>
          <w:b/>
          <w:bCs/>
          <w:sz w:val="24"/>
          <w:lang w:val="fr-CH"/>
        </w:rPr>
        <w:t>3、项目重点难点分析、应对措施及相关的合理化建议（格式自拟）</w:t>
      </w:r>
    </w:p>
    <w:p>
      <w:pPr>
        <w:tabs>
          <w:tab w:val="left" w:pos="640"/>
          <w:tab w:val="left" w:pos="1260"/>
          <w:tab w:val="left" w:pos="1418"/>
        </w:tabs>
        <w:spacing w:line="560" w:lineRule="exact"/>
        <w:rPr>
          <w:rFonts w:hint="eastAsia" w:ascii="宋体" w:hAnsi="宋体" w:cs="宋体"/>
          <w:b/>
          <w:bCs/>
          <w:sz w:val="24"/>
          <w:lang w:val="fr-CH"/>
        </w:rPr>
      </w:pPr>
      <w:r>
        <w:rPr>
          <w:rFonts w:hint="eastAsia" w:ascii="宋体" w:hAnsi="宋体" w:cs="宋体"/>
          <w:b/>
          <w:bCs/>
          <w:sz w:val="24"/>
          <w:lang w:val="fr-CH"/>
        </w:rPr>
        <w:t>4、编制研究方法及思路（格式自拟）</w:t>
      </w:r>
    </w:p>
    <w:p>
      <w:pPr>
        <w:spacing w:line="560" w:lineRule="exact"/>
        <w:rPr>
          <w:rFonts w:hint="eastAsia" w:ascii="宋体" w:hAnsi="宋体" w:cs="宋体"/>
          <w:b/>
          <w:bCs/>
          <w:sz w:val="24"/>
          <w:lang w:val="fr-CH"/>
        </w:rPr>
      </w:pPr>
      <w:r>
        <w:rPr>
          <w:rFonts w:hint="eastAsia" w:ascii="宋体" w:hAnsi="宋体" w:cs="宋体"/>
          <w:b/>
          <w:bCs/>
          <w:sz w:val="24"/>
        </w:rPr>
        <w:t>5</w:t>
      </w:r>
      <w:r>
        <w:rPr>
          <w:rFonts w:hint="eastAsia" w:ascii="宋体" w:hAnsi="宋体" w:cs="宋体"/>
          <w:b/>
          <w:bCs/>
          <w:sz w:val="24"/>
          <w:lang w:val="fr-CH"/>
        </w:rPr>
        <w:t>、成果预设（格式自拟）</w:t>
      </w:r>
    </w:p>
    <w:p>
      <w:pPr>
        <w:spacing w:line="560" w:lineRule="exact"/>
        <w:rPr>
          <w:rFonts w:hint="eastAsia" w:ascii="宋体" w:hAnsi="宋体" w:cs="宋体"/>
          <w:b/>
          <w:bCs/>
          <w:sz w:val="24"/>
          <w:lang w:val="fr-CH"/>
        </w:rPr>
      </w:pPr>
      <w:r>
        <w:rPr>
          <w:rFonts w:hint="eastAsia" w:ascii="宋体" w:hAnsi="宋体" w:cs="宋体"/>
          <w:b/>
          <w:bCs/>
          <w:sz w:val="24"/>
        </w:rPr>
        <w:t>6、</w:t>
      </w:r>
      <w:r>
        <w:rPr>
          <w:rFonts w:hint="eastAsia" w:ascii="宋体" w:hAnsi="宋体" w:cs="宋体"/>
          <w:b/>
          <w:bCs/>
          <w:sz w:val="24"/>
          <w:lang w:val="fr-CH"/>
        </w:rPr>
        <w:t>项目进度计划</w:t>
      </w:r>
    </w:p>
    <w:p>
      <w:pPr>
        <w:rPr>
          <w:rFonts w:hint="eastAsia" w:ascii="宋体" w:hAnsi="宋体" w:cs="宋体"/>
          <w:b/>
          <w:bCs/>
          <w:sz w:val="24"/>
        </w:rPr>
      </w:pPr>
      <w:r>
        <w:rPr>
          <w:rFonts w:hint="eastAsia" w:ascii="宋体" w:hAnsi="宋体" w:cs="宋体"/>
          <w:b/>
          <w:bCs/>
          <w:sz w:val="24"/>
        </w:rPr>
        <w:br w:type="page"/>
      </w:r>
    </w:p>
    <w:p>
      <w:pPr>
        <w:spacing w:line="560" w:lineRule="exact"/>
        <w:rPr>
          <w:rFonts w:hint="eastAsia" w:ascii="宋体" w:hAnsi="宋体" w:cs="宋体"/>
          <w:b/>
          <w:bCs/>
          <w:sz w:val="24"/>
          <w:lang w:val="fr-CH"/>
        </w:rPr>
      </w:pPr>
      <w:r>
        <w:rPr>
          <w:rFonts w:hint="eastAsia" w:ascii="宋体" w:hAnsi="宋体" w:cs="宋体"/>
          <w:b/>
          <w:bCs/>
          <w:sz w:val="24"/>
        </w:rPr>
        <w:t>7、</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560" w:lineRule="exact"/>
        <w:jc w:val="left"/>
        <w:rPr>
          <w:rFonts w:hint="eastAsia" w:ascii="宋体" w:hAnsi="宋体"/>
          <w:szCs w:val="21"/>
        </w:rPr>
      </w:pPr>
      <w:r>
        <w:rPr>
          <w:rFonts w:hint="eastAsia" w:ascii="宋体" w:hAnsi="宋体"/>
          <w:szCs w:val="21"/>
        </w:rPr>
        <w:t>1、最近三年本公司牵涉的主要诉讼案件</w:t>
      </w:r>
    </w:p>
    <w:p>
      <w:pPr>
        <w:spacing w:line="560" w:lineRule="exact"/>
        <w:jc w:val="left"/>
        <w:rPr>
          <w:rFonts w:hint="eastAsia" w:ascii="宋体" w:hAnsi="宋体"/>
        </w:rPr>
      </w:pPr>
      <w:r>
        <w:rPr>
          <w:rFonts w:hint="eastAsia" w:ascii="宋体" w:hAnsi="宋体"/>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560" w:lineRule="exact"/>
        <w:jc w:val="left"/>
        <w:rPr>
          <w:rFonts w:hint="eastAsia" w:ascii="宋体" w:hAnsi="宋体"/>
          <w:b/>
          <w:bCs/>
        </w:rPr>
      </w:pPr>
      <w:r>
        <w:rPr>
          <w:rFonts w:hint="eastAsia" w:ascii="宋体" w:hAnsi="宋体"/>
          <w:b/>
          <w:bCs/>
        </w:rPr>
        <w:t>注：</w:t>
      </w:r>
    </w:p>
    <w:p>
      <w:pPr>
        <w:spacing w:line="56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56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560" w:lineRule="exact"/>
        <w:jc w:val="left"/>
        <w:rPr>
          <w:rFonts w:hint="eastAsia" w:ascii="宋体" w:hAnsi="宋体"/>
        </w:rPr>
      </w:pPr>
      <w:r>
        <w:rPr>
          <w:rFonts w:hint="eastAsia" w:ascii="宋体" w:hAnsi="宋体"/>
        </w:rPr>
        <w:t>（3）若为退休人员，提供退休证明。</w:t>
      </w:r>
    </w:p>
    <w:p>
      <w:pPr>
        <w:spacing w:line="560" w:lineRule="exact"/>
        <w:jc w:val="left"/>
        <w:rPr>
          <w:rFonts w:hint="eastAsia" w:ascii="宋体" w:hAnsi="宋体"/>
        </w:rPr>
      </w:pPr>
      <w:r>
        <w:rPr>
          <w:rFonts w:hint="eastAsia" w:ascii="宋体" w:hAnsi="宋体"/>
        </w:rPr>
        <w:t>（4）如依法不需要缴纳社会保险的，应提供相应文件证明。</w:t>
      </w:r>
    </w:p>
    <w:p>
      <w:pPr>
        <w:spacing w:line="56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560" w:lineRule="exact"/>
        <w:jc w:val="left"/>
        <w:rPr>
          <w:rFonts w:hint="eastAsia" w:ascii="宋体" w:hAnsi="宋体"/>
        </w:rPr>
      </w:pPr>
      <w:r>
        <w:rPr>
          <w:rFonts w:hint="eastAsia" w:ascii="宋体" w:hAnsi="宋体"/>
        </w:rPr>
        <w:t>（5）如本项目未安排项目投标授权代表人、项目负责人、主要技术人员的，无需提供投标授权代表人、项目负责人、主要技术人员的社保。</w:t>
      </w:r>
    </w:p>
    <w:p>
      <w:pPr>
        <w:spacing w:line="560" w:lineRule="exact"/>
        <w:jc w:val="left"/>
        <w:rPr>
          <w:rFonts w:hint="eastAsia" w:ascii="宋体" w:hAnsi="宋体"/>
        </w:rPr>
      </w:pPr>
      <w:r>
        <w:rPr>
          <w:rFonts w:hint="eastAsia" w:ascii="宋体" w:hAnsi="宋体"/>
        </w:rPr>
        <w:t>（7）如是联合体投标的，需提供各方的。</w:t>
      </w:r>
    </w:p>
    <w:p>
      <w:pPr>
        <w:tabs>
          <w:tab w:val="left" w:pos="640"/>
          <w:tab w:val="left" w:pos="1260"/>
          <w:tab w:val="left" w:pos="1418"/>
        </w:tabs>
        <w:spacing w:line="560" w:lineRule="exact"/>
        <w:rPr>
          <w:rFonts w:hint="eastAsia" w:ascii="宋体" w:hAnsi="宋体"/>
          <w:szCs w:val="21"/>
        </w:rPr>
      </w:pPr>
    </w:p>
    <w:p>
      <w:pPr>
        <w:tabs>
          <w:tab w:val="left" w:pos="640"/>
          <w:tab w:val="left" w:pos="1260"/>
          <w:tab w:val="left" w:pos="1418"/>
        </w:tabs>
        <w:spacing w:line="560" w:lineRule="exact"/>
        <w:rPr>
          <w:rFonts w:hint="eastAsia" w:ascii="宋体" w:hAnsi="宋体"/>
          <w:szCs w:val="21"/>
        </w:rPr>
      </w:pPr>
      <w:r>
        <w:rPr>
          <w:rFonts w:hint="eastAsia" w:ascii="宋体" w:hAnsi="宋体"/>
          <w:szCs w:val="21"/>
        </w:rPr>
        <w:t>3、其他招标文件要求和投标人认为有必要的内容</w:t>
      </w:r>
    </w:p>
    <w:p>
      <w:pPr>
        <w:tabs>
          <w:tab w:val="left" w:pos="640"/>
          <w:tab w:val="left" w:pos="1260"/>
          <w:tab w:val="left" w:pos="1418"/>
        </w:tabs>
        <w:spacing w:line="560" w:lineRule="exact"/>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560" w:lineRule="exact"/>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27"/>
      <w:bookmarkStart w:id="33" w:name="_Toc3166"/>
      <w:bookmarkStart w:id="34" w:name="_Toc6251"/>
      <w:r>
        <w:rPr>
          <w:rFonts w:hint="eastAsia" w:ascii="宋体" w:hAnsi="宋体" w:cs="宋体"/>
          <w:b/>
          <w:bCs/>
          <w:sz w:val="24"/>
        </w:rPr>
        <w:t>附件：相关政策</w:t>
      </w:r>
      <w:bookmarkEnd w:id="33"/>
      <w:bookmarkEnd w:id="34"/>
    </w:p>
    <w:p>
      <w:pPr>
        <w:tabs>
          <w:tab w:val="left" w:pos="360"/>
        </w:tabs>
        <w:spacing w:line="560" w:lineRule="exact"/>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560" w:lineRule="exact"/>
        <w:rPr>
          <w:rFonts w:hint="eastAsia" w:ascii="宋体" w:hAnsi="宋体" w:cs="宋体"/>
          <w:sz w:val="24"/>
        </w:rPr>
      </w:pPr>
    </w:p>
    <w:p>
      <w:pPr>
        <w:widowControl/>
        <w:shd w:val="clear" w:color="auto" w:fill="FFFFFF"/>
        <w:spacing w:line="560" w:lineRule="exact"/>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560" w:lineRule="exact"/>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560" w:lineRule="exact"/>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560" w:lineRule="exact"/>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560" w:lineRule="exact"/>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560" w:lineRule="exact"/>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560" w:lineRule="exact"/>
        <w:jc w:val="left"/>
        <w:rPr>
          <w:rFonts w:hint="eastAsia" w:ascii="宋体" w:hAnsi="宋体" w:cs="宋体"/>
          <w:kern w:val="0"/>
          <w:sz w:val="24"/>
        </w:rPr>
      </w:pPr>
    </w:p>
    <w:p>
      <w:pPr>
        <w:spacing w:line="560" w:lineRule="exact"/>
        <w:rPr>
          <w:rFonts w:hint="eastAsia" w:ascii="宋体" w:hAnsi="宋体" w:cs="宋体"/>
          <w:b/>
          <w:bCs/>
          <w:sz w:val="24"/>
        </w:rPr>
      </w:pPr>
      <w:r>
        <w:rPr>
          <w:rFonts w:hint="eastAsia" w:ascii="宋体" w:hAnsi="宋体" w:cs="宋体"/>
          <w:b/>
          <w:bCs/>
          <w:sz w:val="24"/>
        </w:rPr>
        <w:br w:type="page"/>
      </w:r>
    </w:p>
    <w:p>
      <w:pPr>
        <w:spacing w:line="560" w:lineRule="exact"/>
        <w:jc w:val="center"/>
        <w:rPr>
          <w:rFonts w:hint="eastAsia"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560" w:lineRule="exact"/>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560" w:lineRule="exact"/>
        <w:rPr>
          <w:rFonts w:hint="eastAsia" w:ascii="宋体" w:hAnsi="宋体" w:cs="宋体"/>
          <w:sz w:val="24"/>
        </w:rPr>
      </w:pP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560" w:lineRule="exact"/>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560" w:lineRule="exact"/>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560" w:lineRule="exact"/>
        <w:jc w:val="center"/>
        <w:rPr>
          <w:rFonts w:hint="eastAsia"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560" w:lineRule="exact"/>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560" w:lineRule="exact"/>
        <w:ind w:left="4200" w:leftChars="2000"/>
        <w:rPr>
          <w:rFonts w:hint="eastAsia"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560" w:lineRule="exact"/>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560" w:lineRule="exact"/>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560" w:lineRule="exact"/>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560" w:lineRule="exact"/>
        <w:ind w:left="4200" w:leftChars="2000"/>
        <w:rPr>
          <w:rFonts w:hint="eastAsia" w:ascii="宋体" w:hAnsi="宋体" w:cs="宋体"/>
          <w:spacing w:val="-2"/>
          <w:sz w:val="24"/>
        </w:rPr>
      </w:pPr>
    </w:p>
    <w:p>
      <w:pPr>
        <w:pStyle w:val="6"/>
        <w:tabs>
          <w:tab w:val="left" w:pos="562"/>
          <w:tab w:val="left" w:pos="3372"/>
          <w:tab w:val="left" w:pos="3653"/>
        </w:tabs>
        <w:spacing w:line="560" w:lineRule="exact"/>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560" w:lineRule="exact"/>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spacing w:line="560" w:lineRule="exact"/>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spacing w:line="560" w:lineRule="exact"/>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spacing w:line="560" w:lineRule="exact"/>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spacing w:line="560" w:lineRule="exact"/>
        <w:jc w:val="center"/>
        <w:rPr>
          <w:rFonts w:hint="eastAsia" w:ascii="宋体" w:hAnsi="宋体" w:cs="宋体"/>
          <w:b/>
          <w:bCs/>
          <w:sz w:val="24"/>
        </w:rPr>
      </w:pPr>
      <w:r>
        <w:rPr>
          <w:rFonts w:hint="eastAsia" w:ascii="宋体" w:hAnsi="宋体" w:cs="宋体"/>
          <w:b/>
          <w:bCs/>
          <w:sz w:val="24"/>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spacing w:line="560" w:lineRule="exact"/>
              <w:jc w:val="center"/>
              <w:rPr>
                <w:rFonts w:hint="eastAsia"/>
                <w:b/>
                <w:sz w:val="24"/>
                <w:szCs w:val="24"/>
              </w:rPr>
            </w:pPr>
            <w:r>
              <w:rPr>
                <w:rFonts w:hint="eastAsia"/>
                <w:b/>
                <w:sz w:val="24"/>
                <w:szCs w:val="24"/>
              </w:rPr>
              <w:t>序号</w:t>
            </w:r>
          </w:p>
        </w:tc>
        <w:tc>
          <w:tcPr>
            <w:tcW w:w="1866" w:type="dxa"/>
            <w:vAlign w:val="center"/>
          </w:tcPr>
          <w:p>
            <w:pPr>
              <w:pStyle w:val="31"/>
              <w:spacing w:line="560" w:lineRule="exact"/>
              <w:jc w:val="center"/>
              <w:rPr>
                <w:rFonts w:hint="eastAsia"/>
                <w:b/>
                <w:sz w:val="24"/>
                <w:szCs w:val="24"/>
              </w:rPr>
            </w:pPr>
            <w:r>
              <w:rPr>
                <w:rFonts w:hint="eastAsia"/>
                <w:b/>
                <w:sz w:val="24"/>
                <w:szCs w:val="24"/>
              </w:rPr>
              <w:t>项目名称</w:t>
            </w:r>
          </w:p>
        </w:tc>
        <w:tc>
          <w:tcPr>
            <w:tcW w:w="2010" w:type="dxa"/>
            <w:vAlign w:val="center"/>
          </w:tcPr>
          <w:p>
            <w:pPr>
              <w:pStyle w:val="31"/>
              <w:spacing w:line="560" w:lineRule="exact"/>
              <w:jc w:val="center"/>
              <w:rPr>
                <w:rFonts w:hint="eastAsia"/>
                <w:b/>
                <w:sz w:val="24"/>
                <w:szCs w:val="24"/>
              </w:rPr>
            </w:pPr>
            <w:r>
              <w:rPr>
                <w:rFonts w:hint="eastAsia"/>
                <w:b/>
                <w:sz w:val="24"/>
                <w:szCs w:val="24"/>
              </w:rPr>
              <w:t>预留选项</w:t>
            </w:r>
          </w:p>
        </w:tc>
        <w:tc>
          <w:tcPr>
            <w:tcW w:w="2296" w:type="dxa"/>
            <w:vAlign w:val="center"/>
          </w:tcPr>
          <w:p>
            <w:pPr>
              <w:pStyle w:val="31"/>
              <w:spacing w:line="560" w:lineRule="exact"/>
              <w:jc w:val="center"/>
              <w:rPr>
                <w:rFonts w:hint="eastAsia"/>
                <w:b/>
                <w:sz w:val="24"/>
                <w:szCs w:val="24"/>
              </w:rPr>
            </w:pPr>
            <w:r>
              <w:rPr>
                <w:rFonts w:hint="eastAsia"/>
                <w:b/>
                <w:sz w:val="24"/>
                <w:szCs w:val="24"/>
              </w:rPr>
              <w:t>面向中小企业采购金额</w:t>
            </w:r>
          </w:p>
        </w:tc>
        <w:tc>
          <w:tcPr>
            <w:tcW w:w="1784" w:type="dxa"/>
            <w:vAlign w:val="center"/>
          </w:tcPr>
          <w:p>
            <w:pPr>
              <w:pStyle w:val="31"/>
              <w:spacing w:line="560" w:lineRule="exact"/>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1"/>
              <w:spacing w:line="560" w:lineRule="exact"/>
              <w:jc w:val="center"/>
              <w:rPr>
                <w:rFonts w:hint="eastAsia"/>
                <w:sz w:val="24"/>
                <w:szCs w:val="24"/>
              </w:rPr>
            </w:pPr>
          </w:p>
        </w:tc>
        <w:tc>
          <w:tcPr>
            <w:tcW w:w="1866" w:type="dxa"/>
            <w:tcBorders>
              <w:bottom w:val="nil"/>
            </w:tcBorders>
            <w:vAlign w:val="center"/>
          </w:tcPr>
          <w:p>
            <w:pPr>
              <w:pStyle w:val="31"/>
              <w:spacing w:line="560" w:lineRule="exact"/>
              <w:jc w:val="center"/>
              <w:rPr>
                <w:rFonts w:hint="eastAsia"/>
                <w:sz w:val="24"/>
                <w:szCs w:val="24"/>
              </w:rPr>
            </w:pPr>
          </w:p>
        </w:tc>
        <w:tc>
          <w:tcPr>
            <w:tcW w:w="2010" w:type="dxa"/>
            <w:tcBorders>
              <w:bottom w:val="nil"/>
            </w:tcBorders>
            <w:vAlign w:val="center"/>
          </w:tcPr>
          <w:p>
            <w:pPr>
              <w:pStyle w:val="31"/>
              <w:spacing w:line="560" w:lineRule="exact"/>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1"/>
              <w:spacing w:line="560" w:lineRule="exact"/>
              <w:jc w:val="center"/>
              <w:rPr>
                <w:rFonts w:hint="eastAsia"/>
                <w:sz w:val="24"/>
                <w:szCs w:val="24"/>
              </w:rPr>
            </w:pPr>
          </w:p>
        </w:tc>
        <w:tc>
          <w:tcPr>
            <w:tcW w:w="1784" w:type="dxa"/>
            <w:vMerge w:val="restart"/>
            <w:vAlign w:val="center"/>
          </w:tcPr>
          <w:p>
            <w:pPr>
              <w:pStyle w:val="31"/>
              <w:spacing w:line="560" w:lineRule="exact"/>
              <w:jc w:val="center"/>
              <w:rPr>
                <w:rFonts w:hint="eastAsia"/>
                <w:sz w:val="24"/>
                <w:szCs w:val="24"/>
              </w:rPr>
            </w:pPr>
          </w:p>
          <w:p>
            <w:pPr>
              <w:pStyle w:val="31"/>
              <w:spacing w:line="560" w:lineRule="exact"/>
              <w:jc w:val="center"/>
              <w:rPr>
                <w:rFonts w:hint="eastAsia"/>
                <w:sz w:val="24"/>
                <w:szCs w:val="24"/>
              </w:rPr>
            </w:pPr>
          </w:p>
          <w:p>
            <w:pPr>
              <w:pStyle w:val="31"/>
              <w:spacing w:line="560" w:lineRule="exact"/>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1"/>
              <w:spacing w:line="560" w:lineRule="exact"/>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bottom w:val="nil"/>
            </w:tcBorders>
            <w:vAlign w:val="center"/>
          </w:tcPr>
          <w:p>
            <w:pPr>
              <w:pStyle w:val="31"/>
              <w:spacing w:line="560" w:lineRule="exact"/>
              <w:jc w:val="center"/>
              <w:rPr>
                <w:rFonts w:hint="eastAsia"/>
                <w:sz w:val="24"/>
                <w:szCs w:val="24"/>
              </w:rPr>
            </w:pPr>
          </w:p>
        </w:tc>
        <w:tc>
          <w:tcPr>
            <w:tcW w:w="2010" w:type="dxa"/>
            <w:tcBorders>
              <w:top w:val="nil"/>
              <w:bottom w:val="nil"/>
            </w:tcBorders>
            <w:vAlign w:val="center"/>
          </w:tcPr>
          <w:p>
            <w:pPr>
              <w:pStyle w:val="31"/>
              <w:spacing w:line="560" w:lineRule="exact"/>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hint="eastAsia" w:ascii="宋体" w:hAnsi="宋体" w:cs="宋体"/>
                <w:sz w:val="24"/>
              </w:rPr>
            </w:pPr>
          </w:p>
        </w:tc>
        <w:tc>
          <w:tcPr>
            <w:tcW w:w="1866" w:type="dxa"/>
            <w:tcBorders>
              <w:top w:val="nil"/>
            </w:tcBorders>
            <w:vAlign w:val="center"/>
          </w:tcPr>
          <w:p>
            <w:pPr>
              <w:pStyle w:val="31"/>
              <w:spacing w:line="560" w:lineRule="exact"/>
              <w:jc w:val="center"/>
              <w:rPr>
                <w:rFonts w:hint="eastAsia"/>
                <w:sz w:val="24"/>
                <w:szCs w:val="24"/>
              </w:rPr>
            </w:pPr>
          </w:p>
        </w:tc>
        <w:tc>
          <w:tcPr>
            <w:tcW w:w="2010" w:type="dxa"/>
            <w:tcBorders>
              <w:top w:val="nil"/>
            </w:tcBorders>
            <w:vAlign w:val="center"/>
          </w:tcPr>
          <w:p>
            <w:pPr>
              <w:pStyle w:val="31"/>
              <w:spacing w:line="560" w:lineRule="exact"/>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1"/>
              <w:spacing w:line="560" w:lineRule="exact"/>
              <w:jc w:val="center"/>
              <w:rPr>
                <w:rFonts w:hint="eastAsia"/>
                <w:sz w:val="24"/>
                <w:szCs w:val="24"/>
              </w:rPr>
            </w:pPr>
          </w:p>
        </w:tc>
        <w:tc>
          <w:tcPr>
            <w:tcW w:w="1784" w:type="dxa"/>
            <w:vMerge w:val="continue"/>
            <w:tcBorders>
              <w:top w:val="nil"/>
            </w:tcBorders>
            <w:vAlign w:val="center"/>
          </w:tcPr>
          <w:p>
            <w:pPr>
              <w:spacing w:line="56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spacing w:line="560" w:lineRule="exact"/>
              <w:jc w:val="center"/>
              <w:rPr>
                <w:rFonts w:hint="eastAsia"/>
                <w:sz w:val="24"/>
                <w:szCs w:val="24"/>
              </w:rPr>
            </w:pPr>
            <w:r>
              <w:rPr>
                <w:rFonts w:hint="eastAsia"/>
                <w:sz w:val="24"/>
                <w:szCs w:val="24"/>
              </w:rPr>
              <w:t>……</w:t>
            </w:r>
          </w:p>
        </w:tc>
        <w:tc>
          <w:tcPr>
            <w:tcW w:w="1866" w:type="dxa"/>
            <w:vAlign w:val="center"/>
          </w:tcPr>
          <w:p>
            <w:pPr>
              <w:pStyle w:val="31"/>
              <w:spacing w:line="560" w:lineRule="exact"/>
              <w:jc w:val="center"/>
              <w:rPr>
                <w:rFonts w:hint="eastAsia"/>
                <w:sz w:val="24"/>
                <w:szCs w:val="24"/>
              </w:rPr>
            </w:pPr>
            <w:r>
              <w:rPr>
                <w:rFonts w:hint="eastAsia"/>
                <w:sz w:val="24"/>
                <w:szCs w:val="24"/>
              </w:rPr>
              <w:t>……</w:t>
            </w:r>
          </w:p>
        </w:tc>
        <w:tc>
          <w:tcPr>
            <w:tcW w:w="2010" w:type="dxa"/>
            <w:vAlign w:val="center"/>
          </w:tcPr>
          <w:p>
            <w:pPr>
              <w:pStyle w:val="31"/>
              <w:spacing w:line="560" w:lineRule="exact"/>
              <w:jc w:val="center"/>
              <w:rPr>
                <w:rFonts w:hint="eastAsia"/>
                <w:sz w:val="24"/>
                <w:szCs w:val="24"/>
              </w:rPr>
            </w:pPr>
            <w:r>
              <w:rPr>
                <w:rFonts w:hint="eastAsia"/>
                <w:sz w:val="24"/>
                <w:szCs w:val="24"/>
              </w:rPr>
              <w:t>……</w:t>
            </w:r>
          </w:p>
        </w:tc>
        <w:tc>
          <w:tcPr>
            <w:tcW w:w="2296" w:type="dxa"/>
            <w:vAlign w:val="center"/>
          </w:tcPr>
          <w:p>
            <w:pPr>
              <w:pStyle w:val="31"/>
              <w:spacing w:line="560" w:lineRule="exact"/>
              <w:jc w:val="center"/>
              <w:rPr>
                <w:rFonts w:hint="eastAsia"/>
                <w:sz w:val="24"/>
                <w:szCs w:val="24"/>
              </w:rPr>
            </w:pPr>
            <w:r>
              <w:rPr>
                <w:rFonts w:hint="eastAsia"/>
                <w:sz w:val="24"/>
                <w:szCs w:val="24"/>
              </w:rPr>
              <w:t>……</w:t>
            </w:r>
          </w:p>
        </w:tc>
        <w:tc>
          <w:tcPr>
            <w:tcW w:w="1784" w:type="dxa"/>
            <w:vAlign w:val="center"/>
          </w:tcPr>
          <w:p>
            <w:pPr>
              <w:pStyle w:val="31"/>
              <w:spacing w:line="560" w:lineRule="exact"/>
              <w:jc w:val="center"/>
              <w:rPr>
                <w:rFonts w:hint="eastAsia"/>
                <w:sz w:val="24"/>
                <w:szCs w:val="24"/>
              </w:rPr>
            </w:pPr>
            <w:r>
              <w:rPr>
                <w:rFonts w:hint="eastAsia"/>
                <w:sz w:val="24"/>
                <w:szCs w:val="24"/>
              </w:rPr>
              <w:t>……</w:t>
            </w:r>
          </w:p>
        </w:tc>
      </w:tr>
    </w:tbl>
    <w:p>
      <w:pPr>
        <w:pStyle w:val="6"/>
        <w:tabs>
          <w:tab w:val="left" w:pos="562"/>
          <w:tab w:val="left" w:pos="3372"/>
          <w:tab w:val="left" w:pos="3653"/>
        </w:tabs>
        <w:spacing w:before="128" w:line="560" w:lineRule="exact"/>
        <w:ind w:left="4220" w:right="1843"/>
        <w:rPr>
          <w:rFonts w:hint="eastAsia" w:ascii="宋体" w:hAnsi="宋体" w:cs="宋体"/>
          <w:sz w:val="24"/>
        </w:rPr>
      </w:pPr>
    </w:p>
    <w:p>
      <w:pPr>
        <w:pStyle w:val="6"/>
        <w:tabs>
          <w:tab w:val="left" w:pos="562"/>
          <w:tab w:val="left" w:pos="3372"/>
          <w:tab w:val="left" w:pos="3653"/>
        </w:tabs>
        <w:spacing w:before="128" w:line="560" w:lineRule="exact"/>
        <w:ind w:left="4220" w:right="1843"/>
        <w:rPr>
          <w:rFonts w:hint="eastAsia"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before="128" w:line="560" w:lineRule="exact"/>
        <w:ind w:left="4220" w:right="1843"/>
        <w:rPr>
          <w:rFonts w:hint="eastAsia" w:ascii="宋体" w:hAnsi="宋体" w:cs="宋体"/>
          <w:sz w:val="24"/>
        </w:rPr>
      </w:pPr>
      <w:r>
        <w:rPr>
          <w:rFonts w:hint="eastAsia" w:ascii="宋体" w:hAnsi="宋体" w:cs="宋体"/>
          <w:sz w:val="24"/>
        </w:rPr>
        <w:t>日期：</w:t>
      </w:r>
    </w:p>
    <w:p>
      <w:pPr>
        <w:pStyle w:val="6"/>
        <w:tabs>
          <w:tab w:val="left" w:pos="562"/>
          <w:tab w:val="left" w:pos="3372"/>
          <w:tab w:val="left" w:pos="3653"/>
        </w:tabs>
        <w:spacing w:line="560" w:lineRule="exact"/>
        <w:rPr>
          <w:rFonts w:hint="eastAsia" w:ascii="宋体" w:hAnsi="宋体" w:cs="宋体"/>
          <w:sz w:val="24"/>
        </w:rPr>
      </w:pPr>
    </w:p>
    <w:p>
      <w:pPr>
        <w:pStyle w:val="18"/>
        <w:spacing w:line="560" w:lineRule="exact"/>
        <w:jc w:val="both"/>
        <w:outlineLvl w:val="9"/>
        <w:rPr>
          <w:rFonts w:hint="eastAsia" w:ascii="宋体" w:hAnsi="宋体" w:eastAsia="宋体" w:cs="宋体"/>
          <w:sz w:val="24"/>
          <w:szCs w:val="24"/>
        </w:rPr>
      </w:pPr>
    </w:p>
    <w:p>
      <w:pPr>
        <w:tabs>
          <w:tab w:val="left" w:pos="360"/>
        </w:tabs>
        <w:spacing w:line="560" w:lineRule="exact"/>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bookmarkStart w:id="37" w:name="_GoBack"/>
      <w:bookmarkEnd w:id="37"/>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line="560" w:lineRule="exact"/>
        <w:rPr>
          <w:rFonts w:hint="eastAsia" w:ascii="宋体" w:hAnsi="宋体" w:cs="宋体"/>
          <w:sz w:val="24"/>
        </w:rPr>
      </w:pPr>
    </w:p>
    <w:p>
      <w:pPr>
        <w:spacing w:line="560" w:lineRule="exact"/>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560" w:lineRule="exact"/>
        <w:jc w:val="center"/>
        <w:rPr>
          <w:rFonts w:hint="eastAsia" w:ascii="宋体" w:hAnsi="宋体" w:cs="宋体"/>
          <w:sz w:val="24"/>
        </w:rPr>
      </w:pPr>
      <w:r>
        <w:rPr>
          <w:rFonts w:hint="eastAsia" w:ascii="宋体" w:hAnsi="宋体" w:cs="宋体"/>
          <w:sz w:val="24"/>
        </w:rPr>
        <w:t>工信部联企业〔2011〕300号</w:t>
      </w:r>
    </w:p>
    <w:p>
      <w:pPr>
        <w:spacing w:line="560" w:lineRule="exact"/>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560" w:lineRule="exact"/>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60" w:lineRule="exact"/>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560" w:lineRule="exact"/>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560" w:lineRule="exact"/>
        <w:ind w:firstLine="480" w:firstLineChars="200"/>
        <w:jc w:val="right"/>
        <w:rPr>
          <w:rFonts w:hint="eastAsia" w:ascii="宋体" w:hAnsi="宋体" w:cs="宋体"/>
          <w:sz w:val="24"/>
        </w:rPr>
      </w:pPr>
      <w:r>
        <w:rPr>
          <w:rFonts w:hint="eastAsia" w:ascii="宋体" w:hAnsi="宋体" w:cs="宋体"/>
          <w:sz w:val="24"/>
        </w:rPr>
        <w:t>二○一一年六月十八日</w:t>
      </w:r>
    </w:p>
    <w:p>
      <w:pPr>
        <w:spacing w:line="560" w:lineRule="exact"/>
        <w:ind w:firstLine="480" w:firstLineChars="200"/>
        <w:rPr>
          <w:rFonts w:hint="eastAsia" w:ascii="宋体" w:hAnsi="宋体" w:cs="宋体"/>
          <w:sz w:val="24"/>
        </w:rPr>
      </w:pPr>
    </w:p>
    <w:p>
      <w:pPr>
        <w:pStyle w:val="6"/>
        <w:spacing w:line="560" w:lineRule="exact"/>
        <w:rPr>
          <w:rFonts w:hint="eastAsia" w:ascii="宋体" w:hAnsi="宋体" w:cs="宋体"/>
          <w:sz w:val="24"/>
        </w:rPr>
      </w:pPr>
    </w:p>
    <w:p>
      <w:pPr>
        <w:spacing w:line="560" w:lineRule="exact"/>
        <w:rPr>
          <w:rFonts w:hint="eastAsia" w:ascii="宋体" w:hAnsi="宋体" w:cs="宋体"/>
          <w:sz w:val="24"/>
        </w:rPr>
      </w:pPr>
    </w:p>
    <w:p>
      <w:pPr>
        <w:pStyle w:val="6"/>
        <w:spacing w:line="560" w:lineRule="exact"/>
        <w:rPr>
          <w:rFonts w:hint="eastAsia" w:ascii="宋体" w:hAnsi="宋体" w:cs="宋体"/>
          <w:sz w:val="24"/>
        </w:rPr>
      </w:pPr>
    </w:p>
    <w:p>
      <w:pPr>
        <w:spacing w:line="560" w:lineRule="exact"/>
        <w:rPr>
          <w:rFonts w:hint="eastAsia" w:ascii="宋体" w:hAnsi="宋体" w:cs="宋体"/>
          <w:sz w:val="24"/>
        </w:rPr>
      </w:pPr>
    </w:p>
    <w:p>
      <w:pPr>
        <w:spacing w:line="560" w:lineRule="exact"/>
      </w:pPr>
    </w:p>
    <w:p>
      <w:pPr>
        <w:pStyle w:val="6"/>
        <w:spacing w:line="560" w:lineRule="exact"/>
      </w:pPr>
    </w:p>
    <w:p>
      <w:pPr>
        <w:spacing w:line="560" w:lineRule="exact"/>
        <w:ind w:firstLine="480" w:firstLineChars="200"/>
        <w:rPr>
          <w:rFonts w:hint="eastAsia" w:ascii="宋体" w:hAnsi="宋体" w:cs="宋体"/>
          <w:sz w:val="24"/>
        </w:rPr>
      </w:pPr>
    </w:p>
    <w:p>
      <w:pPr>
        <w:spacing w:line="560" w:lineRule="exact"/>
        <w:ind w:firstLine="480" w:firstLineChars="200"/>
        <w:rPr>
          <w:rFonts w:hint="eastAsia" w:ascii="宋体" w:hAnsi="宋体" w:cs="宋体"/>
          <w:sz w:val="24"/>
        </w:rPr>
      </w:pPr>
    </w:p>
    <w:p>
      <w:pPr>
        <w:spacing w:line="560" w:lineRule="exact"/>
        <w:rPr>
          <w:rFonts w:hint="eastAsia" w:ascii="宋体" w:hAnsi="宋体" w:cs="宋体"/>
          <w:b/>
          <w:bCs/>
          <w:sz w:val="24"/>
        </w:rPr>
      </w:pPr>
      <w:r>
        <w:rPr>
          <w:rFonts w:hint="eastAsia" w:ascii="宋体" w:hAnsi="宋体" w:cs="宋体"/>
          <w:b/>
          <w:bCs/>
          <w:sz w:val="24"/>
        </w:rPr>
        <w:br w:type="page"/>
      </w:r>
    </w:p>
    <w:p>
      <w:pPr>
        <w:spacing w:line="560" w:lineRule="exact"/>
        <w:jc w:val="center"/>
        <w:rPr>
          <w:rFonts w:hint="eastAsia" w:ascii="宋体" w:hAnsi="宋体" w:cs="宋体"/>
          <w:b/>
          <w:bCs/>
          <w:sz w:val="24"/>
        </w:rPr>
      </w:pPr>
      <w:r>
        <w:rPr>
          <w:rFonts w:hint="eastAsia" w:ascii="宋体" w:hAnsi="宋体" w:cs="宋体"/>
          <w:b/>
          <w:bCs/>
          <w:sz w:val="24"/>
        </w:rPr>
        <w:t xml:space="preserve">中小企业划型标准规定 </w:t>
      </w:r>
    </w:p>
    <w:p>
      <w:pPr>
        <w:spacing w:line="560" w:lineRule="exact"/>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560" w:lineRule="exact"/>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560" w:lineRule="exact"/>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560" w:lineRule="exact"/>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560" w:lineRule="exact"/>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560" w:lineRule="exact"/>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60" w:lineRule="exact"/>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560" w:lineRule="exact"/>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60" w:lineRule="exact"/>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60" w:lineRule="exact"/>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560" w:lineRule="exact"/>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560" w:lineRule="exact"/>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560" w:lineRule="exact"/>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60" w:lineRule="exact"/>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560" w:lineRule="exact"/>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560" w:lineRule="exact"/>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pacing w:line="560" w:lineRule="exact"/>
        <w:ind w:firstLine="480" w:firstLineChars="200"/>
        <w:rPr>
          <w:rFonts w:hint="eastAsia" w:ascii="宋体" w:hAnsi="宋体" w:cs="宋体"/>
          <w:sz w:val="24"/>
        </w:rPr>
      </w:pPr>
    </w:p>
    <w:p>
      <w:pPr>
        <w:pStyle w:val="18"/>
        <w:spacing w:line="560" w:lineRule="exact"/>
        <w:jc w:val="both"/>
        <w:outlineLvl w:val="9"/>
        <w:rPr>
          <w:rFonts w:hint="eastAsia" w:ascii="宋体" w:hAnsi="宋体" w:eastAsia="宋体" w:cs="宋体"/>
          <w:sz w:val="24"/>
          <w:szCs w:val="24"/>
        </w:rPr>
      </w:pPr>
    </w:p>
    <w:p>
      <w:pPr>
        <w:tabs>
          <w:tab w:val="left" w:pos="360"/>
        </w:tabs>
        <w:spacing w:line="560" w:lineRule="exact"/>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560" w:lineRule="exact"/>
        <w:jc w:val="center"/>
        <w:rPr>
          <w:rFonts w:hint="eastAsia" w:ascii="宋体" w:hAnsi="宋体" w:cs="宋体"/>
          <w:b/>
          <w:bCs/>
          <w:kern w:val="0"/>
          <w:sz w:val="24"/>
        </w:rPr>
      </w:pPr>
    </w:p>
    <w:p>
      <w:pPr>
        <w:widowControl/>
        <w:shd w:val="clear" w:color="auto" w:fill="FFFFFF"/>
        <w:spacing w:line="560" w:lineRule="exact"/>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560" w:lineRule="exact"/>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560" w:lineRule="exact"/>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 </w:t>
      </w:r>
    </w:p>
    <w:p>
      <w:pPr>
        <w:pStyle w:val="6"/>
        <w:spacing w:line="560" w:lineRule="exact"/>
        <w:rPr>
          <w:rFonts w:hint="eastAsia" w:ascii="宋体" w:hAnsi="宋体" w:cs="宋体"/>
          <w:kern w:val="0"/>
          <w:sz w:val="24"/>
        </w:rPr>
      </w:pPr>
    </w:p>
    <w:p>
      <w:pPr>
        <w:spacing w:line="560" w:lineRule="exact"/>
        <w:rPr>
          <w:rFonts w:hint="eastAsia" w:ascii="宋体" w:hAnsi="宋体" w:cs="宋体"/>
          <w:kern w:val="0"/>
          <w:sz w:val="24"/>
        </w:rPr>
      </w:pPr>
    </w:p>
    <w:p>
      <w:pPr>
        <w:pStyle w:val="6"/>
        <w:spacing w:line="560" w:lineRule="exact"/>
        <w:rPr>
          <w:rFonts w:hint="eastAsia" w:ascii="宋体" w:hAnsi="宋体" w:cs="宋体"/>
          <w:kern w:val="0"/>
          <w:sz w:val="24"/>
        </w:rPr>
      </w:pPr>
    </w:p>
    <w:p>
      <w:pPr>
        <w:spacing w:line="560" w:lineRule="exact"/>
      </w:pPr>
    </w:p>
    <w:p>
      <w:pPr>
        <w:widowControl/>
        <w:shd w:val="clear" w:color="auto" w:fill="FFFFFF"/>
        <w:spacing w:line="560" w:lineRule="exact"/>
        <w:jc w:val="center"/>
        <w:rPr>
          <w:rFonts w:hint="eastAsia" w:ascii="宋体" w:hAnsi="宋体" w:cs="宋体"/>
          <w:b/>
          <w:bCs/>
          <w:kern w:val="0"/>
          <w:sz w:val="24"/>
        </w:rPr>
      </w:pPr>
    </w:p>
    <w:p>
      <w:pPr>
        <w:widowControl/>
        <w:shd w:val="clear" w:color="auto" w:fill="FFFFFF"/>
        <w:spacing w:line="560" w:lineRule="exact"/>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560" w:lineRule="exact"/>
        <w:jc w:val="left"/>
        <w:rPr>
          <w:rFonts w:hint="eastAsia" w:ascii="宋体" w:hAnsi="宋体" w:cs="宋体"/>
          <w:kern w:val="0"/>
          <w:sz w:val="24"/>
        </w:rPr>
      </w:pPr>
    </w:p>
    <w:p>
      <w:pPr>
        <w:pStyle w:val="6"/>
        <w:spacing w:line="560" w:lineRule="exact"/>
      </w:pPr>
    </w:p>
    <w:p>
      <w:pPr>
        <w:widowControl/>
        <w:spacing w:line="560" w:lineRule="exact"/>
        <w:jc w:val="left"/>
        <w:rPr>
          <w:rFonts w:hint="eastAsia" w:ascii="宋体" w:hAnsi="宋体" w:cs="宋体"/>
          <w:kern w:val="0"/>
          <w:sz w:val="24"/>
        </w:rPr>
      </w:pPr>
    </w:p>
    <w:p>
      <w:pPr>
        <w:widowControl/>
        <w:spacing w:line="560" w:lineRule="exact"/>
        <w:jc w:val="left"/>
        <w:rPr>
          <w:rFonts w:hint="eastAsia" w:ascii="宋体" w:hAnsi="宋体" w:cs="宋体"/>
          <w:kern w:val="0"/>
          <w:sz w:val="24"/>
        </w:rPr>
      </w:pPr>
    </w:p>
    <w:p>
      <w:pPr>
        <w:widowControl/>
        <w:spacing w:line="560" w:lineRule="exact"/>
        <w:jc w:val="left"/>
        <w:rPr>
          <w:rFonts w:hint="eastAsia" w:ascii="宋体" w:hAnsi="宋体" w:cs="宋体"/>
          <w:kern w:val="0"/>
          <w:sz w:val="24"/>
        </w:rPr>
      </w:pPr>
      <w:r>
        <w:rPr>
          <w:rFonts w:hint="eastAsia" w:ascii="宋体" w:hAnsi="宋体" w:cs="宋体"/>
          <w:kern w:val="0"/>
          <w:sz w:val="24"/>
        </w:rPr>
        <w:t>附表：</w:t>
      </w:r>
    </w:p>
    <w:p>
      <w:pPr>
        <w:widowControl/>
        <w:spacing w:line="560" w:lineRule="exact"/>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560" w:lineRule="exact"/>
              <w:jc w:val="center"/>
              <w:rPr>
                <w:rFonts w:hint="eastAsia" w:ascii="宋体" w:hAnsi="宋体" w:cs="宋体"/>
                <w:b/>
                <w:bCs/>
                <w:kern w:val="0"/>
                <w:sz w:val="24"/>
              </w:rPr>
            </w:pPr>
            <w:r>
              <w:rPr>
                <w:rFonts w:hint="eastAsia" w:ascii="宋体" w:hAnsi="宋体" w:cs="宋体"/>
                <w:b/>
                <w:bCs/>
                <w:kern w:val="0"/>
                <w:sz w:val="24"/>
              </w:rPr>
              <w:t>计量</w:t>
            </w:r>
          </w:p>
          <w:p>
            <w:pPr>
              <w:widowControl/>
              <w:spacing w:line="560" w:lineRule="exact"/>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hint="eastAsia" w:ascii="宋体" w:hAnsi="宋体" w:cs="宋体"/>
                <w:kern w:val="0"/>
                <w:sz w:val="24"/>
              </w:rPr>
            </w:pP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560" w:lineRule="exact"/>
        <w:rPr>
          <w:rFonts w:hint="eastAsia" w:ascii="宋体" w:hAnsi="宋体" w:cs="宋体"/>
          <w:sz w:val="24"/>
        </w:rPr>
      </w:pPr>
    </w:p>
    <w:p>
      <w:pPr>
        <w:tabs>
          <w:tab w:val="left" w:pos="360"/>
        </w:tabs>
        <w:spacing w:line="560" w:lineRule="exact"/>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560" w:lineRule="exact"/>
        <w:rPr>
          <w:rFonts w:hint="eastAsia" w:ascii="宋体" w:hAnsi="宋体" w:cs="宋体"/>
          <w:bCs/>
          <w:sz w:val="24"/>
        </w:rPr>
      </w:pPr>
    </w:p>
    <w:p>
      <w:pPr>
        <w:shd w:val="clear" w:color="auto" w:fill="FFFFFF"/>
        <w:spacing w:line="560" w:lineRule="exact"/>
        <w:rPr>
          <w:rFonts w:hint="eastAsia" w:ascii="宋体" w:hAnsi="宋体" w:cs="宋体"/>
          <w:bCs/>
          <w:sz w:val="24"/>
        </w:rPr>
      </w:pPr>
      <w:r>
        <w:rPr>
          <w:rFonts w:hint="eastAsia" w:ascii="宋体" w:hAnsi="宋体" w:cs="宋体"/>
          <w:bCs/>
          <w:sz w:val="24"/>
        </w:rPr>
        <w:t>关于促进残疾人就业政府采购政策的通知</w:t>
      </w:r>
    </w:p>
    <w:p>
      <w:pPr>
        <w:pStyle w:val="17"/>
        <w:shd w:val="clear" w:color="auto" w:fill="FFFFFF"/>
        <w:spacing w:before="0" w:beforeAutospacing="0" w:after="0" w:afterAutospacing="0" w:line="560" w:lineRule="exact"/>
        <w:jc w:val="center"/>
        <w:rPr>
          <w:rFonts w:hint="eastAsia"/>
        </w:rPr>
      </w:pPr>
      <w:r>
        <w:rPr>
          <w:rFonts w:hint="eastAsia"/>
        </w:rPr>
        <w:t>　　</w:t>
      </w:r>
      <w:bookmarkStart w:id="35" w:name="sendNo"/>
      <w:r>
        <w:rPr>
          <w:rFonts w:hint="eastAsia"/>
        </w:rPr>
        <w:t>财库〔</w:t>
      </w:r>
      <w:bookmarkEnd w:id="35"/>
      <w:r>
        <w:rPr>
          <w:rFonts w:hint="eastAsia"/>
        </w:rPr>
        <w:t>2017〕141号</w:t>
      </w:r>
    </w:p>
    <w:p>
      <w:pPr>
        <w:pStyle w:val="17"/>
        <w:shd w:val="clear" w:color="auto" w:fill="FFFFFF"/>
        <w:spacing w:before="0" w:beforeAutospacing="0" w:after="0" w:afterAutospacing="0" w:line="560" w:lineRule="exact"/>
        <w:ind w:firstLine="480" w:firstLineChars="200"/>
        <w:rPr>
          <w:rFonts w:hint="eastAsia"/>
        </w:rPr>
      </w:pPr>
      <w:bookmarkStart w:id="36"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6"/>
      <w:r>
        <w:rPr>
          <w:rFonts w:hint="eastAsia"/>
        </w:rPr>
        <w:t>：</w:t>
      </w:r>
    </w:p>
    <w:p>
      <w:pPr>
        <w:pStyle w:val="17"/>
        <w:shd w:val="clear" w:color="auto" w:fill="FFFFFF"/>
        <w:spacing w:before="0" w:beforeAutospacing="0" w:after="0" w:afterAutospacing="0" w:line="560" w:lineRule="exact"/>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560" w:lineRule="exact"/>
        <w:ind w:firstLine="480" w:firstLineChars="200"/>
        <w:rPr>
          <w:rFonts w:hint="eastAsia"/>
        </w:rPr>
      </w:pPr>
      <w:r>
        <w:rPr>
          <w:rFonts w:hint="eastAsia"/>
        </w:rPr>
        <w:t>一、享受政府采购支持政策的残疾人福利性单位应当同时满足以下条件：</w:t>
      </w:r>
    </w:p>
    <w:p>
      <w:pPr>
        <w:pStyle w:val="17"/>
        <w:shd w:val="clear" w:color="auto" w:fill="FFFFFF"/>
        <w:spacing w:before="0" w:beforeAutospacing="0" w:after="0" w:afterAutospacing="0" w:line="560" w:lineRule="exact"/>
        <w:ind w:firstLine="480" w:firstLineChars="200"/>
        <w:rPr>
          <w:rFonts w:hint="eastAsia"/>
        </w:rPr>
      </w:pPr>
      <w:r>
        <w:rPr>
          <w:rFonts w:hint="eastAsia"/>
        </w:rPr>
        <w:t>（一）安置的残疾人占本单位在职职工人数的比例不低于25%（含25%），并且安置的残疾人人数不少于10人（含10人）；</w:t>
      </w:r>
    </w:p>
    <w:p>
      <w:pPr>
        <w:pStyle w:val="17"/>
        <w:shd w:val="clear" w:color="auto" w:fill="FFFFFF"/>
        <w:spacing w:before="0" w:beforeAutospacing="0" w:after="0" w:afterAutospacing="0" w:line="560" w:lineRule="exact"/>
        <w:ind w:firstLine="480" w:firstLineChars="200"/>
        <w:rPr>
          <w:rFonts w:hint="eastAsia"/>
        </w:rPr>
      </w:pPr>
      <w:r>
        <w:rPr>
          <w:rFonts w:hint="eastAsia"/>
        </w:rPr>
        <w:t>（二）依法与安置的每位残疾人签订了一年以上（含一年）的劳动合同或服务协议；</w:t>
      </w:r>
    </w:p>
    <w:p>
      <w:pPr>
        <w:pStyle w:val="17"/>
        <w:shd w:val="clear" w:color="auto" w:fill="FFFFFF"/>
        <w:spacing w:before="0" w:beforeAutospacing="0" w:after="0" w:afterAutospacing="0" w:line="560" w:lineRule="exact"/>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560" w:lineRule="exact"/>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560" w:lineRule="exact"/>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560" w:lineRule="exact"/>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560" w:lineRule="exact"/>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560" w:lineRule="exact"/>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560" w:lineRule="exact"/>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560" w:lineRule="exact"/>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560" w:lineRule="exact"/>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560" w:lineRule="exact"/>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560" w:lineRule="exact"/>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560" w:lineRule="exact"/>
        <w:ind w:firstLine="480" w:firstLineChars="200"/>
        <w:rPr>
          <w:rFonts w:hint="eastAsia"/>
        </w:rPr>
      </w:pPr>
      <w:r>
        <w:rPr>
          <w:rFonts w:hint="eastAsia"/>
        </w:rPr>
        <w:t>七、本通知自2017年10月1日起执行。</w:t>
      </w:r>
    </w:p>
    <w:p>
      <w:pPr>
        <w:pStyle w:val="17"/>
        <w:shd w:val="clear" w:color="auto" w:fill="FFFFFF"/>
        <w:spacing w:before="0" w:beforeAutospacing="0" w:after="0" w:afterAutospacing="0" w:line="560" w:lineRule="exact"/>
        <w:ind w:firstLine="480" w:firstLineChars="200"/>
        <w:jc w:val="right"/>
        <w:rPr>
          <w:rFonts w:hint="eastAsia"/>
        </w:rPr>
      </w:pPr>
      <w:r>
        <w:rPr>
          <w:rFonts w:hint="eastAsia"/>
        </w:rPr>
        <w:t>财政部 民政部 中国残疾人联合会</w:t>
      </w:r>
    </w:p>
    <w:p>
      <w:pPr>
        <w:pStyle w:val="17"/>
        <w:shd w:val="clear" w:color="auto" w:fill="FFFFFF"/>
        <w:spacing w:before="0" w:beforeAutospacing="0" w:after="0" w:afterAutospacing="0" w:line="560" w:lineRule="exact"/>
        <w:ind w:firstLine="480" w:firstLineChars="200"/>
        <w:jc w:val="right"/>
        <w:rPr>
          <w:rFonts w:hint="eastAsia"/>
        </w:rPr>
      </w:pPr>
      <w:r>
        <w:rPr>
          <w:rFonts w:hint="eastAsia"/>
        </w:rPr>
        <w:t>2017年8月22日</w:t>
      </w:r>
    </w:p>
    <w:p>
      <w:pPr>
        <w:pStyle w:val="32"/>
        <w:shd w:val="clear" w:color="auto" w:fill="FFFFFF"/>
        <w:spacing w:before="0" w:beforeAutospacing="0" w:after="0" w:afterAutospacing="0" w:line="560" w:lineRule="exact"/>
        <w:jc w:val="both"/>
        <w:rPr>
          <w:rFonts w:hint="eastAsia"/>
        </w:rPr>
      </w:pPr>
    </w:p>
    <w:p>
      <w:pPr>
        <w:pStyle w:val="32"/>
        <w:shd w:val="clear" w:color="auto" w:fill="FFFFFF"/>
        <w:spacing w:before="0" w:beforeAutospacing="0" w:after="0" w:afterAutospacing="0" w:line="560" w:lineRule="exact"/>
        <w:jc w:val="both"/>
        <w:rPr>
          <w:rFonts w:hint="eastAsia"/>
        </w:rPr>
      </w:pPr>
    </w:p>
    <w:p>
      <w:pPr>
        <w:pStyle w:val="32"/>
        <w:shd w:val="clear" w:color="auto" w:fill="FFFFFF"/>
        <w:spacing w:before="0" w:beforeAutospacing="0" w:after="0" w:afterAutospacing="0" w:line="560" w:lineRule="exact"/>
        <w:jc w:val="both"/>
        <w:rPr>
          <w:rFonts w:hint="eastAsia"/>
        </w:rPr>
      </w:pPr>
    </w:p>
    <w:p>
      <w:pPr>
        <w:pStyle w:val="32"/>
        <w:shd w:val="clear" w:color="auto" w:fill="FFFFFF"/>
        <w:spacing w:before="0" w:beforeAutospacing="0" w:after="0" w:afterAutospacing="0" w:line="560" w:lineRule="exact"/>
        <w:jc w:val="both"/>
        <w:rPr>
          <w:rFonts w:hint="eastAsia"/>
        </w:rPr>
      </w:pPr>
    </w:p>
    <w:p>
      <w:pPr>
        <w:pStyle w:val="32"/>
        <w:shd w:val="clear" w:color="auto" w:fill="FFFFFF"/>
        <w:spacing w:before="0" w:beforeAutospacing="0" w:after="0" w:afterAutospacing="0" w:line="560" w:lineRule="exact"/>
        <w:jc w:val="both"/>
        <w:rPr>
          <w:rFonts w:hint="eastAsia"/>
        </w:rPr>
      </w:pPr>
    </w:p>
    <w:p>
      <w:pPr>
        <w:pStyle w:val="32"/>
        <w:shd w:val="clear" w:color="auto" w:fill="FFFFFF"/>
        <w:spacing w:before="0" w:beforeAutospacing="0" w:after="0" w:afterAutospacing="0" w:line="560" w:lineRule="exact"/>
        <w:jc w:val="both"/>
        <w:rPr>
          <w:rFonts w:hint="eastAsia"/>
        </w:rPr>
      </w:pPr>
    </w:p>
    <w:p>
      <w:pPr>
        <w:spacing w:line="560" w:lineRule="exact"/>
      </w:pPr>
      <w:r>
        <w:rPr>
          <w:rFonts w:hint="eastAsia"/>
        </w:rPr>
        <w:br w:type="page"/>
      </w:r>
    </w:p>
    <w:p>
      <w:pPr>
        <w:pStyle w:val="32"/>
        <w:shd w:val="clear" w:color="auto" w:fill="FFFFFF"/>
        <w:spacing w:before="0" w:beforeAutospacing="0" w:after="0" w:afterAutospacing="0" w:line="560" w:lineRule="exact"/>
        <w:jc w:val="both"/>
        <w:rPr>
          <w:rFonts w:hint="eastAsia"/>
        </w:rPr>
      </w:pPr>
      <w:r>
        <w:rPr>
          <w:rFonts w:hint="eastAsia"/>
        </w:rPr>
        <w:t>附件：</w:t>
      </w:r>
    </w:p>
    <w:p>
      <w:pPr>
        <w:pStyle w:val="32"/>
        <w:shd w:val="clear" w:color="auto" w:fill="FFFFFF"/>
        <w:spacing w:before="0" w:beforeAutospacing="0" w:after="0" w:afterAutospacing="0" w:line="560" w:lineRule="exact"/>
        <w:ind w:firstLine="482" w:firstLineChars="200"/>
        <w:jc w:val="center"/>
        <w:rPr>
          <w:rFonts w:hint="eastAsia"/>
        </w:rPr>
      </w:pPr>
      <w:r>
        <w:rPr>
          <w:rStyle w:val="33"/>
          <w:rFonts w:hint="eastAsia"/>
          <w:b/>
          <w:bCs/>
        </w:rPr>
        <w:t>残疾人福利性单位声明函</w:t>
      </w:r>
    </w:p>
    <w:p>
      <w:pPr>
        <w:pStyle w:val="32"/>
        <w:shd w:val="clear" w:color="auto" w:fill="FFFFFF"/>
        <w:spacing w:before="0" w:beforeAutospacing="0" w:after="0" w:afterAutospacing="0" w:line="560" w:lineRule="exact"/>
        <w:ind w:firstLine="480" w:firstLineChars="200"/>
        <w:jc w:val="both"/>
        <w:rPr>
          <w:rFonts w:hint="eastAsia"/>
        </w:rPr>
      </w:pPr>
    </w:p>
    <w:p>
      <w:pPr>
        <w:pStyle w:val="32"/>
        <w:shd w:val="clear" w:color="auto" w:fill="FFFFFF"/>
        <w:spacing w:before="0" w:beforeAutospacing="0" w:after="0" w:afterAutospacing="0" w:line="560" w:lineRule="exact"/>
        <w:ind w:firstLine="480" w:firstLineChars="200"/>
        <w:jc w:val="both"/>
        <w:rPr>
          <w:rFonts w:hint="eastAsia"/>
        </w:rPr>
      </w:pPr>
      <w:r>
        <w:rPr>
          <w:rStyle w:val="33"/>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hd w:val="clear" w:color="auto" w:fill="FFFFFF"/>
        <w:spacing w:before="0" w:beforeAutospacing="0" w:after="0" w:afterAutospacing="0" w:line="560" w:lineRule="exact"/>
        <w:ind w:firstLine="480" w:firstLineChars="200"/>
        <w:jc w:val="both"/>
        <w:rPr>
          <w:rFonts w:hint="eastAsia"/>
        </w:rPr>
      </w:pPr>
      <w:r>
        <w:rPr>
          <w:rStyle w:val="33"/>
          <w:rFonts w:hint="eastAsia"/>
        </w:rPr>
        <w:t>本单位对上述声明的真实性负责。如有虚假，将依法承担相应责任。</w:t>
      </w:r>
    </w:p>
    <w:p>
      <w:pPr>
        <w:pStyle w:val="32"/>
        <w:shd w:val="clear" w:color="auto" w:fill="FFFFFF"/>
        <w:spacing w:before="0" w:beforeAutospacing="0" w:after="0" w:afterAutospacing="0" w:line="560" w:lineRule="exact"/>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2"/>
        <w:shd w:val="clear" w:color="auto" w:fill="FFFFFF"/>
        <w:spacing w:before="0" w:beforeAutospacing="0" w:after="0" w:afterAutospacing="0" w:line="560" w:lineRule="exact"/>
        <w:ind w:firstLine="480" w:firstLineChars="200"/>
        <w:jc w:val="both"/>
        <w:rPr>
          <w:rFonts w:hint="eastAsia"/>
        </w:rPr>
      </w:pPr>
    </w:p>
    <w:p>
      <w:pPr>
        <w:pStyle w:val="32"/>
        <w:shd w:val="clear" w:color="auto" w:fill="FFFFFF"/>
        <w:spacing w:before="0" w:beforeAutospacing="0" w:after="0" w:afterAutospacing="0" w:line="560" w:lineRule="exact"/>
        <w:ind w:right="2100" w:rightChars="1000"/>
        <w:jc w:val="right"/>
        <w:rPr>
          <w:rFonts w:hint="eastAsia"/>
        </w:rPr>
      </w:pPr>
      <w:r>
        <w:rPr>
          <w:rStyle w:val="33"/>
          <w:rFonts w:hint="eastAsia"/>
        </w:rPr>
        <w:t>单位名称（盖章）：</w:t>
      </w:r>
    </w:p>
    <w:p>
      <w:pPr>
        <w:pStyle w:val="32"/>
        <w:shd w:val="clear" w:color="auto" w:fill="FFFFFF"/>
        <w:spacing w:before="0" w:beforeAutospacing="0" w:after="0" w:afterAutospacing="0" w:line="560" w:lineRule="exact"/>
        <w:ind w:right="2100" w:rightChars="1000"/>
        <w:jc w:val="right"/>
        <w:rPr>
          <w:rFonts w:hint="eastAsia"/>
          <w:lang w:val="fr-CH"/>
        </w:rPr>
      </w:pPr>
      <w:r>
        <w:rPr>
          <w:rStyle w:val="33"/>
          <w:rFonts w:hint="eastAsia"/>
        </w:rPr>
        <w:t>日 期：</w:t>
      </w:r>
    </w:p>
    <w:p>
      <w:pPr>
        <w:tabs>
          <w:tab w:val="left" w:pos="640"/>
          <w:tab w:val="left" w:pos="1260"/>
          <w:tab w:val="left" w:pos="1418"/>
        </w:tabs>
        <w:spacing w:line="560" w:lineRule="exact"/>
        <w:ind w:right="-420" w:rightChars="-200"/>
        <w:rPr>
          <w:rFonts w:hint="eastAsia" w:ascii="宋体" w:hAnsi="宋体" w:cs="宋体"/>
          <w:sz w:val="24"/>
          <w:lang w:val="fr-CH"/>
        </w:rPr>
      </w:pPr>
    </w:p>
    <w:p>
      <w:pPr>
        <w:spacing w:line="560" w:lineRule="exact"/>
        <w:rPr>
          <w:rFonts w:hint="default" w:eastAsia="宋体"/>
          <w:lang w:val="en-US" w:eastAsia="zh-CN"/>
        </w:rPr>
      </w:pPr>
      <w:ins w:id="0" w:author="康明皇" w:date="2025-07-16T17:48:45Z">
        <w:r>
          <w:rPr>
            <w:rFonts w:hint="eastAsia"/>
            <w:lang w:val="en-US" w:eastAsia="zh-CN"/>
          </w:rPr>
          <w:t xml:space="preserve">   </w:t>
        </w:r>
      </w:ins>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D874E715"/>
    <w:multiLevelType w:val="singleLevel"/>
    <w:tmpl w:val="D874E715"/>
    <w:lvl w:ilvl="0" w:tentative="0">
      <w:start w:val="1"/>
      <w:numFmt w:val="decimal"/>
      <w:suff w:val="nothing"/>
      <w:lvlText w:val="%1、"/>
      <w:lvlJc w:val="left"/>
    </w:lvl>
  </w:abstractNum>
  <w:abstractNum w:abstractNumId="5">
    <w:nsid w:val="E2BE74A2"/>
    <w:multiLevelType w:val="singleLevel"/>
    <w:tmpl w:val="E2BE74A2"/>
    <w:lvl w:ilvl="0" w:tentative="0">
      <w:start w:val="1"/>
      <w:numFmt w:val="chineseCounting"/>
      <w:suff w:val="nothing"/>
      <w:lvlText w:val="%1、"/>
      <w:lvlJc w:val="left"/>
      <w:rPr>
        <w:rFonts w:hint="eastAsia"/>
      </w:rPr>
    </w:lvl>
  </w:abstractNum>
  <w:abstractNum w:abstractNumId="6">
    <w:nsid w:val="147E6560"/>
    <w:multiLevelType w:val="multilevel"/>
    <w:tmpl w:val="147E6560"/>
    <w:lvl w:ilvl="0" w:tentative="0">
      <w:start w:val="1"/>
      <w:numFmt w:val="chineseCountingThousand"/>
      <w:pStyle w:val="43"/>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C1FCBA"/>
    <w:multiLevelType w:val="singleLevel"/>
    <w:tmpl w:val="17C1FCBA"/>
    <w:lvl w:ilvl="0" w:tentative="0">
      <w:start w:val="1"/>
      <w:numFmt w:val="decimal"/>
      <w:suff w:val="space"/>
      <w:lvlText w:val="（%1）"/>
      <w:lvlJc w:val="left"/>
      <w:pPr>
        <w:ind w:left="425" w:hanging="425"/>
      </w:pPr>
      <w:rPr>
        <w:rFonts w:hint="default"/>
      </w:rPr>
    </w:lvl>
  </w:abstractNum>
  <w:abstractNum w:abstractNumId="8">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20A9610"/>
    <w:multiLevelType w:val="singleLevel"/>
    <w:tmpl w:val="520A9610"/>
    <w:lvl w:ilvl="0" w:tentative="0">
      <w:start w:val="15"/>
      <w:numFmt w:val="chineseCounting"/>
      <w:suff w:val="space"/>
      <w:lvlText w:val="第%1条"/>
      <w:lvlJc w:val="left"/>
      <w:rPr>
        <w:rFonts w:hint="eastAsia"/>
      </w:rPr>
    </w:lvl>
  </w:abstractNum>
  <w:abstractNum w:abstractNumId="11">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12"/>
  </w:num>
  <w:num w:numId="3">
    <w:abstractNumId w:val="2"/>
  </w:num>
  <w:num w:numId="4">
    <w:abstractNumId w:val="0"/>
  </w:num>
  <w:num w:numId="5">
    <w:abstractNumId w:val="11"/>
  </w:num>
  <w:num w:numId="6">
    <w:abstractNumId w:val="8"/>
  </w:num>
  <w:num w:numId="7">
    <w:abstractNumId w:val="5"/>
  </w:num>
  <w:num w:numId="8">
    <w:abstractNumId w:val="4"/>
  </w:num>
  <w:num w:numId="9">
    <w:abstractNumId w:val="10"/>
  </w:num>
  <w:num w:numId="10">
    <w:abstractNumId w:val="9"/>
  </w:num>
  <w:num w:numId="11">
    <w:abstractNumId w:val="3"/>
  </w:num>
  <w:num w:numId="12">
    <w:abstractNumId w:val="7"/>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康明皇">
    <w15:presenceInfo w15:providerId="None" w15:userId="康明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102FCF"/>
    <w:rsid w:val="00127819"/>
    <w:rsid w:val="00172A27"/>
    <w:rsid w:val="001D18BD"/>
    <w:rsid w:val="001D3334"/>
    <w:rsid w:val="001E733B"/>
    <w:rsid w:val="00224E95"/>
    <w:rsid w:val="002305C7"/>
    <w:rsid w:val="002C36E8"/>
    <w:rsid w:val="002D3A6D"/>
    <w:rsid w:val="00427844"/>
    <w:rsid w:val="00523433"/>
    <w:rsid w:val="00531F14"/>
    <w:rsid w:val="005A0947"/>
    <w:rsid w:val="005B0D49"/>
    <w:rsid w:val="00621A13"/>
    <w:rsid w:val="00683DE4"/>
    <w:rsid w:val="00770252"/>
    <w:rsid w:val="007A52F5"/>
    <w:rsid w:val="00821404"/>
    <w:rsid w:val="00A45C5E"/>
    <w:rsid w:val="00A8736A"/>
    <w:rsid w:val="00AD027A"/>
    <w:rsid w:val="00B04257"/>
    <w:rsid w:val="00B7098E"/>
    <w:rsid w:val="00BC5547"/>
    <w:rsid w:val="00C26D89"/>
    <w:rsid w:val="00D05268"/>
    <w:rsid w:val="00E04AD1"/>
    <w:rsid w:val="00E75D82"/>
    <w:rsid w:val="00F054C2"/>
    <w:rsid w:val="010C37B8"/>
    <w:rsid w:val="016F05E9"/>
    <w:rsid w:val="01875DDB"/>
    <w:rsid w:val="01A11967"/>
    <w:rsid w:val="01BD17FD"/>
    <w:rsid w:val="02B9090A"/>
    <w:rsid w:val="02BD3216"/>
    <w:rsid w:val="031107FC"/>
    <w:rsid w:val="03344889"/>
    <w:rsid w:val="03510688"/>
    <w:rsid w:val="03C80805"/>
    <w:rsid w:val="04220A01"/>
    <w:rsid w:val="05024E58"/>
    <w:rsid w:val="05690583"/>
    <w:rsid w:val="05D84CA5"/>
    <w:rsid w:val="05EB2641"/>
    <w:rsid w:val="063313B4"/>
    <w:rsid w:val="07552703"/>
    <w:rsid w:val="077AF5D6"/>
    <w:rsid w:val="07D06FDE"/>
    <w:rsid w:val="07DB29DD"/>
    <w:rsid w:val="085A6660"/>
    <w:rsid w:val="086A2F6F"/>
    <w:rsid w:val="088C4E09"/>
    <w:rsid w:val="08B84ACC"/>
    <w:rsid w:val="08C71150"/>
    <w:rsid w:val="09A36B41"/>
    <w:rsid w:val="0A183285"/>
    <w:rsid w:val="0B002E54"/>
    <w:rsid w:val="0B1A27AE"/>
    <w:rsid w:val="0B30205B"/>
    <w:rsid w:val="0B9650E5"/>
    <w:rsid w:val="0BCC6A37"/>
    <w:rsid w:val="0BD45EF5"/>
    <w:rsid w:val="0BF67D6A"/>
    <w:rsid w:val="0C4D7368"/>
    <w:rsid w:val="0C6C4A39"/>
    <w:rsid w:val="0CCB3933"/>
    <w:rsid w:val="0D376BE5"/>
    <w:rsid w:val="0DB46393"/>
    <w:rsid w:val="0DBFF8A4"/>
    <w:rsid w:val="0E0636C2"/>
    <w:rsid w:val="0E541CB6"/>
    <w:rsid w:val="0F226313"/>
    <w:rsid w:val="0F260153"/>
    <w:rsid w:val="0F9B909F"/>
    <w:rsid w:val="0FA94F43"/>
    <w:rsid w:val="0FBC28CC"/>
    <w:rsid w:val="0FC65D20"/>
    <w:rsid w:val="0FFE3C2D"/>
    <w:rsid w:val="10762E0F"/>
    <w:rsid w:val="118925D3"/>
    <w:rsid w:val="12117034"/>
    <w:rsid w:val="122F0D51"/>
    <w:rsid w:val="126D9995"/>
    <w:rsid w:val="12B91B6C"/>
    <w:rsid w:val="12EA61D9"/>
    <w:rsid w:val="12ED74B0"/>
    <w:rsid w:val="12F47908"/>
    <w:rsid w:val="13BB0907"/>
    <w:rsid w:val="140D3389"/>
    <w:rsid w:val="148E5D92"/>
    <w:rsid w:val="14B6631E"/>
    <w:rsid w:val="15297246"/>
    <w:rsid w:val="156E66B6"/>
    <w:rsid w:val="15787C5B"/>
    <w:rsid w:val="162D45A8"/>
    <w:rsid w:val="168B5553"/>
    <w:rsid w:val="17132929"/>
    <w:rsid w:val="1717300A"/>
    <w:rsid w:val="175D30A4"/>
    <w:rsid w:val="178E628A"/>
    <w:rsid w:val="17974DC1"/>
    <w:rsid w:val="1797A8E8"/>
    <w:rsid w:val="17AFCD58"/>
    <w:rsid w:val="17BF9709"/>
    <w:rsid w:val="17DFB82A"/>
    <w:rsid w:val="17E41A7D"/>
    <w:rsid w:val="17F917F2"/>
    <w:rsid w:val="18235CAA"/>
    <w:rsid w:val="18270E2D"/>
    <w:rsid w:val="18B65219"/>
    <w:rsid w:val="18BD7EDC"/>
    <w:rsid w:val="19481E9C"/>
    <w:rsid w:val="198C2042"/>
    <w:rsid w:val="199D0E65"/>
    <w:rsid w:val="19D86C84"/>
    <w:rsid w:val="19FA3545"/>
    <w:rsid w:val="1A035868"/>
    <w:rsid w:val="1A827038"/>
    <w:rsid w:val="1AD3361A"/>
    <w:rsid w:val="1AF56CB1"/>
    <w:rsid w:val="1B1D4692"/>
    <w:rsid w:val="1B3C173F"/>
    <w:rsid w:val="1B407F58"/>
    <w:rsid w:val="1B7F54A3"/>
    <w:rsid w:val="1B7FF535"/>
    <w:rsid w:val="1BBFE1C1"/>
    <w:rsid w:val="1BFDEAE4"/>
    <w:rsid w:val="1BFFE856"/>
    <w:rsid w:val="1C215235"/>
    <w:rsid w:val="1CAF6DFF"/>
    <w:rsid w:val="1CBF97F2"/>
    <w:rsid w:val="1D9A259A"/>
    <w:rsid w:val="1DEBDB17"/>
    <w:rsid w:val="1E7EB620"/>
    <w:rsid w:val="1E8D5784"/>
    <w:rsid w:val="1E8E7398"/>
    <w:rsid w:val="1EA22CC4"/>
    <w:rsid w:val="1EDD6EA9"/>
    <w:rsid w:val="1EF7CA78"/>
    <w:rsid w:val="1EFF6F72"/>
    <w:rsid w:val="1F0A406F"/>
    <w:rsid w:val="1F1D05E3"/>
    <w:rsid w:val="1F25C25A"/>
    <w:rsid w:val="1F3670F2"/>
    <w:rsid w:val="1F4D0FFC"/>
    <w:rsid w:val="1F5BAC61"/>
    <w:rsid w:val="1F5D2FD1"/>
    <w:rsid w:val="1F6EF29D"/>
    <w:rsid w:val="1F7F4BF3"/>
    <w:rsid w:val="1F865520"/>
    <w:rsid w:val="1FAFF4B3"/>
    <w:rsid w:val="1FB7081D"/>
    <w:rsid w:val="1FBAC58D"/>
    <w:rsid w:val="1FBBF8DB"/>
    <w:rsid w:val="1FD6A300"/>
    <w:rsid w:val="1FD96C40"/>
    <w:rsid w:val="1FEB3581"/>
    <w:rsid w:val="1FFF9FA2"/>
    <w:rsid w:val="207865DF"/>
    <w:rsid w:val="20A4382C"/>
    <w:rsid w:val="213740D6"/>
    <w:rsid w:val="214C36E2"/>
    <w:rsid w:val="216300BC"/>
    <w:rsid w:val="2185500C"/>
    <w:rsid w:val="21A92B96"/>
    <w:rsid w:val="2260669D"/>
    <w:rsid w:val="227D45A9"/>
    <w:rsid w:val="22E21BC4"/>
    <w:rsid w:val="2374556A"/>
    <w:rsid w:val="23BF0D43"/>
    <w:rsid w:val="23D13C15"/>
    <w:rsid w:val="23D64C00"/>
    <w:rsid w:val="240632F1"/>
    <w:rsid w:val="24495099"/>
    <w:rsid w:val="248D3582"/>
    <w:rsid w:val="25747400"/>
    <w:rsid w:val="25801095"/>
    <w:rsid w:val="25D977F1"/>
    <w:rsid w:val="25FF4E40"/>
    <w:rsid w:val="260D2D7B"/>
    <w:rsid w:val="263C7034"/>
    <w:rsid w:val="2675E140"/>
    <w:rsid w:val="26E2701C"/>
    <w:rsid w:val="26EB1515"/>
    <w:rsid w:val="271C5A1C"/>
    <w:rsid w:val="271F938A"/>
    <w:rsid w:val="2734033D"/>
    <w:rsid w:val="27636103"/>
    <w:rsid w:val="27BE2A52"/>
    <w:rsid w:val="27E880B4"/>
    <w:rsid w:val="27F26299"/>
    <w:rsid w:val="27F55E0F"/>
    <w:rsid w:val="27FE33CE"/>
    <w:rsid w:val="28641D7B"/>
    <w:rsid w:val="286533D6"/>
    <w:rsid w:val="28977EA2"/>
    <w:rsid w:val="289A3AA3"/>
    <w:rsid w:val="29422464"/>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90B85"/>
    <w:rsid w:val="2DFF5839"/>
    <w:rsid w:val="2E3E806D"/>
    <w:rsid w:val="2E5F5866"/>
    <w:rsid w:val="2E9279E9"/>
    <w:rsid w:val="2E9D013C"/>
    <w:rsid w:val="2EBC3384"/>
    <w:rsid w:val="2EEF79C5"/>
    <w:rsid w:val="2EF45D6A"/>
    <w:rsid w:val="2EF7EE3A"/>
    <w:rsid w:val="2F32348A"/>
    <w:rsid w:val="2F4C0476"/>
    <w:rsid w:val="2F6F2DA0"/>
    <w:rsid w:val="2F6F565C"/>
    <w:rsid w:val="2F7FF788"/>
    <w:rsid w:val="2F9B0E34"/>
    <w:rsid w:val="2FB77A4C"/>
    <w:rsid w:val="2FEAA120"/>
    <w:rsid w:val="2FFDCAA5"/>
    <w:rsid w:val="2FFE99D9"/>
    <w:rsid w:val="308A48AC"/>
    <w:rsid w:val="30F3DF8C"/>
    <w:rsid w:val="310061F3"/>
    <w:rsid w:val="317F7117"/>
    <w:rsid w:val="31837ABD"/>
    <w:rsid w:val="319B575E"/>
    <w:rsid w:val="31B72E5C"/>
    <w:rsid w:val="32AE6949"/>
    <w:rsid w:val="32F40FD3"/>
    <w:rsid w:val="32F977F1"/>
    <w:rsid w:val="32FACA30"/>
    <w:rsid w:val="32FF0317"/>
    <w:rsid w:val="336B4F93"/>
    <w:rsid w:val="337AE2D6"/>
    <w:rsid w:val="33DEF139"/>
    <w:rsid w:val="33E52AA0"/>
    <w:rsid w:val="33F915CE"/>
    <w:rsid w:val="33F9C19C"/>
    <w:rsid w:val="341A261E"/>
    <w:rsid w:val="346DC6E6"/>
    <w:rsid w:val="34D5481E"/>
    <w:rsid w:val="3535527B"/>
    <w:rsid w:val="35836038"/>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65D08"/>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A010B"/>
    <w:rsid w:val="3CBF52AA"/>
    <w:rsid w:val="3CFC7333"/>
    <w:rsid w:val="3D146668"/>
    <w:rsid w:val="3D5358A8"/>
    <w:rsid w:val="3D6F35BF"/>
    <w:rsid w:val="3D79EDB8"/>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BD71D4"/>
    <w:rsid w:val="3FBE1EFA"/>
    <w:rsid w:val="3FCDAA70"/>
    <w:rsid w:val="3FCF161C"/>
    <w:rsid w:val="3FD7C333"/>
    <w:rsid w:val="3FDF7814"/>
    <w:rsid w:val="3FDFE01C"/>
    <w:rsid w:val="3FE0DA24"/>
    <w:rsid w:val="3FEFC185"/>
    <w:rsid w:val="3FF72816"/>
    <w:rsid w:val="3FFB77CB"/>
    <w:rsid w:val="3FFB87EC"/>
    <w:rsid w:val="3FFD2741"/>
    <w:rsid w:val="3FFDCBCA"/>
    <w:rsid w:val="3FFEAECC"/>
    <w:rsid w:val="3FFF03B9"/>
    <w:rsid w:val="40226BDD"/>
    <w:rsid w:val="4050335B"/>
    <w:rsid w:val="40810FC8"/>
    <w:rsid w:val="40B87119"/>
    <w:rsid w:val="41CF6829"/>
    <w:rsid w:val="42337B3F"/>
    <w:rsid w:val="427D40B5"/>
    <w:rsid w:val="42A31D6D"/>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563C6"/>
    <w:rsid w:val="47C22C96"/>
    <w:rsid w:val="47C60945"/>
    <w:rsid w:val="47E9A1A0"/>
    <w:rsid w:val="47FBB24C"/>
    <w:rsid w:val="48002B88"/>
    <w:rsid w:val="480E6DE3"/>
    <w:rsid w:val="484F4B48"/>
    <w:rsid w:val="48605FCE"/>
    <w:rsid w:val="48C06477"/>
    <w:rsid w:val="48C3322B"/>
    <w:rsid w:val="48F14BF7"/>
    <w:rsid w:val="4945059D"/>
    <w:rsid w:val="498015D8"/>
    <w:rsid w:val="49BEA124"/>
    <w:rsid w:val="49CC6CB6"/>
    <w:rsid w:val="4A6202EB"/>
    <w:rsid w:val="4A7C4FC1"/>
    <w:rsid w:val="4A9A6CAF"/>
    <w:rsid w:val="4A9C5875"/>
    <w:rsid w:val="4AFD4615"/>
    <w:rsid w:val="4B454A0A"/>
    <w:rsid w:val="4B5A3FD8"/>
    <w:rsid w:val="4B887951"/>
    <w:rsid w:val="4BAE109A"/>
    <w:rsid w:val="4BC20883"/>
    <w:rsid w:val="4C251B2D"/>
    <w:rsid w:val="4CF92E7B"/>
    <w:rsid w:val="4CFB6B2C"/>
    <w:rsid w:val="4D1DB812"/>
    <w:rsid w:val="4D357CE0"/>
    <w:rsid w:val="4D697E41"/>
    <w:rsid w:val="4DAFC284"/>
    <w:rsid w:val="4DB84D64"/>
    <w:rsid w:val="4DBB3E33"/>
    <w:rsid w:val="4DE3154B"/>
    <w:rsid w:val="4DF03EC7"/>
    <w:rsid w:val="4DF07E31"/>
    <w:rsid w:val="4DF5D2BF"/>
    <w:rsid w:val="4E5655E3"/>
    <w:rsid w:val="4E9E788D"/>
    <w:rsid w:val="4EAC2659"/>
    <w:rsid w:val="4ECD7EB5"/>
    <w:rsid w:val="4EDE35AC"/>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BD2119"/>
    <w:rsid w:val="5444538C"/>
    <w:rsid w:val="547C1168"/>
    <w:rsid w:val="549324D8"/>
    <w:rsid w:val="54C469E3"/>
    <w:rsid w:val="553C7A36"/>
    <w:rsid w:val="5567BD2F"/>
    <w:rsid w:val="557D857A"/>
    <w:rsid w:val="557F84E0"/>
    <w:rsid w:val="55A211BE"/>
    <w:rsid w:val="55E7D38E"/>
    <w:rsid w:val="55EFC43A"/>
    <w:rsid w:val="55F80356"/>
    <w:rsid w:val="55FF196E"/>
    <w:rsid w:val="56056C73"/>
    <w:rsid w:val="56705715"/>
    <w:rsid w:val="567B2EA4"/>
    <w:rsid w:val="56C7BF65"/>
    <w:rsid w:val="56DEF74B"/>
    <w:rsid w:val="56F3184A"/>
    <w:rsid w:val="56F52AF0"/>
    <w:rsid w:val="57380BEA"/>
    <w:rsid w:val="575DDB48"/>
    <w:rsid w:val="57A782E9"/>
    <w:rsid w:val="57A927F5"/>
    <w:rsid w:val="57BD2EED"/>
    <w:rsid w:val="57BFE2CB"/>
    <w:rsid w:val="57F758DB"/>
    <w:rsid w:val="57FF3DFF"/>
    <w:rsid w:val="57FF4AD2"/>
    <w:rsid w:val="57FFB7BC"/>
    <w:rsid w:val="58106513"/>
    <w:rsid w:val="585A0DAA"/>
    <w:rsid w:val="589B7E1A"/>
    <w:rsid w:val="58E55E64"/>
    <w:rsid w:val="593739B8"/>
    <w:rsid w:val="593E081A"/>
    <w:rsid w:val="597B0C6E"/>
    <w:rsid w:val="59C9319A"/>
    <w:rsid w:val="59D63A74"/>
    <w:rsid w:val="59D714F6"/>
    <w:rsid w:val="59DFFD93"/>
    <w:rsid w:val="5A4947D3"/>
    <w:rsid w:val="5A690D4F"/>
    <w:rsid w:val="5ABB1050"/>
    <w:rsid w:val="5AF93469"/>
    <w:rsid w:val="5B3B3860"/>
    <w:rsid w:val="5B5D2F92"/>
    <w:rsid w:val="5B7B47C7"/>
    <w:rsid w:val="5B7DDC28"/>
    <w:rsid w:val="5B7F624A"/>
    <w:rsid w:val="5BAF68EF"/>
    <w:rsid w:val="5BE72AE1"/>
    <w:rsid w:val="5BEB75A4"/>
    <w:rsid w:val="5BF42BBB"/>
    <w:rsid w:val="5BFFD5F5"/>
    <w:rsid w:val="5C9275FA"/>
    <w:rsid w:val="5CF634E9"/>
    <w:rsid w:val="5D355CB4"/>
    <w:rsid w:val="5D5D99E9"/>
    <w:rsid w:val="5D7FC7C9"/>
    <w:rsid w:val="5D9952E5"/>
    <w:rsid w:val="5D9A46F0"/>
    <w:rsid w:val="5DAD523C"/>
    <w:rsid w:val="5DAF0801"/>
    <w:rsid w:val="5DB906C7"/>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EFED2FC"/>
    <w:rsid w:val="5EFF8914"/>
    <w:rsid w:val="5F2D046E"/>
    <w:rsid w:val="5F3C7A35"/>
    <w:rsid w:val="5F3EE51C"/>
    <w:rsid w:val="5F4E1719"/>
    <w:rsid w:val="5F4ED10A"/>
    <w:rsid w:val="5F622E52"/>
    <w:rsid w:val="5F7D5BE8"/>
    <w:rsid w:val="5F7F3DD2"/>
    <w:rsid w:val="5F7F49C8"/>
    <w:rsid w:val="5F9F8EF0"/>
    <w:rsid w:val="5FA01D10"/>
    <w:rsid w:val="5FA77A2C"/>
    <w:rsid w:val="5FDF10FF"/>
    <w:rsid w:val="5FDFE6D0"/>
    <w:rsid w:val="5FED422E"/>
    <w:rsid w:val="5FF48D17"/>
    <w:rsid w:val="5FF6893A"/>
    <w:rsid w:val="5FF8AACB"/>
    <w:rsid w:val="5FFB4E30"/>
    <w:rsid w:val="5FFB4F3D"/>
    <w:rsid w:val="5FFD8CB0"/>
    <w:rsid w:val="5FFF5037"/>
    <w:rsid w:val="5FFFD3F7"/>
    <w:rsid w:val="5FFFE862"/>
    <w:rsid w:val="607D3748"/>
    <w:rsid w:val="610C3A9C"/>
    <w:rsid w:val="611B38AB"/>
    <w:rsid w:val="615C31E8"/>
    <w:rsid w:val="61B62DA1"/>
    <w:rsid w:val="61FF5178"/>
    <w:rsid w:val="6243437A"/>
    <w:rsid w:val="62616D7C"/>
    <w:rsid w:val="628D14F2"/>
    <w:rsid w:val="62BD4574"/>
    <w:rsid w:val="6325773C"/>
    <w:rsid w:val="634C1706"/>
    <w:rsid w:val="63B63069"/>
    <w:rsid w:val="63E57C7D"/>
    <w:rsid w:val="64601415"/>
    <w:rsid w:val="64C200F2"/>
    <w:rsid w:val="64F57139"/>
    <w:rsid w:val="65655C60"/>
    <w:rsid w:val="6593F782"/>
    <w:rsid w:val="65BE74B1"/>
    <w:rsid w:val="65FD1E19"/>
    <w:rsid w:val="65FE0871"/>
    <w:rsid w:val="6609095A"/>
    <w:rsid w:val="66244494"/>
    <w:rsid w:val="66390EEC"/>
    <w:rsid w:val="66613576"/>
    <w:rsid w:val="66720F9F"/>
    <w:rsid w:val="66BB5DAD"/>
    <w:rsid w:val="66E7865B"/>
    <w:rsid w:val="66F7B9BD"/>
    <w:rsid w:val="66FF70F4"/>
    <w:rsid w:val="672F4BD5"/>
    <w:rsid w:val="67A30EFF"/>
    <w:rsid w:val="67CD7F64"/>
    <w:rsid w:val="67D3081D"/>
    <w:rsid w:val="67E75822"/>
    <w:rsid w:val="67FBCA81"/>
    <w:rsid w:val="67FEC540"/>
    <w:rsid w:val="67FF8842"/>
    <w:rsid w:val="68174789"/>
    <w:rsid w:val="6834EE13"/>
    <w:rsid w:val="683D420E"/>
    <w:rsid w:val="687C2595"/>
    <w:rsid w:val="687E630D"/>
    <w:rsid w:val="688B16B1"/>
    <w:rsid w:val="692A7449"/>
    <w:rsid w:val="696D3286"/>
    <w:rsid w:val="69FA0EEC"/>
    <w:rsid w:val="6A4176E3"/>
    <w:rsid w:val="6AE517EE"/>
    <w:rsid w:val="6AEC6501"/>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DC18D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AA452D"/>
    <w:rsid w:val="6FB35245"/>
    <w:rsid w:val="6FB86FC2"/>
    <w:rsid w:val="6FC43175"/>
    <w:rsid w:val="6FCF2F80"/>
    <w:rsid w:val="6FD5E567"/>
    <w:rsid w:val="6FDBF1A1"/>
    <w:rsid w:val="6FDCF403"/>
    <w:rsid w:val="6FE6ECA6"/>
    <w:rsid w:val="6FEC0EF8"/>
    <w:rsid w:val="6FEE3D9A"/>
    <w:rsid w:val="6FEF3E9F"/>
    <w:rsid w:val="6FFD0C97"/>
    <w:rsid w:val="6FFD15F0"/>
    <w:rsid w:val="6FFECEB9"/>
    <w:rsid w:val="6FFF08FD"/>
    <w:rsid w:val="6FFF45DC"/>
    <w:rsid w:val="700C06A3"/>
    <w:rsid w:val="7080499D"/>
    <w:rsid w:val="7082711C"/>
    <w:rsid w:val="70F12FC6"/>
    <w:rsid w:val="711517D9"/>
    <w:rsid w:val="713F17D9"/>
    <w:rsid w:val="717EE3F3"/>
    <w:rsid w:val="71AC0D99"/>
    <w:rsid w:val="71AC1F64"/>
    <w:rsid w:val="71BF5DB7"/>
    <w:rsid w:val="71E85758"/>
    <w:rsid w:val="72100F31"/>
    <w:rsid w:val="72445F08"/>
    <w:rsid w:val="724B07CF"/>
    <w:rsid w:val="725F4BAC"/>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3F2389"/>
    <w:rsid w:val="74AE9EF4"/>
    <w:rsid w:val="74B15673"/>
    <w:rsid w:val="74FE88D1"/>
    <w:rsid w:val="750B3103"/>
    <w:rsid w:val="7535457D"/>
    <w:rsid w:val="75474611"/>
    <w:rsid w:val="757B8C15"/>
    <w:rsid w:val="75B556EC"/>
    <w:rsid w:val="75B7E9C3"/>
    <w:rsid w:val="75DE6D1A"/>
    <w:rsid w:val="75E13102"/>
    <w:rsid w:val="75FF3FD3"/>
    <w:rsid w:val="764A84AE"/>
    <w:rsid w:val="7688309F"/>
    <w:rsid w:val="769E28CC"/>
    <w:rsid w:val="76A43029"/>
    <w:rsid w:val="76CFB604"/>
    <w:rsid w:val="76EB13C1"/>
    <w:rsid w:val="76EF4444"/>
    <w:rsid w:val="76FB10EB"/>
    <w:rsid w:val="76FD926B"/>
    <w:rsid w:val="76FF9977"/>
    <w:rsid w:val="774AD9E4"/>
    <w:rsid w:val="77520F35"/>
    <w:rsid w:val="7759F936"/>
    <w:rsid w:val="77633287"/>
    <w:rsid w:val="776FD87D"/>
    <w:rsid w:val="77747C81"/>
    <w:rsid w:val="777BDA6A"/>
    <w:rsid w:val="777F79C7"/>
    <w:rsid w:val="777FC199"/>
    <w:rsid w:val="778BDCF1"/>
    <w:rsid w:val="77A2FFF2"/>
    <w:rsid w:val="77ABAAEB"/>
    <w:rsid w:val="77ADA65E"/>
    <w:rsid w:val="77BBB69B"/>
    <w:rsid w:val="77BBCBAD"/>
    <w:rsid w:val="77BD97C9"/>
    <w:rsid w:val="77C57B61"/>
    <w:rsid w:val="77C62DC1"/>
    <w:rsid w:val="77CB4C74"/>
    <w:rsid w:val="77CFED9C"/>
    <w:rsid w:val="77D5A0BA"/>
    <w:rsid w:val="77DFC49B"/>
    <w:rsid w:val="77DFE8D3"/>
    <w:rsid w:val="77DFF2A1"/>
    <w:rsid w:val="77E6C2A5"/>
    <w:rsid w:val="77EF7EB5"/>
    <w:rsid w:val="77F79727"/>
    <w:rsid w:val="77F93DFF"/>
    <w:rsid w:val="77FC164C"/>
    <w:rsid w:val="77FD6ECE"/>
    <w:rsid w:val="77FF00E7"/>
    <w:rsid w:val="77FF90F0"/>
    <w:rsid w:val="785F2FBE"/>
    <w:rsid w:val="78781E10"/>
    <w:rsid w:val="78F707C6"/>
    <w:rsid w:val="7972DF47"/>
    <w:rsid w:val="797BCC08"/>
    <w:rsid w:val="799E691A"/>
    <w:rsid w:val="799F4D91"/>
    <w:rsid w:val="79BA2FEC"/>
    <w:rsid w:val="79DA45DF"/>
    <w:rsid w:val="79EF2068"/>
    <w:rsid w:val="79EFC2ED"/>
    <w:rsid w:val="79FA2D36"/>
    <w:rsid w:val="79FF532C"/>
    <w:rsid w:val="7A3EA76F"/>
    <w:rsid w:val="7A5B558E"/>
    <w:rsid w:val="7A6BC49B"/>
    <w:rsid w:val="7A7719EE"/>
    <w:rsid w:val="7AEA6254"/>
    <w:rsid w:val="7AF1A2F4"/>
    <w:rsid w:val="7AF66DB7"/>
    <w:rsid w:val="7AFF670A"/>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7A983"/>
    <w:rsid w:val="7BFBC874"/>
    <w:rsid w:val="7BFE24D0"/>
    <w:rsid w:val="7BFE7EFB"/>
    <w:rsid w:val="7C3F1A46"/>
    <w:rsid w:val="7C6BE0FE"/>
    <w:rsid w:val="7C6E1534"/>
    <w:rsid w:val="7C7531B8"/>
    <w:rsid w:val="7C7B6AC3"/>
    <w:rsid w:val="7C7BA9C8"/>
    <w:rsid w:val="7C9BD21E"/>
    <w:rsid w:val="7CA02A6A"/>
    <w:rsid w:val="7CD30860"/>
    <w:rsid w:val="7CF351AA"/>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379CD"/>
    <w:rsid w:val="7DEF67DA"/>
    <w:rsid w:val="7DEFDAE4"/>
    <w:rsid w:val="7DF2C0B3"/>
    <w:rsid w:val="7DF65F5D"/>
    <w:rsid w:val="7DF74A7A"/>
    <w:rsid w:val="7DFB68E7"/>
    <w:rsid w:val="7DFBCA38"/>
    <w:rsid w:val="7DFC33CF"/>
    <w:rsid w:val="7DFE35DE"/>
    <w:rsid w:val="7DFEBE00"/>
    <w:rsid w:val="7E396F10"/>
    <w:rsid w:val="7E3E3C12"/>
    <w:rsid w:val="7E3F688E"/>
    <w:rsid w:val="7E9F9FFA"/>
    <w:rsid w:val="7EA1C8FE"/>
    <w:rsid w:val="7EAA7F81"/>
    <w:rsid w:val="7EB588E9"/>
    <w:rsid w:val="7EBDC55A"/>
    <w:rsid w:val="7ECFC5A0"/>
    <w:rsid w:val="7EDF81E0"/>
    <w:rsid w:val="7EDFB9CE"/>
    <w:rsid w:val="7EF4280A"/>
    <w:rsid w:val="7EF73F35"/>
    <w:rsid w:val="7EFA749D"/>
    <w:rsid w:val="7EFD617A"/>
    <w:rsid w:val="7EFDD9F4"/>
    <w:rsid w:val="7EFF4445"/>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02FB2"/>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0E9385"/>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2CD14DE"/>
    <w:rsid w:val="B33BF28E"/>
    <w:rsid w:val="B3791423"/>
    <w:rsid w:val="B37A8E10"/>
    <w:rsid w:val="B5AFF77F"/>
    <w:rsid w:val="B5DC6341"/>
    <w:rsid w:val="B5F42EA8"/>
    <w:rsid w:val="B6A63F2E"/>
    <w:rsid w:val="B76F36A9"/>
    <w:rsid w:val="B77EC4AC"/>
    <w:rsid w:val="B7EBF03A"/>
    <w:rsid w:val="B7FBA883"/>
    <w:rsid w:val="B7FDF15A"/>
    <w:rsid w:val="B8BEDE5B"/>
    <w:rsid w:val="B8BFFE0C"/>
    <w:rsid w:val="B96B993A"/>
    <w:rsid w:val="B9DEE6E2"/>
    <w:rsid w:val="BAD934FB"/>
    <w:rsid w:val="BADF7E11"/>
    <w:rsid w:val="BB7FC558"/>
    <w:rsid w:val="BB9B82AB"/>
    <w:rsid w:val="BBF7EAC5"/>
    <w:rsid w:val="BBF9310D"/>
    <w:rsid w:val="BCFF8224"/>
    <w:rsid w:val="BD5F71F8"/>
    <w:rsid w:val="BDAB899C"/>
    <w:rsid w:val="BDBB51BC"/>
    <w:rsid w:val="BDCD8A47"/>
    <w:rsid w:val="BDD73F79"/>
    <w:rsid w:val="BDDD276F"/>
    <w:rsid w:val="BDF4583F"/>
    <w:rsid w:val="BDFF82DD"/>
    <w:rsid w:val="BDFF9C0A"/>
    <w:rsid w:val="BDFFB145"/>
    <w:rsid w:val="BE774C85"/>
    <w:rsid w:val="BE7F2934"/>
    <w:rsid w:val="BEB7A52F"/>
    <w:rsid w:val="BEBB644F"/>
    <w:rsid w:val="BEEBDC79"/>
    <w:rsid w:val="BEEF5CAA"/>
    <w:rsid w:val="BEFFEFC8"/>
    <w:rsid w:val="BF0F4D57"/>
    <w:rsid w:val="BF7731A6"/>
    <w:rsid w:val="BF985636"/>
    <w:rsid w:val="BFA7DD1D"/>
    <w:rsid w:val="BFAF6995"/>
    <w:rsid w:val="BFB0D57C"/>
    <w:rsid w:val="BFB5637C"/>
    <w:rsid w:val="BFBFCCCE"/>
    <w:rsid w:val="BFD107FA"/>
    <w:rsid w:val="BFDFC4F6"/>
    <w:rsid w:val="BFE4475A"/>
    <w:rsid w:val="BFE77FD3"/>
    <w:rsid w:val="BFEBAF11"/>
    <w:rsid w:val="BFEC50E1"/>
    <w:rsid w:val="BFEE3A60"/>
    <w:rsid w:val="BFEF6B66"/>
    <w:rsid w:val="BFF5774C"/>
    <w:rsid w:val="BFF7B7B3"/>
    <w:rsid w:val="BFFC7862"/>
    <w:rsid w:val="BFFD8AD6"/>
    <w:rsid w:val="BFFF89F9"/>
    <w:rsid w:val="C4FF9700"/>
    <w:rsid w:val="C6F32DCC"/>
    <w:rsid w:val="C6F76B63"/>
    <w:rsid w:val="C6FF537A"/>
    <w:rsid w:val="C6FF61A2"/>
    <w:rsid w:val="C7ECA57F"/>
    <w:rsid w:val="C7F24352"/>
    <w:rsid w:val="C7FB6C83"/>
    <w:rsid w:val="C93144B0"/>
    <w:rsid w:val="C93F5341"/>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CFFF26DA"/>
    <w:rsid w:val="D11A01C8"/>
    <w:rsid w:val="D467BB2F"/>
    <w:rsid w:val="D5F28C17"/>
    <w:rsid w:val="D5FD7C65"/>
    <w:rsid w:val="D6FB7D4A"/>
    <w:rsid w:val="D6FBD824"/>
    <w:rsid w:val="D77E6101"/>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3F7C"/>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E7BF05"/>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B6E325"/>
    <w:rsid w:val="FBBF9CE2"/>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97B78"/>
    <w:rsid w:val="FEBA87C3"/>
    <w:rsid w:val="FECF4E7F"/>
    <w:rsid w:val="FECF8C6A"/>
    <w:rsid w:val="FEDD8D01"/>
    <w:rsid w:val="FEEB9ADD"/>
    <w:rsid w:val="FEEB9D36"/>
    <w:rsid w:val="FEED4D94"/>
    <w:rsid w:val="FEEFA82B"/>
    <w:rsid w:val="FEF74500"/>
    <w:rsid w:val="FEFD7979"/>
    <w:rsid w:val="FEFE122F"/>
    <w:rsid w:val="FEFE93FF"/>
    <w:rsid w:val="FEFF9050"/>
    <w:rsid w:val="FEFFF1E8"/>
    <w:rsid w:val="FF2F02BD"/>
    <w:rsid w:val="FF37A503"/>
    <w:rsid w:val="FF3AEA09"/>
    <w:rsid w:val="FF3D1E05"/>
    <w:rsid w:val="FF3F5737"/>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A3418"/>
    <w:rsid w:val="FFCB30B4"/>
    <w:rsid w:val="FFCBCBF6"/>
    <w:rsid w:val="FFCD5AE9"/>
    <w:rsid w:val="FFCD8A82"/>
    <w:rsid w:val="FFCF1F06"/>
    <w:rsid w:val="FFCF2DF7"/>
    <w:rsid w:val="FFD3259D"/>
    <w:rsid w:val="FFD5038E"/>
    <w:rsid w:val="FFD78112"/>
    <w:rsid w:val="FFD9D6BA"/>
    <w:rsid w:val="FFDA6E28"/>
    <w:rsid w:val="FFDB52D7"/>
    <w:rsid w:val="FFDBD7E5"/>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06E6"/>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5"/>
    <w:unhideWhenUsed/>
    <w:qFormat/>
    <w:uiPriority w:val="99"/>
    <w:pPr>
      <w:spacing w:after="120"/>
    </w:pPr>
  </w:style>
  <w:style w:type="paragraph" w:styleId="7">
    <w:name w:val="annotation text"/>
    <w:basedOn w:val="1"/>
    <w:link w:val="47"/>
    <w:unhideWhenUsed/>
    <w:qFormat/>
    <w:uiPriority w:val="0"/>
    <w:pPr>
      <w:jc w:val="left"/>
    </w:pPr>
    <w:rPr>
      <w:szCs w:val="21"/>
    </w:rPr>
  </w:style>
  <w:style w:type="paragraph" w:styleId="8">
    <w:name w:val="Body Text Indent"/>
    <w:basedOn w:val="1"/>
    <w:link w:val="38"/>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4"/>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annotation subject"/>
    <w:basedOn w:val="7"/>
    <w:next w:val="7"/>
    <w:link w:val="48"/>
    <w:qFormat/>
    <w:uiPriority w:val="0"/>
    <w:rPr>
      <w:b/>
      <w:bCs/>
      <w:szCs w:val="24"/>
    </w:rPr>
  </w:style>
  <w:style w:type="paragraph" w:styleId="20">
    <w:name w:val="Body Text First Indent"/>
    <w:basedOn w:val="6"/>
    <w:qFormat/>
    <w:uiPriority w:val="0"/>
    <w:pPr>
      <w:ind w:firstLine="420" w:firstLineChars="100"/>
    </w:pPr>
  </w:style>
  <w:style w:type="table" w:styleId="22">
    <w:name w:val="Table Grid"/>
    <w:basedOn w:val="2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qFormat/>
    <w:uiPriority w:val="0"/>
    <w:rPr>
      <w:b/>
    </w:rPr>
  </w:style>
  <w:style w:type="character" w:styleId="25">
    <w:name w:val="page number"/>
    <w:qFormat/>
    <w:uiPriority w:val="0"/>
  </w:style>
  <w:style w:type="character" w:styleId="26">
    <w:name w:val="annotation reference"/>
    <w:unhideWhenUsed/>
    <w:qFormat/>
    <w:uiPriority w:val="0"/>
    <w:rPr>
      <w:sz w:val="21"/>
      <w:szCs w:val="21"/>
    </w:rPr>
  </w:style>
  <w:style w:type="paragraph" w:styleId="2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表格文字"/>
    <w:basedOn w:val="1"/>
    <w:next w:val="1"/>
    <w:qFormat/>
    <w:uiPriority w:val="0"/>
    <w:pPr>
      <w:spacing w:before="25" w:after="25"/>
      <w:jc w:val="left"/>
    </w:pPr>
    <w:rPr>
      <w:spacing w:val="10"/>
      <w:kern w:val="0"/>
      <w:sz w:val="24"/>
      <w:szCs w:val="20"/>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0">
    <w:name w:val="列出段落2"/>
    <w:basedOn w:val="1"/>
    <w:qFormat/>
    <w:uiPriority w:val="34"/>
    <w:pPr>
      <w:ind w:firstLine="420" w:firstLineChars="200"/>
    </w:p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character" w:customStyle="1" w:styleId="34">
    <w:name w:val="批注框文本 字符"/>
    <w:basedOn w:val="23"/>
    <w:link w:val="12"/>
    <w:qFormat/>
    <w:uiPriority w:val="0"/>
    <w:rPr>
      <w:kern w:val="2"/>
      <w:sz w:val="18"/>
      <w:szCs w:val="18"/>
    </w:rPr>
  </w:style>
  <w:style w:type="character" w:customStyle="1" w:styleId="35">
    <w:name w:val="正文文本 字符"/>
    <w:basedOn w:val="23"/>
    <w:link w:val="6"/>
    <w:qFormat/>
    <w:uiPriority w:val="99"/>
    <w:rPr>
      <w:kern w:val="2"/>
      <w:sz w:val="21"/>
      <w:szCs w:val="24"/>
    </w:rPr>
  </w:style>
  <w:style w:type="paragraph" w:customStyle="1" w:styleId="36">
    <w:name w:val="msolistparagraph"/>
    <w:basedOn w:val="1"/>
    <w:qFormat/>
    <w:uiPriority w:val="0"/>
    <w:pPr>
      <w:ind w:firstLine="420" w:firstLineChars="200"/>
    </w:pPr>
  </w:style>
  <w:style w:type="paragraph" w:customStyle="1" w:styleId="37">
    <w:name w:val="正文格式"/>
    <w:basedOn w:val="8"/>
    <w:qFormat/>
    <w:uiPriority w:val="99"/>
    <w:pPr>
      <w:spacing w:after="0" w:line="360" w:lineRule="auto"/>
      <w:ind w:left="0" w:leftChars="0" w:firstLine="600"/>
    </w:pPr>
    <w:rPr>
      <w:rFonts w:eastAsia="仿宋_GB2312"/>
      <w:sz w:val="30"/>
      <w:szCs w:val="30"/>
    </w:rPr>
  </w:style>
  <w:style w:type="character" w:customStyle="1" w:styleId="38">
    <w:name w:val="正文文本缩进 字符"/>
    <w:link w:val="8"/>
    <w:semiHidden/>
    <w:qFormat/>
    <w:uiPriority w:val="99"/>
    <w:rPr>
      <w:kern w:val="0"/>
      <w:sz w:val="20"/>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9前海 标题"/>
    <w:basedOn w:val="1"/>
    <w:next w:val="42"/>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2">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3">
    <w:name w:val="1级标题"/>
    <w:basedOn w:val="1"/>
    <w:next w:val="44"/>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4">
    <w:name w:val="9前海 正文"/>
    <w:basedOn w:val="42"/>
    <w:qFormat/>
    <w:uiPriority w:val="0"/>
    <w:pPr>
      <w:ind w:firstLine="640"/>
    </w:pPr>
    <w:rPr>
      <w:rFonts w:ascii="仿宋_GB2312" w:eastAsia="仿宋_GB2312"/>
    </w:rPr>
  </w:style>
  <w:style w:type="paragraph" w:customStyle="1" w:styleId="45">
    <w:name w:val="2级标题"/>
    <w:basedOn w:val="44"/>
    <w:next w:val="44"/>
    <w:qFormat/>
    <w:uiPriority w:val="0"/>
    <w:pPr>
      <w:ind w:firstLine="643"/>
      <w:outlineLvl w:val="1"/>
    </w:pPr>
    <w:rPr>
      <w:rFonts w:ascii="楷体_GB2312" w:hAnsi="楷体" w:eastAsia="楷体_GB2312"/>
      <w:b/>
    </w:rPr>
  </w:style>
  <w:style w:type="character" w:customStyle="1" w:styleId="46">
    <w:name w:val="15"/>
    <w:basedOn w:val="23"/>
    <w:qFormat/>
    <w:uiPriority w:val="0"/>
    <w:rPr>
      <w:rFonts w:hint="default" w:ascii="Times New Roman" w:hAnsi="Times New Roman" w:cs="Times New Roman"/>
    </w:rPr>
  </w:style>
  <w:style w:type="character" w:customStyle="1" w:styleId="47">
    <w:name w:val="批注文字 字符"/>
    <w:basedOn w:val="23"/>
    <w:link w:val="7"/>
    <w:qFormat/>
    <w:uiPriority w:val="0"/>
    <w:rPr>
      <w:kern w:val="2"/>
      <w:sz w:val="21"/>
      <w:szCs w:val="21"/>
    </w:rPr>
  </w:style>
  <w:style w:type="character" w:customStyle="1" w:styleId="48">
    <w:name w:val="批注主题 字符"/>
    <w:basedOn w:val="47"/>
    <w:link w:val="19"/>
    <w:qFormat/>
    <w:uiPriority w:val="0"/>
    <w:rPr>
      <w:b/>
      <w:bCs/>
      <w:kern w:val="2"/>
      <w:sz w:val="21"/>
      <w:szCs w:val="24"/>
    </w:rPr>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29200</Words>
  <Characters>29947</Characters>
  <Lines>388</Lines>
  <Paragraphs>109</Paragraphs>
  <TotalTime>37</TotalTime>
  <ScaleCrop>false</ScaleCrop>
  <LinksUpToDate>false</LinksUpToDate>
  <CharactersWithSpaces>30562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2023-10-01T04:34:00Z</dcterms:created>
  <dc:creator>黄雅静</dc:creator>
  <cp:lastModifiedBy>黎俊</cp:lastModifiedBy>
  <cp:lastPrinted>2023-11-15T03:12:00Z</cp:lastPrinted>
  <dcterms:modified xsi:type="dcterms:W3CDTF">2025-07-24T09:50:38Z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2B031315A5FD4B4C9ACDA3764DB85129_13</vt:lpwstr>
  </property>
  <property fmtid="{D5CDD505-2E9C-101B-9397-08002B2CF9AE}" pid="4" name="KSOTemplateDocerSaveRecord">
    <vt:lpwstr>eyJoZGlkIjoiMWViNjU1YjYxMmE1ZjA1ZGI4YzZiMWU4ZDg3Zjk4MWMiLCJ1c2VySWQiOiIxNDg2ODI2MzgyIn0=</vt:lpwstr>
  </property>
</Properties>
</file>