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30"/>
        <w:ind w:firstLine="420"/>
        <w:rPr>
          <w:rFonts w:hint="eastAsia" w:ascii="宋体" w:hAnsi="宋体" w:cs="宋体"/>
        </w:rPr>
      </w:pPr>
    </w:p>
    <w:p>
      <w:pPr>
        <w:pStyle w:val="30"/>
        <w:ind w:firstLine="420"/>
        <w:rPr>
          <w:rFonts w:hint="eastAsia" w:ascii="宋体" w:hAnsi="宋体" w:cs="宋体"/>
        </w:rPr>
      </w:pPr>
    </w:p>
    <w:p>
      <w:pPr>
        <w:rPr>
          <w:rFonts w:hint="eastAsia" w:ascii="宋体" w:hAnsi="宋体" w:cs="宋体"/>
          <w:b/>
          <w:sz w:val="44"/>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招标编号：QH2025042</w:t>
      </w:r>
    </w:p>
    <w:p>
      <w:pPr>
        <w:pStyle w:val="30"/>
        <w:ind w:firstLine="420"/>
        <w:rPr>
          <w:rFonts w:hint="eastAsia" w:ascii="宋体" w:hAnsi="宋体" w:cs="宋体"/>
        </w:rPr>
      </w:pPr>
    </w:p>
    <w:p>
      <w:pPr>
        <w:pStyle w:val="30"/>
        <w:ind w:firstLine="420"/>
        <w:rPr>
          <w:rFonts w:hint="eastAsia" w:ascii="宋体" w:hAnsi="宋体" w:cs="宋体"/>
        </w:rPr>
      </w:pPr>
    </w:p>
    <w:p>
      <w:pPr>
        <w:pStyle w:val="30"/>
        <w:ind w:firstLine="420"/>
        <w:rPr>
          <w:rFonts w:hint="eastAsia" w:ascii="宋体" w:hAnsi="宋体" w:cs="宋体"/>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招标项目：前海深港现代服务业合作区2025-2026年度建设用地及农转用组卷技术服务</w:t>
      </w:r>
    </w:p>
    <w:p>
      <w:pPr>
        <w:ind w:firstLine="3264" w:firstLineChars="739"/>
        <w:rPr>
          <w:rFonts w:hint="eastAsia" w:ascii="宋体" w:hAnsi="宋体" w:cs="宋体"/>
          <w:b/>
          <w:sz w:val="44"/>
        </w:rPr>
      </w:pPr>
    </w:p>
    <w:p>
      <w:pPr>
        <w:ind w:left="1260" w:leftChars="600" w:firstLine="1855" w:firstLineChars="420"/>
        <w:rPr>
          <w:rFonts w:hint="eastAsia" w:ascii="宋体" w:hAnsi="宋体" w:cs="宋体"/>
          <w:b/>
          <w:sz w:val="44"/>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6</w:t>
      </w:r>
      <w:r>
        <w:rPr>
          <w:rFonts w:hint="eastAsia" w:ascii="宋体" w:hAnsi="宋体" w:cs="宋体"/>
          <w:b/>
          <w:bCs/>
          <w:sz w:val="36"/>
          <w:szCs w:val="36"/>
        </w:rPr>
        <w:t>月</w:t>
      </w:r>
    </w:p>
    <w:p>
      <w:pPr>
        <w:autoSpaceDE w:val="0"/>
        <w:autoSpaceDN w:val="0"/>
        <w:adjustRightInd w:val="0"/>
        <w:spacing w:line="360" w:lineRule="auto"/>
        <w:jc w:val="center"/>
        <w:rPr>
          <w:rFonts w:hint="eastAsia"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sz w:val="24"/>
              </w:rPr>
            </w:pPr>
            <w:r>
              <w:rPr>
                <w:rFonts w:hint="eastAsia" w:ascii="宋体" w:hAnsi="宋体" w:cs="宋体"/>
                <w:b/>
                <w:bCs/>
                <w:sz w:val="24"/>
              </w:rPr>
              <w:t>序号</w:t>
            </w:r>
          </w:p>
        </w:tc>
        <w:tc>
          <w:tcPr>
            <w:tcW w:w="4482"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1</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2</w:t>
            </w:r>
          </w:p>
        </w:tc>
        <w:tc>
          <w:tcPr>
            <w:tcW w:w="4482"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3</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4</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5</w:t>
            </w:r>
          </w:p>
        </w:tc>
        <w:tc>
          <w:tcPr>
            <w:tcW w:w="4482"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pStyle w:val="3"/>
      </w:pP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firstLine="482" w:firstLineChars="200"/>
        <w:jc w:val="left"/>
        <w:rPr>
          <w:rFonts w:hint="eastAsia" w:ascii="宋体" w:hAnsi="宋体" w:cs="宋体"/>
          <w:sz w:val="24"/>
        </w:rPr>
      </w:pPr>
      <w:r>
        <w:rPr>
          <w:rStyle w:val="25"/>
          <w:rFonts w:hint="eastAsia" w:ascii="宋体" w:hAnsi="宋体" w:cs="宋体"/>
          <w:sz w:val="24"/>
        </w:rPr>
        <w:t>第五十七条</w:t>
      </w:r>
      <w:r>
        <w:rPr>
          <w:rFonts w:hint="eastAsia" w:ascii="宋体" w:hAnsi="宋体" w:cs="宋体"/>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9"/>
        <w:shd w:val="clear" w:color="auto" w:fill="FFFFFF"/>
        <w:spacing w:before="0" w:beforeAutospacing="0" w:after="0" w:afterAutospacing="0" w:line="360" w:lineRule="auto"/>
        <w:ind w:firstLine="480" w:firstLineChars="200"/>
        <w:rPr>
          <w:rFonts w:hint="eastAsia"/>
        </w:rPr>
      </w:pPr>
      <w:bookmarkStart w:id="1" w:name="_Toc2750"/>
      <w:r>
        <w:rPr>
          <w:rFonts w:hint="eastAsia"/>
        </w:rPr>
        <w:t>（一）在采购活动中应当回避而未回避的；</w:t>
      </w:r>
      <w:bookmarkEnd w:id="1"/>
    </w:p>
    <w:p>
      <w:pPr>
        <w:pStyle w:val="19"/>
        <w:shd w:val="clear" w:color="auto" w:fill="FFFFFF"/>
        <w:spacing w:before="0" w:beforeAutospacing="0" w:after="0" w:afterAutospacing="0" w:line="360" w:lineRule="auto"/>
        <w:ind w:firstLine="480" w:firstLineChars="200"/>
        <w:rPr>
          <w:rFonts w:hint="eastAsia"/>
        </w:rPr>
      </w:pPr>
      <w:r>
        <w:rPr>
          <w:rFonts w:hint="eastAsia"/>
        </w:rPr>
        <w:t>（二）未按照本条例规定签订、履行采购合同，造成严重后果的；</w:t>
      </w:r>
    </w:p>
    <w:p>
      <w:pPr>
        <w:pStyle w:val="19"/>
        <w:shd w:val="clear" w:color="auto" w:fill="FFFFFF"/>
        <w:spacing w:before="0" w:beforeAutospacing="0" w:after="0" w:afterAutospacing="0" w:line="360" w:lineRule="auto"/>
        <w:ind w:firstLine="480" w:firstLineChars="200"/>
        <w:rPr>
          <w:rFonts w:hint="eastAsia"/>
        </w:rPr>
      </w:pPr>
      <w:r>
        <w:rPr>
          <w:rFonts w:hint="eastAsia"/>
        </w:rPr>
        <w:t>（三）隐瞒真实情况，提供虚假资料的；</w:t>
      </w:r>
    </w:p>
    <w:p>
      <w:pPr>
        <w:pStyle w:val="19"/>
        <w:shd w:val="clear" w:color="auto" w:fill="FFFFFF"/>
        <w:spacing w:before="0" w:beforeAutospacing="0" w:after="0" w:afterAutospacing="0" w:line="360" w:lineRule="auto"/>
        <w:ind w:firstLine="480" w:firstLineChars="200"/>
        <w:rPr>
          <w:rFonts w:hint="eastAsia"/>
        </w:rPr>
      </w:pPr>
      <w:r>
        <w:rPr>
          <w:rFonts w:hint="eastAsia"/>
        </w:rPr>
        <w:t>（四）以非法手段排斥其他供应商参与竞争的；</w:t>
      </w:r>
    </w:p>
    <w:p>
      <w:pPr>
        <w:pStyle w:val="19"/>
        <w:shd w:val="clear" w:color="auto" w:fill="FFFFFF"/>
        <w:spacing w:before="0" w:beforeAutospacing="0" w:after="0" w:afterAutospacing="0" w:line="360" w:lineRule="auto"/>
        <w:ind w:firstLine="480" w:firstLineChars="200"/>
        <w:rPr>
          <w:rFonts w:hint="eastAsia"/>
        </w:rPr>
      </w:pPr>
      <w:r>
        <w:rPr>
          <w:rFonts w:hint="eastAsia"/>
        </w:rPr>
        <w:t>（五）与其他采购参加人串通投标的；</w:t>
      </w:r>
    </w:p>
    <w:p>
      <w:pPr>
        <w:pStyle w:val="19"/>
        <w:shd w:val="clear" w:color="auto" w:fill="FFFFFF"/>
        <w:spacing w:before="0" w:beforeAutospacing="0" w:after="0" w:afterAutospacing="0" w:line="360" w:lineRule="auto"/>
        <w:ind w:firstLine="480" w:firstLineChars="200"/>
        <w:rPr>
          <w:rFonts w:hint="eastAsia"/>
        </w:rPr>
      </w:pPr>
      <w:r>
        <w:rPr>
          <w:rFonts w:hint="eastAsia"/>
        </w:rPr>
        <w:t>（六）恶意投诉的；</w:t>
      </w:r>
    </w:p>
    <w:p>
      <w:pPr>
        <w:pStyle w:val="19"/>
        <w:shd w:val="clear" w:color="auto" w:fill="FFFFFF"/>
        <w:spacing w:before="0" w:beforeAutospacing="0" w:after="0" w:afterAutospacing="0" w:line="360" w:lineRule="auto"/>
        <w:ind w:firstLine="480" w:firstLineChars="200"/>
        <w:rPr>
          <w:rFonts w:hint="eastAsia"/>
        </w:rPr>
      </w:pPr>
      <w:r>
        <w:rPr>
          <w:rFonts w:hint="eastAsia"/>
        </w:rPr>
        <w:t>（七）向采购项目相关人行贿或者提供其他不当利益的；</w:t>
      </w:r>
    </w:p>
    <w:p>
      <w:pPr>
        <w:pStyle w:val="19"/>
        <w:shd w:val="clear" w:color="auto" w:fill="FFFFFF"/>
        <w:spacing w:before="0" w:beforeAutospacing="0" w:after="0" w:afterAutospacing="0" w:line="360" w:lineRule="auto"/>
        <w:ind w:firstLine="480" w:firstLineChars="200"/>
        <w:rPr>
          <w:rFonts w:hint="eastAsia"/>
        </w:rPr>
      </w:pPr>
      <w:r>
        <w:rPr>
          <w:rFonts w:hint="eastAsia"/>
        </w:rPr>
        <w:t>（八）阻碍、抗拒主管部门监督检查的；</w:t>
      </w:r>
    </w:p>
    <w:p>
      <w:pPr>
        <w:pStyle w:val="19"/>
        <w:shd w:val="clear" w:color="auto" w:fill="FFFFFF"/>
        <w:spacing w:before="0" w:beforeAutospacing="0" w:after="0" w:afterAutospacing="0" w:line="360" w:lineRule="auto"/>
        <w:ind w:firstLine="480" w:firstLineChars="200"/>
        <w:rPr>
          <w:rFonts w:hint="eastAsia"/>
        </w:rPr>
      </w:pPr>
      <w:r>
        <w:rPr>
          <w:rFonts w:hint="eastAsia"/>
        </w:rPr>
        <w:t>（九）其他违反本条例规定的行为。</w:t>
      </w:r>
    </w:p>
    <w:p>
      <w:pPr>
        <w:autoSpaceDE w:val="0"/>
        <w:autoSpaceDN w:val="0"/>
        <w:adjustRightInd w:val="0"/>
        <w:spacing w:line="360" w:lineRule="auto"/>
        <w:ind w:firstLine="360" w:firstLineChars="150"/>
        <w:jc w:val="left"/>
        <w:rPr>
          <w:rFonts w:hint="eastAsia" w:ascii="宋体" w:hAnsi="宋体" w:cs="宋体"/>
          <w:kern w:val="0"/>
          <w:sz w:val="24"/>
        </w:rPr>
      </w:pP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spacing w:line="360" w:lineRule="auto"/>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spacing w:line="360" w:lineRule="auto"/>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hint="eastAsia" w:ascii="宋体" w:hAnsi="宋体" w:cs="宋体"/>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pStyle w:val="3"/>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pStyle w:val="3"/>
        <w:tabs>
          <w:tab w:val="left" w:pos="562"/>
          <w:tab w:val="left" w:pos="3372"/>
          <w:tab w:val="left" w:pos="3653"/>
        </w:tabs>
        <w:spacing w:line="360" w:lineRule="auto"/>
        <w:ind w:firstLine="482" w:firstLineChars="200"/>
        <w:rPr>
          <w:rFonts w:hint="eastAsia" w:ascii="宋体" w:hAnsi="宋体" w:cs="宋体"/>
          <w:b/>
          <w:bCs/>
        </w:rPr>
      </w:pPr>
      <w:r>
        <w:rPr>
          <w:rFonts w:hint="eastAsia" w:ascii="宋体" w:hAnsi="宋体" w:cs="宋体"/>
          <w:b/>
          <w:bCs/>
        </w:rPr>
        <w:t>强化政府采购异常低价审查：</w:t>
      </w:r>
    </w:p>
    <w:p>
      <w:pPr>
        <w:pStyle w:val="3"/>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试点地区采购人应当在采购文件中明确异常低价投标（响应）审查的有关内容，主要包括：</w:t>
      </w:r>
    </w:p>
    <w:p>
      <w:pPr>
        <w:pStyle w:val="3"/>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3"/>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3"/>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 xml:space="preserve">  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sz w:val="36"/>
          <w:szCs w:val="36"/>
          <w:lang w:val="zh-CN"/>
        </w:rPr>
      </w:pPr>
      <w:r>
        <w:rPr>
          <w:rFonts w:hint="eastAsia" w:ascii="宋体" w:hAnsi="宋体" w:cs="宋体"/>
          <w:b/>
          <w:bCs/>
          <w:sz w:val="36"/>
          <w:szCs w:val="36"/>
          <w:lang w:val="zh-CN"/>
        </w:rPr>
        <w:br w:type="page"/>
      </w:r>
      <w:bookmarkStart w:id="6" w:name="_Toc20808"/>
      <w:r>
        <w:rPr>
          <w:rFonts w:hint="eastAsia" w:ascii="宋体" w:hAnsi="宋体" w:cs="宋体"/>
          <w:b/>
          <w:bCs/>
          <w:sz w:val="36"/>
          <w:szCs w:val="36"/>
          <w:lang w:val="zh-CN"/>
        </w:rPr>
        <w:t>目录</w:t>
      </w:r>
      <w:bookmarkEnd w:id="0"/>
      <w:bookmarkEnd w:id="6"/>
    </w:p>
    <w:p>
      <w:pPr>
        <w:pStyle w:val="17"/>
        <w:tabs>
          <w:tab w:val="right" w:leader="dot" w:pos="8306"/>
        </w:tabs>
        <w:spacing w:line="480" w:lineRule="auto"/>
        <w:rPr>
          <w:b/>
          <w:bCs/>
          <w:sz w:val="24"/>
          <w:szCs w:val="32"/>
        </w:rPr>
      </w:pPr>
    </w:p>
    <w:p>
      <w:pPr>
        <w:pStyle w:val="17"/>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6</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10</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13</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15</w:t>
      </w:r>
      <w:r>
        <w:rPr>
          <w:b/>
          <w:bCs/>
          <w:sz w:val="24"/>
        </w:rPr>
        <w:fldChar w:fldCharType="end"/>
      </w:r>
      <w:r>
        <w:rPr>
          <w:b/>
          <w:bCs/>
          <w:sz w:val="24"/>
        </w:rPr>
        <w:fldChar w:fldCharType="end"/>
      </w:r>
    </w:p>
    <w:p>
      <w:pPr>
        <w:pStyle w:val="17"/>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26</w:t>
      </w:r>
    </w:p>
    <w:p>
      <w:pPr>
        <w:pStyle w:val="17"/>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32</w:t>
      </w:r>
    </w:p>
    <w:p>
      <w:pPr>
        <w:pStyle w:val="17"/>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38</w:t>
      </w:r>
    </w:p>
    <w:p>
      <w:pPr>
        <w:pStyle w:val="17"/>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57</w:t>
      </w:r>
    </w:p>
    <w:p>
      <w:pPr>
        <w:pStyle w:val="17"/>
        <w:tabs>
          <w:tab w:val="right" w:leader="dot" w:pos="8306"/>
        </w:tabs>
        <w:spacing w:line="360" w:lineRule="auto"/>
        <w:rPr>
          <w:rFonts w:hint="eastAsia"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17273"/>
      <w:r>
        <w:rPr>
          <w:rFonts w:hint="eastAsia" w:ascii="宋体" w:hAnsi="宋体" w:cs="宋体"/>
          <w:b/>
          <w:bCs/>
          <w:sz w:val="24"/>
        </w:rPr>
        <w:t>招标邀请书（招标公告）</w:t>
      </w:r>
      <w:bookmarkEnd w:id="7"/>
    </w:p>
    <w:p>
      <w:pPr>
        <w:spacing w:line="360" w:lineRule="auto"/>
        <w:ind w:firstLine="480" w:firstLineChars="200"/>
        <w:jc w:val="right"/>
        <w:rPr>
          <w:rFonts w:hint="eastAsia" w:ascii="宋体" w:hAnsi="宋体" w:cs="宋体"/>
          <w:sz w:val="24"/>
        </w:rPr>
      </w:pPr>
      <w:r>
        <w:rPr>
          <w:rFonts w:hint="eastAsia" w:ascii="宋体" w:hAnsi="宋体" w:cs="宋体"/>
          <w:sz w:val="24"/>
        </w:rPr>
        <w:t>文件编码：0722-2025FE6142SZF-1</w:t>
      </w:r>
    </w:p>
    <w:p>
      <w:pPr>
        <w:spacing w:line="360" w:lineRule="auto"/>
        <w:ind w:firstLine="480" w:firstLineChars="200"/>
        <w:jc w:val="left"/>
        <w:rPr>
          <w:rFonts w:hint="eastAsia" w:ascii="宋体" w:hAnsi="宋体" w:cs="宋体"/>
          <w:sz w:val="24"/>
        </w:rPr>
      </w:pPr>
      <w:r>
        <w:rPr>
          <w:rFonts w:hint="eastAsia" w:ascii="宋体" w:hAnsi="宋体" w:cs="宋体"/>
          <w:sz w:val="24"/>
        </w:rPr>
        <w:t>中国远东国际招标有限公司（以下简称采购代理机构）受深圳市前海深港现代服务业合作区管理局委托就</w:t>
      </w:r>
      <w:r>
        <w:rPr>
          <w:rFonts w:hint="eastAsia" w:ascii="宋体" w:hAnsi="宋体" w:cs="宋体"/>
          <w:sz w:val="24"/>
          <w:u w:val="single"/>
        </w:rPr>
        <w:t>前海深港现代服务业合作区2025-2026年度建设用地及农转用组卷技术服务</w:t>
      </w:r>
      <w:r>
        <w:rPr>
          <w:rFonts w:hint="eastAsia" w:ascii="宋体" w:hAnsi="宋体" w:cs="宋体"/>
          <w:sz w:val="24"/>
        </w:rPr>
        <w:t>（招标编号：</w:t>
      </w:r>
      <w:r>
        <w:rPr>
          <w:rFonts w:hint="eastAsia" w:ascii="宋体" w:hAnsi="宋体" w:cs="宋体"/>
          <w:sz w:val="24"/>
          <w:u w:val="single"/>
        </w:rPr>
        <w:t>QH2025042</w:t>
      </w:r>
      <w:r>
        <w:rPr>
          <w:rFonts w:hint="eastAsia" w:ascii="宋体" w:hAnsi="宋体" w:cs="宋体"/>
          <w:sz w:val="24"/>
        </w:rPr>
        <w:t>）采用简易招标方式采购，欢迎符合投标人资格要求的专业供应商积极参加投标。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招标编号</w:t>
            </w:r>
          </w:p>
        </w:tc>
        <w:tc>
          <w:tcPr>
            <w:tcW w:w="7015" w:type="dxa"/>
            <w:vAlign w:val="center"/>
          </w:tcPr>
          <w:p>
            <w:pPr>
              <w:spacing w:line="360" w:lineRule="auto"/>
              <w:rPr>
                <w:rFonts w:hint="eastAsia" w:ascii="宋体" w:hAnsi="宋体" w:cs="宋体"/>
                <w:sz w:val="24"/>
              </w:rPr>
            </w:pPr>
            <w:r>
              <w:rPr>
                <w:rFonts w:hint="eastAsia" w:ascii="宋体" w:hAnsi="宋体" w:cs="宋体"/>
                <w:sz w:val="24"/>
                <w:u w:val="single"/>
              </w:rPr>
              <w:t>QH2025042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hint="eastAsia" w:ascii="宋体" w:hAnsi="宋体" w:cs="宋体"/>
                <w:sz w:val="24"/>
              </w:rPr>
              <w:t>前海深港现代服务业合作区2025-2026年度建设用地及农转用组卷技术服务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ind w:firstLine="480" w:firstLineChars="200"/>
            </w:pPr>
            <w:r>
              <w:rPr>
                <w:rFonts w:hint="eastAsia" w:ascii="宋体" w:hAnsi="宋体" w:cs="宋体"/>
                <w:sz w:val="24"/>
              </w:rPr>
              <w:t>建设项目用地农转用组卷兼具政策性和专业性，为满足业务辅助的需求，有必要选取技术单位提供相关技术支撑，现拟通过简易招标方式继续采购技术单位承接此项工作。具体详见用户需求书。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p>
            <w:pPr>
              <w:spacing w:line="360" w:lineRule="auto"/>
              <w:jc w:val="center"/>
              <w:rPr>
                <w:rFonts w:hint="eastAsia" w:ascii="宋体" w:hAnsi="宋体" w:cs="宋体"/>
                <w:sz w:val="24"/>
              </w:rPr>
            </w:pPr>
            <w:r>
              <w:rPr>
                <w:rFonts w:hint="eastAsia" w:ascii="宋体" w:hAnsi="宋体" w:cs="宋体"/>
                <w:sz w:val="24"/>
              </w:rPr>
              <w:t>（最高限价）</w:t>
            </w:r>
          </w:p>
        </w:tc>
        <w:tc>
          <w:tcPr>
            <w:tcW w:w="7015" w:type="dxa"/>
            <w:vAlign w:val="center"/>
          </w:tcPr>
          <w:p>
            <w:pPr>
              <w:spacing w:line="360" w:lineRule="auto"/>
              <w:rPr>
                <w:rFonts w:hint="eastAsia" w:ascii="宋体" w:hAnsi="宋体" w:cs="宋体"/>
                <w:sz w:val="24"/>
              </w:rPr>
            </w:pPr>
            <w:r>
              <w:rPr>
                <w:rFonts w:hint="eastAsia" w:ascii="宋体" w:hAnsi="宋体" w:cs="宋体"/>
                <w:sz w:val="24"/>
              </w:rPr>
              <w:t>¥820,000.00（人民币捌拾贰万元整）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2025年</w:t>
            </w:r>
            <w:r>
              <w:rPr>
                <w:rFonts w:hint="eastAsia" w:ascii="宋体" w:hAnsi="宋体" w:cs="宋体"/>
                <w:b/>
                <w:bCs/>
                <w:kern w:val="0"/>
                <w:sz w:val="24"/>
                <w:lang w:val="en-US" w:eastAsia="zh-CN"/>
              </w:rPr>
              <w:t>6</w:t>
            </w:r>
            <w:r>
              <w:rPr>
                <w:rFonts w:hint="eastAsia" w:ascii="宋体" w:hAnsi="宋体" w:cs="宋体"/>
                <w:b/>
                <w:bCs/>
                <w:kern w:val="0"/>
                <w:sz w:val="24"/>
              </w:rPr>
              <w:t>月</w:t>
            </w:r>
            <w:r>
              <w:rPr>
                <w:rFonts w:hint="eastAsia" w:ascii="宋体" w:hAnsi="宋体" w:cs="宋体"/>
                <w:b/>
                <w:bCs/>
                <w:kern w:val="0"/>
                <w:sz w:val="24"/>
                <w:lang w:val="en-US" w:eastAsia="zh-CN"/>
              </w:rPr>
              <w:t>17</w:t>
            </w:r>
            <w:r>
              <w:rPr>
                <w:rFonts w:hint="eastAsia" w:ascii="宋体" w:hAnsi="宋体" w:cs="宋体"/>
                <w:b/>
                <w:bCs/>
                <w:kern w:val="0"/>
                <w:sz w:val="24"/>
              </w:rPr>
              <w:t>日1</w:t>
            </w:r>
            <w:r>
              <w:rPr>
                <w:rFonts w:hint="eastAsia" w:ascii="宋体" w:hAnsi="宋体" w:cs="宋体"/>
                <w:b/>
                <w:bCs/>
                <w:kern w:val="0"/>
                <w:sz w:val="24"/>
                <w:lang w:val="en-US" w:eastAsia="zh-CN"/>
              </w:rPr>
              <w:t>4</w:t>
            </w:r>
            <w:r>
              <w:rPr>
                <w:rFonts w:hint="eastAsia" w:ascii="宋体" w:hAnsi="宋体" w:cs="宋体"/>
                <w:b/>
                <w:bCs/>
                <w:kern w:val="0"/>
                <w:sz w:val="24"/>
              </w:rPr>
              <w:t>：</w:t>
            </w:r>
            <w:r>
              <w:rPr>
                <w:rFonts w:hint="eastAsia" w:ascii="宋体" w:hAnsi="宋体" w:cs="宋体"/>
                <w:b/>
                <w:bCs/>
                <w:kern w:val="0"/>
                <w:sz w:val="24"/>
                <w:lang w:val="en-US" w:eastAsia="zh-CN"/>
              </w:rPr>
              <w:t>3</w:t>
            </w:r>
            <w:r>
              <w:rPr>
                <w:rFonts w:hint="eastAsia" w:ascii="宋体" w:hAnsi="宋体" w:cs="宋体"/>
                <w:b/>
                <w:bCs/>
                <w:kern w:val="0"/>
                <w:sz w:val="24"/>
              </w:rPr>
              <w:t>0时（北京时间）</w:t>
            </w:r>
            <w:r>
              <w:rPr>
                <w:rFonts w:hint="eastAsia" w:ascii="宋体" w:hAnsi="宋体" w:cs="宋体"/>
                <w:kern w:val="0"/>
                <w:sz w:val="24"/>
              </w:rPr>
              <w:t>前送达（现场递交或邮寄）至深圳市南山区前海深港合作区桂湾五路123号前海管理局前海大厦T1栋2510办公室</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联  系  人：丹工</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电      话：0755-</w:t>
            </w:r>
            <w:r>
              <w:rPr>
                <w:rFonts w:ascii="宋体" w:hAnsi="宋体" w:cs="宋体"/>
                <w:kern w:val="0"/>
                <w:sz w:val="24"/>
              </w:rPr>
              <w:t>88105410</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hint="eastAsia"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w:t>
            </w:r>
            <w:r>
              <w:rPr>
                <w:rFonts w:hint="eastAsia" w:ascii="宋体" w:hAnsi="宋体" w:cs="宋体"/>
                <w:b/>
                <w:bCs/>
                <w:kern w:val="0"/>
                <w:sz w:val="24"/>
              </w:rPr>
              <w:t>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其他未列明行业。</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sz w:val="24"/>
              </w:rPr>
            </w:pPr>
            <w:r>
              <w:rPr>
                <w:rFonts w:hint="eastAsia" w:ascii="宋体" w:hAnsi="宋体" w:cs="宋体"/>
                <w:sz w:val="24"/>
              </w:rPr>
              <w:t>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项目服务费包括但不限于：</w:t>
            </w:r>
            <w:r>
              <w:rPr>
                <w:rFonts w:hint="eastAsia" w:ascii="宋体" w:hAnsi="宋体" w:cs="宋体"/>
                <w:kern w:val="0"/>
                <w:sz w:val="24"/>
              </w:rPr>
              <w:t>本项目调研、劳务费、法定税费和利润以及中标人为完成本项目服务所发生的全部相关费用</w:t>
            </w:r>
            <w:r>
              <w:rPr>
                <w:rFonts w:hint="eastAsia" w:ascii="宋体" w:hAnsi="宋体" w:cs="宋体"/>
                <w:sz w:val="24"/>
              </w:rPr>
              <w:t>。一经中标，投标报价作为中标单位与采购人</w:t>
            </w:r>
            <w:r>
              <w:rPr>
                <w:rFonts w:hint="eastAsia" w:ascii="宋体" w:hAnsi="宋体" w:cs="宋体"/>
                <w:sz w:val="24"/>
                <w:lang w:eastAsia="zh-CN"/>
              </w:rPr>
              <w:t>签订</w:t>
            </w:r>
            <w:r>
              <w:rPr>
                <w:rFonts w:hint="eastAsia" w:ascii="宋体" w:hAnsi="宋体" w:cs="宋体"/>
                <w:sz w:val="24"/>
              </w:rPr>
              <w:t>的合同金额，在合同实施期间，除另签补充合同外，不接受中标人以任何理由、任何名目提出增加费用的要求。</w:t>
            </w:r>
          </w:p>
          <w:p>
            <w:pPr>
              <w:numPr>
                <w:ilvl w:val="0"/>
                <w:numId w:val="3"/>
              </w:numPr>
              <w:spacing w:line="360" w:lineRule="auto"/>
              <w:rPr>
                <w:rFonts w:hint="eastAsia"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1.采购人信息</w:t>
            </w:r>
          </w:p>
          <w:p>
            <w:pPr>
              <w:spacing w:line="360" w:lineRule="auto"/>
              <w:rPr>
                <w:rFonts w:hint="eastAsia" w:ascii="宋体" w:hAnsi="宋体" w:cs="宋体"/>
                <w:kern w:val="0"/>
                <w:sz w:val="24"/>
              </w:rPr>
            </w:pPr>
            <w:bookmarkStart w:id="8" w:name="_Toc28359086"/>
            <w:bookmarkStart w:id="9" w:name="_Toc28359009"/>
            <w:r>
              <w:rPr>
                <w:rFonts w:hint="eastAsia" w:ascii="宋体" w:hAnsi="宋体" w:cs="宋体"/>
                <w:kern w:val="0"/>
                <w:sz w:val="24"/>
              </w:rPr>
              <w:t>名  称：深圳市前海深港现代服务业合作区管理局</w:t>
            </w:r>
          </w:p>
          <w:p>
            <w:pPr>
              <w:spacing w:line="360" w:lineRule="auto"/>
              <w:rPr>
                <w:rFonts w:hint="eastAsia" w:ascii="宋体" w:hAnsi="宋体" w:cs="宋体"/>
                <w:kern w:val="0"/>
                <w:sz w:val="24"/>
              </w:rPr>
            </w:pPr>
            <w:r>
              <w:rPr>
                <w:rFonts w:hint="eastAsia" w:ascii="宋体" w:hAnsi="宋体" w:cs="宋体"/>
                <w:kern w:val="0"/>
                <w:sz w:val="24"/>
              </w:rPr>
              <w:t>地  址：深圳市南山区前海深港合作区桂湾五路123号前海管理局前海大厦T1栋　　　　　　　　　</w:t>
            </w:r>
          </w:p>
          <w:p>
            <w:pPr>
              <w:spacing w:line="360" w:lineRule="auto"/>
              <w:rPr>
                <w:rFonts w:hint="eastAsia" w:ascii="宋体" w:hAnsi="宋体" w:cs="宋体"/>
                <w:kern w:val="0"/>
                <w:sz w:val="24"/>
              </w:rPr>
            </w:pPr>
            <w:r>
              <w:rPr>
                <w:rFonts w:hint="eastAsia" w:ascii="宋体" w:hAnsi="宋体" w:cs="宋体"/>
                <w:kern w:val="0"/>
                <w:sz w:val="24"/>
              </w:rPr>
              <w:t>联系人：丹工</w:t>
            </w:r>
          </w:p>
          <w:p>
            <w:pPr>
              <w:spacing w:line="360" w:lineRule="auto"/>
              <w:rPr>
                <w:rFonts w:hint="eastAsia" w:ascii="宋体" w:hAnsi="宋体" w:cs="宋体"/>
                <w:kern w:val="0"/>
                <w:sz w:val="24"/>
              </w:rPr>
            </w:pPr>
            <w:r>
              <w:rPr>
                <w:rFonts w:hint="eastAsia" w:ascii="宋体" w:hAnsi="宋体" w:cs="宋体"/>
                <w:kern w:val="0"/>
                <w:sz w:val="24"/>
              </w:rPr>
              <w:t>电  话：0755</w:t>
            </w:r>
            <w:bookmarkStart w:id="10" w:name="OLE_LINK3"/>
            <w:r>
              <w:rPr>
                <w:rFonts w:hint="eastAsia" w:ascii="宋体" w:hAnsi="宋体" w:cs="宋体"/>
                <w:kern w:val="0"/>
                <w:sz w:val="24"/>
              </w:rPr>
              <w:t>-</w:t>
            </w:r>
            <w:r>
              <w:rPr>
                <w:rFonts w:ascii="宋体" w:hAnsi="宋体" w:cs="宋体"/>
                <w:kern w:val="0"/>
                <w:sz w:val="24"/>
              </w:rPr>
              <w:t>88105410</w:t>
            </w:r>
            <w:bookmarkEnd w:id="10"/>
          </w:p>
          <w:p>
            <w:pPr>
              <w:spacing w:line="360" w:lineRule="auto"/>
              <w:rPr>
                <w:rFonts w:hint="eastAsia" w:ascii="宋体" w:hAnsi="宋体" w:cs="宋体"/>
                <w:kern w:val="0"/>
                <w:sz w:val="24"/>
              </w:rPr>
            </w:pPr>
            <w:r>
              <w:rPr>
                <w:rFonts w:hint="eastAsia" w:ascii="宋体" w:hAnsi="宋体" w:cs="宋体"/>
                <w:kern w:val="0"/>
                <w:sz w:val="24"/>
              </w:rPr>
              <w:t>2.采购代理机构信息</w:t>
            </w:r>
            <w:bookmarkEnd w:id="8"/>
            <w:bookmarkEnd w:id="9"/>
          </w:p>
          <w:p>
            <w:pPr>
              <w:spacing w:line="360" w:lineRule="auto"/>
              <w:rPr>
                <w:rFonts w:hint="eastAsia" w:ascii="宋体" w:hAnsi="宋体" w:cs="宋体"/>
                <w:kern w:val="0"/>
                <w:sz w:val="24"/>
              </w:rPr>
            </w:pPr>
            <w:bookmarkStart w:id="11" w:name="_Toc28359087"/>
            <w:bookmarkStart w:id="12" w:name="_Toc28359010"/>
            <w:r>
              <w:rPr>
                <w:rFonts w:hint="eastAsia" w:ascii="宋体" w:hAnsi="宋体" w:cs="宋体"/>
                <w:kern w:val="0"/>
                <w:sz w:val="24"/>
              </w:rPr>
              <w:t>名  称：中国远东国际招标有限公司</w:t>
            </w:r>
          </w:p>
          <w:p>
            <w:pPr>
              <w:spacing w:line="360" w:lineRule="auto"/>
              <w:rPr>
                <w:rFonts w:hint="eastAsia"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hint="eastAsia" w:ascii="宋体" w:hAnsi="宋体" w:cs="宋体"/>
                <w:kern w:val="0"/>
                <w:sz w:val="24"/>
              </w:rPr>
            </w:pPr>
            <w:r>
              <w:rPr>
                <w:rFonts w:hint="eastAsia" w:ascii="宋体" w:hAnsi="宋体" w:cs="宋体"/>
                <w:kern w:val="0"/>
                <w:sz w:val="24"/>
              </w:rPr>
              <w:t>联系人：凌女士、伍先生</w:t>
            </w:r>
          </w:p>
          <w:p>
            <w:pPr>
              <w:spacing w:line="360" w:lineRule="auto"/>
              <w:rPr>
                <w:rFonts w:hint="eastAsia" w:ascii="宋体" w:hAnsi="宋体" w:cs="宋体"/>
                <w:kern w:val="0"/>
                <w:sz w:val="24"/>
              </w:rPr>
            </w:pPr>
            <w:r>
              <w:rPr>
                <w:rFonts w:hint="eastAsia" w:ascii="宋体" w:hAnsi="宋体" w:cs="宋体"/>
                <w:kern w:val="0"/>
                <w:sz w:val="24"/>
              </w:rPr>
              <w:t>电  话：0755-82078919、82077364转105</w:t>
            </w:r>
          </w:p>
          <w:p>
            <w:pPr>
              <w:spacing w:line="360" w:lineRule="auto"/>
              <w:rPr>
                <w:rFonts w:hint="eastAsia" w:ascii="宋体" w:hAnsi="宋体" w:cs="宋体"/>
                <w:kern w:val="0"/>
                <w:sz w:val="24"/>
              </w:rPr>
            </w:pPr>
            <w:r>
              <w:rPr>
                <w:rFonts w:hint="eastAsia" w:ascii="宋体" w:hAnsi="宋体" w:cs="宋体"/>
                <w:kern w:val="0"/>
                <w:sz w:val="24"/>
              </w:rPr>
              <w:t>传  真：0755-82077519</w:t>
            </w:r>
          </w:p>
          <w:p>
            <w:pPr>
              <w:spacing w:line="360" w:lineRule="auto"/>
              <w:rPr>
                <w:rFonts w:hint="eastAsia" w:ascii="宋体" w:hAnsi="宋体" w:cs="宋体"/>
                <w:kern w:val="0"/>
                <w:sz w:val="24"/>
              </w:rPr>
            </w:pPr>
            <w:r>
              <w:rPr>
                <w:rFonts w:hint="eastAsia" w:ascii="宋体" w:hAnsi="宋体" w:cs="宋体"/>
                <w:kern w:val="0"/>
                <w:sz w:val="24"/>
              </w:rPr>
              <w:t>3.项目联系方式</w:t>
            </w:r>
            <w:bookmarkEnd w:id="11"/>
            <w:bookmarkEnd w:id="12"/>
          </w:p>
          <w:p>
            <w:pPr>
              <w:spacing w:line="360" w:lineRule="auto"/>
              <w:rPr>
                <w:rFonts w:hint="eastAsia" w:ascii="宋体" w:hAnsi="宋体" w:cs="宋体"/>
                <w:kern w:val="0"/>
                <w:sz w:val="24"/>
              </w:rPr>
            </w:pPr>
            <w:r>
              <w:rPr>
                <w:rFonts w:hint="eastAsia" w:ascii="宋体" w:hAnsi="宋体" w:cs="宋体"/>
                <w:kern w:val="0"/>
                <w:sz w:val="24"/>
              </w:rPr>
              <w:t>项目联系人：凌女士、伍先生</w:t>
            </w:r>
          </w:p>
          <w:p>
            <w:pPr>
              <w:spacing w:line="360" w:lineRule="auto"/>
              <w:rPr>
                <w:rFonts w:hint="eastAsia" w:ascii="宋体" w:hAnsi="宋体" w:cs="宋体"/>
                <w:kern w:val="0"/>
                <w:sz w:val="24"/>
              </w:rPr>
            </w:pPr>
            <w:r>
              <w:rPr>
                <w:rFonts w:hint="eastAsia" w:ascii="宋体" w:hAnsi="宋体" w:cs="宋体"/>
                <w:kern w:val="0"/>
                <w:sz w:val="24"/>
              </w:rPr>
              <w:t>电　话：0755-82078919、82077364转105</w:t>
            </w:r>
          </w:p>
        </w:tc>
      </w:tr>
    </w:tbl>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3" w:name="_Toc10214"/>
      <w:r>
        <w:rPr>
          <w:rFonts w:hint="eastAsia" w:ascii="宋体" w:hAnsi="宋体" w:cs="宋体"/>
          <w:b/>
          <w:bCs/>
          <w:sz w:val="24"/>
        </w:rPr>
        <w:t>投标须知</w:t>
      </w:r>
      <w:bookmarkEnd w:id="13"/>
    </w:p>
    <w:p>
      <w:pPr>
        <w:spacing w:line="360" w:lineRule="auto"/>
        <w:rPr>
          <w:rFonts w:hint="eastAsia" w:ascii="宋体" w:hAnsi="宋体" w:cs="宋体"/>
          <w:sz w:val="24"/>
        </w:rPr>
      </w:pPr>
      <w:r>
        <w:rPr>
          <w:rFonts w:hint="eastAsia" w:ascii="宋体" w:hAnsi="宋体" w:cs="宋体"/>
          <w:sz w:val="24"/>
        </w:rPr>
        <w:t>1、本项目是深圳市前海深港现代服务业合作区管理局的前海深港现代服务业合作区2025-2026年度建设用地及农转用组卷技术服务。</w:t>
      </w:r>
    </w:p>
    <w:p>
      <w:pPr>
        <w:spacing w:line="360" w:lineRule="auto"/>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2.1、本次采购公开征集供应商，报名且符合招标文件初审的供应商满足3家或3家以上的，采用综合评分法的方式进行。</w:t>
      </w:r>
      <w:r>
        <w:rPr>
          <w:rFonts w:hint="eastAsia" w:ascii="宋体" w:hAnsi="宋体" w:eastAsia="宋体" w:cs="宋体"/>
          <w:b/>
          <w:bCs/>
          <w:color w:val="000000"/>
          <w:sz w:val="24"/>
          <w:szCs w:val="24"/>
          <w:u w:val="single"/>
        </w:rPr>
        <w:t>报名且符合招标文件初审的供应商不足3家而导致招标失败的，应重新组织简易招标(公开征集)或转为其他采购方式采购。</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2.2、对于重新组织简易招标(公开征集)，仍出现有效投标供应商不足3家的情形，按以下流程执行：</w:t>
      </w:r>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a.有效投标人为2家的，可在2家有效投标人中取得分最高者为中标供应商；</w:t>
      </w:r>
    </w:p>
    <w:p>
      <w:pPr>
        <w:spacing w:line="360" w:lineRule="auto"/>
        <w:rPr>
          <w:rFonts w:hint="eastAsia" w:ascii="宋体" w:hAnsi="宋体" w:cs="宋体"/>
          <w:sz w:val="24"/>
        </w:rPr>
      </w:pPr>
      <w:r>
        <w:rPr>
          <w:rFonts w:hint="eastAsia" w:ascii="宋体" w:hAnsi="宋体" w:eastAsia="宋体" w:cs="宋体"/>
          <w:b/>
          <w:bCs/>
          <w:color w:val="000000"/>
          <w:sz w:val="24"/>
          <w:szCs w:val="24"/>
        </w:rPr>
        <w:t>b.如参与投标且符合招标文件要求的供应商仅有1家，评审委员会应与投标供应商进行谈判，</w:t>
      </w:r>
      <w:r>
        <w:rPr>
          <w:rFonts w:hint="eastAsia" w:ascii="宋体" w:hAnsi="宋体" w:eastAsia="宋体" w:cs="宋体"/>
          <w:b/>
          <w:bCs/>
          <w:color w:val="000000"/>
          <w:sz w:val="24"/>
          <w:szCs w:val="24"/>
          <w:u w:val="single"/>
        </w:rPr>
        <w:t>原则上成交价不超过最初报价的95%</w:t>
      </w:r>
      <w:r>
        <w:rPr>
          <w:rFonts w:hint="eastAsia" w:ascii="宋体" w:hAnsi="宋体" w:cs="宋体"/>
          <w:b/>
          <w:bCs/>
          <w:sz w:val="24"/>
        </w:rPr>
        <w:t>。</w:t>
      </w:r>
    </w:p>
    <w:p>
      <w:pPr>
        <w:spacing w:line="360" w:lineRule="auto"/>
        <w:rPr>
          <w:rFonts w:hint="eastAsia"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5套（1套正本，4套副本，1份电子文档【电子文档为投标文件正本盖章扫描件】）</w:t>
      </w:r>
      <w:r>
        <w:rPr>
          <w:rFonts w:hint="eastAsia" w:ascii="宋体" w:hAnsi="宋体" w:cs="宋体"/>
          <w:sz w:val="24"/>
        </w:rPr>
        <w:t>完备的资料进行投标。</w:t>
      </w:r>
    </w:p>
    <w:p>
      <w:pPr>
        <w:spacing w:line="360" w:lineRule="auto"/>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技术部分。</w:t>
      </w:r>
    </w:p>
    <w:p>
      <w:pPr>
        <w:snapToGrid w:val="0"/>
        <w:spacing w:line="360" w:lineRule="auto"/>
        <w:rPr>
          <w:rFonts w:hint="eastAsia"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hint="eastAsia"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hint="eastAsia"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hint="eastAsia"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hint="eastAsia"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hint="eastAsia"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hint="eastAsia" w:ascii="宋体" w:hAnsi="宋体" w:cs="宋体"/>
          <w:sz w:val="24"/>
        </w:rPr>
      </w:pPr>
      <w:r>
        <w:rPr>
          <w:rFonts w:hint="eastAsia" w:ascii="宋体" w:hAnsi="宋体" w:cs="宋体"/>
          <w:sz w:val="24"/>
        </w:rPr>
        <w:t>（2）原则上成交价</w:t>
      </w:r>
      <w:r>
        <w:rPr>
          <w:rFonts w:hint="eastAsia" w:ascii="宋体" w:hAnsi="宋体" w:cs="宋体"/>
          <w:sz w:val="24"/>
          <w:lang w:val="en-US" w:eastAsia="zh-CN"/>
        </w:rPr>
        <w:t>不超过</w:t>
      </w:r>
      <w:r>
        <w:rPr>
          <w:rFonts w:hint="eastAsia" w:ascii="宋体" w:hAnsi="宋体" w:cs="宋体"/>
          <w:sz w:val="24"/>
        </w:rPr>
        <w:t>最初报价的95%。</w:t>
      </w:r>
    </w:p>
    <w:p>
      <w:pPr>
        <w:snapToGrid w:val="0"/>
        <w:spacing w:line="360" w:lineRule="auto"/>
        <w:rPr>
          <w:rFonts w:hint="eastAsia" w:ascii="宋体" w:hAnsi="宋体" w:cs="宋体"/>
          <w:sz w:val="24"/>
        </w:rPr>
      </w:pPr>
      <w:r>
        <w:rPr>
          <w:rFonts w:hint="eastAsia" w:ascii="宋体" w:hAnsi="宋体" w:cs="宋体"/>
          <w:sz w:val="24"/>
        </w:rPr>
        <w:t>14、所有的评审/谈判内容都必须保密。</w:t>
      </w:r>
    </w:p>
    <w:p>
      <w:pPr>
        <w:snapToGrid w:val="0"/>
        <w:spacing w:line="360" w:lineRule="auto"/>
        <w:rPr>
          <w:rFonts w:hint="eastAsia" w:ascii="宋体" w:hAnsi="宋体" w:cs="宋体"/>
          <w:sz w:val="24"/>
        </w:rPr>
      </w:pPr>
      <w:r>
        <w:rPr>
          <w:rFonts w:hint="eastAsia" w:ascii="宋体" w:hAnsi="宋体" w:cs="宋体"/>
          <w:sz w:val="24"/>
        </w:rPr>
        <w:t>15、招标代理服务收费：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以《深圳市财政委员会关于规范深圳市社会采购代理机构管理有关事项的补充通知》（深财购〔2018〕27号）代理费用参考标准的80%按差额定率累进法进行计费，若以上计算金额小于3000元，则按3000元收取。</w:t>
      </w:r>
    </w:p>
    <w:p>
      <w:pPr>
        <w:snapToGrid w:val="0"/>
        <w:spacing w:line="360" w:lineRule="auto"/>
        <w:ind w:firstLine="360" w:firstLineChars="150"/>
        <w:rPr>
          <w:rFonts w:hint="eastAsia" w:ascii="宋体" w:hAnsi="宋体" w:cs="宋体"/>
          <w:sz w:val="24"/>
        </w:rPr>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开户名称：中国远东国际招标有限公司深圳分公司</w:t>
      </w:r>
    </w:p>
    <w:p>
      <w:pPr>
        <w:spacing w:line="360" w:lineRule="auto"/>
        <w:rPr>
          <w:rFonts w:hint="eastAsia" w:ascii="宋体" w:hAnsi="宋体" w:cs="宋体"/>
          <w:sz w:val="24"/>
        </w:rPr>
      </w:pPr>
      <w:r>
        <w:rPr>
          <w:rFonts w:hint="eastAsia" w:ascii="宋体" w:hAnsi="宋体" w:cs="宋体"/>
          <w:sz w:val="24"/>
        </w:rPr>
        <w:t>银行账号：11013651025501</w:t>
      </w:r>
    </w:p>
    <w:p>
      <w:pPr>
        <w:spacing w:line="360" w:lineRule="auto"/>
        <w:rPr>
          <w:rFonts w:hint="eastAsia"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4" w:name="_Toc20176"/>
      <w:r>
        <w:rPr>
          <w:rFonts w:hint="eastAsia" w:ascii="宋体" w:hAnsi="宋体" w:cs="宋体"/>
          <w:b/>
          <w:bCs/>
          <w:sz w:val="24"/>
        </w:rPr>
        <w:t>评标程序</w:t>
      </w:r>
      <w:bookmarkEnd w:id="14"/>
    </w:p>
    <w:p>
      <w:pPr>
        <w:spacing w:line="360" w:lineRule="auto"/>
        <w:rPr>
          <w:rFonts w:hint="eastAsia"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hint="eastAsia" w:ascii="宋体" w:hAnsi="宋体" w:cs="宋体"/>
          <w:sz w:val="24"/>
        </w:rPr>
      </w:pPr>
      <w:r>
        <w:rPr>
          <w:rFonts w:hint="eastAsia" w:ascii="宋体" w:hAnsi="宋体" w:cs="宋体"/>
          <w:sz w:val="24"/>
        </w:rPr>
        <w:t>三、会议主持人：中国远东国际招标有限公司工作人员 。</w:t>
      </w:r>
    </w:p>
    <w:p>
      <w:pPr>
        <w:spacing w:line="360" w:lineRule="auto"/>
        <w:rPr>
          <w:rFonts w:hint="eastAsia" w:ascii="宋体" w:hAnsi="宋体" w:cs="宋体"/>
          <w:sz w:val="24"/>
        </w:rPr>
      </w:pPr>
      <w:r>
        <w:rPr>
          <w:rFonts w:hint="eastAsia" w:ascii="宋体" w:hAnsi="宋体" w:cs="宋体"/>
          <w:sz w:val="24"/>
        </w:rPr>
        <w:t>四、开标时间：2025年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日1</w:t>
      </w:r>
      <w:r>
        <w:rPr>
          <w:rFonts w:hint="eastAsia" w:ascii="宋体" w:hAnsi="宋体" w:cs="宋体"/>
          <w:sz w:val="24"/>
          <w:lang w:val="en-US" w:eastAsia="zh-CN"/>
        </w:rPr>
        <w:t>4：3</w:t>
      </w:r>
      <w:r>
        <w:rPr>
          <w:rFonts w:hint="eastAsia" w:ascii="宋体" w:hAnsi="宋体" w:cs="宋体"/>
          <w:sz w:val="24"/>
        </w:rPr>
        <w:t>0时（北京时间）。</w:t>
      </w:r>
    </w:p>
    <w:p>
      <w:pPr>
        <w:spacing w:line="360" w:lineRule="auto"/>
        <w:rPr>
          <w:rFonts w:hint="eastAsia" w:ascii="宋体" w:hAnsi="宋体" w:cs="宋体"/>
          <w:sz w:val="24"/>
        </w:rPr>
      </w:pPr>
      <w:r>
        <w:rPr>
          <w:rFonts w:hint="eastAsia" w:ascii="宋体" w:hAnsi="宋体" w:cs="宋体"/>
          <w:sz w:val="24"/>
        </w:rPr>
        <w:t>五、会议开始：2025年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日1</w:t>
      </w:r>
      <w:r>
        <w:rPr>
          <w:rFonts w:hint="eastAsia" w:ascii="宋体" w:hAnsi="宋体" w:cs="宋体"/>
          <w:sz w:val="24"/>
          <w:lang w:val="en-US" w:eastAsia="zh-CN"/>
        </w:rPr>
        <w:t>4：3</w:t>
      </w:r>
      <w:r>
        <w:rPr>
          <w:rFonts w:hint="eastAsia" w:ascii="宋体" w:hAnsi="宋体" w:cs="宋体"/>
          <w:sz w:val="24"/>
        </w:rPr>
        <w:t>0时（北京时间）由会议主持人宣布定标会议开始。</w:t>
      </w:r>
    </w:p>
    <w:p>
      <w:pPr>
        <w:spacing w:line="360" w:lineRule="auto"/>
        <w:rPr>
          <w:rFonts w:hint="eastAsia"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hint="eastAsia" w:ascii="宋体" w:hAnsi="宋体" w:cs="宋体"/>
          <w:sz w:val="24"/>
        </w:rPr>
      </w:pPr>
      <w:r>
        <w:rPr>
          <w:rFonts w:hint="eastAsia" w:ascii="宋体" w:hAnsi="宋体" w:cs="宋体"/>
          <w:sz w:val="24"/>
        </w:rPr>
        <w:t>九、评审委员会按以下工作程序进行：</w:t>
      </w:r>
    </w:p>
    <w:p>
      <w:pPr>
        <w:spacing w:line="360" w:lineRule="auto"/>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hint="eastAsia"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hint="eastAsia" w:ascii="宋体" w:hAnsi="宋体" w:cs="宋体"/>
          <w:sz w:val="24"/>
        </w:rPr>
      </w:pPr>
      <w:r>
        <w:rPr>
          <w:rFonts w:hint="eastAsia" w:ascii="宋体" w:hAnsi="宋体" w:cs="宋体"/>
          <w:sz w:val="24"/>
        </w:rPr>
        <w:t>5.1 供应商在谈判时由项目负责人与评审委员会进行谈判；</w:t>
      </w:r>
    </w:p>
    <w:p>
      <w:pPr>
        <w:spacing w:line="360" w:lineRule="auto"/>
        <w:rPr>
          <w:rFonts w:hint="eastAsia" w:ascii="宋体" w:hAnsi="宋体" w:cs="宋体"/>
          <w:sz w:val="24"/>
        </w:rPr>
      </w:pPr>
      <w:r>
        <w:rPr>
          <w:rFonts w:hint="eastAsia" w:ascii="宋体" w:hAnsi="宋体" w:cs="宋体"/>
          <w:sz w:val="24"/>
        </w:rPr>
        <w:t>5.2 原则上成交价</w:t>
      </w:r>
      <w:r>
        <w:rPr>
          <w:rFonts w:hint="eastAsia" w:ascii="宋体" w:hAnsi="宋体" w:cs="宋体"/>
          <w:sz w:val="24"/>
          <w:lang w:val="en-US" w:eastAsia="zh-CN"/>
        </w:rPr>
        <w:t>不超过</w:t>
      </w:r>
      <w:r>
        <w:rPr>
          <w:rFonts w:hint="eastAsia" w:ascii="宋体" w:hAnsi="宋体" w:cs="宋体"/>
          <w:sz w:val="24"/>
        </w:rPr>
        <w:t>最初报价的95%。</w:t>
      </w:r>
    </w:p>
    <w:p>
      <w:pPr>
        <w:spacing w:line="360" w:lineRule="auto"/>
        <w:rPr>
          <w:rFonts w:hint="eastAsia"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hint="eastAsia"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pStyle w:val="3"/>
        <w:rPr>
          <w:rFonts w:hint="eastAsia" w:ascii="宋体" w:hAnsi="宋体" w:cs="宋体"/>
        </w:rPr>
      </w:pPr>
      <w:r>
        <w:rPr>
          <w:rFonts w:hint="eastAsia"/>
        </w:rPr>
        <w:br w:type="page"/>
      </w:r>
    </w:p>
    <w:p>
      <w:pPr>
        <w:numPr>
          <w:ilvl w:val="0"/>
          <w:numId w:val="1"/>
        </w:numPr>
        <w:spacing w:line="360" w:lineRule="auto"/>
        <w:jc w:val="center"/>
        <w:outlineLvl w:val="0"/>
        <w:rPr>
          <w:rFonts w:hint="eastAsia" w:ascii="宋体" w:hAnsi="宋体" w:cs="宋体"/>
          <w:b/>
          <w:bCs/>
          <w:sz w:val="24"/>
        </w:rPr>
      </w:pPr>
      <w:bookmarkStart w:id="15" w:name="_Toc3567"/>
      <w:r>
        <w:rPr>
          <w:rFonts w:hint="eastAsia" w:ascii="宋体" w:hAnsi="宋体" w:cs="宋体"/>
          <w:b/>
          <w:bCs/>
          <w:sz w:val="24"/>
        </w:rPr>
        <w:t>合同格式及合同条款</w:t>
      </w:r>
      <w:bookmarkEnd w:id="15"/>
    </w:p>
    <w:p>
      <w:pPr>
        <w:spacing w:line="360" w:lineRule="auto"/>
        <w:ind w:firstLine="470" w:firstLineChars="196"/>
        <w:jc w:val="center"/>
        <w:rPr>
          <w:rFonts w:hint="eastAsia" w:ascii="宋体" w:hAnsi="宋体" w:cs="宋体"/>
          <w:sz w:val="24"/>
        </w:rPr>
      </w:pPr>
      <w:bookmarkStart w:id="16" w:name="_Toc84303603"/>
      <w:bookmarkStart w:id="17" w:name="_Toc101074886"/>
      <w:bookmarkStart w:id="18" w:name="_Toc73521592"/>
      <w:bookmarkStart w:id="19" w:name="_Toc73521680"/>
      <w:bookmarkStart w:id="20" w:name="_Toc100052414"/>
      <w:bookmarkStart w:id="21" w:name="_Toc73518163"/>
      <w:bookmarkStart w:id="22" w:name="_Toc73517685"/>
    </w:p>
    <w:bookmarkEnd w:id="16"/>
    <w:bookmarkEnd w:id="17"/>
    <w:bookmarkEnd w:id="18"/>
    <w:bookmarkEnd w:id="19"/>
    <w:bookmarkEnd w:id="20"/>
    <w:bookmarkEnd w:id="21"/>
    <w:bookmarkEnd w:id="22"/>
    <w:p>
      <w:pPr>
        <w:pStyle w:val="30"/>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合同编号（甲方）：            </w:t>
      </w:r>
    </w:p>
    <w:p>
      <w:pPr>
        <w:pStyle w:val="30"/>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合同编号（乙方）：            </w:t>
      </w:r>
    </w:p>
    <w:p>
      <w:pPr>
        <w:pStyle w:val="30"/>
        <w:spacing w:line="360" w:lineRule="auto"/>
        <w:ind w:left="1470" w:right="1470" w:firstLine="482"/>
        <w:jc w:val="center"/>
        <w:rPr>
          <w:rFonts w:hint="eastAsia" w:ascii="宋体" w:hAnsi="宋体" w:cs="宋体"/>
          <w:b/>
          <w:sz w:val="24"/>
          <w:szCs w:val="24"/>
        </w:rPr>
      </w:pP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rPr>
        <w:t>前海深港现代服务业合作区2025-2026年度建设用地及农转用组卷技术服务委托合同</w:t>
      </w:r>
    </w:p>
    <w:p>
      <w:pPr>
        <w:spacing w:line="360" w:lineRule="auto"/>
        <w:rPr>
          <w:rFonts w:hint="eastAsia" w:ascii="宋体" w:hAnsi="宋体" w:cs="宋体"/>
          <w:sz w:val="24"/>
        </w:rPr>
      </w:pPr>
      <w:r>
        <w:rPr>
          <w:rFonts w:hint="eastAsia" w:ascii="宋体" w:hAnsi="宋体" w:cs="宋体"/>
          <w:sz w:val="24"/>
        </w:rPr>
        <w:t xml:space="preserve"> </w:t>
      </w:r>
    </w:p>
    <w:p>
      <w:pPr>
        <w:pStyle w:val="30"/>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pStyle w:val="30"/>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：前海深港现代服务业合作区2025-2026年度建设用地及农转用组卷技术服务</w:t>
      </w:r>
    </w:p>
    <w:p>
      <w:pPr>
        <w:spacing w:line="360" w:lineRule="auto"/>
        <w:ind w:firstLine="720" w:firstLineChars="300"/>
        <w:rPr>
          <w:rFonts w:hint="eastAsia"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720" w:firstLineChars="3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二〇二四年  月</w:t>
      </w:r>
    </w:p>
    <w:p>
      <w:pPr>
        <w:spacing w:line="360" w:lineRule="auto"/>
        <w:jc w:val="center"/>
        <w:rPr>
          <w:rFonts w:hint="eastAsia" w:ascii="宋体" w:hAnsi="宋体" w:cs="宋体"/>
          <w:sz w:val="24"/>
        </w:rPr>
      </w:pPr>
      <w:r>
        <w:rPr>
          <w:rFonts w:hint="eastAsia" w:ascii="宋体" w:hAnsi="宋体" w:cs="宋体"/>
          <w:sz w:val="24"/>
        </w:rPr>
        <w:t>本合同共    页（不含封面）</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编号为【QH2025042】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的</w:t>
      </w:r>
      <w:r>
        <w:rPr>
          <w:rFonts w:hint="eastAsia" w:ascii="宋体" w:hAnsi="宋体" w:cs="宋体"/>
          <w:b/>
          <w:bCs/>
          <w:kern w:val="0"/>
          <w:sz w:val="24"/>
          <w:u w:val="single"/>
        </w:rPr>
        <w:t xml:space="preserve"> </w:t>
      </w:r>
      <w:r>
        <w:rPr>
          <w:rFonts w:hint="eastAsia" w:ascii="宋体" w:hAnsi="宋体" w:cs="宋体"/>
          <w:sz w:val="24"/>
          <w:u w:val="single"/>
        </w:rPr>
        <w:t>前海深港现代服务业合作区2025-2026年度建设用地及农转用组卷技术服务</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hint="eastAsia"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hint="eastAsia" w:ascii="宋体" w:hAnsi="宋体" w:cs="宋体"/>
          <w:sz w:val="24"/>
        </w:rPr>
      </w:pPr>
      <w:r>
        <w:rPr>
          <w:rFonts w:hint="eastAsia" w:ascii="宋体" w:hAnsi="宋体" w:cs="宋体"/>
          <w:sz w:val="24"/>
        </w:rPr>
        <w:t>项目名称：前海深港现代服务业合作区2025-2026年度建设用地及农转用组卷技术服务</w:t>
      </w:r>
    </w:p>
    <w:p>
      <w:pPr>
        <w:spacing w:line="360" w:lineRule="auto"/>
        <w:ind w:firstLine="480" w:firstLineChars="200"/>
        <w:rPr>
          <w:rFonts w:hint="eastAsia" w:ascii="宋体" w:hAnsi="宋体" w:cs="宋体"/>
          <w:sz w:val="24"/>
        </w:rPr>
      </w:pPr>
      <w:r>
        <w:rPr>
          <w:rFonts w:hint="eastAsia" w:ascii="宋体" w:hAnsi="宋体" w:cs="宋体"/>
          <w:sz w:val="24"/>
        </w:rPr>
        <w:t>1.服务内容</w:t>
      </w:r>
    </w:p>
    <w:p>
      <w:pPr>
        <w:spacing w:line="360" w:lineRule="auto"/>
        <w:ind w:firstLine="480" w:firstLineChars="200"/>
        <w:rPr>
          <w:rFonts w:hint="eastAsia" w:ascii="宋体" w:hAnsi="宋体" w:cs="宋体"/>
          <w:bCs/>
          <w:sz w:val="24"/>
        </w:rPr>
      </w:pPr>
      <w:r>
        <w:rPr>
          <w:rFonts w:hint="eastAsia" w:ascii="宋体" w:hAnsi="宋体" w:cs="宋体"/>
          <w:bCs/>
          <w:sz w:val="24"/>
        </w:rPr>
        <w:t>为前海分批次农转用方案报批各环节涉及的技术性工作提供技术支持服务。</w:t>
      </w:r>
    </w:p>
    <w:p>
      <w:pPr>
        <w:spacing w:line="360" w:lineRule="auto"/>
        <w:ind w:firstLine="480" w:firstLineChars="200"/>
        <w:rPr>
          <w:rFonts w:hint="eastAsia" w:ascii="宋体" w:hAnsi="宋体" w:cs="宋体"/>
          <w:bCs/>
          <w:sz w:val="24"/>
        </w:rPr>
      </w:pPr>
      <w:r>
        <w:rPr>
          <w:rFonts w:hint="eastAsia" w:ascii="宋体" w:hAnsi="宋体" w:cs="宋体"/>
          <w:bCs/>
          <w:sz w:val="24"/>
        </w:rPr>
        <w:t>（1）农转用前期工作技术支持</w:t>
      </w:r>
    </w:p>
    <w:p>
      <w:pPr>
        <w:spacing w:line="360" w:lineRule="auto"/>
        <w:ind w:firstLine="480" w:firstLineChars="200"/>
        <w:rPr>
          <w:rFonts w:hint="eastAsia" w:ascii="宋体" w:hAnsi="宋体" w:cs="宋体"/>
          <w:bCs/>
          <w:sz w:val="24"/>
        </w:rPr>
      </w:pPr>
      <w:r>
        <w:rPr>
          <w:rFonts w:hint="eastAsia" w:ascii="宋体" w:hAnsi="宋体" w:cs="宋体"/>
          <w:bCs/>
          <w:sz w:val="24"/>
        </w:rPr>
        <w:t>针对用地范围已稳定的项目（核发选址等）进行地类追溯（最新年度至2009年变更调查），运用GIS技术软件逐年进行空间叠加分析，对空间分析结果进行地类分类以及数据统计，确定占用农用地和未利用地等情况。</w:t>
      </w:r>
    </w:p>
    <w:p>
      <w:pPr>
        <w:spacing w:line="360" w:lineRule="auto"/>
        <w:ind w:firstLine="480" w:firstLineChars="200"/>
        <w:rPr>
          <w:rFonts w:hint="eastAsia" w:ascii="宋体" w:hAnsi="宋体" w:cs="宋体"/>
          <w:bCs/>
          <w:sz w:val="24"/>
        </w:rPr>
      </w:pPr>
      <w:r>
        <w:rPr>
          <w:rFonts w:hint="eastAsia" w:ascii="宋体" w:hAnsi="宋体" w:cs="宋体"/>
          <w:bCs/>
          <w:sz w:val="24"/>
        </w:rPr>
        <w:t>根据各类空间管控要素核查结果，提出项目开展农转用方案编制的工作内容及材料要求。</w:t>
      </w:r>
    </w:p>
    <w:p>
      <w:pPr>
        <w:spacing w:line="360" w:lineRule="auto"/>
        <w:ind w:firstLine="480" w:firstLineChars="200"/>
        <w:rPr>
          <w:rFonts w:hint="eastAsia" w:ascii="宋体" w:hAnsi="宋体" w:cs="宋体"/>
          <w:bCs/>
          <w:sz w:val="24"/>
        </w:rPr>
      </w:pPr>
      <w:r>
        <w:rPr>
          <w:rFonts w:hint="eastAsia" w:ascii="宋体" w:hAnsi="宋体" w:cs="宋体"/>
          <w:bCs/>
          <w:sz w:val="24"/>
        </w:rPr>
        <w:t>（2）农转用方案组卷成果技术支持</w:t>
      </w:r>
    </w:p>
    <w:p>
      <w:pPr>
        <w:spacing w:line="360" w:lineRule="auto"/>
        <w:ind w:firstLine="480" w:firstLineChars="200"/>
        <w:rPr>
          <w:rFonts w:hint="eastAsia" w:ascii="宋体" w:hAnsi="宋体" w:cs="宋体"/>
          <w:bCs/>
          <w:sz w:val="24"/>
        </w:rPr>
      </w:pPr>
      <w:r>
        <w:rPr>
          <w:rFonts w:hint="eastAsia" w:ascii="宋体" w:hAnsi="宋体" w:cs="宋体"/>
          <w:bCs/>
          <w:sz w:val="24"/>
        </w:rPr>
        <w:t>根据《深圳市农用地转为建设用地审批工作指引》等有关规定，对农转用组卷初步成果提出专业技术意见，从成果的完整性、准确性、规范性、真实性、合理性等多个维度进行全面评估。</w:t>
      </w:r>
    </w:p>
    <w:p>
      <w:pPr>
        <w:spacing w:line="360" w:lineRule="auto"/>
        <w:ind w:firstLine="480" w:firstLineChars="200"/>
        <w:rPr>
          <w:rFonts w:hint="eastAsia" w:ascii="宋体" w:hAnsi="宋体" w:cs="宋体"/>
          <w:bCs/>
          <w:sz w:val="24"/>
        </w:rPr>
      </w:pPr>
      <w:r>
        <w:rPr>
          <w:rFonts w:hint="eastAsia" w:ascii="宋体" w:hAnsi="宋体" w:cs="宋体"/>
          <w:bCs/>
          <w:sz w:val="24"/>
        </w:rPr>
        <w:t>结合有关职能部门的意见，对违法用地处置情况、权属收回情况、耕地耕作层剥离方案合理性等进行重点把关，最终形成农转用报批组卷材料。</w:t>
      </w:r>
    </w:p>
    <w:p>
      <w:pPr>
        <w:spacing w:line="360" w:lineRule="auto"/>
        <w:ind w:firstLine="480" w:firstLineChars="200"/>
        <w:rPr>
          <w:rFonts w:hint="eastAsia" w:ascii="宋体" w:hAnsi="宋体" w:cs="宋体"/>
          <w:bCs/>
          <w:sz w:val="24"/>
        </w:rPr>
      </w:pPr>
      <w:r>
        <w:rPr>
          <w:rFonts w:hint="eastAsia" w:ascii="宋体" w:hAnsi="宋体" w:cs="宋体"/>
          <w:bCs/>
          <w:sz w:val="24"/>
        </w:rPr>
        <w:t>（3）土地勘测定界报告技术服务</w:t>
      </w:r>
    </w:p>
    <w:p>
      <w:pPr>
        <w:spacing w:line="360" w:lineRule="auto"/>
        <w:ind w:firstLine="480" w:firstLineChars="200"/>
        <w:rPr>
          <w:rFonts w:hint="eastAsia" w:ascii="宋体" w:hAnsi="宋体" w:cs="宋体"/>
          <w:bCs/>
          <w:sz w:val="24"/>
        </w:rPr>
      </w:pPr>
      <w:r>
        <w:rPr>
          <w:rFonts w:hint="eastAsia" w:ascii="宋体" w:hAnsi="宋体" w:cs="宋体"/>
          <w:bCs/>
          <w:sz w:val="24"/>
        </w:rPr>
        <w:t>按照《土地勘测定界规程》（TD/T1008-2007）等文件规定，一个农转用批次编制一个勘测定界报告，报告内容包括用地范围各类示意图、界址点坐标、面积量算及权属调查结果，并确保数据与最新的国土变更调查保持一致。</w:t>
      </w:r>
    </w:p>
    <w:p>
      <w:pPr>
        <w:spacing w:line="360" w:lineRule="auto"/>
        <w:ind w:firstLine="480" w:firstLineChars="200"/>
        <w:rPr>
          <w:rFonts w:hint="eastAsia" w:ascii="宋体" w:hAnsi="宋体" w:cs="宋体"/>
          <w:bCs/>
          <w:sz w:val="24"/>
        </w:rPr>
      </w:pPr>
      <w:r>
        <w:rPr>
          <w:rFonts w:hint="eastAsia" w:ascii="宋体" w:hAnsi="宋体" w:cs="宋体"/>
          <w:bCs/>
          <w:sz w:val="24"/>
        </w:rPr>
        <w:t>（4）农转用其他辅助技术服务</w:t>
      </w:r>
    </w:p>
    <w:p>
      <w:pPr>
        <w:spacing w:line="360" w:lineRule="auto"/>
        <w:ind w:firstLine="480" w:firstLineChars="200"/>
        <w:rPr>
          <w:rFonts w:hint="eastAsia" w:ascii="宋体" w:hAnsi="宋体" w:cs="宋体"/>
          <w:bCs/>
          <w:sz w:val="24"/>
        </w:rPr>
      </w:pPr>
      <w:r>
        <w:rPr>
          <w:rFonts w:hint="eastAsia" w:ascii="宋体" w:hAnsi="宋体" w:cs="宋体"/>
          <w:bCs/>
          <w:sz w:val="24"/>
        </w:rPr>
        <w:t>协助开展农转用数据相关的空间分析与汇总统计，为各类使用需求提供数据支撑。</w:t>
      </w:r>
    </w:p>
    <w:p>
      <w:pPr>
        <w:spacing w:line="360" w:lineRule="auto"/>
        <w:ind w:firstLine="480" w:firstLineChars="200"/>
        <w:rPr>
          <w:rFonts w:hint="eastAsia" w:ascii="宋体" w:hAnsi="宋体" w:cs="宋体"/>
          <w:bCs/>
          <w:sz w:val="24"/>
        </w:rPr>
      </w:pPr>
      <w:r>
        <w:rPr>
          <w:rFonts w:hint="eastAsia" w:ascii="宋体" w:hAnsi="宋体" w:cs="宋体"/>
          <w:bCs/>
          <w:sz w:val="24"/>
        </w:rPr>
        <w:t>协助对农转用涉及其他事项的合法合规性和政策适配性提出意见。</w:t>
      </w:r>
    </w:p>
    <w:p>
      <w:pPr>
        <w:spacing w:line="360" w:lineRule="auto"/>
        <w:ind w:firstLine="480" w:firstLineChars="200"/>
        <w:rPr>
          <w:rFonts w:hint="eastAsia" w:ascii="宋体" w:hAnsi="宋体" w:cs="宋体"/>
          <w:bCs/>
          <w:sz w:val="24"/>
        </w:rPr>
      </w:pPr>
      <w:r>
        <w:rPr>
          <w:rFonts w:hint="eastAsia" w:ascii="宋体" w:hAnsi="宋体" w:cs="宋体"/>
          <w:bCs/>
          <w:sz w:val="24"/>
        </w:rPr>
        <w:t>按批次收集农转用批准信息（含用地位置、农转用面积、批准信息等关键内容），协助更新农转用项目台账，确保农转用信息的时效性和准确性，以满足多维度统计需求。</w:t>
      </w:r>
    </w:p>
    <w:p>
      <w:pPr>
        <w:spacing w:line="360" w:lineRule="auto"/>
        <w:ind w:firstLine="480" w:firstLineChars="200"/>
        <w:rPr>
          <w:rFonts w:hint="eastAsia" w:ascii="宋体" w:hAnsi="宋体" w:cs="宋体"/>
          <w:bCs/>
          <w:sz w:val="24"/>
        </w:rPr>
      </w:pPr>
      <w:r>
        <w:rPr>
          <w:rFonts w:hint="eastAsia" w:ascii="宋体" w:hAnsi="宋体" w:cs="宋体"/>
          <w:bCs/>
          <w:sz w:val="24"/>
        </w:rPr>
        <w:t>2.工作进度安排</w:t>
      </w:r>
    </w:p>
    <w:p>
      <w:pPr>
        <w:pStyle w:val="3"/>
        <w:spacing w:line="360" w:lineRule="auto"/>
        <w:ind w:firstLine="480" w:firstLineChars="200"/>
      </w:pPr>
      <w:r>
        <w:rPr>
          <w:rFonts w:hint="eastAsia" w:ascii="宋体" w:hAnsi="宋体" w:cs="宋体"/>
          <w:bCs/>
        </w:rPr>
        <w:t>项目启动后6个月内对首批分批次建设项目农转用方案组卷成果提供技术服务，合同服务期限内至少完成对6批分批次建设项目农转用方案组卷成果提供技术服务。服务期限内启动批次用地组卷的均属于项目服务范围。</w:t>
      </w:r>
    </w:p>
    <w:p>
      <w:pPr>
        <w:spacing w:line="360" w:lineRule="auto"/>
        <w:ind w:firstLine="482" w:firstLineChars="200"/>
        <w:rPr>
          <w:rFonts w:hint="eastAsia" w:ascii="宋体" w:hAnsi="宋体" w:cs="宋体"/>
          <w:b/>
          <w:bCs/>
          <w:sz w:val="24"/>
        </w:rPr>
      </w:pPr>
      <w:r>
        <w:rPr>
          <w:rFonts w:hint="eastAsia" w:ascii="宋体" w:hAnsi="宋体" w:cs="宋体"/>
          <w:b/>
          <w:bCs/>
          <w:sz w:val="24"/>
        </w:rPr>
        <w:t>第二条  服务期限及后续服务要求</w:t>
      </w:r>
    </w:p>
    <w:p>
      <w:pPr>
        <w:spacing w:line="360" w:lineRule="auto"/>
        <w:ind w:firstLine="480" w:firstLineChars="200"/>
        <w:rPr>
          <w:rFonts w:hint="eastAsia" w:ascii="宋体" w:hAnsi="宋体" w:cs="宋体"/>
          <w:sz w:val="24"/>
        </w:rPr>
      </w:pPr>
      <w:r>
        <w:rPr>
          <w:rFonts w:hint="eastAsia" w:ascii="宋体" w:hAnsi="宋体" w:cs="宋体"/>
          <w:sz w:val="24"/>
        </w:rPr>
        <w:t>1.服务期限</w:t>
      </w:r>
    </w:p>
    <w:p>
      <w:pPr>
        <w:spacing w:line="360" w:lineRule="auto"/>
        <w:ind w:firstLine="480" w:firstLineChars="200"/>
        <w:rPr>
          <w:rFonts w:hint="eastAsia" w:ascii="宋体" w:hAnsi="宋体" w:cs="宋体"/>
          <w:sz w:val="24"/>
        </w:rPr>
      </w:pPr>
      <w:r>
        <w:rPr>
          <w:rFonts w:hint="eastAsia" w:ascii="宋体" w:hAnsi="宋体" w:cs="宋体"/>
          <w:sz w:val="24"/>
        </w:rPr>
        <w:t>本项目服务期限自签订合同之日一年内，本项目为长期服务项目，在合同服务期限届满前二个月，由甲方组织履约评价工作，评价结果为优秀的可以续签，最多可以续签两次。</w:t>
      </w:r>
    </w:p>
    <w:p>
      <w:pPr>
        <w:spacing w:line="360" w:lineRule="auto"/>
        <w:ind w:firstLine="480" w:firstLineChars="200"/>
        <w:rPr>
          <w:rFonts w:hint="eastAsia" w:ascii="宋体" w:hAnsi="宋体" w:cs="宋体"/>
          <w:sz w:val="24"/>
        </w:rPr>
      </w:pPr>
      <w:r>
        <w:rPr>
          <w:rFonts w:hint="eastAsia" w:ascii="宋体" w:hAnsi="宋体" w:cs="宋体"/>
          <w:sz w:val="24"/>
        </w:rPr>
        <w:t>2.后续服务要求</w:t>
      </w:r>
    </w:p>
    <w:p>
      <w:pPr>
        <w:spacing w:line="360" w:lineRule="auto"/>
        <w:ind w:firstLine="480" w:firstLineChars="200"/>
        <w:rPr>
          <w:rFonts w:hint="eastAsia" w:ascii="宋体" w:hAnsi="宋体" w:cs="宋体"/>
          <w:sz w:val="24"/>
        </w:rPr>
      </w:pPr>
      <w:r>
        <w:rPr>
          <w:rFonts w:hint="eastAsia" w:ascii="宋体" w:hAnsi="宋体" w:cs="宋体"/>
          <w:bCs/>
          <w:sz w:val="24"/>
        </w:rPr>
        <w:t>本项目最终成果通过甲方审查验收之日起一年内为本合同后续服务期。服务期内应提供后续的相关咨询、协调和项目审查等技术支持</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hint="eastAsia"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hint="eastAsia" w:ascii="宋体" w:hAnsi="宋体" w:cs="宋体"/>
          <w:sz w:val="24"/>
        </w:rPr>
      </w:pPr>
      <w:r>
        <w:rPr>
          <w:rFonts w:hint="eastAsia" w:ascii="宋体" w:hAnsi="宋体" w:cs="宋体"/>
          <w:sz w:val="24"/>
        </w:rPr>
        <w:t>2.乙方未经甲方的书面同意，不得将上述资料用于本项目之外的任何项目，也不得将其泄露或授权给第三方使用。</w:t>
      </w:r>
    </w:p>
    <w:p>
      <w:pPr>
        <w:spacing w:line="360" w:lineRule="auto"/>
        <w:ind w:firstLine="482" w:firstLineChars="200"/>
        <w:rPr>
          <w:rFonts w:hint="eastAsia" w:ascii="宋体" w:hAnsi="宋体" w:cs="宋体"/>
          <w:b/>
          <w:bCs/>
          <w:sz w:val="24"/>
        </w:rPr>
      </w:pPr>
      <w:r>
        <w:rPr>
          <w:rFonts w:hint="eastAsia" w:ascii="宋体" w:hAnsi="宋体" w:cs="宋体"/>
          <w:b/>
          <w:bCs/>
          <w:sz w:val="24"/>
        </w:rPr>
        <w:t>第四条  甲方的权利与义务</w:t>
      </w:r>
    </w:p>
    <w:p>
      <w:pPr>
        <w:spacing w:line="360" w:lineRule="auto"/>
        <w:ind w:firstLine="480" w:firstLineChars="200"/>
        <w:rPr>
          <w:rFonts w:hint="eastAsia" w:ascii="宋体" w:hAnsi="宋体" w:cs="宋体"/>
          <w:sz w:val="24"/>
        </w:rPr>
      </w:pPr>
      <w:r>
        <w:rPr>
          <w:rFonts w:hint="eastAsia" w:ascii="宋体" w:hAnsi="宋体" w:cs="宋体"/>
          <w:sz w:val="24"/>
        </w:rPr>
        <w:t>1.甲方的权利</w:t>
      </w:r>
    </w:p>
    <w:p>
      <w:pPr>
        <w:spacing w:line="360" w:lineRule="auto"/>
        <w:ind w:firstLine="480" w:firstLineChars="200"/>
        <w:rPr>
          <w:rFonts w:hint="eastAsia" w:ascii="宋体" w:hAnsi="宋体" w:cs="宋体"/>
          <w:sz w:val="24"/>
        </w:rPr>
      </w:pPr>
      <w:r>
        <w:rPr>
          <w:rFonts w:hint="eastAsia" w:ascii="宋体" w:hAnsi="宋体" w:cs="宋体"/>
          <w:sz w:val="24"/>
        </w:rPr>
        <w:t>1.1甲方对项目研究过程的决策、控制、实施等环节实行全面管理，协调和监督项目工作开展，控制项目工作过程，进行项目成果验收。</w:t>
      </w:r>
    </w:p>
    <w:p>
      <w:pPr>
        <w:spacing w:line="360" w:lineRule="auto"/>
        <w:ind w:firstLine="480" w:firstLineChars="200"/>
        <w:rPr>
          <w:rFonts w:hint="eastAsia" w:ascii="宋体" w:hAnsi="宋体" w:cs="宋体"/>
          <w:sz w:val="24"/>
        </w:rPr>
      </w:pPr>
      <w:r>
        <w:rPr>
          <w:rFonts w:hint="eastAsia" w:ascii="宋体" w:hAnsi="宋体" w:cs="宋体"/>
          <w:sz w:val="24"/>
        </w:rPr>
        <w:t>1.2检查乙方项目人员到位情况，如因人力、能力不足致使项目工作不能按计划完成时，可要求乙方增加或替换相应的技术人员，直至甲方认可，乙方不得拒绝。</w:t>
      </w:r>
    </w:p>
    <w:p>
      <w:pPr>
        <w:spacing w:line="360" w:lineRule="auto"/>
        <w:ind w:firstLine="480" w:firstLineChars="200"/>
        <w:rPr>
          <w:rFonts w:hint="eastAsia" w:ascii="宋体" w:hAnsi="宋体" w:cs="宋体"/>
          <w:sz w:val="24"/>
        </w:rPr>
      </w:pPr>
      <w:r>
        <w:rPr>
          <w:rFonts w:hint="eastAsia" w:ascii="宋体" w:hAnsi="宋体" w:cs="宋体"/>
          <w:sz w:val="24"/>
        </w:rPr>
        <w:t>1.3甲方有权向乙方询问项目工作进展及相关情况，并要求乙方在指定时间内做出答复。</w:t>
      </w:r>
    </w:p>
    <w:p>
      <w:pPr>
        <w:spacing w:line="360" w:lineRule="auto"/>
        <w:ind w:firstLine="480" w:firstLineChars="200"/>
        <w:rPr>
          <w:rFonts w:hint="eastAsia" w:ascii="宋体" w:hAnsi="宋体" w:cs="宋体"/>
          <w:sz w:val="24"/>
        </w:rPr>
      </w:pPr>
      <w:r>
        <w:rPr>
          <w:rFonts w:hint="eastAsia" w:ascii="宋体" w:hAnsi="宋体" w:cs="宋体"/>
          <w:sz w:val="24"/>
        </w:rPr>
        <w:t>1.4甲方有权对乙方提交的阶段性成果、最终成果等相关工作文件进行审核并提出修改意见。</w:t>
      </w:r>
    </w:p>
    <w:p>
      <w:pPr>
        <w:spacing w:line="360" w:lineRule="auto"/>
        <w:ind w:firstLine="480" w:firstLineChars="200"/>
        <w:rPr>
          <w:rFonts w:hint="eastAsia" w:ascii="宋体" w:hAnsi="宋体" w:cs="宋体"/>
          <w:sz w:val="24"/>
        </w:rPr>
      </w:pPr>
      <w:r>
        <w:rPr>
          <w:rFonts w:hint="eastAsia" w:ascii="宋体" w:hAnsi="宋体" w:cs="宋体"/>
          <w:sz w:val="24"/>
        </w:rPr>
        <w:t>1.5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spacing w:line="360" w:lineRule="auto"/>
        <w:ind w:firstLine="480" w:firstLineChars="200"/>
        <w:rPr>
          <w:rFonts w:hint="eastAsia" w:ascii="宋体" w:hAnsi="宋体" w:cs="宋体"/>
          <w:sz w:val="24"/>
        </w:rPr>
      </w:pPr>
      <w:r>
        <w:rPr>
          <w:rFonts w:hint="eastAsia" w:ascii="宋体" w:hAnsi="宋体" w:cs="宋体"/>
          <w:sz w:val="24"/>
        </w:rPr>
        <w:t>1.6甲方有权要求乙方全面履行合同。甲方不接受部分履行，如本合同项下部分成果文件未能按时交付则视为整体延误。</w:t>
      </w:r>
    </w:p>
    <w:p>
      <w:pPr>
        <w:spacing w:line="360" w:lineRule="auto"/>
        <w:ind w:firstLine="480" w:firstLineChars="200"/>
        <w:rPr>
          <w:rFonts w:hint="eastAsia" w:ascii="宋体" w:hAnsi="宋体" w:cs="宋体"/>
          <w:sz w:val="24"/>
        </w:rPr>
      </w:pPr>
      <w:r>
        <w:rPr>
          <w:rFonts w:hint="eastAsia" w:ascii="宋体" w:hAnsi="宋体" w:cs="宋体"/>
          <w:sz w:val="24"/>
        </w:rPr>
        <w:t>1.7如甲方确认乙方工作人员未按照本合同要求履行职责，甲方有权要求乙方限期更换人员，直至终止合同并要求乙方承担相应赔偿责任。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cs="宋体"/>
          <w:sz w:val="24"/>
        </w:rPr>
      </w:pPr>
      <w:r>
        <w:rPr>
          <w:rFonts w:hint="eastAsia" w:ascii="宋体" w:hAnsi="宋体" w:cs="宋体"/>
          <w:sz w:val="24"/>
        </w:rPr>
        <w:t>1.8甲方对乙方在委托权限范围内完成委托事项有指导、监督权利。</w:t>
      </w:r>
    </w:p>
    <w:p>
      <w:pPr>
        <w:spacing w:line="360" w:lineRule="auto"/>
        <w:ind w:firstLine="480" w:firstLineChars="200"/>
        <w:rPr>
          <w:rFonts w:hint="eastAsia" w:ascii="宋体" w:hAnsi="宋体" w:cs="宋体"/>
          <w:sz w:val="24"/>
        </w:rPr>
      </w:pPr>
      <w:r>
        <w:rPr>
          <w:rFonts w:hint="eastAsia" w:ascii="宋体" w:hAnsi="宋体" w:cs="宋体"/>
          <w:sz w:val="24"/>
        </w:rPr>
        <w:t>2.甲方的义务</w:t>
      </w:r>
    </w:p>
    <w:p>
      <w:pPr>
        <w:spacing w:line="360" w:lineRule="auto"/>
        <w:ind w:firstLine="480" w:firstLineChars="200"/>
        <w:rPr>
          <w:rFonts w:hint="eastAsia" w:ascii="宋体" w:hAnsi="宋体" w:cs="宋体"/>
          <w:sz w:val="24"/>
        </w:rPr>
      </w:pPr>
      <w:r>
        <w:rPr>
          <w:rFonts w:hint="eastAsia" w:ascii="宋体" w:hAnsi="宋体" w:cs="宋体"/>
          <w:sz w:val="24"/>
        </w:rPr>
        <w:t>2.1甲方应将项目所需相关档案资料、信息数据等移交给乙方，并要求乙方签收甲方提供的材料清单。</w:t>
      </w:r>
    </w:p>
    <w:p>
      <w:pPr>
        <w:spacing w:line="360" w:lineRule="auto"/>
        <w:ind w:firstLine="480" w:firstLineChars="200"/>
        <w:rPr>
          <w:rFonts w:hint="eastAsia" w:ascii="宋体" w:hAnsi="宋体" w:cs="宋体"/>
          <w:sz w:val="24"/>
        </w:rPr>
      </w:pPr>
      <w:r>
        <w:rPr>
          <w:rFonts w:hint="eastAsia" w:ascii="宋体" w:hAnsi="宋体" w:cs="宋体"/>
          <w:sz w:val="24"/>
        </w:rPr>
        <w:t>2.2甲方对乙方按照合同约定所履行的服务提供必要的支持与协助。</w:t>
      </w:r>
    </w:p>
    <w:p>
      <w:pPr>
        <w:spacing w:line="360" w:lineRule="auto"/>
        <w:ind w:firstLine="480" w:firstLineChars="200"/>
        <w:rPr>
          <w:rFonts w:hint="eastAsia" w:ascii="宋体" w:hAnsi="宋体" w:cs="宋体"/>
          <w:sz w:val="24"/>
        </w:rPr>
      </w:pPr>
      <w:r>
        <w:rPr>
          <w:rFonts w:hint="eastAsia" w:ascii="宋体" w:hAnsi="宋体" w:cs="宋体"/>
          <w:sz w:val="24"/>
        </w:rPr>
        <w:t>2.3根据合同约定的相关条款，按时支付乙方服务费用。</w:t>
      </w:r>
    </w:p>
    <w:p>
      <w:pPr>
        <w:spacing w:line="360" w:lineRule="auto"/>
        <w:ind w:firstLine="480" w:firstLineChars="200"/>
        <w:rPr>
          <w:rFonts w:hint="eastAsia" w:ascii="宋体" w:hAnsi="宋体" w:cs="宋体"/>
          <w:sz w:val="24"/>
        </w:rPr>
      </w:pPr>
      <w:r>
        <w:rPr>
          <w:rFonts w:hint="eastAsia" w:ascii="宋体" w:hAnsi="宋体" w:cs="宋体"/>
          <w:sz w:val="24"/>
        </w:rPr>
        <w:t>2.4甲方指定项目联系人：</w:t>
      </w:r>
    </w:p>
    <w:p>
      <w:pPr>
        <w:spacing w:line="360" w:lineRule="auto"/>
        <w:ind w:firstLine="480" w:firstLineChars="200"/>
        <w:rPr>
          <w:rFonts w:hint="eastAsia" w:ascii="宋体" w:hAnsi="宋体" w:cs="宋体"/>
          <w:sz w:val="24"/>
        </w:rPr>
      </w:pPr>
      <w:r>
        <w:rPr>
          <w:rFonts w:hint="eastAsia" w:ascii="宋体" w:hAnsi="宋体" w:cs="宋体"/>
          <w:sz w:val="24"/>
        </w:rPr>
        <w:t xml:space="preserve">姓名： </w:t>
      </w:r>
    </w:p>
    <w:p>
      <w:pPr>
        <w:spacing w:line="360" w:lineRule="auto"/>
        <w:ind w:firstLine="480" w:firstLineChars="200"/>
        <w:rPr>
          <w:rFonts w:hint="eastAsia" w:ascii="宋体" w:hAnsi="宋体" w:cs="宋体"/>
          <w:sz w:val="24"/>
        </w:rPr>
      </w:pPr>
      <w:r>
        <w:rPr>
          <w:rFonts w:hint="eastAsia" w:ascii="宋体" w:hAnsi="宋体" w:cs="宋体"/>
          <w:sz w:val="24"/>
        </w:rPr>
        <w:t>联系方式：</w:t>
      </w:r>
    </w:p>
    <w:p>
      <w:pPr>
        <w:spacing w:line="360" w:lineRule="auto"/>
        <w:ind w:firstLine="482" w:firstLineChars="200"/>
        <w:rPr>
          <w:rFonts w:hint="eastAsia" w:ascii="宋体" w:hAnsi="宋体" w:cs="宋体"/>
          <w:b/>
          <w:bCs/>
          <w:sz w:val="24"/>
        </w:rPr>
      </w:pPr>
      <w:r>
        <w:rPr>
          <w:rFonts w:hint="eastAsia" w:ascii="宋体" w:hAnsi="宋体" w:cs="宋体"/>
          <w:b/>
          <w:bCs/>
          <w:sz w:val="24"/>
        </w:rPr>
        <w:t>第五条 乙方的权利与义务</w:t>
      </w:r>
    </w:p>
    <w:p>
      <w:pPr>
        <w:spacing w:line="360" w:lineRule="auto"/>
        <w:ind w:firstLine="480" w:firstLineChars="200"/>
        <w:rPr>
          <w:rFonts w:hint="eastAsia" w:ascii="宋体" w:hAnsi="宋体" w:cs="宋体"/>
          <w:sz w:val="24"/>
        </w:rPr>
      </w:pPr>
      <w:r>
        <w:rPr>
          <w:rFonts w:hint="eastAsia" w:ascii="宋体" w:hAnsi="宋体" w:cs="宋体"/>
          <w:sz w:val="24"/>
        </w:rPr>
        <w:t>1.乙方的权利</w:t>
      </w:r>
    </w:p>
    <w:p>
      <w:pPr>
        <w:spacing w:line="360" w:lineRule="auto"/>
        <w:ind w:firstLine="480" w:firstLineChars="200"/>
        <w:rPr>
          <w:rFonts w:hint="eastAsia" w:ascii="宋体" w:hAnsi="宋体" w:cs="宋体"/>
          <w:sz w:val="24"/>
        </w:rPr>
      </w:pPr>
      <w:r>
        <w:rPr>
          <w:rFonts w:hint="eastAsia" w:ascii="宋体" w:hAnsi="宋体" w:cs="宋体"/>
          <w:sz w:val="24"/>
        </w:rPr>
        <w:t>1.1根据项目工作的需要，可要求甲方提供或协助乙方收集相关资料。</w:t>
      </w:r>
    </w:p>
    <w:p>
      <w:pPr>
        <w:spacing w:line="360" w:lineRule="auto"/>
        <w:ind w:firstLine="480" w:firstLineChars="200"/>
        <w:rPr>
          <w:rFonts w:hint="eastAsia" w:ascii="宋体" w:hAnsi="宋体" w:cs="宋体"/>
          <w:sz w:val="24"/>
        </w:rPr>
      </w:pPr>
      <w:r>
        <w:rPr>
          <w:rFonts w:hint="eastAsia" w:ascii="宋体" w:hAnsi="宋体" w:cs="宋体"/>
          <w:sz w:val="24"/>
        </w:rPr>
        <w:t>1.2参与本项目服务相关的工作会议及技术会议（活动）。</w:t>
      </w:r>
    </w:p>
    <w:p>
      <w:pPr>
        <w:spacing w:line="360" w:lineRule="auto"/>
        <w:ind w:firstLine="480" w:firstLineChars="200"/>
        <w:rPr>
          <w:rFonts w:hint="eastAsia" w:ascii="宋体" w:hAnsi="宋体" w:cs="宋体"/>
          <w:sz w:val="24"/>
        </w:rPr>
      </w:pPr>
      <w:r>
        <w:rPr>
          <w:rFonts w:hint="eastAsia" w:ascii="宋体" w:hAnsi="宋体" w:cs="宋体"/>
          <w:sz w:val="24"/>
        </w:rPr>
        <w:t>1.3根据合同约定收取相应的服务费。</w:t>
      </w:r>
    </w:p>
    <w:p>
      <w:pPr>
        <w:spacing w:line="360" w:lineRule="auto"/>
        <w:ind w:firstLine="480" w:firstLineChars="200"/>
        <w:rPr>
          <w:rFonts w:hint="eastAsia" w:ascii="宋体" w:hAnsi="宋体" w:cs="宋体"/>
          <w:sz w:val="24"/>
        </w:rPr>
      </w:pPr>
      <w:r>
        <w:rPr>
          <w:rFonts w:hint="eastAsia" w:ascii="宋体" w:hAnsi="宋体" w:cs="宋体"/>
          <w:sz w:val="24"/>
        </w:rPr>
        <w:t>2.乙方的义务</w:t>
      </w:r>
    </w:p>
    <w:p>
      <w:pPr>
        <w:spacing w:line="360" w:lineRule="auto"/>
        <w:ind w:firstLine="480" w:firstLineChars="200"/>
        <w:rPr>
          <w:rFonts w:hint="eastAsia" w:ascii="宋体" w:hAnsi="宋体" w:cs="宋体"/>
          <w:sz w:val="24"/>
        </w:rPr>
      </w:pPr>
      <w:r>
        <w:rPr>
          <w:rFonts w:hint="eastAsia" w:ascii="宋体" w:hAnsi="宋体" w:cs="宋体"/>
          <w:sz w:val="24"/>
        </w:rPr>
        <w:t>2.1乙方应按国家及深圳的有关法律法规、设计标准、技术规范以及本合同约定的工作内容、工作进度等要求提供项目服务，并对其提交的研究成果负责。对于与本项目工作内容相关的其他相关项目，乙方应进行充分了解并做好协调与衔接工作。</w:t>
      </w:r>
    </w:p>
    <w:p>
      <w:pPr>
        <w:spacing w:line="360" w:lineRule="auto"/>
        <w:ind w:firstLine="480" w:firstLineChars="200"/>
        <w:rPr>
          <w:rFonts w:hint="eastAsia" w:ascii="宋体" w:hAnsi="宋体" w:cs="宋体"/>
          <w:sz w:val="24"/>
        </w:rPr>
      </w:pPr>
      <w:r>
        <w:rPr>
          <w:rFonts w:hint="eastAsia" w:ascii="宋体" w:hAnsi="宋体" w:cs="宋体"/>
          <w:sz w:val="24"/>
        </w:rPr>
        <w:t>2.2如乙方提供的成果文件不符合本合同要求，必须在甲方提出要求七个日历日内无条件修改，其费用由乙方自行承担。修改期间，甲方付款时间相应顺延。</w:t>
      </w:r>
    </w:p>
    <w:p>
      <w:pPr>
        <w:spacing w:line="360" w:lineRule="auto"/>
        <w:ind w:firstLine="480" w:firstLineChars="200"/>
        <w:rPr>
          <w:rFonts w:hint="eastAsia" w:ascii="宋体" w:hAnsi="宋体" w:cs="宋体"/>
          <w:sz w:val="24"/>
        </w:rPr>
      </w:pPr>
      <w:r>
        <w:rPr>
          <w:rFonts w:hint="eastAsia" w:ascii="宋体" w:hAnsi="宋体" w:cs="宋体"/>
          <w:sz w:val="24"/>
        </w:rPr>
        <w:t>2.3乙方不得将本合同项下权利义务转让给任何第三方。</w:t>
      </w:r>
    </w:p>
    <w:p>
      <w:pPr>
        <w:spacing w:line="360" w:lineRule="auto"/>
        <w:ind w:firstLine="480" w:firstLineChars="200"/>
        <w:rPr>
          <w:rFonts w:hint="eastAsia" w:ascii="宋体" w:hAnsi="宋体" w:cs="宋体"/>
          <w:sz w:val="24"/>
        </w:rPr>
      </w:pPr>
      <w:r>
        <w:rPr>
          <w:rFonts w:hint="eastAsia" w:ascii="宋体" w:hAnsi="宋体" w:cs="宋体"/>
          <w:sz w:val="24"/>
        </w:rPr>
        <w:t>2.4乙方对其工作人员在合同履行期间的一切行为负责，期间发生的一切安全事故责任、其他人身损害以外及因此发生的人身损害赔偿和其他费用由乙方自行承担，概与甲方无关。若因此导致甲方支付赔偿及其他费用，乙方应全部偿还给甲方。</w:t>
      </w:r>
    </w:p>
    <w:p>
      <w:pPr>
        <w:spacing w:line="360" w:lineRule="auto"/>
        <w:ind w:firstLine="480" w:firstLineChars="200"/>
        <w:rPr>
          <w:rFonts w:hint="eastAsia" w:ascii="宋体" w:hAnsi="宋体" w:cs="宋体"/>
          <w:sz w:val="24"/>
        </w:rPr>
      </w:pPr>
      <w:r>
        <w:rPr>
          <w:rFonts w:hint="eastAsia" w:ascii="宋体" w:hAnsi="宋体" w:cs="宋体"/>
          <w:sz w:val="24"/>
        </w:rPr>
        <w:t>2.5为保证项目成果的质量，乙方在合同履行期间，应按照服务内容要求成立专门的项目小组，并保障项目团队成员（含项目负责人）到位。项目负责人负责对项目实施全过程进行组织和指导，并承担课题研究的实质性工作。乙方应保证本合同的主要核心成员在项目实施期间全程参与项目实质性工作。如确需更换项目团队成员（含项目负责人），乙方应事先征得甲方的同意，且接替人员的职位、资历应与原定成员相当</w:t>
      </w:r>
      <w:r>
        <w:rPr>
          <w:rFonts w:hint="eastAsia" w:ascii="宋体" w:hAnsi="宋体" w:cs="宋体"/>
          <w:sz w:val="24"/>
          <w:lang w:val="zh-CN"/>
        </w:rPr>
        <w:t>，</w:t>
      </w:r>
      <w:r>
        <w:rPr>
          <w:rFonts w:hint="eastAsia" w:ascii="宋体" w:hAnsi="宋体" w:cs="宋体"/>
          <w:sz w:val="24"/>
        </w:rPr>
        <w:t>否则，每擅自更换一个项目团队成员（含项目负责人），乙方应向甲方支付本合同总价款5%的违约金。</w:t>
      </w:r>
    </w:p>
    <w:p>
      <w:pPr>
        <w:spacing w:line="360" w:lineRule="auto"/>
        <w:ind w:firstLine="480" w:firstLineChars="200"/>
        <w:rPr>
          <w:rFonts w:hint="eastAsia" w:ascii="宋体" w:hAnsi="宋体" w:cs="宋体"/>
          <w:sz w:val="24"/>
        </w:rPr>
      </w:pPr>
      <w:r>
        <w:rPr>
          <w:rFonts w:hint="eastAsia" w:ascii="宋体" w:hAnsi="宋体" w:cs="宋体"/>
          <w:sz w:val="24"/>
        </w:rPr>
        <w:t>2.6合同履行期间，乙方应按甲方的要求进行现场调研、中间成果汇报和沟通讨论、审查修改的全部工作和会议。乙方必须按本合同约定的内容、标准和期限完成项目工作，并按照甲方要求将完成委托事项的相关资料交给甲方。如甲方需对工作进度进行调整，甲方、乙方应共同协商解决。</w:t>
      </w:r>
    </w:p>
    <w:p>
      <w:pPr>
        <w:spacing w:line="360" w:lineRule="auto"/>
        <w:ind w:firstLine="480" w:firstLineChars="200"/>
        <w:rPr>
          <w:rFonts w:hint="eastAsia" w:ascii="宋体" w:hAnsi="宋体" w:cs="宋体"/>
          <w:sz w:val="24"/>
        </w:rPr>
      </w:pPr>
      <w:r>
        <w:rPr>
          <w:rFonts w:hint="eastAsia" w:ascii="宋体" w:hAnsi="宋体" w:cs="宋体"/>
          <w:sz w:val="24"/>
        </w:rPr>
        <w:t>2.7乙方有维护甲方声誉的义务，乙方不能以甲方名义从事与本项目无关的任何事务。</w:t>
      </w:r>
    </w:p>
    <w:p>
      <w:pPr>
        <w:spacing w:line="360" w:lineRule="auto"/>
        <w:ind w:firstLine="480" w:firstLineChars="200"/>
        <w:rPr>
          <w:rFonts w:hint="eastAsia" w:ascii="宋体" w:hAnsi="宋体" w:cs="宋体"/>
          <w:sz w:val="24"/>
        </w:rPr>
      </w:pPr>
      <w:r>
        <w:rPr>
          <w:rFonts w:hint="eastAsia" w:ascii="宋体" w:hAnsi="宋体" w:cs="宋体"/>
          <w:sz w:val="24"/>
        </w:rPr>
        <w:t>2.8本合同期满或提前解除、终止后，乙方应将甲方的档案资料、信息数据等交还甲方，并应销毁或删除所有备份。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sz w:val="24"/>
        </w:rPr>
      </w:pPr>
      <w:r>
        <w:rPr>
          <w:rFonts w:hint="eastAsia" w:ascii="宋体" w:hAnsi="宋体" w:cs="宋体"/>
          <w:sz w:val="24"/>
        </w:rPr>
        <w:t>2.9乙方在完成本项目过程中，不得损害其他任何第三方的知识产权等合法权益，否则由此造成的相关责任应当由乙方自行承担，与甲方无关。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sz w:val="24"/>
        </w:rPr>
      </w:pPr>
      <w:r>
        <w:rPr>
          <w:rFonts w:hint="eastAsia" w:ascii="宋体" w:hAnsi="宋体" w:cs="宋体"/>
          <w:sz w:val="24"/>
        </w:rPr>
        <w:t>2.10乙方应采取必要措施配合专家评审会及甲方验收人员的工作</w:t>
      </w:r>
      <w:r>
        <w:rPr>
          <w:rFonts w:hint="eastAsia" w:ascii="宋体" w:hAnsi="宋体" w:cs="宋体"/>
          <w:sz w:val="24"/>
          <w:lang w:eastAsia="zh-CN"/>
        </w:rPr>
        <w:t>，</w:t>
      </w:r>
      <w:r>
        <w:rPr>
          <w:rFonts w:hint="eastAsia" w:ascii="宋体" w:hAnsi="宋体" w:cs="宋体"/>
          <w:sz w:val="24"/>
        </w:rPr>
        <w:t>对于评审验收过程中发现的问题，乙方应在发现问题之日起3天内进行改正，以符合甲方的需要。</w:t>
      </w:r>
    </w:p>
    <w:p>
      <w:pPr>
        <w:spacing w:line="360" w:lineRule="auto"/>
        <w:ind w:firstLine="480" w:firstLineChars="200"/>
        <w:rPr>
          <w:rFonts w:hint="eastAsia" w:ascii="宋体" w:hAnsi="宋体" w:cs="宋体"/>
          <w:sz w:val="24"/>
        </w:rPr>
      </w:pPr>
      <w:r>
        <w:rPr>
          <w:rFonts w:hint="eastAsia" w:ascii="宋体" w:hAnsi="宋体" w:cs="宋体"/>
          <w:sz w:val="24"/>
        </w:rPr>
        <w:t>2.11乙方指定项目联系人：</w:t>
      </w:r>
    </w:p>
    <w:p>
      <w:pPr>
        <w:spacing w:line="360" w:lineRule="auto"/>
        <w:ind w:firstLine="480" w:firstLineChars="200"/>
        <w:rPr>
          <w:rFonts w:hint="eastAsia" w:ascii="宋体" w:hAnsi="宋体" w:cs="宋体"/>
          <w:sz w:val="24"/>
        </w:rPr>
      </w:pPr>
      <w:r>
        <w:rPr>
          <w:rFonts w:hint="eastAsia" w:ascii="宋体" w:hAnsi="宋体" w:cs="宋体"/>
          <w:sz w:val="24"/>
        </w:rPr>
        <w:t xml:space="preserve">姓名： </w:t>
      </w:r>
    </w:p>
    <w:p>
      <w:pPr>
        <w:spacing w:line="360" w:lineRule="auto"/>
        <w:ind w:firstLine="480" w:firstLineChars="200"/>
        <w:rPr>
          <w:rFonts w:hint="eastAsia" w:ascii="宋体" w:hAnsi="宋体" w:cs="宋体"/>
          <w:sz w:val="24"/>
        </w:rPr>
      </w:pPr>
      <w:r>
        <w:rPr>
          <w:rFonts w:hint="eastAsia" w:ascii="宋体" w:hAnsi="宋体" w:cs="宋体"/>
          <w:sz w:val="24"/>
        </w:rPr>
        <w:t>联系方式：</w:t>
      </w:r>
    </w:p>
    <w:p>
      <w:pPr>
        <w:spacing w:line="360" w:lineRule="auto"/>
        <w:ind w:firstLine="482" w:firstLineChars="200"/>
        <w:rPr>
          <w:rFonts w:hint="eastAsia" w:ascii="宋体" w:hAnsi="宋体" w:cs="宋体"/>
          <w:b/>
          <w:bCs/>
          <w:sz w:val="24"/>
        </w:rPr>
      </w:pPr>
      <w:r>
        <w:rPr>
          <w:rFonts w:hint="eastAsia" w:ascii="宋体" w:hAnsi="宋体" w:cs="宋体"/>
          <w:b/>
          <w:bCs/>
          <w:sz w:val="24"/>
        </w:rPr>
        <w:t>第六条  人员要求</w:t>
      </w:r>
    </w:p>
    <w:p>
      <w:pPr>
        <w:spacing w:line="360" w:lineRule="auto"/>
        <w:ind w:firstLine="480" w:firstLineChars="200"/>
        <w:rPr>
          <w:rFonts w:hint="eastAsia" w:ascii="宋体" w:hAnsi="宋体" w:cs="宋体"/>
          <w:sz w:val="24"/>
        </w:rPr>
      </w:pPr>
      <w:r>
        <w:rPr>
          <w:rFonts w:hint="eastAsia" w:ascii="宋体" w:hAnsi="宋体" w:cs="宋体"/>
          <w:sz w:val="24"/>
        </w:rPr>
        <w:t>以下为本项目核心团队。</w:t>
      </w:r>
    </w:p>
    <w:tbl>
      <w:tblPr>
        <w:tblStyle w:val="2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bl>
    <w:p>
      <w:pPr>
        <w:spacing w:line="360" w:lineRule="auto"/>
        <w:ind w:firstLine="480" w:firstLineChars="200"/>
        <w:rPr>
          <w:rFonts w:hint="eastAsia" w:ascii="宋体" w:hAnsi="宋体" w:cs="宋体"/>
          <w:sz w:val="24"/>
        </w:rPr>
      </w:pPr>
      <w:r>
        <w:rPr>
          <w:rFonts w:hint="eastAsia" w:ascii="宋体" w:hAnsi="宋体" w:cs="宋体"/>
          <w:sz w:val="24"/>
        </w:rPr>
        <w:t>1.参加本项目编制的人员必须具有国家和有关部门规定的相应资质。</w:t>
      </w:r>
    </w:p>
    <w:p>
      <w:pPr>
        <w:spacing w:line="360" w:lineRule="auto"/>
        <w:ind w:firstLine="480" w:firstLineChars="200"/>
        <w:rPr>
          <w:rFonts w:hint="eastAsia" w:ascii="宋体" w:hAnsi="宋体" w:cs="宋体"/>
          <w:sz w:val="24"/>
        </w:rPr>
      </w:pPr>
      <w:r>
        <w:rPr>
          <w:rFonts w:hint="eastAsia" w:ascii="宋体" w:hAnsi="宋体" w:cs="宋体"/>
          <w:sz w:val="24"/>
        </w:rPr>
        <w:t>2.参加本项目编制的人员配置必须与合同中的项目成员组成一致，若需调整需经甲方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hint="eastAsia"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zh-CN"/>
        </w:rPr>
        <w:t>项目团队成员应不少于5人（不含项目总负责人）。</w:t>
      </w:r>
    </w:p>
    <w:p>
      <w:pPr>
        <w:spacing w:line="360" w:lineRule="auto"/>
        <w:ind w:firstLine="482" w:firstLineChars="200"/>
        <w:rPr>
          <w:rFonts w:hint="eastAsia" w:ascii="宋体" w:hAnsi="宋体" w:cs="宋体"/>
          <w:b/>
          <w:bCs/>
          <w:sz w:val="24"/>
        </w:rPr>
      </w:pPr>
      <w:r>
        <w:rPr>
          <w:rFonts w:hint="eastAsia" w:ascii="宋体" w:hAnsi="宋体" w:cs="宋体"/>
          <w:b/>
          <w:bCs/>
          <w:sz w:val="24"/>
        </w:rPr>
        <w:t>第七条 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1.本项目全部阶段性成果和最终成果的所有权、知识产权以及与之相关的所有权利归甲方所有。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2.双方确定，甲方有权利用乙方按照本合同约定提供的成果，进行后续改进。由此产生的具有实质性或创造性技术进步特征的新的成果及其权利归属，全部由甲方享有。具体相关利益的分配办法如下：甲方100%。</w:t>
      </w:r>
    </w:p>
    <w:p>
      <w:pPr>
        <w:widowControl/>
        <w:spacing w:line="360" w:lineRule="auto"/>
        <w:ind w:firstLine="480" w:firstLineChars="200"/>
        <w:rPr>
          <w:rFonts w:hint="eastAsia" w:ascii="宋体" w:hAnsi="宋体" w:cs="宋体"/>
          <w:sz w:val="24"/>
        </w:rPr>
      </w:pPr>
      <w:r>
        <w:rPr>
          <w:rFonts w:hint="eastAsia" w:ascii="宋体" w:hAnsi="宋体" w:cs="宋体"/>
          <w:sz w:val="24"/>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5.乙方完成本合同项目的研究开发人员享有在有关成果文件上写明成果完成者的权利和与甲方共同获得有关荣誉证书、奖励的权利。</w:t>
      </w:r>
    </w:p>
    <w:p>
      <w:pPr>
        <w:spacing w:line="360" w:lineRule="auto"/>
        <w:ind w:firstLine="482" w:firstLineChars="200"/>
        <w:rPr>
          <w:rFonts w:hint="eastAsia" w:ascii="宋体" w:hAnsi="宋体" w:cs="宋体"/>
          <w:b/>
          <w:bCs/>
          <w:sz w:val="24"/>
        </w:rPr>
      </w:pPr>
      <w:r>
        <w:rPr>
          <w:rFonts w:hint="eastAsia" w:ascii="宋体" w:hAnsi="宋体" w:cs="宋体"/>
          <w:b/>
          <w:bCs/>
          <w:sz w:val="24"/>
        </w:rPr>
        <w:t>第八条  保密条款</w:t>
      </w:r>
    </w:p>
    <w:p>
      <w:pPr>
        <w:spacing w:line="360" w:lineRule="auto"/>
        <w:ind w:firstLine="480" w:firstLineChars="200"/>
        <w:rPr>
          <w:rFonts w:hint="eastAsia"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sz w:val="24"/>
        </w:rPr>
      </w:pPr>
      <w:r>
        <w:rPr>
          <w:rFonts w:hint="eastAsia" w:ascii="宋体" w:hAnsi="宋体" w:cs="宋体"/>
          <w:sz w:val="24"/>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sz w:val="24"/>
        </w:rPr>
      </w:pPr>
      <w:r>
        <w:rPr>
          <w:rFonts w:hint="eastAsia" w:ascii="宋体" w:hAnsi="宋体" w:cs="宋体"/>
          <w:sz w:val="24"/>
        </w:rPr>
        <w:t>3.乙方实施项目的程序应符合国家安全、保密的有关规定和标准。</w:t>
      </w:r>
    </w:p>
    <w:p>
      <w:pPr>
        <w:spacing w:line="360" w:lineRule="auto"/>
        <w:ind w:firstLine="480" w:firstLineChars="200"/>
        <w:rPr>
          <w:rFonts w:hint="eastAsia" w:ascii="宋体" w:hAnsi="宋体" w:cs="宋体"/>
          <w:sz w:val="24"/>
        </w:rPr>
      </w:pPr>
      <w:r>
        <w:rPr>
          <w:rFonts w:hint="eastAsia" w:ascii="宋体" w:hAnsi="宋体" w:cs="宋体"/>
          <w:sz w:val="24"/>
        </w:rPr>
        <w:t>4.上述保密义务不适用以下情况：</w:t>
      </w:r>
    </w:p>
    <w:p>
      <w:pPr>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spacing w:line="360" w:lineRule="auto"/>
        <w:ind w:firstLine="480" w:firstLineChars="200"/>
        <w:rPr>
          <w:rFonts w:hint="eastAsia" w:ascii="宋体" w:hAnsi="宋体" w:cs="宋体"/>
          <w:sz w:val="24"/>
        </w:rPr>
      </w:pPr>
      <w:r>
        <w:rPr>
          <w:rFonts w:hint="eastAsia" w:ascii="宋体" w:hAnsi="宋体" w:cs="宋体"/>
          <w:sz w:val="24"/>
        </w:rPr>
        <w:t>5.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sz w:val="24"/>
        </w:rPr>
      </w:pPr>
      <w:r>
        <w:rPr>
          <w:rFonts w:hint="eastAsia" w:ascii="宋体" w:hAnsi="宋体" w:cs="宋体"/>
          <w:sz w:val="24"/>
        </w:rPr>
        <w:t>6.无论本项目其他条款是否有效，本保密条款始终约束双方。国家秘密的保密期限由国家有关部门确定，工作秘密的保密期限由甲方确定。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第九条  成果要求及验收方式     </w:t>
      </w:r>
    </w:p>
    <w:p>
      <w:pPr>
        <w:spacing w:line="360" w:lineRule="auto"/>
        <w:ind w:firstLine="480" w:firstLineChars="200"/>
        <w:rPr>
          <w:rFonts w:hint="eastAsia" w:ascii="宋体" w:hAnsi="宋体" w:cs="宋体"/>
          <w:sz w:val="24"/>
        </w:rPr>
      </w:pPr>
      <w:r>
        <w:rPr>
          <w:rFonts w:hint="eastAsia" w:ascii="宋体" w:hAnsi="宋体" w:cs="宋体"/>
          <w:sz w:val="24"/>
        </w:rPr>
        <w:t>1.成果要求</w:t>
      </w:r>
    </w:p>
    <w:p>
      <w:pPr>
        <w:spacing w:line="360" w:lineRule="auto"/>
        <w:ind w:firstLine="480" w:firstLineChars="200"/>
        <w:rPr>
          <w:rFonts w:hint="eastAsia" w:ascii="宋体" w:hAnsi="宋体" w:cs="宋体"/>
          <w:sz w:val="24"/>
        </w:rPr>
      </w:pPr>
      <w:r>
        <w:rPr>
          <w:rFonts w:hint="eastAsia" w:ascii="宋体" w:hAnsi="宋体" w:cs="宋体"/>
          <w:sz w:val="24"/>
        </w:rPr>
        <w:t>本项目成果为服务期按需完成的全部组卷资料：前海合作区**年度第**批次城市建设用地组卷材料。</w:t>
      </w:r>
    </w:p>
    <w:p>
      <w:pPr>
        <w:spacing w:line="360" w:lineRule="auto"/>
        <w:ind w:firstLine="480" w:firstLineChars="200"/>
        <w:rPr>
          <w:rFonts w:hint="eastAsia" w:ascii="宋体" w:hAnsi="宋体" w:cs="宋体"/>
          <w:sz w:val="24"/>
        </w:rPr>
      </w:pPr>
      <w:r>
        <w:rPr>
          <w:rFonts w:hint="eastAsia" w:ascii="宋体" w:hAnsi="宋体" w:cs="宋体"/>
          <w:sz w:val="24"/>
        </w:rPr>
        <w:t>2.验收方式：最终成果验收合格的标志为甲方审查验收通过。</w:t>
      </w:r>
    </w:p>
    <w:p>
      <w:pPr>
        <w:spacing w:line="360" w:lineRule="auto"/>
        <w:ind w:firstLine="482" w:firstLineChars="200"/>
        <w:rPr>
          <w:rFonts w:hint="eastAsia" w:ascii="宋体" w:hAnsi="宋体" w:cs="宋体"/>
          <w:b/>
          <w:bCs/>
          <w:sz w:val="24"/>
        </w:rPr>
      </w:pPr>
      <w:r>
        <w:rPr>
          <w:rFonts w:hint="eastAsia" w:ascii="宋体" w:hAnsi="宋体" w:cs="宋体"/>
          <w:b/>
          <w:bCs/>
          <w:sz w:val="24"/>
        </w:rPr>
        <w:t>第十条  项目服务费用及付款方式</w:t>
      </w:r>
    </w:p>
    <w:p>
      <w:pPr>
        <w:spacing w:line="360" w:lineRule="auto"/>
        <w:ind w:firstLine="480" w:firstLineChars="200"/>
        <w:rPr>
          <w:rFonts w:hint="eastAsia"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总价包干，包括但不限于：本项目调研、劳务费、法定税费和利润以及乙方为完成本项目服务所发生的全部相关费用。在合同实施期间，除另签补充合同外，不接受乙方以任何理由、任何名目提出增加费用的要求。</w:t>
      </w:r>
    </w:p>
    <w:p>
      <w:pPr>
        <w:spacing w:line="360" w:lineRule="auto"/>
        <w:ind w:firstLine="480" w:firstLineChars="200"/>
        <w:rPr>
          <w:rFonts w:hint="eastAsia" w:ascii="宋体" w:hAnsi="宋体" w:cs="宋体"/>
          <w:sz w:val="24"/>
        </w:rPr>
      </w:pPr>
      <w:r>
        <w:rPr>
          <w:rFonts w:hint="eastAsia" w:ascii="宋体" w:hAnsi="宋体" w:cs="宋体"/>
          <w:sz w:val="24"/>
        </w:rPr>
        <w:t>2.合同价款由甲方分3期支付至乙方指定银行账户：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2.1.</w:t>
      </w:r>
      <w:bookmarkStart w:id="23" w:name="OLE_LINK1"/>
      <w:r>
        <w:rPr>
          <w:rFonts w:hint="eastAsia" w:ascii="宋体" w:hAnsi="宋体" w:cs="宋体"/>
          <w:sz w:val="24"/>
        </w:rPr>
        <w:t>首期及第二期：乙方每协助完成2个批次的分批次建设项目农转用方案成果资料报送并通过甲方验收后，可申请支付合同总价款33%。即人民币  整（¥  元）</w:t>
      </w:r>
    </w:p>
    <w:p>
      <w:pPr>
        <w:widowControl/>
        <w:spacing w:line="360" w:lineRule="auto"/>
        <w:ind w:firstLine="480" w:firstLineChars="200"/>
        <w:rPr>
          <w:rFonts w:hint="eastAsia" w:ascii="宋体" w:hAnsi="宋体" w:cs="宋体"/>
          <w:sz w:val="24"/>
        </w:rPr>
      </w:pPr>
      <w:r>
        <w:rPr>
          <w:rFonts w:hint="eastAsia" w:ascii="宋体" w:hAnsi="宋体" w:cs="宋体"/>
          <w:sz w:val="24"/>
        </w:rPr>
        <w:t>2.2.第三期：合同履行期限届满且乙方完成不少于6个批次的分批次建设项目农转用方案成果资料报送并通过甲方验收后，可申请支付第三期费用，占合同总价款34%。即人民币  整（¥  元）</w:t>
      </w:r>
    </w:p>
    <w:p>
      <w:pPr>
        <w:widowControl/>
        <w:spacing w:line="360" w:lineRule="auto"/>
        <w:ind w:firstLine="480" w:firstLineChars="200"/>
        <w:rPr>
          <w:rFonts w:hint="eastAsia" w:ascii="宋体" w:hAnsi="宋体" w:cs="宋体"/>
          <w:sz w:val="24"/>
        </w:rPr>
      </w:pPr>
      <w:r>
        <w:rPr>
          <w:rFonts w:hint="eastAsia" w:ascii="宋体" w:hAnsi="宋体" w:cs="宋体"/>
          <w:sz w:val="24"/>
        </w:rPr>
        <w:t>2.3.合同服务期限内，如因实际情况未能完成合同要求的工作量，</w:t>
      </w:r>
      <w:bookmarkStart w:id="24" w:name="OLE_LINK10"/>
      <w:r>
        <w:rPr>
          <w:rFonts w:hint="eastAsia" w:ascii="宋体" w:hAnsi="宋体" w:cs="宋体"/>
          <w:sz w:val="24"/>
        </w:rPr>
        <w:t>则按实际完成批次数量对应单价结算，前4个批次</w:t>
      </w:r>
      <w:bookmarkStart w:id="25" w:name="OLE_LINK4"/>
      <w:r>
        <w:rPr>
          <w:rFonts w:hint="eastAsia" w:ascii="宋体" w:hAnsi="宋体" w:cs="宋体"/>
          <w:sz w:val="24"/>
        </w:rPr>
        <w:t>单价为合同总价款的</w:t>
      </w:r>
      <w:bookmarkEnd w:id="25"/>
      <w:r>
        <w:rPr>
          <w:rFonts w:hint="eastAsia" w:ascii="宋体" w:hAnsi="宋体" w:cs="宋体"/>
          <w:sz w:val="24"/>
        </w:rPr>
        <w:t xml:space="preserve"> 16.5%， 第5、6批次单批次单价为合同总价款的17%，</w:t>
      </w:r>
      <w:bookmarkEnd w:id="24"/>
      <w:r>
        <w:rPr>
          <w:rFonts w:hint="eastAsia" w:ascii="宋体" w:hAnsi="宋体" w:cs="宋体"/>
          <w:sz w:val="24"/>
        </w:rPr>
        <w:t>结算总价不得超过合同总价。</w:t>
      </w:r>
      <w:bookmarkEnd w:id="23"/>
    </w:p>
    <w:p>
      <w:pPr>
        <w:widowControl/>
        <w:spacing w:line="360" w:lineRule="auto"/>
        <w:ind w:firstLine="480" w:firstLineChars="200"/>
        <w:rPr>
          <w:rFonts w:hint="eastAsia" w:ascii="宋体" w:hAnsi="宋体" w:cs="宋体"/>
          <w:sz w:val="24"/>
        </w:rPr>
      </w:pPr>
      <w:r>
        <w:rPr>
          <w:rFonts w:hint="eastAsia" w:ascii="宋体" w:hAnsi="宋体" w:cs="宋体"/>
          <w:sz w:val="24"/>
        </w:rPr>
        <w:t>2.4.合同服务期限内，如完成超过6批分批次建设项目用地农转用方案资料，不再支付额外费用。</w:t>
      </w:r>
    </w:p>
    <w:p>
      <w:pPr>
        <w:pStyle w:val="3"/>
        <w:spacing w:after="0" w:line="360" w:lineRule="auto"/>
        <w:ind w:firstLine="480" w:firstLineChars="200"/>
        <w:rPr>
          <w:rFonts w:hint="eastAsia" w:ascii="宋体" w:hAnsi="宋体" w:cs="宋体"/>
        </w:rPr>
      </w:pPr>
      <w:r>
        <w:rPr>
          <w:rFonts w:hint="eastAsia" w:ascii="宋体" w:hAnsi="宋体" w:cs="宋体"/>
        </w:rPr>
        <w:t>2.5.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3"/>
        <w:spacing w:after="0" w:line="360" w:lineRule="auto"/>
        <w:ind w:firstLine="480" w:firstLineChars="200"/>
        <w:rPr>
          <w:rFonts w:hint="eastAsia" w:ascii="宋体" w:hAnsi="宋体" w:cs="宋体"/>
        </w:rPr>
      </w:pPr>
      <w:r>
        <w:rPr>
          <w:rFonts w:hint="eastAsia" w:ascii="宋体" w:hAnsi="宋体" w:cs="宋体"/>
        </w:rPr>
        <w:t>4.乙方银行账户信息：</w:t>
      </w:r>
    </w:p>
    <w:p>
      <w:pPr>
        <w:pStyle w:val="3"/>
        <w:spacing w:after="0" w:line="360" w:lineRule="auto"/>
        <w:ind w:firstLine="480" w:firstLineChars="200"/>
        <w:rPr>
          <w:rFonts w:hint="eastAsia" w:ascii="宋体" w:hAnsi="宋体" w:cs="宋体"/>
        </w:rPr>
      </w:pPr>
      <w:r>
        <w:rPr>
          <w:rFonts w:hint="eastAsia" w:ascii="宋体" w:hAnsi="宋体" w:cs="宋体"/>
        </w:rPr>
        <w:t xml:space="preserve">开户银行： </w:t>
      </w:r>
    </w:p>
    <w:p>
      <w:pPr>
        <w:pStyle w:val="3"/>
        <w:spacing w:after="0" w:line="360" w:lineRule="auto"/>
        <w:ind w:firstLine="480" w:firstLineChars="200"/>
        <w:rPr>
          <w:rFonts w:hint="eastAsia" w:ascii="宋体" w:hAnsi="宋体" w:cs="宋体"/>
        </w:rPr>
      </w:pPr>
      <w:r>
        <w:rPr>
          <w:rFonts w:hint="eastAsia" w:ascii="宋体" w:hAnsi="宋体" w:cs="宋体"/>
        </w:rPr>
        <w:t>户名：</w:t>
      </w:r>
    </w:p>
    <w:p>
      <w:pPr>
        <w:pStyle w:val="3"/>
        <w:spacing w:after="0" w:line="360" w:lineRule="auto"/>
        <w:ind w:firstLine="480" w:firstLineChars="200"/>
        <w:rPr>
          <w:rFonts w:hint="eastAsia" w:ascii="宋体" w:hAnsi="宋体" w:cs="宋体"/>
        </w:rPr>
      </w:pPr>
      <w:r>
        <w:rPr>
          <w:rFonts w:hint="eastAsia" w:ascii="宋体" w:hAnsi="宋体" w:cs="宋体"/>
        </w:rPr>
        <w:t>账号：</w:t>
      </w:r>
    </w:p>
    <w:p>
      <w:pPr>
        <w:spacing w:line="360" w:lineRule="auto"/>
        <w:ind w:firstLine="482" w:firstLineChars="200"/>
        <w:rPr>
          <w:rFonts w:hint="eastAsia" w:ascii="宋体" w:hAnsi="宋体" w:cs="宋体"/>
          <w:b/>
          <w:bCs/>
          <w:sz w:val="24"/>
        </w:rPr>
      </w:pPr>
      <w:r>
        <w:rPr>
          <w:rFonts w:hint="eastAsia" w:ascii="宋体" w:hAnsi="宋体" w:cs="宋体"/>
          <w:b/>
          <w:bCs/>
          <w:sz w:val="24"/>
        </w:rPr>
        <w:t>第十一条 合同提前终止</w:t>
      </w:r>
    </w:p>
    <w:p>
      <w:pPr>
        <w:pStyle w:val="30"/>
        <w:spacing w:line="360" w:lineRule="auto"/>
        <w:ind w:firstLine="480"/>
        <w:rPr>
          <w:rFonts w:hint="eastAsia" w:ascii="宋体" w:hAnsi="宋体" w:cs="宋体"/>
          <w:sz w:val="24"/>
          <w:szCs w:val="24"/>
        </w:rPr>
      </w:pPr>
      <w:r>
        <w:rPr>
          <w:rFonts w:hint="eastAsia" w:ascii="宋体" w:hAnsi="宋体" w:cs="宋体"/>
          <w:sz w:val="24"/>
          <w:szCs w:val="24"/>
        </w:rPr>
        <w:t>1.双方协商同意提前终止本合同的，按双方协商约定的方式进行清算执行。</w:t>
      </w:r>
    </w:p>
    <w:p>
      <w:pPr>
        <w:pStyle w:val="30"/>
        <w:spacing w:line="360" w:lineRule="auto"/>
        <w:ind w:firstLine="480"/>
        <w:rPr>
          <w:rFonts w:hint="eastAsia" w:ascii="宋体" w:hAnsi="宋体" w:cs="宋体"/>
          <w:sz w:val="24"/>
          <w:szCs w:val="24"/>
        </w:rPr>
      </w:pPr>
      <w:r>
        <w:rPr>
          <w:rFonts w:hint="eastAsia" w:ascii="宋体" w:hAnsi="宋体" w:cs="宋体"/>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并按照乙方已完成的工作量支付款项，同时乙方应向甲方提交在合同终止日前完成的所有项目文件和相关资料。</w:t>
      </w:r>
    </w:p>
    <w:p>
      <w:pPr>
        <w:pStyle w:val="30"/>
        <w:spacing w:line="360" w:lineRule="auto"/>
        <w:ind w:firstLine="480"/>
        <w:rPr>
          <w:rFonts w:hint="eastAsia" w:ascii="宋体" w:hAnsi="宋体" w:cs="宋体"/>
          <w:sz w:val="24"/>
          <w:szCs w:val="24"/>
        </w:rPr>
      </w:pPr>
      <w:r>
        <w:rPr>
          <w:rFonts w:hint="eastAsia" w:ascii="宋体" w:hAnsi="宋体" w:cs="宋体"/>
          <w:sz w:val="24"/>
          <w:szCs w:val="24"/>
        </w:rPr>
        <w:t>3.有下列情形之一的，本合同自甲方向乙方发出书面通知之日起终止：</w:t>
      </w:r>
    </w:p>
    <w:p>
      <w:pPr>
        <w:pStyle w:val="30"/>
        <w:spacing w:line="360" w:lineRule="auto"/>
        <w:ind w:firstLine="480"/>
        <w:rPr>
          <w:rFonts w:hint="eastAsia" w:ascii="宋体" w:hAnsi="宋体" w:cs="宋体"/>
          <w:sz w:val="24"/>
          <w:szCs w:val="24"/>
        </w:rPr>
      </w:pPr>
      <w:r>
        <w:rPr>
          <w:rFonts w:hint="eastAsia" w:ascii="宋体" w:hAnsi="宋体" w:cs="宋体"/>
          <w:sz w:val="24"/>
          <w:szCs w:val="24"/>
        </w:rPr>
        <w:t>（1）甲方的职能发生转变，不再具有委托职能。</w:t>
      </w:r>
    </w:p>
    <w:p>
      <w:pPr>
        <w:pStyle w:val="30"/>
        <w:spacing w:line="360" w:lineRule="auto"/>
        <w:ind w:firstLine="480"/>
        <w:rPr>
          <w:rFonts w:hint="eastAsia"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30"/>
        <w:spacing w:line="360" w:lineRule="auto"/>
        <w:ind w:firstLine="480"/>
        <w:rPr>
          <w:rFonts w:hint="eastAsia" w:ascii="宋体" w:hAnsi="宋体" w:cs="宋体"/>
          <w:sz w:val="24"/>
          <w:szCs w:val="24"/>
        </w:rPr>
      </w:pPr>
      <w:r>
        <w:rPr>
          <w:rFonts w:hint="eastAsia" w:ascii="宋体" w:hAnsi="宋体" w:cs="宋体"/>
          <w:sz w:val="24"/>
          <w:szCs w:val="24"/>
        </w:rPr>
        <w:t>发生以上情形，甲方已向乙方支付的款项不退还，并按照乙方已完成的工作量支付款项，同时乙方应向甲方提交在合同终止日前完成的所有项目文件和相关资料。</w:t>
      </w:r>
    </w:p>
    <w:p>
      <w:pPr>
        <w:pStyle w:val="30"/>
        <w:spacing w:line="360" w:lineRule="auto"/>
        <w:ind w:firstLine="480"/>
        <w:rPr>
          <w:rFonts w:hint="eastAsia" w:ascii="宋体" w:hAnsi="宋体" w:cs="宋体"/>
          <w:sz w:val="24"/>
          <w:szCs w:val="24"/>
        </w:rPr>
      </w:pPr>
      <w:r>
        <w:rPr>
          <w:rFonts w:hint="eastAsia" w:ascii="宋体" w:hAnsi="宋体" w:cs="宋体"/>
          <w:sz w:val="24"/>
          <w:szCs w:val="24"/>
        </w:rPr>
        <w:t>4.如发生不可抗力或其他超出合同双方控制的事件，致使一方无法履行合同，本合同解除。</w:t>
      </w:r>
    </w:p>
    <w:p>
      <w:pPr>
        <w:pStyle w:val="30"/>
        <w:spacing w:line="360" w:lineRule="auto"/>
        <w:ind w:firstLine="480"/>
        <w:rPr>
          <w:rFonts w:hint="eastAsia"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0"/>
        <w:spacing w:line="360" w:lineRule="auto"/>
        <w:ind w:firstLine="480"/>
        <w:rPr>
          <w:rFonts w:hint="eastAsia"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30"/>
        <w:spacing w:line="360" w:lineRule="auto"/>
        <w:ind w:firstLine="480"/>
        <w:rPr>
          <w:rFonts w:hint="eastAsia"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sz w:val="24"/>
        </w:rPr>
      </w:pPr>
      <w:r>
        <w:rPr>
          <w:rFonts w:hint="eastAsia" w:ascii="宋体" w:hAnsi="宋体" w:cs="宋体"/>
          <w:b/>
          <w:bCs/>
          <w:sz w:val="24"/>
        </w:rPr>
        <w:t>第十二条  争议解决办法</w:t>
      </w:r>
    </w:p>
    <w:p>
      <w:pPr>
        <w:snapToGrid w:val="0"/>
        <w:spacing w:line="360" w:lineRule="auto"/>
        <w:ind w:firstLine="480" w:firstLineChars="200"/>
        <w:rPr>
          <w:rFonts w:hint="eastAsia" w:ascii="宋体" w:hAnsi="宋体" w:cs="宋体"/>
          <w:sz w:val="24"/>
        </w:rPr>
      </w:pPr>
      <w:bookmarkStart w:id="26" w:name="OLE_LINK5"/>
      <w:r>
        <w:rPr>
          <w:rFonts w:hint="eastAsia" w:ascii="宋体" w:hAnsi="宋体" w:cs="宋体"/>
          <w:sz w:val="24"/>
        </w:rPr>
        <w:t>因本合同的履行发生的或与本合同有关的争议或纠纷，由甲乙双方协商解决。协商不成的，双方同意将争议提交深圳前海合作区人民法院通过诉讼解决</w:t>
      </w:r>
      <w:bookmarkEnd w:id="26"/>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第十三条  项目变更</w:t>
      </w:r>
    </w:p>
    <w:p>
      <w:pPr>
        <w:snapToGrid w:val="0"/>
        <w:spacing w:line="360" w:lineRule="auto"/>
        <w:ind w:firstLine="480" w:firstLineChars="200"/>
        <w:rPr>
          <w:rFonts w:hint="eastAsia"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rPr>
          <w:rFonts w:hint="eastAsia" w:ascii="宋体" w:hAnsi="宋体" w:cs="宋体"/>
          <w:b/>
          <w:bCs/>
          <w:sz w:val="24"/>
        </w:rPr>
      </w:pPr>
      <w:r>
        <w:rPr>
          <w:rFonts w:hint="eastAsia" w:ascii="宋体" w:hAnsi="宋体" w:cs="宋体"/>
          <w:b/>
          <w:bCs/>
          <w:sz w:val="24"/>
        </w:rPr>
        <w:t>第十四条  风险责任</w:t>
      </w:r>
    </w:p>
    <w:p>
      <w:pPr>
        <w:spacing w:line="360" w:lineRule="auto"/>
        <w:ind w:firstLine="480" w:firstLineChars="200"/>
        <w:rPr>
          <w:rFonts w:hint="eastAsia" w:ascii="宋体" w:hAnsi="宋体" w:cs="宋体"/>
          <w:sz w:val="24"/>
        </w:rPr>
      </w:pPr>
      <w:r>
        <w:rPr>
          <w:rFonts w:hint="eastAsia" w:ascii="宋体" w:hAnsi="宋体" w:cs="宋体"/>
          <w:sz w:val="24"/>
        </w:rPr>
        <w:t>乙方应完全地按照【  】号招标文件的要求和乙方投标文件的承诺完成本项目，出于自身财务、技术、人力等原因导致项目失败的，应承担全部责任。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sz w:val="24"/>
        </w:rPr>
      </w:pPr>
      <w:r>
        <w:rPr>
          <w:rFonts w:hint="eastAsia" w:ascii="宋体" w:hAnsi="宋体" w:cs="宋体"/>
          <w:b/>
          <w:bCs/>
          <w:sz w:val="24"/>
        </w:rPr>
        <w:t>第十五条  违约责任</w:t>
      </w:r>
    </w:p>
    <w:p>
      <w:pPr>
        <w:spacing w:line="360" w:lineRule="auto"/>
        <w:ind w:firstLine="480" w:firstLineChars="200"/>
        <w:rPr>
          <w:rFonts w:hint="eastAsia" w:ascii="宋体" w:hAnsi="宋体" w:cs="宋体"/>
          <w:sz w:val="24"/>
        </w:rPr>
      </w:pPr>
      <w:r>
        <w:rPr>
          <w:rFonts w:hint="eastAsia" w:ascii="宋体" w:hAnsi="宋体" w:cs="宋体"/>
          <w:sz w:val="24"/>
        </w:rPr>
        <w:t>1.因乙方原因，未能按规定时间完成有关工作的，每延误一天，甲方自尚未支付的合同款项中扣除合同服务总金额的5‰的逾期违约金。</w:t>
      </w:r>
    </w:p>
    <w:p>
      <w:pPr>
        <w:spacing w:line="360" w:lineRule="auto"/>
        <w:ind w:firstLine="480" w:firstLineChars="200"/>
        <w:rPr>
          <w:rFonts w:hint="eastAsia" w:ascii="宋体" w:hAnsi="宋体" w:cs="宋体"/>
          <w:sz w:val="24"/>
        </w:rPr>
      </w:pPr>
      <w:r>
        <w:rPr>
          <w:rFonts w:hint="eastAsia" w:ascii="宋体" w:hAnsi="宋体" w:cs="宋体"/>
          <w:sz w:val="24"/>
        </w:rPr>
        <w:t>2.如乙方提供的服务或成果不符合质量要求，必须在甲方提出要求后7个日历日内无条件修改，其费用由乙方承担。</w:t>
      </w:r>
    </w:p>
    <w:p>
      <w:pPr>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sz w:val="24"/>
        </w:rPr>
      </w:pPr>
      <w:r>
        <w:rPr>
          <w:rFonts w:hint="eastAsia" w:ascii="宋体" w:hAnsi="宋体" w:cs="宋体"/>
          <w:sz w:val="24"/>
        </w:rPr>
        <w:t>(1)因乙方工作的错误或遗漏造成成果质量不符合本合同要求，且乙方未按甲方要求采取及时有效的补救措施的；</w:t>
      </w:r>
    </w:p>
    <w:p>
      <w:pPr>
        <w:spacing w:line="360" w:lineRule="auto"/>
        <w:ind w:firstLine="480" w:firstLineChars="200"/>
        <w:rPr>
          <w:rFonts w:hint="eastAsia" w:ascii="宋体" w:hAnsi="宋体" w:cs="宋体"/>
          <w:sz w:val="24"/>
        </w:rPr>
      </w:pPr>
      <w:r>
        <w:rPr>
          <w:rFonts w:hint="eastAsia" w:ascii="宋体" w:hAnsi="宋体" w:cs="宋体"/>
          <w:sz w:val="24"/>
        </w:rPr>
        <w:t>(2)乙方未能按合同约定的日期(含协商延缓的日期)提交工作成果，延误时间超过30个工作日；或乙方虽如期提交阶段性成果和最终成果，但最终成果连续二次未能通过验收的；</w:t>
      </w:r>
    </w:p>
    <w:p>
      <w:pPr>
        <w:spacing w:line="360" w:lineRule="auto"/>
        <w:ind w:firstLine="480" w:firstLineChars="200"/>
        <w:rPr>
          <w:rFonts w:hint="eastAsia" w:ascii="宋体" w:hAnsi="宋体" w:cs="宋体"/>
          <w:sz w:val="24"/>
        </w:rPr>
      </w:pPr>
      <w:r>
        <w:rPr>
          <w:rFonts w:hint="eastAsia" w:ascii="宋体" w:hAnsi="宋体" w:cs="宋体"/>
          <w:sz w:val="24"/>
        </w:rPr>
        <w:t>(3)发现乙方或乙方工作人员出现全部或部分丧失履行委托服务能力的情况，甲方有权通知乙方限期整改或更换工作人员，期限届满乙方并未进行改善的；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(4)未经甲方书面在先同意，乙方擅自将本合同项目与任何第三方合作，或将本合同标的的全部或部分擅自转包给任何第三方，且未按采购单位的要求终止与第三方的合同的；</w:t>
      </w:r>
    </w:p>
    <w:p>
      <w:pPr>
        <w:spacing w:line="360" w:lineRule="auto"/>
        <w:ind w:firstLine="480" w:firstLineChars="200"/>
        <w:rPr>
          <w:rFonts w:hint="eastAsia" w:ascii="宋体" w:hAnsi="宋体" w:cs="宋体"/>
          <w:sz w:val="24"/>
        </w:rPr>
      </w:pPr>
      <w:r>
        <w:rPr>
          <w:rFonts w:hint="eastAsia" w:ascii="宋体" w:hAnsi="宋体" w:cs="宋体"/>
          <w:sz w:val="24"/>
        </w:rPr>
        <w:t>(5)乙方明确表示或者以自己的行为表明不履行本合同的。</w:t>
      </w:r>
    </w:p>
    <w:p>
      <w:pPr>
        <w:spacing w:line="360" w:lineRule="auto"/>
        <w:ind w:firstLine="480" w:firstLineChars="200"/>
        <w:rPr>
          <w:rFonts w:hint="eastAsia" w:ascii="宋体" w:hAnsi="宋体" w:cs="宋体"/>
          <w:sz w:val="24"/>
        </w:rPr>
      </w:pPr>
      <w:r>
        <w:rPr>
          <w:rFonts w:hint="eastAsia" w:ascii="宋体" w:hAnsi="宋体" w:cs="宋体"/>
          <w:sz w:val="24"/>
        </w:rPr>
        <w:t xml:space="preserve">4.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 </w:t>
      </w:r>
    </w:p>
    <w:p>
      <w:pPr>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sz w:val="24"/>
        </w:rPr>
      </w:pPr>
      <w:r>
        <w:rPr>
          <w:rFonts w:hint="eastAsia" w:ascii="宋体" w:hAnsi="宋体" w:cs="宋体"/>
          <w:b/>
          <w:bCs/>
          <w:sz w:val="24"/>
        </w:rPr>
        <w:t>第十六条  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（3）招标文件（编号：</w:t>
      </w:r>
      <w:r>
        <w:rPr>
          <w:rFonts w:hint="eastAsia" w:ascii="宋体" w:hAnsi="宋体" w:cs="宋体"/>
          <w:sz w:val="24"/>
          <w:u w:val="single"/>
        </w:rPr>
        <w:t xml:space="preserve">    </w:t>
      </w:r>
      <w:r>
        <w:rPr>
          <w:rFonts w:hint="eastAsia" w:ascii="宋体" w:hAnsi="宋体" w:cs="宋体"/>
          <w:sz w:val="24"/>
        </w:rPr>
        <w:t>）及其澄清、补正公告；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30"/>
        <w:spacing w:line="360" w:lineRule="auto"/>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30"/>
        <w:spacing w:line="360" w:lineRule="auto"/>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0"/>
        <w:spacing w:line="360" w:lineRule="auto"/>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30"/>
        <w:spacing w:line="360" w:lineRule="auto"/>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0"/>
        <w:spacing w:line="360" w:lineRule="auto"/>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30"/>
        <w:spacing w:line="360" w:lineRule="auto"/>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30"/>
        <w:spacing w:line="360" w:lineRule="auto"/>
        <w:ind w:firstLine="480"/>
        <w:rPr>
          <w:rFonts w:hint="eastAsia" w:ascii="宋体" w:hAnsi="宋体" w:cs="宋体"/>
          <w:sz w:val="24"/>
          <w:szCs w:val="24"/>
        </w:rPr>
      </w:pPr>
      <w:r>
        <w:rPr>
          <w:rFonts w:hint="eastAsia" w:ascii="宋体" w:hAnsi="宋体" w:cs="宋体"/>
          <w:sz w:val="24"/>
          <w:szCs w:val="24"/>
        </w:rPr>
        <w:t>11.本合同自双方盖章之日起生效，</w:t>
      </w:r>
      <w:r>
        <w:rPr>
          <w:rFonts w:hint="eastAsia" w:ascii="宋体" w:hAnsi="宋体" w:cs="宋体"/>
          <w:sz w:val="24"/>
        </w:rPr>
        <w:t>有效期至本合同全部权利义务履行完毕之日止</w:t>
      </w:r>
      <w:r>
        <w:rPr>
          <w:rFonts w:hint="eastAsia" w:ascii="宋体" w:hAnsi="宋体" w:cs="宋体"/>
          <w:sz w:val="24"/>
          <w:szCs w:val="24"/>
        </w:rPr>
        <w:t>。</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widowControl/>
        <w:spacing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ind w:firstLine="200"/>
        <w:rPr>
          <w:rFonts w:hint="eastAsia" w:ascii="宋体" w:hAnsi="宋体" w:cs="宋体"/>
          <w:sz w:val="24"/>
        </w:rPr>
      </w:pPr>
    </w:p>
    <w:p>
      <w:pPr>
        <w:adjustRightInd w:val="0"/>
        <w:snapToGrid w:val="0"/>
        <w:spacing w:line="360" w:lineRule="auto"/>
        <w:ind w:left="8312" w:hanging="8312" w:hangingChars="3450"/>
        <w:rPr>
          <w:rFonts w:hint="eastAsia" w:ascii="宋体" w:hAnsi="宋体" w:cs="宋体"/>
          <w:b/>
          <w:sz w:val="24"/>
        </w:rPr>
      </w:pPr>
      <w:r>
        <w:rPr>
          <w:rFonts w:hint="eastAsia" w:ascii="宋体" w:hAnsi="宋体" w:cs="宋体"/>
          <w:b/>
          <w:sz w:val="24"/>
        </w:rPr>
        <w:t>甲方名称：                                 乙方名称：</w:t>
      </w:r>
    </w:p>
    <w:p>
      <w:pPr>
        <w:adjustRightInd w:val="0"/>
        <w:snapToGrid w:val="0"/>
        <w:spacing w:line="360" w:lineRule="auto"/>
        <w:rPr>
          <w:rFonts w:hint="eastAsia"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hint="eastAsia"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hint="eastAsia" w:ascii="宋体" w:hAnsi="宋体" w:cs="宋体"/>
          <w:sz w:val="24"/>
        </w:rPr>
      </w:pP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27" w:name="_Toc25518"/>
      <w:r>
        <w:rPr>
          <w:rFonts w:hint="eastAsia" w:ascii="宋体" w:hAnsi="宋体" w:cs="宋体"/>
          <w:b/>
          <w:bCs/>
          <w:sz w:val="24"/>
        </w:rPr>
        <w:t>用户需求书</w:t>
      </w:r>
      <w:bookmarkEnd w:id="27"/>
    </w:p>
    <w:p>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bookmarkStart w:id="28" w:name="_Toc11045"/>
      <w:bookmarkStart w:id="29" w:name="_Toc23726"/>
      <w:r>
        <w:rPr>
          <w:rFonts w:hint="eastAsia" w:ascii="宋体" w:hAnsi="宋体" w:cs="宋体"/>
          <w:b/>
          <w:sz w:val="24"/>
        </w:rPr>
        <w:t>说明：本章“用户需求书”的全部内容为本项目正常开展的基本要求，投标人必须</w:t>
      </w:r>
      <w:r>
        <w:rPr>
          <w:rFonts w:hint="eastAsia" w:ascii="宋体" w:hAnsi="宋体" w:cs="宋体"/>
          <w:b/>
          <w:sz w:val="24"/>
          <w:u w:val="double"/>
        </w:rPr>
        <w:t>完全响应</w:t>
      </w:r>
      <w:r>
        <w:rPr>
          <w:rFonts w:hint="eastAsia" w:ascii="宋体" w:hAnsi="宋体" w:cs="宋体"/>
          <w:b/>
          <w:sz w:val="24"/>
        </w:rPr>
        <w:t>，否则将导致投标无效。</w:t>
      </w:r>
    </w:p>
    <w:p>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一、</w:t>
      </w:r>
      <w:bookmarkEnd w:id="28"/>
      <w:bookmarkEnd w:id="29"/>
      <w:bookmarkStart w:id="30" w:name="_Toc51746099"/>
      <w:r>
        <w:rPr>
          <w:rFonts w:hint="eastAsia" w:ascii="宋体" w:hAnsi="宋体" w:cs="宋体"/>
          <w:b/>
          <w:sz w:val="24"/>
          <w:lang w:val="zh-CN"/>
        </w:rPr>
        <w:t>项目概况</w:t>
      </w:r>
    </w:p>
    <w:bookmarkEnd w:id="30"/>
    <w:p>
      <w:pPr>
        <w:pStyle w:val="3"/>
        <w:spacing w:after="0" w:line="360" w:lineRule="auto"/>
        <w:ind w:firstLine="480" w:firstLineChars="200"/>
        <w:rPr>
          <w:rFonts w:hint="eastAsia" w:ascii="宋体" w:hAnsi="宋体" w:cs="宋体"/>
          <w:szCs w:val="32"/>
        </w:rPr>
      </w:pPr>
      <w:r>
        <w:rPr>
          <w:rFonts w:hint="eastAsia" w:ascii="宋体" w:hAnsi="宋体" w:cs="宋体"/>
          <w:szCs w:val="32"/>
        </w:rPr>
        <w:t>（一）根据《中华人民共和国土地管理法实施条例》《关于同意授权深圳市人民政府行使相关土地管理权限的批复》（粤府函〔2012〕115号）、《广东省人民政府关于将一批省级行政职权事项调整由广州、深圳市实施的决定》（粤府令第281号）、《广东省自然资源厅关于启用广东省国土空间用途管制综合应用系统建设用地审批模块的通知》（粤自然资源管制〔2024〕1482号）、前海合作区“一条例两办法”的规定，我局需编制批次建设项目用地农用地转用方案上报审批，且农用地转用方案审批、备案全流程需同步在广东省国土空间用途管制综合应用系统完成。</w:t>
      </w:r>
    </w:p>
    <w:p>
      <w:pPr>
        <w:pStyle w:val="3"/>
        <w:spacing w:after="0" w:line="360" w:lineRule="auto"/>
        <w:ind w:firstLine="480" w:firstLineChars="200"/>
        <w:rPr>
          <w:rFonts w:hint="eastAsia" w:ascii="宋体" w:hAnsi="宋体" w:cs="宋体"/>
          <w:szCs w:val="32"/>
        </w:rPr>
      </w:pPr>
      <w:r>
        <w:rPr>
          <w:rFonts w:hint="eastAsia" w:ascii="宋体" w:hAnsi="宋体" w:cs="宋体"/>
          <w:szCs w:val="32"/>
        </w:rPr>
        <w:t>（二）中共中央、国务院于2021年9月6日发布《全面深化前海深港现代服务业合作区改革开放方案》，明确划定了前海扩区范围，面积扩展为原来的8倍，从14.92平方公里扩增到120.56平方公里，新区域包括蛇口及大小南山片区、会展新城及海洋新城片区、机场及周边片区、宝安中心区及大铲湾片区。2023年12月，市规划和自然资源局印发《关于进一步规范土地供应报批工作的通知》（深规划资源发〔2023〕199号），要求建设项目进行土地供应方案报批时，应严格按照规定开展用地报批地类认定工作，依法依规办理农用地转用(含追溯)审批手续。在前海开发建设过程中，建设项目用地若不按照国家要求以地类追溯结果为依据办理农转用手续，将存在未批先供、涉嫌违规批地、面临审计等风险。</w:t>
      </w:r>
    </w:p>
    <w:p>
      <w:pPr>
        <w:pStyle w:val="3"/>
        <w:spacing w:after="0" w:line="360" w:lineRule="auto"/>
        <w:ind w:firstLine="480" w:firstLineChars="200"/>
        <w:rPr>
          <w:rFonts w:hint="eastAsia" w:ascii="宋体" w:hAnsi="宋体" w:cs="宋体"/>
          <w:szCs w:val="32"/>
        </w:rPr>
      </w:pPr>
      <w:r>
        <w:rPr>
          <w:rFonts w:hint="eastAsia" w:ascii="宋体" w:hAnsi="宋体" w:cs="宋体"/>
          <w:szCs w:val="32"/>
        </w:rPr>
        <w:t>（三）根据前海合作区2025年度供应计划，全区拟计划供应建设项目需完善农转用手续土地约99.5公顷，其中农用地74.4公顷（含耕地4.5公顷）。</w:t>
      </w:r>
    </w:p>
    <w:p>
      <w:pPr>
        <w:pStyle w:val="3"/>
        <w:spacing w:after="0" w:line="360" w:lineRule="auto"/>
        <w:ind w:firstLine="480" w:firstLineChars="200"/>
        <w:rPr>
          <w:rFonts w:hint="eastAsia" w:ascii="宋体" w:hAnsi="宋体" w:cs="宋体"/>
          <w:szCs w:val="32"/>
        </w:rPr>
      </w:pPr>
      <w:r>
        <w:rPr>
          <w:rFonts w:hint="eastAsia" w:ascii="宋体" w:hAnsi="宋体" w:cs="宋体"/>
          <w:szCs w:val="32"/>
        </w:rPr>
        <w:t>（四）综上，建设项目用地农转用组卷兼具政策性和专业性，为满足业务辅助的需求，有必要选取技术单位提供相关技术支撑，现拟通过简易招标方式继续采购技术单位承接此项工作。</w:t>
      </w:r>
    </w:p>
    <w:p>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bookmarkStart w:id="31" w:name="OLE_LINK7"/>
      <w:r>
        <w:rPr>
          <w:rFonts w:hint="eastAsia" w:ascii="宋体" w:hAnsi="宋体" w:cs="宋体"/>
          <w:b/>
          <w:sz w:val="24"/>
        </w:rPr>
        <w:t>二、项目内容</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为前海分批次农转用方案报批各环节涉及的技术性工作提供技术支持服务。</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（一）农转用前期工作技术支持</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针对用地范围已稳定的项目（核发选址等）进行地类追溯（最新年度至2009年变更调查），运用GIS技术软件逐年进行空间叠加分析，对空间分析结果进行地类分类以及数据统计，确定占用农用地和未利用地等情况。</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2.根据各类空间管控要素核查结果，提出项目开展农转用方案编制的工作内容及材料要求。</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（二）农转用方案组卷成果技术支持</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1.根据《深圳市农用地转为建设用地审批工作指引》等有关规定，对农转用组卷初步成果提出专业技术意见，从成果的完整性、准确性、规范性、真实性、合理性等多个维度进行全面评估。</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2.结合有关职能部门的意见，对违法用地处置情况、权属收回情况、耕地耕作层剥离方案合理性等进行重点把关，最终形成农转用报批组卷材料。</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（三）土地勘测定界报告技术服务</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按照《土地勘测定界规程》（TD/T1008-2007）等文件规定，一个农转用批次编制一个勘测定界报告，报告内容包括用地范围各类示意图、界址点坐标、面积量算及权属调查结果，并确保数据与最新的国土变更调查保持一致。</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（四）农转用其他辅助技术服务</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1.协助开展农转用数据相关的空间分析与汇总统计，为各类使用需求提供数据支撑。</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2.协助对农转用涉及其他事项的合法合规性和政策适配性提出意见。</w:t>
      </w:r>
    </w:p>
    <w:p>
      <w:pPr>
        <w:spacing w:line="360" w:lineRule="auto"/>
        <w:ind w:firstLine="480" w:firstLineChars="200"/>
        <w:rPr>
          <w:rFonts w:hint="eastAsia" w:ascii="宋体" w:hAnsi="宋体" w:cs="宋体"/>
          <w:bCs/>
          <w:sz w:val="24"/>
        </w:rPr>
      </w:pPr>
      <w:r>
        <w:rPr>
          <w:rFonts w:hint="eastAsia" w:ascii="宋体" w:hAnsi="宋体" w:cs="宋体"/>
          <w:sz w:val="24"/>
          <w:szCs w:val="32"/>
        </w:rPr>
        <w:t>3.按批次收集农转用批准信息（含用地位置、农转用面积、批准信息等关键内容），协助更新农转用项目台账，确保农转用信息的时效性和准确性，以满足多维度统计需求。</w:t>
      </w:r>
    </w:p>
    <w:p>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三、工作进度安排</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项目启动后6个月内对首批分批次建设项目农转用方案组卷成果提供技术服务，合同服务期限内至少完成对6批分批次建设项目农转用方案组卷成果提供技术服务。服务期限内启动批次用地组卷的均属于项目服务范围。</w:t>
      </w:r>
    </w:p>
    <w:p>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四、成果要求及验收方式</w:t>
      </w:r>
    </w:p>
    <w:p>
      <w:pPr>
        <w:pStyle w:val="3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（一）成果要求</w:t>
      </w:r>
    </w:p>
    <w:p>
      <w:pPr>
        <w:pStyle w:val="3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本项目成果为服务期按需完成的全部组卷资料：前海合作区**年度第**批次城市建设用地组卷材料。</w:t>
      </w:r>
    </w:p>
    <w:p>
      <w:pPr>
        <w:pStyle w:val="3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（二）验收方式：最终成果验收合格的标志为采购人审查验收通过。</w:t>
      </w:r>
    </w:p>
    <w:bookmarkEnd w:id="31"/>
    <w:p>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五、人员要求</w:t>
      </w:r>
    </w:p>
    <w:p>
      <w:pPr>
        <w:pStyle w:val="3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lang w:val="zh-CN"/>
        </w:rPr>
        <w:t>项目团队成员应不少于5人（不含项目总负责人）。</w:t>
      </w:r>
    </w:p>
    <w:p>
      <w:pPr>
        <w:pStyle w:val="3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六、商务要求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sz w:val="24"/>
        </w:rPr>
      </w:pPr>
      <w:r>
        <w:rPr>
          <w:rFonts w:hint="eastAsia" w:ascii="宋体" w:hAnsi="宋体" w:cs="宋体"/>
          <w:b/>
          <w:bCs/>
          <w:kern w:val="0"/>
          <w:sz w:val="24"/>
        </w:rPr>
        <w:t>（一）服务期限</w:t>
      </w:r>
    </w:p>
    <w:p>
      <w:pPr>
        <w:spacing w:line="360" w:lineRule="auto"/>
        <w:ind w:firstLine="480" w:firstLineChars="200"/>
        <w:rPr>
          <w:rFonts w:hint="eastAsia" w:ascii="宋体" w:hAnsi="宋体" w:cs="宋体"/>
          <w:sz w:val="24"/>
        </w:rPr>
      </w:pPr>
      <w:r>
        <w:rPr>
          <w:rFonts w:hint="eastAsia" w:ascii="宋体" w:hAnsi="宋体" w:cs="宋体"/>
          <w:sz w:val="24"/>
        </w:rPr>
        <w:t>本项目服务期限自签订合同之日一年内，本项目为长期服务项目，在合同服务期限届满前二个月，由采购人组织履约评价工作，评价结果为优秀的可以续签，最多可以续签两次。</w:t>
      </w:r>
    </w:p>
    <w:p>
      <w:pPr>
        <w:tabs>
          <w:tab w:val="left" w:pos="720"/>
        </w:tabs>
        <w:autoSpaceDE w:val="0"/>
        <w:autoSpaceDN w:val="0"/>
        <w:adjustRightInd w:val="0"/>
        <w:spacing w:line="360" w:lineRule="auto"/>
        <w:ind w:right="17" w:firstLine="482" w:firstLineChars="200"/>
        <w:outlineLvl w:val="2"/>
        <w:rPr>
          <w:rFonts w:hint="eastAsia" w:ascii="宋体" w:hAnsi="宋体" w:cs="宋体"/>
          <w:bCs/>
          <w:sz w:val="24"/>
        </w:rPr>
      </w:pPr>
      <w:r>
        <w:rPr>
          <w:rFonts w:hint="eastAsia" w:ascii="宋体" w:hAnsi="宋体" w:cs="宋体"/>
          <w:b/>
          <w:bCs/>
          <w:kern w:val="0"/>
          <w:sz w:val="24"/>
        </w:rPr>
        <w:t>（二）后续服务要求</w:t>
      </w:r>
    </w:p>
    <w:p>
      <w:pPr>
        <w:tabs>
          <w:tab w:val="left" w:pos="720"/>
        </w:tabs>
        <w:autoSpaceDE w:val="0"/>
        <w:autoSpaceDN w:val="0"/>
        <w:adjustRightInd w:val="0"/>
        <w:spacing w:line="360" w:lineRule="auto"/>
        <w:ind w:right="17" w:firstLine="480" w:firstLineChars="200"/>
        <w:outlineLvl w:val="2"/>
        <w:rPr>
          <w:rFonts w:hint="eastAsia" w:ascii="宋体" w:hAnsi="宋体" w:cs="宋体"/>
          <w:bCs/>
          <w:sz w:val="24"/>
        </w:rPr>
      </w:pPr>
      <w:r>
        <w:rPr>
          <w:rFonts w:hint="eastAsia" w:ascii="宋体" w:hAnsi="宋体" w:cs="宋体"/>
          <w:bCs/>
          <w:sz w:val="24"/>
        </w:rPr>
        <w:t>本项目最终成果通过采购人审查验收之日起一年内为本合同后续服务期。服务期内应提供后续的相关咨询、协调和项目审查等技术支持。</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hint="eastAsia" w:ascii="宋体" w:hAnsi="宋体" w:cs="宋体"/>
          <w:sz w:val="24"/>
        </w:rPr>
      </w:pPr>
      <w:r>
        <w:rPr>
          <w:rFonts w:hint="eastAsia" w:ascii="宋体" w:hAnsi="宋体" w:cs="宋体"/>
          <w:sz w:val="24"/>
        </w:rPr>
        <w:t>1.</w:t>
      </w:r>
      <w:bookmarkStart w:id="32" w:name="OLE_LINK2"/>
      <w:r>
        <w:rPr>
          <w:rFonts w:hint="eastAsia" w:ascii="宋体" w:hAnsi="宋体" w:cs="宋体"/>
          <w:sz w:val="24"/>
        </w:rPr>
        <w:t>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项目服务费包括但不限于：</w:t>
      </w:r>
      <w:r>
        <w:rPr>
          <w:rFonts w:hint="eastAsia" w:ascii="宋体" w:hAnsi="宋体" w:cs="宋体"/>
          <w:kern w:val="0"/>
          <w:sz w:val="24"/>
        </w:rPr>
        <w:t>本项目调研、劳务费、法定税费和利润以及中标人为完成本项目服务所发生的全部相关费用</w:t>
      </w:r>
      <w:r>
        <w:rPr>
          <w:rFonts w:hint="eastAsia" w:ascii="宋体" w:hAnsi="宋体" w:cs="宋体"/>
          <w:sz w:val="24"/>
        </w:rPr>
        <w:t>。一经中标，投标报价作为中标单位与采购人</w:t>
      </w:r>
      <w:r>
        <w:rPr>
          <w:rFonts w:hint="eastAsia" w:ascii="宋体" w:hAnsi="宋体" w:cs="宋体"/>
          <w:sz w:val="24"/>
          <w:lang w:eastAsia="zh-CN"/>
        </w:rPr>
        <w:t>签订</w:t>
      </w:r>
      <w:r>
        <w:rPr>
          <w:rFonts w:hint="eastAsia" w:ascii="宋体" w:hAnsi="宋体" w:cs="宋体"/>
          <w:sz w:val="24"/>
        </w:rPr>
        <w:t>的合同金额，在合同实施期间，除另签补充合同外，不接受中标人以任何理由、任何名目提出增加费用的要求</w:t>
      </w:r>
      <w:bookmarkEnd w:id="32"/>
      <w:r>
        <w:rPr>
          <w:rFonts w:hint="eastAsia" w:ascii="宋体" w:hAnsi="宋体" w:cs="宋体"/>
          <w:sz w:val="24"/>
        </w:rPr>
        <w:t>。</w:t>
      </w:r>
    </w:p>
    <w:p>
      <w:pPr>
        <w:widowControl/>
        <w:spacing w:line="360" w:lineRule="auto"/>
        <w:ind w:firstLine="480" w:firstLineChars="200"/>
        <w:rPr>
          <w:rFonts w:hint="eastAsia"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项目资金分3期支付至中标人指定银行账户：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1.首期及第二期：中标人每协助完成2个批次的分批次建设项目农转用方案成果资料报送并通过采购人验收后，可申请支付合同总价款33%。</w:t>
      </w:r>
    </w:p>
    <w:p>
      <w:pPr>
        <w:widowControl/>
        <w:spacing w:line="360" w:lineRule="auto"/>
        <w:ind w:firstLine="480" w:firstLineChars="200"/>
        <w:rPr>
          <w:rFonts w:hint="eastAsia" w:ascii="宋体" w:hAnsi="宋体" w:cs="宋体"/>
          <w:sz w:val="24"/>
        </w:rPr>
      </w:pPr>
      <w:r>
        <w:rPr>
          <w:rFonts w:hint="eastAsia" w:ascii="宋体" w:hAnsi="宋体" w:cs="宋体"/>
          <w:sz w:val="24"/>
        </w:rPr>
        <w:t>第三期：合同履行期限届满且中标人完成不少于6个批次的分批次建设项目农转用方案成果资料报送并通过采购人验收后，可申请支付第三期费用，占合同总价款34%。</w:t>
      </w:r>
    </w:p>
    <w:p>
      <w:pPr>
        <w:widowControl/>
        <w:spacing w:line="360" w:lineRule="auto"/>
        <w:ind w:firstLine="480" w:firstLineChars="200"/>
        <w:rPr>
          <w:rFonts w:hint="eastAsia" w:ascii="宋体" w:hAnsi="宋体" w:cs="宋体"/>
          <w:sz w:val="24"/>
        </w:rPr>
      </w:pPr>
      <w:r>
        <w:rPr>
          <w:rFonts w:hint="eastAsia" w:ascii="宋体" w:hAnsi="宋体" w:cs="宋体"/>
          <w:sz w:val="24"/>
        </w:rPr>
        <w:t>2.合同服务期限内，如因实际情况未能完成合同要求的工作量，则按实际工作完成批次数量对应单价结算， 前4个批次单批次单价为合同总价款的 16.5%， 第5、6批次单批次单价为合同总价款的17%，结算总价不得超过合同总价。</w:t>
      </w:r>
    </w:p>
    <w:p>
      <w:pPr>
        <w:widowControl/>
        <w:spacing w:line="360" w:lineRule="auto"/>
        <w:ind w:firstLine="480" w:firstLineChars="200"/>
        <w:rPr>
          <w:rFonts w:hint="eastAsia" w:ascii="宋体" w:hAnsi="宋体" w:cs="宋体"/>
          <w:sz w:val="24"/>
        </w:rPr>
      </w:pPr>
      <w:r>
        <w:rPr>
          <w:rFonts w:hint="eastAsia" w:ascii="宋体" w:hAnsi="宋体" w:cs="宋体"/>
          <w:sz w:val="24"/>
        </w:rPr>
        <w:t>3.合同服务期限内，如完成超过6批分批次建设项目用地农转用方案资料，不再支付额外费用；</w:t>
      </w:r>
    </w:p>
    <w:p>
      <w:pPr>
        <w:widowControl/>
        <w:spacing w:line="360" w:lineRule="auto"/>
        <w:ind w:firstLine="480" w:firstLineChars="200"/>
        <w:rPr>
          <w:rFonts w:hint="eastAsia" w:ascii="宋体" w:hAnsi="宋体" w:cs="宋体"/>
          <w:sz w:val="24"/>
        </w:rPr>
      </w:pPr>
      <w:r>
        <w:rPr>
          <w:rFonts w:hint="eastAsia" w:ascii="宋体" w:hAnsi="宋体" w:cs="宋体"/>
          <w:sz w:val="24"/>
        </w:rPr>
        <w:t>4.上述每期款项均在满足付款条件，且采购人收到中标人开具的载明相应金额的合格发票后15个工作日内付至中标人指定银行账户。如未及时收到发票，则采购人相应付款时间顺延。若因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（五）成果权属与知识产权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1.本项目全部阶段性成果和最终成果的所有权、知识产权以及与之相关的所有权利归采购方所有。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采购方有权利用中标单位按照本合同约定提供的成果，进行后续改进。由此产生的具有实质性或创造性技术进步特征的新的技术成果及其权利归属，全部由采购方享有。具体相关利益的分配办法如下：采购方100%。</w:t>
      </w:r>
    </w:p>
    <w:p>
      <w:pPr>
        <w:widowControl/>
        <w:spacing w:line="360" w:lineRule="auto"/>
        <w:ind w:firstLine="480" w:firstLineChars="200"/>
        <w:rPr>
          <w:rFonts w:hint="eastAsia" w:ascii="宋体" w:hAnsi="宋体" w:cs="宋体"/>
          <w:sz w:val="24"/>
        </w:rPr>
      </w:pPr>
      <w:r>
        <w:rPr>
          <w:rFonts w:hint="eastAsia" w:ascii="宋体" w:hAnsi="宋体" w:cs="宋体"/>
          <w:sz w:val="24"/>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5.中标单位完成本合同项目的研究开发人员享有在有关成果文件上写明成果完成者的权利和与采购方共同获得有关荣誉证书、奖励的权利。</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widowControl/>
        <w:spacing w:line="360" w:lineRule="auto"/>
        <w:ind w:firstLine="480" w:firstLineChars="200"/>
        <w:rPr>
          <w:rFonts w:hint="eastAsia"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3.中标单位实施项目的程序应符合国家安全、保密的有关规定和标准。</w:t>
      </w:r>
    </w:p>
    <w:p>
      <w:pPr>
        <w:widowControl/>
        <w:spacing w:line="360" w:lineRule="auto"/>
        <w:ind w:firstLine="480" w:firstLineChars="200"/>
        <w:rPr>
          <w:rFonts w:hint="eastAsia" w:ascii="宋体" w:hAnsi="宋体" w:cs="宋体"/>
          <w:sz w:val="24"/>
        </w:rPr>
      </w:pPr>
      <w:r>
        <w:rPr>
          <w:rFonts w:hint="eastAsia" w:ascii="宋体" w:hAnsi="宋体" w:cs="宋体"/>
          <w:sz w:val="24"/>
        </w:rPr>
        <w:t>4.上述保密义务不适用以下情况：</w:t>
      </w:r>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5.如中标单位违反上述保密条款，采购方有权解除本合同，中标单位应在合同解除通知发出之日起10日内向采购方支付本合同服务费总金额20%的违约金，如果违约金无法弥补采购人损失，采购人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6.无论本项目其他条款是否有效，本保密条款始终约束双方。国家秘密的保密期限由国家有关部门确定，工作秘密的保密期限由采购人确定。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1.因中标单位原因，未能按规定时间完成有关工作的，每延误一天，采购方自尚未支付的合同款项中扣除合同服务总金额的5‰的逾期违约金。</w:t>
      </w:r>
    </w:p>
    <w:p>
      <w:pPr>
        <w:widowControl/>
        <w:spacing w:line="360" w:lineRule="auto"/>
        <w:ind w:firstLine="480" w:firstLineChars="200"/>
        <w:rPr>
          <w:rFonts w:hint="eastAsia" w:ascii="宋体" w:hAnsi="宋体" w:cs="宋体"/>
          <w:sz w:val="24"/>
        </w:rPr>
      </w:pPr>
      <w:r>
        <w:rPr>
          <w:rFonts w:hint="eastAsia" w:ascii="宋体" w:hAnsi="宋体" w:cs="宋体"/>
          <w:sz w:val="24"/>
        </w:rPr>
        <w:t>2.如中标单位提供的服务或成果不符合质量要求，必须在采购方提出要求后7个日历日内无条件修改，其费用由中标单位承担。</w:t>
      </w:r>
    </w:p>
    <w:p>
      <w:pPr>
        <w:widowControl/>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3.本合同履行期间，发生下述情形时，采购方有权解除本合同，中标单位除应退还采购方已支付的全部款项外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还应在合同解除通知发出之日起10日内向采购方支付合同总价款20%的违约金。中标单位应同时将已完成的项目成果移交给采购方，并将全部有关资料退还采购方：</w:t>
      </w:r>
    </w:p>
    <w:p>
      <w:pPr>
        <w:widowControl/>
        <w:spacing w:line="360" w:lineRule="auto"/>
        <w:ind w:firstLine="480" w:firstLineChars="200"/>
        <w:rPr>
          <w:rFonts w:hint="eastAsia" w:ascii="宋体" w:hAnsi="宋体" w:cs="宋体"/>
          <w:sz w:val="24"/>
        </w:rPr>
      </w:pPr>
      <w:r>
        <w:rPr>
          <w:rFonts w:hint="eastAsia" w:ascii="宋体" w:hAnsi="宋体" w:cs="宋体"/>
          <w:sz w:val="24"/>
        </w:rPr>
        <w:t>(1)因中标单位工作的错误或遗漏造成成果质量不符合本合同要求，且中标单位未按采购方要求采取及时有效的补救措施的；</w:t>
      </w:r>
    </w:p>
    <w:p>
      <w:pPr>
        <w:widowControl/>
        <w:spacing w:line="360" w:lineRule="auto"/>
        <w:ind w:firstLine="480" w:firstLineChars="200"/>
        <w:rPr>
          <w:rFonts w:hint="eastAsia" w:ascii="宋体" w:hAnsi="宋体" w:cs="宋体"/>
          <w:sz w:val="24"/>
        </w:rPr>
      </w:pPr>
      <w:r>
        <w:rPr>
          <w:rFonts w:hint="eastAsia" w:ascii="宋体" w:hAnsi="宋体" w:cs="宋体"/>
          <w:sz w:val="24"/>
        </w:rPr>
        <w:t>(2)中标单位未能按合同约定的日期(含协商延缓的日期)提交工作成果，延误时间超过30个工作日；或中标单位虽如期提交阶段性成果和最终成果，但最终成果连续二次未能通过验收的；</w:t>
      </w:r>
    </w:p>
    <w:p>
      <w:pPr>
        <w:widowControl/>
        <w:spacing w:line="360" w:lineRule="auto"/>
        <w:ind w:firstLine="480" w:firstLineChars="200"/>
        <w:rPr>
          <w:rFonts w:hint="eastAsia" w:ascii="宋体" w:hAnsi="宋体" w:cs="宋体"/>
          <w:sz w:val="24"/>
        </w:rPr>
      </w:pPr>
      <w:r>
        <w:rPr>
          <w:rFonts w:hint="eastAsia" w:ascii="宋体" w:hAnsi="宋体" w:cs="宋体"/>
          <w:sz w:val="24"/>
        </w:rPr>
        <w:t>(3)发现中标单位或中标单位工作人员出现全部或部分丧失履行委托服务能力的情况，采购方有权通知中标单位限期整改或更换工作人员，期限届满中标单位并未进行改善的；</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(4)未经采购单位书面在先同意，中标单位擅自将本合同项目与任何第三方合作，或将本合同标的的全部或部分擅自转包给任何第三方，且未按采购单位的要求终止与第三方的合同的；</w:t>
      </w:r>
    </w:p>
    <w:p>
      <w:pPr>
        <w:widowControl/>
        <w:spacing w:line="360" w:lineRule="auto"/>
        <w:ind w:firstLine="480" w:firstLineChars="200"/>
        <w:rPr>
          <w:rFonts w:hint="eastAsia" w:ascii="宋体" w:hAnsi="宋体" w:cs="宋体"/>
          <w:sz w:val="24"/>
        </w:rPr>
      </w:pPr>
      <w:r>
        <w:rPr>
          <w:rFonts w:hint="eastAsia" w:ascii="宋体" w:hAnsi="宋体" w:cs="宋体"/>
          <w:sz w:val="24"/>
        </w:rPr>
        <w:t>(5)中标单位明确表示或者以自己的行为表明不履行本合同的。</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pPr>
        <w:widowControl/>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pPr>
        <w:widowControl/>
        <w:jc w:val="left"/>
        <w:rPr>
          <w:rFonts w:hint="eastAsia" w:ascii="宋体" w:hAnsi="宋体" w:cs="宋体"/>
          <w:sz w:val="24"/>
        </w:rPr>
      </w:pPr>
      <w:r>
        <w:rPr>
          <w:rFonts w:hint="eastAsia" w:ascii="宋体" w:hAnsi="宋体" w:cs="宋体"/>
          <w:sz w:val="24"/>
        </w:rPr>
        <w:br w:type="page"/>
      </w:r>
    </w:p>
    <w:p>
      <w:pPr>
        <w:widowControl/>
        <w:spacing w:line="360" w:lineRule="auto"/>
        <w:ind w:firstLine="482" w:firstLineChars="200"/>
        <w:jc w:val="center"/>
        <w:outlineLvl w:val="0"/>
        <w:rPr>
          <w:rFonts w:hint="eastAsia" w:ascii="宋体" w:hAnsi="宋体" w:cs="宋体"/>
          <w:b/>
          <w:sz w:val="24"/>
        </w:rPr>
      </w:pPr>
      <w:bookmarkStart w:id="33" w:name="_Toc23822"/>
      <w:r>
        <w:rPr>
          <w:rFonts w:hint="eastAsia" w:ascii="宋体" w:cs="宋体"/>
          <w:b/>
          <w:bCs/>
          <w:sz w:val="24"/>
        </w:rPr>
        <w:t>第六章 投标文件初审及招标项目评分表</w:t>
      </w:r>
      <w:bookmarkEnd w:id="33"/>
    </w:p>
    <w:p>
      <w:pPr>
        <w:spacing w:line="360" w:lineRule="auto"/>
        <w:jc w:val="center"/>
        <w:rPr>
          <w:rFonts w:hint="eastAsia" w:ascii="宋体" w:hAnsi="宋体" w:cs="宋体"/>
          <w:b/>
          <w:sz w:val="24"/>
        </w:rPr>
      </w:pPr>
      <w:r>
        <w:rPr>
          <w:rFonts w:hint="eastAsia" w:ascii="宋体" w:hAnsi="宋体" w:cs="宋体"/>
          <w:b/>
          <w:sz w:val="24"/>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w:t>
            </w:r>
          </w:p>
        </w:tc>
        <w:tc>
          <w:tcPr>
            <w:tcW w:w="7108" w:type="dxa"/>
          </w:tcPr>
          <w:p>
            <w:pPr>
              <w:spacing w:line="360" w:lineRule="auto"/>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2</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3</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4</w:t>
            </w:r>
          </w:p>
        </w:tc>
        <w:tc>
          <w:tcPr>
            <w:tcW w:w="7108" w:type="dxa"/>
            <w:vAlign w:val="center"/>
          </w:tcPr>
          <w:p>
            <w:pPr>
              <w:spacing w:line="360" w:lineRule="auto"/>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5</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6</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7</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8</w:t>
            </w:r>
          </w:p>
        </w:tc>
        <w:tc>
          <w:tcPr>
            <w:tcW w:w="7108" w:type="dxa"/>
            <w:vAlign w:val="center"/>
          </w:tcPr>
          <w:p>
            <w:pPr>
              <w:spacing w:line="360" w:lineRule="auto"/>
              <w:rPr>
                <w:rFonts w:hint="eastAsia" w:ascii="宋体" w:hAnsi="宋体" w:cs="宋体"/>
                <w:sz w:val="24"/>
              </w:rPr>
            </w:pPr>
            <w:r>
              <w:rPr>
                <w:rFonts w:hint="eastAsia" w:ascii="宋体" w:hAnsi="宋体" w:cs="宋体"/>
                <w:sz w:val="24"/>
              </w:rPr>
              <w:t>报价合理性审查</w:t>
            </w:r>
          </w:p>
          <w:p>
            <w:pPr>
              <w:spacing w:line="360" w:lineRule="auto"/>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9</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10</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hint="eastAsia" w:ascii="宋体" w:hAnsi="宋体" w:cs="宋体"/>
                <w:sz w:val="24"/>
              </w:rPr>
            </w:pPr>
            <w:r>
              <w:rPr>
                <w:rFonts w:hint="eastAsia" w:ascii="宋体" w:hAnsi="宋体" w:cs="宋体"/>
                <w:sz w:val="24"/>
              </w:rPr>
              <w:t>11</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12</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未出现法律、法规规定的其他情形</w:t>
            </w:r>
          </w:p>
        </w:tc>
      </w:tr>
    </w:tbl>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tbl>
      <w:tblPr>
        <w:tblStyle w:val="22"/>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bookmarkStart w:id="34" w:name="_Hlk196754733"/>
            <w:r>
              <w:rPr>
                <w:rFonts w:hint="eastAsia" w:ascii="宋体" w:hAnsi="宋体" w:cs="宋体"/>
                <w:b/>
                <w:sz w:val="24"/>
                <w:lang w:val="zh-CN"/>
              </w:rPr>
              <w:t>一、价格部分（</w:t>
            </w:r>
            <w:r>
              <w:rPr>
                <w:rFonts w:hint="eastAsia" w:ascii="宋体" w:hAnsi="宋体" w:cs="宋体"/>
                <w:b/>
                <w:sz w:val="24"/>
              </w:rPr>
              <w:t>20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b/>
                <w:sz w:val="24"/>
              </w:rPr>
              <w:t>投标报价</w:t>
            </w:r>
          </w:p>
        </w:tc>
        <w:tc>
          <w:tcPr>
            <w:tcW w:w="5907" w:type="dxa"/>
            <w:vAlign w:val="center"/>
          </w:tcPr>
          <w:p>
            <w:pPr>
              <w:pStyle w:val="10"/>
              <w:spacing w:line="360" w:lineRule="auto"/>
              <w:rPr>
                <w:rFonts w:hint="eastAsia"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pPr>
              <w:pStyle w:val="10"/>
              <w:spacing w:line="360" w:lineRule="auto"/>
              <w:rPr>
                <w:rFonts w:hint="eastAsia" w:ascii="宋体" w:hAnsi="宋体" w:cs="宋体"/>
                <w:sz w:val="24"/>
              </w:rPr>
            </w:pPr>
            <w:r>
              <w:rPr>
                <w:rFonts w:hint="eastAsia" w:ascii="宋体" w:hAnsi="宋体" w:cs="宋体"/>
                <w:b/>
                <w:bCs/>
                <w:sz w:val="24"/>
              </w:rPr>
              <w:t>投标报价得分=(评标基准价／投标报价)×20</w:t>
            </w:r>
          </w:p>
          <w:p>
            <w:pPr>
              <w:numPr>
                <w:ilvl w:val="0"/>
                <w:numId w:val="5"/>
              </w:numPr>
              <w:spacing w:line="360" w:lineRule="auto"/>
              <w:ind w:left="250" w:hanging="249" w:hangingChars="104"/>
              <w:jc w:val="left"/>
              <w:rPr>
                <w:rFonts w:hint="eastAsia"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5"/>
              </w:numPr>
              <w:spacing w:line="360" w:lineRule="auto"/>
              <w:ind w:left="0" w:hanging="9"/>
              <w:jc w:val="left"/>
              <w:rPr>
                <w:rFonts w:hint="eastAsia" w:ascii="宋体" w:hAnsi="宋体" w:cs="宋体"/>
                <w:b/>
                <w:sz w:val="24"/>
              </w:rPr>
            </w:pPr>
            <w:r>
              <w:rPr>
                <w:rFonts w:hint="eastAsia" w:ascii="宋体" w:hAnsi="宋体" w:cs="宋体"/>
                <w:bCs/>
                <w:sz w:val="24"/>
              </w:rPr>
              <w:t>根据财库〔2020〕46号、财库〔2014〕68号及财库〔2017〕141号及（深财购〔2022〕31号）文件规定：</w:t>
            </w:r>
            <w:r>
              <w:rPr>
                <w:rFonts w:hint="eastAsia" w:ascii="宋体" w:hAnsi="宋体" w:cs="宋体"/>
                <w:b/>
                <w:sz w:val="24"/>
              </w:rPr>
              <w:t>本项目非专门面向中小企业的项目，对小型和微型企业、监狱企业或残疾人福利性企业产品的价格给予10%的扣除，用扣除后的价格即为“经评审合格的投标报价”参与价格评审。</w:t>
            </w:r>
          </w:p>
          <w:p>
            <w:pPr>
              <w:numPr>
                <w:ilvl w:val="255"/>
                <w:numId w:val="0"/>
              </w:numPr>
              <w:spacing w:line="360" w:lineRule="auto"/>
              <w:jc w:val="left"/>
              <w:rPr>
                <w:rFonts w:hint="eastAsia" w:ascii="宋体" w:hAnsi="宋体" w:cs="宋体"/>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20</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45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1"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hint="eastAsia" w:ascii="宋体" w:hAnsi="宋体" w:cs="宋体"/>
                <w:sz w:val="24"/>
              </w:rPr>
            </w:pPr>
            <w:bookmarkStart w:id="35" w:name="OLE_LINK9"/>
            <w:r>
              <w:rPr>
                <w:rFonts w:hint="eastAsia" w:ascii="宋体" w:hAnsi="宋体" w:cs="宋体"/>
                <w:sz w:val="24"/>
              </w:rPr>
              <w:t>投标人自主知识产权产品（创新、设计）情况</w:t>
            </w:r>
            <w:bookmarkEnd w:id="35"/>
          </w:p>
        </w:tc>
        <w:tc>
          <w:tcPr>
            <w:tcW w:w="5907" w:type="dxa"/>
            <w:shd w:val="clear" w:color="auto" w:fill="auto"/>
            <w:vAlign w:val="center"/>
          </w:tcPr>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评审标准：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投标人具有国土空间规划（或土地规划）相关的计算机软件著作权或产权（专利）证书，每项1分，最多累计得4分。没有或未提供的不得分。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证明文件：</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①要求提供投标人合法使用产权（专利</w:t>
            </w:r>
            <w:r>
              <w:rPr>
                <w:rFonts w:hint="eastAsia" w:ascii="宋体" w:hAnsi="宋体" w:cs="宋体"/>
                <w:sz w:val="24"/>
              </w:rPr>
              <w:t>/</w:t>
            </w:r>
            <w:r>
              <w:rPr>
                <w:rFonts w:hint="eastAsia" w:ascii="宋体" w:hAnsi="宋体" w:cs="宋体"/>
                <w:sz w:val="24"/>
                <w:lang w:val="zh-CN"/>
              </w:rPr>
              <w:t>软件著作权）的证明材料。投标人自有产权（专利</w:t>
            </w:r>
            <w:r>
              <w:rPr>
                <w:rFonts w:hint="eastAsia" w:ascii="宋体" w:hAnsi="宋体" w:cs="宋体"/>
                <w:sz w:val="24"/>
              </w:rPr>
              <w:t>/</w:t>
            </w:r>
            <w:r>
              <w:rPr>
                <w:rFonts w:hint="eastAsia" w:ascii="宋体" w:hAnsi="宋体" w:cs="宋体"/>
                <w:sz w:val="24"/>
                <w:lang w:val="zh-CN"/>
              </w:rPr>
              <w:t>软件著作权）的，提供投标人作为知识产权人的产权（专利</w:t>
            </w:r>
            <w:r>
              <w:rPr>
                <w:rFonts w:hint="eastAsia" w:ascii="宋体" w:hAnsi="宋体" w:cs="宋体"/>
                <w:sz w:val="24"/>
              </w:rPr>
              <w:t>/</w:t>
            </w:r>
            <w:r>
              <w:rPr>
                <w:rFonts w:hint="eastAsia" w:ascii="宋体" w:hAnsi="宋体" w:cs="宋体"/>
                <w:sz w:val="24"/>
                <w:lang w:val="zh-CN"/>
              </w:rPr>
              <w:t>软件著作权）证书；通过租赁或授权等方式取得的第三方知识产权合法使用权的，提供与第三方签订的租赁协议或授权证明以及第三方的知识产权证明材料作为得分依据；</w:t>
            </w:r>
          </w:p>
          <w:p>
            <w:pPr>
              <w:widowControl/>
              <w:autoSpaceDE w:val="0"/>
              <w:autoSpaceDN w:val="0"/>
              <w:adjustRightInd w:val="0"/>
              <w:spacing w:line="360" w:lineRule="auto"/>
              <w:jc w:val="left"/>
              <w:rPr>
                <w:rFonts w:hint="eastAsia" w:ascii="仿宋" w:hAnsi="仿宋" w:eastAsia="仿宋" w:cs="仿宋"/>
                <w:szCs w:val="21"/>
                <w:highlight w:val="yellow"/>
                <w:lang w:val="zh-CN"/>
              </w:rPr>
            </w:pPr>
            <w:r>
              <w:rPr>
                <w:rFonts w:hint="eastAsia" w:ascii="宋体" w:hAnsi="宋体" w:cs="宋体"/>
                <w:sz w:val="24"/>
                <w:lang w:val="zh-CN"/>
              </w:rPr>
              <w:t>②以上资料均要求提供复印件（或官方网站截图）。评分中出现无证明资料或专家无法凭所提供资料判断是否得分的情况，一律作不得分处理。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类似项目经验</w:t>
            </w:r>
          </w:p>
        </w:tc>
        <w:tc>
          <w:tcPr>
            <w:tcW w:w="5907" w:type="dxa"/>
            <w:shd w:val="clear" w:color="auto" w:fill="auto"/>
            <w:vAlign w:val="center"/>
          </w:tcPr>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评审标准：投标人自2021年4月1日至投标截止时间前的同类项目业绩（以合同签订时间为准）：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①投标人具有上报省级</w:t>
            </w:r>
            <w:r>
              <w:rPr>
                <w:rFonts w:hint="eastAsia" w:ascii="宋体" w:hAnsi="宋体" w:cs="宋体"/>
                <w:sz w:val="24"/>
              </w:rPr>
              <w:t>或</w:t>
            </w:r>
            <w:r>
              <w:rPr>
                <w:rFonts w:hint="eastAsia" w:ascii="宋体" w:hAnsi="宋体" w:cs="宋体"/>
                <w:sz w:val="24"/>
                <w:lang w:val="zh-CN"/>
              </w:rPr>
              <w:t>以上（</w:t>
            </w:r>
            <w:r>
              <w:rPr>
                <w:rFonts w:hint="eastAsia" w:ascii="宋体" w:hAnsi="宋体" w:cs="宋体"/>
                <w:sz w:val="24"/>
              </w:rPr>
              <w:t>不</w:t>
            </w:r>
            <w:r>
              <w:rPr>
                <w:rFonts w:hint="eastAsia" w:ascii="宋体" w:hAnsi="宋体" w:cs="宋体"/>
                <w:sz w:val="24"/>
                <w:lang w:val="zh-CN"/>
              </w:rPr>
              <w:t>含</w:t>
            </w:r>
            <w:r>
              <w:rPr>
                <w:rFonts w:hint="eastAsia" w:ascii="宋体" w:hAnsi="宋体" w:cs="宋体"/>
                <w:sz w:val="24"/>
              </w:rPr>
              <w:t>副</w:t>
            </w:r>
            <w:r>
              <w:rPr>
                <w:rFonts w:hint="eastAsia" w:ascii="宋体" w:hAnsi="宋体" w:cs="宋体"/>
                <w:sz w:val="24"/>
                <w:lang w:val="zh-CN"/>
              </w:rPr>
              <w:t>省级）建设项目用地报批类项目业绩的，每个得2分，此项最高得8分；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②投标人具有上报区县级以上（含区县级）建设项目用地报批项目业绩的，每个得1分，此项最高得4分。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证明文件：</w:t>
            </w:r>
            <w:r>
              <w:rPr>
                <w:rFonts w:hint="eastAsia" w:ascii="宋体" w:hAnsi="宋体" w:cs="宋体"/>
                <w:sz w:val="24"/>
              </w:rPr>
              <w:t>同一项目满足上述两项要求仅得一次分数，按最优得分，</w:t>
            </w:r>
            <w:r>
              <w:rPr>
                <w:rFonts w:hint="eastAsia" w:ascii="宋体" w:hAnsi="宋体" w:cs="宋体"/>
                <w:sz w:val="24"/>
                <w:lang w:val="zh-CN"/>
              </w:rPr>
              <w:t>投标人须提供项目合同关键页（包括但不限于合同封面、合作内容、双方盖章页等）复印件加盖公章，原件备查，未按要求提供或提供不清晰导致评委无法判断的不得分。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12</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项目负责人情况（仅1人）</w:t>
            </w:r>
          </w:p>
        </w:tc>
        <w:tc>
          <w:tcPr>
            <w:tcW w:w="5907" w:type="dxa"/>
            <w:shd w:val="clear" w:color="auto" w:fill="auto"/>
            <w:vAlign w:val="center"/>
          </w:tcPr>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评审标准：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①项目负责人1人，具有国土</w:t>
            </w:r>
            <w:r>
              <w:rPr>
                <w:rFonts w:hint="eastAsia" w:ascii="宋体" w:hAnsi="宋体" w:cs="宋体"/>
                <w:sz w:val="24"/>
              </w:rPr>
              <w:t>相关专业</w:t>
            </w:r>
            <w:r>
              <w:rPr>
                <w:rFonts w:hint="eastAsia" w:ascii="宋体" w:hAnsi="宋体" w:cs="宋体"/>
                <w:sz w:val="24"/>
                <w:lang w:val="zh-CN"/>
              </w:rPr>
              <w:t>高级工程师（含副高级）</w:t>
            </w:r>
            <w:r>
              <w:rPr>
                <w:rFonts w:hint="eastAsia" w:ascii="宋体" w:hAnsi="宋体" w:cs="宋体"/>
                <w:sz w:val="24"/>
              </w:rPr>
              <w:t>或</w:t>
            </w:r>
            <w:r>
              <w:rPr>
                <w:rFonts w:hint="eastAsia" w:ascii="宋体" w:hAnsi="宋体" w:cs="宋体"/>
                <w:sz w:val="24"/>
                <w:lang w:val="zh-CN"/>
              </w:rPr>
              <w:t>以上职称的，得</w:t>
            </w:r>
            <w:r>
              <w:rPr>
                <w:rFonts w:hint="eastAsia" w:ascii="宋体" w:hAnsi="宋体" w:cs="宋体"/>
                <w:sz w:val="24"/>
              </w:rPr>
              <w:t>4</w:t>
            </w:r>
            <w:r>
              <w:rPr>
                <w:rFonts w:hint="eastAsia" w:ascii="宋体" w:hAnsi="宋体" w:cs="宋体"/>
                <w:sz w:val="24"/>
                <w:lang w:val="zh-CN"/>
              </w:rPr>
              <w:t>分；具有国土</w:t>
            </w:r>
            <w:r>
              <w:rPr>
                <w:rFonts w:hint="eastAsia" w:ascii="宋体" w:hAnsi="宋体" w:cs="宋体"/>
                <w:sz w:val="24"/>
              </w:rPr>
              <w:t>相关专业</w:t>
            </w:r>
            <w:r>
              <w:rPr>
                <w:rFonts w:hint="eastAsia" w:ascii="宋体" w:hAnsi="宋体" w:cs="宋体"/>
                <w:sz w:val="24"/>
                <w:lang w:val="zh-CN"/>
              </w:rPr>
              <w:t>工程师职称的，得</w:t>
            </w:r>
            <w:r>
              <w:rPr>
                <w:rFonts w:hint="eastAsia" w:ascii="宋体" w:hAnsi="宋体" w:cs="宋体"/>
                <w:sz w:val="24"/>
              </w:rPr>
              <w:t>2</w:t>
            </w:r>
            <w:r>
              <w:rPr>
                <w:rFonts w:hint="eastAsia" w:ascii="宋体" w:hAnsi="宋体" w:cs="宋体"/>
                <w:sz w:val="24"/>
                <w:lang w:val="zh-CN"/>
              </w:rPr>
              <w:t>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②项目负责人参与的国土、规划类项目获得省级</w:t>
            </w:r>
            <w:r>
              <w:rPr>
                <w:rFonts w:hint="eastAsia" w:ascii="宋体" w:hAnsi="宋体" w:cs="宋体"/>
                <w:sz w:val="24"/>
              </w:rPr>
              <w:t>或</w:t>
            </w:r>
            <w:r>
              <w:rPr>
                <w:rFonts w:hint="eastAsia" w:ascii="宋体" w:hAnsi="宋体" w:cs="宋体"/>
                <w:sz w:val="24"/>
                <w:lang w:val="zh-CN"/>
              </w:rPr>
              <w:t>以上（</w:t>
            </w:r>
            <w:r>
              <w:rPr>
                <w:rFonts w:hint="eastAsia" w:ascii="宋体" w:hAnsi="宋体" w:cs="宋体"/>
                <w:sz w:val="24"/>
              </w:rPr>
              <w:t>不</w:t>
            </w:r>
            <w:r>
              <w:rPr>
                <w:rFonts w:hint="eastAsia" w:ascii="宋体" w:hAnsi="宋体" w:cs="宋体"/>
                <w:sz w:val="24"/>
                <w:lang w:val="zh-CN"/>
              </w:rPr>
              <w:t>含</w:t>
            </w:r>
            <w:r>
              <w:rPr>
                <w:rFonts w:hint="eastAsia" w:ascii="宋体" w:hAnsi="宋体" w:cs="宋体"/>
                <w:sz w:val="24"/>
              </w:rPr>
              <w:t>副</w:t>
            </w:r>
            <w:r>
              <w:rPr>
                <w:rFonts w:hint="eastAsia" w:ascii="宋体" w:hAnsi="宋体" w:cs="宋体"/>
                <w:sz w:val="24"/>
                <w:lang w:val="zh-CN"/>
              </w:rPr>
              <w:t>省级）奖项的，每项得1分，最高不超过3分。同一项目多次获奖不重复计分。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证明文件：</w:t>
            </w:r>
          </w:p>
          <w:p>
            <w:pPr>
              <w:autoSpaceDE w:val="0"/>
              <w:autoSpaceDN w:val="0"/>
              <w:adjustRightInd w:val="0"/>
              <w:spacing w:line="360" w:lineRule="auto"/>
              <w:jc w:val="left"/>
              <w:rPr>
                <w:rFonts w:hint="eastAsia" w:ascii="宋体" w:hAnsi="宋体" w:cs="宋体"/>
                <w:sz w:val="24"/>
                <w:lang w:val="zh-CN"/>
              </w:rPr>
            </w:pPr>
            <w:r>
              <w:rPr>
                <w:rFonts w:hint="eastAsia" w:ascii="仿宋" w:hAnsi="仿宋" w:eastAsia="仿宋" w:cs="仿宋"/>
                <w:bCs/>
                <w:kern w:val="0"/>
                <w:szCs w:val="21"/>
              </w:rPr>
              <w:t>①</w:t>
            </w:r>
            <w:r>
              <w:rPr>
                <w:rFonts w:hint="eastAsia" w:ascii="宋体" w:hAnsi="宋体" w:cs="宋体"/>
                <w:sz w:val="24"/>
                <w:lang w:val="zh-CN"/>
              </w:rPr>
              <w:t>投标人须提供职称证书、获奖证明文件复印件加盖公章，同时提供投标人为其缴交的近三个月内任意一个月社保证明（如开标日上一个月的社保材料因社保部门原因暂时无法取得，则可以往前顺延一个月）（如供应商为新成立企业且成立时间不足一个月可提供加盖公章的情况说明或者证明材料亦视为符合）。退休返聘证明（如涉及）：退休返聘人员可提供退休证复印件、双方签订的返聘协议（或劳务合同）及近三个月内任意一个月工资发放银行流水或个人所得税缴纳证明。以上资料原件备查，未按要求提供或提供不清晰导致评委无法判断的不得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lang w:val="zh-CN"/>
              </w:rPr>
              <w:t>②国家级奖项指奖项颁发单位为国务院（或其直接所属的行政机关）；省级奖项指奖项颁发单位为省（自治区、直辖市）人民政府（或其直接所属的行政机关）。</w:t>
            </w:r>
            <w:r>
              <w:rPr>
                <w:rFonts w:hint="eastAsia" w:ascii="宋体" w:hAnsi="宋体" w:cs="宋体"/>
                <w:sz w:val="24"/>
              </w:rPr>
              <w:t>如通过奖项无法判定是否得分，还需同时提供项目合同关键页</w:t>
            </w:r>
            <w:r>
              <w:rPr>
                <w:rFonts w:hint="eastAsia" w:ascii="宋体" w:hAnsi="宋体" w:cs="宋体"/>
                <w:sz w:val="24"/>
                <w:lang w:val="zh-CN"/>
              </w:rPr>
              <w:t>（包括但不限于合同封面、合作内容、双方盖章页等，</w:t>
            </w:r>
            <w:r>
              <w:rPr>
                <w:rFonts w:hint="eastAsia" w:ascii="宋体" w:hAnsi="宋体" w:cs="宋体"/>
                <w:sz w:val="24"/>
              </w:rPr>
              <w:t>体现人员名称</w:t>
            </w:r>
            <w:r>
              <w:rPr>
                <w:rFonts w:hint="eastAsia" w:ascii="宋体" w:hAnsi="宋体" w:cs="宋体"/>
                <w:sz w:val="24"/>
                <w:lang w:val="zh-CN"/>
              </w:rPr>
              <w:t>）</w:t>
            </w:r>
            <w:r>
              <w:rPr>
                <w:rFonts w:hint="eastAsia" w:ascii="宋体" w:hAnsi="宋体" w:cs="宋体"/>
                <w:sz w:val="24"/>
              </w:rPr>
              <w:t>作为评审依据。</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7</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拟安排的项目团队成员情况</w:t>
            </w:r>
          </w:p>
        </w:tc>
        <w:tc>
          <w:tcPr>
            <w:tcW w:w="5907" w:type="dxa"/>
            <w:shd w:val="clear" w:color="auto" w:fill="auto"/>
            <w:vAlign w:val="center"/>
          </w:tcPr>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评审标准：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①项目组成员（不包括项目负责人，下同）中具有国土或城乡规划相关专业的高级职称（含副高级）或以上人员2人，得4分，1人得2分，没有不得分；最高得4分。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②项目组成员中学历为土地管理专业不少于2人的得2分，学历为测绘专业不少于2人的得2分，不满足条件的不得分；最高得4分。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③在满足①人员</w:t>
            </w:r>
            <w:r>
              <w:rPr>
                <w:rFonts w:hint="eastAsia" w:ascii="宋体" w:hAnsi="宋体" w:cs="宋体"/>
                <w:sz w:val="24"/>
                <w:lang w:val="en-US" w:eastAsia="zh-CN"/>
              </w:rPr>
              <w:t>最高</w:t>
            </w:r>
            <w:r>
              <w:rPr>
                <w:rFonts w:hint="eastAsia" w:ascii="宋体" w:hAnsi="宋体" w:cs="宋体"/>
                <w:sz w:val="24"/>
                <w:lang w:val="zh-CN"/>
              </w:rPr>
              <w:t>要求的基础上，每多有1人具有国土或城乡规划专业副高级（或以上）职称的得2分，具有国土或城乡规划专业中级职称的得1分，最高得4分。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证明文件：1.①③项提供职称证书、项目组成员清单；②提供学历证书；</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lang w:val="zh-CN"/>
              </w:rPr>
              <w:t>2.提供社保部门出具的投标人缴纳的相关人员的近三个月内任意一个月社保证明（如开标日上一个月的社保材料因社保部门原因暂时无法取得，则可以往前顺延一个月）（如供应商为新成立企业且成立时间不足三个月可提供加盖公章的情况说明或者证明材料亦视为符合）。退休返聘证明（如涉及）：退休返聘人员可提供退休证复印件、双方签订的返聘协议（或劳务合同）及近三个月内任意一个月工资发放银行流水或个人所得税缴纳证明。</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3.以上资料均提供复印件加盖公章，原件备查，未按要求提供或提供不清晰导致评委无法判断的不得分。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4.学历证明：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r>
              <w:rPr>
                <w:rFonts w:hint="eastAsia" w:ascii="宋体" w:hAnsi="宋体" w:cs="宋体"/>
                <w:sz w:val="24"/>
                <w:lang w:val="zh-CN"/>
              </w:rPr>
              <w:t>。</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12</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服务客观条件</w:t>
            </w:r>
          </w:p>
        </w:tc>
        <w:tc>
          <w:tcPr>
            <w:tcW w:w="5907" w:type="dxa"/>
            <w:shd w:val="clear" w:color="auto" w:fill="auto"/>
            <w:vAlign w:val="center"/>
          </w:tcPr>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评审标准：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①接到采购人需求，承诺在4小时内响应的，得5分；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②接到采购人需求，承诺在4小时(含)以上，12小时内响应的，得3分；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③接到采购人需求，承诺在12小时(含)以上，24小时内响应的，得2分；</w:t>
            </w:r>
          </w:p>
          <w:p>
            <w:pPr>
              <w:autoSpaceDE w:val="0"/>
              <w:autoSpaceDN w:val="0"/>
              <w:adjustRightInd w:val="0"/>
              <w:spacing w:line="360" w:lineRule="auto"/>
              <w:jc w:val="left"/>
              <w:rPr>
                <w:rFonts w:hint="eastAsia" w:ascii="宋体" w:hAnsi="宋体" w:cs="宋体"/>
                <w:sz w:val="24"/>
                <w:lang w:val="zh-CN"/>
              </w:rPr>
            </w:pPr>
            <w:r>
              <w:rPr>
                <w:rFonts w:hint="eastAsia" w:ascii="宋体" w:hAnsi="宋体" w:cs="宋体"/>
                <w:sz w:val="24"/>
                <w:lang w:val="zh-CN"/>
              </w:rPr>
              <w:t>④接到采购人需求，承诺在24小时(含)以上响应的，不得分。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lang w:val="zh-CN"/>
              </w:rPr>
              <w:t>证明文件：提供承诺书原件复印件加盖公章，原件备查，未按要求提供或提供不清晰导致评委无法判断的不得分。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6</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诚信声明与承诺</w:t>
            </w:r>
          </w:p>
        </w:tc>
        <w:tc>
          <w:tcPr>
            <w:tcW w:w="5907" w:type="dxa"/>
            <w:vAlign w:val="center"/>
          </w:tcPr>
          <w:p>
            <w:pPr>
              <w:spacing w:line="360" w:lineRule="auto"/>
              <w:rPr>
                <w:rFonts w:hint="eastAsia" w:ascii="宋体" w:hAnsi="宋体" w:cs="宋体"/>
                <w:sz w:val="24"/>
              </w:rPr>
            </w:pPr>
            <w:r>
              <w:rPr>
                <w:rFonts w:hint="eastAsia" w:ascii="宋体" w:hAnsi="宋体" w:cs="宋体"/>
                <w:sz w:val="24"/>
              </w:rPr>
              <w:t>（一）评分内容：</w:t>
            </w:r>
          </w:p>
          <w:p>
            <w:pPr>
              <w:spacing w:line="360" w:lineRule="auto"/>
              <w:rPr>
                <w:rFonts w:hint="eastAsia"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sz w:val="24"/>
                <w:lang w:eastAsia="zh-CN"/>
              </w:rPr>
            </w:pPr>
            <w:r>
              <w:rPr>
                <w:rFonts w:hint="eastAsia" w:ascii="宋体" w:hAnsi="宋体" w:cs="宋体"/>
                <w:sz w:val="24"/>
              </w:rPr>
              <w:t>（二）评分依据</w:t>
            </w:r>
            <w:r>
              <w:rPr>
                <w:rFonts w:hint="eastAsia" w:ascii="宋体" w:hAnsi="宋体" w:cs="宋体"/>
                <w:sz w:val="24"/>
                <w:lang w:eastAsia="zh-CN"/>
              </w:rPr>
              <w:t>：</w:t>
            </w:r>
          </w:p>
          <w:p>
            <w:pPr>
              <w:spacing w:line="360" w:lineRule="auto"/>
              <w:rPr>
                <w:rFonts w:hint="eastAsia" w:ascii="宋体" w:hAnsi="宋体" w:cs="宋体"/>
                <w:kern w:val="0"/>
                <w:sz w:val="24"/>
                <w:lang w:val="zh-CN"/>
              </w:rPr>
            </w:pPr>
            <w:r>
              <w:rPr>
                <w:rFonts w:hint="eastAsia" w:ascii="宋体" w:hAnsi="宋体" w:cs="宋体"/>
                <w:kern w:val="0"/>
                <w:sz w:val="24"/>
                <w:lang w:val="zh-CN"/>
              </w:rPr>
              <w:t>1、投标人提供诚信声明与承诺加盖公章；</w:t>
            </w:r>
          </w:p>
          <w:p>
            <w:pPr>
              <w:spacing w:line="360" w:lineRule="auto"/>
              <w:rPr>
                <w:rFonts w:hint="eastAsia" w:ascii="宋体" w:hAnsi="宋体" w:cs="宋体"/>
                <w:kern w:val="0"/>
                <w:sz w:val="24"/>
                <w:lang w:val="zh-CN"/>
              </w:rPr>
            </w:pPr>
            <w:r>
              <w:rPr>
                <w:rFonts w:hint="eastAsia" w:ascii="宋体" w:hAnsi="宋体" w:cs="宋体"/>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sz w:val="24"/>
              </w:rPr>
              <w:t>。</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1079" w:type="dxa"/>
            <w:vAlign w:val="center"/>
          </w:tcPr>
          <w:p>
            <w:pPr>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35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bookmarkStart w:id="36" w:name="OLE_LINK12" w:colFirst="1" w:colLast="4"/>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实施方案（工作措施、工作方法、工作手段、工作流程）</w:t>
            </w:r>
          </w:p>
        </w:tc>
        <w:tc>
          <w:tcPr>
            <w:tcW w:w="5907" w:type="dxa"/>
            <w:vAlign w:val="center"/>
          </w:tcPr>
          <w:p>
            <w:pPr>
              <w:spacing w:line="360" w:lineRule="auto"/>
              <w:rPr>
                <w:rFonts w:hint="eastAsia" w:ascii="宋体" w:hAnsi="宋体" w:cs="宋体"/>
                <w:kern w:val="0"/>
                <w:sz w:val="24"/>
                <w:lang w:val="zh-CN"/>
              </w:rPr>
            </w:pPr>
            <w:r>
              <w:rPr>
                <w:rFonts w:hint="eastAsia" w:ascii="宋体" w:hAnsi="宋体" w:cs="宋体"/>
                <w:kern w:val="0"/>
                <w:sz w:val="24"/>
                <w:lang w:val="zh-CN"/>
              </w:rPr>
              <w:t>评审内容：</w:t>
            </w:r>
          </w:p>
          <w:p>
            <w:pPr>
              <w:spacing w:line="360" w:lineRule="auto"/>
              <w:rPr>
                <w:rFonts w:hint="eastAsia" w:ascii="宋体" w:hAnsi="宋体" w:cs="宋体"/>
                <w:kern w:val="0"/>
                <w:sz w:val="24"/>
                <w:lang w:val="zh-CN"/>
              </w:rPr>
            </w:pPr>
            <w:r>
              <w:rPr>
                <w:rFonts w:hint="eastAsia" w:ascii="宋体" w:hAnsi="宋体" w:cs="宋体"/>
                <w:kern w:val="0"/>
                <w:sz w:val="24"/>
                <w:lang w:val="zh-CN"/>
              </w:rPr>
              <w:t>①对国家、广东省及深圳市农转用及建设用地报批政策梳理、对深圳市及前海农转用及建设用地报批现状把握；</w:t>
            </w:r>
          </w:p>
          <w:p>
            <w:pPr>
              <w:spacing w:line="360" w:lineRule="auto"/>
              <w:rPr>
                <w:rFonts w:hint="eastAsia" w:ascii="宋体" w:hAnsi="宋体" w:cs="宋体"/>
                <w:kern w:val="0"/>
                <w:sz w:val="24"/>
                <w:lang w:val="zh-CN"/>
              </w:rPr>
            </w:pPr>
            <w:r>
              <w:rPr>
                <w:rFonts w:hint="eastAsia" w:ascii="宋体" w:hAnsi="宋体" w:cs="宋体"/>
                <w:kern w:val="0"/>
                <w:sz w:val="24"/>
                <w:lang w:val="zh-CN"/>
              </w:rPr>
              <w:t>②项目需求理解；</w:t>
            </w:r>
          </w:p>
          <w:p>
            <w:pPr>
              <w:spacing w:line="360" w:lineRule="auto"/>
              <w:rPr>
                <w:rFonts w:hint="eastAsia" w:ascii="宋体" w:hAnsi="宋体" w:cs="宋体"/>
                <w:kern w:val="0"/>
                <w:sz w:val="24"/>
                <w:lang w:val="zh-CN"/>
              </w:rPr>
            </w:pPr>
            <w:r>
              <w:rPr>
                <w:rFonts w:hint="eastAsia" w:ascii="宋体" w:hAnsi="宋体" w:cs="宋体"/>
                <w:kern w:val="0"/>
                <w:sz w:val="24"/>
                <w:lang w:val="zh-CN"/>
              </w:rPr>
              <w:t>③项目研究思路、技术路线；</w:t>
            </w:r>
          </w:p>
          <w:p>
            <w:pPr>
              <w:spacing w:line="360" w:lineRule="auto"/>
              <w:rPr>
                <w:rFonts w:hint="eastAsia" w:ascii="宋体" w:hAnsi="宋体" w:cs="宋体"/>
                <w:kern w:val="0"/>
                <w:sz w:val="24"/>
                <w:lang w:val="zh-CN"/>
              </w:rPr>
            </w:pPr>
            <w:r>
              <w:rPr>
                <w:rFonts w:hint="eastAsia" w:ascii="宋体" w:hAnsi="宋体" w:cs="宋体"/>
                <w:kern w:val="0"/>
                <w:sz w:val="24"/>
                <w:lang w:val="zh-CN"/>
              </w:rPr>
              <w:t>④项目工作方案适合前海的实际情况，能密切衔接委托方的相关行政工作。</w:t>
            </w:r>
          </w:p>
          <w:p>
            <w:pPr>
              <w:spacing w:line="360" w:lineRule="auto"/>
              <w:rPr>
                <w:rFonts w:hint="eastAsia" w:ascii="宋体" w:hAnsi="宋体" w:cs="宋体"/>
                <w:kern w:val="0"/>
                <w:sz w:val="24"/>
                <w:lang w:val="zh-CN"/>
              </w:rPr>
            </w:pPr>
            <w:r>
              <w:rPr>
                <w:rFonts w:hint="eastAsia" w:ascii="宋体" w:hAnsi="宋体" w:cs="宋体"/>
                <w:kern w:val="0"/>
                <w:sz w:val="24"/>
                <w:lang w:val="zh-CN"/>
              </w:rPr>
              <w:t>评分标准：</w:t>
            </w:r>
          </w:p>
          <w:p>
            <w:pPr>
              <w:spacing w:line="360" w:lineRule="auto"/>
              <w:rPr>
                <w:rFonts w:hint="eastAsia" w:ascii="宋体" w:hAnsi="宋体" w:cs="宋体"/>
                <w:kern w:val="0"/>
                <w:sz w:val="24"/>
                <w:lang w:val="zh-CN"/>
              </w:rPr>
            </w:pPr>
            <w:r>
              <w:rPr>
                <w:rFonts w:hint="eastAsia" w:ascii="宋体" w:hAnsi="宋体" w:cs="宋体"/>
                <w:kern w:val="0"/>
                <w:sz w:val="24"/>
                <w:lang w:val="zh-CN"/>
              </w:rPr>
              <w:t>1.满足四点得8分，满足任意三点得5分，满足任意两点得3分，满足任意一点得1分，未满足不得分。</w:t>
            </w:r>
          </w:p>
          <w:p>
            <w:pPr>
              <w:spacing w:line="360" w:lineRule="auto"/>
              <w:rPr>
                <w:rFonts w:hint="eastAsia" w:ascii="宋体" w:hAnsi="宋体" w:cs="宋体"/>
                <w:kern w:val="0"/>
                <w:sz w:val="24"/>
                <w:lang w:val="zh-CN"/>
              </w:rPr>
            </w:pPr>
            <w:r>
              <w:rPr>
                <w:rFonts w:hint="eastAsia" w:ascii="宋体" w:hAnsi="宋体" w:cs="宋体"/>
                <w:kern w:val="0"/>
                <w:sz w:val="24"/>
                <w:lang w:val="zh-CN"/>
              </w:rPr>
              <w:t>2.在此基础上，评委根据各供应商的具体响应内容按照量化的评审因素指标进一步评审；</w:t>
            </w:r>
          </w:p>
          <w:p>
            <w:pPr>
              <w:spacing w:line="360" w:lineRule="auto"/>
              <w:rPr>
                <w:rFonts w:hint="eastAsia" w:ascii="宋体" w:hAnsi="宋体" w:cs="宋体"/>
                <w:kern w:val="0"/>
                <w:sz w:val="24"/>
                <w:lang w:val="zh-CN"/>
              </w:rPr>
            </w:pPr>
            <w:r>
              <w:rPr>
                <w:rFonts w:hint="eastAsia" w:ascii="宋体" w:hAnsi="宋体" w:cs="宋体"/>
                <w:kern w:val="0"/>
                <w:sz w:val="24"/>
                <w:lang w:val="zh-CN"/>
              </w:rPr>
              <w:t>①评价为优：对项目理解准确全面，对上述4项考察内容有针对性详细分析，实施方案详细且贴切项目实际的。</w:t>
            </w:r>
          </w:p>
          <w:p>
            <w:pPr>
              <w:spacing w:line="360" w:lineRule="auto"/>
              <w:rPr>
                <w:rFonts w:hint="eastAsia" w:ascii="宋体" w:hAnsi="宋体" w:cs="宋体"/>
                <w:kern w:val="0"/>
                <w:sz w:val="24"/>
                <w:lang w:val="zh-CN"/>
              </w:rPr>
            </w:pPr>
            <w:r>
              <w:rPr>
                <w:rFonts w:hint="eastAsia" w:ascii="宋体" w:hAnsi="宋体" w:cs="宋体"/>
                <w:kern w:val="0"/>
                <w:sz w:val="24"/>
                <w:lang w:val="zh-CN"/>
              </w:rPr>
              <w:t>②评价为良：对项目理解不准确但对考察内容分析全面或对项目理解准确但对考察内容分析不全面，实施方案详细但针对性不强的。</w:t>
            </w:r>
          </w:p>
          <w:p>
            <w:pPr>
              <w:spacing w:line="360" w:lineRule="auto"/>
              <w:rPr>
                <w:rFonts w:hint="eastAsia" w:ascii="宋体" w:hAnsi="宋体" w:cs="宋体"/>
                <w:kern w:val="0"/>
                <w:sz w:val="24"/>
                <w:lang w:val="zh-CN"/>
              </w:rPr>
            </w:pPr>
            <w:r>
              <w:rPr>
                <w:rFonts w:hint="eastAsia" w:ascii="宋体" w:hAnsi="宋体" w:cs="宋体"/>
                <w:kern w:val="0"/>
                <w:sz w:val="24"/>
                <w:lang w:val="zh-CN"/>
              </w:rPr>
              <w:t>③评价为中：对项目理解不准确且对考察内容分析不全面，实施方案简要且针对性不强的。</w:t>
            </w:r>
          </w:p>
          <w:p>
            <w:pPr>
              <w:spacing w:line="360" w:lineRule="auto"/>
              <w:rPr>
                <w:rFonts w:hint="eastAsia" w:ascii="宋体" w:hAnsi="宋体" w:cs="宋体"/>
                <w:kern w:val="0"/>
                <w:sz w:val="24"/>
                <w:lang w:val="zh-CN"/>
              </w:rPr>
            </w:pPr>
            <w:r>
              <w:rPr>
                <w:rFonts w:hint="eastAsia" w:ascii="宋体" w:hAnsi="宋体" w:cs="宋体"/>
                <w:kern w:val="0"/>
                <w:sz w:val="24"/>
                <w:lang w:val="zh-CN"/>
              </w:rPr>
              <w:t>④评价为差：没有理解项目需求且没有针对考察内容进行分析，实施方案针对性不强的。</w:t>
            </w:r>
          </w:p>
          <w:p>
            <w:pPr>
              <w:spacing w:line="360" w:lineRule="auto"/>
              <w:rPr>
                <w:rFonts w:hint="eastAsia" w:ascii="宋体" w:hAnsi="宋体" w:cs="宋体"/>
                <w:kern w:val="0"/>
                <w:sz w:val="24"/>
              </w:rPr>
            </w:pPr>
            <w:r>
              <w:rPr>
                <w:rFonts w:hint="eastAsia" w:ascii="宋体" w:hAnsi="宋体" w:cs="宋体"/>
                <w:kern w:val="0"/>
                <w:sz w:val="24"/>
                <w:lang w:val="zh-CN"/>
              </w:rPr>
              <w:t>评审为优的加7分；评审为良的加5分；评审为中的加3分；评审为差</w:t>
            </w:r>
            <w:r>
              <w:rPr>
                <w:rFonts w:hint="eastAsia" w:ascii="宋体" w:hAnsi="宋体" w:cs="宋体"/>
                <w:kern w:val="0"/>
                <w:sz w:val="24"/>
              </w:rPr>
              <w:t>的不加</w:t>
            </w:r>
            <w:r>
              <w:rPr>
                <w:rFonts w:hint="eastAsia" w:ascii="宋体" w:hAnsi="宋体" w:cs="宋体"/>
                <w:kern w:val="0"/>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15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项目重点难点分析、应对措施及相关的合理化建议</w:t>
            </w:r>
          </w:p>
        </w:tc>
        <w:tc>
          <w:tcPr>
            <w:tcW w:w="5907" w:type="dxa"/>
            <w:vAlign w:val="center"/>
          </w:tcPr>
          <w:p>
            <w:pPr>
              <w:spacing w:line="360" w:lineRule="auto"/>
              <w:rPr>
                <w:rFonts w:hint="eastAsia" w:ascii="宋体" w:hAnsi="宋体" w:cs="宋体"/>
                <w:kern w:val="0"/>
                <w:sz w:val="24"/>
                <w:lang w:val="zh-CN"/>
              </w:rPr>
            </w:pPr>
            <w:r>
              <w:rPr>
                <w:rFonts w:hint="eastAsia" w:ascii="宋体" w:hAnsi="宋体" w:cs="宋体"/>
                <w:kern w:val="0"/>
                <w:sz w:val="24"/>
                <w:lang w:val="zh-CN"/>
              </w:rPr>
              <w:t>评审内容：</w:t>
            </w:r>
          </w:p>
          <w:p>
            <w:pPr>
              <w:spacing w:line="360" w:lineRule="auto"/>
              <w:rPr>
                <w:rFonts w:hint="eastAsia" w:ascii="宋体" w:hAnsi="宋体" w:cs="宋体"/>
                <w:kern w:val="0"/>
                <w:sz w:val="24"/>
                <w:lang w:val="zh-CN"/>
              </w:rPr>
            </w:pPr>
            <w:r>
              <w:rPr>
                <w:rFonts w:hint="eastAsia" w:ascii="宋体" w:hAnsi="宋体" w:cs="宋体"/>
                <w:kern w:val="0"/>
                <w:sz w:val="24"/>
                <w:lang w:val="zh-CN"/>
              </w:rPr>
              <w:t>①识别项目中的重点难点；</w:t>
            </w:r>
          </w:p>
          <w:p>
            <w:pPr>
              <w:spacing w:line="360" w:lineRule="auto"/>
              <w:rPr>
                <w:rFonts w:hint="eastAsia" w:ascii="宋体" w:hAnsi="宋体" w:cs="宋体"/>
                <w:kern w:val="0"/>
                <w:sz w:val="24"/>
                <w:lang w:val="zh-CN"/>
              </w:rPr>
            </w:pPr>
            <w:r>
              <w:rPr>
                <w:rFonts w:hint="eastAsia" w:ascii="宋体" w:hAnsi="宋体" w:cs="宋体"/>
                <w:kern w:val="0"/>
                <w:sz w:val="24"/>
                <w:lang w:val="zh-CN"/>
              </w:rPr>
              <w:t>②对重点难点清晰地加以阐述和分析，分析有数据支撑；</w:t>
            </w:r>
          </w:p>
          <w:p>
            <w:pPr>
              <w:spacing w:line="360" w:lineRule="auto"/>
              <w:rPr>
                <w:rFonts w:hint="eastAsia" w:ascii="宋体" w:hAnsi="宋体" w:cs="宋体"/>
                <w:kern w:val="0"/>
                <w:sz w:val="24"/>
                <w:lang w:val="zh-CN"/>
              </w:rPr>
            </w:pPr>
            <w:r>
              <w:rPr>
                <w:rFonts w:hint="eastAsia" w:ascii="宋体" w:hAnsi="宋体" w:cs="宋体"/>
                <w:kern w:val="0"/>
                <w:sz w:val="24"/>
                <w:lang w:val="zh-CN"/>
              </w:rPr>
              <w:t>③结合深圳实际情况，并提出深圳市实际情况的方案。</w:t>
            </w:r>
          </w:p>
          <w:p>
            <w:pPr>
              <w:spacing w:line="360" w:lineRule="auto"/>
              <w:rPr>
                <w:rFonts w:hint="eastAsia" w:ascii="宋体" w:hAnsi="宋体" w:cs="宋体"/>
                <w:kern w:val="0"/>
                <w:sz w:val="24"/>
                <w:lang w:val="zh-CN"/>
              </w:rPr>
            </w:pPr>
            <w:r>
              <w:rPr>
                <w:rFonts w:hint="eastAsia" w:ascii="宋体" w:hAnsi="宋体" w:cs="宋体"/>
                <w:kern w:val="0"/>
                <w:sz w:val="24"/>
                <w:lang w:val="zh-CN"/>
              </w:rPr>
              <w:t>评分标准：</w:t>
            </w:r>
          </w:p>
          <w:p>
            <w:pPr>
              <w:spacing w:line="360" w:lineRule="auto"/>
              <w:rPr>
                <w:rFonts w:hint="eastAsia" w:ascii="宋体" w:hAnsi="宋体" w:cs="宋体"/>
                <w:kern w:val="0"/>
                <w:sz w:val="24"/>
                <w:lang w:val="zh-CN"/>
              </w:rPr>
            </w:pPr>
            <w:r>
              <w:rPr>
                <w:rFonts w:hint="eastAsia" w:ascii="宋体" w:hAnsi="宋体" w:cs="宋体"/>
                <w:kern w:val="0"/>
                <w:sz w:val="24"/>
                <w:lang w:val="zh-CN"/>
              </w:rPr>
              <w:t>1.满足三点得3分，满足任意两点得2分，满足任意一点得1分，未满足不得分。</w:t>
            </w:r>
          </w:p>
          <w:p>
            <w:pPr>
              <w:spacing w:line="360" w:lineRule="auto"/>
              <w:rPr>
                <w:rFonts w:hint="eastAsia" w:ascii="宋体" w:hAnsi="宋体" w:cs="宋体"/>
                <w:kern w:val="0"/>
                <w:sz w:val="24"/>
                <w:lang w:val="zh-CN"/>
              </w:rPr>
            </w:pPr>
            <w:r>
              <w:rPr>
                <w:rFonts w:hint="eastAsia" w:ascii="宋体" w:hAnsi="宋体" w:cs="宋体"/>
                <w:kern w:val="0"/>
                <w:sz w:val="24"/>
                <w:lang w:val="zh-CN"/>
              </w:rPr>
              <w:t>2.在此基础上，评委根据各供应商的具体响应内容按照量化的评审因素指标进一步评审；</w:t>
            </w:r>
          </w:p>
          <w:p>
            <w:pPr>
              <w:spacing w:line="360" w:lineRule="auto"/>
              <w:rPr>
                <w:rFonts w:hint="eastAsia" w:ascii="宋体" w:hAnsi="宋体" w:cs="宋体"/>
                <w:kern w:val="0"/>
                <w:sz w:val="24"/>
                <w:lang w:val="zh-CN"/>
              </w:rPr>
            </w:pPr>
            <w:r>
              <w:rPr>
                <w:rFonts w:hint="eastAsia" w:ascii="宋体" w:hAnsi="宋体" w:cs="宋体"/>
                <w:kern w:val="0"/>
                <w:sz w:val="24"/>
                <w:lang w:val="zh-CN"/>
              </w:rPr>
              <w:t>①评价为优：对项目重难点理解准确全面，有针对性详细分析，且能提出符合深圳实际的应对措施的。</w:t>
            </w:r>
          </w:p>
          <w:p>
            <w:pPr>
              <w:spacing w:line="360" w:lineRule="auto"/>
              <w:rPr>
                <w:rFonts w:hint="eastAsia" w:ascii="宋体" w:hAnsi="宋体" w:cs="宋体"/>
                <w:kern w:val="0"/>
                <w:sz w:val="24"/>
                <w:lang w:val="zh-CN"/>
              </w:rPr>
            </w:pPr>
            <w:r>
              <w:rPr>
                <w:rFonts w:hint="eastAsia" w:ascii="宋体" w:hAnsi="宋体" w:cs="宋体"/>
                <w:kern w:val="0"/>
                <w:sz w:val="24"/>
                <w:lang w:val="zh-CN"/>
              </w:rPr>
              <w:t>②评价为良：对项目重难点理解不准确但进行了针对性详细分析或对项目重难点理解准确但对重难点分析不全面，应对措施详细但不能完全贴合深圳实际的。</w:t>
            </w:r>
          </w:p>
          <w:p>
            <w:pPr>
              <w:spacing w:line="360" w:lineRule="auto"/>
              <w:rPr>
                <w:rFonts w:hint="eastAsia" w:ascii="宋体" w:hAnsi="宋体" w:cs="宋体"/>
                <w:kern w:val="0"/>
                <w:sz w:val="24"/>
                <w:lang w:val="zh-CN"/>
              </w:rPr>
            </w:pPr>
            <w:r>
              <w:rPr>
                <w:rFonts w:hint="eastAsia" w:ascii="宋体" w:hAnsi="宋体" w:cs="宋体"/>
                <w:kern w:val="0"/>
                <w:sz w:val="24"/>
                <w:lang w:val="zh-CN"/>
              </w:rPr>
              <w:t>③评价为中：对项目重难点理解不准确且重难点分析不全面，应对措施简要且不能完全贴合前海实际的。</w:t>
            </w:r>
          </w:p>
          <w:p>
            <w:pPr>
              <w:spacing w:line="360" w:lineRule="auto"/>
              <w:rPr>
                <w:rFonts w:hint="eastAsia" w:ascii="宋体" w:hAnsi="宋体" w:cs="宋体"/>
                <w:kern w:val="0"/>
                <w:sz w:val="24"/>
                <w:lang w:val="zh-CN"/>
              </w:rPr>
            </w:pPr>
            <w:r>
              <w:rPr>
                <w:rFonts w:hint="eastAsia" w:ascii="宋体" w:hAnsi="宋体" w:cs="宋体"/>
                <w:kern w:val="0"/>
                <w:sz w:val="24"/>
                <w:lang w:val="zh-CN"/>
              </w:rPr>
              <w:t>④评价为差：没有正确理解项目重难点且没有详细分析，应对措施不符合前海实际的。</w:t>
            </w:r>
          </w:p>
          <w:p>
            <w:pPr>
              <w:spacing w:line="360" w:lineRule="auto"/>
              <w:rPr>
                <w:rFonts w:hint="eastAsia" w:ascii="宋体" w:hAnsi="宋体" w:cs="宋体"/>
                <w:kern w:val="0"/>
                <w:sz w:val="24"/>
                <w:lang w:val="zh-CN"/>
              </w:rPr>
            </w:pPr>
            <w:r>
              <w:rPr>
                <w:rFonts w:hint="eastAsia" w:ascii="宋体" w:hAnsi="宋体" w:cs="宋体"/>
                <w:kern w:val="0"/>
                <w:sz w:val="24"/>
                <w:lang w:val="zh-CN"/>
              </w:rPr>
              <w:t>评审为优的加5分；评审为良的加3分；评审为中的加1分；评审为差的</w:t>
            </w:r>
            <w:r>
              <w:rPr>
                <w:rFonts w:hint="eastAsia" w:ascii="宋体" w:hAnsi="宋体" w:cs="宋体"/>
                <w:kern w:val="0"/>
                <w:sz w:val="24"/>
              </w:rPr>
              <w:t>不加</w:t>
            </w:r>
            <w:r>
              <w:rPr>
                <w:rFonts w:hint="eastAsia" w:ascii="宋体" w:hAnsi="宋体" w:cs="宋体"/>
                <w:kern w:val="0"/>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8</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质量（完成时间、安全、环保）保障措施及方案</w:t>
            </w:r>
          </w:p>
        </w:tc>
        <w:tc>
          <w:tcPr>
            <w:tcW w:w="5907" w:type="dxa"/>
            <w:vAlign w:val="center"/>
          </w:tcPr>
          <w:p>
            <w:pPr>
              <w:spacing w:line="360" w:lineRule="auto"/>
              <w:rPr>
                <w:rFonts w:hint="eastAsia" w:ascii="宋体" w:hAnsi="宋体" w:cs="宋体"/>
                <w:kern w:val="0"/>
                <w:sz w:val="24"/>
                <w:lang w:val="zh-CN"/>
              </w:rPr>
            </w:pPr>
            <w:r>
              <w:rPr>
                <w:rFonts w:hint="eastAsia" w:ascii="宋体" w:hAnsi="宋体" w:cs="宋体"/>
                <w:kern w:val="0"/>
                <w:sz w:val="24"/>
                <w:lang w:val="zh-CN"/>
              </w:rPr>
              <w:t>评审内容：</w:t>
            </w:r>
          </w:p>
          <w:p>
            <w:pPr>
              <w:spacing w:line="360" w:lineRule="auto"/>
              <w:rPr>
                <w:rFonts w:hint="eastAsia" w:ascii="宋体" w:hAnsi="宋体" w:cs="宋体"/>
                <w:kern w:val="0"/>
                <w:sz w:val="24"/>
                <w:lang w:val="zh-CN"/>
              </w:rPr>
            </w:pPr>
            <w:r>
              <w:rPr>
                <w:rFonts w:hint="eastAsia" w:ascii="宋体" w:hAnsi="宋体" w:cs="宋体"/>
                <w:kern w:val="0"/>
                <w:sz w:val="24"/>
                <w:lang w:val="zh-CN"/>
              </w:rPr>
              <w:t>①项目进度控制措施和沟通协调机制；</w:t>
            </w:r>
          </w:p>
          <w:p>
            <w:pPr>
              <w:spacing w:line="360" w:lineRule="auto"/>
              <w:rPr>
                <w:rFonts w:hint="eastAsia" w:ascii="宋体" w:hAnsi="宋体" w:cs="宋体"/>
                <w:kern w:val="0"/>
                <w:sz w:val="24"/>
                <w:lang w:val="zh-CN"/>
              </w:rPr>
            </w:pPr>
            <w:r>
              <w:rPr>
                <w:rFonts w:hint="eastAsia" w:ascii="宋体" w:hAnsi="宋体" w:cs="宋体"/>
                <w:kern w:val="0"/>
                <w:sz w:val="24"/>
                <w:lang w:val="zh-CN"/>
              </w:rPr>
              <w:t>②相关保密安全措施；</w:t>
            </w:r>
          </w:p>
          <w:p>
            <w:pPr>
              <w:spacing w:line="360" w:lineRule="auto"/>
              <w:rPr>
                <w:rFonts w:hint="eastAsia" w:ascii="宋体" w:hAnsi="宋体" w:cs="宋体"/>
                <w:kern w:val="0"/>
                <w:sz w:val="24"/>
                <w:lang w:val="zh-CN"/>
              </w:rPr>
            </w:pPr>
            <w:r>
              <w:rPr>
                <w:rFonts w:hint="eastAsia" w:ascii="宋体" w:hAnsi="宋体" w:cs="宋体"/>
                <w:kern w:val="0"/>
                <w:sz w:val="24"/>
                <w:lang w:val="zh-CN"/>
              </w:rPr>
              <w:t>③项目保障措施。</w:t>
            </w:r>
          </w:p>
          <w:p>
            <w:pPr>
              <w:spacing w:line="360" w:lineRule="auto"/>
              <w:rPr>
                <w:rFonts w:hint="eastAsia" w:ascii="宋体" w:hAnsi="宋体" w:cs="宋体"/>
                <w:kern w:val="0"/>
                <w:sz w:val="24"/>
                <w:lang w:val="zh-CN"/>
              </w:rPr>
            </w:pPr>
            <w:r>
              <w:rPr>
                <w:rFonts w:hint="eastAsia" w:ascii="宋体" w:hAnsi="宋体" w:cs="宋体"/>
                <w:kern w:val="0"/>
                <w:sz w:val="24"/>
                <w:lang w:val="zh-CN"/>
              </w:rPr>
              <w:t>评分标准：</w:t>
            </w:r>
          </w:p>
          <w:p>
            <w:pPr>
              <w:spacing w:line="360" w:lineRule="auto"/>
              <w:rPr>
                <w:rFonts w:hint="eastAsia" w:ascii="宋体" w:hAnsi="宋体" w:cs="宋体"/>
                <w:kern w:val="0"/>
                <w:sz w:val="24"/>
                <w:lang w:val="zh-CN"/>
              </w:rPr>
            </w:pPr>
            <w:r>
              <w:rPr>
                <w:rFonts w:hint="eastAsia" w:ascii="宋体" w:hAnsi="宋体" w:cs="宋体"/>
                <w:kern w:val="0"/>
                <w:sz w:val="24"/>
                <w:lang w:val="zh-CN"/>
              </w:rPr>
              <w:t>1.满足三点得3分，满足任意两点得2分，满足任意一点得1分，未满足不得分。</w:t>
            </w:r>
          </w:p>
          <w:p>
            <w:pPr>
              <w:spacing w:line="360" w:lineRule="auto"/>
              <w:rPr>
                <w:rFonts w:hint="eastAsia" w:ascii="宋体" w:hAnsi="宋体" w:cs="宋体"/>
                <w:kern w:val="0"/>
                <w:sz w:val="24"/>
                <w:lang w:val="zh-CN"/>
              </w:rPr>
            </w:pPr>
            <w:r>
              <w:rPr>
                <w:rFonts w:hint="eastAsia" w:ascii="宋体" w:hAnsi="宋体" w:cs="宋体"/>
                <w:kern w:val="0"/>
                <w:sz w:val="24"/>
                <w:lang w:val="zh-CN"/>
              </w:rPr>
              <w:t>2.在此基础上，评委根据各供应商的具体响应内容按照量化的评审因素指标进一步评审；</w:t>
            </w:r>
          </w:p>
          <w:p>
            <w:pPr>
              <w:spacing w:line="360" w:lineRule="auto"/>
              <w:rPr>
                <w:rFonts w:hint="eastAsia" w:ascii="宋体" w:hAnsi="宋体" w:cs="宋体"/>
                <w:kern w:val="0"/>
                <w:sz w:val="24"/>
                <w:lang w:val="zh-CN"/>
              </w:rPr>
            </w:pPr>
            <w:r>
              <w:rPr>
                <w:rFonts w:hint="eastAsia" w:ascii="宋体" w:hAnsi="宋体" w:cs="宋体"/>
                <w:kern w:val="0"/>
                <w:sz w:val="24"/>
                <w:lang w:val="zh-CN"/>
              </w:rPr>
              <w:t>①评价为优：有切实有效的项目进度控制措施和沟通协调机制，相关保密安全措施全面、有效，项目保障措施全面、可行的；</w:t>
            </w:r>
          </w:p>
          <w:p>
            <w:pPr>
              <w:spacing w:line="360" w:lineRule="auto"/>
              <w:rPr>
                <w:rFonts w:hint="eastAsia" w:ascii="宋体" w:hAnsi="宋体" w:cs="宋体"/>
                <w:kern w:val="0"/>
                <w:sz w:val="24"/>
                <w:lang w:val="zh-CN"/>
              </w:rPr>
            </w:pPr>
            <w:r>
              <w:rPr>
                <w:rFonts w:hint="eastAsia" w:ascii="宋体" w:hAnsi="宋体" w:cs="宋体"/>
                <w:kern w:val="0"/>
                <w:sz w:val="24"/>
                <w:lang w:val="zh-CN"/>
              </w:rPr>
              <w:t>②评价为良：有切实有效的项目进度控制措施和沟通协调机制，相关保密安全措施有效性一般，项目保障措施可行性一般的；</w:t>
            </w:r>
          </w:p>
          <w:p>
            <w:pPr>
              <w:spacing w:line="360" w:lineRule="auto"/>
              <w:rPr>
                <w:rFonts w:hint="eastAsia" w:ascii="宋体" w:hAnsi="宋体" w:cs="宋体"/>
                <w:kern w:val="0"/>
                <w:sz w:val="24"/>
                <w:lang w:val="zh-CN"/>
              </w:rPr>
            </w:pPr>
            <w:r>
              <w:rPr>
                <w:rFonts w:hint="eastAsia" w:ascii="宋体" w:hAnsi="宋体" w:cs="宋体"/>
                <w:kern w:val="0"/>
                <w:sz w:val="24"/>
                <w:lang w:val="zh-CN"/>
              </w:rPr>
              <w:t>③评价为中：项目进度控制措施和沟通协调机制有效性一般，相关保密安全措施有效性一般，项目保障措施可行性一般的；</w:t>
            </w:r>
          </w:p>
          <w:p>
            <w:pPr>
              <w:spacing w:line="360" w:lineRule="auto"/>
              <w:rPr>
                <w:rFonts w:hint="eastAsia" w:ascii="宋体" w:hAnsi="宋体" w:cs="宋体"/>
                <w:kern w:val="0"/>
                <w:sz w:val="24"/>
                <w:lang w:val="zh-CN"/>
              </w:rPr>
            </w:pPr>
            <w:r>
              <w:rPr>
                <w:rFonts w:hint="eastAsia" w:ascii="宋体" w:hAnsi="宋体" w:cs="宋体"/>
                <w:kern w:val="0"/>
                <w:sz w:val="24"/>
                <w:lang w:val="zh-CN"/>
              </w:rPr>
              <w:t>④评价为差：没有质量保障措施及方案的。</w:t>
            </w:r>
          </w:p>
          <w:p>
            <w:pPr>
              <w:spacing w:line="360" w:lineRule="auto"/>
              <w:rPr>
                <w:rFonts w:hint="eastAsia" w:ascii="宋体" w:hAnsi="宋体" w:cs="宋体"/>
                <w:kern w:val="0"/>
                <w:sz w:val="24"/>
                <w:lang w:val="zh-CN"/>
              </w:rPr>
            </w:pPr>
            <w:r>
              <w:rPr>
                <w:rFonts w:hint="eastAsia" w:ascii="宋体" w:hAnsi="宋体" w:cs="宋体"/>
                <w:kern w:val="0"/>
                <w:sz w:val="24"/>
                <w:lang w:val="zh-CN"/>
              </w:rPr>
              <w:t>评审为优的加4分；评审为良的加3分；评审为中的加1分；评审为差的</w:t>
            </w:r>
            <w:r>
              <w:rPr>
                <w:rFonts w:hint="eastAsia" w:ascii="宋体" w:hAnsi="宋体" w:cs="宋体"/>
                <w:kern w:val="0"/>
                <w:sz w:val="24"/>
              </w:rPr>
              <w:t>不加</w:t>
            </w:r>
            <w:r>
              <w:rPr>
                <w:rFonts w:hint="eastAsia" w:ascii="宋体" w:hAnsi="宋体" w:cs="宋体"/>
                <w:kern w:val="0"/>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7</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项目完成（服务期满）后的服务承诺</w:t>
            </w:r>
          </w:p>
        </w:tc>
        <w:tc>
          <w:tcPr>
            <w:tcW w:w="5907" w:type="dxa"/>
          </w:tcPr>
          <w:p>
            <w:pPr>
              <w:spacing w:line="360" w:lineRule="auto"/>
              <w:rPr>
                <w:rFonts w:hint="eastAsia" w:ascii="宋体" w:hAnsi="宋体" w:cs="宋体"/>
                <w:kern w:val="0"/>
                <w:sz w:val="24"/>
                <w:lang w:val="zh-CN"/>
              </w:rPr>
            </w:pPr>
            <w:r>
              <w:rPr>
                <w:rFonts w:hint="eastAsia" w:ascii="宋体" w:hAnsi="宋体" w:cs="宋体"/>
                <w:kern w:val="0"/>
                <w:sz w:val="24"/>
                <w:lang w:val="zh-CN"/>
              </w:rPr>
              <w:t>评审内容：</w:t>
            </w:r>
          </w:p>
          <w:p>
            <w:pPr>
              <w:spacing w:line="360" w:lineRule="auto"/>
              <w:rPr>
                <w:rFonts w:hint="eastAsia" w:ascii="宋体" w:hAnsi="宋体" w:cs="宋体"/>
                <w:kern w:val="0"/>
                <w:sz w:val="24"/>
                <w:lang w:val="zh-CN"/>
              </w:rPr>
            </w:pPr>
            <w:r>
              <w:rPr>
                <w:rFonts w:hint="eastAsia" w:ascii="宋体" w:hAnsi="宋体" w:cs="宋体"/>
                <w:kern w:val="0"/>
                <w:sz w:val="24"/>
                <w:lang w:val="zh-CN"/>
              </w:rPr>
              <w:t>1.服务承诺；</w:t>
            </w:r>
          </w:p>
          <w:p>
            <w:pPr>
              <w:spacing w:line="360" w:lineRule="auto"/>
              <w:rPr>
                <w:rFonts w:hint="eastAsia"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后续</w:t>
            </w:r>
            <w:r>
              <w:rPr>
                <w:rFonts w:hint="eastAsia" w:ascii="宋体" w:hAnsi="宋体" w:cs="宋体"/>
                <w:kern w:val="0"/>
                <w:sz w:val="24"/>
                <w:lang w:val="zh-CN"/>
              </w:rPr>
              <w:t>服务计划。</w:t>
            </w:r>
          </w:p>
          <w:p>
            <w:pPr>
              <w:spacing w:line="360" w:lineRule="auto"/>
              <w:rPr>
                <w:rFonts w:hint="eastAsia" w:ascii="宋体" w:hAnsi="宋体" w:cs="宋体"/>
                <w:kern w:val="0"/>
                <w:sz w:val="24"/>
                <w:lang w:val="zh-CN"/>
              </w:rPr>
            </w:pPr>
            <w:r>
              <w:rPr>
                <w:rFonts w:hint="eastAsia" w:ascii="宋体" w:hAnsi="宋体" w:cs="宋体"/>
                <w:kern w:val="0"/>
                <w:sz w:val="24"/>
                <w:lang w:val="zh-CN"/>
              </w:rPr>
              <w:t>评分标准：</w:t>
            </w:r>
          </w:p>
          <w:p>
            <w:pPr>
              <w:spacing w:line="360" w:lineRule="auto"/>
              <w:rPr>
                <w:rFonts w:hint="eastAsia" w:ascii="宋体" w:hAnsi="宋体" w:cs="宋体"/>
                <w:kern w:val="0"/>
                <w:sz w:val="24"/>
                <w:lang w:val="zh-CN"/>
              </w:rPr>
            </w:pPr>
            <w:r>
              <w:rPr>
                <w:rFonts w:hint="eastAsia" w:ascii="宋体" w:hAnsi="宋体" w:cs="宋体"/>
                <w:kern w:val="0"/>
                <w:sz w:val="24"/>
                <w:lang w:val="zh-CN"/>
              </w:rPr>
              <w:t>1.满足以上2点得2分，满足任意1点得1分，未满足不得分。</w:t>
            </w:r>
          </w:p>
          <w:p>
            <w:pPr>
              <w:spacing w:line="360" w:lineRule="auto"/>
              <w:rPr>
                <w:rFonts w:hint="eastAsia" w:ascii="宋体" w:hAnsi="宋体" w:cs="宋体"/>
                <w:kern w:val="0"/>
                <w:sz w:val="24"/>
                <w:lang w:val="zh-CN"/>
              </w:rPr>
            </w:pPr>
            <w:r>
              <w:rPr>
                <w:rFonts w:hint="eastAsia" w:ascii="宋体" w:hAnsi="宋体" w:cs="宋体"/>
                <w:kern w:val="0"/>
                <w:sz w:val="24"/>
                <w:lang w:val="zh-CN"/>
              </w:rPr>
              <w:t>2.在此基础上，专家根据各供应商的具体响应内容按照量化的评审因素指标进一步评审：</w:t>
            </w:r>
          </w:p>
          <w:p>
            <w:pPr>
              <w:spacing w:line="360" w:lineRule="auto"/>
              <w:rPr>
                <w:rFonts w:hint="eastAsia" w:ascii="宋体" w:hAnsi="宋体" w:cs="宋体"/>
                <w:kern w:val="0"/>
                <w:sz w:val="24"/>
                <w:lang w:val="zh-CN"/>
              </w:rPr>
            </w:pPr>
            <w:r>
              <w:rPr>
                <w:rFonts w:hint="eastAsia" w:ascii="宋体" w:hAnsi="宋体" w:cs="宋体"/>
                <w:kern w:val="0"/>
                <w:sz w:val="24"/>
                <w:lang w:val="zh-CN"/>
              </w:rPr>
              <w:t>①服务承诺全面周到，具有</w:t>
            </w:r>
            <w:r>
              <w:rPr>
                <w:rFonts w:hint="eastAsia" w:ascii="宋体" w:hAnsi="宋体" w:cs="宋体"/>
                <w:kern w:val="0"/>
                <w:sz w:val="24"/>
              </w:rPr>
              <w:t>后续</w:t>
            </w:r>
            <w:r>
              <w:rPr>
                <w:rFonts w:hint="eastAsia" w:ascii="宋体" w:hAnsi="宋体" w:cs="宋体"/>
                <w:kern w:val="0"/>
                <w:sz w:val="24"/>
                <w:lang w:val="zh-CN"/>
              </w:rPr>
              <w:t>服务计划；评为优加3分；</w:t>
            </w:r>
          </w:p>
          <w:p>
            <w:pPr>
              <w:spacing w:line="360" w:lineRule="auto"/>
              <w:rPr>
                <w:rFonts w:hint="eastAsia" w:ascii="宋体" w:hAnsi="宋体" w:cs="宋体"/>
                <w:kern w:val="0"/>
                <w:sz w:val="24"/>
                <w:lang w:val="zh-CN"/>
              </w:rPr>
            </w:pPr>
            <w:r>
              <w:rPr>
                <w:rFonts w:hint="eastAsia" w:ascii="宋体" w:hAnsi="宋体" w:cs="宋体"/>
                <w:kern w:val="0"/>
                <w:sz w:val="24"/>
                <w:lang w:val="zh-CN"/>
              </w:rPr>
              <w:t>②服务承诺全面周到，</w:t>
            </w:r>
            <w:r>
              <w:rPr>
                <w:rFonts w:hint="eastAsia" w:ascii="宋体" w:hAnsi="宋体" w:cs="宋体"/>
                <w:kern w:val="0"/>
                <w:sz w:val="24"/>
              </w:rPr>
              <w:t>后续</w:t>
            </w:r>
            <w:r>
              <w:rPr>
                <w:rFonts w:hint="eastAsia" w:ascii="宋体" w:hAnsi="宋体" w:cs="宋体"/>
                <w:kern w:val="0"/>
                <w:sz w:val="24"/>
                <w:lang w:val="zh-CN"/>
              </w:rPr>
              <w:t>服务计划可行性一般；评为良加2分；</w:t>
            </w:r>
          </w:p>
          <w:p>
            <w:pPr>
              <w:spacing w:line="360" w:lineRule="auto"/>
              <w:rPr>
                <w:rFonts w:hint="eastAsia" w:ascii="宋体" w:hAnsi="宋体" w:cs="宋体"/>
                <w:kern w:val="0"/>
                <w:sz w:val="24"/>
                <w:lang w:val="zh-CN"/>
              </w:rPr>
            </w:pPr>
            <w:r>
              <w:rPr>
                <w:rFonts w:hint="eastAsia" w:ascii="宋体" w:hAnsi="宋体" w:cs="宋体"/>
                <w:kern w:val="0"/>
                <w:sz w:val="24"/>
                <w:lang w:val="zh-CN"/>
              </w:rPr>
              <w:t>③服务承诺不够全面，</w:t>
            </w:r>
            <w:r>
              <w:rPr>
                <w:rFonts w:hint="eastAsia" w:ascii="宋体" w:hAnsi="宋体" w:cs="宋体"/>
                <w:kern w:val="0"/>
                <w:sz w:val="24"/>
              </w:rPr>
              <w:t>后续</w:t>
            </w:r>
            <w:r>
              <w:rPr>
                <w:rFonts w:hint="eastAsia" w:ascii="宋体" w:hAnsi="宋体" w:cs="宋体"/>
                <w:kern w:val="0"/>
                <w:sz w:val="24"/>
                <w:lang w:val="zh-CN"/>
              </w:rPr>
              <w:t>服务计划可行性一般；评为中加1分；</w:t>
            </w:r>
          </w:p>
          <w:p>
            <w:pPr>
              <w:spacing w:line="360" w:lineRule="auto"/>
              <w:rPr>
                <w:rFonts w:hint="eastAsia" w:ascii="宋体" w:hAnsi="宋体" w:cs="宋体"/>
                <w:kern w:val="0"/>
                <w:sz w:val="24"/>
                <w:lang w:val="zh-CN"/>
              </w:rPr>
            </w:pPr>
            <w:r>
              <w:rPr>
                <w:rFonts w:hint="eastAsia" w:ascii="宋体" w:hAnsi="宋体" w:cs="宋体"/>
                <w:kern w:val="0"/>
                <w:sz w:val="24"/>
                <w:lang w:val="zh-CN"/>
              </w:rPr>
              <w:t>④服务承诺不全面，</w:t>
            </w:r>
            <w:r>
              <w:rPr>
                <w:rFonts w:hint="eastAsia" w:ascii="宋体" w:hAnsi="宋体" w:cs="宋体"/>
                <w:kern w:val="0"/>
                <w:sz w:val="24"/>
              </w:rPr>
              <w:t>后续</w:t>
            </w:r>
            <w:r>
              <w:rPr>
                <w:rFonts w:hint="eastAsia" w:ascii="宋体" w:hAnsi="宋体" w:cs="宋体"/>
                <w:kern w:val="0"/>
                <w:sz w:val="24"/>
                <w:lang w:val="zh-CN"/>
              </w:rPr>
              <w:t>服务计划可行性差；评为差的</w:t>
            </w:r>
            <w:r>
              <w:rPr>
                <w:rFonts w:hint="eastAsia" w:ascii="宋体" w:hAnsi="宋体" w:cs="宋体"/>
                <w:kern w:val="0"/>
                <w:sz w:val="24"/>
              </w:rPr>
              <w:t>不加</w:t>
            </w:r>
            <w:r>
              <w:rPr>
                <w:rFonts w:hint="eastAsia" w:ascii="宋体" w:hAnsi="宋体" w:cs="宋体"/>
                <w:kern w:val="0"/>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bookmarkEnd w:id="34"/>
      <w:bookmarkEnd w:id="36"/>
    </w:tbl>
    <w:p>
      <w:pPr>
        <w:tabs>
          <w:tab w:val="left" w:pos="640"/>
          <w:tab w:val="left" w:pos="1260"/>
          <w:tab w:val="left" w:pos="1418"/>
        </w:tabs>
        <w:spacing w:line="360" w:lineRule="auto"/>
        <w:ind w:right="-420" w:rightChars="-200"/>
        <w:rPr>
          <w:rFonts w:hint="eastAsia" w:ascii="宋体" w:hAnsi="宋体" w:cs="宋体"/>
          <w:sz w:val="24"/>
          <w:lang w:val="fr-CH"/>
        </w:rPr>
      </w:pPr>
    </w:p>
    <w:p>
      <w:pPr>
        <w:pStyle w:val="3"/>
        <w:rPr>
          <w:rFonts w:hint="eastAsia" w:ascii="宋体" w:hAnsi="宋体" w:cs="宋体"/>
          <w:lang w:val="fr-CH"/>
        </w:rPr>
      </w:pPr>
    </w:p>
    <w:p>
      <w:pPr>
        <w:rPr>
          <w:rFonts w:hint="eastAsia" w:ascii="宋体" w:hAnsi="宋体" w:cs="宋体"/>
          <w:sz w:val="24"/>
          <w:lang w:val="fr-CH"/>
        </w:rPr>
      </w:pPr>
    </w:p>
    <w:p>
      <w:pPr>
        <w:pStyle w:val="3"/>
        <w:rPr>
          <w:rFonts w:hint="eastAsia" w:ascii="宋体" w:hAnsi="宋体" w:cs="宋体"/>
          <w:lang w:val="fr-CH"/>
        </w:rPr>
      </w:pPr>
    </w:p>
    <w:p>
      <w:pPr>
        <w:rPr>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sz w:val="24"/>
        </w:rPr>
      </w:pPr>
      <w:bookmarkStart w:id="37" w:name="_Toc9548"/>
      <w:bookmarkStart w:id="38" w:name="_Hlk28269117"/>
      <w:r>
        <w:rPr>
          <w:rFonts w:hint="eastAsia" w:ascii="宋体" w:hAnsi="宋体" w:cs="宋体"/>
          <w:b/>
          <w:bCs/>
          <w:sz w:val="24"/>
        </w:rPr>
        <w:t>第七章 附件（投标文件格式）</w:t>
      </w:r>
      <w:bookmarkEnd w:id="37"/>
    </w:p>
    <w:p>
      <w:pPr>
        <w:keepNext/>
        <w:keepLines/>
        <w:spacing w:before="260" w:after="260" w:line="440" w:lineRule="exact"/>
        <w:jc w:val="center"/>
        <w:outlineLvl w:val="1"/>
        <w:rPr>
          <w:rFonts w:hint="eastAsia" w:ascii="宋体" w:hAnsi="宋体" w:cs="宋体"/>
          <w:b/>
          <w:bCs/>
          <w:sz w:val="24"/>
        </w:rPr>
      </w:pPr>
      <w:bookmarkStart w:id="39" w:name="_Toc5116"/>
      <w:bookmarkStart w:id="40" w:name="_Toc19494"/>
      <w:bookmarkStart w:id="41" w:name="_Toc6548"/>
      <w:bookmarkStart w:id="42" w:name="_Toc31827"/>
      <w:r>
        <w:rPr>
          <w:rFonts w:hint="eastAsia" w:ascii="宋体" w:hAnsi="宋体" w:cs="宋体"/>
          <w:b/>
          <w:bCs/>
          <w:sz w:val="24"/>
        </w:rPr>
        <w:t>1、投标文件密封袋/封面参考</w:t>
      </w:r>
      <w:bookmarkEnd w:id="39"/>
      <w:bookmarkEnd w:id="40"/>
      <w:bookmarkEnd w:id="41"/>
      <w:bookmarkEnd w:id="42"/>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3"/>
              <w:tabs>
                <w:tab w:val="left" w:pos="562"/>
                <w:tab w:val="left" w:pos="3372"/>
                <w:tab w:val="left" w:pos="3653"/>
              </w:tabs>
              <w:spacing w:line="360" w:lineRule="auto"/>
              <w:rPr>
                <w:rFonts w:ascii="仿宋_GB2312" w:eastAsia="仿宋_GB2312"/>
                <w:b/>
                <w:sz w:val="32"/>
              </w:rPr>
            </w:pPr>
          </w:p>
          <w:p>
            <w:pPr>
              <w:pStyle w:val="3"/>
              <w:tabs>
                <w:tab w:val="left" w:pos="562"/>
                <w:tab w:val="left" w:pos="3372"/>
                <w:tab w:val="left" w:pos="3653"/>
              </w:tabs>
              <w:spacing w:line="360" w:lineRule="auto"/>
              <w:jc w:val="center"/>
              <w:rPr>
                <w:rFonts w:ascii="黑体" w:eastAsia="黑体"/>
                <w:b/>
                <w:sz w:val="72"/>
                <w:szCs w:val="72"/>
              </w:rPr>
            </w:pPr>
          </w:p>
          <w:p>
            <w:pPr>
              <w:pStyle w:val="3"/>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3"/>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3"/>
              <w:tabs>
                <w:tab w:val="left" w:pos="562"/>
                <w:tab w:val="left" w:pos="3372"/>
                <w:tab w:val="left" w:pos="3653"/>
              </w:tabs>
              <w:spacing w:line="360" w:lineRule="auto"/>
              <w:rPr>
                <w:rFonts w:ascii="仿宋_GB2312" w:eastAsia="仿宋_GB2312"/>
                <w:b/>
                <w:sz w:val="32"/>
              </w:rPr>
            </w:pPr>
          </w:p>
          <w:p/>
          <w:p>
            <w:pPr>
              <w:pStyle w:val="3"/>
              <w:tabs>
                <w:tab w:val="left" w:pos="562"/>
                <w:tab w:val="left" w:pos="3372"/>
                <w:tab w:val="left" w:pos="3653"/>
              </w:tabs>
              <w:spacing w:line="400" w:lineRule="exact"/>
              <w:ind w:firstLine="900" w:firstLineChars="320"/>
              <w:rPr>
                <w:rFonts w:ascii="仿宋_GB2312" w:eastAsia="仿宋_GB2312"/>
                <w:b/>
                <w:sz w:val="28"/>
                <w:szCs w:val="28"/>
              </w:rPr>
            </w:pPr>
          </w:p>
          <w:p>
            <w:pPr>
              <w:pStyle w:val="3"/>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3"/>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hint="eastAsia" w:ascii="宋体" w:hAnsi="宋体" w:cs="Arial"/>
                <w:b/>
                <w:bCs/>
                <w:sz w:val="28"/>
                <w:szCs w:val="28"/>
              </w:rPr>
            </w:pPr>
          </w:p>
          <w:p>
            <w:pPr>
              <w:spacing w:line="360" w:lineRule="auto"/>
              <w:jc w:val="center"/>
              <w:rPr>
                <w:rFonts w:hint="eastAsia"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hint="eastAsia" w:ascii="宋体" w:hAnsi="宋体" w:cs="宋体"/>
          <w:b/>
          <w:bCs/>
          <w:sz w:val="24"/>
        </w:rPr>
      </w:pPr>
    </w:p>
    <w:p>
      <w:pPr>
        <w:spacing w:before="100" w:beforeAutospacing="1" w:after="100" w:afterAutospacing="1"/>
        <w:jc w:val="center"/>
        <w:outlineLvl w:val="1"/>
        <w:rPr>
          <w:rFonts w:hint="eastAsia" w:ascii="宋体" w:hAnsi="宋体" w:cs="宋体"/>
          <w:b/>
          <w:sz w:val="24"/>
        </w:rPr>
      </w:pPr>
      <w:bookmarkStart w:id="43" w:name="_Toc16724"/>
      <w:r>
        <w:rPr>
          <w:rFonts w:hint="eastAsia" w:ascii="宋体" w:hAnsi="宋体" w:cs="宋体"/>
          <w:b/>
          <w:sz w:val="24"/>
        </w:rPr>
        <w:t>2、投标文件—目录</w:t>
      </w:r>
      <w:bookmarkEnd w:id="43"/>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6"/>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投标一览表；</w:t>
      </w:r>
    </w:p>
    <w:p>
      <w:pPr>
        <w:numPr>
          <w:ilvl w:val="0"/>
          <w:numId w:val="6"/>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分类报价明细表；</w:t>
      </w:r>
    </w:p>
    <w:p>
      <w:pPr>
        <w:spacing w:line="360" w:lineRule="auto"/>
        <w:rPr>
          <w:rFonts w:hint="eastAsia" w:ascii="宋体" w:hAnsi="宋体" w:cs="宋体"/>
          <w:b/>
          <w:bCs/>
          <w:sz w:val="24"/>
          <w:u w:val="wave"/>
        </w:rPr>
      </w:pPr>
      <w:r>
        <w:rPr>
          <w:rFonts w:hint="eastAsia" w:ascii="宋体" w:hAnsi="宋体" w:cs="宋体"/>
          <w:b/>
          <w:bCs/>
          <w:sz w:val="24"/>
        </w:rPr>
        <w:t>（二）商务部分</w:t>
      </w:r>
    </w:p>
    <w:p>
      <w:pPr>
        <w:numPr>
          <w:ilvl w:val="0"/>
          <w:numId w:val="7"/>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pPr>
        <w:numPr>
          <w:ilvl w:val="0"/>
          <w:numId w:val="7"/>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7"/>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numPr>
          <w:ilvl w:val="0"/>
          <w:numId w:val="7"/>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关于资格的声明函；</w:t>
      </w:r>
    </w:p>
    <w:p>
      <w:pPr>
        <w:numPr>
          <w:ilvl w:val="0"/>
          <w:numId w:val="7"/>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法人代表证明书及身份证明；</w:t>
      </w:r>
    </w:p>
    <w:p>
      <w:pPr>
        <w:numPr>
          <w:ilvl w:val="0"/>
          <w:numId w:val="7"/>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法定代表人授权书及身份证明；</w:t>
      </w:r>
    </w:p>
    <w:p>
      <w:pPr>
        <w:numPr>
          <w:ilvl w:val="0"/>
          <w:numId w:val="7"/>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招标代理服务费承诺书；</w:t>
      </w:r>
    </w:p>
    <w:p>
      <w:pPr>
        <w:numPr>
          <w:ilvl w:val="0"/>
          <w:numId w:val="7"/>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投标人自主知识产权产品（创新、设计）情况；</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类似项目经验；</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项目负责人情况（仅1人）；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拟安排的项目团队成员情况；</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服务客观条件；</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诚信声明与承诺；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政府采购违法行为风险知悉确认书；</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参与价格扣除的证明文件；</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供应商基本情况表、社保证明及股权关系证明；</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pPr>
        <w:spacing w:line="360" w:lineRule="auto"/>
        <w:rPr>
          <w:rFonts w:hint="eastAsia" w:ascii="宋体" w:hAnsi="宋体" w:cs="宋体"/>
          <w:b/>
          <w:bCs/>
          <w:sz w:val="24"/>
        </w:rPr>
      </w:pPr>
      <w:r>
        <w:rPr>
          <w:rFonts w:hint="eastAsia" w:ascii="宋体" w:hAnsi="宋体" w:cs="宋体"/>
          <w:b/>
          <w:bCs/>
          <w:sz w:val="24"/>
        </w:rPr>
        <w:t>（三）技术部分</w:t>
      </w:r>
    </w:p>
    <w:p>
      <w:pPr>
        <w:numPr>
          <w:ilvl w:val="0"/>
          <w:numId w:val="8"/>
        </w:numPr>
        <w:tabs>
          <w:tab w:val="left" w:pos="640"/>
          <w:tab w:val="left" w:pos="1260"/>
          <w:tab w:val="left" w:pos="1418"/>
        </w:tabs>
        <w:spacing w:line="360" w:lineRule="auto"/>
        <w:ind w:left="640" w:right="-420" w:rightChars="-200" w:hanging="640"/>
        <w:rPr>
          <w:rFonts w:hint="eastAsia" w:ascii="宋体" w:hAnsi="宋体" w:cs="宋体"/>
          <w:sz w:val="24"/>
          <w:lang w:val="fr-CH"/>
        </w:rPr>
      </w:pPr>
      <w:r>
        <w:rPr>
          <w:rFonts w:hint="eastAsia" w:ascii="宋体" w:hAnsi="宋体" w:cs="宋体"/>
          <w:sz w:val="24"/>
          <w:lang w:val="fr-CH"/>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实施方案（工作措施、工作方法、工作手段、工作流程）；</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项目重点难点分析、应对措施及相关的合理化建议；</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质量（完成时间、安全、环保）保障措施及方案；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项目完成（服务期满）后的服务承诺；</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投标人认为有必要提供的其他材料。</w:t>
      </w:r>
    </w:p>
    <w:p>
      <w:pPr>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9"/>
        </w:numPr>
        <w:tabs>
          <w:tab w:val="left" w:pos="640"/>
          <w:tab w:val="clear" w:pos="425"/>
        </w:tabs>
        <w:ind w:left="625" w:hanging="625"/>
        <w:rPr>
          <w:rFonts w:hint="eastAsia" w:ascii="宋体" w:hAnsi="宋体" w:cs="宋体"/>
          <w:sz w:val="24"/>
        </w:rPr>
      </w:pPr>
      <w:r>
        <w:rPr>
          <w:rFonts w:hint="eastAsia" w:ascii="宋体" w:hAnsi="宋体" w:cs="宋体"/>
          <w:sz w:val="24"/>
        </w:rPr>
        <w:t>投标一览表；</w:t>
      </w:r>
    </w:p>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hint="eastAsia" w:ascii="宋体" w:hAnsi="宋体" w:cs="宋体"/>
                <w:sz w:val="24"/>
              </w:rPr>
            </w:pPr>
            <w:r>
              <w:rPr>
                <w:rFonts w:hint="eastAsia" w:ascii="宋体" w:hAnsi="宋体" w:cs="宋体"/>
                <w:sz w:val="24"/>
              </w:rPr>
              <w:t>投标价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sz w:val="24"/>
                <w:u w:val="single"/>
              </w:rPr>
            </w:pPr>
          </w:p>
        </w:tc>
        <w:tc>
          <w:tcPr>
            <w:tcW w:w="2896" w:type="dxa"/>
            <w:vAlign w:val="center"/>
          </w:tcPr>
          <w:p>
            <w:pPr>
              <w:spacing w:line="360" w:lineRule="auto"/>
              <w:jc w:val="center"/>
              <w:rPr>
                <w:rFonts w:hint="eastAsia" w:ascii="宋体" w:hAnsi="宋体" w:cs="宋体"/>
                <w:sz w:val="24"/>
                <w:u w:val="single"/>
              </w:rPr>
            </w:pPr>
          </w:p>
        </w:tc>
        <w:tc>
          <w:tcPr>
            <w:tcW w:w="131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3"/>
      </w:pPr>
    </w:p>
    <w:p>
      <w:pPr>
        <w:numPr>
          <w:ilvl w:val="0"/>
          <w:numId w:val="9"/>
        </w:numPr>
        <w:tabs>
          <w:tab w:val="left" w:pos="640"/>
          <w:tab w:val="clear" w:pos="425"/>
        </w:tabs>
        <w:ind w:left="625" w:hanging="625"/>
        <w:rPr>
          <w:rFonts w:hint="eastAsia"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hint="eastAsia" w:ascii="宋体" w:hAnsi="宋体" w:cs="宋体"/>
          <w:b/>
          <w:bCs/>
          <w:sz w:val="24"/>
        </w:rPr>
      </w:pPr>
      <w:r>
        <w:rPr>
          <w:rFonts w:hint="eastAsia" w:ascii="宋体" w:hAnsi="宋体" w:cs="宋体"/>
          <w:b/>
          <w:bCs/>
          <w:sz w:val="24"/>
        </w:rPr>
        <w:t>分项报价清单</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hint="eastAsia" w:ascii="宋体" w:hAnsi="宋体" w:cs="宋体"/>
          <w:sz w:val="24"/>
          <w:u w:val="single"/>
        </w:rPr>
      </w:pP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序号</w:t>
            </w:r>
          </w:p>
        </w:tc>
        <w:tc>
          <w:tcPr>
            <w:tcW w:w="2212" w:type="dxa"/>
            <w:vAlign w:val="center"/>
          </w:tcPr>
          <w:p>
            <w:pPr>
              <w:pStyle w:val="12"/>
              <w:spacing w:line="360" w:lineRule="auto"/>
              <w:jc w:val="center"/>
              <w:rPr>
                <w:rFonts w:hint="eastAsia" w:hAnsi="宋体" w:cs="宋体"/>
                <w:sz w:val="24"/>
              </w:rPr>
            </w:pPr>
            <w:r>
              <w:rPr>
                <w:rFonts w:hint="eastAsia" w:hAnsi="宋体" w:cs="宋体"/>
                <w:sz w:val="24"/>
              </w:rPr>
              <w:t>项目名称、内容</w:t>
            </w:r>
          </w:p>
        </w:tc>
        <w:tc>
          <w:tcPr>
            <w:tcW w:w="720" w:type="dxa"/>
            <w:vAlign w:val="center"/>
          </w:tcPr>
          <w:p>
            <w:pPr>
              <w:pStyle w:val="12"/>
              <w:spacing w:line="360" w:lineRule="auto"/>
              <w:jc w:val="center"/>
              <w:rPr>
                <w:rFonts w:hint="eastAsia" w:hAnsi="宋体" w:cs="宋体"/>
                <w:sz w:val="24"/>
              </w:rPr>
            </w:pPr>
            <w:r>
              <w:rPr>
                <w:rFonts w:hint="eastAsia" w:hAnsi="宋体" w:cs="宋体"/>
                <w:sz w:val="24"/>
              </w:rPr>
              <w:t>单位</w:t>
            </w:r>
          </w:p>
        </w:tc>
        <w:tc>
          <w:tcPr>
            <w:tcW w:w="1800" w:type="dxa"/>
            <w:vAlign w:val="center"/>
          </w:tcPr>
          <w:p>
            <w:pPr>
              <w:pStyle w:val="12"/>
              <w:spacing w:line="360" w:lineRule="auto"/>
              <w:jc w:val="center"/>
              <w:rPr>
                <w:rFonts w:hint="eastAsia" w:hAnsi="宋体" w:cs="宋体"/>
                <w:sz w:val="24"/>
              </w:rPr>
            </w:pPr>
            <w:r>
              <w:rPr>
                <w:rFonts w:hint="eastAsia" w:hAnsi="宋体" w:cs="宋体"/>
                <w:sz w:val="24"/>
              </w:rPr>
              <w:t>数量（工作量）</w:t>
            </w:r>
          </w:p>
        </w:tc>
        <w:tc>
          <w:tcPr>
            <w:tcW w:w="1620" w:type="dxa"/>
            <w:vAlign w:val="center"/>
          </w:tcPr>
          <w:p>
            <w:pPr>
              <w:pStyle w:val="12"/>
              <w:spacing w:line="360" w:lineRule="auto"/>
              <w:jc w:val="center"/>
              <w:rPr>
                <w:rFonts w:hint="eastAsia" w:hAnsi="宋体" w:cs="宋体"/>
                <w:sz w:val="24"/>
              </w:rPr>
            </w:pPr>
            <w:r>
              <w:rPr>
                <w:rFonts w:hint="eastAsia" w:hAnsi="宋体" w:cs="宋体"/>
                <w:sz w:val="24"/>
              </w:rPr>
              <w:t>单价</w:t>
            </w:r>
          </w:p>
        </w:tc>
        <w:tc>
          <w:tcPr>
            <w:tcW w:w="1620" w:type="dxa"/>
            <w:vAlign w:val="center"/>
          </w:tcPr>
          <w:p>
            <w:pPr>
              <w:pStyle w:val="12"/>
              <w:spacing w:line="360" w:lineRule="auto"/>
              <w:jc w:val="center"/>
              <w:rPr>
                <w:rFonts w:hint="eastAsia"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1</w:t>
            </w:r>
          </w:p>
        </w:tc>
        <w:tc>
          <w:tcPr>
            <w:tcW w:w="2212" w:type="dxa"/>
            <w:vAlign w:val="center"/>
          </w:tcPr>
          <w:p>
            <w:pPr>
              <w:pStyle w:val="12"/>
              <w:spacing w:line="360" w:lineRule="auto"/>
              <w:jc w:val="center"/>
              <w:rPr>
                <w:rFonts w:hint="eastAsia" w:hAnsi="宋体" w:cs="宋体"/>
                <w:sz w:val="24"/>
              </w:rPr>
            </w:pPr>
          </w:p>
        </w:tc>
        <w:tc>
          <w:tcPr>
            <w:tcW w:w="720" w:type="dxa"/>
            <w:vAlign w:val="center"/>
          </w:tcPr>
          <w:p>
            <w:pPr>
              <w:pStyle w:val="12"/>
              <w:spacing w:line="360" w:lineRule="auto"/>
              <w:jc w:val="center"/>
              <w:rPr>
                <w:rFonts w:hint="eastAsia" w:hAnsi="宋体" w:cs="宋体"/>
                <w:sz w:val="24"/>
              </w:rPr>
            </w:pPr>
          </w:p>
        </w:tc>
        <w:tc>
          <w:tcPr>
            <w:tcW w:w="180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2"/>
              <w:spacing w:line="360" w:lineRule="auto"/>
              <w:jc w:val="center"/>
              <w:rPr>
                <w:rFonts w:hint="eastAsia" w:hAnsi="宋体" w:cs="宋体"/>
                <w:sz w:val="24"/>
              </w:rPr>
            </w:pPr>
          </w:p>
        </w:tc>
        <w:tc>
          <w:tcPr>
            <w:tcW w:w="180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2"/>
              <w:spacing w:line="360" w:lineRule="auto"/>
              <w:jc w:val="center"/>
              <w:rPr>
                <w:rFonts w:hint="eastAsia" w:hAnsi="宋体" w:cs="宋体"/>
                <w:sz w:val="24"/>
              </w:rPr>
            </w:pPr>
          </w:p>
        </w:tc>
        <w:tc>
          <w:tcPr>
            <w:tcW w:w="180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2"/>
              <w:spacing w:line="360" w:lineRule="auto"/>
              <w:jc w:val="center"/>
              <w:rPr>
                <w:rFonts w:hint="eastAsia" w:hAnsi="宋体" w:cs="宋体"/>
                <w:sz w:val="24"/>
              </w:rPr>
            </w:pPr>
          </w:p>
        </w:tc>
        <w:tc>
          <w:tcPr>
            <w:tcW w:w="180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2"/>
              <w:spacing w:line="360" w:lineRule="auto"/>
              <w:jc w:val="center"/>
              <w:rPr>
                <w:rFonts w:hint="eastAsia" w:hAnsi="宋体" w:cs="宋体"/>
                <w:sz w:val="24"/>
              </w:rPr>
            </w:pPr>
          </w:p>
        </w:tc>
        <w:tc>
          <w:tcPr>
            <w:tcW w:w="180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2"/>
              <w:spacing w:line="360" w:lineRule="auto"/>
              <w:jc w:val="center"/>
              <w:rPr>
                <w:rFonts w:hint="eastAsia" w:hAnsi="宋体" w:cs="宋体"/>
                <w:sz w:val="24"/>
              </w:rPr>
            </w:pPr>
          </w:p>
        </w:tc>
        <w:tc>
          <w:tcPr>
            <w:tcW w:w="180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2"/>
              <w:spacing w:line="360" w:lineRule="auto"/>
              <w:jc w:val="center"/>
              <w:rPr>
                <w:rFonts w:hint="eastAsia" w:hAnsi="宋体" w:cs="宋体"/>
                <w:sz w:val="24"/>
              </w:rPr>
            </w:pPr>
          </w:p>
        </w:tc>
        <w:tc>
          <w:tcPr>
            <w:tcW w:w="180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2"/>
              <w:spacing w:line="360" w:lineRule="auto"/>
              <w:jc w:val="center"/>
              <w:rPr>
                <w:rFonts w:hint="eastAsia" w:hAnsi="宋体" w:cs="宋体"/>
                <w:sz w:val="24"/>
              </w:rPr>
            </w:pPr>
          </w:p>
        </w:tc>
        <w:tc>
          <w:tcPr>
            <w:tcW w:w="180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2"/>
              <w:spacing w:line="360" w:lineRule="auto"/>
              <w:jc w:val="center"/>
              <w:rPr>
                <w:rFonts w:hint="eastAsia" w:hAnsi="宋体" w:cs="宋体"/>
                <w:sz w:val="24"/>
              </w:rPr>
            </w:pPr>
          </w:p>
        </w:tc>
        <w:tc>
          <w:tcPr>
            <w:tcW w:w="180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028" w:type="dxa"/>
            <w:vAlign w:val="bottom"/>
          </w:tcPr>
          <w:p>
            <w:pPr>
              <w:pStyle w:val="12"/>
              <w:spacing w:line="360" w:lineRule="auto"/>
              <w:jc w:val="center"/>
              <w:rPr>
                <w:rFonts w:hint="eastAsia" w:hAnsi="宋体" w:cs="宋体"/>
                <w:sz w:val="24"/>
              </w:rPr>
            </w:pPr>
            <w:r>
              <w:rPr>
                <w:rFonts w:hint="eastAsia" w:hAnsi="宋体" w:cs="宋体"/>
                <w:sz w:val="24"/>
              </w:rPr>
              <w:t>…</w:t>
            </w:r>
          </w:p>
        </w:tc>
        <w:tc>
          <w:tcPr>
            <w:tcW w:w="2212" w:type="dxa"/>
            <w:vAlign w:val="center"/>
          </w:tcPr>
          <w:p>
            <w:pPr>
              <w:pStyle w:val="12"/>
              <w:spacing w:line="360" w:lineRule="auto"/>
              <w:jc w:val="center"/>
              <w:rPr>
                <w:rFonts w:hint="eastAsia" w:hAnsi="宋体" w:cs="宋体"/>
                <w:sz w:val="24"/>
              </w:rPr>
            </w:pPr>
            <w:r>
              <w:rPr>
                <w:rFonts w:hint="eastAsia" w:hAnsi="宋体" w:cs="宋体"/>
                <w:sz w:val="24"/>
              </w:rPr>
              <w:t>…</w:t>
            </w:r>
          </w:p>
        </w:tc>
        <w:tc>
          <w:tcPr>
            <w:tcW w:w="720" w:type="dxa"/>
            <w:vAlign w:val="center"/>
          </w:tcPr>
          <w:p>
            <w:pPr>
              <w:pStyle w:val="12"/>
              <w:spacing w:line="360" w:lineRule="auto"/>
              <w:jc w:val="center"/>
              <w:rPr>
                <w:rFonts w:hint="eastAsia" w:hAnsi="宋体" w:cs="宋体"/>
                <w:sz w:val="24"/>
              </w:rPr>
            </w:pPr>
          </w:p>
        </w:tc>
        <w:tc>
          <w:tcPr>
            <w:tcW w:w="180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c>
          <w:tcPr>
            <w:tcW w:w="1620" w:type="dxa"/>
            <w:vAlign w:val="center"/>
          </w:tcPr>
          <w:p>
            <w:pPr>
              <w:pStyle w:val="12"/>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2"/>
              <w:spacing w:line="360" w:lineRule="auto"/>
              <w:rPr>
                <w:rFonts w:hint="eastAsia" w:hAnsi="宋体" w:cs="宋体"/>
                <w:sz w:val="24"/>
              </w:rPr>
            </w:pPr>
            <w:r>
              <w:rPr>
                <w:rFonts w:hint="eastAsia" w:hAnsi="宋体" w:cs="宋体"/>
                <w:sz w:val="24"/>
              </w:rPr>
              <w:t>报价合计</w:t>
            </w: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hint="eastAsia"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pPr>
        <w:spacing w:line="360" w:lineRule="auto"/>
        <w:jc w:val="center"/>
        <w:rPr>
          <w:rFonts w:hint="eastAsia" w:ascii="宋体" w:hAnsi="宋体" w:cs="宋体"/>
          <w:b/>
          <w:bCs/>
          <w:sz w:val="24"/>
        </w:rPr>
      </w:pPr>
      <w:r>
        <w:rPr>
          <w:rFonts w:hint="eastAsia" w:ascii="宋体" w:hAnsi="宋体" w:cs="宋体"/>
          <w:b/>
          <w:bCs/>
          <w:sz w:val="24"/>
        </w:rPr>
        <w:t>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3"/>
      </w:pPr>
    </w:p>
    <w:p>
      <w:pPr>
        <w:numPr>
          <w:ilvl w:val="0"/>
          <w:numId w:val="10"/>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0"/>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hint="eastAsia"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我单位具备《中华人民共和国政府采购法》第二十二条第一款的条件。</w:t>
      </w:r>
    </w:p>
    <w:p>
      <w:pPr>
        <w:numPr>
          <w:ilvl w:val="0"/>
          <w:numId w:val="11"/>
        </w:numPr>
        <w:spacing w:line="360" w:lineRule="auto"/>
        <w:ind w:firstLine="480" w:firstLineChars="200"/>
        <w:rPr>
          <w:rFonts w:hint="eastAsia"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hint="eastAsia" w:ascii="宋体" w:hAnsi="宋体" w:cs="宋体"/>
          <w:b/>
          <w:bCs/>
          <w:sz w:val="24"/>
        </w:rPr>
      </w:pPr>
      <w:r>
        <w:rPr>
          <w:rFonts w:hint="eastAsia" w:ascii="宋体" w:hAnsi="宋体" w:cs="宋体"/>
          <w:b/>
          <w:bCs/>
          <w:sz w:val="24"/>
        </w:rPr>
        <w:t>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tabs>
          <w:tab w:val="left" w:pos="4860"/>
        </w:tabs>
        <w:adjustRightInd w:val="0"/>
        <w:snapToGrid w:val="0"/>
        <w:spacing w:line="360" w:lineRule="auto"/>
        <w:ind w:right="105" w:rightChars="50"/>
        <w:rPr>
          <w:rFonts w:hint="eastAsia" w:ascii="宋体" w:hAnsi="宋体" w:cs="宋体"/>
          <w:sz w:val="24"/>
        </w:rPr>
      </w:pPr>
      <w:r>
        <w:rPr>
          <w:rFonts w:hint="eastAsia" w:ascii="宋体" w:hAnsi="宋体" w:cs="宋体"/>
          <w:sz w:val="24"/>
        </w:rPr>
        <w:t>投标供应商名称（盖章）：</w:t>
      </w:r>
    </w:p>
    <w:p>
      <w:pPr>
        <w:spacing w:line="360" w:lineRule="auto"/>
        <w:rPr>
          <w:rFonts w:hint="eastAsia" w:ascii="宋体" w:hAnsi="宋体" w:cs="宋体"/>
          <w:kern w:val="0"/>
          <w:sz w:val="24"/>
        </w:rPr>
      </w:pPr>
      <w:r>
        <w:rPr>
          <w:rFonts w:hint="eastAsia" w:ascii="宋体" w:hAnsi="宋体" w:cs="宋体"/>
          <w:sz w:val="24"/>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hint="eastAsia" w:ascii="宋体" w:hAnsi="宋体" w:cs="宋体"/>
          <w:b/>
          <w:sz w:val="24"/>
        </w:rPr>
      </w:pPr>
    </w:p>
    <w:p>
      <w:pPr>
        <w:spacing w:before="120" w:after="120" w:line="360" w:lineRule="auto"/>
        <w:jc w:val="center"/>
        <w:rPr>
          <w:rFonts w:hint="eastAsia"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bookmarkStart w:id="51" w:name="_GoBack"/>
      <w:bookmarkEnd w:id="51"/>
    </w:p>
    <w:p>
      <w:pPr>
        <w:tabs>
          <w:tab w:val="left" w:pos="3780"/>
        </w:tabs>
        <w:spacing w:line="360" w:lineRule="auto"/>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rPr>
          <w:rFonts w:hint="eastAsia" w:ascii="宋体" w:hAnsi="宋体" w:cs="宋体"/>
          <w:sz w:val="24"/>
        </w:rPr>
      </w:pPr>
      <w:r>
        <w:rPr>
          <w:rFonts w:hint="eastAsia" w:ascii="宋体" w:hAnsi="宋体" w:cs="宋体"/>
          <w:sz w:val="24"/>
        </w:rPr>
        <w:t>法定代表人（签字或签章）：</w:t>
      </w:r>
    </w:p>
    <w:p>
      <w:pPr>
        <w:spacing w:before="120" w:after="120"/>
        <w:jc w:val="left"/>
        <w:rPr>
          <w:rFonts w:hint="eastAsia" w:ascii="宋体" w:hAnsi="宋体" w:cs="宋体"/>
          <w:szCs w:val="21"/>
        </w:rPr>
      </w:pPr>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2"/>
              <w:spacing w:line="360" w:lineRule="auto"/>
              <w:rPr>
                <w:rFonts w:ascii="Arial Narrow" w:hAnsi="Arial Narrow"/>
                <w:b/>
                <w:bCs/>
                <w:szCs w:val="21"/>
              </w:rPr>
            </w:pPr>
          </w:p>
        </w:tc>
        <w:tc>
          <w:tcPr>
            <w:tcW w:w="4240" w:type="dxa"/>
          </w:tcPr>
          <w:p>
            <w:pPr>
              <w:pStyle w:val="12"/>
              <w:spacing w:line="360" w:lineRule="auto"/>
              <w:rPr>
                <w:rFonts w:ascii="Arial Narrow" w:hAnsi="Arial Narrow"/>
                <w:b/>
                <w:bCs/>
                <w:szCs w:val="21"/>
              </w:rPr>
            </w:pPr>
          </w:p>
        </w:tc>
      </w:tr>
    </w:tbl>
    <w:p>
      <w:pPr>
        <w:pStyle w:val="3"/>
        <w:spacing w:line="360" w:lineRule="auto"/>
        <w:rPr>
          <w:lang w:val="fr-CH"/>
        </w:rPr>
      </w:pPr>
      <w:r>
        <w:rPr>
          <w:rFonts w:hint="eastAsia"/>
          <w:sz w:val="21"/>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0"/>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2"/>
        <w:spacing w:line="360" w:lineRule="auto"/>
        <w:jc w:val="center"/>
        <w:rPr>
          <w:rFonts w:hint="eastAsia" w:hAnsi="宋体" w:cs="宋体"/>
          <w:b/>
          <w:sz w:val="24"/>
        </w:rPr>
      </w:pPr>
    </w:p>
    <w:p>
      <w:pPr>
        <w:pStyle w:val="12"/>
        <w:spacing w:line="360" w:lineRule="auto"/>
        <w:jc w:val="center"/>
        <w:rPr>
          <w:rFonts w:hint="eastAsia" w:hAnsi="宋体" w:cs="宋体"/>
          <w:b/>
          <w:sz w:val="24"/>
        </w:rPr>
      </w:pPr>
      <w:r>
        <w:rPr>
          <w:rFonts w:hint="eastAsia" w:hAnsi="宋体" w:cs="宋体"/>
          <w:b/>
          <w:sz w:val="24"/>
        </w:rPr>
        <w:t>法定代表人授权书</w:t>
      </w:r>
    </w:p>
    <w:p>
      <w:pPr>
        <w:pStyle w:val="12"/>
        <w:spacing w:line="360" w:lineRule="auto"/>
        <w:rPr>
          <w:rFonts w:hint="eastAsia" w:hAnsi="宋体" w:cs="宋体"/>
          <w:sz w:val="24"/>
        </w:rPr>
      </w:pPr>
    </w:p>
    <w:p>
      <w:pPr>
        <w:pStyle w:val="12"/>
        <w:spacing w:line="360" w:lineRule="auto"/>
        <w:rPr>
          <w:rFonts w:hint="eastAsia" w:hAnsi="宋体" w:cs="宋体"/>
          <w:sz w:val="24"/>
        </w:rPr>
      </w:pPr>
      <w:r>
        <w:rPr>
          <w:rFonts w:hint="eastAsia" w:hAnsi="宋体" w:cs="宋体"/>
          <w:b/>
          <w:sz w:val="24"/>
        </w:rPr>
        <w:t>深圳市前海深港现代服务业合作区管理局：</w:t>
      </w:r>
    </w:p>
    <w:p>
      <w:pPr>
        <w:pStyle w:val="12"/>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hint="eastAsia"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hint="eastAsia" w:ascii="宋体" w:hAnsi="宋体" w:cs="宋体"/>
          <w:b/>
          <w:sz w:val="24"/>
        </w:rPr>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tabs>
          <w:tab w:val="left" w:pos="640"/>
          <w:tab w:val="left" w:pos="1260"/>
          <w:tab w:val="left" w:pos="1418"/>
        </w:tabs>
        <w:spacing w:line="360" w:lineRule="auto"/>
        <w:rPr>
          <w:rFonts w:hint="eastAsia" w:ascii="宋体" w:hAnsi="宋体" w:cs="宋体"/>
          <w:sz w:val="24"/>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4"/>
          <w:lang w:val="fr-CH"/>
        </w:rPr>
        <w:br w:type="page"/>
      </w:r>
    </w:p>
    <w:p>
      <w:pPr>
        <w:numPr>
          <w:ilvl w:val="0"/>
          <w:numId w:val="10"/>
        </w:numPr>
        <w:tabs>
          <w:tab w:val="left" w:pos="640"/>
          <w:tab w:val="left" w:pos="1260"/>
          <w:tab w:val="left" w:pos="1418"/>
        </w:tabs>
        <w:spacing w:line="360" w:lineRule="auto"/>
        <w:ind w:left="640" w:hanging="640"/>
        <w:rPr>
          <w:rFonts w:hint="eastAsia"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w:t>
      </w:r>
      <w:bookmarkStart w:id="44" w:name="OLE_LINK8"/>
      <w:r>
        <w:rPr>
          <w:rFonts w:hint="eastAsia" w:ascii="宋体" w:hAnsi="宋体" w:cs="宋体"/>
          <w:sz w:val="24"/>
        </w:rPr>
        <w:t>中国远东国际招标有限公司</w:t>
      </w:r>
      <w:bookmarkEnd w:id="44"/>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tabs>
          <w:tab w:val="left" w:pos="3780"/>
        </w:tabs>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日期：   年     月     日</w:t>
      </w:r>
    </w:p>
    <w:p>
      <w:pPr>
        <w:pStyle w:val="3"/>
        <w:rPr>
          <w:lang w:val="fr-CH"/>
        </w:rPr>
      </w:pPr>
    </w:p>
    <w:p>
      <w:pPr>
        <w:tabs>
          <w:tab w:val="left" w:pos="640"/>
          <w:tab w:val="left" w:pos="1260"/>
          <w:tab w:val="left" w:pos="1418"/>
        </w:tabs>
        <w:spacing w:line="360" w:lineRule="auto"/>
        <w:rPr>
          <w:rFonts w:hint="eastAsia" w:ascii="宋体" w:hAnsi="宋体" w:cs="宋体"/>
          <w:sz w:val="24"/>
          <w:lang w:val="fr-CH"/>
        </w:rPr>
      </w:pPr>
    </w:p>
    <w:p>
      <w:pPr>
        <w:numPr>
          <w:ilvl w:val="0"/>
          <w:numId w:val="10"/>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12"/>
        <w:spacing w:line="360" w:lineRule="auto"/>
        <w:jc w:val="center"/>
        <w:rPr>
          <w:rFonts w:hint="eastAsia" w:hAnsi="宋体" w:cs="宋体"/>
          <w:b/>
          <w:bCs/>
          <w:sz w:val="24"/>
        </w:rPr>
      </w:pPr>
      <w:r>
        <w:rPr>
          <w:rFonts w:hint="eastAsia" w:hAnsi="宋体" w:cs="宋体"/>
          <w:b/>
          <w:bCs/>
          <w:sz w:val="24"/>
        </w:rPr>
        <w:t>供应商基本情况一览表</w:t>
      </w:r>
    </w:p>
    <w:p>
      <w:pPr>
        <w:pStyle w:val="12"/>
        <w:spacing w:line="360" w:lineRule="auto"/>
        <w:ind w:firstLine="420"/>
        <w:rPr>
          <w:rFonts w:hint="eastAsia" w:hAnsi="宋体" w:cs="宋体"/>
          <w:sz w:val="24"/>
        </w:rPr>
      </w:pPr>
      <w:r>
        <w:rPr>
          <w:rFonts w:hint="eastAsia" w:hAnsi="宋体" w:cs="宋体"/>
          <w:sz w:val="24"/>
        </w:rPr>
        <w:t>1．名称及概况：</w:t>
      </w:r>
    </w:p>
    <w:p>
      <w:pPr>
        <w:pStyle w:val="12"/>
        <w:spacing w:line="360" w:lineRule="auto"/>
        <w:ind w:firstLine="420"/>
        <w:rPr>
          <w:rFonts w:hint="eastAsia" w:hAnsi="宋体" w:cs="宋体"/>
          <w:sz w:val="24"/>
        </w:rPr>
      </w:pPr>
      <w:r>
        <w:rPr>
          <w:rFonts w:hint="eastAsia" w:hAnsi="宋体" w:cs="宋体"/>
          <w:sz w:val="24"/>
        </w:rPr>
        <w:t>（1）供应商名称：_______________________________________</w:t>
      </w:r>
    </w:p>
    <w:p>
      <w:pPr>
        <w:pStyle w:val="12"/>
        <w:spacing w:line="360" w:lineRule="auto"/>
        <w:ind w:firstLine="420"/>
        <w:rPr>
          <w:rFonts w:hint="eastAsia" w:hAnsi="宋体" w:cs="宋体"/>
          <w:sz w:val="24"/>
        </w:rPr>
      </w:pPr>
      <w:r>
        <w:rPr>
          <w:rFonts w:hint="eastAsia" w:hAnsi="宋体" w:cs="宋体"/>
          <w:sz w:val="24"/>
        </w:rPr>
        <w:t>（2）地址：______________________________________________</w:t>
      </w:r>
    </w:p>
    <w:p>
      <w:pPr>
        <w:pStyle w:val="12"/>
        <w:spacing w:line="360" w:lineRule="auto"/>
        <w:ind w:firstLine="660" w:firstLineChars="275"/>
        <w:rPr>
          <w:rFonts w:hint="eastAsia" w:hAnsi="宋体" w:cs="宋体"/>
          <w:sz w:val="24"/>
        </w:rPr>
      </w:pPr>
      <w:r>
        <w:rPr>
          <w:rFonts w:hint="eastAsia" w:hAnsi="宋体" w:cs="宋体"/>
          <w:sz w:val="24"/>
        </w:rPr>
        <w:t xml:space="preserve">   邮政编码：___________________________________________</w:t>
      </w:r>
    </w:p>
    <w:p>
      <w:pPr>
        <w:pStyle w:val="12"/>
        <w:spacing w:line="360" w:lineRule="auto"/>
        <w:ind w:firstLine="420"/>
        <w:rPr>
          <w:rFonts w:hint="eastAsia" w:hAnsi="宋体" w:cs="宋体"/>
          <w:sz w:val="24"/>
        </w:rPr>
      </w:pPr>
      <w:r>
        <w:rPr>
          <w:rFonts w:hint="eastAsia" w:hAnsi="宋体" w:cs="宋体"/>
          <w:sz w:val="24"/>
        </w:rPr>
        <w:t xml:space="preserve">     电话号码：___________________________________________ </w:t>
      </w:r>
    </w:p>
    <w:p>
      <w:pPr>
        <w:pStyle w:val="12"/>
        <w:spacing w:line="360" w:lineRule="auto"/>
        <w:ind w:firstLine="420"/>
        <w:rPr>
          <w:rFonts w:hint="eastAsia" w:hAnsi="宋体" w:cs="宋体"/>
          <w:sz w:val="24"/>
        </w:rPr>
      </w:pPr>
      <w:r>
        <w:rPr>
          <w:rFonts w:hint="eastAsia" w:hAnsi="宋体" w:cs="宋体"/>
          <w:sz w:val="24"/>
        </w:rPr>
        <w:t xml:space="preserve">     传真号码：___________________________________________ </w:t>
      </w:r>
    </w:p>
    <w:p>
      <w:pPr>
        <w:pStyle w:val="12"/>
        <w:spacing w:line="360" w:lineRule="auto"/>
        <w:ind w:firstLine="420"/>
        <w:rPr>
          <w:rFonts w:hint="eastAsia" w:hAnsi="宋体" w:cs="宋体"/>
          <w:sz w:val="24"/>
        </w:rPr>
      </w:pPr>
      <w:r>
        <w:rPr>
          <w:rFonts w:hint="eastAsia" w:hAnsi="宋体" w:cs="宋体"/>
          <w:sz w:val="24"/>
        </w:rPr>
        <w:t>（3）成立和／或注册日期：_________________________________</w:t>
      </w:r>
    </w:p>
    <w:p>
      <w:pPr>
        <w:pStyle w:val="12"/>
        <w:spacing w:line="360" w:lineRule="auto"/>
        <w:ind w:firstLine="420"/>
        <w:rPr>
          <w:rFonts w:hint="eastAsia" w:hAnsi="宋体" w:cs="宋体"/>
          <w:sz w:val="24"/>
        </w:rPr>
      </w:pPr>
      <w:r>
        <w:rPr>
          <w:rFonts w:hint="eastAsia" w:hAnsi="宋体" w:cs="宋体"/>
          <w:sz w:val="24"/>
        </w:rPr>
        <w:t>（4）法人代表：___________________________________________</w:t>
      </w:r>
    </w:p>
    <w:p>
      <w:pPr>
        <w:pStyle w:val="12"/>
        <w:spacing w:line="360" w:lineRule="auto"/>
        <w:ind w:firstLine="420"/>
        <w:rPr>
          <w:rFonts w:hint="eastAsia" w:hAnsi="宋体" w:cs="宋体"/>
          <w:sz w:val="24"/>
        </w:rPr>
      </w:pPr>
      <w:r>
        <w:rPr>
          <w:rFonts w:hint="eastAsia" w:hAnsi="宋体" w:cs="宋体"/>
          <w:sz w:val="24"/>
        </w:rPr>
        <w:t>（5）开户银行：___________________________________________</w:t>
      </w:r>
    </w:p>
    <w:p>
      <w:pPr>
        <w:pStyle w:val="12"/>
        <w:spacing w:line="360" w:lineRule="auto"/>
        <w:ind w:firstLine="420"/>
        <w:rPr>
          <w:rFonts w:hint="eastAsia" w:hAnsi="宋体" w:cs="宋体"/>
          <w:sz w:val="24"/>
        </w:rPr>
      </w:pPr>
      <w:r>
        <w:rPr>
          <w:rFonts w:hint="eastAsia" w:hAnsi="宋体" w:cs="宋体"/>
          <w:sz w:val="24"/>
        </w:rPr>
        <w:t>（6）开户</w:t>
      </w:r>
      <w:r>
        <w:rPr>
          <w:rFonts w:hint="eastAsia" w:hAnsi="宋体" w:cs="宋体"/>
          <w:sz w:val="24"/>
          <w:lang w:val="en-US" w:eastAsia="zh-CN"/>
        </w:rPr>
        <w:t>账号</w:t>
      </w:r>
      <w:r>
        <w:rPr>
          <w:rFonts w:hint="eastAsia" w:hAnsi="宋体" w:cs="宋体"/>
          <w:sz w:val="24"/>
        </w:rPr>
        <w:t>：___________________________________________</w:t>
      </w:r>
    </w:p>
    <w:p>
      <w:pPr>
        <w:pStyle w:val="12"/>
        <w:spacing w:line="360" w:lineRule="auto"/>
        <w:ind w:firstLine="420"/>
        <w:rPr>
          <w:rFonts w:hint="eastAsia" w:hAnsi="宋体" w:cs="宋体"/>
          <w:sz w:val="24"/>
        </w:rPr>
      </w:pPr>
      <w:r>
        <w:rPr>
          <w:rFonts w:hint="eastAsia" w:hAnsi="宋体" w:cs="宋体"/>
          <w:sz w:val="24"/>
        </w:rPr>
        <w:t>（7）注册资金：___________________________________________</w:t>
      </w:r>
    </w:p>
    <w:p>
      <w:pPr>
        <w:pStyle w:val="12"/>
        <w:spacing w:line="360" w:lineRule="auto"/>
        <w:ind w:firstLine="420"/>
        <w:rPr>
          <w:rFonts w:hint="eastAsia" w:hAnsi="宋体" w:cs="宋体"/>
          <w:sz w:val="24"/>
        </w:rPr>
      </w:pPr>
      <w:r>
        <w:rPr>
          <w:rFonts w:hint="eastAsia" w:hAnsi="宋体" w:cs="宋体"/>
          <w:sz w:val="24"/>
        </w:rPr>
        <w:t>（8）项目主要联系人（姓名、职务、通讯）：</w:t>
      </w:r>
    </w:p>
    <w:p>
      <w:pPr>
        <w:pStyle w:val="12"/>
        <w:spacing w:line="360" w:lineRule="auto"/>
        <w:rPr>
          <w:rFonts w:hint="eastAsia" w:hAnsi="宋体" w:cs="宋体"/>
          <w:sz w:val="24"/>
        </w:rPr>
      </w:pPr>
      <w:r>
        <w:rPr>
          <w:rFonts w:hint="eastAsia" w:hAnsi="宋体" w:cs="宋体"/>
          <w:sz w:val="24"/>
        </w:rPr>
        <w:t>_____________________________________________________________________</w:t>
      </w:r>
    </w:p>
    <w:p>
      <w:pPr>
        <w:pStyle w:val="12"/>
        <w:spacing w:line="360" w:lineRule="auto"/>
        <w:ind w:firstLine="420"/>
        <w:rPr>
          <w:rFonts w:hint="eastAsia" w:hAnsi="宋体" w:cs="宋体"/>
          <w:sz w:val="24"/>
        </w:rPr>
      </w:pPr>
      <w:r>
        <w:rPr>
          <w:rFonts w:hint="eastAsia" w:hAnsi="宋体" w:cs="宋体"/>
          <w:sz w:val="24"/>
        </w:rPr>
        <w:t>（9）公司概况；</w:t>
      </w:r>
    </w:p>
    <w:p>
      <w:pPr>
        <w:pStyle w:val="12"/>
        <w:spacing w:line="360" w:lineRule="auto"/>
        <w:ind w:firstLine="420"/>
        <w:rPr>
          <w:rFonts w:hint="eastAsia" w:hAnsi="宋体" w:cs="宋体"/>
          <w:sz w:val="24"/>
        </w:rPr>
      </w:pPr>
      <w:r>
        <w:rPr>
          <w:rFonts w:hint="eastAsia" w:hAnsi="宋体" w:cs="宋体"/>
          <w:sz w:val="24"/>
        </w:rPr>
        <w:t>（10）公司组织机构；</w:t>
      </w:r>
    </w:p>
    <w:p>
      <w:pPr>
        <w:pStyle w:val="12"/>
        <w:spacing w:line="360" w:lineRule="auto"/>
        <w:ind w:firstLine="420"/>
        <w:rPr>
          <w:rFonts w:hint="eastAsia"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pPr>
        <w:pStyle w:val="3"/>
        <w:rPr>
          <w:lang w:val="fr-CH"/>
        </w:rPr>
      </w:pPr>
    </w:p>
    <w:p>
      <w:pPr>
        <w:numPr>
          <w:ilvl w:val="0"/>
          <w:numId w:val="10"/>
        </w:numPr>
        <w:tabs>
          <w:tab w:val="left" w:pos="640"/>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投标人自主知识产权产品（创新、设计）情况</w:t>
      </w:r>
      <w:r>
        <w:rPr>
          <w:rFonts w:hint="eastAsia" w:ascii="宋体" w:hAnsi="宋体" w:cs="宋体"/>
          <w:sz w:val="24"/>
        </w:rPr>
        <w:t>；</w:t>
      </w:r>
    </w:p>
    <w:p>
      <w:pPr>
        <w:numPr>
          <w:ilvl w:val="0"/>
          <w:numId w:val="10"/>
        </w:numPr>
        <w:tabs>
          <w:tab w:val="left" w:pos="640"/>
        </w:tabs>
        <w:spacing w:line="360" w:lineRule="auto"/>
        <w:ind w:left="845" w:hanging="845"/>
        <w:rPr>
          <w:rFonts w:hint="eastAsia" w:ascii="宋体" w:hAnsi="宋体" w:cs="宋体"/>
          <w:sz w:val="24"/>
          <w:lang w:val="fr-CH"/>
        </w:rPr>
      </w:pPr>
      <w:r>
        <w:rPr>
          <w:rFonts w:hint="eastAsia" w:ascii="宋体" w:hAnsi="宋体" w:cs="宋体"/>
          <w:sz w:val="24"/>
          <w:lang w:val="fr-CH"/>
        </w:rPr>
        <w:t>类似项目经验</w:t>
      </w:r>
      <w:r>
        <w:rPr>
          <w:rFonts w:hint="eastAsia" w:ascii="宋体" w:hAnsi="宋体" w:cs="宋体"/>
          <w:sz w:val="24"/>
        </w:rPr>
        <w:t>；</w:t>
      </w:r>
    </w:p>
    <w:p>
      <w:pPr>
        <w:numPr>
          <w:ilvl w:val="0"/>
          <w:numId w:val="10"/>
        </w:numPr>
        <w:tabs>
          <w:tab w:val="left" w:pos="640"/>
        </w:tabs>
        <w:spacing w:line="360" w:lineRule="auto"/>
        <w:ind w:left="845" w:hanging="845"/>
        <w:rPr>
          <w:rFonts w:hint="eastAsia" w:ascii="宋体" w:hAnsi="宋体" w:cs="宋体"/>
          <w:sz w:val="24"/>
          <w:lang w:val="fr-CH"/>
        </w:rPr>
      </w:pPr>
      <w:r>
        <w:rPr>
          <w:rFonts w:hint="eastAsia" w:ascii="宋体" w:hAnsi="宋体" w:cs="宋体"/>
          <w:sz w:val="24"/>
          <w:lang w:val="fr-CH"/>
        </w:rPr>
        <w:t>项目负责人情况（仅1人）</w:t>
      </w:r>
      <w:r>
        <w:rPr>
          <w:rFonts w:hint="eastAsia" w:ascii="宋体" w:hAnsi="宋体" w:cs="宋体"/>
          <w:sz w:val="24"/>
        </w:rPr>
        <w:t>；</w:t>
      </w:r>
    </w:p>
    <w:p>
      <w:pPr>
        <w:numPr>
          <w:ilvl w:val="0"/>
          <w:numId w:val="10"/>
        </w:numPr>
        <w:tabs>
          <w:tab w:val="left" w:pos="640"/>
        </w:tabs>
        <w:spacing w:line="360" w:lineRule="auto"/>
        <w:ind w:left="845" w:hanging="845"/>
        <w:rPr>
          <w:rFonts w:hint="eastAsia" w:ascii="宋体" w:hAnsi="宋体" w:cs="宋体"/>
          <w:sz w:val="24"/>
          <w:lang w:val="fr-CH"/>
        </w:rPr>
      </w:pPr>
      <w:r>
        <w:rPr>
          <w:rFonts w:hint="eastAsia" w:ascii="宋体" w:hAnsi="宋体" w:cs="宋体"/>
          <w:sz w:val="24"/>
          <w:lang w:val="fr-CH"/>
        </w:rPr>
        <w:t>拟安排的项目团队成员情况</w:t>
      </w:r>
      <w:r>
        <w:rPr>
          <w:rFonts w:hint="eastAsia" w:ascii="宋体" w:hAnsi="宋体" w:cs="宋体"/>
          <w:sz w:val="24"/>
        </w:rPr>
        <w:t>；</w:t>
      </w:r>
    </w:p>
    <w:p>
      <w:pPr>
        <w:numPr>
          <w:ilvl w:val="0"/>
          <w:numId w:val="10"/>
        </w:numPr>
        <w:tabs>
          <w:tab w:val="left" w:pos="640"/>
        </w:tabs>
        <w:spacing w:line="360" w:lineRule="auto"/>
        <w:ind w:left="845" w:hanging="845"/>
        <w:rPr>
          <w:rFonts w:hint="eastAsia" w:ascii="宋体" w:hAnsi="宋体" w:cs="宋体"/>
          <w:sz w:val="24"/>
        </w:rPr>
      </w:pPr>
      <w:r>
        <w:rPr>
          <w:rFonts w:hint="eastAsia" w:ascii="宋体" w:hAnsi="宋体" w:cs="宋体"/>
          <w:sz w:val="24"/>
          <w:lang w:val="fr-CH"/>
        </w:rPr>
        <w:t>服务客观条件</w:t>
      </w:r>
      <w:r>
        <w:rPr>
          <w:rFonts w:hint="eastAsia" w:ascii="宋体" w:hAnsi="宋体" w:cs="宋体"/>
          <w:sz w:val="24"/>
        </w:rPr>
        <w:t>；</w:t>
      </w:r>
    </w:p>
    <w:p>
      <w:pPr>
        <w:tabs>
          <w:tab w:val="left" w:pos="640"/>
          <w:tab w:val="left" w:pos="1260"/>
          <w:tab w:val="left" w:pos="1418"/>
        </w:tabs>
        <w:jc w:val="center"/>
        <w:rPr>
          <w:rFonts w:hint="eastAsia" w:ascii="宋体" w:hAnsi="宋体" w:cs="宋体"/>
          <w:b/>
          <w:bCs/>
          <w:szCs w:val="21"/>
        </w:rPr>
      </w:pPr>
    </w:p>
    <w:p>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hint="eastAsia" w:ascii="宋体" w:hAnsi="宋体" w:cs="宋体"/>
          <w:b/>
          <w:bCs/>
          <w:sz w:val="24"/>
        </w:rPr>
      </w:pPr>
      <w:r>
        <w:rPr>
          <w:rFonts w:hint="eastAsia" w:ascii="宋体" w:hAnsi="宋体" w:cs="宋体"/>
          <w:b/>
          <w:bCs/>
          <w:sz w:val="24"/>
        </w:rPr>
        <w:t>诚信声明与承诺</w:t>
      </w:r>
    </w:p>
    <w:p>
      <w:pPr>
        <w:spacing w:line="360" w:lineRule="auto"/>
        <w:rPr>
          <w:rFonts w:hint="eastAsia"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pPr>
        <w:pStyle w:val="12"/>
        <w:spacing w:line="360" w:lineRule="auto"/>
        <w:jc w:val="left"/>
        <w:rPr>
          <w:rFonts w:hint="eastAsia" w:hAnsi="宋体" w:cs="宋体"/>
          <w:sz w:val="24"/>
        </w:rPr>
      </w:pPr>
    </w:p>
    <w:p>
      <w:pPr>
        <w:pStyle w:val="12"/>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3"/>
        <w:rPr>
          <w:lang w:val="fr-CH"/>
        </w:rPr>
      </w:pPr>
    </w:p>
    <w:p>
      <w:pPr>
        <w:numPr>
          <w:ilvl w:val="0"/>
          <w:numId w:val="10"/>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ind w:firstLine="480" w:firstLineChars="200"/>
        <w:jc w:val="left"/>
        <w:rPr>
          <w:rFonts w:hint="eastAsia" w:ascii="宋体" w:hAnsi="宋体" w:cs="宋体"/>
          <w:kern w:val="0"/>
          <w:sz w:val="24"/>
        </w:rPr>
      </w:pPr>
      <w:r>
        <w:rPr>
          <w:rFonts w:hint="eastAsia" w:ascii="宋体" w:hAnsi="宋体" w:cs="宋体"/>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sz w:val="24"/>
              </w:rPr>
            </w:pPr>
            <w:bookmarkStart w:id="45" w:name="OLE_LINK6"/>
            <w:r>
              <w:rPr>
                <w:rFonts w:hint="eastAsia" w:ascii="宋体" w:hAnsi="宋体" w:cs="宋体"/>
                <w:b/>
                <w:bCs/>
                <w:sz w:val="24"/>
              </w:rPr>
              <w:t>序号</w:t>
            </w:r>
          </w:p>
        </w:tc>
        <w:tc>
          <w:tcPr>
            <w:tcW w:w="7607" w:type="dxa"/>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1</w:t>
            </w:r>
          </w:p>
        </w:tc>
        <w:tc>
          <w:tcPr>
            <w:tcW w:w="7607" w:type="dxa"/>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2</w:t>
            </w:r>
          </w:p>
        </w:tc>
        <w:tc>
          <w:tcPr>
            <w:tcW w:w="7607" w:type="dxa"/>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3</w:t>
            </w:r>
          </w:p>
        </w:tc>
        <w:tc>
          <w:tcPr>
            <w:tcW w:w="7607" w:type="dxa"/>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4</w:t>
            </w:r>
          </w:p>
        </w:tc>
        <w:tc>
          <w:tcPr>
            <w:tcW w:w="7607" w:type="dxa"/>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5</w:t>
            </w:r>
          </w:p>
        </w:tc>
        <w:tc>
          <w:tcPr>
            <w:tcW w:w="7607" w:type="dxa"/>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bookmarkEnd w:id="45"/>
    </w:tbl>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3840" w:firstLineChars="1600"/>
        <w:jc w:val="left"/>
        <w:rPr>
          <w:rFonts w:hint="eastAsia"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hint="eastAsia" w:ascii="宋体" w:hAnsi="宋体" w:cs="仿宋_GB2312"/>
          <w:kern w:val="0"/>
          <w:sz w:val="24"/>
        </w:rPr>
      </w:pPr>
      <w:r>
        <w:rPr>
          <w:rFonts w:hint="eastAsia" w:ascii="宋体" w:hAnsi="宋体" w:cs="仿宋_GB2312"/>
          <w:kern w:val="0"/>
          <w:sz w:val="24"/>
        </w:rPr>
        <w:t>知悉人（公章）：</w:t>
      </w:r>
    </w:p>
    <w:p>
      <w:pPr>
        <w:spacing w:line="360" w:lineRule="auto"/>
        <w:jc w:val="right"/>
        <w:rPr>
          <w:rFonts w:hint="eastAsia"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szCs w:val="21"/>
        </w:rPr>
      </w:pPr>
      <w:r>
        <w:rPr>
          <w:rFonts w:hint="eastAsia" w:ascii="宋体" w:hAnsi="宋体" w:cs="宋体"/>
          <w:szCs w:val="21"/>
        </w:rPr>
        <w:t>参与价格扣除的证明文件</w:t>
      </w:r>
    </w:p>
    <w:p>
      <w:pPr>
        <w:keepNext/>
        <w:keepLines/>
        <w:jc w:val="center"/>
        <w:outlineLvl w:val="4"/>
        <w:rPr>
          <w:rFonts w:hint="eastAsia" w:ascii="宋体" w:hAnsi="宋体" w:cs="宋体"/>
          <w:bCs/>
          <w:kern w:val="44"/>
          <w:sz w:val="24"/>
        </w:rPr>
      </w:pPr>
      <w:bookmarkStart w:id="46" w:name="OLE_LINK59"/>
      <w:r>
        <w:rPr>
          <w:rFonts w:hint="eastAsia" w:ascii="宋体" w:hAnsi="宋体" w:cs="宋体"/>
          <w:b/>
          <w:bCs/>
          <w:sz w:val="24"/>
        </w:rPr>
        <w:t>①中小企业声明函（工程、服务）</w:t>
      </w:r>
    </w:p>
    <w:p>
      <w:pPr>
        <w:widowControl/>
        <w:ind w:firstLine="480" w:firstLineChars="200"/>
        <w:textAlignment w:val="baseline"/>
        <w:rPr>
          <w:rFonts w:hint="eastAsia" w:ascii="宋体" w:hAnsi="宋体" w:cs="宋体"/>
          <w:sz w:val="24"/>
        </w:rPr>
      </w:pPr>
    </w:p>
    <w:p>
      <w:pPr>
        <w:widowControl/>
        <w:ind w:firstLine="480" w:firstLineChars="200"/>
        <w:textAlignment w:val="baseline"/>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hint="eastAsia" w:ascii="宋体" w:hAnsi="宋体" w:cs="宋体"/>
          <w:sz w:val="24"/>
        </w:rPr>
      </w:pPr>
      <w:r>
        <w:rPr>
          <w:rFonts w:hint="eastAsia" w:ascii="宋体" w:hAnsi="宋体" w:cs="宋体"/>
          <w:sz w:val="24"/>
        </w:rPr>
        <w:t>……</w:t>
      </w:r>
    </w:p>
    <w:p>
      <w:pPr>
        <w:widowControl/>
        <w:ind w:firstLine="480" w:firstLineChars="200"/>
        <w:textAlignment w:val="baseline"/>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hint="eastAsia"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hint="eastAsia" w:ascii="宋体" w:hAnsi="宋体" w:cs="宋体"/>
          <w:b/>
          <w:bCs/>
          <w:sz w:val="24"/>
        </w:rPr>
      </w:pPr>
      <w:r>
        <w:rPr>
          <w:rFonts w:hint="eastAsia" w:ascii="宋体" w:hAnsi="宋体" w:cs="宋体"/>
          <w:b/>
          <w:bCs/>
          <w:sz w:val="24"/>
        </w:rPr>
        <w:t>日期：</w:t>
      </w:r>
    </w:p>
    <w:p>
      <w:pPr>
        <w:widowControl/>
        <w:ind w:firstLine="480" w:firstLineChars="200"/>
        <w:textAlignment w:val="baseline"/>
        <w:rPr>
          <w:rFonts w:hint="eastAsia" w:ascii="宋体" w:hAnsi="宋体" w:cs="宋体"/>
          <w:sz w:val="24"/>
        </w:rPr>
      </w:pPr>
    </w:p>
    <w:p>
      <w:pPr>
        <w:widowControl/>
        <w:ind w:firstLine="480" w:firstLineChars="200"/>
        <w:textAlignment w:val="baseline"/>
        <w:rPr>
          <w:rFonts w:hint="eastAsia" w:ascii="宋体" w:hAnsi="宋体" w:cs="宋体"/>
          <w:sz w:val="24"/>
        </w:rPr>
      </w:pPr>
    </w:p>
    <w:p>
      <w:pPr>
        <w:jc w:val="left"/>
        <w:rPr>
          <w:rFonts w:hint="eastAsia" w:ascii="宋体" w:hAnsi="宋体" w:cs="宋体"/>
          <w:b/>
          <w:bCs/>
          <w:sz w:val="24"/>
        </w:rPr>
      </w:pPr>
      <w:r>
        <w:rPr>
          <w:rFonts w:hint="eastAsia" w:ascii="宋体" w:hAnsi="宋体" w:cs="宋体"/>
          <w:b/>
          <w:bCs/>
          <w:sz w:val="24"/>
        </w:rPr>
        <w:t>注意事项：</w:t>
      </w:r>
    </w:p>
    <w:p>
      <w:pPr>
        <w:ind w:firstLine="482" w:firstLineChars="200"/>
        <w:jc w:val="left"/>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hint="eastAsia"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hint="eastAsia"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sz w:val="24"/>
        </w:rPr>
      </w:pPr>
      <w:r>
        <w:rPr>
          <w:rFonts w:hint="eastAsia" w:ascii="宋体" w:hAnsi="宋体" w:cs="宋体"/>
          <w:sz w:val="24"/>
        </w:rPr>
        <w:t xml:space="preserve">四、各行业划型标准为： </w:t>
      </w:r>
    </w:p>
    <w:p>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hint="eastAsia"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hint="eastAsia" w:ascii="宋体" w:hAnsi="宋体" w:cs="宋体"/>
          <w:spacing w:val="6"/>
          <w:sz w:val="24"/>
        </w:rPr>
      </w:pPr>
    </w:p>
    <w:p>
      <w:pPr>
        <w:spacing w:line="620" w:lineRule="exact"/>
        <w:ind w:firstLine="504" w:firstLineChars="200"/>
        <w:rPr>
          <w:rFonts w:hint="eastAsia" w:ascii="宋体" w:hAnsi="宋体" w:cs="宋体"/>
          <w:spacing w:val="6"/>
          <w:sz w:val="24"/>
        </w:rPr>
      </w:pPr>
    </w:p>
    <w:p>
      <w:pPr>
        <w:tabs>
          <w:tab w:val="left" w:pos="4860"/>
        </w:tabs>
        <w:spacing w:line="620"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45"/>
          <w:rFonts w:hint="eastAsia"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45"/>
          <w:rFonts w:hint="eastAsia" w:ascii="宋体" w:hAnsi="宋体" w:cs="宋体"/>
          <w:sz w:val="24"/>
        </w:rPr>
      </w:pPr>
    </w:p>
    <w:p>
      <w:pPr>
        <w:snapToGrid w:val="0"/>
        <w:spacing w:line="360" w:lineRule="auto"/>
        <w:ind w:firstLine="482" w:firstLineChars="200"/>
        <w:jc w:val="left"/>
        <w:textAlignment w:val="baseline"/>
        <w:rPr>
          <w:rStyle w:val="45"/>
          <w:rFonts w:hint="eastAsia" w:ascii="宋体" w:hAnsi="宋体" w:cs="宋体"/>
          <w:b/>
          <w:sz w:val="24"/>
        </w:rPr>
      </w:pPr>
      <w:r>
        <w:rPr>
          <w:rStyle w:val="45"/>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45"/>
          <w:rFonts w:hint="eastAsia" w:ascii="宋体" w:hAnsi="宋体" w:cs="宋体"/>
          <w:b/>
          <w:sz w:val="24"/>
        </w:rPr>
      </w:pPr>
      <w:r>
        <w:rPr>
          <w:rStyle w:val="45"/>
          <w:rFonts w:hint="eastAsia" w:ascii="宋体" w:hAnsi="宋体" w:cs="宋体"/>
          <w:b/>
          <w:sz w:val="24"/>
        </w:rPr>
        <w:br w:type="page"/>
      </w:r>
      <w:r>
        <w:rPr>
          <w:rStyle w:val="45"/>
          <w:rFonts w:hint="eastAsia" w:ascii="宋体" w:hAnsi="宋体" w:cs="宋体"/>
          <w:b/>
          <w:sz w:val="24"/>
        </w:rPr>
        <w:t>③监狱企业声明函</w:t>
      </w:r>
    </w:p>
    <w:p>
      <w:pPr>
        <w:snapToGrid w:val="0"/>
        <w:spacing w:line="620" w:lineRule="exact"/>
        <w:ind w:firstLine="504" w:firstLineChars="200"/>
        <w:textAlignment w:val="baseline"/>
        <w:rPr>
          <w:rStyle w:val="45"/>
          <w:rFonts w:hint="eastAsia" w:ascii="宋体" w:hAnsi="宋体" w:cs="宋体"/>
          <w:spacing w:val="6"/>
          <w:sz w:val="24"/>
        </w:rPr>
      </w:pPr>
      <w:r>
        <w:rPr>
          <w:rStyle w:val="45"/>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45"/>
          <w:rFonts w:hint="eastAsia" w:ascii="宋体" w:hAnsi="宋体" w:cs="宋体"/>
          <w:spacing w:val="6"/>
          <w:sz w:val="24"/>
          <w:u w:val="single"/>
        </w:rPr>
        <w:t xml:space="preserve"> （采购单位名称） </w:t>
      </w:r>
      <w:r>
        <w:rPr>
          <w:rStyle w:val="45"/>
          <w:rFonts w:hint="eastAsia" w:ascii="宋体" w:hAnsi="宋体" w:cs="宋体"/>
          <w:spacing w:val="6"/>
          <w:sz w:val="24"/>
        </w:rPr>
        <w:t>单位的</w:t>
      </w:r>
      <w:r>
        <w:rPr>
          <w:rStyle w:val="45"/>
          <w:rFonts w:hint="eastAsia" w:ascii="宋体" w:hAnsi="宋体" w:cs="宋体"/>
          <w:spacing w:val="6"/>
          <w:sz w:val="24"/>
          <w:u w:val="single"/>
        </w:rPr>
        <w:t xml:space="preserve"> （采购项目名称） </w:t>
      </w:r>
      <w:r>
        <w:rPr>
          <w:rStyle w:val="45"/>
          <w:rFonts w:hint="eastAsia" w:ascii="宋体" w:hAnsi="宋体" w:cs="宋体"/>
          <w:spacing w:val="6"/>
          <w:sz w:val="24"/>
        </w:rPr>
        <w:t>项目采购</w:t>
      </w:r>
      <w:r>
        <w:rPr>
          <w:rStyle w:val="45"/>
          <w:rFonts w:hint="eastAsia" w:ascii="宋体" w:hAnsi="宋体" w:cs="宋体"/>
          <w:kern w:val="0"/>
          <w:sz w:val="24"/>
        </w:rPr>
        <w:t>活动，并提供：□本单位制造的货物；□由本单位承担的工程、提供服务；□提供其他监狱企业制造的货物（承诺人在□处打√）</w:t>
      </w:r>
      <w:r>
        <w:rPr>
          <w:rStyle w:val="45"/>
          <w:rFonts w:hint="eastAsia" w:ascii="宋体" w:hAnsi="宋体" w:cs="宋体"/>
          <w:spacing w:val="6"/>
          <w:sz w:val="24"/>
        </w:rPr>
        <w:t>。</w:t>
      </w:r>
      <w:r>
        <w:rPr>
          <w:rStyle w:val="45"/>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45"/>
          <w:rFonts w:hint="eastAsia" w:ascii="宋体" w:hAnsi="宋体" w:cs="宋体"/>
          <w:spacing w:val="6"/>
          <w:sz w:val="24"/>
        </w:rPr>
      </w:pPr>
      <w:r>
        <w:rPr>
          <w:rStyle w:val="45"/>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45"/>
          <w:rFonts w:hint="eastAsia" w:ascii="宋体" w:hAnsi="宋体" w:cs="宋体"/>
          <w:spacing w:val="6"/>
          <w:sz w:val="24"/>
        </w:rPr>
      </w:pPr>
      <w:r>
        <w:rPr>
          <w:rStyle w:val="45"/>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45"/>
          <w:rFonts w:hint="eastAsia" w:ascii="宋体" w:hAnsi="宋体" w:cs="宋体"/>
          <w:spacing w:val="6"/>
          <w:sz w:val="24"/>
        </w:rPr>
      </w:pPr>
    </w:p>
    <w:p>
      <w:pPr>
        <w:snapToGrid w:val="0"/>
        <w:spacing w:line="620" w:lineRule="exact"/>
        <w:ind w:firstLine="504" w:firstLineChars="200"/>
        <w:textAlignment w:val="baseline"/>
        <w:rPr>
          <w:rStyle w:val="45"/>
          <w:rFonts w:hint="eastAsia" w:ascii="宋体" w:hAnsi="宋体" w:cs="宋体"/>
          <w:spacing w:val="6"/>
          <w:sz w:val="24"/>
        </w:rPr>
      </w:pPr>
    </w:p>
    <w:p>
      <w:pPr>
        <w:tabs>
          <w:tab w:val="left" w:pos="4860"/>
        </w:tabs>
        <w:snapToGrid w:val="0"/>
        <w:spacing w:line="620" w:lineRule="exact"/>
        <w:ind w:right="1560" w:firstLine="504" w:firstLineChars="200"/>
        <w:jc w:val="center"/>
        <w:textAlignment w:val="baseline"/>
        <w:rPr>
          <w:rStyle w:val="45"/>
          <w:rFonts w:hint="eastAsia" w:ascii="宋体" w:hAnsi="宋体" w:cs="宋体"/>
          <w:spacing w:val="6"/>
          <w:sz w:val="24"/>
        </w:rPr>
      </w:pPr>
      <w:r>
        <w:rPr>
          <w:rStyle w:val="45"/>
          <w:rFonts w:hint="eastAsia" w:ascii="宋体" w:hAnsi="宋体" w:cs="宋体"/>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spacing w:val="6"/>
          <w:szCs w:val="21"/>
        </w:rPr>
      </w:pPr>
      <w:r>
        <w:rPr>
          <w:rStyle w:val="45"/>
          <w:rFonts w:hint="eastAsia" w:ascii="宋体" w:hAnsi="宋体" w:cs="宋体"/>
          <w:spacing w:val="6"/>
          <w:sz w:val="24"/>
        </w:rPr>
        <w:t xml:space="preserve">                          日  期</w:t>
      </w:r>
      <w:r>
        <w:rPr>
          <w:rFonts w:hint="eastAsia" w:ascii="宋体" w:hAnsi="宋体" w:cs="宋体"/>
          <w:spacing w:val="6"/>
          <w:sz w:val="24"/>
        </w:rPr>
        <w:t>：</w:t>
      </w:r>
      <w:bookmarkEnd w:id="46"/>
    </w:p>
    <w:p>
      <w:pPr>
        <w:pStyle w:val="6"/>
        <w:rPr>
          <w:rFonts w:hint="eastAsia" w:ascii="宋体" w:cs="宋体"/>
          <w:spacing w:val="6"/>
          <w:sz w:val="21"/>
        </w:rPr>
      </w:pPr>
    </w:p>
    <w:p>
      <w:pPr>
        <w:rPr>
          <w:rFonts w:hint="eastAsia" w:ascii="宋体" w:hAnsi="宋体" w:cs="宋体"/>
          <w:spacing w:val="6"/>
          <w:szCs w:val="21"/>
        </w:rPr>
      </w:pPr>
    </w:p>
    <w:p>
      <w:pPr>
        <w:pStyle w:val="6"/>
        <w:rPr>
          <w:rFonts w:hint="eastAsia" w:ascii="宋体" w:cs="宋体"/>
          <w:spacing w:val="6"/>
          <w:sz w:val="21"/>
        </w:rPr>
      </w:pPr>
    </w:p>
    <w:p>
      <w:pPr>
        <w:rPr>
          <w:rFonts w:hint="eastAsia" w:ascii="宋体" w:hAnsi="宋体" w:cs="宋体"/>
          <w:spacing w:val="6"/>
          <w:szCs w:val="21"/>
        </w:rPr>
      </w:pPr>
    </w:p>
    <w:p>
      <w:pPr>
        <w:pStyle w:val="6"/>
        <w:rPr>
          <w:rFonts w:hint="eastAsia" w:ascii="宋体" w:cs="宋体"/>
          <w:spacing w:val="6"/>
          <w:sz w:val="21"/>
        </w:rPr>
      </w:pPr>
    </w:p>
    <w:p>
      <w:pPr>
        <w:rPr>
          <w:rFonts w:hint="eastAsia" w:ascii="宋体" w:hAnsi="宋体" w:cs="宋体"/>
          <w:spacing w:val="6"/>
          <w:szCs w:val="21"/>
        </w:rPr>
      </w:pPr>
    </w:p>
    <w:p>
      <w:pPr>
        <w:pStyle w:val="6"/>
        <w:rPr>
          <w:rFonts w:hint="eastAsia" w:ascii="宋体" w:cs="宋体"/>
          <w:spacing w:val="6"/>
          <w:sz w:val="21"/>
        </w:rPr>
      </w:pPr>
    </w:p>
    <w:p>
      <w:pPr>
        <w:rPr>
          <w:rFonts w:hint="eastAsia" w:ascii="宋体" w:hAnsi="宋体" w:cs="宋体"/>
          <w:spacing w:val="6"/>
          <w:szCs w:val="21"/>
        </w:rPr>
      </w:pPr>
    </w:p>
    <w:p>
      <w:pPr>
        <w:pStyle w:val="6"/>
        <w:rPr>
          <w:rFonts w:hint="eastAsia"/>
        </w:rPr>
      </w:pPr>
    </w:p>
    <w:p>
      <w:pPr>
        <w:numPr>
          <w:ilvl w:val="0"/>
          <w:numId w:val="10"/>
        </w:numPr>
        <w:tabs>
          <w:tab w:val="left" w:pos="640"/>
          <w:tab w:val="left" w:pos="840"/>
          <w:tab w:val="left" w:pos="1260"/>
          <w:tab w:val="left" w:pos="1418"/>
        </w:tabs>
        <w:spacing w:line="360" w:lineRule="auto"/>
        <w:ind w:left="845" w:hanging="845"/>
        <w:rPr>
          <w:rFonts w:hint="eastAsia" w:ascii="宋体" w:hAnsi="宋体" w:cs="宋体"/>
          <w:b/>
          <w:bCs/>
          <w:sz w:val="24"/>
        </w:rPr>
      </w:pPr>
      <w:r>
        <w:rPr>
          <w:rFonts w:hint="eastAsia" w:ascii="宋体" w:hAnsi="宋体" w:cs="宋体"/>
          <w:b/>
          <w:bCs/>
          <w:sz w:val="24"/>
        </w:rPr>
        <w:t>供应商基本情况表、社保证明及股权关系证明</w:t>
      </w:r>
    </w:p>
    <w:p>
      <w:pPr>
        <w:snapToGrid w:val="0"/>
        <w:rPr>
          <w:rFonts w:hint="eastAsia" w:ascii="宋体" w:hAnsi="宋体" w:cs="宋体"/>
          <w:b/>
          <w:sz w:val="24"/>
          <w:highlight w:val="yellow"/>
        </w:rPr>
      </w:pPr>
      <w:r>
        <w:rPr>
          <w:rFonts w:hint="eastAsia" w:ascii="宋体" w:hAnsi="宋体" w:cs="宋体"/>
          <w:b/>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sz w:val="24"/>
        </w:rPr>
      </w:pPr>
    </w:p>
    <w:p>
      <w:pPr>
        <w:snapToGrid w:val="0"/>
        <w:rPr>
          <w:rFonts w:hint="eastAsia" w:ascii="宋体" w:hAnsi="宋体" w:cs="宋体"/>
          <w:b/>
          <w:sz w:val="28"/>
          <w:szCs w:val="28"/>
        </w:rPr>
      </w:pPr>
      <w:r>
        <w:rPr>
          <w:rFonts w:hint="eastAsia" w:ascii="宋体" w:hAnsi="宋体" w:cs="宋体"/>
          <w:b/>
          <w:sz w:val="28"/>
          <w:szCs w:val="28"/>
        </w:rPr>
        <w:t>1.《供应商基本情况表》</w:t>
      </w:r>
    </w:p>
    <w:p>
      <w:pPr>
        <w:adjustRightInd w:val="0"/>
        <w:snapToGrid w:val="0"/>
        <w:jc w:val="left"/>
        <w:rPr>
          <w:rFonts w:hint="eastAsia" w:ascii="宋体" w:hAnsi="宋体" w:cs="宋体"/>
          <w:sz w:val="24"/>
        </w:rPr>
      </w:pPr>
      <w:r>
        <w:rPr>
          <w:rFonts w:hint="eastAsia" w:ascii="宋体" w:hAnsi="宋体" w:cs="宋体"/>
          <w:sz w:val="24"/>
        </w:rPr>
        <w:t>填表单位（</w:t>
      </w:r>
      <w:r>
        <w:rPr>
          <w:rFonts w:hint="eastAsia" w:ascii="宋体" w:hAnsi="宋体" w:cs="宋体"/>
          <w:b/>
          <w:bCs/>
          <w:sz w:val="24"/>
        </w:rPr>
        <w:t>加盖单位公章，必填项</w:t>
      </w:r>
      <w:r>
        <w:rPr>
          <w:rFonts w:hint="eastAsia" w:ascii="宋体" w:hAnsi="宋体" w:cs="宋体"/>
          <w:sz w:val="24"/>
        </w:rPr>
        <w:t>）：</w:t>
      </w:r>
    </w:p>
    <w:p>
      <w:pPr>
        <w:adjustRightInd w:val="0"/>
        <w:snapToGrid w:val="0"/>
        <w:jc w:val="left"/>
        <w:rPr>
          <w:rFonts w:hint="eastAsia" w:ascii="宋体" w:hAnsi="宋体" w:cs="宋体"/>
          <w:sz w:val="24"/>
        </w:rPr>
      </w:pPr>
      <w:r>
        <w:rPr>
          <w:rFonts w:hint="eastAsia" w:ascii="宋体" w:hAnsi="宋体" w:cs="宋体"/>
          <w:sz w:val="24"/>
        </w:rPr>
        <w:t>填表日期（</w:t>
      </w:r>
      <w:r>
        <w:rPr>
          <w:rFonts w:hint="eastAsia" w:ascii="宋体" w:hAnsi="宋体" w:cs="宋体"/>
          <w:b/>
          <w:bCs/>
          <w:sz w:val="24"/>
        </w:rPr>
        <w:t>必填项</w:t>
      </w:r>
      <w:r>
        <w:rPr>
          <w:rFonts w:hint="eastAsia" w:ascii="宋体" w:hAnsi="宋体" w:cs="宋体"/>
          <w:sz w:val="24"/>
        </w:rPr>
        <w:t>）：        年     月      日</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采购人</w:t>
            </w:r>
          </w:p>
        </w:tc>
        <w:tc>
          <w:tcPr>
            <w:tcW w:w="1406" w:type="pct"/>
            <w:gridSpan w:val="2"/>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项目名称</w:t>
            </w:r>
          </w:p>
        </w:tc>
        <w:tc>
          <w:tcPr>
            <w:tcW w:w="1656" w:type="pct"/>
            <w:gridSpan w:val="2"/>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投标（响应）供应商</w:t>
            </w:r>
          </w:p>
        </w:tc>
        <w:tc>
          <w:tcPr>
            <w:tcW w:w="1406" w:type="pct"/>
            <w:gridSpan w:val="2"/>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供应商统一社会信用代码</w:t>
            </w:r>
          </w:p>
        </w:tc>
        <w:tc>
          <w:tcPr>
            <w:tcW w:w="1656" w:type="pct"/>
            <w:gridSpan w:val="2"/>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sz w:val="24"/>
              </w:rPr>
            </w:pPr>
            <w:r>
              <w:rPr>
                <w:rFonts w:hint="eastAsia" w:ascii="宋体" w:hAnsi="宋体" w:cs="宋体"/>
                <w:b/>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职务</w:t>
            </w:r>
          </w:p>
        </w:tc>
        <w:tc>
          <w:tcPr>
            <w:tcW w:w="543"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劳动合同</w:t>
            </w:r>
          </w:p>
          <w:p>
            <w:pPr>
              <w:widowControl/>
              <w:snapToGrid w:val="0"/>
              <w:jc w:val="center"/>
              <w:rPr>
                <w:rFonts w:hint="eastAsia" w:ascii="宋体" w:hAnsi="宋体" w:cs="宋体"/>
                <w:bCs/>
                <w:sz w:val="24"/>
              </w:rPr>
            </w:pPr>
            <w:r>
              <w:rPr>
                <w:rFonts w:hint="eastAsia" w:ascii="宋体" w:hAnsi="宋体" w:cs="宋体"/>
                <w:bCs/>
                <w:sz w:val="24"/>
              </w:rPr>
              <w:t>关系单位</w:t>
            </w:r>
          </w:p>
        </w:tc>
        <w:tc>
          <w:tcPr>
            <w:tcW w:w="835"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缴纳社会</w:t>
            </w:r>
          </w:p>
          <w:p>
            <w:pPr>
              <w:widowControl/>
              <w:snapToGrid w:val="0"/>
              <w:jc w:val="center"/>
              <w:rPr>
                <w:rFonts w:hint="eastAsia" w:ascii="宋体" w:hAnsi="宋体" w:cs="宋体"/>
                <w:bCs/>
                <w:sz w:val="24"/>
              </w:rPr>
            </w:pPr>
            <w:r>
              <w:rPr>
                <w:rFonts w:hint="eastAsia" w:ascii="宋体" w:hAnsi="宋体" w:cs="宋体"/>
                <w:bCs/>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sz w:val="24"/>
              </w:rPr>
            </w:pPr>
            <w:r>
              <w:rPr>
                <w:rFonts w:hint="eastAsia" w:ascii="宋体" w:hAnsi="宋体" w:cs="宋体"/>
                <w:bCs/>
                <w:sz w:val="24"/>
              </w:rPr>
              <w:t>4</w:t>
            </w:r>
          </w:p>
        </w:tc>
        <w:tc>
          <w:tcPr>
            <w:tcW w:w="1223"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主要技术人员（如有）</w:t>
            </w:r>
          </w:p>
        </w:tc>
        <w:tc>
          <w:tcPr>
            <w:tcW w:w="543" w:type="pct"/>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p>
        </w:tc>
        <w:tc>
          <w:tcPr>
            <w:tcW w:w="821" w:type="pct"/>
            <w:vAlign w:val="center"/>
          </w:tcPr>
          <w:p>
            <w:pPr>
              <w:widowControl/>
              <w:snapToGrid w:val="0"/>
              <w:jc w:val="center"/>
              <w:rPr>
                <w:rFonts w:hint="eastAsia" w:ascii="宋体" w:hAnsi="宋体" w:cs="宋体"/>
                <w:bCs/>
                <w:sz w:val="24"/>
              </w:rPr>
            </w:pPr>
          </w:p>
        </w:tc>
        <w:tc>
          <w:tcPr>
            <w:tcW w:w="835" w:type="pct"/>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sz w:val="24"/>
              </w:rPr>
            </w:pPr>
            <w:r>
              <w:rPr>
                <w:rFonts w:hint="eastAsia" w:ascii="宋体" w:hAnsi="宋体" w:cs="宋体"/>
                <w:bCs/>
                <w:sz w:val="24"/>
              </w:rPr>
              <w:t>5</w:t>
            </w:r>
          </w:p>
        </w:tc>
        <w:tc>
          <w:tcPr>
            <w:tcW w:w="1223" w:type="pct"/>
            <w:gridSpan w:val="2"/>
            <w:vAlign w:val="center"/>
          </w:tcPr>
          <w:p>
            <w:pPr>
              <w:widowControl/>
              <w:snapToGrid w:val="0"/>
              <w:jc w:val="center"/>
              <w:rPr>
                <w:rFonts w:hint="eastAsia" w:ascii="宋体" w:hAnsi="宋体" w:cs="宋体"/>
                <w:bCs/>
                <w:sz w:val="24"/>
              </w:rPr>
            </w:pPr>
            <w:r>
              <w:rPr>
                <w:rFonts w:hint="eastAsia" w:ascii="宋体" w:hAnsi="宋体" w:cs="宋体"/>
                <w:b/>
                <w:sz w:val="24"/>
              </w:rPr>
              <w:t>投标文件编制人员（必填项）</w:t>
            </w:r>
          </w:p>
        </w:tc>
        <w:tc>
          <w:tcPr>
            <w:tcW w:w="543" w:type="pct"/>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p>
        </w:tc>
        <w:tc>
          <w:tcPr>
            <w:tcW w:w="821" w:type="pct"/>
            <w:vAlign w:val="center"/>
          </w:tcPr>
          <w:p>
            <w:pPr>
              <w:widowControl/>
              <w:snapToGrid w:val="0"/>
              <w:jc w:val="center"/>
              <w:rPr>
                <w:rFonts w:hint="eastAsia" w:ascii="宋体" w:hAnsi="宋体" w:cs="宋体"/>
                <w:bCs/>
                <w:sz w:val="24"/>
              </w:rPr>
            </w:pPr>
          </w:p>
        </w:tc>
        <w:tc>
          <w:tcPr>
            <w:tcW w:w="835" w:type="pct"/>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sz w:val="24"/>
              </w:rPr>
            </w:pPr>
            <w:r>
              <w:rPr>
                <w:rFonts w:hint="eastAsia" w:ascii="宋体" w:hAnsi="宋体" w:cs="宋体"/>
                <w:b/>
                <w:sz w:val="24"/>
              </w:rPr>
              <w:t>说明：1.同一职务有多人担任（如主要技术人员），应分行填写。</w:t>
            </w:r>
          </w:p>
          <w:p>
            <w:pPr>
              <w:pStyle w:val="9"/>
              <w:ind w:firstLine="723" w:firstLineChars="300"/>
              <w:rPr>
                <w:rFonts w:hint="eastAsia" w:ascii="宋体" w:hAnsi="宋体" w:cs="宋体"/>
                <w:b/>
                <w:sz w:val="24"/>
                <w:szCs w:val="24"/>
              </w:rPr>
            </w:pPr>
            <w:r>
              <w:rPr>
                <w:rFonts w:hint="eastAsia" w:ascii="宋体" w:hAnsi="宋体" w:cs="宋体"/>
                <w:b/>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sz w:val="24"/>
              </w:rPr>
            </w:pPr>
            <w:r>
              <w:rPr>
                <w:rFonts w:hint="eastAsia" w:ascii="宋体" w:hAnsi="宋体" w:cs="宋体"/>
                <w:b/>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sz w:val="24"/>
              </w:rPr>
            </w:pPr>
            <w:r>
              <w:rPr>
                <w:rFonts w:hint="eastAsia" w:ascii="宋体" w:hAnsi="宋体" w:cs="宋体"/>
                <w:bCs/>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sz w:val="24"/>
              </w:rPr>
            </w:pPr>
            <w:r>
              <w:rPr>
                <w:rFonts w:hint="eastAsia" w:ascii="宋体" w:hAnsi="宋体" w:cs="宋体"/>
                <w:bCs/>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sz w:val="24"/>
              </w:rPr>
            </w:pPr>
            <w:r>
              <w:rPr>
                <w:rFonts w:hint="eastAsia" w:ascii="宋体" w:hAnsi="宋体" w:cs="宋体"/>
                <w:bCs/>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sz w:val="24"/>
              </w:rPr>
            </w:pPr>
            <w:r>
              <w:rPr>
                <w:rFonts w:hint="eastAsia" w:ascii="宋体" w:hAnsi="宋体" w:cs="宋体"/>
                <w:b/>
                <w:sz w:val="24"/>
              </w:rPr>
              <w:t>说明：</w:t>
            </w:r>
          </w:p>
          <w:p>
            <w:pPr>
              <w:widowControl/>
              <w:snapToGrid w:val="0"/>
              <w:rPr>
                <w:rFonts w:hint="eastAsia" w:ascii="宋体" w:hAnsi="宋体" w:cs="宋体"/>
                <w:b/>
                <w:sz w:val="24"/>
              </w:rPr>
            </w:pPr>
            <w:r>
              <w:rPr>
                <w:rFonts w:hint="eastAsia" w:ascii="宋体" w:hAnsi="宋体" w:cs="宋体"/>
                <w:b/>
                <w:sz w:val="24"/>
              </w:rPr>
              <w:t>1.同一关联关系类型有多个主体的，应分行填写。</w:t>
            </w:r>
          </w:p>
          <w:p>
            <w:pPr>
              <w:pStyle w:val="9"/>
              <w:ind w:firstLine="0" w:firstLineChars="0"/>
              <w:rPr>
                <w:rFonts w:hint="eastAsia" w:ascii="宋体" w:hAnsi="宋体" w:cs="宋体"/>
                <w:sz w:val="24"/>
                <w:szCs w:val="24"/>
              </w:rPr>
            </w:pPr>
            <w:r>
              <w:rPr>
                <w:rFonts w:hint="eastAsia" w:ascii="宋体" w:hAnsi="宋体" w:cs="宋体"/>
                <w:b/>
                <w:sz w:val="24"/>
                <w:szCs w:val="24"/>
              </w:rPr>
              <w:t>2.上述规定的控股、管理关系仅限于直接控股、直接管理关系，不包括间接的控股或管理关系。</w:t>
            </w:r>
          </w:p>
        </w:tc>
      </w:tr>
    </w:tbl>
    <w:p>
      <w:pPr>
        <w:snapToGrid w:val="0"/>
        <w:rPr>
          <w:rFonts w:hint="eastAsia" w:ascii="宋体" w:hAnsi="宋体" w:cs="宋体"/>
          <w:b/>
          <w:sz w:val="24"/>
        </w:rPr>
      </w:pPr>
      <w:r>
        <w:rPr>
          <w:rFonts w:hint="eastAsia" w:ascii="宋体" w:hAnsi="宋体" w:cs="宋体"/>
          <w:b/>
          <w:sz w:val="24"/>
        </w:rPr>
        <w:t>备注：注明“必填项”的必须填写；未注明“必填项”的，如供应商未填写则视为未安排（或无）。</w:t>
      </w:r>
    </w:p>
    <w:p>
      <w:pPr>
        <w:widowControl/>
        <w:snapToGrid w:val="0"/>
        <w:rPr>
          <w:rFonts w:hint="eastAsia" w:ascii="宋体" w:hAnsi="宋体" w:cs="宋体"/>
          <w:b/>
          <w:sz w:val="24"/>
        </w:rPr>
      </w:pPr>
    </w:p>
    <w:p>
      <w:pPr>
        <w:snapToGrid w:val="0"/>
        <w:rPr>
          <w:rFonts w:hint="eastAsia" w:ascii="宋体" w:hAnsi="宋体" w:cs="宋体"/>
          <w:b/>
          <w:sz w:val="28"/>
          <w:szCs w:val="28"/>
        </w:rPr>
      </w:pPr>
      <w:r>
        <w:rPr>
          <w:rFonts w:hint="eastAsia" w:ascii="宋体" w:hAnsi="宋体" w:cs="宋体"/>
          <w:b/>
          <w:sz w:val="28"/>
          <w:szCs w:val="28"/>
        </w:rPr>
        <w:t>2.社保证明材料：</w:t>
      </w:r>
    </w:p>
    <w:p>
      <w:pPr>
        <w:widowControl/>
        <w:snapToGrid w:val="0"/>
        <w:rPr>
          <w:rFonts w:hint="eastAsia" w:ascii="宋体" w:hAnsi="宋体" w:cs="宋体"/>
          <w:bCs/>
          <w:sz w:val="24"/>
        </w:rPr>
      </w:pPr>
      <w:r>
        <w:rPr>
          <w:rFonts w:hint="eastAsia" w:ascii="宋体" w:hAnsi="宋体" w:cs="宋体"/>
          <w:bCs/>
          <w:sz w:val="24"/>
        </w:rPr>
        <w:t>（1）法定代表人/单位负责人/主要经营负责人</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9"/>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（2）投标授权代表人</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9"/>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（3）项目负责人（如本项目未安排，可不提供）</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9"/>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（4）主要技术人员（如本项目未安排，可不提供）</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9"/>
        <w:widowControl/>
        <w:ind w:firstLine="480"/>
        <w:rPr>
          <w:rFonts w:hint="eastAsia" w:ascii="宋体" w:hAnsi="宋体" w:cs="宋体"/>
          <w:bCs/>
          <w:sz w:val="24"/>
          <w:szCs w:val="24"/>
        </w:rPr>
      </w:pPr>
    </w:p>
    <w:p>
      <w:pPr>
        <w:widowControl/>
        <w:numPr>
          <w:ilvl w:val="0"/>
          <w:numId w:val="12"/>
        </w:numPr>
        <w:snapToGrid w:val="0"/>
        <w:rPr>
          <w:rFonts w:hint="eastAsia" w:ascii="宋体" w:hAnsi="宋体" w:cs="宋体"/>
          <w:bCs/>
          <w:sz w:val="24"/>
        </w:rPr>
      </w:pPr>
      <w:r>
        <w:rPr>
          <w:rFonts w:hint="eastAsia" w:ascii="宋体" w:hAnsi="宋体" w:cs="宋体"/>
          <w:bCs/>
          <w:sz w:val="24"/>
        </w:rPr>
        <w:t>投标文件编制人员</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9"/>
        <w:widowControl/>
        <w:ind w:firstLine="480"/>
        <w:rPr>
          <w:rFonts w:hint="eastAsia" w:ascii="宋体" w:hAnsi="宋体" w:cs="宋体"/>
          <w:sz w:val="24"/>
          <w:szCs w:val="24"/>
        </w:rPr>
      </w:pPr>
    </w:p>
    <w:p>
      <w:pPr>
        <w:widowControl/>
        <w:snapToGrid w:val="0"/>
        <w:rPr>
          <w:rFonts w:hint="eastAsia" w:ascii="宋体" w:hAnsi="宋体" w:cs="宋体"/>
          <w:bCs/>
          <w:sz w:val="24"/>
        </w:rPr>
      </w:pPr>
      <w:r>
        <w:rPr>
          <w:rFonts w:hint="eastAsia" w:ascii="宋体" w:hAnsi="宋体" w:cs="宋体"/>
          <w:bCs/>
          <w:sz w:val="24"/>
        </w:rPr>
        <w:t>注：</w:t>
      </w:r>
    </w:p>
    <w:p>
      <w:pPr>
        <w:widowControl/>
        <w:snapToGrid w:val="0"/>
        <w:rPr>
          <w:rFonts w:hint="eastAsia"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sz w:val="24"/>
        </w:rPr>
      </w:pPr>
      <w:r>
        <w:rPr>
          <w:rFonts w:hint="eastAsia" w:ascii="宋体" w:hAnsi="宋体" w:cs="宋体"/>
          <w:bCs/>
          <w:sz w:val="24"/>
        </w:rPr>
        <w:t>3.如无法按上述要求提供人员社会保险证明材料的，提交以下材料亦视为符合：</w:t>
      </w:r>
    </w:p>
    <w:p>
      <w:pPr>
        <w:widowControl/>
        <w:snapToGrid w:val="0"/>
        <w:rPr>
          <w:rFonts w:hint="eastAsia"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3.股权关系证明材料：</w:t>
      </w:r>
    </w:p>
    <w:p>
      <w:pPr>
        <w:widowControl/>
        <w:snapToGrid w:val="0"/>
        <w:rPr>
          <w:rFonts w:hint="eastAsia" w:ascii="宋体" w:hAnsi="宋体" w:cs="宋体"/>
          <w:b/>
          <w:sz w:val="24"/>
        </w:rPr>
      </w:pPr>
      <w:r>
        <w:rPr>
          <w:rFonts w:hint="eastAsia" w:ascii="宋体" w:hAnsi="宋体" w:cs="宋体"/>
          <w:b/>
          <w:sz w:val="24"/>
        </w:rPr>
        <w:t>（1）股权（或管理）关系证明材料：</w:t>
      </w:r>
    </w:p>
    <w:p>
      <w:pPr>
        <w:widowControl/>
        <w:snapToGrid w:val="0"/>
        <w:rPr>
          <w:rFonts w:hint="eastAsia" w:ascii="宋体" w:hAnsi="宋体" w:cs="宋体"/>
          <w:bCs/>
          <w:sz w:val="24"/>
        </w:rPr>
      </w:pPr>
      <w:r>
        <w:rPr>
          <w:rFonts w:hint="eastAsia" w:ascii="宋体" w:hAnsi="宋体" w:cs="宋体"/>
          <w:bCs/>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sz w:val="24"/>
        </w:rPr>
      </w:pPr>
    </w:p>
    <w:p>
      <w:pPr>
        <w:widowControl/>
        <w:snapToGrid w:val="0"/>
        <w:jc w:val="left"/>
        <w:rPr>
          <w:rFonts w:hint="eastAsia" w:ascii="宋体" w:hAnsi="宋体" w:cs="宋体"/>
          <w:b/>
          <w:sz w:val="24"/>
        </w:rPr>
      </w:pPr>
      <w:r>
        <w:rPr>
          <w:rFonts w:hint="eastAsia" w:ascii="宋体" w:hAnsi="宋体" w:cs="宋体"/>
          <w:b/>
          <w:sz w:val="24"/>
        </w:rPr>
        <w:t>（2）股权关系情况承诺函</w:t>
      </w:r>
    </w:p>
    <w:p>
      <w:pPr>
        <w:widowControl/>
        <w:snapToGrid w:val="0"/>
        <w:ind w:firstLine="482" w:firstLineChars="200"/>
        <w:jc w:val="center"/>
        <w:rPr>
          <w:rFonts w:hint="eastAsia" w:ascii="宋体" w:hAnsi="宋体" w:cs="宋体"/>
          <w:bCs/>
          <w:sz w:val="24"/>
        </w:rPr>
      </w:pPr>
      <w:r>
        <w:rPr>
          <w:rFonts w:hint="eastAsia" w:ascii="宋体" w:hAnsi="宋体" w:cs="宋体"/>
          <w:b/>
          <w:sz w:val="24"/>
        </w:rPr>
        <w:t>《股权关系情况承诺函》</w:t>
      </w:r>
    </w:p>
    <w:p>
      <w:pPr>
        <w:widowControl/>
        <w:snapToGrid w:val="0"/>
        <w:ind w:firstLine="480" w:firstLineChars="200"/>
        <w:rPr>
          <w:rFonts w:hint="eastAsia" w:ascii="宋体" w:hAnsi="宋体" w:cs="宋体"/>
          <w:bCs/>
          <w:sz w:val="24"/>
        </w:rPr>
      </w:pPr>
      <w:r>
        <w:rPr>
          <w:rFonts w:hint="eastAsia" w:ascii="宋体" w:hAnsi="宋体" w:cs="宋体"/>
          <w:bCs/>
          <w:sz w:val="24"/>
        </w:rPr>
        <w:t>我公司申请参加</w:t>
      </w:r>
      <w:r>
        <w:rPr>
          <w:rFonts w:hint="eastAsia" w:ascii="宋体" w:hAnsi="宋体" w:cs="宋体"/>
          <w:bCs/>
          <w:sz w:val="24"/>
          <w:u w:val="single"/>
        </w:rPr>
        <w:t xml:space="preserve">            </w:t>
      </w:r>
      <w:r>
        <w:rPr>
          <w:rFonts w:hint="eastAsia" w:ascii="宋体" w:hAnsi="宋体" w:cs="宋体"/>
          <w:bCs/>
          <w:sz w:val="24"/>
        </w:rPr>
        <w:t>项目（项目编号为</w:t>
      </w:r>
      <w:r>
        <w:rPr>
          <w:rFonts w:hint="eastAsia" w:ascii="宋体" w:hAnsi="宋体" w:cs="宋体"/>
          <w:bCs/>
          <w:sz w:val="24"/>
          <w:u w:val="single"/>
        </w:rPr>
        <w:t xml:space="preserve">         </w:t>
      </w:r>
      <w:r>
        <w:rPr>
          <w:rFonts w:hint="eastAsia" w:ascii="宋体" w:hAnsi="宋体" w:cs="宋体"/>
          <w:bCs/>
          <w:sz w:val="24"/>
        </w:rPr>
        <w:t>）的投标，并作出如下承诺：</w:t>
      </w:r>
    </w:p>
    <w:p>
      <w:pPr>
        <w:widowControl/>
        <w:snapToGrid w:val="0"/>
        <w:rPr>
          <w:rFonts w:hint="eastAsia" w:ascii="宋体" w:hAnsi="宋体" w:cs="宋体"/>
          <w:bCs/>
          <w:sz w:val="24"/>
        </w:rPr>
      </w:pPr>
      <w:r>
        <w:rPr>
          <w:rFonts w:hint="eastAsia" w:ascii="宋体" w:hAnsi="宋体" w:cs="宋体"/>
          <w:bCs/>
          <w:sz w:val="24"/>
        </w:rPr>
        <w:t>我公司承诺所填的股权关系情况真实、准确、完整。</w:t>
      </w:r>
    </w:p>
    <w:p>
      <w:pPr>
        <w:widowControl/>
        <w:snapToGrid w:val="0"/>
        <w:rPr>
          <w:rFonts w:hint="eastAsia" w:ascii="宋体" w:hAnsi="宋体" w:cs="宋体"/>
          <w:bCs/>
          <w:sz w:val="24"/>
        </w:rPr>
      </w:pPr>
      <w:r>
        <w:rPr>
          <w:rFonts w:hint="eastAsia" w:ascii="宋体" w:hAnsi="宋体" w:cs="宋体"/>
          <w:bCs/>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sz w:val="24"/>
        </w:rPr>
      </w:pPr>
      <w:r>
        <w:rPr>
          <w:rFonts w:hint="eastAsia" w:ascii="宋体" w:hAnsi="宋体" w:cs="宋体"/>
          <w:bCs/>
          <w:sz w:val="24"/>
        </w:rPr>
        <w:t>特此承诺！</w:t>
      </w:r>
    </w:p>
    <w:p>
      <w:pPr>
        <w:widowControl/>
        <w:snapToGrid w:val="0"/>
        <w:rPr>
          <w:rFonts w:hint="eastAsia" w:ascii="宋体" w:hAnsi="宋体" w:cs="宋体"/>
          <w:bCs/>
          <w:sz w:val="24"/>
        </w:rPr>
      </w:pPr>
    </w:p>
    <w:p>
      <w:pPr>
        <w:widowControl/>
        <w:snapToGrid w:val="0"/>
        <w:rPr>
          <w:rFonts w:hint="eastAsia" w:ascii="宋体" w:hAnsi="宋体" w:cs="宋体"/>
          <w:bCs/>
          <w:sz w:val="24"/>
        </w:rPr>
      </w:pPr>
      <w:r>
        <w:rPr>
          <w:rFonts w:hint="eastAsia" w:ascii="宋体" w:hAnsi="宋体" w:cs="宋体"/>
          <w:bCs/>
          <w:sz w:val="24"/>
        </w:rPr>
        <w:t xml:space="preserve">                                供应商名称（加盖公章</w:t>
      </w:r>
      <w:r>
        <w:rPr>
          <w:rFonts w:hint="eastAsia" w:ascii="宋体" w:hAnsi="宋体" w:cs="宋体"/>
          <w:bCs/>
          <w:sz w:val="24"/>
        </w:rPr>
        <w:tab/>
      </w:r>
      <w:r>
        <w:rPr>
          <w:rFonts w:hint="eastAsia" w:ascii="宋体" w:hAnsi="宋体" w:cs="宋体"/>
          <w:bCs/>
          <w:sz w:val="24"/>
        </w:rPr>
        <w:t xml:space="preserve">）： </w:t>
      </w:r>
    </w:p>
    <w:p>
      <w:pPr>
        <w:widowControl/>
        <w:snapToGrid w:val="0"/>
        <w:ind w:firstLine="3840" w:firstLineChars="1600"/>
        <w:rPr>
          <w:rFonts w:hint="eastAsia" w:ascii="宋体" w:hAnsi="宋体" w:cs="宋体"/>
          <w:bCs/>
          <w:sz w:val="24"/>
        </w:rPr>
      </w:pPr>
      <w:r>
        <w:rPr>
          <w:rFonts w:hint="eastAsia" w:ascii="宋体" w:hAnsi="宋体" w:cs="宋体"/>
          <w:bCs/>
          <w:sz w:val="24"/>
        </w:rPr>
        <w:t>日  期：       年    月   日</w:t>
      </w:r>
    </w:p>
    <w:p>
      <w:pPr>
        <w:widowControl/>
        <w:snapToGrid w:val="0"/>
        <w:rPr>
          <w:rFonts w:hint="eastAsia" w:ascii="宋体" w:hAnsi="宋体" w:cs="宋体"/>
          <w:bCs/>
          <w:sz w:val="24"/>
        </w:rPr>
      </w:pPr>
    </w:p>
    <w:p>
      <w:pPr>
        <w:tabs>
          <w:tab w:val="left" w:pos="640"/>
          <w:tab w:val="left" w:pos="840"/>
          <w:tab w:val="left" w:pos="1260"/>
          <w:tab w:val="left" w:pos="1418"/>
        </w:tabs>
        <w:spacing w:line="360" w:lineRule="auto"/>
        <w:rPr>
          <w:rFonts w:hint="eastAsia" w:ascii="宋体" w:hAnsi="宋体" w:cs="宋体"/>
          <w:bCs/>
          <w:szCs w:val="21"/>
        </w:rPr>
      </w:pPr>
      <w:r>
        <w:rPr>
          <w:rFonts w:hint="eastAsia" w:ascii="宋体" w:hAnsi="宋体" w:cs="宋体"/>
          <w:bCs/>
          <w:sz w:val="24"/>
        </w:rPr>
        <w:t>注：代理机构将于截标当日同步通过上述网站进行查询，查询结果与供应商填报信息不一致的，以代理机构于截标当日的查询结果为准</w:t>
      </w:r>
      <w:r>
        <w:rPr>
          <w:rFonts w:hint="eastAsia" w:ascii="宋体" w:hAnsi="宋体" w:cs="宋体"/>
          <w:bCs/>
          <w:szCs w:val="21"/>
        </w:rPr>
        <w:t>。</w:t>
      </w:r>
    </w:p>
    <w:p>
      <w:pPr>
        <w:pStyle w:val="6"/>
        <w:rPr>
          <w:rFonts w:hint="eastAsia" w:ascii="宋体" w:eastAsia="宋体" w:cs="宋体"/>
          <w:bCs/>
          <w:sz w:val="24"/>
          <w:szCs w:val="24"/>
        </w:rPr>
      </w:pPr>
    </w:p>
    <w:p>
      <w:pPr>
        <w:rPr>
          <w:rFonts w:hint="eastAsia" w:ascii="宋体" w:hAnsi="宋体" w:cs="宋体"/>
          <w:bCs/>
          <w:sz w:val="24"/>
        </w:rPr>
      </w:pPr>
      <w:r>
        <w:rPr>
          <w:rFonts w:hint="eastAsia" w:ascii="宋体" w:hAnsi="宋体" w:cs="宋体"/>
          <w:bCs/>
          <w:sz w:val="24"/>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pPr>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hint="eastAsia" w:ascii="宋体" w:hAnsi="宋体" w:cs="宋体"/>
          <w:b/>
          <w:bCs/>
          <w:sz w:val="24"/>
          <w:lang w:val="fr-CH"/>
        </w:rPr>
      </w:pPr>
      <w:r>
        <w:rPr>
          <w:rFonts w:hint="eastAsia" w:ascii="宋体" w:hAnsi="宋体" w:cs="宋体"/>
          <w:b/>
          <w:bCs/>
          <w:sz w:val="24"/>
          <w:lang w:val="fr-CH"/>
        </w:rPr>
        <w:t>用户需求响应表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052"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2106"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2106"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3"/>
        <w:spacing w:line="360" w:lineRule="auto"/>
        <w:rPr>
          <w:lang w:val="fr-CH"/>
        </w:rPr>
      </w:pP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实施方案（工作措施、工作方法、工作手段、工作流程）</w:t>
      </w:r>
      <w:r>
        <w:rPr>
          <w:rFonts w:hint="eastAsia" w:ascii="宋体" w:hAnsi="宋体" w:cs="宋体"/>
          <w:sz w:val="24"/>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项目重点难点分析、应对措施及相关的合理化建议</w:t>
      </w:r>
      <w:r>
        <w:rPr>
          <w:rFonts w:hint="eastAsia" w:ascii="宋体" w:hAnsi="宋体" w:cs="宋体"/>
          <w:sz w:val="24"/>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质量（完成时间、安全、环保）保障措施及方案</w:t>
      </w:r>
      <w:r>
        <w:rPr>
          <w:rFonts w:hint="eastAsia" w:ascii="宋体" w:hAnsi="宋体" w:cs="宋体"/>
          <w:sz w:val="24"/>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b/>
          <w:bCs/>
          <w:sz w:val="24"/>
        </w:rPr>
      </w:pPr>
      <w:r>
        <w:rPr>
          <w:rFonts w:hint="eastAsia" w:ascii="宋体" w:hAnsi="宋体" w:cs="宋体"/>
          <w:sz w:val="24"/>
          <w:lang w:val="sq-AL"/>
        </w:rPr>
        <w:t>项目完成（服务期满）后的服务承</w:t>
      </w:r>
      <w:r>
        <w:rPr>
          <w:rFonts w:hint="eastAsia" w:ascii="宋体" w:hAnsi="宋体" w:cs="宋体"/>
          <w:sz w:val="24"/>
          <w:lang w:val="en-US" w:eastAsia="zh-CN"/>
        </w:rPr>
        <w:t>诺</w:t>
      </w:r>
      <w:r>
        <w:rPr>
          <w:rFonts w:hint="eastAsia" w:ascii="宋体" w:hAnsi="宋体" w:cs="宋体"/>
          <w:sz w:val="24"/>
        </w:rPr>
        <w:t>；</w:t>
      </w:r>
    </w:p>
    <w:p>
      <w:pPr>
        <w:tabs>
          <w:tab w:val="left" w:pos="640"/>
          <w:tab w:val="left" w:pos="1260"/>
          <w:tab w:val="left" w:pos="1418"/>
        </w:tabs>
        <w:jc w:val="center"/>
        <w:rPr>
          <w:rFonts w:hint="eastAsia" w:ascii="宋体" w:hAnsi="宋体" w:cs="宋体"/>
          <w:b/>
          <w:bCs/>
          <w:sz w:val="24"/>
        </w:rPr>
      </w:pPr>
    </w:p>
    <w:p>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38"/>
    </w:p>
    <w:p>
      <w:pPr>
        <w:tabs>
          <w:tab w:val="left" w:pos="360"/>
        </w:tabs>
        <w:spacing w:line="300" w:lineRule="auto"/>
        <w:outlineLvl w:val="0"/>
        <w:rPr>
          <w:rFonts w:hint="eastAsia" w:ascii="宋体" w:hAnsi="宋体" w:cs="宋体"/>
          <w:b/>
          <w:bCs/>
          <w:sz w:val="24"/>
        </w:rPr>
      </w:pPr>
      <w:r>
        <w:rPr>
          <w:rFonts w:hint="eastAsia" w:ascii="宋体" w:hAnsi="宋体" w:cs="宋体"/>
          <w:sz w:val="24"/>
          <w:lang w:val="fr-CH"/>
        </w:rPr>
        <w:br w:type="page"/>
      </w:r>
      <w:bookmarkStart w:id="47" w:name="_Toc6251"/>
      <w:bookmarkStart w:id="48" w:name="_Toc742"/>
      <w:r>
        <w:rPr>
          <w:rFonts w:hint="eastAsia" w:ascii="宋体" w:hAnsi="宋体" w:cs="宋体"/>
          <w:b/>
          <w:bCs/>
          <w:sz w:val="24"/>
        </w:rPr>
        <w:t>附件：相关政策</w:t>
      </w:r>
      <w:bookmarkEnd w:id="47"/>
      <w:bookmarkEnd w:id="48"/>
    </w:p>
    <w:p>
      <w:pPr>
        <w:tabs>
          <w:tab w:val="left" w:pos="360"/>
        </w:tabs>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3"/>
        <w:tabs>
          <w:tab w:val="left" w:pos="562"/>
          <w:tab w:val="left" w:pos="3372"/>
          <w:tab w:val="left" w:pos="3653"/>
        </w:tabs>
        <w:rPr>
          <w:rFonts w:hint="eastAsia" w:ascii="宋体" w:hAnsi="宋体" w:cs="宋体"/>
        </w:rPr>
      </w:pPr>
    </w:p>
    <w:p>
      <w:pPr>
        <w:widowControl/>
        <w:shd w:val="clear" w:color="auto" w:fill="FFFFFF"/>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hint="eastAsia" w:ascii="宋体" w:hAnsi="宋体" w:cs="宋体"/>
          <w:kern w:val="0"/>
          <w:sz w:val="24"/>
        </w:rPr>
      </w:pPr>
    </w:p>
    <w:p>
      <w:pPr>
        <w:jc w:val="center"/>
        <w:rPr>
          <w:rFonts w:hint="eastAsia" w:ascii="宋体" w:hAnsi="宋体" w:cs="宋体"/>
          <w:b/>
          <w:bCs/>
          <w:sz w:val="24"/>
        </w:rPr>
      </w:pPr>
      <w:r>
        <w:rPr>
          <w:rFonts w:hint="eastAsia" w:ascii="宋体" w:hAnsi="宋体" w:cs="宋体"/>
          <w:b/>
          <w:bCs/>
          <w:sz w:val="24"/>
        </w:rPr>
        <w:t>政府采购促进中小企业发展管理办法</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（二）在工程采购项目中，工程由中小企业承建，即工 程施工单位为中小企业；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tabs>
          <w:tab w:val="left" w:pos="562"/>
          <w:tab w:val="left" w:pos="3372"/>
          <w:tab w:val="left" w:pos="3653"/>
        </w:tabs>
        <w:ind w:firstLine="480" w:firstLineChars="200"/>
        <w:rPr>
          <w:rFonts w:hint="eastAsia"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（四）框架协议采购项目；</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（一）将采购项目整体或者设置采购包专门面向中小企业采购；</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第十二条 采购项目涉及中小企业采购的，采购文件应当明确以下内容：</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（三）非预留份额的采购项目或者采购包，明确有关价格扣除比例或者价格分加分比例；</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（六）明确采购标的对应的中小企业划分标准所属行业；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（七）法律法规和省级以上人民政府财政部门规定的其他事项。</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3"/>
        <w:tabs>
          <w:tab w:val="left" w:pos="562"/>
          <w:tab w:val="left" w:pos="3372"/>
          <w:tab w:val="left" w:pos="3653"/>
        </w:tabs>
        <w:spacing w:before="5"/>
        <w:rPr>
          <w:rFonts w:hint="eastAsia" w:ascii="宋体" w:hAnsi="宋体" w:cs="宋体"/>
        </w:rPr>
      </w:pP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附：1.中小企业声明函</w:t>
      </w:r>
    </w:p>
    <w:p>
      <w:pPr>
        <w:pStyle w:val="3"/>
        <w:tabs>
          <w:tab w:val="left" w:pos="562"/>
          <w:tab w:val="left" w:pos="3372"/>
          <w:tab w:val="left" w:pos="3653"/>
        </w:tabs>
        <w:ind w:firstLine="960" w:firstLineChars="400"/>
        <w:rPr>
          <w:rFonts w:hint="eastAsia" w:ascii="宋体" w:hAnsi="宋体" w:cs="宋体"/>
          <w:kern w:val="0"/>
        </w:rPr>
      </w:pPr>
      <w:r>
        <w:rPr>
          <w:rFonts w:hint="eastAsia" w:ascii="宋体" w:hAnsi="宋体" w:cs="宋体"/>
          <w:kern w:val="0"/>
        </w:rPr>
        <w:t>2.面向中小企业预留项目执行情况公告</w:t>
      </w:r>
    </w:p>
    <w:p>
      <w:pPr>
        <w:pStyle w:val="3"/>
        <w:tabs>
          <w:tab w:val="left" w:pos="562"/>
          <w:tab w:val="left" w:pos="3372"/>
          <w:tab w:val="left" w:pos="3653"/>
        </w:tabs>
        <w:spacing w:before="30"/>
        <w:rPr>
          <w:rFonts w:hint="eastAsia"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hint="eastAsia" w:ascii="宋体" w:hAnsi="宋体" w:cs="宋体"/>
          <w:sz w:val="24"/>
        </w:rPr>
      </w:pPr>
      <w:r>
        <w:rPr>
          <w:rFonts w:hint="eastAsia" w:ascii="宋体" w:hAnsi="宋体" w:cs="宋体"/>
          <w:sz w:val="24"/>
        </w:rPr>
        <w:t>中小企业声明函（货物）</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hint="eastAsia" w:ascii="宋体" w:hAnsi="宋体" w:cs="宋体"/>
        </w:rPr>
      </w:pPr>
      <w:r>
        <w:rPr>
          <w:rFonts w:hint="eastAsia" w:ascii="宋体" w:hAnsi="宋体" w:cs="宋体"/>
          <w:spacing w:val="-2"/>
        </w:rPr>
        <w:t>企业名称（盖章）日期：</w:t>
      </w:r>
    </w:p>
    <w:p>
      <w:pPr>
        <w:pStyle w:val="3"/>
        <w:tabs>
          <w:tab w:val="left" w:pos="562"/>
          <w:tab w:val="left" w:pos="3372"/>
          <w:tab w:val="left" w:pos="3653"/>
        </w:tabs>
        <w:jc w:val="center"/>
        <w:rPr>
          <w:rFonts w:hint="eastAsia"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pPr>
        <w:pStyle w:val="3"/>
        <w:tabs>
          <w:tab w:val="left" w:pos="562"/>
          <w:tab w:val="left" w:pos="3372"/>
          <w:tab w:val="left" w:pos="3653"/>
        </w:tabs>
        <w:ind w:firstLine="472" w:firstLineChars="200"/>
        <w:rPr>
          <w:rFonts w:hint="eastAsia" w:ascii="宋体" w:hAnsi="宋体" w:cs="宋体"/>
          <w:spacing w:val="-2"/>
        </w:rPr>
      </w:pP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注意事项：</w:t>
      </w:r>
    </w:p>
    <w:p>
      <w:pPr>
        <w:pStyle w:val="3"/>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3"/>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3"/>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3"/>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3"/>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hint="eastAsia" w:ascii="宋体" w:hAnsi="宋体" w:cs="宋体"/>
          <w:spacing w:val="-2"/>
        </w:rPr>
      </w:pPr>
    </w:p>
    <w:p>
      <w:pPr>
        <w:pStyle w:val="3"/>
        <w:tabs>
          <w:tab w:val="left" w:pos="562"/>
          <w:tab w:val="left" w:pos="3372"/>
          <w:tab w:val="left" w:pos="3653"/>
        </w:tabs>
        <w:ind w:left="4200" w:leftChars="2000"/>
        <w:rPr>
          <w:rFonts w:hint="eastAsia" w:ascii="宋体" w:hAnsi="宋体" w:cs="宋体"/>
          <w:spacing w:val="-2"/>
        </w:rPr>
      </w:pPr>
      <w:r>
        <w:rPr>
          <w:rFonts w:hint="eastAsia" w:ascii="宋体" w:hAnsi="宋体" w:cs="宋体"/>
          <w:spacing w:val="-2"/>
        </w:rPr>
        <w:t>企业名称（盖章）日期：</w:t>
      </w:r>
    </w:p>
    <w:p>
      <w:pPr>
        <w:pStyle w:val="3"/>
        <w:tabs>
          <w:tab w:val="left" w:pos="562"/>
          <w:tab w:val="left" w:pos="3372"/>
          <w:tab w:val="left" w:pos="3653"/>
        </w:tabs>
        <w:spacing w:before="30"/>
        <w:rPr>
          <w:rFonts w:hint="eastAsia"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3"/>
        <w:tabs>
          <w:tab w:val="left" w:pos="562"/>
          <w:tab w:val="left" w:pos="3372"/>
          <w:tab w:val="left" w:pos="3653"/>
        </w:tabs>
        <w:ind w:firstLine="480" w:firstLineChars="200"/>
        <w:rPr>
          <w:rFonts w:hint="eastAsia"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3"/>
        <w:tabs>
          <w:tab w:val="left" w:pos="562"/>
          <w:tab w:val="left" w:pos="3372"/>
          <w:tab w:val="left" w:pos="3653"/>
        </w:tabs>
        <w:ind w:firstLine="480" w:firstLineChars="200"/>
        <w:rPr>
          <w:rFonts w:hint="eastAsia" w:ascii="宋体" w:hAnsi="宋体" w:cs="宋体"/>
        </w:rPr>
      </w:pPr>
      <w:r>
        <w:rPr>
          <w:rFonts w:hint="eastAsia" w:ascii="宋体" w:hAnsi="宋体" w:cs="宋体"/>
        </w:rPr>
        <w:t>本部门（单位）××年预留项目面向中小企业采购共计××万元，其中，面向小微企业采购××万元，占××%。</w:t>
      </w:r>
    </w:p>
    <w:p>
      <w:pPr>
        <w:pStyle w:val="3"/>
        <w:tabs>
          <w:tab w:val="left" w:pos="562"/>
          <w:tab w:val="left" w:pos="3372"/>
          <w:tab w:val="left" w:pos="3653"/>
        </w:tabs>
        <w:jc w:val="center"/>
        <w:rPr>
          <w:rFonts w:hint="eastAsia" w:ascii="宋体" w:hAnsi="宋体" w:cs="宋体"/>
          <w:b/>
          <w:bCs/>
        </w:rPr>
      </w:pPr>
      <w:r>
        <w:rPr>
          <w:rFonts w:hint="eastAsia" w:ascii="宋体" w:hAnsi="宋体" w:cs="宋体"/>
          <w:b/>
          <w:bCs/>
        </w:rPr>
        <w:t>面向中小企业预留项目明细</w:t>
      </w:r>
    </w:p>
    <w:tbl>
      <w:tblPr>
        <w:tblStyle w:val="22"/>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5"/>
              <w:jc w:val="center"/>
              <w:rPr>
                <w:rFonts w:hint="eastAsia"/>
                <w:b/>
                <w:sz w:val="24"/>
                <w:szCs w:val="24"/>
              </w:rPr>
            </w:pPr>
            <w:r>
              <w:rPr>
                <w:rFonts w:hint="eastAsia"/>
                <w:b/>
                <w:sz w:val="24"/>
                <w:szCs w:val="24"/>
              </w:rPr>
              <w:t>序号</w:t>
            </w:r>
          </w:p>
        </w:tc>
        <w:tc>
          <w:tcPr>
            <w:tcW w:w="1866" w:type="dxa"/>
            <w:vAlign w:val="center"/>
          </w:tcPr>
          <w:p>
            <w:pPr>
              <w:pStyle w:val="35"/>
              <w:jc w:val="center"/>
              <w:rPr>
                <w:rFonts w:hint="eastAsia"/>
                <w:b/>
                <w:sz w:val="24"/>
                <w:szCs w:val="24"/>
              </w:rPr>
            </w:pPr>
            <w:r>
              <w:rPr>
                <w:rFonts w:hint="eastAsia"/>
                <w:b/>
                <w:sz w:val="24"/>
                <w:szCs w:val="24"/>
              </w:rPr>
              <w:t>项目名称</w:t>
            </w:r>
          </w:p>
        </w:tc>
        <w:tc>
          <w:tcPr>
            <w:tcW w:w="2010" w:type="dxa"/>
            <w:vAlign w:val="center"/>
          </w:tcPr>
          <w:p>
            <w:pPr>
              <w:pStyle w:val="35"/>
              <w:jc w:val="center"/>
              <w:rPr>
                <w:rFonts w:hint="eastAsia"/>
                <w:b/>
                <w:sz w:val="24"/>
                <w:szCs w:val="24"/>
              </w:rPr>
            </w:pPr>
            <w:r>
              <w:rPr>
                <w:rFonts w:hint="eastAsia"/>
                <w:b/>
                <w:sz w:val="24"/>
                <w:szCs w:val="24"/>
              </w:rPr>
              <w:t>预留选项</w:t>
            </w:r>
          </w:p>
        </w:tc>
        <w:tc>
          <w:tcPr>
            <w:tcW w:w="2296" w:type="dxa"/>
            <w:vAlign w:val="center"/>
          </w:tcPr>
          <w:p>
            <w:pPr>
              <w:pStyle w:val="35"/>
              <w:jc w:val="center"/>
              <w:rPr>
                <w:rFonts w:hint="eastAsia"/>
                <w:b/>
                <w:sz w:val="24"/>
                <w:szCs w:val="24"/>
              </w:rPr>
            </w:pPr>
            <w:r>
              <w:rPr>
                <w:rFonts w:hint="eastAsia"/>
                <w:b/>
                <w:sz w:val="24"/>
                <w:szCs w:val="24"/>
              </w:rPr>
              <w:t>面向中小企业采购金额</w:t>
            </w:r>
          </w:p>
        </w:tc>
        <w:tc>
          <w:tcPr>
            <w:tcW w:w="1784" w:type="dxa"/>
            <w:vAlign w:val="center"/>
          </w:tcPr>
          <w:p>
            <w:pPr>
              <w:pStyle w:val="35"/>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5"/>
              <w:jc w:val="center"/>
              <w:rPr>
                <w:rFonts w:hint="eastAsia"/>
                <w:sz w:val="24"/>
                <w:szCs w:val="24"/>
              </w:rPr>
            </w:pPr>
          </w:p>
        </w:tc>
        <w:tc>
          <w:tcPr>
            <w:tcW w:w="1866" w:type="dxa"/>
            <w:tcBorders>
              <w:bottom w:val="nil"/>
            </w:tcBorders>
            <w:vAlign w:val="center"/>
          </w:tcPr>
          <w:p>
            <w:pPr>
              <w:pStyle w:val="35"/>
              <w:jc w:val="center"/>
              <w:rPr>
                <w:rFonts w:hint="eastAsia"/>
                <w:sz w:val="24"/>
                <w:szCs w:val="24"/>
              </w:rPr>
            </w:pPr>
          </w:p>
        </w:tc>
        <w:tc>
          <w:tcPr>
            <w:tcW w:w="2010" w:type="dxa"/>
            <w:tcBorders>
              <w:bottom w:val="nil"/>
            </w:tcBorders>
            <w:vAlign w:val="center"/>
          </w:tcPr>
          <w:p>
            <w:pPr>
              <w:pStyle w:val="35"/>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5"/>
              <w:jc w:val="center"/>
              <w:rPr>
                <w:rFonts w:hint="eastAsia"/>
                <w:sz w:val="24"/>
                <w:szCs w:val="24"/>
              </w:rPr>
            </w:pPr>
          </w:p>
        </w:tc>
        <w:tc>
          <w:tcPr>
            <w:tcW w:w="1784" w:type="dxa"/>
            <w:vMerge w:val="restart"/>
            <w:vAlign w:val="center"/>
          </w:tcPr>
          <w:p>
            <w:pPr>
              <w:pStyle w:val="35"/>
              <w:jc w:val="center"/>
              <w:rPr>
                <w:rFonts w:hint="eastAsia"/>
                <w:sz w:val="24"/>
                <w:szCs w:val="24"/>
              </w:rPr>
            </w:pPr>
          </w:p>
          <w:p>
            <w:pPr>
              <w:pStyle w:val="35"/>
              <w:jc w:val="center"/>
              <w:rPr>
                <w:rFonts w:hint="eastAsia"/>
                <w:sz w:val="24"/>
                <w:szCs w:val="24"/>
              </w:rPr>
            </w:pPr>
          </w:p>
          <w:p>
            <w:pPr>
              <w:pStyle w:val="35"/>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5"/>
              <w:jc w:val="center"/>
              <w:rPr>
                <w:rFonts w:hint="eastAsia"/>
                <w:sz w:val="24"/>
                <w:szCs w:val="24"/>
              </w:rPr>
            </w:pPr>
          </w:p>
        </w:tc>
        <w:tc>
          <w:tcPr>
            <w:tcW w:w="2010" w:type="dxa"/>
            <w:tcBorders>
              <w:top w:val="nil"/>
              <w:bottom w:val="nil"/>
            </w:tcBorders>
            <w:vAlign w:val="center"/>
          </w:tcPr>
          <w:p>
            <w:pPr>
              <w:pStyle w:val="35"/>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5"/>
              <w:jc w:val="center"/>
              <w:rPr>
                <w:rFonts w:hint="eastAsia"/>
                <w:sz w:val="24"/>
                <w:szCs w:val="24"/>
              </w:rPr>
            </w:pPr>
          </w:p>
        </w:tc>
        <w:tc>
          <w:tcPr>
            <w:tcW w:w="2010" w:type="dxa"/>
            <w:tcBorders>
              <w:top w:val="nil"/>
              <w:bottom w:val="nil"/>
            </w:tcBorders>
            <w:vAlign w:val="center"/>
          </w:tcPr>
          <w:p>
            <w:pPr>
              <w:pStyle w:val="35"/>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5"/>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5"/>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5"/>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5"/>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5"/>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5"/>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5"/>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5"/>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5"/>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5"/>
              <w:jc w:val="center"/>
              <w:rPr>
                <w:rFonts w:hint="eastAsia"/>
                <w:sz w:val="24"/>
                <w:szCs w:val="24"/>
              </w:rPr>
            </w:pPr>
          </w:p>
        </w:tc>
        <w:tc>
          <w:tcPr>
            <w:tcW w:w="2010" w:type="dxa"/>
            <w:tcBorders>
              <w:top w:val="nil"/>
              <w:bottom w:val="nil"/>
            </w:tcBorders>
            <w:vAlign w:val="center"/>
          </w:tcPr>
          <w:p>
            <w:pPr>
              <w:pStyle w:val="35"/>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5"/>
              <w:jc w:val="center"/>
              <w:rPr>
                <w:rFonts w:hint="eastAsia"/>
                <w:sz w:val="24"/>
                <w:szCs w:val="24"/>
              </w:rPr>
            </w:pPr>
          </w:p>
        </w:tc>
        <w:tc>
          <w:tcPr>
            <w:tcW w:w="2010" w:type="dxa"/>
            <w:tcBorders>
              <w:top w:val="nil"/>
              <w:bottom w:val="nil"/>
            </w:tcBorders>
            <w:vAlign w:val="center"/>
          </w:tcPr>
          <w:p>
            <w:pPr>
              <w:pStyle w:val="35"/>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5"/>
              <w:jc w:val="center"/>
              <w:rPr>
                <w:rFonts w:hint="eastAsia"/>
                <w:sz w:val="24"/>
                <w:szCs w:val="24"/>
              </w:rPr>
            </w:pPr>
          </w:p>
        </w:tc>
        <w:tc>
          <w:tcPr>
            <w:tcW w:w="2010" w:type="dxa"/>
            <w:tcBorders>
              <w:top w:val="nil"/>
              <w:bottom w:val="nil"/>
            </w:tcBorders>
            <w:vAlign w:val="center"/>
          </w:tcPr>
          <w:p>
            <w:pPr>
              <w:pStyle w:val="35"/>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5"/>
              <w:jc w:val="center"/>
              <w:rPr>
                <w:rFonts w:hint="eastAsia"/>
                <w:sz w:val="24"/>
                <w:szCs w:val="24"/>
              </w:rPr>
            </w:pPr>
          </w:p>
        </w:tc>
        <w:tc>
          <w:tcPr>
            <w:tcW w:w="2010" w:type="dxa"/>
            <w:tcBorders>
              <w:top w:val="nil"/>
            </w:tcBorders>
            <w:vAlign w:val="center"/>
          </w:tcPr>
          <w:p>
            <w:pPr>
              <w:pStyle w:val="35"/>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5"/>
              <w:jc w:val="center"/>
              <w:rPr>
                <w:rFonts w:hint="eastAsia"/>
                <w:sz w:val="24"/>
                <w:szCs w:val="24"/>
              </w:rPr>
            </w:pPr>
            <w:r>
              <w:rPr>
                <w:rFonts w:hint="eastAsia"/>
                <w:sz w:val="24"/>
                <w:szCs w:val="24"/>
              </w:rPr>
              <w:t>……</w:t>
            </w:r>
          </w:p>
        </w:tc>
        <w:tc>
          <w:tcPr>
            <w:tcW w:w="1866" w:type="dxa"/>
            <w:vAlign w:val="center"/>
          </w:tcPr>
          <w:p>
            <w:pPr>
              <w:pStyle w:val="35"/>
              <w:jc w:val="center"/>
              <w:rPr>
                <w:rFonts w:hint="eastAsia"/>
                <w:sz w:val="24"/>
                <w:szCs w:val="24"/>
              </w:rPr>
            </w:pPr>
            <w:r>
              <w:rPr>
                <w:rFonts w:hint="eastAsia"/>
                <w:sz w:val="24"/>
                <w:szCs w:val="24"/>
              </w:rPr>
              <w:t>……</w:t>
            </w:r>
          </w:p>
        </w:tc>
        <w:tc>
          <w:tcPr>
            <w:tcW w:w="2010" w:type="dxa"/>
            <w:vAlign w:val="center"/>
          </w:tcPr>
          <w:p>
            <w:pPr>
              <w:pStyle w:val="35"/>
              <w:jc w:val="center"/>
              <w:rPr>
                <w:rFonts w:hint="eastAsia"/>
                <w:sz w:val="24"/>
                <w:szCs w:val="24"/>
              </w:rPr>
            </w:pPr>
            <w:r>
              <w:rPr>
                <w:rFonts w:hint="eastAsia"/>
                <w:sz w:val="24"/>
                <w:szCs w:val="24"/>
              </w:rPr>
              <w:t>……</w:t>
            </w:r>
          </w:p>
        </w:tc>
        <w:tc>
          <w:tcPr>
            <w:tcW w:w="2296" w:type="dxa"/>
            <w:vAlign w:val="center"/>
          </w:tcPr>
          <w:p>
            <w:pPr>
              <w:pStyle w:val="35"/>
              <w:jc w:val="center"/>
              <w:rPr>
                <w:rFonts w:hint="eastAsia"/>
                <w:sz w:val="24"/>
                <w:szCs w:val="24"/>
              </w:rPr>
            </w:pPr>
            <w:r>
              <w:rPr>
                <w:rFonts w:hint="eastAsia"/>
                <w:sz w:val="24"/>
                <w:szCs w:val="24"/>
              </w:rPr>
              <w:t>……</w:t>
            </w:r>
          </w:p>
        </w:tc>
        <w:tc>
          <w:tcPr>
            <w:tcW w:w="1784" w:type="dxa"/>
            <w:vAlign w:val="center"/>
          </w:tcPr>
          <w:p>
            <w:pPr>
              <w:pStyle w:val="35"/>
              <w:jc w:val="center"/>
              <w:rPr>
                <w:rFonts w:hint="eastAsia"/>
                <w:sz w:val="24"/>
                <w:szCs w:val="24"/>
              </w:rPr>
            </w:pPr>
            <w:r>
              <w:rPr>
                <w:rFonts w:hint="eastAsia"/>
                <w:sz w:val="24"/>
                <w:szCs w:val="24"/>
              </w:rPr>
              <w:t>……</w:t>
            </w:r>
          </w:p>
        </w:tc>
      </w:tr>
    </w:tbl>
    <w:p>
      <w:pPr>
        <w:pStyle w:val="3"/>
        <w:tabs>
          <w:tab w:val="left" w:pos="562"/>
          <w:tab w:val="left" w:pos="3372"/>
          <w:tab w:val="left" w:pos="3653"/>
        </w:tabs>
        <w:spacing w:before="128"/>
        <w:ind w:left="4220" w:right="1843"/>
        <w:rPr>
          <w:rFonts w:hint="eastAsia" w:ascii="宋体" w:hAnsi="宋体" w:cs="宋体"/>
        </w:rPr>
      </w:pPr>
      <w:r>
        <w:rPr>
          <w:rFonts w:hint="eastAsia" w:ascii="宋体" w:hAnsi="宋体" w:cs="宋体"/>
        </w:rPr>
        <w:t>部门（单位）名称： 日期：</w:t>
      </w:r>
    </w:p>
    <w:p>
      <w:pPr>
        <w:pStyle w:val="3"/>
        <w:tabs>
          <w:tab w:val="left" w:pos="562"/>
          <w:tab w:val="left" w:pos="3372"/>
          <w:tab w:val="left" w:pos="3653"/>
        </w:tabs>
        <w:rPr>
          <w:rFonts w:hint="eastAsia" w:ascii="宋体" w:hAnsi="宋体" w:cs="宋体"/>
        </w:rPr>
      </w:pPr>
    </w:p>
    <w:p>
      <w:pPr>
        <w:pStyle w:val="20"/>
        <w:jc w:val="both"/>
        <w:outlineLvl w:val="9"/>
        <w:rPr>
          <w:rFonts w:hint="eastAsia" w:ascii="宋体" w:hAnsi="宋体" w:eastAsia="宋体" w:cs="宋体"/>
          <w:sz w:val="24"/>
          <w:szCs w:val="24"/>
        </w:rPr>
      </w:pPr>
    </w:p>
    <w:p>
      <w:pPr>
        <w:tabs>
          <w:tab w:val="left" w:pos="360"/>
        </w:tabs>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3"/>
        <w:tabs>
          <w:tab w:val="left" w:pos="562"/>
          <w:tab w:val="left" w:pos="3372"/>
          <w:tab w:val="left" w:pos="3653"/>
        </w:tabs>
        <w:rPr>
          <w:rFonts w:hint="eastAsia" w:ascii="宋体" w:hAnsi="宋体" w:cs="宋体"/>
        </w:rPr>
      </w:pPr>
    </w:p>
    <w:p>
      <w:pPr>
        <w:jc w:val="center"/>
        <w:rPr>
          <w:rFonts w:hint="eastAsia" w:ascii="宋体" w:hAnsi="宋体" w:cs="宋体"/>
          <w:b/>
          <w:bCs/>
          <w:sz w:val="24"/>
        </w:rPr>
      </w:pPr>
      <w:r>
        <w:rPr>
          <w:rFonts w:hint="eastAsia" w:ascii="宋体" w:hAnsi="宋体" w:cs="宋体"/>
          <w:b/>
          <w:bCs/>
          <w:sz w:val="24"/>
        </w:rPr>
        <w:t>关于印发中小企业划型标准规定的通知</w:t>
      </w:r>
    </w:p>
    <w:p>
      <w:pPr>
        <w:jc w:val="center"/>
        <w:rPr>
          <w:rFonts w:hint="eastAsia" w:ascii="宋体" w:hAnsi="宋体" w:cs="宋体"/>
          <w:sz w:val="24"/>
        </w:rPr>
      </w:pPr>
      <w:r>
        <w:rPr>
          <w:rFonts w:hint="eastAsia" w:ascii="宋体" w:hAnsi="宋体" w:cs="宋体"/>
          <w:sz w:val="24"/>
        </w:rPr>
        <w:t>工信部联企业〔2011〕300号</w:t>
      </w:r>
    </w:p>
    <w:p>
      <w:pPr>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sz w:val="24"/>
        </w:rPr>
      </w:pPr>
      <w:r>
        <w:rPr>
          <w:rFonts w:hint="eastAsia" w:ascii="宋体" w:hAnsi="宋体" w:cs="宋体"/>
          <w:sz w:val="24"/>
        </w:rPr>
        <w:t>工业和信息化部 国家统计局</w:t>
      </w:r>
    </w:p>
    <w:p>
      <w:pPr>
        <w:ind w:firstLine="480" w:firstLineChars="200"/>
        <w:jc w:val="right"/>
        <w:rPr>
          <w:rFonts w:hint="eastAsia" w:ascii="宋体" w:hAnsi="宋体" w:cs="宋体"/>
          <w:sz w:val="24"/>
        </w:rPr>
      </w:pPr>
      <w:r>
        <w:rPr>
          <w:rFonts w:hint="eastAsia" w:ascii="宋体" w:hAnsi="宋体" w:cs="宋体"/>
          <w:sz w:val="24"/>
        </w:rPr>
        <w:t>国家发展和改革委员会 财政部</w:t>
      </w:r>
    </w:p>
    <w:p>
      <w:pPr>
        <w:ind w:firstLine="480" w:firstLineChars="200"/>
        <w:jc w:val="right"/>
        <w:rPr>
          <w:rFonts w:hint="eastAsia" w:ascii="宋体" w:hAnsi="宋体" w:cs="宋体"/>
          <w:sz w:val="24"/>
        </w:rPr>
      </w:pPr>
      <w:r>
        <w:rPr>
          <w:rFonts w:hint="eastAsia" w:ascii="宋体" w:hAnsi="宋体" w:cs="宋体"/>
          <w:sz w:val="24"/>
        </w:rPr>
        <w:t>二○一一年六月十八日</w:t>
      </w: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jc w:val="center"/>
        <w:rPr>
          <w:rFonts w:hint="eastAsia" w:ascii="宋体" w:hAnsi="宋体" w:cs="宋体"/>
          <w:b/>
          <w:bCs/>
          <w:sz w:val="24"/>
        </w:rPr>
      </w:pPr>
      <w:r>
        <w:rPr>
          <w:rFonts w:hint="eastAsia" w:ascii="宋体" w:hAnsi="宋体" w:cs="宋体"/>
          <w:b/>
          <w:bCs/>
          <w:sz w:val="24"/>
        </w:rPr>
        <w:t xml:space="preserve">中小企业划型标准规定 </w:t>
      </w:r>
    </w:p>
    <w:p>
      <w:pPr>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sz w:val="24"/>
        </w:rPr>
      </w:pPr>
      <w:r>
        <w:rPr>
          <w:rFonts w:hint="eastAsia" w:ascii="宋体" w:hAnsi="宋体" w:cs="宋体"/>
          <w:sz w:val="24"/>
        </w:rPr>
        <w:t xml:space="preserve">四、各行业划型标准为： </w:t>
      </w:r>
    </w:p>
    <w:p>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20"/>
        <w:jc w:val="both"/>
        <w:outlineLvl w:val="9"/>
        <w:rPr>
          <w:rFonts w:hint="eastAsia" w:ascii="宋体" w:hAnsi="宋体" w:eastAsia="宋体" w:cs="宋体"/>
          <w:sz w:val="24"/>
          <w:szCs w:val="24"/>
        </w:rPr>
      </w:pPr>
    </w:p>
    <w:p>
      <w:pPr>
        <w:pStyle w:val="20"/>
        <w:jc w:val="both"/>
        <w:outlineLvl w:val="9"/>
        <w:rPr>
          <w:rFonts w:hint="eastAsia" w:ascii="宋体" w:hAnsi="宋体" w:eastAsia="宋体" w:cs="宋体"/>
          <w:sz w:val="24"/>
          <w:szCs w:val="24"/>
        </w:rPr>
      </w:pPr>
    </w:p>
    <w:p>
      <w:pPr>
        <w:tabs>
          <w:tab w:val="left" w:pos="360"/>
        </w:tabs>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hint="eastAsia" w:ascii="宋体" w:hAnsi="宋体" w:cs="宋体"/>
          <w:b/>
          <w:bCs/>
          <w:kern w:val="0"/>
          <w:sz w:val="24"/>
        </w:rPr>
      </w:pPr>
    </w:p>
    <w:p>
      <w:pPr>
        <w:widowControl/>
        <w:shd w:val="clear" w:color="auto" w:fill="FFFFFF"/>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jc w:val="left"/>
        <w:rPr>
          <w:rFonts w:hint="eastAsia" w:ascii="宋体" w:hAnsi="宋体" w:cs="宋体"/>
          <w:kern w:val="0"/>
          <w:sz w:val="24"/>
        </w:rPr>
      </w:pPr>
    </w:p>
    <w:p>
      <w:pPr>
        <w:widowControl/>
        <w:jc w:val="left"/>
        <w:rPr>
          <w:rFonts w:hint="eastAsia" w:ascii="宋体" w:hAnsi="宋体" w:cs="宋体"/>
          <w:kern w:val="0"/>
          <w:sz w:val="24"/>
        </w:rPr>
      </w:pPr>
      <w:r>
        <w:rPr>
          <w:rFonts w:hint="eastAsia" w:ascii="宋体" w:hAnsi="宋体" w:cs="宋体"/>
          <w:kern w:val="0"/>
          <w:sz w:val="24"/>
        </w:rPr>
        <w:t>附表：</w:t>
      </w:r>
    </w:p>
    <w:p>
      <w:pPr>
        <w:widowControl/>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计量</w:t>
            </w:r>
          </w:p>
          <w:p>
            <w:pPr>
              <w:widowControl/>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tabs>
          <w:tab w:val="left" w:pos="562"/>
          <w:tab w:val="left" w:pos="3372"/>
          <w:tab w:val="left" w:pos="3653"/>
        </w:tabs>
        <w:rPr>
          <w:rFonts w:hint="eastAsia" w:ascii="宋体" w:hAnsi="宋体" w:cs="宋体"/>
        </w:rPr>
      </w:pPr>
    </w:p>
    <w:p>
      <w:pPr>
        <w:pStyle w:val="20"/>
        <w:outlineLvl w:val="9"/>
        <w:rPr>
          <w:rFonts w:hint="eastAsia" w:ascii="宋体" w:hAnsi="宋体" w:eastAsia="宋体" w:cs="宋体"/>
          <w:sz w:val="24"/>
          <w:szCs w:val="24"/>
        </w:rPr>
      </w:pPr>
    </w:p>
    <w:p>
      <w:pPr>
        <w:tabs>
          <w:tab w:val="left" w:pos="360"/>
        </w:tabs>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hint="eastAsia" w:ascii="宋体" w:hAnsi="宋体" w:cs="宋体"/>
          <w:bCs/>
          <w:sz w:val="24"/>
        </w:rPr>
      </w:pPr>
    </w:p>
    <w:p>
      <w:pPr>
        <w:shd w:val="clear" w:color="auto" w:fill="FFFFFF"/>
        <w:rPr>
          <w:rFonts w:hint="eastAsia" w:ascii="宋体" w:hAnsi="宋体" w:cs="宋体"/>
          <w:bCs/>
          <w:sz w:val="24"/>
        </w:rPr>
      </w:pPr>
      <w:r>
        <w:rPr>
          <w:rFonts w:hint="eastAsia" w:ascii="宋体" w:hAnsi="宋体" w:cs="宋体"/>
          <w:bCs/>
          <w:sz w:val="24"/>
        </w:rPr>
        <w:t>关于促进残疾人就业政府采购政策的通知</w:t>
      </w:r>
    </w:p>
    <w:p>
      <w:pPr>
        <w:pStyle w:val="19"/>
        <w:shd w:val="clear" w:color="auto" w:fill="FFFFFF"/>
        <w:spacing w:before="0" w:beforeAutospacing="0" w:after="0" w:afterAutospacing="0"/>
        <w:jc w:val="center"/>
        <w:rPr>
          <w:rFonts w:hint="eastAsia"/>
        </w:rPr>
      </w:pPr>
      <w:r>
        <w:rPr>
          <w:rFonts w:hint="eastAsia"/>
        </w:rPr>
        <w:t>　　</w:t>
      </w:r>
      <w:bookmarkStart w:id="49" w:name="sendNo"/>
      <w:r>
        <w:rPr>
          <w:rFonts w:hint="eastAsia"/>
        </w:rPr>
        <w:t>财库〔</w:t>
      </w:r>
      <w:bookmarkEnd w:id="49"/>
      <w:r>
        <w:rPr>
          <w:rFonts w:hint="eastAsia"/>
        </w:rPr>
        <w:t>2017〕141号</w:t>
      </w:r>
    </w:p>
    <w:p>
      <w:pPr>
        <w:pStyle w:val="19"/>
        <w:shd w:val="clear" w:color="auto" w:fill="FFFFFF"/>
        <w:spacing w:before="0" w:beforeAutospacing="0" w:after="0" w:afterAutospacing="0"/>
        <w:ind w:firstLine="480" w:firstLineChars="200"/>
        <w:rPr>
          <w:rFonts w:hint="eastAsia"/>
        </w:rPr>
      </w:pPr>
      <w:bookmarkStart w:id="5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0"/>
      <w:r>
        <w:rPr>
          <w:rFonts w:hint="eastAsia"/>
        </w:rPr>
        <w:t>：</w:t>
      </w:r>
    </w:p>
    <w:p>
      <w:pPr>
        <w:pStyle w:val="19"/>
        <w:shd w:val="clear" w:color="auto" w:fill="FFFFFF"/>
        <w:spacing w:before="0" w:beforeAutospacing="0" w:after="0" w:afterAutospacing="0"/>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ind w:firstLine="480" w:firstLineChars="200"/>
        <w:rPr>
          <w:rFonts w:hint="eastAsia"/>
        </w:rPr>
      </w:pPr>
      <w:r>
        <w:rPr>
          <w:rFonts w:hint="eastAsia"/>
        </w:rPr>
        <w:t>一、享受政府采购支持政策的残疾人福利性单位应当同时满足以下条件：</w:t>
      </w:r>
    </w:p>
    <w:p>
      <w:pPr>
        <w:pStyle w:val="19"/>
        <w:shd w:val="clear" w:color="auto" w:fill="FFFFFF"/>
        <w:spacing w:before="0" w:beforeAutospacing="0" w:after="0" w:afterAutospacing="0"/>
        <w:ind w:firstLine="480" w:firstLineChars="200"/>
        <w:rPr>
          <w:rFonts w:hint="eastAsia"/>
        </w:rPr>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ind w:firstLine="480" w:firstLineChars="200"/>
        <w:rPr>
          <w:rFonts w:hint="eastAsia"/>
        </w:rPr>
      </w:pPr>
      <w:r>
        <w:rPr>
          <w:rFonts w:hint="eastAsia"/>
        </w:rPr>
        <w:t>（二）依法与安置的每位残疾人签订了一年以上（含一年）的劳动合同或服务协议；</w:t>
      </w:r>
    </w:p>
    <w:p>
      <w:pPr>
        <w:pStyle w:val="19"/>
        <w:shd w:val="clear" w:color="auto" w:fill="FFFFFF"/>
        <w:spacing w:before="0" w:beforeAutospacing="0" w:after="0" w:afterAutospacing="0"/>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560" w:lineRule="exact"/>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560" w:lineRule="exact"/>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560" w:lineRule="exact"/>
        <w:ind w:firstLine="480" w:firstLineChars="200"/>
        <w:rPr>
          <w:rFonts w:hint="eastAsia"/>
        </w:rPr>
      </w:pPr>
      <w:r>
        <w:rPr>
          <w:rFonts w:hint="eastAsia"/>
        </w:rPr>
        <w:t>七、本通知自2017年10月1日起执行。</w:t>
      </w:r>
    </w:p>
    <w:p>
      <w:pPr>
        <w:pStyle w:val="19"/>
        <w:shd w:val="clear" w:color="auto" w:fill="FFFFFF"/>
        <w:spacing w:before="0" w:beforeAutospacing="0" w:after="0" w:afterAutospacing="0" w:line="560" w:lineRule="exact"/>
        <w:ind w:firstLine="480" w:firstLineChars="200"/>
        <w:jc w:val="right"/>
        <w:rPr>
          <w:rFonts w:hint="eastAsia"/>
        </w:rPr>
      </w:pPr>
      <w:r>
        <w:rPr>
          <w:rFonts w:hint="eastAsia"/>
        </w:rPr>
        <w:t>财政部 民政部 中国残疾人联合会</w:t>
      </w:r>
    </w:p>
    <w:p>
      <w:pPr>
        <w:pStyle w:val="19"/>
        <w:shd w:val="clear" w:color="auto" w:fill="FFFFFF"/>
        <w:spacing w:before="0" w:beforeAutospacing="0" w:after="0" w:afterAutospacing="0" w:line="560" w:lineRule="exact"/>
        <w:ind w:firstLine="480" w:firstLineChars="200"/>
        <w:jc w:val="right"/>
        <w:rPr>
          <w:rFonts w:hint="eastAsia"/>
        </w:rPr>
      </w:pPr>
      <w:r>
        <w:rPr>
          <w:rFonts w:hint="eastAsia"/>
        </w:rPr>
        <w:t>2017年8月22日</w:t>
      </w:r>
    </w:p>
    <w:p>
      <w:pPr>
        <w:pStyle w:val="36"/>
        <w:shd w:val="clear" w:color="auto" w:fill="FFFFFF"/>
        <w:spacing w:before="0" w:beforeAutospacing="0" w:after="0" w:afterAutospacing="0" w:line="560" w:lineRule="exact"/>
        <w:jc w:val="both"/>
        <w:rPr>
          <w:rFonts w:hint="eastAsia"/>
        </w:rPr>
      </w:pPr>
      <w:r>
        <w:rPr>
          <w:rFonts w:hint="eastAsia"/>
        </w:rPr>
        <w:t>附件：</w:t>
      </w:r>
    </w:p>
    <w:p>
      <w:pPr>
        <w:pStyle w:val="36"/>
        <w:shd w:val="clear" w:color="auto" w:fill="FFFFFF"/>
        <w:spacing w:before="0" w:beforeAutospacing="0" w:after="0" w:afterAutospacing="0" w:line="560" w:lineRule="exact"/>
        <w:ind w:firstLine="482" w:firstLineChars="200"/>
        <w:jc w:val="center"/>
        <w:rPr>
          <w:rFonts w:hint="eastAsia"/>
        </w:rPr>
      </w:pPr>
      <w:r>
        <w:rPr>
          <w:rStyle w:val="37"/>
          <w:rFonts w:hint="eastAsia"/>
          <w:b/>
          <w:bCs/>
        </w:rPr>
        <w:t>残疾人福利性单位声明函</w:t>
      </w:r>
    </w:p>
    <w:p>
      <w:pPr>
        <w:pStyle w:val="36"/>
        <w:shd w:val="clear" w:color="auto" w:fill="FFFFFF"/>
        <w:spacing w:before="0" w:beforeAutospacing="0" w:after="0" w:afterAutospacing="0" w:line="560" w:lineRule="exact"/>
        <w:ind w:firstLine="480" w:firstLineChars="200"/>
        <w:jc w:val="both"/>
        <w:rPr>
          <w:rFonts w:hint="eastAsia"/>
        </w:rPr>
      </w:pPr>
      <w:r>
        <w:rPr>
          <w:rStyle w:val="37"/>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hd w:val="clear" w:color="auto" w:fill="FFFFFF"/>
        <w:spacing w:before="0" w:beforeAutospacing="0" w:after="0" w:afterAutospacing="0" w:line="560" w:lineRule="exact"/>
        <w:ind w:firstLine="480" w:firstLineChars="200"/>
        <w:jc w:val="both"/>
        <w:rPr>
          <w:rFonts w:hint="eastAsia"/>
        </w:rPr>
      </w:pPr>
      <w:r>
        <w:rPr>
          <w:rStyle w:val="37"/>
          <w:rFonts w:hint="eastAsia"/>
        </w:rPr>
        <w:t>本单位对上述声明的真实性负责。如有虚假，将依法承担相应责任。</w:t>
      </w:r>
    </w:p>
    <w:p>
      <w:pPr>
        <w:pStyle w:val="36"/>
        <w:shd w:val="clear" w:color="auto" w:fill="FFFFFF"/>
        <w:spacing w:before="0" w:beforeAutospacing="0" w:after="0" w:afterAutospacing="0" w:line="560" w:lineRule="exact"/>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6"/>
        <w:shd w:val="clear" w:color="auto" w:fill="FFFFFF"/>
        <w:spacing w:before="0" w:beforeAutospacing="0" w:after="0" w:afterAutospacing="0" w:line="560" w:lineRule="exact"/>
        <w:ind w:right="2100" w:rightChars="1000"/>
        <w:jc w:val="right"/>
        <w:rPr>
          <w:rFonts w:hint="eastAsia"/>
        </w:rPr>
      </w:pPr>
      <w:r>
        <w:rPr>
          <w:rStyle w:val="37"/>
          <w:rFonts w:hint="eastAsia"/>
        </w:rPr>
        <w:t>单位名称（盖章）：</w:t>
      </w:r>
    </w:p>
    <w:p>
      <w:pPr>
        <w:pStyle w:val="36"/>
        <w:shd w:val="clear" w:color="auto" w:fill="FFFFFF"/>
        <w:spacing w:before="0" w:beforeAutospacing="0" w:after="0" w:afterAutospacing="0" w:line="560" w:lineRule="exact"/>
        <w:ind w:right="2100" w:rightChars="1000"/>
        <w:jc w:val="right"/>
        <w:rPr>
          <w:rFonts w:hint="eastAsia"/>
          <w:lang w:val="fr-CH"/>
        </w:rPr>
      </w:pPr>
      <w:r>
        <w:rPr>
          <w:rStyle w:val="37"/>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pPr>
        <w:pStyle w:val="32"/>
        <w:rPr>
          <w:lang w:val="fr-CH"/>
        </w:rPr>
      </w:pPr>
    </w:p>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4</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1025"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6"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8"/>
  </w:num>
  <w:num w:numId="5">
    <w:abstractNumId w:val="9"/>
  </w:num>
  <w:num w:numId="6">
    <w:abstractNumId w:val="3"/>
  </w:num>
  <w:num w:numId="7">
    <w:abstractNumId w:val="5"/>
  </w:num>
  <w:num w:numId="8">
    <w:abstractNumId w:val="1"/>
  </w:num>
  <w:num w:numId="9">
    <w:abstractNumId w:val="0"/>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NDU5YTIwOGY1ZjI1M2IzYjcwMjk2NDE2M2E4MzEifQ=="/>
    <w:docVar w:name="KSO_WPS_MARK_KEY" w:val="6c52a594-fa24-4eda-8bdf-1df5baad3362"/>
  </w:docVars>
  <w:rsids>
    <w:rsidRoot w:val="6F152D9A"/>
    <w:rsid w:val="0005329C"/>
    <w:rsid w:val="000821F1"/>
    <w:rsid w:val="00092C6C"/>
    <w:rsid w:val="000B0DA2"/>
    <w:rsid w:val="000B5137"/>
    <w:rsid w:val="000C0C4C"/>
    <w:rsid w:val="000F380A"/>
    <w:rsid w:val="00103A7E"/>
    <w:rsid w:val="001109FF"/>
    <w:rsid w:val="0012654E"/>
    <w:rsid w:val="001472DF"/>
    <w:rsid w:val="00166416"/>
    <w:rsid w:val="0017265A"/>
    <w:rsid w:val="001D7E99"/>
    <w:rsid w:val="00252B2B"/>
    <w:rsid w:val="00260ED2"/>
    <w:rsid w:val="00291AA1"/>
    <w:rsid w:val="002C5225"/>
    <w:rsid w:val="002D20E1"/>
    <w:rsid w:val="00316A33"/>
    <w:rsid w:val="00365D8E"/>
    <w:rsid w:val="003B4F84"/>
    <w:rsid w:val="004001BE"/>
    <w:rsid w:val="00405312"/>
    <w:rsid w:val="00413B73"/>
    <w:rsid w:val="00451FF7"/>
    <w:rsid w:val="0046340A"/>
    <w:rsid w:val="00481A96"/>
    <w:rsid w:val="00487191"/>
    <w:rsid w:val="00497662"/>
    <w:rsid w:val="004A2822"/>
    <w:rsid w:val="004C489D"/>
    <w:rsid w:val="004E3A53"/>
    <w:rsid w:val="004E616D"/>
    <w:rsid w:val="00512ACB"/>
    <w:rsid w:val="005329F4"/>
    <w:rsid w:val="005527EC"/>
    <w:rsid w:val="005542C8"/>
    <w:rsid w:val="00555AF6"/>
    <w:rsid w:val="00591ED4"/>
    <w:rsid w:val="005F3B56"/>
    <w:rsid w:val="006171A5"/>
    <w:rsid w:val="00633930"/>
    <w:rsid w:val="006704ED"/>
    <w:rsid w:val="00680252"/>
    <w:rsid w:val="006A5E20"/>
    <w:rsid w:val="006D231C"/>
    <w:rsid w:val="006F16DB"/>
    <w:rsid w:val="00723C8C"/>
    <w:rsid w:val="0075399F"/>
    <w:rsid w:val="0075728A"/>
    <w:rsid w:val="00762169"/>
    <w:rsid w:val="007720C0"/>
    <w:rsid w:val="00776B31"/>
    <w:rsid w:val="00785F49"/>
    <w:rsid w:val="007B2EDC"/>
    <w:rsid w:val="007F6682"/>
    <w:rsid w:val="008018FC"/>
    <w:rsid w:val="00832935"/>
    <w:rsid w:val="00853E02"/>
    <w:rsid w:val="00870BFD"/>
    <w:rsid w:val="008C067D"/>
    <w:rsid w:val="008D17A3"/>
    <w:rsid w:val="0092712A"/>
    <w:rsid w:val="00966FC1"/>
    <w:rsid w:val="00977B14"/>
    <w:rsid w:val="009A0E4B"/>
    <w:rsid w:val="009A3F25"/>
    <w:rsid w:val="009C337D"/>
    <w:rsid w:val="009D033E"/>
    <w:rsid w:val="009D698E"/>
    <w:rsid w:val="009E70F5"/>
    <w:rsid w:val="009F1B47"/>
    <w:rsid w:val="00A02429"/>
    <w:rsid w:val="00A15324"/>
    <w:rsid w:val="00A464A1"/>
    <w:rsid w:val="00A73F84"/>
    <w:rsid w:val="00A81D22"/>
    <w:rsid w:val="00AB1342"/>
    <w:rsid w:val="00AC7D6D"/>
    <w:rsid w:val="00B10CB2"/>
    <w:rsid w:val="00B25694"/>
    <w:rsid w:val="00B70CC8"/>
    <w:rsid w:val="00B85168"/>
    <w:rsid w:val="00BA49DA"/>
    <w:rsid w:val="00BF1095"/>
    <w:rsid w:val="00C33B87"/>
    <w:rsid w:val="00C33D8C"/>
    <w:rsid w:val="00C45DA4"/>
    <w:rsid w:val="00C51523"/>
    <w:rsid w:val="00C62244"/>
    <w:rsid w:val="00C66AD9"/>
    <w:rsid w:val="00C821CA"/>
    <w:rsid w:val="00CC578A"/>
    <w:rsid w:val="00D2452C"/>
    <w:rsid w:val="00D32C74"/>
    <w:rsid w:val="00DD4088"/>
    <w:rsid w:val="00DE1F31"/>
    <w:rsid w:val="00DE5743"/>
    <w:rsid w:val="00DF15AF"/>
    <w:rsid w:val="00E02E27"/>
    <w:rsid w:val="00E05068"/>
    <w:rsid w:val="00E051FC"/>
    <w:rsid w:val="00E123E1"/>
    <w:rsid w:val="00E44547"/>
    <w:rsid w:val="00E4545A"/>
    <w:rsid w:val="00E725E4"/>
    <w:rsid w:val="00E77B72"/>
    <w:rsid w:val="00E930A0"/>
    <w:rsid w:val="00EA2586"/>
    <w:rsid w:val="00EA5062"/>
    <w:rsid w:val="00F05D2E"/>
    <w:rsid w:val="00F45291"/>
    <w:rsid w:val="00F80C5D"/>
    <w:rsid w:val="00F87FEB"/>
    <w:rsid w:val="00FC1BE0"/>
    <w:rsid w:val="00FC34DE"/>
    <w:rsid w:val="00FD7366"/>
    <w:rsid w:val="00FF0EDF"/>
    <w:rsid w:val="00FF1927"/>
    <w:rsid w:val="01064C9A"/>
    <w:rsid w:val="01070590"/>
    <w:rsid w:val="01211AD4"/>
    <w:rsid w:val="012B1DC1"/>
    <w:rsid w:val="013B4944"/>
    <w:rsid w:val="013F391C"/>
    <w:rsid w:val="0159301C"/>
    <w:rsid w:val="01623C7B"/>
    <w:rsid w:val="016E57A9"/>
    <w:rsid w:val="01751D9A"/>
    <w:rsid w:val="017E0CD4"/>
    <w:rsid w:val="018C0929"/>
    <w:rsid w:val="01AA3877"/>
    <w:rsid w:val="01B8192A"/>
    <w:rsid w:val="01CC1A40"/>
    <w:rsid w:val="01D80B44"/>
    <w:rsid w:val="01E27A17"/>
    <w:rsid w:val="02177F1F"/>
    <w:rsid w:val="021A1BEE"/>
    <w:rsid w:val="022618D2"/>
    <w:rsid w:val="02274EC8"/>
    <w:rsid w:val="023A5F04"/>
    <w:rsid w:val="02641C78"/>
    <w:rsid w:val="026E4740"/>
    <w:rsid w:val="02881E0B"/>
    <w:rsid w:val="02947948"/>
    <w:rsid w:val="02A92B78"/>
    <w:rsid w:val="02B05BAB"/>
    <w:rsid w:val="02CB7F49"/>
    <w:rsid w:val="02CC0781"/>
    <w:rsid w:val="031134B4"/>
    <w:rsid w:val="031C47EB"/>
    <w:rsid w:val="03223064"/>
    <w:rsid w:val="0341645D"/>
    <w:rsid w:val="03634626"/>
    <w:rsid w:val="0375603F"/>
    <w:rsid w:val="037A0E7B"/>
    <w:rsid w:val="0389238A"/>
    <w:rsid w:val="038A0222"/>
    <w:rsid w:val="03990047"/>
    <w:rsid w:val="03A2798C"/>
    <w:rsid w:val="03A82039"/>
    <w:rsid w:val="03AF4145"/>
    <w:rsid w:val="03BC1A16"/>
    <w:rsid w:val="03BE360A"/>
    <w:rsid w:val="03CA1FAF"/>
    <w:rsid w:val="03DD6186"/>
    <w:rsid w:val="03E219EE"/>
    <w:rsid w:val="03E272F9"/>
    <w:rsid w:val="042277B0"/>
    <w:rsid w:val="043343BF"/>
    <w:rsid w:val="044004C3"/>
    <w:rsid w:val="0442248D"/>
    <w:rsid w:val="04474B37"/>
    <w:rsid w:val="04637898"/>
    <w:rsid w:val="04A005CC"/>
    <w:rsid w:val="04A35474"/>
    <w:rsid w:val="04B50EB1"/>
    <w:rsid w:val="04C63705"/>
    <w:rsid w:val="04FF037E"/>
    <w:rsid w:val="05062697"/>
    <w:rsid w:val="053973EC"/>
    <w:rsid w:val="054269F8"/>
    <w:rsid w:val="05497666"/>
    <w:rsid w:val="054B35C3"/>
    <w:rsid w:val="057B3913"/>
    <w:rsid w:val="05804BC2"/>
    <w:rsid w:val="058E7EB0"/>
    <w:rsid w:val="0594022D"/>
    <w:rsid w:val="05A01219"/>
    <w:rsid w:val="05A21435"/>
    <w:rsid w:val="05C21607"/>
    <w:rsid w:val="05CD1439"/>
    <w:rsid w:val="05D74AE1"/>
    <w:rsid w:val="06015BED"/>
    <w:rsid w:val="060E0879"/>
    <w:rsid w:val="06336033"/>
    <w:rsid w:val="064A73D7"/>
    <w:rsid w:val="066E57BB"/>
    <w:rsid w:val="06820CAF"/>
    <w:rsid w:val="068368A8"/>
    <w:rsid w:val="068A098C"/>
    <w:rsid w:val="069D7C97"/>
    <w:rsid w:val="069E458D"/>
    <w:rsid w:val="06BC14B2"/>
    <w:rsid w:val="06BE2A9A"/>
    <w:rsid w:val="06C44D16"/>
    <w:rsid w:val="06CC4290"/>
    <w:rsid w:val="06D00EEB"/>
    <w:rsid w:val="06DE6F2D"/>
    <w:rsid w:val="06E23AB3"/>
    <w:rsid w:val="06E332E1"/>
    <w:rsid w:val="06F30D45"/>
    <w:rsid w:val="07046BC9"/>
    <w:rsid w:val="070956AA"/>
    <w:rsid w:val="070D6D82"/>
    <w:rsid w:val="07235607"/>
    <w:rsid w:val="072D6233"/>
    <w:rsid w:val="072F63A4"/>
    <w:rsid w:val="07521B5C"/>
    <w:rsid w:val="075B4D95"/>
    <w:rsid w:val="07756761"/>
    <w:rsid w:val="07787DB5"/>
    <w:rsid w:val="077961C6"/>
    <w:rsid w:val="0797489E"/>
    <w:rsid w:val="07977CB1"/>
    <w:rsid w:val="07994850"/>
    <w:rsid w:val="07AC659B"/>
    <w:rsid w:val="07B13BB2"/>
    <w:rsid w:val="07CA5F0B"/>
    <w:rsid w:val="07FD54F6"/>
    <w:rsid w:val="08045A7E"/>
    <w:rsid w:val="08071A24"/>
    <w:rsid w:val="080A32D3"/>
    <w:rsid w:val="08180F8C"/>
    <w:rsid w:val="08246E93"/>
    <w:rsid w:val="087602D4"/>
    <w:rsid w:val="087C541A"/>
    <w:rsid w:val="088300A5"/>
    <w:rsid w:val="088E3EF3"/>
    <w:rsid w:val="08950582"/>
    <w:rsid w:val="089C0455"/>
    <w:rsid w:val="08A66936"/>
    <w:rsid w:val="08CE609D"/>
    <w:rsid w:val="08D35DAA"/>
    <w:rsid w:val="08D86F1C"/>
    <w:rsid w:val="08DA1976"/>
    <w:rsid w:val="08E57A87"/>
    <w:rsid w:val="08E92ED7"/>
    <w:rsid w:val="08EB4289"/>
    <w:rsid w:val="08F43C68"/>
    <w:rsid w:val="090306E4"/>
    <w:rsid w:val="090A34E0"/>
    <w:rsid w:val="09151F1E"/>
    <w:rsid w:val="09300B06"/>
    <w:rsid w:val="093305F6"/>
    <w:rsid w:val="09373214"/>
    <w:rsid w:val="093822B1"/>
    <w:rsid w:val="09491BC8"/>
    <w:rsid w:val="094D42E8"/>
    <w:rsid w:val="09592469"/>
    <w:rsid w:val="096F55F7"/>
    <w:rsid w:val="09823515"/>
    <w:rsid w:val="09992B4F"/>
    <w:rsid w:val="09A42169"/>
    <w:rsid w:val="09AF2373"/>
    <w:rsid w:val="09C84ED3"/>
    <w:rsid w:val="09D1743A"/>
    <w:rsid w:val="09E81EE9"/>
    <w:rsid w:val="09F77876"/>
    <w:rsid w:val="0A2A768E"/>
    <w:rsid w:val="0A312D88"/>
    <w:rsid w:val="0A3B3C06"/>
    <w:rsid w:val="0A4B62C5"/>
    <w:rsid w:val="0A570F70"/>
    <w:rsid w:val="0A5E16A3"/>
    <w:rsid w:val="0A602146"/>
    <w:rsid w:val="0A6A44EC"/>
    <w:rsid w:val="0A7556E7"/>
    <w:rsid w:val="0A896457"/>
    <w:rsid w:val="0A8A693C"/>
    <w:rsid w:val="0A8E01DA"/>
    <w:rsid w:val="0A9E7CF1"/>
    <w:rsid w:val="0AA51080"/>
    <w:rsid w:val="0AA72E75"/>
    <w:rsid w:val="0AB80AEB"/>
    <w:rsid w:val="0AB85257"/>
    <w:rsid w:val="0ACB4F8A"/>
    <w:rsid w:val="0AD731CB"/>
    <w:rsid w:val="0AE20526"/>
    <w:rsid w:val="0AF81AF7"/>
    <w:rsid w:val="0B0C40B2"/>
    <w:rsid w:val="0B140280"/>
    <w:rsid w:val="0B260413"/>
    <w:rsid w:val="0B352F5D"/>
    <w:rsid w:val="0B445AA4"/>
    <w:rsid w:val="0B66170E"/>
    <w:rsid w:val="0B7B37EB"/>
    <w:rsid w:val="0B925AA8"/>
    <w:rsid w:val="0BAA59C1"/>
    <w:rsid w:val="0BAB25C9"/>
    <w:rsid w:val="0BB91DF1"/>
    <w:rsid w:val="0BCB4B16"/>
    <w:rsid w:val="0BCE4606"/>
    <w:rsid w:val="0BD240F7"/>
    <w:rsid w:val="0BD31C1D"/>
    <w:rsid w:val="0BE62205"/>
    <w:rsid w:val="0BEF0E64"/>
    <w:rsid w:val="0C032502"/>
    <w:rsid w:val="0C1224C8"/>
    <w:rsid w:val="0C216BD0"/>
    <w:rsid w:val="0C2B0B3A"/>
    <w:rsid w:val="0C41127C"/>
    <w:rsid w:val="0C45359F"/>
    <w:rsid w:val="0C471F98"/>
    <w:rsid w:val="0C70493E"/>
    <w:rsid w:val="0C822ACA"/>
    <w:rsid w:val="0CAB21EE"/>
    <w:rsid w:val="0CAC4948"/>
    <w:rsid w:val="0CB70393"/>
    <w:rsid w:val="0CBB0F79"/>
    <w:rsid w:val="0CBB2DDD"/>
    <w:rsid w:val="0CCA3020"/>
    <w:rsid w:val="0CEF0CD8"/>
    <w:rsid w:val="0CEF2A86"/>
    <w:rsid w:val="0CF81CD8"/>
    <w:rsid w:val="0CF956B3"/>
    <w:rsid w:val="0CFA3905"/>
    <w:rsid w:val="0D0429D6"/>
    <w:rsid w:val="0D046532"/>
    <w:rsid w:val="0D1954AC"/>
    <w:rsid w:val="0D255A21"/>
    <w:rsid w:val="0D2C7836"/>
    <w:rsid w:val="0D3F1CF7"/>
    <w:rsid w:val="0D4402D3"/>
    <w:rsid w:val="0D447276"/>
    <w:rsid w:val="0D5374B9"/>
    <w:rsid w:val="0D597A12"/>
    <w:rsid w:val="0D5C54A5"/>
    <w:rsid w:val="0D624FA8"/>
    <w:rsid w:val="0D6E75D5"/>
    <w:rsid w:val="0D7E4CC4"/>
    <w:rsid w:val="0D9B4B4C"/>
    <w:rsid w:val="0D9F3011"/>
    <w:rsid w:val="0DC34AA9"/>
    <w:rsid w:val="0DD46C7B"/>
    <w:rsid w:val="0DDA3736"/>
    <w:rsid w:val="0DDC6E3D"/>
    <w:rsid w:val="0DFD4239"/>
    <w:rsid w:val="0E1A34FE"/>
    <w:rsid w:val="0E303356"/>
    <w:rsid w:val="0E3C1CFB"/>
    <w:rsid w:val="0E430BBB"/>
    <w:rsid w:val="0E43308A"/>
    <w:rsid w:val="0E4B0853"/>
    <w:rsid w:val="0E59465B"/>
    <w:rsid w:val="0E745939"/>
    <w:rsid w:val="0E8D1EBF"/>
    <w:rsid w:val="0E9953A0"/>
    <w:rsid w:val="0EA53D44"/>
    <w:rsid w:val="0EA77ABC"/>
    <w:rsid w:val="0EB126E9"/>
    <w:rsid w:val="0EB86C56"/>
    <w:rsid w:val="0EC73CBB"/>
    <w:rsid w:val="0ECA37AB"/>
    <w:rsid w:val="0ED40186"/>
    <w:rsid w:val="0EDC703A"/>
    <w:rsid w:val="0EE83D6C"/>
    <w:rsid w:val="0EEB7B1C"/>
    <w:rsid w:val="0EEE550D"/>
    <w:rsid w:val="0EEF357F"/>
    <w:rsid w:val="0F040A6B"/>
    <w:rsid w:val="0F130CAE"/>
    <w:rsid w:val="0F18170A"/>
    <w:rsid w:val="0F1D3412"/>
    <w:rsid w:val="0F1D38DB"/>
    <w:rsid w:val="0F2A5DFB"/>
    <w:rsid w:val="0F6063AF"/>
    <w:rsid w:val="0F670FFA"/>
    <w:rsid w:val="0F7D081D"/>
    <w:rsid w:val="0F8E4CC1"/>
    <w:rsid w:val="0FAC4C5F"/>
    <w:rsid w:val="0FAF41DB"/>
    <w:rsid w:val="0FDF48E7"/>
    <w:rsid w:val="0FE254EF"/>
    <w:rsid w:val="0FE47C3D"/>
    <w:rsid w:val="0FE96BFE"/>
    <w:rsid w:val="0FF5D091"/>
    <w:rsid w:val="0FFD5E0B"/>
    <w:rsid w:val="0FFF254C"/>
    <w:rsid w:val="0FFF663B"/>
    <w:rsid w:val="10134CDE"/>
    <w:rsid w:val="102A7B27"/>
    <w:rsid w:val="102D2243"/>
    <w:rsid w:val="10365E2E"/>
    <w:rsid w:val="10394744"/>
    <w:rsid w:val="105856CC"/>
    <w:rsid w:val="105B405A"/>
    <w:rsid w:val="10634BF3"/>
    <w:rsid w:val="10645539"/>
    <w:rsid w:val="10686DD7"/>
    <w:rsid w:val="10792762"/>
    <w:rsid w:val="108B0D18"/>
    <w:rsid w:val="108B4148"/>
    <w:rsid w:val="108F6A5A"/>
    <w:rsid w:val="10B40C48"/>
    <w:rsid w:val="10E02E12"/>
    <w:rsid w:val="113F222E"/>
    <w:rsid w:val="115832F0"/>
    <w:rsid w:val="119473B4"/>
    <w:rsid w:val="11AD3203"/>
    <w:rsid w:val="11CB3AC2"/>
    <w:rsid w:val="11D31B21"/>
    <w:rsid w:val="11D42AA6"/>
    <w:rsid w:val="11E626AA"/>
    <w:rsid w:val="123376EC"/>
    <w:rsid w:val="12431D83"/>
    <w:rsid w:val="12437AFC"/>
    <w:rsid w:val="125B755A"/>
    <w:rsid w:val="126E28EB"/>
    <w:rsid w:val="12723F3D"/>
    <w:rsid w:val="127D2D24"/>
    <w:rsid w:val="12820336"/>
    <w:rsid w:val="12843C71"/>
    <w:rsid w:val="12A847C9"/>
    <w:rsid w:val="12A8795F"/>
    <w:rsid w:val="12D149BF"/>
    <w:rsid w:val="12D65CA8"/>
    <w:rsid w:val="12E91C37"/>
    <w:rsid w:val="130D18FD"/>
    <w:rsid w:val="130F4553"/>
    <w:rsid w:val="13160D6D"/>
    <w:rsid w:val="13167AEC"/>
    <w:rsid w:val="13242E4C"/>
    <w:rsid w:val="13426006"/>
    <w:rsid w:val="13433EE9"/>
    <w:rsid w:val="13623D17"/>
    <w:rsid w:val="137139FA"/>
    <w:rsid w:val="1373154F"/>
    <w:rsid w:val="137B2173"/>
    <w:rsid w:val="137FA8DD"/>
    <w:rsid w:val="138A5087"/>
    <w:rsid w:val="13903A45"/>
    <w:rsid w:val="13951544"/>
    <w:rsid w:val="139B74C4"/>
    <w:rsid w:val="13A1291C"/>
    <w:rsid w:val="13BE3B38"/>
    <w:rsid w:val="13CC58CF"/>
    <w:rsid w:val="13D76995"/>
    <w:rsid w:val="13D824C6"/>
    <w:rsid w:val="13DA0C71"/>
    <w:rsid w:val="13E90B4A"/>
    <w:rsid w:val="13F36B3B"/>
    <w:rsid w:val="13F57F6C"/>
    <w:rsid w:val="140E7C96"/>
    <w:rsid w:val="14136CAE"/>
    <w:rsid w:val="14432035"/>
    <w:rsid w:val="144E5BAF"/>
    <w:rsid w:val="145B077C"/>
    <w:rsid w:val="14691987"/>
    <w:rsid w:val="148F7029"/>
    <w:rsid w:val="149363ED"/>
    <w:rsid w:val="14943101"/>
    <w:rsid w:val="14BE346A"/>
    <w:rsid w:val="14C64A14"/>
    <w:rsid w:val="14D47131"/>
    <w:rsid w:val="14D47CF8"/>
    <w:rsid w:val="14D8301B"/>
    <w:rsid w:val="14D83808"/>
    <w:rsid w:val="14D94748"/>
    <w:rsid w:val="14FE7D0A"/>
    <w:rsid w:val="1528122B"/>
    <w:rsid w:val="15293404"/>
    <w:rsid w:val="152B6B2E"/>
    <w:rsid w:val="15334DC3"/>
    <w:rsid w:val="15347304"/>
    <w:rsid w:val="153B4ABB"/>
    <w:rsid w:val="153E27FD"/>
    <w:rsid w:val="15567B46"/>
    <w:rsid w:val="15610299"/>
    <w:rsid w:val="1569013A"/>
    <w:rsid w:val="156E7876"/>
    <w:rsid w:val="15897F1C"/>
    <w:rsid w:val="15951ECC"/>
    <w:rsid w:val="15A6116F"/>
    <w:rsid w:val="15B9101B"/>
    <w:rsid w:val="15BC1451"/>
    <w:rsid w:val="15C70A44"/>
    <w:rsid w:val="16027A14"/>
    <w:rsid w:val="161B669A"/>
    <w:rsid w:val="162A366D"/>
    <w:rsid w:val="16322361"/>
    <w:rsid w:val="1633052E"/>
    <w:rsid w:val="164B3423"/>
    <w:rsid w:val="165C2117"/>
    <w:rsid w:val="16817906"/>
    <w:rsid w:val="16B46578"/>
    <w:rsid w:val="16C52AF8"/>
    <w:rsid w:val="16CF7BB0"/>
    <w:rsid w:val="16D44183"/>
    <w:rsid w:val="16D8450A"/>
    <w:rsid w:val="16E2655F"/>
    <w:rsid w:val="16E45D72"/>
    <w:rsid w:val="16EC09F5"/>
    <w:rsid w:val="17033CFE"/>
    <w:rsid w:val="171F4A71"/>
    <w:rsid w:val="17361B83"/>
    <w:rsid w:val="173F4503"/>
    <w:rsid w:val="174A0D2D"/>
    <w:rsid w:val="176431CF"/>
    <w:rsid w:val="17797B1C"/>
    <w:rsid w:val="17847815"/>
    <w:rsid w:val="17A322AC"/>
    <w:rsid w:val="17A4103D"/>
    <w:rsid w:val="17D748E0"/>
    <w:rsid w:val="17FD60AF"/>
    <w:rsid w:val="180C2F5C"/>
    <w:rsid w:val="181A4BC0"/>
    <w:rsid w:val="18441ED8"/>
    <w:rsid w:val="184B770B"/>
    <w:rsid w:val="184C6FDF"/>
    <w:rsid w:val="18584184"/>
    <w:rsid w:val="18587FD8"/>
    <w:rsid w:val="18822A00"/>
    <w:rsid w:val="188449CB"/>
    <w:rsid w:val="189C0C23"/>
    <w:rsid w:val="18A44D0C"/>
    <w:rsid w:val="18B03A11"/>
    <w:rsid w:val="18C46036"/>
    <w:rsid w:val="18CB2B97"/>
    <w:rsid w:val="18DC15AC"/>
    <w:rsid w:val="18DF1533"/>
    <w:rsid w:val="18E667DE"/>
    <w:rsid w:val="18F356AC"/>
    <w:rsid w:val="19045FB6"/>
    <w:rsid w:val="190B1AB7"/>
    <w:rsid w:val="190E1E92"/>
    <w:rsid w:val="190E4E8A"/>
    <w:rsid w:val="191E2C88"/>
    <w:rsid w:val="191E47AE"/>
    <w:rsid w:val="19213D00"/>
    <w:rsid w:val="192E19B5"/>
    <w:rsid w:val="193E2DCB"/>
    <w:rsid w:val="194A5C14"/>
    <w:rsid w:val="194A79C2"/>
    <w:rsid w:val="194B4539"/>
    <w:rsid w:val="19524450"/>
    <w:rsid w:val="19677F5C"/>
    <w:rsid w:val="199FA76B"/>
    <w:rsid w:val="19A8293B"/>
    <w:rsid w:val="19AA0461"/>
    <w:rsid w:val="19C1510B"/>
    <w:rsid w:val="19D13C3F"/>
    <w:rsid w:val="19D35C0A"/>
    <w:rsid w:val="19D614F4"/>
    <w:rsid w:val="19D63004"/>
    <w:rsid w:val="19EC5329"/>
    <w:rsid w:val="19ED121F"/>
    <w:rsid w:val="19EF3664"/>
    <w:rsid w:val="1A0256C7"/>
    <w:rsid w:val="1A0F6EBC"/>
    <w:rsid w:val="1A352420"/>
    <w:rsid w:val="1A3C3E2A"/>
    <w:rsid w:val="1A3D12D5"/>
    <w:rsid w:val="1A680537"/>
    <w:rsid w:val="1A8A3DEE"/>
    <w:rsid w:val="1A8C374C"/>
    <w:rsid w:val="1A8E78C8"/>
    <w:rsid w:val="1A914D5C"/>
    <w:rsid w:val="1A9B5FFB"/>
    <w:rsid w:val="1AB71087"/>
    <w:rsid w:val="1AD31C39"/>
    <w:rsid w:val="1AD46734"/>
    <w:rsid w:val="1AD87250"/>
    <w:rsid w:val="1ADF413A"/>
    <w:rsid w:val="1AE259D8"/>
    <w:rsid w:val="1AE8103C"/>
    <w:rsid w:val="1AED4941"/>
    <w:rsid w:val="1AED6666"/>
    <w:rsid w:val="1AF44089"/>
    <w:rsid w:val="1B022F94"/>
    <w:rsid w:val="1B155DAE"/>
    <w:rsid w:val="1B1A5316"/>
    <w:rsid w:val="1B252495"/>
    <w:rsid w:val="1B3C1970"/>
    <w:rsid w:val="1B3E1A1E"/>
    <w:rsid w:val="1B417F7A"/>
    <w:rsid w:val="1B5508A0"/>
    <w:rsid w:val="1B783377"/>
    <w:rsid w:val="1B822B4E"/>
    <w:rsid w:val="1B9637E8"/>
    <w:rsid w:val="1BB235FD"/>
    <w:rsid w:val="1BB9498B"/>
    <w:rsid w:val="1BC947C4"/>
    <w:rsid w:val="1BD27C70"/>
    <w:rsid w:val="1BD96DDB"/>
    <w:rsid w:val="1C00080C"/>
    <w:rsid w:val="1C044B9F"/>
    <w:rsid w:val="1C0F6CA1"/>
    <w:rsid w:val="1C200EAE"/>
    <w:rsid w:val="1C2529FF"/>
    <w:rsid w:val="1C2F0C24"/>
    <w:rsid w:val="1C427076"/>
    <w:rsid w:val="1C522596"/>
    <w:rsid w:val="1C5648D0"/>
    <w:rsid w:val="1C5B5A42"/>
    <w:rsid w:val="1C5D752D"/>
    <w:rsid w:val="1C6F14EE"/>
    <w:rsid w:val="1C7D1E5D"/>
    <w:rsid w:val="1C9176B6"/>
    <w:rsid w:val="1C9211BE"/>
    <w:rsid w:val="1CA23671"/>
    <w:rsid w:val="1CA266AD"/>
    <w:rsid w:val="1CB43DBF"/>
    <w:rsid w:val="1CD31A7D"/>
    <w:rsid w:val="1CEF358F"/>
    <w:rsid w:val="1D174D30"/>
    <w:rsid w:val="1D274825"/>
    <w:rsid w:val="1D2B18B9"/>
    <w:rsid w:val="1D385F00"/>
    <w:rsid w:val="1D44297A"/>
    <w:rsid w:val="1D552DD9"/>
    <w:rsid w:val="1D61618C"/>
    <w:rsid w:val="1D734FE3"/>
    <w:rsid w:val="1D7414B2"/>
    <w:rsid w:val="1D7F1C04"/>
    <w:rsid w:val="1D815FCC"/>
    <w:rsid w:val="1D927B8A"/>
    <w:rsid w:val="1DA82F09"/>
    <w:rsid w:val="1DC42A0B"/>
    <w:rsid w:val="1DCA2E80"/>
    <w:rsid w:val="1DCD471E"/>
    <w:rsid w:val="1DCF4116"/>
    <w:rsid w:val="1E024641"/>
    <w:rsid w:val="1E340C41"/>
    <w:rsid w:val="1E403142"/>
    <w:rsid w:val="1E5821EC"/>
    <w:rsid w:val="1E6B7566"/>
    <w:rsid w:val="1E7159F1"/>
    <w:rsid w:val="1E781388"/>
    <w:rsid w:val="1E9516DF"/>
    <w:rsid w:val="1E9B2886"/>
    <w:rsid w:val="1EA400D2"/>
    <w:rsid w:val="1EA47B74"/>
    <w:rsid w:val="1EAE454F"/>
    <w:rsid w:val="1EB25197"/>
    <w:rsid w:val="1EB678A8"/>
    <w:rsid w:val="1EC51899"/>
    <w:rsid w:val="1ECC5479"/>
    <w:rsid w:val="1EEF7754"/>
    <w:rsid w:val="1F0625DD"/>
    <w:rsid w:val="1F27593E"/>
    <w:rsid w:val="1F3204AD"/>
    <w:rsid w:val="1F394761"/>
    <w:rsid w:val="1F457A27"/>
    <w:rsid w:val="1F6A2B6C"/>
    <w:rsid w:val="1F820A56"/>
    <w:rsid w:val="1F915279"/>
    <w:rsid w:val="1F9BB067"/>
    <w:rsid w:val="1FA31BDA"/>
    <w:rsid w:val="1FB04EF2"/>
    <w:rsid w:val="1FB47A5D"/>
    <w:rsid w:val="1FE16BA6"/>
    <w:rsid w:val="1FED10A7"/>
    <w:rsid w:val="1FF42436"/>
    <w:rsid w:val="1FFF00F8"/>
    <w:rsid w:val="20000011"/>
    <w:rsid w:val="200655C0"/>
    <w:rsid w:val="200E78F3"/>
    <w:rsid w:val="20126D60"/>
    <w:rsid w:val="201C198C"/>
    <w:rsid w:val="20266068"/>
    <w:rsid w:val="206A26F8"/>
    <w:rsid w:val="20717F2A"/>
    <w:rsid w:val="207417C9"/>
    <w:rsid w:val="208E288A"/>
    <w:rsid w:val="209C776B"/>
    <w:rsid w:val="20AA3CDC"/>
    <w:rsid w:val="20B23D8A"/>
    <w:rsid w:val="20B55B96"/>
    <w:rsid w:val="20D54766"/>
    <w:rsid w:val="20D626D7"/>
    <w:rsid w:val="20EB6469"/>
    <w:rsid w:val="20F86993"/>
    <w:rsid w:val="20FD531A"/>
    <w:rsid w:val="210B2B5C"/>
    <w:rsid w:val="210E7527"/>
    <w:rsid w:val="212F5A64"/>
    <w:rsid w:val="213760C2"/>
    <w:rsid w:val="213D22F1"/>
    <w:rsid w:val="213F6706"/>
    <w:rsid w:val="2165078C"/>
    <w:rsid w:val="217557F8"/>
    <w:rsid w:val="21825EFC"/>
    <w:rsid w:val="218872DA"/>
    <w:rsid w:val="218B0B78"/>
    <w:rsid w:val="21A63C04"/>
    <w:rsid w:val="21A734D8"/>
    <w:rsid w:val="21CC3D6A"/>
    <w:rsid w:val="21DC7625"/>
    <w:rsid w:val="21E85FCA"/>
    <w:rsid w:val="21F030D1"/>
    <w:rsid w:val="22053E70"/>
    <w:rsid w:val="221C2372"/>
    <w:rsid w:val="2221328A"/>
    <w:rsid w:val="22225AAB"/>
    <w:rsid w:val="22235254"/>
    <w:rsid w:val="22266AF2"/>
    <w:rsid w:val="2245341D"/>
    <w:rsid w:val="22462A8A"/>
    <w:rsid w:val="22543B20"/>
    <w:rsid w:val="22574EFE"/>
    <w:rsid w:val="22696FF6"/>
    <w:rsid w:val="228A1178"/>
    <w:rsid w:val="22993768"/>
    <w:rsid w:val="229B431D"/>
    <w:rsid w:val="229F2035"/>
    <w:rsid w:val="22B7264E"/>
    <w:rsid w:val="22C87E82"/>
    <w:rsid w:val="22D630A1"/>
    <w:rsid w:val="22D6459C"/>
    <w:rsid w:val="22E24891"/>
    <w:rsid w:val="22E83DA8"/>
    <w:rsid w:val="22EB1161"/>
    <w:rsid w:val="23006025"/>
    <w:rsid w:val="230102D9"/>
    <w:rsid w:val="2303418B"/>
    <w:rsid w:val="23052BAC"/>
    <w:rsid w:val="230B7162"/>
    <w:rsid w:val="230C1C0F"/>
    <w:rsid w:val="23205257"/>
    <w:rsid w:val="232748D0"/>
    <w:rsid w:val="232A4834"/>
    <w:rsid w:val="23345707"/>
    <w:rsid w:val="23445482"/>
    <w:rsid w:val="23466CF2"/>
    <w:rsid w:val="23531B69"/>
    <w:rsid w:val="23664217"/>
    <w:rsid w:val="236B0C61"/>
    <w:rsid w:val="238E2BA1"/>
    <w:rsid w:val="23915FA1"/>
    <w:rsid w:val="23A5639B"/>
    <w:rsid w:val="23A67435"/>
    <w:rsid w:val="23AE4FF1"/>
    <w:rsid w:val="23BC770E"/>
    <w:rsid w:val="23D04F68"/>
    <w:rsid w:val="23FE3883"/>
    <w:rsid w:val="240F5A90"/>
    <w:rsid w:val="24106476"/>
    <w:rsid w:val="24162D28"/>
    <w:rsid w:val="241E49B5"/>
    <w:rsid w:val="24213888"/>
    <w:rsid w:val="24293F8F"/>
    <w:rsid w:val="243674C1"/>
    <w:rsid w:val="24380CC8"/>
    <w:rsid w:val="243A63CC"/>
    <w:rsid w:val="24613CC4"/>
    <w:rsid w:val="2468568B"/>
    <w:rsid w:val="246C10ED"/>
    <w:rsid w:val="2487522B"/>
    <w:rsid w:val="24904744"/>
    <w:rsid w:val="249F3FA9"/>
    <w:rsid w:val="24C745BD"/>
    <w:rsid w:val="24C77BCA"/>
    <w:rsid w:val="24D83DB6"/>
    <w:rsid w:val="24DB2419"/>
    <w:rsid w:val="24DE5462"/>
    <w:rsid w:val="24F27517"/>
    <w:rsid w:val="2505221B"/>
    <w:rsid w:val="25181323"/>
    <w:rsid w:val="252606F3"/>
    <w:rsid w:val="252F6C1F"/>
    <w:rsid w:val="25333A00"/>
    <w:rsid w:val="2536704D"/>
    <w:rsid w:val="25561143"/>
    <w:rsid w:val="25781413"/>
    <w:rsid w:val="257A162F"/>
    <w:rsid w:val="257B7047"/>
    <w:rsid w:val="259A146C"/>
    <w:rsid w:val="259D2BCF"/>
    <w:rsid w:val="25B43E15"/>
    <w:rsid w:val="25B44CD6"/>
    <w:rsid w:val="25C71167"/>
    <w:rsid w:val="25D07231"/>
    <w:rsid w:val="25D53C59"/>
    <w:rsid w:val="25D6438C"/>
    <w:rsid w:val="25E75A1D"/>
    <w:rsid w:val="25FC2044"/>
    <w:rsid w:val="26025181"/>
    <w:rsid w:val="2606007E"/>
    <w:rsid w:val="260D4251"/>
    <w:rsid w:val="260F2A28"/>
    <w:rsid w:val="26176E7E"/>
    <w:rsid w:val="26201D24"/>
    <w:rsid w:val="262367AC"/>
    <w:rsid w:val="26322643"/>
    <w:rsid w:val="263631A5"/>
    <w:rsid w:val="2637667A"/>
    <w:rsid w:val="26655E3B"/>
    <w:rsid w:val="269F15EB"/>
    <w:rsid w:val="26A60202"/>
    <w:rsid w:val="26B35DCE"/>
    <w:rsid w:val="26BE19EF"/>
    <w:rsid w:val="26D7485F"/>
    <w:rsid w:val="26E24FAE"/>
    <w:rsid w:val="26F7280B"/>
    <w:rsid w:val="26F927DC"/>
    <w:rsid w:val="26FD42C6"/>
    <w:rsid w:val="27167136"/>
    <w:rsid w:val="27233DB5"/>
    <w:rsid w:val="27545EB0"/>
    <w:rsid w:val="2759312C"/>
    <w:rsid w:val="27734588"/>
    <w:rsid w:val="27781B9E"/>
    <w:rsid w:val="277F4CDB"/>
    <w:rsid w:val="2780146B"/>
    <w:rsid w:val="278231CA"/>
    <w:rsid w:val="2786250D"/>
    <w:rsid w:val="27877D97"/>
    <w:rsid w:val="27914CC8"/>
    <w:rsid w:val="27A42993"/>
    <w:rsid w:val="27AA2337"/>
    <w:rsid w:val="27AC7A9A"/>
    <w:rsid w:val="27CF7A19"/>
    <w:rsid w:val="27D019DA"/>
    <w:rsid w:val="27D52687"/>
    <w:rsid w:val="27D8088F"/>
    <w:rsid w:val="27DA0163"/>
    <w:rsid w:val="28131C63"/>
    <w:rsid w:val="28150C75"/>
    <w:rsid w:val="282F222C"/>
    <w:rsid w:val="2835183D"/>
    <w:rsid w:val="28626D75"/>
    <w:rsid w:val="286914E7"/>
    <w:rsid w:val="286F3F95"/>
    <w:rsid w:val="287B7F79"/>
    <w:rsid w:val="28844573"/>
    <w:rsid w:val="288F4298"/>
    <w:rsid w:val="28926C90"/>
    <w:rsid w:val="28A4024E"/>
    <w:rsid w:val="28BC481A"/>
    <w:rsid w:val="28C01A4F"/>
    <w:rsid w:val="28D92B11"/>
    <w:rsid w:val="28DB0637"/>
    <w:rsid w:val="28F434A6"/>
    <w:rsid w:val="28F57FB9"/>
    <w:rsid w:val="28FC23EA"/>
    <w:rsid w:val="28FC558A"/>
    <w:rsid w:val="29053273"/>
    <w:rsid w:val="290C61FF"/>
    <w:rsid w:val="291458F7"/>
    <w:rsid w:val="29290FE4"/>
    <w:rsid w:val="29376315"/>
    <w:rsid w:val="29462DE1"/>
    <w:rsid w:val="29567BFF"/>
    <w:rsid w:val="295B40C9"/>
    <w:rsid w:val="295F5B00"/>
    <w:rsid w:val="2973086F"/>
    <w:rsid w:val="29A273A6"/>
    <w:rsid w:val="29AA3515"/>
    <w:rsid w:val="29CD4DD1"/>
    <w:rsid w:val="29D86924"/>
    <w:rsid w:val="29ED6BDD"/>
    <w:rsid w:val="29EF3D8C"/>
    <w:rsid w:val="29F64E70"/>
    <w:rsid w:val="29FA073B"/>
    <w:rsid w:val="2A042187"/>
    <w:rsid w:val="2A1061A1"/>
    <w:rsid w:val="2A200E38"/>
    <w:rsid w:val="2A2E29E8"/>
    <w:rsid w:val="2A431C41"/>
    <w:rsid w:val="2A445BEE"/>
    <w:rsid w:val="2A5341FD"/>
    <w:rsid w:val="2A5A1A2F"/>
    <w:rsid w:val="2A602202"/>
    <w:rsid w:val="2A6237E6"/>
    <w:rsid w:val="2A750617"/>
    <w:rsid w:val="2A7FF3BA"/>
    <w:rsid w:val="2A85159C"/>
    <w:rsid w:val="2A927398"/>
    <w:rsid w:val="2A97058D"/>
    <w:rsid w:val="2AC670C5"/>
    <w:rsid w:val="2ADD42BC"/>
    <w:rsid w:val="2AFC6824"/>
    <w:rsid w:val="2B004385"/>
    <w:rsid w:val="2B033E75"/>
    <w:rsid w:val="2B0674C1"/>
    <w:rsid w:val="2B0F71F8"/>
    <w:rsid w:val="2B1716CE"/>
    <w:rsid w:val="2B193CEA"/>
    <w:rsid w:val="2B353322"/>
    <w:rsid w:val="2B37239C"/>
    <w:rsid w:val="2B3D7387"/>
    <w:rsid w:val="2B3E6C5B"/>
    <w:rsid w:val="2B5400F2"/>
    <w:rsid w:val="2B6A63EC"/>
    <w:rsid w:val="2BB9468C"/>
    <w:rsid w:val="2BC2163A"/>
    <w:rsid w:val="2BD73CFD"/>
    <w:rsid w:val="2BE96F05"/>
    <w:rsid w:val="2C155109"/>
    <w:rsid w:val="2C2422F5"/>
    <w:rsid w:val="2C2474F0"/>
    <w:rsid w:val="2C2A71DF"/>
    <w:rsid w:val="2C41042A"/>
    <w:rsid w:val="2C4B2E8B"/>
    <w:rsid w:val="2C6F14EE"/>
    <w:rsid w:val="2C87095E"/>
    <w:rsid w:val="2C892158"/>
    <w:rsid w:val="2C8F2CCE"/>
    <w:rsid w:val="2CA9389F"/>
    <w:rsid w:val="2CAC2658"/>
    <w:rsid w:val="2CC7543A"/>
    <w:rsid w:val="2CCF5161"/>
    <w:rsid w:val="2D016192"/>
    <w:rsid w:val="2D063AA5"/>
    <w:rsid w:val="2D546C0A"/>
    <w:rsid w:val="2D5B7F98"/>
    <w:rsid w:val="2D614E83"/>
    <w:rsid w:val="2D702E73"/>
    <w:rsid w:val="2D720E3E"/>
    <w:rsid w:val="2D8017AD"/>
    <w:rsid w:val="2D9E60D7"/>
    <w:rsid w:val="2DA84860"/>
    <w:rsid w:val="2DD077B2"/>
    <w:rsid w:val="2DD85145"/>
    <w:rsid w:val="2DDB3287"/>
    <w:rsid w:val="2DE932D2"/>
    <w:rsid w:val="2DEE662F"/>
    <w:rsid w:val="2DF301D1"/>
    <w:rsid w:val="2E121DD7"/>
    <w:rsid w:val="2E1E4B22"/>
    <w:rsid w:val="2E28112D"/>
    <w:rsid w:val="2E4E2D73"/>
    <w:rsid w:val="2E5D059D"/>
    <w:rsid w:val="2E615CCD"/>
    <w:rsid w:val="2E7A444E"/>
    <w:rsid w:val="2EA35514"/>
    <w:rsid w:val="2EC92CDF"/>
    <w:rsid w:val="2ED942C4"/>
    <w:rsid w:val="2EF04710"/>
    <w:rsid w:val="2EF97A69"/>
    <w:rsid w:val="2F193C67"/>
    <w:rsid w:val="2F3445FD"/>
    <w:rsid w:val="2F37730B"/>
    <w:rsid w:val="2F4A02C4"/>
    <w:rsid w:val="2F6F69AC"/>
    <w:rsid w:val="2F827A5E"/>
    <w:rsid w:val="2F845C8B"/>
    <w:rsid w:val="2F8A6913"/>
    <w:rsid w:val="2F8C268B"/>
    <w:rsid w:val="2F940B9B"/>
    <w:rsid w:val="2FAF6379"/>
    <w:rsid w:val="2FB35454"/>
    <w:rsid w:val="2FB83480"/>
    <w:rsid w:val="2FBE036A"/>
    <w:rsid w:val="2FBE65BC"/>
    <w:rsid w:val="2FC41ED7"/>
    <w:rsid w:val="2FCA4F61"/>
    <w:rsid w:val="2FD8767E"/>
    <w:rsid w:val="2FE364D9"/>
    <w:rsid w:val="2FF11F73"/>
    <w:rsid w:val="2FF6EBD2"/>
    <w:rsid w:val="300761B5"/>
    <w:rsid w:val="3024533F"/>
    <w:rsid w:val="302610FC"/>
    <w:rsid w:val="30392F7A"/>
    <w:rsid w:val="30403475"/>
    <w:rsid w:val="3043586B"/>
    <w:rsid w:val="304C5976"/>
    <w:rsid w:val="3058256D"/>
    <w:rsid w:val="305A38D0"/>
    <w:rsid w:val="306E2419"/>
    <w:rsid w:val="30705B08"/>
    <w:rsid w:val="30727D7D"/>
    <w:rsid w:val="30766E97"/>
    <w:rsid w:val="3078676B"/>
    <w:rsid w:val="309243C0"/>
    <w:rsid w:val="309D2676"/>
    <w:rsid w:val="30A47610"/>
    <w:rsid w:val="30B71989"/>
    <w:rsid w:val="30E3277E"/>
    <w:rsid w:val="30E33504"/>
    <w:rsid w:val="30F4201C"/>
    <w:rsid w:val="30F524B2"/>
    <w:rsid w:val="30F6790D"/>
    <w:rsid w:val="30FF4B22"/>
    <w:rsid w:val="310B6BF3"/>
    <w:rsid w:val="312B3FDA"/>
    <w:rsid w:val="31496359"/>
    <w:rsid w:val="31532D34"/>
    <w:rsid w:val="315C727B"/>
    <w:rsid w:val="316D0BA9"/>
    <w:rsid w:val="3183419F"/>
    <w:rsid w:val="31A627B9"/>
    <w:rsid w:val="31A62D61"/>
    <w:rsid w:val="31BB2DB3"/>
    <w:rsid w:val="31BC6B2B"/>
    <w:rsid w:val="31C837A9"/>
    <w:rsid w:val="31C9211B"/>
    <w:rsid w:val="31E513C0"/>
    <w:rsid w:val="31F60A7B"/>
    <w:rsid w:val="31F76721"/>
    <w:rsid w:val="32122CD4"/>
    <w:rsid w:val="32236C2E"/>
    <w:rsid w:val="32425E75"/>
    <w:rsid w:val="32496611"/>
    <w:rsid w:val="32542002"/>
    <w:rsid w:val="32607DFF"/>
    <w:rsid w:val="3281224F"/>
    <w:rsid w:val="3296737C"/>
    <w:rsid w:val="329B2BE5"/>
    <w:rsid w:val="329F256E"/>
    <w:rsid w:val="32B242CA"/>
    <w:rsid w:val="32BB5035"/>
    <w:rsid w:val="32C65EB4"/>
    <w:rsid w:val="32CB34CA"/>
    <w:rsid w:val="32EE540A"/>
    <w:rsid w:val="33154745"/>
    <w:rsid w:val="331704BD"/>
    <w:rsid w:val="331E0C55"/>
    <w:rsid w:val="3330332D"/>
    <w:rsid w:val="3332198B"/>
    <w:rsid w:val="333D443C"/>
    <w:rsid w:val="335A65FC"/>
    <w:rsid w:val="335A7075"/>
    <w:rsid w:val="335D7410"/>
    <w:rsid w:val="3364747B"/>
    <w:rsid w:val="336D3EA4"/>
    <w:rsid w:val="33835B53"/>
    <w:rsid w:val="3384586B"/>
    <w:rsid w:val="33870E59"/>
    <w:rsid w:val="338F1270"/>
    <w:rsid w:val="338F7128"/>
    <w:rsid w:val="339A10EE"/>
    <w:rsid w:val="33A14FBA"/>
    <w:rsid w:val="33A342A9"/>
    <w:rsid w:val="33AC6E70"/>
    <w:rsid w:val="33B66E47"/>
    <w:rsid w:val="33C64EB5"/>
    <w:rsid w:val="33CF0EE6"/>
    <w:rsid w:val="33D44600"/>
    <w:rsid w:val="33DC674E"/>
    <w:rsid w:val="33EC6C5A"/>
    <w:rsid w:val="33F22CD8"/>
    <w:rsid w:val="33F456B4"/>
    <w:rsid w:val="33FD2DDB"/>
    <w:rsid w:val="33FE78CF"/>
    <w:rsid w:val="340622E0"/>
    <w:rsid w:val="340A0AB2"/>
    <w:rsid w:val="341713FC"/>
    <w:rsid w:val="341B3FDD"/>
    <w:rsid w:val="342A00DC"/>
    <w:rsid w:val="34316ACF"/>
    <w:rsid w:val="343E641F"/>
    <w:rsid w:val="344468FB"/>
    <w:rsid w:val="345230EA"/>
    <w:rsid w:val="34526541"/>
    <w:rsid w:val="3464195E"/>
    <w:rsid w:val="347A51A8"/>
    <w:rsid w:val="34924BC9"/>
    <w:rsid w:val="34C74165"/>
    <w:rsid w:val="34DC051B"/>
    <w:rsid w:val="34E00D83"/>
    <w:rsid w:val="34E751DD"/>
    <w:rsid w:val="34E924AB"/>
    <w:rsid w:val="34EB5A9A"/>
    <w:rsid w:val="350360C6"/>
    <w:rsid w:val="35061B43"/>
    <w:rsid w:val="350E58AA"/>
    <w:rsid w:val="352F64C7"/>
    <w:rsid w:val="3532618A"/>
    <w:rsid w:val="353C7D87"/>
    <w:rsid w:val="35531555"/>
    <w:rsid w:val="35615866"/>
    <w:rsid w:val="359E269F"/>
    <w:rsid w:val="35A434F0"/>
    <w:rsid w:val="35A57EBA"/>
    <w:rsid w:val="35C012AA"/>
    <w:rsid w:val="35C249F4"/>
    <w:rsid w:val="35D17237"/>
    <w:rsid w:val="35ED4004"/>
    <w:rsid w:val="35EF74CF"/>
    <w:rsid w:val="35FC3D7E"/>
    <w:rsid w:val="36125819"/>
    <w:rsid w:val="36162CAE"/>
    <w:rsid w:val="362058DB"/>
    <w:rsid w:val="36246BDF"/>
    <w:rsid w:val="363D6170"/>
    <w:rsid w:val="36525CB0"/>
    <w:rsid w:val="36570DD6"/>
    <w:rsid w:val="36590DED"/>
    <w:rsid w:val="365C268B"/>
    <w:rsid w:val="3660286C"/>
    <w:rsid w:val="367125DA"/>
    <w:rsid w:val="36747AE9"/>
    <w:rsid w:val="369E5D8A"/>
    <w:rsid w:val="36AF6603"/>
    <w:rsid w:val="36B44275"/>
    <w:rsid w:val="36B4642D"/>
    <w:rsid w:val="36B91E63"/>
    <w:rsid w:val="36C4095C"/>
    <w:rsid w:val="36C546D4"/>
    <w:rsid w:val="36E97B08"/>
    <w:rsid w:val="371116C7"/>
    <w:rsid w:val="37180784"/>
    <w:rsid w:val="371F2EB5"/>
    <w:rsid w:val="37205FF6"/>
    <w:rsid w:val="372633C5"/>
    <w:rsid w:val="374E46CA"/>
    <w:rsid w:val="375B2943"/>
    <w:rsid w:val="37602480"/>
    <w:rsid w:val="37865C12"/>
    <w:rsid w:val="378A5007"/>
    <w:rsid w:val="379876F3"/>
    <w:rsid w:val="379A16BD"/>
    <w:rsid w:val="37C404E8"/>
    <w:rsid w:val="37C624B2"/>
    <w:rsid w:val="37CD1A92"/>
    <w:rsid w:val="37CE6DD4"/>
    <w:rsid w:val="37D44BCF"/>
    <w:rsid w:val="37DA7D0B"/>
    <w:rsid w:val="37E06FFE"/>
    <w:rsid w:val="37E25508"/>
    <w:rsid w:val="37E335F2"/>
    <w:rsid w:val="3808355A"/>
    <w:rsid w:val="38180BCB"/>
    <w:rsid w:val="3832770C"/>
    <w:rsid w:val="383907FA"/>
    <w:rsid w:val="384855BD"/>
    <w:rsid w:val="38624A88"/>
    <w:rsid w:val="38664899"/>
    <w:rsid w:val="386C12AB"/>
    <w:rsid w:val="38862042"/>
    <w:rsid w:val="388760E5"/>
    <w:rsid w:val="38A5089C"/>
    <w:rsid w:val="38A670D3"/>
    <w:rsid w:val="38AA5930"/>
    <w:rsid w:val="38AE714C"/>
    <w:rsid w:val="38B1729A"/>
    <w:rsid w:val="38B60778"/>
    <w:rsid w:val="38DC3EDC"/>
    <w:rsid w:val="38FA68B7"/>
    <w:rsid w:val="38FB98C4"/>
    <w:rsid w:val="38FF20BA"/>
    <w:rsid w:val="391B4A7F"/>
    <w:rsid w:val="39202096"/>
    <w:rsid w:val="39333B77"/>
    <w:rsid w:val="39394B01"/>
    <w:rsid w:val="394668D6"/>
    <w:rsid w:val="39477622"/>
    <w:rsid w:val="396E2E01"/>
    <w:rsid w:val="39777F08"/>
    <w:rsid w:val="39783C80"/>
    <w:rsid w:val="39874323"/>
    <w:rsid w:val="398923B8"/>
    <w:rsid w:val="39A64349"/>
    <w:rsid w:val="39B62C55"/>
    <w:rsid w:val="39C03AB0"/>
    <w:rsid w:val="39CD5D7A"/>
    <w:rsid w:val="39F50E2C"/>
    <w:rsid w:val="39F63BBE"/>
    <w:rsid w:val="3A0C4736"/>
    <w:rsid w:val="3A241712"/>
    <w:rsid w:val="3A2B17DB"/>
    <w:rsid w:val="3A2B2AA0"/>
    <w:rsid w:val="3A405A09"/>
    <w:rsid w:val="3A445910"/>
    <w:rsid w:val="3A47599D"/>
    <w:rsid w:val="3A6477A9"/>
    <w:rsid w:val="3A6A7A6C"/>
    <w:rsid w:val="3A950543"/>
    <w:rsid w:val="3A9E7716"/>
    <w:rsid w:val="3AA23F47"/>
    <w:rsid w:val="3AAA1C17"/>
    <w:rsid w:val="3AB365A7"/>
    <w:rsid w:val="3ABE2449"/>
    <w:rsid w:val="3ABE3914"/>
    <w:rsid w:val="3AC65AE3"/>
    <w:rsid w:val="3ADA56C8"/>
    <w:rsid w:val="3AE35129"/>
    <w:rsid w:val="3AFC09D7"/>
    <w:rsid w:val="3B00217F"/>
    <w:rsid w:val="3B082DE1"/>
    <w:rsid w:val="3B141C39"/>
    <w:rsid w:val="3B20012B"/>
    <w:rsid w:val="3B2A60E9"/>
    <w:rsid w:val="3B3360B0"/>
    <w:rsid w:val="3B506A3A"/>
    <w:rsid w:val="3B5B2B94"/>
    <w:rsid w:val="3B607364"/>
    <w:rsid w:val="3B7566C9"/>
    <w:rsid w:val="3B7641EF"/>
    <w:rsid w:val="3B7647E5"/>
    <w:rsid w:val="3B792ECF"/>
    <w:rsid w:val="3B827166"/>
    <w:rsid w:val="3B855DC3"/>
    <w:rsid w:val="3B9052B1"/>
    <w:rsid w:val="3B974891"/>
    <w:rsid w:val="3BA041DC"/>
    <w:rsid w:val="3BAE4FCF"/>
    <w:rsid w:val="3BB16FD5"/>
    <w:rsid w:val="3BC26246"/>
    <w:rsid w:val="3BD21711"/>
    <w:rsid w:val="3BD54987"/>
    <w:rsid w:val="3BD80F0D"/>
    <w:rsid w:val="3BDA2944"/>
    <w:rsid w:val="3BDB85C8"/>
    <w:rsid w:val="3BE467D1"/>
    <w:rsid w:val="3BE62300"/>
    <w:rsid w:val="3BE63123"/>
    <w:rsid w:val="3BFF8581"/>
    <w:rsid w:val="3C066FA7"/>
    <w:rsid w:val="3C1C38AF"/>
    <w:rsid w:val="3C1C4D96"/>
    <w:rsid w:val="3C215F09"/>
    <w:rsid w:val="3C31001D"/>
    <w:rsid w:val="3C4B11D8"/>
    <w:rsid w:val="3C65673D"/>
    <w:rsid w:val="3C6F5B2F"/>
    <w:rsid w:val="3C926E07"/>
    <w:rsid w:val="3CB26F41"/>
    <w:rsid w:val="3CC17DD4"/>
    <w:rsid w:val="3CDC2870"/>
    <w:rsid w:val="3CDD2778"/>
    <w:rsid w:val="3CDE204C"/>
    <w:rsid w:val="3CE277AA"/>
    <w:rsid w:val="3CE8111C"/>
    <w:rsid w:val="3CE9395A"/>
    <w:rsid w:val="3CEA279F"/>
    <w:rsid w:val="3CF46FDB"/>
    <w:rsid w:val="3D0440DD"/>
    <w:rsid w:val="3D1C4922"/>
    <w:rsid w:val="3D42082D"/>
    <w:rsid w:val="3D5E2F4D"/>
    <w:rsid w:val="3D5F3C0A"/>
    <w:rsid w:val="3D766728"/>
    <w:rsid w:val="3D7F382F"/>
    <w:rsid w:val="3D8F31BA"/>
    <w:rsid w:val="3D9B4E64"/>
    <w:rsid w:val="3D9F76BF"/>
    <w:rsid w:val="3DA70690"/>
    <w:rsid w:val="3DC54FBA"/>
    <w:rsid w:val="3DDB658B"/>
    <w:rsid w:val="3DDE6DA0"/>
    <w:rsid w:val="3DFA2303"/>
    <w:rsid w:val="3DFB09DB"/>
    <w:rsid w:val="3DFC2092"/>
    <w:rsid w:val="3E0E4BB3"/>
    <w:rsid w:val="3E12336F"/>
    <w:rsid w:val="3E3A13BC"/>
    <w:rsid w:val="3E3A37E1"/>
    <w:rsid w:val="3E4E5573"/>
    <w:rsid w:val="3E6432A1"/>
    <w:rsid w:val="3E6B3DB3"/>
    <w:rsid w:val="3E7419D3"/>
    <w:rsid w:val="3E8B0813"/>
    <w:rsid w:val="3E90273A"/>
    <w:rsid w:val="3EA352FB"/>
    <w:rsid w:val="3EA846BF"/>
    <w:rsid w:val="3EBE3EE3"/>
    <w:rsid w:val="3EC62D97"/>
    <w:rsid w:val="3ED835C0"/>
    <w:rsid w:val="3EE14075"/>
    <w:rsid w:val="3EE33949"/>
    <w:rsid w:val="3EE53B65"/>
    <w:rsid w:val="3EF97772"/>
    <w:rsid w:val="3EFF671D"/>
    <w:rsid w:val="3F012022"/>
    <w:rsid w:val="3F261A88"/>
    <w:rsid w:val="3F2773A5"/>
    <w:rsid w:val="3F2859A4"/>
    <w:rsid w:val="3F3C7CCF"/>
    <w:rsid w:val="3F5D194E"/>
    <w:rsid w:val="3F6031EC"/>
    <w:rsid w:val="3F6251B6"/>
    <w:rsid w:val="3F7722E4"/>
    <w:rsid w:val="3F8C5D8F"/>
    <w:rsid w:val="3FCC669D"/>
    <w:rsid w:val="3FD00372"/>
    <w:rsid w:val="3FD753EE"/>
    <w:rsid w:val="3FDD483D"/>
    <w:rsid w:val="3FE07E89"/>
    <w:rsid w:val="3FE69656"/>
    <w:rsid w:val="3FF77793"/>
    <w:rsid w:val="40095632"/>
    <w:rsid w:val="40142730"/>
    <w:rsid w:val="402F22B4"/>
    <w:rsid w:val="407D110C"/>
    <w:rsid w:val="40864ED4"/>
    <w:rsid w:val="408C3992"/>
    <w:rsid w:val="409475F1"/>
    <w:rsid w:val="40A05314"/>
    <w:rsid w:val="40B732E0"/>
    <w:rsid w:val="40CA79F1"/>
    <w:rsid w:val="40D62BEE"/>
    <w:rsid w:val="40F71321"/>
    <w:rsid w:val="41115F4D"/>
    <w:rsid w:val="411B561D"/>
    <w:rsid w:val="41200E85"/>
    <w:rsid w:val="41306BEE"/>
    <w:rsid w:val="41326E0A"/>
    <w:rsid w:val="41361B95"/>
    <w:rsid w:val="41501C4C"/>
    <w:rsid w:val="41526B64"/>
    <w:rsid w:val="415E19AD"/>
    <w:rsid w:val="418A27A2"/>
    <w:rsid w:val="418E2292"/>
    <w:rsid w:val="41933A6D"/>
    <w:rsid w:val="41970AE1"/>
    <w:rsid w:val="419E624E"/>
    <w:rsid w:val="41A35612"/>
    <w:rsid w:val="41AE7C60"/>
    <w:rsid w:val="41B02C98"/>
    <w:rsid w:val="41B617E9"/>
    <w:rsid w:val="41C27B89"/>
    <w:rsid w:val="41C37A62"/>
    <w:rsid w:val="41CC6917"/>
    <w:rsid w:val="41CE08E1"/>
    <w:rsid w:val="41E87DEF"/>
    <w:rsid w:val="41F1637D"/>
    <w:rsid w:val="420A5691"/>
    <w:rsid w:val="421C7965"/>
    <w:rsid w:val="422634B4"/>
    <w:rsid w:val="422F678A"/>
    <w:rsid w:val="424E4050"/>
    <w:rsid w:val="425410BD"/>
    <w:rsid w:val="42583355"/>
    <w:rsid w:val="426D63FE"/>
    <w:rsid w:val="42717F20"/>
    <w:rsid w:val="4276750D"/>
    <w:rsid w:val="428A37DB"/>
    <w:rsid w:val="428F6994"/>
    <w:rsid w:val="42957651"/>
    <w:rsid w:val="4297632A"/>
    <w:rsid w:val="429E4757"/>
    <w:rsid w:val="42A15FF5"/>
    <w:rsid w:val="42BE177B"/>
    <w:rsid w:val="42D31F27"/>
    <w:rsid w:val="42D55690"/>
    <w:rsid w:val="42DE3E28"/>
    <w:rsid w:val="42ED7CB9"/>
    <w:rsid w:val="43150B1F"/>
    <w:rsid w:val="431C567C"/>
    <w:rsid w:val="432D2509"/>
    <w:rsid w:val="433E55F2"/>
    <w:rsid w:val="434075BC"/>
    <w:rsid w:val="43421586"/>
    <w:rsid w:val="434370AD"/>
    <w:rsid w:val="436E5EB8"/>
    <w:rsid w:val="43900783"/>
    <w:rsid w:val="43905BEF"/>
    <w:rsid w:val="439971FA"/>
    <w:rsid w:val="43A833B4"/>
    <w:rsid w:val="43BD6E5F"/>
    <w:rsid w:val="43C53F65"/>
    <w:rsid w:val="43D16909"/>
    <w:rsid w:val="43F213F1"/>
    <w:rsid w:val="43F41FD8"/>
    <w:rsid w:val="43FA3B13"/>
    <w:rsid w:val="43FD1DA6"/>
    <w:rsid w:val="44006D4C"/>
    <w:rsid w:val="440209A9"/>
    <w:rsid w:val="44047C33"/>
    <w:rsid w:val="441B3B85"/>
    <w:rsid w:val="444B19C8"/>
    <w:rsid w:val="44774926"/>
    <w:rsid w:val="44A21CDC"/>
    <w:rsid w:val="44C85ABB"/>
    <w:rsid w:val="44D65FFB"/>
    <w:rsid w:val="45050ABD"/>
    <w:rsid w:val="45237196"/>
    <w:rsid w:val="45244CBC"/>
    <w:rsid w:val="452A5140"/>
    <w:rsid w:val="4535500F"/>
    <w:rsid w:val="454809AA"/>
    <w:rsid w:val="456974E5"/>
    <w:rsid w:val="457271D8"/>
    <w:rsid w:val="457F1EF2"/>
    <w:rsid w:val="45857508"/>
    <w:rsid w:val="458D79D2"/>
    <w:rsid w:val="45A82E9E"/>
    <w:rsid w:val="45AB64B6"/>
    <w:rsid w:val="45B1654F"/>
    <w:rsid w:val="45CE5353"/>
    <w:rsid w:val="45E10B02"/>
    <w:rsid w:val="45ED1E9D"/>
    <w:rsid w:val="45F66658"/>
    <w:rsid w:val="46115240"/>
    <w:rsid w:val="461A0599"/>
    <w:rsid w:val="461B60BF"/>
    <w:rsid w:val="462F5A40"/>
    <w:rsid w:val="46352889"/>
    <w:rsid w:val="46362EF9"/>
    <w:rsid w:val="4649255C"/>
    <w:rsid w:val="46510A2F"/>
    <w:rsid w:val="46765CB1"/>
    <w:rsid w:val="46841EBD"/>
    <w:rsid w:val="46843C64"/>
    <w:rsid w:val="46974134"/>
    <w:rsid w:val="469C746C"/>
    <w:rsid w:val="46A47E62"/>
    <w:rsid w:val="46B651A1"/>
    <w:rsid w:val="46CE2315"/>
    <w:rsid w:val="46ED34FB"/>
    <w:rsid w:val="46F245F5"/>
    <w:rsid w:val="46FA5AAD"/>
    <w:rsid w:val="47113E40"/>
    <w:rsid w:val="47120309"/>
    <w:rsid w:val="472015A9"/>
    <w:rsid w:val="47234906"/>
    <w:rsid w:val="47282841"/>
    <w:rsid w:val="472F49C9"/>
    <w:rsid w:val="47354BD4"/>
    <w:rsid w:val="474E4E09"/>
    <w:rsid w:val="47867568"/>
    <w:rsid w:val="479A733C"/>
    <w:rsid w:val="479D7445"/>
    <w:rsid w:val="47A00374"/>
    <w:rsid w:val="47A03E85"/>
    <w:rsid w:val="47A46DFB"/>
    <w:rsid w:val="47E2414E"/>
    <w:rsid w:val="47E57A30"/>
    <w:rsid w:val="48083249"/>
    <w:rsid w:val="480E7A25"/>
    <w:rsid w:val="48180B08"/>
    <w:rsid w:val="484E4529"/>
    <w:rsid w:val="48561F5C"/>
    <w:rsid w:val="485D6071"/>
    <w:rsid w:val="48614BFD"/>
    <w:rsid w:val="4861515F"/>
    <w:rsid w:val="487B4BF3"/>
    <w:rsid w:val="487F2935"/>
    <w:rsid w:val="48B1532F"/>
    <w:rsid w:val="48C26B67"/>
    <w:rsid w:val="48C81442"/>
    <w:rsid w:val="48DB38E3"/>
    <w:rsid w:val="48E85B1A"/>
    <w:rsid w:val="490168B9"/>
    <w:rsid w:val="49080B7C"/>
    <w:rsid w:val="49465201"/>
    <w:rsid w:val="49523359"/>
    <w:rsid w:val="49865F45"/>
    <w:rsid w:val="49997A26"/>
    <w:rsid w:val="49B51C43"/>
    <w:rsid w:val="49D36A87"/>
    <w:rsid w:val="49DE06CA"/>
    <w:rsid w:val="49E113CD"/>
    <w:rsid w:val="49E51A63"/>
    <w:rsid w:val="4A1B043B"/>
    <w:rsid w:val="4A1B40A3"/>
    <w:rsid w:val="4A301681"/>
    <w:rsid w:val="4A396B13"/>
    <w:rsid w:val="4A5E4C5F"/>
    <w:rsid w:val="4A945EF9"/>
    <w:rsid w:val="4A9560CC"/>
    <w:rsid w:val="4AA04DE4"/>
    <w:rsid w:val="4AB850BF"/>
    <w:rsid w:val="4ABD14F2"/>
    <w:rsid w:val="4AC408E4"/>
    <w:rsid w:val="4AC55FB4"/>
    <w:rsid w:val="4ACC3E2B"/>
    <w:rsid w:val="4AD66A58"/>
    <w:rsid w:val="4ADD3943"/>
    <w:rsid w:val="4AE253FD"/>
    <w:rsid w:val="4AE5022F"/>
    <w:rsid w:val="4AE7656F"/>
    <w:rsid w:val="4AF313B8"/>
    <w:rsid w:val="4AFE15E2"/>
    <w:rsid w:val="4B4B11F4"/>
    <w:rsid w:val="4B4E4840"/>
    <w:rsid w:val="4B582E12"/>
    <w:rsid w:val="4B713354"/>
    <w:rsid w:val="4B7778F3"/>
    <w:rsid w:val="4BA60AB1"/>
    <w:rsid w:val="4BA95231"/>
    <w:rsid w:val="4BAF1783"/>
    <w:rsid w:val="4BB2670B"/>
    <w:rsid w:val="4BB365B5"/>
    <w:rsid w:val="4BBA0128"/>
    <w:rsid w:val="4BC114B6"/>
    <w:rsid w:val="4BCB7C3F"/>
    <w:rsid w:val="4BE34546"/>
    <w:rsid w:val="4BE76F02"/>
    <w:rsid w:val="4BEB02E1"/>
    <w:rsid w:val="4BF03B4A"/>
    <w:rsid w:val="4BF37AF5"/>
    <w:rsid w:val="4BF94C2F"/>
    <w:rsid w:val="4BFA7575"/>
    <w:rsid w:val="4C166516"/>
    <w:rsid w:val="4C2630C7"/>
    <w:rsid w:val="4C40062D"/>
    <w:rsid w:val="4C545E87"/>
    <w:rsid w:val="4C562B54"/>
    <w:rsid w:val="4C812168"/>
    <w:rsid w:val="4C906769"/>
    <w:rsid w:val="4C9F7D96"/>
    <w:rsid w:val="4CA0243F"/>
    <w:rsid w:val="4CA666C3"/>
    <w:rsid w:val="4CC90623"/>
    <w:rsid w:val="4CE40E7D"/>
    <w:rsid w:val="4CE74F4D"/>
    <w:rsid w:val="4D1473C4"/>
    <w:rsid w:val="4D184059"/>
    <w:rsid w:val="4D1A2C2C"/>
    <w:rsid w:val="4D241CFD"/>
    <w:rsid w:val="4D2E2B7B"/>
    <w:rsid w:val="4D3B0DF4"/>
    <w:rsid w:val="4D654113"/>
    <w:rsid w:val="4D6A4DD7"/>
    <w:rsid w:val="4DB35167"/>
    <w:rsid w:val="4DB55F14"/>
    <w:rsid w:val="4DDF102B"/>
    <w:rsid w:val="4DE33966"/>
    <w:rsid w:val="4DE96C85"/>
    <w:rsid w:val="4DEB45C9"/>
    <w:rsid w:val="4DEB6377"/>
    <w:rsid w:val="4E077171"/>
    <w:rsid w:val="4E1844A1"/>
    <w:rsid w:val="4E376C89"/>
    <w:rsid w:val="4E4468A4"/>
    <w:rsid w:val="4E45017D"/>
    <w:rsid w:val="4E5B75AC"/>
    <w:rsid w:val="4E5E1120"/>
    <w:rsid w:val="4E6C51B8"/>
    <w:rsid w:val="4E6F1BD8"/>
    <w:rsid w:val="4E742810"/>
    <w:rsid w:val="4E9208C3"/>
    <w:rsid w:val="4EA84268"/>
    <w:rsid w:val="4EDA5678"/>
    <w:rsid w:val="4EDE6657"/>
    <w:rsid w:val="4EEA4880"/>
    <w:rsid w:val="4EF86F9D"/>
    <w:rsid w:val="4EFB6C2C"/>
    <w:rsid w:val="4EFE20DA"/>
    <w:rsid w:val="4F0A0AD1"/>
    <w:rsid w:val="4F0C76FA"/>
    <w:rsid w:val="4F212F50"/>
    <w:rsid w:val="4F226DC8"/>
    <w:rsid w:val="4F234ACC"/>
    <w:rsid w:val="4F2A7373"/>
    <w:rsid w:val="4F3E697A"/>
    <w:rsid w:val="4F493C9D"/>
    <w:rsid w:val="4F4B3358"/>
    <w:rsid w:val="4F5010E4"/>
    <w:rsid w:val="4F5A3129"/>
    <w:rsid w:val="4F5A37B4"/>
    <w:rsid w:val="4F5E53C7"/>
    <w:rsid w:val="4F6351A5"/>
    <w:rsid w:val="4F7C19ED"/>
    <w:rsid w:val="4F7EFCB4"/>
    <w:rsid w:val="4F7F44DF"/>
    <w:rsid w:val="4F854876"/>
    <w:rsid w:val="4FA71C3F"/>
    <w:rsid w:val="4FAE5BAC"/>
    <w:rsid w:val="4FB01626"/>
    <w:rsid w:val="4FB11910"/>
    <w:rsid w:val="4FB530E0"/>
    <w:rsid w:val="4FB84E80"/>
    <w:rsid w:val="4FB854F8"/>
    <w:rsid w:val="4FBA3692"/>
    <w:rsid w:val="4FC715BA"/>
    <w:rsid w:val="4FCE41A2"/>
    <w:rsid w:val="4FDC1ACA"/>
    <w:rsid w:val="4FE985C7"/>
    <w:rsid w:val="4FF77255"/>
    <w:rsid w:val="500264E9"/>
    <w:rsid w:val="500C08AC"/>
    <w:rsid w:val="500E56FC"/>
    <w:rsid w:val="501C6CBB"/>
    <w:rsid w:val="501F0559"/>
    <w:rsid w:val="502703FE"/>
    <w:rsid w:val="505C668F"/>
    <w:rsid w:val="50601F36"/>
    <w:rsid w:val="507329BF"/>
    <w:rsid w:val="5079410E"/>
    <w:rsid w:val="50964CC0"/>
    <w:rsid w:val="50A6410D"/>
    <w:rsid w:val="50AB003F"/>
    <w:rsid w:val="50B94D1D"/>
    <w:rsid w:val="50C96457"/>
    <w:rsid w:val="50D25854"/>
    <w:rsid w:val="50D852D8"/>
    <w:rsid w:val="50FE0AB7"/>
    <w:rsid w:val="51042AC7"/>
    <w:rsid w:val="51085492"/>
    <w:rsid w:val="511115E0"/>
    <w:rsid w:val="51207956"/>
    <w:rsid w:val="512978E2"/>
    <w:rsid w:val="51330760"/>
    <w:rsid w:val="51346847"/>
    <w:rsid w:val="51475669"/>
    <w:rsid w:val="515D758B"/>
    <w:rsid w:val="5161537B"/>
    <w:rsid w:val="51667B8C"/>
    <w:rsid w:val="516C5CF7"/>
    <w:rsid w:val="5181771E"/>
    <w:rsid w:val="51867B3E"/>
    <w:rsid w:val="519D3E2C"/>
    <w:rsid w:val="51A575B0"/>
    <w:rsid w:val="51AF6AC8"/>
    <w:rsid w:val="51C25FE7"/>
    <w:rsid w:val="51C969CF"/>
    <w:rsid w:val="51D33CF1"/>
    <w:rsid w:val="51E1510C"/>
    <w:rsid w:val="51E2385D"/>
    <w:rsid w:val="51FF4AE6"/>
    <w:rsid w:val="520469FA"/>
    <w:rsid w:val="520774F7"/>
    <w:rsid w:val="520C5A74"/>
    <w:rsid w:val="522E2CD6"/>
    <w:rsid w:val="523D3E11"/>
    <w:rsid w:val="524467E0"/>
    <w:rsid w:val="524C2569"/>
    <w:rsid w:val="525564B4"/>
    <w:rsid w:val="525941F7"/>
    <w:rsid w:val="525B75EF"/>
    <w:rsid w:val="525E35BB"/>
    <w:rsid w:val="526341EB"/>
    <w:rsid w:val="52666914"/>
    <w:rsid w:val="5267529D"/>
    <w:rsid w:val="527C0E43"/>
    <w:rsid w:val="52902DFA"/>
    <w:rsid w:val="52992845"/>
    <w:rsid w:val="52D725C8"/>
    <w:rsid w:val="52DB2E5E"/>
    <w:rsid w:val="52DC2732"/>
    <w:rsid w:val="52FE6B4C"/>
    <w:rsid w:val="530E3233"/>
    <w:rsid w:val="53135B7C"/>
    <w:rsid w:val="5314011E"/>
    <w:rsid w:val="53146A66"/>
    <w:rsid w:val="53360094"/>
    <w:rsid w:val="53494264"/>
    <w:rsid w:val="536B319B"/>
    <w:rsid w:val="53740BBC"/>
    <w:rsid w:val="53755060"/>
    <w:rsid w:val="53A1287F"/>
    <w:rsid w:val="53A133BA"/>
    <w:rsid w:val="53A6051D"/>
    <w:rsid w:val="53AF2171"/>
    <w:rsid w:val="53B37937"/>
    <w:rsid w:val="53B60FA0"/>
    <w:rsid w:val="53B92BD0"/>
    <w:rsid w:val="53C27B7A"/>
    <w:rsid w:val="53CA4C80"/>
    <w:rsid w:val="53CF48A7"/>
    <w:rsid w:val="53D27C3B"/>
    <w:rsid w:val="53E61F03"/>
    <w:rsid w:val="53E81EA7"/>
    <w:rsid w:val="5406215C"/>
    <w:rsid w:val="541B2D69"/>
    <w:rsid w:val="542E6C2A"/>
    <w:rsid w:val="543C5B7E"/>
    <w:rsid w:val="543F566E"/>
    <w:rsid w:val="54587510"/>
    <w:rsid w:val="545C3B2A"/>
    <w:rsid w:val="54706DE1"/>
    <w:rsid w:val="547215A0"/>
    <w:rsid w:val="549F610D"/>
    <w:rsid w:val="54AD677F"/>
    <w:rsid w:val="54BE47E5"/>
    <w:rsid w:val="54BE5581"/>
    <w:rsid w:val="54BF230B"/>
    <w:rsid w:val="54C3413E"/>
    <w:rsid w:val="54C343AC"/>
    <w:rsid w:val="54C87412"/>
    <w:rsid w:val="54E21E9E"/>
    <w:rsid w:val="54E3424B"/>
    <w:rsid w:val="54E67898"/>
    <w:rsid w:val="54FF7783"/>
    <w:rsid w:val="550B72FE"/>
    <w:rsid w:val="550C37A2"/>
    <w:rsid w:val="55124B31"/>
    <w:rsid w:val="55195ED1"/>
    <w:rsid w:val="55222FC6"/>
    <w:rsid w:val="55356592"/>
    <w:rsid w:val="55363B79"/>
    <w:rsid w:val="553757FC"/>
    <w:rsid w:val="553920BD"/>
    <w:rsid w:val="553B086B"/>
    <w:rsid w:val="55523CC0"/>
    <w:rsid w:val="55561A9C"/>
    <w:rsid w:val="556475D4"/>
    <w:rsid w:val="55674E7D"/>
    <w:rsid w:val="55690BF5"/>
    <w:rsid w:val="556E259A"/>
    <w:rsid w:val="55886BA1"/>
    <w:rsid w:val="55A0038E"/>
    <w:rsid w:val="55A13EAF"/>
    <w:rsid w:val="55A531BA"/>
    <w:rsid w:val="55E4027B"/>
    <w:rsid w:val="55F12998"/>
    <w:rsid w:val="55F85AD5"/>
    <w:rsid w:val="56113BC9"/>
    <w:rsid w:val="5621327D"/>
    <w:rsid w:val="562C774E"/>
    <w:rsid w:val="563F6BD5"/>
    <w:rsid w:val="565E627F"/>
    <w:rsid w:val="56621F53"/>
    <w:rsid w:val="566D4FAA"/>
    <w:rsid w:val="566D64C3"/>
    <w:rsid w:val="5677F382"/>
    <w:rsid w:val="567F6CCF"/>
    <w:rsid w:val="568052DE"/>
    <w:rsid w:val="56AF6ADB"/>
    <w:rsid w:val="56B2576C"/>
    <w:rsid w:val="56B9194B"/>
    <w:rsid w:val="56C33BDD"/>
    <w:rsid w:val="56DA167E"/>
    <w:rsid w:val="56E40324"/>
    <w:rsid w:val="56E878F7"/>
    <w:rsid w:val="56EE5088"/>
    <w:rsid w:val="56EFBCE7"/>
    <w:rsid w:val="56F79C35"/>
    <w:rsid w:val="570916A0"/>
    <w:rsid w:val="571006E4"/>
    <w:rsid w:val="57191362"/>
    <w:rsid w:val="57680A38"/>
    <w:rsid w:val="57785D2A"/>
    <w:rsid w:val="577949F3"/>
    <w:rsid w:val="57E502DB"/>
    <w:rsid w:val="58107F88"/>
    <w:rsid w:val="582C2D91"/>
    <w:rsid w:val="58373846"/>
    <w:rsid w:val="583D01CF"/>
    <w:rsid w:val="5844151B"/>
    <w:rsid w:val="58577D85"/>
    <w:rsid w:val="586475A6"/>
    <w:rsid w:val="586E207E"/>
    <w:rsid w:val="58810003"/>
    <w:rsid w:val="58831FCD"/>
    <w:rsid w:val="588A3598"/>
    <w:rsid w:val="58C63C68"/>
    <w:rsid w:val="58D50A2B"/>
    <w:rsid w:val="58EC0D07"/>
    <w:rsid w:val="58F702C5"/>
    <w:rsid w:val="591A2160"/>
    <w:rsid w:val="5923730C"/>
    <w:rsid w:val="593F501F"/>
    <w:rsid w:val="59401C6C"/>
    <w:rsid w:val="59487733"/>
    <w:rsid w:val="595C4F2E"/>
    <w:rsid w:val="596949DD"/>
    <w:rsid w:val="59707498"/>
    <w:rsid w:val="597F1167"/>
    <w:rsid w:val="59A22076"/>
    <w:rsid w:val="59C363FA"/>
    <w:rsid w:val="59C74AA1"/>
    <w:rsid w:val="59E25784"/>
    <w:rsid w:val="59F44805"/>
    <w:rsid w:val="5A0013FC"/>
    <w:rsid w:val="5A407A4A"/>
    <w:rsid w:val="5A4E09B0"/>
    <w:rsid w:val="5A56B2A4"/>
    <w:rsid w:val="5A6A4308"/>
    <w:rsid w:val="5A6D05DB"/>
    <w:rsid w:val="5A736072"/>
    <w:rsid w:val="5A7B0A82"/>
    <w:rsid w:val="5A876EE7"/>
    <w:rsid w:val="5A9C02D5"/>
    <w:rsid w:val="5AA13369"/>
    <w:rsid w:val="5AA44386"/>
    <w:rsid w:val="5AA867D1"/>
    <w:rsid w:val="5AA94A6E"/>
    <w:rsid w:val="5AB05047"/>
    <w:rsid w:val="5ABA15AB"/>
    <w:rsid w:val="5AE26D53"/>
    <w:rsid w:val="5AE723C6"/>
    <w:rsid w:val="5AEA041D"/>
    <w:rsid w:val="5AF01470"/>
    <w:rsid w:val="5AFE1DDF"/>
    <w:rsid w:val="5B0E2E46"/>
    <w:rsid w:val="5B116199"/>
    <w:rsid w:val="5B1834F7"/>
    <w:rsid w:val="5B48365A"/>
    <w:rsid w:val="5B9E45E6"/>
    <w:rsid w:val="5BD743DE"/>
    <w:rsid w:val="5BF07EDE"/>
    <w:rsid w:val="5BF60D08"/>
    <w:rsid w:val="5BFA07CE"/>
    <w:rsid w:val="5C0C052C"/>
    <w:rsid w:val="5C237623"/>
    <w:rsid w:val="5C2631A6"/>
    <w:rsid w:val="5C276FB7"/>
    <w:rsid w:val="5C4D4754"/>
    <w:rsid w:val="5C6F429B"/>
    <w:rsid w:val="5C700ABB"/>
    <w:rsid w:val="5C7F56DC"/>
    <w:rsid w:val="5C9C6B0B"/>
    <w:rsid w:val="5C9D3DA7"/>
    <w:rsid w:val="5CA249EC"/>
    <w:rsid w:val="5CA644DC"/>
    <w:rsid w:val="5CA7449A"/>
    <w:rsid w:val="5CAB1AF3"/>
    <w:rsid w:val="5CAD0193"/>
    <w:rsid w:val="5CBD35D4"/>
    <w:rsid w:val="5CC15BA8"/>
    <w:rsid w:val="5CC67A71"/>
    <w:rsid w:val="5CCE6402"/>
    <w:rsid w:val="5CDC6150"/>
    <w:rsid w:val="5CF408A0"/>
    <w:rsid w:val="5CFE308C"/>
    <w:rsid w:val="5D192F00"/>
    <w:rsid w:val="5D1A517B"/>
    <w:rsid w:val="5D1C479E"/>
    <w:rsid w:val="5D1D4002"/>
    <w:rsid w:val="5D2E6280"/>
    <w:rsid w:val="5D4476A0"/>
    <w:rsid w:val="5D46181B"/>
    <w:rsid w:val="5D605600"/>
    <w:rsid w:val="5D635829"/>
    <w:rsid w:val="5D6D3B91"/>
    <w:rsid w:val="5D7B1BAB"/>
    <w:rsid w:val="5D801B4F"/>
    <w:rsid w:val="5D927968"/>
    <w:rsid w:val="5D9E1657"/>
    <w:rsid w:val="5D9E3405"/>
    <w:rsid w:val="5DA1635C"/>
    <w:rsid w:val="5DA828DC"/>
    <w:rsid w:val="5DB55824"/>
    <w:rsid w:val="5DBB5D65"/>
    <w:rsid w:val="5DD35E0B"/>
    <w:rsid w:val="5DDB1F64"/>
    <w:rsid w:val="5DE80B25"/>
    <w:rsid w:val="5DEA6951"/>
    <w:rsid w:val="5DF4767B"/>
    <w:rsid w:val="5DFC408A"/>
    <w:rsid w:val="5E316028"/>
    <w:rsid w:val="5E343D6A"/>
    <w:rsid w:val="5E436EA1"/>
    <w:rsid w:val="5E6737F7"/>
    <w:rsid w:val="5E6E5F24"/>
    <w:rsid w:val="5EA06D09"/>
    <w:rsid w:val="5EA17B8B"/>
    <w:rsid w:val="5EAB4A36"/>
    <w:rsid w:val="5EB21B8E"/>
    <w:rsid w:val="5EB729BA"/>
    <w:rsid w:val="5EBC3661"/>
    <w:rsid w:val="5EE94B54"/>
    <w:rsid w:val="5EEC0726"/>
    <w:rsid w:val="5EF07C91"/>
    <w:rsid w:val="5EF26FBB"/>
    <w:rsid w:val="5EF84D97"/>
    <w:rsid w:val="5F132FF0"/>
    <w:rsid w:val="5F1A6ABC"/>
    <w:rsid w:val="5F1E0A25"/>
    <w:rsid w:val="5F1E3BFB"/>
    <w:rsid w:val="5F2A371A"/>
    <w:rsid w:val="5F335DCF"/>
    <w:rsid w:val="5F337B7D"/>
    <w:rsid w:val="5F5572F2"/>
    <w:rsid w:val="5F6103B4"/>
    <w:rsid w:val="5F6CADD2"/>
    <w:rsid w:val="5F702B80"/>
    <w:rsid w:val="5F710660"/>
    <w:rsid w:val="5F73189A"/>
    <w:rsid w:val="5F7C1524"/>
    <w:rsid w:val="5F7E69B2"/>
    <w:rsid w:val="5F8A1E93"/>
    <w:rsid w:val="5F97010C"/>
    <w:rsid w:val="5F9C3975"/>
    <w:rsid w:val="5FC33C0F"/>
    <w:rsid w:val="5FCC1544"/>
    <w:rsid w:val="5FD01870"/>
    <w:rsid w:val="5FE77D07"/>
    <w:rsid w:val="5FEFCB6A"/>
    <w:rsid w:val="5FF90DC7"/>
    <w:rsid w:val="5FF92B75"/>
    <w:rsid w:val="60152F95"/>
    <w:rsid w:val="60204437"/>
    <w:rsid w:val="60211516"/>
    <w:rsid w:val="60301004"/>
    <w:rsid w:val="60382473"/>
    <w:rsid w:val="603B26DF"/>
    <w:rsid w:val="603E67DA"/>
    <w:rsid w:val="604F1CFF"/>
    <w:rsid w:val="605204D7"/>
    <w:rsid w:val="605E3790"/>
    <w:rsid w:val="606F1089"/>
    <w:rsid w:val="607E751E"/>
    <w:rsid w:val="60820DBC"/>
    <w:rsid w:val="609B1E7E"/>
    <w:rsid w:val="60A725D1"/>
    <w:rsid w:val="60C81BC8"/>
    <w:rsid w:val="60CA5C5B"/>
    <w:rsid w:val="60E45417"/>
    <w:rsid w:val="60EA0710"/>
    <w:rsid w:val="61025A59"/>
    <w:rsid w:val="6110461A"/>
    <w:rsid w:val="61161505"/>
    <w:rsid w:val="613227E3"/>
    <w:rsid w:val="613335B3"/>
    <w:rsid w:val="61333E65"/>
    <w:rsid w:val="613876CD"/>
    <w:rsid w:val="614C5210"/>
    <w:rsid w:val="616404C2"/>
    <w:rsid w:val="616A6E87"/>
    <w:rsid w:val="618F2C11"/>
    <w:rsid w:val="61907509"/>
    <w:rsid w:val="61936344"/>
    <w:rsid w:val="6198016C"/>
    <w:rsid w:val="619E1C26"/>
    <w:rsid w:val="61AC071D"/>
    <w:rsid w:val="61B937B8"/>
    <w:rsid w:val="61C37893"/>
    <w:rsid w:val="61D34BF9"/>
    <w:rsid w:val="61D94A0C"/>
    <w:rsid w:val="61E1416E"/>
    <w:rsid w:val="61E45BE1"/>
    <w:rsid w:val="61EF2482"/>
    <w:rsid w:val="61F25ACE"/>
    <w:rsid w:val="61FC06FB"/>
    <w:rsid w:val="620E7C5F"/>
    <w:rsid w:val="62143C96"/>
    <w:rsid w:val="62161BC7"/>
    <w:rsid w:val="6220088D"/>
    <w:rsid w:val="623B56C7"/>
    <w:rsid w:val="62403290"/>
    <w:rsid w:val="624D667E"/>
    <w:rsid w:val="624F2F20"/>
    <w:rsid w:val="625E4FE9"/>
    <w:rsid w:val="626D4A1D"/>
    <w:rsid w:val="627E3805"/>
    <w:rsid w:val="628C4608"/>
    <w:rsid w:val="62944DD7"/>
    <w:rsid w:val="62966DA1"/>
    <w:rsid w:val="62C162DF"/>
    <w:rsid w:val="62C31218"/>
    <w:rsid w:val="62C52604"/>
    <w:rsid w:val="62E74267"/>
    <w:rsid w:val="630A5099"/>
    <w:rsid w:val="6337271C"/>
    <w:rsid w:val="633B16F7"/>
    <w:rsid w:val="6341070D"/>
    <w:rsid w:val="63493E13"/>
    <w:rsid w:val="634C56B2"/>
    <w:rsid w:val="635D78BF"/>
    <w:rsid w:val="63770981"/>
    <w:rsid w:val="637901FC"/>
    <w:rsid w:val="63882ED5"/>
    <w:rsid w:val="638C3E3F"/>
    <w:rsid w:val="63972DD1"/>
    <w:rsid w:val="63A075C4"/>
    <w:rsid w:val="63A454EE"/>
    <w:rsid w:val="63A92582"/>
    <w:rsid w:val="63BB361B"/>
    <w:rsid w:val="63C27722"/>
    <w:rsid w:val="63C52A41"/>
    <w:rsid w:val="63DF6146"/>
    <w:rsid w:val="63E40472"/>
    <w:rsid w:val="642C2FFF"/>
    <w:rsid w:val="64427DEE"/>
    <w:rsid w:val="644B139F"/>
    <w:rsid w:val="644C3BBB"/>
    <w:rsid w:val="644F5459"/>
    <w:rsid w:val="64793B97"/>
    <w:rsid w:val="64842818"/>
    <w:rsid w:val="649B4C85"/>
    <w:rsid w:val="64AD5650"/>
    <w:rsid w:val="64B63FEE"/>
    <w:rsid w:val="64C64FF0"/>
    <w:rsid w:val="64E421D7"/>
    <w:rsid w:val="64E536C8"/>
    <w:rsid w:val="65000502"/>
    <w:rsid w:val="651D5558"/>
    <w:rsid w:val="653603C7"/>
    <w:rsid w:val="653B778C"/>
    <w:rsid w:val="654900FB"/>
    <w:rsid w:val="65490704"/>
    <w:rsid w:val="655819A1"/>
    <w:rsid w:val="65662D40"/>
    <w:rsid w:val="657A6506"/>
    <w:rsid w:val="658E3D60"/>
    <w:rsid w:val="65975ABE"/>
    <w:rsid w:val="65980C88"/>
    <w:rsid w:val="65E358B9"/>
    <w:rsid w:val="65F1669F"/>
    <w:rsid w:val="65FC3B45"/>
    <w:rsid w:val="66094559"/>
    <w:rsid w:val="660B1854"/>
    <w:rsid w:val="661D6515"/>
    <w:rsid w:val="66377F53"/>
    <w:rsid w:val="66486604"/>
    <w:rsid w:val="664D59C9"/>
    <w:rsid w:val="664D5FF4"/>
    <w:rsid w:val="6677416F"/>
    <w:rsid w:val="667E2026"/>
    <w:rsid w:val="66903B07"/>
    <w:rsid w:val="669C06FE"/>
    <w:rsid w:val="66AF21DF"/>
    <w:rsid w:val="66B94C7A"/>
    <w:rsid w:val="66EA3BE6"/>
    <w:rsid w:val="66FE6CC3"/>
    <w:rsid w:val="6721001D"/>
    <w:rsid w:val="67334BBF"/>
    <w:rsid w:val="6739419F"/>
    <w:rsid w:val="67424E02"/>
    <w:rsid w:val="674768BC"/>
    <w:rsid w:val="676A58F9"/>
    <w:rsid w:val="677D4646"/>
    <w:rsid w:val="678629DB"/>
    <w:rsid w:val="679259FF"/>
    <w:rsid w:val="679744DF"/>
    <w:rsid w:val="67980EC5"/>
    <w:rsid w:val="679F2254"/>
    <w:rsid w:val="67A45ABC"/>
    <w:rsid w:val="67A80828"/>
    <w:rsid w:val="67C1041C"/>
    <w:rsid w:val="67C47140"/>
    <w:rsid w:val="67C577BD"/>
    <w:rsid w:val="68050DBC"/>
    <w:rsid w:val="681D3F04"/>
    <w:rsid w:val="682E5386"/>
    <w:rsid w:val="683010FE"/>
    <w:rsid w:val="68354427"/>
    <w:rsid w:val="684E77D6"/>
    <w:rsid w:val="686F41A0"/>
    <w:rsid w:val="6873723D"/>
    <w:rsid w:val="687C5E53"/>
    <w:rsid w:val="687E455F"/>
    <w:rsid w:val="68803A39"/>
    <w:rsid w:val="6881613F"/>
    <w:rsid w:val="689B3CF8"/>
    <w:rsid w:val="689E3048"/>
    <w:rsid w:val="68B66537"/>
    <w:rsid w:val="68B7625C"/>
    <w:rsid w:val="68BE07D7"/>
    <w:rsid w:val="68C0757E"/>
    <w:rsid w:val="68C44E48"/>
    <w:rsid w:val="68CA77A4"/>
    <w:rsid w:val="68D12617"/>
    <w:rsid w:val="68DC5DC1"/>
    <w:rsid w:val="68DE6DAC"/>
    <w:rsid w:val="68E24BB9"/>
    <w:rsid w:val="68F14D31"/>
    <w:rsid w:val="68F16ADF"/>
    <w:rsid w:val="68FA02C2"/>
    <w:rsid w:val="68FC7232"/>
    <w:rsid w:val="68FD0AA0"/>
    <w:rsid w:val="69064ECD"/>
    <w:rsid w:val="69117181"/>
    <w:rsid w:val="691B590A"/>
    <w:rsid w:val="69344C1E"/>
    <w:rsid w:val="693A1908"/>
    <w:rsid w:val="6944742F"/>
    <w:rsid w:val="69486D80"/>
    <w:rsid w:val="694F07A9"/>
    <w:rsid w:val="69502F14"/>
    <w:rsid w:val="69613711"/>
    <w:rsid w:val="696279DD"/>
    <w:rsid w:val="69847953"/>
    <w:rsid w:val="69B018C1"/>
    <w:rsid w:val="69E71C90"/>
    <w:rsid w:val="69F85C4B"/>
    <w:rsid w:val="69FF1A78"/>
    <w:rsid w:val="6A010FA4"/>
    <w:rsid w:val="6A22006E"/>
    <w:rsid w:val="6A232E0D"/>
    <w:rsid w:val="6A2536C5"/>
    <w:rsid w:val="6A2A7525"/>
    <w:rsid w:val="6A436FC0"/>
    <w:rsid w:val="6A5F748C"/>
    <w:rsid w:val="6A6634FD"/>
    <w:rsid w:val="6A7C062B"/>
    <w:rsid w:val="6A841D70"/>
    <w:rsid w:val="6AE85CC0"/>
    <w:rsid w:val="6AF61265"/>
    <w:rsid w:val="6B083125"/>
    <w:rsid w:val="6B0A032C"/>
    <w:rsid w:val="6B0A3E88"/>
    <w:rsid w:val="6B0B007F"/>
    <w:rsid w:val="6B297183"/>
    <w:rsid w:val="6B833C3B"/>
    <w:rsid w:val="6B8A321B"/>
    <w:rsid w:val="6BA53BB1"/>
    <w:rsid w:val="6BB6110A"/>
    <w:rsid w:val="6BBA12EE"/>
    <w:rsid w:val="6BC57F00"/>
    <w:rsid w:val="6BE36266"/>
    <w:rsid w:val="6BE741CA"/>
    <w:rsid w:val="6C094140"/>
    <w:rsid w:val="6C0C1E82"/>
    <w:rsid w:val="6C134FBF"/>
    <w:rsid w:val="6C1C3133"/>
    <w:rsid w:val="6C330ED2"/>
    <w:rsid w:val="6C335661"/>
    <w:rsid w:val="6C3527D4"/>
    <w:rsid w:val="6C537AB1"/>
    <w:rsid w:val="6C5B0466"/>
    <w:rsid w:val="6C5F0204"/>
    <w:rsid w:val="6C643B3D"/>
    <w:rsid w:val="6C674CA3"/>
    <w:rsid w:val="6C6770B8"/>
    <w:rsid w:val="6C6B17D9"/>
    <w:rsid w:val="6C7C7008"/>
    <w:rsid w:val="6C847C6A"/>
    <w:rsid w:val="6C8F45A2"/>
    <w:rsid w:val="6C922387"/>
    <w:rsid w:val="6CC369E5"/>
    <w:rsid w:val="6CC47E5A"/>
    <w:rsid w:val="6CD26C28"/>
    <w:rsid w:val="6CD96208"/>
    <w:rsid w:val="6CDE737B"/>
    <w:rsid w:val="6CED272F"/>
    <w:rsid w:val="6CF77E48"/>
    <w:rsid w:val="6CFE7A1D"/>
    <w:rsid w:val="6D152C7A"/>
    <w:rsid w:val="6D3276C6"/>
    <w:rsid w:val="6D3708FB"/>
    <w:rsid w:val="6D3E250F"/>
    <w:rsid w:val="6D401DE3"/>
    <w:rsid w:val="6D4C769A"/>
    <w:rsid w:val="6D5238C5"/>
    <w:rsid w:val="6D5835D1"/>
    <w:rsid w:val="6D632B13"/>
    <w:rsid w:val="6D8A305E"/>
    <w:rsid w:val="6D8C6AB1"/>
    <w:rsid w:val="6D9050BE"/>
    <w:rsid w:val="6D964261"/>
    <w:rsid w:val="6DB36A59"/>
    <w:rsid w:val="6DB41A6A"/>
    <w:rsid w:val="6DBE0F5A"/>
    <w:rsid w:val="6DC53514"/>
    <w:rsid w:val="6E4A456A"/>
    <w:rsid w:val="6E5518BE"/>
    <w:rsid w:val="6E645F09"/>
    <w:rsid w:val="6E777A87"/>
    <w:rsid w:val="6E7865D7"/>
    <w:rsid w:val="6E7C1B49"/>
    <w:rsid w:val="6E9835C9"/>
    <w:rsid w:val="6E9B56B7"/>
    <w:rsid w:val="6E9D0F19"/>
    <w:rsid w:val="6EA00A64"/>
    <w:rsid w:val="6EA13F6B"/>
    <w:rsid w:val="6EA3545F"/>
    <w:rsid w:val="6EB81E4D"/>
    <w:rsid w:val="6EBA5BC5"/>
    <w:rsid w:val="6EEA46FD"/>
    <w:rsid w:val="6F101C89"/>
    <w:rsid w:val="6F152D9A"/>
    <w:rsid w:val="6F4A0050"/>
    <w:rsid w:val="6F5B1846"/>
    <w:rsid w:val="6F600666"/>
    <w:rsid w:val="6F6354D2"/>
    <w:rsid w:val="6F87083E"/>
    <w:rsid w:val="6FA526CF"/>
    <w:rsid w:val="6FA64098"/>
    <w:rsid w:val="6FB865A9"/>
    <w:rsid w:val="6FD107B4"/>
    <w:rsid w:val="6FE4739E"/>
    <w:rsid w:val="6FEF5D43"/>
    <w:rsid w:val="6FF97C75"/>
    <w:rsid w:val="6FFA135B"/>
    <w:rsid w:val="6FFF7C0E"/>
    <w:rsid w:val="70096EFE"/>
    <w:rsid w:val="700D06A2"/>
    <w:rsid w:val="702247F7"/>
    <w:rsid w:val="70335C2F"/>
    <w:rsid w:val="70357BF9"/>
    <w:rsid w:val="70384FF4"/>
    <w:rsid w:val="7049709F"/>
    <w:rsid w:val="705E306D"/>
    <w:rsid w:val="7073599E"/>
    <w:rsid w:val="70736AC3"/>
    <w:rsid w:val="707515C1"/>
    <w:rsid w:val="707FDCA3"/>
    <w:rsid w:val="70865C9C"/>
    <w:rsid w:val="708A4D58"/>
    <w:rsid w:val="708F6BDE"/>
    <w:rsid w:val="70A373E5"/>
    <w:rsid w:val="70A42689"/>
    <w:rsid w:val="70AE6A31"/>
    <w:rsid w:val="70C8091E"/>
    <w:rsid w:val="70CB04E6"/>
    <w:rsid w:val="70D27294"/>
    <w:rsid w:val="70E17439"/>
    <w:rsid w:val="70FD6A55"/>
    <w:rsid w:val="71286E22"/>
    <w:rsid w:val="71427771"/>
    <w:rsid w:val="7143236C"/>
    <w:rsid w:val="7147045D"/>
    <w:rsid w:val="71687F6C"/>
    <w:rsid w:val="717D5BC9"/>
    <w:rsid w:val="71A566B9"/>
    <w:rsid w:val="71B2527A"/>
    <w:rsid w:val="71C647A0"/>
    <w:rsid w:val="71CA25C3"/>
    <w:rsid w:val="71D376CA"/>
    <w:rsid w:val="71D944F7"/>
    <w:rsid w:val="71DB20DB"/>
    <w:rsid w:val="71DB657E"/>
    <w:rsid w:val="71DC5974"/>
    <w:rsid w:val="71F413EE"/>
    <w:rsid w:val="72050D92"/>
    <w:rsid w:val="720E0702"/>
    <w:rsid w:val="72113D4E"/>
    <w:rsid w:val="722045E7"/>
    <w:rsid w:val="72231699"/>
    <w:rsid w:val="72273572"/>
    <w:rsid w:val="722C6DDA"/>
    <w:rsid w:val="723D0FE7"/>
    <w:rsid w:val="72583E79"/>
    <w:rsid w:val="725A654C"/>
    <w:rsid w:val="72602357"/>
    <w:rsid w:val="72693B8A"/>
    <w:rsid w:val="727E26C2"/>
    <w:rsid w:val="72872262"/>
    <w:rsid w:val="72BD3ED6"/>
    <w:rsid w:val="72C45265"/>
    <w:rsid w:val="72CC236B"/>
    <w:rsid w:val="72D57472"/>
    <w:rsid w:val="72D60AF4"/>
    <w:rsid w:val="72DB435C"/>
    <w:rsid w:val="72F3388B"/>
    <w:rsid w:val="72F85FEB"/>
    <w:rsid w:val="72FE159D"/>
    <w:rsid w:val="73153BB6"/>
    <w:rsid w:val="731C29AB"/>
    <w:rsid w:val="731E31D8"/>
    <w:rsid w:val="73243F55"/>
    <w:rsid w:val="73487C44"/>
    <w:rsid w:val="734D5117"/>
    <w:rsid w:val="734F61F6"/>
    <w:rsid w:val="735E0EFB"/>
    <w:rsid w:val="73631948"/>
    <w:rsid w:val="73735C26"/>
    <w:rsid w:val="737547B1"/>
    <w:rsid w:val="737650A4"/>
    <w:rsid w:val="73797DFD"/>
    <w:rsid w:val="737E5413"/>
    <w:rsid w:val="73830C7C"/>
    <w:rsid w:val="738531BD"/>
    <w:rsid w:val="738A2DD7"/>
    <w:rsid w:val="73915B78"/>
    <w:rsid w:val="73941CCC"/>
    <w:rsid w:val="73993FFB"/>
    <w:rsid w:val="73AA26AC"/>
    <w:rsid w:val="73AE12EC"/>
    <w:rsid w:val="73AF3118"/>
    <w:rsid w:val="73B272DC"/>
    <w:rsid w:val="73B452D9"/>
    <w:rsid w:val="73BBD34C"/>
    <w:rsid w:val="73F277FB"/>
    <w:rsid w:val="74035F8D"/>
    <w:rsid w:val="7416389E"/>
    <w:rsid w:val="7419513C"/>
    <w:rsid w:val="74222C41"/>
    <w:rsid w:val="743374A1"/>
    <w:rsid w:val="743467DF"/>
    <w:rsid w:val="744213FF"/>
    <w:rsid w:val="744A1799"/>
    <w:rsid w:val="74714F78"/>
    <w:rsid w:val="748756D3"/>
    <w:rsid w:val="7491607B"/>
    <w:rsid w:val="74923C14"/>
    <w:rsid w:val="74942A15"/>
    <w:rsid w:val="74C55EC1"/>
    <w:rsid w:val="74DB6895"/>
    <w:rsid w:val="74DEE34C"/>
    <w:rsid w:val="74F31E31"/>
    <w:rsid w:val="74FE3011"/>
    <w:rsid w:val="751029E3"/>
    <w:rsid w:val="754B3A1B"/>
    <w:rsid w:val="755201BF"/>
    <w:rsid w:val="75521133"/>
    <w:rsid w:val="75532CC9"/>
    <w:rsid w:val="75640639"/>
    <w:rsid w:val="75680129"/>
    <w:rsid w:val="757F36C5"/>
    <w:rsid w:val="7590142E"/>
    <w:rsid w:val="75AE7D3B"/>
    <w:rsid w:val="75B01F58"/>
    <w:rsid w:val="75B726A6"/>
    <w:rsid w:val="75CB7DAE"/>
    <w:rsid w:val="75CE4A51"/>
    <w:rsid w:val="75D27C98"/>
    <w:rsid w:val="75D752AF"/>
    <w:rsid w:val="75D92DD5"/>
    <w:rsid w:val="75DF5F11"/>
    <w:rsid w:val="75FC4D15"/>
    <w:rsid w:val="75FE45EA"/>
    <w:rsid w:val="75FF7042"/>
    <w:rsid w:val="7603295D"/>
    <w:rsid w:val="76070558"/>
    <w:rsid w:val="76085468"/>
    <w:rsid w:val="760905A3"/>
    <w:rsid w:val="760925E8"/>
    <w:rsid w:val="760F4A49"/>
    <w:rsid w:val="761402B1"/>
    <w:rsid w:val="76487F5B"/>
    <w:rsid w:val="764E6B88"/>
    <w:rsid w:val="766765D8"/>
    <w:rsid w:val="766D0198"/>
    <w:rsid w:val="768F354A"/>
    <w:rsid w:val="76934ECB"/>
    <w:rsid w:val="7696746C"/>
    <w:rsid w:val="76BD3B8F"/>
    <w:rsid w:val="76DB2B7D"/>
    <w:rsid w:val="76E063E5"/>
    <w:rsid w:val="76EF79DF"/>
    <w:rsid w:val="76F58E6F"/>
    <w:rsid w:val="76FD6F97"/>
    <w:rsid w:val="77075582"/>
    <w:rsid w:val="77076AA4"/>
    <w:rsid w:val="770C0F88"/>
    <w:rsid w:val="77107490"/>
    <w:rsid w:val="77123C65"/>
    <w:rsid w:val="771A4CBB"/>
    <w:rsid w:val="772269FE"/>
    <w:rsid w:val="773504DF"/>
    <w:rsid w:val="77424D1F"/>
    <w:rsid w:val="7754671E"/>
    <w:rsid w:val="77597EB6"/>
    <w:rsid w:val="775B1D3D"/>
    <w:rsid w:val="775B5A6C"/>
    <w:rsid w:val="777233CA"/>
    <w:rsid w:val="77807586"/>
    <w:rsid w:val="77C11D73"/>
    <w:rsid w:val="77C51666"/>
    <w:rsid w:val="77C61FA0"/>
    <w:rsid w:val="77CB0E43"/>
    <w:rsid w:val="77D17A45"/>
    <w:rsid w:val="77D744B6"/>
    <w:rsid w:val="77ED294E"/>
    <w:rsid w:val="77FE2FC7"/>
    <w:rsid w:val="7800397B"/>
    <w:rsid w:val="78055809"/>
    <w:rsid w:val="78125870"/>
    <w:rsid w:val="78267E28"/>
    <w:rsid w:val="78336E8F"/>
    <w:rsid w:val="783B4D9D"/>
    <w:rsid w:val="78433253"/>
    <w:rsid w:val="78454752"/>
    <w:rsid w:val="78485FF0"/>
    <w:rsid w:val="78573EE9"/>
    <w:rsid w:val="785A48DB"/>
    <w:rsid w:val="78623556"/>
    <w:rsid w:val="786728C9"/>
    <w:rsid w:val="786848E4"/>
    <w:rsid w:val="786C7F30"/>
    <w:rsid w:val="78811502"/>
    <w:rsid w:val="78827687"/>
    <w:rsid w:val="78867F50"/>
    <w:rsid w:val="78885567"/>
    <w:rsid w:val="78A7540C"/>
    <w:rsid w:val="78C22246"/>
    <w:rsid w:val="78CB0EA0"/>
    <w:rsid w:val="78E82ECC"/>
    <w:rsid w:val="78F74CE4"/>
    <w:rsid w:val="78F9177F"/>
    <w:rsid w:val="79061938"/>
    <w:rsid w:val="790F6B0E"/>
    <w:rsid w:val="79157058"/>
    <w:rsid w:val="791B1604"/>
    <w:rsid w:val="79277E07"/>
    <w:rsid w:val="795D5ACB"/>
    <w:rsid w:val="796C21B2"/>
    <w:rsid w:val="796F63B4"/>
    <w:rsid w:val="797572B9"/>
    <w:rsid w:val="798153CC"/>
    <w:rsid w:val="79A100AE"/>
    <w:rsid w:val="79A90D10"/>
    <w:rsid w:val="79B0209F"/>
    <w:rsid w:val="79B7342D"/>
    <w:rsid w:val="79BF480D"/>
    <w:rsid w:val="79CE4C1B"/>
    <w:rsid w:val="79CF5E40"/>
    <w:rsid w:val="79D20267"/>
    <w:rsid w:val="79D32B34"/>
    <w:rsid w:val="79DE4E5E"/>
    <w:rsid w:val="79E63FF4"/>
    <w:rsid w:val="79E66321"/>
    <w:rsid w:val="79EE2BC7"/>
    <w:rsid w:val="79FF70B5"/>
    <w:rsid w:val="7A023D76"/>
    <w:rsid w:val="7A0643B5"/>
    <w:rsid w:val="7A105034"/>
    <w:rsid w:val="7A293F92"/>
    <w:rsid w:val="7A2F7FBA"/>
    <w:rsid w:val="7A344A7E"/>
    <w:rsid w:val="7A4455AE"/>
    <w:rsid w:val="7A4D6A17"/>
    <w:rsid w:val="7A5F5873"/>
    <w:rsid w:val="7A613399"/>
    <w:rsid w:val="7A886B78"/>
    <w:rsid w:val="7A9A7EC7"/>
    <w:rsid w:val="7ACF0C4A"/>
    <w:rsid w:val="7AD93877"/>
    <w:rsid w:val="7AD9755A"/>
    <w:rsid w:val="7ADC0FEC"/>
    <w:rsid w:val="7AF97A75"/>
    <w:rsid w:val="7B034450"/>
    <w:rsid w:val="7B1F572E"/>
    <w:rsid w:val="7B2C1BF9"/>
    <w:rsid w:val="7B315461"/>
    <w:rsid w:val="7B4C5DF7"/>
    <w:rsid w:val="7B4D23D0"/>
    <w:rsid w:val="7B5178B1"/>
    <w:rsid w:val="7B560A24"/>
    <w:rsid w:val="7B7E4AEF"/>
    <w:rsid w:val="7B9854E0"/>
    <w:rsid w:val="7B9D74A9"/>
    <w:rsid w:val="7B9F10AC"/>
    <w:rsid w:val="7BA615A2"/>
    <w:rsid w:val="7BAD2EC7"/>
    <w:rsid w:val="7BB8348D"/>
    <w:rsid w:val="7BBE11FB"/>
    <w:rsid w:val="7BBF715B"/>
    <w:rsid w:val="7BCC55C4"/>
    <w:rsid w:val="7BDE554C"/>
    <w:rsid w:val="7BE14DA1"/>
    <w:rsid w:val="7BEB297C"/>
    <w:rsid w:val="7BF546E1"/>
    <w:rsid w:val="7BF71835"/>
    <w:rsid w:val="7BFF585B"/>
    <w:rsid w:val="7C031C34"/>
    <w:rsid w:val="7C1459E2"/>
    <w:rsid w:val="7C1F175E"/>
    <w:rsid w:val="7C3A6597"/>
    <w:rsid w:val="7C4756E9"/>
    <w:rsid w:val="7C5D696C"/>
    <w:rsid w:val="7C5D785D"/>
    <w:rsid w:val="7C7B014B"/>
    <w:rsid w:val="7C8141C6"/>
    <w:rsid w:val="7C8616B1"/>
    <w:rsid w:val="7C8E41ED"/>
    <w:rsid w:val="7CB43C54"/>
    <w:rsid w:val="7CBB1486"/>
    <w:rsid w:val="7CBD6EBB"/>
    <w:rsid w:val="7CCC3693"/>
    <w:rsid w:val="7CCD2F68"/>
    <w:rsid w:val="7CD267D0"/>
    <w:rsid w:val="7CDFA69B"/>
    <w:rsid w:val="7CEE34EF"/>
    <w:rsid w:val="7CF209C2"/>
    <w:rsid w:val="7D0C535A"/>
    <w:rsid w:val="7D171AF4"/>
    <w:rsid w:val="7D23036F"/>
    <w:rsid w:val="7D337C34"/>
    <w:rsid w:val="7D382AD7"/>
    <w:rsid w:val="7D40373A"/>
    <w:rsid w:val="7D4A0A5C"/>
    <w:rsid w:val="7D580E3B"/>
    <w:rsid w:val="7D60202E"/>
    <w:rsid w:val="7D7E6B8B"/>
    <w:rsid w:val="7D9046C1"/>
    <w:rsid w:val="7DBFAEB0"/>
    <w:rsid w:val="7DC91981"/>
    <w:rsid w:val="7DCD02A0"/>
    <w:rsid w:val="7DD563A4"/>
    <w:rsid w:val="7DEA37BD"/>
    <w:rsid w:val="7DEB3451"/>
    <w:rsid w:val="7DF12C86"/>
    <w:rsid w:val="7DFF5852"/>
    <w:rsid w:val="7E0E19EC"/>
    <w:rsid w:val="7E2748F9"/>
    <w:rsid w:val="7E3257BC"/>
    <w:rsid w:val="7E3C65F7"/>
    <w:rsid w:val="7E3D5ECB"/>
    <w:rsid w:val="7E4E1E86"/>
    <w:rsid w:val="7E584026"/>
    <w:rsid w:val="7E5F4093"/>
    <w:rsid w:val="7E624705"/>
    <w:rsid w:val="7E6B34F5"/>
    <w:rsid w:val="7E7B1E6F"/>
    <w:rsid w:val="7E7B3A3F"/>
    <w:rsid w:val="7E807A39"/>
    <w:rsid w:val="7E8B30DA"/>
    <w:rsid w:val="7E9C6F9B"/>
    <w:rsid w:val="7EAB72D9"/>
    <w:rsid w:val="7EAF501B"/>
    <w:rsid w:val="7EBF4B32"/>
    <w:rsid w:val="7EC5039A"/>
    <w:rsid w:val="7EC91358"/>
    <w:rsid w:val="7ED73CC9"/>
    <w:rsid w:val="7ED7DDCE"/>
    <w:rsid w:val="7EE97F06"/>
    <w:rsid w:val="7EEB3B79"/>
    <w:rsid w:val="7EED1546"/>
    <w:rsid w:val="7F07550C"/>
    <w:rsid w:val="7F0D1D41"/>
    <w:rsid w:val="7F1255AA"/>
    <w:rsid w:val="7F141322"/>
    <w:rsid w:val="7F1453DB"/>
    <w:rsid w:val="7F1475B9"/>
    <w:rsid w:val="7F1E1CCB"/>
    <w:rsid w:val="7F341DFF"/>
    <w:rsid w:val="7F590AE3"/>
    <w:rsid w:val="7F7FE64A"/>
    <w:rsid w:val="7F866F8E"/>
    <w:rsid w:val="7F8848D0"/>
    <w:rsid w:val="7F956761"/>
    <w:rsid w:val="7F9B49B0"/>
    <w:rsid w:val="7FB422C4"/>
    <w:rsid w:val="7FBD72C3"/>
    <w:rsid w:val="7FDC3989"/>
    <w:rsid w:val="7FEA09E2"/>
    <w:rsid w:val="7FEC1957"/>
    <w:rsid w:val="7FF37189"/>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6C7FF08"/>
    <w:rsid w:val="D8FF9E66"/>
    <w:rsid w:val="DB2EA37C"/>
    <w:rsid w:val="DEFAD7D8"/>
    <w:rsid w:val="DFB72C70"/>
    <w:rsid w:val="DFFA7DB7"/>
    <w:rsid w:val="E4EB1C6E"/>
    <w:rsid w:val="E75F9682"/>
    <w:rsid w:val="E7BBB46B"/>
    <w:rsid w:val="EA0B12A9"/>
    <w:rsid w:val="EBF68805"/>
    <w:rsid w:val="EEE7E7A4"/>
    <w:rsid w:val="EFF60C47"/>
    <w:rsid w:val="F1F511E9"/>
    <w:rsid w:val="F68F70A5"/>
    <w:rsid w:val="F7BBF211"/>
    <w:rsid w:val="F7DEF1EE"/>
    <w:rsid w:val="F7F38D57"/>
    <w:rsid w:val="F7FF55DE"/>
    <w:rsid w:val="F98567CE"/>
    <w:rsid w:val="F9BEFF0E"/>
    <w:rsid w:val="F9EFC684"/>
    <w:rsid w:val="FADDB4F8"/>
    <w:rsid w:val="FAE9CD5D"/>
    <w:rsid w:val="FB5F9FE3"/>
    <w:rsid w:val="FB692196"/>
    <w:rsid w:val="FD7DC39C"/>
    <w:rsid w:val="FDAD4A42"/>
    <w:rsid w:val="FDEC5532"/>
    <w:rsid w:val="FDFDD994"/>
    <w:rsid w:val="FDFE196F"/>
    <w:rsid w:val="FDFFA531"/>
    <w:rsid w:val="FEBDE989"/>
    <w:rsid w:val="FEBF0BE3"/>
    <w:rsid w:val="FEF5BAD6"/>
    <w:rsid w:val="FF572B2E"/>
    <w:rsid w:val="FF7B3FA7"/>
    <w:rsid w:val="FFDF63B8"/>
    <w:rsid w:val="FFE70018"/>
    <w:rsid w:val="FFFAA7B2"/>
    <w:rsid w:val="FFFD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7">
    <w:name w:val="heading 3"/>
    <w:basedOn w:val="1"/>
    <w:next w:val="1"/>
    <w:qFormat/>
    <w:uiPriority w:val="0"/>
    <w:pPr>
      <w:keepNext/>
      <w:keepLines/>
      <w:spacing w:before="260" w:after="260" w:line="416" w:lineRule="auto"/>
      <w:outlineLvl w:val="2"/>
    </w:pPr>
    <w:rPr>
      <w:b/>
      <w:bCs/>
      <w:kern w:val="0"/>
      <w:sz w:val="32"/>
      <w:szCs w:val="32"/>
    </w:rPr>
  </w:style>
  <w:style w:type="paragraph" w:styleId="8">
    <w:name w:val="heading 6"/>
    <w:basedOn w:val="1"/>
    <w:next w:val="1"/>
    <w:qFormat/>
    <w:uiPriority w:val="0"/>
    <w:pPr>
      <w:spacing w:before="60" w:after="60" w:line="360" w:lineRule="auto"/>
      <w:outlineLvl w:val="5"/>
    </w:pPr>
    <w:rPr>
      <w:b/>
      <w:bCs/>
      <w:kern w:val="0"/>
      <w:sz w:val="24"/>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napToGrid w:val="0"/>
      <w:spacing w:line="560" w:lineRule="exact"/>
      <w:ind w:firstLine="200" w:firstLineChars="200"/>
    </w:pPr>
    <w:rPr>
      <w:rFonts w:ascii="仿宋" w:hAnsi="仿宋" w:cs="仿宋"/>
    </w:rPr>
  </w:style>
  <w:style w:type="paragraph" w:styleId="3">
    <w:name w:val="Body Text"/>
    <w:basedOn w:val="1"/>
    <w:next w:val="4"/>
    <w:unhideWhenUsed/>
    <w:qFormat/>
    <w:uiPriority w:val="0"/>
    <w:pPr>
      <w:spacing w:after="120"/>
    </w:pPr>
    <w:rPr>
      <w:sz w:val="24"/>
    </w:rPr>
  </w:style>
  <w:style w:type="paragraph" w:styleId="4">
    <w:name w:val="Body Text 2"/>
    <w:basedOn w:val="1"/>
    <w:qFormat/>
    <w:uiPriority w:val="99"/>
    <w:pPr>
      <w:widowControl w:val="0"/>
      <w:spacing w:before="240"/>
      <w:jc w:val="both"/>
    </w:pPr>
    <w:rPr>
      <w:rFonts w:ascii="Calibri" w:hAnsi="Calibri" w:eastAsia="宋体" w:cs="Times New Roman"/>
      <w:color w:val="FF0000"/>
      <w:kern w:val="2"/>
      <w:sz w:val="21"/>
      <w:szCs w:val="24"/>
      <w:lang w:val="en-US" w:eastAsia="zh-CN" w:bidi="ar-SA"/>
    </w:rPr>
  </w:style>
  <w:style w:type="paragraph" w:styleId="9">
    <w:name w:val="Normal Indent"/>
    <w:basedOn w:val="1"/>
    <w:qFormat/>
    <w:uiPriority w:val="0"/>
    <w:pPr>
      <w:ind w:firstLine="420" w:firstLineChars="200"/>
    </w:pPr>
    <w:rPr>
      <w:szCs w:val="20"/>
    </w:rPr>
  </w:style>
  <w:style w:type="paragraph" w:styleId="10">
    <w:name w:val="annotation text"/>
    <w:basedOn w:val="1"/>
    <w:link w:val="42"/>
    <w:unhideWhenUsed/>
    <w:qFormat/>
    <w:uiPriority w:val="0"/>
    <w:pPr>
      <w:jc w:val="left"/>
    </w:pPr>
    <w:rPr>
      <w:kern w:val="0"/>
      <w:sz w:val="20"/>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44"/>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style>
  <w:style w:type="paragraph" w:styleId="18">
    <w:name w:val="toc 2"/>
    <w:basedOn w:val="1"/>
    <w:next w:val="1"/>
    <w:qFormat/>
    <w:uiPriority w:val="0"/>
    <w:pPr>
      <w:spacing w:line="600" w:lineRule="exact"/>
      <w:ind w:firstLine="880" w:firstLineChars="200"/>
    </w:pPr>
    <w:rPr>
      <w:rFonts w:eastAsia="仿宋_GB2312"/>
      <w:sz w:val="32"/>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10"/>
    <w:next w:val="10"/>
    <w:link w:val="43"/>
    <w:qFormat/>
    <w:uiPriority w:val="0"/>
    <w:rPr>
      <w:b/>
      <w:bCs/>
      <w:kern w:val="2"/>
      <w:sz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style>
  <w:style w:type="character" w:styleId="27">
    <w:name w:val="FollowedHyperlink"/>
    <w:basedOn w:val="24"/>
    <w:qFormat/>
    <w:uiPriority w:val="0"/>
    <w:rPr>
      <w:color w:val="800080"/>
      <w:u w:val="none"/>
    </w:rPr>
  </w:style>
  <w:style w:type="character" w:styleId="28">
    <w:name w:val="Hyperlink"/>
    <w:basedOn w:val="24"/>
    <w:qFormat/>
    <w:uiPriority w:val="0"/>
    <w:rPr>
      <w:color w:val="0000FF"/>
      <w:u w:val="none"/>
    </w:rPr>
  </w:style>
  <w:style w:type="character" w:styleId="29">
    <w:name w:val="annotation reference"/>
    <w:basedOn w:val="24"/>
    <w:qFormat/>
    <w:uiPriority w:val="0"/>
    <w:rPr>
      <w:sz w:val="21"/>
      <w:szCs w:val="21"/>
    </w:rPr>
  </w:style>
  <w:style w:type="paragraph" w:customStyle="1" w:styleId="30">
    <w:name w:val="文档正文"/>
    <w:basedOn w:val="1"/>
    <w:qFormat/>
    <w:uiPriority w:val="0"/>
    <w:pPr>
      <w:adjustRightInd w:val="0"/>
      <w:spacing w:line="480" w:lineRule="atLeast"/>
      <w:ind w:firstLine="567" w:firstLineChars="200"/>
      <w:textAlignment w:val="baseline"/>
    </w:pPr>
    <w:rPr>
      <w:rFonts w:ascii="长城仿宋" w:hAnsi="Calibri"/>
      <w:kern w:val="0"/>
      <w:szCs w:val="20"/>
    </w:rPr>
  </w:style>
  <w:style w:type="paragraph" w:styleId="31">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2">
    <w:name w:val="正文格式"/>
    <w:basedOn w:val="11"/>
    <w:qFormat/>
    <w:uiPriority w:val="99"/>
    <w:pPr>
      <w:spacing w:after="0" w:line="360" w:lineRule="auto"/>
      <w:ind w:left="0" w:leftChars="0" w:firstLine="600"/>
    </w:pPr>
    <w:rPr>
      <w:rFonts w:eastAsia="仿宋_GB2312"/>
      <w:sz w:val="30"/>
      <w:szCs w:val="30"/>
    </w:rPr>
  </w:style>
  <w:style w:type="paragraph" w:styleId="33">
    <w:name w:val="List Paragraph"/>
    <w:basedOn w:val="1"/>
    <w:qFormat/>
    <w:uiPriority w:val="34"/>
    <w:pPr>
      <w:ind w:firstLine="420" w:firstLineChars="200"/>
    </w:pPr>
  </w:style>
  <w:style w:type="paragraph" w:customStyle="1" w:styleId="34">
    <w:name w:val="（）列表模式"/>
    <w:basedOn w:val="1"/>
    <w:qFormat/>
    <w:uiPriority w:val="0"/>
    <w:pPr>
      <w:tabs>
        <w:tab w:val="left" w:pos="960"/>
        <w:tab w:val="left" w:pos="1470"/>
      </w:tabs>
      <w:spacing w:line="360" w:lineRule="auto"/>
      <w:ind w:left="1470" w:hanging="420"/>
    </w:pPr>
    <w:rPr>
      <w:sz w:val="24"/>
      <w:szCs w:val="20"/>
    </w:rPr>
  </w:style>
  <w:style w:type="paragraph" w:customStyle="1" w:styleId="35">
    <w:name w:val="Table Paragraph"/>
    <w:basedOn w:val="1"/>
    <w:qFormat/>
    <w:uiPriority w:val="0"/>
    <w:pPr>
      <w:autoSpaceDE w:val="0"/>
      <w:autoSpaceDN w:val="0"/>
      <w:jc w:val="left"/>
    </w:pPr>
    <w:rPr>
      <w:rFonts w:ascii="宋体" w:hAnsi="宋体" w:cs="宋体"/>
      <w:kern w:val="0"/>
      <w:sz w:val="22"/>
      <w:szCs w:val="22"/>
    </w:rPr>
  </w:style>
  <w:style w:type="paragraph" w:customStyle="1" w:styleId="3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qowt-font5-gb2312"/>
    <w:qFormat/>
    <w:uiPriority w:val="0"/>
  </w:style>
  <w:style w:type="paragraph" w:customStyle="1" w:styleId="3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4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批注文字 字符"/>
    <w:basedOn w:val="24"/>
    <w:link w:val="10"/>
    <w:qFormat/>
    <w:uiPriority w:val="0"/>
    <w:rPr>
      <w:szCs w:val="24"/>
    </w:rPr>
  </w:style>
  <w:style w:type="character" w:customStyle="1" w:styleId="43">
    <w:name w:val="批注主题 字符"/>
    <w:basedOn w:val="42"/>
    <w:link w:val="21"/>
    <w:qFormat/>
    <w:uiPriority w:val="0"/>
    <w:rPr>
      <w:b/>
      <w:bCs/>
      <w:kern w:val="2"/>
      <w:sz w:val="21"/>
      <w:szCs w:val="24"/>
    </w:rPr>
  </w:style>
  <w:style w:type="character" w:customStyle="1" w:styleId="44">
    <w:name w:val="批注框文本 字符"/>
    <w:basedOn w:val="24"/>
    <w:link w:val="14"/>
    <w:qFormat/>
    <w:uiPriority w:val="0"/>
    <w:rPr>
      <w:kern w:val="2"/>
      <w:sz w:val="18"/>
      <w:szCs w:val="18"/>
    </w:rPr>
  </w:style>
  <w:style w:type="character" w:customStyle="1" w:styleId="45">
    <w:name w:val="NormalCharacter"/>
    <w:qFormat/>
    <w:uiPriority w:val="0"/>
    <w:rPr>
      <w:kern w:val="2"/>
      <w:sz w:val="21"/>
      <w:szCs w:val="24"/>
      <w:lang w:val="en-US" w:eastAsia="zh-CN" w:bidi="ar-SA"/>
    </w:rPr>
  </w:style>
  <w:style w:type="paragraph" w:customStyle="1" w:styleId="4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21797</Words>
  <Characters>22674</Characters>
  <Lines>1775</Lines>
  <Paragraphs>1585</Paragraphs>
  <TotalTime>14</TotalTime>
  <ScaleCrop>false</ScaleCrop>
  <LinksUpToDate>false</LinksUpToDate>
  <CharactersWithSpaces>23080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2023-11-15T12:59:00Z</dcterms:created>
  <dc:creator>姬崽</dc:creator>
  <cp:lastModifiedBy>黎俊</cp:lastModifiedBy>
  <dcterms:modified xsi:type="dcterms:W3CDTF">2025-06-09T06:25:46Z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9F6EEEE61B654EDFAA6FE324D9ECE02A_13</vt:lpwstr>
  </property>
  <property fmtid="{D5CDD505-2E9C-101B-9397-08002B2CF9AE}" pid="4" name="KSOTemplateDocerSaveRecord">
    <vt:lpwstr>eyJoZGlkIjoiMmVhYjIwYTFkMDUyN2RmOGI2OTNiMWRjYmY5MjBlYTUiLCJ1c2VySWQiOiIzOTQyODIxNTkifQ==</vt:lpwstr>
  </property>
</Properties>
</file>