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color w:val="000000" w:themeColor="text1"/>
          <w14:textFill>
            <w14:solidFill>
              <w14:schemeClr w14:val="tx1"/>
            </w14:solidFill>
          </w14:textFill>
        </w:rPr>
      </w:pPr>
      <w:bookmarkStart w:id="61" w:name="_GoBack"/>
      <w:bookmarkEnd w:id="61"/>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简易招标文件</w:t>
      </w:r>
    </w:p>
    <w:p>
      <w:pPr>
        <w:jc w:val="cente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pStyle w:val="30"/>
        <w:ind w:firstLine="420"/>
        <w:rPr>
          <w:rFonts w:ascii="宋体" w:hAnsi="宋体" w:cs="宋体"/>
          <w:color w:val="000000" w:themeColor="text1"/>
          <w14:textFill>
            <w14:solidFill>
              <w14:schemeClr w14:val="tx1"/>
            </w14:solidFill>
          </w14:textFill>
        </w:rPr>
      </w:pPr>
    </w:p>
    <w:p>
      <w:pPr>
        <w:pStyle w:val="30"/>
        <w:ind w:firstLine="420"/>
        <w:rPr>
          <w:rFonts w:ascii="宋体" w:hAnsi="宋体" w:cs="宋体"/>
          <w:color w:val="000000" w:themeColor="text1"/>
          <w14:textFill>
            <w14:solidFill>
              <w14:schemeClr w14:val="tx1"/>
            </w14:solidFill>
          </w14:textFill>
        </w:rPr>
      </w:pPr>
    </w:p>
    <w:p>
      <w:pPr>
        <w:rPr>
          <w:rFonts w:ascii="宋体" w:hAnsi="宋体" w:cs="宋体"/>
          <w:b/>
          <w:color w:val="000000" w:themeColor="text1"/>
          <w:sz w:val="44"/>
          <w14:textFill>
            <w14:solidFill>
              <w14:schemeClr w14:val="tx1"/>
            </w14:solidFill>
          </w14:textFill>
        </w:rPr>
      </w:pPr>
    </w:p>
    <w:p>
      <w:pPr>
        <w:ind w:left="2326" w:leftChars="247" w:right="-319" w:rightChars="-152" w:hanging="1807" w:hangingChars="50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招标编号：</w:t>
      </w:r>
      <w:bookmarkStart w:id="0" w:name="OLE_LINK18"/>
      <w:r>
        <w:rPr>
          <w:rFonts w:hint="eastAsia" w:ascii="宋体" w:hAnsi="宋体" w:cs="宋体"/>
          <w:b/>
          <w:color w:val="000000" w:themeColor="text1"/>
          <w:sz w:val="36"/>
          <w:szCs w:val="36"/>
          <w14:textFill>
            <w14:solidFill>
              <w14:schemeClr w14:val="tx1"/>
            </w14:solidFill>
          </w14:textFill>
        </w:rPr>
        <w:t>QH2025032</w:t>
      </w:r>
      <w:bookmarkEnd w:id="0"/>
      <w:bookmarkStart w:id="1" w:name="OLE_LINK17"/>
    </w:p>
    <w:bookmarkEnd w:id="1"/>
    <w:p>
      <w:pPr>
        <w:pStyle w:val="30"/>
        <w:ind w:firstLine="420"/>
        <w:rPr>
          <w:rFonts w:ascii="宋体" w:hAnsi="宋体" w:cs="宋体"/>
          <w:color w:val="000000" w:themeColor="text1"/>
          <w14:textFill>
            <w14:solidFill>
              <w14:schemeClr w14:val="tx1"/>
            </w14:solidFill>
          </w14:textFill>
        </w:rPr>
      </w:pPr>
    </w:p>
    <w:p>
      <w:pPr>
        <w:pStyle w:val="30"/>
        <w:ind w:firstLine="420"/>
        <w:rPr>
          <w:rFonts w:ascii="宋体" w:hAnsi="宋体" w:cs="宋体"/>
          <w:color w:val="000000" w:themeColor="text1"/>
          <w14:textFill>
            <w14:solidFill>
              <w14:schemeClr w14:val="tx1"/>
            </w14:solidFill>
          </w14:textFill>
        </w:rPr>
      </w:pPr>
    </w:p>
    <w:p>
      <w:pPr>
        <w:pStyle w:val="30"/>
        <w:ind w:firstLine="420"/>
        <w:rPr>
          <w:rFonts w:ascii="宋体" w:hAnsi="宋体" w:cs="宋体"/>
          <w:color w:val="000000" w:themeColor="text1"/>
          <w14:textFill>
            <w14:solidFill>
              <w14:schemeClr w14:val="tx1"/>
            </w14:solidFill>
          </w14:textFill>
        </w:rPr>
      </w:pPr>
    </w:p>
    <w:p>
      <w:pPr>
        <w:ind w:left="2326" w:leftChars="247" w:right="-319" w:rightChars="-152" w:hanging="1807" w:hangingChars="50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招标项目：</w:t>
      </w:r>
      <w:bookmarkStart w:id="2" w:name="OLE_LINK8"/>
      <w:r>
        <w:rPr>
          <w:rFonts w:hint="eastAsia" w:ascii="宋体" w:hAnsi="宋体" w:cs="宋体"/>
          <w:b/>
          <w:color w:val="000000" w:themeColor="text1"/>
          <w:sz w:val="36"/>
          <w:szCs w:val="36"/>
          <w14:textFill>
            <w14:solidFill>
              <w14:schemeClr w14:val="tx1"/>
            </w14:solidFill>
          </w14:textFill>
        </w:rPr>
        <w:t>2025年交通运输仓储和邮政业经济运行分析服务项目</w:t>
      </w:r>
      <w:bookmarkEnd w:id="2"/>
    </w:p>
    <w:p>
      <w:pPr>
        <w:ind w:firstLine="3264" w:firstLineChars="739"/>
        <w:rPr>
          <w:rFonts w:ascii="宋体" w:hAnsi="宋体" w:cs="宋体"/>
          <w:b/>
          <w:color w:val="000000" w:themeColor="text1"/>
          <w:sz w:val="44"/>
          <w14:textFill>
            <w14:solidFill>
              <w14:schemeClr w14:val="tx1"/>
            </w14:solidFill>
          </w14:textFill>
        </w:rPr>
      </w:pPr>
    </w:p>
    <w:p>
      <w:pPr>
        <w:ind w:left="1260" w:leftChars="600" w:firstLine="1855" w:firstLineChars="420"/>
        <w:rPr>
          <w:rFonts w:ascii="宋体" w:hAnsi="宋体" w:cs="宋体"/>
          <w:b/>
          <w:color w:val="000000" w:themeColor="text1"/>
          <w:sz w:val="44"/>
          <w14:textFill>
            <w14:solidFill>
              <w14:schemeClr w14:val="tx1"/>
            </w14:solidFill>
          </w14:textFill>
        </w:rPr>
      </w:pPr>
    </w:p>
    <w:p>
      <w:pPr>
        <w:rPr>
          <w:rFonts w:ascii="宋体" w:hAnsi="宋体" w:cs="宋体"/>
          <w:b/>
          <w:color w:val="000000" w:themeColor="text1"/>
          <w:sz w:val="44"/>
          <w14:textFill>
            <w14:solidFill>
              <w14:schemeClr w14:val="tx1"/>
            </w14:solidFill>
          </w14:textFill>
        </w:rPr>
      </w:pPr>
    </w:p>
    <w:p>
      <w:pPr>
        <w:jc w:val="center"/>
        <w:rPr>
          <w:rFonts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深圳市前海深港现代服务业合作区管理局</w:t>
      </w:r>
    </w:p>
    <w:p>
      <w:pPr>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2025年4月</w:t>
      </w:r>
    </w:p>
    <w:p>
      <w:pPr>
        <w:autoSpaceDE w:val="0"/>
        <w:autoSpaceDN w:val="0"/>
        <w:adjustRightInd w:val="0"/>
        <w:spacing w:line="360" w:lineRule="auto"/>
        <w:jc w:val="center"/>
        <w:rPr>
          <w:rFonts w:ascii="宋体" w:hAnsi="宋体" w:cs="宋体"/>
          <w:b/>
          <w:bCs/>
          <w:color w:val="000000" w:themeColor="text1"/>
          <w:kern w:val="0"/>
          <w:sz w:val="36"/>
          <w:szCs w:val="36"/>
          <w14:textFill>
            <w14:solidFill>
              <w14:schemeClr w14:val="tx1"/>
            </w14:solidFill>
          </w14:textFill>
        </w:rPr>
      </w:pPr>
      <w:bookmarkStart w:id="3" w:name="_Toc12932"/>
      <w:r>
        <w:rPr>
          <w:rFonts w:ascii="宋体" w:hAnsi="宋体"/>
          <w:b/>
          <w:bCs/>
          <w:color w:val="000000" w:themeColor="text1"/>
          <w:sz w:val="32"/>
          <w:szCs w:val="40"/>
          <w:u w:val="single"/>
          <w14:textFill>
            <w14:solidFill>
              <w14:schemeClr w14:val="tx1"/>
            </w14:solidFill>
          </w14:textFill>
        </w:rPr>
        <w:br w:type="page"/>
      </w:r>
      <w:r>
        <w:rPr>
          <w:rFonts w:hint="eastAsia" w:ascii="宋体" w:hAnsi="宋体" w:cs="宋体"/>
          <w:b/>
          <w:bCs/>
          <w:color w:val="000000" w:themeColor="text1"/>
          <w:kern w:val="0"/>
          <w:sz w:val="36"/>
          <w:szCs w:val="36"/>
          <w14:textFill>
            <w14:solidFill>
              <w14:schemeClr w14:val="tx1"/>
            </w14:solidFill>
          </w14:textFill>
        </w:rPr>
        <w:t>特别警示条款</w:t>
      </w:r>
    </w:p>
    <w:p>
      <w:pPr>
        <w:autoSpaceDE w:val="0"/>
        <w:autoSpaceDN w:val="0"/>
        <w:adjustRightIn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序号</w:t>
            </w:r>
          </w:p>
        </w:tc>
        <w:tc>
          <w:tcPr>
            <w:tcW w:w="4482" w:type="pct"/>
            <w:vAlign w:val="center"/>
          </w:tcPr>
          <w:p>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4482" w:type="pct"/>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与其他投标供应商的法定代表人、主要经营负责人、投标授权代表人、项目负责人、主要技术人员为</w:t>
            </w:r>
            <w:r>
              <w:rPr>
                <w:rFonts w:hint="eastAsia" w:ascii="宋体" w:hAnsi="宋体" w:cs="宋体"/>
                <w:b/>
                <w:bCs/>
                <w:color w:val="000000" w:themeColor="text1"/>
                <w:sz w:val="24"/>
                <w:szCs w:val="24"/>
                <w14:textFill>
                  <w14:solidFill>
                    <w14:schemeClr w14:val="tx1"/>
                  </w14:solidFill>
                </w14:textFill>
              </w:rPr>
              <w:t>同一人、属同一单位或者在同一单位缴纳社会保险</w:t>
            </w:r>
            <w:r>
              <w:rPr>
                <w:rFonts w:hint="eastAsia" w:ascii="宋体" w:hAnsi="宋体"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4482" w:type="pct"/>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参与本项目政府采购活动时，与其他投标供应商存在单位负责人为</w:t>
            </w:r>
            <w:r>
              <w:rPr>
                <w:rFonts w:hint="eastAsia" w:ascii="宋体" w:hAnsi="宋体" w:cs="宋体"/>
                <w:b/>
                <w:bCs/>
                <w:color w:val="000000" w:themeColor="text1"/>
                <w:sz w:val="24"/>
                <w:szCs w:val="24"/>
                <w14:textFill>
                  <w14:solidFill>
                    <w14:schemeClr w14:val="tx1"/>
                  </w14:solidFill>
                </w14:textFill>
              </w:rPr>
              <w:t>同一人或直接控股、管理关系</w:t>
            </w:r>
            <w:r>
              <w:rPr>
                <w:rFonts w:hint="eastAsia" w:ascii="宋体" w:hAnsi="宋体"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4482" w:type="pct"/>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与其他投标供应商的投标文件或部分投标文件</w:t>
            </w:r>
            <w:r>
              <w:rPr>
                <w:rFonts w:hint="eastAsia" w:ascii="宋体" w:hAnsi="宋体" w:cs="宋体"/>
                <w:b/>
                <w:bCs/>
                <w:color w:val="000000" w:themeColor="text1"/>
                <w:sz w:val="24"/>
                <w:szCs w:val="24"/>
                <w14:textFill>
                  <w14:solidFill>
                    <w14:schemeClr w14:val="tx1"/>
                  </w14:solidFill>
                </w14:textFill>
              </w:rPr>
              <w:t>相互混装或存在非正常一致</w:t>
            </w:r>
            <w:r>
              <w:rPr>
                <w:rFonts w:hint="eastAsia" w:ascii="宋体" w:hAnsi="宋体"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c>
          <w:tcPr>
            <w:tcW w:w="4482" w:type="pct"/>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与其他投标供应商的投标文件由</w:t>
            </w:r>
            <w:r>
              <w:rPr>
                <w:rFonts w:hint="eastAsia" w:ascii="宋体" w:hAnsi="宋体" w:cs="宋体"/>
                <w:b/>
                <w:bCs/>
                <w:color w:val="000000" w:themeColor="text1"/>
                <w:sz w:val="24"/>
                <w:szCs w:val="24"/>
                <w14:textFill>
                  <w14:solidFill>
                    <w14:schemeClr w14:val="tx1"/>
                  </w14:solidFill>
                </w14:textFill>
              </w:rPr>
              <w:t>同一单位或者同一人编制</w:t>
            </w:r>
            <w:r>
              <w:rPr>
                <w:rFonts w:hint="eastAsia" w:ascii="宋体" w:hAnsi="宋体" w:cs="宋体"/>
                <w:color w:val="000000" w:themeColor="text1"/>
                <w:sz w:val="24"/>
                <w:szCs w:val="24"/>
                <w14:textFill>
                  <w14:solidFill>
                    <w14:schemeClr w14:val="tx1"/>
                  </w14:solidFill>
                </w14:textFill>
              </w:rPr>
              <w:t>，或者使用</w:t>
            </w:r>
            <w:r>
              <w:rPr>
                <w:rFonts w:hint="eastAsia" w:ascii="宋体" w:hAnsi="宋体" w:cs="宋体"/>
                <w:b/>
                <w:bCs/>
                <w:color w:val="000000" w:themeColor="text1"/>
                <w:sz w:val="24"/>
                <w:szCs w:val="24"/>
                <w14:textFill>
                  <w14:solidFill>
                    <w14:schemeClr w14:val="tx1"/>
                  </w14:solidFill>
                </w14:textFill>
              </w:rPr>
              <w:t>同一设备编制</w:t>
            </w:r>
            <w:r>
              <w:rPr>
                <w:rFonts w:hint="eastAsia" w:ascii="宋体" w:hAnsi="宋体" w:cs="宋体"/>
                <w:color w:val="000000" w:themeColor="text1"/>
                <w:sz w:val="24"/>
                <w:szCs w:val="24"/>
                <w14:textFill>
                  <w14:solidFill>
                    <w14:schemeClr w14:val="tx1"/>
                  </w14:solidFill>
                </w14:textFill>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p>
        </w:tc>
        <w:tc>
          <w:tcPr>
            <w:tcW w:w="4482" w:type="pct"/>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w:t>
            </w:r>
            <w:r>
              <w:rPr>
                <w:rFonts w:hint="eastAsia" w:ascii="宋体" w:hAnsi="宋体" w:cs="宋体"/>
                <w:b/>
                <w:bCs/>
                <w:color w:val="000000" w:themeColor="text1"/>
                <w:sz w:val="24"/>
                <w:szCs w:val="24"/>
                <w14:textFill>
                  <w14:solidFill>
                    <w14:schemeClr w14:val="tx1"/>
                  </w14:solidFill>
                </w14:textFill>
              </w:rPr>
              <w:t>未经出具机构核实</w:t>
            </w:r>
            <w:r>
              <w:rPr>
                <w:rFonts w:hint="eastAsia" w:ascii="宋体" w:hAnsi="宋体" w:cs="宋体"/>
                <w:color w:val="000000" w:themeColor="text1"/>
                <w:sz w:val="24"/>
                <w:szCs w:val="24"/>
                <w14:textFill>
                  <w14:solidFill>
                    <w14:schemeClr w14:val="tx1"/>
                  </w14:solidFill>
                </w14:textFill>
              </w:rPr>
              <w:t>的虚假的检验检测报告、业绩材料、社保缴纳证明、学历学位证书、职称认证证书等材料。</w:t>
            </w:r>
          </w:p>
        </w:tc>
      </w:tr>
    </w:tbl>
    <w:p>
      <w:pPr>
        <w:pStyle w:val="7"/>
        <w:rPr>
          <w:color w:val="000000" w:themeColor="text1"/>
          <w14:textFill>
            <w14:solidFill>
              <w14:schemeClr w14:val="tx1"/>
            </w14:solidFill>
          </w14:textFill>
        </w:rPr>
      </w:pPr>
    </w:p>
    <w:p>
      <w:pPr>
        <w:autoSpaceDE w:val="0"/>
        <w:autoSpaceDN w:val="0"/>
        <w:adjustRightInd w:val="0"/>
        <w:spacing w:line="360" w:lineRule="auto"/>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《深圳经济特区政府采购条例》</w:t>
      </w:r>
    </w:p>
    <w:p>
      <w:pPr>
        <w:autoSpaceDE w:val="0"/>
        <w:autoSpaceDN w:val="0"/>
        <w:adjustRightInd w:val="0"/>
        <w:spacing w:line="360" w:lineRule="auto"/>
        <w:ind w:firstLine="482" w:firstLineChars="200"/>
        <w:jc w:val="left"/>
        <w:rPr>
          <w:rFonts w:ascii="宋体" w:hAnsi="宋体" w:cs="宋体"/>
          <w:color w:val="000000" w:themeColor="text1"/>
          <w:sz w:val="24"/>
          <w14:textFill>
            <w14:solidFill>
              <w14:schemeClr w14:val="tx1"/>
            </w14:solidFill>
          </w14:textFill>
        </w:rPr>
      </w:pPr>
      <w:r>
        <w:rPr>
          <w:rStyle w:val="23"/>
          <w:rFonts w:hint="eastAsia" w:ascii="宋体" w:hAnsi="宋体" w:cs="宋体"/>
          <w:color w:val="000000" w:themeColor="text1"/>
          <w:sz w:val="24"/>
          <w14:textFill>
            <w14:solidFill>
              <w14:schemeClr w14:val="tx1"/>
            </w14:solidFill>
          </w14:textFill>
        </w:rPr>
        <w:t>第五十七条</w:t>
      </w:r>
      <w:r>
        <w:rPr>
          <w:rFonts w:hint="eastAsia" w:ascii="宋体" w:hAnsi="宋体" w:cs="宋体"/>
          <w:color w:val="000000" w:themeColor="text1"/>
          <w:sz w:val="24"/>
          <w14:textFill>
            <w14:solidFill>
              <w14:schemeClr w14:val="tx1"/>
            </w14:solidFill>
          </w14:textFill>
        </w:rPr>
        <w:t>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6"/>
        <w:shd w:val="clear" w:color="auto" w:fill="FFFFFF"/>
        <w:spacing w:before="0" w:beforeAutospacing="0" w:after="0" w:afterAutospacing="0" w:line="360" w:lineRule="auto"/>
        <w:ind w:firstLine="480" w:firstLineChars="200"/>
        <w:rPr>
          <w:color w:val="000000" w:themeColor="text1"/>
          <w14:textFill>
            <w14:solidFill>
              <w14:schemeClr w14:val="tx1"/>
            </w14:solidFill>
          </w14:textFill>
        </w:rPr>
      </w:pPr>
      <w:bookmarkStart w:id="4" w:name="_Toc2750"/>
      <w:r>
        <w:rPr>
          <w:rFonts w:hint="eastAsia"/>
          <w:color w:val="000000" w:themeColor="text1"/>
          <w14:textFill>
            <w14:solidFill>
              <w14:schemeClr w14:val="tx1"/>
            </w14:solidFill>
          </w14:textFill>
        </w:rPr>
        <w:t>（一）在采购活动中应当回避而未回避的；</w:t>
      </w:r>
      <w:bookmarkEnd w:id="4"/>
    </w:p>
    <w:p>
      <w:pPr>
        <w:pStyle w:val="16"/>
        <w:shd w:val="clear" w:color="auto" w:fill="FFFFFF"/>
        <w:spacing w:before="0" w:beforeAutospacing="0" w:after="0" w:afterAutospacing="0"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（二）未按照本条例规定签订、履行采购合同，造成严重后果的；</w:t>
      </w:r>
    </w:p>
    <w:p>
      <w:pPr>
        <w:pStyle w:val="16"/>
        <w:shd w:val="clear" w:color="auto" w:fill="FFFFFF"/>
        <w:spacing w:before="0" w:beforeAutospacing="0" w:after="0" w:afterAutospacing="0"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（三）隐瞒真实情况，提供虚假资料的；</w:t>
      </w:r>
    </w:p>
    <w:p>
      <w:pPr>
        <w:pStyle w:val="16"/>
        <w:shd w:val="clear" w:color="auto" w:fill="FFFFFF"/>
        <w:spacing w:before="0" w:beforeAutospacing="0" w:after="0" w:afterAutospacing="0"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（四）以非法手段排斥其他供应商参与竞争的；</w:t>
      </w:r>
    </w:p>
    <w:p>
      <w:pPr>
        <w:pStyle w:val="16"/>
        <w:shd w:val="clear" w:color="auto" w:fill="FFFFFF"/>
        <w:spacing w:before="0" w:beforeAutospacing="0" w:after="0" w:afterAutospacing="0"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（五）与其他采购参加人串通投标的；</w:t>
      </w:r>
    </w:p>
    <w:p>
      <w:pPr>
        <w:pStyle w:val="16"/>
        <w:shd w:val="clear" w:color="auto" w:fill="FFFFFF"/>
        <w:spacing w:before="0" w:beforeAutospacing="0" w:after="0" w:afterAutospacing="0"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（六）恶意投诉的；</w:t>
      </w:r>
    </w:p>
    <w:p>
      <w:pPr>
        <w:pStyle w:val="16"/>
        <w:shd w:val="clear" w:color="auto" w:fill="FFFFFF"/>
        <w:spacing w:before="0" w:beforeAutospacing="0" w:after="0" w:afterAutospacing="0"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（七）向采购项目相关人行贿或者提供其他不当利益的；</w:t>
      </w:r>
    </w:p>
    <w:p>
      <w:pPr>
        <w:pStyle w:val="16"/>
        <w:shd w:val="clear" w:color="auto" w:fill="FFFFFF"/>
        <w:spacing w:before="0" w:beforeAutospacing="0" w:after="0" w:afterAutospacing="0"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（八）阻碍、抗拒主管部门监督检查的；</w:t>
      </w:r>
    </w:p>
    <w:p>
      <w:pPr>
        <w:pStyle w:val="16"/>
        <w:shd w:val="clear" w:color="auto" w:fill="FFFFFF"/>
        <w:spacing w:before="0" w:beforeAutospacing="0" w:after="0" w:afterAutospacing="0"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（九）其他违反本条例规定的行为。</w:t>
      </w:r>
    </w:p>
    <w:p>
      <w:pPr>
        <w:autoSpaceDE w:val="0"/>
        <w:autoSpaceDN w:val="0"/>
        <w:adjustRightInd w:val="0"/>
        <w:spacing w:line="360" w:lineRule="auto"/>
        <w:ind w:firstLine="360" w:firstLineChars="150"/>
        <w:jc w:val="left"/>
        <w:rPr>
          <w:rFonts w:ascii="宋体" w:hAnsi="宋体" w:cs="宋体"/>
          <w:color w:val="000000" w:themeColor="text1"/>
          <w:kern w:val="0"/>
          <w:sz w:val="24"/>
          <w14:textFill>
            <w14:solidFill>
              <w14:schemeClr w14:val="tx1"/>
            </w14:solidFill>
          </w14:textFill>
        </w:rPr>
      </w:pPr>
    </w:p>
    <w:p>
      <w:pPr>
        <w:autoSpaceDE w:val="0"/>
        <w:autoSpaceDN w:val="0"/>
        <w:adjustRightInd w:val="0"/>
        <w:spacing w:line="360" w:lineRule="auto"/>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《深圳经济特区政府采购条例实施细则》</w:t>
      </w:r>
    </w:p>
    <w:p>
      <w:pPr>
        <w:keepLines/>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第七十五条</w:t>
      </w:r>
      <w:r>
        <w:rPr>
          <w:rFonts w:hint="eastAsia" w:ascii="宋体" w:hAnsi="宋体" w:cs="宋体"/>
          <w:color w:val="000000" w:themeColor="text1"/>
          <w:sz w:val="24"/>
          <w14:textFill>
            <w14:solidFill>
              <w14:schemeClr w14:val="tx1"/>
            </w14:solidFill>
          </w14:textFill>
        </w:rPr>
        <w:t> 供应商有下列情形的，属于采购条例所称的串通投标行为，按照采购条例第五十七条有关规定处理：</w:t>
      </w:r>
    </w:p>
    <w:p>
      <w:pPr>
        <w:keepLines/>
        <w:spacing w:line="360" w:lineRule="auto"/>
        <w:ind w:firstLine="480" w:firstLineChars="200"/>
        <w:rPr>
          <w:rFonts w:ascii="宋体" w:hAnsi="宋体" w:cs="宋体"/>
          <w:color w:val="000000" w:themeColor="text1"/>
          <w:sz w:val="24"/>
          <w14:textFill>
            <w14:solidFill>
              <w14:schemeClr w14:val="tx1"/>
            </w14:solidFill>
          </w14:textFill>
        </w:rPr>
      </w:pPr>
      <w:bookmarkStart w:id="5" w:name="_Toc6281"/>
      <w:r>
        <w:rPr>
          <w:rFonts w:hint="eastAsia" w:ascii="宋体" w:hAnsi="宋体" w:cs="宋体"/>
          <w:color w:val="000000" w:themeColor="text1"/>
          <w:sz w:val="24"/>
          <w14:textFill>
            <w14:solidFill>
              <w14:schemeClr w14:val="tx1"/>
            </w14:solidFill>
          </w14:textFill>
        </w:rPr>
        <w:t>（一）投标供应商之间相互约定给予未中标的供应商利益补偿；</w:t>
      </w:r>
      <w:bookmarkEnd w:id="5"/>
    </w:p>
    <w:p>
      <w:pPr>
        <w:keepLine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（二）不同投标供应商的法定代表人、主要经营负责人、项目投标授权代表人、项目负责人、主要技术人员为同一人、属同一单位或者在同一单位缴纳社会保险；　　　　 </w:t>
      </w:r>
    </w:p>
    <w:p>
      <w:pPr>
        <w:keepLine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（三）不同投标供应商的投标文件由同一单位或者同一人编制，或者由同一人分阶段参与编制的；</w:t>
      </w:r>
    </w:p>
    <w:p>
      <w:pPr>
        <w:keepLine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（四）不同投标供应商的投标文件或部分投标文件相互混装；</w:t>
      </w:r>
    </w:p>
    <w:p>
      <w:pPr>
        <w:keepLine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（五）不同投标供应商的投标文件内容存在非正常一致；</w:t>
      </w:r>
    </w:p>
    <w:p>
      <w:pPr>
        <w:keepLine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（六）由同一单位工作人员为两家以上（含两家）供应商进行同一项投标活动的；</w:t>
      </w:r>
    </w:p>
    <w:p>
      <w:pPr>
        <w:keepLines/>
        <w:spacing w:line="360" w:lineRule="auto"/>
        <w:ind w:firstLine="480" w:firstLineChars="200"/>
        <w:rPr>
          <w:rFonts w:ascii="宋体" w:hAnsi="宋体" w:cs="宋体"/>
          <w:color w:val="000000" w:themeColor="text1"/>
          <w:sz w:val="24"/>
          <w14:textFill>
            <w14:solidFill>
              <w14:schemeClr w14:val="tx1"/>
            </w14:solidFill>
          </w14:textFill>
        </w:rPr>
      </w:pPr>
      <w:bookmarkStart w:id="6" w:name="_Toc31089"/>
      <w:r>
        <w:rPr>
          <w:rFonts w:hint="eastAsia" w:ascii="宋体" w:hAnsi="宋体" w:cs="宋体"/>
          <w:color w:val="000000" w:themeColor="text1"/>
          <w:sz w:val="24"/>
          <w14:textFill>
            <w14:solidFill>
              <w14:schemeClr w14:val="tx1"/>
            </w14:solidFill>
          </w14:textFill>
        </w:rPr>
        <w:t>（七）主管部门依照法律、法规认定的其他情形。</w:t>
      </w:r>
      <w:bookmarkEnd w:id="6"/>
    </w:p>
    <w:p>
      <w:pPr>
        <w:keepLines/>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第七十七条</w:t>
      </w:r>
      <w:r>
        <w:rPr>
          <w:rFonts w:hint="eastAsia" w:ascii="宋体" w:hAnsi="宋体" w:cs="宋体"/>
          <w:color w:val="000000" w:themeColor="text1"/>
          <w:sz w:val="24"/>
          <w14:textFill>
            <w14:solidFill>
              <w14:schemeClr w14:val="tx1"/>
            </w14:solidFill>
          </w14:textFill>
        </w:rPr>
        <w:t> 供应商有下列情形之一的，属于隐瞒真实情况，提供虚假资料，按照采购条例第五十七条的有关规定处理：</w:t>
      </w:r>
    </w:p>
    <w:p>
      <w:pPr>
        <w:keepLine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（一）通过转让或者租借等方式从其他单位获取资格或者资质证书投标的；</w:t>
      </w:r>
    </w:p>
    <w:p>
      <w:pPr>
        <w:keepLine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（二）由其他单位或者其他单位负责人在投标供应商编制的投标文件上加盖印章或者签字的；</w:t>
      </w:r>
    </w:p>
    <w:p>
      <w:pPr>
        <w:keepLine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（三）项目负责人或者主要技术人员不是本单位人员的；</w:t>
      </w:r>
    </w:p>
    <w:p>
      <w:pPr>
        <w:keepLine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（四）投标保证金不是从投标供应商基本账户转出的；</w:t>
      </w:r>
    </w:p>
    <w:p>
      <w:pPr>
        <w:keepLines/>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（五）其他隐瞒真实情况、提供虚假资料的行为。</w:t>
      </w:r>
    </w:p>
    <w:p>
      <w:pPr>
        <w:keepLines/>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投标供应商不能提供项目负责人或者主要技术人员的劳动合同、社会保险等劳动关系证明材料的，视为存在前款第（三）项规定的情形。</w:t>
      </w:r>
    </w:p>
    <w:p>
      <w:pPr>
        <w:pStyle w:val="7"/>
        <w:tabs>
          <w:tab w:val="left" w:pos="562"/>
          <w:tab w:val="left" w:pos="3372"/>
          <w:tab w:val="left" w:pos="3653"/>
        </w:tabs>
        <w:spacing w:line="360" w:lineRule="auto"/>
        <w:rPr>
          <w:rFonts w:ascii="宋体" w:hAnsi="宋体" w:cs="宋体"/>
          <w:color w:val="000000" w:themeColor="text1"/>
          <w14:textFill>
            <w14:solidFill>
              <w14:schemeClr w14:val="tx1"/>
            </w14:solidFill>
          </w14:textFill>
        </w:rPr>
      </w:pPr>
    </w:p>
    <w:p>
      <w:pPr>
        <w:autoSpaceDE w:val="0"/>
        <w:autoSpaceDN w:val="0"/>
        <w:adjustRightInd w:val="0"/>
        <w:spacing w:line="360" w:lineRule="auto"/>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 xml:space="preserve">《中华人民共和国政府采购法实施条例》 </w:t>
      </w:r>
    </w:p>
    <w:p>
      <w:pPr>
        <w:spacing w:line="360" w:lineRule="auto"/>
        <w:ind w:firstLine="482" w:firstLineChars="200"/>
        <w:jc w:val="left"/>
        <w:rPr>
          <w:rFonts w:ascii="宋体" w:hAnsi="宋体" w:cs="宋体"/>
          <w:color w:val="000000" w:themeColor="text1"/>
          <w:sz w:val="24"/>
          <w14:textFill>
            <w14:solidFill>
              <w14:schemeClr w14:val="tx1"/>
            </w14:solidFill>
          </w14:textFill>
        </w:rPr>
      </w:pPr>
      <w:bookmarkStart w:id="7" w:name="_Toc10451"/>
      <w:r>
        <w:rPr>
          <w:rFonts w:hint="eastAsia" w:ascii="宋体" w:hAnsi="宋体" w:cs="宋体"/>
          <w:b/>
          <w:bCs/>
          <w:color w:val="000000" w:themeColor="text1"/>
          <w:sz w:val="24"/>
          <w14:textFill>
            <w14:solidFill>
              <w14:schemeClr w14:val="tx1"/>
            </w14:solidFill>
          </w14:textFill>
        </w:rPr>
        <w:t>第十八条</w:t>
      </w:r>
      <w:r>
        <w:rPr>
          <w:rFonts w:hint="eastAsia" w:ascii="宋体" w:hAnsi="宋体" w:cs="宋体"/>
          <w:color w:val="000000" w:themeColor="text1"/>
          <w:sz w:val="24"/>
          <w14:textFill>
            <w14:solidFill>
              <w14:schemeClr w14:val="tx1"/>
            </w14:solidFill>
          </w14:textFill>
        </w:rPr>
        <w:t xml:space="preserve"> 单位负责人为同一人或者存在直接控股、管理关系的不同供应商，不得参加同一合同项下的政府采购活动。</w:t>
      </w:r>
      <w:bookmarkEnd w:id="7"/>
    </w:p>
    <w:p>
      <w:pPr>
        <w:spacing w:line="360" w:lineRule="auto"/>
        <w:ind w:firstLine="480" w:firstLineChars="200"/>
        <w:jc w:val="left"/>
        <w:rPr>
          <w:rFonts w:ascii="宋体" w:hAnsi="宋体" w:cs="宋体"/>
          <w:color w:val="000000" w:themeColor="text1"/>
          <w:sz w:val="24"/>
          <w14:textFill>
            <w14:solidFill>
              <w14:schemeClr w14:val="tx1"/>
            </w14:solidFill>
          </w14:textFill>
        </w:rPr>
      </w:pPr>
      <w:bookmarkStart w:id="8" w:name="_Toc4495"/>
      <w:r>
        <w:rPr>
          <w:rFonts w:hint="eastAsia" w:ascii="宋体" w:hAnsi="宋体" w:cs="宋体"/>
          <w:color w:val="000000" w:themeColor="text1"/>
          <w:sz w:val="24"/>
          <w14:textFill>
            <w14:solidFill>
              <w14:schemeClr w14:val="tx1"/>
            </w14:solidFill>
          </w14:textFill>
        </w:rPr>
        <w:t>除单一来源采购项目外，为采购项目提供整体设计、规范编制或者项目管理、监 理、检测等服务的供应商，不得再参加该采购项目的其他采购活动。</w:t>
      </w:r>
      <w:bookmarkEnd w:id="8"/>
    </w:p>
    <w:p>
      <w:pPr>
        <w:pStyle w:val="7"/>
        <w:tabs>
          <w:tab w:val="left" w:pos="562"/>
          <w:tab w:val="left" w:pos="3372"/>
          <w:tab w:val="left" w:pos="3653"/>
        </w:tabs>
        <w:spacing w:line="360" w:lineRule="auto"/>
        <w:rPr>
          <w:rFonts w:ascii="宋体" w:hAnsi="宋体" w:cs="宋体"/>
          <w:color w:val="000000" w:themeColor="text1"/>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 xml:space="preserve">《深圳市财政局关于采购文件增加风险告知有关事项的通知》 </w:t>
      </w:r>
    </w:p>
    <w:p>
      <w:pPr>
        <w:pStyle w:val="7"/>
        <w:tabs>
          <w:tab w:val="left" w:pos="562"/>
          <w:tab w:val="left" w:pos="3372"/>
          <w:tab w:val="left" w:pos="3653"/>
        </w:tabs>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pStyle w:val="7"/>
        <w:tabs>
          <w:tab w:val="left" w:pos="562"/>
          <w:tab w:val="left" w:pos="3372"/>
          <w:tab w:val="left" w:pos="3653"/>
        </w:tabs>
        <w:spacing w:line="360" w:lineRule="auto"/>
        <w:ind w:firstLine="480" w:firstLineChars="200"/>
        <w:rPr>
          <w:rFonts w:ascii="宋体" w:hAnsi="宋体" w:cs="宋体"/>
          <w:color w:val="000000" w:themeColor="text1"/>
          <w14:textFill>
            <w14:solidFill>
              <w14:schemeClr w14:val="tx1"/>
            </w14:solidFill>
          </w14:textFill>
        </w:rPr>
      </w:pPr>
    </w:p>
    <w:p>
      <w:pPr>
        <w:jc w:val="center"/>
        <w:outlineLvl w:val="0"/>
        <w:rPr>
          <w:rFonts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br w:type="page"/>
      </w:r>
      <w:bookmarkStart w:id="9" w:name="_Toc20808"/>
      <w:r>
        <w:rPr>
          <w:rFonts w:hint="eastAsia" w:ascii="宋体" w:hAnsi="宋体" w:cs="宋体"/>
          <w:b/>
          <w:bCs/>
          <w:color w:val="000000" w:themeColor="text1"/>
          <w:sz w:val="36"/>
          <w:szCs w:val="36"/>
          <w:lang w:val="zh-CN"/>
          <w14:textFill>
            <w14:solidFill>
              <w14:schemeClr w14:val="tx1"/>
            </w14:solidFill>
          </w14:textFill>
        </w:rPr>
        <w:t>目录</w:t>
      </w:r>
      <w:bookmarkEnd w:id="3"/>
      <w:bookmarkEnd w:id="9"/>
    </w:p>
    <w:p>
      <w:pPr>
        <w:pStyle w:val="14"/>
        <w:tabs>
          <w:tab w:val="right" w:leader="dot" w:pos="8306"/>
        </w:tabs>
        <w:spacing w:line="480" w:lineRule="auto"/>
        <w:rPr>
          <w:b/>
          <w:bCs/>
          <w:color w:val="000000" w:themeColor="text1"/>
          <w:sz w:val="24"/>
          <w:szCs w:val="32"/>
          <w14:textFill>
            <w14:solidFill>
              <w14:schemeClr w14:val="tx1"/>
            </w14:solidFill>
          </w14:textFill>
        </w:rPr>
      </w:pPr>
    </w:p>
    <w:p>
      <w:pPr>
        <w:pStyle w:val="14"/>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TOC \o "1-1" \h \u </w:instrText>
      </w:r>
      <w:r>
        <w:rPr>
          <w:rFonts w:hint="eastAsia" w:ascii="宋体" w:hAnsi="宋体" w:cs="宋体"/>
          <w:b/>
          <w:bCs/>
          <w:color w:val="000000" w:themeColor="text1"/>
          <w:sz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"_Toc17273"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第一章 招标邀请书（招标公告）</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_Toc17273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6</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fldChar w:fldCharType="end"/>
      </w:r>
    </w:p>
    <w:p>
      <w:pPr>
        <w:pStyle w:val="14"/>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"_Toc10214"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第二章 投标须知</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_Toc10214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10</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fldChar w:fldCharType="end"/>
      </w:r>
    </w:p>
    <w:p>
      <w:pPr>
        <w:pStyle w:val="14"/>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"_Toc20176"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第三章 评标程序</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_Toc20176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13</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fldChar w:fldCharType="end"/>
      </w:r>
    </w:p>
    <w:p>
      <w:pPr>
        <w:pStyle w:val="14"/>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"_Toc3567"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第四章 合同格式及合同条款</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_Toc3567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15</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fldChar w:fldCharType="end"/>
      </w:r>
    </w:p>
    <w:p>
      <w:pPr>
        <w:pStyle w:val="14"/>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"_Toc25518"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第五章 用户需求书</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end"/>
      </w:r>
      <w:r>
        <w:rPr>
          <w:rFonts w:hint="eastAsia"/>
          <w:b/>
          <w:bCs/>
          <w:color w:val="000000" w:themeColor="text1"/>
          <w:sz w:val="24"/>
          <w14:textFill>
            <w14:solidFill>
              <w14:schemeClr w14:val="tx1"/>
            </w14:solidFill>
          </w14:textFill>
        </w:rPr>
        <w:t>26</w:t>
      </w:r>
    </w:p>
    <w:p>
      <w:pPr>
        <w:pStyle w:val="14"/>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"_Toc23822" </w:instrText>
      </w:r>
      <w:r>
        <w:rPr>
          <w:color w:val="000000" w:themeColor="text1"/>
          <w14:textFill>
            <w14:solidFill>
              <w14:schemeClr w14:val="tx1"/>
            </w14:solidFill>
          </w14:textFill>
        </w:rPr>
        <w:fldChar w:fldCharType="separate"/>
      </w:r>
      <w:r>
        <w:rPr>
          <w:rFonts w:hint="eastAsia" w:ascii="宋体" w:cs="宋体"/>
          <w:b/>
          <w:bCs/>
          <w:color w:val="000000" w:themeColor="text1"/>
          <w:sz w:val="24"/>
          <w14:textFill>
            <w14:solidFill>
              <w14:schemeClr w14:val="tx1"/>
            </w14:solidFill>
          </w14:textFill>
        </w:rPr>
        <w:t>第六章 投标文件初审及招标项目评分表</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end"/>
      </w:r>
      <w:r>
        <w:rPr>
          <w:rFonts w:hint="eastAsia"/>
          <w:b/>
          <w:bCs/>
          <w:color w:val="000000" w:themeColor="text1"/>
          <w:sz w:val="24"/>
          <w14:textFill>
            <w14:solidFill>
              <w14:schemeClr w14:val="tx1"/>
            </w14:solidFill>
          </w14:textFill>
        </w:rPr>
        <w:t>32</w:t>
      </w:r>
    </w:p>
    <w:p>
      <w:pPr>
        <w:pStyle w:val="14"/>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"_Toc9548"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第七章 附件（投标文件格式）</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end"/>
      </w:r>
      <w:r>
        <w:rPr>
          <w:rFonts w:hint="eastAsia"/>
          <w:b/>
          <w:bCs/>
          <w:color w:val="000000" w:themeColor="text1"/>
          <w:sz w:val="24"/>
          <w14:textFill>
            <w14:solidFill>
              <w14:schemeClr w14:val="tx1"/>
            </w14:solidFill>
          </w14:textFill>
        </w:rPr>
        <w:t>38</w:t>
      </w:r>
    </w:p>
    <w:p>
      <w:pPr>
        <w:pStyle w:val="14"/>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"_Toc742"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附件：相关政策</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end"/>
      </w:r>
      <w:r>
        <w:rPr>
          <w:rFonts w:hint="eastAsia"/>
          <w:b/>
          <w:bCs/>
          <w:color w:val="000000" w:themeColor="text1"/>
          <w:sz w:val="24"/>
          <w14:textFill>
            <w14:solidFill>
              <w14:schemeClr w14:val="tx1"/>
            </w14:solidFill>
          </w14:textFill>
        </w:rPr>
        <w:t>57</w:t>
      </w:r>
    </w:p>
    <w:p>
      <w:pPr>
        <w:pStyle w:val="14"/>
        <w:tabs>
          <w:tab w:val="right" w:leader="dot" w:pos="8306"/>
        </w:tabs>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end"/>
      </w:r>
    </w:p>
    <w:p>
      <w:pPr>
        <w:spacing w:line="360" w:lineRule="auto"/>
        <w:rPr>
          <w:color w:val="000000" w:themeColor="text1"/>
          <w14:textFill>
            <w14:solidFill>
              <w14:schemeClr w14:val="tx1"/>
            </w14:solidFill>
          </w14:textFill>
        </w:rPr>
      </w:pPr>
    </w:p>
    <w:p>
      <w:pPr>
        <w:numPr>
          <w:ilvl w:val="0"/>
          <w:numId w:val="1"/>
        </w:numPr>
        <w:spacing w:line="360" w:lineRule="auto"/>
        <w:jc w:val="center"/>
        <w:outlineLvl w:val="0"/>
        <w:rPr>
          <w:rFonts w:ascii="宋体" w:hAnsi="宋体" w:cs="宋体"/>
          <w:b/>
          <w:bCs/>
          <w:color w:val="000000" w:themeColor="text1"/>
          <w:sz w:val="24"/>
          <w14:textFill>
            <w14:solidFill>
              <w14:schemeClr w14:val="tx1"/>
            </w14:solidFill>
          </w14:textFill>
        </w:rPr>
      </w:pPr>
      <w:r>
        <w:rPr>
          <w:rFonts w:ascii="宋体"/>
          <w:b/>
          <w:bCs/>
          <w:color w:val="000000" w:themeColor="text1"/>
          <w:sz w:val="32"/>
          <w:szCs w:val="28"/>
          <w14:textFill>
            <w14:solidFill>
              <w14:schemeClr w14:val="tx1"/>
            </w14:solidFill>
          </w14:textFill>
        </w:rPr>
        <w:br w:type="page"/>
      </w:r>
      <w:r>
        <w:rPr>
          <w:rFonts w:hint="eastAsia" w:ascii="宋体"/>
          <w:b/>
          <w:bCs/>
          <w:color w:val="000000" w:themeColor="text1"/>
          <w:sz w:val="32"/>
          <w:szCs w:val="28"/>
          <w14:textFill>
            <w14:solidFill>
              <w14:schemeClr w14:val="tx1"/>
            </w14:solidFill>
          </w14:textFill>
        </w:rPr>
        <w:t xml:space="preserve"> </w:t>
      </w:r>
      <w:bookmarkStart w:id="10" w:name="_Toc17273"/>
      <w:r>
        <w:rPr>
          <w:rFonts w:hint="eastAsia" w:ascii="宋体" w:hAnsi="宋体" w:cs="宋体"/>
          <w:b/>
          <w:bCs/>
          <w:color w:val="000000" w:themeColor="text1"/>
          <w:sz w:val="24"/>
          <w14:textFill>
            <w14:solidFill>
              <w14:schemeClr w14:val="tx1"/>
            </w14:solidFill>
          </w14:textFill>
        </w:rPr>
        <w:t>招标邀请书（招标公告）</w:t>
      </w:r>
      <w:bookmarkEnd w:id="10"/>
    </w:p>
    <w:p>
      <w:pPr>
        <w:spacing w:line="360" w:lineRule="auto"/>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文件编码：0722-2025FE6070SZF-1</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中国远东国际招标有限公司（以下简称采购代理机构）受深圳市前海深港现代服务业合作区管理局委托就</w:t>
      </w:r>
      <w:r>
        <w:rPr>
          <w:rFonts w:hint="eastAsia" w:ascii="宋体" w:hAnsi="宋体" w:cs="宋体"/>
          <w:color w:val="000000" w:themeColor="text1"/>
          <w:sz w:val="24"/>
          <w:u w:val="single"/>
          <w14:textFill>
            <w14:solidFill>
              <w14:schemeClr w14:val="tx1"/>
            </w14:solidFill>
          </w14:textFill>
        </w:rPr>
        <w:t>2025年交通运输仓储和邮政业经济运行分析服务项目</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QH2025032</w:t>
      </w:r>
      <w:r>
        <w:rPr>
          <w:rFonts w:hint="eastAsia" w:ascii="宋体" w:hAnsi="宋体" w:cs="宋体"/>
          <w:color w:val="000000" w:themeColor="text1"/>
          <w:sz w:val="24"/>
          <w14:textFill>
            <w14:solidFill>
              <w14:schemeClr w14:val="tx1"/>
            </w14:solidFill>
          </w14:textFill>
        </w:rPr>
        <w:t>）采用简易招标方式采购，欢迎符合投标人资格要求的专业供应商积极参加投标。</w:t>
      </w:r>
    </w:p>
    <w:tbl>
      <w:tblPr>
        <w:tblStyle w:val="20"/>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jc w:val="center"/>
        </w:trPr>
        <w:tc>
          <w:tcPr>
            <w:tcW w:w="1676"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p>
        </w:tc>
        <w:tc>
          <w:tcPr>
            <w:tcW w:w="7015"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QH2025032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招标项目名称</w:t>
            </w:r>
          </w:p>
        </w:tc>
        <w:tc>
          <w:tcPr>
            <w:tcW w:w="7015" w:type="dxa"/>
            <w:vAlign w:val="center"/>
          </w:tcPr>
          <w:p>
            <w:pPr>
              <w:spacing w:line="360" w:lineRule="auto"/>
              <w:rPr>
                <w:rFonts w:ascii="宋体" w:hAnsi="宋体" w:cs="宋体"/>
                <w:color w:val="000000" w:themeColor="text1"/>
                <w:sz w:val="24"/>
                <w14:textFill>
                  <w14:solidFill>
                    <w14:schemeClr w14:val="tx1"/>
                  </w14:solidFill>
                </w14:textFill>
              </w:rPr>
            </w:pPr>
            <w:bookmarkStart w:id="11" w:name="OLE_LINK19"/>
            <w:r>
              <w:rPr>
                <w:rFonts w:hint="eastAsia" w:ascii="宋体" w:hAnsi="宋体" w:cs="宋体"/>
                <w:color w:val="000000" w:themeColor="text1"/>
                <w:sz w:val="24"/>
                <w14:textFill>
                  <w14:solidFill>
                    <w14:schemeClr w14:val="tx1"/>
                  </w14:solidFill>
                </w14:textFill>
              </w:rPr>
              <w:t>2025年交通运输仓储和邮政业经济运行分析服务项目</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标的内容</w:t>
            </w:r>
          </w:p>
        </w:tc>
        <w:tc>
          <w:tcPr>
            <w:tcW w:w="7015" w:type="dxa"/>
            <w:vAlign w:val="center"/>
          </w:tcPr>
          <w:p>
            <w:pPr>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为全面掌握前海合作区交通运输仓储和邮政业的经济数据结构及运行特征，充分利用大数据及挖掘技术，针对前海交通运输、仓储和邮政业开展经济运行分析相关工作，支撑交通运输、仓储和邮政业高质量发展，拟采购第三方数据服务机构协助提供2025年交通运输仓储和邮政业的经济运行分析服务。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项目预算</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（最高限价）</w:t>
            </w:r>
          </w:p>
        </w:tc>
        <w:tc>
          <w:tcPr>
            <w:tcW w:w="7015"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¥300,000.00（人民币叁拾万元整）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标书获得办法</w:t>
            </w:r>
          </w:p>
        </w:tc>
        <w:tc>
          <w:tcPr>
            <w:tcW w:w="7015" w:type="dxa"/>
            <w:vAlign w:val="center"/>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jc w:val="center"/>
        </w:trPr>
        <w:tc>
          <w:tcPr>
            <w:tcW w:w="1676"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报名方式</w:t>
            </w:r>
          </w:p>
        </w:tc>
        <w:tc>
          <w:tcPr>
            <w:tcW w:w="7015" w:type="dxa"/>
            <w:vAlign w:val="center"/>
          </w:tcPr>
          <w:p>
            <w:pPr>
              <w:adjustRightInd w:val="0"/>
              <w:snapToGrid w:val="0"/>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将投标文件密封并在</w:t>
            </w:r>
            <w:r>
              <w:rPr>
                <w:rFonts w:hint="eastAsia" w:ascii="宋体" w:hAnsi="宋体" w:cs="宋体"/>
                <w:b/>
                <w:bCs/>
                <w:color w:val="000000" w:themeColor="text1"/>
                <w:kern w:val="0"/>
                <w:sz w:val="24"/>
                <w14:textFill>
                  <w14:solidFill>
                    <w14:schemeClr w14:val="tx1"/>
                  </w14:solidFill>
                </w14:textFill>
              </w:rPr>
              <w:t>2025年</w:t>
            </w:r>
            <w:r>
              <w:rPr>
                <w:rFonts w:hint="eastAsia" w:ascii="宋体" w:hAnsi="宋体" w:cs="宋体"/>
                <w:b/>
                <w:bCs/>
                <w:color w:val="000000" w:themeColor="text1"/>
                <w:kern w:val="0"/>
                <w:sz w:val="24"/>
                <w:lang w:val="en-US" w:eastAsia="zh-CN"/>
                <w14:textFill>
                  <w14:solidFill>
                    <w14:schemeClr w14:val="tx1"/>
                  </w14:solidFill>
                </w14:textFill>
              </w:rPr>
              <w:t>4</w:t>
            </w:r>
            <w:r>
              <w:rPr>
                <w:rFonts w:hint="eastAsia" w:ascii="宋体" w:hAnsi="宋体" w:cs="宋体"/>
                <w:b/>
                <w:bCs/>
                <w:color w:val="000000" w:themeColor="text1"/>
                <w:kern w:val="0"/>
                <w:sz w:val="24"/>
                <w14:textFill>
                  <w14:solidFill>
                    <w14:schemeClr w14:val="tx1"/>
                  </w14:solidFill>
                </w14:textFill>
              </w:rPr>
              <w:t>月</w:t>
            </w:r>
            <w:r>
              <w:rPr>
                <w:rFonts w:hint="eastAsia" w:ascii="宋体" w:hAnsi="宋体" w:cs="宋体"/>
                <w:b/>
                <w:bCs/>
                <w:color w:val="000000" w:themeColor="text1"/>
                <w:kern w:val="0"/>
                <w:sz w:val="24"/>
                <w:lang w:val="en-US" w:eastAsia="zh-CN"/>
                <w14:textFill>
                  <w14:solidFill>
                    <w14:schemeClr w14:val="tx1"/>
                  </w14:solidFill>
                </w14:textFill>
              </w:rPr>
              <w:t>9</w:t>
            </w:r>
            <w:r>
              <w:rPr>
                <w:rFonts w:hint="eastAsia" w:ascii="宋体" w:hAnsi="宋体" w:cs="宋体"/>
                <w:b/>
                <w:bCs/>
                <w:color w:val="000000" w:themeColor="text1"/>
                <w:kern w:val="0"/>
                <w:sz w:val="24"/>
                <w14:textFill>
                  <w14:solidFill>
                    <w14:schemeClr w14:val="tx1"/>
                  </w14:solidFill>
                </w14:textFill>
              </w:rPr>
              <w:t>日上午10：00时（北京时间）</w:t>
            </w:r>
            <w:r>
              <w:rPr>
                <w:rFonts w:hint="eastAsia" w:ascii="宋体" w:hAnsi="宋体" w:cs="宋体"/>
                <w:color w:val="000000" w:themeColor="text1"/>
                <w:kern w:val="0"/>
                <w:sz w:val="24"/>
                <w14:textFill>
                  <w14:solidFill>
                    <w14:schemeClr w14:val="tx1"/>
                  </w14:solidFill>
                </w14:textFill>
              </w:rPr>
              <w:t>前送达（现场递交或邮寄）至深圳市南山区前海深港合作区桂湾五路123号前海管理局前海大厦T1栋2603办公室</w:t>
            </w:r>
          </w:p>
          <w:p>
            <w:pPr>
              <w:adjustRightInd w:val="0"/>
              <w:snapToGrid w:val="0"/>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人：赵女士</w:t>
            </w:r>
          </w:p>
          <w:p>
            <w:pPr>
              <w:adjustRightInd w:val="0"/>
              <w:snapToGrid w:val="0"/>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话：15700731158</w:t>
            </w:r>
          </w:p>
          <w:p>
            <w:pPr>
              <w:adjustRightInd w:val="0"/>
              <w:snapToGrid w:val="0"/>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投标人资格要求</w:t>
            </w:r>
          </w:p>
        </w:tc>
        <w:tc>
          <w:tcPr>
            <w:tcW w:w="7015" w:type="dxa"/>
            <w:vAlign w:val="center"/>
          </w:tcPr>
          <w:p>
            <w:pPr>
              <w:numPr>
                <w:ilvl w:val="0"/>
                <w:numId w:val="2"/>
              </w:num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在中华人民共和国境内注册的具有独立法人资格或具有独立承担民事责任的能力的其他组织</w:t>
            </w:r>
            <w:r>
              <w:rPr>
                <w:rFonts w:hint="eastAsia" w:ascii="宋体" w:hAnsi="宋体" w:cs="宋体"/>
                <w:b/>
                <w:bCs/>
                <w:color w:val="000000" w:themeColor="text1"/>
                <w:kern w:val="0"/>
                <w:sz w:val="24"/>
                <w14:textFill>
                  <w14:solidFill>
                    <w14:schemeClr w14:val="tx1"/>
                  </w14:solidFill>
                </w14:textFill>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参与政府采购项目投标的供应商近三年内无行贿犯罪记录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参与本项目投标前三年内，在经营活动中没有重大违法记录以及不存在被有关部门禁止参与政府采购活动且在有效期内的情况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投标人承诺“本单位（公司）不存在《深圳市财政局政府采购供应商信用信息管理办法》（深财规〔2023〕3号）列明的严重违法失信行为”</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w:t>
            </w:r>
            <w:r>
              <w:rPr>
                <w:rFonts w:hint="eastAsia" w:ascii="宋体" w:hAnsi="宋体" w:cs="宋体"/>
                <w:b/>
                <w:bCs/>
                <w:color w:val="000000" w:themeColor="text1"/>
                <w:kern w:val="0"/>
                <w:sz w:val="24"/>
                <w14:textFill>
                  <w14:solidFill>
                    <w14:schemeClr w14:val="tx1"/>
                  </w14:solidFill>
                </w14:textFill>
              </w:rPr>
              <w:t>投标人提供《供应商基本情况表》并加盖公章，同时提供投标人的社保缴纳证明材料及股权关系证明材料，格式见-投标文件格式）；</w:t>
            </w:r>
          </w:p>
          <w:p>
            <w:pPr>
              <w:numPr>
                <w:ilvl w:val="0"/>
                <w:numId w:val="2"/>
              </w:num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为此项目提供整体设计、规范编制或者项目管理、监理、检测等服务的供应商，不得再参加此项目的其他招标采购活动</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p>
          <w:p>
            <w:pPr>
              <w:numPr>
                <w:ilvl w:val="0"/>
                <w:numId w:val="2"/>
              </w:num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落实政府采购政策需满足的资格要求：本项目不属于专门面向特定企业（单位）的采购项目，本项目采购标的对应的中小企业划分标准所属行业为：</w:t>
            </w:r>
            <w:r>
              <w:rPr>
                <w:rFonts w:hint="eastAsia" w:ascii="宋体" w:hAnsi="宋体" w:cs="宋体"/>
                <w:color w:val="000000" w:themeColor="text1"/>
                <w:kern w:val="0"/>
                <w:sz w:val="24"/>
                <w:u w:val="single"/>
                <w14:textFill>
                  <w14:solidFill>
                    <w14:schemeClr w14:val="tx1"/>
                  </w14:solidFill>
                </w14:textFill>
              </w:rPr>
              <w:t>其他未列明行业。</w:t>
            </w:r>
          </w:p>
          <w:p>
            <w:pPr>
              <w:numPr>
                <w:ilvl w:val="0"/>
                <w:numId w:val="2"/>
              </w:num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本项目不接受联合体投标、不允许非法分包、转包。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报价要求</w:t>
            </w:r>
          </w:p>
        </w:tc>
        <w:tc>
          <w:tcPr>
            <w:tcW w:w="7015" w:type="dxa"/>
            <w:vAlign w:val="center"/>
          </w:tcPr>
          <w:p>
            <w:pPr>
              <w:numPr>
                <w:ilvl w:val="0"/>
                <w:numId w:val="3"/>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投标为总价包干，投标报价总价作为中标人与采购人签订的合同金额。投标人的报价不可高于预算（限价），否则投标人的投标文件视同无效。投标人的投标总价为完成项目及招标文件或合同条款所规定的工作内容的各项费用，项目服务费包括但不限于：</w:t>
            </w:r>
            <w:r>
              <w:rPr>
                <w:rFonts w:hint="eastAsia" w:ascii="宋体" w:hAnsi="宋体" w:cs="宋体"/>
                <w:color w:val="000000" w:themeColor="text1"/>
                <w:kern w:val="0"/>
                <w:sz w:val="24"/>
                <w14:textFill>
                  <w14:solidFill>
                    <w14:schemeClr w14:val="tx1"/>
                  </w14:solidFill>
                </w14:textFill>
              </w:rPr>
              <w:t>本项目调研、劳务费、法定税费和利润以及中标人为完成本项目服务所发生的全部相关费用</w:t>
            </w:r>
            <w:r>
              <w:rPr>
                <w:rFonts w:hint="eastAsia" w:ascii="宋体" w:hAnsi="宋体" w:cs="宋体"/>
                <w:color w:val="000000" w:themeColor="text1"/>
                <w:sz w:val="24"/>
                <w14:textFill>
                  <w14:solidFill>
                    <w14:schemeClr w14:val="tx1"/>
                  </w14:solidFill>
                </w14:textFill>
              </w:rPr>
              <w:t>。一经中标，投标报价作为中标单位与采购人签定的合同金额，在合同实施期间，除另签补充合同外，不接受中标人以任何理由、任何名目提出增加费用的要求。</w:t>
            </w:r>
          </w:p>
          <w:p>
            <w:pPr>
              <w:numPr>
                <w:ilvl w:val="0"/>
                <w:numId w:val="3"/>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联系方式</w:t>
            </w:r>
          </w:p>
        </w:tc>
        <w:tc>
          <w:tcPr>
            <w:tcW w:w="7015" w:type="dxa"/>
            <w:vAlign w:val="center"/>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1.采购人信息</w:t>
            </w:r>
          </w:p>
          <w:p>
            <w:pPr>
              <w:spacing w:line="360" w:lineRule="auto"/>
              <w:rPr>
                <w:rFonts w:ascii="宋体" w:hAnsi="宋体" w:cs="宋体"/>
                <w:color w:val="000000" w:themeColor="text1"/>
                <w:kern w:val="0"/>
                <w:sz w:val="24"/>
                <w14:textFill>
                  <w14:solidFill>
                    <w14:schemeClr w14:val="tx1"/>
                  </w14:solidFill>
                </w14:textFill>
              </w:rPr>
            </w:pPr>
            <w:bookmarkStart w:id="12" w:name="_Toc28359086"/>
            <w:bookmarkStart w:id="13" w:name="_Toc28359009"/>
            <w:r>
              <w:rPr>
                <w:rFonts w:hint="eastAsia" w:ascii="宋体" w:hAnsi="宋体" w:cs="宋体"/>
                <w:color w:val="000000" w:themeColor="text1"/>
                <w:kern w:val="0"/>
                <w:sz w:val="24"/>
                <w14:textFill>
                  <w14:solidFill>
                    <w14:schemeClr w14:val="tx1"/>
                  </w14:solidFill>
                </w14:textFill>
              </w:rPr>
              <w:t>名  称：深圳市前海深港现代服务业合作区管理局</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址：深圳市南山区前海深港合作区桂湾五路123号前海管理局前海大厦T1栋　　　　　　　　　</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联系人：赵女士</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话：15700731158</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2.采购代理机构信息</w:t>
            </w:r>
            <w:bookmarkEnd w:id="12"/>
            <w:bookmarkEnd w:id="13"/>
          </w:p>
          <w:p>
            <w:pPr>
              <w:spacing w:line="360" w:lineRule="auto"/>
              <w:rPr>
                <w:rFonts w:ascii="宋体" w:hAnsi="宋体" w:cs="宋体"/>
                <w:color w:val="000000" w:themeColor="text1"/>
                <w:kern w:val="0"/>
                <w:sz w:val="24"/>
                <w14:textFill>
                  <w14:solidFill>
                    <w14:schemeClr w14:val="tx1"/>
                  </w14:solidFill>
                </w14:textFill>
              </w:rPr>
            </w:pPr>
            <w:bookmarkStart w:id="14" w:name="_Toc28359010"/>
            <w:bookmarkStart w:id="15" w:name="_Toc28359087"/>
            <w:r>
              <w:rPr>
                <w:rFonts w:hint="eastAsia" w:ascii="宋体" w:hAnsi="宋体" w:cs="宋体"/>
                <w:color w:val="000000" w:themeColor="text1"/>
                <w:kern w:val="0"/>
                <w:sz w:val="24"/>
                <w14:textFill>
                  <w14:solidFill>
                    <w14:schemeClr w14:val="tx1"/>
                  </w14:solidFill>
                </w14:textFill>
              </w:rPr>
              <w:t>名  称：中国远东国际招标有限公司</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址：深圳市福田区上步南路1001号锦峰大厦22楼</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联系人：凌女士、伍先生</w:t>
            </w:r>
          </w:p>
          <w:p>
            <w:pPr>
              <w:spacing w:line="360" w:lineRule="auto"/>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话：0755-82078919、82077364转1</w:t>
            </w:r>
            <w:r>
              <w:rPr>
                <w:rFonts w:hint="eastAsia" w:ascii="宋体" w:hAnsi="宋体" w:cs="宋体"/>
                <w:color w:val="000000" w:themeColor="text1"/>
                <w:kern w:val="0"/>
                <w:sz w:val="24"/>
                <w:lang w:val="en-US" w:eastAsia="zh-CN"/>
                <w14:textFill>
                  <w14:solidFill>
                    <w14:schemeClr w14:val="tx1"/>
                  </w14:solidFill>
                </w14:textFill>
              </w:rPr>
              <w:t>05</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传  真：0755-82077519</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3.项目联系方式</w:t>
            </w:r>
            <w:bookmarkEnd w:id="14"/>
            <w:bookmarkEnd w:id="15"/>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项目联系人：凌女士、伍先生</w:t>
            </w:r>
          </w:p>
          <w:p>
            <w:pPr>
              <w:spacing w:line="360" w:lineRule="auto"/>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话：0755-82078919、82077364转1</w:t>
            </w:r>
            <w:r>
              <w:rPr>
                <w:rFonts w:hint="eastAsia" w:ascii="宋体" w:hAnsi="宋体" w:cs="宋体"/>
                <w:color w:val="000000" w:themeColor="text1"/>
                <w:kern w:val="0"/>
                <w:sz w:val="24"/>
                <w:lang w:val="en-US" w:eastAsia="zh-CN"/>
                <w14:textFill>
                  <w14:solidFill>
                    <w14:schemeClr w14:val="tx1"/>
                  </w14:solidFill>
                </w14:textFill>
              </w:rPr>
              <w:t>05</w:t>
            </w:r>
          </w:p>
        </w:tc>
      </w:tr>
    </w:tbl>
    <w:p>
      <w:pPr>
        <w:adjustRightInd w:val="0"/>
        <w:snapToGrid w:val="0"/>
        <w:spacing w:line="360" w:lineRule="auto"/>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w:t>
      </w:r>
    </w:p>
    <w:p>
      <w:pPr>
        <w:adjustRightInd w:val="0"/>
        <w:snapToGrid w:val="0"/>
        <w:spacing w:line="360" w:lineRule="auto"/>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2025年</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日</w:t>
      </w:r>
    </w:p>
    <w:p>
      <w:pPr>
        <w:numPr>
          <w:ilvl w:val="0"/>
          <w:numId w:val="1"/>
        </w:numPr>
        <w:spacing w:line="360" w:lineRule="auto"/>
        <w:jc w:val="center"/>
        <w:outlineLvl w:val="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16" w:name="_Toc10214"/>
      <w:r>
        <w:rPr>
          <w:rFonts w:hint="eastAsia" w:ascii="宋体" w:hAnsi="宋体" w:cs="宋体"/>
          <w:b/>
          <w:bCs/>
          <w:color w:val="000000" w:themeColor="text1"/>
          <w:sz w:val="24"/>
          <w14:textFill>
            <w14:solidFill>
              <w14:schemeClr w14:val="tx1"/>
            </w14:solidFill>
          </w14:textFill>
        </w:rPr>
        <w:t>投标须知</w:t>
      </w:r>
      <w:bookmarkEnd w:id="16"/>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1、本项目是深圳市前海深港现代服务业合作区管理局的2025年交通运输仓储和邮政业经济运行分析服务项目。</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不属于《深圳市2025—2026年政府集中采购目录及限额标准》规定应集中采购项目，根据《中华人民共和国政府采购法》、《深圳经济特区政府采购条例》的有关规定，中国远东国际招标有限公司受深圳市前海深港现代服务业合作区管理局委托组织采购。</w:t>
      </w:r>
      <w:r>
        <w:rPr>
          <w:rFonts w:hint="eastAsia" w:ascii="宋体" w:hAnsi="宋体" w:cs="宋体"/>
          <w:b/>
          <w:bCs/>
          <w:color w:val="000000" w:themeColor="text1"/>
          <w:sz w:val="24"/>
          <w14:textFill>
            <w14:solidFill>
              <w14:schemeClr w14:val="tx1"/>
            </w14:solidFill>
          </w14:textFill>
        </w:rPr>
        <w:t>本次采购公开征集供应商，报名且符合招标文件初审的供应商满足3家或3家以上的，采用综合评分法的方式进行。报名且符合招标文件初审的供应商不足3家的，按以下流程执行：</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a.有效投标人为2家的，可在2家有效投标人中取得分最高者为中标供应商；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b.如参与投标且符合招标文件要求的供应商仅有1家，评审委员会应与投标供应商进行谈判，原则上成交价应为最初报价的95%。</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3、本项目根据项目的实际情况，公开征集符合投标人资格的供应商。请各供应商根据本文件的要求，准备</w:t>
      </w:r>
      <w:r>
        <w:rPr>
          <w:rFonts w:hint="eastAsia" w:ascii="宋体" w:hAnsi="宋体" w:cs="宋体"/>
          <w:b/>
          <w:bCs/>
          <w:color w:val="000000" w:themeColor="text1"/>
          <w:sz w:val="24"/>
          <w14:textFill>
            <w14:solidFill>
              <w14:schemeClr w14:val="tx1"/>
            </w14:solidFill>
          </w14:textFill>
        </w:rPr>
        <w:t>5套（1套正本，4套副本，1份电子文档【电子文档为投标文件正本盖章扫描件】）</w:t>
      </w:r>
      <w:r>
        <w:rPr>
          <w:rFonts w:hint="eastAsia" w:ascii="宋体" w:hAnsi="宋体" w:cs="宋体"/>
          <w:color w:val="000000" w:themeColor="text1"/>
          <w:sz w:val="24"/>
          <w14:textFill>
            <w14:solidFill>
              <w14:schemeClr w14:val="tx1"/>
            </w14:solidFill>
          </w14:textFill>
        </w:rPr>
        <w:t>完备的资料进行投标。</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4、本招标文件已对本次采购项目的商务条件和货物或服务的质量、技术要求、成果要求、交货要求、售后服务作出了明确的规定。</w:t>
      </w:r>
    </w:p>
    <w:p>
      <w:pPr>
        <w:snapToGrid w:val="0"/>
        <w:spacing w:after="78" w:afterLines="25"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5、响应文件要包括如下内容：</w:t>
      </w:r>
    </w:p>
    <w:p>
      <w:pPr>
        <w:numPr>
          <w:ilvl w:val="0"/>
          <w:numId w:val="4"/>
        </w:numPr>
        <w:tabs>
          <w:tab w:val="clear" w:pos="-420"/>
        </w:tabs>
        <w:snapToGrid w:val="0"/>
        <w:spacing w:after="78" w:afterLines="25" w:line="360" w:lineRule="auto"/>
        <w:ind w:left="1050" w:hanging="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价格部分；</w:t>
      </w:r>
    </w:p>
    <w:p>
      <w:pPr>
        <w:numPr>
          <w:ilvl w:val="0"/>
          <w:numId w:val="4"/>
        </w:numPr>
        <w:tabs>
          <w:tab w:val="clear" w:pos="-420"/>
        </w:tabs>
        <w:snapToGrid w:val="0"/>
        <w:spacing w:after="78" w:afterLines="25" w:line="360" w:lineRule="auto"/>
        <w:ind w:left="1050" w:hanging="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商务部分；</w:t>
      </w:r>
    </w:p>
    <w:p>
      <w:pPr>
        <w:numPr>
          <w:ilvl w:val="0"/>
          <w:numId w:val="4"/>
        </w:numPr>
        <w:tabs>
          <w:tab w:val="clear" w:pos="-420"/>
        </w:tabs>
        <w:snapToGrid w:val="0"/>
        <w:spacing w:after="78" w:afterLines="25" w:line="360" w:lineRule="auto"/>
        <w:ind w:left="1050" w:hanging="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技术部分。</w:t>
      </w:r>
    </w:p>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采购人会对本次招标的项目确定一个最高限价，最终成交价格超出最高限价将会被当作投标无效处理。</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9、本次采购凡涉及知识产权问题，由项目供应商负责。</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10、采购人将组成评审委员会，评审工作由评审委员会独立负责。</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12、采用综合评分法的情况：评审委员会将分别对供应商递交的投标文件进行评审。</w:t>
      </w:r>
    </w:p>
    <w:p>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（1）评审委员会将根据供应商的供货能力、服务能力、货物的质量、是否满足本次采购的商务条件、报价等方面的情况进行综合评审，评标委员会依据得分情况，取综合得分最高的供应商为第一中标候选人。</w:t>
      </w:r>
    </w:p>
    <w:p>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（2）如果二个及以上供应商的综合评分相同时，取投标价格低者为第一中标候选人。</w:t>
      </w:r>
    </w:p>
    <w:p>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（3）如果二个及以上供应商的综合评分相同，且投标价格也相同时，取技术部分得分高者为第一中标候选人。</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13、采用谈判的情况：参与投标且符合招标文件要求的供应商仅有一家，评审委员会将与投标供应商进行谈判。</w:t>
      </w:r>
    </w:p>
    <w:p>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（1）供应商在谈判时由项目负责人与评审委员会进行谈判；</w:t>
      </w:r>
    </w:p>
    <w:p>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（2）原则上成交价应为最初报价的95%。</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14、所有的评审/谈判内容都必须保密。</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15、招标代理服务收费：</w:t>
      </w:r>
    </w:p>
    <w:p>
      <w:pPr>
        <w:snapToGri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以《深圳市财政委员会关于规范深圳市社会采购代理机构管理有关事项的补充通知》（深财购〔2018〕27号）代理费用参考标准的</w:t>
      </w:r>
      <w:r>
        <w:rPr>
          <w:rFonts w:hint="eastAsia" w:ascii="宋体" w:hAnsi="宋体" w:cs="宋体"/>
          <w:color w:val="000000" w:themeColor="text1"/>
          <w:sz w:val="24"/>
          <w:lang w:val="en-US" w:eastAsia="zh-CN"/>
          <w14:textFill>
            <w14:solidFill>
              <w14:schemeClr w14:val="tx1"/>
            </w14:solidFill>
          </w14:textFill>
        </w:rPr>
        <w:t>70</w:t>
      </w:r>
      <w:r>
        <w:rPr>
          <w:rFonts w:hint="eastAsia" w:ascii="宋体" w:hAnsi="宋体" w:cs="宋体"/>
          <w:color w:val="000000" w:themeColor="text1"/>
          <w:sz w:val="24"/>
          <w14:textFill>
            <w14:solidFill>
              <w14:schemeClr w14:val="tx1"/>
            </w14:solidFill>
          </w14:textFill>
        </w:rPr>
        <w:t>%按差额定率累进法进行计费，若以上计算金额小于3000元，则按3000元收取。</w:t>
      </w:r>
    </w:p>
    <w:p>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具体计取费率标准如下表所示：</w:t>
      </w:r>
    </w:p>
    <w:tbl>
      <w:tblPr>
        <w:tblStyle w:val="20"/>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color w:val="000000" w:themeColor="text1"/>
                <w:sz w:val="24"/>
                <w14:textFill>
                  <w14:solidFill>
                    <w14:schemeClr w14:val="tx1"/>
                  </w14:solidFill>
                </w14:textFill>
              </w:rPr>
            </w:pPr>
          </w:p>
        </w:tc>
        <w:tc>
          <w:tcPr>
            <w:tcW w:w="1843" w:type="dxa"/>
            <w:shd w:val="clear" w:color="auto" w:fill="D7D7D7"/>
            <w:vAlign w:val="center"/>
          </w:tcPr>
          <w:p>
            <w:pPr>
              <w:adjustRightInd w:val="0"/>
              <w:snapToGrid w:val="0"/>
              <w:spacing w:line="360" w:lineRule="auto"/>
              <w:ind w:right="26"/>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100万元以下</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755"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897"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100万元（含）-500万元</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755"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897"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500万元（含）-1000万元</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755"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0.45%</w:t>
            </w:r>
          </w:p>
        </w:tc>
        <w:tc>
          <w:tcPr>
            <w:tcW w:w="1897"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1000万元（含）-5000万元</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w:t>
            </w:r>
          </w:p>
        </w:tc>
        <w:tc>
          <w:tcPr>
            <w:tcW w:w="1755"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897"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5000万元（含）-1亿元</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755"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w:t>
            </w:r>
          </w:p>
        </w:tc>
        <w:tc>
          <w:tcPr>
            <w:tcW w:w="1897"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1亿元（含）-5亿元</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755"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897"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5亿元（含）-10亿元</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755"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897"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10亿元（含）-50亿元</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755"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897"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50亿元（含）-100亿元</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755"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897"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100亿元（含）以上</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755"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897"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r>
    </w:tbl>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招标代理服务费缴纳至：</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开户名称：中国远东国际招标有限公司深圳分公司</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银行账号：11013651025501</w:t>
      </w:r>
    </w:p>
    <w:p>
      <w:pPr>
        <w:spacing w:line="360" w:lineRule="auto"/>
        <w:rPr>
          <w:rFonts w:ascii="宋体" w:hAnsi="宋体" w:cs="宋体"/>
          <w:b/>
          <w:bCs/>
          <w:color w:val="000000" w:themeColor="text1"/>
          <w:sz w:val="24"/>
          <w14:textFill>
            <w14:solidFill>
              <w14:schemeClr w14:val="tx1"/>
            </w14:solidFill>
          </w14:textFill>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color w:val="000000" w:themeColor="text1"/>
          <w:sz w:val="24"/>
          <w14:textFill>
            <w14:solidFill>
              <w14:schemeClr w14:val="tx1"/>
            </w14:solidFill>
          </w14:textFill>
        </w:rPr>
        <w:t>开户银行：平安银行深圳中电支行</w:t>
      </w:r>
    </w:p>
    <w:p>
      <w:pPr>
        <w:numPr>
          <w:ilvl w:val="0"/>
          <w:numId w:val="1"/>
        </w:numPr>
        <w:spacing w:line="360" w:lineRule="auto"/>
        <w:jc w:val="center"/>
        <w:outlineLvl w:val="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17" w:name="_Toc20176"/>
      <w:r>
        <w:rPr>
          <w:rFonts w:hint="eastAsia" w:ascii="宋体" w:hAnsi="宋体" w:cs="宋体"/>
          <w:b/>
          <w:bCs/>
          <w:color w:val="000000" w:themeColor="text1"/>
          <w:sz w:val="24"/>
          <w14:textFill>
            <w14:solidFill>
              <w14:schemeClr w14:val="tx1"/>
            </w14:solidFill>
          </w14:textFill>
        </w:rPr>
        <w:t>评标程序</w:t>
      </w:r>
      <w:bookmarkEnd w:id="17"/>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二、参加会议人员：投标人代表（如需）、项目负责代表、评审委员会成员、监督部门代表（如需）、采购代理机构代表。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三、会议主持人：中国远东国际招标有限公司工作人员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四、开标时间：2025年</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日上午10:00时（北京时间）。</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五、会议开始：2025年</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日上午10:00时（北京时间）由会议主持人宣布定标会议开始。</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六、项目负责代表向采购代理机构代表送交投标文件，监督部门代表（如有）确认投标文件密封完整，未密封投标文件将作为投标无效处理。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七、由采购代理机构代表现场拆封投标文件，并分发给评审委员会成员。</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八、评审委员会审查供应商的投标文件，工作人员记录审查的情况。</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九、评审委员会按以下工作程序进行：</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1、评标委员会对各供应商的投标文件进行初审，对未能通过初审的投标文件作投标无效处理。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2、对通过初审的供应商的投标文件进行详细的比较和评价。如需要，进行必要的澄清/说明工作。</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3、根据参与投标且符合招标文件要求的供应商数量情况，确定本项目的评审方法。</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4、采用综合评分法的情况：评审委员会将分别对供应商递交的投标文件进行评审。</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4.2如果二个及以上供应商的综合评分相同时，取投标价格低者为第一中标候选人。</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4.3如果二个及以上供应商的综合评分相同，且投标价格也相同时，取技术部分得分高者为第一中标候选人。</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5、采用谈判的情况：参与投标且符合招标文件要求的供应商仅有一家，评审委员会将与投标供应商进行谈判。</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 供应商在谈判时由项目负责人与评审委员会进行谈判；</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 原则上成交价应为最初报价的95%。</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6、评审委员会按照本项目招标文件中规定的评标方法确定中标供应商。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十、根据本次采购的结果，1</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个工作日内与中标供应商签订合同。</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pStyle w:val="7"/>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numPr>
          <w:ilvl w:val="0"/>
          <w:numId w:val="1"/>
        </w:numPr>
        <w:spacing w:line="360" w:lineRule="auto"/>
        <w:jc w:val="center"/>
        <w:outlineLvl w:val="0"/>
        <w:rPr>
          <w:rFonts w:ascii="宋体" w:hAnsi="宋体" w:cs="宋体"/>
          <w:b/>
          <w:bCs/>
          <w:color w:val="000000" w:themeColor="text1"/>
          <w:sz w:val="24"/>
          <w14:textFill>
            <w14:solidFill>
              <w14:schemeClr w14:val="tx1"/>
            </w14:solidFill>
          </w14:textFill>
        </w:rPr>
      </w:pPr>
      <w:bookmarkStart w:id="18" w:name="_Toc3567"/>
      <w:r>
        <w:rPr>
          <w:rFonts w:hint="eastAsia" w:ascii="宋体" w:hAnsi="宋体" w:cs="宋体"/>
          <w:b/>
          <w:bCs/>
          <w:color w:val="000000" w:themeColor="text1"/>
          <w:sz w:val="24"/>
          <w14:textFill>
            <w14:solidFill>
              <w14:schemeClr w14:val="tx1"/>
            </w14:solidFill>
          </w14:textFill>
        </w:rPr>
        <w:t>合同格式及合同条款</w:t>
      </w:r>
      <w:bookmarkEnd w:id="18"/>
    </w:p>
    <w:p>
      <w:pPr>
        <w:spacing w:line="360" w:lineRule="auto"/>
        <w:ind w:firstLine="470" w:firstLineChars="196"/>
        <w:jc w:val="center"/>
        <w:rPr>
          <w:rFonts w:ascii="宋体" w:hAnsi="宋体" w:cs="宋体"/>
          <w:color w:val="000000" w:themeColor="text1"/>
          <w:sz w:val="24"/>
          <w14:textFill>
            <w14:solidFill>
              <w14:schemeClr w14:val="tx1"/>
            </w14:solidFill>
          </w14:textFill>
        </w:rPr>
      </w:pPr>
      <w:bookmarkStart w:id="19" w:name="_Toc73518163"/>
      <w:bookmarkStart w:id="20" w:name="_Toc101074886"/>
      <w:bookmarkStart w:id="21" w:name="_Toc73521592"/>
      <w:bookmarkStart w:id="22" w:name="_Toc73521680"/>
      <w:bookmarkStart w:id="23" w:name="_Toc73517685"/>
      <w:bookmarkStart w:id="24" w:name="_Toc84303603"/>
      <w:bookmarkStart w:id="25" w:name="_Toc100052414"/>
    </w:p>
    <w:bookmarkEnd w:id="19"/>
    <w:bookmarkEnd w:id="20"/>
    <w:bookmarkEnd w:id="21"/>
    <w:bookmarkEnd w:id="22"/>
    <w:bookmarkEnd w:id="23"/>
    <w:bookmarkEnd w:id="24"/>
    <w:bookmarkEnd w:id="25"/>
    <w:p>
      <w:pPr>
        <w:pStyle w:val="30"/>
        <w:spacing w:line="360" w:lineRule="auto"/>
        <w:ind w:left="1470" w:right="1470" w:firstLine="482"/>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合同编号（甲方）：            </w:t>
      </w:r>
    </w:p>
    <w:p>
      <w:pPr>
        <w:pStyle w:val="30"/>
        <w:spacing w:line="360" w:lineRule="auto"/>
        <w:ind w:left="1470" w:right="1470" w:firstLine="482"/>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合同编号（乙方）：            </w:t>
      </w:r>
    </w:p>
    <w:p>
      <w:pPr>
        <w:pStyle w:val="30"/>
        <w:spacing w:line="360" w:lineRule="auto"/>
        <w:ind w:left="1470" w:right="1470" w:firstLine="482"/>
        <w:jc w:val="center"/>
        <w:rPr>
          <w:rFonts w:ascii="宋体" w:hAnsi="宋体" w:cs="宋体"/>
          <w:b/>
          <w:color w:val="000000" w:themeColor="text1"/>
          <w:sz w:val="24"/>
          <w:szCs w:val="24"/>
          <w14:textFill>
            <w14:solidFill>
              <w14:schemeClr w14:val="tx1"/>
            </w14:solidFill>
          </w14:textFill>
        </w:rPr>
      </w:pPr>
    </w:p>
    <w:p>
      <w:pPr>
        <w:pStyle w:val="30"/>
        <w:spacing w:line="360" w:lineRule="auto"/>
        <w:ind w:left="1470" w:right="1470" w:firstLine="482"/>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pStyle w:val="30"/>
        <w:spacing w:line="360" w:lineRule="auto"/>
        <w:ind w:left="1470" w:right="1470" w:firstLine="482"/>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spacing w:line="360" w:lineRule="auto"/>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2025年交通运输仓储和邮政业经济运行分析服务项目</w:t>
      </w:r>
    </w:p>
    <w:p>
      <w:pPr>
        <w:spacing w:line="360" w:lineRule="auto"/>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委托合同</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pStyle w:val="30"/>
        <w:spacing w:line="360" w:lineRule="auto"/>
        <w:ind w:left="1470" w:right="147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pStyle w:val="30"/>
        <w:spacing w:line="360" w:lineRule="auto"/>
        <w:ind w:left="1470" w:right="147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ind w:firstLine="720" w:firstLineChars="3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：2025年交通运输仓储和邮政业经济运行分析服务项目</w:t>
      </w:r>
    </w:p>
    <w:p>
      <w:pPr>
        <w:spacing w:line="360" w:lineRule="auto"/>
        <w:ind w:firstLine="720" w:firstLineChars="3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项目类型：</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720" w:firstLineChars="3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委托方（甲方）：</w:t>
      </w:r>
      <w:r>
        <w:rPr>
          <w:rFonts w:hint="eastAsia" w:ascii="宋体" w:hAnsi="宋体" w:cs="宋体"/>
          <w:color w:val="000000" w:themeColor="text1"/>
          <w:sz w:val="24"/>
          <w:u w:val="single"/>
          <w14:textFill>
            <w14:solidFill>
              <w14:schemeClr w14:val="tx1"/>
            </w14:solidFill>
          </w14:textFill>
        </w:rPr>
        <w:t xml:space="preserve">  深圳市前海深港现代服务业合作区管理局  </w:t>
      </w:r>
    </w:p>
    <w:p>
      <w:pPr>
        <w:spacing w:line="360" w:lineRule="auto"/>
        <w:ind w:firstLine="720" w:firstLineChars="3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承接方（乙方）：</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jc w:val="center"/>
        <w:rPr>
          <w:rFonts w:ascii="宋体" w:hAnsi="宋体" w:cs="宋体"/>
          <w:color w:val="000000" w:themeColor="text1"/>
          <w:sz w:val="24"/>
          <w14:textFill>
            <w14:solidFill>
              <w14:schemeClr w14:val="tx1"/>
            </w14:solidFill>
          </w14:textFill>
        </w:rPr>
      </w:pP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二〇二五年  月</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本合同共    页（不含封面）</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甲方： </w:t>
      </w:r>
      <w:r>
        <w:rPr>
          <w:rFonts w:hint="eastAsia" w:ascii="宋体" w:hAnsi="宋体" w:cs="宋体"/>
          <w:color w:val="000000" w:themeColor="text1"/>
          <w:sz w:val="24"/>
          <w:u w:val="single"/>
          <w14:textFill>
            <w14:solidFill>
              <w14:schemeClr w14:val="tx1"/>
            </w14:solidFill>
          </w14:textFill>
        </w:rPr>
        <w:t>深圳市前海深港现代服务业合作区管理局</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地址： </w:t>
      </w:r>
      <w:r>
        <w:rPr>
          <w:rFonts w:hint="eastAsia" w:ascii="宋体" w:hAnsi="宋体" w:cs="宋体"/>
          <w:color w:val="000000" w:themeColor="text1"/>
          <w:sz w:val="24"/>
          <w:u w:val="single"/>
          <w14:textFill>
            <w14:solidFill>
              <w14:schemeClr w14:val="tx1"/>
            </w14:solidFill>
          </w14:textFill>
        </w:rPr>
        <w:t>深圳市前海深港合作区</w:t>
      </w:r>
      <w:r>
        <w:rPr>
          <w:rFonts w:ascii="宋体" w:hAnsi="宋体" w:cs="宋体"/>
          <w:color w:val="000000" w:themeColor="text1"/>
          <w:sz w:val="24"/>
          <w:u w:val="single"/>
          <w14:textFill>
            <w14:solidFill>
              <w14:schemeClr w14:val="tx1"/>
            </w14:solidFill>
          </w14:textFill>
        </w:rPr>
        <w:t>桂湾五路123号前海大厦T1栋前海管理局</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法定代表人： </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乙方：</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地址：</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法定代表人：</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以下甲方和乙方合称“双方”。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中华人民共和国民法典》等法律、法规的相关规定和编号为【QH2025032】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color w:val="000000" w:themeColor="text1"/>
          <w:sz w:val="24"/>
          <w:u w:val="single"/>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的</w:t>
      </w:r>
      <w:r>
        <w:rPr>
          <w:rFonts w:hint="eastAsia" w:ascii="宋体" w:hAnsi="宋体" w:cs="宋体"/>
          <w:b/>
          <w:bCs/>
          <w:color w:val="000000" w:themeColor="text1"/>
          <w:kern w:val="0"/>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2025年交通运输仓储和邮政业经济运行分析服务项目</w:t>
      </w:r>
      <w:r>
        <w:rPr>
          <w:rFonts w:hint="eastAsia" w:ascii="宋体" w:hAnsi="宋体" w:cs="宋体"/>
          <w:b/>
          <w:bCs/>
          <w:color w:val="000000" w:themeColor="text1"/>
          <w:kern w:val="0"/>
          <w:sz w:val="24"/>
          <w:u w:val="single"/>
          <w14:textFill>
            <w14:solidFill>
              <w14:schemeClr w14:val="tx1"/>
            </w14:solidFill>
          </w14:textFill>
        </w:rPr>
        <w:t>（以下简称本项目）</w:t>
      </w:r>
      <w:r>
        <w:rPr>
          <w:rFonts w:hint="eastAsia" w:ascii="宋体" w:hAnsi="宋体" w:cs="宋体"/>
          <w:color w:val="000000" w:themeColor="text1"/>
          <w:sz w:val="24"/>
          <w14:textFill>
            <w14:solidFill>
              <w14:schemeClr w14:val="tx1"/>
            </w14:solidFill>
          </w14:textFill>
        </w:rPr>
        <w:t>，达成以下合同条款：</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第一条 项目内容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项目名称：2025年交通运输仓储和邮政业经济运行分析服务项目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1.服务内容</w:t>
      </w:r>
    </w:p>
    <w:p>
      <w:pPr>
        <w:pStyle w:val="31"/>
        <w:tabs>
          <w:tab w:val="left" w:pos="720"/>
        </w:tabs>
        <w:autoSpaceDE w:val="0"/>
        <w:autoSpaceDN w:val="0"/>
        <w:adjustRightInd w:val="0"/>
        <w:spacing w:line="360" w:lineRule="auto"/>
        <w:ind w:right="17" w:firstLine="48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乙方</w:t>
      </w:r>
      <w:r>
        <w:rPr>
          <w:rFonts w:ascii="宋体" w:hAnsi="宋体" w:cs="宋体"/>
          <w:bCs/>
          <w:color w:val="000000" w:themeColor="text1"/>
          <w:sz w:val="24"/>
          <w:lang w:eastAsia="zh-TW"/>
          <w14:textFill>
            <w14:solidFill>
              <w14:schemeClr w14:val="tx1"/>
            </w14:solidFill>
          </w14:textFill>
        </w:rPr>
        <w:t>需</w:t>
      </w:r>
      <w:r>
        <w:rPr>
          <w:rFonts w:hint="eastAsia" w:ascii="宋体" w:hAnsi="宋体" w:cs="宋体"/>
          <w:bCs/>
          <w:color w:val="000000" w:themeColor="text1"/>
          <w:sz w:val="24"/>
          <w:lang w:val="zh-TW" w:eastAsia="zh-TW"/>
          <w14:textFill>
            <w14:solidFill>
              <w14:schemeClr w14:val="tx1"/>
            </w14:solidFill>
          </w14:textFill>
        </w:rPr>
        <w:t>根据实施客观需要，为</w:t>
      </w:r>
      <w:r>
        <w:rPr>
          <w:rFonts w:hint="eastAsia" w:ascii="宋体" w:hAnsi="宋体" w:cs="宋体"/>
          <w:bCs/>
          <w:color w:val="000000" w:themeColor="text1"/>
          <w:sz w:val="24"/>
          <w14:textFill>
            <w14:solidFill>
              <w14:schemeClr w14:val="tx1"/>
            </w14:solidFill>
          </w14:textFill>
        </w:rPr>
        <w:t>甲方经济运行分析</w:t>
      </w:r>
      <w:r>
        <w:rPr>
          <w:rFonts w:hint="eastAsia" w:ascii="宋体" w:hAnsi="宋体" w:cs="宋体"/>
          <w:bCs/>
          <w:color w:val="000000" w:themeColor="text1"/>
          <w:sz w:val="24"/>
          <w:lang w:val="zh-TW" w:eastAsia="zh-TW"/>
          <w14:textFill>
            <w14:solidFill>
              <w14:schemeClr w14:val="tx1"/>
            </w14:solidFill>
          </w14:textFill>
        </w:rPr>
        <w:t>工作提供数据、技术及分析支撑。</w:t>
      </w:r>
      <w:r>
        <w:rPr>
          <w:rFonts w:hint="eastAsia" w:ascii="宋体" w:hAnsi="宋体" w:cs="宋体"/>
          <w:bCs/>
          <w:color w:val="000000" w:themeColor="text1"/>
          <w:sz w:val="24"/>
          <w14:textFill>
            <w14:solidFill>
              <w14:schemeClr w14:val="tx1"/>
            </w14:solidFill>
          </w14:textFill>
        </w:rPr>
        <w:t>主要包括：</w:t>
      </w:r>
    </w:p>
    <w:p>
      <w:pPr>
        <w:pStyle w:val="31"/>
        <w:tabs>
          <w:tab w:val="left" w:pos="720"/>
        </w:tabs>
        <w:autoSpaceDE w:val="0"/>
        <w:autoSpaceDN w:val="0"/>
        <w:adjustRightInd w:val="0"/>
        <w:spacing w:line="360" w:lineRule="auto"/>
        <w:ind w:right="17" w:firstLine="48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1.1.数据对接、处理</w:t>
      </w:r>
    </w:p>
    <w:p>
      <w:pPr>
        <w:pStyle w:val="31"/>
        <w:tabs>
          <w:tab w:val="left" w:pos="720"/>
        </w:tabs>
        <w:autoSpaceDE w:val="0"/>
        <w:autoSpaceDN w:val="0"/>
        <w:adjustRightInd w:val="0"/>
        <w:spacing w:line="360" w:lineRule="auto"/>
        <w:ind w:right="17" w:firstLine="48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（1）归集交通运输仓储和邮政业相关经济数据信息。包括但不限于前海管理局掌握的经济数据，其他部门掌握的数据，以及其他经济大数据。</w:t>
      </w:r>
    </w:p>
    <w:p>
      <w:pPr>
        <w:pStyle w:val="31"/>
        <w:tabs>
          <w:tab w:val="left" w:pos="720"/>
        </w:tabs>
        <w:autoSpaceDE w:val="0"/>
        <w:autoSpaceDN w:val="0"/>
        <w:adjustRightInd w:val="0"/>
        <w:spacing w:line="360" w:lineRule="auto"/>
        <w:ind w:right="17" w:firstLine="48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（2）企业数据处理。构建交通运输仓储和邮政业企业主题表，动态更新维护交通运输仓储和邮政业企业相关数据，对数据进行分类处理。如针对多式联运和运输管理、装卸搬运和仓储业等细分行业进行分类。</w:t>
      </w:r>
    </w:p>
    <w:p>
      <w:pPr>
        <w:pStyle w:val="31"/>
        <w:tabs>
          <w:tab w:val="left" w:pos="720"/>
        </w:tabs>
        <w:autoSpaceDE w:val="0"/>
        <w:autoSpaceDN w:val="0"/>
        <w:adjustRightInd w:val="0"/>
        <w:spacing w:line="360" w:lineRule="auto"/>
        <w:ind w:right="17" w:firstLine="48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重点企业监测。针对交通运输仓储和邮政业重点企业，梳理跟踪企业经营上行/下行的原因、企业诉求、企业经营预测等数据信息；同时根据企业外汇结算数据，了解企业出口贸易的表现，分析企业的汇率风险管理情况，支撑重点企业的经济调度工作；采集大宗商品数据、物流景气度数据、企业股东、企业投融资、企业专利信息、企业注册商标等数据，综合监测企业发展。</w:t>
      </w:r>
    </w:p>
    <w:p>
      <w:pPr>
        <w:pStyle w:val="31"/>
        <w:tabs>
          <w:tab w:val="left" w:pos="720"/>
        </w:tabs>
        <w:autoSpaceDE w:val="0"/>
        <w:autoSpaceDN w:val="0"/>
        <w:adjustRightInd w:val="0"/>
        <w:spacing w:line="360" w:lineRule="auto"/>
        <w:ind w:right="17" w:firstLine="48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1.2.指标统计、查询</w:t>
      </w:r>
    </w:p>
    <w:p>
      <w:pPr>
        <w:pStyle w:val="31"/>
        <w:tabs>
          <w:tab w:val="left" w:pos="720"/>
        </w:tabs>
        <w:autoSpaceDE w:val="0"/>
        <w:autoSpaceDN w:val="0"/>
        <w:adjustRightInd w:val="0"/>
        <w:spacing w:line="360" w:lineRule="auto"/>
        <w:ind w:right="17" w:firstLine="48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（1）数据统计汇总。对交通运输、仓储和邮政业行业数据进行统计分析，形成相对完整的监测体系数据。</w:t>
      </w:r>
    </w:p>
    <w:p>
      <w:pPr>
        <w:pStyle w:val="31"/>
        <w:tabs>
          <w:tab w:val="left" w:pos="720"/>
        </w:tabs>
        <w:autoSpaceDE w:val="0"/>
        <w:autoSpaceDN w:val="0"/>
        <w:adjustRightInd w:val="0"/>
        <w:spacing w:line="360" w:lineRule="auto"/>
        <w:ind w:right="17" w:firstLine="48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（2）数据查询服务。通过在线系统提供已掌握的交通运输、仓储和邮政业增加值、利用外资、专项挖掘等数据，实现便捷查询服务。</w:t>
      </w:r>
    </w:p>
    <w:p>
      <w:pPr>
        <w:pStyle w:val="31"/>
        <w:tabs>
          <w:tab w:val="left" w:pos="720"/>
        </w:tabs>
        <w:autoSpaceDE w:val="0"/>
        <w:autoSpaceDN w:val="0"/>
        <w:adjustRightInd w:val="0"/>
        <w:spacing w:line="360" w:lineRule="auto"/>
        <w:ind w:right="17" w:firstLine="480"/>
        <w:jc w:val="left"/>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1.3.</w:t>
      </w:r>
      <w:r>
        <w:rPr>
          <w:rFonts w:hint="eastAsia" w:ascii="宋体" w:hAnsi="宋体" w:cs="宋体"/>
          <w:bCs/>
          <w:color w:val="000000" w:themeColor="text1"/>
          <w:sz w:val="24"/>
          <w:highlight w:val="none"/>
          <w14:textFill>
            <w14:solidFill>
              <w14:schemeClr w14:val="tx1"/>
            </w14:solidFill>
          </w14:textFill>
        </w:rPr>
        <w:t>协助输出专项分析报告</w:t>
      </w:r>
    </w:p>
    <w:p>
      <w:pPr>
        <w:pStyle w:val="31"/>
        <w:tabs>
          <w:tab w:val="left" w:pos="720"/>
        </w:tabs>
        <w:autoSpaceDE w:val="0"/>
        <w:autoSpaceDN w:val="0"/>
        <w:adjustRightInd w:val="0"/>
        <w:spacing w:line="360" w:lineRule="auto"/>
        <w:ind w:right="17" w:firstLine="480"/>
        <w:jc w:val="left"/>
        <w:rPr>
          <w:rFonts w:ascii="宋体" w:hAnsi="宋体" w:cs="宋体"/>
          <w:bCs/>
          <w:color w:val="000000" w:themeColor="text1"/>
          <w:sz w:val="24"/>
          <w:highlight w:val="none"/>
          <w14:textFill>
            <w14:solidFill>
              <w14:schemeClr w14:val="tx1"/>
            </w14:solidFill>
          </w14:textFill>
        </w:rPr>
      </w:pPr>
      <w:bookmarkStart w:id="26" w:name="_Toc23888"/>
      <w:bookmarkStart w:id="27" w:name="_Toc1131"/>
      <w:r>
        <w:rPr>
          <w:rFonts w:hint="eastAsia" w:ascii="宋体" w:hAnsi="宋体" w:cs="宋体"/>
          <w:bCs/>
          <w:color w:val="000000" w:themeColor="text1"/>
          <w:sz w:val="24"/>
          <w:highlight w:val="none"/>
          <w14:textFill>
            <w14:solidFill>
              <w14:schemeClr w14:val="tx1"/>
            </w14:solidFill>
          </w14:textFill>
        </w:rPr>
        <w:t>（</w:t>
      </w:r>
      <w:r>
        <w:rPr>
          <w:rFonts w:ascii="宋体" w:hAnsi="宋体" w:cs="宋体"/>
          <w:bCs/>
          <w:color w:val="000000" w:themeColor="text1"/>
          <w:sz w:val="24"/>
          <w:highlight w:val="none"/>
          <w14:textFill>
            <w14:solidFill>
              <w14:schemeClr w14:val="tx1"/>
            </w14:solidFill>
          </w14:textFill>
        </w:rPr>
        <w:t>1）全国综保区比较分析月度报告</w:t>
      </w:r>
      <w:bookmarkEnd w:id="26"/>
      <w:bookmarkEnd w:id="27"/>
      <w:r>
        <w:rPr>
          <w:rFonts w:hint="eastAsia" w:ascii="宋体" w:hAnsi="宋体" w:cs="宋体"/>
          <w:bCs/>
          <w:color w:val="000000" w:themeColor="text1"/>
          <w:sz w:val="24"/>
          <w:highlight w:val="none"/>
          <w14:textFill>
            <w14:solidFill>
              <w14:schemeClr w14:val="tx1"/>
            </w14:solidFill>
          </w14:textFill>
        </w:rPr>
        <w:t>。每月通过收集、整理前海综合保税区和全国进出口总额排名前十的各综合保税区的外贸进出口、单位面积的产出等数据，按要求进行多维度细分以及对比分析，编制全国综保区比较分析月度报表，并形成外贸进出口额前十名的数据简报，包括外贸进出口量、同比增速、进口额和出口额等指标。</w:t>
      </w:r>
    </w:p>
    <w:p>
      <w:pPr>
        <w:pStyle w:val="31"/>
        <w:tabs>
          <w:tab w:val="left" w:pos="720"/>
        </w:tabs>
        <w:autoSpaceDE w:val="0"/>
        <w:autoSpaceDN w:val="0"/>
        <w:adjustRightInd w:val="0"/>
        <w:spacing w:line="360" w:lineRule="auto"/>
        <w:ind w:right="17" w:firstLine="480"/>
        <w:jc w:val="left"/>
        <w:rPr>
          <w:rFonts w:ascii="宋体" w:hAnsi="宋体" w:cs="宋体"/>
          <w:bCs/>
          <w:color w:val="000000" w:themeColor="text1"/>
          <w:sz w:val="24"/>
          <w:highlight w:val="none"/>
          <w14:textFill>
            <w14:solidFill>
              <w14:schemeClr w14:val="tx1"/>
            </w14:solidFill>
          </w14:textFill>
        </w:rPr>
      </w:pPr>
      <w:bookmarkStart w:id="28" w:name="_Toc8823"/>
      <w:bookmarkStart w:id="29" w:name="_Toc18069"/>
      <w:r>
        <w:rPr>
          <w:rFonts w:hint="eastAsia" w:ascii="宋体" w:hAnsi="宋体" w:cs="宋体"/>
          <w:bCs/>
          <w:color w:val="000000" w:themeColor="text1"/>
          <w:sz w:val="24"/>
          <w:highlight w:val="none"/>
          <w14:textFill>
            <w14:solidFill>
              <w14:schemeClr w14:val="tx1"/>
            </w14:solidFill>
          </w14:textFill>
        </w:rPr>
        <w:t>（</w:t>
      </w:r>
      <w:r>
        <w:rPr>
          <w:rFonts w:ascii="宋体" w:hAnsi="宋体" w:cs="宋体"/>
          <w:bCs/>
          <w:color w:val="000000" w:themeColor="text1"/>
          <w:sz w:val="24"/>
          <w:highlight w:val="none"/>
          <w14:textFill>
            <w14:solidFill>
              <w14:schemeClr w14:val="tx1"/>
            </w14:solidFill>
          </w14:textFill>
        </w:rPr>
        <w:t>2）交通运输、仓储和邮政业经济运行月度分析报告。</w:t>
      </w:r>
      <w:r>
        <w:rPr>
          <w:rFonts w:hint="eastAsia" w:ascii="宋体" w:hAnsi="宋体" w:cs="宋体"/>
          <w:bCs/>
          <w:color w:val="000000" w:themeColor="text1"/>
          <w:sz w:val="24"/>
          <w:highlight w:val="none"/>
          <w14:textFill>
            <w14:solidFill>
              <w14:schemeClr w14:val="tx1"/>
            </w14:solidFill>
          </w14:textFill>
        </w:rPr>
        <w:t>以上述前海合作区交通运输、仓储和邮政业重点行业及企业的月度数据为基础，进行梳理与汇总，剖析其中变化的规律与趋势，并深入分析其具体的原因和可能造成的影响，为前海合作区综合保税区管理处的决策与预警提供助力。此外，根据</w:t>
      </w:r>
      <w:r>
        <w:rPr>
          <w:rFonts w:hint="eastAsia" w:ascii="宋体" w:hAnsi="宋体" w:cs="宋体"/>
          <w:bCs/>
          <w:color w:val="000000" w:themeColor="text1"/>
          <w:sz w:val="24"/>
          <w:highlight w:val="none"/>
          <w:lang w:val="en-US" w:eastAsia="zh-CN"/>
          <w14:textFill>
            <w14:solidFill>
              <w14:schemeClr w14:val="tx1"/>
            </w14:solidFill>
          </w14:textFill>
        </w:rPr>
        <w:t>甲方</w:t>
      </w:r>
      <w:r>
        <w:rPr>
          <w:rFonts w:hint="eastAsia" w:ascii="宋体" w:hAnsi="宋体" w:cs="宋体"/>
          <w:bCs/>
          <w:color w:val="000000" w:themeColor="text1"/>
          <w:sz w:val="24"/>
          <w:highlight w:val="none"/>
          <w14:textFill>
            <w14:solidFill>
              <w14:schemeClr w14:val="tx1"/>
            </w14:solidFill>
          </w14:textFill>
        </w:rPr>
        <w:t>要求，围绕前海合作区当前交通、仓储和邮政业的重点行业或需重点发展的行业开展专项研究，并在合同期内每月输出交通运输、仓储和邮政业经济分析报告</w:t>
      </w:r>
      <w:bookmarkEnd w:id="28"/>
      <w:bookmarkEnd w:id="29"/>
      <w:r>
        <w:rPr>
          <w:rFonts w:hint="eastAsia" w:ascii="宋体" w:hAnsi="宋体" w:cs="宋体"/>
          <w:bCs/>
          <w:color w:val="000000" w:themeColor="text1"/>
          <w:sz w:val="24"/>
          <w:highlight w:val="none"/>
          <w14:textFill>
            <w14:solidFill>
              <w14:schemeClr w14:val="tx1"/>
            </w14:solidFill>
          </w14:textFill>
        </w:rPr>
        <w:t>。</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第二条  服务期限及后续服务要求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1.服务期限</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本项目服务期为本合同签订之日一年内。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2.后续服务要求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乙方提交的本项目最终成果通过甲方审查验收之日起6个月为本合同后续服务期。服务期内乙方应向甲方提供后续的专业技术支持与咨询服务。乙方应配合甲方需要协助完成相关事项审计、事后评估等工作。</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第三条  项目资料归属</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1.所有提交给甲方的项目文件及相关资料的</w:t>
      </w:r>
      <w:r>
        <w:rPr>
          <w:rFonts w:ascii="宋体" w:hAnsi="宋体" w:cs="宋体"/>
          <w:color w:val="000000" w:themeColor="text1"/>
          <w:sz w:val="24"/>
          <w14:textFill>
            <w14:solidFill>
              <w14:schemeClr w14:val="tx1"/>
            </w14:solidFill>
          </w14:textFill>
        </w:rPr>
        <w:t>阶段性成果及</w:t>
      </w:r>
      <w:r>
        <w:rPr>
          <w:rFonts w:hint="eastAsia" w:ascii="宋体" w:hAnsi="宋体" w:cs="宋体"/>
          <w:color w:val="000000" w:themeColor="text1"/>
          <w:sz w:val="24"/>
          <w14:textFill>
            <w14:solidFill>
              <w14:schemeClr w14:val="tx1"/>
            </w14:solidFill>
          </w14:textFill>
        </w:rPr>
        <w:t>最后文本，包括为履行服务范围所编制的计划和证明资料等，都属于甲方</w:t>
      </w:r>
      <w:r>
        <w:rPr>
          <w:rFonts w:ascii="宋体" w:hAnsi="宋体" w:cs="宋体"/>
          <w:color w:val="000000" w:themeColor="text1"/>
          <w:sz w:val="24"/>
          <w14:textFill>
            <w14:solidFill>
              <w14:schemeClr w14:val="tx1"/>
            </w14:solidFill>
          </w14:textFill>
        </w:rPr>
        <w:t>所有</w:t>
      </w:r>
      <w:r>
        <w:rPr>
          <w:rFonts w:hint="eastAsia" w:ascii="宋体" w:hAnsi="宋体" w:cs="宋体"/>
          <w:color w:val="000000" w:themeColor="text1"/>
          <w:sz w:val="24"/>
          <w14:textFill>
            <w14:solidFill>
              <w14:schemeClr w14:val="tx1"/>
            </w14:solidFill>
          </w14:textFill>
        </w:rPr>
        <w:t>，乙方在提交给甲方之前应将上述资料进行整理归类和编制索引。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2.乙方未经甲方的书面同意，不得将上述资料用于本项目之外的任何项目，也不得将其泄露或授权给第三方使用。</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第四条  甲方的权利与义务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1.甲方的权利</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1.1甲方对项目研究过程的决策、控制、实施等环节实行全面管理，协调和监督项目工作开展，跟进项目工作过程，进行项目成果验收。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1.2检查乙方项目人员到位情况，如因人力、能力不足致使项目工作不能按计划完成时，可与乙方协商一致增加或替换相应的技术人员。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1.3甲方有权向乙方询问项目工作进展及相关情况，并要求乙方在指定时间内做出答复。</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1.4甲方有权对乙方提交的阶段性成果、最终成果等相关工作文件进行审核并提出修改意见。</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如乙方所提供的用以说明和描述技术方案、研究成果、实施方案及步骤等项目成果文件，不具备实操性或实操性过低，影响最终方案、服务成果文件的质量，甲方有权要求乙方重新执行相应的工作服务，由此产生的全部费用由乙方自行承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1.6甲方有权要求乙方全面履行合同。甲方不接受部分履行，如本合同项下部分成果文件未能按时交付则视为整体延误。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1.7如甲方确认乙方工作人员未按照本合同要求履行职责，甲方有权要求乙方限期更换人员。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1.8甲方对乙方在委托权限范围内完成委托事项有指导、监督权利。</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2.甲方的义务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2.1甲方应将项目所需相关档案资料、信息数据等移交给乙方，并要求乙方签收甲方提供的材料清单。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2.2甲方对乙方按照合同约定所履行的服务提供必要的支持与协助。</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2.3根据合同约定的相关条款，按时支付乙方服务费用。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2.4甲方指定项目联系人：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姓名：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第五条 乙方的权利与义务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1.乙方的权利</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1.1根据项目工作的需要，可要求甲方提供或协助乙方收集相关资料。</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1.2参与本项目服务相关的工作会议及技术会议（活动）。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1.3根据合同约定收取相应的服务费。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2.乙方的义务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乙方应按国家及深圳的有关法律法规、技术规范以及本合同约定的工作内容、工作进度等要求提供项目服务，并对其提交的服务成果负责。对于与本项目工作内容相关的其他相关项目，乙方应进行充分了解并做好协调与衔接工作。</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2.2如因乙方自身原因，提供的成果文件不符合本合同要求，必须在甲方提出要求七个工作日内无条件修改，其费用由乙方自行承担。修改期间，甲方付款时间相应顺延。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2.3乙方不得将本合同项下权利义务转让给任何第三方。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乙方对其工作人员在合同履行期间的一切行为负责，期间发生的一切安全事故责任、其他人身损害以外及因此发生的人身损害赔偿和其他费用由乙方自行承担，概与甲方无关。若因此导致甲方支付赔偿及其他费用，乙方应全部偿还给甲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为保证项目成果的质量，乙方在合同履行期间，应按照服务内容要求成立专门的项目小组，并保障项目团队成员（含项目负责人）到位。项目负责人负责对项目实施全过程进行组织和指导，并承担项目服务的实质性工作。乙方应保证本合同的主要核心成员在项目实施期间全程参与项目实质性工作。如确需更换项目团队成员（含项目负责人），乙方应事先征得甲方的同意，且接替人员的职位、资历应与原定成员相当</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未经甲方同意擅自更换一个项目团队成员导致项目成果质量下降，乙方应向甲方支付本合同总价款5%的违约金。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合同履行期间，乙方应按实际项目工作需要进行现场调研、中间成果汇报和沟通讨论、审查修改的全部工作和会议。乙方必须按本合同约定的内容、标准和期限完成项目工作，并按照甲方要求将完成委托事项的相关资料交给甲方。如甲方需对工作进度和内容进行调整，甲方、乙方应共同协商达成一致。</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2.7乙方有维护甲方声誉的义务，乙方不能以甲方名义从事与本项目无关的任何事务。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2.8本合同期满或提前解除、终止后，乙方应将甲方的档案资料、信息数据等交还甲方，并应销毁或删除所有备份。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2.9乙方在完成本项目过程中，不得损害其他任何第三方的知识产权等合法权益，否则由此造成的相关责任应当由乙方自行承担，与甲方无关。</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2.10乙方应采取必要措施配合专家评审会及甲方验收人员的工作,对于评审验收过程中发现的问题，乙方应在发现问题之日起3个工作日内进行改正，以符合甲方的需要。</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2.11乙方指定项目联系人：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姓名：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第六条  人员要求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以下为本项目核心团队。</w:t>
      </w:r>
    </w:p>
    <w:tbl>
      <w:tblPr>
        <w:tblStyle w:val="20"/>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拟任</w:t>
            </w:r>
            <w:r>
              <w:rPr>
                <w:rFonts w:ascii="宋体" w:hAnsi="宋体" w:cs="宋体"/>
                <w:color w:val="000000" w:themeColor="text1"/>
                <w:sz w:val="24"/>
                <w14:textFill>
                  <w14:solidFill>
                    <w14:schemeClr w14:val="tx1"/>
                  </w14:solidFill>
                </w14:textFill>
              </w:rPr>
              <w:t>团队</w:t>
            </w:r>
            <w:r>
              <w:rPr>
                <w:rFonts w:hint="eastAsia" w:ascii="宋体" w:hAnsi="宋体" w:cs="宋体"/>
                <w:color w:val="000000" w:themeColor="text1"/>
                <w:sz w:val="24"/>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bl>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1.参加本项目编制的人员必须具有国家和有关部门规定的相应资质。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2.参加本项目编制的人员配置必须与合同中的项目成员组成一致，若需调整需经甲方</w:t>
      </w:r>
      <w:r>
        <w:rPr>
          <w:rFonts w:ascii="宋体" w:hAnsi="宋体" w:cs="宋体"/>
          <w:color w:val="000000" w:themeColor="text1"/>
          <w:sz w:val="24"/>
          <w14:textFill>
            <w14:solidFill>
              <w14:schemeClr w14:val="tx1"/>
            </w14:solidFill>
          </w14:textFill>
        </w:rPr>
        <w:t>书面</w:t>
      </w:r>
      <w:r>
        <w:rPr>
          <w:rFonts w:hint="eastAsia" w:ascii="宋体" w:hAnsi="宋体" w:cs="宋体"/>
          <w:color w:val="000000" w:themeColor="text1"/>
          <w:sz w:val="24"/>
          <w14:textFill>
            <w14:solidFill>
              <w14:schemeClr w14:val="tx1"/>
            </w14:solidFill>
          </w14:textFill>
        </w:rPr>
        <w:t>同意后，方可变更。</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3.必须以乙方直属人员</w:t>
      </w:r>
      <w:r>
        <w:rPr>
          <w:rFonts w:ascii="宋体" w:hAnsi="宋体" w:cs="宋体"/>
          <w:color w:val="000000" w:themeColor="text1"/>
          <w:sz w:val="24"/>
          <w14:textFill>
            <w14:solidFill>
              <w14:schemeClr w14:val="tx1"/>
            </w14:solidFill>
          </w14:textFill>
        </w:rPr>
        <w:t>（直属人员指</w:t>
      </w:r>
      <w:r>
        <w:rPr>
          <w:rFonts w:hint="eastAsia" w:ascii="宋体" w:hAnsi="宋体" w:cs="宋体"/>
          <w:color w:val="000000" w:themeColor="text1"/>
          <w:sz w:val="24"/>
          <w14:textFill>
            <w14:solidFill>
              <w14:schemeClr w14:val="tx1"/>
            </w14:solidFill>
          </w14:textFill>
        </w:rPr>
        <w:t>劳动合同、社会保险等劳动关系</w:t>
      </w:r>
      <w:r>
        <w:rPr>
          <w:rFonts w:ascii="宋体" w:hAnsi="宋体" w:cs="宋体"/>
          <w:color w:val="000000" w:themeColor="text1"/>
          <w:sz w:val="24"/>
          <w14:textFill>
            <w14:solidFill>
              <w14:schemeClr w14:val="tx1"/>
            </w14:solidFill>
          </w14:textFill>
        </w:rPr>
        <w:t>在乙方的人员）</w:t>
      </w:r>
      <w:r>
        <w:rPr>
          <w:rFonts w:hint="eastAsia" w:ascii="宋体" w:hAnsi="宋体" w:cs="宋体"/>
          <w:color w:val="000000" w:themeColor="text1"/>
          <w:sz w:val="24"/>
          <w14:textFill>
            <w14:solidFill>
              <w14:schemeClr w14:val="tx1"/>
            </w14:solidFill>
          </w14:textFill>
        </w:rPr>
        <w:t>参与本项目服务，不得使用挂靠队伍。</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第七条 成果权属与知识产权</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1.本项目全部阶段性成果和最终成果的所有权、知识产权以及与之相关的所有权利归甲方所有；本合同签署前双方已经拥有的知识产权权利，仍归各自所有。</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2.双方确定，甲方有权利用乙方按照本合同约定提供的成果，进行后续改进。由此产生的具有实质性或创造性技术进步特征的新的成果及其权利归属，全部由甲方享有。具体相关利益的分配办法如下：甲方100%。</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所提交的全部阶段性成果和最终成果文件及任何数据、资料等不得侵犯任何第三方的知识产权或其他权利，由于该文件、数据、资料侵权所导致的任何索赔或责任均由乙方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甲方书面在先同意，乙方不得将本项目的阶段性成果和/或最终成果文件及任何数据、资料向任何第三方转让、授权任何第三方使用或用于本合同项目外的其他项目。如发生以上情况，乙方应向甲方支付本合同总价款10%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5.乙方完成本合同项目的服务人员享有在有关成果文件上写明成果完成者的权利和与甲方共同获得有关荣誉证书、奖励的权利。</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第八条  保密条款</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3.乙方实施项目的程序应符合国家安全、保密的有关规定和标准。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4.上述保密义务不适用以下情况：</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如乙方违反上述保密条款，甲方有权解除本合同，乙方应在合同解除通知发出之日起10日内向甲方支付本合同服务费总金额10%的违约金，如果违约金无法弥补甲方损失，甲方保留要求乙方赔偿全部损失的权利，包括但不限于上述索赔或责任所产生的诉讼费用、合理的律师费用、鉴定评估费用、调查费用、和解金额或生效法律文书中规定的赔偿金额。</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6.无论本项目其他条款是否有效，本保密条款始终约束双方。国家秘密的保密期限由国家有关部门确定，工作秘密的保密期限由甲方确定。</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第九条  成果要求及验收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1.成果要求</w:t>
      </w:r>
    </w:p>
    <w:p>
      <w:pPr>
        <w:pStyle w:val="7"/>
        <w:adjustRightInd w:val="0"/>
        <w:spacing w:after="0"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工作进度安排：</w:t>
      </w:r>
    </w:p>
    <w:p>
      <w:pPr>
        <w:spacing w:line="360" w:lineRule="auto"/>
        <w:ind w:firstLine="480" w:firstLineChars="200"/>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1.</w:t>
      </w:r>
      <w:r>
        <w:rPr>
          <w:rFonts w:ascii="宋体" w:hAnsi="宋体" w:cs="宋体"/>
          <w:bCs/>
          <w:color w:val="000000" w:themeColor="text1"/>
          <w:sz w:val="24"/>
          <w14:textFill>
            <w14:solidFill>
              <w14:schemeClr w14:val="tx1"/>
            </w14:solidFill>
          </w14:textFill>
        </w:rPr>
        <w:t>1</w:t>
      </w:r>
      <w:r>
        <w:rPr>
          <w:rFonts w:hint="eastAsia" w:ascii="宋体" w:hAnsi="宋体" w:cs="宋体"/>
          <w:bCs/>
          <w:color w:val="000000" w:themeColor="text1"/>
          <w:sz w:val="24"/>
          <w:lang w:val="en-US" w:eastAsia="zh-CN"/>
          <w14:textFill>
            <w14:solidFill>
              <w14:schemeClr w14:val="tx1"/>
            </w14:solidFill>
          </w14:textFill>
        </w:rPr>
        <w:t>.</w:t>
      </w:r>
      <w:r>
        <w:rPr>
          <w:rFonts w:ascii="宋体" w:hAnsi="宋体" w:cs="宋体"/>
          <w:bCs/>
          <w:color w:val="000000" w:themeColor="text1"/>
          <w:sz w:val="24"/>
          <w14:textFill>
            <w14:solidFill>
              <w14:schemeClr w14:val="tx1"/>
            </w14:solidFill>
          </w14:textFill>
        </w:rPr>
        <w:t>每月25日前，完成综保区及交通运输、仓储和邮政业相关数据的采集、整理工作以及提供重点企业名单，共12份；</w:t>
      </w:r>
      <w:r>
        <w:rPr>
          <w:rFonts w:hint="eastAsia" w:ascii="宋体" w:hAnsi="宋体" w:cs="宋体"/>
          <w:bCs/>
          <w:color w:val="000000" w:themeColor="text1"/>
          <w:sz w:val="24"/>
          <w:lang w:val="en-US" w:eastAsia="zh-CN"/>
          <w14:textFill>
            <w14:solidFill>
              <w14:schemeClr w14:val="tx1"/>
            </w14:solidFill>
          </w14:textFill>
        </w:rPr>
        <w:t>(提供6份为中期成果)</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1.</w:t>
      </w:r>
      <w:r>
        <w:rPr>
          <w:rFonts w:ascii="宋体" w:hAnsi="宋体" w:cs="宋体"/>
          <w:bCs/>
          <w:color w:val="000000" w:themeColor="text1"/>
          <w:sz w:val="24"/>
          <w14:textFill>
            <w14:solidFill>
              <w14:schemeClr w14:val="tx1"/>
            </w14:solidFill>
          </w14:textFill>
        </w:rPr>
        <w:t>2</w:t>
      </w:r>
      <w:r>
        <w:rPr>
          <w:rFonts w:hint="eastAsia" w:ascii="宋体" w:hAnsi="宋体" w:cs="宋体"/>
          <w:bCs/>
          <w:color w:val="000000" w:themeColor="text1"/>
          <w:sz w:val="24"/>
          <w:lang w:val="en-US" w:eastAsia="zh-CN"/>
          <w14:textFill>
            <w14:solidFill>
              <w14:schemeClr w14:val="tx1"/>
            </w14:solidFill>
          </w14:textFill>
        </w:rPr>
        <w:t>.</w:t>
      </w:r>
      <w:r>
        <w:rPr>
          <w:rFonts w:ascii="宋体" w:hAnsi="宋体" w:cs="宋体"/>
          <w:bCs/>
          <w:color w:val="000000" w:themeColor="text1"/>
          <w:sz w:val="24"/>
          <w14:textFill>
            <w14:solidFill>
              <w14:schemeClr w14:val="tx1"/>
            </w14:solidFill>
          </w14:textFill>
        </w:rPr>
        <w:t>每月30日前，提供全国综保区比较分析简报、前海交通运输、仓储和邮政业经济运行分析报告，共12份；</w:t>
      </w:r>
      <w:r>
        <w:rPr>
          <w:rFonts w:hint="eastAsia" w:ascii="宋体" w:hAnsi="宋体" w:cs="宋体"/>
          <w:bCs/>
          <w:color w:val="000000" w:themeColor="text1"/>
          <w:sz w:val="24"/>
          <w:lang w:val="en-US" w:eastAsia="zh-CN"/>
          <w14:textFill>
            <w14:solidFill>
              <w14:schemeClr w14:val="tx1"/>
            </w14:solidFill>
          </w14:textFill>
        </w:rPr>
        <w:t>(提供6份为中期成果)</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1.</w:t>
      </w:r>
      <w:r>
        <w:rPr>
          <w:rFonts w:ascii="宋体" w:hAnsi="宋体" w:cs="宋体"/>
          <w:bCs/>
          <w:color w:val="000000" w:themeColor="text1"/>
          <w:sz w:val="24"/>
          <w14:textFill>
            <w14:solidFill>
              <w14:schemeClr w14:val="tx1"/>
            </w14:solidFill>
          </w14:textFill>
        </w:rPr>
        <w:t>3</w:t>
      </w:r>
      <w:r>
        <w:rPr>
          <w:rFonts w:hint="eastAsia" w:ascii="宋体" w:hAnsi="宋体" w:cs="宋体"/>
          <w:bCs/>
          <w:color w:val="000000" w:themeColor="text1"/>
          <w:sz w:val="24"/>
          <w:lang w:val="en-US" w:eastAsia="zh-CN"/>
          <w14:textFill>
            <w14:solidFill>
              <w14:schemeClr w14:val="tx1"/>
            </w14:solidFill>
          </w14:textFill>
        </w:rPr>
        <w:t>.</w:t>
      </w:r>
      <w:r>
        <w:rPr>
          <w:rFonts w:ascii="宋体" w:hAnsi="宋体" w:cs="宋体"/>
          <w:bCs/>
          <w:color w:val="000000" w:themeColor="text1"/>
          <w:sz w:val="24"/>
          <w14:textFill>
            <w14:solidFill>
              <w14:schemeClr w14:val="tx1"/>
            </w14:solidFill>
          </w14:textFill>
        </w:rPr>
        <w:t>每月30日前，配合采购人完成经济调度报告材料的准备；</w:t>
      </w:r>
    </w:p>
    <w:p>
      <w:pPr>
        <w:tabs>
          <w:tab w:val="left" w:pos="720"/>
        </w:tabs>
        <w:autoSpaceDE w:val="0"/>
        <w:autoSpaceDN w:val="0"/>
        <w:adjustRightInd w:val="0"/>
        <w:spacing w:line="360" w:lineRule="auto"/>
        <w:ind w:right="17" w:firstLine="480" w:firstLineChars="200"/>
        <w:outlineLvl w:val="2"/>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4</w:t>
      </w:r>
      <w:r>
        <w:rPr>
          <w:rFonts w:hint="eastAsia" w:ascii="宋体" w:hAnsi="宋体" w:cs="宋体"/>
          <w:bCs/>
          <w:color w:val="000000" w:themeColor="text1"/>
          <w:sz w:val="24"/>
          <w:lang w:val="en-US"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合同终止之日前，根据采购人修改意见对所有交付成果进行修改，向采购人提交最终成果送审稿。</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提交的</w:t>
      </w:r>
      <w:r>
        <w:rPr>
          <w:rFonts w:hint="eastAsia" w:ascii="宋体" w:hAnsi="宋体" w:cs="宋体"/>
          <w:bCs/>
          <w:color w:val="000000" w:themeColor="text1"/>
          <w:sz w:val="24"/>
          <w:highlight w:val="none"/>
          <w:lang w:val="en-US" w:eastAsia="zh-CN"/>
          <w14:textFill>
            <w14:solidFill>
              <w14:schemeClr w14:val="tx1"/>
            </w14:solidFill>
          </w14:textFill>
        </w:rPr>
        <w:t>最终</w:t>
      </w:r>
      <w:r>
        <w:rPr>
          <w:rFonts w:ascii="宋体" w:hAnsi="宋体" w:cs="宋体"/>
          <w:bCs/>
          <w:color w:val="000000" w:themeColor="text1"/>
          <w:sz w:val="24"/>
          <w:highlight w:val="none"/>
          <w14:textFill>
            <w14:solidFill>
              <w14:schemeClr w14:val="tx1"/>
            </w14:solidFill>
          </w14:textFill>
        </w:rPr>
        <w:t>成果主要为《前海交通运输仓储和邮政业企业主题数据表》、《重点企业监测表》、《全国综保区比较分析月度报告》、《交通运输、仓储和邮政业经济运行月度分析报告》。以上成果以纸质版、电子光盘的方式提交，电子版文档以word、pdf等形式提供</w:t>
      </w:r>
      <w:r>
        <w:rPr>
          <w:rFonts w:hint="eastAsia" w:ascii="宋体" w:hAnsi="宋体"/>
          <w:bCs/>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2.最终成果验收合格的标志为：</w:t>
      </w:r>
      <w:r>
        <w:rPr>
          <w:rFonts w:hint="eastAsia" w:ascii="宋体" w:hAnsi="宋体" w:cs="宋体"/>
          <w:bCs/>
          <w:color w:val="000000" w:themeColor="text1"/>
          <w:sz w:val="24"/>
          <w14:textFill>
            <w14:solidFill>
              <w14:schemeClr w14:val="tx1"/>
            </w14:solidFill>
          </w14:textFill>
        </w:rPr>
        <w:t>以上成果提交并通过甲方验收，视为验收合格</w:t>
      </w:r>
      <w:r>
        <w:rPr>
          <w:rFonts w:hint="eastAsia" w:ascii="宋体" w:hAnsi="宋体" w:cs="宋体"/>
          <w:color w:val="000000" w:themeColor="text1"/>
          <w:sz w:val="24"/>
          <w14:textFill>
            <w14:solidFill>
              <w14:schemeClr w14:val="tx1"/>
            </w14:solidFill>
          </w14:textFill>
        </w:rPr>
        <w:t>。</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第十条  项目服务费用及付款方式</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1.合同价款：合同总价为 </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（含税），其中不含税价</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，增值税税费</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总价包干，包括但不限于：本项目调研、劳务费、法定税费和利润以及乙方为完成本项目服务所发生的全部相关费用。在合同实施期间，除另签补充合同外，不接受乙方以任何理由、任何名目提出增加费用的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2.合同价款由甲方分2期支付至乙方指定银行账户：</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2.1.第1期：合同签订后15个工作日内，根据乙方提出的付款申请和有效发票，支付合同总价款的50%作为首款；即人民币  整（¥  元）</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2.2.第2期：提交中期成果并验收合格后，根据乙方提出的付款申请和有效发票，支付合同总价款的30%作为中期款；即人民币  整（¥  元）</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2.3第3期：提交最终成果并验收合格后，根据乙方提出的付款申请和有效发票，付清尾款。即人民币  整（¥  元）</w:t>
      </w:r>
    </w:p>
    <w:p>
      <w:pPr>
        <w:pStyle w:val="7"/>
        <w:spacing w:after="0"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pStyle w:val="7"/>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4.甲方应在收到乙方提交的验收材料和申请</w:t>
      </w:r>
      <w:r>
        <w:rPr>
          <w:rFonts w:hint="eastAsia" w:ascii="宋体" w:hAnsi="宋体" w:cs="宋体"/>
          <w:color w:val="000000" w:themeColor="text1"/>
          <w:lang w:eastAsia="zh-CN"/>
          <w14:textFill>
            <w14:solidFill>
              <w14:schemeClr w14:val="tx1"/>
            </w14:solidFill>
          </w14:textFill>
        </w:rPr>
        <w:t>后</w:t>
      </w:r>
      <w:r>
        <w:rPr>
          <w:rFonts w:hint="eastAsia" w:ascii="宋体" w:hAnsi="宋体" w:cs="宋体"/>
          <w:color w:val="000000" w:themeColor="text1"/>
          <w14:textFill>
            <w14:solidFill>
              <w14:schemeClr w14:val="tx1"/>
            </w14:solidFill>
          </w14:textFill>
        </w:rPr>
        <w:t>15个工作日内进行验收并出具验收报告，逾期视为验收合格，乙方可以据此提出请款申请。</w:t>
      </w:r>
    </w:p>
    <w:p>
      <w:pPr>
        <w:pStyle w:val="7"/>
        <w:spacing w:after="0"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5.乙方银行账户信息：</w:t>
      </w:r>
    </w:p>
    <w:p>
      <w:pPr>
        <w:pStyle w:val="7"/>
        <w:spacing w:after="0"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开户银行： </w:t>
      </w:r>
    </w:p>
    <w:p>
      <w:pPr>
        <w:pStyle w:val="7"/>
        <w:spacing w:after="0"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户名：</w:t>
      </w:r>
    </w:p>
    <w:p>
      <w:pPr>
        <w:pStyle w:val="7"/>
        <w:spacing w:after="0"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账号：</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第十一条 合同提前终止</w:t>
      </w:r>
    </w:p>
    <w:p>
      <w:pPr>
        <w:pStyle w:val="3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1.双方协商同意提前终止本合同的，按双方协商约定的方式进行清算执行。</w:t>
      </w:r>
    </w:p>
    <w:p>
      <w:pPr>
        <w:pStyle w:val="3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如果一方发生破产、解散、被依法关闭、撤销或已进入清算阶段等情形，发生上述情形的一方有义务在事由发生后15个工作日内以书面方式通知对方，对方有权解除合同。在该等情形下，甲方已向乙方支付的款项不退还，并按照乙方已完成的工作量支付款项，同时乙方应向甲方提交在合同终止日前完成的所有项目文件和相关资料。</w:t>
      </w:r>
    </w:p>
    <w:p>
      <w:pPr>
        <w:pStyle w:val="3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3.有下列情形之一的，本合同自甲方向乙方发出书面通知之日起终止：</w:t>
      </w:r>
    </w:p>
    <w:p>
      <w:pPr>
        <w:pStyle w:val="3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（1）甲方的职能发生转变，不再具有委托职能。</w:t>
      </w:r>
    </w:p>
    <w:p>
      <w:pPr>
        <w:pStyle w:val="3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（2）本合同签订时适用的法律法规或政策发生变化，且对本合同的继续履行造成重大影响。</w:t>
      </w:r>
    </w:p>
    <w:p>
      <w:pPr>
        <w:pStyle w:val="3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发生以上情形，甲方已向乙方支付的款项不退还，并按照乙方已完成的工作量支付款项，同时乙方应向甲方提交在合同终止日前完成的所有项目文件和相关资料。</w:t>
      </w:r>
    </w:p>
    <w:p>
      <w:pPr>
        <w:pStyle w:val="3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4.如发生不可抗力或其他超出合同双方控制的事件，致使一方无法履行合同，本合同解除。</w:t>
      </w:r>
    </w:p>
    <w:p>
      <w:pPr>
        <w:pStyle w:val="3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合同所称不可抗力是指自然灾害、战争、地震、政策变动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3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（2）发生不可抗力，甲乙双方承担各自的损失。由于其中一方迟延履行合同义务后发生不可抗力的，其违约责任不能免除。</w:t>
      </w:r>
    </w:p>
    <w:p>
      <w:pPr>
        <w:pStyle w:val="3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第十二条  争议解决办法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本合同的履行发生的或与本合同有关的争议或纠纷，由甲乙双方协商解决。协商不成的，双方同意将争议提交深圳前海合作区人民法院通过诉讼解决。争议解决期间内，双方应继续履行本合同其他事项，不受诉讼进展影响。</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第十三条  项目变更</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1.本合同履行过程中的需求变更和进度调整，以甲乙双方达成一致的书面文件为准。</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3.因非乙方责任造成项目进度推迟或延误，无法按照合同约定的日期完成相应的项目，双方经过协商可以进一步约定完成的日期，乙方的责任期也随之顺延。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4.在合同所约定的工作范畴内的服务，本合同价格不予变更。</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第十四条  风险责任</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乙方应完全地按照【  】号招标文件的要求和乙方投标文件的承诺完成本项目，出于自身财务、技术、人力等原因导致项目失败的，应承担全部责任。</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第十五条  违约责任</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1.因乙方原因，未能按规定时间完成有关工作的，每延误一天，甲方自尚未支付的合同款项中扣除该阶段应付款项的1‰的逾期违约金。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2.如乙方提供的服务或成果不符合质量要求，必须在甲方提出要求后7个</w:t>
      </w:r>
      <w:bookmarkStart w:id="30" w:name="OLE_LINK16"/>
      <w:r>
        <w:rPr>
          <w:rFonts w:hint="eastAsia" w:ascii="宋体" w:hAnsi="宋体" w:cs="宋体"/>
          <w:color w:val="000000" w:themeColor="text1"/>
          <w:sz w:val="24"/>
          <w14:textFill>
            <w14:solidFill>
              <w14:schemeClr w14:val="tx1"/>
            </w14:solidFill>
          </w14:textFill>
        </w:rPr>
        <w:t>工作日</w:t>
      </w:r>
      <w:bookmarkEnd w:id="30"/>
      <w:r>
        <w:rPr>
          <w:rFonts w:hint="eastAsia" w:ascii="宋体" w:hAnsi="宋体" w:cs="宋体"/>
          <w:color w:val="000000" w:themeColor="text1"/>
          <w:sz w:val="24"/>
          <w14:textFill>
            <w14:solidFill>
              <w14:schemeClr w14:val="tx1"/>
            </w14:solidFill>
          </w14:textFill>
        </w:rPr>
        <w:t>内无条件修改，其费用由乙方承担。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履行期间，发生下述情形时，甲方有权解除本合同，乙方应在合同解除通知发出之日起10日内向甲方支付合同总价款10%的违约金。乙方应同时将已完成的项目成果移交给甲方，并将全部有关资料退还甲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(1)因乙方工作的错误或遗漏造成成果质量不符合本合同要求，且乙方未按甲方要求采取及时有效的补救措施的；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(2)乙方未能按合同约定的日期(含协商延缓的日期)提交工作成果，延误时间超过30个工作日；或乙方虽如期提交阶段性成果和最终成果，但最终成果连续二次未能通过验收的；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(4)未经甲方书面在先同意，乙方擅自将本合同项目与任何第三方合作，或将本合同标的的全部或部分擅自转包给任何第三方，且未按甲方的要求终止与第三方的合同的；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(5)乙方明确表示或者以自己的行为表明不履行本合同的。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除因审批流程及财政部门预算下达延误影响甲方支出进度外，如甲方未按照本合同约定的时间支付服务费，乙方书面催告甲方并给予不少于15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10%的违约金。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违约责任各自独立且可累加。如本合同所约定的违约金无法弥补因违约行为所造成的损失，违约方应补偿上述不足部分的损失，包括但不限于上述索赔或责任所产生的诉讼费用、合理的律师费用、鉴定评估费用、调查费用、和解金额或生效法律文书中规定的赔偿金额。</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第十六条  其他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（1）合同书及补充协议；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（2）中标通知书；</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（3）招标文件（编号：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）及其澄清、补正公告；</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（4）投标书。</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3.本合同各条标题仅为提示之用，应以条文内容确定各方的权利义务。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4.本合同未尽事宜，由双方协商签订补充协议进行约定。补充协议应以书面形式作成，经双方法定代表人或其授权代表签字、盖章后与本合同具有同等法律效力。</w:t>
      </w:r>
    </w:p>
    <w:p>
      <w:pPr>
        <w:pStyle w:val="3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5.本合同约定的权利和义务不因合同双方发生收购、兼并、重组、分立而发生变化。如果发生上述情形，则本合同约定的权利和义务随之转移至收购、兼并、重组或分立后成立的单位。</w:t>
      </w:r>
    </w:p>
    <w:p>
      <w:pPr>
        <w:pStyle w:val="3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6.本合同在国家法律、法规和规章规定的范围内执行。当国家法律、法规和规章发生变化导致本合同有关条款与之抵触时，双方协商变更或废止该条款，在此情况下，双方互不承担责任。</w:t>
      </w:r>
    </w:p>
    <w:p>
      <w:pPr>
        <w:pStyle w:val="3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7.如果本合同的任何条款在任何时候变成不合法、无效或不可强制执行而不从根本上影响本合同的效力时，本合同的其他条款不受影响。</w:t>
      </w:r>
    </w:p>
    <w:p>
      <w:pPr>
        <w:pStyle w:val="3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3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9.任何一方未经另一方同意不得向任何第三方透露本合同的签订及其内容。甲方向其关联公司透露前述内容的，不受此限。</w:t>
      </w:r>
    </w:p>
    <w:p>
      <w:pPr>
        <w:pStyle w:val="3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pStyle w:val="3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11.本合同自双方盖章之日起生效，</w:t>
      </w:r>
      <w:r>
        <w:rPr>
          <w:rFonts w:hint="eastAsia" w:ascii="宋体" w:hAnsi="宋体" w:cs="宋体"/>
          <w:color w:val="000000" w:themeColor="text1"/>
          <w:sz w:val="24"/>
          <w14:textFill>
            <w14:solidFill>
              <w14:schemeClr w14:val="tx1"/>
            </w14:solidFill>
          </w14:textFill>
        </w:rPr>
        <w:t>有效期至本合同全部权利义务履行完毕之日止</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12.本合同一式六份，甲、乙方各执三份，均具有同等法律效力。</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（以下无正文，为签章栏）</w:t>
      </w:r>
    </w:p>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（本页为签章页）</w:t>
      </w:r>
    </w:p>
    <w:p>
      <w:pPr>
        <w:adjustRightInd w:val="0"/>
        <w:snapToGrid w:val="0"/>
        <w:spacing w:line="360" w:lineRule="auto"/>
        <w:rPr>
          <w:rFonts w:ascii="宋体" w:hAnsi="宋体" w:cs="宋体"/>
          <w:color w:val="000000" w:themeColor="text1"/>
          <w:sz w:val="24"/>
          <w14:textFill>
            <w14:solidFill>
              <w14:schemeClr w14:val="tx1"/>
            </w14:solidFill>
          </w14:textFill>
        </w:rPr>
      </w:pPr>
    </w:p>
    <w:p>
      <w:pPr>
        <w:adjustRightInd w:val="0"/>
        <w:snapToGrid w:val="0"/>
        <w:spacing w:line="360" w:lineRule="auto"/>
        <w:rPr>
          <w:rFonts w:ascii="宋体" w:hAnsi="宋体" w:cs="宋体"/>
          <w:color w:val="000000" w:themeColor="text1"/>
          <w:sz w:val="24"/>
          <w14:textFill>
            <w14:solidFill>
              <w14:schemeClr w14:val="tx1"/>
            </w14:solidFill>
          </w14:textFill>
        </w:rPr>
      </w:pPr>
    </w:p>
    <w:p>
      <w:pPr>
        <w:adjustRightInd w:val="0"/>
        <w:snapToGrid w:val="0"/>
        <w:spacing w:line="360" w:lineRule="auto"/>
        <w:rPr>
          <w:rFonts w:ascii="宋体" w:hAnsi="宋体" w:cs="宋体"/>
          <w:color w:val="000000" w:themeColor="text1"/>
          <w:sz w:val="24"/>
          <w14:textFill>
            <w14:solidFill>
              <w14:schemeClr w14:val="tx1"/>
            </w14:solidFill>
          </w14:textFill>
        </w:rPr>
      </w:pPr>
    </w:p>
    <w:p>
      <w:pPr>
        <w:adjustRightInd w:val="0"/>
        <w:snapToGrid w:val="0"/>
        <w:spacing w:line="360" w:lineRule="auto"/>
        <w:ind w:firstLine="200"/>
        <w:rPr>
          <w:rFonts w:ascii="宋体" w:hAnsi="宋体" w:cs="宋体"/>
          <w:color w:val="000000" w:themeColor="text1"/>
          <w:sz w:val="24"/>
          <w14:textFill>
            <w14:solidFill>
              <w14:schemeClr w14:val="tx1"/>
            </w14:solidFill>
          </w14:textFill>
        </w:rPr>
      </w:pPr>
    </w:p>
    <w:p>
      <w:pPr>
        <w:adjustRightInd w:val="0"/>
        <w:snapToGrid w:val="0"/>
        <w:spacing w:line="360" w:lineRule="auto"/>
        <w:ind w:left="8312" w:hanging="8312" w:hangingChars="345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甲方名称：                                 乙方名称：</w:t>
      </w: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深圳市前海深港现代服务业合作区管理局</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p>
    <w:p>
      <w:pPr>
        <w:adjustRightInd w:val="0"/>
        <w:snapToGrid w:val="0"/>
        <w:spacing w:line="360" w:lineRule="auto"/>
        <w:ind w:firstLine="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（盖章）</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（盖章）</w:t>
      </w:r>
    </w:p>
    <w:p>
      <w:pPr>
        <w:adjustRightInd w:val="0"/>
        <w:snapToGrid w:val="0"/>
        <w:spacing w:line="360" w:lineRule="auto"/>
        <w:ind w:firstLine="200"/>
        <w:rPr>
          <w:rFonts w:ascii="宋体" w:hAnsi="宋体" w:cs="宋体"/>
          <w:color w:val="000000" w:themeColor="text1"/>
          <w:sz w:val="24"/>
          <w14:textFill>
            <w14:solidFill>
              <w14:schemeClr w14:val="tx1"/>
            </w14:solidFill>
          </w14:textFill>
        </w:rPr>
      </w:pP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法定代表人或授权代表：（签字）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法定代表人或授权代表：（签字）</w:t>
      </w:r>
    </w:p>
    <w:p>
      <w:pPr>
        <w:widowControl/>
        <w:adjustRightInd w:val="0"/>
        <w:snapToGrid w:val="0"/>
        <w:spacing w:line="360" w:lineRule="auto"/>
        <w:ind w:firstLine="200"/>
        <w:jc w:val="left"/>
        <w:rPr>
          <w:rFonts w:ascii="宋体" w:hAnsi="宋体" w:cs="宋体"/>
          <w:color w:val="000000" w:themeColor="text1"/>
          <w:sz w:val="24"/>
          <w14:textFill>
            <w14:solidFill>
              <w14:schemeClr w14:val="tx1"/>
            </w14:solidFill>
          </w14:textFill>
        </w:rPr>
      </w:pP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日期：</w:t>
      </w:r>
    </w:p>
    <w:p>
      <w:pPr>
        <w:adjustRightInd w:val="0"/>
        <w:snapToGrid w:val="0"/>
        <w:spacing w:line="360" w:lineRule="auto"/>
        <w:ind w:firstLine="720" w:firstLineChars="300"/>
        <w:rPr>
          <w:rFonts w:ascii="宋体" w:hAnsi="宋体" w:cs="宋体"/>
          <w:color w:val="000000" w:themeColor="text1"/>
          <w:sz w:val="24"/>
          <w14:textFill>
            <w14:solidFill>
              <w14:schemeClr w14:val="tx1"/>
            </w14:solidFill>
          </w14:textFill>
        </w:rPr>
      </w:pP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注：本合同样本仅供参考，非实质性条款内容可由采购人和中标人协商确定。</w:t>
      </w:r>
    </w:p>
    <w:p>
      <w:pPr>
        <w:snapToGrid w:val="0"/>
        <w:spacing w:line="360" w:lineRule="auto"/>
        <w:rPr>
          <w:rFonts w:ascii="宋体" w:hAnsi="宋体" w:cs="宋体"/>
          <w:color w:val="000000" w:themeColor="text1"/>
          <w:sz w:val="24"/>
          <w14:textFill>
            <w14:solidFill>
              <w14:schemeClr w14:val="tx1"/>
            </w14:solidFill>
          </w14:textFill>
        </w:rPr>
      </w:pPr>
    </w:p>
    <w:p>
      <w:pPr>
        <w:numPr>
          <w:ilvl w:val="0"/>
          <w:numId w:val="1"/>
        </w:numPr>
        <w:spacing w:line="360" w:lineRule="auto"/>
        <w:jc w:val="center"/>
        <w:outlineLvl w:val="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31" w:name="_Toc25518"/>
      <w:r>
        <w:rPr>
          <w:rFonts w:hint="eastAsia" w:ascii="宋体" w:hAnsi="宋体" w:cs="宋体"/>
          <w:b/>
          <w:bCs/>
          <w:color w:val="000000" w:themeColor="text1"/>
          <w:sz w:val="24"/>
          <w14:textFill>
            <w14:solidFill>
              <w14:schemeClr w14:val="tx1"/>
            </w14:solidFill>
          </w14:textFill>
        </w:rPr>
        <w:t>用户需求书</w:t>
      </w:r>
      <w:bookmarkEnd w:id="31"/>
    </w:p>
    <w:p>
      <w:pPr>
        <w:pStyle w:val="31"/>
        <w:tabs>
          <w:tab w:val="left" w:pos="720"/>
        </w:tabs>
        <w:autoSpaceDE w:val="0"/>
        <w:autoSpaceDN w:val="0"/>
        <w:adjustRightInd w:val="0"/>
        <w:spacing w:line="360" w:lineRule="auto"/>
        <w:ind w:right="17" w:firstLine="482"/>
        <w:jc w:val="left"/>
        <w:outlineLvl w:val="1"/>
        <w:rPr>
          <w:rFonts w:ascii="宋体" w:hAnsi="宋体" w:cs="宋体"/>
          <w:b/>
          <w:color w:val="000000" w:themeColor="text1"/>
          <w:sz w:val="24"/>
          <w14:textFill>
            <w14:solidFill>
              <w14:schemeClr w14:val="tx1"/>
            </w14:solidFill>
          </w14:textFill>
        </w:rPr>
      </w:pPr>
      <w:bookmarkStart w:id="32" w:name="_Toc23726"/>
      <w:bookmarkStart w:id="33" w:name="_Toc11045"/>
      <w:r>
        <w:rPr>
          <w:rFonts w:hint="eastAsia" w:ascii="宋体" w:hAnsi="宋体" w:cs="宋体"/>
          <w:b/>
          <w:color w:val="000000" w:themeColor="text1"/>
          <w:sz w:val="24"/>
          <w14:textFill>
            <w14:solidFill>
              <w14:schemeClr w14:val="tx1"/>
            </w14:solidFill>
          </w14:textFill>
        </w:rPr>
        <w:t>说明：本章“用户需求书”的全部内容为本项目正常开展的基本要求，投标人必须</w:t>
      </w:r>
      <w:r>
        <w:rPr>
          <w:rFonts w:hint="eastAsia" w:ascii="宋体" w:hAnsi="宋体" w:cs="宋体"/>
          <w:b/>
          <w:color w:val="000000" w:themeColor="text1"/>
          <w:sz w:val="24"/>
          <w:u w:val="double"/>
          <w14:textFill>
            <w14:solidFill>
              <w14:schemeClr w14:val="tx1"/>
            </w14:solidFill>
          </w14:textFill>
        </w:rPr>
        <w:t>完全响应</w:t>
      </w:r>
      <w:r>
        <w:rPr>
          <w:rFonts w:hint="eastAsia" w:ascii="宋体" w:hAnsi="宋体" w:cs="宋体"/>
          <w:b/>
          <w:color w:val="000000" w:themeColor="text1"/>
          <w:sz w:val="24"/>
          <w14:textFill>
            <w14:solidFill>
              <w14:schemeClr w14:val="tx1"/>
            </w14:solidFill>
          </w14:textFill>
        </w:rPr>
        <w:t>，否则将导致投标无效。</w:t>
      </w:r>
    </w:p>
    <w:p>
      <w:pPr>
        <w:pStyle w:val="31"/>
        <w:tabs>
          <w:tab w:val="left" w:pos="720"/>
        </w:tabs>
        <w:autoSpaceDE w:val="0"/>
        <w:autoSpaceDN w:val="0"/>
        <w:adjustRightInd w:val="0"/>
        <w:spacing w:line="360" w:lineRule="auto"/>
        <w:ind w:right="17" w:firstLine="482"/>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w:t>
      </w:r>
      <w:bookmarkEnd w:id="32"/>
      <w:bookmarkEnd w:id="33"/>
      <w:bookmarkStart w:id="34" w:name="_Toc51746099"/>
      <w:r>
        <w:rPr>
          <w:rFonts w:hint="eastAsia" w:ascii="宋体" w:hAnsi="宋体" w:cs="宋体"/>
          <w:b/>
          <w:color w:val="000000" w:themeColor="text1"/>
          <w:sz w:val="24"/>
          <w:lang w:val="zh-CN"/>
          <w14:textFill>
            <w14:solidFill>
              <w14:schemeClr w14:val="tx1"/>
            </w14:solidFill>
          </w14:textFill>
        </w:rPr>
        <w:t>项目概况</w:t>
      </w:r>
    </w:p>
    <w:bookmarkEnd w:id="34"/>
    <w:p>
      <w:pPr>
        <w:pStyle w:val="7"/>
        <w:spacing w:after="0" w:line="360" w:lineRule="auto"/>
        <w:ind w:firstLine="480" w:firstLineChars="200"/>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为全面掌握前海合作区交通运输仓储和邮政业的经济数据结构及运行特征，充分利用大数据及挖掘技术，针对前海交通运输、仓储和邮政业开展经济运行分析相关工作，支撑交通运输、仓储和邮政业高质量发展，拟采购第三方数据服务机构协助提供2025年交通运输仓储和邮政业的经济运行分析服务。</w:t>
      </w:r>
    </w:p>
    <w:p>
      <w:pPr>
        <w:pStyle w:val="31"/>
        <w:tabs>
          <w:tab w:val="left" w:pos="720"/>
        </w:tabs>
        <w:autoSpaceDE w:val="0"/>
        <w:autoSpaceDN w:val="0"/>
        <w:adjustRightInd w:val="0"/>
        <w:spacing w:line="360" w:lineRule="auto"/>
        <w:ind w:right="17" w:firstLine="482"/>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二、项目必要性</w:t>
      </w:r>
    </w:p>
    <w:p>
      <w:pPr>
        <w:pStyle w:val="31"/>
        <w:tabs>
          <w:tab w:val="left" w:pos="720"/>
        </w:tabs>
        <w:autoSpaceDE w:val="0"/>
        <w:autoSpaceDN w:val="0"/>
        <w:adjustRightInd w:val="0"/>
        <w:spacing w:line="360" w:lineRule="auto"/>
        <w:ind w:right="17" w:firstLine="480"/>
        <w:jc w:val="left"/>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交通运输仓储和邮政业涉及企业数量多，行业数据处理与分析工作量大。</w:t>
      </w:r>
      <w:r>
        <w:rPr>
          <w:rFonts w:hint="eastAsia" w:ascii="宋体" w:hAnsi="宋体" w:cs="宋体"/>
          <w:bCs/>
          <w:color w:val="000000" w:themeColor="text1"/>
          <w:sz w:val="24"/>
          <w14:textFill>
            <w14:solidFill>
              <w14:schemeClr w14:val="tx1"/>
            </w14:solidFill>
          </w14:textFill>
        </w:rPr>
        <w:t>2024年，前海合作区交通运输、仓储和邮政业实现行业增加值287.0亿元（占前海GDP总量的9.5%），增长16.7%，较2023年（10.4%）提升6.3个百分点。一定程度起到了压舱石的作用。我处亦高度重视交通运输仓储和邮政业的行业发展，立足前海管理局经济调度会的需要，计划基于数据开展深度数据挖掘及分析。但是，目前交通运输仓储和邮政业数量较多（截至2024年12月，前海合作区交通运输仓储与邮政业注册企业6864家，其中限上企业378家），受制于数据获取渠道不足、数据处理及挖掘技术能力不足、数据深度分析的能力不足，导致当前交通运输仓储和邮政业数据掌握有限、数据挖掘有限、数据分析维度有限、数据查询及应用不够便捷，难以支撑交通运输仓储和邮政业高频的经济运行调度和日常管理工作。本次采购拟利用大数据手段提升经济运行分析能力和调节水平，动态掌握企业发展情况，分析挖掘现行经济发展亮点和问题，为科学决策提供数据支持和分析服务。</w:t>
      </w:r>
    </w:p>
    <w:p>
      <w:pPr>
        <w:pStyle w:val="31"/>
        <w:tabs>
          <w:tab w:val="left" w:pos="720"/>
        </w:tabs>
        <w:autoSpaceDE w:val="0"/>
        <w:autoSpaceDN w:val="0"/>
        <w:adjustRightInd w:val="0"/>
        <w:spacing w:line="360" w:lineRule="auto"/>
        <w:ind w:right="17" w:firstLine="480"/>
        <w:jc w:val="left"/>
        <w:rPr>
          <w:rFonts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综上所述，需请具有相关服务经验的第三方机构协助主办处室做好交通运输仓储和邮政业的行业数据的管理以及数据分析工作，利用大数据及挖掘技术，支撑开展经济运行分析相关工作，支持交通运输、仓储和邮政业高质量发展，确保完成2025年行业经济稳增长发展目标。</w:t>
      </w:r>
    </w:p>
    <w:p>
      <w:pPr>
        <w:pStyle w:val="31"/>
        <w:tabs>
          <w:tab w:val="left" w:pos="720"/>
        </w:tabs>
        <w:autoSpaceDE w:val="0"/>
        <w:autoSpaceDN w:val="0"/>
        <w:adjustRightInd w:val="0"/>
        <w:spacing w:line="360" w:lineRule="auto"/>
        <w:ind w:right="17" w:firstLine="482"/>
        <w:jc w:val="left"/>
        <w:outlineLvl w:val="1"/>
        <w:rPr>
          <w:rFonts w:ascii="宋体" w:hAnsi="宋体" w:cs="宋体"/>
          <w:b/>
          <w:color w:val="000000" w:themeColor="text1"/>
          <w:sz w:val="24"/>
          <w14:textFill>
            <w14:solidFill>
              <w14:schemeClr w14:val="tx1"/>
            </w14:solidFill>
          </w14:textFill>
        </w:rPr>
      </w:pPr>
      <w:bookmarkStart w:id="35" w:name="OLE_LINK15"/>
      <w:r>
        <w:rPr>
          <w:rFonts w:hint="eastAsia" w:ascii="宋体" w:hAnsi="宋体" w:cs="宋体"/>
          <w:b/>
          <w:color w:val="000000" w:themeColor="text1"/>
          <w:sz w:val="24"/>
          <w14:textFill>
            <w14:solidFill>
              <w14:schemeClr w14:val="tx1"/>
            </w14:solidFill>
          </w14:textFill>
        </w:rPr>
        <w:t>三、项目内容</w:t>
      </w:r>
    </w:p>
    <w:p>
      <w:pPr>
        <w:pStyle w:val="31"/>
        <w:tabs>
          <w:tab w:val="left" w:pos="720"/>
        </w:tabs>
        <w:autoSpaceDE w:val="0"/>
        <w:autoSpaceDN w:val="0"/>
        <w:adjustRightInd w:val="0"/>
        <w:spacing w:line="360" w:lineRule="auto"/>
        <w:ind w:right="17" w:firstLine="480"/>
        <w:jc w:val="left"/>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lang w:eastAsia="zh-TW"/>
          <w14:textFill>
            <w14:solidFill>
              <w14:schemeClr w14:val="tx1"/>
            </w14:solidFill>
          </w14:textFill>
        </w:rPr>
        <w:t>项目服务方需</w:t>
      </w:r>
      <w:r>
        <w:rPr>
          <w:rFonts w:hint="eastAsia" w:ascii="宋体" w:hAnsi="宋体" w:cs="宋体"/>
          <w:bCs/>
          <w:color w:val="000000" w:themeColor="text1"/>
          <w:sz w:val="24"/>
          <w:lang w:val="zh-TW" w:eastAsia="zh-TW"/>
          <w14:textFill>
            <w14:solidFill>
              <w14:schemeClr w14:val="tx1"/>
            </w14:solidFill>
          </w14:textFill>
        </w:rPr>
        <w:t>根据实施客观需要，为</w:t>
      </w:r>
      <w:r>
        <w:rPr>
          <w:rFonts w:hint="eastAsia" w:ascii="宋体" w:hAnsi="宋体" w:cs="宋体"/>
          <w:bCs/>
          <w:color w:val="000000" w:themeColor="text1"/>
          <w:sz w:val="24"/>
          <w14:textFill>
            <w14:solidFill>
              <w14:schemeClr w14:val="tx1"/>
            </w14:solidFill>
          </w14:textFill>
        </w:rPr>
        <w:t>采购人开展经济运行分析</w:t>
      </w:r>
      <w:r>
        <w:rPr>
          <w:rFonts w:hint="eastAsia" w:ascii="宋体" w:hAnsi="宋体" w:cs="宋体"/>
          <w:bCs/>
          <w:color w:val="000000" w:themeColor="text1"/>
          <w:sz w:val="24"/>
          <w:lang w:val="zh-TW" w:eastAsia="zh-TW"/>
          <w14:textFill>
            <w14:solidFill>
              <w14:schemeClr w14:val="tx1"/>
            </w14:solidFill>
          </w14:textFill>
        </w:rPr>
        <w:t>工作提供数据、技术及分析支撑。</w:t>
      </w:r>
      <w:r>
        <w:rPr>
          <w:rFonts w:hint="eastAsia" w:ascii="宋体" w:hAnsi="宋体" w:cs="宋体"/>
          <w:bCs/>
          <w:color w:val="000000" w:themeColor="text1"/>
          <w:sz w:val="24"/>
          <w14:textFill>
            <w14:solidFill>
              <w14:schemeClr w14:val="tx1"/>
            </w14:solidFill>
          </w14:textFill>
        </w:rPr>
        <w:t>主要包括：</w:t>
      </w:r>
    </w:p>
    <w:p>
      <w:pPr>
        <w:pStyle w:val="31"/>
        <w:tabs>
          <w:tab w:val="left" w:pos="720"/>
        </w:tabs>
        <w:autoSpaceDE w:val="0"/>
        <w:autoSpaceDN w:val="0"/>
        <w:adjustRightInd w:val="0"/>
        <w:spacing w:line="360" w:lineRule="auto"/>
        <w:ind w:right="17" w:firstLine="48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（一）数据对接、处理</w:t>
      </w:r>
    </w:p>
    <w:p>
      <w:pPr>
        <w:pStyle w:val="31"/>
        <w:tabs>
          <w:tab w:val="left" w:pos="720"/>
        </w:tabs>
        <w:autoSpaceDE w:val="0"/>
        <w:autoSpaceDN w:val="0"/>
        <w:adjustRightInd w:val="0"/>
        <w:spacing w:line="360" w:lineRule="auto"/>
        <w:ind w:right="17" w:firstLine="48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1、归集交通运输仓储和邮政业相关经济数据信息。包括但不限于前海管理局掌握的经济数据，其他部门掌握的数据，以及其他经济大数据。</w:t>
      </w:r>
    </w:p>
    <w:p>
      <w:pPr>
        <w:pStyle w:val="31"/>
        <w:tabs>
          <w:tab w:val="left" w:pos="720"/>
        </w:tabs>
        <w:autoSpaceDE w:val="0"/>
        <w:autoSpaceDN w:val="0"/>
        <w:adjustRightInd w:val="0"/>
        <w:spacing w:line="360" w:lineRule="auto"/>
        <w:ind w:right="17" w:firstLine="48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2、企业数据处理。构建交通运输仓储和邮政业企业主题表，动态更新维护交通运输仓储和邮政业企业相关数据，对数据进行分类处理。如针对多式联运和运输管理、装卸搬运和仓储业等细分行业进行分类。</w:t>
      </w:r>
    </w:p>
    <w:p>
      <w:pPr>
        <w:pStyle w:val="31"/>
        <w:tabs>
          <w:tab w:val="left" w:pos="720"/>
        </w:tabs>
        <w:autoSpaceDE w:val="0"/>
        <w:autoSpaceDN w:val="0"/>
        <w:adjustRightInd w:val="0"/>
        <w:spacing w:line="360" w:lineRule="auto"/>
        <w:ind w:right="17" w:firstLine="48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重点企业监测。针对交通运输仓储和邮政业重点企业，梳理跟踪企业经营上行/下行的原因、企业诉求、企业经营预测等数据信息；同时根据企业外汇结算数据，了解企业出口贸易的表现，分析企业的汇率风险管理情况，支撑重点企业的经济调度工作；采集大宗商品数据、物流景气度数据、企业股东、企业投融资、企业专利信息、企业注册商标等数据，综合监测企业发展。</w:t>
      </w:r>
    </w:p>
    <w:p>
      <w:pPr>
        <w:pStyle w:val="31"/>
        <w:tabs>
          <w:tab w:val="left" w:pos="720"/>
        </w:tabs>
        <w:autoSpaceDE w:val="0"/>
        <w:autoSpaceDN w:val="0"/>
        <w:adjustRightInd w:val="0"/>
        <w:spacing w:line="360" w:lineRule="auto"/>
        <w:ind w:right="17" w:firstLine="48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（二）指标统计、查询</w:t>
      </w:r>
    </w:p>
    <w:p>
      <w:pPr>
        <w:pStyle w:val="31"/>
        <w:tabs>
          <w:tab w:val="left" w:pos="720"/>
        </w:tabs>
        <w:autoSpaceDE w:val="0"/>
        <w:autoSpaceDN w:val="0"/>
        <w:adjustRightInd w:val="0"/>
        <w:spacing w:line="360" w:lineRule="auto"/>
        <w:ind w:right="17" w:firstLine="48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1、数据统计汇总。对交通运输、仓储和邮政业行业数据进行统计分析，形成相对完整的监测体系数据。</w:t>
      </w:r>
    </w:p>
    <w:p>
      <w:pPr>
        <w:pStyle w:val="31"/>
        <w:tabs>
          <w:tab w:val="left" w:pos="720"/>
        </w:tabs>
        <w:autoSpaceDE w:val="0"/>
        <w:autoSpaceDN w:val="0"/>
        <w:adjustRightInd w:val="0"/>
        <w:spacing w:line="360" w:lineRule="auto"/>
        <w:ind w:right="17" w:firstLine="48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2、数据查询服务。通过在线系统提供已掌握的交通运输、仓储和邮政业增</w:t>
      </w:r>
      <w:r>
        <w:rPr>
          <w:rFonts w:hint="eastAsia" w:ascii="宋体" w:hAnsi="宋体" w:cs="宋体"/>
          <w:bCs/>
          <w:color w:val="000000" w:themeColor="text1"/>
          <w:sz w:val="24"/>
          <w:highlight w:val="none"/>
          <w14:textFill>
            <w14:solidFill>
              <w14:schemeClr w14:val="tx1"/>
            </w14:solidFill>
          </w14:textFill>
        </w:rPr>
        <w:t>加值、利用外资、专项挖掘等数据，实现便捷查询服务。</w:t>
      </w:r>
    </w:p>
    <w:p>
      <w:pPr>
        <w:pStyle w:val="31"/>
        <w:tabs>
          <w:tab w:val="left" w:pos="720"/>
        </w:tabs>
        <w:autoSpaceDE w:val="0"/>
        <w:autoSpaceDN w:val="0"/>
        <w:adjustRightInd w:val="0"/>
        <w:spacing w:line="360" w:lineRule="auto"/>
        <w:ind w:right="17" w:firstLine="48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（三）协助输出专项分析报告</w:t>
      </w:r>
    </w:p>
    <w:p>
      <w:pPr>
        <w:pStyle w:val="31"/>
        <w:tabs>
          <w:tab w:val="left" w:pos="720"/>
        </w:tabs>
        <w:autoSpaceDE w:val="0"/>
        <w:autoSpaceDN w:val="0"/>
        <w:adjustRightInd w:val="0"/>
        <w:spacing w:line="360" w:lineRule="auto"/>
        <w:ind w:right="17" w:firstLine="480"/>
        <w:jc w:val="left"/>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1、全国综保区比较分析月度报告。</w:t>
      </w:r>
      <w:r>
        <w:rPr>
          <w:rFonts w:hint="eastAsia" w:ascii="宋体" w:hAnsi="宋体" w:cs="宋体"/>
          <w:bCs/>
          <w:color w:val="000000" w:themeColor="text1"/>
          <w:sz w:val="24"/>
          <w:highlight w:val="none"/>
          <w14:textFill>
            <w14:solidFill>
              <w14:schemeClr w14:val="tx1"/>
            </w14:solidFill>
          </w14:textFill>
        </w:rPr>
        <w:t>每月通过收集、整理前海综合保税区和全国进出口总额排名前十的各综合保税区的外贸进出口、单位面积的产出等数据，按要求进行多维度细分以及对比分析，编制全国综保区比较分析月度报表，并形成外贸进出口额前十名的数据简报，包括外贸进出口量、同比增速、进口额和出口额等指标。</w:t>
      </w:r>
    </w:p>
    <w:p>
      <w:pPr>
        <w:pStyle w:val="31"/>
        <w:tabs>
          <w:tab w:val="left" w:pos="720"/>
        </w:tabs>
        <w:autoSpaceDE w:val="0"/>
        <w:autoSpaceDN w:val="0"/>
        <w:adjustRightInd w:val="0"/>
        <w:spacing w:line="360" w:lineRule="auto"/>
        <w:ind w:right="17" w:firstLine="480"/>
        <w:jc w:val="left"/>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2、交通运输、仓储和邮政业经济运行月度分析报告。</w:t>
      </w:r>
      <w:r>
        <w:rPr>
          <w:rFonts w:hint="eastAsia" w:ascii="宋体" w:hAnsi="宋体" w:cs="宋体"/>
          <w:bCs/>
          <w:color w:val="000000" w:themeColor="text1"/>
          <w:sz w:val="24"/>
          <w:highlight w:val="none"/>
          <w14:textFill>
            <w14:solidFill>
              <w14:schemeClr w14:val="tx1"/>
            </w14:solidFill>
          </w14:textFill>
        </w:rPr>
        <w:t>以上述前海合作区交通运输、仓储和邮政业重点行业及企业的月度数据为基础，进行梳理与汇总，剖析其中变化的规律与趋势，并深入分析其具体的原因和可能造成的影响，为前海合作区综合保税区管理处的决策与预警提供助力。此外，根据采购人要求，围绕前海合作区当前交通、仓储和邮政业的重点行业或需重点发展的行业开展专项研究，并在合同期内每月输出交通运输、仓储和邮政业经济分析报告。</w:t>
      </w:r>
    </w:p>
    <w:p>
      <w:pPr>
        <w:pStyle w:val="31"/>
        <w:tabs>
          <w:tab w:val="left" w:pos="720"/>
        </w:tabs>
        <w:autoSpaceDE w:val="0"/>
        <w:autoSpaceDN w:val="0"/>
        <w:adjustRightInd w:val="0"/>
        <w:spacing w:line="360" w:lineRule="auto"/>
        <w:ind w:right="17" w:firstLine="482"/>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四、成果要求及验收</w:t>
      </w:r>
    </w:p>
    <w:p>
      <w:pPr>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（一）成果要求</w:t>
      </w:r>
    </w:p>
    <w:p>
      <w:pPr>
        <w:spacing w:line="360" w:lineRule="auto"/>
        <w:ind w:firstLine="480" w:firstLineChars="200"/>
        <w:rPr>
          <w:rFonts w:hint="default" w:ascii="宋体" w:hAnsi="宋体" w:eastAsia="宋体" w:cs="宋体"/>
          <w:bCs/>
          <w:color w:val="000000" w:themeColor="text1"/>
          <w:sz w:val="24"/>
          <w:lang w:val="en-US" w:eastAsia="zh-CN"/>
          <w14:textFill>
            <w14:solidFill>
              <w14:schemeClr w14:val="tx1"/>
            </w14:solidFill>
          </w14:textFill>
        </w:rPr>
      </w:pPr>
      <w:r>
        <w:rPr>
          <w:rFonts w:ascii="宋体" w:hAnsi="宋体" w:cs="宋体"/>
          <w:bCs/>
          <w:color w:val="000000" w:themeColor="text1"/>
          <w:sz w:val="24"/>
          <w14:textFill>
            <w14:solidFill>
              <w14:schemeClr w14:val="tx1"/>
            </w14:solidFill>
          </w14:textFill>
        </w:rPr>
        <w:t>1、每月25日前，完成综保区及交通运输、仓储和邮政业相关数据的采集、整理工作以及提供重点企业名单，共12份；</w:t>
      </w:r>
      <w:r>
        <w:rPr>
          <w:rFonts w:hint="eastAsia" w:ascii="宋体" w:hAnsi="宋体" w:cs="宋体"/>
          <w:bCs/>
          <w:color w:val="000000" w:themeColor="text1"/>
          <w:sz w:val="24"/>
          <w:lang w:val="en-US" w:eastAsia="zh-CN"/>
          <w14:textFill>
            <w14:solidFill>
              <w14:schemeClr w14:val="tx1"/>
            </w14:solidFill>
          </w14:textFill>
        </w:rPr>
        <w:t>(提供6份为中期成果)</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2、每月30日前，提供全国综保区比较分析简报、前海交通运输、仓储和邮政业经济运行分析报告，共12份；</w:t>
      </w:r>
      <w:r>
        <w:rPr>
          <w:rFonts w:hint="eastAsia" w:ascii="宋体" w:hAnsi="宋体" w:cs="宋体"/>
          <w:bCs/>
          <w:color w:val="000000" w:themeColor="text1"/>
          <w:sz w:val="24"/>
          <w:lang w:val="en-US" w:eastAsia="zh-CN"/>
          <w14:textFill>
            <w14:solidFill>
              <w14:schemeClr w14:val="tx1"/>
            </w14:solidFill>
          </w14:textFill>
        </w:rPr>
        <w:t>(提供6份为中期成果)</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3、每月30日前，配合采购人完成经济调度报告材料的准备；</w:t>
      </w:r>
    </w:p>
    <w:p>
      <w:pPr>
        <w:tabs>
          <w:tab w:val="left" w:pos="720"/>
        </w:tabs>
        <w:autoSpaceDE w:val="0"/>
        <w:autoSpaceDN w:val="0"/>
        <w:adjustRightInd w:val="0"/>
        <w:spacing w:line="360" w:lineRule="auto"/>
        <w:ind w:right="17" w:firstLine="480" w:firstLineChars="200"/>
        <w:outlineLvl w:val="2"/>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4、合同终止之日前，根据采购人修改意见对所有交付成果进行修改，向采购人提交最终成果送审稿。</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提交的</w:t>
      </w:r>
      <w:r>
        <w:rPr>
          <w:rFonts w:hint="eastAsia" w:ascii="宋体" w:hAnsi="宋体" w:cs="宋体"/>
          <w:bCs/>
          <w:color w:val="000000" w:themeColor="text1"/>
          <w:sz w:val="24"/>
          <w:highlight w:val="none"/>
          <w:lang w:val="en-US" w:eastAsia="zh-CN"/>
          <w14:textFill>
            <w14:solidFill>
              <w14:schemeClr w14:val="tx1"/>
            </w14:solidFill>
          </w14:textFill>
        </w:rPr>
        <w:t>最终</w:t>
      </w:r>
      <w:r>
        <w:rPr>
          <w:rFonts w:ascii="宋体" w:hAnsi="宋体" w:cs="宋体"/>
          <w:bCs/>
          <w:color w:val="000000" w:themeColor="text1"/>
          <w:sz w:val="24"/>
          <w:highlight w:val="none"/>
          <w14:textFill>
            <w14:solidFill>
              <w14:schemeClr w14:val="tx1"/>
            </w14:solidFill>
          </w14:textFill>
        </w:rPr>
        <w:t>成果主要为《前海交通运输仓储和邮政业企业主题数据表》、《重点企业监测表》、《全国综保区比较分析月度报告》、《交通运输、仓储和邮政业经济运行月度分析报告》。以上成果以纸质版、电子光盘的方式提交，电子版文档以word、pdf等形式提供。</w:t>
      </w:r>
    </w:p>
    <w:p>
      <w:pPr>
        <w:tabs>
          <w:tab w:val="left" w:pos="720"/>
        </w:tabs>
        <w:autoSpaceDE w:val="0"/>
        <w:autoSpaceDN w:val="0"/>
        <w:adjustRightInd w:val="0"/>
        <w:spacing w:line="360" w:lineRule="auto"/>
        <w:ind w:right="17"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（二）最终成果验收合格的标志为：</w:t>
      </w:r>
      <w:r>
        <w:rPr>
          <w:rFonts w:hint="eastAsia" w:ascii="宋体" w:hAnsi="宋体" w:cs="宋体"/>
          <w:bCs/>
          <w:color w:val="000000" w:themeColor="text1"/>
          <w:sz w:val="24"/>
          <w14:textFill>
            <w14:solidFill>
              <w14:schemeClr w14:val="tx1"/>
            </w14:solidFill>
          </w14:textFill>
        </w:rPr>
        <w:t>以上成果提交并通过采购人审查通过，视为最终成果验收合格。</w:t>
      </w:r>
    </w:p>
    <w:p>
      <w:pPr>
        <w:pStyle w:val="31"/>
        <w:tabs>
          <w:tab w:val="left" w:pos="720"/>
        </w:tabs>
        <w:autoSpaceDE w:val="0"/>
        <w:autoSpaceDN w:val="0"/>
        <w:adjustRightInd w:val="0"/>
        <w:spacing w:line="360" w:lineRule="auto"/>
        <w:ind w:right="17" w:firstLine="482"/>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五、商务要求</w:t>
      </w:r>
    </w:p>
    <w:p>
      <w:pPr>
        <w:tabs>
          <w:tab w:val="left" w:pos="720"/>
        </w:tabs>
        <w:autoSpaceDE w:val="0"/>
        <w:autoSpaceDN w:val="0"/>
        <w:adjustRightInd w:val="0"/>
        <w:spacing w:line="360" w:lineRule="auto"/>
        <w:ind w:right="17" w:firstLine="482" w:firstLineChars="200"/>
        <w:outlineLvl w:val="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（一）服务期限</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本项目自合同签订之日起一年内</w:t>
      </w:r>
      <w:r>
        <w:rPr>
          <w:rFonts w:hint="eastAsia" w:ascii="宋体" w:hAnsi="宋体" w:cs="宋体"/>
          <w:color w:val="000000" w:themeColor="text1"/>
          <w:sz w:val="24"/>
          <w14:textFill>
            <w14:solidFill>
              <w14:schemeClr w14:val="tx1"/>
            </w14:solidFill>
          </w14:textFill>
        </w:rPr>
        <w:t>。</w:t>
      </w:r>
    </w:p>
    <w:p>
      <w:pPr>
        <w:tabs>
          <w:tab w:val="left" w:pos="720"/>
        </w:tabs>
        <w:autoSpaceDE w:val="0"/>
        <w:autoSpaceDN w:val="0"/>
        <w:adjustRightInd w:val="0"/>
        <w:spacing w:line="360" w:lineRule="auto"/>
        <w:ind w:right="17" w:firstLine="482"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（二）后续服务要求</w:t>
      </w:r>
    </w:p>
    <w:p>
      <w:pPr>
        <w:tabs>
          <w:tab w:val="left" w:pos="720"/>
        </w:tabs>
        <w:autoSpaceDE w:val="0"/>
        <w:autoSpaceDN w:val="0"/>
        <w:adjustRightInd w:val="0"/>
        <w:spacing w:line="360" w:lineRule="auto"/>
        <w:ind w:right="17"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中标人提交的本项目最终成果通过采购人审查验收之日起6个月为本合同后续服务期。服务期内中标人应向采购人提供后续的专业技术支持与咨询服务。中标人应配合采购人需要协助完成相关事项审计、事后评估等工作。</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（三）报价要求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bookmarkStart w:id="36" w:name="OLE_LINK14"/>
      <w:r>
        <w:rPr>
          <w:rFonts w:hint="eastAsia" w:ascii="宋体" w:hAnsi="宋体" w:cs="宋体"/>
          <w:color w:val="000000" w:themeColor="text1"/>
          <w:sz w:val="24"/>
          <w14:textFill>
            <w14:solidFill>
              <w14:schemeClr w14:val="tx1"/>
            </w14:solidFill>
          </w14:textFill>
        </w:rPr>
        <w:t>本次投标为总价包干，投标报价总价作为中标人与采购人签订的合同金额。投标人的报价不可高于预算（限价），否则投标人的投标文件视同无效。投标人的投标总价为完成项目及招标文件或合同条款所规定的工作内容的各项费用，项目服务费包括但不限于：</w:t>
      </w:r>
      <w:r>
        <w:rPr>
          <w:rFonts w:hint="eastAsia" w:ascii="宋体" w:hAnsi="宋体" w:cs="宋体"/>
          <w:color w:val="000000" w:themeColor="text1"/>
          <w:kern w:val="0"/>
          <w:sz w:val="24"/>
          <w14:textFill>
            <w14:solidFill>
              <w14:schemeClr w14:val="tx1"/>
            </w14:solidFill>
          </w14:textFill>
        </w:rPr>
        <w:t>本项目调研、劳务费、法定税费和利润以及中标人为完成本项目服务所发生的全部相关费用</w:t>
      </w:r>
      <w:r>
        <w:rPr>
          <w:rFonts w:hint="eastAsia" w:ascii="宋体" w:hAnsi="宋体" w:cs="宋体"/>
          <w:color w:val="000000" w:themeColor="text1"/>
          <w:sz w:val="24"/>
          <w14:textFill>
            <w14:solidFill>
              <w14:schemeClr w14:val="tx1"/>
            </w14:solidFill>
          </w14:textFill>
        </w:rPr>
        <w:t>。一经中标，投标报价作为中标单位与采购人签定的合同金额，在合同实施期间，除另签补充合同外，不接受中标人以任何理由、任何名目提出增加费用的要求</w:t>
      </w:r>
      <w:bookmarkEnd w:id="36"/>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3.投标人的投标报价，应是本项目招标范围和招标文件及合同条款上所列的各项内容中所述的全部，不得以任何理由予以重复，并以投标人在投标文件中提出的综合单价或总价为依据。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4.投标人应充分了解项目的位置、情况、道路及任何其他足以影响投标报价的情况，任何因忽视或误解项目情况而导致的索赔或服务期限延长申请将不获批准。</w:t>
      </w:r>
    </w:p>
    <w:p>
      <w:pPr>
        <w:spacing w:line="360" w:lineRule="auto"/>
        <w:ind w:firstLine="480"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（四）付款方式</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1.项目资金分3期支付至中标人指定银行账户：</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1.1.第1期：合同签订后15个工作日内，根据中标人提出的付款申请和有效发票，支付合同总价款的50%作为首款；</w:t>
      </w:r>
    </w:p>
    <w:p>
      <w:pPr>
        <w:widowControl/>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1.2.第2期：提交中期成果并验收合格后，根据中标人提出的付款申请和有效发票，支付合同总价款的30%作为中期款；</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1.3.第3期：提交最终成果并验收合格后，根据中标人提出的付款申请和有效发票，付清尾款；</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付款审批影响支付进度，请</w:t>
      </w:r>
      <w:r>
        <w:rPr>
          <w:rFonts w:ascii="宋体" w:hAnsi="宋体" w:cs="宋体"/>
          <w:color w:val="000000" w:themeColor="text1"/>
          <w:sz w:val="24"/>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予以谅解，并不得就此向</w:t>
      </w:r>
      <w:r>
        <w:rPr>
          <w:rFonts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索赔。</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（五）成果权属与知识产权</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1.本项目全部阶段性成果和最终成果的所有权、知识产权以及与之相关的所有权利归采购方所有；本合同签署前双方已经拥有的知识产权权利，仍归各自所有。</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采购人有权利用中标人按照本合同约定提供的成果，进行后续改进。由此产生的具有实质性或创造性技术进步特征的新的技术成果及其权利归属，全部由采购人享有。具体相关利益的分配办法如下：采购人100%。</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所提交的全部阶段性成果和最终成果文件及任何数据、资料等不得侵犯任何第三方的知识产权或其他权利，由于该文件、数据、资料侵权所导致的任何索赔或责任均由中标人承担。同时，采购人有权要求中标人修改成果至不侵权或解除合同，并保留要求中标人赔偿全部损失的权利，包括但不限于上述索赔或责任所产生的诉讼费用、合理的律师费用、鉴定评估费用、调查费用、和解金额或生效法律文书中规定的赔偿金额。</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不得将本项目的阶段性成果和/或最终成果文件及任何数据、资料向任何第三方转让、授权任何第三方使用或用于本合同项目外的其他项目。如发生以上情况，中标人应向采购人支付本合同总价款10%的违约金，如果违约金无法弥补采购人的损失，采购人有权要求中标人赔偿全部损失，包括但不限于上述索赔或责任所产生的诉讼费用、合理的律师费用、鉴定评估费用、调查费用、和解金额或生效法律文书中规定的赔偿金额。</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5.中标人完成本合同项目的服务人员享有在有关成果文件上写明成果完成者的权利和与采购人共同获得有关荣誉证书、奖励的权利。</w:t>
      </w:r>
    </w:p>
    <w:p>
      <w:pPr>
        <w:widowControl/>
        <w:spacing w:line="360" w:lineRule="auto"/>
        <w:ind w:firstLine="482" w:firstLineChars="200"/>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人应以保密方式处理在编制本项目成果文件过程中自采购人、采购人工作人员或采购方关联机构获得的相关信息、资料、图纸、数据等，或由采购人在履行本合同过程中明确指明为秘密的任何信息，以及中标人因本项目工作内容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3.中标人实施项目的程序应符合国家安全、保密的有关规定和标准。</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4.上述保密义务不适用以下情况：</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如中标人违反上述保密条款，采购人有权解除本合同，中标人应在合同解除通知发出之日起10日内向采购人支付本合同服务费总金额10%的违约金，如果违约金无法弥补采购人损失，采购人保留要求中标人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6.无论本项目其他条款是否有效，本保密条款始终约束双方。国家秘密的保密期限由国家有关部门确定，工作秘密的保密期限由采购人确定。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（七）</w:t>
      </w:r>
      <w:r>
        <w:rPr>
          <w:rFonts w:hint="eastAsia" w:ascii="宋体" w:hAnsi="宋体" w:cs="宋体"/>
          <w:b/>
          <w:bCs/>
          <w:color w:val="000000" w:themeColor="text1"/>
          <w:sz w:val="24"/>
          <w14:textFill>
            <w14:solidFill>
              <w14:schemeClr w14:val="tx1"/>
            </w14:solidFill>
          </w14:textFill>
        </w:rPr>
        <w:t>违约责任</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1.因中标人原因，未能按规定时间完成有关工作的，每延误一天，采购方自尚未支付的合同款项中扣除该阶段应付款项的1‰的逾期违约金。</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2.如中标人提供的服务或成果不符合质量要求，必须在采购人提出要求后7个工作日内无条件修改，其费用由中标人承担。</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履行期间，发生下述情形时，采购人有权解除本合同，中标人应在合同解除通知发出之日起10日内向采购人支付合同总价款10%的违约金。中标人应同时将已完成的项目成果移交给采购人，并将全部有关资料退还采购人：</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(1)因中标人工作的错误或遗漏造成成果质量不符合本合同要求，且中标人未按采购人要求采取及时有效的补救措施的；</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(2)中标人未能按合同约定的日期(含协商延缓的日期)提交工作成果，延误时间超过30个工作日；或中标人虽如期提交阶段性成果和最终成果，但最终成果连续二次未能通过验收的；</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(3)发现中标人或中标人工作人员出现全部或部分丧失履行委托服务能力的情况，采购人有权通知中标单位限期整改或更换工作人员，期限届满中标人并未进行改善的；</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(4)未经采购人书面在先同意，中标人擅自将本合同项目与任何第三方合作，或将本合同标的的全部或部分擅自转包给任何第三方，且未按采购人的要求终止与第三方的合同的；</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(5)中标人明确表示或者以自己的行为表明不履行本合同的。</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除因审批流程及财政部门预算下达延误影响采购人支出进度外，如采购人未按照本合同约定的时间支付服务费，中标人书面催告采购方并给予不少于15个工作日的履行期限后采购方仍未支付的，中标单位有权自该期限届满之日起要求采购人支付该阶段应付而未付合同价款每日1‰的逾期违约金。如采购人无正当理由拒绝接受服务，到期明确表示拒付服务款项，中标人有权要求采购人支付本合同项下服务费总金额10%的违约金。 </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违约责任各自独立且可累加。如本合同所约定的违约金无法弥补因违约行为所造成的损失，违约方应补偿上述不足部分的损失，包括但不限于上述索赔或责任所产生的诉讼费用、合理的律师费用、鉴定评估费用、调查费用、和解金额或生效法律文书中规定的赔偿金额。</w:t>
      </w:r>
    </w:p>
    <w:bookmarkEnd w:id="35"/>
    <w:p>
      <w:pPr>
        <w:widowControl/>
        <w:spacing w:line="360" w:lineRule="auto"/>
        <w:ind w:firstLine="482" w:firstLineChars="200"/>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（八）争议解决方式</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因合同的履行发生的或与合同有关的争议或纠纷，由双方协商解决，协商不成的，任意一方有权向深圳前海合作区人民法院提起诉讼。</w:t>
      </w:r>
    </w:p>
    <w:p>
      <w:pPr>
        <w:widowControl/>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pPr>
        <w:widowControl/>
        <w:spacing w:line="360" w:lineRule="auto"/>
        <w:ind w:firstLine="482" w:firstLineChars="200"/>
        <w:jc w:val="center"/>
        <w:outlineLvl w:val="0"/>
        <w:rPr>
          <w:rFonts w:ascii="宋体" w:hAnsi="宋体" w:cs="宋体"/>
          <w:b/>
          <w:color w:val="000000" w:themeColor="text1"/>
          <w:sz w:val="24"/>
          <w14:textFill>
            <w14:solidFill>
              <w14:schemeClr w14:val="tx1"/>
            </w14:solidFill>
          </w14:textFill>
        </w:rPr>
      </w:pPr>
      <w:bookmarkStart w:id="37" w:name="_Toc23822"/>
      <w:r>
        <w:rPr>
          <w:rFonts w:hint="eastAsia" w:ascii="宋体" w:cs="宋体"/>
          <w:b/>
          <w:bCs/>
          <w:color w:val="000000" w:themeColor="text1"/>
          <w:sz w:val="24"/>
          <w14:textFill>
            <w14:solidFill>
              <w14:schemeClr w14:val="tx1"/>
            </w14:solidFill>
          </w14:textFill>
        </w:rPr>
        <w:t>第六章 投标文件初审及招标项目评分表</w:t>
      </w:r>
      <w:bookmarkEnd w:id="37"/>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投标文件初审表（不可偏离条款）</w:t>
      </w: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（凡有下列情形之一的，投标文件无效，投标作废标处理）</w:t>
      </w:r>
    </w:p>
    <w:tbl>
      <w:tblPr>
        <w:tblStyle w:val="20"/>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788"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788"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788"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788" w:type="dxa"/>
            <w:vAlign w:val="center"/>
          </w:tcPr>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788"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7788"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7788"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7788"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7788"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未出现“所投货物或工程或服务在质量、技术、方案等方面没有实质性满足招标文件要求”的情形</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7788"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1</w:t>
            </w:r>
          </w:p>
        </w:tc>
        <w:tc>
          <w:tcPr>
            <w:tcW w:w="7788"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未出现法律、法规规定的其他情形</w:t>
            </w:r>
          </w:p>
        </w:tc>
      </w:tr>
    </w:tbl>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招标项目评分表</w:t>
      </w:r>
    </w:p>
    <w:tbl>
      <w:tblPr>
        <w:tblStyle w:val="20"/>
        <w:tblW w:w="93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908"/>
        <w:gridCol w:w="5782"/>
        <w:gridCol w:w="916"/>
        <w:gridCol w:w="10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386" w:type="dxa"/>
            <w:gridSpan w:val="5"/>
            <w:shd w:val="clear" w:color="auto" w:fill="D9D9D9"/>
            <w:vAlign w:val="center"/>
          </w:tcPr>
          <w:p>
            <w:pPr>
              <w:autoSpaceDE w:val="0"/>
              <w:autoSpaceDN w:val="0"/>
              <w:adjustRightInd w:val="0"/>
              <w:spacing w:line="360" w:lineRule="auto"/>
              <w:jc w:val="center"/>
              <w:rPr>
                <w:rFonts w:hint="eastAsia" w:asciiTheme="minorEastAsia" w:hAnsiTheme="minorEastAsia" w:eastAsiaTheme="minorEastAsia" w:cstheme="minorEastAsia"/>
                <w:b/>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val="zh-CN"/>
                <w14:textFill>
                  <w14:solidFill>
                    <w14:schemeClr w14:val="tx1"/>
                  </w14:solidFill>
                </w14:textFill>
              </w:rPr>
              <w:t>一、价格部分（</w:t>
            </w:r>
            <w:r>
              <w:rPr>
                <w:rFonts w:hint="eastAsia" w:asciiTheme="minorEastAsia" w:hAnsiTheme="minorEastAsia" w:eastAsiaTheme="minorEastAsia" w:cstheme="minorEastAsia"/>
                <w:b/>
                <w:color w:val="000000" w:themeColor="text1"/>
                <w:sz w:val="24"/>
                <w:szCs w:val="24"/>
                <w14:textFill>
                  <w14:solidFill>
                    <w14:schemeClr w14:val="tx1"/>
                  </w14:solidFill>
                </w14:textFill>
              </w:rPr>
              <w:t>10</w:t>
            </w:r>
            <w:r>
              <w:rPr>
                <w:rFonts w:hint="eastAsia" w:asciiTheme="minorEastAsia" w:hAnsiTheme="minorEastAsia" w:eastAsiaTheme="minorEastAsia" w:cstheme="minorEastAsia"/>
                <w:b/>
                <w:color w:val="000000" w:themeColor="text1"/>
                <w:sz w:val="24"/>
                <w:szCs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序号</w:t>
            </w:r>
          </w:p>
        </w:tc>
        <w:tc>
          <w:tcPr>
            <w:tcW w:w="90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内容</w:t>
            </w:r>
          </w:p>
        </w:tc>
        <w:tc>
          <w:tcPr>
            <w:tcW w:w="5782"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评分规则</w:t>
            </w:r>
          </w:p>
        </w:tc>
        <w:tc>
          <w:tcPr>
            <w:tcW w:w="916"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权重</w:t>
            </w:r>
          </w:p>
        </w:tc>
        <w:tc>
          <w:tcPr>
            <w:tcW w:w="105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w:t>
            </w:r>
          </w:p>
        </w:tc>
        <w:tc>
          <w:tcPr>
            <w:tcW w:w="90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投标报价</w:t>
            </w:r>
          </w:p>
        </w:tc>
        <w:tc>
          <w:tcPr>
            <w:tcW w:w="5782" w:type="dxa"/>
            <w:vAlign w:val="center"/>
          </w:tcPr>
          <w:p>
            <w:pPr>
              <w:pStyle w:val="6"/>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38" w:name="OLE_LINK1"/>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采用低价优先法计算，即满足招标文件要求且投标价格最低的投标报价为评标基准价，其价格分为满分。其他投标人的价格分统一按照下列公式计算：</w:t>
            </w:r>
          </w:p>
          <w:p>
            <w:pPr>
              <w:pStyle w:val="6"/>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投标报价得分=(评标基准价／投标报价)×</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0</w:t>
            </w:r>
          </w:p>
          <w:p>
            <w:pPr>
              <w:numPr>
                <w:ilvl w:val="0"/>
                <w:numId w:val="5"/>
              </w:numPr>
              <w:spacing w:line="360" w:lineRule="auto"/>
              <w:ind w:left="250" w:hanging="249" w:hangingChars="104"/>
              <w:jc w:val="left"/>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价格评分仅限于有效投标人，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当价格分&lt;0时，取0。</w:t>
            </w:r>
          </w:p>
          <w:p>
            <w:pPr>
              <w:numPr>
                <w:ilvl w:val="0"/>
                <w:numId w:val="5"/>
              </w:numPr>
              <w:spacing w:line="360" w:lineRule="auto"/>
              <w:ind w:left="0" w:leftChars="0" w:hanging="9" w:firstLineChars="0"/>
              <w:jc w:val="left"/>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根据财库〔2020〕46号、财库〔2014〕68号及财库〔2017〕141号及（深财购〔2022〕31号）文件规定：</w:t>
            </w:r>
            <w:r>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t>本项目非专门面向中小企业的项目，对小型和微型企业、监狱企业或残疾人福利性企业产品的价格给予10%的扣除，扣除后的价格即为“经评审合格的投标报价”参与价格评审。</w:t>
            </w:r>
          </w:p>
          <w:p>
            <w:pPr>
              <w:numPr>
                <w:ilvl w:val="255"/>
                <w:numId w:val="0"/>
              </w:numPr>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监狱企业应当提供由省级以上监狱管理局、戒毒管理局（含新疆生产建设兵团）出具的属于监狱企业的证明文件，中小企业提供中小企业声明函，残疾人福利性企业提供残疾人福利性企业声明函</w:t>
            </w:r>
            <w:bookmarkEnd w:id="38"/>
            <w:r>
              <w:rPr>
                <w:rFonts w:hint="eastAsia" w:asciiTheme="minorEastAsia" w:hAnsiTheme="minorEastAsia" w:eastAsiaTheme="minorEastAsia" w:cstheme="minorEastAsia"/>
                <w:bCs/>
                <w:color w:val="000000" w:themeColor="text1"/>
                <w:sz w:val="24"/>
                <w:szCs w:val="24"/>
                <w14:textFill>
                  <w14:solidFill>
                    <w14:schemeClr w14:val="tx1"/>
                  </w14:solidFill>
                </w14:textFill>
              </w:rPr>
              <w:t>。</w:t>
            </w:r>
          </w:p>
        </w:tc>
        <w:tc>
          <w:tcPr>
            <w:tcW w:w="916"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p>
        </w:tc>
        <w:tc>
          <w:tcPr>
            <w:tcW w:w="105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386" w:type="dxa"/>
            <w:gridSpan w:val="5"/>
            <w:shd w:val="clear" w:color="auto" w:fill="D9D9D9"/>
            <w:vAlign w:val="center"/>
          </w:tcPr>
          <w:p>
            <w:pPr>
              <w:autoSpaceDE w:val="0"/>
              <w:autoSpaceDN w:val="0"/>
              <w:adjustRightInd w:val="0"/>
              <w:spacing w:line="360" w:lineRule="auto"/>
              <w:jc w:val="center"/>
              <w:rPr>
                <w:rFonts w:hint="eastAsia" w:asciiTheme="minorEastAsia" w:hAnsiTheme="minorEastAsia" w:eastAsiaTheme="minorEastAsia" w:cstheme="minorEastAsia"/>
                <w:b/>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val="zh-CN"/>
                <w14:textFill>
                  <w14:solidFill>
                    <w14:schemeClr w14:val="tx1"/>
                  </w14:solidFill>
                </w14:textFill>
              </w:rPr>
              <w:t>二、商务部分（</w:t>
            </w:r>
            <w:r>
              <w:rPr>
                <w:rFonts w:hint="eastAsia" w:asciiTheme="minorEastAsia" w:hAnsiTheme="minorEastAsia" w:eastAsiaTheme="minorEastAsia" w:cstheme="minorEastAsia"/>
                <w:b/>
                <w:color w:val="000000" w:themeColor="text1"/>
                <w:sz w:val="24"/>
                <w:szCs w:val="24"/>
                <w14:textFill>
                  <w14:solidFill>
                    <w14:schemeClr w14:val="tx1"/>
                  </w14:solidFill>
                </w14:textFill>
              </w:rPr>
              <w:t>45</w:t>
            </w:r>
            <w:r>
              <w:rPr>
                <w:rFonts w:hint="eastAsia" w:asciiTheme="minorEastAsia" w:hAnsiTheme="minorEastAsia" w:eastAsiaTheme="minorEastAsia" w:cstheme="minorEastAsia"/>
                <w:b/>
                <w:color w:val="000000" w:themeColor="text1"/>
                <w:sz w:val="24"/>
                <w:szCs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序号</w:t>
            </w:r>
          </w:p>
        </w:tc>
        <w:tc>
          <w:tcPr>
            <w:tcW w:w="90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内容</w:t>
            </w:r>
          </w:p>
        </w:tc>
        <w:tc>
          <w:tcPr>
            <w:tcW w:w="5782"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评分规则</w:t>
            </w:r>
          </w:p>
        </w:tc>
        <w:tc>
          <w:tcPr>
            <w:tcW w:w="916"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权重</w:t>
            </w:r>
          </w:p>
        </w:tc>
        <w:tc>
          <w:tcPr>
            <w:tcW w:w="105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ind w:firstLine="240" w:firstLineChars="1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39" w:name="OLE_LINK7" w:colFirst="3" w:colLast="3"/>
            <w:bookmarkStart w:id="40" w:name="OLE_LINK10" w:colFirst="1" w:colLast="1"/>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90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投标人资质情况</w:t>
            </w:r>
          </w:p>
        </w:tc>
        <w:tc>
          <w:tcPr>
            <w:tcW w:w="5782" w:type="dxa"/>
            <w:shd w:val="clear" w:color="auto" w:fill="auto"/>
            <w:vAlign w:val="center"/>
          </w:tcPr>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（一）评审内容：</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投标人具备职业健康安全管理体系认证证书、环境管理体系认证证书、质量管理体系认证证书，且证书认证范围包括数据分析、处理等相关内容的，每1个证书得2分，最高得6分。</w:t>
            </w:r>
          </w:p>
          <w:p>
            <w:pPr>
              <w:pStyle w:val="7"/>
              <w:spacing w:after="0"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（二）评分依据：</w:t>
            </w:r>
          </w:p>
          <w:p>
            <w:pPr>
              <w:spacing w:line="360" w:lineRule="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要求提供所有有效的认证证书扫描件（原件备查），及出具证书官网或全国认证认可信息公共服务平台（http://cx.cnca.cn/）的证书查询记录。认证证书在公开渠道无法查询的，需提供颁发机构的证明材料，证明证书真实有效。如供应商为新成立企业且成立时间不足三个月可提供情况说明（格式自拟）或证明材料亦可得满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2.评分中出现无证明资料或专家无法凭所提供资料判断是否得分的情况，一律作不得分处理。</w:t>
            </w:r>
          </w:p>
        </w:tc>
        <w:tc>
          <w:tcPr>
            <w:tcW w:w="916"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p>
        </w:tc>
        <w:tc>
          <w:tcPr>
            <w:tcW w:w="1058" w:type="dxa"/>
            <w:vAlign w:val="center"/>
          </w:tcPr>
          <w:p>
            <w:pPr>
              <w:autoSpaceDE w:val="0"/>
              <w:autoSpaceDN w:val="0"/>
              <w:adjustRightInd w:val="0"/>
              <w:spacing w:line="360" w:lineRule="auto"/>
              <w:jc w:val="left"/>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ind w:firstLine="240" w:firstLineChars="1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90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w:t>
            </w:r>
          </w:p>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经验</w:t>
            </w:r>
          </w:p>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p>
        </w:tc>
        <w:tc>
          <w:tcPr>
            <w:tcW w:w="5782" w:type="dxa"/>
            <w:shd w:val="clear" w:color="auto" w:fill="auto"/>
            <w:vAlign w:val="center"/>
          </w:tcPr>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（一）评分内容：</w:t>
            </w:r>
          </w:p>
          <w:p>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投标人2022年1月1日至本项目投标截止时间内承担过同类项目（以合同签订日期为准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）情况：</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承担过由经济分析</w:t>
            </w:r>
            <w:r>
              <w:rPr>
                <w:rFonts w:hint="eastAsia" w:asciiTheme="minorEastAsia" w:hAnsiTheme="minorEastAsia" w:eastAsiaTheme="minorEastAsia" w:cstheme="minorEastAsia"/>
                <w:color w:val="000000" w:themeColor="text1"/>
                <w:sz w:val="24"/>
                <w:szCs w:val="24"/>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相关</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项目的，每提供1项得2分，最高得10分。 </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（二）评分依据：</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1.要求提供合同关键页（至少能体现合同采购标的、双方盖章及合同签署日期等内容）。</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2.以上资料均要求提供复印件加盖公章，原件备查。评分中出现无证明资料或专家无法凭所提供资料判断是否得分的情况，一律作不得分处理。</w:t>
            </w:r>
          </w:p>
        </w:tc>
        <w:tc>
          <w:tcPr>
            <w:tcW w:w="916"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p>
        </w:tc>
        <w:tc>
          <w:tcPr>
            <w:tcW w:w="1058" w:type="dxa"/>
            <w:vAlign w:val="center"/>
          </w:tcPr>
          <w:p>
            <w:pPr>
              <w:autoSpaceDE w:val="0"/>
              <w:autoSpaceDN w:val="0"/>
              <w:adjustRightInd w:val="0"/>
              <w:spacing w:line="360" w:lineRule="auto"/>
              <w:jc w:val="left"/>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c>
          <w:tcPr>
            <w:tcW w:w="90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项目负责人（仅一人）</w:t>
            </w:r>
          </w:p>
        </w:tc>
        <w:tc>
          <w:tcPr>
            <w:tcW w:w="5782" w:type="dxa"/>
            <w:shd w:val="clear" w:color="auto" w:fill="auto"/>
            <w:vAlign w:val="center"/>
          </w:tcPr>
          <w:p>
            <w:pPr>
              <w:autoSpaceDE w:val="0"/>
              <w:autoSpaceDN w:val="0"/>
              <w:adjustRightInd w:val="0"/>
              <w:spacing w:line="360" w:lineRule="auto"/>
              <w:jc w:val="left"/>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 xml:space="preserve">（一）评分内容： </w:t>
            </w: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1.具备金融学或经济学或统计学相关本科及以上学历的，得1分。</w:t>
            </w: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2.具备高级大数据分析师或高级统计师资格的，每提供1个类型得2分；具备中级大数据分析师或中级统计师资格的，每提供1个类型得1分。本项最高得4分。</w:t>
            </w: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3.担任过经济运行分析</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相关</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项目负责人（或统筹人）的，得2分。</w:t>
            </w: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（二）评分依据：</w:t>
            </w:r>
          </w:p>
          <w:p>
            <w:pPr>
              <w:autoSpaceDE w:val="0"/>
              <w:autoSpaceDN w:val="0"/>
              <w:adjustRightInd w:val="0"/>
              <w:spacing w:line="360" w:lineRule="auto"/>
              <w:jc w:val="left"/>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1.要求提供均须为投标人自有员工，否则不得分，</w:t>
            </w:r>
            <w:bookmarkStart w:id="41" w:name="OLE_LINK4"/>
            <w:r>
              <w:rPr>
                <w:rFonts w:hint="eastAsia" w:asciiTheme="minorEastAsia" w:hAnsiTheme="minorEastAsia" w:eastAsiaTheme="minorEastAsia" w:cstheme="minorEastAsia"/>
                <w:color w:val="000000" w:themeColor="text1"/>
                <w:sz w:val="24"/>
                <w:szCs w:val="24"/>
                <w14:textFill>
                  <w14:solidFill>
                    <w14:schemeClr w14:val="tx1"/>
                  </w14:solidFill>
                </w14:textFill>
              </w:rPr>
              <w:t>不接受退休返聘人员，</w:t>
            </w:r>
            <w:bookmarkEnd w:id="41"/>
            <w:r>
              <w:rPr>
                <w:rFonts w:hint="eastAsia" w:asciiTheme="minorEastAsia" w:hAnsiTheme="minorEastAsia" w:eastAsiaTheme="minorEastAsia" w:cstheme="minorEastAsia"/>
                <w:color w:val="000000" w:themeColor="text1"/>
                <w:sz w:val="24"/>
                <w:szCs w:val="24"/>
                <w14:textFill>
                  <w14:solidFill>
                    <w14:schemeClr w14:val="tx1"/>
                  </w14:solidFill>
                </w14:textFill>
              </w:rPr>
              <w:t>投标时须提供职称或资格证书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以及</w:t>
            </w:r>
            <w:r>
              <w:rPr>
                <w:rFonts w:hint="eastAsia" w:asciiTheme="minorEastAsia" w:hAnsiTheme="minorEastAsia" w:eastAsiaTheme="minorEastAsia" w:cstheme="minorEastAsia"/>
                <w:color w:val="000000" w:themeColor="text1"/>
                <w:sz w:val="24"/>
                <w:szCs w:val="24"/>
                <w14:textFill>
                  <w14:solidFill>
                    <w14:schemeClr w14:val="tx1"/>
                  </w14:solidFill>
                </w14:textFill>
              </w:rPr>
              <w:t>近三个月任意一个月为其缴纳的社保证明。【如投标人注册成立时间不足1个月的，可提供承诺函证明拟投入的项目人员为其自有员工（格式自拟），否则投入的该人员作不得分处理】。</w:t>
            </w: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学历证明：学历证明需提供学历证书复印件及学信网查询截图，原件备查。对于较早颁发的学位证书，学信网无法查询的，除要求提供证书扫描件，需要提供其他佐证材料（如毕业院校、人社部门等颁发机构或监管机构等单位出具的证明）作为可以得分的依据。（若为境外留学学历，无需提供学信网查询记录，需提供教育部留学服务中心出具的学历学位认证书）。</w:t>
            </w: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经验证明：提供合同关键页作为得分依据，包含但不限于日期页、主要内容页、盖章页、体现项目负责人的名称等。若通过合同关键页无法体现负责人的信息，可提供甲方开具的证明（加盖甲方公章）或者其他证明材料。</w:t>
            </w: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4.以上资料均要求提供复印件加盖公章（或官方网站截图），原件备查。评分中出现无证明资料或专家无法凭所提供资料判断是否得分的情况，一律作不得分处理。</w:t>
            </w:r>
          </w:p>
        </w:tc>
        <w:tc>
          <w:tcPr>
            <w:tcW w:w="916" w:type="dxa"/>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w:t>
            </w:r>
          </w:p>
        </w:tc>
        <w:tc>
          <w:tcPr>
            <w:tcW w:w="105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p>
        </w:tc>
        <w:tc>
          <w:tcPr>
            <w:tcW w:w="908" w:type="dxa"/>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项目团队成员（项目负责人除外）</w:t>
            </w:r>
          </w:p>
        </w:tc>
        <w:tc>
          <w:tcPr>
            <w:tcW w:w="5782" w:type="dxa"/>
            <w:shd w:val="clear" w:color="auto" w:fill="auto"/>
            <w:vAlign w:val="center"/>
          </w:tcPr>
          <w:p>
            <w:pPr>
              <w:autoSpaceDE w:val="0"/>
              <w:autoSpaceDN w:val="0"/>
              <w:adjustRightInd w:val="0"/>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（一）评分内容： </w:t>
            </w: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1、技术负责人（1人）：担任过由经济运行分析</w:t>
            </w:r>
            <w:bookmarkStart w:id="42" w:name="OLE_LINK5"/>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相关</w:t>
            </w:r>
            <w:bookmarkEnd w:id="42"/>
            <w:r>
              <w:rPr>
                <w:rFonts w:hint="eastAsia" w:asciiTheme="minorEastAsia" w:hAnsiTheme="minorEastAsia" w:eastAsiaTheme="minorEastAsia" w:cstheme="minorEastAsia"/>
                <w:color w:val="000000" w:themeColor="text1"/>
                <w:sz w:val="24"/>
                <w:szCs w:val="24"/>
                <w14:textFill>
                  <w14:solidFill>
                    <w14:schemeClr w14:val="tx1"/>
                  </w14:solidFill>
                </w14:textFill>
              </w:rPr>
              <w:t>项目技术负责人（或技术经理）的，得1.5分；具备高级大数据分析师资格的，得1.5分。本项最高得3分。</w:t>
            </w: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2、团队成员具有本科</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或以上</w:t>
            </w:r>
            <w:r>
              <w:rPr>
                <w:rFonts w:hint="eastAsia" w:asciiTheme="minorEastAsia" w:hAnsiTheme="minorEastAsia" w:eastAsiaTheme="minorEastAsia" w:cstheme="minorEastAsia"/>
                <w:color w:val="000000" w:themeColor="text1"/>
                <w:sz w:val="24"/>
                <w:szCs w:val="24"/>
                <w14:textFill>
                  <w14:solidFill>
                    <w14:schemeClr w14:val="tx1"/>
                  </w14:solidFill>
                </w14:textFill>
              </w:rPr>
              <w:t>学历的，每1人得1分，最高得2分；</w:t>
            </w: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3、团队成员具备中级（及以上）的大数据分析师或统计师资格的，每1人得1分，最高得5分；</w:t>
            </w: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4、上述2-3项成员中参与过经济运行分析项目的，每1人得0.5分，最高得2分。</w:t>
            </w: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注：团队成员中同一人员具有多项职称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/资格</w:t>
            </w:r>
            <w:r>
              <w:rPr>
                <w:rFonts w:hint="eastAsia" w:asciiTheme="minorEastAsia" w:hAnsiTheme="minorEastAsia" w:eastAsiaTheme="minorEastAsia" w:cstheme="minorEastAsia"/>
                <w:color w:val="000000" w:themeColor="text1"/>
                <w:sz w:val="24"/>
                <w:szCs w:val="24"/>
                <w14:textFill>
                  <w14:solidFill>
                    <w14:schemeClr w14:val="tx1"/>
                  </w14:solidFill>
                </w14:textFill>
              </w:rPr>
              <w:t>的，仅按一项计分。</w:t>
            </w: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（二）评分依据：</w:t>
            </w: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1.要求提供均须为投标人自有员工，不接受退休返聘人员，投标时须提供以上人员职称或资格证书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以及</w:t>
            </w:r>
            <w:r>
              <w:rPr>
                <w:rFonts w:hint="eastAsia" w:asciiTheme="minorEastAsia" w:hAnsiTheme="minorEastAsia" w:eastAsiaTheme="minorEastAsia" w:cstheme="minorEastAsia"/>
                <w:color w:val="000000" w:themeColor="text1"/>
                <w:sz w:val="24"/>
                <w:szCs w:val="24"/>
                <w14:textFill>
                  <w14:solidFill>
                    <w14:schemeClr w14:val="tx1"/>
                  </w14:solidFill>
                </w14:textFill>
              </w:rPr>
              <w:t>近三个月任意一个月为其缴纳的社保证明。【如投标人注册成立时间不足1个月的，可提供承诺函证明拟投入的项目团队人员为其自有员工（格式自拟），否则投入的该人员作不得分处理】。</w:t>
            </w: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经验证明：提供合同关键页作为得分依据，包含但不限于日期页、主要内容页、盖章页、体现团队成员的名称等。若通过合同关键页无法体现人员信息的，可提供甲方开具的证明（加盖甲方公章）或者其他证明材料。</w:t>
            </w: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学历证明：学历证明需提供毕业证书复印件及学信网查询截图，原件备查。对于较早颁发的毕业证书，学信网无法查询的，除要求提供证书扫描件，需要提供其他佐证材料（如毕业院校、人社部门等颁发机构或监管机构等单位出具的证明）作为可以得分的依据。（若为境外留学学历，无需提供学信网查询记录，需提供教育部留学服务中心出具的学历学位认证书）。</w:t>
            </w: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4.以上资料均要求提供复印件加盖公章（或官方网站截图），原件备查。评分中出现无证明资料或专家无法凭所提供资料判断是否得分的情况，一律作不得分处理。</w:t>
            </w:r>
          </w:p>
        </w:tc>
        <w:tc>
          <w:tcPr>
            <w:tcW w:w="916" w:type="dxa"/>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w:t>
            </w:r>
          </w:p>
        </w:tc>
        <w:tc>
          <w:tcPr>
            <w:tcW w:w="105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c>
          <w:tcPr>
            <w:tcW w:w="908" w:type="dxa"/>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投标人自主知识产权产品（创新、设计）情况</w:t>
            </w:r>
          </w:p>
        </w:tc>
        <w:tc>
          <w:tcPr>
            <w:tcW w:w="5782" w:type="dxa"/>
            <w:shd w:val="clear" w:color="auto" w:fill="auto"/>
            <w:vAlign w:val="center"/>
          </w:tcPr>
          <w:p>
            <w:pPr>
              <w:numPr>
                <w:ilvl w:val="255"/>
                <w:numId w:val="0"/>
              </w:numPr>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（一）评分内容：</w:t>
            </w:r>
          </w:p>
          <w:p>
            <w:pPr>
              <w:numPr>
                <w:ilvl w:val="255"/>
                <w:numId w:val="0"/>
              </w:numPr>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1.具有经济运行分析或企业监测或融资管理或数据采集等</w:t>
            </w:r>
            <w:bookmarkStart w:id="43" w:name="OLE_LINK3"/>
            <w:r>
              <w:rPr>
                <w:rFonts w:hint="eastAsia" w:asciiTheme="minorEastAsia" w:hAnsiTheme="minorEastAsia" w:eastAsiaTheme="minorEastAsia" w:cstheme="minorEastAsia"/>
                <w:color w:val="000000" w:themeColor="text1"/>
                <w:sz w:val="24"/>
                <w:szCs w:val="24"/>
                <w14:textFill>
                  <w14:solidFill>
                    <w14:schemeClr w14:val="tx1"/>
                  </w14:solidFill>
                </w14:textFill>
              </w:rPr>
              <w:t>相关</w:t>
            </w:r>
            <w:bookmarkStart w:id="44" w:name="OLE_LINK2"/>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类型</w:t>
            </w:r>
            <w:bookmarkEnd w:id="43"/>
            <w:bookmarkEnd w:id="44"/>
            <w:r>
              <w:rPr>
                <w:rFonts w:hint="eastAsia" w:asciiTheme="minorEastAsia" w:hAnsiTheme="minorEastAsia" w:eastAsiaTheme="minorEastAsia" w:cstheme="minorEastAsia"/>
                <w:color w:val="000000" w:themeColor="text1"/>
                <w:sz w:val="24"/>
                <w:szCs w:val="24"/>
                <w14:textFill>
                  <w14:solidFill>
                    <w14:schemeClr w14:val="tx1"/>
                  </w14:solidFill>
                </w14:textFill>
              </w:rPr>
              <w:t>的软件著作权的，每提供1个类型得0.5分，最高得2分。</w:t>
            </w:r>
          </w:p>
          <w:p>
            <w:pPr>
              <w:numPr>
                <w:ilvl w:val="255"/>
                <w:numId w:val="0"/>
              </w:numPr>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2.具有企业专利或投融资或商标数据或企业挖掘或景气度监测或经营数据等相关</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类型</w:t>
            </w:r>
            <w:r>
              <w:rPr>
                <w:rFonts w:hint="eastAsia" w:asciiTheme="minorEastAsia" w:hAnsiTheme="minorEastAsia" w:eastAsiaTheme="minorEastAsia" w:cstheme="minorEastAsia"/>
                <w:color w:val="000000" w:themeColor="text1"/>
                <w:sz w:val="24"/>
                <w:szCs w:val="24"/>
                <w14:textFill>
                  <w14:solidFill>
                    <w14:schemeClr w14:val="tx1"/>
                  </w14:solidFill>
                </w14:textFill>
              </w:rPr>
              <w:t>的数据知识产权的，每提供1个类型得0.5分，最高得3分。</w:t>
            </w:r>
          </w:p>
          <w:p>
            <w:pPr>
              <w:numPr>
                <w:ilvl w:val="255"/>
                <w:numId w:val="0"/>
              </w:numPr>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以上2项累计最高得5分。</w:t>
            </w:r>
          </w:p>
          <w:p>
            <w:pPr>
              <w:numPr>
                <w:ilvl w:val="255"/>
                <w:numId w:val="0"/>
              </w:numPr>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（二）评分依据：</w:t>
            </w:r>
          </w:p>
          <w:p>
            <w:pPr>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1.要求提供计算机软件著作权证书、数据知识产权登记证书等相关证明资料作为得分依据；（1）自主开发的提供软件著作权登记证书或数据知识产权登记证书（著作权人/登记主体需为投标人），原件备查： </w:t>
            </w:r>
          </w:p>
          <w:p>
            <w:pPr>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（2）购买或租赁的提供软件著作权登记证书或数据知识产权登记证书（著作权人/登记主体需为出售或出租方）和提供购买合同或租赁合同。</w:t>
            </w:r>
          </w:p>
          <w:p>
            <w:pPr>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2.以上资料均要求提供扫描件，原件备查。评分中出现无证明资料或专家无法凭所提供资料判断是否得分的情况，一律作不得分处理。</w:t>
            </w:r>
          </w:p>
        </w:tc>
        <w:tc>
          <w:tcPr>
            <w:tcW w:w="916" w:type="dxa"/>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c>
          <w:tcPr>
            <w:tcW w:w="105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p>
        </w:tc>
        <w:tc>
          <w:tcPr>
            <w:tcW w:w="90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诚信声明与承诺</w:t>
            </w:r>
          </w:p>
        </w:tc>
        <w:tc>
          <w:tcPr>
            <w:tcW w:w="5782" w:type="dxa"/>
            <w:vAlign w:val="center"/>
          </w:tcPr>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（一）评分内容：</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（二）评分依据：</w:t>
            </w:r>
          </w:p>
          <w:p>
            <w:pPr>
              <w:spacing w:line="360" w:lineRule="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1、投标人提供诚信声明与承诺加盖公章；</w:t>
            </w:r>
          </w:p>
          <w:p>
            <w:pPr>
              <w:spacing w:line="360" w:lineRule="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c>
          <w:tcPr>
            <w:tcW w:w="916" w:type="dxa"/>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c>
          <w:tcPr>
            <w:tcW w:w="1058" w:type="dxa"/>
            <w:vAlign w:val="center"/>
          </w:tcPr>
          <w:p>
            <w:pPr>
              <w:spacing w:line="360" w:lineRule="auto"/>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评审委员打分</w:t>
            </w:r>
          </w:p>
        </w:tc>
      </w:tr>
      <w:bookmarkEnd w:id="39"/>
      <w:bookmarkEnd w:id="4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9386" w:type="dxa"/>
            <w:gridSpan w:val="5"/>
            <w:shd w:val="clear" w:color="auto" w:fill="D9D9D9"/>
            <w:vAlign w:val="center"/>
          </w:tcPr>
          <w:p>
            <w:pPr>
              <w:autoSpaceDE w:val="0"/>
              <w:autoSpaceDN w:val="0"/>
              <w:adjustRightInd w:val="0"/>
              <w:spacing w:line="360" w:lineRule="auto"/>
              <w:jc w:val="center"/>
              <w:rPr>
                <w:rFonts w:hint="eastAsia" w:asciiTheme="minorEastAsia" w:hAnsiTheme="minorEastAsia" w:eastAsiaTheme="minorEastAsia" w:cstheme="minorEastAsia"/>
                <w:b/>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val="zh-CN"/>
                <w14:textFill>
                  <w14:solidFill>
                    <w14:schemeClr w14:val="tx1"/>
                  </w14:solidFill>
                </w14:textFill>
              </w:rPr>
              <w:t>三、技术部分（</w:t>
            </w:r>
            <w:r>
              <w:rPr>
                <w:rFonts w:hint="eastAsia" w:asciiTheme="minorEastAsia" w:hAnsiTheme="minorEastAsia" w:eastAsiaTheme="minorEastAsia" w:cstheme="minorEastAsia"/>
                <w:b/>
                <w:color w:val="000000" w:themeColor="text1"/>
                <w:sz w:val="24"/>
                <w:szCs w:val="24"/>
                <w14:textFill>
                  <w14:solidFill>
                    <w14:schemeClr w14:val="tx1"/>
                  </w14:solidFill>
                </w14:textFill>
              </w:rPr>
              <w:t>45</w:t>
            </w:r>
            <w:r>
              <w:rPr>
                <w:rFonts w:hint="eastAsia" w:asciiTheme="minorEastAsia" w:hAnsiTheme="minorEastAsia" w:eastAsiaTheme="minorEastAsia" w:cstheme="minorEastAsia"/>
                <w:b/>
                <w:color w:val="000000" w:themeColor="text1"/>
                <w:sz w:val="24"/>
                <w:szCs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序号</w:t>
            </w:r>
          </w:p>
        </w:tc>
        <w:tc>
          <w:tcPr>
            <w:tcW w:w="90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内容</w:t>
            </w:r>
          </w:p>
        </w:tc>
        <w:tc>
          <w:tcPr>
            <w:tcW w:w="5782"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评分规则</w:t>
            </w:r>
          </w:p>
        </w:tc>
        <w:tc>
          <w:tcPr>
            <w:tcW w:w="916"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权重</w:t>
            </w:r>
          </w:p>
        </w:tc>
        <w:tc>
          <w:tcPr>
            <w:tcW w:w="105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45" w:name="OLE_LINK9" w:colFirst="1" w:colLast="1"/>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90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项目实施方案</w:t>
            </w:r>
          </w:p>
        </w:tc>
        <w:tc>
          <w:tcPr>
            <w:tcW w:w="5782" w:type="dxa"/>
            <w:vAlign w:val="center"/>
          </w:tcPr>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（一）评审内容：</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根据投标人提供的项目实施方案的全面性、针对性、可操作性等进行分档评审。</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实施方案包含：</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1.对项目的理解程度；</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2.工作措施；</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3.工作流程。</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评分标准：</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提供任意一项内容得4分，全部提供得12分，未提供不得分，在此基础上，专家根据各供应商的具体响应内容按照量化的评审因素指标进一步评审；</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（二）评分标准：</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1.评价为优，内容完整详细且符合项目实际，可行性强的，加8分；</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2.评价为良，内容比较完整，可行性较好的，加4分；</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3.评价为中，内容能符合项目部分要求，较贴近项目实际的，加1分；</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4.评价为差，内容严重缺项且不符合实际的，不加分。</w:t>
            </w:r>
          </w:p>
        </w:tc>
        <w:tc>
          <w:tcPr>
            <w:tcW w:w="916" w:type="dxa"/>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w:t>
            </w:r>
          </w:p>
        </w:tc>
        <w:tc>
          <w:tcPr>
            <w:tcW w:w="105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90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质量保障措施及方案</w:t>
            </w:r>
          </w:p>
        </w:tc>
        <w:tc>
          <w:tcPr>
            <w:tcW w:w="5782" w:type="dxa"/>
            <w:vAlign w:val="center"/>
          </w:tcPr>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（一）评审内容：</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根据投标人提供：</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1.项目进度计划和人员安排；</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2.质量和进度保障措施。</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（二）评分标准：</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提供任意一项内容得4分，全部提供得8分，未提供不得分，在此基础上，专家根据各供应商的具体响应内容按照量化的评审因素指标进一步评审；</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评分标准：</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1.评价为优，措施合理，建议可操作性强的，加7分；</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2.评价为良，措施比较合理，建议可操作性较强的，加4分；</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3.评价为中，措施基本合理，建议可操作性一般的，加1分；</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4.评价为差，措施不合理，建议可操作性差的，不加分。</w:t>
            </w:r>
          </w:p>
        </w:tc>
        <w:tc>
          <w:tcPr>
            <w:tcW w:w="916" w:type="dxa"/>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c>
          <w:tcPr>
            <w:tcW w:w="105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c>
          <w:tcPr>
            <w:tcW w:w="90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项目重难点分析及相关的合理化建议</w:t>
            </w:r>
          </w:p>
        </w:tc>
        <w:tc>
          <w:tcPr>
            <w:tcW w:w="5782" w:type="dxa"/>
            <w:vAlign w:val="center"/>
          </w:tcPr>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（一）评审内容：</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根据投标人提供：1.项目重难点分析；2.应对措施及相关建议；进行综合评审。</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（二）评分标准：</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提供任意一项内容得3分，全部提供得6分，未提供不得分，在此基础上，专家根据各供应商的具体响应内容按照量化的评审因素指标进一步评审；</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1.评价为优，找出2个及以上项目重点难点，分析清晰，并提出针对性强的解决建议，加4分；</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2.评价为良，找出1个项目重点难点，分析基本清楚、解决建议针对性较好的，加2分；</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3.评价为中，对项目重点难点分析仅做概括性描述的，缺乏具体分析，解决建议不具备可操作性，加1分；</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4.评价为差，项目重点难点分析不合理，缺乏解决建议，不加分。</w:t>
            </w:r>
          </w:p>
        </w:tc>
        <w:tc>
          <w:tcPr>
            <w:tcW w:w="916" w:type="dxa"/>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p>
        </w:tc>
        <w:tc>
          <w:tcPr>
            <w:tcW w:w="105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评审委员打分</w:t>
            </w:r>
          </w:p>
        </w:tc>
      </w:tr>
      <w:bookmarkEnd w:id="45"/>
    </w:tbl>
    <w:p>
      <w:pPr>
        <w:tabs>
          <w:tab w:val="left" w:pos="640"/>
          <w:tab w:val="left" w:pos="1260"/>
          <w:tab w:val="left" w:pos="1418"/>
        </w:tabs>
        <w:spacing w:line="360" w:lineRule="auto"/>
        <w:ind w:right="-420" w:rightChars="-200"/>
        <w:rPr>
          <w:rFonts w:ascii="宋体" w:hAnsi="宋体" w:cs="宋体"/>
          <w:color w:val="000000" w:themeColor="text1"/>
          <w:sz w:val="24"/>
          <w:lang w:val="fr-CH"/>
          <w14:textFill>
            <w14:solidFill>
              <w14:schemeClr w14:val="tx1"/>
            </w14:solidFill>
          </w14:textFill>
        </w:rPr>
        <w:sectPr>
          <w:pgSz w:w="11906" w:h="16838"/>
          <w:pgMar w:top="850" w:right="1803" w:bottom="709" w:left="1803" w:header="851" w:footer="992" w:gutter="0"/>
          <w:cols w:space="720" w:num="1"/>
          <w:docGrid w:type="lines" w:linePitch="319" w:charSpace="0"/>
        </w:sectPr>
      </w:pPr>
    </w:p>
    <w:p>
      <w:pPr>
        <w:spacing w:line="360" w:lineRule="auto"/>
        <w:jc w:val="center"/>
        <w:outlineLvl w:val="0"/>
        <w:rPr>
          <w:rFonts w:ascii="宋体" w:hAnsi="宋体" w:cs="宋体"/>
          <w:b/>
          <w:bCs/>
          <w:color w:val="000000" w:themeColor="text1"/>
          <w:sz w:val="24"/>
          <w14:textFill>
            <w14:solidFill>
              <w14:schemeClr w14:val="tx1"/>
            </w14:solidFill>
          </w14:textFill>
        </w:rPr>
      </w:pPr>
      <w:bookmarkStart w:id="46" w:name="_Toc9548"/>
      <w:bookmarkStart w:id="47" w:name="_Hlk28269117"/>
      <w:r>
        <w:rPr>
          <w:rFonts w:hint="eastAsia" w:ascii="宋体" w:hAnsi="宋体" w:cs="宋体"/>
          <w:b/>
          <w:bCs/>
          <w:color w:val="000000" w:themeColor="text1"/>
          <w:sz w:val="24"/>
          <w14:textFill>
            <w14:solidFill>
              <w14:schemeClr w14:val="tx1"/>
            </w14:solidFill>
          </w14:textFill>
        </w:rPr>
        <w:t>第七章 附件（投标文件格式）</w:t>
      </w:r>
      <w:bookmarkEnd w:id="46"/>
    </w:p>
    <w:p>
      <w:pPr>
        <w:keepNext/>
        <w:keepLines/>
        <w:spacing w:before="260" w:after="260" w:line="440" w:lineRule="exact"/>
        <w:jc w:val="center"/>
        <w:outlineLvl w:val="1"/>
        <w:rPr>
          <w:rFonts w:ascii="宋体" w:hAnsi="宋体" w:cs="宋体"/>
          <w:b/>
          <w:bCs/>
          <w:color w:val="000000" w:themeColor="text1"/>
          <w:sz w:val="24"/>
          <w14:textFill>
            <w14:solidFill>
              <w14:schemeClr w14:val="tx1"/>
            </w14:solidFill>
          </w14:textFill>
        </w:rPr>
      </w:pPr>
      <w:bookmarkStart w:id="48" w:name="_Toc19494"/>
      <w:bookmarkStart w:id="49" w:name="_Toc31827"/>
      <w:bookmarkStart w:id="50" w:name="_Toc5116"/>
      <w:bookmarkStart w:id="51" w:name="_Toc6548"/>
      <w:r>
        <w:rPr>
          <w:rFonts w:hint="eastAsia" w:ascii="宋体" w:hAnsi="宋体" w:cs="宋体"/>
          <w:b/>
          <w:bCs/>
          <w:color w:val="000000" w:themeColor="text1"/>
          <w:sz w:val="24"/>
          <w14:textFill>
            <w14:solidFill>
              <w14:schemeClr w14:val="tx1"/>
            </w14:solidFill>
          </w14:textFill>
        </w:rPr>
        <w:t>1、投标文件密封袋/封面参考</w:t>
      </w:r>
      <w:bookmarkEnd w:id="48"/>
      <w:bookmarkEnd w:id="49"/>
      <w:bookmarkEnd w:id="50"/>
      <w:bookmarkEnd w:id="51"/>
    </w:p>
    <w:tbl>
      <w:tblPr>
        <w:tblStyle w:val="20"/>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7"/>
              <w:tabs>
                <w:tab w:val="left" w:pos="562"/>
                <w:tab w:val="left" w:pos="3372"/>
                <w:tab w:val="left" w:pos="3653"/>
              </w:tabs>
              <w:spacing w:line="360" w:lineRule="auto"/>
              <w:rPr>
                <w:rFonts w:ascii="仿宋_GB2312" w:eastAsia="仿宋_GB2312"/>
                <w:b/>
                <w:color w:val="000000" w:themeColor="text1"/>
                <w:sz w:val="32"/>
                <w14:textFill>
                  <w14:solidFill>
                    <w14:schemeClr w14:val="tx1"/>
                  </w14:solidFill>
                </w14:textFill>
              </w:rPr>
            </w:pPr>
          </w:p>
          <w:p>
            <w:pPr>
              <w:pStyle w:val="7"/>
              <w:tabs>
                <w:tab w:val="left" w:pos="562"/>
                <w:tab w:val="left" w:pos="3372"/>
                <w:tab w:val="left" w:pos="3653"/>
              </w:tabs>
              <w:spacing w:line="360" w:lineRule="auto"/>
              <w:jc w:val="center"/>
              <w:rPr>
                <w:rFonts w:ascii="黑体" w:eastAsia="黑体"/>
                <w:b/>
                <w:color w:val="000000" w:themeColor="text1"/>
                <w:sz w:val="72"/>
                <w:szCs w:val="72"/>
                <w14:textFill>
                  <w14:solidFill>
                    <w14:schemeClr w14:val="tx1"/>
                  </w14:solidFill>
                </w14:textFill>
              </w:rPr>
            </w:pPr>
          </w:p>
          <w:p>
            <w:pPr>
              <w:pStyle w:val="7"/>
              <w:tabs>
                <w:tab w:val="left" w:pos="562"/>
                <w:tab w:val="left" w:pos="3372"/>
                <w:tab w:val="left" w:pos="3653"/>
              </w:tabs>
              <w:spacing w:line="360" w:lineRule="auto"/>
              <w:jc w:val="center"/>
              <w:rPr>
                <w:rFonts w:ascii="黑体" w:eastAsia="黑体"/>
                <w:b/>
                <w:color w:val="000000" w:themeColor="text1"/>
                <w:sz w:val="72"/>
                <w:szCs w:val="72"/>
                <w14:textFill>
                  <w14:solidFill>
                    <w14:schemeClr w14:val="tx1"/>
                  </w14:solidFill>
                </w14:textFill>
              </w:rPr>
            </w:pPr>
            <w:r>
              <w:rPr>
                <w:rFonts w:hint="eastAsia" w:ascii="黑体" w:eastAsia="黑体"/>
                <w:b/>
                <w:color w:val="000000" w:themeColor="text1"/>
                <w:sz w:val="72"/>
                <w:szCs w:val="72"/>
                <w14:textFill>
                  <w14:solidFill>
                    <w14:schemeClr w14:val="tx1"/>
                  </w14:solidFill>
                </w14:textFill>
              </w:rPr>
              <w:t>投 标 文 件</w:t>
            </w:r>
          </w:p>
          <w:p>
            <w:pPr>
              <w:pStyle w:val="7"/>
              <w:tabs>
                <w:tab w:val="left" w:pos="562"/>
                <w:tab w:val="left" w:pos="3372"/>
                <w:tab w:val="left" w:pos="3653"/>
              </w:tabs>
              <w:spacing w:line="360" w:lineRule="auto"/>
              <w:jc w:val="center"/>
              <w:rPr>
                <w:rFonts w:ascii="黑体" w:eastAsia="黑体"/>
                <w:b/>
                <w:strike/>
                <w:color w:val="000000" w:themeColor="text1"/>
                <w:sz w:val="32"/>
                <w14:textFill>
                  <w14:solidFill>
                    <w14:schemeClr w14:val="tx1"/>
                  </w14:solidFill>
                </w14:textFill>
              </w:rPr>
            </w:pP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正本</w:t>
            </w: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副本</w:t>
            </w:r>
          </w:p>
          <w:p>
            <w:pPr>
              <w:pStyle w:val="7"/>
              <w:tabs>
                <w:tab w:val="left" w:pos="562"/>
                <w:tab w:val="left" w:pos="3372"/>
                <w:tab w:val="left" w:pos="3653"/>
              </w:tabs>
              <w:spacing w:line="360" w:lineRule="auto"/>
              <w:rPr>
                <w:rFonts w:ascii="仿宋_GB2312" w:eastAsia="仿宋_GB2312"/>
                <w:b/>
                <w:color w:val="000000" w:themeColor="text1"/>
                <w:sz w:val="32"/>
                <w14:textFill>
                  <w14:solidFill>
                    <w14:schemeClr w14:val="tx1"/>
                  </w14:solidFill>
                </w14:textFill>
              </w:rPr>
            </w:pPr>
          </w:p>
          <w:p>
            <w:pPr>
              <w:rPr>
                <w:color w:val="000000" w:themeColor="text1"/>
                <w14:textFill>
                  <w14:solidFill>
                    <w14:schemeClr w14:val="tx1"/>
                  </w14:solidFill>
                </w14:textFill>
              </w:rPr>
            </w:pPr>
          </w:p>
          <w:p>
            <w:pPr>
              <w:pStyle w:val="7"/>
              <w:tabs>
                <w:tab w:val="left" w:pos="562"/>
                <w:tab w:val="left" w:pos="3372"/>
                <w:tab w:val="left" w:pos="3653"/>
              </w:tabs>
              <w:spacing w:line="400" w:lineRule="exact"/>
              <w:ind w:firstLine="900" w:firstLineChars="320"/>
              <w:rPr>
                <w:rFonts w:ascii="仿宋_GB2312" w:eastAsia="仿宋_GB2312"/>
                <w:b/>
                <w:color w:val="000000" w:themeColor="text1"/>
                <w:sz w:val="28"/>
                <w:szCs w:val="28"/>
                <w14:textFill>
                  <w14:solidFill>
                    <w14:schemeClr w14:val="tx1"/>
                  </w14:solidFill>
                </w14:textFill>
              </w:rPr>
            </w:pPr>
          </w:p>
          <w:p>
            <w:pPr>
              <w:pStyle w:val="7"/>
              <w:tabs>
                <w:tab w:val="left" w:pos="562"/>
                <w:tab w:val="left" w:pos="3372"/>
                <w:tab w:val="left" w:pos="3653"/>
              </w:tabs>
              <w:spacing w:line="400" w:lineRule="exact"/>
              <w:ind w:firstLine="900" w:firstLineChars="32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项目编号：</w:t>
            </w:r>
            <w:r>
              <w:rPr>
                <w:rFonts w:hint="eastAsia" w:ascii="宋体" w:hAnsi="宋体" w:cs="Arial"/>
                <w:b/>
                <w:bCs/>
                <w:color w:val="000000" w:themeColor="text1"/>
                <w:sz w:val="28"/>
                <w:szCs w:val="28"/>
                <w:u w:val="single"/>
                <w14:textFill>
                  <w14:solidFill>
                    <w14:schemeClr w14:val="tx1"/>
                  </w14:solidFill>
                </w14:textFill>
              </w:rPr>
              <w:t xml:space="preserve">                                   </w:t>
            </w:r>
          </w:p>
          <w:p>
            <w:pPr>
              <w:pStyle w:val="7"/>
              <w:tabs>
                <w:tab w:val="left" w:pos="562"/>
                <w:tab w:val="left" w:pos="3372"/>
                <w:tab w:val="left" w:pos="3653"/>
              </w:tabs>
              <w:spacing w:line="400" w:lineRule="exact"/>
              <w:ind w:firstLine="900" w:firstLineChars="32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项目名称：</w:t>
            </w:r>
            <w:r>
              <w:rPr>
                <w:rFonts w:hint="eastAsia" w:ascii="宋体" w:hAnsi="宋体" w:cs="Arial"/>
                <w:b/>
                <w:bCs/>
                <w:color w:val="000000" w:themeColor="text1"/>
                <w:sz w:val="28"/>
                <w:szCs w:val="28"/>
                <w:u w:val="single"/>
                <w14:textFill>
                  <w14:solidFill>
                    <w14:schemeClr w14:val="tx1"/>
                  </w14:solidFill>
                </w14:textFill>
              </w:rPr>
              <w:t xml:space="preserve">                                   </w:t>
            </w:r>
          </w:p>
          <w:p>
            <w:pPr>
              <w:pStyle w:val="7"/>
              <w:tabs>
                <w:tab w:val="left" w:pos="562"/>
                <w:tab w:val="left" w:pos="3372"/>
                <w:tab w:val="left" w:pos="3653"/>
              </w:tabs>
              <w:spacing w:line="400" w:lineRule="exact"/>
              <w:ind w:firstLine="900" w:firstLineChars="32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投标人名称：</w:t>
            </w:r>
            <w:r>
              <w:rPr>
                <w:rFonts w:hint="eastAsia" w:ascii="宋体" w:hAnsi="宋体" w:cs="Arial"/>
                <w:b/>
                <w:bCs/>
                <w:color w:val="000000" w:themeColor="text1"/>
                <w:sz w:val="28"/>
                <w:szCs w:val="28"/>
                <w:u w:val="single"/>
                <w14:textFill>
                  <w14:solidFill>
                    <w14:schemeClr w14:val="tx1"/>
                  </w14:solidFill>
                </w14:textFill>
              </w:rPr>
              <w:t xml:space="preserve">                     （加盖公章）</w:t>
            </w:r>
          </w:p>
          <w:p>
            <w:pPr>
              <w:pStyle w:val="7"/>
              <w:tabs>
                <w:tab w:val="left" w:pos="562"/>
                <w:tab w:val="left" w:pos="3372"/>
                <w:tab w:val="left" w:pos="3653"/>
              </w:tabs>
              <w:spacing w:line="400" w:lineRule="exact"/>
              <w:ind w:firstLine="900" w:firstLineChars="320"/>
              <w:rPr>
                <w:rFonts w:ascii="宋体" w:hAnsi="宋体" w:cs="Arial"/>
                <w:b/>
                <w:bCs/>
                <w:color w:val="000000" w:themeColor="text1"/>
                <w:sz w:val="28"/>
                <w:szCs w:val="28"/>
                <w:u w:val="single"/>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投标人地址：</w:t>
            </w:r>
            <w:r>
              <w:rPr>
                <w:rFonts w:hint="eastAsia" w:ascii="宋体" w:hAnsi="宋体" w:cs="Arial"/>
                <w:b/>
                <w:bCs/>
                <w:color w:val="000000" w:themeColor="text1"/>
                <w:sz w:val="28"/>
                <w:szCs w:val="28"/>
                <w:u w:val="single"/>
                <w14:textFill>
                  <w14:solidFill>
                    <w14:schemeClr w14:val="tx1"/>
                  </w14:solidFill>
                </w14:textFill>
              </w:rPr>
              <w:t xml:space="preserve">                                 </w:t>
            </w:r>
          </w:p>
          <w:p>
            <w:pPr>
              <w:pStyle w:val="7"/>
              <w:tabs>
                <w:tab w:val="left" w:pos="562"/>
                <w:tab w:val="left" w:pos="3372"/>
                <w:tab w:val="left" w:pos="3653"/>
              </w:tabs>
              <w:spacing w:line="400" w:lineRule="exact"/>
              <w:ind w:firstLine="900" w:firstLineChars="320"/>
              <w:rPr>
                <w:rFonts w:ascii="宋体" w:hAnsi="宋体" w:cs="Arial"/>
                <w:b/>
                <w:bCs/>
                <w:color w:val="000000" w:themeColor="text1"/>
                <w:sz w:val="28"/>
                <w:szCs w:val="28"/>
                <w:u w:val="single"/>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法定代表人/被授权人：</w:t>
            </w:r>
            <w:r>
              <w:rPr>
                <w:rFonts w:hint="eastAsia" w:ascii="宋体" w:hAnsi="宋体" w:cs="Arial"/>
                <w:b/>
                <w:bCs/>
                <w:color w:val="000000" w:themeColor="text1"/>
                <w:sz w:val="28"/>
                <w:szCs w:val="28"/>
                <w:u w:val="single"/>
                <w14:textFill>
                  <w14:solidFill>
                    <w14:schemeClr w14:val="tx1"/>
                  </w14:solidFill>
                </w14:textFill>
              </w:rPr>
              <w:t xml:space="preserve">                        </w:t>
            </w:r>
          </w:p>
          <w:p>
            <w:pPr>
              <w:pStyle w:val="7"/>
              <w:tabs>
                <w:tab w:val="left" w:pos="562"/>
                <w:tab w:val="left" w:pos="3372"/>
                <w:tab w:val="left" w:pos="3653"/>
              </w:tabs>
              <w:spacing w:line="400" w:lineRule="exact"/>
              <w:ind w:firstLine="900" w:firstLineChars="320"/>
              <w:rPr>
                <w:rFonts w:ascii="宋体" w:hAnsi="宋体" w:cs="宋体"/>
                <w:b/>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联系电话：</w:t>
            </w:r>
            <w:r>
              <w:rPr>
                <w:rFonts w:hint="eastAsia" w:ascii="宋体" w:hAnsi="宋体" w:cs="Arial"/>
                <w:b/>
                <w:bCs/>
                <w:color w:val="000000" w:themeColor="text1"/>
                <w:sz w:val="28"/>
                <w:szCs w:val="28"/>
                <w:u w:val="single"/>
                <w14:textFill>
                  <w14:solidFill>
                    <w14:schemeClr w14:val="tx1"/>
                  </w14:solidFill>
                </w14:textFill>
              </w:rPr>
              <w:t xml:space="preserve">                                   </w:t>
            </w:r>
          </w:p>
          <w:p>
            <w:pPr>
              <w:spacing w:line="360" w:lineRule="auto"/>
              <w:jc w:val="center"/>
              <w:rPr>
                <w:rFonts w:ascii="宋体" w:hAnsi="宋体" w:cs="Arial"/>
                <w:b/>
                <w:bCs/>
                <w:color w:val="000000" w:themeColor="text1"/>
                <w:sz w:val="28"/>
                <w:szCs w:val="28"/>
                <w14:textFill>
                  <w14:solidFill>
                    <w14:schemeClr w14:val="tx1"/>
                  </w14:solidFill>
                </w14:textFill>
              </w:rPr>
            </w:pPr>
          </w:p>
          <w:p>
            <w:pPr>
              <w:spacing w:line="360" w:lineRule="auto"/>
              <w:jc w:val="center"/>
              <w:rPr>
                <w:rFonts w:ascii="宋体" w:hAnsi="宋体" w:cs="Arial"/>
                <w:b/>
                <w:bCs/>
                <w:color w:val="000000" w:themeColor="text1"/>
                <w:sz w:val="28"/>
                <w:szCs w:val="28"/>
                <w14:textFill>
                  <w14:solidFill>
                    <w14:schemeClr w14:val="tx1"/>
                  </w14:solidFill>
                </w14:textFill>
              </w:rPr>
            </w:pPr>
          </w:p>
          <w:p>
            <w:pPr>
              <w:spacing w:line="360" w:lineRule="auto"/>
              <w:jc w:val="center"/>
              <w:rPr>
                <w:rFonts w:ascii="仿宋_GB2312" w:eastAsia="仿宋_GB2312"/>
                <w:b/>
                <w:color w:val="000000" w:themeColor="text1"/>
                <w:sz w:val="32"/>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【年月日时分之前不得启封。】</w:t>
            </w:r>
          </w:p>
        </w:tc>
      </w:tr>
    </w:tbl>
    <w:p>
      <w:pPr>
        <w:spacing w:line="360" w:lineRule="auto"/>
        <w:jc w:val="center"/>
        <w:rPr>
          <w:rFonts w:ascii="宋体" w:hAnsi="宋体" w:cs="宋体"/>
          <w:b/>
          <w:bCs/>
          <w:color w:val="000000" w:themeColor="text1"/>
          <w:sz w:val="24"/>
          <w14:textFill>
            <w14:solidFill>
              <w14:schemeClr w14:val="tx1"/>
            </w14:solidFill>
          </w14:textFill>
        </w:rPr>
      </w:pPr>
    </w:p>
    <w:p>
      <w:pPr>
        <w:spacing w:before="100" w:beforeAutospacing="1" w:after="100" w:afterAutospacing="1"/>
        <w:jc w:val="center"/>
        <w:outlineLvl w:val="1"/>
        <w:rPr>
          <w:rFonts w:ascii="宋体" w:hAnsi="宋体" w:cs="宋体"/>
          <w:b/>
          <w:color w:val="000000" w:themeColor="text1"/>
          <w:sz w:val="24"/>
          <w14:textFill>
            <w14:solidFill>
              <w14:schemeClr w14:val="tx1"/>
            </w14:solidFill>
          </w14:textFill>
        </w:rPr>
      </w:pPr>
      <w:bookmarkStart w:id="52" w:name="_Toc16724"/>
      <w:r>
        <w:rPr>
          <w:rFonts w:hint="eastAsia" w:ascii="宋体" w:hAnsi="宋体" w:cs="宋体"/>
          <w:b/>
          <w:color w:val="000000" w:themeColor="text1"/>
          <w:sz w:val="24"/>
          <w14:textFill>
            <w14:solidFill>
              <w14:schemeClr w14:val="tx1"/>
            </w14:solidFill>
          </w14:textFill>
        </w:rPr>
        <w:t>2、投标文件—目录</w:t>
      </w:r>
      <w:bookmarkEnd w:id="52"/>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6"/>
        </w:numPr>
        <w:tabs>
          <w:tab w:val="left" w:pos="640"/>
          <w:tab w:val="clear" w:pos="425"/>
        </w:tabs>
        <w:spacing w:line="360" w:lineRule="auto"/>
        <w:ind w:left="625" w:hanging="62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numPr>
          <w:ilvl w:val="0"/>
          <w:numId w:val="6"/>
        </w:numPr>
        <w:tabs>
          <w:tab w:val="left" w:pos="640"/>
          <w:tab w:val="clear" w:pos="425"/>
        </w:tabs>
        <w:spacing w:line="360" w:lineRule="auto"/>
        <w:ind w:left="625" w:hanging="62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分类报价明细表；</w:t>
      </w:r>
    </w:p>
    <w:p>
      <w:pPr>
        <w:spacing w:line="360" w:lineRule="auto"/>
        <w:rPr>
          <w:rFonts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（二）商务部分</w:t>
      </w:r>
    </w:p>
    <w:p>
      <w:pPr>
        <w:numPr>
          <w:ilvl w:val="0"/>
          <w:numId w:val="7"/>
        </w:numPr>
        <w:tabs>
          <w:tab w:val="left" w:pos="640"/>
          <w:tab w:val="left" w:pos="1260"/>
          <w:tab w:val="left" w:pos="1418"/>
        </w:tabs>
        <w:spacing w:line="360" w:lineRule="auto"/>
        <w:ind w:left="845" w:hanging="8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投标响应书；</w:t>
      </w:r>
    </w:p>
    <w:p>
      <w:pPr>
        <w:numPr>
          <w:ilvl w:val="0"/>
          <w:numId w:val="7"/>
        </w:numPr>
        <w:tabs>
          <w:tab w:val="left" w:pos="640"/>
          <w:tab w:val="left" w:pos="1260"/>
          <w:tab w:val="left" w:pos="1418"/>
        </w:tabs>
        <w:spacing w:line="360" w:lineRule="auto"/>
        <w:ind w:left="645" w:hanging="6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p>
    <w:p>
      <w:pPr>
        <w:numPr>
          <w:ilvl w:val="0"/>
          <w:numId w:val="7"/>
        </w:numPr>
        <w:tabs>
          <w:tab w:val="left" w:pos="640"/>
          <w:tab w:val="left" w:pos="1260"/>
          <w:tab w:val="left" w:pos="1418"/>
        </w:tabs>
        <w:spacing w:line="360" w:lineRule="auto"/>
        <w:ind w:left="645" w:hanging="6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政府采购投标及履约承诺函；</w:t>
      </w:r>
    </w:p>
    <w:p>
      <w:pPr>
        <w:numPr>
          <w:ilvl w:val="0"/>
          <w:numId w:val="7"/>
        </w:numPr>
        <w:tabs>
          <w:tab w:val="left" w:pos="640"/>
          <w:tab w:val="left" w:pos="1260"/>
          <w:tab w:val="left" w:pos="1418"/>
        </w:tabs>
        <w:spacing w:line="360" w:lineRule="auto"/>
        <w:ind w:left="645" w:hanging="6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关于资格的声明函；</w:t>
      </w:r>
    </w:p>
    <w:p>
      <w:pPr>
        <w:numPr>
          <w:ilvl w:val="0"/>
          <w:numId w:val="7"/>
        </w:numPr>
        <w:tabs>
          <w:tab w:val="left" w:pos="640"/>
          <w:tab w:val="left" w:pos="1260"/>
          <w:tab w:val="left" w:pos="1418"/>
        </w:tabs>
        <w:spacing w:line="360" w:lineRule="auto"/>
        <w:ind w:left="645" w:hanging="6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法人代表证明书及身份证明；</w:t>
      </w:r>
    </w:p>
    <w:p>
      <w:pPr>
        <w:numPr>
          <w:ilvl w:val="0"/>
          <w:numId w:val="7"/>
        </w:numPr>
        <w:tabs>
          <w:tab w:val="left" w:pos="640"/>
          <w:tab w:val="left" w:pos="1260"/>
          <w:tab w:val="left" w:pos="1418"/>
        </w:tabs>
        <w:spacing w:line="360" w:lineRule="auto"/>
        <w:ind w:left="845"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法定代表人授权书及身份证明；</w:t>
      </w:r>
    </w:p>
    <w:p>
      <w:pPr>
        <w:numPr>
          <w:ilvl w:val="0"/>
          <w:numId w:val="7"/>
        </w:numPr>
        <w:tabs>
          <w:tab w:val="left" w:pos="640"/>
          <w:tab w:val="left" w:pos="1260"/>
          <w:tab w:val="left" w:pos="1418"/>
        </w:tabs>
        <w:spacing w:line="360" w:lineRule="auto"/>
        <w:ind w:left="845"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numPr>
          <w:ilvl w:val="0"/>
          <w:numId w:val="7"/>
        </w:numPr>
        <w:tabs>
          <w:tab w:val="left" w:pos="640"/>
          <w:tab w:val="left" w:pos="1260"/>
          <w:tab w:val="left" w:pos="1418"/>
        </w:tabs>
        <w:spacing w:line="360" w:lineRule="auto"/>
        <w:ind w:left="845"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投标人简介；</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投标人资质情况；</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投标人经验；</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项目负责人（仅一人）；</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项目团队成员（项目负责人除外）；</w:t>
      </w:r>
    </w:p>
    <w:p>
      <w:pPr>
        <w:numPr>
          <w:ilvl w:val="0"/>
          <w:numId w:val="7"/>
        </w:numPr>
        <w:tabs>
          <w:tab w:val="left" w:pos="640"/>
          <w:tab w:val="left" w:pos="840"/>
          <w:tab w:val="left" w:pos="1260"/>
          <w:tab w:val="left" w:pos="1418"/>
        </w:tabs>
        <w:spacing w:line="360" w:lineRule="auto"/>
        <w:ind w:left="845"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投标人自主知识产权产品（创新、设计）情况</w:t>
      </w:r>
      <w:bookmarkStart w:id="53" w:name="OLE_LINK11"/>
      <w:r>
        <w:rPr>
          <w:rFonts w:hint="eastAsia" w:ascii="宋体" w:hAnsi="宋体" w:cs="宋体"/>
          <w:color w:val="000000" w:themeColor="text1"/>
          <w:sz w:val="24"/>
          <w:lang w:val="fr-CH"/>
          <w14:textFill>
            <w14:solidFill>
              <w14:schemeClr w14:val="tx1"/>
            </w14:solidFill>
          </w14:textFill>
        </w:rPr>
        <w:t>；</w:t>
      </w:r>
      <w:bookmarkEnd w:id="53"/>
    </w:p>
    <w:p>
      <w:pPr>
        <w:numPr>
          <w:ilvl w:val="0"/>
          <w:numId w:val="7"/>
        </w:numPr>
        <w:tabs>
          <w:tab w:val="left" w:pos="640"/>
          <w:tab w:val="left" w:pos="840"/>
          <w:tab w:val="left" w:pos="1260"/>
          <w:tab w:val="left" w:pos="1418"/>
        </w:tabs>
        <w:spacing w:line="360" w:lineRule="auto"/>
        <w:ind w:left="845"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诚信声明与承诺；</w:t>
      </w:r>
    </w:p>
    <w:p>
      <w:pPr>
        <w:numPr>
          <w:ilvl w:val="0"/>
          <w:numId w:val="7"/>
        </w:numPr>
        <w:tabs>
          <w:tab w:val="left" w:pos="640"/>
          <w:tab w:val="left" w:pos="840"/>
          <w:tab w:val="left" w:pos="1260"/>
          <w:tab w:val="left" w:pos="1418"/>
        </w:tabs>
        <w:spacing w:line="360" w:lineRule="auto"/>
        <w:ind w:left="845" w:hanging="8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政府采购违法行为风险知悉确认书；</w:t>
      </w:r>
    </w:p>
    <w:p>
      <w:pPr>
        <w:numPr>
          <w:ilvl w:val="0"/>
          <w:numId w:val="7"/>
        </w:numPr>
        <w:tabs>
          <w:tab w:val="left" w:pos="640"/>
          <w:tab w:val="left" w:pos="840"/>
          <w:tab w:val="left" w:pos="1260"/>
          <w:tab w:val="left" w:pos="1418"/>
        </w:tabs>
        <w:spacing w:line="360" w:lineRule="auto"/>
        <w:ind w:left="845" w:hanging="8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参与价格扣除的证明文件；</w:t>
      </w:r>
    </w:p>
    <w:p>
      <w:pPr>
        <w:numPr>
          <w:ilvl w:val="0"/>
          <w:numId w:val="7"/>
        </w:numPr>
        <w:tabs>
          <w:tab w:val="left" w:pos="640"/>
          <w:tab w:val="left" w:pos="840"/>
          <w:tab w:val="left" w:pos="1260"/>
          <w:tab w:val="left" w:pos="1418"/>
        </w:tabs>
        <w:spacing w:line="360" w:lineRule="auto"/>
        <w:ind w:left="845" w:hanging="8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供应商基本情况表、社保证明及股权关系证明</w:t>
      </w:r>
      <w:r>
        <w:rPr>
          <w:rFonts w:hint="eastAsia" w:ascii="宋体" w:hAnsi="宋体" w:cs="宋体"/>
          <w:color w:val="000000" w:themeColor="text1"/>
          <w:sz w:val="24"/>
          <w14:textFill>
            <w14:solidFill>
              <w14:schemeClr w14:val="tx1"/>
            </w14:solidFill>
          </w14:textFill>
        </w:rPr>
        <w:t>；</w:t>
      </w:r>
    </w:p>
    <w:p>
      <w:pPr>
        <w:numPr>
          <w:ilvl w:val="0"/>
          <w:numId w:val="7"/>
        </w:numPr>
        <w:tabs>
          <w:tab w:val="left" w:pos="640"/>
          <w:tab w:val="left" w:pos="840"/>
          <w:tab w:val="left" w:pos="1260"/>
          <w:tab w:val="left" w:pos="1418"/>
        </w:tabs>
        <w:spacing w:line="360" w:lineRule="auto"/>
        <w:ind w:left="845" w:hanging="8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（三）技术部分</w:t>
      </w:r>
    </w:p>
    <w:p>
      <w:pPr>
        <w:numPr>
          <w:ilvl w:val="0"/>
          <w:numId w:val="8"/>
        </w:numPr>
        <w:tabs>
          <w:tab w:val="left" w:pos="640"/>
          <w:tab w:val="left" w:pos="1260"/>
          <w:tab w:val="left" w:pos="1418"/>
        </w:tabs>
        <w:spacing w:line="360" w:lineRule="auto"/>
        <w:ind w:left="640" w:right="-420" w:rightChars="-200" w:hanging="640"/>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项目实施方案；</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质量保障措施及方案；</w:t>
      </w:r>
    </w:p>
    <w:p>
      <w:pPr>
        <w:numPr>
          <w:ilvl w:val="0"/>
          <w:numId w:val="8"/>
        </w:numPr>
        <w:tabs>
          <w:tab w:val="left" w:pos="640"/>
          <w:tab w:val="left" w:pos="1260"/>
          <w:tab w:val="left" w:pos="1418"/>
        </w:tabs>
        <w:spacing w:line="360" w:lineRule="auto"/>
        <w:ind w:left="845" w:right="-420" w:rightChars="-200"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项目重难点分析及相关的合理化建议</w:t>
      </w:r>
      <w:bookmarkStart w:id="54" w:name="OLE_LINK12"/>
      <w:r>
        <w:rPr>
          <w:rFonts w:hint="eastAsia" w:ascii="宋体" w:hAnsi="宋体" w:cs="宋体"/>
          <w:color w:val="000000" w:themeColor="text1"/>
          <w:sz w:val="24"/>
          <w:lang w:val="fr-CH"/>
          <w14:textFill>
            <w14:solidFill>
              <w14:schemeClr w14:val="tx1"/>
            </w14:solidFill>
          </w14:textFill>
        </w:rPr>
        <w:t>；</w:t>
      </w:r>
      <w:bookmarkEnd w:id="54"/>
    </w:p>
    <w:p>
      <w:pPr>
        <w:numPr>
          <w:ilvl w:val="0"/>
          <w:numId w:val="8"/>
        </w:numPr>
        <w:tabs>
          <w:tab w:val="left" w:pos="640"/>
          <w:tab w:val="left" w:pos="1260"/>
          <w:tab w:val="left" w:pos="1418"/>
        </w:tabs>
        <w:spacing w:line="360" w:lineRule="auto"/>
        <w:ind w:left="845" w:right="-420" w:rightChars="-200"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投标人认为有必要提供的其他材料。</w:t>
      </w:r>
    </w:p>
    <w:p>
      <w:pPr>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9"/>
        </w:numPr>
        <w:tabs>
          <w:tab w:val="left" w:pos="640"/>
          <w:tab w:val="clear" w:pos="425"/>
        </w:tabs>
        <w:ind w:left="625" w:hanging="62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spacing w:line="360" w:lineRule="auto"/>
        <w:rPr>
          <w:rFonts w:ascii="宋体" w:hAnsi="宋体" w:cs="宋体"/>
          <w:color w:val="000000" w:themeColor="text1"/>
          <w:sz w:val="24"/>
          <w14:textFill>
            <w14:solidFill>
              <w14:schemeClr w14:val="tx1"/>
            </w14:solidFill>
          </w14:textFill>
        </w:rPr>
      </w:pPr>
    </w:p>
    <w:p>
      <w:pPr>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投标一览表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tbl>
      <w:tblPr>
        <w:tblStyle w:val="20"/>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pPr>
              <w:spacing w:after="6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2896" w:type="dxa"/>
            <w:vAlign w:val="center"/>
          </w:tcPr>
          <w:p>
            <w:pPr>
              <w:spacing w:after="6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投标价</w:t>
            </w:r>
          </w:p>
          <w:p>
            <w:pPr>
              <w:spacing w:after="6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w:t>
            </w:r>
          </w:p>
        </w:tc>
        <w:tc>
          <w:tcPr>
            <w:tcW w:w="1318" w:type="dxa"/>
            <w:vAlign w:val="center"/>
          </w:tcPr>
          <w:p>
            <w:pPr>
              <w:spacing w:after="6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360" w:lineRule="auto"/>
              <w:jc w:val="center"/>
              <w:rPr>
                <w:rFonts w:ascii="宋体" w:hAnsi="宋体" w:cs="宋体"/>
                <w:color w:val="000000" w:themeColor="text1"/>
                <w:sz w:val="24"/>
                <w:u w:val="single"/>
                <w14:textFill>
                  <w14:solidFill>
                    <w14:schemeClr w14:val="tx1"/>
                  </w14:solidFill>
                </w14:textFill>
              </w:rPr>
            </w:pPr>
          </w:p>
        </w:tc>
        <w:tc>
          <w:tcPr>
            <w:tcW w:w="2896" w:type="dxa"/>
            <w:vAlign w:val="center"/>
          </w:tcPr>
          <w:p>
            <w:pPr>
              <w:spacing w:line="360" w:lineRule="auto"/>
              <w:jc w:val="center"/>
              <w:rPr>
                <w:rFonts w:ascii="宋体" w:hAnsi="宋体" w:cs="宋体"/>
                <w:color w:val="000000" w:themeColor="text1"/>
                <w:sz w:val="24"/>
                <w:u w:val="single"/>
                <w14:textFill>
                  <w14:solidFill>
                    <w14:schemeClr w14:val="tx1"/>
                  </w14:solidFill>
                </w14:textFill>
              </w:rPr>
            </w:pPr>
          </w:p>
        </w:tc>
        <w:tc>
          <w:tcPr>
            <w:tcW w:w="1318" w:type="dxa"/>
            <w:vAlign w:val="center"/>
          </w:tcPr>
          <w:p>
            <w:pPr>
              <w:spacing w:line="360" w:lineRule="auto"/>
              <w:jc w:val="center"/>
              <w:rPr>
                <w:rFonts w:ascii="宋体" w:hAnsi="宋体" w:cs="宋体"/>
                <w:color w:val="000000" w:themeColor="text1"/>
                <w:sz w:val="24"/>
                <w:u w:val="single"/>
                <w14:textFill>
                  <w14:solidFill>
                    <w14:schemeClr w14:val="tx1"/>
                  </w14:solidFill>
                </w14:textFill>
              </w:rPr>
            </w:pPr>
          </w:p>
        </w:tc>
      </w:tr>
    </w:tbl>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7"/>
        <w:rPr>
          <w:color w:val="000000" w:themeColor="text1"/>
          <w14:textFill>
            <w14:solidFill>
              <w14:schemeClr w14:val="tx1"/>
            </w14:solidFill>
          </w14:textFill>
        </w:rPr>
      </w:pPr>
    </w:p>
    <w:p>
      <w:pPr>
        <w:numPr>
          <w:ilvl w:val="0"/>
          <w:numId w:val="9"/>
        </w:numPr>
        <w:tabs>
          <w:tab w:val="left" w:pos="640"/>
          <w:tab w:val="clear" w:pos="425"/>
        </w:tabs>
        <w:ind w:left="625" w:hanging="62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分项报价清单；</w:t>
      </w:r>
    </w:p>
    <w:p>
      <w:pPr>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分项报价清单</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p>
    <w:tbl>
      <w:tblPr>
        <w:tblStyle w:val="20"/>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9"/>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序号</w:t>
            </w:r>
          </w:p>
        </w:tc>
        <w:tc>
          <w:tcPr>
            <w:tcW w:w="2212" w:type="dxa"/>
            <w:vAlign w:val="center"/>
          </w:tcPr>
          <w:p>
            <w:pPr>
              <w:pStyle w:val="9"/>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项目名称、内容</w:t>
            </w:r>
          </w:p>
        </w:tc>
        <w:tc>
          <w:tcPr>
            <w:tcW w:w="720" w:type="dxa"/>
            <w:vAlign w:val="center"/>
          </w:tcPr>
          <w:p>
            <w:pPr>
              <w:pStyle w:val="9"/>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单位</w:t>
            </w:r>
          </w:p>
        </w:tc>
        <w:tc>
          <w:tcPr>
            <w:tcW w:w="1800" w:type="dxa"/>
            <w:vAlign w:val="center"/>
          </w:tcPr>
          <w:p>
            <w:pPr>
              <w:pStyle w:val="9"/>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数量（工作量）</w:t>
            </w:r>
          </w:p>
        </w:tc>
        <w:tc>
          <w:tcPr>
            <w:tcW w:w="1620" w:type="dxa"/>
            <w:vAlign w:val="center"/>
          </w:tcPr>
          <w:p>
            <w:pPr>
              <w:pStyle w:val="9"/>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单价</w:t>
            </w:r>
          </w:p>
        </w:tc>
        <w:tc>
          <w:tcPr>
            <w:tcW w:w="1620" w:type="dxa"/>
            <w:vAlign w:val="center"/>
          </w:tcPr>
          <w:p>
            <w:pPr>
              <w:pStyle w:val="9"/>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9"/>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w:t>
            </w:r>
          </w:p>
        </w:tc>
        <w:tc>
          <w:tcPr>
            <w:tcW w:w="2212" w:type="dxa"/>
            <w:vAlign w:val="center"/>
          </w:tcPr>
          <w:p>
            <w:pPr>
              <w:pStyle w:val="9"/>
              <w:spacing w:line="360" w:lineRule="auto"/>
              <w:jc w:val="center"/>
              <w:rPr>
                <w:rFonts w:hAnsi="宋体" w:cs="宋体"/>
                <w:color w:val="000000" w:themeColor="text1"/>
                <w:sz w:val="24"/>
                <w14:textFill>
                  <w14:solidFill>
                    <w14:schemeClr w14:val="tx1"/>
                  </w14:solidFill>
                </w14:textFill>
              </w:rPr>
            </w:pPr>
          </w:p>
        </w:tc>
        <w:tc>
          <w:tcPr>
            <w:tcW w:w="720" w:type="dxa"/>
            <w:vAlign w:val="center"/>
          </w:tcPr>
          <w:p>
            <w:pPr>
              <w:pStyle w:val="9"/>
              <w:spacing w:line="360" w:lineRule="auto"/>
              <w:jc w:val="center"/>
              <w:rPr>
                <w:rFonts w:hAnsi="宋体" w:cs="宋体"/>
                <w:color w:val="000000" w:themeColor="text1"/>
                <w:sz w:val="24"/>
                <w14:textFill>
                  <w14:solidFill>
                    <w14:schemeClr w14:val="tx1"/>
                  </w14:solidFill>
                </w14:textFill>
              </w:rPr>
            </w:pPr>
          </w:p>
        </w:tc>
        <w:tc>
          <w:tcPr>
            <w:tcW w:w="1800" w:type="dxa"/>
            <w:vAlign w:val="center"/>
          </w:tcPr>
          <w:p>
            <w:pPr>
              <w:pStyle w:val="9"/>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9"/>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w:t>
            </w:r>
          </w:p>
        </w:tc>
        <w:tc>
          <w:tcPr>
            <w:tcW w:w="2212"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p>
        </w:tc>
        <w:tc>
          <w:tcPr>
            <w:tcW w:w="720" w:type="dxa"/>
            <w:vAlign w:val="center"/>
          </w:tcPr>
          <w:p>
            <w:pPr>
              <w:pStyle w:val="9"/>
              <w:spacing w:line="360" w:lineRule="auto"/>
              <w:jc w:val="center"/>
              <w:rPr>
                <w:rFonts w:hAnsi="宋体" w:cs="宋体"/>
                <w:color w:val="000000" w:themeColor="text1"/>
                <w:sz w:val="24"/>
                <w14:textFill>
                  <w14:solidFill>
                    <w14:schemeClr w14:val="tx1"/>
                  </w14:solidFill>
                </w14:textFill>
              </w:rPr>
            </w:pPr>
          </w:p>
        </w:tc>
        <w:tc>
          <w:tcPr>
            <w:tcW w:w="1800" w:type="dxa"/>
            <w:vAlign w:val="center"/>
          </w:tcPr>
          <w:p>
            <w:pPr>
              <w:pStyle w:val="9"/>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9"/>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w:t>
            </w:r>
          </w:p>
        </w:tc>
        <w:tc>
          <w:tcPr>
            <w:tcW w:w="2212"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p>
        </w:tc>
        <w:tc>
          <w:tcPr>
            <w:tcW w:w="720" w:type="dxa"/>
            <w:vAlign w:val="center"/>
          </w:tcPr>
          <w:p>
            <w:pPr>
              <w:pStyle w:val="9"/>
              <w:spacing w:line="360" w:lineRule="auto"/>
              <w:jc w:val="center"/>
              <w:rPr>
                <w:rFonts w:hAnsi="宋体" w:cs="宋体"/>
                <w:color w:val="000000" w:themeColor="text1"/>
                <w:sz w:val="24"/>
                <w14:textFill>
                  <w14:solidFill>
                    <w14:schemeClr w14:val="tx1"/>
                  </w14:solidFill>
                </w14:textFill>
              </w:rPr>
            </w:pPr>
          </w:p>
        </w:tc>
        <w:tc>
          <w:tcPr>
            <w:tcW w:w="1800" w:type="dxa"/>
            <w:vAlign w:val="center"/>
          </w:tcPr>
          <w:p>
            <w:pPr>
              <w:pStyle w:val="9"/>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9"/>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w:t>
            </w:r>
          </w:p>
        </w:tc>
        <w:tc>
          <w:tcPr>
            <w:tcW w:w="2212"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p>
        </w:tc>
        <w:tc>
          <w:tcPr>
            <w:tcW w:w="720" w:type="dxa"/>
            <w:vAlign w:val="center"/>
          </w:tcPr>
          <w:p>
            <w:pPr>
              <w:pStyle w:val="9"/>
              <w:spacing w:line="360" w:lineRule="auto"/>
              <w:jc w:val="center"/>
              <w:rPr>
                <w:rFonts w:hAnsi="宋体" w:cs="宋体"/>
                <w:color w:val="000000" w:themeColor="text1"/>
                <w:sz w:val="24"/>
                <w14:textFill>
                  <w14:solidFill>
                    <w14:schemeClr w14:val="tx1"/>
                  </w14:solidFill>
                </w14:textFill>
              </w:rPr>
            </w:pPr>
          </w:p>
        </w:tc>
        <w:tc>
          <w:tcPr>
            <w:tcW w:w="1800" w:type="dxa"/>
            <w:vAlign w:val="center"/>
          </w:tcPr>
          <w:p>
            <w:pPr>
              <w:pStyle w:val="9"/>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w:t>
            </w:r>
          </w:p>
        </w:tc>
        <w:tc>
          <w:tcPr>
            <w:tcW w:w="2212"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p>
        </w:tc>
        <w:tc>
          <w:tcPr>
            <w:tcW w:w="720" w:type="dxa"/>
            <w:vAlign w:val="center"/>
          </w:tcPr>
          <w:p>
            <w:pPr>
              <w:pStyle w:val="9"/>
              <w:spacing w:line="360" w:lineRule="auto"/>
              <w:jc w:val="center"/>
              <w:rPr>
                <w:rFonts w:hAnsi="宋体" w:cs="宋体"/>
                <w:color w:val="000000" w:themeColor="text1"/>
                <w:sz w:val="24"/>
                <w14:textFill>
                  <w14:solidFill>
                    <w14:schemeClr w14:val="tx1"/>
                  </w14:solidFill>
                </w14:textFill>
              </w:rPr>
            </w:pPr>
          </w:p>
        </w:tc>
        <w:tc>
          <w:tcPr>
            <w:tcW w:w="1800" w:type="dxa"/>
            <w:vAlign w:val="center"/>
          </w:tcPr>
          <w:p>
            <w:pPr>
              <w:pStyle w:val="9"/>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w:t>
            </w:r>
          </w:p>
        </w:tc>
        <w:tc>
          <w:tcPr>
            <w:tcW w:w="2212"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p>
        </w:tc>
        <w:tc>
          <w:tcPr>
            <w:tcW w:w="720" w:type="dxa"/>
            <w:vAlign w:val="center"/>
          </w:tcPr>
          <w:p>
            <w:pPr>
              <w:pStyle w:val="9"/>
              <w:spacing w:line="360" w:lineRule="auto"/>
              <w:jc w:val="center"/>
              <w:rPr>
                <w:rFonts w:hAnsi="宋体" w:cs="宋体"/>
                <w:color w:val="000000" w:themeColor="text1"/>
                <w:sz w:val="24"/>
                <w14:textFill>
                  <w14:solidFill>
                    <w14:schemeClr w14:val="tx1"/>
                  </w14:solidFill>
                </w14:textFill>
              </w:rPr>
            </w:pPr>
          </w:p>
        </w:tc>
        <w:tc>
          <w:tcPr>
            <w:tcW w:w="1800" w:type="dxa"/>
            <w:vAlign w:val="center"/>
          </w:tcPr>
          <w:p>
            <w:pPr>
              <w:pStyle w:val="9"/>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1028" w:type="dxa"/>
            <w:vAlign w:val="bottom"/>
          </w:tcPr>
          <w:p>
            <w:pPr>
              <w:pStyle w:val="9"/>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w:t>
            </w:r>
          </w:p>
        </w:tc>
        <w:tc>
          <w:tcPr>
            <w:tcW w:w="2212"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p>
        </w:tc>
        <w:tc>
          <w:tcPr>
            <w:tcW w:w="720" w:type="dxa"/>
            <w:vAlign w:val="center"/>
          </w:tcPr>
          <w:p>
            <w:pPr>
              <w:pStyle w:val="9"/>
              <w:spacing w:line="360" w:lineRule="auto"/>
              <w:jc w:val="center"/>
              <w:rPr>
                <w:rFonts w:hAnsi="宋体" w:cs="宋体"/>
                <w:color w:val="000000" w:themeColor="text1"/>
                <w:sz w:val="24"/>
                <w14:textFill>
                  <w14:solidFill>
                    <w14:schemeClr w14:val="tx1"/>
                  </w14:solidFill>
                </w14:textFill>
              </w:rPr>
            </w:pPr>
          </w:p>
        </w:tc>
        <w:tc>
          <w:tcPr>
            <w:tcW w:w="1800" w:type="dxa"/>
            <w:vAlign w:val="center"/>
          </w:tcPr>
          <w:p>
            <w:pPr>
              <w:pStyle w:val="9"/>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w:t>
            </w:r>
          </w:p>
        </w:tc>
        <w:tc>
          <w:tcPr>
            <w:tcW w:w="2212"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p>
        </w:tc>
        <w:tc>
          <w:tcPr>
            <w:tcW w:w="720" w:type="dxa"/>
            <w:vAlign w:val="center"/>
          </w:tcPr>
          <w:p>
            <w:pPr>
              <w:pStyle w:val="9"/>
              <w:spacing w:line="360" w:lineRule="auto"/>
              <w:jc w:val="center"/>
              <w:rPr>
                <w:rFonts w:hAnsi="宋体" w:cs="宋体"/>
                <w:color w:val="000000" w:themeColor="text1"/>
                <w:sz w:val="24"/>
                <w14:textFill>
                  <w14:solidFill>
                    <w14:schemeClr w14:val="tx1"/>
                  </w14:solidFill>
                </w14:textFill>
              </w:rPr>
            </w:pPr>
          </w:p>
        </w:tc>
        <w:tc>
          <w:tcPr>
            <w:tcW w:w="1800" w:type="dxa"/>
            <w:vAlign w:val="center"/>
          </w:tcPr>
          <w:p>
            <w:pPr>
              <w:pStyle w:val="9"/>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w:t>
            </w:r>
          </w:p>
        </w:tc>
        <w:tc>
          <w:tcPr>
            <w:tcW w:w="2212"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p>
        </w:tc>
        <w:tc>
          <w:tcPr>
            <w:tcW w:w="720" w:type="dxa"/>
            <w:vAlign w:val="center"/>
          </w:tcPr>
          <w:p>
            <w:pPr>
              <w:pStyle w:val="9"/>
              <w:spacing w:line="360" w:lineRule="auto"/>
              <w:jc w:val="center"/>
              <w:rPr>
                <w:rFonts w:hAnsi="宋体" w:cs="宋体"/>
                <w:color w:val="000000" w:themeColor="text1"/>
                <w:sz w:val="24"/>
                <w14:textFill>
                  <w14:solidFill>
                    <w14:schemeClr w14:val="tx1"/>
                  </w14:solidFill>
                </w14:textFill>
              </w:rPr>
            </w:pPr>
          </w:p>
        </w:tc>
        <w:tc>
          <w:tcPr>
            <w:tcW w:w="1800" w:type="dxa"/>
            <w:vAlign w:val="center"/>
          </w:tcPr>
          <w:p>
            <w:pPr>
              <w:pStyle w:val="9"/>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w:t>
            </w:r>
          </w:p>
        </w:tc>
        <w:tc>
          <w:tcPr>
            <w:tcW w:w="2212" w:type="dxa"/>
            <w:vAlign w:val="center"/>
          </w:tcPr>
          <w:p>
            <w:pPr>
              <w:pStyle w:val="9"/>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w:t>
            </w:r>
          </w:p>
        </w:tc>
        <w:tc>
          <w:tcPr>
            <w:tcW w:w="720" w:type="dxa"/>
            <w:vAlign w:val="center"/>
          </w:tcPr>
          <w:p>
            <w:pPr>
              <w:pStyle w:val="9"/>
              <w:spacing w:line="360" w:lineRule="auto"/>
              <w:jc w:val="center"/>
              <w:rPr>
                <w:rFonts w:hAnsi="宋体" w:cs="宋体"/>
                <w:color w:val="000000" w:themeColor="text1"/>
                <w:sz w:val="24"/>
                <w14:textFill>
                  <w14:solidFill>
                    <w14:schemeClr w14:val="tx1"/>
                  </w14:solidFill>
                </w14:textFill>
              </w:rPr>
            </w:pPr>
          </w:p>
        </w:tc>
        <w:tc>
          <w:tcPr>
            <w:tcW w:w="1800" w:type="dxa"/>
            <w:vAlign w:val="center"/>
          </w:tcPr>
          <w:p>
            <w:pPr>
              <w:pStyle w:val="9"/>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9"/>
              <w:spacing w:line="360" w:lineRule="auto"/>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报价合计</w:t>
            </w:r>
          </w:p>
        </w:tc>
      </w:tr>
    </w:tbl>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 ________________________</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outlineLvl w:val="2"/>
        <w:rPr>
          <w:rFonts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（二）商务部分</w:t>
      </w:r>
    </w:p>
    <w:p>
      <w:pPr>
        <w:numPr>
          <w:ilvl w:val="0"/>
          <w:numId w:val="10"/>
        </w:numPr>
        <w:tabs>
          <w:tab w:val="left" w:pos="640"/>
          <w:tab w:val="left" w:pos="1260"/>
          <w:tab w:val="left" w:pos="1418"/>
        </w:tabs>
        <w:spacing w:line="360" w:lineRule="auto"/>
        <w:ind w:left="845" w:hanging="8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投标响应书；</w:t>
      </w:r>
    </w:p>
    <w:p>
      <w:pPr>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投标响应书</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94" w:firstLineChars="20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根据贵方为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项目采购的邀请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（招标文件编号         ），签字代表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（全名、职务）经正式授权并代表供应商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（供应商方名称、地址）提交</w:t>
      </w:r>
      <w:r>
        <w:rPr>
          <w:rFonts w:hint="eastAsia" w:ascii="宋体" w:hAnsi="宋体" w:cs="宋体"/>
          <w:b/>
          <w:color w:val="000000" w:themeColor="text1"/>
          <w:sz w:val="24"/>
          <w14:textFill>
            <w14:solidFill>
              <w14:schemeClr w14:val="tx1"/>
            </w14:solidFill>
          </w14:textFill>
        </w:rPr>
        <w:t>一份正本四份副本以及1份电子文档的</w:t>
      </w:r>
      <w:r>
        <w:rPr>
          <w:rFonts w:hint="eastAsia" w:ascii="宋体" w:hAnsi="宋体" w:cs="宋体"/>
          <w:color w:val="000000" w:themeColor="text1"/>
          <w:sz w:val="24"/>
          <w14:textFill>
            <w14:solidFill>
              <w14:schemeClr w14:val="tx1"/>
            </w14:solidFill>
          </w14:textFill>
        </w:rPr>
        <w:t>投标文件。</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据此函，签字代表宣布同意如下：</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1、供应商方将按招标文件的规定履行合同责任和义务。</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3、与本投标项目有关的一切正式往来通讯请寄：</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邮编：</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传真：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邮箱：</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投标供应商授权代表、职务（印刷体）：</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（公  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pStyle w:val="7"/>
        <w:rPr>
          <w:color w:val="000000" w:themeColor="text1"/>
          <w14:textFill>
            <w14:solidFill>
              <w14:schemeClr w14:val="tx1"/>
            </w14:solidFill>
          </w14:textFill>
        </w:rPr>
      </w:pPr>
    </w:p>
    <w:p>
      <w:pPr>
        <w:numPr>
          <w:ilvl w:val="0"/>
          <w:numId w:val="10"/>
        </w:numPr>
        <w:tabs>
          <w:tab w:val="left" w:pos="640"/>
          <w:tab w:val="left" w:pos="1260"/>
          <w:tab w:val="left" w:pos="1418"/>
        </w:tabs>
        <w:spacing w:line="360" w:lineRule="auto"/>
        <w:ind w:left="645" w:hanging="6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000000" w:themeColor="text1"/>
          <w:sz w:val="24"/>
          <w:lang w:val="fr-CH"/>
          <w14:textFill>
            <w14:solidFill>
              <w14:schemeClr w14:val="tx1"/>
            </w14:solidFill>
          </w14:textFill>
        </w:rPr>
        <w:br w:type="page"/>
      </w:r>
    </w:p>
    <w:p>
      <w:pPr>
        <w:numPr>
          <w:ilvl w:val="0"/>
          <w:numId w:val="10"/>
        </w:numPr>
        <w:tabs>
          <w:tab w:val="left" w:pos="640"/>
          <w:tab w:val="left" w:pos="1260"/>
          <w:tab w:val="left" w:pos="1418"/>
        </w:tabs>
        <w:spacing w:line="360" w:lineRule="auto"/>
        <w:ind w:left="645" w:hanging="6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政府采购投标及履约承诺函；</w:t>
      </w:r>
    </w:p>
    <w:p>
      <w:pPr>
        <w:spacing w:line="360" w:lineRule="auto"/>
        <w:jc w:val="center"/>
        <w:rPr>
          <w:rFonts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政府采购投标及履约承诺函</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我单位深知本项目对贵局的重要性和紧迫性，亦了解贵局对廉政建设的相关要求，因此我单位承诺如下：</w:t>
      </w:r>
    </w:p>
    <w:p>
      <w:pPr>
        <w:numPr>
          <w:ilvl w:val="0"/>
          <w:numId w:val="11"/>
        </w:num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我单位本招标项目所提供的货物或服务未侵犯知识产权。</w:t>
      </w:r>
    </w:p>
    <w:p>
      <w:pPr>
        <w:widowControl/>
        <w:numPr>
          <w:ilvl w:val="0"/>
          <w:numId w:val="11"/>
        </w:numPr>
        <w:shd w:val="clear" w:color="auto" w:fill="FFFFFF"/>
        <w:spacing w:line="360" w:lineRule="auto"/>
        <w:ind w:right="-4"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1"/>
        </w:numPr>
        <w:shd w:val="clear" w:color="auto" w:fill="FFFFFF"/>
        <w:spacing w:line="360" w:lineRule="auto"/>
        <w:ind w:right="-4"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及其法定代表人近三年内（投标人成立不足三年的可从成立之日起算）无行贿犯罪记录；</w:t>
      </w:r>
    </w:p>
    <w:p>
      <w:pPr>
        <w:numPr>
          <w:ilvl w:val="0"/>
          <w:numId w:val="11"/>
        </w:num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我单位具备《中华人民共和国政府采购法》第二十二条第一款的条件。</w:t>
      </w:r>
    </w:p>
    <w:p>
      <w:pPr>
        <w:numPr>
          <w:ilvl w:val="0"/>
          <w:numId w:val="11"/>
        </w:num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符合财政部和深圳市财政局关于诚信管理的要求，</w:t>
      </w:r>
      <w:r>
        <w:rPr>
          <w:rFonts w:hint="eastAsia" w:ascii="宋体" w:hAnsi="宋体" w:cs="宋体"/>
          <w:color w:val="000000" w:themeColor="text1"/>
          <w:kern w:val="0"/>
          <w:sz w:val="24"/>
          <w14:textFill>
            <w14:solidFill>
              <w14:schemeClr w14:val="tx1"/>
            </w14:solidFill>
          </w14:textFill>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color w:val="000000" w:themeColor="text1"/>
          <w:sz w:val="24"/>
          <w14:textFill>
            <w14:solidFill>
              <w14:schemeClr w14:val="tx1"/>
            </w14:solidFill>
          </w14:textFill>
        </w:rPr>
        <w:t>。</w:t>
      </w:r>
    </w:p>
    <w:p>
      <w:pPr>
        <w:numPr>
          <w:ilvl w:val="0"/>
          <w:numId w:val="11"/>
        </w:num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我单位不存在单位法定代表人为同一人或者存在直接控股、管理关系的不同供应商，同时参加本项目投标之情形；我公司未为本项目提供过整体设计、规范编制或者项目管理、监理、检测等服务。</w:t>
      </w:r>
    </w:p>
    <w:p>
      <w:pPr>
        <w:numPr>
          <w:ilvl w:val="0"/>
          <w:numId w:val="11"/>
        </w:num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1"/>
        </w:num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我单位如果中标，做到诚实守信，依照本项目招标文件需求内容、签署的采购合同及本单位在投标中所作的一切承诺履约；不非法转包、分包。</w:t>
      </w:r>
    </w:p>
    <w:p>
      <w:pPr>
        <w:numPr>
          <w:ilvl w:val="0"/>
          <w:numId w:val="11"/>
        </w:num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1"/>
        </w:num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1"/>
        </w:num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我单位承诺未参与本项目的采购需求、技术指标、商务指标等内容的设定，不存在对其他投标单位不公平的行为。</w:t>
      </w:r>
    </w:p>
    <w:p>
      <w:pPr>
        <w:numPr>
          <w:ilvl w:val="0"/>
          <w:numId w:val="11"/>
        </w:num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以上承诺，如有违反，愿依照国家相关法律处理，并承担由此给采购人带来的损失。</w:t>
      </w:r>
    </w:p>
    <w:p>
      <w:pPr>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4860"/>
        </w:tabs>
        <w:adjustRightInd w:val="0"/>
        <w:snapToGrid w:val="0"/>
        <w:spacing w:line="360" w:lineRule="auto"/>
        <w:ind w:right="105" w:rightChars="5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0"/>
        </w:numPr>
        <w:tabs>
          <w:tab w:val="left" w:pos="640"/>
          <w:tab w:val="left" w:pos="1260"/>
          <w:tab w:val="left" w:pos="1418"/>
        </w:tabs>
        <w:spacing w:line="360" w:lineRule="auto"/>
        <w:ind w:left="645" w:hanging="645"/>
        <w:rPr>
          <w:rFonts w:ascii="宋体" w:hAnsi="宋体" w:cs="宋体"/>
          <w:color w:val="000000" w:themeColor="text1"/>
          <w:sz w:val="24"/>
          <w:lang w:val="fr-CH"/>
          <w14:textFill>
            <w14:solidFill>
              <w14:schemeClr w14:val="tx1"/>
            </w14:solidFill>
          </w14:textFill>
        </w:rPr>
      </w:pPr>
      <w:r>
        <w:rPr>
          <w:rFonts w:hint="eastAsia" w:hAnsi="宋体" w:cs="宋体"/>
          <w:color w:val="000000" w:themeColor="text1"/>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关于资格的声明函；</w:t>
      </w:r>
    </w:p>
    <w:p>
      <w:pPr>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关于资格的声明函</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566" w:firstLineChars="23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 投标人名称）    </w:t>
      </w:r>
      <w:r>
        <w:rPr>
          <w:rFonts w:hint="eastAsia" w:ascii="宋体" w:hAnsi="宋体" w:cs="宋体"/>
          <w:color w:val="000000" w:themeColor="text1"/>
          <w:sz w:val="24"/>
          <w14:textFill>
            <w14:solidFill>
              <w14:schemeClr w14:val="tx1"/>
            </w14:solidFill>
          </w14:textFill>
        </w:rPr>
        <w:t xml:space="preserve"> 参与了</w:t>
      </w:r>
      <w:r>
        <w:rPr>
          <w:rFonts w:hint="eastAsia" w:ascii="宋体" w:hAnsi="宋体" w:cs="宋体"/>
          <w:color w:val="000000" w:themeColor="text1"/>
          <w:sz w:val="24"/>
          <w:u w:val="single"/>
          <w14:textFill>
            <w14:solidFill>
              <w14:schemeClr w14:val="tx1"/>
            </w14:solidFill>
          </w14:textFill>
        </w:rPr>
        <w:t xml:space="preserve"> （项目名称 、招标编号） </w:t>
      </w:r>
      <w:r>
        <w:rPr>
          <w:rFonts w:hint="eastAsia" w:ascii="宋体" w:hAnsi="宋体" w:cs="宋体"/>
          <w:color w:val="000000" w:themeColor="text1"/>
          <w:sz w:val="24"/>
          <w14:textFill>
            <w14:solidFill>
              <w14:schemeClr w14:val="tx1"/>
            </w14:solidFill>
          </w14:textFill>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spacing w:line="360" w:lineRule="auto"/>
        <w:ind w:left="420"/>
        <w:rPr>
          <w:rFonts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0"/>
        </w:numPr>
        <w:tabs>
          <w:tab w:val="left" w:pos="640"/>
          <w:tab w:val="left" w:pos="1260"/>
          <w:tab w:val="left" w:pos="1418"/>
        </w:tabs>
        <w:spacing w:line="360" w:lineRule="auto"/>
        <w:ind w:left="645" w:hanging="6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法定代表人证明书及身份证明；</w:t>
      </w:r>
    </w:p>
    <w:p>
      <w:pPr>
        <w:spacing w:before="120" w:after="120" w:line="360" w:lineRule="auto"/>
        <w:jc w:val="center"/>
        <w:rPr>
          <w:rFonts w:ascii="宋体" w:hAnsi="宋体" w:cs="宋体"/>
          <w:b/>
          <w:color w:val="000000" w:themeColor="text1"/>
          <w:sz w:val="24"/>
          <w14:textFill>
            <w14:solidFill>
              <w14:schemeClr w14:val="tx1"/>
            </w14:solidFill>
          </w14:textFill>
        </w:rPr>
      </w:pPr>
    </w:p>
    <w:p>
      <w:pPr>
        <w:spacing w:before="120" w:after="120" w:line="360" w:lineRule="auto"/>
        <w:jc w:val="center"/>
        <w:rPr>
          <w:rFonts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法定代表人证明书</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同志，现任我单位职务，为法定代表人，特此证明。</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签发日期：             有效日期：         单位：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附：代表人性别：   年龄：      身份证号码：</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营业执照号码：                 经济性质：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主营（产）：</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兼营（产）：</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进口物品经营许可证号码：</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说明：1、法定代表人为企业事业单位、国家机关、社会团体的主要行政负责人。</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2、内容必须填写真实、清楚，涂改无效，不得转让、买卖.</w:t>
      </w:r>
    </w:p>
    <w:p>
      <w:pPr>
        <w:tabs>
          <w:tab w:val="left" w:pos="37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spacing w:before="120" w:after="120"/>
        <w:jc w:val="left"/>
        <w:rPr>
          <w:rFonts w:ascii="宋体" w:hAnsi="宋体" w:cs="宋体"/>
          <w:color w:val="000000" w:themeColor="text1"/>
          <w:szCs w:val="21"/>
          <w14:textFill>
            <w14:solidFill>
              <w14:schemeClr w14:val="tx1"/>
            </w14:solidFill>
          </w14:textFill>
        </w:rPr>
      </w:pPr>
    </w:p>
    <w:p>
      <w:pPr>
        <w:spacing w:before="120" w:after="120"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9"/>
              <w:spacing w:line="360" w:lineRule="auto"/>
              <w:rPr>
                <w:rFonts w:ascii="Arial Narrow" w:hAnsi="Arial Narrow"/>
                <w:b/>
                <w:bCs/>
                <w:color w:val="000000" w:themeColor="text1"/>
                <w:szCs w:val="21"/>
                <w14:textFill>
                  <w14:solidFill>
                    <w14:schemeClr w14:val="tx1"/>
                  </w14:solidFill>
                </w14:textFill>
              </w:rPr>
            </w:pPr>
          </w:p>
        </w:tc>
        <w:tc>
          <w:tcPr>
            <w:tcW w:w="4240" w:type="dxa"/>
          </w:tcPr>
          <w:p>
            <w:pPr>
              <w:pStyle w:val="9"/>
              <w:spacing w:line="360" w:lineRule="auto"/>
              <w:rPr>
                <w:rFonts w:ascii="Arial Narrow" w:hAnsi="Arial Narrow"/>
                <w:b/>
                <w:bCs/>
                <w:color w:val="000000" w:themeColor="text1"/>
                <w:szCs w:val="21"/>
                <w14:textFill>
                  <w14:solidFill>
                    <w14:schemeClr w14:val="tx1"/>
                  </w14:solidFill>
                </w14:textFill>
              </w:rPr>
            </w:pPr>
          </w:p>
        </w:tc>
      </w:tr>
    </w:tbl>
    <w:p>
      <w:pPr>
        <w:pStyle w:val="7"/>
        <w:spacing w:line="360" w:lineRule="auto"/>
        <w:rPr>
          <w:rFonts w:hint="eastAsia" w:ascii="Times New Roman" w:hAnsi="Times New Roman" w:eastAsia="宋体" w:cs="Times New Roman"/>
          <w:color w:val="000000" w:themeColor="text1"/>
          <w:kern w:val="2"/>
          <w:sz w:val="21"/>
          <w:szCs w:val="21"/>
          <w:lang w:val="fr-CH"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numPr>
          <w:ilvl w:val="0"/>
          <w:numId w:val="10"/>
        </w:numPr>
        <w:tabs>
          <w:tab w:val="left" w:pos="640"/>
          <w:tab w:val="left" w:pos="1260"/>
          <w:tab w:val="left" w:pos="1418"/>
        </w:tabs>
        <w:spacing w:line="360" w:lineRule="auto"/>
        <w:ind w:left="845"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法定代表人授权书及身份证明；</w:t>
      </w:r>
    </w:p>
    <w:p>
      <w:pPr>
        <w:pStyle w:val="9"/>
        <w:spacing w:line="360" w:lineRule="auto"/>
        <w:jc w:val="center"/>
        <w:rPr>
          <w:rFonts w:hAnsi="宋体" w:cs="宋体"/>
          <w:b/>
          <w:color w:val="000000" w:themeColor="text1"/>
          <w:sz w:val="24"/>
          <w14:textFill>
            <w14:solidFill>
              <w14:schemeClr w14:val="tx1"/>
            </w14:solidFill>
          </w14:textFill>
        </w:rPr>
      </w:pPr>
    </w:p>
    <w:p>
      <w:pPr>
        <w:pStyle w:val="9"/>
        <w:spacing w:line="360" w:lineRule="auto"/>
        <w:jc w:val="cente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法定代表人授权书</w:t>
      </w:r>
    </w:p>
    <w:p>
      <w:pPr>
        <w:pStyle w:val="9"/>
        <w:spacing w:line="360" w:lineRule="auto"/>
        <w:rPr>
          <w:rFonts w:hAnsi="宋体" w:cs="宋体"/>
          <w:color w:val="000000" w:themeColor="text1"/>
          <w:sz w:val="24"/>
          <w14:textFill>
            <w14:solidFill>
              <w14:schemeClr w14:val="tx1"/>
            </w14:solidFill>
          </w14:textFill>
        </w:rPr>
      </w:pPr>
    </w:p>
    <w:p>
      <w:pPr>
        <w:pStyle w:val="9"/>
        <w:spacing w:line="360" w:lineRule="auto"/>
        <w:rPr>
          <w:rFonts w:hAnsi="宋体" w:cs="宋体"/>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深圳市前海深港现代服务业合作区管理局：</w:t>
      </w:r>
    </w:p>
    <w:p>
      <w:pPr>
        <w:pStyle w:val="9"/>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本授权书声明：注册于</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（国家或地区）的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（投标人名称）的在下面签字的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（法定代表人姓名、职务）代表本公司授权在下面签字的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（被授权人的姓名、职务）为本公司的合法代表人，就</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[招标编号为：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]的投标和合同执行，以我方的名义处理一切与之有关的事宜。</w:t>
      </w:r>
    </w:p>
    <w:p>
      <w:pPr>
        <w:pStyle w:val="9"/>
        <w:spacing w:line="360" w:lineRule="auto"/>
        <w:rPr>
          <w:rFonts w:hAnsi="宋体" w:cs="宋体"/>
          <w:color w:val="000000" w:themeColor="text1"/>
          <w:sz w:val="24"/>
          <w14:textFill>
            <w14:solidFill>
              <w14:schemeClr w14:val="tx1"/>
            </w14:solidFill>
          </w14:textFill>
        </w:rPr>
      </w:pPr>
    </w:p>
    <w:p>
      <w:pPr>
        <w:spacing w:line="360" w:lineRule="auto"/>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日签字生效，特此声明。</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tabs>
          <w:tab w:val="left" w:pos="378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tabs>
          <w:tab w:val="left" w:pos="378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被授权人代表（签字或签章）：</w:t>
      </w:r>
    </w:p>
    <w:p>
      <w:pPr>
        <w:tabs>
          <w:tab w:val="left" w:pos="640"/>
          <w:tab w:val="left" w:pos="1260"/>
          <w:tab w:val="left" w:pos="1418"/>
        </w:tabs>
        <w:spacing w:line="360" w:lineRule="auto"/>
        <w:rPr>
          <w:rFonts w:ascii="宋体" w:hAnsi="宋体" w:cs="宋体"/>
          <w:b/>
          <w:color w:val="000000" w:themeColor="text1"/>
          <w:sz w:val="24"/>
          <w14:textFill>
            <w14:solidFill>
              <w14:schemeClr w14:val="tx1"/>
            </w14:solidFill>
          </w14:textFill>
        </w:rPr>
      </w:pPr>
    </w:p>
    <w:p>
      <w:pPr>
        <w:tabs>
          <w:tab w:val="left" w:pos="640"/>
          <w:tab w:val="left" w:pos="1260"/>
          <w:tab w:val="left" w:pos="1418"/>
        </w:tabs>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9"/>
              <w:spacing w:line="360" w:lineRule="auto"/>
              <w:rPr>
                <w:rFonts w:ascii="Arial Narrow" w:hAnsi="Arial Narrow"/>
                <w:b/>
                <w:bCs/>
                <w:color w:val="000000" w:themeColor="text1"/>
                <w:szCs w:val="21"/>
                <w14:textFill>
                  <w14:solidFill>
                    <w14:schemeClr w14:val="tx1"/>
                  </w14:solidFill>
                </w14:textFill>
              </w:rPr>
            </w:pPr>
          </w:p>
        </w:tc>
        <w:tc>
          <w:tcPr>
            <w:tcW w:w="4677" w:type="dxa"/>
          </w:tcPr>
          <w:p>
            <w:pPr>
              <w:pStyle w:val="9"/>
              <w:spacing w:line="360" w:lineRule="auto"/>
              <w:rPr>
                <w:rFonts w:ascii="Arial Narrow" w:hAnsi="Arial Narrow"/>
                <w:b/>
                <w:bCs/>
                <w:color w:val="000000" w:themeColor="text1"/>
                <w:szCs w:val="21"/>
                <w14:textFill>
                  <w14:solidFill>
                    <w14:schemeClr w14:val="tx1"/>
                  </w14:solidFill>
                </w14:textFill>
              </w:rPr>
            </w:pPr>
          </w:p>
        </w:tc>
      </w:tr>
    </w:tbl>
    <w:p>
      <w:pPr>
        <w:tabs>
          <w:tab w:val="left" w:pos="640"/>
          <w:tab w:val="left" w:pos="1260"/>
          <w:tab w:val="left" w:pos="1418"/>
        </w:tabs>
        <w:spacing w:line="360" w:lineRule="auto"/>
        <w:rPr>
          <w:rFonts w:ascii="宋体" w:hAnsi="宋体" w:cs="宋体"/>
          <w:color w:val="000000" w:themeColor="text1"/>
          <w:sz w:val="24"/>
          <w:lang w:val="fr-CH"/>
          <w14:textFill>
            <w14:solidFill>
              <w14:schemeClr w14:val="tx1"/>
            </w14:solidFill>
          </w14:textFill>
        </w:rPr>
      </w:pPr>
      <w:r>
        <w:rPr>
          <w:rFonts w:hint="eastAsia"/>
          <w:color w:val="000000" w:themeColor="text1"/>
          <w:szCs w:val="21"/>
          <w14:textFill>
            <w14:solidFill>
              <w14:schemeClr w14:val="tx1"/>
            </w14:solidFill>
          </w14:textFill>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s="宋体"/>
          <w:color w:val="000000" w:themeColor="text1"/>
          <w:sz w:val="24"/>
          <w:lang w:val="fr-CH"/>
          <w14:textFill>
            <w14:solidFill>
              <w14:schemeClr w14:val="tx1"/>
            </w14:solidFill>
          </w14:textFill>
        </w:rPr>
        <w:br w:type="page"/>
      </w:r>
    </w:p>
    <w:p>
      <w:pPr>
        <w:numPr>
          <w:ilvl w:val="0"/>
          <w:numId w:val="10"/>
        </w:numPr>
        <w:tabs>
          <w:tab w:val="left" w:pos="640"/>
          <w:tab w:val="left" w:pos="1260"/>
          <w:tab w:val="left" w:pos="1418"/>
        </w:tabs>
        <w:spacing w:line="360" w:lineRule="auto"/>
        <w:ind w:left="640" w:hanging="640"/>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jc w:val="center"/>
        <w:textAlignment w:val="bottom"/>
        <w:rPr>
          <w:rFonts w:ascii="宋体" w:hAnsi="宋体" w:cs="宋体"/>
          <w:b/>
          <w:bCs/>
          <w:color w:val="000000" w:themeColor="text1"/>
          <w:sz w:val="24"/>
          <w:lang w:val="fr-CH"/>
          <w14:textFill>
            <w14:solidFill>
              <w14:schemeClr w14:val="tx1"/>
            </w14:solidFill>
          </w14:textFill>
        </w:rPr>
      </w:pPr>
    </w:p>
    <w:p>
      <w:pPr>
        <w:widowControl/>
        <w:autoSpaceDE w:val="0"/>
        <w:autoSpaceDN w:val="0"/>
        <w:spacing w:line="360" w:lineRule="auto"/>
        <w:ind w:left="359" w:right="26" w:hanging="357"/>
        <w:jc w:val="center"/>
        <w:textAlignment w:val="bottom"/>
        <w:rPr>
          <w:rFonts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致：中国远东国际招标有限公司</w:t>
      </w:r>
    </w:p>
    <w:p>
      <w:pPr>
        <w:widowControl/>
        <w:autoSpaceDE w:val="0"/>
        <w:autoSpaceDN w:val="0"/>
        <w:spacing w:line="360" w:lineRule="auto"/>
        <w:ind w:right="26" w:firstLine="54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我们在贵司代理的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项目（招标编号：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color w:val="000000" w:themeColor="text1"/>
          <w:sz w:val="24"/>
          <w:u w:val="single"/>
          <w14:textFill>
            <w14:solidFill>
              <w14:schemeClr w14:val="tx1"/>
            </w14:solidFill>
          </w14:textFill>
        </w:rPr>
        <w:t>招标文件中的规定</w:t>
      </w:r>
      <w:r>
        <w:rPr>
          <w:rFonts w:hint="eastAsia" w:ascii="宋体" w:hAnsi="宋体" w:cs="宋体"/>
          <w:color w:val="000000" w:themeColor="text1"/>
          <w:sz w:val="24"/>
          <w14:textFill>
            <w14:solidFill>
              <w14:schemeClr w14:val="tx1"/>
            </w14:solidFill>
          </w14:textFill>
        </w:rPr>
        <w:t>计算。</w:t>
      </w:r>
    </w:p>
    <w:p>
      <w:pPr>
        <w:widowControl/>
        <w:autoSpaceDE w:val="0"/>
        <w:autoSpaceDN w:val="0"/>
        <w:spacing w:line="360" w:lineRule="auto"/>
        <w:ind w:right="26" w:firstLine="54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tabs>
          <w:tab w:val="left" w:pos="3780"/>
        </w:tabs>
        <w:spacing w:line="360" w:lineRule="auto"/>
        <w:jc w:val="left"/>
        <w:rPr>
          <w:rFonts w:ascii="宋体" w:hAnsi="宋体" w:cs="宋体"/>
          <w:color w:val="000000" w:themeColor="text1"/>
          <w:sz w:val="24"/>
          <w14:textFill>
            <w14:solidFill>
              <w14:schemeClr w14:val="tx1"/>
            </w14:solidFill>
          </w14:textFill>
        </w:rPr>
      </w:pPr>
    </w:p>
    <w:p>
      <w:pPr>
        <w:tabs>
          <w:tab w:val="left" w:pos="378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widowControl/>
        <w:autoSpaceDE w:val="0"/>
        <w:autoSpaceDN w:val="0"/>
        <w:spacing w:line="360" w:lineRule="auto"/>
        <w:ind w:left="359" w:right="26" w:hanging="357"/>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投标供应商地址：</w:t>
      </w:r>
    </w:p>
    <w:p>
      <w:pPr>
        <w:widowControl/>
        <w:autoSpaceDE w:val="0"/>
        <w:autoSpaceDN w:val="0"/>
        <w:spacing w:line="360" w:lineRule="auto"/>
        <w:ind w:left="359" w:right="26" w:hanging="357"/>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电话：         </w:t>
      </w:r>
    </w:p>
    <w:p>
      <w:pPr>
        <w:widowControl/>
        <w:autoSpaceDE w:val="0"/>
        <w:autoSpaceDN w:val="0"/>
        <w:spacing w:line="360" w:lineRule="auto"/>
        <w:ind w:left="359" w:right="26" w:hanging="357"/>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7"/>
        <w:rPr>
          <w:color w:val="000000" w:themeColor="text1"/>
          <w:lang w:val="fr-CH"/>
          <w14:textFill>
            <w14:solidFill>
              <w14:schemeClr w14:val="tx1"/>
            </w14:solidFill>
          </w14:textFill>
        </w:rPr>
      </w:pPr>
    </w:p>
    <w:p>
      <w:pPr>
        <w:tabs>
          <w:tab w:val="left" w:pos="640"/>
          <w:tab w:val="left" w:pos="1260"/>
          <w:tab w:val="left" w:pos="1418"/>
        </w:tabs>
        <w:spacing w:line="360" w:lineRule="auto"/>
        <w:rPr>
          <w:rFonts w:ascii="宋体" w:hAnsi="宋体" w:cs="宋体"/>
          <w:color w:val="000000" w:themeColor="text1"/>
          <w:sz w:val="24"/>
          <w:lang w:val="fr-CH"/>
          <w14:textFill>
            <w14:solidFill>
              <w14:schemeClr w14:val="tx1"/>
            </w14:solidFill>
          </w14:textFill>
        </w:rPr>
      </w:pPr>
    </w:p>
    <w:p>
      <w:pPr>
        <w:numPr>
          <w:ilvl w:val="0"/>
          <w:numId w:val="10"/>
        </w:numPr>
        <w:tabs>
          <w:tab w:val="left" w:pos="640"/>
          <w:tab w:val="left" w:pos="1260"/>
          <w:tab w:val="left" w:pos="1418"/>
        </w:tabs>
        <w:spacing w:line="360" w:lineRule="auto"/>
        <w:ind w:left="845"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fr-CH"/>
          <w14:textFill>
            <w14:solidFill>
              <w14:schemeClr w14:val="tx1"/>
            </w14:solidFill>
          </w14:textFill>
        </w:rPr>
        <w:t>简介</w:t>
      </w:r>
      <w:bookmarkStart w:id="55" w:name="OLE_LINK13"/>
      <w:r>
        <w:rPr>
          <w:rFonts w:hint="eastAsia" w:ascii="宋体" w:hAnsi="宋体" w:cs="宋体"/>
          <w:color w:val="000000" w:themeColor="text1"/>
          <w:sz w:val="24"/>
          <w:lang w:val="fr-CH"/>
          <w14:textFill>
            <w14:solidFill>
              <w14:schemeClr w14:val="tx1"/>
            </w14:solidFill>
          </w14:textFill>
        </w:rPr>
        <w:t>；</w:t>
      </w:r>
      <w:bookmarkEnd w:id="55"/>
    </w:p>
    <w:p>
      <w:pPr>
        <w:pStyle w:val="9"/>
        <w:spacing w:line="360" w:lineRule="auto"/>
        <w:jc w:val="center"/>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供应商基本情况一览表</w:t>
      </w:r>
    </w:p>
    <w:p>
      <w:pPr>
        <w:pStyle w:val="9"/>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1．名称及概况：</w:t>
      </w:r>
    </w:p>
    <w:p>
      <w:pPr>
        <w:pStyle w:val="9"/>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（1）供应商名称：_______________________________________</w:t>
      </w:r>
    </w:p>
    <w:p>
      <w:pPr>
        <w:pStyle w:val="9"/>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（2）地址：______________________________________________</w:t>
      </w:r>
    </w:p>
    <w:p>
      <w:pPr>
        <w:pStyle w:val="9"/>
        <w:spacing w:line="360" w:lineRule="auto"/>
        <w:ind w:firstLine="660" w:firstLineChars="275"/>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邮政编码：___________________________________________</w:t>
      </w:r>
    </w:p>
    <w:p>
      <w:pPr>
        <w:pStyle w:val="9"/>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电话号码：___________________________________________ </w:t>
      </w:r>
    </w:p>
    <w:p>
      <w:pPr>
        <w:pStyle w:val="9"/>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传真号码：___________________________________________ </w:t>
      </w:r>
    </w:p>
    <w:p>
      <w:pPr>
        <w:pStyle w:val="9"/>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（3）成立和／或注册日期：_________________________________</w:t>
      </w:r>
    </w:p>
    <w:p>
      <w:pPr>
        <w:pStyle w:val="9"/>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（4）法人代表：___________________________________________</w:t>
      </w:r>
    </w:p>
    <w:p>
      <w:pPr>
        <w:pStyle w:val="9"/>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（5）开户银行：___________________________________________</w:t>
      </w:r>
    </w:p>
    <w:p>
      <w:pPr>
        <w:pStyle w:val="9"/>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（6）开户</w:t>
      </w:r>
      <w:r>
        <w:rPr>
          <w:rFonts w:hint="eastAsia" w:hAnsi="宋体" w:cs="宋体"/>
          <w:color w:val="000000" w:themeColor="text1"/>
          <w:sz w:val="24"/>
          <w:lang w:eastAsia="zh-CN"/>
          <w14:textFill>
            <w14:solidFill>
              <w14:schemeClr w14:val="tx1"/>
            </w14:solidFill>
          </w14:textFill>
        </w:rPr>
        <w:t>账号</w:t>
      </w:r>
      <w:r>
        <w:rPr>
          <w:rFonts w:hint="eastAsia" w:hAnsi="宋体" w:cs="宋体"/>
          <w:color w:val="000000" w:themeColor="text1"/>
          <w:sz w:val="24"/>
          <w14:textFill>
            <w14:solidFill>
              <w14:schemeClr w14:val="tx1"/>
            </w14:solidFill>
          </w14:textFill>
        </w:rPr>
        <w:t>：___________________________________________</w:t>
      </w:r>
    </w:p>
    <w:p>
      <w:pPr>
        <w:pStyle w:val="9"/>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（7）注册资金：___________________________________________</w:t>
      </w:r>
    </w:p>
    <w:p>
      <w:pPr>
        <w:pStyle w:val="9"/>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（8）项目主要联系人（姓名、职务、通讯）：</w:t>
      </w:r>
    </w:p>
    <w:p>
      <w:pPr>
        <w:pStyle w:val="9"/>
        <w:spacing w:line="360" w:lineRule="auto"/>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_____________________________________________________________________</w:t>
      </w:r>
    </w:p>
    <w:p>
      <w:pPr>
        <w:pStyle w:val="9"/>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（9）公司概况；</w:t>
      </w:r>
    </w:p>
    <w:p>
      <w:pPr>
        <w:pStyle w:val="9"/>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（10）公司组织机构；</w:t>
      </w:r>
    </w:p>
    <w:p>
      <w:pPr>
        <w:pStyle w:val="9"/>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兹证明上述说明是真实、正确的，并提供了全部能提供的资料和数据，我们同意遵照贵方要求出示有关证明文件。</w:t>
      </w:r>
    </w:p>
    <w:p>
      <w:pPr>
        <w:tabs>
          <w:tab w:val="left" w:pos="3780"/>
        </w:tabs>
        <w:spacing w:line="360" w:lineRule="auto"/>
        <w:jc w:val="left"/>
        <w:rPr>
          <w:rFonts w:ascii="宋体" w:hAnsi="宋体" w:cs="宋体"/>
          <w:color w:val="000000" w:themeColor="text1"/>
          <w:sz w:val="24"/>
          <w14:textFill>
            <w14:solidFill>
              <w14:schemeClr w14:val="tx1"/>
            </w14:solidFill>
          </w14:textFill>
        </w:rPr>
      </w:pPr>
    </w:p>
    <w:p>
      <w:pPr>
        <w:tabs>
          <w:tab w:val="left" w:pos="378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7"/>
        <w:rPr>
          <w:color w:val="000000" w:themeColor="text1"/>
          <w:lang w:val="fr-CH"/>
          <w14:textFill>
            <w14:solidFill>
              <w14:schemeClr w14:val="tx1"/>
            </w14:solidFill>
          </w14:textFill>
        </w:rPr>
      </w:pPr>
    </w:p>
    <w:p>
      <w:pPr>
        <w:numPr>
          <w:ilvl w:val="0"/>
          <w:numId w:val="10"/>
        </w:numPr>
        <w:tabs>
          <w:tab w:val="left" w:pos="640"/>
        </w:tabs>
        <w:spacing w:line="360" w:lineRule="auto"/>
        <w:ind w:left="845"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p>
    <w:p>
      <w:pPr>
        <w:numPr>
          <w:ilvl w:val="0"/>
          <w:numId w:val="10"/>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投标人资质情况</w:t>
      </w:r>
      <w:r>
        <w:rPr>
          <w:rFonts w:hint="eastAsia" w:ascii="宋体" w:hAnsi="宋体" w:cs="宋体"/>
          <w:color w:val="000000" w:themeColor="text1"/>
          <w:sz w:val="24"/>
          <w:lang w:val="fr-CH"/>
          <w14:textFill>
            <w14:solidFill>
              <w14:schemeClr w14:val="tx1"/>
            </w14:solidFill>
          </w14:textFill>
        </w:rPr>
        <w:t>；</w:t>
      </w:r>
    </w:p>
    <w:p>
      <w:pPr>
        <w:numPr>
          <w:ilvl w:val="0"/>
          <w:numId w:val="10"/>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投标人经验</w:t>
      </w:r>
      <w:r>
        <w:rPr>
          <w:rFonts w:hint="eastAsia" w:ascii="宋体" w:hAnsi="宋体" w:cs="宋体"/>
          <w:color w:val="000000" w:themeColor="text1"/>
          <w:sz w:val="24"/>
          <w:lang w:val="fr-CH"/>
          <w14:textFill>
            <w14:solidFill>
              <w14:schemeClr w14:val="tx1"/>
            </w14:solidFill>
          </w14:textFill>
        </w:rPr>
        <w:t>；</w:t>
      </w:r>
    </w:p>
    <w:p>
      <w:pPr>
        <w:numPr>
          <w:ilvl w:val="0"/>
          <w:numId w:val="10"/>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项目负责人（仅一人）</w:t>
      </w:r>
      <w:r>
        <w:rPr>
          <w:rFonts w:hint="eastAsia" w:ascii="宋体" w:hAnsi="宋体" w:cs="宋体"/>
          <w:color w:val="000000" w:themeColor="text1"/>
          <w:sz w:val="24"/>
          <w:lang w:val="fr-CH"/>
          <w14:textFill>
            <w14:solidFill>
              <w14:schemeClr w14:val="tx1"/>
            </w14:solidFill>
          </w14:textFill>
        </w:rPr>
        <w:t>；</w:t>
      </w:r>
    </w:p>
    <w:p>
      <w:pPr>
        <w:numPr>
          <w:ilvl w:val="0"/>
          <w:numId w:val="10"/>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项目团队成员（项目负责人除外）</w:t>
      </w:r>
      <w:r>
        <w:rPr>
          <w:rFonts w:hint="eastAsia" w:ascii="宋体" w:hAnsi="宋体" w:cs="宋体"/>
          <w:color w:val="000000" w:themeColor="text1"/>
          <w:sz w:val="24"/>
          <w:lang w:val="fr-CH"/>
          <w14:textFill>
            <w14:solidFill>
              <w14:schemeClr w14:val="tx1"/>
            </w14:solidFill>
          </w14:textFill>
        </w:rPr>
        <w:t>；</w:t>
      </w:r>
    </w:p>
    <w:p>
      <w:pPr>
        <w:numPr>
          <w:ilvl w:val="0"/>
          <w:numId w:val="10"/>
        </w:numPr>
        <w:tabs>
          <w:tab w:val="left" w:pos="640"/>
        </w:tabs>
        <w:spacing w:line="360" w:lineRule="auto"/>
        <w:ind w:left="845" w:hanging="8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投标人自主知识产权产品（创新、设计）情况</w:t>
      </w:r>
      <w:r>
        <w:rPr>
          <w:rFonts w:hint="eastAsia" w:ascii="宋体" w:hAnsi="宋体" w:cs="宋体"/>
          <w:color w:val="000000" w:themeColor="text1"/>
          <w:sz w:val="24"/>
          <w:lang w:val="fr-CH"/>
          <w14:textFill>
            <w14:solidFill>
              <w14:schemeClr w14:val="tx1"/>
            </w14:solidFill>
          </w14:textFill>
        </w:rPr>
        <w:t>；</w:t>
      </w:r>
    </w:p>
    <w:p>
      <w:pPr>
        <w:tabs>
          <w:tab w:val="left" w:pos="640"/>
          <w:tab w:val="left" w:pos="1260"/>
          <w:tab w:val="left" w:pos="1418"/>
        </w:tabs>
        <w:jc w:val="center"/>
        <w:rPr>
          <w:rFonts w:ascii="宋体" w:hAnsi="宋体" w:cs="宋体"/>
          <w:b/>
          <w:bCs/>
          <w:color w:val="000000" w:themeColor="text1"/>
          <w:szCs w:val="21"/>
          <w14:textFill>
            <w14:solidFill>
              <w14:schemeClr w14:val="tx1"/>
            </w14:solidFill>
          </w14:textFill>
        </w:rPr>
      </w:pPr>
    </w:p>
    <w:p>
      <w:pPr>
        <w:tabs>
          <w:tab w:val="left" w:pos="640"/>
          <w:tab w:val="left" w:pos="1260"/>
          <w:tab w:val="left" w:pos="1418"/>
        </w:tabs>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0"/>
        </w:numPr>
        <w:tabs>
          <w:tab w:val="left" w:pos="640"/>
          <w:tab w:val="left" w:pos="840"/>
          <w:tab w:val="left" w:pos="1260"/>
          <w:tab w:val="left" w:pos="1418"/>
        </w:tabs>
        <w:spacing w:line="360" w:lineRule="auto"/>
        <w:ind w:left="845"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b/>
          <w:bCs/>
          <w:color w:val="000000" w:themeColor="text1"/>
          <w:sz w:val="24"/>
          <w:lang w:val="fr-CH"/>
          <w14:textFill>
            <w14:solidFill>
              <w14:schemeClr w14:val="tx1"/>
            </w14:solidFill>
          </w14:textFill>
        </w:rPr>
        <w:t>诚信</w:t>
      </w:r>
      <w:r>
        <w:rPr>
          <w:rFonts w:hint="eastAsia" w:ascii="宋体" w:hAnsi="宋体" w:cs="宋体"/>
          <w:b/>
          <w:bCs/>
          <w:color w:val="000000" w:themeColor="text1"/>
          <w:sz w:val="24"/>
          <w14:textFill>
            <w14:solidFill>
              <w14:schemeClr w14:val="tx1"/>
            </w14:solidFill>
          </w14:textFill>
        </w:rPr>
        <w:t>声明与承诺</w:t>
      </w:r>
      <w:r>
        <w:rPr>
          <w:rFonts w:hint="eastAsia" w:ascii="宋体" w:hAnsi="宋体" w:cs="宋体"/>
          <w:b/>
          <w:bCs/>
          <w:color w:val="000000" w:themeColor="text1"/>
          <w:sz w:val="24"/>
          <w:lang w:val="fr-CH"/>
          <w14:textFill>
            <w14:solidFill>
              <w14:schemeClr w14:val="tx1"/>
            </w14:solidFill>
          </w14:textFill>
        </w:rPr>
        <w:t>；</w:t>
      </w:r>
    </w:p>
    <w:p>
      <w:pPr>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诚信声明与承诺</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中国远东国际招标有限公司：</w:t>
      </w:r>
    </w:p>
    <w:p>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我公司（单位）参与贵代理机构组织的项目（项目编号：）投标，现就诚信作如下声明与承诺：</w:t>
      </w:r>
    </w:p>
    <w:p>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我司对上述内容的真实性负责。如有虚假，将依法承担相应责任。</w:t>
      </w:r>
    </w:p>
    <w:p>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特此声明与承诺！</w:t>
      </w:r>
    </w:p>
    <w:p>
      <w:pPr>
        <w:spacing w:line="360" w:lineRule="auto"/>
        <w:jc w:val="left"/>
        <w:rPr>
          <w:rFonts w:ascii="宋体" w:hAnsi="宋体" w:cs="宋体"/>
          <w:color w:val="000000" w:themeColor="text1"/>
          <w:sz w:val="24"/>
          <w14:textFill>
            <w14:solidFill>
              <w14:schemeClr w14:val="tx1"/>
            </w14:solidFill>
          </w14:textFill>
        </w:rPr>
      </w:pPr>
    </w:p>
    <w:p>
      <w:pPr>
        <w:spacing w:line="360" w:lineRule="auto"/>
        <w:jc w:val="left"/>
        <w:rPr>
          <w:rFonts w:ascii="宋体" w:hAnsi="宋体" w:cs="宋体"/>
          <w:color w:val="000000" w:themeColor="text1"/>
          <w:sz w:val="24"/>
          <w14:textFill>
            <w14:solidFill>
              <w14:schemeClr w14:val="tx1"/>
            </w14:solidFill>
          </w14:textFill>
        </w:rPr>
      </w:pPr>
    </w:p>
    <w:p>
      <w:pPr>
        <w:tabs>
          <w:tab w:val="left" w:pos="378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9"/>
        <w:spacing w:line="360" w:lineRule="auto"/>
        <w:jc w:val="left"/>
        <w:rPr>
          <w:rFonts w:hAnsi="宋体" w:cs="宋体"/>
          <w:color w:val="000000" w:themeColor="text1"/>
          <w:sz w:val="24"/>
          <w14:textFill>
            <w14:solidFill>
              <w14:schemeClr w14:val="tx1"/>
            </w14:solidFill>
          </w14:textFill>
        </w:rPr>
      </w:pPr>
    </w:p>
    <w:p>
      <w:pPr>
        <w:pStyle w:val="9"/>
        <w:spacing w:line="360" w:lineRule="auto"/>
        <w:jc w:val="left"/>
        <w:rPr>
          <w:rFonts w:hAnsi="宋体" w:cs="宋体"/>
          <w:color w:val="000000" w:themeColor="text1"/>
          <w:sz w:val="24"/>
          <w14:textFill>
            <w14:solidFill>
              <w14:schemeClr w14:val="tx1"/>
            </w14:solidFill>
          </w14:textFill>
        </w:rPr>
      </w:pPr>
    </w:p>
    <w:p>
      <w:pPr>
        <w:spacing w:before="100" w:beforeAutospacing="1" w:after="100" w:afterAutospacing="1"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注：近三年内，如投标人有任何违法违规、受惩罚和禁止、不良信用等记录，必须列明记载，并附网络截图（加盖公章）。</w:t>
      </w:r>
    </w:p>
    <w:p>
      <w:pPr>
        <w:pStyle w:val="7"/>
        <w:rPr>
          <w:color w:val="000000" w:themeColor="text1"/>
          <w:lang w:val="fr-CH"/>
          <w14:textFill>
            <w14:solidFill>
              <w14:schemeClr w14:val="tx1"/>
            </w14:solidFill>
          </w14:textFill>
        </w:rPr>
      </w:pPr>
    </w:p>
    <w:p>
      <w:pPr>
        <w:numPr>
          <w:ilvl w:val="0"/>
          <w:numId w:val="10"/>
        </w:numPr>
        <w:tabs>
          <w:tab w:val="left" w:pos="640"/>
          <w:tab w:val="left" w:pos="840"/>
          <w:tab w:val="left" w:pos="1260"/>
          <w:tab w:val="left" w:pos="1418"/>
        </w:tabs>
        <w:spacing w:line="360" w:lineRule="auto"/>
        <w:ind w:left="845" w:hanging="8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政府采购违法行为风险知悉确认书</w:t>
      </w:r>
    </w:p>
    <w:p>
      <w:pPr>
        <w:spacing w:line="360" w:lineRule="auto"/>
        <w:ind w:left="420"/>
        <w:jc w:val="center"/>
        <w:outlineLvl w:val="3"/>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政府采购违法行为风险知悉确认书</w:t>
      </w:r>
    </w:p>
    <w:p>
      <w:pPr>
        <w:autoSpaceDE w:val="0"/>
        <w:autoSpaceDN w:val="0"/>
        <w:adjustRightInd w:val="0"/>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公司（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ascii="宋体" w:hAnsi="宋体" w:cs="宋体"/>
                <w:b/>
                <w:bCs/>
                <w:color w:val="000000" w:themeColor="text1"/>
                <w:sz w:val="24"/>
                <w14:textFill>
                  <w14:solidFill>
                    <w14:schemeClr w14:val="tx1"/>
                  </w14:solidFill>
                </w14:textFill>
              </w:rPr>
            </w:pPr>
            <w:bookmarkStart w:id="56" w:name="OLE_LINK6"/>
            <w:r>
              <w:rPr>
                <w:rFonts w:hint="eastAsia" w:ascii="宋体" w:hAnsi="宋体" w:cs="宋体"/>
                <w:b/>
                <w:bCs/>
                <w:color w:val="000000" w:themeColor="text1"/>
                <w:sz w:val="24"/>
                <w14:textFill>
                  <w14:solidFill>
                    <w14:schemeClr w14:val="tx1"/>
                  </w14:solidFill>
                </w14:textFill>
              </w:rPr>
              <w:t>序号</w:t>
            </w:r>
          </w:p>
        </w:tc>
        <w:tc>
          <w:tcPr>
            <w:tcW w:w="7607" w:type="dxa"/>
            <w:vAlign w:val="center"/>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607" w:type="dxa"/>
            <w:vAlign w:val="center"/>
          </w:tcPr>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与其他投标供应商的法定代表人、主要经营负责人、投标授权代表人、项目负责人、主要技术人员为</w:t>
            </w:r>
            <w:r>
              <w:rPr>
                <w:rFonts w:hint="eastAsia" w:ascii="宋体" w:hAnsi="宋体" w:cs="宋体"/>
                <w:b/>
                <w:bCs/>
                <w:color w:val="000000" w:themeColor="text1"/>
                <w:sz w:val="24"/>
                <w14:textFill>
                  <w14:solidFill>
                    <w14:schemeClr w14:val="tx1"/>
                  </w14:solidFill>
                </w14:textFill>
              </w:rPr>
              <w:t>同一人、属同一单位或者在同一单位缴纳社会保险</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607" w:type="dxa"/>
            <w:vAlign w:val="center"/>
          </w:tcPr>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参与本项目政府采购活动时，与其他投标供应商存在单位负责人为</w:t>
            </w:r>
            <w:r>
              <w:rPr>
                <w:rFonts w:hint="eastAsia" w:ascii="宋体" w:hAnsi="宋体" w:cs="宋体"/>
                <w:b/>
                <w:bCs/>
                <w:color w:val="000000" w:themeColor="text1"/>
                <w:sz w:val="24"/>
                <w14:textFill>
                  <w14:solidFill>
                    <w14:schemeClr w14:val="tx1"/>
                  </w14:solidFill>
                </w14:textFill>
              </w:rPr>
              <w:t>同一人或直接控股、管理关系</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607" w:type="dxa"/>
            <w:vAlign w:val="center"/>
          </w:tcPr>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与其他投标供应商的投标文件或部分投标文件</w:t>
            </w:r>
            <w:r>
              <w:rPr>
                <w:rFonts w:hint="eastAsia" w:ascii="宋体" w:hAnsi="宋体" w:cs="宋体"/>
                <w:b/>
                <w:bCs/>
                <w:color w:val="000000" w:themeColor="text1"/>
                <w:sz w:val="24"/>
                <w14:textFill>
                  <w14:solidFill>
                    <w14:schemeClr w14:val="tx1"/>
                  </w14:solidFill>
                </w14:textFill>
              </w:rPr>
              <w:t>相互混装或存在非正常一致</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607" w:type="dxa"/>
            <w:vAlign w:val="center"/>
          </w:tcPr>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与其他投标供应商的投标文件由</w:t>
            </w:r>
            <w:r>
              <w:rPr>
                <w:rFonts w:hint="eastAsia" w:ascii="宋体" w:hAnsi="宋体" w:cs="宋体"/>
                <w:b/>
                <w:bCs/>
                <w:color w:val="000000" w:themeColor="text1"/>
                <w:sz w:val="24"/>
                <w14:textFill>
                  <w14:solidFill>
                    <w14:schemeClr w14:val="tx1"/>
                  </w14:solidFill>
                </w14:textFill>
              </w:rPr>
              <w:t>同一单位或者同一人编制</w:t>
            </w:r>
            <w:r>
              <w:rPr>
                <w:rFonts w:hint="eastAsia" w:ascii="宋体" w:hAnsi="宋体" w:cs="宋体"/>
                <w:color w:val="000000" w:themeColor="text1"/>
                <w:sz w:val="24"/>
                <w14:textFill>
                  <w14:solidFill>
                    <w14:schemeClr w14:val="tx1"/>
                  </w14:solidFill>
                </w14:textFill>
              </w:rPr>
              <w:t>，或者使用</w:t>
            </w:r>
            <w:r>
              <w:rPr>
                <w:rFonts w:hint="eastAsia" w:ascii="宋体" w:hAnsi="宋体" w:cs="宋体"/>
                <w:b/>
                <w:bCs/>
                <w:color w:val="000000" w:themeColor="text1"/>
                <w:sz w:val="24"/>
                <w14:textFill>
                  <w14:solidFill>
                    <w14:schemeClr w14:val="tx1"/>
                  </w14:solidFill>
                </w14:textFill>
              </w:rPr>
              <w:t>同一设备编制</w:t>
            </w:r>
            <w:r>
              <w:rPr>
                <w:rFonts w:hint="eastAsia" w:ascii="宋体" w:hAnsi="宋体" w:cs="宋体"/>
                <w:color w:val="000000" w:themeColor="text1"/>
                <w:sz w:val="24"/>
                <w14:textFill>
                  <w14:solidFill>
                    <w14:schemeClr w14:val="tx1"/>
                  </w14:solidFill>
                </w14:textFill>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607" w:type="dxa"/>
            <w:vAlign w:val="center"/>
          </w:tcPr>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w:t>
            </w:r>
            <w:r>
              <w:rPr>
                <w:rFonts w:hint="eastAsia" w:ascii="宋体" w:hAnsi="宋体" w:cs="宋体"/>
                <w:b/>
                <w:bCs/>
                <w:color w:val="000000" w:themeColor="text1"/>
                <w:sz w:val="24"/>
                <w14:textFill>
                  <w14:solidFill>
                    <w14:schemeClr w14:val="tx1"/>
                  </w14:solidFill>
                </w14:textFill>
              </w:rPr>
              <w:t>未经出具机构核实</w:t>
            </w:r>
            <w:r>
              <w:rPr>
                <w:rFonts w:hint="eastAsia" w:ascii="宋体" w:hAnsi="宋体" w:cs="宋体"/>
                <w:color w:val="000000" w:themeColor="text1"/>
                <w:sz w:val="24"/>
                <w14:textFill>
                  <w14:solidFill>
                    <w14:schemeClr w14:val="tx1"/>
                  </w14:solidFill>
                </w14:textFill>
              </w:rPr>
              <w:t>的虚假的检验检测报告、业绩材料、社保缴纳证明、学历学位证书、职称认证证书等材料。</w:t>
            </w:r>
          </w:p>
        </w:tc>
      </w:tr>
      <w:bookmarkEnd w:id="56"/>
    </w:tbl>
    <w:p>
      <w:pPr>
        <w:autoSpaceDE w:val="0"/>
        <w:autoSpaceDN w:val="0"/>
        <w:adjustRightInd w:val="0"/>
        <w:spacing w:line="360" w:lineRule="auto"/>
        <w:ind w:firstLine="480" w:firstLineChars="200"/>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一、本公司（单位）已充分知悉“隐瞒真实情况，提供虚假资料”的法定情形，相关情形包括但不限于：</w:t>
      </w:r>
    </w:p>
    <w:p>
      <w:pPr>
        <w:autoSpaceDE w:val="0"/>
        <w:autoSpaceDN w:val="0"/>
        <w:adjustRightInd w:val="0"/>
        <w:spacing w:line="360" w:lineRule="auto"/>
        <w:ind w:firstLine="480" w:firstLineChars="200"/>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（一）通过转让或者租借等方式从其他单位获取资格或者资质证书投标的。</w:t>
      </w:r>
    </w:p>
    <w:p>
      <w:pPr>
        <w:autoSpaceDE w:val="0"/>
        <w:autoSpaceDN w:val="0"/>
        <w:adjustRightInd w:val="0"/>
        <w:spacing w:line="360" w:lineRule="auto"/>
        <w:ind w:firstLine="600" w:firstLineChars="250"/>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（二）由其他单位或者其他单位负责人在投标供应商编制的投标文件上加盖印章或者签字的。</w:t>
      </w:r>
    </w:p>
    <w:p>
      <w:pPr>
        <w:autoSpaceDE w:val="0"/>
        <w:autoSpaceDN w:val="0"/>
        <w:adjustRightInd w:val="0"/>
        <w:spacing w:line="360" w:lineRule="auto"/>
        <w:ind w:firstLine="600" w:firstLineChars="250"/>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（三）项目负责人或者主要技术人员不是本单位人员的。</w:t>
      </w:r>
    </w:p>
    <w:p>
      <w:pPr>
        <w:autoSpaceDE w:val="0"/>
        <w:autoSpaceDN w:val="0"/>
        <w:adjustRightInd w:val="0"/>
        <w:spacing w:line="360" w:lineRule="auto"/>
        <w:ind w:firstLine="600" w:firstLineChars="250"/>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（四）投标保证金不是从投标供应商基本账户转出的。</w:t>
      </w:r>
    </w:p>
    <w:p>
      <w:pPr>
        <w:autoSpaceDE w:val="0"/>
        <w:autoSpaceDN w:val="0"/>
        <w:adjustRightInd w:val="0"/>
        <w:spacing w:line="360" w:lineRule="auto"/>
        <w:ind w:firstLine="600" w:firstLineChars="250"/>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（五）其他隐瞒真实情况、提供虚假资料的行为。</w:t>
      </w:r>
    </w:p>
    <w:p>
      <w:pPr>
        <w:autoSpaceDE w:val="0"/>
        <w:autoSpaceDN w:val="0"/>
        <w:adjustRightInd w:val="0"/>
        <w:spacing w:line="360" w:lineRule="auto"/>
        <w:ind w:firstLine="480" w:firstLineChars="200"/>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二、本公司（单位）已充分知悉“与其他采购参加人串通投标”的法定情形，相关情形包括但不限于：</w:t>
      </w:r>
    </w:p>
    <w:p>
      <w:pPr>
        <w:autoSpaceDE w:val="0"/>
        <w:autoSpaceDN w:val="0"/>
        <w:adjustRightInd w:val="0"/>
        <w:spacing w:line="360" w:lineRule="auto"/>
        <w:ind w:firstLine="480" w:firstLineChars="200"/>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（一）投标供应商之间相互约定给予未中标的供应商利益补偿。</w:t>
      </w:r>
    </w:p>
    <w:p>
      <w:pPr>
        <w:autoSpaceDE w:val="0"/>
        <w:autoSpaceDN w:val="0"/>
        <w:adjustRightInd w:val="0"/>
        <w:spacing w:line="360" w:lineRule="auto"/>
        <w:ind w:firstLine="480" w:firstLineChars="200"/>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pPr>
        <w:autoSpaceDE w:val="0"/>
        <w:autoSpaceDN w:val="0"/>
        <w:adjustRightInd w:val="0"/>
        <w:spacing w:line="360" w:lineRule="auto"/>
        <w:ind w:firstLine="480" w:firstLineChars="200"/>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（三）不同投标供应商的投标文件由同一单位或者同一人编制，或者由同一人分阶段参与编制的。</w:t>
      </w:r>
    </w:p>
    <w:p>
      <w:pPr>
        <w:autoSpaceDE w:val="0"/>
        <w:autoSpaceDN w:val="0"/>
        <w:adjustRightInd w:val="0"/>
        <w:spacing w:line="360" w:lineRule="auto"/>
        <w:ind w:firstLine="480" w:firstLineChars="200"/>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（四）不同投标供应商的投标文件或部分投标文件相互混装。</w:t>
      </w:r>
    </w:p>
    <w:p>
      <w:pPr>
        <w:autoSpaceDE w:val="0"/>
        <w:autoSpaceDN w:val="0"/>
        <w:adjustRightInd w:val="0"/>
        <w:spacing w:line="360" w:lineRule="auto"/>
        <w:ind w:firstLine="480" w:firstLineChars="200"/>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（五）不同投标供应商的投标文件内容存在非正常一致。</w:t>
      </w:r>
    </w:p>
    <w:p>
      <w:pPr>
        <w:autoSpaceDE w:val="0"/>
        <w:autoSpaceDN w:val="0"/>
        <w:adjustRightInd w:val="0"/>
        <w:spacing w:line="360" w:lineRule="auto"/>
        <w:ind w:firstLine="480" w:firstLineChars="200"/>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（六）由同一单位工作人员为两家以上（含两家）供应商进行同一项投标活动的。</w:t>
      </w:r>
    </w:p>
    <w:p>
      <w:pPr>
        <w:autoSpaceDE w:val="0"/>
        <w:autoSpaceDN w:val="0"/>
        <w:adjustRightInd w:val="0"/>
        <w:spacing w:line="360" w:lineRule="auto"/>
        <w:ind w:firstLine="480" w:firstLineChars="200"/>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（七）不同投标人的投标报价呈规律性差异。</w:t>
      </w:r>
    </w:p>
    <w:p>
      <w:pPr>
        <w:autoSpaceDE w:val="0"/>
        <w:autoSpaceDN w:val="0"/>
        <w:adjustRightInd w:val="0"/>
        <w:spacing w:line="360" w:lineRule="auto"/>
        <w:ind w:firstLine="480" w:firstLineChars="200"/>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（八）不同投标人的投标保证金从同一单位或者个人的账户转出。</w:t>
      </w:r>
    </w:p>
    <w:p>
      <w:pPr>
        <w:autoSpaceDE w:val="0"/>
        <w:autoSpaceDN w:val="0"/>
        <w:adjustRightInd w:val="0"/>
        <w:spacing w:line="360" w:lineRule="auto"/>
        <w:ind w:firstLine="480" w:firstLineChars="200"/>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（九）主管部门依照法律、法规认定的其他情形。</w:t>
      </w:r>
    </w:p>
    <w:p>
      <w:pPr>
        <w:autoSpaceDE w:val="0"/>
        <w:autoSpaceDN w:val="0"/>
        <w:adjustRightInd w:val="0"/>
        <w:spacing w:line="360" w:lineRule="auto"/>
        <w:ind w:firstLine="480" w:firstLineChars="200"/>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三、本公司（单位）已充分知悉下列情形所对应的法律风险，并在投标前已对相关风险事项进行排查。</w:t>
      </w:r>
    </w:p>
    <w:p>
      <w:pPr>
        <w:autoSpaceDE w:val="0"/>
        <w:autoSpaceDN w:val="0"/>
        <w:adjustRightInd w:val="0"/>
        <w:spacing w:line="360" w:lineRule="auto"/>
        <w:ind w:firstLine="360" w:firstLineChars="150"/>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pPr>
        <w:autoSpaceDE w:val="0"/>
        <w:autoSpaceDN w:val="0"/>
        <w:adjustRightInd w:val="0"/>
        <w:spacing w:line="360" w:lineRule="auto"/>
        <w:ind w:firstLine="360" w:firstLineChars="150"/>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adjustRightInd w:val="0"/>
        <w:spacing w:line="360" w:lineRule="auto"/>
        <w:ind w:firstLine="360" w:firstLineChars="150"/>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（三）对于涉及安全生产、特种作业、抢险救灾、防疫等政府采购项目，供应商实施提供虚假资料、串通投标等违法行为的，主管部门将依法从严处理。</w:t>
      </w:r>
    </w:p>
    <w:p>
      <w:pPr>
        <w:autoSpaceDE w:val="0"/>
        <w:autoSpaceDN w:val="0"/>
        <w:adjustRightInd w:val="0"/>
        <w:spacing w:line="360" w:lineRule="auto"/>
        <w:ind w:firstLine="360" w:firstLineChars="150"/>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adjustRightInd w:val="0"/>
        <w:spacing w:line="360" w:lineRule="auto"/>
        <w:ind w:firstLine="480" w:firstLineChars="200"/>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adjustRightInd w:val="0"/>
        <w:spacing w:line="360" w:lineRule="auto"/>
        <w:ind w:firstLine="480" w:firstLineChars="200"/>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adjustRightInd w:val="0"/>
        <w:spacing w:line="360" w:lineRule="auto"/>
        <w:ind w:firstLine="480" w:firstLineChars="200"/>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spacing w:line="360" w:lineRule="auto"/>
        <w:jc w:val="left"/>
        <w:rPr>
          <w:rFonts w:ascii="宋体" w:hAnsi="宋体" w:cs="仿宋_GB2312"/>
          <w:color w:val="000000" w:themeColor="text1"/>
          <w:kern w:val="0"/>
          <w:sz w:val="24"/>
          <w14:textFill>
            <w14:solidFill>
              <w14:schemeClr w14:val="tx1"/>
            </w14:solidFill>
          </w14:textFill>
        </w:rPr>
      </w:pPr>
    </w:p>
    <w:p>
      <w:pPr>
        <w:autoSpaceDE w:val="0"/>
        <w:autoSpaceDN w:val="0"/>
        <w:adjustRightInd w:val="0"/>
        <w:spacing w:line="360" w:lineRule="auto"/>
        <w:ind w:firstLine="480" w:firstLineChars="200"/>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以下文字请投标供应商</w:t>
      </w:r>
      <w:r>
        <w:rPr>
          <w:rFonts w:hint="eastAsia" w:ascii="宋体" w:hAnsi="宋体" w:cs="仿宋_GB2312"/>
          <w:b/>
          <w:bCs/>
          <w:color w:val="000000" w:themeColor="text1"/>
          <w:kern w:val="0"/>
          <w:sz w:val="24"/>
          <w14:textFill>
            <w14:solidFill>
              <w14:schemeClr w14:val="tx1"/>
            </w14:solidFill>
          </w14:textFill>
        </w:rPr>
        <w:t>抄写并确认</w:t>
      </w:r>
      <w:r>
        <w:rPr>
          <w:rFonts w:hint="eastAsia" w:ascii="宋体" w:hAnsi="宋体" w:cs="仿宋_GB2312"/>
          <w:color w:val="000000" w:themeColor="text1"/>
          <w:kern w:val="0"/>
          <w:sz w:val="24"/>
          <w14:textFill>
            <w14:solidFill>
              <w14:schemeClr w14:val="tx1"/>
            </w14:solidFill>
          </w14:textFill>
        </w:rPr>
        <w:t>：“本公司（单位）已仔细阅读《政府采购违法行为风险知悉确认书》，充分知悉违法行为的法律后果，并承诺将严谨、诚信、依法依规参与政府采购活动”。</w:t>
      </w:r>
    </w:p>
    <w:p>
      <w:pPr>
        <w:autoSpaceDE w:val="0"/>
        <w:autoSpaceDN w:val="0"/>
        <w:adjustRightInd w:val="0"/>
        <w:spacing w:line="360" w:lineRule="auto"/>
        <w:jc w:val="left"/>
        <w:rPr>
          <w:rFonts w:ascii="宋体" w:hAnsi="宋体" w:cs="仿宋_GB2312"/>
          <w:color w:val="000000" w:themeColor="text1"/>
          <w:kern w:val="0"/>
          <w:sz w:val="24"/>
          <w:u w:val="single"/>
          <w14:textFill>
            <w14:solidFill>
              <w14:schemeClr w14:val="tx1"/>
            </w14:solidFill>
          </w14:textFill>
        </w:rPr>
      </w:pPr>
      <w:r>
        <w:rPr>
          <w:rFonts w:hint="eastAsia" w:ascii="宋体" w:hAnsi="宋体" w:cs="仿宋_GB2312"/>
          <w:color w:val="000000" w:themeColor="text1"/>
          <w:kern w:val="0"/>
          <w:sz w:val="24"/>
          <w:u w:val="single"/>
          <w14:textFill>
            <w14:solidFill>
              <w14:schemeClr w14:val="tx1"/>
            </w14:solidFill>
          </w14:textFill>
        </w:rPr>
        <w:t xml:space="preserve">                                                                                        </w:t>
      </w:r>
    </w:p>
    <w:p>
      <w:pPr>
        <w:autoSpaceDE w:val="0"/>
        <w:autoSpaceDN w:val="0"/>
        <w:adjustRightInd w:val="0"/>
        <w:spacing w:line="360" w:lineRule="auto"/>
        <w:jc w:val="left"/>
        <w:rPr>
          <w:rFonts w:ascii="宋体" w:hAnsi="宋体" w:cs="仿宋_GB2312"/>
          <w:color w:val="000000" w:themeColor="text1"/>
          <w:kern w:val="0"/>
          <w:sz w:val="24"/>
          <w:u w:val="single"/>
          <w14:textFill>
            <w14:solidFill>
              <w14:schemeClr w14:val="tx1"/>
            </w14:solidFill>
          </w14:textFill>
        </w:rPr>
      </w:pPr>
      <w:r>
        <w:rPr>
          <w:rFonts w:hint="eastAsia" w:ascii="宋体" w:hAnsi="宋体" w:cs="仿宋_GB2312"/>
          <w:color w:val="000000" w:themeColor="text1"/>
          <w:kern w:val="0"/>
          <w:sz w:val="24"/>
          <w:u w:val="single"/>
          <w14:textFill>
            <w14:solidFill>
              <w14:schemeClr w14:val="tx1"/>
            </w14:solidFill>
          </w14:textFill>
        </w:rPr>
        <w:t xml:space="preserve">                                                                                       </w:t>
      </w:r>
    </w:p>
    <w:p>
      <w:pPr>
        <w:autoSpaceDE w:val="0"/>
        <w:autoSpaceDN w:val="0"/>
        <w:adjustRightInd w:val="0"/>
        <w:spacing w:line="360" w:lineRule="auto"/>
        <w:jc w:val="left"/>
        <w:rPr>
          <w:rFonts w:ascii="宋体" w:hAnsi="宋体" w:cs="仿宋_GB2312"/>
          <w:color w:val="000000" w:themeColor="text1"/>
          <w:kern w:val="0"/>
          <w:sz w:val="24"/>
          <w:u w:val="single"/>
          <w14:textFill>
            <w14:solidFill>
              <w14:schemeClr w14:val="tx1"/>
            </w14:solidFill>
          </w14:textFill>
        </w:rPr>
      </w:pPr>
      <w:r>
        <w:rPr>
          <w:rFonts w:hint="eastAsia" w:ascii="宋体" w:hAnsi="宋体" w:cs="仿宋_GB2312"/>
          <w:color w:val="000000" w:themeColor="text1"/>
          <w:kern w:val="0"/>
          <w:sz w:val="24"/>
          <w:u w:val="single"/>
          <w14:textFill>
            <w14:solidFill>
              <w14:schemeClr w14:val="tx1"/>
            </w14:solidFill>
          </w14:textFill>
        </w:rPr>
        <w:t xml:space="preserve">                                                                                       </w:t>
      </w:r>
    </w:p>
    <w:p>
      <w:pPr>
        <w:autoSpaceDE w:val="0"/>
        <w:autoSpaceDN w:val="0"/>
        <w:adjustRightInd w:val="0"/>
        <w:spacing w:line="360" w:lineRule="auto"/>
        <w:jc w:val="left"/>
        <w:rPr>
          <w:rFonts w:ascii="宋体" w:hAnsi="宋体" w:cs="仿宋_GB2312"/>
          <w:color w:val="000000" w:themeColor="text1"/>
          <w:kern w:val="0"/>
          <w:sz w:val="24"/>
          <w:u w:val="single"/>
          <w14:textFill>
            <w14:solidFill>
              <w14:schemeClr w14:val="tx1"/>
            </w14:solidFill>
          </w14:textFill>
        </w:rPr>
      </w:pPr>
      <w:r>
        <w:rPr>
          <w:rFonts w:hint="eastAsia" w:ascii="宋体" w:hAnsi="宋体" w:cs="仿宋_GB2312"/>
          <w:color w:val="000000" w:themeColor="text1"/>
          <w:kern w:val="0"/>
          <w:sz w:val="24"/>
          <w:u w:val="single"/>
          <w14:textFill>
            <w14:solidFill>
              <w14:schemeClr w14:val="tx1"/>
            </w14:solidFill>
          </w14:textFill>
        </w:rPr>
        <w:t xml:space="preserve">                                                                                       </w:t>
      </w:r>
    </w:p>
    <w:p>
      <w:pPr>
        <w:autoSpaceDE w:val="0"/>
        <w:autoSpaceDN w:val="0"/>
        <w:adjustRightInd w:val="0"/>
        <w:spacing w:line="360" w:lineRule="auto"/>
        <w:ind w:firstLine="480" w:firstLineChars="200"/>
        <w:jc w:val="left"/>
        <w:rPr>
          <w:rFonts w:ascii="宋体" w:hAnsi="宋体" w:cs="仿宋_GB2312"/>
          <w:color w:val="000000" w:themeColor="text1"/>
          <w:kern w:val="0"/>
          <w:sz w:val="24"/>
          <w14:textFill>
            <w14:solidFill>
              <w14:schemeClr w14:val="tx1"/>
            </w14:solidFill>
          </w14:textFill>
        </w:rPr>
      </w:pPr>
    </w:p>
    <w:p>
      <w:pPr>
        <w:autoSpaceDE w:val="0"/>
        <w:autoSpaceDN w:val="0"/>
        <w:adjustRightInd w:val="0"/>
        <w:spacing w:line="360" w:lineRule="auto"/>
        <w:ind w:firstLine="480" w:firstLineChars="200"/>
        <w:jc w:val="left"/>
        <w:rPr>
          <w:rFonts w:ascii="宋体" w:hAnsi="宋体" w:cs="仿宋_GB2312"/>
          <w:color w:val="000000" w:themeColor="text1"/>
          <w:kern w:val="0"/>
          <w:sz w:val="24"/>
          <w14:textFill>
            <w14:solidFill>
              <w14:schemeClr w14:val="tx1"/>
            </w14:solidFill>
          </w14:textFill>
        </w:rPr>
      </w:pPr>
    </w:p>
    <w:p>
      <w:pPr>
        <w:autoSpaceDE w:val="0"/>
        <w:autoSpaceDN w:val="0"/>
        <w:adjustRightInd w:val="0"/>
        <w:spacing w:line="360" w:lineRule="auto"/>
        <w:ind w:firstLine="480" w:firstLineChars="200"/>
        <w:jc w:val="left"/>
        <w:rPr>
          <w:rFonts w:ascii="宋体" w:hAnsi="宋体" w:cs="仿宋_GB2312"/>
          <w:color w:val="000000" w:themeColor="text1"/>
          <w:kern w:val="0"/>
          <w:sz w:val="24"/>
          <w14:textFill>
            <w14:solidFill>
              <w14:schemeClr w14:val="tx1"/>
            </w14:solidFill>
          </w14:textFill>
        </w:rPr>
      </w:pPr>
    </w:p>
    <w:p>
      <w:pPr>
        <w:autoSpaceDE w:val="0"/>
        <w:autoSpaceDN w:val="0"/>
        <w:adjustRightInd w:val="0"/>
        <w:spacing w:line="360" w:lineRule="auto"/>
        <w:ind w:firstLine="3840" w:firstLineChars="1600"/>
        <w:jc w:val="left"/>
        <w:rPr>
          <w:rFonts w:ascii="宋体" w:hAnsi="宋体" w:cs="仿宋_GB2312"/>
          <w:color w:val="000000" w:themeColor="text1"/>
          <w:kern w:val="0"/>
          <w:sz w:val="24"/>
          <w:u w:val="single"/>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负责人</w:t>
      </w:r>
      <w:r>
        <w:rPr>
          <w:rFonts w:ascii="宋体" w:hAnsi="宋体" w:cs="仿宋_GB2312"/>
          <w:color w:val="000000" w:themeColor="text1"/>
          <w:kern w:val="0"/>
          <w:sz w:val="24"/>
          <w14:textFill>
            <w14:solidFill>
              <w14:schemeClr w14:val="tx1"/>
            </w14:solidFill>
          </w14:textFill>
        </w:rPr>
        <w:t>/</w:t>
      </w:r>
      <w:r>
        <w:rPr>
          <w:rFonts w:hint="eastAsia" w:ascii="宋体" w:hAnsi="宋体" w:cs="仿宋_GB2312"/>
          <w:color w:val="000000" w:themeColor="text1"/>
          <w:kern w:val="0"/>
          <w:sz w:val="24"/>
          <w14:textFill>
            <w14:solidFill>
              <w14:schemeClr w14:val="tx1"/>
            </w14:solidFill>
          </w14:textFill>
        </w:rPr>
        <w:t>投标授权代表签名：</w:t>
      </w:r>
      <w:r>
        <w:rPr>
          <w:rFonts w:hint="eastAsia" w:ascii="宋体" w:hAnsi="宋体" w:cs="仿宋_GB2312"/>
          <w:color w:val="000000" w:themeColor="text1"/>
          <w:kern w:val="0"/>
          <w:sz w:val="24"/>
          <w:u w:val="single"/>
          <w14:textFill>
            <w14:solidFill>
              <w14:schemeClr w14:val="tx1"/>
            </w14:solidFill>
          </w14:textFill>
        </w:rPr>
        <w:t xml:space="preserve">                </w:t>
      </w:r>
    </w:p>
    <w:p>
      <w:pPr>
        <w:autoSpaceDE w:val="0"/>
        <w:autoSpaceDN w:val="0"/>
        <w:adjustRightInd w:val="0"/>
        <w:spacing w:line="360" w:lineRule="auto"/>
        <w:ind w:firstLine="4920" w:firstLineChars="2050"/>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知悉人（公章）：</w:t>
      </w:r>
    </w:p>
    <w:p>
      <w:pPr>
        <w:spacing w:line="360" w:lineRule="auto"/>
        <w:jc w:val="right"/>
        <w:rPr>
          <w:rFonts w:ascii="宋体" w:hAnsi="宋体" w:cs="宋体"/>
          <w:color w:val="000000" w:themeColor="text1"/>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日期： 202  年   月   日</w:t>
      </w:r>
      <w:r>
        <w:rPr>
          <w:rFonts w:hint="eastAsia" w:ascii="宋体" w:hAnsi="宋体" w:cs="宋体"/>
          <w:color w:val="000000" w:themeColor="text1"/>
          <w:sz w:val="24"/>
          <w14:textFill>
            <w14:solidFill>
              <w14:schemeClr w14:val="tx1"/>
            </w14:solidFill>
          </w14:textFill>
        </w:rPr>
        <w:br w:type="page"/>
      </w:r>
    </w:p>
    <w:p>
      <w:pPr>
        <w:numPr>
          <w:ilvl w:val="0"/>
          <w:numId w:val="10"/>
        </w:numPr>
        <w:tabs>
          <w:tab w:val="left" w:pos="640"/>
          <w:tab w:val="left" w:pos="840"/>
          <w:tab w:val="left" w:pos="1260"/>
          <w:tab w:val="left" w:pos="1418"/>
        </w:tabs>
        <w:spacing w:line="360" w:lineRule="auto"/>
        <w:ind w:left="845" w:hanging="84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参与价格扣除的证明文件</w:t>
      </w:r>
    </w:p>
    <w:p>
      <w:pPr>
        <w:keepNext/>
        <w:keepLines/>
        <w:jc w:val="center"/>
        <w:outlineLvl w:val="4"/>
        <w:rPr>
          <w:rFonts w:ascii="宋体" w:hAnsi="宋体" w:cs="宋体"/>
          <w:bCs/>
          <w:color w:val="000000" w:themeColor="text1"/>
          <w:kern w:val="44"/>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①中小企业声明函（工程、服务）</w:t>
      </w:r>
    </w:p>
    <w:p>
      <w:pPr>
        <w:widowControl/>
        <w:ind w:firstLine="480" w:firstLineChars="200"/>
        <w:textAlignment w:val="baseline"/>
        <w:rPr>
          <w:rFonts w:ascii="宋体" w:hAnsi="宋体" w:cs="宋体"/>
          <w:color w:val="000000" w:themeColor="text1"/>
          <w:sz w:val="24"/>
          <w:szCs w:val="24"/>
          <w14:textFill>
            <w14:solidFill>
              <w14:schemeClr w14:val="tx1"/>
            </w14:solidFill>
          </w14:textFill>
        </w:rPr>
      </w:pPr>
    </w:p>
    <w:p>
      <w:pPr>
        <w:widowControl/>
        <w:ind w:firstLine="480" w:firstLineChars="200"/>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本公司（联合体）郑重声明，根据《政府采购促进中小企业发展管理办法》（财库﹝2020﹞46 号）的规定，本公司</w:t>
      </w:r>
    </w:p>
    <w:p>
      <w:pPr>
        <w:widowControl/>
        <w:ind w:firstLine="480" w:firstLineChars="200"/>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（联合体）参加</w:t>
      </w:r>
      <w:r>
        <w:rPr>
          <w:rFonts w:hint="eastAsia" w:ascii="宋体" w:hAnsi="宋体" w:cs="宋体"/>
          <w:color w:val="000000" w:themeColor="text1"/>
          <w:sz w:val="24"/>
          <w:szCs w:val="24"/>
          <w:u w:val="single"/>
          <w14:textFill>
            <w14:solidFill>
              <w14:schemeClr w14:val="tx1"/>
            </w14:solidFill>
          </w14:textFill>
        </w:rPr>
        <w:t>（单位名称）</w:t>
      </w:r>
      <w:r>
        <w:rPr>
          <w:rFonts w:hint="eastAsia" w:ascii="宋体" w:hAnsi="宋体" w:cs="宋体"/>
          <w:color w:val="000000" w:themeColor="text1"/>
          <w:sz w:val="24"/>
          <w:szCs w:val="24"/>
          <w14:textFill>
            <w14:solidFill>
              <w14:schemeClr w14:val="tx1"/>
            </w14:solidFill>
          </w14:textFill>
        </w:rPr>
        <w:t>的</w:t>
      </w:r>
      <w:r>
        <w:rPr>
          <w:rFonts w:hint="eastAsia" w:ascii="宋体" w:hAnsi="宋体" w:cs="宋体"/>
          <w:color w:val="000000" w:themeColor="text1"/>
          <w:sz w:val="24"/>
          <w:szCs w:val="24"/>
          <w:u w:val="single"/>
          <w14:textFill>
            <w14:solidFill>
              <w14:schemeClr w14:val="tx1"/>
            </w14:solidFill>
          </w14:textFill>
        </w:rPr>
        <w:t>（项目名称）</w:t>
      </w:r>
      <w:r>
        <w:rPr>
          <w:rFonts w:hint="eastAsia" w:ascii="宋体" w:hAnsi="宋体" w:cs="宋体"/>
          <w:color w:val="000000" w:themeColor="text1"/>
          <w:sz w:val="24"/>
          <w:szCs w:val="24"/>
          <w14:textFill>
            <w14:solidFill>
              <w14:schemeClr w14:val="tx1"/>
            </w14:solidFill>
          </w14:textFill>
        </w:rPr>
        <w:t>采购活动，工程的施工单位全部为符合政策要求的中小企业（或者：服务全部由符合政策要求的中小企业承接）。相关企业（含联合 体中的中小企业、签订分包意向协议的中小企业）的具体情况如下：</w:t>
      </w:r>
    </w:p>
    <w:p>
      <w:pPr>
        <w:widowControl/>
        <w:ind w:firstLine="480" w:firstLineChars="200"/>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u w:val="single"/>
          <w14:textFill>
            <w14:solidFill>
              <w14:schemeClr w14:val="tx1"/>
            </w14:solidFill>
          </w14:textFill>
        </w:rPr>
        <w:t>（标的名称）</w:t>
      </w:r>
      <w:r>
        <w:rPr>
          <w:rFonts w:hint="eastAsia" w:ascii="宋体" w:hAnsi="宋体" w:cs="宋体"/>
          <w:color w:val="000000" w:themeColor="text1"/>
          <w:sz w:val="24"/>
          <w:szCs w:val="24"/>
          <w14:textFill>
            <w14:solidFill>
              <w14:schemeClr w14:val="tx1"/>
            </w14:solidFill>
          </w14:textFill>
        </w:rPr>
        <w:t>，属于</w:t>
      </w:r>
      <w:r>
        <w:rPr>
          <w:rFonts w:hint="eastAsia" w:ascii="宋体" w:hAnsi="宋体" w:cs="宋体"/>
          <w:color w:val="000000" w:themeColor="text1"/>
          <w:sz w:val="24"/>
          <w:szCs w:val="24"/>
          <w:u w:val="single"/>
          <w14:textFill>
            <w14:solidFill>
              <w14:schemeClr w14:val="tx1"/>
            </w14:solidFill>
          </w14:textFill>
        </w:rPr>
        <w:t>（采购文件中明确的所属行业）</w:t>
      </w:r>
      <w:r>
        <w:rPr>
          <w:rFonts w:hint="eastAsia" w:ascii="宋体" w:hAnsi="宋体" w:cs="宋体"/>
          <w:color w:val="000000" w:themeColor="text1"/>
          <w:sz w:val="24"/>
          <w:szCs w:val="24"/>
          <w14:textFill>
            <w14:solidFill>
              <w14:schemeClr w14:val="tx1"/>
            </w14:solidFill>
          </w14:textFill>
        </w:rPr>
        <w:t>；承建（承接）企业为</w:t>
      </w:r>
      <w:r>
        <w:rPr>
          <w:rFonts w:hint="eastAsia" w:ascii="宋体" w:hAnsi="宋体" w:cs="宋体"/>
          <w:color w:val="000000" w:themeColor="text1"/>
          <w:sz w:val="24"/>
          <w:szCs w:val="24"/>
          <w:u w:val="single"/>
          <w14:textFill>
            <w14:solidFill>
              <w14:schemeClr w14:val="tx1"/>
            </w14:solidFill>
          </w14:textFill>
        </w:rPr>
        <w:t>（企业名称）</w:t>
      </w:r>
      <w:r>
        <w:rPr>
          <w:rFonts w:hint="eastAsia" w:ascii="宋体" w:hAnsi="宋体" w:cs="宋体"/>
          <w:color w:val="000000" w:themeColor="text1"/>
          <w:sz w:val="24"/>
          <w:szCs w:val="24"/>
          <w14:textFill>
            <w14:solidFill>
              <w14:schemeClr w14:val="tx1"/>
            </w14:solidFill>
          </w14:textFill>
        </w:rPr>
        <w:t>，从业人员</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人，营业收入为</w:t>
      </w:r>
      <w:r>
        <w:rPr>
          <w:rFonts w:hint="eastAsia" w:ascii="宋体" w:hAnsi="宋体" w:cs="宋体"/>
          <w:color w:val="000000" w:themeColor="text1"/>
          <w:sz w:val="24"/>
          <w:szCs w:val="24"/>
          <w:u w:val="single"/>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万元，资产总额为</w:t>
      </w:r>
      <w:r>
        <w:rPr>
          <w:rFonts w:hint="eastAsia" w:ascii="宋体" w:hAnsi="宋体" w:cs="宋体"/>
          <w:color w:val="000000" w:themeColor="text1"/>
          <w:sz w:val="24"/>
          <w:szCs w:val="24"/>
          <w:u w:val="single"/>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万元，属于</w:t>
      </w:r>
      <w:r>
        <w:rPr>
          <w:rFonts w:hint="eastAsia" w:ascii="宋体" w:hAnsi="宋体" w:cs="宋体"/>
          <w:color w:val="000000" w:themeColor="text1"/>
          <w:sz w:val="24"/>
          <w:szCs w:val="24"/>
          <w:u w:val="single"/>
          <w14:textFill>
            <w14:solidFill>
              <w14:schemeClr w14:val="tx1"/>
            </w14:solidFill>
          </w14:textFill>
        </w:rPr>
        <w:t>（中型企业、小型企业、微型企业）</w:t>
      </w:r>
    </w:p>
    <w:p>
      <w:pPr>
        <w:widowControl/>
        <w:ind w:firstLine="480" w:firstLineChars="200"/>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u w:val="single"/>
          <w14:textFill>
            <w14:solidFill>
              <w14:schemeClr w14:val="tx1"/>
            </w14:solidFill>
          </w14:textFill>
        </w:rPr>
        <w:t>（标的名称）</w:t>
      </w:r>
      <w:r>
        <w:rPr>
          <w:rFonts w:hint="eastAsia" w:ascii="宋体" w:hAnsi="宋体" w:cs="宋体"/>
          <w:color w:val="000000" w:themeColor="text1"/>
          <w:sz w:val="24"/>
          <w:szCs w:val="24"/>
          <w14:textFill>
            <w14:solidFill>
              <w14:schemeClr w14:val="tx1"/>
            </w14:solidFill>
          </w14:textFill>
        </w:rPr>
        <w:t>，属于</w:t>
      </w:r>
      <w:r>
        <w:rPr>
          <w:rFonts w:hint="eastAsia" w:ascii="宋体" w:hAnsi="宋体" w:cs="宋体"/>
          <w:color w:val="000000" w:themeColor="text1"/>
          <w:sz w:val="24"/>
          <w:szCs w:val="24"/>
          <w:u w:val="single"/>
          <w14:textFill>
            <w14:solidFill>
              <w14:schemeClr w14:val="tx1"/>
            </w14:solidFill>
          </w14:textFill>
        </w:rPr>
        <w:t>（采购文件中明确的所属行业）</w:t>
      </w:r>
      <w:r>
        <w:rPr>
          <w:rFonts w:hint="eastAsia" w:ascii="宋体" w:hAnsi="宋体" w:cs="宋体"/>
          <w:color w:val="000000" w:themeColor="text1"/>
          <w:sz w:val="24"/>
          <w:szCs w:val="24"/>
          <w14:textFill>
            <w14:solidFill>
              <w14:schemeClr w14:val="tx1"/>
            </w14:solidFill>
          </w14:textFill>
        </w:rPr>
        <w:t>；承建（承接）企业为</w:t>
      </w:r>
      <w:r>
        <w:rPr>
          <w:rFonts w:hint="eastAsia" w:ascii="宋体" w:hAnsi="宋体" w:cs="宋体"/>
          <w:color w:val="000000" w:themeColor="text1"/>
          <w:sz w:val="24"/>
          <w:szCs w:val="24"/>
          <w:u w:val="single"/>
          <w14:textFill>
            <w14:solidFill>
              <w14:schemeClr w14:val="tx1"/>
            </w14:solidFill>
          </w14:textFill>
        </w:rPr>
        <w:t>（企业名称）</w:t>
      </w:r>
      <w:r>
        <w:rPr>
          <w:rFonts w:hint="eastAsia" w:ascii="宋体" w:hAnsi="宋体" w:cs="宋体"/>
          <w:color w:val="000000" w:themeColor="text1"/>
          <w:sz w:val="24"/>
          <w:szCs w:val="24"/>
          <w14:textFill>
            <w14:solidFill>
              <w14:schemeClr w14:val="tx1"/>
            </w14:solidFill>
          </w14:textFill>
        </w:rPr>
        <w:t>，从业人员</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人，营业收入为</w:t>
      </w:r>
      <w:r>
        <w:rPr>
          <w:rFonts w:hint="eastAsia" w:ascii="宋体" w:hAnsi="宋体" w:cs="宋体"/>
          <w:color w:val="000000" w:themeColor="text1"/>
          <w:sz w:val="24"/>
          <w:szCs w:val="24"/>
          <w:u w:val="single"/>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万元，资产总额为</w:t>
      </w:r>
      <w:r>
        <w:rPr>
          <w:rFonts w:hint="eastAsia" w:ascii="宋体" w:hAnsi="宋体" w:cs="宋体"/>
          <w:color w:val="000000" w:themeColor="text1"/>
          <w:sz w:val="24"/>
          <w:szCs w:val="24"/>
          <w:u w:val="single"/>
          <w14:textFill>
            <w14:solidFill>
              <w14:schemeClr w14:val="tx1"/>
            </w14:solidFill>
          </w14:textFill>
        </w:rPr>
        <w:tab/>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万元，属于</w:t>
      </w:r>
      <w:r>
        <w:rPr>
          <w:rFonts w:hint="eastAsia" w:ascii="宋体" w:hAnsi="宋体" w:cs="宋体"/>
          <w:color w:val="000000" w:themeColor="text1"/>
          <w:sz w:val="24"/>
          <w:szCs w:val="24"/>
          <w:u w:val="single"/>
          <w14:textFill>
            <w14:solidFill>
              <w14:schemeClr w14:val="tx1"/>
            </w14:solidFill>
          </w14:textFill>
        </w:rPr>
        <w:t>（中型企业、小型企业、微型企业）</w:t>
      </w:r>
    </w:p>
    <w:p>
      <w:pPr>
        <w:widowControl/>
        <w:ind w:firstLine="480" w:firstLineChars="200"/>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p>
      <w:pPr>
        <w:widowControl/>
        <w:ind w:firstLine="480" w:firstLineChars="200"/>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pPr>
        <w:widowControl/>
        <w:ind w:firstLine="480" w:firstLineChars="200"/>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本企业对上述声明内容的真实性负责。如有虚假，将依法承担相应责任。</w:t>
      </w:r>
    </w:p>
    <w:p>
      <w:pPr>
        <w:widowControl/>
        <w:ind w:firstLine="482" w:firstLineChars="200"/>
        <w:jc w:val="right"/>
        <w:textAlignment w:val="baseline"/>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企业名称（盖章）</w:t>
      </w:r>
    </w:p>
    <w:p>
      <w:pPr>
        <w:widowControl/>
        <w:ind w:firstLine="482" w:firstLineChars="200"/>
        <w:jc w:val="right"/>
        <w:textAlignment w:val="baseline"/>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日期：</w:t>
      </w:r>
    </w:p>
    <w:p>
      <w:pPr>
        <w:widowControl/>
        <w:ind w:firstLine="480" w:firstLineChars="200"/>
        <w:textAlignment w:val="baseline"/>
        <w:rPr>
          <w:rFonts w:ascii="宋体" w:hAnsi="宋体" w:cs="宋体"/>
          <w:color w:val="000000" w:themeColor="text1"/>
          <w:sz w:val="24"/>
          <w:szCs w:val="24"/>
          <w14:textFill>
            <w14:solidFill>
              <w14:schemeClr w14:val="tx1"/>
            </w14:solidFill>
          </w14:textFill>
        </w:rPr>
      </w:pPr>
    </w:p>
    <w:p>
      <w:pPr>
        <w:widowControl/>
        <w:ind w:firstLine="480" w:firstLineChars="200"/>
        <w:textAlignment w:val="baseline"/>
        <w:rPr>
          <w:rFonts w:ascii="宋体" w:hAnsi="宋体" w:cs="宋体"/>
          <w:color w:val="000000" w:themeColor="text1"/>
          <w:sz w:val="24"/>
          <w:szCs w:val="24"/>
          <w14:textFill>
            <w14:solidFill>
              <w14:schemeClr w14:val="tx1"/>
            </w14:solidFill>
          </w14:textFill>
        </w:rPr>
      </w:pPr>
    </w:p>
    <w:p>
      <w:pPr>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注意事项：</w:t>
      </w:r>
    </w:p>
    <w:p>
      <w:pPr>
        <w:ind w:firstLine="482" w:firstLineChars="200"/>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1.从业人员、营业收入、资产总额填报上一年度数据，无上一年度数据的新成立企业可不填报；</w:t>
      </w:r>
    </w:p>
    <w:p>
      <w:pPr>
        <w:ind w:firstLine="482" w:firstLineChars="200"/>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ind w:firstLine="482" w:firstLineChars="200"/>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3.事业单位、社会组织等非企业主体不享受中小企业扶持政策，但事业单位、社会组织等非企业主体提供全部由中小企业制造的货物参加货物采购项目的除外。</w:t>
      </w:r>
    </w:p>
    <w:p>
      <w:pPr>
        <w:ind w:firstLine="482" w:firstLineChars="200"/>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4.相关承接/承建企业的所属行业应当与采购标的所属行业（采购文件中明确的行业）相一致。</w:t>
      </w:r>
    </w:p>
    <w:p>
      <w:pPr>
        <w:ind w:firstLine="480"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ind w:firstLine="482" w:firstLineChars="200"/>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br w:type="page"/>
      </w:r>
      <w:r>
        <w:rPr>
          <w:rFonts w:hint="eastAsia" w:ascii="宋体" w:hAnsi="宋体" w:cs="宋体"/>
          <w:b/>
          <w:color w:val="000000" w:themeColor="text1"/>
          <w:sz w:val="24"/>
          <w:szCs w:val="24"/>
          <w14:textFill>
            <w14:solidFill>
              <w14:schemeClr w14:val="tx1"/>
            </w14:solidFill>
          </w14:textFill>
        </w:rPr>
        <w:t>附：中小企业划型标准规定</w:t>
      </w:r>
    </w:p>
    <w:p>
      <w:pPr>
        <w:rPr>
          <w:rFonts w:ascii="宋体" w:hAnsi="宋体" w:cs="宋体"/>
          <w:color w:val="000000" w:themeColor="text1"/>
          <w:sz w:val="24"/>
          <w:szCs w:val="24"/>
          <w14:textFill>
            <w14:solidFill>
              <w14:schemeClr w14:val="tx1"/>
            </w14:solidFill>
          </w14:textFill>
        </w:rPr>
      </w:pPr>
    </w:p>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一、根据《中华人民共和国中小企业促进法》和《国务院关于进一步促进中小企业发展的若干意见》(国发〔2009〕36号)，制定本规定。 </w:t>
      </w:r>
    </w:p>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二、中小企业划分为中型、小型、微型三种类型，具体标准根据企业从业人员、营业收入、资产总额等指标，结合行业特点制定。 关于印发中小企业划型标准规定的通知</w:t>
      </w:r>
    </w:p>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四、各行业划型标准为： </w:t>
      </w:r>
    </w:p>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（一）农、林、牧、渔业。营业收入20000万元以下的为中小微型企业。其中，营业收入500万元及以上的为中型企业，营业收入50万元及以上的为小型企业，营业 收入50万元以下的为微型企业。</w:t>
      </w:r>
    </w:p>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五、企业类型的划分以统计部门的统计数据为依据。 </w:t>
      </w:r>
    </w:p>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七、本规定的中型企业标准上限即为大型企业标准的下限，国家统计部门据此制定大中小微型企业的统计分类。国务院有关部门据此进行相关数据分析，不得制 定与本规定不一致的企业划型标准。</w:t>
      </w:r>
    </w:p>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八、本规定由工业和信息化部、国家统计局会同有关部门根据《国民经济行业分类》修订情况和企业发展变化情况适时修订。 </w:t>
      </w:r>
    </w:p>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九、本规定由工业和信息化部、国家统计局会同有关部门负责解释。 </w:t>
      </w:r>
    </w:p>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十、本规定自发布之日起执行，原国家经贸委、原国家计委、财政部和国家统计局2003年颁布的《中小企业标准暂行规定》同时废止。</w:t>
      </w:r>
    </w:p>
    <w:p>
      <w:pPr>
        <w:adjustRightInd w:val="0"/>
        <w:snapToGrid w:val="0"/>
        <w:spacing w:line="360" w:lineRule="auto"/>
        <w:jc w:val="center"/>
        <w:outlineLvl w:val="4"/>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r>
        <w:rPr>
          <w:rFonts w:hint="eastAsia" w:ascii="宋体" w:hAnsi="宋体" w:cs="宋体"/>
          <w:b/>
          <w:color w:val="000000" w:themeColor="text1"/>
          <w:sz w:val="24"/>
          <w:szCs w:val="24"/>
          <w14:textFill>
            <w14:solidFill>
              <w14:schemeClr w14:val="tx1"/>
            </w14:solidFill>
          </w14:textFill>
        </w:rPr>
        <w:t>②残疾人福利性单位声明函（样表）</w:t>
      </w:r>
    </w:p>
    <w:p>
      <w:pPr>
        <w:spacing w:line="620" w:lineRule="exact"/>
        <w:ind w:firstLine="480" w:firstLineChars="200"/>
        <w:rPr>
          <w:rFonts w:ascii="宋体" w:hAnsi="宋体" w:cs="宋体"/>
          <w:color w:val="000000" w:themeColor="text1"/>
          <w:spacing w:val="6"/>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color w:val="000000" w:themeColor="text1"/>
          <w:spacing w:val="6"/>
          <w:sz w:val="24"/>
          <w:szCs w:val="24"/>
          <w14:textFill>
            <w14:solidFill>
              <w14:schemeClr w14:val="tx1"/>
            </w14:solidFill>
          </w14:textFill>
        </w:rPr>
        <w:t>单位参加</w:t>
      </w:r>
      <w:r>
        <w:rPr>
          <w:rFonts w:hint="eastAsia" w:ascii="宋体" w:hAnsi="宋体" w:cs="宋体"/>
          <w:color w:val="000000" w:themeColor="text1"/>
          <w:spacing w:val="6"/>
          <w:sz w:val="24"/>
          <w:szCs w:val="24"/>
          <w:u w:val="single"/>
          <w14:textFill>
            <w14:solidFill>
              <w14:schemeClr w14:val="tx1"/>
            </w14:solidFill>
          </w14:textFill>
        </w:rPr>
        <w:t xml:space="preserve"> （采购单位名称） </w:t>
      </w:r>
      <w:r>
        <w:rPr>
          <w:rFonts w:hint="eastAsia" w:ascii="宋体" w:hAnsi="宋体" w:cs="宋体"/>
          <w:color w:val="000000" w:themeColor="text1"/>
          <w:spacing w:val="6"/>
          <w:sz w:val="24"/>
          <w:szCs w:val="24"/>
          <w14:textFill>
            <w14:solidFill>
              <w14:schemeClr w14:val="tx1"/>
            </w14:solidFill>
          </w14:textFill>
        </w:rPr>
        <w:t>单位的</w:t>
      </w:r>
      <w:r>
        <w:rPr>
          <w:rFonts w:hint="eastAsia" w:ascii="宋体" w:hAnsi="宋体" w:cs="宋体"/>
          <w:color w:val="000000" w:themeColor="text1"/>
          <w:spacing w:val="6"/>
          <w:sz w:val="24"/>
          <w:szCs w:val="24"/>
          <w:u w:val="single"/>
          <w14:textFill>
            <w14:solidFill>
              <w14:schemeClr w14:val="tx1"/>
            </w14:solidFill>
          </w14:textFill>
        </w:rPr>
        <w:t xml:space="preserve"> （采购项目名称） </w:t>
      </w:r>
      <w:r>
        <w:rPr>
          <w:rFonts w:hint="eastAsia" w:ascii="宋体" w:hAnsi="宋体" w:cs="宋体"/>
          <w:color w:val="000000" w:themeColor="text1"/>
          <w:spacing w:val="6"/>
          <w:sz w:val="24"/>
          <w:szCs w:val="24"/>
          <w14:textFill>
            <w14:solidFill>
              <w14:schemeClr w14:val="tx1"/>
            </w14:solidFill>
          </w14:textFill>
        </w:rPr>
        <w:t>项目</w:t>
      </w:r>
      <w:r>
        <w:rPr>
          <w:rFonts w:hint="eastAsia" w:ascii="宋体" w:hAnsi="宋体" w:cs="宋体"/>
          <w:color w:val="000000" w:themeColor="text1"/>
          <w:kern w:val="0"/>
          <w:sz w:val="24"/>
          <w:szCs w:val="24"/>
          <w14:textFill>
            <w14:solidFill>
              <w14:schemeClr w14:val="tx1"/>
            </w14:solidFill>
          </w14:textFill>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620" w:lineRule="exact"/>
        <w:ind w:firstLine="504" w:firstLineChars="200"/>
        <w:rPr>
          <w:rFonts w:ascii="宋体" w:hAnsi="宋体" w:cs="宋体"/>
          <w:color w:val="000000" w:themeColor="text1"/>
          <w:spacing w:val="6"/>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本单位对上述声明的真实性负责。如有虚假，将依法承担相应责任。</w:t>
      </w:r>
    </w:p>
    <w:p>
      <w:pPr>
        <w:spacing w:line="620" w:lineRule="exact"/>
        <w:ind w:firstLine="504" w:firstLineChars="200"/>
        <w:rPr>
          <w:rFonts w:ascii="宋体" w:hAnsi="宋体" w:cs="宋体"/>
          <w:color w:val="000000" w:themeColor="text1"/>
          <w:spacing w:val="6"/>
          <w:sz w:val="24"/>
          <w:szCs w:val="24"/>
          <w14:textFill>
            <w14:solidFill>
              <w14:schemeClr w14:val="tx1"/>
            </w14:solidFill>
          </w14:textFill>
        </w:rPr>
      </w:pPr>
    </w:p>
    <w:p>
      <w:pPr>
        <w:spacing w:line="620" w:lineRule="exact"/>
        <w:ind w:firstLine="504" w:firstLineChars="200"/>
        <w:rPr>
          <w:rFonts w:ascii="宋体" w:hAnsi="宋体" w:cs="宋体"/>
          <w:color w:val="000000" w:themeColor="text1"/>
          <w:spacing w:val="6"/>
          <w:sz w:val="24"/>
          <w:szCs w:val="24"/>
          <w14:textFill>
            <w14:solidFill>
              <w14:schemeClr w14:val="tx1"/>
            </w14:solidFill>
          </w14:textFill>
        </w:rPr>
      </w:pPr>
    </w:p>
    <w:p>
      <w:pPr>
        <w:tabs>
          <w:tab w:val="left" w:pos="4860"/>
        </w:tabs>
        <w:spacing w:line="620" w:lineRule="exact"/>
        <w:ind w:right="1560" w:firstLine="504" w:firstLineChars="200"/>
        <w:jc w:val="center"/>
        <w:rPr>
          <w:rFonts w:ascii="宋体" w:hAnsi="宋体" w:cs="宋体"/>
          <w:color w:val="000000" w:themeColor="text1"/>
          <w:spacing w:val="6"/>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 xml:space="preserve">               单位名称（盖章）：</w:t>
      </w:r>
    </w:p>
    <w:p>
      <w:pPr>
        <w:tabs>
          <w:tab w:val="left" w:pos="4860"/>
        </w:tabs>
        <w:spacing w:line="620" w:lineRule="exact"/>
        <w:ind w:right="1560" w:firstLine="504" w:firstLineChars="200"/>
        <w:jc w:val="center"/>
        <w:rPr>
          <w:rStyle w:val="43"/>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 xml:space="preserve">                        日  期：</w:t>
      </w:r>
    </w:p>
    <w:p>
      <w:pPr>
        <w:snapToGrid w:val="0"/>
        <w:spacing w:line="360" w:lineRule="auto"/>
        <w:ind w:firstLine="480" w:firstLineChars="200"/>
        <w:jc w:val="left"/>
        <w:textAlignment w:val="baseline"/>
        <w:rPr>
          <w:rStyle w:val="43"/>
          <w:rFonts w:ascii="宋体" w:hAnsi="宋体" w:cs="宋体"/>
          <w:color w:val="000000" w:themeColor="text1"/>
          <w:sz w:val="24"/>
          <w:szCs w:val="24"/>
          <w14:textFill>
            <w14:solidFill>
              <w14:schemeClr w14:val="tx1"/>
            </w14:solidFill>
          </w14:textFill>
        </w:rPr>
      </w:pPr>
    </w:p>
    <w:p>
      <w:pPr>
        <w:snapToGrid w:val="0"/>
        <w:spacing w:line="360" w:lineRule="auto"/>
        <w:ind w:firstLine="482" w:firstLineChars="200"/>
        <w:jc w:val="left"/>
        <w:textAlignment w:val="baseline"/>
        <w:rPr>
          <w:rStyle w:val="43"/>
          <w:rFonts w:ascii="宋体" w:hAnsi="宋体" w:cs="宋体"/>
          <w:b/>
          <w:color w:val="000000" w:themeColor="text1"/>
          <w:sz w:val="24"/>
          <w:szCs w:val="24"/>
          <w14:textFill>
            <w14:solidFill>
              <w14:schemeClr w14:val="tx1"/>
            </w14:solidFill>
          </w14:textFill>
        </w:rPr>
      </w:pPr>
      <w:r>
        <w:rPr>
          <w:rStyle w:val="43"/>
          <w:rFonts w:hint="eastAsia" w:ascii="宋体" w:hAnsi="宋体" w:cs="宋体"/>
          <w:b/>
          <w:color w:val="000000" w:themeColor="text1"/>
          <w:sz w:val="24"/>
          <w:szCs w:val="24"/>
          <w14:textFill>
            <w14:solidFill>
              <w14:schemeClr w14:val="tx1"/>
            </w14:solidFill>
          </w14:textFill>
        </w:rPr>
        <w:t>投标人知悉《关于促进残疾人就业政府采购政策的通知》（财库〔2017〕141 号）的规定，承诺提供的声明函内容是真实的，如提供声明函内容不实，则依法追究相关法律责任。</w:t>
      </w:r>
    </w:p>
    <w:p>
      <w:pPr>
        <w:snapToGrid w:val="0"/>
        <w:spacing w:line="360" w:lineRule="auto"/>
        <w:jc w:val="center"/>
        <w:textAlignment w:val="baseline"/>
        <w:outlineLvl w:val="4"/>
        <w:rPr>
          <w:rStyle w:val="43"/>
          <w:rFonts w:ascii="宋体" w:hAnsi="宋体" w:cs="宋体"/>
          <w:b/>
          <w:color w:val="000000" w:themeColor="text1"/>
          <w:sz w:val="24"/>
          <w:szCs w:val="24"/>
          <w14:textFill>
            <w14:solidFill>
              <w14:schemeClr w14:val="tx1"/>
            </w14:solidFill>
          </w14:textFill>
        </w:rPr>
      </w:pPr>
      <w:r>
        <w:rPr>
          <w:rStyle w:val="43"/>
          <w:rFonts w:hint="eastAsia" w:ascii="宋体" w:hAnsi="宋体" w:cs="宋体"/>
          <w:b/>
          <w:color w:val="000000" w:themeColor="text1"/>
          <w:szCs w:val="21"/>
          <w14:textFill>
            <w14:solidFill>
              <w14:schemeClr w14:val="tx1"/>
            </w14:solidFill>
          </w14:textFill>
        </w:rPr>
        <w:br w:type="page"/>
      </w:r>
      <w:r>
        <w:rPr>
          <w:rStyle w:val="43"/>
          <w:rFonts w:hint="eastAsia" w:ascii="宋体" w:hAnsi="宋体" w:cs="宋体"/>
          <w:b/>
          <w:color w:val="000000" w:themeColor="text1"/>
          <w:sz w:val="24"/>
          <w:szCs w:val="24"/>
          <w14:textFill>
            <w14:solidFill>
              <w14:schemeClr w14:val="tx1"/>
            </w14:solidFill>
          </w14:textFill>
        </w:rPr>
        <w:t>③监狱企业声明函</w:t>
      </w:r>
    </w:p>
    <w:p>
      <w:pPr>
        <w:snapToGrid w:val="0"/>
        <w:spacing w:line="620" w:lineRule="exact"/>
        <w:ind w:firstLine="504" w:firstLineChars="200"/>
        <w:textAlignment w:val="baseline"/>
        <w:rPr>
          <w:rStyle w:val="43"/>
          <w:rFonts w:ascii="宋体" w:hAnsi="宋体" w:cs="宋体"/>
          <w:color w:val="000000" w:themeColor="text1"/>
          <w:spacing w:val="6"/>
          <w:sz w:val="24"/>
          <w:szCs w:val="24"/>
          <w14:textFill>
            <w14:solidFill>
              <w14:schemeClr w14:val="tx1"/>
            </w14:solidFill>
          </w14:textFill>
        </w:rPr>
      </w:pPr>
      <w:r>
        <w:rPr>
          <w:rStyle w:val="43"/>
          <w:rFonts w:hint="eastAsia" w:ascii="宋体" w:hAnsi="宋体" w:cs="宋体"/>
          <w:color w:val="000000" w:themeColor="text1"/>
          <w:spacing w:val="6"/>
          <w:sz w:val="24"/>
          <w:szCs w:val="24"/>
          <w14:textFill>
            <w14:solidFill>
              <w14:schemeClr w14:val="tx1"/>
            </w14:solidFill>
          </w14:textFill>
        </w:rPr>
        <w:t>本单位郑重声明，根据《财政部司法部关于政府采购支持监狱企业发展有关问题的通知》（财库〔2014〕68号）的规定，本单位为符合条件的监狱企业，且本单位参加</w:t>
      </w:r>
      <w:r>
        <w:rPr>
          <w:rStyle w:val="43"/>
          <w:rFonts w:hint="eastAsia" w:ascii="宋体" w:hAnsi="宋体" w:cs="宋体"/>
          <w:color w:val="000000" w:themeColor="text1"/>
          <w:spacing w:val="6"/>
          <w:sz w:val="24"/>
          <w:szCs w:val="24"/>
          <w:u w:val="single"/>
          <w14:textFill>
            <w14:solidFill>
              <w14:schemeClr w14:val="tx1"/>
            </w14:solidFill>
          </w14:textFill>
        </w:rPr>
        <w:t xml:space="preserve"> （采购单位名称） </w:t>
      </w:r>
      <w:r>
        <w:rPr>
          <w:rStyle w:val="43"/>
          <w:rFonts w:hint="eastAsia" w:ascii="宋体" w:hAnsi="宋体" w:cs="宋体"/>
          <w:color w:val="000000" w:themeColor="text1"/>
          <w:spacing w:val="6"/>
          <w:sz w:val="24"/>
          <w:szCs w:val="24"/>
          <w14:textFill>
            <w14:solidFill>
              <w14:schemeClr w14:val="tx1"/>
            </w14:solidFill>
          </w14:textFill>
        </w:rPr>
        <w:t>单位的</w:t>
      </w:r>
      <w:r>
        <w:rPr>
          <w:rStyle w:val="43"/>
          <w:rFonts w:hint="eastAsia" w:ascii="宋体" w:hAnsi="宋体" w:cs="宋体"/>
          <w:color w:val="000000" w:themeColor="text1"/>
          <w:spacing w:val="6"/>
          <w:sz w:val="24"/>
          <w:szCs w:val="24"/>
          <w:u w:val="single"/>
          <w14:textFill>
            <w14:solidFill>
              <w14:schemeClr w14:val="tx1"/>
            </w14:solidFill>
          </w14:textFill>
        </w:rPr>
        <w:t xml:space="preserve"> （采购项目名称） </w:t>
      </w:r>
      <w:r>
        <w:rPr>
          <w:rStyle w:val="43"/>
          <w:rFonts w:hint="eastAsia" w:ascii="宋体" w:hAnsi="宋体" w:cs="宋体"/>
          <w:color w:val="000000" w:themeColor="text1"/>
          <w:spacing w:val="6"/>
          <w:sz w:val="24"/>
          <w:szCs w:val="24"/>
          <w14:textFill>
            <w14:solidFill>
              <w14:schemeClr w14:val="tx1"/>
            </w14:solidFill>
          </w14:textFill>
        </w:rPr>
        <w:t>项目采购</w:t>
      </w:r>
      <w:r>
        <w:rPr>
          <w:rStyle w:val="43"/>
          <w:rFonts w:hint="eastAsia" w:ascii="宋体" w:hAnsi="宋体" w:cs="宋体"/>
          <w:color w:val="000000" w:themeColor="text1"/>
          <w:kern w:val="0"/>
          <w:sz w:val="24"/>
          <w:szCs w:val="24"/>
          <w14:textFill>
            <w14:solidFill>
              <w14:schemeClr w14:val="tx1"/>
            </w14:solidFill>
          </w14:textFill>
        </w:rPr>
        <w:t>活动，并提供：□本单位制造的货物；□由本单位承担的工程、提供服务；□提供其他监狱企业制造的货物（承诺人在□处打√）</w:t>
      </w:r>
      <w:r>
        <w:rPr>
          <w:rStyle w:val="43"/>
          <w:rFonts w:hint="eastAsia" w:ascii="宋体" w:hAnsi="宋体" w:cs="宋体"/>
          <w:color w:val="000000" w:themeColor="text1"/>
          <w:spacing w:val="6"/>
          <w:sz w:val="24"/>
          <w:szCs w:val="24"/>
          <w14:textFill>
            <w14:solidFill>
              <w14:schemeClr w14:val="tx1"/>
            </w14:solidFill>
          </w14:textFill>
        </w:rPr>
        <w:t>。</w:t>
      </w:r>
      <w:r>
        <w:rPr>
          <w:rStyle w:val="43"/>
          <w:rFonts w:hint="eastAsia" w:ascii="宋体" w:hAnsi="宋体" w:cs="宋体"/>
          <w:color w:val="000000" w:themeColor="text1"/>
          <w:kern w:val="0"/>
          <w:sz w:val="24"/>
          <w:szCs w:val="24"/>
          <w14:textFill>
            <w14:solidFill>
              <w14:schemeClr w14:val="tx1"/>
            </w14:solidFill>
          </w14:textFill>
        </w:rPr>
        <w:t>本条所称货物是指单一产品采购项目中的货物，或者非单一产品采购项目中的核心产品（货物）。</w:t>
      </w:r>
    </w:p>
    <w:p>
      <w:pPr>
        <w:snapToGrid w:val="0"/>
        <w:spacing w:line="620" w:lineRule="exact"/>
        <w:ind w:firstLine="504" w:firstLineChars="200"/>
        <w:textAlignment w:val="baseline"/>
        <w:rPr>
          <w:rStyle w:val="43"/>
          <w:rFonts w:ascii="宋体" w:hAnsi="宋体" w:cs="宋体"/>
          <w:color w:val="000000" w:themeColor="text1"/>
          <w:spacing w:val="6"/>
          <w:sz w:val="24"/>
          <w:szCs w:val="24"/>
          <w14:textFill>
            <w14:solidFill>
              <w14:schemeClr w14:val="tx1"/>
            </w14:solidFill>
          </w14:textFill>
        </w:rPr>
      </w:pPr>
      <w:r>
        <w:rPr>
          <w:rStyle w:val="43"/>
          <w:rFonts w:hint="eastAsia" w:ascii="宋体" w:hAnsi="宋体" w:cs="宋体"/>
          <w:color w:val="000000" w:themeColor="text1"/>
          <w:spacing w:val="6"/>
          <w:sz w:val="24"/>
          <w:szCs w:val="24"/>
          <w14:textFill>
            <w14:solidFill>
              <w14:schemeClr w14:val="tx1"/>
            </w14:solidFill>
          </w14:textFill>
        </w:rPr>
        <w:t>本单位对上述声明的真实性负责。如有虚假，将依法承担相应责任。</w:t>
      </w:r>
    </w:p>
    <w:p>
      <w:pPr>
        <w:snapToGrid w:val="0"/>
        <w:spacing w:line="620" w:lineRule="exact"/>
        <w:ind w:firstLine="504" w:firstLineChars="200"/>
        <w:textAlignment w:val="baseline"/>
        <w:rPr>
          <w:rStyle w:val="43"/>
          <w:rFonts w:ascii="宋体" w:hAnsi="宋体" w:cs="宋体"/>
          <w:color w:val="000000" w:themeColor="text1"/>
          <w:spacing w:val="6"/>
          <w:sz w:val="24"/>
          <w:szCs w:val="24"/>
          <w14:textFill>
            <w14:solidFill>
              <w14:schemeClr w14:val="tx1"/>
            </w14:solidFill>
          </w14:textFill>
        </w:rPr>
      </w:pPr>
      <w:r>
        <w:rPr>
          <w:rStyle w:val="43"/>
          <w:rFonts w:hint="eastAsia" w:ascii="宋体" w:hAnsi="宋体" w:cs="宋体"/>
          <w:color w:val="000000" w:themeColor="text1"/>
          <w:spacing w:val="6"/>
          <w:sz w:val="24"/>
          <w:szCs w:val="24"/>
          <w14:textFill>
            <w14:solidFill>
              <w14:schemeClr w14:val="tx1"/>
            </w14:solidFill>
          </w14:textFill>
        </w:rPr>
        <w:t>附：省级以上监狱管理局、戒毒管理局（含新疆生产建设兵团）出具的监狱企业证明文件。</w:t>
      </w:r>
    </w:p>
    <w:p>
      <w:pPr>
        <w:snapToGrid w:val="0"/>
        <w:spacing w:line="620" w:lineRule="exact"/>
        <w:ind w:firstLine="504" w:firstLineChars="200"/>
        <w:textAlignment w:val="baseline"/>
        <w:rPr>
          <w:rStyle w:val="43"/>
          <w:rFonts w:ascii="宋体" w:hAnsi="宋体" w:cs="宋体"/>
          <w:color w:val="000000" w:themeColor="text1"/>
          <w:spacing w:val="6"/>
          <w:sz w:val="24"/>
          <w:szCs w:val="24"/>
          <w14:textFill>
            <w14:solidFill>
              <w14:schemeClr w14:val="tx1"/>
            </w14:solidFill>
          </w14:textFill>
        </w:rPr>
      </w:pPr>
    </w:p>
    <w:p>
      <w:pPr>
        <w:snapToGrid w:val="0"/>
        <w:spacing w:line="620" w:lineRule="exact"/>
        <w:ind w:firstLine="504" w:firstLineChars="200"/>
        <w:textAlignment w:val="baseline"/>
        <w:rPr>
          <w:rStyle w:val="43"/>
          <w:rFonts w:ascii="宋体" w:hAnsi="宋体" w:cs="宋体"/>
          <w:color w:val="000000" w:themeColor="text1"/>
          <w:spacing w:val="6"/>
          <w:sz w:val="24"/>
          <w:szCs w:val="24"/>
          <w14:textFill>
            <w14:solidFill>
              <w14:schemeClr w14:val="tx1"/>
            </w14:solidFill>
          </w14:textFill>
        </w:rPr>
      </w:pPr>
    </w:p>
    <w:p>
      <w:pPr>
        <w:tabs>
          <w:tab w:val="left" w:pos="4860"/>
        </w:tabs>
        <w:snapToGrid w:val="0"/>
        <w:spacing w:line="620" w:lineRule="exact"/>
        <w:ind w:right="1560" w:firstLine="504" w:firstLineChars="200"/>
        <w:jc w:val="center"/>
        <w:textAlignment w:val="baseline"/>
        <w:rPr>
          <w:rStyle w:val="43"/>
          <w:rFonts w:ascii="宋体" w:hAnsi="宋体" w:cs="宋体"/>
          <w:color w:val="000000" w:themeColor="text1"/>
          <w:spacing w:val="6"/>
          <w:sz w:val="24"/>
          <w:szCs w:val="24"/>
          <w14:textFill>
            <w14:solidFill>
              <w14:schemeClr w14:val="tx1"/>
            </w14:solidFill>
          </w14:textFill>
        </w:rPr>
      </w:pPr>
      <w:r>
        <w:rPr>
          <w:rStyle w:val="43"/>
          <w:rFonts w:hint="eastAsia" w:ascii="宋体" w:hAnsi="宋体" w:cs="宋体"/>
          <w:color w:val="000000" w:themeColor="text1"/>
          <w:spacing w:val="6"/>
          <w:sz w:val="24"/>
          <w:szCs w:val="24"/>
          <w14:textFill>
            <w14:solidFill>
              <w14:schemeClr w14:val="tx1"/>
            </w14:solidFill>
          </w14:textFill>
        </w:rPr>
        <w:t xml:space="preserve">               单位名称（盖章）：</w:t>
      </w:r>
    </w:p>
    <w:p>
      <w:pPr>
        <w:tabs>
          <w:tab w:val="left" w:pos="640"/>
          <w:tab w:val="left" w:pos="840"/>
          <w:tab w:val="left" w:pos="1260"/>
          <w:tab w:val="left" w:pos="1418"/>
        </w:tabs>
        <w:spacing w:line="360" w:lineRule="auto"/>
        <w:rPr>
          <w:rFonts w:ascii="宋体" w:hAnsi="宋体" w:cs="宋体"/>
          <w:color w:val="000000" w:themeColor="text1"/>
          <w:spacing w:val="6"/>
          <w:sz w:val="24"/>
          <w:szCs w:val="24"/>
          <w14:textFill>
            <w14:solidFill>
              <w14:schemeClr w14:val="tx1"/>
            </w14:solidFill>
          </w14:textFill>
        </w:rPr>
      </w:pPr>
      <w:r>
        <w:rPr>
          <w:rStyle w:val="43"/>
          <w:rFonts w:hint="eastAsia" w:ascii="宋体" w:hAnsi="宋体" w:cs="宋体"/>
          <w:color w:val="000000" w:themeColor="text1"/>
          <w:spacing w:val="6"/>
          <w:sz w:val="24"/>
          <w:szCs w:val="24"/>
          <w14:textFill>
            <w14:solidFill>
              <w14:schemeClr w14:val="tx1"/>
            </w14:solidFill>
          </w14:textFill>
        </w:rPr>
        <w:t xml:space="preserve">                             日  期</w:t>
      </w:r>
      <w:r>
        <w:rPr>
          <w:rFonts w:hint="eastAsia" w:ascii="宋体" w:hAnsi="宋体" w:cs="宋体"/>
          <w:color w:val="000000" w:themeColor="text1"/>
          <w:spacing w:val="6"/>
          <w:sz w:val="24"/>
          <w:szCs w:val="24"/>
          <w14:textFill>
            <w14:solidFill>
              <w14:schemeClr w14:val="tx1"/>
            </w14:solidFill>
          </w14:textFill>
        </w:rPr>
        <w:t>：</w:t>
      </w:r>
    </w:p>
    <w:p>
      <w:pPr>
        <w:pStyle w:val="3"/>
        <w:rPr>
          <w:rFonts w:ascii="宋体" w:cs="宋体"/>
          <w:color w:val="000000" w:themeColor="text1"/>
          <w:spacing w:val="6"/>
          <w:sz w:val="21"/>
          <w14:textFill>
            <w14:solidFill>
              <w14:schemeClr w14:val="tx1"/>
            </w14:solidFill>
          </w14:textFill>
        </w:rPr>
      </w:pPr>
    </w:p>
    <w:p>
      <w:pPr>
        <w:rPr>
          <w:rFonts w:ascii="宋体" w:hAnsi="宋体" w:cs="宋体"/>
          <w:color w:val="000000" w:themeColor="text1"/>
          <w:spacing w:val="6"/>
          <w:szCs w:val="21"/>
          <w14:textFill>
            <w14:solidFill>
              <w14:schemeClr w14:val="tx1"/>
            </w14:solidFill>
          </w14:textFill>
        </w:rPr>
      </w:pPr>
    </w:p>
    <w:p>
      <w:pPr>
        <w:pStyle w:val="3"/>
        <w:rPr>
          <w:rFonts w:ascii="宋体" w:cs="宋体"/>
          <w:color w:val="000000" w:themeColor="text1"/>
          <w:spacing w:val="6"/>
          <w:sz w:val="21"/>
          <w14:textFill>
            <w14:solidFill>
              <w14:schemeClr w14:val="tx1"/>
            </w14:solidFill>
          </w14:textFill>
        </w:rPr>
      </w:pPr>
    </w:p>
    <w:p>
      <w:pPr>
        <w:rPr>
          <w:rFonts w:ascii="宋体" w:hAnsi="宋体" w:cs="宋体"/>
          <w:color w:val="000000" w:themeColor="text1"/>
          <w:spacing w:val="6"/>
          <w:szCs w:val="21"/>
          <w14:textFill>
            <w14:solidFill>
              <w14:schemeClr w14:val="tx1"/>
            </w14:solidFill>
          </w14:textFill>
        </w:rPr>
      </w:pPr>
    </w:p>
    <w:p>
      <w:pPr>
        <w:pStyle w:val="3"/>
        <w:rPr>
          <w:rFonts w:ascii="宋体" w:cs="宋体"/>
          <w:color w:val="000000" w:themeColor="text1"/>
          <w:spacing w:val="6"/>
          <w:sz w:val="21"/>
          <w14:textFill>
            <w14:solidFill>
              <w14:schemeClr w14:val="tx1"/>
            </w14:solidFill>
          </w14:textFill>
        </w:rPr>
      </w:pPr>
    </w:p>
    <w:p>
      <w:pPr>
        <w:rPr>
          <w:rFonts w:ascii="宋体" w:hAnsi="宋体" w:cs="宋体"/>
          <w:color w:val="000000" w:themeColor="text1"/>
          <w:spacing w:val="6"/>
          <w:szCs w:val="21"/>
          <w14:textFill>
            <w14:solidFill>
              <w14:schemeClr w14:val="tx1"/>
            </w14:solidFill>
          </w14:textFill>
        </w:rPr>
      </w:pPr>
    </w:p>
    <w:p>
      <w:pPr>
        <w:pStyle w:val="3"/>
        <w:rPr>
          <w:rFonts w:ascii="宋体" w:cs="宋体"/>
          <w:color w:val="000000" w:themeColor="text1"/>
          <w:spacing w:val="6"/>
          <w:sz w:val="21"/>
          <w14:textFill>
            <w14:solidFill>
              <w14:schemeClr w14:val="tx1"/>
            </w14:solidFill>
          </w14:textFill>
        </w:rPr>
      </w:pPr>
    </w:p>
    <w:p>
      <w:pPr>
        <w:rPr>
          <w:rFonts w:ascii="宋体" w:hAnsi="宋体" w:cs="宋体"/>
          <w:color w:val="000000" w:themeColor="text1"/>
          <w:spacing w:val="6"/>
          <w:szCs w:val="21"/>
          <w14:textFill>
            <w14:solidFill>
              <w14:schemeClr w14:val="tx1"/>
            </w14:solidFill>
          </w14:textFill>
        </w:rPr>
      </w:pPr>
    </w:p>
    <w:p>
      <w:pPr>
        <w:pStyle w:val="3"/>
        <w:rPr>
          <w:color w:val="000000" w:themeColor="text1"/>
          <w14:textFill>
            <w14:solidFill>
              <w14:schemeClr w14:val="tx1"/>
            </w14:solidFill>
          </w14:textFill>
        </w:rPr>
      </w:pPr>
    </w:p>
    <w:p>
      <w:pPr>
        <w:numPr>
          <w:ilvl w:val="0"/>
          <w:numId w:val="10"/>
        </w:numPr>
        <w:tabs>
          <w:tab w:val="left" w:pos="640"/>
          <w:tab w:val="left" w:pos="840"/>
          <w:tab w:val="left" w:pos="1260"/>
          <w:tab w:val="left" w:pos="1418"/>
        </w:tabs>
        <w:spacing w:line="360" w:lineRule="auto"/>
        <w:ind w:left="845" w:hanging="8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供应商基本情况表、社保证明及股权关系证明</w:t>
      </w:r>
    </w:p>
    <w:p>
      <w:pPr>
        <w:snapToGrid w:val="0"/>
        <w:rPr>
          <w:rFonts w:hint="eastAsia" w:ascii="宋体" w:hAnsi="宋体" w:cs="宋体"/>
          <w:b/>
          <w:color w:val="000000" w:themeColor="text1"/>
          <w:sz w:val="24"/>
          <w:highlight w:val="yellow"/>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根据《深圳经济特区政府采购条例实施细则》第七十五条规定，以下内容将作为判定本项目不同投标供应商是否涉嫌、属于串通投标的重要依据，请供应商认真填报，并保证所填信息的真实、准确和完整。）</w:t>
      </w:r>
    </w:p>
    <w:p>
      <w:pPr>
        <w:snapToGrid w:val="0"/>
        <w:rPr>
          <w:rFonts w:hint="eastAsia" w:ascii="宋体" w:hAnsi="宋体" w:cs="宋体"/>
          <w:b/>
          <w:color w:val="000000" w:themeColor="text1"/>
          <w:sz w:val="24"/>
          <w14:textFill>
            <w14:solidFill>
              <w14:schemeClr w14:val="tx1"/>
            </w14:solidFill>
          </w14:textFill>
        </w:rPr>
      </w:pPr>
    </w:p>
    <w:p>
      <w:pPr>
        <w:snapToGrid w:val="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1.《供应商基本情况表》</w:t>
      </w:r>
    </w:p>
    <w:p>
      <w:pPr>
        <w:adjustRightInd w:val="0"/>
        <w:snapToGrid w:val="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填表单位（</w:t>
      </w:r>
      <w:r>
        <w:rPr>
          <w:rFonts w:hint="eastAsia" w:ascii="宋体" w:hAnsi="宋体" w:cs="宋体"/>
          <w:b/>
          <w:bCs/>
          <w:color w:val="000000" w:themeColor="text1"/>
          <w:sz w:val="24"/>
          <w14:textFill>
            <w14:solidFill>
              <w14:schemeClr w14:val="tx1"/>
            </w14:solidFill>
          </w14:textFill>
        </w:rPr>
        <w:t>加盖单位公章，必填项</w:t>
      </w:r>
      <w:r>
        <w:rPr>
          <w:rFonts w:hint="eastAsia" w:ascii="宋体" w:hAnsi="宋体" w:cs="宋体"/>
          <w:color w:val="000000" w:themeColor="text1"/>
          <w:sz w:val="24"/>
          <w14:textFill>
            <w14:solidFill>
              <w14:schemeClr w14:val="tx1"/>
            </w14:solidFill>
          </w14:textFill>
        </w:rPr>
        <w:t>）：</w:t>
      </w:r>
    </w:p>
    <w:p>
      <w:pPr>
        <w:adjustRightInd w:val="0"/>
        <w:snapToGrid w:val="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填表日期（</w:t>
      </w:r>
      <w:r>
        <w:rPr>
          <w:rFonts w:hint="eastAsia" w:ascii="宋体" w:hAnsi="宋体" w:cs="宋体"/>
          <w:b/>
          <w:bCs/>
          <w:color w:val="000000" w:themeColor="text1"/>
          <w:sz w:val="24"/>
          <w14:textFill>
            <w14:solidFill>
              <w14:schemeClr w14:val="tx1"/>
            </w14:solidFill>
          </w14:textFill>
        </w:rPr>
        <w:t>必填项</w:t>
      </w:r>
      <w:r>
        <w:rPr>
          <w:rFonts w:hint="eastAsia" w:ascii="宋体" w:hAnsi="宋体" w:cs="宋体"/>
          <w:color w:val="000000" w:themeColor="text1"/>
          <w:sz w:val="24"/>
          <w14:textFill>
            <w14:solidFill>
              <w14:schemeClr w14:val="tx1"/>
            </w14:solidFill>
          </w14:textFill>
        </w:rPr>
        <w:t>）：        年     月      日</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4"/>
        <w:gridCol w:w="1467"/>
        <w:gridCol w:w="926"/>
        <w:gridCol w:w="718"/>
        <w:gridCol w:w="1304"/>
        <w:gridCol w:w="139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8" w:type="pct"/>
            <w:gridSpan w:val="2"/>
            <w:noWrap w:val="0"/>
            <w:vAlign w:val="center"/>
          </w:tcPr>
          <w:p>
            <w:pPr>
              <w:widowControl/>
              <w:snapToGrid w:val="0"/>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采购人</w:t>
            </w:r>
          </w:p>
        </w:tc>
        <w:tc>
          <w:tcPr>
            <w:tcW w:w="1406" w:type="pct"/>
            <w:gridSpan w:val="2"/>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noWrap w:val="0"/>
            <w:vAlign w:val="center"/>
          </w:tcPr>
          <w:p>
            <w:pPr>
              <w:widowControl/>
              <w:snapToGrid w:val="0"/>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项目名称</w:t>
            </w:r>
          </w:p>
        </w:tc>
        <w:tc>
          <w:tcPr>
            <w:tcW w:w="1656" w:type="pct"/>
            <w:gridSpan w:val="2"/>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投标（响应）供应商</w:t>
            </w:r>
          </w:p>
        </w:tc>
        <w:tc>
          <w:tcPr>
            <w:tcW w:w="1406" w:type="pct"/>
            <w:gridSpan w:val="2"/>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供应商统一社会信用代码</w:t>
            </w:r>
          </w:p>
        </w:tc>
        <w:tc>
          <w:tcPr>
            <w:tcW w:w="1656" w:type="pct"/>
            <w:gridSpan w:val="2"/>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000" w:type="pct"/>
            <w:gridSpan w:val="8"/>
            <w:noWrap w:val="0"/>
            <w:vAlign w:val="center"/>
          </w:tcPr>
          <w:p>
            <w:pPr>
              <w:widowControl/>
              <w:snapToGrid w:val="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1223" w:type="pct"/>
            <w:gridSpan w:val="2"/>
            <w:tcBorders>
              <w:bottom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职务</w:t>
            </w:r>
          </w:p>
        </w:tc>
        <w:tc>
          <w:tcPr>
            <w:tcW w:w="543" w:type="pct"/>
            <w:tcBorders>
              <w:bottom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姓名</w:t>
            </w:r>
          </w:p>
        </w:tc>
        <w:tc>
          <w:tcPr>
            <w:tcW w:w="1188" w:type="pct"/>
            <w:gridSpan w:val="2"/>
            <w:tcBorders>
              <w:bottom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身份证号码</w:t>
            </w:r>
          </w:p>
        </w:tc>
        <w:tc>
          <w:tcPr>
            <w:tcW w:w="821" w:type="pct"/>
            <w:tcBorders>
              <w:bottom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劳动合同</w:t>
            </w:r>
          </w:p>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关系单位</w:t>
            </w:r>
          </w:p>
        </w:tc>
        <w:tc>
          <w:tcPr>
            <w:tcW w:w="835" w:type="pct"/>
            <w:tcBorders>
              <w:bottom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缴纳社会</w:t>
            </w:r>
          </w:p>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法定代表人/单位负责人/主要经营负责人（必填项）</w:t>
            </w:r>
          </w:p>
        </w:tc>
        <w:tc>
          <w:tcPr>
            <w:tcW w:w="5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2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项目投标授权代表人（必填项）</w:t>
            </w:r>
          </w:p>
        </w:tc>
        <w:tc>
          <w:tcPr>
            <w:tcW w:w="5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2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w:t>
            </w:r>
          </w:p>
        </w:tc>
        <w:tc>
          <w:tcPr>
            <w:tcW w:w="1223" w:type="pct"/>
            <w:gridSpan w:val="2"/>
            <w:tcBorders>
              <w:top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项目负责人（如有）</w:t>
            </w:r>
          </w:p>
        </w:tc>
        <w:tc>
          <w:tcPr>
            <w:tcW w:w="543" w:type="pct"/>
            <w:tcBorders>
              <w:top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tcBorders>
              <w:top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21" w:type="pct"/>
            <w:tcBorders>
              <w:top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35" w:type="pct"/>
            <w:tcBorders>
              <w:top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w:t>
            </w:r>
          </w:p>
        </w:tc>
        <w:tc>
          <w:tcPr>
            <w:tcW w:w="1223" w:type="pct"/>
            <w:gridSpan w:val="2"/>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主要技术人员（如有）</w:t>
            </w:r>
          </w:p>
        </w:tc>
        <w:tc>
          <w:tcPr>
            <w:tcW w:w="543" w:type="pct"/>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21" w:type="pct"/>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35" w:type="pct"/>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w:t>
            </w:r>
          </w:p>
        </w:tc>
        <w:tc>
          <w:tcPr>
            <w:tcW w:w="1223" w:type="pct"/>
            <w:gridSpan w:val="2"/>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投标文件编制人员（必填项）</w:t>
            </w:r>
          </w:p>
        </w:tc>
        <w:tc>
          <w:tcPr>
            <w:tcW w:w="543" w:type="pct"/>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21" w:type="pct"/>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35" w:type="pct"/>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pPr>
              <w:widowControl/>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说明：1.同一职务有多人担任（如主要技术人员），应分行填写。</w:t>
            </w:r>
          </w:p>
          <w:p>
            <w:pPr>
              <w:pStyle w:val="5"/>
              <w:ind w:firstLine="723" w:firstLineChars="300"/>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2.上述项目负责人、主要技术人员必须为供应商本单位人员。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pPr>
              <w:widowControl/>
              <w:snapToGrid w:val="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关联关系类型</w:t>
            </w:r>
          </w:p>
        </w:tc>
        <w:tc>
          <w:tcPr>
            <w:tcW w:w="966" w:type="pct"/>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关联主体名称</w:t>
            </w: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控股股东（必填项）</w:t>
            </w:r>
          </w:p>
        </w:tc>
        <w:tc>
          <w:tcPr>
            <w:tcW w:w="966" w:type="pct"/>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pPr>
              <w:widowControl/>
              <w:snapToGrid w:val="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2.如股东为法人或其他组织的，请填写法人或组织的全称及统一社会信用代码；如股东为自然人的，请填写姓名及身份证号。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管理关系（如无，可不填写）</w:t>
            </w:r>
          </w:p>
        </w:tc>
        <w:tc>
          <w:tcPr>
            <w:tcW w:w="966" w:type="pct"/>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说明：</w:t>
            </w:r>
          </w:p>
          <w:p>
            <w:pPr>
              <w:widowControl/>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1.同一关联关系类型有多个主体的，应分行填写。</w:t>
            </w:r>
          </w:p>
          <w:p>
            <w:pPr>
              <w:pStyle w:val="5"/>
              <w:ind w:firstLine="0" w:firstLineChars="0"/>
              <w:rPr>
                <w:rFonts w:hint="eastAsia"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2.上述规定的控股、管理关系仅限于直接控股、直接管理关系，不包括间接的控股或管理关系。</w:t>
            </w:r>
          </w:p>
        </w:tc>
      </w:tr>
    </w:tbl>
    <w:p>
      <w:pPr>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备注：注明“必填项”的必须填写；未注明“必填项”的，如供应商未填写则视为未安排（或无）。</w:t>
      </w:r>
    </w:p>
    <w:p>
      <w:pPr>
        <w:widowControl/>
        <w:snapToGrid w:val="0"/>
        <w:rPr>
          <w:rFonts w:hint="eastAsia" w:ascii="宋体" w:hAnsi="宋体" w:cs="宋体"/>
          <w:b/>
          <w:color w:val="000000" w:themeColor="text1"/>
          <w:sz w:val="24"/>
          <w14:textFill>
            <w14:solidFill>
              <w14:schemeClr w14:val="tx1"/>
            </w14:solidFill>
          </w14:textFill>
        </w:rPr>
      </w:pPr>
    </w:p>
    <w:p>
      <w:pPr>
        <w:snapToGrid w:val="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2.社保证明材料：</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（1）法定代表人/单位负责人/主要经营负责人</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开标前一个月的社保缴纳凭证：</w:t>
      </w:r>
    </w:p>
    <w:p>
      <w:pPr>
        <w:pStyle w:val="5"/>
        <w:widowControl/>
        <w:ind w:firstLine="480"/>
        <w:rPr>
          <w:rFonts w:hint="eastAsia" w:ascii="宋体" w:hAnsi="宋体" w:cs="宋体"/>
          <w:bCs/>
          <w:color w:val="000000" w:themeColor="text1"/>
          <w:sz w:val="24"/>
          <w:szCs w:val="24"/>
          <w14:textFill>
            <w14:solidFill>
              <w14:schemeClr w14:val="tx1"/>
            </w14:solidFill>
          </w14:textFill>
        </w:rPr>
      </w:pP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（2）投标授权代表人</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身份证复印件（正反面）：</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开标前一个月的社保缴纳凭证：</w:t>
      </w:r>
    </w:p>
    <w:p>
      <w:pPr>
        <w:pStyle w:val="5"/>
        <w:widowControl/>
        <w:ind w:firstLine="480"/>
        <w:rPr>
          <w:rFonts w:hint="eastAsia" w:ascii="宋体" w:hAnsi="宋体" w:cs="宋体"/>
          <w:bCs/>
          <w:color w:val="000000" w:themeColor="text1"/>
          <w:sz w:val="24"/>
          <w:szCs w:val="24"/>
          <w14:textFill>
            <w14:solidFill>
              <w14:schemeClr w14:val="tx1"/>
            </w14:solidFill>
          </w14:textFill>
        </w:rPr>
      </w:pP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（3）项目负责人（如本项目未安排，可不提供）</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开标前一个月的社保缴纳凭证：</w:t>
      </w:r>
    </w:p>
    <w:p>
      <w:pPr>
        <w:pStyle w:val="5"/>
        <w:widowControl/>
        <w:ind w:firstLine="480"/>
        <w:rPr>
          <w:rFonts w:hint="eastAsia" w:ascii="宋体" w:hAnsi="宋体" w:cs="宋体"/>
          <w:bCs/>
          <w:color w:val="000000" w:themeColor="text1"/>
          <w:sz w:val="24"/>
          <w:szCs w:val="24"/>
          <w14:textFill>
            <w14:solidFill>
              <w14:schemeClr w14:val="tx1"/>
            </w14:solidFill>
          </w14:textFill>
        </w:rPr>
      </w:pP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（4）主要技术人员（如本项目未安排，可不提供）</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身份证复印件（正反面）：</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开标前一个月的社保缴纳凭证：</w:t>
      </w:r>
    </w:p>
    <w:p>
      <w:pPr>
        <w:pStyle w:val="5"/>
        <w:widowControl/>
        <w:ind w:firstLine="480"/>
        <w:rPr>
          <w:rFonts w:hint="eastAsia" w:ascii="宋体" w:hAnsi="宋体" w:cs="宋体"/>
          <w:bCs/>
          <w:color w:val="000000" w:themeColor="text1"/>
          <w:sz w:val="24"/>
          <w:szCs w:val="24"/>
          <w14:textFill>
            <w14:solidFill>
              <w14:schemeClr w14:val="tx1"/>
            </w14:solidFill>
          </w14:textFill>
        </w:rPr>
      </w:pPr>
    </w:p>
    <w:p>
      <w:pPr>
        <w:widowControl/>
        <w:numPr>
          <w:ilvl w:val="0"/>
          <w:numId w:val="12"/>
        </w:numPr>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投标文件编制人员</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身份证复印件（正反面）：</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开标前一个月的社保缴纳凭证：</w:t>
      </w:r>
    </w:p>
    <w:p>
      <w:pPr>
        <w:pStyle w:val="5"/>
        <w:widowControl/>
        <w:ind w:firstLine="480"/>
        <w:rPr>
          <w:rFonts w:hint="eastAsia" w:ascii="宋体" w:hAnsi="宋体" w:cs="宋体"/>
          <w:color w:val="000000" w:themeColor="text1"/>
          <w:sz w:val="24"/>
          <w:szCs w:val="24"/>
          <w14:textFill>
            <w14:solidFill>
              <w14:schemeClr w14:val="tx1"/>
            </w14:solidFill>
          </w14:textFill>
        </w:rPr>
      </w:pP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注：</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1.如开标前近一个月的社保材料因社保部门原因暂时无法取得，则可以往前顺延一个月。其中项目负责人及主要技术人员社保证明须由供应商缴纳。</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2.供应商的项目投标授权代表人与法定代表人为同一人的，则须提供法定代表人的社保证明；本项目未安排项目负责人的，则无须提供项目负责人的社保证明。</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3.如无法按上述要求提供人员社会保险证明材料的，提交以下材料亦视为符合：</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如法定代表人未在投标单位缴纳社保，则还需提供缴纳社保的公司与投标单位的相关关联关系说明。</w:t>
      </w:r>
    </w:p>
    <w:p>
      <w:pPr>
        <w:snapToGrid w:val="0"/>
        <w:rPr>
          <w:rFonts w:hint="eastAsia" w:ascii="宋体" w:hAnsi="宋体" w:cs="宋体"/>
          <w:b/>
          <w:color w:val="000000" w:themeColor="text1"/>
          <w:sz w:val="28"/>
          <w:szCs w:val="28"/>
          <w14:textFill>
            <w14:solidFill>
              <w14:schemeClr w14:val="tx1"/>
            </w14:solidFill>
          </w14:textFill>
        </w:rPr>
      </w:pPr>
    </w:p>
    <w:p>
      <w:pPr>
        <w:snapToGrid w:val="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3.股权关系证明材料：</w:t>
      </w:r>
    </w:p>
    <w:p>
      <w:pPr>
        <w:widowControl/>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（1）股权（或管理）关系证明材料：</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pPr>
        <w:jc w:val="left"/>
        <w:rPr>
          <w:rFonts w:hint="eastAsia" w:ascii="宋体" w:hAnsi="宋体" w:cs="宋体"/>
          <w:color w:val="000000" w:themeColor="text1"/>
          <w:sz w:val="24"/>
          <w14:textFill>
            <w14:solidFill>
              <w14:schemeClr w14:val="tx1"/>
            </w14:solidFill>
          </w14:textFill>
        </w:rPr>
      </w:pPr>
    </w:p>
    <w:p>
      <w:pPr>
        <w:widowControl/>
        <w:snapToGrid w:val="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（2）股权关系情况承诺函</w:t>
      </w:r>
    </w:p>
    <w:p>
      <w:pPr>
        <w:widowControl/>
        <w:snapToGrid w:val="0"/>
        <w:ind w:firstLine="482" w:firstLineChars="20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《股权关系情况承诺函》</w:t>
      </w:r>
    </w:p>
    <w:p>
      <w:pPr>
        <w:widowControl/>
        <w:snapToGrid w:val="0"/>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我公司申请参加</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项目（项目编号为</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）的投标，并作出如下承诺：</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我公司承诺所填的股权关系情况真实、准确、完整。</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特此承诺！</w:t>
      </w:r>
    </w:p>
    <w:p>
      <w:pPr>
        <w:widowControl/>
        <w:snapToGrid w:val="0"/>
        <w:rPr>
          <w:rFonts w:hint="eastAsia" w:ascii="宋体" w:hAnsi="宋体" w:cs="宋体"/>
          <w:bCs/>
          <w:color w:val="000000" w:themeColor="text1"/>
          <w:sz w:val="24"/>
          <w14:textFill>
            <w14:solidFill>
              <w14:schemeClr w14:val="tx1"/>
            </w14:solidFill>
          </w14:textFill>
        </w:rPr>
      </w:pP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供应商名称（加盖公章</w:t>
      </w:r>
      <w:r>
        <w:rPr>
          <w:rFonts w:hint="eastAsia" w:ascii="宋体" w:hAnsi="宋体" w:cs="宋体"/>
          <w:bCs/>
          <w:color w:val="000000" w:themeColor="text1"/>
          <w:sz w:val="24"/>
          <w14:textFill>
            <w14:solidFill>
              <w14:schemeClr w14:val="tx1"/>
            </w14:solidFill>
          </w14:textFill>
        </w:rPr>
        <w:tab/>
      </w:r>
      <w:r>
        <w:rPr>
          <w:rFonts w:hint="eastAsia" w:ascii="宋体" w:hAnsi="宋体" w:cs="宋体"/>
          <w:bCs/>
          <w:color w:val="000000" w:themeColor="text1"/>
          <w:sz w:val="24"/>
          <w14:textFill>
            <w14:solidFill>
              <w14:schemeClr w14:val="tx1"/>
            </w14:solidFill>
          </w14:textFill>
        </w:rPr>
        <w:t xml:space="preserve">）： </w:t>
      </w:r>
    </w:p>
    <w:p>
      <w:pPr>
        <w:widowControl/>
        <w:snapToGrid w:val="0"/>
        <w:ind w:firstLine="3840" w:firstLineChars="16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日  期：       年    月   日</w:t>
      </w:r>
    </w:p>
    <w:p>
      <w:pPr>
        <w:widowControl/>
        <w:snapToGrid w:val="0"/>
        <w:rPr>
          <w:rFonts w:hint="eastAsia" w:ascii="宋体" w:hAnsi="宋体" w:cs="宋体"/>
          <w:bCs/>
          <w:color w:val="000000" w:themeColor="text1"/>
          <w:sz w:val="24"/>
          <w14:textFill>
            <w14:solidFill>
              <w14:schemeClr w14:val="tx1"/>
            </w14:solidFill>
          </w14:textFill>
        </w:rPr>
      </w:pPr>
    </w:p>
    <w:p>
      <w:pPr>
        <w:tabs>
          <w:tab w:val="left" w:pos="640"/>
          <w:tab w:val="left" w:pos="840"/>
          <w:tab w:val="left" w:pos="1260"/>
          <w:tab w:val="left" w:pos="1418"/>
        </w:tabs>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注：代理机构将于截标当日同步通过上述网站进行查询，查询结果与供应商填报信息不一致的，以代理机构于截标当日的查询结果为准</w:t>
      </w:r>
      <w:r>
        <w:rPr>
          <w:rFonts w:hint="eastAsia" w:ascii="宋体" w:hAnsi="宋体" w:cs="宋体"/>
          <w:bCs/>
          <w:color w:val="000000" w:themeColor="text1"/>
          <w:szCs w:val="21"/>
          <w14:textFill>
            <w14:solidFill>
              <w14:schemeClr w14:val="tx1"/>
            </w14:solidFill>
          </w14:textFill>
        </w:rPr>
        <w:t>。</w:t>
      </w:r>
    </w:p>
    <w:p>
      <w:pPr>
        <w:pStyle w:val="3"/>
        <w:rPr>
          <w:rFonts w:ascii="宋体" w:eastAsia="宋体" w:cs="宋体"/>
          <w:bCs/>
          <w:color w:val="000000" w:themeColor="text1"/>
          <w:sz w:val="24"/>
          <w:szCs w:val="24"/>
          <w14:textFill>
            <w14:solidFill>
              <w14:schemeClr w14:val="tx1"/>
            </w14:solidFill>
          </w14:textFill>
        </w:rPr>
      </w:pPr>
    </w:p>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br w:type="page"/>
      </w:r>
    </w:p>
    <w:p>
      <w:pPr>
        <w:numPr>
          <w:ilvl w:val="0"/>
          <w:numId w:val="10"/>
        </w:numPr>
        <w:tabs>
          <w:tab w:val="left" w:pos="640"/>
          <w:tab w:val="left" w:pos="840"/>
          <w:tab w:val="left" w:pos="1260"/>
          <w:tab w:val="left" w:pos="1418"/>
        </w:tabs>
        <w:spacing w:line="360" w:lineRule="auto"/>
        <w:ind w:left="845" w:hanging="8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ascii="宋体" w:hAnsi="宋体" w:cs="宋体"/>
          <w:color w:val="000000" w:themeColor="text1"/>
          <w:sz w:val="24"/>
          <w14:textFill>
            <w14:solidFill>
              <w14:schemeClr w14:val="tx1"/>
            </w14:solidFill>
          </w14:textFill>
        </w:rPr>
      </w:pPr>
    </w:p>
    <w:p>
      <w:pPr>
        <w:spacing w:line="360" w:lineRule="auto"/>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（三）技术部分</w:t>
      </w:r>
    </w:p>
    <w:p>
      <w:pPr>
        <w:numPr>
          <w:ilvl w:val="0"/>
          <w:numId w:val="13"/>
        </w:numPr>
        <w:tabs>
          <w:tab w:val="left" w:pos="640"/>
          <w:tab w:val="left" w:pos="1260"/>
          <w:tab w:val="left" w:pos="1418"/>
        </w:tabs>
        <w:spacing w:line="360" w:lineRule="auto"/>
        <w:ind w:left="845" w:right="-420" w:rightChars="-200"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spacing w:after="78" w:line="360" w:lineRule="auto"/>
        <w:jc w:val="center"/>
        <w:rPr>
          <w:rFonts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用户需求响应表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after="78"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据招标文件要求，我公司承诺响应如下：</w:t>
      </w:r>
    </w:p>
    <w:tbl>
      <w:tblPr>
        <w:tblStyle w:val="20"/>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3507" w:type="dxa"/>
            <w:vAlign w:val="center"/>
          </w:tcPr>
          <w:p>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招标文件要求</w:t>
            </w:r>
          </w:p>
        </w:tc>
        <w:tc>
          <w:tcPr>
            <w:tcW w:w="3052" w:type="dxa"/>
            <w:vAlign w:val="center"/>
          </w:tcPr>
          <w:p>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投标文件响应</w:t>
            </w:r>
          </w:p>
        </w:tc>
        <w:tc>
          <w:tcPr>
            <w:tcW w:w="2106" w:type="dxa"/>
            <w:vAlign w:val="center"/>
          </w:tcPr>
          <w:p>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3507" w:type="dxa"/>
            <w:vAlign w:val="center"/>
          </w:tcPr>
          <w:p>
            <w:pPr>
              <w:spacing w:after="78" w:line="360" w:lineRule="auto"/>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本项目“用户需求书”的全部内容为项目正常开展的基本要求，投标人必须完全响应满足招标文件“第五章 用户需求书”的全部内容，否则将导致投标无效</w:t>
            </w:r>
            <w:r>
              <w:rPr>
                <w:rFonts w:hint="eastAsia" w:ascii="宋体" w:hAnsi="宋体" w:cs="宋体"/>
                <w:bCs/>
                <w:color w:val="000000" w:themeColor="text1"/>
                <w:sz w:val="24"/>
                <w14:textFill>
                  <w14:solidFill>
                    <w14:schemeClr w14:val="tx1"/>
                  </w14:solidFill>
                </w14:textFill>
              </w:rPr>
              <w:t>。如投标人中标后被发现不能满足招标文件“第五章 用户需求书”的，采购单位有权拒绝签订合同，一切后果由投标人承担。</w:t>
            </w:r>
          </w:p>
        </w:tc>
        <w:tc>
          <w:tcPr>
            <w:tcW w:w="3052" w:type="dxa"/>
            <w:vAlign w:val="center"/>
          </w:tcPr>
          <w:p>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无需另行编制填写内容。</w:t>
            </w:r>
          </w:p>
        </w:tc>
        <w:tc>
          <w:tcPr>
            <w:tcW w:w="2106" w:type="dxa"/>
            <w:vAlign w:val="center"/>
          </w:tcPr>
          <w:p>
            <w:pPr>
              <w:spacing w:line="360" w:lineRule="auto"/>
              <w:jc w:val="center"/>
              <w:rPr>
                <w:rFonts w:ascii="宋体" w:hAnsi="宋体" w:cs="宋体"/>
                <w:bCs/>
                <w:color w:val="000000" w:themeColor="text1"/>
                <w:sz w:val="24"/>
                <w14:textFill>
                  <w14:solidFill>
                    <w14:schemeClr w14:val="tx1"/>
                  </w14:solidFill>
                </w14:textFill>
              </w:rPr>
            </w:pPr>
          </w:p>
        </w:tc>
      </w:tr>
    </w:tbl>
    <w:p>
      <w:pPr>
        <w:spacing w:after="78" w:line="360" w:lineRule="auto"/>
        <w:rPr>
          <w:rFonts w:ascii="宋体" w:hAnsi="宋体" w:cs="宋体"/>
          <w:bCs/>
          <w:color w:val="000000" w:themeColor="text1"/>
          <w:sz w:val="24"/>
          <w14:textFill>
            <w14:solidFill>
              <w14:schemeClr w14:val="tx1"/>
            </w14:solidFill>
          </w14:textFill>
        </w:rPr>
      </w:pPr>
    </w:p>
    <w:p>
      <w:pPr>
        <w:spacing w:after="78"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若响应情况优于招标要求，应作详细说明；“偏离情况”栏中根据响应情况填写，没有达到要求的填“负偏离”，达到要求的填“无偏离”，优于要求的填“正偏离”。</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7"/>
        <w:spacing w:line="360" w:lineRule="auto"/>
        <w:rPr>
          <w:color w:val="000000" w:themeColor="text1"/>
          <w:lang w:val="fr-CH"/>
          <w14:textFill>
            <w14:solidFill>
              <w14:schemeClr w14:val="tx1"/>
            </w14:solidFill>
          </w14:textFill>
        </w:rPr>
      </w:pP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br w:type="page"/>
      </w:r>
      <w:r>
        <w:rPr>
          <w:rFonts w:hint="eastAsia" w:ascii="宋体" w:hAnsi="宋体" w:cs="宋体"/>
          <w:color w:val="000000" w:themeColor="text1"/>
          <w:sz w:val="24"/>
          <w:lang w:val="sq-AL"/>
          <w14:textFill>
            <w14:solidFill>
              <w14:schemeClr w14:val="tx1"/>
            </w14:solidFill>
          </w14:textFill>
        </w:rPr>
        <w:t>项目实施方案</w:t>
      </w:r>
      <w:r>
        <w:rPr>
          <w:rFonts w:hint="eastAsia" w:ascii="宋体" w:hAnsi="宋体" w:cs="宋体"/>
          <w:color w:val="000000" w:themeColor="text1"/>
          <w:sz w:val="24"/>
          <w:lang w:val="sq-AL" w:eastAsia="zh-CN"/>
          <w14:textFill>
            <w14:solidFill>
              <w14:schemeClr w14:val="tx1"/>
            </w14:solidFill>
          </w14:textFill>
        </w:rPr>
        <w:t>；</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质量保障措施及方案</w:t>
      </w:r>
      <w:r>
        <w:rPr>
          <w:rFonts w:hint="eastAsia" w:ascii="宋体" w:hAnsi="宋体" w:cs="宋体"/>
          <w:color w:val="000000" w:themeColor="text1"/>
          <w:sz w:val="24"/>
          <w:lang w:val="sq-AL" w:eastAsia="zh-CN"/>
          <w14:textFill>
            <w14:solidFill>
              <w14:schemeClr w14:val="tx1"/>
            </w14:solidFill>
          </w14:textFill>
        </w:rPr>
        <w:t>；</w:t>
      </w:r>
    </w:p>
    <w:p>
      <w:pPr>
        <w:numPr>
          <w:ilvl w:val="0"/>
          <w:numId w:val="13"/>
        </w:numPr>
        <w:tabs>
          <w:tab w:val="left" w:pos="640"/>
          <w:tab w:val="left" w:pos="1260"/>
          <w:tab w:val="left" w:pos="1418"/>
        </w:tabs>
        <w:spacing w:line="360" w:lineRule="auto"/>
        <w:ind w:left="845" w:right="-420" w:rightChars="-200" w:hanging="845"/>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项目重难点分析及相关的合理化建议</w:t>
      </w:r>
      <w:r>
        <w:rPr>
          <w:rFonts w:hint="eastAsia" w:ascii="宋体" w:hAnsi="宋体" w:cs="宋体"/>
          <w:color w:val="000000" w:themeColor="text1"/>
          <w:sz w:val="24"/>
          <w:lang w:val="sq-AL" w:eastAsia="zh-CN"/>
          <w14:textFill>
            <w14:solidFill>
              <w14:schemeClr w14:val="tx1"/>
            </w14:solidFill>
          </w14:textFill>
        </w:rPr>
        <w:t>；</w:t>
      </w:r>
    </w:p>
    <w:p>
      <w:pPr>
        <w:tabs>
          <w:tab w:val="left" w:pos="640"/>
          <w:tab w:val="left" w:pos="1260"/>
          <w:tab w:val="left" w:pos="1418"/>
        </w:tabs>
        <w:jc w:val="center"/>
        <w:rPr>
          <w:rFonts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3"/>
        </w:numPr>
        <w:tabs>
          <w:tab w:val="left" w:pos="640"/>
          <w:tab w:val="left" w:pos="1260"/>
          <w:tab w:val="left" w:pos="1418"/>
        </w:tabs>
        <w:spacing w:line="360" w:lineRule="auto"/>
        <w:ind w:left="845" w:right="-420" w:rightChars="-200"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投标人认为有必要提供的其他材料。</w:t>
      </w:r>
      <w:bookmarkEnd w:id="47"/>
    </w:p>
    <w:p>
      <w:pPr>
        <w:tabs>
          <w:tab w:val="left" w:pos="360"/>
        </w:tabs>
        <w:spacing w:line="300" w:lineRule="auto"/>
        <w:outlineLvl w:val="0"/>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bookmarkStart w:id="57" w:name="_Toc742"/>
      <w:bookmarkStart w:id="58" w:name="_Toc6251"/>
      <w:r>
        <w:rPr>
          <w:rFonts w:hint="eastAsia" w:ascii="宋体" w:hAnsi="宋体" w:cs="宋体"/>
          <w:b/>
          <w:bCs/>
          <w:color w:val="000000" w:themeColor="text1"/>
          <w:sz w:val="24"/>
          <w14:textFill>
            <w14:solidFill>
              <w14:schemeClr w14:val="tx1"/>
            </w14:solidFill>
          </w14:textFill>
        </w:rPr>
        <w:t>附件：相关政策</w:t>
      </w:r>
      <w:bookmarkEnd w:id="57"/>
      <w:bookmarkEnd w:id="58"/>
    </w:p>
    <w:p>
      <w:pPr>
        <w:tabs>
          <w:tab w:val="left" w:pos="360"/>
        </w:tabs>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1、财政部、工业和信息化部《关于印发〈政府采购促进中小企业发展管理办法〉的通知》（财库〔2020〕46 号）</w:t>
      </w:r>
    </w:p>
    <w:p>
      <w:pPr>
        <w:pStyle w:val="7"/>
        <w:tabs>
          <w:tab w:val="left" w:pos="562"/>
          <w:tab w:val="left" w:pos="3372"/>
          <w:tab w:val="left" w:pos="3653"/>
        </w:tabs>
        <w:rPr>
          <w:rFonts w:ascii="宋体" w:hAnsi="宋体" w:cs="宋体"/>
          <w:color w:val="000000" w:themeColor="text1"/>
          <w14:textFill>
            <w14:solidFill>
              <w14:schemeClr w14:val="tx1"/>
            </w14:solidFill>
          </w14:textFill>
        </w:rPr>
      </w:pPr>
    </w:p>
    <w:p>
      <w:pPr>
        <w:widowControl/>
        <w:shd w:val="clear" w:color="auto" w:fill="FFFFFF"/>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关于印发《政府采购促进中小企业发展管理办法》的通知</w:t>
      </w:r>
    </w:p>
    <w:p>
      <w:pPr>
        <w:widowControl/>
        <w:shd w:val="clear" w:color="auto" w:fill="FFFFFF"/>
        <w:spacing w:after="24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财库〔2020〕46号</w:t>
      </w:r>
    </w:p>
    <w:p>
      <w:pPr>
        <w:widowControl/>
        <w:shd w:val="clear" w:color="auto" w:fill="FFFFFF"/>
        <w:spacing w:after="24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附件：政府采购促进中小企业发展管理办法</w:t>
      </w:r>
    </w:p>
    <w:p>
      <w:pPr>
        <w:widowControl/>
        <w:shd w:val="clear" w:color="auto" w:fill="FFFFFF"/>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  政  部</w:t>
      </w:r>
    </w:p>
    <w:p>
      <w:pPr>
        <w:widowControl/>
        <w:shd w:val="clear" w:color="auto" w:fill="FFFFFF"/>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工业和信息化部</w:t>
      </w:r>
    </w:p>
    <w:p>
      <w:pPr>
        <w:widowControl/>
        <w:shd w:val="clear" w:color="auto" w:fill="FFFFFF"/>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2020年12月18日</w:t>
      </w:r>
    </w:p>
    <w:p>
      <w:pPr>
        <w:autoSpaceDE w:val="0"/>
        <w:autoSpaceDN w:val="0"/>
        <w:adjustRightInd w:val="0"/>
        <w:jc w:val="left"/>
        <w:rPr>
          <w:rFonts w:ascii="宋体" w:hAnsi="宋体" w:cs="宋体"/>
          <w:color w:val="000000" w:themeColor="text1"/>
          <w:kern w:val="0"/>
          <w:sz w:val="24"/>
          <w14:textFill>
            <w14:solidFill>
              <w14:schemeClr w14:val="tx1"/>
            </w14:solidFill>
          </w14:textFill>
        </w:rPr>
      </w:pPr>
    </w:p>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政府采购促进中小企业发展管理办法</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第三条 采购人在政府采购活动中应当通过加强采购需求管理，落实预留采购份额、价格评审优惠、优先采购等 措施，提高中小企业在政府采购中的份额，支持中小企业发展。</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第四条 在政府采购活动中，供应商提供的货物、工程或者服务符合下列情形的，享受本办法规定的中小企业扶持政策：</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（一）在货物采购项目中，货物由中小企业制造，即货 物由中小企业生产且使用该中小企业商号或者注册商标；</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（二）在工程采购项目中，工程由中小企业承建，即工 程施工单位为中小企业；</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（三）在服务采购项目中，服务由中小企业承接，即提供服务的人员为中小企业依照《中华人民共和国劳动合同法》订立劳动合同的从业人员。</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在货物采购项目中，供应商提供的货物既有中小企业制造货物，也有大型企业制造货物的，不享受本办法规定的中小企业扶持政策。</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7"/>
        <w:tabs>
          <w:tab w:val="left" w:pos="562"/>
          <w:tab w:val="left" w:pos="3372"/>
          <w:tab w:val="left" w:pos="3653"/>
        </w:tabs>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符合下列情形之一的，可不专门面向中小企业预留采购</w:t>
      </w:r>
      <w:r>
        <w:rPr>
          <w:rFonts w:hint="eastAsia" w:ascii="宋体" w:hAnsi="宋体" w:cs="宋体"/>
          <w:color w:val="000000" w:themeColor="text1"/>
          <w14:textFill>
            <w14:solidFill>
              <w14:schemeClr w14:val="tx1"/>
            </w14:solidFill>
          </w14:textFill>
        </w:rPr>
        <w:t>份额：</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（一）法律法规和国家有关政策明确规定优先或者应当面向事业单位、社会组织等非企业主体采购的；</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（二）因确需使用不可替代的专利、专有技术，基础设施限制，或者提供特定公共服务等原因，只能从中小企业之外的供应商处采购的；</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（三）按照本办法规定预留采购份额无法确保充分供应、充分竞争，或者存在可能影响政府采购目标实现的情形；</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（四）框架协议采购项目；</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（五）省级以上人民政府财政部门规定的其他情形。 除上述情形外，其他均为适宜由中小企业提供的情形。</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第七条采购限额标准以上，200万元以下的货物和服务采购项目、400 万元以下的工程采购项目，适宜由中小企业提供的，采购人应当专门面向中小企业采购。</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（一）将采购项目整体或者设置采购包专门面向中小企业采购；</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（二）要求供应商以联合体形式参加采购活动，且联合体中中小企业承担的部分达到一定比例；</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（三）要求获得采购合同的供应商将采购项目中的一定比例分包给一家或者多家中小企业。</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组成联合体或者接受分包合同的中小企业与联合体内 其他企业、分包企业之间不得存在直接控股、管理关系。</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第十二条 采购项目涉及中小企业采购的，采购文件应当明确以下内容：</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（一）预留份额的采购项目或者采购包，明确该项目或相关采购包专门面向中小企业采购，以及相关标的及预算金额；</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（二）要求以联合体形式参加或者合同分包的，明确联合协议或者分包意向协议中中小企业合同金额应当达到的 比例，并作为供应商资格条件；</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（三）非预留份额的采购项目或者采购包，明确有关价格扣除比例或者价格分加分比例；</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（四）规定依据本办法规定享受扶持政策获得政府采购合同的，小微企业不得将合同分包给大中型企业，中型企业不得将合同分包给大型企业；</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（五）采购人认为具备相关条件的，明确对中小企业在资金支付期限、预付款比例等方面的优惠措施；</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（六）明确采购标的对应的中小企业划分标准所属行业；</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（七）法律法规和省级以上人民政府财政部门规定的其他事项。</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适用招标投标法的政府采购工程建设项目，应当在公示中标候选人时公开中标候选人的《中小企业声明函》。</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政府采购监督检查、投诉处理及政府采购行政处罚中对中小企业的认定，由货物制造商或者工程、服务供应商注册登记所在地的县级以上人民政府中小企业主管部门负责。</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中小企业主管部门应当在收到财政部门或者有关招标 投标行政监督部门关于协助开展中小企业认定函后 10 个工作日内做出书面答复。</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第二十条 供应商按照本办法规定提供声明函内容不实的，属于提供虚假材料谋取中标、成交，依照《中华人民共和国政府采购法》等国家有关规定追究相应责任。</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适用招标投标法的政府采购工程建设项目，投标人按照 本办法规定提供声明函内容不实的，属于弄虚作假骗取中标，依照《中华人民共和国招标投标法》等国家有关规定追究相应责任。</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第二十二条 对外援助项目、国家相关资格或者资质管理制度另有规定的项目，不适用本办法。</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第二十三条 关于视同中小企业的其他主体的政府采购扶持政策，由财政部会同有关部门另行规定。</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第二十四条 省级财政部门可以会同中小企业主管部门根据本办法的规定制定具体实施办法。</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第二十五条 本办法自 2021 年 1 月 1 日起施行。《财政部 工业和信息化部关于印发〈政府采购促进中小企业发展暂行办法〉的通知》（财库﹝2011﹞181 号）同时废止。</w:t>
      </w:r>
    </w:p>
    <w:p>
      <w:pPr>
        <w:pStyle w:val="7"/>
        <w:tabs>
          <w:tab w:val="left" w:pos="562"/>
          <w:tab w:val="left" w:pos="3372"/>
          <w:tab w:val="left" w:pos="3653"/>
        </w:tabs>
        <w:spacing w:before="5"/>
        <w:rPr>
          <w:rFonts w:ascii="宋体" w:hAnsi="宋体" w:cs="宋体"/>
          <w:color w:val="000000" w:themeColor="text1"/>
          <w14:textFill>
            <w14:solidFill>
              <w14:schemeClr w14:val="tx1"/>
            </w14:solidFill>
          </w14:textFill>
        </w:rPr>
      </w:pP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附：1.中小企业声明函</w:t>
      </w:r>
    </w:p>
    <w:p>
      <w:pPr>
        <w:pStyle w:val="7"/>
        <w:tabs>
          <w:tab w:val="left" w:pos="562"/>
          <w:tab w:val="left" w:pos="3372"/>
          <w:tab w:val="left" w:pos="3653"/>
        </w:tabs>
        <w:ind w:firstLine="960" w:firstLineChars="4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2.面向中小企业预留项目执行情况公告</w:t>
      </w:r>
    </w:p>
    <w:p>
      <w:pPr>
        <w:pStyle w:val="7"/>
        <w:tabs>
          <w:tab w:val="left" w:pos="562"/>
          <w:tab w:val="left" w:pos="3372"/>
          <w:tab w:val="left" w:pos="3653"/>
        </w:tabs>
        <w:spacing w:before="3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r>
        <w:rPr>
          <w:rFonts w:hint="eastAsia" w:ascii="宋体" w:hAnsi="宋体" w:cs="宋体"/>
          <w:b/>
          <w:bCs/>
          <w:color w:val="000000" w:themeColor="text1"/>
          <w14:textFill>
            <w14:solidFill>
              <w14:schemeClr w14:val="tx1"/>
            </w14:solidFill>
          </w14:textFill>
        </w:rPr>
        <w:t>附 1</w:t>
      </w:r>
    </w:p>
    <w:p>
      <w:pPr>
        <w:spacing w:after="319" w:afterLines="1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中小企业声明函（货物）</w:t>
      </w:r>
    </w:p>
    <w:p>
      <w:pPr>
        <w:pStyle w:val="7"/>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u w:val="single"/>
          <w14:textFill>
            <w14:solidFill>
              <w14:schemeClr w14:val="tx1"/>
            </w14:solidFill>
          </w14:textFill>
        </w:rPr>
        <w:t>单位名称</w:t>
      </w:r>
      <w:r>
        <w:rPr>
          <w:rFonts w:hint="eastAsia" w:ascii="宋体" w:hAnsi="宋体" w:cs="宋体"/>
          <w:color w:val="000000" w:themeColor="text1"/>
          <w:spacing w:val="-2"/>
          <w14:textFill>
            <w14:solidFill>
              <w14:schemeClr w14:val="tx1"/>
            </w14:solidFill>
          </w14:textFill>
        </w:rPr>
        <w:t>）的（</w:t>
      </w:r>
      <w:r>
        <w:rPr>
          <w:rFonts w:hint="eastAsia" w:ascii="宋体" w:hAnsi="宋体" w:cs="宋体"/>
          <w:color w:val="000000" w:themeColor="text1"/>
          <w:spacing w:val="-2"/>
          <w:u w:val="single"/>
          <w14:textFill>
            <w14:solidFill>
              <w14:schemeClr w14:val="tx1"/>
            </w14:solidFill>
          </w14:textFill>
        </w:rPr>
        <w:t>项目名称</w:t>
      </w:r>
      <w:r>
        <w:rPr>
          <w:rFonts w:hint="eastAsia" w:ascii="宋体" w:hAnsi="宋体" w:cs="宋体"/>
          <w:color w:val="000000" w:themeColor="text1"/>
          <w:spacing w:val="-2"/>
          <w14:textFill>
            <w14:solidFill>
              <w14:schemeClr w14:val="tx1"/>
            </w14:solidFill>
          </w14:textFill>
        </w:rPr>
        <w:t>）采购活动，提供的货物全部由符合政策要求的中小企业制造。相关企业（含联合体中的中小企业、签订分包意向协议的中小企业） 的具体情况如下：</w:t>
      </w:r>
    </w:p>
    <w:p>
      <w:pPr>
        <w:pStyle w:val="7"/>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u w:val="single"/>
          <w14:textFill>
            <w14:solidFill>
              <w14:schemeClr w14:val="tx1"/>
            </w14:solidFill>
          </w14:textFill>
        </w:rPr>
        <w:t>标的名称</w:t>
      </w:r>
      <w:r>
        <w:rPr>
          <w:rFonts w:hint="eastAsia" w:ascii="宋体" w:hAnsi="宋体" w:cs="宋体"/>
          <w:color w:val="000000" w:themeColor="text1"/>
          <w:kern w:val="0"/>
          <w14:textFill>
            <w14:solidFill>
              <w14:schemeClr w14:val="tx1"/>
            </w14:solidFill>
          </w14:textFill>
        </w:rPr>
        <w:t>），属于（</w:t>
      </w:r>
      <w:r>
        <w:rPr>
          <w:rFonts w:hint="eastAsia" w:ascii="宋体" w:hAnsi="宋体" w:cs="宋体"/>
          <w:color w:val="000000" w:themeColor="text1"/>
          <w:kern w:val="0"/>
          <w:u w:val="single"/>
          <w14:textFill>
            <w14:solidFill>
              <w14:schemeClr w14:val="tx1"/>
            </w14:solidFill>
          </w14:textFill>
        </w:rPr>
        <w:t>采购文件中明确的所属行业</w:t>
      </w:r>
      <w:r>
        <w:rPr>
          <w:rFonts w:hint="eastAsia" w:ascii="宋体" w:hAnsi="宋体" w:cs="宋体"/>
          <w:color w:val="000000" w:themeColor="text1"/>
          <w:kern w:val="0"/>
          <w14:textFill>
            <w14:solidFill>
              <w14:schemeClr w14:val="tx1"/>
            </w14:solidFill>
          </w14:textFill>
        </w:rPr>
        <w:t>）；制造商为（</w:t>
      </w:r>
      <w:r>
        <w:rPr>
          <w:rFonts w:hint="eastAsia" w:ascii="宋体" w:hAnsi="宋体" w:cs="宋体"/>
          <w:color w:val="000000" w:themeColor="text1"/>
          <w:kern w:val="0"/>
          <w:u w:val="single"/>
          <w14:textFill>
            <w14:solidFill>
              <w14:schemeClr w14:val="tx1"/>
            </w14:solidFill>
          </w14:textFill>
        </w:rPr>
        <w:t>企业名称</w:t>
      </w:r>
      <w:r>
        <w:rPr>
          <w:rFonts w:hint="eastAsia" w:ascii="宋体" w:hAnsi="宋体" w:cs="宋体"/>
          <w:color w:val="000000" w:themeColor="text1"/>
          <w:kern w:val="0"/>
          <w14:textFill>
            <w14:solidFill>
              <w14:schemeClr w14:val="tx1"/>
            </w14:solidFill>
          </w14:textFill>
        </w:rPr>
        <w:t>），从业人员</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14:textFill>
            <w14:solidFill>
              <w14:schemeClr w14:val="tx1"/>
            </w14:solidFill>
          </w14:textFill>
        </w:rPr>
        <w:t xml:space="preserve">人，营业收入为 </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14:textFill>
            <w14:solidFill>
              <w14:schemeClr w14:val="tx1"/>
            </w14:solidFill>
          </w14:textFill>
        </w:rPr>
        <w:t>万元，资产总额为</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万元，属于（</w:t>
      </w:r>
      <w:r>
        <w:rPr>
          <w:rFonts w:hint="eastAsia" w:ascii="宋体" w:hAnsi="宋体" w:cs="宋体"/>
          <w:color w:val="000000" w:themeColor="text1"/>
          <w:kern w:val="0"/>
          <w:u w:val="single"/>
          <w14:textFill>
            <w14:solidFill>
              <w14:schemeClr w14:val="tx1"/>
            </w14:solidFill>
          </w14:textFill>
        </w:rPr>
        <w:t>中型企业、小型企业、微型企业</w:t>
      </w:r>
      <w:r>
        <w:rPr>
          <w:rFonts w:hint="eastAsia" w:ascii="宋体" w:hAnsi="宋体" w:cs="宋体"/>
          <w:color w:val="000000" w:themeColor="text1"/>
          <w:kern w:val="0"/>
          <w14:textFill>
            <w14:solidFill>
              <w14:schemeClr w14:val="tx1"/>
            </w14:solidFill>
          </w14:textFill>
        </w:rPr>
        <w:t>）；</w:t>
      </w:r>
    </w:p>
    <w:p>
      <w:pPr>
        <w:pStyle w:val="7"/>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）；制造商为（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 xml:space="preserve">    </w:t>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 xml:space="preserve">   </w:t>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7"/>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w:t>
      </w:r>
    </w:p>
    <w:p>
      <w:pPr>
        <w:pStyle w:val="7"/>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以上企业，不属于大企业的分支机构，不存在控股股东为大企业的情形，也不存在与大企业的负责人为同一人的情形。</w:t>
      </w:r>
    </w:p>
    <w:p>
      <w:pPr>
        <w:pStyle w:val="7"/>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本企业对上述声明内容的真实性负责。如有虚假，将依法承担相应责任。</w:t>
      </w:r>
    </w:p>
    <w:p>
      <w:pPr>
        <w:pStyle w:val="7"/>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ind w:left="4200" w:leftChars="2000"/>
        <w:rPr>
          <w:rFonts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企业名称（盖章）日期：</w:t>
      </w:r>
    </w:p>
    <w:p>
      <w:pPr>
        <w:pStyle w:val="7"/>
        <w:tabs>
          <w:tab w:val="left" w:pos="562"/>
          <w:tab w:val="left" w:pos="3372"/>
          <w:tab w:val="left" w:pos="3653"/>
        </w:tabs>
        <w:jc w:val="center"/>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从业人员、营业收入、资产总额填报上一年度数据，无上一年度数据的新成立企业可不填报。</w:t>
      </w:r>
    </w:p>
    <w:p>
      <w:pPr>
        <w:spacing w:after="319" w:afterLines="1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中小企业声明函（工程、服务）</w:t>
      </w:r>
    </w:p>
    <w:p>
      <w:pPr>
        <w:pStyle w:val="7"/>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u w:val="single"/>
          <w14:textFill>
            <w14:solidFill>
              <w14:schemeClr w14:val="tx1"/>
            </w14:solidFill>
          </w14:textFill>
        </w:rPr>
        <w:t>单位名称</w:t>
      </w:r>
      <w:r>
        <w:rPr>
          <w:rFonts w:hint="eastAsia" w:ascii="宋体" w:hAnsi="宋体" w:cs="宋体"/>
          <w:color w:val="000000" w:themeColor="text1"/>
          <w:spacing w:val="-2"/>
          <w14:textFill>
            <w14:solidFill>
              <w14:schemeClr w14:val="tx1"/>
            </w14:solidFill>
          </w14:textFill>
        </w:rPr>
        <w:t>）的（</w:t>
      </w:r>
      <w:r>
        <w:rPr>
          <w:rFonts w:hint="eastAsia" w:ascii="宋体" w:hAnsi="宋体" w:cs="宋体"/>
          <w:color w:val="000000" w:themeColor="text1"/>
          <w:spacing w:val="-2"/>
          <w:u w:val="single"/>
          <w14:textFill>
            <w14:solidFill>
              <w14:schemeClr w14:val="tx1"/>
            </w14:solidFill>
          </w14:textFill>
        </w:rPr>
        <w:t>项目名称</w:t>
      </w:r>
      <w:r>
        <w:rPr>
          <w:rFonts w:hint="eastAsia" w:ascii="宋体" w:hAnsi="宋体" w:cs="宋体"/>
          <w:color w:val="000000" w:themeColor="text1"/>
          <w:spacing w:val="-2"/>
          <w14:textFill>
            <w14:solidFill>
              <w14:schemeClr w14:val="tx1"/>
            </w14:solidFill>
          </w14:textFill>
        </w:rPr>
        <w:t>）采购活动，工程的施工单位全部为符合政策要求的中小企业（或者：服务全部由符合政策要求的中小企业承接）。相关企业（含联合 体中的中小企业、签订分包意向协议的中小企业）的具体情况如下：</w:t>
      </w:r>
    </w:p>
    <w:p>
      <w:pPr>
        <w:pStyle w:val="7"/>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）；承建（承接）企业为（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7"/>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 ；承建（承接）企业为（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7"/>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w:t>
      </w:r>
    </w:p>
    <w:p>
      <w:pPr>
        <w:pStyle w:val="7"/>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以上企业，不属于大企业的分支机构，不存在控股股东为大企业的情形，也不存在与大企业的负责人为同一人的情形。</w:t>
      </w:r>
    </w:p>
    <w:p>
      <w:pPr>
        <w:pStyle w:val="7"/>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本企业对上述声明内容的真实性负责。如有虚假，将依法承担相应责任。</w:t>
      </w:r>
    </w:p>
    <w:p>
      <w:pPr>
        <w:pStyle w:val="7"/>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p>
    <w:p>
      <w:pPr>
        <w:pStyle w:val="7"/>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注意事项：</w:t>
      </w:r>
    </w:p>
    <w:p>
      <w:pPr>
        <w:pStyle w:val="7"/>
        <w:tabs>
          <w:tab w:val="left" w:pos="562"/>
          <w:tab w:val="left" w:pos="3372"/>
          <w:tab w:val="left" w:pos="3653"/>
        </w:tabs>
        <w:spacing w:after="0"/>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1.从业人员、营业收入、资产总额填报上一年度数据，无上一年度数据的新成立企业可不填报。</w:t>
      </w:r>
    </w:p>
    <w:p>
      <w:pPr>
        <w:pStyle w:val="7"/>
        <w:tabs>
          <w:tab w:val="left" w:pos="562"/>
          <w:tab w:val="left" w:pos="3372"/>
          <w:tab w:val="left" w:pos="3653"/>
        </w:tabs>
        <w:spacing w:after="0"/>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7"/>
        <w:tabs>
          <w:tab w:val="left" w:pos="562"/>
          <w:tab w:val="left" w:pos="3372"/>
          <w:tab w:val="left" w:pos="3653"/>
        </w:tabs>
        <w:spacing w:after="0"/>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3.事业单位、社会组织等非企业主体不享受中小企业扶持政策，但事业单位、社会组织等非企业主体提供全部由中小企业制造的货物参加货物采购项目的除外。</w:t>
      </w:r>
    </w:p>
    <w:p>
      <w:pPr>
        <w:pStyle w:val="7"/>
        <w:tabs>
          <w:tab w:val="left" w:pos="562"/>
          <w:tab w:val="left" w:pos="3372"/>
          <w:tab w:val="left" w:pos="3653"/>
        </w:tabs>
        <w:spacing w:after="0"/>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4.相关承接/承建企业的所属行业应当与采购标的所属行业（采购文件中明确的行业）相一致。</w:t>
      </w:r>
    </w:p>
    <w:p>
      <w:pPr>
        <w:pStyle w:val="7"/>
        <w:tabs>
          <w:tab w:val="left" w:pos="562"/>
          <w:tab w:val="left" w:pos="3372"/>
          <w:tab w:val="left" w:pos="3653"/>
        </w:tabs>
        <w:spacing w:after="0"/>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ind w:left="4200" w:leftChars="2000"/>
        <w:rPr>
          <w:rFonts w:ascii="宋体" w:hAnsi="宋体" w:cs="宋体"/>
          <w:color w:val="000000" w:themeColor="text1"/>
          <w:spacing w:val="-2"/>
          <w14:textFill>
            <w14:solidFill>
              <w14:schemeClr w14:val="tx1"/>
            </w14:solidFill>
          </w14:textFill>
        </w:rPr>
      </w:pPr>
    </w:p>
    <w:p>
      <w:pPr>
        <w:pStyle w:val="7"/>
        <w:tabs>
          <w:tab w:val="left" w:pos="562"/>
          <w:tab w:val="left" w:pos="3372"/>
          <w:tab w:val="left" w:pos="3653"/>
        </w:tabs>
        <w:ind w:left="4200" w:leftChars="20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企业名称（盖章）日期：</w:t>
      </w:r>
    </w:p>
    <w:p>
      <w:pPr>
        <w:pStyle w:val="7"/>
        <w:tabs>
          <w:tab w:val="left" w:pos="562"/>
          <w:tab w:val="left" w:pos="3372"/>
          <w:tab w:val="left" w:pos="3653"/>
        </w:tabs>
        <w:spacing w:before="30"/>
        <w:rPr>
          <w:rFonts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从业人员、营业收入、资产总额填报上一年度数据，无上一年度数据的新成立企业可不填报。</w:t>
      </w:r>
      <w:r>
        <w:rPr>
          <w:rFonts w:hint="eastAsia" w:ascii="宋体" w:hAnsi="宋体" w:cs="宋体"/>
          <w:color w:val="000000" w:themeColor="text1"/>
          <w14:textFill>
            <w14:solidFill>
              <w14:schemeClr w14:val="tx1"/>
            </w14:solidFill>
          </w14:textFill>
        </w:rPr>
        <w:br w:type="page"/>
      </w:r>
      <w:r>
        <w:rPr>
          <w:rFonts w:hint="eastAsia" w:ascii="宋体" w:hAnsi="宋体" w:cs="宋体"/>
          <w:b/>
          <w:bCs/>
          <w:color w:val="000000" w:themeColor="text1"/>
          <w14:textFill>
            <w14:solidFill>
              <w14:schemeClr w14:val="tx1"/>
            </w14:solidFill>
          </w14:textFill>
        </w:rPr>
        <w:t>附 2</w:t>
      </w:r>
    </w:p>
    <w:p>
      <w:pPr>
        <w:jc w:val="cente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pacing w:val="-3"/>
          <w:sz w:val="24"/>
          <w:u w:val="single" w:color="000000"/>
          <w14:textFill>
            <w14:solidFill>
              <w14:schemeClr w14:val="tx1"/>
            </w14:solidFill>
          </w14:textFill>
        </w:rPr>
        <w:t>（单位名称）</w:t>
      </w:r>
      <w:r>
        <w:rPr>
          <w:rFonts w:hint="eastAsia" w:ascii="宋体" w:hAnsi="宋体" w:cs="宋体"/>
          <w:color w:val="000000" w:themeColor="text1"/>
          <w:spacing w:val="-29"/>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年面向中小企业预留项目执行情况公告</w:t>
      </w:r>
    </w:p>
    <w:p>
      <w:pPr>
        <w:pStyle w:val="7"/>
        <w:tabs>
          <w:tab w:val="left" w:pos="562"/>
          <w:tab w:val="left" w:pos="3372"/>
          <w:tab w:val="left" w:pos="3653"/>
        </w:tabs>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根据《政府采购促进中小企业发展管理办法》（财库﹝2020﹞46</w:t>
      </w:r>
      <w:r>
        <w:rPr>
          <w:rFonts w:hint="eastAsia" w:ascii="宋体" w:hAnsi="宋体" w:cs="宋体"/>
          <w:color w:val="000000" w:themeColor="text1"/>
          <w:spacing w:val="-47"/>
          <w14:textFill>
            <w14:solidFill>
              <w14:schemeClr w14:val="tx1"/>
            </w14:solidFill>
          </w14:textFill>
        </w:rPr>
        <w:t xml:space="preserve"> 号</w:t>
      </w:r>
      <w:r>
        <w:rPr>
          <w:rFonts w:hint="eastAsia" w:ascii="宋体" w:hAnsi="宋体" w:cs="宋体"/>
          <w:color w:val="000000" w:themeColor="text1"/>
          <w:spacing w:val="-22"/>
          <w14:textFill>
            <w14:solidFill>
              <w14:schemeClr w14:val="tx1"/>
            </w14:solidFill>
          </w14:textFill>
        </w:rPr>
        <w:t>）</w:t>
      </w:r>
      <w:r>
        <w:rPr>
          <w:rFonts w:hint="eastAsia" w:ascii="宋体" w:hAnsi="宋体" w:cs="宋体"/>
          <w:color w:val="000000" w:themeColor="text1"/>
          <w:spacing w:val="-7"/>
          <w14:textFill>
            <w14:solidFill>
              <w14:schemeClr w14:val="tx1"/>
            </w14:solidFill>
          </w14:textFill>
        </w:rPr>
        <w:t>要求，现对本部门</w:t>
      </w:r>
      <w:r>
        <w:rPr>
          <w:rFonts w:hint="eastAsia" w:ascii="宋体" w:hAnsi="宋体" w:cs="宋体"/>
          <w:color w:val="000000" w:themeColor="text1"/>
          <w:spacing w:val="-3"/>
          <w14:textFill>
            <w14:solidFill>
              <w14:schemeClr w14:val="tx1"/>
            </w14:solidFill>
          </w14:textFill>
        </w:rPr>
        <w:t>（</w:t>
      </w:r>
      <w:r>
        <w:rPr>
          <w:rFonts w:hint="eastAsia" w:ascii="宋体" w:hAnsi="宋体" w:cs="宋体"/>
          <w:color w:val="000000" w:themeColor="text1"/>
          <w14:textFill>
            <w14:solidFill>
              <w14:schemeClr w14:val="tx1"/>
            </w14:solidFill>
          </w14:textFill>
        </w:rPr>
        <w:t>单位</w:t>
      </w:r>
      <w:r>
        <w:rPr>
          <w:rFonts w:hint="eastAsia" w:ascii="宋体" w:hAnsi="宋体" w:cs="宋体"/>
          <w:color w:val="000000" w:themeColor="text1"/>
          <w:spacing w:val="-7"/>
          <w14:textFill>
            <w14:solidFill>
              <w14:schemeClr w14:val="tx1"/>
            </w14:solidFill>
          </w14:textFill>
        </w:rPr>
        <w:t>）</w:t>
      </w:r>
      <w:r>
        <w:rPr>
          <w:rFonts w:hint="eastAsia" w:ascii="宋体" w:hAnsi="宋体" w:cs="宋体"/>
          <w:color w:val="000000" w:themeColor="text1"/>
          <w:spacing w:val="-4"/>
          <w14:textFill>
            <w14:solidFill>
              <w14:schemeClr w14:val="tx1"/>
            </w14:solidFill>
          </w14:textFill>
        </w:rPr>
        <w:t>××年面向中小企业预留项目执行情况公告如下：</w:t>
      </w:r>
    </w:p>
    <w:p>
      <w:pPr>
        <w:pStyle w:val="7"/>
        <w:tabs>
          <w:tab w:val="left" w:pos="562"/>
          <w:tab w:val="left" w:pos="3372"/>
          <w:tab w:val="left" w:pos="3653"/>
        </w:tabs>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本部门（单位）××年预留项目面向中小企业采购共计××万元，其中，面向小微企业采购××万元，占××%。</w:t>
      </w:r>
    </w:p>
    <w:p>
      <w:pPr>
        <w:pStyle w:val="7"/>
        <w:tabs>
          <w:tab w:val="left" w:pos="562"/>
          <w:tab w:val="left" w:pos="3372"/>
          <w:tab w:val="left" w:pos="3653"/>
        </w:tabs>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面向中小企业预留项目明细</w:t>
      </w:r>
    </w:p>
    <w:tbl>
      <w:tblPr>
        <w:tblStyle w:val="20"/>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3"/>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序号</w:t>
            </w:r>
          </w:p>
        </w:tc>
        <w:tc>
          <w:tcPr>
            <w:tcW w:w="1866" w:type="dxa"/>
            <w:vAlign w:val="center"/>
          </w:tcPr>
          <w:p>
            <w:pPr>
              <w:pStyle w:val="33"/>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项目名称</w:t>
            </w:r>
          </w:p>
        </w:tc>
        <w:tc>
          <w:tcPr>
            <w:tcW w:w="2010" w:type="dxa"/>
            <w:vAlign w:val="center"/>
          </w:tcPr>
          <w:p>
            <w:pPr>
              <w:pStyle w:val="33"/>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预留选项</w:t>
            </w:r>
          </w:p>
        </w:tc>
        <w:tc>
          <w:tcPr>
            <w:tcW w:w="2296" w:type="dxa"/>
            <w:vAlign w:val="center"/>
          </w:tcPr>
          <w:p>
            <w:pPr>
              <w:pStyle w:val="33"/>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面向中小企业采购金额</w:t>
            </w:r>
          </w:p>
        </w:tc>
        <w:tc>
          <w:tcPr>
            <w:tcW w:w="1784" w:type="dxa"/>
            <w:vAlign w:val="center"/>
          </w:tcPr>
          <w:p>
            <w:pPr>
              <w:pStyle w:val="33"/>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3"/>
              <w:jc w:val="center"/>
              <w:rPr>
                <w:color w:val="000000" w:themeColor="text1"/>
                <w:sz w:val="24"/>
                <w:szCs w:val="24"/>
                <w14:textFill>
                  <w14:solidFill>
                    <w14:schemeClr w14:val="tx1"/>
                  </w14:solidFill>
                </w14:textFill>
              </w:rPr>
            </w:pPr>
          </w:p>
        </w:tc>
        <w:tc>
          <w:tcPr>
            <w:tcW w:w="1866" w:type="dxa"/>
            <w:tcBorders>
              <w:bottom w:val="nil"/>
            </w:tcBorders>
            <w:vAlign w:val="center"/>
          </w:tcPr>
          <w:p>
            <w:pPr>
              <w:pStyle w:val="33"/>
              <w:jc w:val="center"/>
              <w:rPr>
                <w:color w:val="000000" w:themeColor="text1"/>
                <w:sz w:val="24"/>
                <w:szCs w:val="24"/>
                <w14:textFill>
                  <w14:solidFill>
                    <w14:schemeClr w14:val="tx1"/>
                  </w14:solidFill>
                </w14:textFill>
              </w:rPr>
            </w:pPr>
          </w:p>
        </w:tc>
        <w:tc>
          <w:tcPr>
            <w:tcW w:w="2010" w:type="dxa"/>
            <w:tcBorders>
              <w:bottom w:val="nil"/>
            </w:tcBorders>
            <w:vAlign w:val="center"/>
          </w:tcPr>
          <w:p>
            <w:pPr>
              <w:pStyle w:val="33"/>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（填写“采购项</w:t>
            </w:r>
          </w:p>
        </w:tc>
        <w:tc>
          <w:tcPr>
            <w:tcW w:w="2296" w:type="dxa"/>
            <w:tcBorders>
              <w:bottom w:val="nil"/>
            </w:tcBorders>
            <w:vAlign w:val="center"/>
          </w:tcPr>
          <w:p>
            <w:pPr>
              <w:pStyle w:val="33"/>
              <w:jc w:val="center"/>
              <w:rPr>
                <w:color w:val="000000" w:themeColor="text1"/>
                <w:sz w:val="24"/>
                <w:szCs w:val="24"/>
                <w14:textFill>
                  <w14:solidFill>
                    <w14:schemeClr w14:val="tx1"/>
                  </w14:solidFill>
                </w14:textFill>
              </w:rPr>
            </w:pPr>
          </w:p>
        </w:tc>
        <w:tc>
          <w:tcPr>
            <w:tcW w:w="1784" w:type="dxa"/>
            <w:vMerge w:val="restart"/>
            <w:vAlign w:val="center"/>
          </w:tcPr>
          <w:p>
            <w:pPr>
              <w:pStyle w:val="33"/>
              <w:jc w:val="center"/>
              <w:rPr>
                <w:color w:val="000000" w:themeColor="text1"/>
                <w:sz w:val="24"/>
                <w:szCs w:val="24"/>
                <w14:textFill>
                  <w14:solidFill>
                    <w14:schemeClr w14:val="tx1"/>
                  </w14:solidFill>
                </w14:textFill>
              </w:rPr>
            </w:pPr>
          </w:p>
          <w:p>
            <w:pPr>
              <w:pStyle w:val="33"/>
              <w:jc w:val="center"/>
              <w:rPr>
                <w:color w:val="000000" w:themeColor="text1"/>
                <w:sz w:val="24"/>
                <w:szCs w:val="24"/>
                <w14:textFill>
                  <w14:solidFill>
                    <w14:schemeClr w14:val="tx1"/>
                  </w14:solidFill>
                </w14:textFill>
              </w:rPr>
            </w:pPr>
          </w:p>
          <w:p>
            <w:pPr>
              <w:pStyle w:val="33"/>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33"/>
              <w:jc w:val="center"/>
              <w:rPr>
                <w:color w:val="000000" w:themeColor="text1"/>
                <w:sz w:val="24"/>
                <w:szCs w:val="24"/>
                <w14:textFill>
                  <w14:solidFill>
                    <w14:schemeClr w14:val="tx1"/>
                  </w14:solidFill>
                </w14:textFill>
              </w:rPr>
            </w:pPr>
          </w:p>
        </w:tc>
        <w:tc>
          <w:tcPr>
            <w:tcW w:w="2010" w:type="dxa"/>
            <w:tcBorders>
              <w:top w:val="nil"/>
              <w:bottom w:val="nil"/>
            </w:tcBorders>
            <w:vAlign w:val="center"/>
          </w:tcPr>
          <w:p>
            <w:pPr>
              <w:pStyle w:val="33"/>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目整体预留”、</w:t>
            </w:r>
          </w:p>
        </w:tc>
        <w:tc>
          <w:tcPr>
            <w:tcW w:w="2296" w:type="dxa"/>
            <w:tcBorders>
              <w:top w:val="nil"/>
              <w:bottom w:val="nil"/>
            </w:tcBorders>
            <w:vAlign w:val="center"/>
          </w:tcPr>
          <w:p>
            <w:pPr>
              <w:pStyle w:val="33"/>
              <w:jc w:val="center"/>
              <w:rPr>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33"/>
              <w:jc w:val="center"/>
              <w:rPr>
                <w:color w:val="000000" w:themeColor="text1"/>
                <w:sz w:val="24"/>
                <w:szCs w:val="24"/>
                <w14:textFill>
                  <w14:solidFill>
                    <w14:schemeClr w14:val="tx1"/>
                  </w14:solidFill>
                </w14:textFill>
              </w:rPr>
            </w:pPr>
          </w:p>
        </w:tc>
        <w:tc>
          <w:tcPr>
            <w:tcW w:w="2010" w:type="dxa"/>
            <w:tcBorders>
              <w:top w:val="nil"/>
              <w:bottom w:val="nil"/>
            </w:tcBorders>
            <w:vAlign w:val="center"/>
          </w:tcPr>
          <w:p>
            <w:pPr>
              <w:pStyle w:val="33"/>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“设置专门采购</w:t>
            </w:r>
          </w:p>
        </w:tc>
        <w:tc>
          <w:tcPr>
            <w:tcW w:w="2296" w:type="dxa"/>
            <w:tcBorders>
              <w:top w:val="nil"/>
              <w:bottom w:val="nil"/>
            </w:tcBorders>
            <w:vAlign w:val="center"/>
          </w:tcPr>
          <w:p>
            <w:pPr>
              <w:pStyle w:val="33"/>
              <w:jc w:val="center"/>
              <w:rPr>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33"/>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（填写集中采</w:t>
            </w:r>
          </w:p>
        </w:tc>
        <w:tc>
          <w:tcPr>
            <w:tcW w:w="2010" w:type="dxa"/>
            <w:tcBorders>
              <w:top w:val="nil"/>
              <w:bottom w:val="nil"/>
            </w:tcBorders>
            <w:vAlign w:val="center"/>
          </w:tcPr>
          <w:p>
            <w:pPr>
              <w:pStyle w:val="33"/>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包”、“要求以</w:t>
            </w:r>
          </w:p>
        </w:tc>
        <w:tc>
          <w:tcPr>
            <w:tcW w:w="2296" w:type="dxa"/>
            <w:tcBorders>
              <w:top w:val="nil"/>
              <w:bottom w:val="nil"/>
            </w:tcBorders>
            <w:vAlign w:val="center"/>
          </w:tcPr>
          <w:p>
            <w:pPr>
              <w:pStyle w:val="33"/>
              <w:jc w:val="center"/>
              <w:rPr>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33"/>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购目录以内或</w:t>
            </w:r>
          </w:p>
        </w:tc>
        <w:tc>
          <w:tcPr>
            <w:tcW w:w="2010" w:type="dxa"/>
            <w:tcBorders>
              <w:top w:val="nil"/>
              <w:bottom w:val="nil"/>
            </w:tcBorders>
            <w:vAlign w:val="center"/>
          </w:tcPr>
          <w:p>
            <w:pPr>
              <w:pStyle w:val="33"/>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联合体形式参</w:t>
            </w:r>
          </w:p>
        </w:tc>
        <w:tc>
          <w:tcPr>
            <w:tcW w:w="2296" w:type="dxa"/>
            <w:tcBorders>
              <w:top w:val="nil"/>
              <w:bottom w:val="nil"/>
            </w:tcBorders>
            <w:vAlign w:val="center"/>
          </w:tcPr>
          <w:p>
            <w:pPr>
              <w:pStyle w:val="33"/>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（精确到万元）</w:t>
            </w:r>
          </w:p>
        </w:tc>
        <w:tc>
          <w:tcPr>
            <w:tcW w:w="1784"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33"/>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者采购限额标</w:t>
            </w:r>
          </w:p>
        </w:tc>
        <w:tc>
          <w:tcPr>
            <w:tcW w:w="2010" w:type="dxa"/>
            <w:tcBorders>
              <w:top w:val="nil"/>
              <w:bottom w:val="nil"/>
            </w:tcBorders>
            <w:vAlign w:val="center"/>
          </w:tcPr>
          <w:p>
            <w:pPr>
              <w:pStyle w:val="33"/>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加”或者“要求</w:t>
            </w:r>
          </w:p>
        </w:tc>
        <w:tc>
          <w:tcPr>
            <w:tcW w:w="2296" w:type="dxa"/>
            <w:tcBorders>
              <w:top w:val="nil"/>
              <w:bottom w:val="nil"/>
            </w:tcBorders>
            <w:vAlign w:val="center"/>
          </w:tcPr>
          <w:p>
            <w:pPr>
              <w:pStyle w:val="33"/>
              <w:jc w:val="center"/>
              <w:rPr>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33"/>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准以上的采购项目</w:t>
            </w:r>
          </w:p>
        </w:tc>
        <w:tc>
          <w:tcPr>
            <w:tcW w:w="2010" w:type="dxa"/>
            <w:tcBorders>
              <w:top w:val="nil"/>
              <w:bottom w:val="nil"/>
            </w:tcBorders>
            <w:vAlign w:val="center"/>
          </w:tcPr>
          <w:p>
            <w:pPr>
              <w:pStyle w:val="33"/>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合同分包”，除</w:t>
            </w:r>
          </w:p>
        </w:tc>
        <w:tc>
          <w:tcPr>
            <w:tcW w:w="2296" w:type="dxa"/>
            <w:tcBorders>
              <w:top w:val="nil"/>
              <w:bottom w:val="nil"/>
            </w:tcBorders>
            <w:vAlign w:val="center"/>
          </w:tcPr>
          <w:p>
            <w:pPr>
              <w:pStyle w:val="33"/>
              <w:jc w:val="center"/>
              <w:rPr>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33"/>
              <w:jc w:val="center"/>
              <w:rPr>
                <w:color w:val="000000" w:themeColor="text1"/>
                <w:sz w:val="24"/>
                <w:szCs w:val="24"/>
                <w14:textFill>
                  <w14:solidFill>
                    <w14:schemeClr w14:val="tx1"/>
                  </w14:solidFill>
                </w14:textFill>
              </w:rPr>
            </w:pPr>
          </w:p>
        </w:tc>
        <w:tc>
          <w:tcPr>
            <w:tcW w:w="2010" w:type="dxa"/>
            <w:tcBorders>
              <w:top w:val="nil"/>
              <w:bottom w:val="nil"/>
            </w:tcBorders>
            <w:vAlign w:val="center"/>
          </w:tcPr>
          <w:p>
            <w:pPr>
              <w:pStyle w:val="33"/>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“采购项目全部</w:t>
            </w:r>
          </w:p>
        </w:tc>
        <w:tc>
          <w:tcPr>
            <w:tcW w:w="2296" w:type="dxa"/>
            <w:tcBorders>
              <w:top w:val="nil"/>
              <w:bottom w:val="nil"/>
            </w:tcBorders>
            <w:vAlign w:val="center"/>
          </w:tcPr>
          <w:p>
            <w:pPr>
              <w:pStyle w:val="33"/>
              <w:jc w:val="center"/>
              <w:rPr>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33"/>
              <w:jc w:val="center"/>
              <w:rPr>
                <w:color w:val="000000" w:themeColor="text1"/>
                <w:sz w:val="24"/>
                <w:szCs w:val="24"/>
                <w14:textFill>
                  <w14:solidFill>
                    <w14:schemeClr w14:val="tx1"/>
                  </w14:solidFill>
                </w14:textFill>
              </w:rPr>
            </w:pPr>
          </w:p>
        </w:tc>
        <w:tc>
          <w:tcPr>
            <w:tcW w:w="2010" w:type="dxa"/>
            <w:tcBorders>
              <w:top w:val="nil"/>
              <w:bottom w:val="nil"/>
            </w:tcBorders>
            <w:vAlign w:val="center"/>
          </w:tcPr>
          <w:p>
            <w:pPr>
              <w:pStyle w:val="33"/>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预留”外，还应</w:t>
            </w:r>
          </w:p>
        </w:tc>
        <w:tc>
          <w:tcPr>
            <w:tcW w:w="2296" w:type="dxa"/>
            <w:tcBorders>
              <w:top w:val="nil"/>
              <w:bottom w:val="nil"/>
            </w:tcBorders>
            <w:vAlign w:val="center"/>
          </w:tcPr>
          <w:p>
            <w:pPr>
              <w:pStyle w:val="33"/>
              <w:jc w:val="center"/>
              <w:rPr>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33"/>
              <w:jc w:val="center"/>
              <w:rPr>
                <w:color w:val="000000" w:themeColor="text1"/>
                <w:sz w:val="24"/>
                <w:szCs w:val="24"/>
                <w14:textFill>
                  <w14:solidFill>
                    <w14:schemeClr w14:val="tx1"/>
                  </w14:solidFill>
                </w14:textFill>
              </w:rPr>
            </w:pPr>
          </w:p>
        </w:tc>
        <w:tc>
          <w:tcPr>
            <w:tcW w:w="2010" w:type="dxa"/>
            <w:tcBorders>
              <w:top w:val="nil"/>
              <w:bottom w:val="nil"/>
            </w:tcBorders>
            <w:vAlign w:val="center"/>
          </w:tcPr>
          <w:p>
            <w:pPr>
              <w:pStyle w:val="33"/>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当填写预留给中</w:t>
            </w:r>
          </w:p>
        </w:tc>
        <w:tc>
          <w:tcPr>
            <w:tcW w:w="2296" w:type="dxa"/>
            <w:tcBorders>
              <w:top w:val="nil"/>
              <w:bottom w:val="nil"/>
            </w:tcBorders>
            <w:vAlign w:val="center"/>
          </w:tcPr>
          <w:p>
            <w:pPr>
              <w:pStyle w:val="33"/>
              <w:jc w:val="center"/>
              <w:rPr>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c>
          <w:tcPr>
            <w:tcW w:w="1866" w:type="dxa"/>
            <w:tcBorders>
              <w:top w:val="nil"/>
            </w:tcBorders>
            <w:vAlign w:val="center"/>
          </w:tcPr>
          <w:p>
            <w:pPr>
              <w:pStyle w:val="33"/>
              <w:jc w:val="center"/>
              <w:rPr>
                <w:color w:val="000000" w:themeColor="text1"/>
                <w:sz w:val="24"/>
                <w:szCs w:val="24"/>
                <w14:textFill>
                  <w14:solidFill>
                    <w14:schemeClr w14:val="tx1"/>
                  </w14:solidFill>
                </w14:textFill>
              </w:rPr>
            </w:pPr>
          </w:p>
        </w:tc>
        <w:tc>
          <w:tcPr>
            <w:tcW w:w="2010" w:type="dxa"/>
            <w:tcBorders>
              <w:top w:val="nil"/>
            </w:tcBorders>
            <w:vAlign w:val="center"/>
          </w:tcPr>
          <w:p>
            <w:pPr>
              <w:pStyle w:val="33"/>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小企业的比例）</w:t>
            </w:r>
          </w:p>
        </w:tc>
        <w:tc>
          <w:tcPr>
            <w:tcW w:w="2296" w:type="dxa"/>
            <w:tcBorders>
              <w:top w:val="nil"/>
            </w:tcBorders>
            <w:vAlign w:val="center"/>
          </w:tcPr>
          <w:p>
            <w:pPr>
              <w:pStyle w:val="33"/>
              <w:jc w:val="center"/>
              <w:rPr>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3"/>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866" w:type="dxa"/>
            <w:vAlign w:val="center"/>
          </w:tcPr>
          <w:p>
            <w:pPr>
              <w:pStyle w:val="33"/>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010" w:type="dxa"/>
            <w:vAlign w:val="center"/>
          </w:tcPr>
          <w:p>
            <w:pPr>
              <w:pStyle w:val="33"/>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296" w:type="dxa"/>
            <w:vAlign w:val="center"/>
          </w:tcPr>
          <w:p>
            <w:pPr>
              <w:pStyle w:val="33"/>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84" w:type="dxa"/>
            <w:vAlign w:val="center"/>
          </w:tcPr>
          <w:p>
            <w:pPr>
              <w:pStyle w:val="33"/>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r>
    </w:tbl>
    <w:p>
      <w:pPr>
        <w:pStyle w:val="7"/>
        <w:tabs>
          <w:tab w:val="left" w:pos="562"/>
          <w:tab w:val="left" w:pos="3372"/>
          <w:tab w:val="left" w:pos="3653"/>
        </w:tabs>
        <w:spacing w:before="128"/>
        <w:ind w:left="4220" w:right="1843"/>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部门（单位）名称： 日期：</w:t>
      </w:r>
    </w:p>
    <w:p>
      <w:pPr>
        <w:pStyle w:val="7"/>
        <w:tabs>
          <w:tab w:val="left" w:pos="562"/>
          <w:tab w:val="left" w:pos="3372"/>
          <w:tab w:val="left" w:pos="3653"/>
        </w:tabs>
        <w:rPr>
          <w:rFonts w:ascii="宋体" w:hAnsi="宋体" w:cs="宋体"/>
          <w:color w:val="000000" w:themeColor="text1"/>
          <w14:textFill>
            <w14:solidFill>
              <w14:schemeClr w14:val="tx1"/>
            </w14:solidFill>
          </w14:textFill>
        </w:rPr>
      </w:pPr>
    </w:p>
    <w:p>
      <w:pPr>
        <w:pStyle w:val="17"/>
        <w:jc w:val="both"/>
        <w:outlineLvl w:val="9"/>
        <w:rPr>
          <w:rFonts w:ascii="宋体" w:hAnsi="宋体" w:eastAsia="宋体" w:cs="宋体"/>
          <w:color w:val="000000" w:themeColor="text1"/>
          <w:sz w:val="24"/>
          <w:szCs w:val="24"/>
          <w14:textFill>
            <w14:solidFill>
              <w14:schemeClr w14:val="tx1"/>
            </w14:solidFill>
          </w14:textFill>
        </w:rPr>
      </w:pPr>
    </w:p>
    <w:p>
      <w:pPr>
        <w:tabs>
          <w:tab w:val="left" w:pos="360"/>
        </w:tabs>
        <w:outlineLvl w:val="1"/>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2、工业和信息化部、国家统计局、国家发展和改革委员会、财政部《关于印发〈中小企业划型标准规定〉的通知》（工信部联企〔2011〕300 号）</w:t>
      </w:r>
    </w:p>
    <w:p>
      <w:pPr>
        <w:pStyle w:val="7"/>
        <w:tabs>
          <w:tab w:val="left" w:pos="562"/>
          <w:tab w:val="left" w:pos="3372"/>
          <w:tab w:val="left" w:pos="3653"/>
        </w:tabs>
        <w:rPr>
          <w:rFonts w:ascii="宋体" w:hAnsi="宋体" w:cs="宋体"/>
          <w:color w:val="000000" w:themeColor="text1"/>
          <w14:textFill>
            <w14:solidFill>
              <w14:schemeClr w14:val="tx1"/>
            </w14:solidFill>
          </w14:textFill>
        </w:rPr>
      </w:pPr>
    </w:p>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关于印发中小企业划型标准规定的通知</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工信部联企业〔2011〕300号</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各省、自治区、直辖市人民政府，国务院各部委、各直属机构及有关单位：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工业和信息化部 国家统计局</w:t>
      </w:r>
    </w:p>
    <w:p>
      <w:pPr>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国家发展和改革委员会 财政部</w:t>
      </w:r>
    </w:p>
    <w:p>
      <w:pPr>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二○一一年六月十八日</w:t>
      </w:r>
    </w:p>
    <w:p>
      <w:pPr>
        <w:ind w:firstLine="480" w:firstLineChars="200"/>
        <w:rPr>
          <w:rFonts w:ascii="宋体" w:hAnsi="宋体" w:cs="宋体"/>
          <w:color w:val="000000" w:themeColor="text1"/>
          <w:sz w:val="24"/>
          <w14:textFill>
            <w14:solidFill>
              <w14:schemeClr w14:val="tx1"/>
            </w14:solidFill>
          </w14:textFill>
        </w:rPr>
      </w:pPr>
    </w:p>
    <w:p>
      <w:pPr>
        <w:ind w:firstLine="480" w:firstLineChars="200"/>
        <w:rPr>
          <w:rFonts w:ascii="宋体" w:hAnsi="宋体" w:cs="宋体"/>
          <w:color w:val="000000" w:themeColor="text1"/>
          <w:sz w:val="24"/>
          <w14:textFill>
            <w14:solidFill>
              <w14:schemeClr w14:val="tx1"/>
            </w14:solidFill>
          </w14:textFill>
        </w:rPr>
      </w:pPr>
    </w:p>
    <w:p>
      <w:pPr>
        <w:ind w:firstLine="480" w:firstLineChars="200"/>
        <w:rPr>
          <w:rFonts w:ascii="宋体" w:hAnsi="宋体" w:cs="宋体"/>
          <w:color w:val="000000" w:themeColor="text1"/>
          <w:sz w:val="24"/>
          <w14:textFill>
            <w14:solidFill>
              <w14:schemeClr w14:val="tx1"/>
            </w14:solidFill>
          </w14:textFill>
        </w:rPr>
      </w:pPr>
    </w:p>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中小企业划型标准规定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一、根据《中华人民共和国中小企业促进法》和《国务院关于进一步促进中小企业发展的若干意见》(国发〔2009〕36号)，制定本规定。</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二、中小企业划分为中型、小型、微型三种类型，具体标准根据企业从业人员、营业收入、资产总额等指标，结合行业特点制定。</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四、各行业划型标准为：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五、企业类型的划分以统计部门的统计数据为依据。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八、本规定由工业和信息化部、国家统计局会同有关部门根据《国民经济行业分类》修订情况和企业发展变化情况适时修订。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九、本规定由工业和信息化部、国家统计局会同有关部门负责解释。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十、本规定自发布之日起执行，原国家经贸委、原国家计委、财政部和国家统计局2003年颁布的《中小企业标准暂行规定》同时废止。</w:t>
      </w:r>
    </w:p>
    <w:p>
      <w:pPr>
        <w:ind w:firstLine="480" w:firstLineChars="200"/>
        <w:rPr>
          <w:rFonts w:ascii="宋体" w:hAnsi="宋体" w:cs="宋体"/>
          <w:color w:val="000000" w:themeColor="text1"/>
          <w:sz w:val="24"/>
          <w14:textFill>
            <w14:solidFill>
              <w14:schemeClr w14:val="tx1"/>
            </w14:solidFill>
          </w14:textFill>
        </w:rPr>
      </w:pPr>
    </w:p>
    <w:p>
      <w:pPr>
        <w:pStyle w:val="17"/>
        <w:jc w:val="both"/>
        <w:outlineLvl w:val="9"/>
        <w:rPr>
          <w:rFonts w:ascii="宋体" w:hAnsi="宋体" w:eastAsia="宋体" w:cs="宋体"/>
          <w:color w:val="000000" w:themeColor="text1"/>
          <w:sz w:val="24"/>
          <w:szCs w:val="24"/>
          <w14:textFill>
            <w14:solidFill>
              <w14:schemeClr w14:val="tx1"/>
            </w14:solidFill>
          </w14:textFill>
        </w:rPr>
      </w:pPr>
    </w:p>
    <w:p>
      <w:pPr>
        <w:pStyle w:val="17"/>
        <w:jc w:val="both"/>
        <w:outlineLvl w:val="9"/>
        <w:rPr>
          <w:rFonts w:ascii="宋体" w:hAnsi="宋体" w:eastAsia="宋体" w:cs="宋体"/>
          <w:color w:val="000000" w:themeColor="text1"/>
          <w:sz w:val="24"/>
          <w:szCs w:val="24"/>
          <w14:textFill>
            <w14:solidFill>
              <w14:schemeClr w14:val="tx1"/>
            </w14:solidFill>
          </w14:textFill>
        </w:rPr>
      </w:pPr>
    </w:p>
    <w:p>
      <w:pPr>
        <w:tabs>
          <w:tab w:val="left" w:pos="360"/>
        </w:tabs>
        <w:outlineLvl w:val="1"/>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3、国家统计局《关于印发〈统计上大中小微型企业划分办法（2017）〉的通知》</w:t>
      </w:r>
    </w:p>
    <w:p>
      <w:pPr>
        <w:widowControl/>
        <w:shd w:val="clear" w:color="auto" w:fill="FFFFFF"/>
        <w:jc w:val="center"/>
        <w:rPr>
          <w:rFonts w:ascii="宋体" w:hAnsi="宋体" w:cs="宋体"/>
          <w:b/>
          <w:bCs/>
          <w:color w:val="000000" w:themeColor="text1"/>
          <w:kern w:val="0"/>
          <w:sz w:val="24"/>
          <w14:textFill>
            <w14:solidFill>
              <w14:schemeClr w14:val="tx1"/>
            </w14:solidFill>
          </w14:textFill>
        </w:rPr>
      </w:pPr>
    </w:p>
    <w:p>
      <w:pPr>
        <w:widowControl/>
        <w:shd w:val="clear" w:color="auto" w:fill="FFFFFF"/>
        <w:jc w:val="center"/>
        <w:rPr>
          <w:rFonts w:ascii="宋体" w:hAnsi="宋体" w:cs="宋体"/>
          <w:b/>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国家统计局关于印发《统计上大中小微型企业划分办法（2017）》的通知</w:t>
      </w:r>
    </w:p>
    <w:p>
      <w:pPr>
        <w:widowControl/>
        <w:shd w:val="clear" w:color="auto" w:fill="FFFFFF"/>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各省、自治区、直辖市统计局，新疆生产建设兵团统计局，国务院各有关部门，国家统计局各调查总队：</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附件：《统计上大中小微型企业划分办法（2017）》修订说明</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国家统计局</w:t>
      </w:r>
    </w:p>
    <w:p>
      <w:pPr>
        <w:widowControl/>
        <w:shd w:val="clear" w:color="auto" w:fill="FFFFFF"/>
        <w:ind w:firstLine="480" w:firstLineChars="200"/>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2017年12月28日</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统计上大中小微型企业划分办法（2017）</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五、企业划分由政府综合统计部门根据统计年报每年确定一次，定报统计原则上不进行调整。</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附表：统计上大中小微型企业划分标准</w:t>
      </w:r>
    </w:p>
    <w:p>
      <w:pPr>
        <w:widowControl/>
        <w:jc w:val="left"/>
        <w:rPr>
          <w:rFonts w:ascii="宋体" w:hAnsi="宋体" w:cs="宋体"/>
          <w:color w:val="000000" w:themeColor="text1"/>
          <w:kern w:val="0"/>
          <w:sz w:val="24"/>
          <w14:textFill>
            <w14:solidFill>
              <w14:schemeClr w14:val="tx1"/>
            </w14:solidFill>
          </w14:textFill>
        </w:rPr>
      </w:pP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w:t>
      </w:r>
    </w:p>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统计上大中小微型企业划分标准</w:t>
      </w:r>
    </w:p>
    <w:tbl>
      <w:tblPr>
        <w:tblStyle w:val="2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行业名称</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指标名称</w:t>
            </w:r>
          </w:p>
        </w:tc>
        <w:tc>
          <w:tcPr>
            <w:tcW w:w="727" w:type="dxa"/>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计量</w:t>
            </w:r>
          </w:p>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单位</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大型</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中型</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小型</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农、林、牧、渔业</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50≤Y＜500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 *</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2000≤Y＜40000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300≤Y＜2000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建筑业</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Y≥80000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6000≤Y＜80000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300≤Y＜6000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Z≥80000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5000≤Z＜80000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300≤Z＜5000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批发业</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20≤X＜200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5≤X＜20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5000≤Y＜40000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零售业</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50≤X＜300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10≤X＜50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100≤Y＜500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交通运输业 *</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3000≤Y＜30000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200≤Y＜3000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仓储业*</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20≤X＜100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1000≤Y＜30000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邮政业</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2000≤Y＜30000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住宿业</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餐饮业</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信息传输业 *</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软件和信息技术服务业</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50≤Y＜1000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房地产开发经营</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1000≤Y＜200000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5000≤Z＜10000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2000≤Z＜5000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物业管理</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500≤Y＜1000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租赁和商务服务业</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Z≥120000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8000≤Z＜120000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100≤Z＜8000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其他未列明行业 *</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bl>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说明：</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1.大型、中型和小型企业须同时满足所列指标的下限，否则下划一档；微型企业只须满足所列指标中的一项即可。</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7"/>
        <w:tabs>
          <w:tab w:val="left" w:pos="562"/>
          <w:tab w:val="left" w:pos="3372"/>
          <w:tab w:val="left" w:pos="3653"/>
        </w:tabs>
        <w:rPr>
          <w:rFonts w:ascii="宋体" w:hAnsi="宋体" w:cs="宋体"/>
          <w:color w:val="000000" w:themeColor="text1"/>
          <w14:textFill>
            <w14:solidFill>
              <w14:schemeClr w14:val="tx1"/>
            </w14:solidFill>
          </w14:textFill>
        </w:rPr>
      </w:pPr>
    </w:p>
    <w:p>
      <w:pPr>
        <w:pStyle w:val="17"/>
        <w:outlineLvl w:val="9"/>
        <w:rPr>
          <w:rFonts w:ascii="宋体" w:hAnsi="宋体" w:eastAsia="宋体" w:cs="宋体"/>
          <w:color w:val="000000" w:themeColor="text1"/>
          <w:sz w:val="24"/>
          <w:szCs w:val="24"/>
          <w14:textFill>
            <w14:solidFill>
              <w14:schemeClr w14:val="tx1"/>
            </w14:solidFill>
          </w14:textFill>
        </w:rPr>
      </w:pPr>
    </w:p>
    <w:p>
      <w:pPr>
        <w:tabs>
          <w:tab w:val="left" w:pos="360"/>
        </w:tabs>
        <w:outlineLvl w:val="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4、财政部、民政部、中国残联《关于促进残疾人就业政府采购政策的通知》（财库〔2017〕141 号）</w:t>
      </w:r>
    </w:p>
    <w:p>
      <w:pPr>
        <w:shd w:val="clear" w:color="auto" w:fill="FFFFFF"/>
        <w:rPr>
          <w:rFonts w:ascii="宋体" w:hAnsi="宋体" w:cs="宋体"/>
          <w:bCs/>
          <w:color w:val="000000" w:themeColor="text1"/>
          <w:sz w:val="24"/>
          <w14:textFill>
            <w14:solidFill>
              <w14:schemeClr w14:val="tx1"/>
            </w14:solidFill>
          </w14:textFill>
        </w:rPr>
      </w:pPr>
    </w:p>
    <w:p>
      <w:pPr>
        <w:shd w:val="clear" w:color="auto" w:fill="FFFFFF"/>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关于促进残疾人就业政府采购政策的通知</w:t>
      </w:r>
    </w:p>
    <w:p>
      <w:pPr>
        <w:pStyle w:val="16"/>
        <w:shd w:val="clear" w:color="auto" w:fill="FFFFFF"/>
        <w:spacing w:before="0" w:beforeAutospacing="0" w:after="0" w:afterAutospacing="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w:t>
      </w:r>
      <w:bookmarkStart w:id="59" w:name="sendNo"/>
      <w:r>
        <w:rPr>
          <w:rFonts w:hint="eastAsia"/>
          <w:color w:val="000000" w:themeColor="text1"/>
          <w14:textFill>
            <w14:solidFill>
              <w14:schemeClr w14:val="tx1"/>
            </w14:solidFill>
          </w14:textFill>
        </w:rPr>
        <w:t>财库〔</w:t>
      </w:r>
      <w:bookmarkEnd w:id="59"/>
      <w:r>
        <w:rPr>
          <w:rFonts w:hint="eastAsia"/>
          <w:color w:val="000000" w:themeColor="text1"/>
          <w14:textFill>
            <w14:solidFill>
              <w14:schemeClr w14:val="tx1"/>
            </w14:solidFill>
          </w14:textFill>
        </w:rPr>
        <w:t>2017〕141号</w:t>
      </w:r>
    </w:p>
    <w:p>
      <w:pPr>
        <w:pStyle w:val="16"/>
        <w:shd w:val="clear" w:color="auto" w:fill="FFFFFF"/>
        <w:spacing w:before="0" w:beforeAutospacing="0" w:after="0" w:afterAutospacing="0"/>
        <w:ind w:firstLine="480" w:firstLineChars="200"/>
        <w:rPr>
          <w:color w:val="000000" w:themeColor="text1"/>
          <w14:textFill>
            <w14:solidFill>
              <w14:schemeClr w14:val="tx1"/>
            </w14:solidFill>
          </w14:textFill>
        </w:rPr>
      </w:pPr>
      <w:bookmarkStart w:id="60" w:name="toDeptId"/>
      <w:r>
        <w:rPr>
          <w:rFonts w:hint="eastAsia"/>
          <w:color w:val="000000" w:themeColor="text1"/>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60"/>
      <w:r>
        <w:rPr>
          <w:rFonts w:hint="eastAsia"/>
          <w:color w:val="000000" w:themeColor="text1"/>
          <w14:textFill>
            <w14:solidFill>
              <w14:schemeClr w14:val="tx1"/>
            </w14:solidFill>
          </w14:textFill>
        </w:rPr>
        <w:t>：</w:t>
      </w:r>
    </w:p>
    <w:p>
      <w:pPr>
        <w:pStyle w:val="16"/>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为了发挥政府采购促进残疾人就业的作用，进一步保障残疾人权益，依照《政府采购法》、《残疾人保障法》等法律法规及相关规定，现就促进残疾人就业政府采购政策通知如下：</w:t>
      </w:r>
    </w:p>
    <w:p>
      <w:pPr>
        <w:pStyle w:val="16"/>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一、享受政府采购支持政策的残疾人福利性单位应当同时满足以下条件：</w:t>
      </w:r>
    </w:p>
    <w:p>
      <w:pPr>
        <w:pStyle w:val="16"/>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（一）安置的残疾人占本单位在职职工人数的比例不低于25%（含25%），并且安置的残疾人人数不少于10人（含10人）；</w:t>
      </w:r>
    </w:p>
    <w:p>
      <w:pPr>
        <w:pStyle w:val="16"/>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（二）依法与安置的每位残疾人签订了一年以上（含一年）的劳动合同或服务协议；</w:t>
      </w:r>
    </w:p>
    <w:p>
      <w:pPr>
        <w:pStyle w:val="16"/>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（三）为安置的每位残疾人按月足额缴纳了基本养老保险、基本医疗保险、失业保险、工伤保险和生育保险等社会保险费；</w:t>
      </w:r>
    </w:p>
    <w:p>
      <w:pPr>
        <w:pStyle w:val="16"/>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（四）通过银行等金融机构向安置的每位残疾人，按月支付了不低于单位所在区县适用的经省级人民政府批准的月最低工资标准的工资；</w:t>
      </w:r>
    </w:p>
    <w:p>
      <w:pPr>
        <w:pStyle w:val="16"/>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pStyle w:val="16"/>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6"/>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中标、成交供应商为残疾人福利性单位的，采购人或者其委托的采购代理机构应当随中标、成交结果同时公告其《残疾人福利性单位声明函》，接受社会监督。</w:t>
      </w:r>
    </w:p>
    <w:p>
      <w:pPr>
        <w:pStyle w:val="16"/>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供应商提供的《残疾人福利性单位声明函》与事实不符的，依照《政府采购法》第七十七条第一款的规定追究法律责任。</w:t>
      </w:r>
    </w:p>
    <w:p>
      <w:pPr>
        <w:pStyle w:val="16"/>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6"/>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四、采购人采购公开招标数额标准以上的货物或者服务，因落实促进残疾人就业政策的需要，依法履行有关报批程序后，可采用公开招标以外的采购方式。</w:t>
      </w:r>
    </w:p>
    <w:p>
      <w:pPr>
        <w:pStyle w:val="16"/>
        <w:shd w:val="clear" w:color="auto" w:fill="FFFFFF"/>
        <w:spacing w:before="0" w:beforeAutospacing="0" w:after="0" w:afterAutospacing="0"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6"/>
        <w:shd w:val="clear" w:color="auto" w:fill="FFFFFF"/>
        <w:spacing w:before="0" w:beforeAutospacing="0" w:after="0" w:afterAutospacing="0"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6"/>
        <w:shd w:val="clear" w:color="auto" w:fill="FFFFFF"/>
        <w:spacing w:before="0" w:beforeAutospacing="0" w:after="0" w:afterAutospacing="0"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七、本通知自2017年10月1日起执行。</w:t>
      </w:r>
    </w:p>
    <w:p>
      <w:pPr>
        <w:pStyle w:val="16"/>
        <w:shd w:val="clear" w:color="auto" w:fill="FFFFFF"/>
        <w:spacing w:before="0" w:beforeAutospacing="0" w:after="0" w:afterAutospacing="0" w:line="560" w:lineRule="exact"/>
        <w:ind w:firstLine="480" w:firstLineChars="200"/>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财政部 民政部 中国残疾人联合会</w:t>
      </w:r>
    </w:p>
    <w:p>
      <w:pPr>
        <w:pStyle w:val="16"/>
        <w:shd w:val="clear" w:color="auto" w:fill="FFFFFF"/>
        <w:spacing w:before="0" w:beforeAutospacing="0" w:after="0" w:afterAutospacing="0" w:line="560" w:lineRule="exact"/>
        <w:ind w:firstLine="480" w:firstLineChars="200"/>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2017年8月22日</w:t>
      </w:r>
    </w:p>
    <w:p>
      <w:pPr>
        <w:pStyle w:val="34"/>
        <w:shd w:val="clear" w:color="auto" w:fill="FFFFFF"/>
        <w:spacing w:before="0" w:beforeAutospacing="0" w:after="0" w:afterAutospacing="0" w:line="56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附件：</w:t>
      </w:r>
    </w:p>
    <w:p>
      <w:pPr>
        <w:pStyle w:val="34"/>
        <w:shd w:val="clear" w:color="auto" w:fill="FFFFFF"/>
        <w:spacing w:before="0" w:beforeAutospacing="0" w:after="0" w:afterAutospacing="0" w:line="560" w:lineRule="exact"/>
        <w:ind w:firstLine="482" w:firstLineChars="200"/>
        <w:jc w:val="center"/>
        <w:rPr>
          <w:color w:val="000000" w:themeColor="text1"/>
          <w14:textFill>
            <w14:solidFill>
              <w14:schemeClr w14:val="tx1"/>
            </w14:solidFill>
          </w14:textFill>
        </w:rPr>
      </w:pPr>
      <w:r>
        <w:rPr>
          <w:rStyle w:val="35"/>
          <w:rFonts w:hint="eastAsia"/>
          <w:b/>
          <w:bCs/>
          <w:color w:val="000000" w:themeColor="text1"/>
          <w14:textFill>
            <w14:solidFill>
              <w14:schemeClr w14:val="tx1"/>
            </w14:solidFill>
          </w14:textFill>
        </w:rPr>
        <w:t>残疾人福利性单位声明函</w:t>
      </w:r>
    </w:p>
    <w:p>
      <w:pPr>
        <w:pStyle w:val="34"/>
        <w:shd w:val="clear" w:color="auto" w:fill="FFFFFF"/>
        <w:spacing w:before="0" w:beforeAutospacing="0" w:after="0" w:afterAutospacing="0" w:line="560" w:lineRule="exact"/>
        <w:ind w:firstLine="480" w:firstLineChars="200"/>
        <w:jc w:val="both"/>
        <w:rPr>
          <w:color w:val="000000" w:themeColor="text1"/>
          <w14:textFill>
            <w14:solidFill>
              <w14:schemeClr w14:val="tx1"/>
            </w14:solidFill>
          </w14:textFill>
        </w:rPr>
      </w:pPr>
      <w:r>
        <w:rPr>
          <w:rStyle w:val="35"/>
          <w:rFonts w:hint="eastAsia"/>
          <w:color w:val="000000" w:themeColor="text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4"/>
        <w:shd w:val="clear" w:color="auto" w:fill="FFFFFF"/>
        <w:spacing w:before="0" w:beforeAutospacing="0" w:after="0" w:afterAutospacing="0" w:line="560" w:lineRule="exact"/>
        <w:ind w:firstLine="480" w:firstLineChars="200"/>
        <w:jc w:val="both"/>
        <w:rPr>
          <w:color w:val="000000" w:themeColor="text1"/>
          <w14:textFill>
            <w14:solidFill>
              <w14:schemeClr w14:val="tx1"/>
            </w14:solidFill>
          </w14:textFill>
        </w:rPr>
      </w:pPr>
      <w:r>
        <w:rPr>
          <w:rStyle w:val="35"/>
          <w:rFonts w:hint="eastAsia"/>
          <w:color w:val="000000" w:themeColor="text1"/>
          <w14:textFill>
            <w14:solidFill>
              <w14:schemeClr w14:val="tx1"/>
            </w14:solidFill>
          </w14:textFill>
        </w:rPr>
        <w:t>本单位对上述声明的真实性负责。如有虚假，将依法承担相应责任。</w:t>
      </w:r>
    </w:p>
    <w:p>
      <w:pPr>
        <w:pStyle w:val="34"/>
        <w:shd w:val="clear" w:color="auto" w:fill="FFFFFF"/>
        <w:spacing w:before="0" w:beforeAutospacing="0" w:after="0" w:afterAutospacing="0" w:line="56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投标人已知悉《关于促进残疾人就业政府采购政策的通知》（财库〔2017〕141 号）的规定，承诺提供的声明函内容是真实的，如提供声明函内容不实，则依法追究相关法律责任。</w:t>
      </w:r>
    </w:p>
    <w:p>
      <w:pPr>
        <w:pStyle w:val="34"/>
        <w:shd w:val="clear" w:color="auto" w:fill="FFFFFF"/>
        <w:spacing w:before="0" w:beforeAutospacing="0" w:after="0" w:afterAutospacing="0" w:line="560" w:lineRule="exact"/>
        <w:ind w:right="2100" w:rightChars="1000"/>
        <w:jc w:val="right"/>
        <w:rPr>
          <w:color w:val="000000" w:themeColor="text1"/>
          <w14:textFill>
            <w14:solidFill>
              <w14:schemeClr w14:val="tx1"/>
            </w14:solidFill>
          </w14:textFill>
        </w:rPr>
      </w:pPr>
      <w:r>
        <w:rPr>
          <w:rStyle w:val="35"/>
          <w:rFonts w:hint="eastAsia"/>
          <w:color w:val="000000" w:themeColor="text1"/>
          <w14:textFill>
            <w14:solidFill>
              <w14:schemeClr w14:val="tx1"/>
            </w14:solidFill>
          </w14:textFill>
        </w:rPr>
        <w:t>单位名称（盖章）：</w:t>
      </w:r>
    </w:p>
    <w:p>
      <w:pPr>
        <w:pStyle w:val="34"/>
        <w:shd w:val="clear" w:color="auto" w:fill="FFFFFF"/>
        <w:spacing w:before="0" w:beforeAutospacing="0" w:after="0" w:afterAutospacing="0" w:line="560" w:lineRule="exact"/>
        <w:ind w:right="2100" w:rightChars="1000"/>
        <w:jc w:val="right"/>
        <w:rPr>
          <w:color w:val="000000" w:themeColor="text1"/>
          <w:lang w:val="fr-CH"/>
          <w14:textFill>
            <w14:solidFill>
              <w14:schemeClr w14:val="tx1"/>
            </w14:solidFill>
          </w14:textFill>
        </w:rPr>
      </w:pPr>
      <w:r>
        <w:rPr>
          <w:rStyle w:val="35"/>
          <w:rFonts w:hint="eastAsia"/>
          <w:color w:val="000000" w:themeColor="text1"/>
          <w14:textFill>
            <w14:solidFill>
              <w14:schemeClr w14:val="tx1"/>
            </w14:solidFill>
          </w14:textFill>
        </w:rPr>
        <w:t>日 期：</w:t>
      </w:r>
    </w:p>
    <w:p>
      <w:pPr>
        <w:tabs>
          <w:tab w:val="left" w:pos="640"/>
          <w:tab w:val="left" w:pos="1260"/>
          <w:tab w:val="left" w:pos="1418"/>
        </w:tabs>
        <w:spacing w:line="360" w:lineRule="auto"/>
        <w:ind w:right="-420" w:rightChars="-200"/>
        <w:rPr>
          <w:rFonts w:ascii="宋体" w:hAnsi="宋体" w:cs="宋体"/>
          <w:color w:val="000000" w:themeColor="text1"/>
          <w:sz w:val="24"/>
          <w:lang w:val="fr-CH"/>
          <w14:textFill>
            <w14:solidFill>
              <w14:schemeClr w14:val="tx1"/>
            </w14:solidFill>
          </w14:textFill>
        </w:rPr>
      </w:pPr>
    </w:p>
    <w:p>
      <w:pPr>
        <w:pStyle w:val="29"/>
        <w:rPr>
          <w:color w:val="000000" w:themeColor="text1"/>
          <w:lang w:val="fr-CH"/>
          <w14:textFill>
            <w14:solidFill>
              <w14:schemeClr w14:val="tx1"/>
            </w14:solidFill>
          </w14:textFill>
        </w:rPr>
      </w:pPr>
    </w:p>
    <w:p>
      <w:pPr>
        <w:rPr>
          <w:color w:val="000000" w:themeColor="text1"/>
          <w14:textFill>
            <w14:solidFill>
              <w14:schemeClr w14:val="tx1"/>
            </w14:solidFill>
          </w14:textFill>
        </w:rPr>
      </w:pPr>
    </w:p>
    <w:sectPr>
      <w:headerReference r:id="rId7" w:type="first"/>
      <w:headerReference r:id="rId5" w:type="default"/>
      <w:headerReference r:id="rId6"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4</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8"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40304"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6">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7">
    <w:nsid w:val="200A2FAF"/>
    <w:multiLevelType w:val="singleLevel"/>
    <w:tmpl w:val="200A2FAF"/>
    <w:lvl w:ilvl="0" w:tentative="0">
      <w:start w:val="5"/>
      <w:numFmt w:val="decimal"/>
      <w:suff w:val="nothing"/>
      <w:lvlText w:val="（%1）"/>
      <w:lvlJc w:val="left"/>
    </w:lvl>
  </w:abstractNum>
  <w:abstractNum w:abstractNumId="8">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9">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0">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1">
    <w:nsid w:val="5D7828B9"/>
    <w:multiLevelType w:val="singleLevel"/>
    <w:tmpl w:val="5D7828B9"/>
    <w:lvl w:ilvl="0" w:tentative="0">
      <w:start w:val="1"/>
      <w:numFmt w:val="decimal"/>
      <w:lvlText w:val="（%1）"/>
      <w:lvlJc w:val="left"/>
      <w:pPr>
        <w:tabs>
          <w:tab w:val="left" w:pos="425"/>
        </w:tabs>
        <w:ind w:left="425" w:hanging="425"/>
      </w:pPr>
      <w:rPr>
        <w:rFonts w:hint="default"/>
        <w:b w:val="0"/>
        <w:bCs w:val="0"/>
      </w:rPr>
    </w:lvl>
  </w:abstractNum>
  <w:abstractNum w:abstractNumId="12">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2"/>
  </w:num>
  <w:num w:numId="2">
    <w:abstractNumId w:val="4"/>
  </w:num>
  <w:num w:numId="3">
    <w:abstractNumId w:val="2"/>
  </w:num>
  <w:num w:numId="4">
    <w:abstractNumId w:val="8"/>
  </w:num>
  <w:num w:numId="5">
    <w:abstractNumId w:val="9"/>
  </w:num>
  <w:num w:numId="6">
    <w:abstractNumId w:val="3"/>
  </w:num>
  <w:num w:numId="7">
    <w:abstractNumId w:val="5"/>
  </w:num>
  <w:num w:numId="8">
    <w:abstractNumId w:val="1"/>
  </w:num>
  <w:num w:numId="9">
    <w:abstractNumId w:val="0"/>
  </w:num>
  <w:num w:numId="10">
    <w:abstractNumId w:val="6"/>
  </w:num>
  <w:num w:numId="11">
    <w:abstractNumId w:val="1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 w:name="KSO_WPS_MARK_KEY" w:val="6c52a594-fa24-4eda-8bdf-1df5baad3362"/>
  </w:docVars>
  <w:rsids>
    <w:rsidRoot w:val="6F152D9A"/>
    <w:rsid w:val="000821F1"/>
    <w:rsid w:val="000C0C4C"/>
    <w:rsid w:val="001109FF"/>
    <w:rsid w:val="00291AA1"/>
    <w:rsid w:val="002A0340"/>
    <w:rsid w:val="002C2190"/>
    <w:rsid w:val="0046340A"/>
    <w:rsid w:val="004974B6"/>
    <w:rsid w:val="004E616D"/>
    <w:rsid w:val="00521D87"/>
    <w:rsid w:val="00591ED4"/>
    <w:rsid w:val="006A5E20"/>
    <w:rsid w:val="00785F49"/>
    <w:rsid w:val="007F6682"/>
    <w:rsid w:val="00832935"/>
    <w:rsid w:val="00870BFD"/>
    <w:rsid w:val="009624F6"/>
    <w:rsid w:val="00977B14"/>
    <w:rsid w:val="009C337D"/>
    <w:rsid w:val="009D033E"/>
    <w:rsid w:val="009E70F5"/>
    <w:rsid w:val="009F1B47"/>
    <w:rsid w:val="00A566D5"/>
    <w:rsid w:val="00A73F84"/>
    <w:rsid w:val="00A81D22"/>
    <w:rsid w:val="00AB1A09"/>
    <w:rsid w:val="00AC7D6D"/>
    <w:rsid w:val="00BF1095"/>
    <w:rsid w:val="00C33D8C"/>
    <w:rsid w:val="00D2452C"/>
    <w:rsid w:val="00DE5743"/>
    <w:rsid w:val="00DF15AF"/>
    <w:rsid w:val="00F80C5D"/>
    <w:rsid w:val="00F87FEB"/>
    <w:rsid w:val="00FC1BE0"/>
    <w:rsid w:val="01064C9A"/>
    <w:rsid w:val="01070590"/>
    <w:rsid w:val="01211AD4"/>
    <w:rsid w:val="012B1DC1"/>
    <w:rsid w:val="013B4944"/>
    <w:rsid w:val="013F391C"/>
    <w:rsid w:val="0159301C"/>
    <w:rsid w:val="01623C7B"/>
    <w:rsid w:val="016E57A9"/>
    <w:rsid w:val="017E0CD4"/>
    <w:rsid w:val="01877B89"/>
    <w:rsid w:val="018C0929"/>
    <w:rsid w:val="01AA3877"/>
    <w:rsid w:val="01B8192A"/>
    <w:rsid w:val="01CC1A40"/>
    <w:rsid w:val="01D46826"/>
    <w:rsid w:val="01E27A17"/>
    <w:rsid w:val="02177F1F"/>
    <w:rsid w:val="021A1BEE"/>
    <w:rsid w:val="022618D2"/>
    <w:rsid w:val="02274EC8"/>
    <w:rsid w:val="023A5F04"/>
    <w:rsid w:val="026E4740"/>
    <w:rsid w:val="02881E0B"/>
    <w:rsid w:val="02947948"/>
    <w:rsid w:val="02A92B78"/>
    <w:rsid w:val="02B05BAB"/>
    <w:rsid w:val="02CB7F49"/>
    <w:rsid w:val="03071B50"/>
    <w:rsid w:val="031134B4"/>
    <w:rsid w:val="031C47EB"/>
    <w:rsid w:val="03223064"/>
    <w:rsid w:val="0341645D"/>
    <w:rsid w:val="03634626"/>
    <w:rsid w:val="0375603F"/>
    <w:rsid w:val="037A0E7B"/>
    <w:rsid w:val="0389238A"/>
    <w:rsid w:val="038A0222"/>
    <w:rsid w:val="03990047"/>
    <w:rsid w:val="03A2798C"/>
    <w:rsid w:val="03A82039"/>
    <w:rsid w:val="03AF4145"/>
    <w:rsid w:val="03BC1A16"/>
    <w:rsid w:val="03BE360A"/>
    <w:rsid w:val="03CA1FAF"/>
    <w:rsid w:val="03DD6186"/>
    <w:rsid w:val="03E219EE"/>
    <w:rsid w:val="042277B0"/>
    <w:rsid w:val="043343BF"/>
    <w:rsid w:val="044004C3"/>
    <w:rsid w:val="0442248D"/>
    <w:rsid w:val="04474B37"/>
    <w:rsid w:val="04A005CC"/>
    <w:rsid w:val="04A35474"/>
    <w:rsid w:val="04B50EB1"/>
    <w:rsid w:val="04BB7F4A"/>
    <w:rsid w:val="04C63705"/>
    <w:rsid w:val="04CD61FB"/>
    <w:rsid w:val="04FF037E"/>
    <w:rsid w:val="05062697"/>
    <w:rsid w:val="053973EC"/>
    <w:rsid w:val="054269F8"/>
    <w:rsid w:val="05497666"/>
    <w:rsid w:val="054B35C3"/>
    <w:rsid w:val="057B3913"/>
    <w:rsid w:val="05804BC2"/>
    <w:rsid w:val="058E7EB0"/>
    <w:rsid w:val="0594022D"/>
    <w:rsid w:val="05A01219"/>
    <w:rsid w:val="05A21435"/>
    <w:rsid w:val="05C21607"/>
    <w:rsid w:val="05CD1439"/>
    <w:rsid w:val="05D74AE1"/>
    <w:rsid w:val="05F15F19"/>
    <w:rsid w:val="060E0879"/>
    <w:rsid w:val="061A1C1B"/>
    <w:rsid w:val="06336033"/>
    <w:rsid w:val="066E57BB"/>
    <w:rsid w:val="06820CAF"/>
    <w:rsid w:val="068A098C"/>
    <w:rsid w:val="069E458D"/>
    <w:rsid w:val="06BC14B2"/>
    <w:rsid w:val="06BE2A9A"/>
    <w:rsid w:val="06C44D16"/>
    <w:rsid w:val="06CC4290"/>
    <w:rsid w:val="06D00EEB"/>
    <w:rsid w:val="06DE6F2D"/>
    <w:rsid w:val="06E23AB3"/>
    <w:rsid w:val="06E332E1"/>
    <w:rsid w:val="06F30D45"/>
    <w:rsid w:val="06F66CB9"/>
    <w:rsid w:val="07046BC9"/>
    <w:rsid w:val="070956AA"/>
    <w:rsid w:val="070D6D82"/>
    <w:rsid w:val="07235607"/>
    <w:rsid w:val="072D6233"/>
    <w:rsid w:val="072F63A4"/>
    <w:rsid w:val="07462294"/>
    <w:rsid w:val="074A4AE8"/>
    <w:rsid w:val="07521B5C"/>
    <w:rsid w:val="07756761"/>
    <w:rsid w:val="07787DB5"/>
    <w:rsid w:val="077961C6"/>
    <w:rsid w:val="0797489E"/>
    <w:rsid w:val="07994850"/>
    <w:rsid w:val="07AC659B"/>
    <w:rsid w:val="07B13BB2"/>
    <w:rsid w:val="07CA5F0B"/>
    <w:rsid w:val="07EF0236"/>
    <w:rsid w:val="07FD54F6"/>
    <w:rsid w:val="08045A7E"/>
    <w:rsid w:val="080A32D3"/>
    <w:rsid w:val="08180F8C"/>
    <w:rsid w:val="082063A2"/>
    <w:rsid w:val="08246E93"/>
    <w:rsid w:val="083D71F3"/>
    <w:rsid w:val="087602D4"/>
    <w:rsid w:val="087C541A"/>
    <w:rsid w:val="088300A5"/>
    <w:rsid w:val="088E3EF3"/>
    <w:rsid w:val="08950582"/>
    <w:rsid w:val="089C0455"/>
    <w:rsid w:val="08CE609D"/>
    <w:rsid w:val="08D35DAA"/>
    <w:rsid w:val="08D86F1C"/>
    <w:rsid w:val="08DA1976"/>
    <w:rsid w:val="08E57A87"/>
    <w:rsid w:val="08E92ED7"/>
    <w:rsid w:val="08EB4289"/>
    <w:rsid w:val="08F43C68"/>
    <w:rsid w:val="090306E4"/>
    <w:rsid w:val="090A34E0"/>
    <w:rsid w:val="09151F1E"/>
    <w:rsid w:val="09300B06"/>
    <w:rsid w:val="093305F6"/>
    <w:rsid w:val="09373214"/>
    <w:rsid w:val="093822B1"/>
    <w:rsid w:val="09491BC8"/>
    <w:rsid w:val="094D42E8"/>
    <w:rsid w:val="09592469"/>
    <w:rsid w:val="096F55F7"/>
    <w:rsid w:val="09795A1E"/>
    <w:rsid w:val="09823515"/>
    <w:rsid w:val="09992B4F"/>
    <w:rsid w:val="09A42169"/>
    <w:rsid w:val="09AF2373"/>
    <w:rsid w:val="09C84ED3"/>
    <w:rsid w:val="09D1743A"/>
    <w:rsid w:val="09E81EE9"/>
    <w:rsid w:val="09F77876"/>
    <w:rsid w:val="0A2A768E"/>
    <w:rsid w:val="0A312D88"/>
    <w:rsid w:val="0A3B3C06"/>
    <w:rsid w:val="0A4B62C5"/>
    <w:rsid w:val="0A570F70"/>
    <w:rsid w:val="0A5E16A3"/>
    <w:rsid w:val="0A602146"/>
    <w:rsid w:val="0A6A44EC"/>
    <w:rsid w:val="0A7556E7"/>
    <w:rsid w:val="0A8703EF"/>
    <w:rsid w:val="0A896457"/>
    <w:rsid w:val="0A8A693C"/>
    <w:rsid w:val="0A8E01DA"/>
    <w:rsid w:val="0A9E7CF1"/>
    <w:rsid w:val="0AA51080"/>
    <w:rsid w:val="0AA72E75"/>
    <w:rsid w:val="0AB80AEB"/>
    <w:rsid w:val="0AB85257"/>
    <w:rsid w:val="0ACB4F8A"/>
    <w:rsid w:val="0AD731CB"/>
    <w:rsid w:val="0AE20526"/>
    <w:rsid w:val="0AF81AF7"/>
    <w:rsid w:val="0B0C40B2"/>
    <w:rsid w:val="0B140280"/>
    <w:rsid w:val="0B260413"/>
    <w:rsid w:val="0B352F5D"/>
    <w:rsid w:val="0B445AA4"/>
    <w:rsid w:val="0B66170E"/>
    <w:rsid w:val="0B7B37EB"/>
    <w:rsid w:val="0B925AA8"/>
    <w:rsid w:val="0BAA59C1"/>
    <w:rsid w:val="0BAB25C9"/>
    <w:rsid w:val="0BB91DF1"/>
    <w:rsid w:val="0BC96FF0"/>
    <w:rsid w:val="0BCB4B16"/>
    <w:rsid w:val="0BD240F7"/>
    <w:rsid w:val="0BD31C1D"/>
    <w:rsid w:val="0BE62205"/>
    <w:rsid w:val="0BEF0E64"/>
    <w:rsid w:val="0C216BD0"/>
    <w:rsid w:val="0C2B0B3A"/>
    <w:rsid w:val="0C41127C"/>
    <w:rsid w:val="0C45359F"/>
    <w:rsid w:val="0C471F98"/>
    <w:rsid w:val="0C70493E"/>
    <w:rsid w:val="0C822ACA"/>
    <w:rsid w:val="0CAB21EE"/>
    <w:rsid w:val="0CAC4948"/>
    <w:rsid w:val="0CB70393"/>
    <w:rsid w:val="0CBB0F79"/>
    <w:rsid w:val="0CBB2DDD"/>
    <w:rsid w:val="0CC05F80"/>
    <w:rsid w:val="0CCA3020"/>
    <w:rsid w:val="0CEF0CD8"/>
    <w:rsid w:val="0CEF2A86"/>
    <w:rsid w:val="0CF956B3"/>
    <w:rsid w:val="0CFA3905"/>
    <w:rsid w:val="0D0429D6"/>
    <w:rsid w:val="0D046532"/>
    <w:rsid w:val="0D1954AC"/>
    <w:rsid w:val="0D255A21"/>
    <w:rsid w:val="0D2C7836"/>
    <w:rsid w:val="0D3F1CF7"/>
    <w:rsid w:val="0D4402D3"/>
    <w:rsid w:val="0D447276"/>
    <w:rsid w:val="0D5374B9"/>
    <w:rsid w:val="0D597A12"/>
    <w:rsid w:val="0D5C54A5"/>
    <w:rsid w:val="0D624FA8"/>
    <w:rsid w:val="0D6E75D5"/>
    <w:rsid w:val="0D7E4CC4"/>
    <w:rsid w:val="0D9B4B4C"/>
    <w:rsid w:val="0D9F3011"/>
    <w:rsid w:val="0DC34AA9"/>
    <w:rsid w:val="0DD46C7B"/>
    <w:rsid w:val="0DDA3736"/>
    <w:rsid w:val="0DDC6E3D"/>
    <w:rsid w:val="0E1A34FE"/>
    <w:rsid w:val="0E303356"/>
    <w:rsid w:val="0E3C1CFB"/>
    <w:rsid w:val="0E430BBB"/>
    <w:rsid w:val="0E43308A"/>
    <w:rsid w:val="0E4B0853"/>
    <w:rsid w:val="0E59465B"/>
    <w:rsid w:val="0E745939"/>
    <w:rsid w:val="0E8D1EBF"/>
    <w:rsid w:val="0E9953A0"/>
    <w:rsid w:val="0EA53D44"/>
    <w:rsid w:val="0EA77ABC"/>
    <w:rsid w:val="0EB126E9"/>
    <w:rsid w:val="0EB86C56"/>
    <w:rsid w:val="0EC73CBB"/>
    <w:rsid w:val="0ECA37AB"/>
    <w:rsid w:val="0ED40186"/>
    <w:rsid w:val="0EDC703A"/>
    <w:rsid w:val="0EE83D6C"/>
    <w:rsid w:val="0EEB7B1C"/>
    <w:rsid w:val="0EEE550D"/>
    <w:rsid w:val="0F040A6B"/>
    <w:rsid w:val="0F18170A"/>
    <w:rsid w:val="0F1D3412"/>
    <w:rsid w:val="0F1D38DB"/>
    <w:rsid w:val="0F2A5DFB"/>
    <w:rsid w:val="0F6063AF"/>
    <w:rsid w:val="0F670FFA"/>
    <w:rsid w:val="0F7D081D"/>
    <w:rsid w:val="0FAC4C5F"/>
    <w:rsid w:val="0FAF41DB"/>
    <w:rsid w:val="0FDF48E7"/>
    <w:rsid w:val="0FE254EF"/>
    <w:rsid w:val="0FE47C3D"/>
    <w:rsid w:val="0FE96BFE"/>
    <w:rsid w:val="0FF5D091"/>
    <w:rsid w:val="0FFD5E0B"/>
    <w:rsid w:val="0FFF254C"/>
    <w:rsid w:val="0FFF663B"/>
    <w:rsid w:val="10134CDE"/>
    <w:rsid w:val="102A7B27"/>
    <w:rsid w:val="102D2243"/>
    <w:rsid w:val="103412D0"/>
    <w:rsid w:val="10365E2E"/>
    <w:rsid w:val="10394744"/>
    <w:rsid w:val="105B405A"/>
    <w:rsid w:val="10634BF3"/>
    <w:rsid w:val="10686DD7"/>
    <w:rsid w:val="10792762"/>
    <w:rsid w:val="108B0D18"/>
    <w:rsid w:val="108B4148"/>
    <w:rsid w:val="10B40C48"/>
    <w:rsid w:val="10C409CF"/>
    <w:rsid w:val="10E02E12"/>
    <w:rsid w:val="113F222E"/>
    <w:rsid w:val="115832F0"/>
    <w:rsid w:val="119473B4"/>
    <w:rsid w:val="11CB3AC2"/>
    <w:rsid w:val="11D42AA6"/>
    <w:rsid w:val="11E626AA"/>
    <w:rsid w:val="12244E6A"/>
    <w:rsid w:val="123376EC"/>
    <w:rsid w:val="1235718D"/>
    <w:rsid w:val="12431D83"/>
    <w:rsid w:val="12437AFC"/>
    <w:rsid w:val="125B755A"/>
    <w:rsid w:val="126E28EB"/>
    <w:rsid w:val="12723F3D"/>
    <w:rsid w:val="127D2D24"/>
    <w:rsid w:val="12820336"/>
    <w:rsid w:val="12A40B63"/>
    <w:rsid w:val="12A847C9"/>
    <w:rsid w:val="12A8795F"/>
    <w:rsid w:val="12D149BF"/>
    <w:rsid w:val="12D65CA8"/>
    <w:rsid w:val="12E91C37"/>
    <w:rsid w:val="12F0613B"/>
    <w:rsid w:val="130D18FD"/>
    <w:rsid w:val="130F4553"/>
    <w:rsid w:val="13113756"/>
    <w:rsid w:val="131330B4"/>
    <w:rsid w:val="13160D6D"/>
    <w:rsid w:val="13167AEC"/>
    <w:rsid w:val="13242E4C"/>
    <w:rsid w:val="13426006"/>
    <w:rsid w:val="13433EE9"/>
    <w:rsid w:val="13623D17"/>
    <w:rsid w:val="137139FA"/>
    <w:rsid w:val="1373154F"/>
    <w:rsid w:val="137B2173"/>
    <w:rsid w:val="137FA8DD"/>
    <w:rsid w:val="138A5087"/>
    <w:rsid w:val="13903A45"/>
    <w:rsid w:val="13951544"/>
    <w:rsid w:val="139B74C4"/>
    <w:rsid w:val="13A1291C"/>
    <w:rsid w:val="13CC58CF"/>
    <w:rsid w:val="13D210CA"/>
    <w:rsid w:val="13D76995"/>
    <w:rsid w:val="13DA0C71"/>
    <w:rsid w:val="13E203F6"/>
    <w:rsid w:val="13E90B4A"/>
    <w:rsid w:val="13F36B3B"/>
    <w:rsid w:val="13F57F6C"/>
    <w:rsid w:val="140E7C96"/>
    <w:rsid w:val="141352AC"/>
    <w:rsid w:val="14174C9E"/>
    <w:rsid w:val="144E5BAF"/>
    <w:rsid w:val="145B077C"/>
    <w:rsid w:val="14691987"/>
    <w:rsid w:val="146F03CE"/>
    <w:rsid w:val="148B7538"/>
    <w:rsid w:val="148F7029"/>
    <w:rsid w:val="149363ED"/>
    <w:rsid w:val="14BE346A"/>
    <w:rsid w:val="14C64A14"/>
    <w:rsid w:val="14D47131"/>
    <w:rsid w:val="14D47CF8"/>
    <w:rsid w:val="14D8301B"/>
    <w:rsid w:val="14D83808"/>
    <w:rsid w:val="14D94748"/>
    <w:rsid w:val="14FE5F5C"/>
    <w:rsid w:val="14FE7D0A"/>
    <w:rsid w:val="15047E21"/>
    <w:rsid w:val="1528122B"/>
    <w:rsid w:val="15293404"/>
    <w:rsid w:val="152B6B2E"/>
    <w:rsid w:val="15334DC3"/>
    <w:rsid w:val="15347304"/>
    <w:rsid w:val="153B4ABB"/>
    <w:rsid w:val="153E27FD"/>
    <w:rsid w:val="15567B46"/>
    <w:rsid w:val="15610299"/>
    <w:rsid w:val="1569013A"/>
    <w:rsid w:val="156E7876"/>
    <w:rsid w:val="15897F1C"/>
    <w:rsid w:val="15A6116F"/>
    <w:rsid w:val="15B30AF5"/>
    <w:rsid w:val="15B9101B"/>
    <w:rsid w:val="15BC1451"/>
    <w:rsid w:val="15C70A44"/>
    <w:rsid w:val="16027A14"/>
    <w:rsid w:val="161B669A"/>
    <w:rsid w:val="162A366D"/>
    <w:rsid w:val="16322361"/>
    <w:rsid w:val="1633052E"/>
    <w:rsid w:val="16386155"/>
    <w:rsid w:val="164B3423"/>
    <w:rsid w:val="16817906"/>
    <w:rsid w:val="16B46578"/>
    <w:rsid w:val="16C52AF8"/>
    <w:rsid w:val="16CF7BB0"/>
    <w:rsid w:val="16D44183"/>
    <w:rsid w:val="16D8450A"/>
    <w:rsid w:val="17012110"/>
    <w:rsid w:val="17033CFE"/>
    <w:rsid w:val="171F4A71"/>
    <w:rsid w:val="17361B83"/>
    <w:rsid w:val="173F4503"/>
    <w:rsid w:val="174A0D2D"/>
    <w:rsid w:val="176431CF"/>
    <w:rsid w:val="176903C7"/>
    <w:rsid w:val="17771FF6"/>
    <w:rsid w:val="17797B1C"/>
    <w:rsid w:val="177B7D38"/>
    <w:rsid w:val="17A322AC"/>
    <w:rsid w:val="17A4103D"/>
    <w:rsid w:val="17FD60AF"/>
    <w:rsid w:val="180C2F5C"/>
    <w:rsid w:val="181A4BC0"/>
    <w:rsid w:val="18441ED8"/>
    <w:rsid w:val="184B770B"/>
    <w:rsid w:val="184C6FDF"/>
    <w:rsid w:val="18584184"/>
    <w:rsid w:val="187C6578"/>
    <w:rsid w:val="18822A00"/>
    <w:rsid w:val="188449CB"/>
    <w:rsid w:val="189C0C23"/>
    <w:rsid w:val="18A44D0C"/>
    <w:rsid w:val="18B03A11"/>
    <w:rsid w:val="18C46036"/>
    <w:rsid w:val="18CB2B97"/>
    <w:rsid w:val="18DF1533"/>
    <w:rsid w:val="18E667DE"/>
    <w:rsid w:val="18F356AC"/>
    <w:rsid w:val="18F5489A"/>
    <w:rsid w:val="19045FB6"/>
    <w:rsid w:val="190B1AB7"/>
    <w:rsid w:val="190E1E92"/>
    <w:rsid w:val="190E4E8A"/>
    <w:rsid w:val="191E2C88"/>
    <w:rsid w:val="191E47AE"/>
    <w:rsid w:val="19213D00"/>
    <w:rsid w:val="192E19B5"/>
    <w:rsid w:val="193E2DCB"/>
    <w:rsid w:val="1944301F"/>
    <w:rsid w:val="194A5C14"/>
    <w:rsid w:val="194A79C2"/>
    <w:rsid w:val="194B4539"/>
    <w:rsid w:val="194B7296"/>
    <w:rsid w:val="19524450"/>
    <w:rsid w:val="19677F5C"/>
    <w:rsid w:val="199FA76B"/>
    <w:rsid w:val="19A8293B"/>
    <w:rsid w:val="19AA0461"/>
    <w:rsid w:val="19C1510B"/>
    <w:rsid w:val="19D13C3F"/>
    <w:rsid w:val="19D35C0A"/>
    <w:rsid w:val="19D614F4"/>
    <w:rsid w:val="19D63004"/>
    <w:rsid w:val="19EC5329"/>
    <w:rsid w:val="19ED121F"/>
    <w:rsid w:val="19EF3664"/>
    <w:rsid w:val="1A0256C7"/>
    <w:rsid w:val="1A0F6EBC"/>
    <w:rsid w:val="1A352420"/>
    <w:rsid w:val="1A3C3E2A"/>
    <w:rsid w:val="1A3D12D5"/>
    <w:rsid w:val="1A680537"/>
    <w:rsid w:val="1A8550AB"/>
    <w:rsid w:val="1A8A3DEE"/>
    <w:rsid w:val="1A8E78C8"/>
    <w:rsid w:val="1A914D5C"/>
    <w:rsid w:val="1A9B5FFB"/>
    <w:rsid w:val="1AD31C39"/>
    <w:rsid w:val="1AD46734"/>
    <w:rsid w:val="1AD87250"/>
    <w:rsid w:val="1ADF413A"/>
    <w:rsid w:val="1AE259D8"/>
    <w:rsid w:val="1AE8103C"/>
    <w:rsid w:val="1AED4941"/>
    <w:rsid w:val="1AED6666"/>
    <w:rsid w:val="1B022F94"/>
    <w:rsid w:val="1B027E29"/>
    <w:rsid w:val="1B155DAE"/>
    <w:rsid w:val="1B1A5316"/>
    <w:rsid w:val="1B252495"/>
    <w:rsid w:val="1B417F7A"/>
    <w:rsid w:val="1B5508A0"/>
    <w:rsid w:val="1B783377"/>
    <w:rsid w:val="1B822B4E"/>
    <w:rsid w:val="1B9637E8"/>
    <w:rsid w:val="1BB235FD"/>
    <w:rsid w:val="1BB75C39"/>
    <w:rsid w:val="1BB9498B"/>
    <w:rsid w:val="1BC947C4"/>
    <w:rsid w:val="1BD27C70"/>
    <w:rsid w:val="1BD96DDB"/>
    <w:rsid w:val="1C00080C"/>
    <w:rsid w:val="1C0F6CA1"/>
    <w:rsid w:val="1C1C4F1A"/>
    <w:rsid w:val="1C200EAE"/>
    <w:rsid w:val="1C2529FF"/>
    <w:rsid w:val="1C3D55BC"/>
    <w:rsid w:val="1C427076"/>
    <w:rsid w:val="1C522596"/>
    <w:rsid w:val="1C5648D0"/>
    <w:rsid w:val="1C59115B"/>
    <w:rsid w:val="1C5B5A42"/>
    <w:rsid w:val="1C5D752D"/>
    <w:rsid w:val="1C6F14EE"/>
    <w:rsid w:val="1C7D1E5D"/>
    <w:rsid w:val="1C9176B6"/>
    <w:rsid w:val="1C9211BE"/>
    <w:rsid w:val="1CA23671"/>
    <w:rsid w:val="1CA266AD"/>
    <w:rsid w:val="1CB43DBF"/>
    <w:rsid w:val="1CD31A7D"/>
    <w:rsid w:val="1CEF358F"/>
    <w:rsid w:val="1D174D30"/>
    <w:rsid w:val="1D274825"/>
    <w:rsid w:val="1D2B18B9"/>
    <w:rsid w:val="1D385F00"/>
    <w:rsid w:val="1D44297A"/>
    <w:rsid w:val="1D552DD9"/>
    <w:rsid w:val="1D734FE3"/>
    <w:rsid w:val="1D7414B2"/>
    <w:rsid w:val="1D815FCC"/>
    <w:rsid w:val="1D927B8A"/>
    <w:rsid w:val="1DA82F09"/>
    <w:rsid w:val="1DC42A0B"/>
    <w:rsid w:val="1DCA2E80"/>
    <w:rsid w:val="1DCF4116"/>
    <w:rsid w:val="1DE35794"/>
    <w:rsid w:val="1E024641"/>
    <w:rsid w:val="1E340C41"/>
    <w:rsid w:val="1E403142"/>
    <w:rsid w:val="1E5821EC"/>
    <w:rsid w:val="1E6B7566"/>
    <w:rsid w:val="1E7159F1"/>
    <w:rsid w:val="1E781388"/>
    <w:rsid w:val="1E9516DF"/>
    <w:rsid w:val="1E9B2886"/>
    <w:rsid w:val="1EA400D2"/>
    <w:rsid w:val="1EA47B74"/>
    <w:rsid w:val="1EAE454F"/>
    <w:rsid w:val="1EB25197"/>
    <w:rsid w:val="1EC51899"/>
    <w:rsid w:val="1ECC5479"/>
    <w:rsid w:val="1EEF7754"/>
    <w:rsid w:val="1F0625DD"/>
    <w:rsid w:val="1F27593E"/>
    <w:rsid w:val="1F3204AD"/>
    <w:rsid w:val="1F394761"/>
    <w:rsid w:val="1F457A27"/>
    <w:rsid w:val="1F6A2B6C"/>
    <w:rsid w:val="1F820A56"/>
    <w:rsid w:val="1F896D6A"/>
    <w:rsid w:val="1F9BB067"/>
    <w:rsid w:val="1F9D0ECC"/>
    <w:rsid w:val="1FA31BDA"/>
    <w:rsid w:val="1FAA1EDF"/>
    <w:rsid w:val="1FB21E1D"/>
    <w:rsid w:val="1FB47A5D"/>
    <w:rsid w:val="1FE03F10"/>
    <w:rsid w:val="1FE16BA6"/>
    <w:rsid w:val="1FED10A7"/>
    <w:rsid w:val="1FF42436"/>
    <w:rsid w:val="1FFF00F8"/>
    <w:rsid w:val="200655C0"/>
    <w:rsid w:val="200E78F3"/>
    <w:rsid w:val="20126D60"/>
    <w:rsid w:val="201C198C"/>
    <w:rsid w:val="20266068"/>
    <w:rsid w:val="206A26F8"/>
    <w:rsid w:val="20707708"/>
    <w:rsid w:val="20717F2A"/>
    <w:rsid w:val="207417C9"/>
    <w:rsid w:val="208E288A"/>
    <w:rsid w:val="209C776B"/>
    <w:rsid w:val="20AA3CDC"/>
    <w:rsid w:val="20B23D8A"/>
    <w:rsid w:val="20B55B96"/>
    <w:rsid w:val="20D07863"/>
    <w:rsid w:val="20D54766"/>
    <w:rsid w:val="20D626D7"/>
    <w:rsid w:val="20EB6469"/>
    <w:rsid w:val="20F86993"/>
    <w:rsid w:val="20FD531A"/>
    <w:rsid w:val="210B2B5C"/>
    <w:rsid w:val="210E7527"/>
    <w:rsid w:val="212F5A64"/>
    <w:rsid w:val="213760C2"/>
    <w:rsid w:val="213D22F1"/>
    <w:rsid w:val="213F6706"/>
    <w:rsid w:val="2165078C"/>
    <w:rsid w:val="217557F8"/>
    <w:rsid w:val="21825EFC"/>
    <w:rsid w:val="218B0B78"/>
    <w:rsid w:val="21A63C04"/>
    <w:rsid w:val="21A734D8"/>
    <w:rsid w:val="21CC3D6A"/>
    <w:rsid w:val="21DC7625"/>
    <w:rsid w:val="21E40288"/>
    <w:rsid w:val="21E85FCA"/>
    <w:rsid w:val="21F030D1"/>
    <w:rsid w:val="221C2372"/>
    <w:rsid w:val="2221328A"/>
    <w:rsid w:val="22225AAB"/>
    <w:rsid w:val="22235254"/>
    <w:rsid w:val="22266AF2"/>
    <w:rsid w:val="2245341D"/>
    <w:rsid w:val="22462A8A"/>
    <w:rsid w:val="22543B20"/>
    <w:rsid w:val="22574EFE"/>
    <w:rsid w:val="22696FF6"/>
    <w:rsid w:val="228A1178"/>
    <w:rsid w:val="22993768"/>
    <w:rsid w:val="229B431D"/>
    <w:rsid w:val="229F2035"/>
    <w:rsid w:val="22B7264E"/>
    <w:rsid w:val="22C020CA"/>
    <w:rsid w:val="22C87E82"/>
    <w:rsid w:val="22D630A1"/>
    <w:rsid w:val="22D6459C"/>
    <w:rsid w:val="22E24891"/>
    <w:rsid w:val="22E83DA8"/>
    <w:rsid w:val="22EB1161"/>
    <w:rsid w:val="23006025"/>
    <w:rsid w:val="230102D9"/>
    <w:rsid w:val="2303418B"/>
    <w:rsid w:val="23052BAC"/>
    <w:rsid w:val="230B7162"/>
    <w:rsid w:val="230C1C0F"/>
    <w:rsid w:val="232748D0"/>
    <w:rsid w:val="232A4834"/>
    <w:rsid w:val="23345707"/>
    <w:rsid w:val="23445482"/>
    <w:rsid w:val="23531B69"/>
    <w:rsid w:val="23664217"/>
    <w:rsid w:val="236B0C61"/>
    <w:rsid w:val="238E2BA1"/>
    <w:rsid w:val="23915FA1"/>
    <w:rsid w:val="23A5639B"/>
    <w:rsid w:val="23A67435"/>
    <w:rsid w:val="23AE4FF1"/>
    <w:rsid w:val="23BC770E"/>
    <w:rsid w:val="23D04F68"/>
    <w:rsid w:val="23FE3883"/>
    <w:rsid w:val="240F5A90"/>
    <w:rsid w:val="24106476"/>
    <w:rsid w:val="24162D28"/>
    <w:rsid w:val="241E49B5"/>
    <w:rsid w:val="24213888"/>
    <w:rsid w:val="24293F8F"/>
    <w:rsid w:val="243674C1"/>
    <w:rsid w:val="24380CC8"/>
    <w:rsid w:val="243A63CC"/>
    <w:rsid w:val="246C10ED"/>
    <w:rsid w:val="24904744"/>
    <w:rsid w:val="249F3FA9"/>
    <w:rsid w:val="24B16B47"/>
    <w:rsid w:val="24C745BD"/>
    <w:rsid w:val="24C77BCA"/>
    <w:rsid w:val="24D83DB6"/>
    <w:rsid w:val="24DB2419"/>
    <w:rsid w:val="24DE5462"/>
    <w:rsid w:val="2505221B"/>
    <w:rsid w:val="25181323"/>
    <w:rsid w:val="25205A7B"/>
    <w:rsid w:val="252606F3"/>
    <w:rsid w:val="252F6C1F"/>
    <w:rsid w:val="25333A00"/>
    <w:rsid w:val="2536704D"/>
    <w:rsid w:val="25561143"/>
    <w:rsid w:val="256242E5"/>
    <w:rsid w:val="25781413"/>
    <w:rsid w:val="257A162F"/>
    <w:rsid w:val="257B7047"/>
    <w:rsid w:val="259A146C"/>
    <w:rsid w:val="259D2BCF"/>
    <w:rsid w:val="25B43E15"/>
    <w:rsid w:val="25B44CD6"/>
    <w:rsid w:val="25D07231"/>
    <w:rsid w:val="25D53C59"/>
    <w:rsid w:val="25D6438C"/>
    <w:rsid w:val="25E75A1D"/>
    <w:rsid w:val="25FC2044"/>
    <w:rsid w:val="26025181"/>
    <w:rsid w:val="2606007E"/>
    <w:rsid w:val="260F2A28"/>
    <w:rsid w:val="26176E7E"/>
    <w:rsid w:val="26201D24"/>
    <w:rsid w:val="26322643"/>
    <w:rsid w:val="263631A5"/>
    <w:rsid w:val="2637667A"/>
    <w:rsid w:val="26655E3B"/>
    <w:rsid w:val="269F15EB"/>
    <w:rsid w:val="26A60202"/>
    <w:rsid w:val="26B35DCE"/>
    <w:rsid w:val="26B741BD"/>
    <w:rsid w:val="26BE19EF"/>
    <w:rsid w:val="26D7485F"/>
    <w:rsid w:val="26E24FAE"/>
    <w:rsid w:val="26F7280B"/>
    <w:rsid w:val="26F927DC"/>
    <w:rsid w:val="26FD42C6"/>
    <w:rsid w:val="27167136"/>
    <w:rsid w:val="27233DB5"/>
    <w:rsid w:val="27545EB0"/>
    <w:rsid w:val="2759312C"/>
    <w:rsid w:val="276854B7"/>
    <w:rsid w:val="27734588"/>
    <w:rsid w:val="27781B9E"/>
    <w:rsid w:val="277F4CDB"/>
    <w:rsid w:val="2780146B"/>
    <w:rsid w:val="278231CA"/>
    <w:rsid w:val="2786250D"/>
    <w:rsid w:val="27914CC8"/>
    <w:rsid w:val="27A42993"/>
    <w:rsid w:val="27A43D03"/>
    <w:rsid w:val="27AA2337"/>
    <w:rsid w:val="27AC7A9A"/>
    <w:rsid w:val="27B34984"/>
    <w:rsid w:val="27CC5A46"/>
    <w:rsid w:val="27CF7A19"/>
    <w:rsid w:val="27D019DA"/>
    <w:rsid w:val="27D52687"/>
    <w:rsid w:val="27D8088F"/>
    <w:rsid w:val="27DA0163"/>
    <w:rsid w:val="28131C63"/>
    <w:rsid w:val="28150C75"/>
    <w:rsid w:val="282F222C"/>
    <w:rsid w:val="28626D75"/>
    <w:rsid w:val="286914E7"/>
    <w:rsid w:val="286F3F95"/>
    <w:rsid w:val="287B7F79"/>
    <w:rsid w:val="28844573"/>
    <w:rsid w:val="288F4298"/>
    <w:rsid w:val="28A4024E"/>
    <w:rsid w:val="28BC481A"/>
    <w:rsid w:val="28C01A4F"/>
    <w:rsid w:val="28D92B11"/>
    <w:rsid w:val="28DB0637"/>
    <w:rsid w:val="28F434A6"/>
    <w:rsid w:val="28F57FB9"/>
    <w:rsid w:val="28FC23EA"/>
    <w:rsid w:val="28FC558A"/>
    <w:rsid w:val="29053273"/>
    <w:rsid w:val="290C61FF"/>
    <w:rsid w:val="291458F7"/>
    <w:rsid w:val="29290FE4"/>
    <w:rsid w:val="29376315"/>
    <w:rsid w:val="29462DE1"/>
    <w:rsid w:val="29567BFF"/>
    <w:rsid w:val="295F5B00"/>
    <w:rsid w:val="2973086F"/>
    <w:rsid w:val="29A273A6"/>
    <w:rsid w:val="29AA3515"/>
    <w:rsid w:val="29CD4DD1"/>
    <w:rsid w:val="29D86924"/>
    <w:rsid w:val="29ED6BDD"/>
    <w:rsid w:val="29EF3D8C"/>
    <w:rsid w:val="29F64E70"/>
    <w:rsid w:val="29FA073B"/>
    <w:rsid w:val="2A042187"/>
    <w:rsid w:val="2A200E38"/>
    <w:rsid w:val="2A2E29E8"/>
    <w:rsid w:val="2A431C41"/>
    <w:rsid w:val="2A445BEE"/>
    <w:rsid w:val="2A5341FD"/>
    <w:rsid w:val="2A5A1A2F"/>
    <w:rsid w:val="2A602202"/>
    <w:rsid w:val="2A6237E6"/>
    <w:rsid w:val="2A750617"/>
    <w:rsid w:val="2A7FF3BA"/>
    <w:rsid w:val="2A85159C"/>
    <w:rsid w:val="2A97058D"/>
    <w:rsid w:val="2AC670C5"/>
    <w:rsid w:val="2ACD2599"/>
    <w:rsid w:val="2ADD42BC"/>
    <w:rsid w:val="2B004385"/>
    <w:rsid w:val="2B033E75"/>
    <w:rsid w:val="2B0674C1"/>
    <w:rsid w:val="2B0F71F8"/>
    <w:rsid w:val="2B1716CE"/>
    <w:rsid w:val="2B193CEA"/>
    <w:rsid w:val="2B353322"/>
    <w:rsid w:val="2B37239C"/>
    <w:rsid w:val="2B3D7387"/>
    <w:rsid w:val="2B3E6C5B"/>
    <w:rsid w:val="2B5400F2"/>
    <w:rsid w:val="2B6A63EC"/>
    <w:rsid w:val="2BB9468C"/>
    <w:rsid w:val="2BC2163A"/>
    <w:rsid w:val="2BD73CFD"/>
    <w:rsid w:val="2BDD6474"/>
    <w:rsid w:val="2C155109"/>
    <w:rsid w:val="2C2422F5"/>
    <w:rsid w:val="2C245E51"/>
    <w:rsid w:val="2C2474F0"/>
    <w:rsid w:val="2C2A71DF"/>
    <w:rsid w:val="2C41042A"/>
    <w:rsid w:val="2C4B2E8B"/>
    <w:rsid w:val="2C6F14EE"/>
    <w:rsid w:val="2C7642D0"/>
    <w:rsid w:val="2C8267AA"/>
    <w:rsid w:val="2C87095E"/>
    <w:rsid w:val="2C892158"/>
    <w:rsid w:val="2C8F2CCE"/>
    <w:rsid w:val="2CC7543A"/>
    <w:rsid w:val="2CCF5161"/>
    <w:rsid w:val="2D016192"/>
    <w:rsid w:val="2D063AA5"/>
    <w:rsid w:val="2D240D05"/>
    <w:rsid w:val="2D3E0D7E"/>
    <w:rsid w:val="2D546C0A"/>
    <w:rsid w:val="2D5B7F98"/>
    <w:rsid w:val="2D614E83"/>
    <w:rsid w:val="2D702E73"/>
    <w:rsid w:val="2D720E3E"/>
    <w:rsid w:val="2D8017AD"/>
    <w:rsid w:val="2D9E60D7"/>
    <w:rsid w:val="2DD077B2"/>
    <w:rsid w:val="2DDB3287"/>
    <w:rsid w:val="2DE932D2"/>
    <w:rsid w:val="2DEE662F"/>
    <w:rsid w:val="2DF301D1"/>
    <w:rsid w:val="2E121DD7"/>
    <w:rsid w:val="2E1E4B22"/>
    <w:rsid w:val="2E28112D"/>
    <w:rsid w:val="2E4C5B33"/>
    <w:rsid w:val="2E4E2D73"/>
    <w:rsid w:val="2E615CCD"/>
    <w:rsid w:val="2E7A444E"/>
    <w:rsid w:val="2EA35514"/>
    <w:rsid w:val="2ED403F1"/>
    <w:rsid w:val="2ED942C4"/>
    <w:rsid w:val="2EF04710"/>
    <w:rsid w:val="2EF97A69"/>
    <w:rsid w:val="2F3445FD"/>
    <w:rsid w:val="2F37730B"/>
    <w:rsid w:val="2F4A02C4"/>
    <w:rsid w:val="2F827A5E"/>
    <w:rsid w:val="2F845C8B"/>
    <w:rsid w:val="2F8A6913"/>
    <w:rsid w:val="2F8C268B"/>
    <w:rsid w:val="2F940B9B"/>
    <w:rsid w:val="2FAF6379"/>
    <w:rsid w:val="2FB35454"/>
    <w:rsid w:val="2FB83480"/>
    <w:rsid w:val="2FBE036A"/>
    <w:rsid w:val="2FBE65BC"/>
    <w:rsid w:val="2FC41ED7"/>
    <w:rsid w:val="2FCA4F61"/>
    <w:rsid w:val="2FD8767E"/>
    <w:rsid w:val="2FE364D9"/>
    <w:rsid w:val="2FF11F73"/>
    <w:rsid w:val="2FF6EBD2"/>
    <w:rsid w:val="300761B5"/>
    <w:rsid w:val="3024533F"/>
    <w:rsid w:val="302610FC"/>
    <w:rsid w:val="30392F7A"/>
    <w:rsid w:val="30403475"/>
    <w:rsid w:val="3043586B"/>
    <w:rsid w:val="304C5976"/>
    <w:rsid w:val="3058256D"/>
    <w:rsid w:val="305A38D0"/>
    <w:rsid w:val="305F6483"/>
    <w:rsid w:val="306E2419"/>
    <w:rsid w:val="30705B08"/>
    <w:rsid w:val="30727D7D"/>
    <w:rsid w:val="30766E97"/>
    <w:rsid w:val="3078676B"/>
    <w:rsid w:val="309243C0"/>
    <w:rsid w:val="309D2676"/>
    <w:rsid w:val="30A47610"/>
    <w:rsid w:val="30B71989"/>
    <w:rsid w:val="30E3277E"/>
    <w:rsid w:val="30E33504"/>
    <w:rsid w:val="30F4201C"/>
    <w:rsid w:val="30F524B2"/>
    <w:rsid w:val="30F6790D"/>
    <w:rsid w:val="30FF4B22"/>
    <w:rsid w:val="310B6BF3"/>
    <w:rsid w:val="312B3FDA"/>
    <w:rsid w:val="31453005"/>
    <w:rsid w:val="31496359"/>
    <w:rsid w:val="31532D34"/>
    <w:rsid w:val="315A40C3"/>
    <w:rsid w:val="315C727B"/>
    <w:rsid w:val="316D0BA9"/>
    <w:rsid w:val="3183419F"/>
    <w:rsid w:val="31A627B9"/>
    <w:rsid w:val="31A62D61"/>
    <w:rsid w:val="31BB2DB3"/>
    <w:rsid w:val="31BC6B2B"/>
    <w:rsid w:val="31C9211B"/>
    <w:rsid w:val="31E513C0"/>
    <w:rsid w:val="31F60A7B"/>
    <w:rsid w:val="31F76721"/>
    <w:rsid w:val="32122CD4"/>
    <w:rsid w:val="32236C2E"/>
    <w:rsid w:val="32425E75"/>
    <w:rsid w:val="32496611"/>
    <w:rsid w:val="32542002"/>
    <w:rsid w:val="32607DFF"/>
    <w:rsid w:val="3281224F"/>
    <w:rsid w:val="3293149D"/>
    <w:rsid w:val="3296737C"/>
    <w:rsid w:val="329B2BE5"/>
    <w:rsid w:val="329F256E"/>
    <w:rsid w:val="32A17EF0"/>
    <w:rsid w:val="32BB5035"/>
    <w:rsid w:val="32C65EB4"/>
    <w:rsid w:val="32CB34CA"/>
    <w:rsid w:val="32EE540A"/>
    <w:rsid w:val="33154745"/>
    <w:rsid w:val="331704BD"/>
    <w:rsid w:val="331E0C55"/>
    <w:rsid w:val="331F746E"/>
    <w:rsid w:val="3328604E"/>
    <w:rsid w:val="332E1CAB"/>
    <w:rsid w:val="3330332D"/>
    <w:rsid w:val="3332198B"/>
    <w:rsid w:val="333D443C"/>
    <w:rsid w:val="335A65FC"/>
    <w:rsid w:val="335A7075"/>
    <w:rsid w:val="335D7410"/>
    <w:rsid w:val="3364747B"/>
    <w:rsid w:val="336D3EA4"/>
    <w:rsid w:val="33835B53"/>
    <w:rsid w:val="3384586B"/>
    <w:rsid w:val="338F1270"/>
    <w:rsid w:val="338F7128"/>
    <w:rsid w:val="339A10EE"/>
    <w:rsid w:val="33A14FBA"/>
    <w:rsid w:val="33A342A9"/>
    <w:rsid w:val="33AC6E70"/>
    <w:rsid w:val="33B66E47"/>
    <w:rsid w:val="33C64EB5"/>
    <w:rsid w:val="33CF0EE6"/>
    <w:rsid w:val="33D44600"/>
    <w:rsid w:val="33DC674E"/>
    <w:rsid w:val="33EC6C5A"/>
    <w:rsid w:val="33F22CD8"/>
    <w:rsid w:val="33F456B4"/>
    <w:rsid w:val="33FE78CF"/>
    <w:rsid w:val="340622E0"/>
    <w:rsid w:val="340A0AB2"/>
    <w:rsid w:val="341713FC"/>
    <w:rsid w:val="342A00DC"/>
    <w:rsid w:val="34316ACF"/>
    <w:rsid w:val="343E641F"/>
    <w:rsid w:val="344468FB"/>
    <w:rsid w:val="345230EA"/>
    <w:rsid w:val="34526541"/>
    <w:rsid w:val="3464195E"/>
    <w:rsid w:val="346C4839"/>
    <w:rsid w:val="347A51A8"/>
    <w:rsid w:val="34924BC9"/>
    <w:rsid w:val="34C74165"/>
    <w:rsid w:val="34E00D83"/>
    <w:rsid w:val="34E751DD"/>
    <w:rsid w:val="34E924AB"/>
    <w:rsid w:val="34EB5A9A"/>
    <w:rsid w:val="350360C6"/>
    <w:rsid w:val="35061B43"/>
    <w:rsid w:val="350E58AA"/>
    <w:rsid w:val="352F64C7"/>
    <w:rsid w:val="3532618A"/>
    <w:rsid w:val="353C7D87"/>
    <w:rsid w:val="35531555"/>
    <w:rsid w:val="35615866"/>
    <w:rsid w:val="359E269F"/>
    <w:rsid w:val="35A434F0"/>
    <w:rsid w:val="35A57EBA"/>
    <w:rsid w:val="35C012AA"/>
    <w:rsid w:val="35C249F4"/>
    <w:rsid w:val="35D17237"/>
    <w:rsid w:val="35EF74CF"/>
    <w:rsid w:val="35FC3D7E"/>
    <w:rsid w:val="36125819"/>
    <w:rsid w:val="36162CAE"/>
    <w:rsid w:val="362058DB"/>
    <w:rsid w:val="36246BDF"/>
    <w:rsid w:val="363D6170"/>
    <w:rsid w:val="36525CB0"/>
    <w:rsid w:val="36570DD6"/>
    <w:rsid w:val="36590DED"/>
    <w:rsid w:val="365C268B"/>
    <w:rsid w:val="365E6403"/>
    <w:rsid w:val="3660286C"/>
    <w:rsid w:val="367125DA"/>
    <w:rsid w:val="36747AE9"/>
    <w:rsid w:val="36AF6603"/>
    <w:rsid w:val="36B44275"/>
    <w:rsid w:val="36B4642D"/>
    <w:rsid w:val="36C4095C"/>
    <w:rsid w:val="36C546D4"/>
    <w:rsid w:val="36E97B08"/>
    <w:rsid w:val="37027535"/>
    <w:rsid w:val="371116C7"/>
    <w:rsid w:val="371F2EB5"/>
    <w:rsid w:val="37205FF6"/>
    <w:rsid w:val="372633C5"/>
    <w:rsid w:val="37277BCC"/>
    <w:rsid w:val="374E46CA"/>
    <w:rsid w:val="375B2943"/>
    <w:rsid w:val="37602480"/>
    <w:rsid w:val="37762658"/>
    <w:rsid w:val="37865C12"/>
    <w:rsid w:val="378A5007"/>
    <w:rsid w:val="379876F3"/>
    <w:rsid w:val="379A16BD"/>
    <w:rsid w:val="37C404E8"/>
    <w:rsid w:val="37C624B2"/>
    <w:rsid w:val="37CD1A92"/>
    <w:rsid w:val="37CE6DD4"/>
    <w:rsid w:val="37D44BCF"/>
    <w:rsid w:val="37DA7D0B"/>
    <w:rsid w:val="37E06FFE"/>
    <w:rsid w:val="37E25508"/>
    <w:rsid w:val="3808355A"/>
    <w:rsid w:val="3832770C"/>
    <w:rsid w:val="383907FA"/>
    <w:rsid w:val="384855BD"/>
    <w:rsid w:val="38624A88"/>
    <w:rsid w:val="38664899"/>
    <w:rsid w:val="386C12AB"/>
    <w:rsid w:val="388760E5"/>
    <w:rsid w:val="38A5089C"/>
    <w:rsid w:val="38A670D3"/>
    <w:rsid w:val="38AA5930"/>
    <w:rsid w:val="38AE714C"/>
    <w:rsid w:val="38B1729A"/>
    <w:rsid w:val="38B60778"/>
    <w:rsid w:val="38DC3EDC"/>
    <w:rsid w:val="38FA68B7"/>
    <w:rsid w:val="38FB595D"/>
    <w:rsid w:val="38FB98C4"/>
    <w:rsid w:val="38FF20BA"/>
    <w:rsid w:val="391A2595"/>
    <w:rsid w:val="391B4A7F"/>
    <w:rsid w:val="39202096"/>
    <w:rsid w:val="39394B01"/>
    <w:rsid w:val="394668D6"/>
    <w:rsid w:val="39477622"/>
    <w:rsid w:val="394A0E7B"/>
    <w:rsid w:val="396E2E01"/>
    <w:rsid w:val="39777F08"/>
    <w:rsid w:val="39874323"/>
    <w:rsid w:val="398923B8"/>
    <w:rsid w:val="39A64349"/>
    <w:rsid w:val="39B62C55"/>
    <w:rsid w:val="39C03AB0"/>
    <w:rsid w:val="39CD5D7A"/>
    <w:rsid w:val="39F50E2C"/>
    <w:rsid w:val="39F63BBE"/>
    <w:rsid w:val="3A241712"/>
    <w:rsid w:val="3A2B2AA0"/>
    <w:rsid w:val="3A405A09"/>
    <w:rsid w:val="3A445910"/>
    <w:rsid w:val="3A47599D"/>
    <w:rsid w:val="3A6477A9"/>
    <w:rsid w:val="3A6C5593"/>
    <w:rsid w:val="3A950543"/>
    <w:rsid w:val="3A9E7716"/>
    <w:rsid w:val="3AA23F47"/>
    <w:rsid w:val="3AAA1C17"/>
    <w:rsid w:val="3AB365A7"/>
    <w:rsid w:val="3ABE2449"/>
    <w:rsid w:val="3ABE3914"/>
    <w:rsid w:val="3AC65AE3"/>
    <w:rsid w:val="3AD924FC"/>
    <w:rsid w:val="3ADA56C8"/>
    <w:rsid w:val="3AE35129"/>
    <w:rsid w:val="3B00217F"/>
    <w:rsid w:val="3B082DE1"/>
    <w:rsid w:val="3B141C39"/>
    <w:rsid w:val="3B20012B"/>
    <w:rsid w:val="3B2A60E9"/>
    <w:rsid w:val="3B3360B0"/>
    <w:rsid w:val="3B506A3A"/>
    <w:rsid w:val="3B5B2B94"/>
    <w:rsid w:val="3B607364"/>
    <w:rsid w:val="3B653D90"/>
    <w:rsid w:val="3B7566C9"/>
    <w:rsid w:val="3B7641EF"/>
    <w:rsid w:val="3B7647E5"/>
    <w:rsid w:val="3B792ECF"/>
    <w:rsid w:val="3B827166"/>
    <w:rsid w:val="3B855DC3"/>
    <w:rsid w:val="3B8C57C0"/>
    <w:rsid w:val="3B9052B1"/>
    <w:rsid w:val="3B974891"/>
    <w:rsid w:val="3BA041DC"/>
    <w:rsid w:val="3BB16FD5"/>
    <w:rsid w:val="3BD21711"/>
    <w:rsid w:val="3BD54987"/>
    <w:rsid w:val="3BD80F0D"/>
    <w:rsid w:val="3BDA2944"/>
    <w:rsid w:val="3BDB85C8"/>
    <w:rsid w:val="3BE467D1"/>
    <w:rsid w:val="3BE63123"/>
    <w:rsid w:val="3BE70C49"/>
    <w:rsid w:val="3BFF8581"/>
    <w:rsid w:val="3C066FA7"/>
    <w:rsid w:val="3C1C38AF"/>
    <w:rsid w:val="3C1C4D96"/>
    <w:rsid w:val="3C215F09"/>
    <w:rsid w:val="3C31001D"/>
    <w:rsid w:val="3C4B11D8"/>
    <w:rsid w:val="3C6F5B2F"/>
    <w:rsid w:val="3C890879"/>
    <w:rsid w:val="3C926E07"/>
    <w:rsid w:val="3CB26F41"/>
    <w:rsid w:val="3CC17DD4"/>
    <w:rsid w:val="3CDD2778"/>
    <w:rsid w:val="3CDE204C"/>
    <w:rsid w:val="3CE277AA"/>
    <w:rsid w:val="3CE8111C"/>
    <w:rsid w:val="3CE9395A"/>
    <w:rsid w:val="3CEA279F"/>
    <w:rsid w:val="3CF46FDB"/>
    <w:rsid w:val="3D42082D"/>
    <w:rsid w:val="3D5E2F4D"/>
    <w:rsid w:val="3D5F3C0A"/>
    <w:rsid w:val="3D7F382F"/>
    <w:rsid w:val="3D8F31BA"/>
    <w:rsid w:val="3D9B4E64"/>
    <w:rsid w:val="3D9F76BF"/>
    <w:rsid w:val="3DA70690"/>
    <w:rsid w:val="3DC54FBA"/>
    <w:rsid w:val="3DD40DE4"/>
    <w:rsid w:val="3DDB658B"/>
    <w:rsid w:val="3DFA2303"/>
    <w:rsid w:val="3DFB09DB"/>
    <w:rsid w:val="3DFC2092"/>
    <w:rsid w:val="3DFF04CC"/>
    <w:rsid w:val="3E0E4BB3"/>
    <w:rsid w:val="3E12336F"/>
    <w:rsid w:val="3E2D5CC8"/>
    <w:rsid w:val="3E3A13BC"/>
    <w:rsid w:val="3E3A37E1"/>
    <w:rsid w:val="3E6432A1"/>
    <w:rsid w:val="3E6B3DB3"/>
    <w:rsid w:val="3E8B0813"/>
    <w:rsid w:val="3E90273A"/>
    <w:rsid w:val="3EA352FB"/>
    <w:rsid w:val="3EA846BF"/>
    <w:rsid w:val="3EBE3EE3"/>
    <w:rsid w:val="3EC62D97"/>
    <w:rsid w:val="3ECA25A9"/>
    <w:rsid w:val="3ED835C0"/>
    <w:rsid w:val="3EE14075"/>
    <w:rsid w:val="3EE33949"/>
    <w:rsid w:val="3EE53B65"/>
    <w:rsid w:val="3EF60223"/>
    <w:rsid w:val="3EF97772"/>
    <w:rsid w:val="3EFF671D"/>
    <w:rsid w:val="3F012022"/>
    <w:rsid w:val="3F261A88"/>
    <w:rsid w:val="3F2859A4"/>
    <w:rsid w:val="3F3C7CCF"/>
    <w:rsid w:val="3F5D194E"/>
    <w:rsid w:val="3F6031EC"/>
    <w:rsid w:val="3F6251B6"/>
    <w:rsid w:val="3F7722E4"/>
    <w:rsid w:val="3F8C5D8F"/>
    <w:rsid w:val="3FCC669D"/>
    <w:rsid w:val="3FD00372"/>
    <w:rsid w:val="3FD753EE"/>
    <w:rsid w:val="3FDD483D"/>
    <w:rsid w:val="3FE07E89"/>
    <w:rsid w:val="3FE69656"/>
    <w:rsid w:val="3FF77793"/>
    <w:rsid w:val="40095632"/>
    <w:rsid w:val="402F22B4"/>
    <w:rsid w:val="407D110C"/>
    <w:rsid w:val="40864ED4"/>
    <w:rsid w:val="408C3992"/>
    <w:rsid w:val="409475F1"/>
    <w:rsid w:val="40A05314"/>
    <w:rsid w:val="40B732E0"/>
    <w:rsid w:val="40CA79F1"/>
    <w:rsid w:val="40F71321"/>
    <w:rsid w:val="41115F4D"/>
    <w:rsid w:val="411B561D"/>
    <w:rsid w:val="41200E85"/>
    <w:rsid w:val="41306BEE"/>
    <w:rsid w:val="41326E0A"/>
    <w:rsid w:val="41361B95"/>
    <w:rsid w:val="41526B64"/>
    <w:rsid w:val="415E19AD"/>
    <w:rsid w:val="418A27A2"/>
    <w:rsid w:val="418E2292"/>
    <w:rsid w:val="41933A6D"/>
    <w:rsid w:val="41970AE1"/>
    <w:rsid w:val="419E624E"/>
    <w:rsid w:val="41A35612"/>
    <w:rsid w:val="41AE7C60"/>
    <w:rsid w:val="41B02C98"/>
    <w:rsid w:val="41B617E9"/>
    <w:rsid w:val="41C27B89"/>
    <w:rsid w:val="41C37A62"/>
    <w:rsid w:val="41CC6917"/>
    <w:rsid w:val="41CE08E1"/>
    <w:rsid w:val="41E87DEF"/>
    <w:rsid w:val="41F1637D"/>
    <w:rsid w:val="420A5691"/>
    <w:rsid w:val="421C7965"/>
    <w:rsid w:val="422634B4"/>
    <w:rsid w:val="422F678A"/>
    <w:rsid w:val="423D1FE8"/>
    <w:rsid w:val="425410BD"/>
    <w:rsid w:val="42583355"/>
    <w:rsid w:val="426D63FE"/>
    <w:rsid w:val="4276750D"/>
    <w:rsid w:val="428A37DB"/>
    <w:rsid w:val="428F6994"/>
    <w:rsid w:val="42957651"/>
    <w:rsid w:val="4297632A"/>
    <w:rsid w:val="429E4757"/>
    <w:rsid w:val="42A15FF5"/>
    <w:rsid w:val="42BE177B"/>
    <w:rsid w:val="42C52593"/>
    <w:rsid w:val="42D31F27"/>
    <w:rsid w:val="42D55690"/>
    <w:rsid w:val="42D9578F"/>
    <w:rsid w:val="42DE3E28"/>
    <w:rsid w:val="42ED7CB9"/>
    <w:rsid w:val="43150B1F"/>
    <w:rsid w:val="431C567C"/>
    <w:rsid w:val="432A5FEB"/>
    <w:rsid w:val="432A6786"/>
    <w:rsid w:val="432D2509"/>
    <w:rsid w:val="433E55F2"/>
    <w:rsid w:val="434075BC"/>
    <w:rsid w:val="43421586"/>
    <w:rsid w:val="434370AD"/>
    <w:rsid w:val="436E5EB8"/>
    <w:rsid w:val="43900783"/>
    <w:rsid w:val="43905BEF"/>
    <w:rsid w:val="439971FA"/>
    <w:rsid w:val="43A833B4"/>
    <w:rsid w:val="43BD6E5F"/>
    <w:rsid w:val="43C53F65"/>
    <w:rsid w:val="43D16909"/>
    <w:rsid w:val="43DB0304"/>
    <w:rsid w:val="43F213F1"/>
    <w:rsid w:val="43F41FD8"/>
    <w:rsid w:val="43FA3B13"/>
    <w:rsid w:val="43FD1DA6"/>
    <w:rsid w:val="44006D4C"/>
    <w:rsid w:val="440209A9"/>
    <w:rsid w:val="44047C33"/>
    <w:rsid w:val="441676D3"/>
    <w:rsid w:val="441B3B85"/>
    <w:rsid w:val="4420119C"/>
    <w:rsid w:val="444B19C8"/>
    <w:rsid w:val="44774926"/>
    <w:rsid w:val="44864588"/>
    <w:rsid w:val="44A04BE4"/>
    <w:rsid w:val="44A21CDC"/>
    <w:rsid w:val="44C85ABB"/>
    <w:rsid w:val="44D65FFB"/>
    <w:rsid w:val="45050ABD"/>
    <w:rsid w:val="45237196"/>
    <w:rsid w:val="45244CBC"/>
    <w:rsid w:val="452A5140"/>
    <w:rsid w:val="4535500F"/>
    <w:rsid w:val="454809AA"/>
    <w:rsid w:val="456974E5"/>
    <w:rsid w:val="457271D8"/>
    <w:rsid w:val="457F1EF2"/>
    <w:rsid w:val="45857508"/>
    <w:rsid w:val="458D79D2"/>
    <w:rsid w:val="45AB64B6"/>
    <w:rsid w:val="45B1654F"/>
    <w:rsid w:val="45B47DEE"/>
    <w:rsid w:val="45CE5353"/>
    <w:rsid w:val="45E10B02"/>
    <w:rsid w:val="45ED1E9D"/>
    <w:rsid w:val="45F66658"/>
    <w:rsid w:val="46115240"/>
    <w:rsid w:val="461A0599"/>
    <w:rsid w:val="461B60BF"/>
    <w:rsid w:val="46352889"/>
    <w:rsid w:val="46362EF9"/>
    <w:rsid w:val="4649255C"/>
    <w:rsid w:val="46510A2F"/>
    <w:rsid w:val="46765CB1"/>
    <w:rsid w:val="46841EBD"/>
    <w:rsid w:val="46843C64"/>
    <w:rsid w:val="46974134"/>
    <w:rsid w:val="469C746C"/>
    <w:rsid w:val="46A47E62"/>
    <w:rsid w:val="46B651A1"/>
    <w:rsid w:val="46CE2315"/>
    <w:rsid w:val="46F245F5"/>
    <w:rsid w:val="46FA5AAD"/>
    <w:rsid w:val="47113E40"/>
    <w:rsid w:val="47120309"/>
    <w:rsid w:val="472015A9"/>
    <w:rsid w:val="47234906"/>
    <w:rsid w:val="47354BD4"/>
    <w:rsid w:val="474E4E09"/>
    <w:rsid w:val="476B0980"/>
    <w:rsid w:val="47867568"/>
    <w:rsid w:val="479A733C"/>
    <w:rsid w:val="479D7445"/>
    <w:rsid w:val="47A00374"/>
    <w:rsid w:val="47A46DFB"/>
    <w:rsid w:val="47E2414E"/>
    <w:rsid w:val="47E57A30"/>
    <w:rsid w:val="47F44954"/>
    <w:rsid w:val="48083249"/>
    <w:rsid w:val="480E7A25"/>
    <w:rsid w:val="48180B08"/>
    <w:rsid w:val="483E6094"/>
    <w:rsid w:val="484E4529"/>
    <w:rsid w:val="48561F5C"/>
    <w:rsid w:val="485D6071"/>
    <w:rsid w:val="48614BFD"/>
    <w:rsid w:val="4861515F"/>
    <w:rsid w:val="487B4BF3"/>
    <w:rsid w:val="487F2935"/>
    <w:rsid w:val="48B1532F"/>
    <w:rsid w:val="48C26B67"/>
    <w:rsid w:val="48C81442"/>
    <w:rsid w:val="48DB38E3"/>
    <w:rsid w:val="48E85B1A"/>
    <w:rsid w:val="490168B9"/>
    <w:rsid w:val="49080B7C"/>
    <w:rsid w:val="49465201"/>
    <w:rsid w:val="49523359"/>
    <w:rsid w:val="49831FB1"/>
    <w:rsid w:val="49997A26"/>
    <w:rsid w:val="499A379E"/>
    <w:rsid w:val="49A44966"/>
    <w:rsid w:val="49D36A87"/>
    <w:rsid w:val="49DE06CA"/>
    <w:rsid w:val="49E113CD"/>
    <w:rsid w:val="49E51A63"/>
    <w:rsid w:val="4A1B043B"/>
    <w:rsid w:val="4A1B40A3"/>
    <w:rsid w:val="4A301681"/>
    <w:rsid w:val="4A396B13"/>
    <w:rsid w:val="4A5E4C5F"/>
    <w:rsid w:val="4A6548AD"/>
    <w:rsid w:val="4A945EF9"/>
    <w:rsid w:val="4A9560CC"/>
    <w:rsid w:val="4AA04DE4"/>
    <w:rsid w:val="4ABD14F2"/>
    <w:rsid w:val="4AC408E4"/>
    <w:rsid w:val="4ACC3E2B"/>
    <w:rsid w:val="4AD66A58"/>
    <w:rsid w:val="4ADD3943"/>
    <w:rsid w:val="4AE253FD"/>
    <w:rsid w:val="4AE5022F"/>
    <w:rsid w:val="4AE7656F"/>
    <w:rsid w:val="4AF313B8"/>
    <w:rsid w:val="4AFE15E2"/>
    <w:rsid w:val="4B4B11F4"/>
    <w:rsid w:val="4B4E4840"/>
    <w:rsid w:val="4B582E12"/>
    <w:rsid w:val="4B713354"/>
    <w:rsid w:val="4B7778F3"/>
    <w:rsid w:val="4BA60AB1"/>
    <w:rsid w:val="4BA95231"/>
    <w:rsid w:val="4BAF1783"/>
    <w:rsid w:val="4BB2670B"/>
    <w:rsid w:val="4BB365B5"/>
    <w:rsid w:val="4BBA0128"/>
    <w:rsid w:val="4BC114B6"/>
    <w:rsid w:val="4BCB7C3F"/>
    <w:rsid w:val="4BE34546"/>
    <w:rsid w:val="4BE76F02"/>
    <w:rsid w:val="4BEB02E1"/>
    <w:rsid w:val="4BF03B4A"/>
    <w:rsid w:val="4BF37AF5"/>
    <w:rsid w:val="4BF94C2F"/>
    <w:rsid w:val="4BFA7575"/>
    <w:rsid w:val="4C2630C7"/>
    <w:rsid w:val="4C40062D"/>
    <w:rsid w:val="4C545E87"/>
    <w:rsid w:val="4C562B54"/>
    <w:rsid w:val="4C906769"/>
    <w:rsid w:val="4CA0243F"/>
    <w:rsid w:val="4CA666C3"/>
    <w:rsid w:val="4CC90623"/>
    <w:rsid w:val="4CE40E7D"/>
    <w:rsid w:val="4CE74F4D"/>
    <w:rsid w:val="4CFB4554"/>
    <w:rsid w:val="4D1473C4"/>
    <w:rsid w:val="4D1A2C2C"/>
    <w:rsid w:val="4D241CFD"/>
    <w:rsid w:val="4D2E2B7B"/>
    <w:rsid w:val="4D3B0DF4"/>
    <w:rsid w:val="4D5F3063"/>
    <w:rsid w:val="4D654113"/>
    <w:rsid w:val="4D6A4DD7"/>
    <w:rsid w:val="4DB35167"/>
    <w:rsid w:val="4DB55F14"/>
    <w:rsid w:val="4DDF102B"/>
    <w:rsid w:val="4DE33966"/>
    <w:rsid w:val="4DE96C85"/>
    <w:rsid w:val="4DEB45C9"/>
    <w:rsid w:val="4DEB6377"/>
    <w:rsid w:val="4E0012D4"/>
    <w:rsid w:val="4E077171"/>
    <w:rsid w:val="4E1844A1"/>
    <w:rsid w:val="4E376C89"/>
    <w:rsid w:val="4E4468A4"/>
    <w:rsid w:val="4E45017D"/>
    <w:rsid w:val="4E5B75AC"/>
    <w:rsid w:val="4E5E1120"/>
    <w:rsid w:val="4E6C51B8"/>
    <w:rsid w:val="4E6F1BD8"/>
    <w:rsid w:val="4E742810"/>
    <w:rsid w:val="4E9208C3"/>
    <w:rsid w:val="4EA84268"/>
    <w:rsid w:val="4EDE6657"/>
    <w:rsid w:val="4EEA4880"/>
    <w:rsid w:val="4EFB6C2C"/>
    <w:rsid w:val="4EFE20DA"/>
    <w:rsid w:val="4F0A0AD1"/>
    <w:rsid w:val="4F0C76FA"/>
    <w:rsid w:val="4F212F50"/>
    <w:rsid w:val="4F226DC8"/>
    <w:rsid w:val="4F234ACC"/>
    <w:rsid w:val="4F2A7373"/>
    <w:rsid w:val="4F3E697A"/>
    <w:rsid w:val="4F493C9D"/>
    <w:rsid w:val="4F5010E4"/>
    <w:rsid w:val="4F5A37B4"/>
    <w:rsid w:val="4F5E53C7"/>
    <w:rsid w:val="4F6351A5"/>
    <w:rsid w:val="4F7EFCB4"/>
    <w:rsid w:val="4F7F44DF"/>
    <w:rsid w:val="4F854876"/>
    <w:rsid w:val="4FA71C3F"/>
    <w:rsid w:val="4FAE5BAC"/>
    <w:rsid w:val="4FB01626"/>
    <w:rsid w:val="4FB11910"/>
    <w:rsid w:val="4FB530E0"/>
    <w:rsid w:val="4FB84E80"/>
    <w:rsid w:val="4FB854F8"/>
    <w:rsid w:val="4FBA3692"/>
    <w:rsid w:val="4FC715BA"/>
    <w:rsid w:val="4FCE41A2"/>
    <w:rsid w:val="4FDC1ACA"/>
    <w:rsid w:val="4FE985C7"/>
    <w:rsid w:val="500264E9"/>
    <w:rsid w:val="500C08AC"/>
    <w:rsid w:val="500E56FC"/>
    <w:rsid w:val="501C6CBB"/>
    <w:rsid w:val="501F0559"/>
    <w:rsid w:val="502703FE"/>
    <w:rsid w:val="505C668F"/>
    <w:rsid w:val="50601F36"/>
    <w:rsid w:val="507329BF"/>
    <w:rsid w:val="5079410E"/>
    <w:rsid w:val="50964CC0"/>
    <w:rsid w:val="50A6410D"/>
    <w:rsid w:val="50AB003F"/>
    <w:rsid w:val="50C96457"/>
    <w:rsid w:val="50D25854"/>
    <w:rsid w:val="50D852D8"/>
    <w:rsid w:val="50FE0AB7"/>
    <w:rsid w:val="51042AC7"/>
    <w:rsid w:val="51085492"/>
    <w:rsid w:val="511115E0"/>
    <w:rsid w:val="51207956"/>
    <w:rsid w:val="512978E2"/>
    <w:rsid w:val="51330760"/>
    <w:rsid w:val="51346847"/>
    <w:rsid w:val="51475669"/>
    <w:rsid w:val="515D758B"/>
    <w:rsid w:val="5161537B"/>
    <w:rsid w:val="516C5CF7"/>
    <w:rsid w:val="5181771E"/>
    <w:rsid w:val="51867B3E"/>
    <w:rsid w:val="519D3E2C"/>
    <w:rsid w:val="51A575B0"/>
    <w:rsid w:val="51AF6AC8"/>
    <w:rsid w:val="51C25FE7"/>
    <w:rsid w:val="51C969CF"/>
    <w:rsid w:val="51D33CF1"/>
    <w:rsid w:val="51DC4C9E"/>
    <w:rsid w:val="51E1510C"/>
    <w:rsid w:val="51E2385D"/>
    <w:rsid w:val="51FF4AE6"/>
    <w:rsid w:val="520774F7"/>
    <w:rsid w:val="520C5A74"/>
    <w:rsid w:val="521915AD"/>
    <w:rsid w:val="522E2CD6"/>
    <w:rsid w:val="523D3E11"/>
    <w:rsid w:val="524467E0"/>
    <w:rsid w:val="524C2569"/>
    <w:rsid w:val="525564B4"/>
    <w:rsid w:val="525941F7"/>
    <w:rsid w:val="525B75EF"/>
    <w:rsid w:val="525E35BB"/>
    <w:rsid w:val="526341EB"/>
    <w:rsid w:val="52666914"/>
    <w:rsid w:val="5267529D"/>
    <w:rsid w:val="527C0E43"/>
    <w:rsid w:val="52902DFA"/>
    <w:rsid w:val="52D725C8"/>
    <w:rsid w:val="52DB2E5E"/>
    <w:rsid w:val="52DC2732"/>
    <w:rsid w:val="52FE6B4C"/>
    <w:rsid w:val="530E3233"/>
    <w:rsid w:val="53135B7C"/>
    <w:rsid w:val="5314011E"/>
    <w:rsid w:val="53146A66"/>
    <w:rsid w:val="53360094"/>
    <w:rsid w:val="536B319B"/>
    <w:rsid w:val="53740BBC"/>
    <w:rsid w:val="53755060"/>
    <w:rsid w:val="53986DC2"/>
    <w:rsid w:val="53A1287F"/>
    <w:rsid w:val="53A133BA"/>
    <w:rsid w:val="53A6051D"/>
    <w:rsid w:val="53AF2171"/>
    <w:rsid w:val="53B37937"/>
    <w:rsid w:val="53B60FA0"/>
    <w:rsid w:val="53B92BD0"/>
    <w:rsid w:val="53C27B7A"/>
    <w:rsid w:val="53CA4C80"/>
    <w:rsid w:val="53CF48A7"/>
    <w:rsid w:val="53D27C3B"/>
    <w:rsid w:val="53E61F03"/>
    <w:rsid w:val="53E81EA7"/>
    <w:rsid w:val="5406215C"/>
    <w:rsid w:val="541B2D69"/>
    <w:rsid w:val="541B649C"/>
    <w:rsid w:val="54260108"/>
    <w:rsid w:val="542E6C2A"/>
    <w:rsid w:val="543C5B7E"/>
    <w:rsid w:val="543F566E"/>
    <w:rsid w:val="547215A0"/>
    <w:rsid w:val="54945E3C"/>
    <w:rsid w:val="549F610D"/>
    <w:rsid w:val="54AD677F"/>
    <w:rsid w:val="54BE47E5"/>
    <w:rsid w:val="54BE5581"/>
    <w:rsid w:val="54BF230B"/>
    <w:rsid w:val="54C3413E"/>
    <w:rsid w:val="54C343AC"/>
    <w:rsid w:val="54C87412"/>
    <w:rsid w:val="54E3424B"/>
    <w:rsid w:val="54E67898"/>
    <w:rsid w:val="54FC70BB"/>
    <w:rsid w:val="54FF7783"/>
    <w:rsid w:val="550B72FE"/>
    <w:rsid w:val="550C37A2"/>
    <w:rsid w:val="55124B31"/>
    <w:rsid w:val="55195ED1"/>
    <w:rsid w:val="551B35D8"/>
    <w:rsid w:val="55222FC6"/>
    <w:rsid w:val="55356592"/>
    <w:rsid w:val="55363B79"/>
    <w:rsid w:val="553757FC"/>
    <w:rsid w:val="553920BD"/>
    <w:rsid w:val="553B086B"/>
    <w:rsid w:val="55523CC0"/>
    <w:rsid w:val="55561A9C"/>
    <w:rsid w:val="55690BF5"/>
    <w:rsid w:val="556E259A"/>
    <w:rsid w:val="55886BA1"/>
    <w:rsid w:val="55A0038E"/>
    <w:rsid w:val="55A13EAF"/>
    <w:rsid w:val="55A531BA"/>
    <w:rsid w:val="55E4027B"/>
    <w:rsid w:val="55F12998"/>
    <w:rsid w:val="55F85AD5"/>
    <w:rsid w:val="56113BC9"/>
    <w:rsid w:val="561D19DF"/>
    <w:rsid w:val="5621327D"/>
    <w:rsid w:val="562468CA"/>
    <w:rsid w:val="562C774E"/>
    <w:rsid w:val="563F6BD5"/>
    <w:rsid w:val="565E627F"/>
    <w:rsid w:val="56621F53"/>
    <w:rsid w:val="566D4FAA"/>
    <w:rsid w:val="566D64C3"/>
    <w:rsid w:val="5677F382"/>
    <w:rsid w:val="567F6CCF"/>
    <w:rsid w:val="568052DE"/>
    <w:rsid w:val="56A619D5"/>
    <w:rsid w:val="56AF6ADB"/>
    <w:rsid w:val="56B2576C"/>
    <w:rsid w:val="56B9194B"/>
    <w:rsid w:val="56C33BDD"/>
    <w:rsid w:val="56DA167E"/>
    <w:rsid w:val="56E40324"/>
    <w:rsid w:val="56E878F7"/>
    <w:rsid w:val="56EE39F4"/>
    <w:rsid w:val="56EE5088"/>
    <w:rsid w:val="56EFBCE7"/>
    <w:rsid w:val="56F79C35"/>
    <w:rsid w:val="570916A0"/>
    <w:rsid w:val="571006E4"/>
    <w:rsid w:val="57191362"/>
    <w:rsid w:val="57680A38"/>
    <w:rsid w:val="57785D2A"/>
    <w:rsid w:val="577949F3"/>
    <w:rsid w:val="578F1F30"/>
    <w:rsid w:val="57E502DB"/>
    <w:rsid w:val="57FD50A4"/>
    <w:rsid w:val="58107F88"/>
    <w:rsid w:val="582C2D91"/>
    <w:rsid w:val="58373846"/>
    <w:rsid w:val="583D01CF"/>
    <w:rsid w:val="5844151B"/>
    <w:rsid w:val="586475A6"/>
    <w:rsid w:val="58810003"/>
    <w:rsid w:val="58831FCD"/>
    <w:rsid w:val="588A3598"/>
    <w:rsid w:val="589F492D"/>
    <w:rsid w:val="58A95B10"/>
    <w:rsid w:val="58C63C68"/>
    <w:rsid w:val="58CE0D6F"/>
    <w:rsid w:val="58D50A2B"/>
    <w:rsid w:val="58EC0D07"/>
    <w:rsid w:val="58F702C5"/>
    <w:rsid w:val="590A0142"/>
    <w:rsid w:val="591A2160"/>
    <w:rsid w:val="591D7689"/>
    <w:rsid w:val="5923730C"/>
    <w:rsid w:val="593F501F"/>
    <w:rsid w:val="59401C6C"/>
    <w:rsid w:val="59487733"/>
    <w:rsid w:val="595C4F2E"/>
    <w:rsid w:val="596949DD"/>
    <w:rsid w:val="59707498"/>
    <w:rsid w:val="597F1167"/>
    <w:rsid w:val="59A22076"/>
    <w:rsid w:val="59B241EC"/>
    <w:rsid w:val="59C363FA"/>
    <w:rsid w:val="59C74AA1"/>
    <w:rsid w:val="59E25784"/>
    <w:rsid w:val="59EF5441"/>
    <w:rsid w:val="59F44805"/>
    <w:rsid w:val="5A0013FC"/>
    <w:rsid w:val="5A1153B7"/>
    <w:rsid w:val="5A1E3FB2"/>
    <w:rsid w:val="5A407A4A"/>
    <w:rsid w:val="5A4E09B0"/>
    <w:rsid w:val="5A56B2A4"/>
    <w:rsid w:val="5A6A4308"/>
    <w:rsid w:val="5A6D05DB"/>
    <w:rsid w:val="5A736072"/>
    <w:rsid w:val="5A7B0A82"/>
    <w:rsid w:val="5A876EE7"/>
    <w:rsid w:val="5A9C02D5"/>
    <w:rsid w:val="5AA13369"/>
    <w:rsid w:val="5AA44386"/>
    <w:rsid w:val="5AA867D1"/>
    <w:rsid w:val="5AA94A6E"/>
    <w:rsid w:val="5AB05047"/>
    <w:rsid w:val="5ABA15AB"/>
    <w:rsid w:val="5AE26D53"/>
    <w:rsid w:val="5AE723C6"/>
    <w:rsid w:val="5AEA041D"/>
    <w:rsid w:val="5AF01470"/>
    <w:rsid w:val="5AFE1DDF"/>
    <w:rsid w:val="5B0E2E46"/>
    <w:rsid w:val="5B116199"/>
    <w:rsid w:val="5B1834F7"/>
    <w:rsid w:val="5B48365A"/>
    <w:rsid w:val="5B48496A"/>
    <w:rsid w:val="5B6B629F"/>
    <w:rsid w:val="5B922527"/>
    <w:rsid w:val="5BD743DE"/>
    <w:rsid w:val="5BF07EDE"/>
    <w:rsid w:val="5BF60D08"/>
    <w:rsid w:val="5BFA07CE"/>
    <w:rsid w:val="5C0C052C"/>
    <w:rsid w:val="5C125416"/>
    <w:rsid w:val="5C237623"/>
    <w:rsid w:val="5C2631A6"/>
    <w:rsid w:val="5C276FB7"/>
    <w:rsid w:val="5C4D4754"/>
    <w:rsid w:val="5C6F429B"/>
    <w:rsid w:val="5C700ABB"/>
    <w:rsid w:val="5C7F56DC"/>
    <w:rsid w:val="5C9C6B0B"/>
    <w:rsid w:val="5C9D3DA7"/>
    <w:rsid w:val="5CA249EC"/>
    <w:rsid w:val="5CA644DC"/>
    <w:rsid w:val="5CA7449A"/>
    <w:rsid w:val="5CBD35D4"/>
    <w:rsid w:val="5CC67A71"/>
    <w:rsid w:val="5CCE6402"/>
    <w:rsid w:val="5CDC6150"/>
    <w:rsid w:val="5CF039A9"/>
    <w:rsid w:val="5CFE308C"/>
    <w:rsid w:val="5D192F00"/>
    <w:rsid w:val="5D1A517B"/>
    <w:rsid w:val="5D1C479E"/>
    <w:rsid w:val="5D1D4002"/>
    <w:rsid w:val="5D2E6280"/>
    <w:rsid w:val="5D4476A0"/>
    <w:rsid w:val="5D46181B"/>
    <w:rsid w:val="5D605600"/>
    <w:rsid w:val="5D63253A"/>
    <w:rsid w:val="5D635829"/>
    <w:rsid w:val="5D6D3B91"/>
    <w:rsid w:val="5D7B1BAB"/>
    <w:rsid w:val="5D801B4F"/>
    <w:rsid w:val="5D9E1657"/>
    <w:rsid w:val="5D9E3405"/>
    <w:rsid w:val="5DA1635C"/>
    <w:rsid w:val="5DA828DC"/>
    <w:rsid w:val="5DBB5D65"/>
    <w:rsid w:val="5DC16C12"/>
    <w:rsid w:val="5DD35E0B"/>
    <w:rsid w:val="5DDB1F64"/>
    <w:rsid w:val="5DE80B25"/>
    <w:rsid w:val="5DEA6951"/>
    <w:rsid w:val="5DFC408A"/>
    <w:rsid w:val="5E316028"/>
    <w:rsid w:val="5E343D6A"/>
    <w:rsid w:val="5E436EA1"/>
    <w:rsid w:val="5E512570"/>
    <w:rsid w:val="5E6737F7"/>
    <w:rsid w:val="5E6E5F24"/>
    <w:rsid w:val="5EA06D09"/>
    <w:rsid w:val="5EA17B8B"/>
    <w:rsid w:val="5EAB4A36"/>
    <w:rsid w:val="5EAC56AE"/>
    <w:rsid w:val="5EB21B8E"/>
    <w:rsid w:val="5EB729BA"/>
    <w:rsid w:val="5EBC3661"/>
    <w:rsid w:val="5EE94B54"/>
    <w:rsid w:val="5EEC0726"/>
    <w:rsid w:val="5EEE5E34"/>
    <w:rsid w:val="5EF07C91"/>
    <w:rsid w:val="5EF26FBB"/>
    <w:rsid w:val="5EFD54C0"/>
    <w:rsid w:val="5F132FF0"/>
    <w:rsid w:val="5F1A6ABC"/>
    <w:rsid w:val="5F1E0A25"/>
    <w:rsid w:val="5F2A371A"/>
    <w:rsid w:val="5F335DCF"/>
    <w:rsid w:val="5F337B7D"/>
    <w:rsid w:val="5F5572F2"/>
    <w:rsid w:val="5F6103B4"/>
    <w:rsid w:val="5F6CADD2"/>
    <w:rsid w:val="5F702B80"/>
    <w:rsid w:val="5F710660"/>
    <w:rsid w:val="5F73189A"/>
    <w:rsid w:val="5F7C1524"/>
    <w:rsid w:val="5F97010C"/>
    <w:rsid w:val="5F9C3975"/>
    <w:rsid w:val="5FCC1544"/>
    <w:rsid w:val="5FD01870"/>
    <w:rsid w:val="5FE77D07"/>
    <w:rsid w:val="5FEFCB6A"/>
    <w:rsid w:val="5FF90DC7"/>
    <w:rsid w:val="5FF92B75"/>
    <w:rsid w:val="60025ECE"/>
    <w:rsid w:val="60152F95"/>
    <w:rsid w:val="60204437"/>
    <w:rsid w:val="60211516"/>
    <w:rsid w:val="60301004"/>
    <w:rsid w:val="60382473"/>
    <w:rsid w:val="603B26DF"/>
    <w:rsid w:val="603E67DA"/>
    <w:rsid w:val="605204D7"/>
    <w:rsid w:val="605E3790"/>
    <w:rsid w:val="606C5488"/>
    <w:rsid w:val="606F1089"/>
    <w:rsid w:val="607E751E"/>
    <w:rsid w:val="60820DBC"/>
    <w:rsid w:val="609B1E7E"/>
    <w:rsid w:val="60A725D1"/>
    <w:rsid w:val="60C81BC8"/>
    <w:rsid w:val="60CA5C5B"/>
    <w:rsid w:val="60E45417"/>
    <w:rsid w:val="60EA0710"/>
    <w:rsid w:val="61025A59"/>
    <w:rsid w:val="6110461A"/>
    <w:rsid w:val="61161505"/>
    <w:rsid w:val="613227E3"/>
    <w:rsid w:val="613335B3"/>
    <w:rsid w:val="61333E65"/>
    <w:rsid w:val="613876CD"/>
    <w:rsid w:val="614C5210"/>
    <w:rsid w:val="616404C2"/>
    <w:rsid w:val="616A6E87"/>
    <w:rsid w:val="618F2C11"/>
    <w:rsid w:val="61907509"/>
    <w:rsid w:val="61936344"/>
    <w:rsid w:val="6198016C"/>
    <w:rsid w:val="619E1C26"/>
    <w:rsid w:val="61B937B8"/>
    <w:rsid w:val="61D34BF9"/>
    <w:rsid w:val="61D94A0C"/>
    <w:rsid w:val="61E1416E"/>
    <w:rsid w:val="61E45BE1"/>
    <w:rsid w:val="61EF2482"/>
    <w:rsid w:val="61F25ACE"/>
    <w:rsid w:val="61FC06FB"/>
    <w:rsid w:val="620E7C5F"/>
    <w:rsid w:val="62143C96"/>
    <w:rsid w:val="62161BC7"/>
    <w:rsid w:val="6220088D"/>
    <w:rsid w:val="623B56C7"/>
    <w:rsid w:val="62403290"/>
    <w:rsid w:val="624D667E"/>
    <w:rsid w:val="624F2F20"/>
    <w:rsid w:val="626D4A1D"/>
    <w:rsid w:val="627E3805"/>
    <w:rsid w:val="628C4608"/>
    <w:rsid w:val="62944DD7"/>
    <w:rsid w:val="62966DA1"/>
    <w:rsid w:val="62C162DF"/>
    <w:rsid w:val="62C31218"/>
    <w:rsid w:val="62C52604"/>
    <w:rsid w:val="632917B9"/>
    <w:rsid w:val="6337271C"/>
    <w:rsid w:val="633B16F7"/>
    <w:rsid w:val="6341070D"/>
    <w:rsid w:val="63493E13"/>
    <w:rsid w:val="634C56B2"/>
    <w:rsid w:val="635D78BF"/>
    <w:rsid w:val="636429FB"/>
    <w:rsid w:val="63770981"/>
    <w:rsid w:val="637901FC"/>
    <w:rsid w:val="63882ED5"/>
    <w:rsid w:val="638C3E3F"/>
    <w:rsid w:val="63972DD1"/>
    <w:rsid w:val="63A075C4"/>
    <w:rsid w:val="63A92582"/>
    <w:rsid w:val="63BB361B"/>
    <w:rsid w:val="63C27722"/>
    <w:rsid w:val="63C52A41"/>
    <w:rsid w:val="63DF6146"/>
    <w:rsid w:val="63E40472"/>
    <w:rsid w:val="642C2FFF"/>
    <w:rsid w:val="64427DEE"/>
    <w:rsid w:val="644B139F"/>
    <w:rsid w:val="644C3BBB"/>
    <w:rsid w:val="644F5459"/>
    <w:rsid w:val="64793B97"/>
    <w:rsid w:val="647A2203"/>
    <w:rsid w:val="64842818"/>
    <w:rsid w:val="64B63FEE"/>
    <w:rsid w:val="64C64FF0"/>
    <w:rsid w:val="64DB22B5"/>
    <w:rsid w:val="64E421D7"/>
    <w:rsid w:val="64E536C8"/>
    <w:rsid w:val="65000502"/>
    <w:rsid w:val="653603C7"/>
    <w:rsid w:val="653B778C"/>
    <w:rsid w:val="654900FB"/>
    <w:rsid w:val="65490704"/>
    <w:rsid w:val="65662D40"/>
    <w:rsid w:val="657A6506"/>
    <w:rsid w:val="658E3D60"/>
    <w:rsid w:val="65975ABE"/>
    <w:rsid w:val="65980C88"/>
    <w:rsid w:val="65E358B9"/>
    <w:rsid w:val="65FC3B45"/>
    <w:rsid w:val="66094559"/>
    <w:rsid w:val="660B1854"/>
    <w:rsid w:val="66377F53"/>
    <w:rsid w:val="66486604"/>
    <w:rsid w:val="664D59C9"/>
    <w:rsid w:val="664D5FF4"/>
    <w:rsid w:val="6677416F"/>
    <w:rsid w:val="667E2026"/>
    <w:rsid w:val="66903B07"/>
    <w:rsid w:val="66954DF0"/>
    <w:rsid w:val="669C06FE"/>
    <w:rsid w:val="66A37352"/>
    <w:rsid w:val="66AF21DF"/>
    <w:rsid w:val="66D876AA"/>
    <w:rsid w:val="66D9725C"/>
    <w:rsid w:val="66EA3BE6"/>
    <w:rsid w:val="66FE6CC3"/>
    <w:rsid w:val="6721001D"/>
    <w:rsid w:val="67334BBF"/>
    <w:rsid w:val="67347D1D"/>
    <w:rsid w:val="6739419F"/>
    <w:rsid w:val="67401089"/>
    <w:rsid w:val="674768BC"/>
    <w:rsid w:val="677D4646"/>
    <w:rsid w:val="678629DB"/>
    <w:rsid w:val="679259FF"/>
    <w:rsid w:val="679744DF"/>
    <w:rsid w:val="67980EC5"/>
    <w:rsid w:val="679F2254"/>
    <w:rsid w:val="67A45ABC"/>
    <w:rsid w:val="67C1041C"/>
    <w:rsid w:val="67C47140"/>
    <w:rsid w:val="67C577BD"/>
    <w:rsid w:val="681D3F04"/>
    <w:rsid w:val="682E5386"/>
    <w:rsid w:val="68354427"/>
    <w:rsid w:val="686F41A0"/>
    <w:rsid w:val="6873723D"/>
    <w:rsid w:val="687C5E53"/>
    <w:rsid w:val="687E455F"/>
    <w:rsid w:val="68803A39"/>
    <w:rsid w:val="689B3CF8"/>
    <w:rsid w:val="689E3048"/>
    <w:rsid w:val="68B66537"/>
    <w:rsid w:val="68B7625C"/>
    <w:rsid w:val="68BE07D7"/>
    <w:rsid w:val="68C0757E"/>
    <w:rsid w:val="68C44E48"/>
    <w:rsid w:val="68CA77A4"/>
    <w:rsid w:val="68D12617"/>
    <w:rsid w:val="68DE6DAC"/>
    <w:rsid w:val="68E24BB9"/>
    <w:rsid w:val="68F14D31"/>
    <w:rsid w:val="68F16ADF"/>
    <w:rsid w:val="68FA02C2"/>
    <w:rsid w:val="68FC7232"/>
    <w:rsid w:val="69064ECD"/>
    <w:rsid w:val="69117181"/>
    <w:rsid w:val="691B590A"/>
    <w:rsid w:val="69344C1E"/>
    <w:rsid w:val="6944742F"/>
    <w:rsid w:val="694F07A9"/>
    <w:rsid w:val="69502F14"/>
    <w:rsid w:val="69613711"/>
    <w:rsid w:val="69847953"/>
    <w:rsid w:val="69B018C1"/>
    <w:rsid w:val="69DA57C5"/>
    <w:rsid w:val="69F85C4B"/>
    <w:rsid w:val="69FF1A78"/>
    <w:rsid w:val="6A010FA4"/>
    <w:rsid w:val="6A22006E"/>
    <w:rsid w:val="6A232E0D"/>
    <w:rsid w:val="6A2536C5"/>
    <w:rsid w:val="6A2A7525"/>
    <w:rsid w:val="6A436FC0"/>
    <w:rsid w:val="6A5F748C"/>
    <w:rsid w:val="6A6634FD"/>
    <w:rsid w:val="6A7C062B"/>
    <w:rsid w:val="6A841D70"/>
    <w:rsid w:val="6AC15DEE"/>
    <w:rsid w:val="6AE85CC0"/>
    <w:rsid w:val="6AF61265"/>
    <w:rsid w:val="6B083125"/>
    <w:rsid w:val="6B0A032C"/>
    <w:rsid w:val="6B0A3E88"/>
    <w:rsid w:val="6B0B007F"/>
    <w:rsid w:val="6B297183"/>
    <w:rsid w:val="6B833C3B"/>
    <w:rsid w:val="6B8A321B"/>
    <w:rsid w:val="6BA53BB1"/>
    <w:rsid w:val="6BB6110A"/>
    <w:rsid w:val="6BBA12EE"/>
    <w:rsid w:val="6BC57F00"/>
    <w:rsid w:val="6BE36266"/>
    <w:rsid w:val="6BE741CA"/>
    <w:rsid w:val="6BF2198C"/>
    <w:rsid w:val="6C094140"/>
    <w:rsid w:val="6C0C1E82"/>
    <w:rsid w:val="6C134FBF"/>
    <w:rsid w:val="6C1C3133"/>
    <w:rsid w:val="6C330ED2"/>
    <w:rsid w:val="6C335661"/>
    <w:rsid w:val="6C3527D4"/>
    <w:rsid w:val="6C537AB1"/>
    <w:rsid w:val="6C5B0466"/>
    <w:rsid w:val="6C5F0204"/>
    <w:rsid w:val="6C643B3D"/>
    <w:rsid w:val="6C674CA3"/>
    <w:rsid w:val="6C6770B8"/>
    <w:rsid w:val="6C6B17D9"/>
    <w:rsid w:val="6C7C7008"/>
    <w:rsid w:val="6C847C6A"/>
    <w:rsid w:val="6C922387"/>
    <w:rsid w:val="6C97170D"/>
    <w:rsid w:val="6CC369E5"/>
    <w:rsid w:val="6CC47E5A"/>
    <w:rsid w:val="6CD26C28"/>
    <w:rsid w:val="6CD96208"/>
    <w:rsid w:val="6CDE737B"/>
    <w:rsid w:val="6CED272F"/>
    <w:rsid w:val="6CF77E48"/>
    <w:rsid w:val="6CFE7A1D"/>
    <w:rsid w:val="6D152C7A"/>
    <w:rsid w:val="6D3276C6"/>
    <w:rsid w:val="6D3708FB"/>
    <w:rsid w:val="6D3E250F"/>
    <w:rsid w:val="6D401DE3"/>
    <w:rsid w:val="6D4C769A"/>
    <w:rsid w:val="6D5238C5"/>
    <w:rsid w:val="6D5835D1"/>
    <w:rsid w:val="6D632B13"/>
    <w:rsid w:val="6D8A305E"/>
    <w:rsid w:val="6D8C6AB1"/>
    <w:rsid w:val="6D9050BE"/>
    <w:rsid w:val="6D964261"/>
    <w:rsid w:val="6DB36A59"/>
    <w:rsid w:val="6DB41A6A"/>
    <w:rsid w:val="6DBE0F5A"/>
    <w:rsid w:val="6DC53514"/>
    <w:rsid w:val="6E13574A"/>
    <w:rsid w:val="6E4A456A"/>
    <w:rsid w:val="6E5518BE"/>
    <w:rsid w:val="6E645F09"/>
    <w:rsid w:val="6E777A87"/>
    <w:rsid w:val="6E7C1B49"/>
    <w:rsid w:val="6E9835C9"/>
    <w:rsid w:val="6E9B56B7"/>
    <w:rsid w:val="6E9D0F19"/>
    <w:rsid w:val="6EA00A64"/>
    <w:rsid w:val="6EA13F6B"/>
    <w:rsid w:val="6EA2262A"/>
    <w:rsid w:val="6EB81E4D"/>
    <w:rsid w:val="6EBA5BC5"/>
    <w:rsid w:val="6EE964AB"/>
    <w:rsid w:val="6EEA46FD"/>
    <w:rsid w:val="6F101C89"/>
    <w:rsid w:val="6F106879"/>
    <w:rsid w:val="6F152D9A"/>
    <w:rsid w:val="6F5B1846"/>
    <w:rsid w:val="6F600666"/>
    <w:rsid w:val="6F6354D2"/>
    <w:rsid w:val="6F87083E"/>
    <w:rsid w:val="6FA526CF"/>
    <w:rsid w:val="6FA64098"/>
    <w:rsid w:val="6FB865A9"/>
    <w:rsid w:val="6FD107B4"/>
    <w:rsid w:val="6FDB4045"/>
    <w:rsid w:val="6FE4739E"/>
    <w:rsid w:val="6FEF5D43"/>
    <w:rsid w:val="6FF97C75"/>
    <w:rsid w:val="6FFA135B"/>
    <w:rsid w:val="6FFF7C0E"/>
    <w:rsid w:val="700D06A2"/>
    <w:rsid w:val="702247F7"/>
    <w:rsid w:val="70357BF9"/>
    <w:rsid w:val="70384FF4"/>
    <w:rsid w:val="7049709F"/>
    <w:rsid w:val="705E306D"/>
    <w:rsid w:val="7073599E"/>
    <w:rsid w:val="70736AC3"/>
    <w:rsid w:val="707515C1"/>
    <w:rsid w:val="707FDCA3"/>
    <w:rsid w:val="70865C9C"/>
    <w:rsid w:val="708A4D58"/>
    <w:rsid w:val="708F6BDE"/>
    <w:rsid w:val="70A373E5"/>
    <w:rsid w:val="70A42689"/>
    <w:rsid w:val="70AE6A31"/>
    <w:rsid w:val="70C8091E"/>
    <w:rsid w:val="70CB04E6"/>
    <w:rsid w:val="70D27294"/>
    <w:rsid w:val="70D4324F"/>
    <w:rsid w:val="71286E22"/>
    <w:rsid w:val="71427771"/>
    <w:rsid w:val="7143236C"/>
    <w:rsid w:val="717D5BC9"/>
    <w:rsid w:val="71A566B9"/>
    <w:rsid w:val="71B2527A"/>
    <w:rsid w:val="71CA25C3"/>
    <w:rsid w:val="71D376CA"/>
    <w:rsid w:val="71DB20DB"/>
    <w:rsid w:val="71DB657E"/>
    <w:rsid w:val="71DC5974"/>
    <w:rsid w:val="71EF047C"/>
    <w:rsid w:val="71F413EE"/>
    <w:rsid w:val="720E0702"/>
    <w:rsid w:val="72113D4E"/>
    <w:rsid w:val="722045E7"/>
    <w:rsid w:val="72231699"/>
    <w:rsid w:val="72273572"/>
    <w:rsid w:val="722B751D"/>
    <w:rsid w:val="722C6DDA"/>
    <w:rsid w:val="723D0FE7"/>
    <w:rsid w:val="72583E79"/>
    <w:rsid w:val="725A654C"/>
    <w:rsid w:val="72602357"/>
    <w:rsid w:val="72693B8A"/>
    <w:rsid w:val="727E26C2"/>
    <w:rsid w:val="72872262"/>
    <w:rsid w:val="72C45265"/>
    <w:rsid w:val="72CC236B"/>
    <w:rsid w:val="72D60AF4"/>
    <w:rsid w:val="72F3388B"/>
    <w:rsid w:val="72F85FEB"/>
    <w:rsid w:val="72FB248C"/>
    <w:rsid w:val="72FE159D"/>
    <w:rsid w:val="73153BB6"/>
    <w:rsid w:val="731C29AB"/>
    <w:rsid w:val="731E31D8"/>
    <w:rsid w:val="73243F55"/>
    <w:rsid w:val="73357F10"/>
    <w:rsid w:val="734D5117"/>
    <w:rsid w:val="734F61F6"/>
    <w:rsid w:val="735E0EFB"/>
    <w:rsid w:val="73631948"/>
    <w:rsid w:val="73735C26"/>
    <w:rsid w:val="737547B1"/>
    <w:rsid w:val="737650A4"/>
    <w:rsid w:val="73797DFD"/>
    <w:rsid w:val="737E5413"/>
    <w:rsid w:val="73830C7C"/>
    <w:rsid w:val="738531BD"/>
    <w:rsid w:val="738A2DD7"/>
    <w:rsid w:val="73915B78"/>
    <w:rsid w:val="73941CCC"/>
    <w:rsid w:val="73993FFB"/>
    <w:rsid w:val="73AA26AC"/>
    <w:rsid w:val="73AE12EC"/>
    <w:rsid w:val="73AF3118"/>
    <w:rsid w:val="73B272DC"/>
    <w:rsid w:val="73B452D9"/>
    <w:rsid w:val="73BBD34C"/>
    <w:rsid w:val="73F277FB"/>
    <w:rsid w:val="74035F8D"/>
    <w:rsid w:val="7416389E"/>
    <w:rsid w:val="7419513C"/>
    <w:rsid w:val="74222C41"/>
    <w:rsid w:val="743374A1"/>
    <w:rsid w:val="743467DF"/>
    <w:rsid w:val="744213FF"/>
    <w:rsid w:val="744A1799"/>
    <w:rsid w:val="74714F78"/>
    <w:rsid w:val="74815B3F"/>
    <w:rsid w:val="748756D3"/>
    <w:rsid w:val="7491607B"/>
    <w:rsid w:val="74942A15"/>
    <w:rsid w:val="74C55EC1"/>
    <w:rsid w:val="74DB6895"/>
    <w:rsid w:val="74DEE34C"/>
    <w:rsid w:val="74F31E31"/>
    <w:rsid w:val="74FE3011"/>
    <w:rsid w:val="751029E3"/>
    <w:rsid w:val="75151E65"/>
    <w:rsid w:val="753F4A6C"/>
    <w:rsid w:val="754B3A1B"/>
    <w:rsid w:val="755201BF"/>
    <w:rsid w:val="75521133"/>
    <w:rsid w:val="75532CC9"/>
    <w:rsid w:val="75640639"/>
    <w:rsid w:val="757F36C5"/>
    <w:rsid w:val="7590142E"/>
    <w:rsid w:val="75AE7D3B"/>
    <w:rsid w:val="75B01F58"/>
    <w:rsid w:val="75CB7DAE"/>
    <w:rsid w:val="75CE4A51"/>
    <w:rsid w:val="75D27C98"/>
    <w:rsid w:val="75D752AF"/>
    <w:rsid w:val="75D92DD5"/>
    <w:rsid w:val="75DF5F11"/>
    <w:rsid w:val="75FC4D15"/>
    <w:rsid w:val="75FE45EA"/>
    <w:rsid w:val="75FF7042"/>
    <w:rsid w:val="7603295D"/>
    <w:rsid w:val="76067346"/>
    <w:rsid w:val="76070558"/>
    <w:rsid w:val="76085468"/>
    <w:rsid w:val="760905A3"/>
    <w:rsid w:val="760925E8"/>
    <w:rsid w:val="760F4A49"/>
    <w:rsid w:val="761402B1"/>
    <w:rsid w:val="76487F5B"/>
    <w:rsid w:val="766D0198"/>
    <w:rsid w:val="768F354A"/>
    <w:rsid w:val="76934ECB"/>
    <w:rsid w:val="7696746C"/>
    <w:rsid w:val="769B008A"/>
    <w:rsid w:val="76BD3B8F"/>
    <w:rsid w:val="76DB2B7D"/>
    <w:rsid w:val="76E063E5"/>
    <w:rsid w:val="76EF79DF"/>
    <w:rsid w:val="76F58E6F"/>
    <w:rsid w:val="76FD6F97"/>
    <w:rsid w:val="77075582"/>
    <w:rsid w:val="77076AA4"/>
    <w:rsid w:val="770C0F88"/>
    <w:rsid w:val="77107490"/>
    <w:rsid w:val="77123C65"/>
    <w:rsid w:val="771A4CBB"/>
    <w:rsid w:val="772269FE"/>
    <w:rsid w:val="77424D1F"/>
    <w:rsid w:val="774E334F"/>
    <w:rsid w:val="7754671E"/>
    <w:rsid w:val="77597EB6"/>
    <w:rsid w:val="775B1D3D"/>
    <w:rsid w:val="777233CA"/>
    <w:rsid w:val="77807586"/>
    <w:rsid w:val="77A967D7"/>
    <w:rsid w:val="77C11D73"/>
    <w:rsid w:val="77C51666"/>
    <w:rsid w:val="77C61FA0"/>
    <w:rsid w:val="77CB0E43"/>
    <w:rsid w:val="77D17A45"/>
    <w:rsid w:val="77D744B6"/>
    <w:rsid w:val="77ED294E"/>
    <w:rsid w:val="77FE2FC7"/>
    <w:rsid w:val="7800397B"/>
    <w:rsid w:val="78055809"/>
    <w:rsid w:val="780B27F8"/>
    <w:rsid w:val="78125870"/>
    <w:rsid w:val="78267E28"/>
    <w:rsid w:val="78336E8F"/>
    <w:rsid w:val="78454752"/>
    <w:rsid w:val="78485FF0"/>
    <w:rsid w:val="78573EE9"/>
    <w:rsid w:val="785A48DB"/>
    <w:rsid w:val="78623556"/>
    <w:rsid w:val="786728C9"/>
    <w:rsid w:val="786848E4"/>
    <w:rsid w:val="786C7F30"/>
    <w:rsid w:val="78811502"/>
    <w:rsid w:val="78827687"/>
    <w:rsid w:val="78867F50"/>
    <w:rsid w:val="788F5ED1"/>
    <w:rsid w:val="78A7540C"/>
    <w:rsid w:val="78C22246"/>
    <w:rsid w:val="78CB0EA0"/>
    <w:rsid w:val="78E82ECC"/>
    <w:rsid w:val="78F74CE4"/>
    <w:rsid w:val="78F9177F"/>
    <w:rsid w:val="79061938"/>
    <w:rsid w:val="790F6B0E"/>
    <w:rsid w:val="79157058"/>
    <w:rsid w:val="791B1604"/>
    <w:rsid w:val="79277E07"/>
    <w:rsid w:val="79354058"/>
    <w:rsid w:val="795D5ACB"/>
    <w:rsid w:val="796C21B2"/>
    <w:rsid w:val="797177C8"/>
    <w:rsid w:val="797572B9"/>
    <w:rsid w:val="798153CC"/>
    <w:rsid w:val="79A100AE"/>
    <w:rsid w:val="79A90D10"/>
    <w:rsid w:val="79B0209F"/>
    <w:rsid w:val="79B7342D"/>
    <w:rsid w:val="79BF480D"/>
    <w:rsid w:val="79CE4C1B"/>
    <w:rsid w:val="79CF5E40"/>
    <w:rsid w:val="79D20267"/>
    <w:rsid w:val="79D32B34"/>
    <w:rsid w:val="79E63FF4"/>
    <w:rsid w:val="79E66321"/>
    <w:rsid w:val="79EE2BC7"/>
    <w:rsid w:val="79FF70B5"/>
    <w:rsid w:val="7A023D76"/>
    <w:rsid w:val="7A0643B5"/>
    <w:rsid w:val="7A0C6AB7"/>
    <w:rsid w:val="7A105034"/>
    <w:rsid w:val="7A293F92"/>
    <w:rsid w:val="7A2F7FBA"/>
    <w:rsid w:val="7A344A7E"/>
    <w:rsid w:val="7A4455AE"/>
    <w:rsid w:val="7A4D6A17"/>
    <w:rsid w:val="7A5F5873"/>
    <w:rsid w:val="7A613399"/>
    <w:rsid w:val="7A886B78"/>
    <w:rsid w:val="7A9A7EC7"/>
    <w:rsid w:val="7AD93877"/>
    <w:rsid w:val="7AD9755A"/>
    <w:rsid w:val="7AF97A75"/>
    <w:rsid w:val="7B1F572E"/>
    <w:rsid w:val="7B2C1BF9"/>
    <w:rsid w:val="7B315461"/>
    <w:rsid w:val="7B4D23D0"/>
    <w:rsid w:val="7B5178B1"/>
    <w:rsid w:val="7B560A24"/>
    <w:rsid w:val="7B72652B"/>
    <w:rsid w:val="7B7E4AEF"/>
    <w:rsid w:val="7B9854E0"/>
    <w:rsid w:val="7B9D74A9"/>
    <w:rsid w:val="7B9F10AC"/>
    <w:rsid w:val="7BA615A2"/>
    <w:rsid w:val="7BAD2EC7"/>
    <w:rsid w:val="7BB8348D"/>
    <w:rsid w:val="7BBE11FB"/>
    <w:rsid w:val="7BBF715B"/>
    <w:rsid w:val="7BD644A9"/>
    <w:rsid w:val="7BDE554C"/>
    <w:rsid w:val="7BE14DA1"/>
    <w:rsid w:val="7BEB297C"/>
    <w:rsid w:val="7BF546E1"/>
    <w:rsid w:val="7BF71835"/>
    <w:rsid w:val="7BFF585B"/>
    <w:rsid w:val="7C031C34"/>
    <w:rsid w:val="7C077F70"/>
    <w:rsid w:val="7C1459E2"/>
    <w:rsid w:val="7C1F175E"/>
    <w:rsid w:val="7C3A6597"/>
    <w:rsid w:val="7C4756E9"/>
    <w:rsid w:val="7C5D696C"/>
    <w:rsid w:val="7C7B014B"/>
    <w:rsid w:val="7C8141C6"/>
    <w:rsid w:val="7C8616B1"/>
    <w:rsid w:val="7C8E41ED"/>
    <w:rsid w:val="7CA01E9B"/>
    <w:rsid w:val="7CAB0C75"/>
    <w:rsid w:val="7CB43C54"/>
    <w:rsid w:val="7CBB1486"/>
    <w:rsid w:val="7CBD6EBB"/>
    <w:rsid w:val="7CCC3693"/>
    <w:rsid w:val="7CCD2F68"/>
    <w:rsid w:val="7CD267D0"/>
    <w:rsid w:val="7CDFA69B"/>
    <w:rsid w:val="7CEE34EF"/>
    <w:rsid w:val="7CF209C2"/>
    <w:rsid w:val="7D171AF4"/>
    <w:rsid w:val="7D180687"/>
    <w:rsid w:val="7D23036F"/>
    <w:rsid w:val="7D337C34"/>
    <w:rsid w:val="7D382AD7"/>
    <w:rsid w:val="7D40373A"/>
    <w:rsid w:val="7D4A0A5C"/>
    <w:rsid w:val="7D580E3B"/>
    <w:rsid w:val="7D60202E"/>
    <w:rsid w:val="7D7E6B8B"/>
    <w:rsid w:val="7D9046C1"/>
    <w:rsid w:val="7DBFAEB0"/>
    <w:rsid w:val="7DCD02A0"/>
    <w:rsid w:val="7DD563A4"/>
    <w:rsid w:val="7DEB3451"/>
    <w:rsid w:val="7DF12C86"/>
    <w:rsid w:val="7DFF5852"/>
    <w:rsid w:val="7E0E19EC"/>
    <w:rsid w:val="7E186464"/>
    <w:rsid w:val="7E2748F9"/>
    <w:rsid w:val="7E3257BC"/>
    <w:rsid w:val="7E3C65F7"/>
    <w:rsid w:val="7E3D5ECB"/>
    <w:rsid w:val="7E4E1E86"/>
    <w:rsid w:val="7E584026"/>
    <w:rsid w:val="7E5F4093"/>
    <w:rsid w:val="7E624705"/>
    <w:rsid w:val="7E6B34F5"/>
    <w:rsid w:val="7E7B1E6F"/>
    <w:rsid w:val="7E7B3A3F"/>
    <w:rsid w:val="7E807A39"/>
    <w:rsid w:val="7E8B30DA"/>
    <w:rsid w:val="7E9C6F9B"/>
    <w:rsid w:val="7EAB72D9"/>
    <w:rsid w:val="7EAF501B"/>
    <w:rsid w:val="7EBF4B32"/>
    <w:rsid w:val="7EC5039A"/>
    <w:rsid w:val="7EC91358"/>
    <w:rsid w:val="7ED73CC9"/>
    <w:rsid w:val="7ED7DDCE"/>
    <w:rsid w:val="7EE97F06"/>
    <w:rsid w:val="7EEB3B79"/>
    <w:rsid w:val="7EED1546"/>
    <w:rsid w:val="7F07550C"/>
    <w:rsid w:val="7F0D1D41"/>
    <w:rsid w:val="7F1255AA"/>
    <w:rsid w:val="7F141322"/>
    <w:rsid w:val="7F1453DB"/>
    <w:rsid w:val="7F1475B9"/>
    <w:rsid w:val="7F1E1CCB"/>
    <w:rsid w:val="7F341DFF"/>
    <w:rsid w:val="7F4D0390"/>
    <w:rsid w:val="7F590AE3"/>
    <w:rsid w:val="7F7FE64A"/>
    <w:rsid w:val="7F866F8E"/>
    <w:rsid w:val="7F956761"/>
    <w:rsid w:val="7F9B49B0"/>
    <w:rsid w:val="7FAF363A"/>
    <w:rsid w:val="7FB422C4"/>
    <w:rsid w:val="7FBD72C3"/>
    <w:rsid w:val="7FDC3989"/>
    <w:rsid w:val="7FEA09E2"/>
    <w:rsid w:val="7FEC1957"/>
    <w:rsid w:val="7FF37189"/>
    <w:rsid w:val="9FBD6E3A"/>
    <w:rsid w:val="ABB51C1B"/>
    <w:rsid w:val="AFBBF067"/>
    <w:rsid w:val="B5FF2DC1"/>
    <w:rsid w:val="B7D75C42"/>
    <w:rsid w:val="B9F775B7"/>
    <w:rsid w:val="BC936312"/>
    <w:rsid w:val="BDFF1568"/>
    <w:rsid w:val="BDFFED4C"/>
    <w:rsid w:val="BEDF50DF"/>
    <w:rsid w:val="BF7F7A46"/>
    <w:rsid w:val="BFD75EF3"/>
    <w:rsid w:val="BFEA60F3"/>
    <w:rsid w:val="BFF4EE88"/>
    <w:rsid w:val="C6DF4D2C"/>
    <w:rsid w:val="CDDF8D29"/>
    <w:rsid w:val="CF7B6F3E"/>
    <w:rsid w:val="D2B781E6"/>
    <w:rsid w:val="D47FFD19"/>
    <w:rsid w:val="D6C7FF08"/>
    <w:rsid w:val="D8FF9E66"/>
    <w:rsid w:val="DB2EA37C"/>
    <w:rsid w:val="DEFAD7D8"/>
    <w:rsid w:val="DFB72C70"/>
    <w:rsid w:val="DFFA7DB7"/>
    <w:rsid w:val="E4EB1C6E"/>
    <w:rsid w:val="E75F9682"/>
    <w:rsid w:val="E7BBB46B"/>
    <w:rsid w:val="EA0B12A9"/>
    <w:rsid w:val="EBF68805"/>
    <w:rsid w:val="EEE7E7A4"/>
    <w:rsid w:val="EFF60C47"/>
    <w:rsid w:val="F1F511E9"/>
    <w:rsid w:val="F68F70A5"/>
    <w:rsid w:val="F7BBF211"/>
    <w:rsid w:val="F7DEF1EE"/>
    <w:rsid w:val="F7F38D57"/>
    <w:rsid w:val="F7FF55DE"/>
    <w:rsid w:val="F98567CE"/>
    <w:rsid w:val="F9BEFF0E"/>
    <w:rsid w:val="F9EFC684"/>
    <w:rsid w:val="FADDB4F8"/>
    <w:rsid w:val="FAE9CD5D"/>
    <w:rsid w:val="FB5F9FE3"/>
    <w:rsid w:val="FB692196"/>
    <w:rsid w:val="FD7DC39C"/>
    <w:rsid w:val="FDAD4A42"/>
    <w:rsid w:val="FDEC5532"/>
    <w:rsid w:val="FDFDD994"/>
    <w:rsid w:val="FDFE196F"/>
    <w:rsid w:val="FDFFA531"/>
    <w:rsid w:val="FEBDE989"/>
    <w:rsid w:val="FEBF0BE3"/>
    <w:rsid w:val="FEF5BAD6"/>
    <w:rsid w:val="FF572B2E"/>
    <w:rsid w:val="FF7B3FA7"/>
    <w:rsid w:val="FFDF63B8"/>
    <w:rsid w:val="FFE70018"/>
    <w:rsid w:val="FFFAA7B2"/>
    <w:rsid w:val="FFFDC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szCs w:val="20"/>
    </w:rPr>
  </w:style>
  <w:style w:type="paragraph" w:styleId="6">
    <w:name w:val="annotation text"/>
    <w:basedOn w:val="1"/>
    <w:link w:val="40"/>
    <w:unhideWhenUsed/>
    <w:qFormat/>
    <w:uiPriority w:val="0"/>
    <w:pPr>
      <w:jc w:val="left"/>
    </w:pPr>
    <w:rPr>
      <w:kern w:val="0"/>
      <w:sz w:val="20"/>
    </w:rPr>
  </w:style>
  <w:style w:type="paragraph" w:styleId="7">
    <w:name w:val="Body Text"/>
    <w:basedOn w:val="1"/>
    <w:next w:val="1"/>
    <w:unhideWhenUsed/>
    <w:qFormat/>
    <w:uiPriority w:val="0"/>
    <w:pPr>
      <w:spacing w:after="120"/>
    </w:pPr>
    <w:rPr>
      <w:sz w:val="24"/>
    </w:rPr>
  </w:style>
  <w:style w:type="paragraph" w:styleId="8">
    <w:name w:val="Body Text Indent"/>
    <w:basedOn w:val="1"/>
    <w:unhideWhenUsed/>
    <w:qFormat/>
    <w:uiPriority w:val="99"/>
    <w:pPr>
      <w:spacing w:after="120"/>
      <w:ind w:left="420" w:leftChars="200"/>
    </w:pPr>
    <w:rPr>
      <w:kern w:val="0"/>
      <w:sz w:val="20"/>
      <w:szCs w:val="20"/>
    </w:rPr>
  </w:style>
  <w:style w:type="paragraph" w:styleId="9">
    <w:name w:val="Plain Text"/>
    <w:basedOn w:val="1"/>
    <w:next w:val="10"/>
    <w:qFormat/>
    <w:uiPriority w:val="0"/>
    <w:rPr>
      <w:rFonts w:ascii="宋体" w:hAnsi="Courier New"/>
    </w:r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1">
    <w:name w:val="Balloon Text"/>
    <w:basedOn w:val="1"/>
    <w:link w:val="42"/>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style>
  <w:style w:type="paragraph" w:styleId="15">
    <w:name w:val="toc 2"/>
    <w:basedOn w:val="1"/>
    <w:next w:val="1"/>
    <w:qFormat/>
    <w:uiPriority w:val="0"/>
    <w:pPr>
      <w:spacing w:line="600" w:lineRule="exact"/>
      <w:ind w:firstLine="880" w:firstLineChars="200"/>
    </w:pPr>
    <w:rPr>
      <w:rFonts w:eastAsia="仿宋_GB2312"/>
      <w:sz w:val="32"/>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jc w:val="center"/>
      <w:outlineLvl w:val="0"/>
    </w:pPr>
    <w:rPr>
      <w:rFonts w:ascii="Arial" w:hAnsi="Arial" w:eastAsia="隶书"/>
      <w:b/>
      <w:bCs/>
      <w:sz w:val="32"/>
      <w:szCs w:val="32"/>
    </w:rPr>
  </w:style>
  <w:style w:type="paragraph" w:styleId="18">
    <w:name w:val="annotation subject"/>
    <w:basedOn w:val="6"/>
    <w:next w:val="6"/>
    <w:link w:val="41"/>
    <w:qFormat/>
    <w:uiPriority w:val="0"/>
    <w:rPr>
      <w:b/>
      <w:bCs/>
      <w:kern w:val="2"/>
      <w:sz w:val="21"/>
    </w:rPr>
  </w:style>
  <w:style w:type="paragraph" w:styleId="19">
    <w:name w:val="Body Text First Indent"/>
    <w:basedOn w:val="7"/>
    <w:qFormat/>
    <w:uiPriority w:val="0"/>
    <w:pPr>
      <w:snapToGrid w:val="0"/>
      <w:spacing w:line="560" w:lineRule="exact"/>
      <w:ind w:firstLine="200" w:firstLineChars="200"/>
    </w:pPr>
    <w:rPr>
      <w:rFonts w:ascii="仿宋" w:hAnsi="仿宋" w:cs="仿宋"/>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qFormat/>
    <w:uiPriority w:val="0"/>
  </w:style>
  <w:style w:type="character" w:styleId="25">
    <w:name w:val="FollowedHyperlink"/>
    <w:basedOn w:val="22"/>
    <w:qFormat/>
    <w:uiPriority w:val="0"/>
    <w:rPr>
      <w:color w:val="800080"/>
      <w:u w:val="none"/>
    </w:rPr>
  </w:style>
  <w:style w:type="character" w:styleId="26">
    <w:name w:val="Hyperlink"/>
    <w:basedOn w:val="22"/>
    <w:qFormat/>
    <w:uiPriority w:val="0"/>
    <w:rPr>
      <w:color w:val="0000FF"/>
      <w:u w:val="none"/>
    </w:rPr>
  </w:style>
  <w:style w:type="character" w:styleId="27">
    <w:name w:val="annotation reference"/>
    <w:basedOn w:val="22"/>
    <w:qFormat/>
    <w:uiPriority w:val="0"/>
    <w:rPr>
      <w:sz w:val="21"/>
      <w:szCs w:val="21"/>
    </w:rPr>
  </w:style>
  <w:style w:type="paragraph" w:styleId="28">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9">
    <w:name w:val="正文格式"/>
    <w:basedOn w:val="8"/>
    <w:qFormat/>
    <w:uiPriority w:val="99"/>
    <w:pPr>
      <w:spacing w:after="0" w:line="360" w:lineRule="auto"/>
      <w:ind w:left="0" w:leftChars="0" w:firstLine="600"/>
    </w:pPr>
    <w:rPr>
      <w:rFonts w:eastAsia="仿宋_GB2312"/>
      <w:sz w:val="30"/>
      <w:szCs w:val="30"/>
    </w:rPr>
  </w:style>
  <w:style w:type="paragraph" w:customStyle="1" w:styleId="30">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31">
    <w:name w:val="List Paragraph"/>
    <w:basedOn w:val="1"/>
    <w:qFormat/>
    <w:uiPriority w:val="34"/>
    <w:pPr>
      <w:ind w:firstLine="420" w:firstLineChars="200"/>
    </w:pPr>
  </w:style>
  <w:style w:type="paragraph" w:customStyle="1" w:styleId="32">
    <w:name w:val="（）列表模式"/>
    <w:basedOn w:val="1"/>
    <w:qFormat/>
    <w:uiPriority w:val="0"/>
    <w:pPr>
      <w:tabs>
        <w:tab w:val="left" w:pos="960"/>
        <w:tab w:val="left" w:pos="1470"/>
      </w:tabs>
      <w:spacing w:line="360" w:lineRule="auto"/>
      <w:ind w:left="1470" w:hanging="420"/>
    </w:pPr>
    <w:rPr>
      <w:sz w:val="24"/>
      <w:szCs w:val="20"/>
    </w:rPr>
  </w:style>
  <w:style w:type="paragraph" w:customStyle="1" w:styleId="33">
    <w:name w:val="Table Paragraph"/>
    <w:basedOn w:val="1"/>
    <w:qFormat/>
    <w:uiPriority w:val="0"/>
    <w:pPr>
      <w:autoSpaceDE w:val="0"/>
      <w:autoSpaceDN w:val="0"/>
      <w:jc w:val="left"/>
    </w:pPr>
    <w:rPr>
      <w:rFonts w:ascii="宋体" w:hAnsi="宋体" w:cs="宋体"/>
      <w:kern w:val="0"/>
      <w:sz w:val="22"/>
      <w:szCs w:val="22"/>
    </w:rPr>
  </w:style>
  <w:style w:type="paragraph" w:customStyle="1" w:styleId="34">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5">
    <w:name w:val="qowt-font5-gb2312"/>
    <w:qFormat/>
    <w:uiPriority w:val="0"/>
  </w:style>
  <w:style w:type="paragraph" w:customStyle="1" w:styleId="36">
    <w:name w:val="正文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37">
    <w:name w:val="_Style 1"/>
    <w:qFormat/>
    <w:uiPriority w:val="1"/>
    <w:pPr>
      <w:adjustRightInd w:val="0"/>
      <w:snapToGrid w:val="0"/>
      <w:ind w:firstLine="200" w:firstLineChars="200"/>
    </w:pPr>
    <w:rPr>
      <w:rFonts w:ascii="宋体" w:hAnsi="宋体" w:eastAsia="仿宋_GB2312" w:cs="Times New Roman"/>
      <w:sz w:val="32"/>
      <w:szCs w:val="21"/>
      <w:lang w:val="en-US" w:eastAsia="zh-CN" w:bidi="ar-SA"/>
    </w:rPr>
  </w:style>
  <w:style w:type="paragraph" w:customStyle="1" w:styleId="3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39">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40">
    <w:name w:val="批注文字 字符"/>
    <w:basedOn w:val="22"/>
    <w:link w:val="6"/>
    <w:qFormat/>
    <w:uiPriority w:val="0"/>
    <w:rPr>
      <w:szCs w:val="24"/>
    </w:rPr>
  </w:style>
  <w:style w:type="character" w:customStyle="1" w:styleId="41">
    <w:name w:val="批注主题 字符"/>
    <w:basedOn w:val="40"/>
    <w:link w:val="18"/>
    <w:qFormat/>
    <w:uiPriority w:val="0"/>
    <w:rPr>
      <w:b/>
      <w:bCs/>
      <w:kern w:val="2"/>
      <w:sz w:val="21"/>
      <w:szCs w:val="24"/>
    </w:rPr>
  </w:style>
  <w:style w:type="character" w:customStyle="1" w:styleId="42">
    <w:name w:val="批注框文本 字符"/>
    <w:basedOn w:val="22"/>
    <w:link w:val="11"/>
    <w:qFormat/>
    <w:uiPriority w:val="0"/>
    <w:rPr>
      <w:kern w:val="2"/>
      <w:sz w:val="18"/>
      <w:szCs w:val="18"/>
    </w:rPr>
  </w:style>
  <w:style w:type="character" w:customStyle="1" w:styleId="43">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8591</Words>
  <Characters>48971</Characters>
  <Lines>408</Lines>
  <Paragraphs>114</Paragraphs>
  <TotalTime>1</TotalTime>
  <ScaleCrop>false</ScaleCrop>
  <LinksUpToDate>false</LinksUpToDate>
  <CharactersWithSpaces>57448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2023-11-15T12:59:00Z</dcterms:created>
  <dc:creator>姬崽</dc:creator>
  <cp:lastModifiedBy>黎俊</cp:lastModifiedBy>
  <dcterms:modified xsi:type="dcterms:W3CDTF">2025-04-03T06:16:32Z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F2449FB2D0714870B70A51909547A09D_13</vt:lpwstr>
  </property>
  <property fmtid="{D5CDD505-2E9C-101B-9397-08002B2CF9AE}" pid="4" name="KSOTemplateDocerSaveRecord">
    <vt:lpwstr>eyJoZGlkIjoiMjg4YTgwZWNlYzllODgyY2ZiMzc5OWI4YzIzOTI0NWYiLCJ1c2VySWQiOiI1NDE3NDk4ODMifQ==</vt:lpwstr>
  </property>
</Properties>
</file>